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spacing w:line="600" w:lineRule="exact"/>
        <w:jc w:val="center"/>
        <w:rPr>
          <w:rFonts w:ascii="黑体" w:eastAsia="黑体" w:cs="黑体" w:hint="eastAsia"/>
          <w:color w:val="000000"/>
          <w:sz w:val="44"/>
          <w:szCs w:val="44"/>
        </w:rPr>
      </w:pPr>
      <w:bookmarkStart w:id="0" w:name="_GoBack"/>
      <w:bookmarkEnd w:id="0"/>
      <w:r>
        <w:rPr>
          <w:rFonts w:ascii="黑体" w:eastAsia="黑体" w:cs="黑体" w:hint="eastAsia"/>
          <w:color w:val="000000"/>
          <w:sz w:val="44"/>
          <w:szCs w:val="44"/>
        </w:rPr>
        <w:t>茂县妇女联合会</w:t>
      </w:r>
    </w:p>
    <w:p>
      <w:pPr>
        <w:spacing w:line="600" w:lineRule="exact"/>
        <w:jc w:val="center"/>
        <w:rPr>
          <w:rFonts w:ascii="黑体" w:eastAsia="黑体" w:cs="黑体" w:hint="eastAsia"/>
          <w:color w:val="000000"/>
          <w:sz w:val="44"/>
          <w:szCs w:val="44"/>
        </w:rPr>
      </w:pPr>
      <w:r>
        <w:rPr>
          <w:rFonts w:ascii="黑体" w:eastAsia="黑体" w:cs="黑体" w:hint="eastAsia"/>
          <w:color w:val="000000"/>
          <w:sz w:val="44"/>
          <w:szCs w:val="44"/>
        </w:rPr>
        <w:t>20</w:t>
      </w:r>
      <w:r>
        <w:rPr>
          <w:rFonts w:ascii="黑体" w:eastAsia="黑体" w:cs="黑体" w:hint="eastAsia"/>
          <w:color w:val="000000"/>
          <w:sz w:val="44"/>
          <w:szCs w:val="44"/>
          <w:lang w:val="en-US" w:eastAsia="zh-CN"/>
        </w:rPr>
        <w:t>20</w:t>
      </w:r>
      <w:r>
        <w:rPr>
          <w:rFonts w:ascii="黑体" w:eastAsia="黑体" w:cs="黑体" w:hint="eastAsia"/>
          <w:color w:val="000000"/>
          <w:sz w:val="44"/>
          <w:szCs w:val="44"/>
        </w:rPr>
        <w:t>年部门预算信息公开说明</w:t>
      </w:r>
    </w:p>
    <w:p>
      <w:pPr>
        <w:spacing w:line="600" w:lineRule="exact"/>
        <w:rPr>
          <w:rFonts w:ascii="方正小标宋简体" w:eastAsia="方正小标宋简体"/>
          <w:color w:val="000000"/>
          <w:sz w:val="36"/>
          <w:szCs w:val="36"/>
        </w:rPr>
      </w:pPr>
      <w:r>
        <w:rPr>
          <w:rFonts w:ascii="方正小标宋简体" w:eastAsia="方正小标宋简体" w:hint="eastAsia"/>
          <w:color w:val="000000"/>
          <w:sz w:val="36"/>
          <w:szCs w:val="36"/>
        </w:rPr>
        <w:t>目录</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基本职能及主要工作</w:t>
      </w:r>
    </w:p>
    <w:p>
      <w:pPr>
        <w:numPr>
          <w:ilvl w:val="0"/>
          <w:numId w:val="2"/>
        </w:numPr>
        <w:tabs>
          <w:tab w:val="clear" w:pos="1440"/>
          <w:tab w:val="left" w:pos="144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部门职能简介</w:t>
      </w:r>
    </w:p>
    <w:p>
      <w:pPr>
        <w:numPr>
          <w:ilvl w:val="0"/>
          <w:numId w:val="2"/>
        </w:numPr>
        <w:tabs>
          <w:tab w:val="clear" w:pos="1440"/>
          <w:tab w:val="left" w:pos="144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2019年重点工作</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部门预算单位构成</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收支总预算情况说明</w:t>
      </w:r>
    </w:p>
    <w:p>
      <w:pPr>
        <w:numPr>
          <w:ilvl w:val="0"/>
          <w:numId w:val="3"/>
        </w:numPr>
        <w:tabs>
          <w:tab w:val="clear" w:pos="1440"/>
          <w:tab w:val="left" w:pos="144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收入预算情况</w:t>
      </w:r>
    </w:p>
    <w:p>
      <w:pPr>
        <w:numPr>
          <w:ilvl w:val="0"/>
          <w:numId w:val="3"/>
        </w:numPr>
        <w:tabs>
          <w:tab w:val="clear" w:pos="1440"/>
          <w:tab w:val="left" w:pos="144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支出预算情况</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财政拨款收支预算情况说明</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一般公共预算当年拨款情况说明</w:t>
      </w:r>
    </w:p>
    <w:p>
      <w:pPr>
        <w:numPr>
          <w:ilvl w:val="0"/>
          <w:numId w:val="4"/>
        </w:numPr>
        <w:tabs>
          <w:tab w:val="clear" w:pos="1440"/>
          <w:tab w:val="left" w:pos="144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一般公共预算当年拨款规模变化情况</w:t>
      </w:r>
    </w:p>
    <w:p>
      <w:pPr>
        <w:numPr>
          <w:ilvl w:val="0"/>
          <w:numId w:val="4"/>
        </w:numPr>
        <w:tabs>
          <w:tab w:val="clear" w:pos="1440"/>
          <w:tab w:val="left" w:pos="144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一般公共预算当年拨款结构情况</w:t>
      </w:r>
    </w:p>
    <w:p>
      <w:pPr>
        <w:numPr>
          <w:ilvl w:val="0"/>
          <w:numId w:val="4"/>
        </w:numPr>
        <w:tabs>
          <w:tab w:val="clear" w:pos="1440"/>
          <w:tab w:val="left" w:pos="144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一般公共预算当年拨款具体使用情况</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一般公共预算基本支出情况说明</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“三公”经费财政拨款预算安排情况说明</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政府性基金预算支出情况说明</w:t>
      </w:r>
    </w:p>
    <w:p>
      <w:pPr>
        <w:numPr>
          <w:ilvl w:val="0"/>
          <w:numId w:val="1"/>
        </w:numPr>
        <w:tabs>
          <w:tab w:val="clear" w:pos="1080"/>
          <w:tab w:val="left" w:pos="1080"/>
        </w:tabs>
        <w:spacing w:line="600" w:lineRule="exact"/>
        <w:rPr>
          <w:rFonts w:ascii="仿宋_GB2312" w:eastAsia="仿宋_GB2312" w:hint="eastAsia"/>
          <w:color w:val="000000"/>
          <w:sz w:val="32"/>
          <w:szCs w:val="32"/>
        </w:rPr>
      </w:pPr>
      <w:r>
        <w:rPr>
          <w:rFonts w:ascii="仿宋_GB2312" w:eastAsia="仿宋_GB2312" w:hint="eastAsia"/>
          <w:color w:val="000000"/>
          <w:sz w:val="32"/>
          <w:szCs w:val="32"/>
        </w:rPr>
        <w:t>其他重要事项的情况说明</w:t>
      </w:r>
    </w:p>
    <w:p>
      <w:pPr>
        <w:spacing w:line="600" w:lineRule="exact"/>
        <w:ind w:left="360"/>
        <w:rPr>
          <w:rFonts w:ascii="仿宋_GB2312" w:eastAsia="仿宋_GB2312" w:hint="eastAsia"/>
          <w:color w:val="000000"/>
          <w:sz w:val="32"/>
          <w:szCs w:val="32"/>
        </w:rPr>
      </w:pPr>
      <w:r>
        <w:rPr>
          <w:rFonts w:ascii="仿宋_GB2312" w:eastAsia="仿宋_GB2312" w:hint="eastAsia"/>
          <w:color w:val="000000"/>
          <w:sz w:val="32"/>
          <w:szCs w:val="32"/>
        </w:rPr>
        <w:t>十、名称解释</w:t>
      </w:r>
    </w:p>
    <w:p>
      <w:pPr>
        <w:spacing w:line="600" w:lineRule="exact"/>
        <w:rPr>
          <w:rFonts w:ascii="仿宋_GB2312" w:eastAsia="仿宋_GB2312" w:hint="eastAsia"/>
          <w:color w:val="000000"/>
          <w:sz w:val="32"/>
          <w:szCs w:val="32"/>
        </w:rPr>
      </w:pPr>
    </w:p>
    <w:p>
      <w:pPr>
        <w:spacing w:line="600" w:lineRule="exact"/>
        <w:rPr>
          <w:rFonts w:ascii="方正小标宋简体" w:eastAsia="方正小标宋简体" w:hint="eastAsia"/>
          <w:color w:val="000000"/>
          <w:sz w:val="36"/>
          <w:szCs w:val="36"/>
        </w:rPr>
      </w:pPr>
    </w:p>
    <w:p>
      <w:pPr>
        <w:spacing w:line="600" w:lineRule="exact"/>
        <w:rPr>
          <w:rFonts w:ascii="方正小标宋简体" w:eastAsia="方正小标宋简体" w:hint="eastAsia"/>
          <w:color w:val="000000"/>
          <w:sz w:val="36"/>
          <w:szCs w:val="36"/>
        </w:rPr>
      </w:pPr>
    </w:p>
    <w:p>
      <w:pPr>
        <w:numPr>
          <w:ilvl w:val="0"/>
          <w:numId w:val="5"/>
        </w:numPr>
        <w:spacing w:line="600" w:lineRule="exact"/>
        <w:ind w:left="640" w:hangingChars="200" w:hanging="640"/>
        <w:rPr>
          <w:rFonts w:ascii="黑体" w:eastAsia="黑体" w:cs="黑体" w:hint="eastAsia"/>
          <w:b/>
          <w:sz w:val="32"/>
          <w:szCs w:val="32"/>
        </w:rPr>
      </w:pPr>
      <w:r>
        <w:rPr>
          <w:rFonts w:ascii="黑体" w:eastAsia="黑体" w:cs="黑体" w:hint="eastAsia"/>
          <w:b/>
          <w:sz w:val="32"/>
          <w:szCs w:val="32"/>
        </w:rPr>
        <w:t>基本职能及主要工作</w:t>
      </w:r>
    </w:p>
    <w:p>
      <w:pPr>
        <w:spacing w:line="600" w:lineRule="exact"/>
        <w:ind w:leftChars="-200" w:left="-420" w:firstLineChars="200" w:firstLine="640"/>
        <w:rPr>
          <w:rFonts w:ascii="楷体" w:eastAsia="楷体" w:cs="楷体" w:hint="eastAsia"/>
          <w:b/>
          <w:sz w:val="32"/>
          <w:szCs w:val="32"/>
        </w:rPr>
      </w:pPr>
      <w:r>
        <w:rPr>
          <w:rFonts w:ascii="楷体" w:eastAsia="楷体" w:cs="楷体" w:hint="eastAsia"/>
          <w:b/>
          <w:sz w:val="32"/>
          <w:szCs w:val="32"/>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茂县妇联是阿坝州妇联的地方组织，是中共茂县县委领导下的各县各族各界的群众团体，是党和政府联系妇女群众的桥梁和纽带，是国家政权的重要社会支柱之一。机关的主要工作职能和任务是：</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1.根据党的工作任务，指导各县各级妇联和县级有关妇委会根据《中华全国妇女联合会章程》和妇女代表会的决议，开展妇女儿童工作，联系团体会员，并给予业务指导。</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2.调查研究我县各地区妇女儿童的情况、问题，定时向县委、县政府反映并提出建议。</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3.贯彻执行党的路线、方针、政策。根据县委和州妇联的工作部署，结合我县妇女儿童实际，确定全县妇女儿童工作的指导思想，指导全县各级妇联的妇女工作。</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4.指导和推动全县农村妇女的“双学双赛”活动及城镇妇女的“巾帼建功”活动，组织、动员妇女投身改革开放和社会主义现代化建设。</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5.指导全县各级妇联的宣传舆论工作，教育引导广大妇女增强自尊、自信、自立、自强精神，表彰各行各业先进妇女；开展妇女职业技术培训和妇女干部培训，全面提高素质，促进妇女人才成长。</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6.代表妇女参与国家和社会事务的民主管理、民主监督、促进妇女参政；参与有关妇女儿童法律、法规、规章的制定，维护妇女儿童的合法权益。</w:t>
      </w:r>
    </w:p>
    <w:p>
      <w:pPr>
        <w:ind w:left="0"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7.为妇女儿童服务，加强与社会各界的联系，协调和推动社会各界为妇女儿童办实事；建立与各界妇女协会组织的联系，巩固各族妇女的大团结。</w:t>
      </w:r>
    </w:p>
    <w:p>
      <w:pPr>
        <w:ind w:left="0" w:firstLineChars="200" w:firstLine="640"/>
        <w:rPr>
          <w:rFonts w:hint="eastAsia"/>
          <w:lang w:val="en-US" w:eastAsia="zh-CN"/>
        </w:rPr>
      </w:pPr>
      <w:r>
        <w:rPr>
          <w:rFonts w:ascii="仿宋_GB2312" w:eastAsia="仿宋_GB2312" w:hint="eastAsia"/>
          <w:sz w:val="32"/>
          <w:szCs w:val="32"/>
          <w:lang w:val="en-US" w:eastAsia="zh-CN"/>
        </w:rPr>
        <w:t>8.承担县人民政府妇女儿童工作委员会的日常工作，承办县委、县政府交办的其他事项</w:t>
      </w:r>
      <w:r>
        <w:rPr>
          <w:rFonts w:hint="eastAsia"/>
          <w:lang w:val="en-US" w:eastAsia="zh-CN"/>
        </w:rPr>
        <w:t>。</w:t>
      </w:r>
    </w:p>
    <w:p>
      <w:pPr>
        <w:snapToGrid w:val="0"/>
        <w:spacing w:line="588" w:lineRule="exact"/>
        <w:ind w:firstLineChars="100" w:firstLine="320"/>
        <w:rPr>
          <w:rFonts w:ascii="楷体" w:eastAsia="楷体" w:cs="楷体" w:hint="eastAsia"/>
          <w:b/>
          <w:sz w:val="32"/>
          <w:szCs w:val="32"/>
        </w:rPr>
      </w:pPr>
      <w:r>
        <w:rPr>
          <w:rFonts w:ascii="楷体" w:eastAsia="楷体" w:cs="楷体" w:hint="eastAsia"/>
          <w:sz w:val="32"/>
          <w:szCs w:val="32"/>
        </w:rPr>
        <w:t>（二）</w:t>
      </w:r>
      <w:r>
        <w:rPr>
          <w:rFonts w:ascii="楷体" w:eastAsia="楷体" w:cs="楷体" w:hint="eastAsia"/>
          <w:b/>
          <w:sz w:val="32"/>
          <w:szCs w:val="32"/>
        </w:rPr>
        <w:t>20</w:t>
      </w:r>
      <w:r>
        <w:rPr>
          <w:rFonts w:ascii="楷体" w:eastAsia="楷体" w:cs="楷体" w:hint="eastAsia"/>
          <w:b/>
          <w:sz w:val="32"/>
          <w:szCs w:val="32"/>
          <w:lang w:val="en-US" w:eastAsia="zh-CN"/>
        </w:rPr>
        <w:t>2</w:t>
      </w:r>
      <w:r>
        <w:rPr>
          <w:rFonts w:ascii="楷体" w:eastAsia="楷体" w:cs="楷体" w:hint="eastAsia"/>
          <w:b/>
          <w:sz w:val="30"/>
          <w:szCs w:val="30"/>
          <w:lang w:val="en-US" w:eastAsia="zh-CN"/>
        </w:rPr>
        <w:t>0</w:t>
      </w:r>
      <w:r>
        <w:rPr>
          <w:rFonts w:ascii="楷体" w:eastAsia="楷体" w:cs="楷体" w:hint="eastAsia"/>
          <w:b/>
          <w:sz w:val="30"/>
          <w:szCs w:val="30"/>
        </w:rPr>
        <w:t>年</w:t>
      </w:r>
      <w:r>
        <w:rPr>
          <w:rFonts w:ascii="楷体" w:eastAsia="楷体" w:cs="楷体" w:hint="eastAsia"/>
          <w:b/>
          <w:sz w:val="32"/>
          <w:szCs w:val="32"/>
        </w:rPr>
        <w:t>重点工作</w:t>
      </w:r>
    </w:p>
    <w:p>
      <w:pPr>
        <w:ind w:left="0" w:firstLineChars="200" w:firstLine="640"/>
        <w:rPr>
          <w:rFonts w:ascii="仿宋_GB2312" w:eastAsia="仿宋_GB2312" w:hint="eastAsia"/>
          <w:sz w:val="32"/>
          <w:szCs w:val="32"/>
        </w:rPr>
      </w:pPr>
      <w:r>
        <w:rPr>
          <w:rFonts w:ascii="仿宋_GB2312" w:eastAsia="仿宋_GB2312" w:hint="eastAsia"/>
          <w:sz w:val="32"/>
          <w:szCs w:val="32"/>
          <w:lang w:val="en-US" w:eastAsia="zh-CN"/>
        </w:rPr>
        <w:t>1.</w:t>
      </w:r>
      <w:r>
        <w:rPr>
          <w:rFonts w:ascii="仿宋_GB2312" w:eastAsia="仿宋_GB2312" w:hint="eastAsia"/>
          <w:sz w:val="32"/>
          <w:szCs w:val="32"/>
        </w:rPr>
        <w:t>思想引领，提升妇女儿童道德素质。一是深入学习宣传贯彻党的十八届四中全会精神。二是进一步加大男女平等基本国策宣传力度，在全社会营造尊重女性、关爱女性的良好氛围。三是深入开展“向幸福出发---寻找最美家庭特别行动”等社会主义核心价值观宣传教育活动。</w:t>
      </w:r>
    </w:p>
    <w:p>
      <w:pPr>
        <w:ind w:firstLineChars="200" w:firstLine="640"/>
        <w:rPr>
          <w:rFonts w:ascii="仿宋_GB2312" w:eastAsia="仿宋_GB2312" w:hint="eastAsia"/>
          <w:sz w:val="32"/>
          <w:szCs w:val="32"/>
        </w:rPr>
      </w:pPr>
      <w:r>
        <w:rPr>
          <w:rFonts w:ascii="仿宋_GB2312" w:eastAsia="仿宋_GB2312" w:hint="eastAsia"/>
          <w:sz w:val="32"/>
          <w:szCs w:val="32"/>
        </w:rPr>
        <w:t>2.重抓强基固本，尽力建设创新型妇联组织。一是加大“妇女儿童之家”建设，探索建立社会化、群众性、开放式的枢纽型妇联组织。二是按照的干部教育培训计划，推动妇联干部队伍专业化、职业化建设。</w:t>
      </w:r>
    </w:p>
    <w:p>
      <w:pPr>
        <w:snapToGrid w:val="0"/>
        <w:spacing w:line="640" w:lineRule="exact"/>
        <w:ind w:firstLineChars="200" w:firstLine="640"/>
        <w:rPr>
          <w:rFonts w:ascii="仿宋_GB2312" w:eastAsia="仿宋_GB2312" w:hint="eastAsia"/>
          <w:sz w:val="32"/>
          <w:szCs w:val="32"/>
        </w:rPr>
      </w:pPr>
      <w:r>
        <w:rPr>
          <w:rFonts w:ascii="仿宋_GB2312" w:eastAsia="仿宋_GB2312" w:hint="eastAsia"/>
          <w:sz w:val="32"/>
          <w:szCs w:val="32"/>
        </w:rPr>
        <w:t>3.做好服务工作，促进妇女儿童民生改善。一是开展妇女小额信贷工作，为妇女创业就业提供资金支持。二是开展妇女居家灵活就业，为妇女创业就业提供信息和岗位。三是继续开展“两癌妇女”及“贫困妇女”救助工作。</w:t>
      </w:r>
    </w:p>
    <w:p>
      <w:pPr>
        <w:snapToGrid w:val="0"/>
        <w:spacing w:line="640" w:lineRule="exact"/>
        <w:ind w:firstLineChars="200" w:firstLine="640"/>
        <w:rPr>
          <w:rFonts w:ascii="仿宋_GB2312" w:eastAsia="仿宋_GB2312" w:hint="eastAsia"/>
          <w:sz w:val="32"/>
          <w:szCs w:val="32"/>
        </w:rPr>
      </w:pPr>
      <w:r>
        <w:rPr>
          <w:rFonts w:ascii="仿宋_GB2312" w:eastAsia="仿宋_GB2312" w:hint="eastAsia"/>
          <w:sz w:val="32"/>
          <w:szCs w:val="32"/>
        </w:rPr>
        <w:t>4.参与社会治理，全力促进妇女儿童合法权益。加大对《婚姻法》、《中华人民共和国妇女权益保障法》等法律法规的宣传，大力开展反家暴、法律进家庭活动，做好群众来信来访来电工作。将“走基层、解难题、办实事、惠民生”、“挂包帮”、“双联” 、“下基层、访妇情、办实事”等活动具体化、常态化，使妇联真正成为妇女群众的贴心“娘家人”。</w:t>
      </w:r>
    </w:p>
    <w:p>
      <w:pPr>
        <w:rPr>
          <w:rFonts w:ascii="黑体" w:eastAsia="黑体" w:cs="黑体" w:hint="eastAsia"/>
          <w:b/>
          <w:sz w:val="32"/>
          <w:szCs w:val="32"/>
        </w:rPr>
      </w:pPr>
      <w:r>
        <w:rPr>
          <w:rFonts w:ascii="黑体" w:eastAsia="黑体" w:cs="黑体" w:hint="eastAsia"/>
          <w:b/>
          <w:sz w:val="32"/>
          <w:szCs w:val="32"/>
        </w:rPr>
        <w:t>二、部门预算单位构成</w:t>
      </w:r>
    </w:p>
    <w:p>
      <w:pPr>
        <w:ind w:firstLineChars="200" w:firstLine="640"/>
        <w:rPr>
          <w:rFonts w:ascii="仿宋_GB2312" w:eastAsia="仿宋_GB2312" w:hint="eastAsia"/>
          <w:sz w:val="32"/>
          <w:szCs w:val="32"/>
        </w:rPr>
      </w:pPr>
      <w:r>
        <w:rPr>
          <w:rFonts w:ascii="仿宋_GB2312" w:eastAsia="仿宋_GB2312" w:hint="eastAsia"/>
          <w:sz w:val="32"/>
          <w:szCs w:val="32"/>
        </w:rPr>
        <w:t>妇联属于一级预算单位，妇联属于其他事业单位。</w:t>
      </w:r>
    </w:p>
    <w:p>
      <w:pPr>
        <w:rPr>
          <w:rFonts w:ascii="黑体" w:eastAsia="黑体" w:cs="黑体" w:hint="eastAsia"/>
          <w:b/>
          <w:sz w:val="32"/>
          <w:szCs w:val="32"/>
        </w:rPr>
      </w:pPr>
      <w:r>
        <w:rPr>
          <w:rFonts w:ascii="黑体" w:eastAsia="黑体" w:cs="黑体" w:hint="eastAsia"/>
          <w:b/>
          <w:sz w:val="32"/>
          <w:szCs w:val="32"/>
        </w:rPr>
        <w:t>三、收支总预算情况说明</w:t>
      </w:r>
    </w:p>
    <w:p>
      <w:pPr>
        <w:ind w:firstLineChars="200" w:firstLine="640"/>
        <w:rPr>
          <w:rFonts w:ascii="仿宋_GB2312" w:eastAsia="仿宋_GB2312" w:hint="eastAsia"/>
          <w:sz w:val="32"/>
          <w:szCs w:val="32"/>
        </w:rPr>
      </w:pPr>
      <w:r>
        <w:rPr>
          <w:rFonts w:ascii="仿宋_GB2312" w:eastAsia="仿宋_GB2312" w:hint="eastAsia"/>
          <w:sz w:val="32"/>
          <w:szCs w:val="32"/>
        </w:rPr>
        <w:t>按照综合预算的原则,妇联所有收入和支出均纳入部门预算管理。收入包括：一般公共预算拨款收入</w:t>
      </w:r>
      <w:r>
        <w:rPr>
          <w:rFonts w:ascii="仿宋_GB2312" w:eastAsia="仿宋_GB2312" w:hint="eastAsia"/>
          <w:sz w:val="32"/>
          <w:szCs w:val="32"/>
          <w:lang w:val="en-US" w:eastAsia="zh-CN"/>
        </w:rPr>
        <w:t>818324</w:t>
      </w:r>
      <w:r>
        <w:rPr>
          <w:rFonts w:ascii="仿宋_GB2312" w:eastAsia="仿宋_GB2312" w:hint="eastAsia"/>
          <w:sz w:val="32"/>
          <w:szCs w:val="32"/>
        </w:rPr>
        <w:t>.00元；支出包括：一般公共服务支出</w:t>
      </w:r>
      <w:r>
        <w:rPr>
          <w:rFonts w:ascii="仿宋_GB2312" w:eastAsia="仿宋_GB2312" w:hint="eastAsia"/>
          <w:sz w:val="32"/>
          <w:szCs w:val="32"/>
          <w:lang w:val="en-US" w:eastAsia="zh-CN"/>
        </w:rPr>
        <w:t>576067</w:t>
      </w:r>
      <w:r>
        <w:rPr>
          <w:rFonts w:ascii="仿宋_GB2312" w:eastAsia="仿宋_GB2312" w:hint="eastAsia"/>
          <w:sz w:val="32"/>
          <w:szCs w:val="32"/>
        </w:rPr>
        <w:t>.00元，社会保障和就业支出</w:t>
      </w:r>
      <w:r>
        <w:rPr>
          <w:rFonts w:ascii="仿宋_GB2312" w:eastAsia="仿宋_GB2312" w:hint="eastAsia"/>
          <w:sz w:val="32"/>
          <w:szCs w:val="32"/>
          <w:lang w:val="en-US" w:eastAsia="zh-CN"/>
        </w:rPr>
        <w:t>116241</w:t>
      </w:r>
      <w:r>
        <w:rPr>
          <w:rFonts w:ascii="仿宋_GB2312" w:eastAsia="仿宋_GB2312" w:hint="eastAsia"/>
          <w:sz w:val="32"/>
          <w:szCs w:val="32"/>
        </w:rPr>
        <w:t>.00元，卫生健康支出</w:t>
      </w:r>
      <w:r>
        <w:rPr>
          <w:rFonts w:ascii="仿宋_GB2312" w:eastAsia="仿宋_GB2312" w:hint="eastAsia"/>
          <w:sz w:val="32"/>
          <w:szCs w:val="32"/>
          <w:lang w:val="en-US" w:eastAsia="zh-CN"/>
        </w:rPr>
        <w:t>42964</w:t>
      </w:r>
      <w:r>
        <w:rPr>
          <w:rFonts w:ascii="仿宋_GB2312" w:eastAsia="仿宋_GB2312" w:hint="eastAsia"/>
          <w:sz w:val="32"/>
          <w:szCs w:val="32"/>
        </w:rPr>
        <w:t>.00元，住房保障支出</w:t>
      </w:r>
      <w:r>
        <w:rPr>
          <w:rFonts w:ascii="仿宋_GB2312" w:eastAsia="仿宋_GB2312" w:hint="eastAsia"/>
          <w:sz w:val="32"/>
          <w:szCs w:val="32"/>
          <w:lang w:val="en-US" w:eastAsia="zh-CN"/>
        </w:rPr>
        <w:t>83052</w:t>
      </w:r>
      <w:r>
        <w:rPr>
          <w:rFonts w:ascii="仿宋_GB2312" w:eastAsia="仿宋_GB2312" w:hint="eastAsia"/>
          <w:sz w:val="32"/>
          <w:szCs w:val="32"/>
        </w:rPr>
        <w:t>.00元。妇联20</w:t>
      </w:r>
      <w:r>
        <w:rPr>
          <w:rFonts w:ascii="仿宋_GB2312" w:eastAsia="仿宋_GB2312" w:hint="eastAsia"/>
          <w:sz w:val="32"/>
          <w:szCs w:val="32"/>
          <w:lang w:val="en-US" w:eastAsia="zh-CN"/>
        </w:rPr>
        <w:t>20</w:t>
      </w:r>
      <w:r>
        <w:rPr>
          <w:rFonts w:ascii="仿宋_GB2312" w:eastAsia="仿宋_GB2312" w:hint="eastAsia"/>
          <w:sz w:val="32"/>
          <w:szCs w:val="32"/>
        </w:rPr>
        <w:t>年收支总预算</w:t>
      </w:r>
      <w:r>
        <w:rPr>
          <w:rFonts w:ascii="仿宋_GB2312" w:eastAsia="仿宋_GB2312" w:hint="eastAsia"/>
          <w:sz w:val="32"/>
          <w:szCs w:val="32"/>
          <w:lang w:val="en-US" w:eastAsia="zh-CN"/>
        </w:rPr>
        <w:t>818324</w:t>
      </w:r>
      <w:r>
        <w:rPr>
          <w:rFonts w:ascii="仿宋_GB2312" w:eastAsia="仿宋_GB2312" w:hint="eastAsia"/>
          <w:sz w:val="32"/>
          <w:szCs w:val="32"/>
        </w:rPr>
        <w:t>.00元，比201</w:t>
      </w:r>
      <w:r>
        <w:rPr>
          <w:rFonts w:ascii="仿宋_GB2312" w:eastAsia="仿宋_GB2312" w:hint="eastAsia"/>
          <w:sz w:val="32"/>
          <w:szCs w:val="32"/>
          <w:lang w:val="en-US" w:eastAsia="zh-CN"/>
        </w:rPr>
        <w:t>9</w:t>
      </w:r>
      <w:r>
        <w:rPr>
          <w:rFonts w:ascii="仿宋_GB2312" w:eastAsia="仿宋_GB2312" w:hint="eastAsia"/>
          <w:sz w:val="32"/>
          <w:szCs w:val="32"/>
        </w:rPr>
        <w:t>年收支预算总数增加</w:t>
      </w:r>
      <w:r>
        <w:rPr>
          <w:rFonts w:ascii="仿宋_GB2312" w:eastAsia="仿宋_GB2312" w:hint="eastAsia"/>
          <w:sz w:val="32"/>
          <w:szCs w:val="32"/>
          <w:lang w:val="en-US" w:eastAsia="zh-CN"/>
        </w:rPr>
        <w:t>22994</w:t>
      </w:r>
      <w:r>
        <w:rPr>
          <w:rFonts w:ascii="仿宋_GB2312" w:eastAsia="仿宋_GB2312" w:hint="eastAsia"/>
          <w:sz w:val="32"/>
          <w:szCs w:val="32"/>
        </w:rPr>
        <w:t>.00元，主要原因是正常增资导致人员经费增加。</w:t>
      </w:r>
    </w:p>
    <w:p>
      <w:pPr>
        <w:numPr>
          <w:ilvl w:val="0"/>
          <w:numId w:val="6"/>
        </w:numPr>
        <w:rPr>
          <w:rFonts w:ascii="楷体" w:eastAsia="楷体" w:cs="楷体" w:hint="eastAsia"/>
          <w:b/>
          <w:sz w:val="32"/>
          <w:szCs w:val="32"/>
        </w:rPr>
      </w:pPr>
      <w:r>
        <w:rPr>
          <w:rFonts w:ascii="楷体" w:eastAsia="楷体" w:cs="楷体" w:hint="eastAsia"/>
          <w:b/>
          <w:sz w:val="32"/>
          <w:szCs w:val="32"/>
        </w:rPr>
        <w:t>收入预算情况</w:t>
      </w:r>
    </w:p>
    <w:p>
      <w:pPr>
        <w:ind w:firstLineChars="200" w:firstLine="640"/>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年收入预算</w:t>
      </w:r>
      <w:r>
        <w:rPr>
          <w:rFonts w:ascii="仿宋_GB2312" w:eastAsia="仿宋_GB2312" w:hint="eastAsia"/>
          <w:sz w:val="32"/>
          <w:szCs w:val="32"/>
          <w:lang w:val="en-US" w:eastAsia="zh-CN"/>
        </w:rPr>
        <w:t>818324</w:t>
      </w:r>
      <w:r>
        <w:rPr>
          <w:rFonts w:ascii="仿宋_GB2312" w:eastAsia="仿宋_GB2312" w:hint="eastAsia"/>
          <w:sz w:val="32"/>
          <w:szCs w:val="32"/>
        </w:rPr>
        <w:t>.00元；一般公共预算拨款收入</w:t>
      </w:r>
      <w:r>
        <w:rPr>
          <w:rFonts w:ascii="仿宋_GB2312" w:eastAsia="仿宋_GB2312" w:hint="eastAsia"/>
          <w:sz w:val="32"/>
          <w:szCs w:val="32"/>
          <w:lang w:val="en-US" w:eastAsia="zh-CN"/>
        </w:rPr>
        <w:t>818324</w:t>
      </w:r>
      <w:r>
        <w:rPr>
          <w:rFonts w:ascii="仿宋_GB2312" w:eastAsia="仿宋_GB2312" w:hint="eastAsia"/>
          <w:sz w:val="32"/>
          <w:szCs w:val="32"/>
        </w:rPr>
        <w:t>.00元，占100%。</w:t>
      </w:r>
    </w:p>
    <w:p>
      <w:pPr>
        <w:numPr>
          <w:ilvl w:val="0"/>
          <w:numId w:val="6"/>
        </w:numPr>
        <w:rPr>
          <w:rFonts w:ascii="楷体" w:eastAsia="楷体" w:cs="楷体" w:hint="eastAsia"/>
          <w:b/>
          <w:sz w:val="32"/>
          <w:szCs w:val="32"/>
        </w:rPr>
      </w:pPr>
      <w:r>
        <w:rPr>
          <w:rFonts w:ascii="楷体" w:eastAsia="楷体" w:cs="楷体" w:hint="eastAsia"/>
          <w:b/>
          <w:sz w:val="32"/>
          <w:szCs w:val="32"/>
        </w:rPr>
        <w:t>支出预算情况</w:t>
      </w:r>
    </w:p>
    <w:p>
      <w:pPr>
        <w:ind w:firstLineChars="200" w:firstLine="640"/>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年支出预算</w:t>
      </w:r>
      <w:r>
        <w:rPr>
          <w:rFonts w:ascii="仿宋_GB2312" w:eastAsia="仿宋_GB2312" w:hint="eastAsia"/>
          <w:sz w:val="32"/>
          <w:szCs w:val="32"/>
          <w:lang w:val="en-US" w:eastAsia="zh-CN"/>
        </w:rPr>
        <w:t>818324</w:t>
      </w:r>
      <w:r>
        <w:rPr>
          <w:rFonts w:ascii="仿宋_GB2312" w:eastAsia="仿宋_GB2312" w:hint="eastAsia"/>
          <w:sz w:val="32"/>
          <w:szCs w:val="32"/>
        </w:rPr>
        <w:t>.00元，其中：基本支出</w:t>
      </w:r>
      <w:r>
        <w:rPr>
          <w:rFonts w:ascii="仿宋_GB2312" w:eastAsia="仿宋_GB2312" w:hint="eastAsia"/>
          <w:sz w:val="32"/>
          <w:szCs w:val="32"/>
          <w:lang w:val="en-US" w:eastAsia="zh-CN"/>
        </w:rPr>
        <w:t>818324</w:t>
      </w:r>
      <w:r>
        <w:rPr>
          <w:rFonts w:ascii="仿宋_GB2312" w:eastAsia="仿宋_GB2312" w:hint="eastAsia"/>
          <w:sz w:val="32"/>
          <w:szCs w:val="32"/>
        </w:rPr>
        <w:t>.00元，占100%。</w:t>
      </w:r>
    </w:p>
    <w:p>
      <w:pPr>
        <w:numPr>
          <w:ilvl w:val="0"/>
          <w:numId w:val="7"/>
        </w:numPr>
        <w:rPr>
          <w:rFonts w:ascii="黑体" w:eastAsia="黑体" w:cs="黑体" w:hint="eastAsia"/>
          <w:b/>
          <w:sz w:val="32"/>
          <w:szCs w:val="32"/>
        </w:rPr>
      </w:pPr>
      <w:r>
        <w:rPr>
          <w:rFonts w:ascii="黑体" w:eastAsia="黑体" w:cs="黑体" w:hint="eastAsia"/>
          <w:b/>
          <w:sz w:val="32"/>
          <w:szCs w:val="32"/>
        </w:rPr>
        <w:t>财政拨款收支预算情况说明</w:t>
      </w:r>
    </w:p>
    <w:p>
      <w:pPr>
        <w:ind w:firstLineChars="200" w:firstLine="640"/>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年财政拨款收支总预算</w:t>
      </w:r>
      <w:r>
        <w:rPr>
          <w:rFonts w:ascii="仿宋_GB2312" w:eastAsia="仿宋_GB2312" w:hint="eastAsia"/>
          <w:sz w:val="32"/>
          <w:szCs w:val="32"/>
          <w:lang w:val="en-US" w:eastAsia="zh-CN"/>
        </w:rPr>
        <w:t>818324</w:t>
      </w:r>
      <w:r>
        <w:rPr>
          <w:rFonts w:ascii="仿宋_GB2312" w:eastAsia="仿宋_GB2312" w:hint="eastAsia"/>
          <w:sz w:val="32"/>
          <w:szCs w:val="32"/>
        </w:rPr>
        <w:t>.00元，比201</w:t>
      </w:r>
      <w:r>
        <w:rPr>
          <w:rFonts w:ascii="仿宋_GB2312" w:eastAsia="仿宋_GB2312" w:hint="eastAsia"/>
          <w:sz w:val="32"/>
          <w:szCs w:val="32"/>
          <w:lang w:val="en-US" w:eastAsia="zh-CN"/>
        </w:rPr>
        <w:t>9</w:t>
      </w:r>
      <w:r>
        <w:rPr>
          <w:rFonts w:ascii="仿宋_GB2312" w:eastAsia="仿宋_GB2312" w:hint="eastAsia"/>
          <w:sz w:val="32"/>
          <w:szCs w:val="32"/>
        </w:rPr>
        <w:t>年报收支预算总数增加</w:t>
      </w:r>
      <w:r>
        <w:rPr>
          <w:rFonts w:ascii="仿宋_GB2312" w:eastAsia="仿宋_GB2312" w:hint="eastAsia"/>
          <w:sz w:val="32"/>
          <w:szCs w:val="32"/>
          <w:lang w:val="en-US" w:eastAsia="zh-CN"/>
        </w:rPr>
        <w:t>22994</w:t>
      </w:r>
      <w:r>
        <w:rPr>
          <w:rFonts w:ascii="仿宋_GB2312" w:eastAsia="仿宋_GB2312" w:hint="eastAsia"/>
          <w:sz w:val="32"/>
          <w:szCs w:val="32"/>
        </w:rPr>
        <w:t>.00元，主要原因：正常增资导致人员经费增加。</w:t>
      </w:r>
    </w:p>
    <w:p>
      <w:pPr>
        <w:ind w:firstLineChars="200" w:firstLine="640"/>
        <w:rPr>
          <w:rFonts w:ascii="仿宋_GB2312" w:eastAsia="仿宋_GB2312" w:hint="eastAsia"/>
          <w:sz w:val="32"/>
          <w:szCs w:val="32"/>
        </w:rPr>
      </w:pPr>
      <w:r>
        <w:rPr>
          <w:rFonts w:ascii="仿宋_GB2312" w:eastAsia="仿宋_GB2312" w:hint="eastAsia"/>
          <w:sz w:val="32"/>
          <w:szCs w:val="32"/>
        </w:rPr>
        <w:t>收入包括：本年一般公共预算拨款收入</w:t>
      </w:r>
      <w:r>
        <w:rPr>
          <w:rFonts w:ascii="仿宋_GB2312" w:eastAsia="仿宋_GB2312" w:hint="eastAsia"/>
          <w:sz w:val="32"/>
          <w:szCs w:val="32"/>
          <w:lang w:val="en-US" w:eastAsia="zh-CN"/>
        </w:rPr>
        <w:t>818324</w:t>
      </w:r>
      <w:r>
        <w:rPr>
          <w:rFonts w:ascii="仿宋_GB2312" w:eastAsia="仿宋_GB2312" w:hint="eastAsia"/>
          <w:sz w:val="32"/>
          <w:szCs w:val="32"/>
        </w:rPr>
        <w:t>.00元。</w:t>
      </w:r>
    </w:p>
    <w:p>
      <w:pPr>
        <w:ind w:firstLineChars="200" w:firstLine="640"/>
        <w:rPr>
          <w:rFonts w:ascii="仿宋_GB2312" w:eastAsia="仿宋_GB2312" w:hint="eastAsia"/>
          <w:sz w:val="32"/>
          <w:szCs w:val="32"/>
        </w:rPr>
      </w:pPr>
      <w:r>
        <w:rPr>
          <w:rFonts w:ascii="仿宋_GB2312" w:eastAsia="仿宋_GB2312" w:hint="eastAsia"/>
          <w:sz w:val="32"/>
          <w:szCs w:val="32"/>
        </w:rPr>
        <w:t>支出包括：一般公共服务支出</w:t>
      </w:r>
      <w:r>
        <w:rPr>
          <w:rFonts w:ascii="仿宋_GB2312" w:eastAsia="仿宋_GB2312" w:hint="eastAsia"/>
          <w:sz w:val="32"/>
          <w:szCs w:val="32"/>
          <w:lang w:val="en-US" w:eastAsia="zh-CN"/>
        </w:rPr>
        <w:t>576067</w:t>
      </w:r>
      <w:r>
        <w:rPr>
          <w:rFonts w:ascii="仿宋_GB2312" w:eastAsia="仿宋_GB2312" w:hint="eastAsia"/>
          <w:sz w:val="32"/>
          <w:szCs w:val="32"/>
        </w:rPr>
        <w:t>.00元，社会保障和就业支出</w:t>
      </w:r>
      <w:r>
        <w:rPr>
          <w:rFonts w:ascii="仿宋_GB2312" w:eastAsia="仿宋_GB2312" w:hint="eastAsia"/>
          <w:sz w:val="32"/>
          <w:szCs w:val="32"/>
          <w:lang w:val="en-US" w:eastAsia="zh-CN"/>
        </w:rPr>
        <w:t>116241</w:t>
      </w:r>
      <w:r>
        <w:rPr>
          <w:rFonts w:ascii="仿宋_GB2312" w:eastAsia="仿宋_GB2312" w:hint="eastAsia"/>
          <w:sz w:val="32"/>
          <w:szCs w:val="32"/>
        </w:rPr>
        <w:t>.00元，卫生健康支出</w:t>
      </w:r>
      <w:r>
        <w:rPr>
          <w:rFonts w:ascii="仿宋_GB2312" w:eastAsia="仿宋_GB2312" w:hint="eastAsia"/>
          <w:sz w:val="32"/>
          <w:szCs w:val="32"/>
          <w:lang w:val="en-US" w:eastAsia="zh-CN"/>
        </w:rPr>
        <w:t>42964</w:t>
      </w:r>
      <w:r>
        <w:rPr>
          <w:rFonts w:ascii="仿宋_GB2312" w:eastAsia="仿宋_GB2312" w:hint="eastAsia"/>
          <w:sz w:val="32"/>
          <w:szCs w:val="32"/>
        </w:rPr>
        <w:t>.00元，住房保障支出</w:t>
      </w:r>
      <w:r>
        <w:rPr>
          <w:rFonts w:ascii="仿宋_GB2312" w:eastAsia="仿宋_GB2312" w:hint="eastAsia"/>
          <w:sz w:val="32"/>
          <w:szCs w:val="32"/>
          <w:lang w:val="en-US" w:eastAsia="zh-CN"/>
        </w:rPr>
        <w:t>83052</w:t>
      </w:r>
      <w:r>
        <w:rPr>
          <w:rFonts w:ascii="仿宋_GB2312" w:eastAsia="仿宋_GB2312" w:hint="eastAsia"/>
          <w:sz w:val="32"/>
          <w:szCs w:val="32"/>
        </w:rPr>
        <w:t>.00元。</w:t>
      </w:r>
    </w:p>
    <w:p>
      <w:pPr>
        <w:numPr>
          <w:ilvl w:val="0"/>
          <w:numId w:val="7"/>
        </w:numPr>
        <w:rPr>
          <w:rFonts w:ascii="黑体" w:eastAsia="黑体" w:cs="黑体" w:hint="eastAsia"/>
          <w:b/>
          <w:sz w:val="32"/>
          <w:szCs w:val="32"/>
        </w:rPr>
      </w:pPr>
      <w:r>
        <w:rPr>
          <w:rFonts w:ascii="黑体" w:eastAsia="黑体" w:cs="黑体" w:hint="eastAsia"/>
          <w:b/>
          <w:sz w:val="32"/>
          <w:szCs w:val="32"/>
        </w:rPr>
        <w:t>一般公共预算当年拨款情况说明</w:t>
      </w:r>
    </w:p>
    <w:p>
      <w:pPr>
        <w:numPr>
          <w:ilvl w:val="0"/>
          <w:numId w:val="8"/>
        </w:numPr>
        <w:ind w:left="0" w:firstLineChars="200" w:firstLine="640"/>
        <w:rPr>
          <w:rFonts w:ascii="楷体" w:eastAsia="楷体" w:cs="楷体" w:hint="eastAsia"/>
          <w:b/>
          <w:bCs/>
          <w:sz w:val="32"/>
          <w:szCs w:val="32"/>
        </w:rPr>
      </w:pPr>
      <w:r>
        <w:rPr>
          <w:rFonts w:ascii="楷体" w:eastAsia="楷体" w:cs="楷体" w:hint="eastAsia"/>
          <w:b/>
          <w:bCs/>
          <w:sz w:val="32"/>
          <w:szCs w:val="32"/>
        </w:rPr>
        <w:t>一般公共预算当年拨款规模变化情况</w:t>
      </w:r>
    </w:p>
    <w:p>
      <w:pPr>
        <w:ind w:firstLineChars="200" w:firstLine="640"/>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年一般公共预算当年拨款</w:t>
      </w:r>
      <w:r>
        <w:rPr>
          <w:rFonts w:ascii="仿宋_GB2312" w:eastAsia="仿宋_GB2312" w:hint="eastAsia"/>
          <w:sz w:val="32"/>
          <w:szCs w:val="32"/>
          <w:lang w:val="en-US" w:eastAsia="zh-CN"/>
        </w:rPr>
        <w:t>818324</w:t>
      </w:r>
      <w:r>
        <w:rPr>
          <w:rFonts w:ascii="仿宋_GB2312" w:eastAsia="仿宋_GB2312" w:hint="eastAsia"/>
          <w:sz w:val="32"/>
          <w:szCs w:val="32"/>
        </w:rPr>
        <w:t>.00 元,比201</w:t>
      </w:r>
      <w:r>
        <w:rPr>
          <w:rFonts w:ascii="仿宋_GB2312" w:eastAsia="仿宋_GB2312" w:hint="eastAsia"/>
          <w:sz w:val="32"/>
          <w:szCs w:val="32"/>
          <w:lang w:val="en-US" w:eastAsia="zh-CN"/>
        </w:rPr>
        <w:t>9</w:t>
      </w:r>
      <w:r>
        <w:rPr>
          <w:rFonts w:ascii="仿宋_GB2312" w:eastAsia="仿宋_GB2312" w:hint="eastAsia"/>
          <w:sz w:val="32"/>
          <w:szCs w:val="32"/>
        </w:rPr>
        <w:t>年预算总数增加</w:t>
      </w:r>
      <w:r>
        <w:rPr>
          <w:rFonts w:ascii="仿宋_GB2312" w:eastAsia="仿宋_GB2312" w:hint="eastAsia"/>
          <w:sz w:val="32"/>
          <w:szCs w:val="32"/>
          <w:lang w:val="en-US" w:eastAsia="zh-CN"/>
        </w:rPr>
        <w:t>22994</w:t>
      </w:r>
      <w:r>
        <w:rPr>
          <w:rFonts w:ascii="仿宋_GB2312" w:eastAsia="仿宋_GB2312" w:hint="eastAsia"/>
          <w:sz w:val="32"/>
          <w:szCs w:val="32"/>
        </w:rPr>
        <w:t>.00元，主要原因:</w:t>
      </w:r>
      <w:r>
        <w:rPr>
          <w:rFonts w:ascii="仿宋_GB2312" w:eastAsia="仿宋_GB2312" w:hint="eastAsia"/>
          <w:sz w:val="32"/>
          <w:szCs w:val="32"/>
        </w:rPr>
        <w:t xml:space="preserve"> 正常增资导致人员经费增加</w:t>
      </w:r>
      <w:r>
        <w:rPr>
          <w:rFonts w:ascii="仿宋_GB2312" w:eastAsia="仿宋_GB2312" w:hint="eastAsia"/>
          <w:sz w:val="32"/>
          <w:szCs w:val="32"/>
        </w:rPr>
        <w:t>。</w:t>
      </w:r>
    </w:p>
    <w:p>
      <w:pPr>
        <w:numPr>
          <w:ilvl w:val="0"/>
          <w:numId w:val="8"/>
        </w:numPr>
        <w:ind w:left="0" w:firstLineChars="200" w:firstLine="640"/>
        <w:rPr>
          <w:rFonts w:ascii="楷体" w:eastAsia="楷体" w:cs="楷体" w:hint="eastAsia"/>
          <w:b/>
          <w:bCs/>
          <w:sz w:val="32"/>
          <w:szCs w:val="32"/>
        </w:rPr>
      </w:pPr>
      <w:r>
        <w:rPr>
          <w:rFonts w:ascii="楷体" w:eastAsia="楷体" w:cs="楷体" w:hint="eastAsia"/>
          <w:b/>
          <w:bCs/>
          <w:sz w:val="32"/>
          <w:szCs w:val="32"/>
        </w:rPr>
        <w:t>一般公共预算当年拨款结构情况</w:t>
      </w:r>
    </w:p>
    <w:p>
      <w:pPr>
        <w:ind w:firstLineChars="200" w:firstLine="640"/>
        <w:rPr>
          <w:rFonts w:ascii="仿宋_GB2312" w:eastAsia="仿宋_GB2312"/>
          <w:sz w:val="32"/>
          <w:szCs w:val="32"/>
        </w:rPr>
      </w:pPr>
      <w:r>
        <w:rPr>
          <w:rFonts w:ascii="仿宋_GB2312" w:eastAsia="仿宋_GB2312" w:hint="eastAsia"/>
          <w:sz w:val="32"/>
          <w:szCs w:val="32"/>
        </w:rPr>
        <w:t>一般公共服务支出</w:t>
      </w:r>
      <w:r>
        <w:rPr>
          <w:rFonts w:ascii="仿宋_GB2312" w:eastAsia="仿宋_GB2312" w:hint="eastAsia"/>
          <w:sz w:val="32"/>
          <w:szCs w:val="32"/>
          <w:lang w:val="en-US" w:eastAsia="zh-CN"/>
        </w:rPr>
        <w:t>576067</w:t>
      </w:r>
      <w:r>
        <w:rPr>
          <w:rFonts w:ascii="仿宋_GB2312" w:eastAsia="仿宋_GB2312" w:hint="eastAsia"/>
          <w:sz w:val="32"/>
          <w:szCs w:val="32"/>
        </w:rPr>
        <w:t>.00 元，占</w:t>
      </w:r>
      <w:r>
        <w:rPr>
          <w:rFonts w:ascii="仿宋_GB2312" w:eastAsia="仿宋_GB2312" w:hint="eastAsia"/>
          <w:sz w:val="32"/>
          <w:szCs w:val="32"/>
          <w:lang w:val="en-US" w:eastAsia="zh-CN"/>
        </w:rPr>
        <w:t>70.40</w:t>
      </w:r>
      <w:r>
        <w:rPr>
          <w:rFonts w:ascii="仿宋_GB2312" w:eastAsia="仿宋_GB2312" w:hint="eastAsia"/>
          <w:sz w:val="32"/>
          <w:szCs w:val="32"/>
        </w:rPr>
        <w:t>%；社会保障和就业支出</w:t>
      </w:r>
      <w:r>
        <w:rPr>
          <w:rFonts w:ascii="仿宋_GB2312" w:eastAsia="仿宋_GB2312" w:hint="eastAsia"/>
          <w:sz w:val="32"/>
          <w:szCs w:val="32"/>
          <w:lang w:val="en-US" w:eastAsia="zh-CN"/>
        </w:rPr>
        <w:t>116241</w:t>
      </w:r>
      <w:r>
        <w:rPr>
          <w:rFonts w:ascii="仿宋_GB2312" w:eastAsia="仿宋_GB2312" w:hint="eastAsia"/>
          <w:sz w:val="32"/>
          <w:szCs w:val="32"/>
        </w:rPr>
        <w:t>.00元，占</w:t>
      </w:r>
      <w:r>
        <w:rPr>
          <w:rFonts w:ascii="仿宋_GB2312" w:eastAsia="仿宋_GB2312" w:hint="eastAsia"/>
          <w:sz w:val="32"/>
          <w:szCs w:val="32"/>
          <w:lang w:val="en-US" w:eastAsia="zh-CN"/>
        </w:rPr>
        <w:t>14.20</w:t>
      </w:r>
      <w:r>
        <w:rPr>
          <w:rFonts w:ascii="仿宋_GB2312" w:eastAsia="仿宋_GB2312" w:hint="eastAsia"/>
          <w:sz w:val="32"/>
          <w:szCs w:val="32"/>
        </w:rPr>
        <w:t xml:space="preserve"> %；</w:t>
      </w:r>
      <w:r>
        <w:rPr>
          <w:rFonts w:ascii="仿宋_GB2312" w:eastAsia="仿宋_GB2312" w:hint="eastAsia"/>
          <w:sz w:val="32"/>
          <w:szCs w:val="32"/>
        </w:rPr>
        <w:t>卫生健康</w:t>
      </w:r>
      <w:r>
        <w:rPr>
          <w:rFonts w:ascii="仿宋_GB2312" w:eastAsia="仿宋_GB2312" w:hint="eastAsia"/>
          <w:sz w:val="32"/>
          <w:szCs w:val="32"/>
        </w:rPr>
        <w:t>支出</w:t>
      </w:r>
      <w:r>
        <w:rPr>
          <w:rFonts w:ascii="仿宋_GB2312" w:eastAsia="仿宋_GB2312" w:hint="eastAsia"/>
          <w:sz w:val="32"/>
          <w:szCs w:val="32"/>
          <w:lang w:val="en-US" w:eastAsia="zh-CN"/>
        </w:rPr>
        <w:t>42964</w:t>
      </w:r>
      <w:r>
        <w:rPr>
          <w:rFonts w:ascii="仿宋_GB2312" w:eastAsia="仿宋_GB2312" w:hint="eastAsia"/>
          <w:sz w:val="32"/>
          <w:szCs w:val="32"/>
        </w:rPr>
        <w:t>.00元，占</w:t>
      </w:r>
      <w:r>
        <w:rPr>
          <w:rFonts w:ascii="仿宋_GB2312" w:eastAsia="仿宋_GB2312" w:hint="eastAsia"/>
          <w:sz w:val="32"/>
          <w:szCs w:val="32"/>
          <w:lang w:val="en-US" w:eastAsia="zh-CN"/>
        </w:rPr>
        <w:t>5.25</w:t>
      </w:r>
      <w:r>
        <w:rPr>
          <w:rFonts w:ascii="仿宋_GB2312" w:eastAsia="仿宋_GB2312" w:hint="eastAsia"/>
          <w:sz w:val="32"/>
          <w:szCs w:val="32"/>
        </w:rPr>
        <w:t>%；住房保障支出</w:t>
      </w:r>
      <w:r>
        <w:rPr>
          <w:rFonts w:ascii="仿宋_GB2312" w:eastAsia="仿宋_GB2312" w:hint="eastAsia"/>
          <w:sz w:val="32"/>
          <w:szCs w:val="32"/>
          <w:lang w:val="en-US" w:eastAsia="zh-CN"/>
        </w:rPr>
        <w:t>83052</w:t>
      </w:r>
      <w:r>
        <w:rPr>
          <w:rFonts w:ascii="仿宋_GB2312" w:eastAsia="仿宋_GB2312" w:hint="eastAsia"/>
          <w:sz w:val="32"/>
          <w:szCs w:val="32"/>
        </w:rPr>
        <w:t>.00元，占</w:t>
      </w:r>
      <w:r>
        <w:rPr>
          <w:rFonts w:ascii="仿宋_GB2312" w:eastAsia="仿宋_GB2312" w:hint="eastAsia"/>
          <w:sz w:val="32"/>
          <w:szCs w:val="32"/>
          <w:lang w:val="en-US" w:eastAsia="zh-CN"/>
        </w:rPr>
        <w:t>10.15</w:t>
      </w:r>
      <w:r>
        <w:rPr>
          <w:rFonts w:ascii="仿宋_GB2312" w:eastAsia="仿宋_GB2312" w:hint="eastAsia"/>
          <w:sz w:val="32"/>
          <w:szCs w:val="32"/>
        </w:rPr>
        <w:t>%。</w:t>
      </w:r>
    </w:p>
    <w:p>
      <w:pPr>
        <w:ind w:firstLine="435"/>
        <w:rPr>
          <w:rFonts w:ascii="楷体" w:eastAsia="楷体" w:cs="楷体" w:hint="eastAsia"/>
          <w:b/>
          <w:bCs/>
          <w:sz w:val="32"/>
          <w:szCs w:val="32"/>
        </w:rPr>
      </w:pPr>
      <w:r>
        <w:rPr>
          <w:rFonts w:ascii="楷体" w:eastAsia="楷体" w:cs="楷体" w:hint="eastAsia"/>
          <w:b/>
          <w:bCs/>
          <w:sz w:val="32"/>
          <w:szCs w:val="32"/>
        </w:rPr>
        <w:t>（三）一般公共预算当年拨款具体使用情况</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1.一般公共服务(201)群众团体事务(29)行政运行(01) 20</w:t>
      </w:r>
      <w:r>
        <w:rPr>
          <w:rFonts w:ascii="仿宋_GB2312" w:eastAsia="仿宋_GB2312" w:hint="eastAsia"/>
          <w:sz w:val="32"/>
          <w:szCs w:val="32"/>
          <w:lang w:val="en-US" w:eastAsia="zh-CN"/>
        </w:rPr>
        <w:t>20</w:t>
      </w:r>
      <w:r>
        <w:rPr>
          <w:rFonts w:ascii="仿宋_GB2312" w:eastAsia="仿宋_GB2312" w:hint="eastAsia"/>
          <w:sz w:val="32"/>
          <w:szCs w:val="32"/>
        </w:rPr>
        <w:t>年预算数为</w:t>
      </w:r>
      <w:r>
        <w:rPr>
          <w:rFonts w:ascii="仿宋_GB2312" w:eastAsia="仿宋_GB2312" w:hint="eastAsia"/>
          <w:sz w:val="32"/>
          <w:szCs w:val="32"/>
          <w:lang w:val="en-US" w:eastAsia="zh-CN"/>
        </w:rPr>
        <w:t>576067</w:t>
      </w:r>
      <w:r>
        <w:rPr>
          <w:rFonts w:ascii="仿宋_GB2312" w:eastAsia="仿宋_GB2312" w:hint="eastAsia"/>
          <w:sz w:val="32"/>
          <w:szCs w:val="32"/>
        </w:rPr>
        <w:t>.00元，主要用于 :单位20</w:t>
      </w:r>
      <w:r>
        <w:rPr>
          <w:rFonts w:ascii="仿宋_GB2312" w:eastAsia="仿宋_GB2312" w:hint="eastAsia"/>
          <w:sz w:val="32"/>
          <w:szCs w:val="32"/>
          <w:lang w:val="en-US" w:eastAsia="zh-CN"/>
        </w:rPr>
        <w:t>20</w:t>
      </w:r>
      <w:r>
        <w:rPr>
          <w:rFonts w:ascii="仿宋_GB2312" w:eastAsia="仿宋_GB2312" w:hint="eastAsia"/>
          <w:sz w:val="32"/>
          <w:szCs w:val="32"/>
        </w:rPr>
        <w:t>年的人员经费和日常公用经费等基本支出。</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2．社会保障和就业支出(208)行政事业单位离退休(05)机关事业单位基本养老保险缴费支出(05)20</w:t>
      </w:r>
      <w:r>
        <w:rPr>
          <w:rFonts w:ascii="仿宋_GB2312" w:eastAsia="仿宋_GB2312" w:hint="eastAsia"/>
          <w:sz w:val="32"/>
          <w:szCs w:val="32"/>
          <w:lang w:val="en-US" w:eastAsia="zh-CN"/>
        </w:rPr>
        <w:t>20</w:t>
      </w:r>
      <w:r>
        <w:rPr>
          <w:rFonts w:ascii="仿宋_GB2312" w:eastAsia="仿宋_GB2312" w:hint="eastAsia"/>
          <w:sz w:val="32"/>
          <w:szCs w:val="32"/>
        </w:rPr>
        <w:t>年预算数为</w:t>
      </w:r>
      <w:r>
        <w:rPr>
          <w:rFonts w:ascii="仿宋_GB2312" w:eastAsia="仿宋_GB2312" w:hint="eastAsia"/>
          <w:sz w:val="32"/>
          <w:szCs w:val="32"/>
          <w:lang w:val="en-US" w:eastAsia="zh-CN"/>
        </w:rPr>
        <w:t>77494</w:t>
      </w:r>
      <w:r>
        <w:rPr>
          <w:rFonts w:ascii="仿宋_GB2312" w:eastAsia="仿宋_GB2312" w:hint="eastAsia"/>
          <w:sz w:val="32"/>
          <w:szCs w:val="32"/>
        </w:rPr>
        <w:t>.00元，主要用于单位缴纳基本养老保险费。</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3．社会保障和就业支出(208)行政事业单位离退休(05)机关事业单位职业年金缴费支出(06) 20</w:t>
      </w:r>
      <w:r>
        <w:rPr>
          <w:rFonts w:ascii="仿宋_GB2312" w:eastAsia="仿宋_GB2312" w:hint="eastAsia"/>
          <w:sz w:val="32"/>
          <w:szCs w:val="32"/>
          <w:lang w:val="en-US" w:eastAsia="zh-CN"/>
        </w:rPr>
        <w:t>20</w:t>
      </w:r>
      <w:r>
        <w:rPr>
          <w:rFonts w:ascii="仿宋_GB2312" w:eastAsia="仿宋_GB2312" w:hint="eastAsia"/>
          <w:sz w:val="32"/>
          <w:szCs w:val="32"/>
        </w:rPr>
        <w:t>年预算数为</w:t>
      </w:r>
      <w:r>
        <w:rPr>
          <w:rFonts w:ascii="仿宋_GB2312" w:eastAsia="仿宋_GB2312" w:hint="eastAsia"/>
          <w:sz w:val="32"/>
          <w:szCs w:val="32"/>
          <w:lang w:val="en-US" w:eastAsia="zh-CN"/>
        </w:rPr>
        <w:t>38747</w:t>
      </w:r>
      <w:r>
        <w:rPr>
          <w:rFonts w:ascii="仿宋_GB2312" w:eastAsia="仿宋_GB2312" w:hint="eastAsia"/>
          <w:sz w:val="32"/>
          <w:szCs w:val="32"/>
        </w:rPr>
        <w:t>.00元，主要用于单位缴纳职业年金。</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4．卫生健康支出(210)行政事业单位医疗(11)行政单位医疗(01) 2019年预算数为</w:t>
      </w:r>
      <w:r>
        <w:rPr>
          <w:rFonts w:ascii="仿宋_GB2312" w:eastAsia="仿宋_GB2312" w:hint="eastAsia"/>
          <w:sz w:val="32"/>
          <w:szCs w:val="32"/>
          <w:lang w:val="en-US" w:eastAsia="zh-CN"/>
        </w:rPr>
        <w:t>42964</w:t>
      </w:r>
      <w:r>
        <w:rPr>
          <w:rFonts w:ascii="仿宋_GB2312" w:eastAsia="仿宋_GB2312" w:hint="eastAsia"/>
          <w:sz w:val="32"/>
          <w:szCs w:val="32"/>
        </w:rPr>
        <w:t>.00元，主要用于行政单位缴纳基本医疗保险。</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5．住房保障(221)住房改革(02)住房公积金(01)）20</w:t>
      </w:r>
      <w:r>
        <w:rPr>
          <w:rFonts w:ascii="仿宋_GB2312" w:eastAsia="仿宋_GB2312" w:hint="eastAsia"/>
          <w:sz w:val="32"/>
          <w:szCs w:val="32"/>
          <w:lang w:val="en-US" w:eastAsia="zh-CN"/>
        </w:rPr>
        <w:t>20</w:t>
      </w:r>
      <w:r>
        <w:rPr>
          <w:rFonts w:ascii="仿宋_GB2312" w:eastAsia="仿宋_GB2312" w:hint="eastAsia"/>
          <w:sz w:val="32"/>
          <w:szCs w:val="32"/>
        </w:rPr>
        <w:t>年预算数为</w:t>
      </w:r>
      <w:r>
        <w:rPr>
          <w:rFonts w:ascii="仿宋_GB2312" w:eastAsia="仿宋_GB2312" w:hint="eastAsia"/>
          <w:sz w:val="32"/>
          <w:szCs w:val="32"/>
          <w:lang w:val="en-US" w:eastAsia="zh-CN"/>
        </w:rPr>
        <w:t>83052</w:t>
      </w:r>
      <w:r>
        <w:rPr>
          <w:rFonts w:ascii="仿宋_GB2312" w:eastAsia="仿宋_GB2312" w:hint="eastAsia"/>
          <w:sz w:val="32"/>
          <w:szCs w:val="32"/>
        </w:rPr>
        <w:t>.00元，主要用于单位为职工缴纳住房公积金。</w:t>
      </w:r>
    </w:p>
    <w:p>
      <w:pPr>
        <w:spacing w:line="560" w:lineRule="exact"/>
        <w:rPr>
          <w:rFonts w:ascii="黑体" w:eastAsia="黑体" w:cs="黑体" w:hint="eastAsia"/>
          <w:b/>
          <w:sz w:val="32"/>
          <w:szCs w:val="32"/>
        </w:rPr>
      </w:pPr>
      <w:r>
        <w:rPr>
          <w:rFonts w:ascii="黑体" w:eastAsia="黑体" w:cs="黑体" w:hint="eastAsia"/>
          <w:b/>
          <w:sz w:val="32"/>
          <w:szCs w:val="32"/>
        </w:rPr>
        <w:t>六、一般公共预算基本支出情况说明</w:t>
      </w:r>
    </w:p>
    <w:p>
      <w:pPr>
        <w:spacing w:line="560" w:lineRule="exact"/>
        <w:ind w:firstLineChars="200" w:firstLine="640"/>
      </w:pPr>
      <w:r>
        <w:rPr>
          <w:rFonts w:ascii="仿宋_GB2312" w:eastAsia="仿宋_GB2312" w:hint="eastAsia"/>
          <w:sz w:val="32"/>
          <w:szCs w:val="32"/>
        </w:rPr>
        <w:t>妇联20</w:t>
      </w:r>
      <w:r>
        <w:rPr>
          <w:rFonts w:ascii="仿宋_GB2312" w:eastAsia="仿宋_GB2312" w:hint="eastAsia"/>
          <w:sz w:val="32"/>
          <w:szCs w:val="32"/>
          <w:lang w:val="en-US" w:eastAsia="zh-CN"/>
        </w:rPr>
        <w:t>20</w:t>
      </w:r>
      <w:r>
        <w:rPr>
          <w:rFonts w:ascii="仿宋_GB2312" w:eastAsia="仿宋_GB2312" w:hint="eastAsia"/>
          <w:sz w:val="32"/>
          <w:szCs w:val="32"/>
        </w:rPr>
        <w:t>年一般公共预算基本支出</w:t>
      </w:r>
      <w:r>
        <w:rPr>
          <w:rFonts w:ascii="仿宋_GB2312" w:eastAsia="仿宋_GB2312" w:hint="eastAsia"/>
          <w:sz w:val="32"/>
          <w:szCs w:val="32"/>
          <w:lang w:val="en-US" w:eastAsia="zh-CN"/>
        </w:rPr>
        <w:t>818324</w:t>
      </w:r>
      <w:r>
        <w:rPr>
          <w:rFonts w:ascii="仿宋_GB2312" w:eastAsia="仿宋_GB2312" w:hint="eastAsia"/>
          <w:sz w:val="32"/>
          <w:szCs w:val="32"/>
        </w:rPr>
        <w:t>.00元，其中：人员经费</w:t>
      </w:r>
      <w:r>
        <w:rPr>
          <w:rFonts w:ascii="仿宋_GB2312" w:eastAsia="仿宋_GB2312" w:hint="eastAsia"/>
          <w:sz w:val="32"/>
          <w:szCs w:val="32"/>
          <w:lang w:val="en-US" w:eastAsia="zh-CN"/>
        </w:rPr>
        <w:t>735064</w:t>
      </w:r>
      <w:r>
        <w:rPr>
          <w:rFonts w:ascii="仿宋_GB2312" w:eastAsia="仿宋_GB2312" w:hint="eastAsia"/>
          <w:sz w:val="32"/>
          <w:szCs w:val="32"/>
        </w:rPr>
        <w:t>.00 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val="en-US" w:eastAsia="zh-CN"/>
        </w:rPr>
        <w:t>83260</w:t>
      </w:r>
      <w:r>
        <w:rPr>
          <w:rFonts w:ascii="仿宋_GB2312" w:eastAsia="仿宋_GB2312" w:hint="eastAsia"/>
          <w:sz w:val="32"/>
          <w:szCs w:val="32"/>
        </w:rPr>
        <w:t>.00元，主要包括：办公费、印刷费、手续费、水费、电费、邮电费、差旅费、维修（护）费、租赁费、会议费、培训费、劳务费、工会经费、福利费、其他交通工</w:t>
      </w:r>
      <w:r>
        <w:rPr>
          <w:rFonts w:ascii="仿宋_GB2312" w:eastAsia="仿宋_GB2312" w:hint="eastAsia"/>
          <w:sz w:val="32"/>
          <w:szCs w:val="32"/>
          <w:lang w:val="en-US" w:eastAsia="zh-CN"/>
        </w:rPr>
        <w:t xml:space="preserve"> </w:t>
      </w:r>
      <w:r>
        <w:rPr>
          <w:rFonts w:ascii="仿宋_GB2312" w:eastAsia="仿宋_GB2312" w:hint="eastAsia"/>
          <w:sz w:val="32"/>
          <w:szCs w:val="32"/>
        </w:rPr>
        <w:t>具运行维护费、其他商品和服务支出。</w:t>
      </w:r>
    </w:p>
    <w:p>
      <w:pPr>
        <w:spacing w:line="560" w:lineRule="exact"/>
        <w:rPr>
          <w:rFonts w:ascii="黑体" w:eastAsia="黑体" w:cs="黑体" w:hint="eastAsia"/>
          <w:b/>
          <w:sz w:val="32"/>
          <w:szCs w:val="32"/>
        </w:rPr>
      </w:pPr>
      <w:r>
        <w:rPr>
          <w:rFonts w:ascii="黑体" w:eastAsia="黑体" w:cs="黑体" w:hint="eastAsia"/>
          <w:b/>
          <w:sz w:val="32"/>
          <w:szCs w:val="32"/>
        </w:rPr>
        <w:t>七、“三公”经费财政拨款预算安排情况说明</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妇联20</w:t>
      </w:r>
      <w:r>
        <w:rPr>
          <w:rFonts w:ascii="仿宋_GB2312" w:eastAsia="仿宋_GB2312" w:hint="eastAsia"/>
          <w:sz w:val="32"/>
          <w:szCs w:val="32"/>
          <w:lang w:val="en-US" w:eastAsia="zh-CN"/>
        </w:rPr>
        <w:t>20</w:t>
      </w:r>
      <w:r>
        <w:rPr>
          <w:rFonts w:ascii="仿宋_GB2312" w:eastAsia="仿宋_GB2312" w:hint="eastAsia"/>
          <w:sz w:val="32"/>
          <w:szCs w:val="32"/>
        </w:rPr>
        <w:t>年</w:t>
      </w:r>
      <w:r>
        <w:rPr>
          <w:rFonts w:ascii="仿宋_GB2312" w:eastAsia="仿宋_GB2312"/>
          <w:sz w:val="32"/>
          <w:szCs w:val="32"/>
        </w:rPr>
        <w:t>“</w:t>
      </w:r>
      <w:r>
        <w:rPr>
          <w:rFonts w:ascii="仿宋_GB2312" w:eastAsia="仿宋_GB2312" w:hint="eastAsia"/>
          <w:sz w:val="32"/>
          <w:szCs w:val="32"/>
        </w:rPr>
        <w:t>三公</w:t>
      </w:r>
      <w:r>
        <w:rPr>
          <w:rFonts w:ascii="仿宋_GB2312" w:eastAsia="仿宋_GB2312"/>
          <w:sz w:val="32"/>
          <w:szCs w:val="32"/>
        </w:rPr>
        <w:t>”</w:t>
      </w:r>
      <w:r>
        <w:rPr>
          <w:rFonts w:ascii="仿宋_GB2312" w:eastAsia="仿宋_GB2312" w:hint="eastAsia"/>
          <w:sz w:val="32"/>
          <w:szCs w:val="32"/>
        </w:rPr>
        <w:t xml:space="preserve">经费财政拨款预算数 </w:t>
      </w:r>
      <w:r>
        <w:rPr>
          <w:rFonts w:ascii="仿宋_GB2312" w:eastAsia="仿宋_GB2312" w:hint="eastAsia"/>
          <w:sz w:val="32"/>
          <w:szCs w:val="32"/>
          <w:lang w:val="en-US" w:eastAsia="zh-CN"/>
        </w:rPr>
        <w:t>40960</w:t>
      </w:r>
      <w:r>
        <w:rPr>
          <w:rFonts w:ascii="仿宋_GB2312" w:eastAsia="仿宋_GB2312" w:hint="eastAsia"/>
          <w:sz w:val="32"/>
          <w:szCs w:val="32"/>
        </w:rPr>
        <w:t>.00元，其中：无因公出国（境）经费，公务接待费</w:t>
      </w:r>
      <w:r>
        <w:rPr>
          <w:rFonts w:ascii="仿宋_GB2312" w:eastAsia="仿宋_GB2312" w:hint="eastAsia"/>
          <w:sz w:val="32"/>
          <w:szCs w:val="32"/>
          <w:lang w:val="en-US" w:eastAsia="zh-CN"/>
        </w:rPr>
        <w:t>960</w:t>
      </w:r>
      <w:r>
        <w:rPr>
          <w:rFonts w:ascii="仿宋_GB2312" w:eastAsia="仿宋_GB2312" w:hint="eastAsia"/>
          <w:sz w:val="32"/>
          <w:szCs w:val="32"/>
        </w:rPr>
        <w:t>.00元，公务用车购置及运行维护费40000.00元。</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（一）20</w:t>
      </w:r>
      <w:r>
        <w:rPr>
          <w:rFonts w:ascii="仿宋_GB2312" w:eastAsia="仿宋_GB2312" w:hint="eastAsia"/>
          <w:sz w:val="32"/>
          <w:szCs w:val="32"/>
          <w:lang w:val="en-US" w:eastAsia="zh-CN"/>
        </w:rPr>
        <w:t>20</w:t>
      </w:r>
      <w:r>
        <w:rPr>
          <w:rFonts w:ascii="仿宋_GB2312" w:eastAsia="仿宋_GB2312" w:hint="eastAsia"/>
          <w:sz w:val="32"/>
          <w:szCs w:val="32"/>
        </w:rPr>
        <w:t>年公务接待费</w:t>
      </w:r>
      <w:r>
        <w:rPr>
          <w:rFonts w:ascii="仿宋_GB2312" w:eastAsia="仿宋_GB2312" w:hint="eastAsia"/>
          <w:sz w:val="32"/>
          <w:szCs w:val="32"/>
          <w:lang w:val="en-US" w:eastAsia="zh-CN"/>
        </w:rPr>
        <w:t>960</w:t>
      </w:r>
      <w:r>
        <w:rPr>
          <w:rFonts w:ascii="仿宋_GB2312" w:eastAsia="仿宋_GB2312" w:hint="eastAsia"/>
          <w:sz w:val="32"/>
          <w:szCs w:val="32"/>
        </w:rPr>
        <w:t>.00元，</w:t>
      </w:r>
      <w:r>
        <w:rPr>
          <w:rFonts w:ascii="仿宋_GB2312" w:eastAsia="仿宋_GB2312" w:hint="eastAsia"/>
          <w:sz w:val="32"/>
          <w:szCs w:val="32"/>
          <w:lang w:eastAsia="zh-CN"/>
        </w:rPr>
        <w:t>执行八项规定节约开支</w:t>
      </w:r>
      <w:r>
        <w:rPr>
          <w:rFonts w:ascii="仿宋_GB2312" w:eastAsia="仿宋_GB2312" w:hint="eastAsia"/>
          <w:sz w:val="32"/>
          <w:szCs w:val="32"/>
        </w:rPr>
        <w:t>。</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（二）20</w:t>
      </w:r>
      <w:r>
        <w:rPr>
          <w:rFonts w:ascii="仿宋_GB2312" w:eastAsia="仿宋_GB2312" w:hint="eastAsia"/>
          <w:sz w:val="32"/>
          <w:szCs w:val="32"/>
          <w:lang w:val="en-US" w:eastAsia="zh-CN"/>
        </w:rPr>
        <w:t>20</w:t>
      </w:r>
      <w:r>
        <w:rPr>
          <w:rFonts w:ascii="仿宋_GB2312" w:eastAsia="仿宋_GB2312" w:hint="eastAsia"/>
          <w:sz w:val="32"/>
          <w:szCs w:val="32"/>
        </w:rPr>
        <w:t>年无因公出国（境）经费。</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（三）20</w:t>
      </w:r>
      <w:r>
        <w:rPr>
          <w:rFonts w:ascii="仿宋_GB2312" w:eastAsia="仿宋_GB2312" w:hint="eastAsia"/>
          <w:sz w:val="32"/>
          <w:szCs w:val="32"/>
          <w:lang w:val="en-US" w:eastAsia="zh-CN"/>
        </w:rPr>
        <w:t>20</w:t>
      </w:r>
      <w:r>
        <w:rPr>
          <w:rFonts w:ascii="仿宋_GB2312" w:eastAsia="仿宋_GB2312" w:hint="eastAsia"/>
          <w:sz w:val="32"/>
          <w:szCs w:val="32"/>
        </w:rPr>
        <w:t>年公务用车购置及运行维护费40000.00  元，与上年持平。</w:t>
      </w:r>
    </w:p>
    <w:p>
      <w:pPr>
        <w:spacing w:line="560" w:lineRule="exact"/>
        <w:rPr>
          <w:rFonts w:ascii="黑体" w:eastAsia="黑体" w:hint="eastAsia"/>
          <w:b/>
          <w:sz w:val="32"/>
          <w:szCs w:val="32"/>
        </w:rPr>
      </w:pPr>
      <w:r>
        <w:rPr>
          <w:rFonts w:ascii="黑体" w:eastAsia="黑体" w:hint="eastAsia"/>
          <w:b/>
          <w:sz w:val="32"/>
          <w:szCs w:val="32"/>
        </w:rPr>
        <w:t>八、政府性基金预算支出情况说明</w:t>
      </w:r>
    </w:p>
    <w:p>
      <w:pPr>
        <w:ind w:firstLine="435"/>
        <w:rPr>
          <w:rFonts w:hint="eastAsia"/>
        </w:rPr>
      </w:pPr>
      <w:r>
        <w:rPr>
          <w:rFonts w:ascii="仿宋_GB2312" w:eastAsia="仿宋_GB2312" w:hint="eastAsia"/>
          <w:sz w:val="32"/>
          <w:szCs w:val="32"/>
        </w:rPr>
        <w:t>妇联20</w:t>
      </w:r>
      <w:r>
        <w:rPr>
          <w:rFonts w:ascii="仿宋_GB2312" w:eastAsia="仿宋_GB2312" w:hint="eastAsia"/>
          <w:sz w:val="32"/>
          <w:szCs w:val="32"/>
          <w:lang w:val="en-US" w:eastAsia="zh-CN"/>
        </w:rPr>
        <w:t>20</w:t>
      </w:r>
      <w:r>
        <w:rPr>
          <w:rFonts w:ascii="仿宋_GB2312" w:eastAsia="仿宋_GB2312" w:hint="eastAsia"/>
          <w:sz w:val="32"/>
          <w:szCs w:val="32"/>
        </w:rPr>
        <w:t>年无政府性基金预算拨款安排的支出</w:t>
      </w:r>
      <w:r>
        <w:rPr>
          <w:rFonts w:hint="eastAsia"/>
        </w:rPr>
        <w:t>。</w:t>
      </w:r>
    </w:p>
    <w:p>
      <w:pPr>
        <w:spacing w:line="560" w:lineRule="exact"/>
        <w:rPr>
          <w:rFonts w:ascii="黑体" w:eastAsia="黑体" w:hint="eastAsia"/>
          <w:b/>
          <w:sz w:val="32"/>
          <w:szCs w:val="32"/>
        </w:rPr>
      </w:pPr>
      <w:r>
        <w:rPr>
          <w:rFonts w:ascii="黑体" w:eastAsia="黑体" w:hint="eastAsia"/>
          <w:b/>
          <w:sz w:val="32"/>
          <w:szCs w:val="32"/>
        </w:rPr>
        <w:t>九、其他重要事项的情况说明</w:t>
      </w:r>
    </w:p>
    <w:p>
      <w:pPr>
        <w:spacing w:line="560" w:lineRule="exact"/>
        <w:ind w:firstLineChars="200" w:firstLine="640"/>
        <w:rPr>
          <w:rFonts w:ascii="楷体_GB2312" w:eastAsia="楷体_GB2312" w:cs="楷体_GB2312" w:hint="eastAsia"/>
          <w:b/>
          <w:bCs/>
          <w:sz w:val="32"/>
          <w:szCs w:val="32"/>
        </w:rPr>
      </w:pPr>
      <w:r>
        <w:rPr>
          <w:rFonts w:ascii="楷体_GB2312" w:eastAsia="楷体_GB2312" w:cs="楷体_GB2312" w:hint="eastAsia"/>
          <w:b/>
          <w:bCs/>
          <w:sz w:val="32"/>
          <w:szCs w:val="32"/>
        </w:rPr>
        <w:t>（一）机关运行经费</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妇联 20</w:t>
      </w:r>
      <w:r>
        <w:rPr>
          <w:rFonts w:ascii="仿宋_GB2312" w:eastAsia="仿宋_GB2312" w:hint="eastAsia"/>
          <w:sz w:val="32"/>
          <w:szCs w:val="32"/>
          <w:lang w:val="en-US" w:eastAsia="zh-CN"/>
        </w:rPr>
        <w:t>20</w:t>
      </w:r>
      <w:r>
        <w:rPr>
          <w:rFonts w:ascii="仿宋_GB2312" w:eastAsia="仿宋_GB2312" w:hint="eastAsia"/>
          <w:sz w:val="32"/>
          <w:szCs w:val="32"/>
        </w:rPr>
        <w:t xml:space="preserve">年机关运行经费财政拨款预算为 </w:t>
      </w:r>
      <w:r>
        <w:rPr>
          <w:rFonts w:ascii="仿宋_GB2312" w:eastAsia="仿宋_GB2312" w:hint="eastAsia"/>
          <w:sz w:val="32"/>
          <w:szCs w:val="32"/>
          <w:lang w:val="en-US" w:eastAsia="zh-CN"/>
        </w:rPr>
        <w:t>83260</w:t>
      </w:r>
      <w:r>
        <w:rPr>
          <w:rFonts w:ascii="仿宋_GB2312" w:eastAsia="仿宋_GB2312" w:hint="eastAsia"/>
          <w:sz w:val="32"/>
          <w:szCs w:val="32"/>
        </w:rPr>
        <w:t>.00 元。</w:t>
      </w:r>
    </w:p>
    <w:p>
      <w:pPr>
        <w:spacing w:line="560" w:lineRule="exact"/>
        <w:ind w:firstLineChars="200" w:firstLine="640"/>
        <w:rPr>
          <w:rFonts w:ascii="楷体_GB2312" w:eastAsia="楷体_GB2312" w:cs="楷体_GB2312" w:hint="eastAsia"/>
          <w:b/>
          <w:bCs/>
          <w:sz w:val="32"/>
          <w:szCs w:val="32"/>
        </w:rPr>
      </w:pPr>
      <w:r>
        <w:rPr>
          <w:rFonts w:ascii="楷体_GB2312" w:eastAsia="楷体_GB2312" w:cs="楷体_GB2312" w:hint="eastAsia"/>
          <w:b/>
          <w:bCs/>
          <w:sz w:val="32"/>
          <w:szCs w:val="32"/>
        </w:rPr>
        <w:t>（二）政府采购情况</w:t>
      </w:r>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年，妇联未安排政府采购预算。</w:t>
      </w:r>
    </w:p>
    <w:p>
      <w:pPr>
        <w:numPr>
          <w:ilvl w:val="0"/>
          <w:numId w:val="8"/>
        </w:numPr>
        <w:spacing w:line="560" w:lineRule="exact"/>
        <w:ind w:left="0" w:firstLineChars="200" w:firstLine="640"/>
        <w:rPr>
          <w:rFonts w:ascii="楷体_GB2312" w:eastAsia="楷体_GB2312" w:cs="楷体_GB2312" w:hint="eastAsia"/>
          <w:b/>
          <w:bCs/>
          <w:sz w:val="32"/>
          <w:szCs w:val="32"/>
        </w:rPr>
      </w:pPr>
      <w:r>
        <w:rPr>
          <w:rFonts w:ascii="楷体_GB2312" w:eastAsia="楷体_GB2312" w:cs="楷体_GB2312" w:hint="eastAsia"/>
          <w:b/>
          <w:bCs/>
          <w:sz w:val="32"/>
          <w:szCs w:val="32"/>
        </w:rPr>
        <w:t>国有资产占有使用情况</w:t>
      </w:r>
    </w:p>
    <w:p>
      <w:pPr>
        <w:spacing w:line="560" w:lineRule="exact"/>
        <w:ind w:firstLineChars="200" w:firstLine="640"/>
        <w:rPr>
          <w:rFonts w:hint="eastAsia"/>
        </w:rPr>
      </w:pPr>
      <w:r>
        <w:rPr>
          <w:rFonts w:ascii="仿宋_GB2312" w:eastAsia="仿宋_GB2312" w:hint="eastAsia"/>
          <w:sz w:val="32"/>
          <w:szCs w:val="32"/>
        </w:rPr>
        <w:t>妇联截止20</w:t>
      </w:r>
      <w:r>
        <w:rPr>
          <w:rFonts w:ascii="仿宋_GB2312" w:eastAsia="仿宋_GB2312" w:hint="eastAsia"/>
          <w:sz w:val="32"/>
          <w:szCs w:val="32"/>
          <w:lang w:val="en-US" w:eastAsia="zh-CN"/>
        </w:rPr>
        <w:t>19</w:t>
      </w:r>
      <w:r>
        <w:rPr>
          <w:rFonts w:ascii="仿宋_GB2312" w:eastAsia="仿宋_GB2312" w:hint="eastAsia"/>
          <w:sz w:val="32"/>
          <w:szCs w:val="32"/>
        </w:rPr>
        <w:t>年12月31日，固定资产总额</w:t>
      </w:r>
      <w:r>
        <w:rPr>
          <w:rFonts w:ascii="仿宋_GB2312" w:eastAsia="仿宋_GB2312" w:hint="eastAsia"/>
          <w:sz w:val="32"/>
          <w:szCs w:val="32"/>
          <w:lang w:val="en-US" w:eastAsia="zh-CN"/>
        </w:rPr>
        <w:t>402960</w:t>
      </w:r>
      <w:r>
        <w:rPr>
          <w:rFonts w:ascii="仿宋_GB2312" w:eastAsia="仿宋_GB2312" w:hint="eastAsia"/>
          <w:sz w:val="32"/>
          <w:szCs w:val="32"/>
        </w:rPr>
        <w:t>.0元，其中：公务用车1辆，价值242000.00元；其他固定资产</w:t>
      </w:r>
      <w:r>
        <w:rPr>
          <w:rFonts w:ascii="仿宋_GB2312" w:eastAsia="仿宋_GB2312" w:hint="eastAsia"/>
          <w:sz w:val="32"/>
          <w:szCs w:val="32"/>
          <w:lang w:val="en-US" w:eastAsia="zh-CN"/>
        </w:rPr>
        <w:t>160960</w:t>
      </w:r>
      <w:r>
        <w:rPr>
          <w:rFonts w:ascii="仿宋_GB2312" w:eastAsia="仿宋_GB2312" w:hint="eastAsia"/>
          <w:sz w:val="32"/>
          <w:szCs w:val="32"/>
        </w:rPr>
        <w:t>.00元。</w:t>
      </w:r>
    </w:p>
    <w:p>
      <w:pPr>
        <w:spacing w:line="56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（四）绩效目标设置情况</w:t>
      </w:r>
    </w:p>
    <w:p>
      <w:pPr>
        <w:spacing w:line="560" w:lineRule="exact"/>
        <w:ind w:firstLineChars="200" w:firstLine="640"/>
        <w:rPr>
          <w:rFonts w:ascii="黑体" w:eastAsia="黑体" w:hint="eastAsia"/>
          <w:b/>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年妇联未通用项目和专用项目均按要求实行绩效目标管理，涉及项目0个，一般公共预算当年拨款0元。</w:t>
      </w:r>
    </w:p>
    <w:p>
      <w:pPr>
        <w:spacing w:line="560" w:lineRule="exact"/>
        <w:rPr>
          <w:rFonts w:hint="eastAsia"/>
        </w:rPr>
      </w:pPr>
      <w:r>
        <w:rPr>
          <w:rFonts w:ascii="黑体" w:eastAsia="黑体" w:hint="eastAsia"/>
          <w:b/>
          <w:sz w:val="32"/>
          <w:szCs w:val="32"/>
        </w:rPr>
        <w:t>十、名词解释</w:t>
      </w:r>
    </w:p>
    <w:p>
      <w:pPr>
        <w:spacing w:line="560" w:lineRule="exact"/>
        <w:ind w:firstLineChars="200" w:firstLine="640"/>
        <w:rPr>
          <w:rFonts w:ascii="仿宋_GB2312" w:eastAsia="仿宋_GB2312"/>
          <w:sz w:val="32"/>
          <w:szCs w:val="32"/>
        </w:rPr>
      </w:pPr>
      <w:r>
        <w:rPr>
          <w:rFonts w:ascii="楷体" w:eastAsia="楷体" w:cs="楷体" w:hint="eastAsia"/>
          <w:b/>
          <w:sz w:val="32"/>
          <w:szCs w:val="32"/>
        </w:rPr>
        <w:t>（一）财政拨款收入：</w:t>
      </w:r>
      <w:r>
        <w:rPr>
          <w:rFonts w:ascii="仿宋_GB2312" w:eastAsia="仿宋_GB2312" w:hint="eastAsia"/>
          <w:sz w:val="32"/>
          <w:szCs w:val="32"/>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hint="eastAsia"/>
          <w:sz w:val="32"/>
          <w:szCs w:val="32"/>
        </w:rPr>
      </w:pPr>
      <w:r>
        <w:rPr>
          <w:rFonts w:ascii="楷体" w:eastAsia="楷体" w:cs="楷体" w:hint="eastAsia"/>
          <w:b/>
          <w:sz w:val="32"/>
          <w:szCs w:val="32"/>
        </w:rPr>
        <w:t>（二）事业收入：</w:t>
      </w:r>
      <w:r>
        <w:rPr>
          <w:rFonts w:ascii="仿宋_GB2312" w:eastAsia="仿宋_GB2312" w:hint="eastAsia"/>
          <w:sz w:val="32"/>
          <w:szCs w:val="32"/>
        </w:rPr>
        <w:t>指所属事业单位开展专业业务活动及辅助活动所取得的收入。</w:t>
      </w:r>
    </w:p>
    <w:p>
      <w:pPr>
        <w:spacing w:line="560" w:lineRule="exact"/>
        <w:ind w:firstLineChars="200" w:firstLine="640"/>
        <w:rPr>
          <w:rFonts w:ascii="仿宋_GB2312" w:eastAsia="仿宋_GB2312" w:hint="eastAsia"/>
          <w:sz w:val="32"/>
          <w:szCs w:val="32"/>
        </w:rPr>
      </w:pPr>
      <w:r>
        <w:rPr>
          <w:rFonts w:ascii="楷体" w:eastAsia="楷体" w:cs="楷体" w:hint="eastAsia"/>
          <w:b/>
          <w:sz w:val="32"/>
          <w:szCs w:val="32"/>
        </w:rPr>
        <w:t>（三）事业单位经营收入：</w:t>
      </w:r>
      <w:r>
        <w:rPr>
          <w:rFonts w:ascii="仿宋_GB2312" w:eastAsia="仿宋_GB2312" w:hint="eastAsia"/>
          <w:sz w:val="32"/>
          <w:szCs w:val="32"/>
        </w:rPr>
        <w:t>指所属事业单位在专业业务活动及其辅助活动之外开展非独立核算经营活动取得的收入。</w:t>
      </w:r>
    </w:p>
    <w:p>
      <w:pPr>
        <w:spacing w:line="560" w:lineRule="exact"/>
        <w:ind w:firstLineChars="200" w:firstLine="640"/>
        <w:rPr>
          <w:rFonts w:ascii="仿宋_GB2312" w:eastAsia="仿宋_GB2312" w:hint="eastAsia"/>
          <w:sz w:val="32"/>
          <w:szCs w:val="32"/>
        </w:rPr>
      </w:pPr>
      <w:r>
        <w:rPr>
          <w:rFonts w:ascii="楷体" w:eastAsia="楷体" w:cs="楷体" w:hint="eastAsia"/>
          <w:b/>
          <w:sz w:val="32"/>
          <w:szCs w:val="32"/>
        </w:rPr>
        <w:t>（四）其他收入：</w:t>
      </w:r>
      <w:r>
        <w:rPr>
          <w:rFonts w:ascii="仿宋_GB2312" w:eastAsia="仿宋_GB2312" w:hint="eastAsia"/>
          <w:sz w:val="32"/>
          <w:szCs w:val="32"/>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hint="eastAsia"/>
          <w:sz w:val="32"/>
          <w:szCs w:val="32"/>
        </w:rPr>
      </w:pPr>
      <w:r>
        <w:rPr>
          <w:rFonts w:ascii="楷体" w:eastAsia="楷体" w:cs="楷体" w:hint="eastAsia"/>
          <w:b/>
          <w:sz w:val="32"/>
          <w:szCs w:val="32"/>
        </w:rPr>
        <w:t>（五）用事业基金弥补收支差额：</w:t>
      </w:r>
      <w:r>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hint="eastAsia"/>
          <w:sz w:val="32"/>
          <w:szCs w:val="32"/>
        </w:rPr>
      </w:pPr>
      <w:r>
        <w:rPr>
          <w:rFonts w:ascii="楷体" w:eastAsia="楷体" w:cs="楷体" w:hint="eastAsia"/>
          <w:b/>
          <w:sz w:val="32"/>
          <w:szCs w:val="32"/>
        </w:rPr>
        <w:t>（六）上年结转</w:t>
      </w:r>
      <w:r>
        <w:rPr>
          <w:rFonts w:ascii="仿宋_GB2312" w:eastAsia="仿宋_GB2312" w:hint="eastAsia"/>
          <w:b/>
          <w:sz w:val="32"/>
          <w:szCs w:val="32"/>
        </w:rPr>
        <w:t>：</w:t>
      </w:r>
      <w:r>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rPr>
      </w:pPr>
      <w:r>
        <w:rPr>
          <w:rFonts w:ascii="楷体" w:eastAsia="楷体" w:cs="楷体" w:hint="eastAsia"/>
          <w:b/>
          <w:sz w:val="32"/>
          <w:szCs w:val="32"/>
        </w:rPr>
        <w:t>（七）基本支出：</w:t>
      </w:r>
      <w:r>
        <w:rPr>
          <w:rFonts w:ascii="仿宋_GB2312" w:eastAsia="仿宋_GB2312" w:hint="eastAsia"/>
          <w:sz w:val="32"/>
          <w:szCs w:val="32"/>
        </w:rPr>
        <w:t>指为保证机构正常运转，完成日常工作任务而发生的人员支出和公用支出。</w:t>
      </w:r>
      <w:r>
        <w:rPr>
          <w:rFonts w:ascii="仿宋_GB2312" w:eastAsia="仿宋_GB2312" w:hint="eastAsia"/>
          <w:sz w:val="32"/>
          <w:szCs w:val="32"/>
        </w:rPr>
        <w:br/>
      </w:r>
      <w:r>
        <w:rPr>
          <w:rFonts w:ascii="仿宋_GB2312" w:eastAsia="仿宋_GB2312" w:hint="eastAsia"/>
          <w:sz w:val="32"/>
          <w:szCs w:val="32"/>
        </w:rPr>
        <w:t>　</w:t>
      </w:r>
      <w:r>
        <w:rPr>
          <w:rFonts w:ascii="楷体" w:eastAsia="楷体" w:cs="楷体" w:hint="eastAsia"/>
          <w:sz w:val="32"/>
          <w:szCs w:val="32"/>
        </w:rPr>
        <w:t>　</w:t>
      </w:r>
      <w:r>
        <w:rPr>
          <w:rFonts w:ascii="楷体" w:eastAsia="楷体" w:cs="楷体" w:hint="eastAsia"/>
          <w:b/>
          <w:sz w:val="32"/>
          <w:szCs w:val="32"/>
        </w:rPr>
        <w:t>（八）项目支出：</w:t>
      </w:r>
      <w:r>
        <w:rPr>
          <w:rFonts w:ascii="仿宋_GB2312" w:eastAsia="仿宋_GB2312" w:hint="eastAsia"/>
          <w:sz w:val="32"/>
          <w:szCs w:val="32"/>
        </w:rPr>
        <w:t>指在基本支出之外为完成特定行政任务和事业发展目标所发生的支出。</w:t>
      </w:r>
      <w:r>
        <w:rPr>
          <w:rFonts w:ascii="仿宋_GB2312" w:eastAsia="仿宋_GB2312" w:hint="eastAsia"/>
          <w:sz w:val="32"/>
          <w:szCs w:val="32"/>
        </w:rPr>
        <w:br/>
      </w:r>
      <w:r>
        <w:rPr>
          <w:rFonts w:ascii="仿宋_GB2312" w:eastAsia="仿宋_GB2312" w:hint="eastAsia"/>
          <w:sz w:val="32"/>
          <w:szCs w:val="32"/>
        </w:rPr>
        <w:t>　　</w:t>
      </w:r>
      <w:r>
        <w:rPr>
          <w:rFonts w:ascii="楷体" w:eastAsia="楷体" w:cs="楷体"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100" w:firstLine="320"/>
        <w:rPr>
          <w:rFonts w:ascii="仿宋_GB2312" w:eastAsia="仿宋_GB2312"/>
          <w:sz w:val="13"/>
          <w:szCs w:val="13"/>
          <w:lang w:val="en-US" w:eastAsia="zh-CN"/>
        </w:rPr>
      </w:pPr>
      <w:r>
        <w:rPr>
          <w:rFonts w:ascii="仿宋_GB2312" w:eastAsia="仿宋_GB2312" w:hint="eastAsia"/>
          <w:sz w:val="32"/>
          <w:szCs w:val="32"/>
          <w:lang w:eastAsia="zh-CN"/>
        </w:rPr>
        <w:tab/>
      </w:r>
      <w:r>
        <w:rPr>
          <w:rFonts w:ascii="仿宋_GB2312" w:eastAsia="仿宋_GB2312" w:hint="eastAsia"/>
          <w:sz w:val="32"/>
          <w:szCs w:val="32"/>
          <w:lang w:eastAsia="zh-CN"/>
        </w:rPr>
        <w:t>附件：茂县妇女联合会</w:t>
      </w:r>
      <w:r>
        <w:rPr>
          <w:rFonts w:ascii="仿宋_GB2312" w:eastAsia="仿宋_GB2312" w:hint="eastAsia"/>
          <w:sz w:val="32"/>
          <w:szCs w:val="32"/>
          <w:lang w:val="en-US" w:eastAsia="zh-CN"/>
        </w:rPr>
        <w:t>2020年</w:t>
      </w:r>
      <w:r>
        <w:rPr>
          <w:rFonts w:ascii="仿宋_GB2312" w:eastAsia="仿宋_GB2312" w:hint="eastAsia"/>
          <w:sz w:val="32"/>
          <w:szCs w:val="32"/>
          <w:lang w:eastAsia="zh-CN"/>
        </w:rPr>
        <w:t>部门预算公开表</w:t>
      </w:r>
    </w:p>
    <w:p>
      <w:pPr>
        <w:tabs>
          <w:tab w:val="left" w:pos="1056"/>
        </w:tabs>
        <w:spacing w:line="560" w:lineRule="exact"/>
        <w:ind w:firstLineChars="200" w:firstLine="640"/>
        <w:jc w:val="left"/>
        <w:rPr>
          <w:rFonts w:ascii="仿宋_GB2312" w:eastAsia="仿宋_GB2312" w:hint="eastAsia"/>
          <w:sz w:val="32"/>
          <w:szCs w:val="32"/>
          <w:lang w:eastAsia="zh-CN"/>
        </w:rPr>
      </w:pPr>
    </w:p>
    <w:p>
      <w:pPr>
        <w:spacing w:line="560" w:lineRule="exact"/>
        <w:ind w:firstLineChars="200" w:firstLine="640"/>
        <w:jc w:val="right"/>
        <w:rPr>
          <w:rFonts w:ascii="仿宋_GB2312" w:eastAsia="仿宋_GB2312" w:hint="eastAsia"/>
          <w:sz w:val="32"/>
          <w:szCs w:val="32"/>
        </w:rPr>
      </w:pPr>
    </w:p>
    <w:p>
      <w:pPr>
        <w:spacing w:line="560" w:lineRule="exact"/>
        <w:jc w:val="right"/>
        <w:rPr>
          <w:rFonts w:ascii="仿宋_GB2312" w:eastAsia="仿宋_GB2312" w:hint="eastAsia"/>
          <w:sz w:val="32"/>
          <w:szCs w:val="32"/>
        </w:rPr>
      </w:pPr>
    </w:p>
    <w:p>
      <w:pPr>
        <w:spacing w:line="560" w:lineRule="exact"/>
        <w:jc w:val="center"/>
        <w:rPr>
          <w:rFonts w:ascii="仿宋_GB2312" w:eastAsia="仿宋_GB2312" w:hint="eastAsia"/>
          <w:sz w:val="32"/>
          <w:szCs w:val="32"/>
        </w:rPr>
      </w:pPr>
      <w:r>
        <w:rPr>
          <w:rFonts w:ascii="仿宋_GB2312" w:eastAsia="仿宋_GB2312" w:hint="eastAsia"/>
          <w:sz w:val="32"/>
          <w:szCs w:val="32"/>
          <w:lang w:val="en-US" w:eastAsia="zh-CN"/>
        </w:rPr>
        <w:t xml:space="preserve">                                   </w:t>
      </w:r>
      <w:r>
        <w:rPr>
          <w:rFonts w:ascii="仿宋_GB2312" w:eastAsia="仿宋_GB2312" w:hint="eastAsia"/>
          <w:sz w:val="32"/>
          <w:szCs w:val="32"/>
        </w:rPr>
        <w:t>茂县妇女联合会</w:t>
      </w:r>
    </w:p>
    <w:p>
      <w:pPr>
        <w:spacing w:line="560" w:lineRule="exact"/>
        <w:ind w:firstLineChars="200" w:firstLine="640"/>
        <w:jc w:val="right"/>
        <w:rPr>
          <w:rFonts w:ascii="仿宋_GB2312" w:eastAsia="仿宋_GB2312" w:hint="eastAsia"/>
          <w:sz w:val="32"/>
          <w:szCs w:val="32"/>
        </w:rPr>
      </w:pPr>
      <w:r>
        <w:rPr>
          <w:rFonts w:ascii="仿宋_GB2312" w:eastAsia="仿宋_GB2312" w:hint="eastAsia"/>
          <w:sz w:val="32"/>
          <w:szCs w:val="32"/>
        </w:rPr>
        <w:t>20</w:t>
      </w:r>
      <w:r>
        <w:rPr>
          <w:rFonts w:ascii="仿宋_GB2312" w:eastAsia="仿宋_GB2312" w:hint="eastAsia"/>
          <w:sz w:val="32"/>
          <w:szCs w:val="32"/>
          <w:lang w:val="en-US" w:eastAsia="zh-CN"/>
        </w:rPr>
        <w:t>20</w:t>
      </w:r>
      <w:r>
        <w:rPr>
          <w:rFonts w:ascii="仿宋_GB2312" w:eastAsia="仿宋_GB2312" w:hint="eastAsia"/>
          <w:sz w:val="32"/>
          <w:szCs w:val="32"/>
        </w:rPr>
        <w:t>年</w:t>
      </w:r>
      <w:r>
        <w:rPr>
          <w:rFonts w:ascii="仿宋_GB2312" w:eastAsia="仿宋_GB2312" w:hint="eastAsia"/>
          <w:sz w:val="32"/>
          <w:szCs w:val="32"/>
          <w:lang w:val="en-US" w:eastAsia="zh-CN"/>
        </w:rPr>
        <w:t>6</w:t>
      </w:r>
      <w:r>
        <w:rPr>
          <w:rFonts w:ascii="仿宋_GB2312" w:eastAsia="仿宋_GB2312" w:hint="eastAsia"/>
          <w:sz w:val="32"/>
          <w:szCs w:val="32"/>
        </w:rPr>
        <w:t>月</w:t>
      </w:r>
      <w:r>
        <w:rPr>
          <w:rFonts w:ascii="仿宋_GB2312" w:eastAsia="仿宋_GB2312" w:hint="eastAsia"/>
          <w:sz w:val="32"/>
          <w:szCs w:val="32"/>
          <w:lang w:val="en-US" w:eastAsia="zh-CN"/>
        </w:rPr>
        <w:t>16</w:t>
      </w:r>
      <w:r>
        <w:rPr>
          <w:rFonts w:ascii="仿宋_GB2312" w:eastAsia="仿宋_GB2312" w:hint="eastAsia"/>
          <w:sz w:val="32"/>
          <w:szCs w:val="32"/>
        </w:rPr>
        <w:t>日</w:t>
      </w:r>
    </w:p>
    <w:p>
      <w:pPr>
        <w:spacing w:line="560" w:lineRule="exact"/>
        <w:ind w:firstLineChars="100" w:firstLine="130"/>
        <w:rPr>
          <w:rFonts w:ascii="仿宋_GB2312" w:eastAsia="仿宋_GB2312"/>
          <w:sz w:val="13"/>
          <w:szCs w:val="13"/>
          <w:lang w:val="en-US" w:eastAsia="zh-CN"/>
        </w:rPr>
      </w:pP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楷体">
    <w:altName w:val="方正楷体_GBK"/>
    <w:panose1 w:val="02010609060101010101"/>
    <w:charset w:val="00"/>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Times New Roman">
    <w:altName w:val="Nimbus Roman No9 L"/>
    <w:panose1 w:val="00000000000000000000"/>
    <w:charset w:val="00"/>
    <w:family w:val="auto"/>
    <w:pitch w:val="variable"/>
    <w:sig w:usb0="00000000" w:usb1="00000000" w:usb2="00000000" w:usb3="00000000" w:csb0="00000000" w:csb1="00000000"/>
  </w:font>
  <w:font w:name="宋体">
    <w:altName w:val="方正书宋_GBK"/>
    <w:panose1 w:val="02010600030101010101"/>
    <w:charset w:val="86"/>
    <w:family w:val="auto"/>
    <w:pitch w:val="variable"/>
    <w:sig w:usb0="00000003" w:usb1="288F0000" w:usb2="0000000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right" w:y="1" w:anchorLock="0"/>
      <w:tabs>
        <w:tab w:val="clear" w:pos="4153"/>
        <w:tab w:val="clear" w:pos="8306"/>
        <w:tab w:val="center" w:pos="4153"/>
        <w:tab w:val="right" w:pos="8306"/>
      </w:tabs>
      <w:rPr>
        <w:rStyle w:val="17"/>
      </w:rPr>
    </w:pPr>
    <w:r>
      <w:fldChar w:fldCharType="begin"/>
    </w:r>
    <w:r>
      <w:rPr>
        <w:rStyle w:val="17"/>
      </w:rPr>
      <w:instrText xml:space="preserve">PAGE  </w:instrText>
    </w:r>
    <w:r>
      <w:fldChar w:fldCharType="separate"/>
    </w:r>
    <w:r>
      <w:rPr>
        <w:rStyle w:val="17"/>
        <w:lang w:val="en-US" w:eastAsia="zh-CN"/>
      </w:rPr>
      <w:t>7</w:t>
    </w:r>
    <w:r>
      <w:fldChar w:fldCharType="end"/>
    </w:r>
  </w:p>
  <w:p>
    <w:pPr>
      <w:pStyle w:val="15"/>
      <w:tabs>
        <w:tab w:val="clear" w:pos="4153"/>
        <w:tab w:val="clear" w:pos="8306"/>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right" w:y="1" w:anchorLock="0"/>
      <w:tabs>
        <w:tab w:val="clear" w:pos="4153"/>
        <w:tab w:val="clear" w:pos="8306"/>
        <w:tab w:val="center" w:pos="4153"/>
        <w:tab w:val="right" w:pos="8306"/>
      </w:tabs>
      <w:rPr>
        <w:rStyle w:val="17"/>
      </w:rPr>
    </w:pPr>
    <w:r>
      <w:fldChar w:fldCharType="begin"/>
    </w:r>
    <w:r>
      <w:rPr>
        <w:rStyle w:val="17"/>
      </w:rPr>
      <w:instrText xml:space="preserve">PAGE  </w:instrText>
    </w:r>
    <w:r>
      <w:fldChar w:fldCharType="separate"/>
    </w:r>
    <w:r>
      <w:rPr>
        <w:vanish/>
      </w:rPr>
      <w:t xml:space="preserve"> </w:t>
    </w:r>
    <w:r>
      <w:fldChar w:fldCharType="end"/>
    </w:r>
  </w:p>
  <w:p>
    <w:pPr>
      <w:pStyle w:val="15"/>
      <w:tabs>
        <w:tab w:val="clear" w:pos="4153"/>
        <w:tab w:val="clear" w:pos="8306"/>
        <w:tab w:val="center" w:pos="4153"/>
        <w:tab w:val="right" w:pos="8306"/>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BEE3B24"/>
    <w:multiLevelType w:val="multilevel"/>
    <w:tmpl w:val="7BEE3B24"/>
    <w:lvl w:ilvl="0">
      <w:start w:val="1"/>
      <w:numFmt w:val="japaneseCounting"/>
      <w:lvlRestart w:val="0"/>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223547F"/>
    <w:multiLevelType w:val="multilevel"/>
    <w:tmpl w:val="2223547F"/>
    <w:lvl w:ilvl="0">
      <w:start w:val="1"/>
      <w:numFmt w:val="japaneseCounting"/>
      <w:lvlRestart w:val="0"/>
      <w:lvlText w:val="（%1）"/>
      <w:lvlJc w:val="left"/>
      <w:pPr>
        <w:tabs>
          <w:tab w:val="num" w:pos="1440"/>
        </w:tabs>
        <w:ind w:left="1440" w:hanging="10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2D949A3"/>
    <w:multiLevelType w:val="multilevel"/>
    <w:tmpl w:val="42D949A3"/>
    <w:lvl w:ilvl="0">
      <w:start w:val="1"/>
      <w:numFmt w:val="japaneseCounting"/>
      <w:lvlRestart w:val="0"/>
      <w:lvlText w:val="（%1）"/>
      <w:lvlJc w:val="left"/>
      <w:pPr>
        <w:tabs>
          <w:tab w:val="num" w:pos="1440"/>
        </w:tabs>
        <w:ind w:left="1440" w:hanging="10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8536B71"/>
    <w:multiLevelType w:val="multilevel"/>
    <w:tmpl w:val="48536B71"/>
    <w:lvl w:ilvl="0">
      <w:start w:val="1"/>
      <w:numFmt w:val="japaneseCounting"/>
      <w:lvlRestart w:val="0"/>
      <w:lvlText w:val="（%1）"/>
      <w:lvlJc w:val="left"/>
      <w:pPr>
        <w:tabs>
          <w:tab w:val="num" w:pos="1440"/>
        </w:tabs>
        <w:ind w:left="1440" w:hanging="10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899C8075"/>
    <w:multiLevelType w:val="singleLevel"/>
    <w:tmpl w:val="899C8075"/>
    <w:lvl w:ilvl="0">
      <w:start w:val="1"/>
      <w:numFmt w:val="chineseCounting"/>
      <w:lvlRestart w:val="0"/>
      <w:suff w:val="nothing"/>
      <w:lvlText w:val="%1、"/>
      <w:lvlJc w:val="left"/>
      <w:pPr>
        <w:ind w:left="0" w:hanging="0"/>
      </w:pPr>
      <w:rPr>
        <w:rFonts w:hint="eastAsia"/>
      </w:rPr>
    </w:lvl>
  </w:abstractNum>
  <w:abstractNum w:abstractNumId="5">
    <w:nsid w:val="4AE81225"/>
    <w:multiLevelType w:val="singleLevel"/>
    <w:tmpl w:val="4AE81225"/>
    <w:lvl w:ilvl="0">
      <w:start w:val="1"/>
      <w:numFmt w:val="chineseCounting"/>
      <w:lvlRestart w:val="0"/>
      <w:suff w:val="nothing"/>
      <w:lvlText w:val="（%1）"/>
      <w:lvlJc w:val="left"/>
      <w:pPr>
        <w:ind w:left="0" w:hanging="0"/>
      </w:pPr>
      <w:rPr>
        <w:rFonts w:hint="eastAsia"/>
      </w:rPr>
    </w:lvl>
  </w:abstractNum>
  <w:abstractNum w:abstractNumId="6">
    <w:nsid w:val="1C031854"/>
    <w:multiLevelType w:val="singleLevel"/>
    <w:tmpl w:val="1C031854"/>
    <w:lvl w:ilvl="0">
      <w:start w:val="4"/>
      <w:numFmt w:val="chineseCounting"/>
      <w:lvlRestart w:val="0"/>
      <w:suff w:val="nothing"/>
      <w:lvlText w:val="%1、"/>
      <w:lvlJc w:val="left"/>
      <w:pPr>
        <w:ind w:left="0" w:hanging="0"/>
      </w:pPr>
      <w:rPr>
        <w:rFonts w:hint="eastAsia"/>
      </w:rPr>
    </w:lvl>
  </w:abstractNum>
  <w:abstractNum w:abstractNumId="7">
    <w:nsid w:val="3C91BC6F"/>
    <w:multiLevelType w:val="singleLevel"/>
    <w:tmpl w:val="3C91BC6F"/>
    <w:lvl w:ilvl="0">
      <w:start w:val="1"/>
      <w:numFmt w:val="chineseCounting"/>
      <w:lvlRestart w:val="0"/>
      <w:suff w:val="nothing"/>
      <w:lvlText w:val="（%1）"/>
      <w:lvlJc w:val="left"/>
      <w:pPr>
        <w:ind w:left="0" w:hanging="0"/>
      </w:pPr>
      <w:rPr>
        <w:rFonts w:hint="eastAsia"/>
      </w:rPr>
    </w:lvl>
  </w:abstractNum>
  <w:num w:numId="1">
    <w:abstractNumId w:val="0"/>
    <w:lvlOverride w:ilvl="0">
      <w:lvl w:ilvl="0">
        <w:start w:val="1"/>
        <w:numFmt w:val="japaneseCounting"/>
        <w:lvlRestart w:val="0"/>
        <w:lvlText w:val="%1、"/>
        <w:lvlJc w:val="left"/>
        <w:pPr>
          <w:tabs>
            <w:tab w:val="num" w:pos="1080"/>
          </w:tabs>
          <w:ind w:left="1080" w:hanging="720"/>
        </w:pPr>
      </w:lvl>
      <w:startOverride w:val="1"/>
    </w:lvlOverride>
    <w:lvlOverride w:ilvl="1">
      <w:lvl w:ilvl="1">
        <w:start w:val="1"/>
        <w:numFmt w:val="decimal"/>
        <w:lvlText w:val="%2."/>
        <w:lvlJc w:val="left"/>
        <w:pPr>
          <w:tabs>
            <w:tab w:val="num" w:pos="1440"/>
          </w:tabs>
          <w:ind w:left="1440" w:hanging="360"/>
        </w:pPr>
      </w:lvl>
      <w:startOverride w:val="1"/>
    </w:lvlOverride>
    <w:lvlOverride w:ilvl="2">
      <w:lvl w:ilvl="2">
        <w:start w:val="1"/>
        <w:numFmt w:val="decimal"/>
        <w:lvlText w:val="%3."/>
        <w:lvlJc w:val="left"/>
        <w:pPr>
          <w:tabs>
            <w:tab w:val="num" w:pos="2160"/>
          </w:tabs>
          <w:ind w:left="2160" w:hanging="360"/>
        </w:pPr>
      </w:lvl>
      <w:startOverride w:val="1"/>
    </w:lvlOverride>
    <w:lvlOverride w:ilvl="3">
      <w:lvl w:ilvl="3">
        <w:start w:val="1"/>
        <w:numFmt w:val="decimal"/>
        <w:lvlText w:val="%4."/>
        <w:lvlJc w:val="left"/>
        <w:pPr>
          <w:tabs>
            <w:tab w:val="num" w:pos="2880"/>
          </w:tabs>
          <w:ind w:left="2880" w:hanging="360"/>
        </w:pPr>
      </w:lvl>
      <w:startOverride w:val="1"/>
    </w:lvlOverride>
    <w:lvlOverride w:ilvl="4">
      <w:lvl w:ilvl="4">
        <w:start w:val="1"/>
        <w:numFmt w:val="decimal"/>
        <w:lvlText w:val="%5."/>
        <w:lvlJc w:val="left"/>
        <w:pPr>
          <w:tabs>
            <w:tab w:val="num" w:pos="3600"/>
          </w:tabs>
          <w:ind w:left="3600" w:hanging="360"/>
        </w:pPr>
      </w:lvl>
      <w:startOverride w:val="1"/>
    </w:lvlOverride>
    <w:lvlOverride w:ilvl="5">
      <w:lvl w:ilvl="5">
        <w:start w:val="1"/>
        <w:numFmt w:val="decimal"/>
        <w:lvlText w:val="%6."/>
        <w:lvlJc w:val="left"/>
        <w:pPr>
          <w:tabs>
            <w:tab w:val="num" w:pos="4320"/>
          </w:tabs>
          <w:ind w:left="4320" w:hanging="360"/>
        </w:pPr>
      </w:lvl>
      <w:startOverride w:val="1"/>
    </w:lvlOverride>
    <w:lvlOverride w:ilvl="6">
      <w:lvl w:ilvl="6">
        <w:start w:val="1"/>
        <w:numFmt w:val="decimal"/>
        <w:lvlText w:val="%7."/>
        <w:lvlJc w:val="left"/>
        <w:pPr>
          <w:tabs>
            <w:tab w:val="num" w:pos="5040"/>
          </w:tabs>
          <w:ind w:left="5040" w:hanging="360"/>
        </w:pPr>
      </w:lvl>
      <w:startOverride w:val="1"/>
    </w:lvlOverride>
    <w:lvlOverride w:ilvl="7">
      <w:lvl w:ilvl="7">
        <w:start w:val="1"/>
        <w:numFmt w:val="decimal"/>
        <w:lvlText w:val="%8."/>
        <w:lvlJc w:val="left"/>
        <w:pPr>
          <w:tabs>
            <w:tab w:val="num" w:pos="5760"/>
          </w:tabs>
          <w:ind w:left="5760" w:hanging="360"/>
        </w:pPr>
      </w:lvl>
      <w:startOverride w:val="1"/>
    </w:lvlOverride>
    <w:lvlOverride w:ilvl="8">
      <w:lvl w:ilvl="8">
        <w:start w:val="1"/>
        <w:numFmt w:val="decimal"/>
        <w:lvlText w:val="%9."/>
        <w:lvlJc w:val="left"/>
        <w:pPr>
          <w:tabs>
            <w:tab w:val="num" w:pos="6480"/>
          </w:tabs>
          <w:ind w:left="6480" w:hanging="360"/>
        </w:pPr>
      </w:lvl>
      <w:startOverride w:val="1"/>
    </w:lvlOverride>
  </w:num>
  <w:num w:numId="2">
    <w:abstractNumId w:val="1"/>
    <w:lvlOverride w:ilvl="0">
      <w:lvl w:ilvl="0">
        <w:start w:val="1"/>
        <w:numFmt w:val="japaneseCounting"/>
        <w:lvlRestart w:val="0"/>
        <w:lvlText w:val="（%1）"/>
        <w:lvlJc w:val="left"/>
        <w:pPr>
          <w:tabs>
            <w:tab w:val="num" w:pos="1440"/>
          </w:tabs>
          <w:ind w:left="1440" w:hanging="1080"/>
        </w:pPr>
      </w:lvl>
      <w:startOverride w:val="1"/>
    </w:lvlOverride>
    <w:lvlOverride w:ilvl="1">
      <w:lvl w:ilvl="1">
        <w:start w:val="1"/>
        <w:numFmt w:val="decimal"/>
        <w:lvlText w:val="%2."/>
        <w:lvlJc w:val="left"/>
        <w:pPr>
          <w:tabs>
            <w:tab w:val="num" w:pos="1440"/>
          </w:tabs>
          <w:ind w:left="1440" w:hanging="360"/>
        </w:pPr>
      </w:lvl>
      <w:startOverride w:val="1"/>
    </w:lvlOverride>
    <w:lvlOverride w:ilvl="2">
      <w:lvl w:ilvl="2">
        <w:start w:val="1"/>
        <w:numFmt w:val="decimal"/>
        <w:lvlText w:val="%3."/>
        <w:lvlJc w:val="left"/>
        <w:pPr>
          <w:tabs>
            <w:tab w:val="num" w:pos="2160"/>
          </w:tabs>
          <w:ind w:left="2160" w:hanging="360"/>
        </w:pPr>
      </w:lvl>
      <w:startOverride w:val="1"/>
    </w:lvlOverride>
    <w:lvlOverride w:ilvl="3">
      <w:lvl w:ilvl="3">
        <w:start w:val="1"/>
        <w:numFmt w:val="decimal"/>
        <w:lvlText w:val="%4."/>
        <w:lvlJc w:val="left"/>
        <w:pPr>
          <w:tabs>
            <w:tab w:val="num" w:pos="2880"/>
          </w:tabs>
          <w:ind w:left="2880" w:hanging="360"/>
        </w:pPr>
      </w:lvl>
      <w:startOverride w:val="1"/>
    </w:lvlOverride>
    <w:lvlOverride w:ilvl="4">
      <w:lvl w:ilvl="4">
        <w:start w:val="1"/>
        <w:numFmt w:val="decimal"/>
        <w:lvlText w:val="%5."/>
        <w:lvlJc w:val="left"/>
        <w:pPr>
          <w:tabs>
            <w:tab w:val="num" w:pos="3600"/>
          </w:tabs>
          <w:ind w:left="3600" w:hanging="360"/>
        </w:pPr>
      </w:lvl>
      <w:startOverride w:val="1"/>
    </w:lvlOverride>
    <w:lvlOverride w:ilvl="5">
      <w:lvl w:ilvl="5">
        <w:start w:val="1"/>
        <w:numFmt w:val="decimal"/>
        <w:lvlText w:val="%6."/>
        <w:lvlJc w:val="left"/>
        <w:pPr>
          <w:tabs>
            <w:tab w:val="num" w:pos="4320"/>
          </w:tabs>
          <w:ind w:left="4320" w:hanging="360"/>
        </w:pPr>
      </w:lvl>
      <w:startOverride w:val="1"/>
    </w:lvlOverride>
    <w:lvlOverride w:ilvl="6">
      <w:lvl w:ilvl="6">
        <w:start w:val="1"/>
        <w:numFmt w:val="decimal"/>
        <w:lvlText w:val="%7."/>
        <w:lvlJc w:val="left"/>
        <w:pPr>
          <w:tabs>
            <w:tab w:val="num" w:pos="5040"/>
          </w:tabs>
          <w:ind w:left="5040" w:hanging="360"/>
        </w:pPr>
      </w:lvl>
      <w:startOverride w:val="1"/>
    </w:lvlOverride>
    <w:lvlOverride w:ilvl="7">
      <w:lvl w:ilvl="7">
        <w:start w:val="1"/>
        <w:numFmt w:val="decimal"/>
        <w:lvlText w:val="%8."/>
        <w:lvlJc w:val="left"/>
        <w:pPr>
          <w:tabs>
            <w:tab w:val="num" w:pos="5760"/>
          </w:tabs>
          <w:ind w:left="5760" w:hanging="360"/>
        </w:pPr>
      </w:lvl>
      <w:startOverride w:val="1"/>
    </w:lvlOverride>
    <w:lvlOverride w:ilvl="8">
      <w:lvl w:ilvl="8">
        <w:start w:val="1"/>
        <w:numFmt w:val="decimal"/>
        <w:lvlText w:val="%9."/>
        <w:lvlJc w:val="left"/>
        <w:pPr>
          <w:tabs>
            <w:tab w:val="num" w:pos="6480"/>
          </w:tabs>
          <w:ind w:left="6480" w:hanging="360"/>
        </w:pPr>
      </w:lvl>
      <w:startOverride w:val="1"/>
    </w:lvlOverride>
  </w:num>
  <w:num w:numId="3">
    <w:abstractNumId w:val="2"/>
    <w:lvlOverride w:ilvl="0">
      <w:lvl w:ilvl="0">
        <w:start w:val="1"/>
        <w:numFmt w:val="japaneseCounting"/>
        <w:lvlRestart w:val="0"/>
        <w:lvlText w:val="（%1）"/>
        <w:lvlJc w:val="left"/>
        <w:pPr>
          <w:tabs>
            <w:tab w:val="num" w:pos="1440"/>
          </w:tabs>
          <w:ind w:left="1440" w:hanging="1080"/>
        </w:pPr>
      </w:lvl>
      <w:startOverride w:val="1"/>
    </w:lvlOverride>
    <w:lvlOverride w:ilvl="1">
      <w:lvl w:ilvl="1">
        <w:start w:val="1"/>
        <w:numFmt w:val="decimal"/>
        <w:lvlText w:val="%2."/>
        <w:lvlJc w:val="left"/>
        <w:pPr>
          <w:tabs>
            <w:tab w:val="num" w:pos="1440"/>
          </w:tabs>
          <w:ind w:left="1440" w:hanging="360"/>
        </w:pPr>
      </w:lvl>
      <w:startOverride w:val="1"/>
    </w:lvlOverride>
    <w:lvlOverride w:ilvl="2">
      <w:lvl w:ilvl="2">
        <w:start w:val="1"/>
        <w:numFmt w:val="decimal"/>
        <w:lvlText w:val="%3."/>
        <w:lvlJc w:val="left"/>
        <w:pPr>
          <w:tabs>
            <w:tab w:val="num" w:pos="2160"/>
          </w:tabs>
          <w:ind w:left="2160" w:hanging="360"/>
        </w:pPr>
      </w:lvl>
      <w:startOverride w:val="1"/>
    </w:lvlOverride>
    <w:lvlOverride w:ilvl="3">
      <w:lvl w:ilvl="3">
        <w:start w:val="1"/>
        <w:numFmt w:val="decimal"/>
        <w:lvlText w:val="%4."/>
        <w:lvlJc w:val="left"/>
        <w:pPr>
          <w:tabs>
            <w:tab w:val="num" w:pos="2880"/>
          </w:tabs>
          <w:ind w:left="2880" w:hanging="360"/>
        </w:pPr>
      </w:lvl>
      <w:startOverride w:val="1"/>
    </w:lvlOverride>
    <w:lvlOverride w:ilvl="4">
      <w:lvl w:ilvl="4">
        <w:start w:val="1"/>
        <w:numFmt w:val="decimal"/>
        <w:lvlText w:val="%5."/>
        <w:lvlJc w:val="left"/>
        <w:pPr>
          <w:tabs>
            <w:tab w:val="num" w:pos="3600"/>
          </w:tabs>
          <w:ind w:left="3600" w:hanging="360"/>
        </w:pPr>
      </w:lvl>
      <w:startOverride w:val="1"/>
    </w:lvlOverride>
    <w:lvlOverride w:ilvl="5">
      <w:lvl w:ilvl="5">
        <w:start w:val="1"/>
        <w:numFmt w:val="decimal"/>
        <w:lvlText w:val="%6."/>
        <w:lvlJc w:val="left"/>
        <w:pPr>
          <w:tabs>
            <w:tab w:val="num" w:pos="4320"/>
          </w:tabs>
          <w:ind w:left="4320" w:hanging="360"/>
        </w:pPr>
      </w:lvl>
      <w:startOverride w:val="1"/>
    </w:lvlOverride>
    <w:lvlOverride w:ilvl="6">
      <w:lvl w:ilvl="6">
        <w:start w:val="1"/>
        <w:numFmt w:val="decimal"/>
        <w:lvlText w:val="%7."/>
        <w:lvlJc w:val="left"/>
        <w:pPr>
          <w:tabs>
            <w:tab w:val="num" w:pos="5040"/>
          </w:tabs>
          <w:ind w:left="5040" w:hanging="360"/>
        </w:pPr>
      </w:lvl>
      <w:startOverride w:val="1"/>
    </w:lvlOverride>
    <w:lvlOverride w:ilvl="7">
      <w:lvl w:ilvl="7">
        <w:start w:val="1"/>
        <w:numFmt w:val="decimal"/>
        <w:lvlText w:val="%8."/>
        <w:lvlJc w:val="left"/>
        <w:pPr>
          <w:tabs>
            <w:tab w:val="num" w:pos="5760"/>
          </w:tabs>
          <w:ind w:left="5760" w:hanging="360"/>
        </w:pPr>
      </w:lvl>
      <w:startOverride w:val="1"/>
    </w:lvlOverride>
    <w:lvlOverride w:ilvl="8">
      <w:lvl w:ilvl="8">
        <w:start w:val="1"/>
        <w:numFmt w:val="decimal"/>
        <w:lvlText w:val="%9."/>
        <w:lvlJc w:val="left"/>
        <w:pPr>
          <w:tabs>
            <w:tab w:val="num" w:pos="6480"/>
          </w:tabs>
          <w:ind w:left="6480" w:hanging="360"/>
        </w:pPr>
      </w:lvl>
      <w:startOverride w:val="1"/>
    </w:lvlOverride>
  </w:num>
  <w:num w:numId="4">
    <w:abstractNumId w:val="3"/>
    <w:lvlOverride w:ilvl="0">
      <w:lvl w:ilvl="0">
        <w:start w:val="1"/>
        <w:numFmt w:val="japaneseCounting"/>
        <w:lvlRestart w:val="0"/>
        <w:lvlText w:val="（%1）"/>
        <w:lvlJc w:val="left"/>
        <w:pPr>
          <w:tabs>
            <w:tab w:val="num" w:pos="1440"/>
          </w:tabs>
          <w:ind w:left="1440" w:hanging="1080"/>
        </w:pPr>
      </w:lvl>
      <w:startOverride w:val="1"/>
    </w:lvlOverride>
    <w:lvlOverride w:ilvl="1">
      <w:lvl w:ilvl="1">
        <w:start w:val="1"/>
        <w:numFmt w:val="decimal"/>
        <w:lvlText w:val="%2."/>
        <w:lvlJc w:val="left"/>
        <w:pPr>
          <w:tabs>
            <w:tab w:val="num" w:pos="1440"/>
          </w:tabs>
          <w:ind w:left="1440" w:hanging="360"/>
        </w:pPr>
      </w:lvl>
      <w:startOverride w:val="1"/>
    </w:lvlOverride>
    <w:lvlOverride w:ilvl="2">
      <w:lvl w:ilvl="2">
        <w:start w:val="1"/>
        <w:numFmt w:val="decimal"/>
        <w:lvlText w:val="%3."/>
        <w:lvlJc w:val="left"/>
        <w:pPr>
          <w:tabs>
            <w:tab w:val="num" w:pos="2160"/>
          </w:tabs>
          <w:ind w:left="2160" w:hanging="360"/>
        </w:pPr>
      </w:lvl>
      <w:startOverride w:val="1"/>
    </w:lvlOverride>
    <w:lvlOverride w:ilvl="3">
      <w:lvl w:ilvl="3">
        <w:start w:val="1"/>
        <w:numFmt w:val="decimal"/>
        <w:lvlText w:val="%4."/>
        <w:lvlJc w:val="left"/>
        <w:pPr>
          <w:tabs>
            <w:tab w:val="num" w:pos="2880"/>
          </w:tabs>
          <w:ind w:left="2880" w:hanging="360"/>
        </w:pPr>
      </w:lvl>
      <w:startOverride w:val="1"/>
    </w:lvlOverride>
    <w:lvlOverride w:ilvl="4">
      <w:lvl w:ilvl="4">
        <w:start w:val="1"/>
        <w:numFmt w:val="decimal"/>
        <w:lvlText w:val="%5."/>
        <w:lvlJc w:val="left"/>
        <w:pPr>
          <w:tabs>
            <w:tab w:val="num" w:pos="3600"/>
          </w:tabs>
          <w:ind w:left="3600" w:hanging="360"/>
        </w:pPr>
      </w:lvl>
      <w:startOverride w:val="1"/>
    </w:lvlOverride>
    <w:lvlOverride w:ilvl="5">
      <w:lvl w:ilvl="5">
        <w:start w:val="1"/>
        <w:numFmt w:val="decimal"/>
        <w:lvlText w:val="%6."/>
        <w:lvlJc w:val="left"/>
        <w:pPr>
          <w:tabs>
            <w:tab w:val="num" w:pos="4320"/>
          </w:tabs>
          <w:ind w:left="4320" w:hanging="360"/>
        </w:pPr>
      </w:lvl>
      <w:startOverride w:val="1"/>
    </w:lvlOverride>
    <w:lvlOverride w:ilvl="6">
      <w:lvl w:ilvl="6">
        <w:start w:val="1"/>
        <w:numFmt w:val="decimal"/>
        <w:lvlText w:val="%7."/>
        <w:lvlJc w:val="left"/>
        <w:pPr>
          <w:tabs>
            <w:tab w:val="num" w:pos="5040"/>
          </w:tabs>
          <w:ind w:left="5040" w:hanging="360"/>
        </w:pPr>
      </w:lvl>
      <w:startOverride w:val="1"/>
    </w:lvlOverride>
    <w:lvlOverride w:ilvl="7">
      <w:lvl w:ilvl="7">
        <w:start w:val="1"/>
        <w:numFmt w:val="decimal"/>
        <w:lvlText w:val="%8."/>
        <w:lvlJc w:val="left"/>
        <w:pPr>
          <w:tabs>
            <w:tab w:val="num" w:pos="5760"/>
          </w:tabs>
          <w:ind w:left="5760" w:hanging="360"/>
        </w:pPr>
      </w:lvl>
      <w:startOverride w:val="1"/>
    </w:lvlOverride>
    <w:lvlOverride w:ilvl="8">
      <w:lvl w:ilvl="8">
        <w:start w:val="1"/>
        <w:numFmt w:val="decimal"/>
        <w:lvlText w:val="%9."/>
        <w:lvlJc w:val="left"/>
        <w:pPr>
          <w:tabs>
            <w:tab w:val="num" w:pos="6480"/>
          </w:tabs>
          <w:ind w:left="6480" w:hanging="360"/>
        </w:pPr>
      </w:lvl>
      <w:startOverride w:val="1"/>
    </w:lvlOverride>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6"/>
  <w:bordersDoNotSurroundHeader/>
  <w:bordersDoNotSurroundFooter/>
  <w:defaultTabStop w:val="420"/>
  <w:drawingGridHorizontalSpacing w:val="18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rFonts w:ascii="Times New Roman" w:hAnsi="Times New Roman"/>
      <w:sz w:val="18"/>
    </w:rPr>
  </w:style>
  <w:style w:type="character" w:styleId="17">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15875" cmpd="sng" cap="flat">
          <a:solidFill>
            <a:srgbClr val="739CC3"/>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5875" cmpd="sng" cap="flat">
          <a:solidFill>
            <a:srgbClr val="739CC3"/>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docProps/app.xml><?xml version="1.0" encoding="utf-8"?>
<Properties xmlns="http://schemas.openxmlformats.org/officeDocument/2006/extended-properties">
  <Template>Normal.eit</Template>
  <TotalTime>14095385</TotalTime>
  <Application>Yozo_Office27021597764231179</Application>
  <Pages>9</Pages>
  <Words>3452</Words>
  <Characters>3935</Characters>
  <Lines>193</Lines>
  <Paragraphs>88</Paragraphs>
  <CharactersWithSpaces>4010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(*^__^*)</dc:creator>
  <cp:lastModifiedBy>user</cp:lastModifiedBy>
  <cp:revision>24</cp:revision>
  <cp:lastPrinted>2020-06-16T02:59:00Z</cp:lastPrinted>
  <dcterms:created xsi:type="dcterms:W3CDTF">2012-06-06T01:30:00Z</dcterms:created>
  <dcterms:modified xsi:type="dcterms:W3CDTF">2026-09-02T07:46:50Z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ies>
</file>