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bookmarkStart w:id="0" w:name="_Toc15396602"/>
      <w:bookmarkStart w:id="1" w:name="_Toc15377204"/>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p>
    <w:p>
      <w:pPr>
        <w:keepNext w:val="0"/>
        <w:keepLines w:val="0"/>
        <w:pageBreakBefore w:val="0"/>
        <w:kinsoku/>
        <w:wordWrap/>
        <w:overflowPunct/>
        <w:topLinePunct w:val="0"/>
        <w:bidi w:val="0"/>
        <w:spacing w:line="560" w:lineRule="exact"/>
        <w:ind w:firstLine="880" w:firstLineChars="200"/>
        <w:jc w:val="both"/>
        <w:outlineLvl w:val="9"/>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 xml:space="preserve">                                                                                                                                                                                                                                                                                                                                                                  </w:t>
      </w:r>
    </w:p>
    <w:p>
      <w:pPr>
        <w:keepNext w:val="0"/>
        <w:keepLines w:val="0"/>
        <w:pageBreakBefore w:val="0"/>
        <w:kinsoku/>
        <w:wordWrap/>
        <w:overflowPunct/>
        <w:topLinePunct w:val="0"/>
        <w:bidi w:val="0"/>
        <w:spacing w:line="560" w:lineRule="exact"/>
        <w:ind w:firstLine="880" w:firstLineChars="200"/>
        <w:jc w:val="center"/>
        <w:outlineLvl w:val="9"/>
        <w:rPr>
          <w:rFonts w:hint="eastAsia" w:ascii="Times New Roman" w:hAnsi="Times New Roman" w:eastAsia="方正小标宋简体"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bookmarkStart w:id="2" w:name="_Toc15377193"/>
      <w:bookmarkStart w:id="3" w:name="_Toc15396597"/>
      <w:bookmarkStart w:id="4" w:name="_Toc15396475"/>
      <w:bookmarkStart w:id="5" w:name="_Toc15378441"/>
      <w:bookmarkStart w:id="6" w:name="_Toc15377425"/>
      <w:bookmarkStart w:id="7" w:name="_Toc15306268"/>
      <w:bookmarkStart w:id="8" w:name="_Toc15378442"/>
      <w:bookmarkStart w:id="9" w:name="_Toc15377426"/>
      <w:bookmarkStart w:id="10" w:name="_Toc15396476"/>
      <w:bookmarkStart w:id="11" w:name="_Toc15396598"/>
      <w:bookmarkStart w:id="12" w:name="_Toc15377194"/>
      <w:r>
        <w:rPr>
          <w:rFonts w:hint="eastAsia" w:ascii="黑体" w:hAnsi="黑体" w:eastAsia="黑体" w:cs="黑体"/>
          <w:b/>
          <w:bCs/>
          <w:color w:val="auto"/>
          <w:kern w:val="2"/>
          <w:sz w:val="48"/>
          <w:szCs w:val="48"/>
          <w:highlight w:val="none"/>
          <w:lang w:val="en-US" w:eastAsia="zh-CN" w:bidi="ar-SA"/>
        </w:rPr>
        <w:t>2024年度</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r>
        <w:rPr>
          <w:rFonts w:hint="eastAsia" w:ascii="黑体" w:hAnsi="黑体" w:eastAsia="黑体" w:cs="黑体"/>
          <w:b/>
          <w:bCs/>
          <w:color w:val="auto"/>
          <w:kern w:val="2"/>
          <w:sz w:val="48"/>
          <w:szCs w:val="48"/>
          <w:highlight w:val="none"/>
          <w:lang w:val="en-US" w:eastAsia="zh-CN" w:bidi="ar-SA"/>
        </w:rPr>
        <w:t>四川省阿坝州茂县工商业联合会</w:t>
      </w:r>
    </w:p>
    <w:p>
      <w:pPr>
        <w:keepNext w:val="0"/>
        <w:keepLines w:val="0"/>
        <w:pageBreakBefore w:val="0"/>
        <w:widowControl w:val="0"/>
        <w:kinsoku/>
        <w:wordWrap/>
        <w:overflowPunct/>
        <w:topLinePunct w:val="0"/>
        <w:autoSpaceDE/>
        <w:autoSpaceDN/>
        <w:bidi w:val="0"/>
        <w:adjustRightInd/>
        <w:snapToGrid/>
        <w:spacing w:line="560" w:lineRule="exact"/>
        <w:ind w:firstLine="963" w:firstLineChars="200"/>
        <w:jc w:val="center"/>
        <w:textAlignment w:val="auto"/>
        <w:outlineLvl w:val="9"/>
        <w:rPr>
          <w:rFonts w:hint="eastAsia" w:ascii="黑体" w:hAnsi="黑体" w:eastAsia="黑体" w:cs="黑体"/>
          <w:b/>
          <w:bCs/>
          <w:color w:val="auto"/>
          <w:kern w:val="2"/>
          <w:sz w:val="48"/>
          <w:szCs w:val="48"/>
          <w:highlight w:val="none"/>
          <w:lang w:val="en-US" w:eastAsia="zh-CN" w:bidi="ar-SA"/>
        </w:rPr>
      </w:pPr>
      <w:r>
        <w:rPr>
          <w:rFonts w:hint="eastAsia" w:ascii="黑体" w:hAnsi="黑体" w:eastAsia="黑体" w:cs="黑体"/>
          <w:b/>
          <w:bCs/>
          <w:color w:val="auto"/>
          <w:kern w:val="2"/>
          <w:sz w:val="48"/>
          <w:szCs w:val="48"/>
          <w:highlight w:val="none"/>
          <w:lang w:val="en-US" w:eastAsia="zh-CN" w:bidi="ar-SA"/>
        </w:rPr>
        <w:t>单位决算</w:t>
      </w:r>
    </w:p>
    <w:p>
      <w:pPr>
        <w:keepNext w:val="0"/>
        <w:keepLines w:val="0"/>
        <w:pageBreakBefore w:val="0"/>
        <w:kinsoku/>
        <w:wordWrap/>
        <w:overflowPunct/>
        <w:topLinePunct w:val="0"/>
        <w:bidi w:val="0"/>
        <w:adjustRightInd w:val="0"/>
        <w:snapToGrid w:val="0"/>
        <w:spacing w:line="560" w:lineRule="exact"/>
        <w:ind w:firstLine="883" w:firstLineChars="200"/>
        <w:jc w:val="both"/>
        <w:outlineLvl w:val="9"/>
        <w:rPr>
          <w:rFonts w:hint="eastAsia" w:ascii="方正小标宋简体" w:hAnsi="方正小标宋简体" w:eastAsia="方正小标宋简体" w:cs="方正小标宋简体"/>
          <w:b/>
          <w:bCs/>
          <w:color w:val="000000"/>
          <w:sz w:val="44"/>
          <w:szCs w:val="44"/>
        </w:rPr>
      </w:pPr>
    </w:p>
    <w:bookmarkEnd w:id="7"/>
    <w:bookmarkEnd w:id="8"/>
    <w:bookmarkEnd w:id="9"/>
    <w:bookmarkEnd w:id="10"/>
    <w:bookmarkEnd w:id="11"/>
    <w:bookmarkEnd w:id="12"/>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hint="eastAsia" w:ascii="仿宋_GB2312" w:hAnsi="Calibri" w:eastAsia="仿宋_GB2312" w:cs="仿宋_GB2312"/>
          <w:sz w:val="32"/>
          <w:szCs w:val="32"/>
        </w:rPr>
      </w:pPr>
    </w:p>
    <w:p>
      <w:pPr>
        <w:keepNext w:val="0"/>
        <w:keepLines w:val="0"/>
        <w:pageBreakBefore w:val="0"/>
        <w:kinsoku/>
        <w:wordWrap/>
        <w:overflowPunct/>
        <w:topLinePunct w:val="0"/>
        <w:bidi w:val="0"/>
        <w:adjustRightInd w:val="0"/>
        <w:snapToGrid w:val="0"/>
        <w:spacing w:line="560" w:lineRule="exact"/>
        <w:ind w:firstLine="640" w:firstLineChars="200"/>
        <w:jc w:val="both"/>
        <w:outlineLvl w:val="9"/>
        <w:rPr>
          <w:rFonts w:hint="eastAsia" w:ascii="方正小标宋简体" w:hAnsi="黑体" w:eastAsia="方正小标宋简体"/>
          <w:color w:val="000000"/>
          <w:sz w:val="44"/>
          <w:szCs w:val="44"/>
          <w:lang w:eastAsia="zh-CN"/>
        </w:rPr>
      </w:pPr>
      <w:r>
        <w:rPr>
          <w:rFonts w:hint="eastAsia" w:ascii="宋体" w:eastAsia="方正小标宋简体" w:cs="仿宋_GB2312"/>
          <w:sz w:val="32"/>
          <w:szCs w:val="32"/>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880" w:firstLineChars="200"/>
        <w:jc w:val="both"/>
        <w:outlineLvl w:val="9"/>
        <w:rPr>
          <w:rFonts w:hint="eastAsia" w:ascii="方正小标宋简体" w:hAnsi="黑体" w:eastAsia="方正小标宋简体"/>
          <w:color w:val="000000"/>
          <w:sz w:val="44"/>
          <w:szCs w:val="44"/>
        </w:rPr>
      </w:pPr>
    </w:p>
    <w:p>
      <w:pPr>
        <w:pStyle w:val="13"/>
        <w:rPr>
          <w:rFonts w:hint="eastAsia" w:ascii="方正小标宋简体" w:hAnsi="黑体" w:eastAsia="方正小标宋简体"/>
          <w:color w:val="000000"/>
          <w:sz w:val="44"/>
          <w:szCs w:val="44"/>
        </w:rPr>
      </w:pPr>
    </w:p>
    <w:p>
      <w:pPr>
        <w:pStyle w:val="8"/>
        <w:rPr>
          <w:rFonts w:hint="eastAsia" w:ascii="方正小标宋简体" w:hAnsi="黑体" w:eastAsia="方正小标宋简体"/>
          <w:color w:val="000000"/>
          <w:sz w:val="44"/>
          <w:szCs w:val="44"/>
        </w:rPr>
      </w:pPr>
    </w:p>
    <w:p>
      <w:pPr>
        <w:keepNext w:val="0"/>
        <w:keepLines w:val="0"/>
        <w:pageBreakBefore w:val="0"/>
        <w:kinsoku/>
        <w:wordWrap/>
        <w:overflowPunct/>
        <w:topLinePunct w:val="0"/>
        <w:bidi w:val="0"/>
        <w:adjustRightInd w:val="0"/>
        <w:snapToGrid w:val="0"/>
        <w:spacing w:line="560" w:lineRule="exact"/>
        <w:jc w:val="both"/>
        <w:outlineLvl w:val="9"/>
        <w:rPr>
          <w:rFonts w:hint="eastAsia" w:ascii="方正小标宋简体" w:hAnsi="黑体" w:eastAsia="方正小标宋简体"/>
          <w:color w:val="000000"/>
          <w:sz w:val="44"/>
          <w:szCs w:val="44"/>
        </w:rPr>
      </w:pPr>
    </w:p>
    <w:p>
      <w:pPr>
        <w:keepNext w:val="0"/>
        <w:keepLines w:val="0"/>
        <w:pageBreakBefore w:val="0"/>
        <w:kinsoku/>
        <w:wordWrap/>
        <w:overflowPunct/>
        <w:topLinePunct w:val="0"/>
        <w:bidi w:val="0"/>
        <w:adjustRightInd w:val="0"/>
        <w:snapToGrid w:val="0"/>
        <w:spacing w:line="560" w:lineRule="exact"/>
        <w:ind w:firstLine="880" w:firstLineChars="200"/>
        <w:jc w:val="both"/>
        <w:outlineLvl w:val="9"/>
        <w:rPr>
          <w:rFonts w:hint="eastAsia" w:ascii="方正小标宋简体" w:hAnsi="黑体" w:eastAsia="方正小标宋简体"/>
          <w:color w:val="000000"/>
          <w:sz w:val="44"/>
          <w:szCs w:val="44"/>
        </w:rPr>
      </w:pPr>
    </w:p>
    <w:p>
      <w:pPr>
        <w:widowControl/>
        <w:jc w:val="center"/>
        <w:rPr>
          <w:rFonts w:hint="eastAsia" w:ascii="Times New Roman" w:hAnsi="Times New Roman" w:eastAsia="黑体" w:cs="Times New Roman"/>
          <w:color w:val="auto"/>
          <w:sz w:val="40"/>
          <w:szCs w:val="40"/>
          <w:highlight w:val="none"/>
        </w:rPr>
      </w:pPr>
      <w:r>
        <w:rPr>
          <w:rFonts w:hint="eastAsia" w:ascii="Times New Roman" w:hAnsi="Times New Roman" w:eastAsia="黑体" w:cs="Times New Roman"/>
          <w:color w:val="auto"/>
          <w:sz w:val="40"/>
          <w:szCs w:val="40"/>
          <w:highlight w:val="none"/>
        </w:rPr>
        <w:t>目  录</w:t>
      </w:r>
    </w:p>
    <w:p>
      <w:pPr>
        <w:widowControl/>
        <w:jc w:val="center"/>
        <w:rPr>
          <w:rFonts w:hint="eastAsia" w:ascii="Times New Roman" w:hAnsi="Times New Roman" w:eastAsia="黑体" w:cs="Times New Roman"/>
          <w:color w:val="auto"/>
          <w:sz w:val="40"/>
          <w:szCs w:val="40"/>
          <w:highlight w:val="none"/>
        </w:rPr>
      </w:pPr>
      <w:r>
        <w:rPr>
          <w:rFonts w:hint="eastAsia" w:ascii="Times New Roman" w:hAnsi="Times New Roman" w:eastAsia="黑体" w:cs="Times New Roman"/>
          <w:color w:val="auto"/>
          <w:sz w:val="40"/>
          <w:szCs w:val="40"/>
          <w:highlight w:val="none"/>
        </w:rPr>
        <w:t>公开时间：202</w:t>
      </w:r>
      <w:r>
        <w:rPr>
          <w:rFonts w:hint="eastAsia" w:ascii="Times New Roman" w:hAnsi="Times New Roman" w:eastAsia="黑体" w:cs="Times New Roman"/>
          <w:color w:val="auto"/>
          <w:sz w:val="40"/>
          <w:szCs w:val="40"/>
          <w:highlight w:val="none"/>
          <w:lang w:val="en-US" w:eastAsia="zh-CN"/>
        </w:rPr>
        <w:t>5</w:t>
      </w:r>
      <w:r>
        <w:rPr>
          <w:rFonts w:hint="eastAsia" w:ascii="Times New Roman" w:hAnsi="Times New Roman" w:eastAsia="黑体" w:cs="Times New Roman"/>
          <w:color w:val="auto"/>
          <w:sz w:val="40"/>
          <w:szCs w:val="40"/>
          <w:highlight w:val="none"/>
        </w:rPr>
        <w:t>年9月</w:t>
      </w:r>
      <w:r>
        <w:rPr>
          <w:rFonts w:hint="eastAsia" w:ascii="Times New Roman" w:hAnsi="Times New Roman" w:eastAsia="黑体" w:cs="Times New Roman"/>
          <w:color w:val="auto"/>
          <w:sz w:val="40"/>
          <w:szCs w:val="40"/>
          <w:highlight w:val="none"/>
          <w:lang w:val="en-US" w:eastAsia="zh-CN"/>
        </w:rPr>
        <w:t>25</w:t>
      </w:r>
      <w:r>
        <w:rPr>
          <w:rFonts w:hint="eastAsia" w:ascii="Times New Roman" w:hAnsi="Times New Roman" w:eastAsia="黑体" w:cs="Times New Roman"/>
          <w:color w:val="auto"/>
          <w:sz w:val="40"/>
          <w:szCs w:val="40"/>
          <w:highlight w:val="none"/>
        </w:rPr>
        <w:t>日</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cs="仿宋_GB2312"/>
        </w:rPr>
        <w:tab/>
      </w:r>
      <w:r>
        <w:rPr>
          <w:rFonts w:hint="eastAsia" w:cs="仿宋_GB231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cs="仿宋_GB2312"/>
        </w:rPr>
        <w:tab/>
      </w:r>
      <w:r>
        <w:rPr>
          <w:rFonts w:hint="eastAsia" w:cs="仿宋_GB231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cs="仿宋_GB2312"/>
        </w:rPr>
        <w:tab/>
      </w:r>
      <w:r>
        <w:rPr>
          <w:rFonts w:hint="eastAsia" w:cs="仿宋_GB2312"/>
          <w:lang w:val="en-US" w:eastAsia="zh-CN"/>
        </w:rPr>
        <w:t>4</w:t>
      </w:r>
      <w:r>
        <w:rPr>
          <w:rFonts w:hint="eastAsia" w:ascii="Times New Roman" w:hAnsi="Times New Roman" w:eastAsia="仿宋_GB2312" w:cs="仿宋_GB2312"/>
          <w:color w:val="auto"/>
          <w:sz w:val="32"/>
          <w:szCs w:val="32"/>
          <w:highlight w:val="non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决算情况说明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cs="仿宋_GB2312"/>
        </w:rPr>
        <w:tab/>
      </w:r>
      <w:r>
        <w:rPr>
          <w:rFonts w:hint="eastAsia" w:cs="仿宋_GB231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cs="仿宋_GB2312"/>
        </w:rPr>
        <w:tab/>
      </w:r>
      <w:r>
        <w:rPr>
          <w:rFonts w:hint="eastAsia" w:cs="仿宋_GB231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cs="仿宋_GB2312"/>
        </w:rPr>
        <w:tab/>
      </w:r>
      <w:r>
        <w:rPr>
          <w:rFonts w:hint="eastAsia" w:cs="仿宋_GB231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cs="仿宋_GB2312"/>
        </w:rPr>
        <w:tab/>
      </w:r>
      <w:r>
        <w:rPr>
          <w:rFonts w:hint="eastAsia" w:cs="仿宋_GB2312"/>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cs="仿宋_GB2312"/>
        </w:rPr>
        <w:tab/>
      </w:r>
      <w:r>
        <w:rPr>
          <w:rFonts w:hint="eastAsia" w:cs="仿宋_GB231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cs="仿宋_GB2312"/>
        </w:rPr>
        <w:tab/>
      </w:r>
      <w:r>
        <w:rPr>
          <w:rFonts w:hint="eastAsia" w:cs="仿宋_GB231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cs="仿宋_GB2312"/>
        </w:rPr>
        <w:tab/>
      </w:r>
      <w:r>
        <w:rPr>
          <w:rFonts w:hint="eastAsia" w:cs="仿宋_GB231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cs="仿宋_GB2312"/>
        </w:rPr>
        <w:tab/>
      </w:r>
      <w:r>
        <w:rPr>
          <w:rFonts w:hint="eastAsia" w:cs="仿宋_GB2312"/>
          <w:lang w:val="en-US" w:eastAsia="zh-CN"/>
        </w:rPr>
        <w:t>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cs="仿宋_GB2312"/>
        </w:rPr>
        <w:tab/>
      </w:r>
      <w:r>
        <w:rPr>
          <w:rFonts w:hint="eastAsia" w:cs="仿宋_GB2312"/>
          <w:lang w:val="en-US" w:eastAsia="zh-CN"/>
        </w:rPr>
        <w:t>11</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cs="仿宋_GB2312"/>
        </w:rPr>
        <w:tab/>
      </w:r>
      <w:r>
        <w:rPr>
          <w:rFonts w:hint="eastAsia" w:cs="仿宋_GB2312"/>
          <w:lang w:val="en-US" w:eastAsia="zh-CN"/>
        </w:rPr>
        <w:t>13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cs="仿宋_GB2312"/>
        </w:rPr>
        <w:tab/>
      </w:r>
      <w:r>
        <w:rPr>
          <w:rFonts w:hint="eastAsia" w:cs="仿宋_GB2312"/>
          <w:lang w:val="en-US" w:eastAsia="zh-CN"/>
        </w:rPr>
        <w:t>15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cs="仿宋_GB2312"/>
        </w:rPr>
        <w:tab/>
      </w:r>
      <w:r>
        <w:rPr>
          <w:rFonts w:hint="eastAsia" w:cs="仿宋_GB2312"/>
          <w:lang w:val="en-US" w:eastAsia="zh-CN"/>
        </w:rPr>
        <w:t>23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cs="仿宋_GB2312"/>
        </w:rPr>
        <w:tab/>
      </w:r>
      <w:r>
        <w:rPr>
          <w:rFonts w:hint="eastAsia" w:cs="仿宋_GB2312"/>
          <w:lang w:val="en-US" w:eastAsia="zh-CN"/>
        </w:rPr>
        <w:t>23</w:t>
      </w:r>
    </w:p>
    <w:p>
      <w:pPr>
        <w:keepNext w:val="0"/>
        <w:keepLines w:val="0"/>
        <w:pageBreakBefore w:val="0"/>
        <w:kinsoku/>
        <w:wordWrap/>
        <w:overflowPunct/>
        <w:topLinePunct w:val="0"/>
        <w:bidi w:val="0"/>
        <w:spacing w:before="0" w:after="0" w:line="560" w:lineRule="exact"/>
        <w:ind w:firstLine="420" w:firstLineChars="200"/>
        <w:jc w:val="both"/>
        <w:outlineLvl w:val="9"/>
        <w:rPr>
          <w:rFonts w:hint="eastAsia" w:ascii="黑体" w:hAnsi="黑体" w:eastAsia="黑体"/>
          <w:b w:val="0"/>
        </w:rPr>
      </w:pPr>
    </w:p>
    <w:p>
      <w:pPr>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13"/>
        <w:keepNext w:val="0"/>
        <w:keepLines w:val="0"/>
        <w:pageBreakBefore w:val="0"/>
        <w:kinsoku/>
        <w:wordWrap/>
        <w:overflowPunct/>
        <w:topLinePunct w:val="0"/>
        <w:bidi w:val="0"/>
        <w:spacing w:line="560" w:lineRule="exact"/>
        <w:ind w:firstLine="36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pStyle w:val="8"/>
        <w:keepNext w:val="0"/>
        <w:keepLines w:val="0"/>
        <w:pageBreakBefore w:val="0"/>
        <w:kinsoku/>
        <w:wordWrap/>
        <w:overflowPunct/>
        <w:topLinePunct w:val="0"/>
        <w:bidi w:val="0"/>
        <w:spacing w:line="560" w:lineRule="exact"/>
        <w:ind w:firstLine="420" w:firstLineChars="200"/>
        <w:jc w:val="both"/>
        <w:outlineLvl w:val="9"/>
        <w:rPr>
          <w:rFonts w:hint="eastAsia" w:ascii="黑体" w:hAnsi="黑体" w:eastAsia="黑体"/>
          <w:b w:val="0"/>
        </w:rPr>
      </w:pPr>
    </w:p>
    <w:p>
      <w:pPr>
        <w:keepNext w:val="0"/>
        <w:keepLines w:val="0"/>
        <w:pageBreakBefore w:val="0"/>
        <w:kinsoku/>
        <w:wordWrap/>
        <w:overflowPunct/>
        <w:topLinePunct w:val="0"/>
        <w:bidi w:val="0"/>
        <w:spacing w:before="0" w:after="0" w:line="560" w:lineRule="exact"/>
        <w:ind w:firstLine="880" w:firstLineChars="200"/>
        <w:jc w:val="center"/>
        <w:outlineLvl w:val="9"/>
        <w:rPr>
          <w:rStyle w:val="21"/>
          <w:rFonts w:ascii="黑体" w:hAnsi="黑体" w:eastAsia="黑体"/>
          <w:b w:val="0"/>
          <w:bCs/>
        </w:rPr>
      </w:pPr>
      <w:r>
        <w:rPr>
          <w:rStyle w:val="21"/>
          <w:rFonts w:hint="eastAsia" w:ascii="黑体" w:hAnsi="黑体" w:eastAsia="黑体" w:cs="Times New Roman"/>
          <w:b w:val="0"/>
          <w:bCs w:val="0"/>
          <w:lang w:eastAsia="zh-CN"/>
        </w:rPr>
        <w:t>第一部分 单</w:t>
      </w:r>
      <w:r>
        <w:rPr>
          <w:rStyle w:val="21"/>
          <w:rFonts w:hint="eastAsia" w:ascii="黑体" w:hAnsi="黑体" w:eastAsia="黑体"/>
          <w:b w:val="0"/>
          <w:bCs w:val="0"/>
          <w:lang w:eastAsia="zh-CN"/>
        </w:rPr>
        <w:t>位</w:t>
      </w:r>
      <w:r>
        <w:rPr>
          <w:rStyle w:val="21"/>
          <w:rFonts w:hint="eastAsia" w:ascii="黑体" w:hAnsi="黑体" w:eastAsia="黑体"/>
          <w:b w:val="0"/>
          <w:bCs w:val="0"/>
        </w:rPr>
        <w:t>概况</w:t>
      </w:r>
    </w:p>
    <w:p>
      <w:pPr>
        <w:keepNext w:val="0"/>
        <w:keepLines w:val="0"/>
        <w:pageBreakBefore w:val="0"/>
        <w:widowControl/>
        <w:kinsoku/>
        <w:wordWrap/>
        <w:overflowPunct/>
        <w:topLinePunct w:val="0"/>
        <w:bidi w:val="0"/>
        <w:spacing w:line="560" w:lineRule="exact"/>
        <w:ind w:firstLine="640" w:firstLineChars="200"/>
        <w:jc w:val="both"/>
        <w:outlineLvl w:val="9"/>
        <w:rPr>
          <w:rFonts w:hint="eastAsia" w:ascii="黑体" w:eastAsia="黑体"/>
          <w:sz w:val="32"/>
          <w:szCs w:val="32"/>
          <w:lang w:val="en-US" w:eastAsia="zh-CN"/>
        </w:rPr>
      </w:pPr>
      <w:r>
        <w:rPr>
          <w:rFonts w:hint="eastAsia" w:ascii="黑体" w:eastAsia="黑体"/>
          <w:sz w:val="32"/>
          <w:szCs w:val="32"/>
          <w:lang w:val="en-US" w:eastAsia="zh-CN"/>
        </w:rPr>
        <w:t xml:space="preserve"> </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theme="majorBidi"/>
          <w:b w:val="0"/>
          <w:color w:val="auto"/>
          <w:highlight w:val="none"/>
        </w:rPr>
      </w:pPr>
      <w:r>
        <w:rPr>
          <w:rFonts w:hint="eastAsia" w:ascii="Times New Roman" w:hAnsi="Times New Roman" w:eastAsia="黑体" w:cstheme="majorBidi"/>
          <w:b w:val="0"/>
          <w:color w:val="auto"/>
          <w:highlight w:val="none"/>
          <w:lang w:eastAsia="zh-CN"/>
        </w:rPr>
        <w:t>单位</w:t>
      </w:r>
      <w:r>
        <w:rPr>
          <w:rFonts w:hint="eastAsia" w:ascii="Times New Roman" w:hAnsi="Times New Roman" w:eastAsia="黑体" w:cstheme="majorBidi"/>
          <w:b w:val="0"/>
          <w:color w:val="auto"/>
          <w:highlight w:val="none"/>
        </w:rPr>
        <w:t>职责</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b w:val="0"/>
          <w:color w:val="000000"/>
        </w:rPr>
      </w:pPr>
      <w:r>
        <w:rPr>
          <w:rFonts w:hint="eastAsia" w:ascii="仿宋" w:hAnsi="仿宋" w:eastAsia="仿宋" w:cs="仿宋"/>
          <w:b w:val="0"/>
          <w:color w:val="000000"/>
        </w:rPr>
        <w:t>（一）主要职能</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参与我县大政方针政策及政治、社会中的重要问题的政治协商，发挥民主监督的作用，参政议政。</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引导会员积极参加我县经济建设，推动民营经济健康发展。</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keepNext w:val="0"/>
        <w:keepLines w:val="0"/>
        <w:pageBreakBefore w:val="0"/>
        <w:kinsoku/>
        <w:wordWrap/>
        <w:overflowPunct/>
        <w:topLinePunct w:val="0"/>
        <w:bidi w:val="0"/>
        <w:spacing w:line="560" w:lineRule="exact"/>
        <w:ind w:firstLine="640" w:firstLineChars="200"/>
        <w:jc w:val="both"/>
        <w:outlineLvl w:val="9"/>
        <w:rPr>
          <w:rFonts w:hint="eastAsia" w:ascii="Times New Roman" w:hAnsi="Times New Roman" w:eastAsia="黑体" w:cstheme="majorBidi"/>
          <w:b w:val="0"/>
          <w:bCs/>
          <w:color w:val="auto"/>
          <w:kern w:val="2"/>
          <w:sz w:val="32"/>
          <w:szCs w:val="32"/>
          <w:highlight w:val="none"/>
          <w:lang w:val="en-US" w:eastAsia="zh-CN" w:bidi="ar-SA"/>
        </w:rPr>
      </w:pPr>
      <w:bookmarkStart w:id="13" w:name="_Toc15396601"/>
      <w:bookmarkStart w:id="14" w:name="_Toc15377200"/>
      <w:r>
        <w:rPr>
          <w:rFonts w:hint="eastAsia" w:ascii="Times New Roman" w:hAnsi="Times New Roman" w:eastAsia="黑体" w:cstheme="majorBidi"/>
          <w:b w:val="0"/>
          <w:bCs/>
          <w:color w:val="auto"/>
          <w:kern w:val="2"/>
          <w:sz w:val="32"/>
          <w:szCs w:val="32"/>
          <w:highlight w:val="none"/>
          <w:lang w:val="en-US" w:eastAsia="zh-CN" w:bidi="ar-SA"/>
        </w:rPr>
        <w:t>二、机构设置</w:t>
      </w:r>
      <w:bookmarkEnd w:id="13"/>
      <w:bookmarkEnd w:id="14"/>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工商业联合会下属二级单位0个，总编制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其中行政编制2个，参照公务员法管理的事业单位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个，其他事业单位0个。</w:t>
      </w:r>
    </w:p>
    <w:p>
      <w:pPr>
        <w:keepNext w:val="0"/>
        <w:keepLines w:val="0"/>
        <w:pageBreakBefore w:val="0"/>
        <w:widowControl/>
        <w:kinsoku/>
        <w:wordWrap/>
        <w:overflowPunct/>
        <w:topLinePunct w:val="0"/>
        <w:bidi w:val="0"/>
        <w:spacing w:line="560" w:lineRule="exact"/>
        <w:ind w:firstLine="640" w:firstLineChars="200"/>
        <w:jc w:val="both"/>
        <w:outlineLvl w:val="9"/>
        <w:rPr>
          <w:rFonts w:ascii="仿宋" w:hAnsi="仿宋" w:eastAsia="仿宋"/>
          <w:kern w:val="0"/>
          <w:sz w:val="32"/>
          <w:szCs w:val="32"/>
        </w:rPr>
      </w:pPr>
      <w:r>
        <w:rPr>
          <w:rFonts w:ascii="仿宋" w:hAnsi="仿宋" w:eastAsia="仿宋"/>
          <w:sz w:val="32"/>
          <w:szCs w:val="32"/>
        </w:rPr>
        <w:br w:type="page"/>
      </w:r>
    </w:p>
    <w:p>
      <w:pPr>
        <w:keepNext w:val="0"/>
        <w:keepLines w:val="0"/>
        <w:pageBreakBefore w:val="0"/>
        <w:numPr>
          <w:ilvl w:val="0"/>
          <w:numId w:val="2"/>
        </w:numPr>
        <w:kinsoku/>
        <w:wordWrap/>
        <w:overflowPunct/>
        <w:topLinePunct w:val="0"/>
        <w:bidi w:val="0"/>
        <w:spacing w:line="560" w:lineRule="exact"/>
        <w:ind w:right="440" w:firstLine="880" w:firstLineChars="200"/>
        <w:jc w:val="center"/>
        <w:outlineLvl w:val="9"/>
        <w:rPr>
          <w:rStyle w:val="21"/>
          <w:rFonts w:hint="eastAsia" w:ascii="黑体" w:hAnsi="黑体" w:eastAsia="黑体" w:cs="Times New Roman"/>
          <w:b w:val="0"/>
          <w:bCs/>
        </w:rPr>
      </w:pPr>
      <w:r>
        <w:rPr>
          <w:rStyle w:val="21"/>
          <w:rFonts w:hint="eastAsia" w:ascii="黑体" w:hAnsi="黑体" w:eastAsia="黑体" w:cs="Times New Roman"/>
          <w:b w:val="0"/>
          <w:bCs/>
        </w:rPr>
        <w:t>202</w:t>
      </w:r>
      <w:r>
        <w:rPr>
          <w:rStyle w:val="21"/>
          <w:rFonts w:hint="eastAsia" w:ascii="黑体" w:hAnsi="黑体" w:eastAsia="黑体" w:cs="Times New Roman"/>
          <w:b w:val="0"/>
          <w:bCs/>
          <w:lang w:val="en-US" w:eastAsia="zh-CN"/>
        </w:rPr>
        <w:t>4</w:t>
      </w:r>
      <w:r>
        <w:rPr>
          <w:rStyle w:val="21"/>
          <w:rFonts w:hint="eastAsia" w:ascii="黑体" w:hAnsi="黑体" w:eastAsia="黑体" w:cs="Times New Roman"/>
          <w:b w:val="0"/>
          <w:bCs/>
        </w:rPr>
        <w:t>年度</w:t>
      </w:r>
      <w:r>
        <w:rPr>
          <w:rStyle w:val="21"/>
          <w:rFonts w:hint="eastAsia" w:ascii="黑体" w:hAnsi="黑体" w:eastAsia="黑体" w:cs="Times New Roman"/>
          <w:b w:val="0"/>
          <w:bCs/>
          <w:lang w:eastAsia="zh-CN"/>
        </w:rPr>
        <w:t>单位</w:t>
      </w:r>
      <w:r>
        <w:rPr>
          <w:rStyle w:val="21"/>
          <w:rFonts w:hint="eastAsia" w:ascii="黑体" w:hAnsi="黑体" w:eastAsia="黑体" w:cs="Times New Roman"/>
          <w:b w:val="0"/>
          <w:bCs/>
        </w:rPr>
        <w:t>决算情况说明</w:t>
      </w:r>
    </w:p>
    <w:p>
      <w:pPr>
        <w:pStyle w:val="13"/>
        <w:numPr>
          <w:ilvl w:val="0"/>
          <w:numId w:val="0"/>
        </w:numPr>
        <w:rPr>
          <w:rFonts w:hint="eastAsi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Style w:val="22"/>
          <w:rFonts w:ascii="黑体" w:hAnsi="黑体" w:eastAsia="黑体"/>
          <w:b w:val="0"/>
        </w:rPr>
      </w:pPr>
      <w:r>
        <w:rPr>
          <w:rFonts w:hint="eastAsia" w:ascii="黑体" w:hAnsi="黑体" w:eastAsia="黑体"/>
          <w:sz w:val="32"/>
          <w:szCs w:val="32"/>
          <w:lang w:eastAsia="zh-CN"/>
        </w:rPr>
        <w:t>一、</w:t>
      </w:r>
      <w:r>
        <w:rPr>
          <w:rFonts w:hint="eastAsia" w:ascii="黑体" w:hAnsi="黑体" w:eastAsia="黑体"/>
          <w:sz w:val="32"/>
          <w:szCs w:val="32"/>
        </w:rPr>
        <w:t>收</w:t>
      </w:r>
      <w:r>
        <w:rPr>
          <w:rStyle w:val="22"/>
          <w:rFonts w:hint="eastAsia" w:ascii="黑体" w:hAnsi="黑体" w:eastAsia="黑体"/>
          <w:b w:val="0"/>
        </w:rPr>
        <w:t>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年度相比，收、支总计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w:t>
      </w:r>
      <w:bookmarkEnd w:id="0"/>
      <w:bookmarkEnd w:id="1"/>
    </w:p>
    <w:p>
      <w:pPr>
        <w:keepNext w:val="0"/>
        <w:keepLines w:val="0"/>
        <w:pageBreakBefore w:val="0"/>
        <w:kinsoku/>
        <w:wordWrap/>
        <w:overflowPunct/>
        <w:topLinePunct w:val="0"/>
        <w:bidi w:val="0"/>
        <w:spacing w:line="560" w:lineRule="exact"/>
        <w:jc w:val="both"/>
        <w:outlineLvl w:val="9"/>
        <w:rPr>
          <w:rFonts w:hint="eastAsia" w:ascii="宋体" w:hAnsi="宋体" w:cs="宋体"/>
          <w:b/>
          <w:bCs/>
          <w:color w:val="000000"/>
          <w:kern w:val="0"/>
          <w:sz w:val="28"/>
          <w:szCs w:val="28"/>
        </w:rPr>
      </w:pPr>
      <w:r>
        <w:rPr>
          <w:rFonts w:hint="eastAsia" w:ascii="仿宋_GB2312" w:hAnsi="仿宋" w:eastAsia="仿宋_GB2312"/>
          <w:color w:val="000000"/>
          <w:sz w:val="32"/>
          <w:szCs w:val="32"/>
        </w:rPr>
        <w:drawing>
          <wp:anchor distT="0" distB="0" distL="114300" distR="114300" simplePos="0" relativeHeight="251659264" behindDoc="1" locked="0" layoutInCell="1" allowOverlap="1">
            <wp:simplePos x="0" y="0"/>
            <wp:positionH relativeFrom="column">
              <wp:posOffset>236220</wp:posOffset>
            </wp:positionH>
            <wp:positionV relativeFrom="paragraph">
              <wp:posOffset>158750</wp:posOffset>
            </wp:positionV>
            <wp:extent cx="5264150" cy="3188335"/>
            <wp:effectExtent l="19050" t="0" r="12700" b="0"/>
            <wp:wrapTight wrapText="bothSides">
              <wp:wrapPolygon>
                <wp:start x="-78" y="0"/>
                <wp:lineTo x="-78" y="21553"/>
                <wp:lineTo x="21652" y="21553"/>
                <wp:lineTo x="21652"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kinsoku/>
        <w:wordWrap/>
        <w:overflowPunct/>
        <w:topLinePunct w:val="0"/>
        <w:bidi w:val="0"/>
        <w:spacing w:line="560" w:lineRule="exact"/>
        <w:ind w:firstLine="640" w:firstLineChars="200"/>
        <w:jc w:val="both"/>
        <w:outlineLvl w:val="9"/>
        <w:rPr>
          <w:rStyle w:val="22"/>
          <w:rFonts w:ascii="黑体" w:hAnsi="黑体" w:eastAsia="黑体"/>
          <w:b w:val="0"/>
        </w:rPr>
      </w:pPr>
      <w:bookmarkStart w:id="15" w:name="_Toc15377206"/>
      <w:bookmarkStart w:id="16" w:name="_Toc15396604"/>
      <w:r>
        <w:rPr>
          <w:rFonts w:hint="eastAsia" w:ascii="黑体" w:hAnsi="黑体" w:eastAsia="黑体"/>
          <w:color w:val="000000"/>
          <w:sz w:val="32"/>
          <w:szCs w:val="32"/>
        </w:rPr>
        <w:t>二、收</w:t>
      </w:r>
      <w:r>
        <w:rPr>
          <w:rStyle w:val="22"/>
          <w:rFonts w:hint="eastAsia" w:ascii="黑体" w:hAnsi="黑体" w:eastAsia="黑体"/>
          <w:b w:val="0"/>
        </w:rPr>
        <w:t>入决算情况说明</w:t>
      </w:r>
      <w:bookmarkEnd w:id="15"/>
      <w:bookmarkEnd w:id="16"/>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万元，占100%。</w:t>
      </w:r>
    </w:p>
    <w:p>
      <w:pPr>
        <w:keepNext w:val="0"/>
        <w:keepLines w:val="0"/>
        <w:pageBreakBefore w:val="0"/>
        <w:numPr>
          <w:ilvl w:val="0"/>
          <w:numId w:val="0"/>
        </w:numPr>
        <w:kinsoku/>
        <w:wordWrap/>
        <w:overflowPunct/>
        <w:topLinePunct w:val="0"/>
        <w:bidi w:val="0"/>
        <w:spacing w:line="560" w:lineRule="exact"/>
        <w:ind w:leftChars="200" w:firstLine="320" w:firstLineChars="100"/>
        <w:jc w:val="both"/>
        <w:outlineLvl w:val="9"/>
        <w:rPr>
          <w:rStyle w:val="22"/>
          <w:rFonts w:hint="eastAsia" w:ascii="黑体" w:hAnsi="黑体" w:eastAsia="黑体"/>
          <w:b w:val="0"/>
        </w:rPr>
      </w:pPr>
      <w:r>
        <w:rPr>
          <w:rFonts w:hint="eastAsia" w:ascii="仿宋_GB2312" w:hAnsi="仿宋" w:eastAsia="仿宋_GB2312"/>
          <w:color w:val="000000"/>
          <w:sz w:val="32"/>
          <w:szCs w:val="32"/>
        </w:rPr>
        <w:drawing>
          <wp:anchor distT="0" distB="0" distL="114300" distR="114300" simplePos="0" relativeHeight="251660288" behindDoc="1" locked="0" layoutInCell="1" allowOverlap="1">
            <wp:simplePos x="0" y="0"/>
            <wp:positionH relativeFrom="column">
              <wp:posOffset>260985</wp:posOffset>
            </wp:positionH>
            <wp:positionV relativeFrom="paragraph">
              <wp:posOffset>113665</wp:posOffset>
            </wp:positionV>
            <wp:extent cx="4853940" cy="2509520"/>
            <wp:effectExtent l="19050" t="0" r="22860" b="5080"/>
            <wp:wrapTight wrapText="bothSides">
              <wp:wrapPolygon>
                <wp:start x="-85" y="0"/>
                <wp:lineTo x="-85" y="21644"/>
                <wp:lineTo x="21702" y="21644"/>
                <wp:lineTo x="21702" y="0"/>
                <wp:lineTo x="-85"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2"/>
          <w:rFonts w:hint="eastAsia" w:ascii="黑体" w:hAnsi="黑体" w:eastAsia="黑体"/>
          <w:b w:val="0"/>
        </w:rPr>
        <w:t>出决算情况说明</w:t>
      </w:r>
    </w:p>
    <w:p>
      <w:pPr>
        <w:keepNext w:val="0"/>
        <w:keepLines w:val="0"/>
        <w:pageBreakBefore w:val="0"/>
        <w:numPr>
          <w:ilvl w:val="0"/>
          <w:numId w:val="0"/>
        </w:numPr>
        <w:kinsoku/>
        <w:wordWrap/>
        <w:overflowPunct/>
        <w:topLinePunct w:val="0"/>
        <w:bidi w:val="0"/>
        <w:spacing w:line="560" w:lineRule="exact"/>
        <w:ind w:leftChars="200" w:firstLine="320" w:firstLineChars="1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color w:val="000000"/>
          <w:sz w:val="32"/>
          <w:szCs w:val="32"/>
        </w:rPr>
        <w:t>万元，占100%</w:t>
      </w:r>
      <w:r>
        <w:rPr>
          <w:rFonts w:hint="eastAsia" w:ascii="仿宋_GB2312" w:hAnsi="仿宋_GB2312" w:eastAsia="仿宋_GB2312" w:cs="仿宋_GB2312"/>
          <w:sz w:val="32"/>
          <w:szCs w:val="32"/>
        </w:rPr>
        <w:t>。</w:t>
      </w:r>
    </w:p>
    <w:p>
      <w:pPr>
        <w:pStyle w:val="13"/>
        <w:keepNext w:val="0"/>
        <w:keepLines w:val="0"/>
        <w:pageBreakBefore w:val="0"/>
        <w:kinsoku/>
        <w:wordWrap/>
        <w:overflowPunct/>
        <w:topLinePunct w:val="0"/>
        <w:bidi w:val="0"/>
        <w:spacing w:line="560" w:lineRule="exact"/>
        <w:jc w:val="both"/>
        <w:outlineLvl w:val="9"/>
        <w:rPr>
          <w:rFonts w:hint="eastAsia" w:ascii="黑体" w:hAnsi="黑体" w:eastAsia="黑体"/>
          <w:color w:val="000000"/>
          <w:sz w:val="32"/>
          <w:szCs w:val="32"/>
          <w:lang w:val="en-US" w:eastAsia="zh-CN"/>
        </w:rPr>
      </w:pPr>
      <w:r>
        <w:rPr>
          <w:rFonts w:hint="eastAsia" w:ascii="仿宋_GB2312" w:hAnsi="仿宋" w:eastAsia="仿宋_GB2312"/>
          <w:color w:val="000000"/>
          <w:sz w:val="32"/>
          <w:szCs w:val="32"/>
        </w:rPr>
        <w:drawing>
          <wp:anchor distT="0" distB="0" distL="114300" distR="114300" simplePos="0" relativeHeight="251664384" behindDoc="1" locked="0" layoutInCell="1" allowOverlap="1">
            <wp:simplePos x="0" y="0"/>
            <wp:positionH relativeFrom="column">
              <wp:posOffset>246380</wp:posOffset>
            </wp:positionH>
            <wp:positionV relativeFrom="paragraph">
              <wp:posOffset>82550</wp:posOffset>
            </wp:positionV>
            <wp:extent cx="4933950" cy="2618105"/>
            <wp:effectExtent l="4445" t="4445" r="14605" b="6350"/>
            <wp:wrapTight wrapText="bothSides">
              <wp:wrapPolygon>
                <wp:start x="-19" y="-37"/>
                <wp:lineTo x="-19" y="21495"/>
                <wp:lineTo x="21581" y="21495"/>
                <wp:lineTo x="21581" y="-37"/>
                <wp:lineTo x="-19" y="-37"/>
              </wp:wrapPolygon>
            </wp:wrapTight>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wordWrap/>
        <w:overflowPunct/>
        <w:topLinePunct w:val="0"/>
        <w:bidi w:val="0"/>
        <w:spacing w:line="560" w:lineRule="exact"/>
        <w:ind w:firstLine="640" w:firstLineChars="200"/>
        <w:jc w:val="both"/>
        <w:outlineLvl w:val="9"/>
        <w:rPr>
          <w:rStyle w:val="22"/>
          <w:rFonts w:ascii="仿宋_GB2312" w:eastAsia="仿宋_GB2312"/>
          <w:b w:val="0"/>
          <w:bCs w:val="0"/>
          <w:color w:val="FF0000"/>
        </w:rPr>
      </w:pPr>
      <w:r>
        <w:rPr>
          <w:rFonts w:hint="eastAsia" w:ascii="黑体" w:hAnsi="黑体" w:eastAsia="黑体"/>
          <w:color w:val="000000"/>
          <w:sz w:val="32"/>
          <w:szCs w:val="32"/>
        </w:rPr>
        <w:t>四、财</w:t>
      </w:r>
      <w:r>
        <w:rPr>
          <w:rStyle w:val="22"/>
          <w:rFonts w:hint="eastAsia" w:ascii="黑体" w:hAnsi="黑体" w:eastAsia="黑体"/>
          <w:b w:val="0"/>
        </w:rPr>
        <w:t>政拨款收入支出决算总体情况说明</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年度相比，财政拨款收、支总计各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人员减少</w:t>
      </w:r>
      <w:r>
        <w:rPr>
          <w:rFonts w:hint="eastAsia" w:ascii="仿宋_GB2312" w:hAnsi="仿宋_GB2312" w:eastAsia="仿宋_GB2312" w:cs="仿宋_GB2312"/>
          <w:color w:val="000000"/>
          <w:sz w:val="32"/>
          <w:szCs w:val="32"/>
        </w:rPr>
        <w:t>。</w:t>
      </w:r>
      <w:bookmarkStart w:id="17" w:name="_Toc1537721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Style w:val="22"/>
          <w:rFonts w:hint="eastAsia" w:ascii="黑体" w:hAnsi="黑体" w:eastAsia="黑体"/>
          <w:b w:val="0"/>
        </w:rPr>
      </w:pPr>
      <w:r>
        <w:rPr>
          <w:rFonts w:hint="eastAsia" w:ascii="仿宋_GB2312" w:hAnsi="仿宋" w:eastAsia="仿宋_GB2312"/>
          <w:color w:val="000000"/>
          <w:sz w:val="32"/>
          <w:szCs w:val="32"/>
        </w:rPr>
        <w:drawing>
          <wp:anchor distT="0" distB="0" distL="114300" distR="114300" simplePos="0" relativeHeight="251662336" behindDoc="1" locked="0" layoutInCell="1" allowOverlap="1">
            <wp:simplePos x="0" y="0"/>
            <wp:positionH relativeFrom="column">
              <wp:posOffset>193675</wp:posOffset>
            </wp:positionH>
            <wp:positionV relativeFrom="paragraph">
              <wp:posOffset>-4711700</wp:posOffset>
            </wp:positionV>
            <wp:extent cx="5165090" cy="3013075"/>
            <wp:effectExtent l="19050" t="0" r="16510" b="0"/>
            <wp:wrapTight wrapText="bothSides">
              <wp:wrapPolygon>
                <wp:start x="-80" y="0"/>
                <wp:lineTo x="-80" y="21577"/>
                <wp:lineTo x="21669" y="21577"/>
                <wp:lineTo x="21669" y="0"/>
                <wp:lineTo x="-8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2"/>
          <w:rFonts w:hint="eastAsia" w:ascii="仿宋_GB2312" w:hAnsi="仿宋" w:eastAsia="仿宋_GB2312"/>
          <w:b w:val="0"/>
          <w:bCs w:val="0"/>
          <w:color w:val="000000"/>
        </w:rPr>
      </w:pPr>
      <w:r>
        <w:rPr>
          <w:rStyle w:val="22"/>
          <w:rFonts w:hint="eastAsia" w:ascii="黑体" w:hAnsi="黑体" w:eastAsia="黑体"/>
          <w:b w:val="0"/>
        </w:rPr>
        <w:t>五、一般公共预算财政拨款支出决算情况说明</w:t>
      </w:r>
      <w:bookmarkStart w:id="18" w:name="_Toc1537721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eastAsia" w:ascii="仿宋_GB2312" w:eastAsia="仿宋_GB2312"/>
          <w:sz w:val="32"/>
          <w:szCs w:val="32"/>
        </w:rPr>
      </w:pPr>
      <w:r>
        <w:rPr>
          <w:rFonts w:hint="eastAsia" w:ascii="楷体_GB2312" w:eastAsia="楷体_GB2312"/>
          <w:b/>
          <w:sz w:val="32"/>
          <w:szCs w:val="32"/>
        </w:rPr>
        <w:t>（一）一般公共预算财政拨款支出决算总体情况</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102.87</w:t>
      </w:r>
      <w:r>
        <w:rPr>
          <w:rFonts w:hint="eastAsia" w:ascii="仿宋_GB2312" w:eastAsia="仿宋_GB2312"/>
          <w:sz w:val="32"/>
          <w:szCs w:val="32"/>
        </w:rPr>
        <w:t>万元，占本年支出合计的100%。与202</w:t>
      </w:r>
      <w:r>
        <w:rPr>
          <w:rFonts w:hint="eastAsia" w:ascii="仿宋_GB2312" w:eastAsia="仿宋_GB2312"/>
          <w:sz w:val="32"/>
          <w:szCs w:val="32"/>
          <w:lang w:val="en-US" w:eastAsia="zh-CN"/>
        </w:rPr>
        <w:t>3</w:t>
      </w:r>
      <w:r>
        <w:rPr>
          <w:rFonts w:hint="eastAsia" w:ascii="仿宋_GB2312" w:eastAsia="仿宋_GB2312"/>
          <w:sz w:val="32"/>
          <w:szCs w:val="32"/>
        </w:rPr>
        <w:t>年相比，一般公共预算财政拨款支出</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1.59</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减少</w:t>
      </w:r>
      <w:r>
        <w:rPr>
          <w:rFonts w:hint="eastAsia" w:ascii="仿宋_GB2312" w:hAnsi="仿宋" w:eastAsia="仿宋_GB2312"/>
          <w:color w:val="000000"/>
          <w:sz w:val="32"/>
          <w:szCs w:val="32"/>
          <w:lang w:val="en-US" w:eastAsia="zh-CN"/>
        </w:rPr>
        <w:t>1.52</w:t>
      </w:r>
      <w:r>
        <w:rPr>
          <w:rFonts w:hint="eastAsia" w:ascii="仿宋_GB2312" w:hAnsi="仿宋" w:eastAsia="仿宋_GB2312"/>
          <w:color w:val="000000"/>
          <w:sz w:val="32"/>
          <w:szCs w:val="32"/>
        </w:rPr>
        <w:t>%</w:t>
      </w:r>
      <w:r>
        <w:rPr>
          <w:rFonts w:hint="eastAsia" w:ascii="仿宋_GB2312" w:eastAsia="仿宋_GB2312"/>
          <w:sz w:val="32"/>
          <w:szCs w:val="32"/>
        </w:rPr>
        <w:t>。主要变动原因是</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人员减少</w:t>
      </w:r>
      <w:r>
        <w:rPr>
          <w:rFonts w:hint="eastAsia" w:ascii="仿宋_GB2312" w:eastAsia="仿宋_GB2312"/>
          <w:sz w:val="32"/>
          <w:szCs w:val="32"/>
        </w:rPr>
        <w:t>。</w:t>
      </w:r>
    </w:p>
    <w:p>
      <w:pPr>
        <w:pStyle w:val="13"/>
        <w:rPr>
          <w:rFonts w:hint="eastAsia" w:ascii="楷体_GB2312" w:hAnsi="仿宋" w:eastAsia="楷体_GB2312"/>
          <w:b/>
          <w:color w:val="000000"/>
          <w:sz w:val="32"/>
          <w:szCs w:val="32"/>
          <w:lang w:eastAsia="zh-CN"/>
        </w:rPr>
      </w:pPr>
      <w:r>
        <w:rPr>
          <w:rFonts w:hint="eastAsia" w:ascii="楷体_GB2312" w:hAnsi="仿宋" w:eastAsia="楷体_GB2312"/>
          <w:b/>
          <w:color w:val="000000"/>
          <w:sz w:val="32"/>
          <w:szCs w:val="32"/>
          <w:lang w:eastAsia="zh-CN"/>
        </w:rPr>
        <w:drawing>
          <wp:inline distT="0" distB="0" distL="114300" distR="114300">
            <wp:extent cx="5437505" cy="3063875"/>
            <wp:effectExtent l="4445" t="4445" r="6350" b="177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pacing w:line="560" w:lineRule="exact"/>
        <w:ind w:firstLine="642" w:firstLineChars="200"/>
        <w:jc w:val="both"/>
        <w:outlineLvl w:val="9"/>
        <w:rPr>
          <w:rFonts w:hint="eastAsia" w:ascii="楷体_GB2312" w:hAnsi="仿宋" w:eastAsia="楷体_GB2312"/>
          <w:color w:val="000000"/>
          <w:sz w:val="32"/>
          <w:szCs w:val="32"/>
        </w:rPr>
      </w:pPr>
      <w:r>
        <w:rPr>
          <w:rFonts w:hint="eastAsia" w:ascii="楷体_GB2312" w:hAnsi="仿宋" w:eastAsia="楷体_GB2312"/>
          <w:b/>
          <w:color w:val="000000"/>
          <w:sz w:val="32"/>
          <w:szCs w:val="32"/>
        </w:rPr>
        <w:t>（二）一般公共预算财政拨款支出决算结构情况</w:t>
      </w:r>
      <w:bookmarkEnd w:id="17"/>
    </w:p>
    <w:p>
      <w:pPr>
        <w:keepNext w:val="0"/>
        <w:keepLines w:val="0"/>
        <w:pageBreakBefore w:val="0"/>
        <w:kinsoku/>
        <w:wordWrap/>
        <w:overflowPunct/>
        <w:topLinePunct w:val="0"/>
        <w:bidi w:val="0"/>
        <w:spacing w:line="560" w:lineRule="exact"/>
        <w:ind w:firstLine="640" w:firstLineChars="200"/>
        <w:jc w:val="both"/>
        <w:outlineLvl w:val="9"/>
        <w:rPr>
          <w:rFonts w:hint="eastAsia" w:ascii="仿宋" w:hAnsi="仿宋" w:eastAsia="仿宋"/>
          <w:sz w:val="32"/>
          <w:szCs w:val="32"/>
        </w:rPr>
      </w:pPr>
      <w:bookmarkStart w:id="19" w:name="_Toc15377212"/>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val="en-US" w:eastAsia="zh-CN"/>
        </w:rPr>
        <w:t>74.14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lang w:val="en-US" w:eastAsia="zh-CN"/>
        </w:rPr>
        <w:t>14.95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lang w:val="en-US" w:eastAsia="zh-CN"/>
        </w:rPr>
        <w:t>7.94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jc w:val="both"/>
        <w:outlineLvl w:val="9"/>
        <w:rPr>
          <w:rFonts w:hint="eastAsia" w:ascii="楷体_GB2312" w:hAnsi="仿宋" w:eastAsia="楷体_GB2312"/>
          <w:b/>
          <w:color w:val="000000"/>
          <w:sz w:val="32"/>
          <w:szCs w:val="32"/>
        </w:rPr>
      </w:pPr>
      <w:r>
        <w:rPr>
          <w:rFonts w:hint="eastAsia" w:ascii="仿宋_GB2312" w:hAnsi="仿宋" w:eastAsia="仿宋_GB2312"/>
          <w:color w:val="000000"/>
          <w:sz w:val="32"/>
          <w:szCs w:val="32"/>
        </w:rPr>
        <w:drawing>
          <wp:anchor distT="0" distB="0" distL="114300" distR="114300" simplePos="0" relativeHeight="251663360" behindDoc="1" locked="0" layoutInCell="1" allowOverlap="1">
            <wp:simplePos x="0" y="0"/>
            <wp:positionH relativeFrom="column">
              <wp:posOffset>184150</wp:posOffset>
            </wp:positionH>
            <wp:positionV relativeFrom="paragraph">
              <wp:posOffset>344170</wp:posOffset>
            </wp:positionV>
            <wp:extent cx="5266055" cy="3188335"/>
            <wp:effectExtent l="19050" t="0" r="10795" b="0"/>
            <wp:wrapTight wrapText="bothSides">
              <wp:wrapPolygon>
                <wp:start x="-78" y="0"/>
                <wp:lineTo x="-78" y="21553"/>
                <wp:lineTo x="21644" y="21553"/>
                <wp:lineTo x="21644" y="0"/>
                <wp:lineTo x="-78"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kinsoku/>
        <w:wordWrap/>
        <w:overflowPunct/>
        <w:topLinePunct w:val="0"/>
        <w:bidi w:val="0"/>
        <w:spacing w:line="560" w:lineRule="exact"/>
        <w:ind w:firstLine="642" w:firstLineChars="200"/>
        <w:jc w:val="both"/>
        <w:outlineLvl w:val="9"/>
        <w:rPr>
          <w:rFonts w:ascii="仿宋_GB2312" w:hAnsi="仿宋" w:eastAsia="仿宋_GB2312"/>
          <w:color w:val="000000"/>
          <w:sz w:val="32"/>
          <w:szCs w:val="32"/>
        </w:rPr>
      </w:pPr>
      <w:r>
        <w:rPr>
          <w:rFonts w:hint="eastAsia" w:ascii="楷体_GB2312" w:hAnsi="仿宋" w:eastAsia="楷体_GB2312"/>
          <w:b/>
          <w:color w:val="000000"/>
          <w:sz w:val="32"/>
          <w:szCs w:val="32"/>
        </w:rPr>
        <w:t>（三）一般公共预算财政拨款支出决算具体情况</w:t>
      </w:r>
      <w:bookmarkEnd w:id="19"/>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年度一般公共预算支出决算数为</w:t>
      </w:r>
      <w:r>
        <w:rPr>
          <w:rFonts w:hint="eastAsia" w:ascii="仿宋_GB2312" w:hAnsi="仿宋_GB2312" w:eastAsia="仿宋_GB2312" w:cs="仿宋_GB2312"/>
          <w:b w:val="0"/>
          <w:bCs/>
          <w:sz w:val="32"/>
          <w:szCs w:val="32"/>
          <w:lang w:val="en-US" w:eastAsia="zh-CN"/>
        </w:rPr>
        <w:t>102.87</w:t>
      </w:r>
      <w:r>
        <w:rPr>
          <w:rFonts w:hint="eastAsia" w:ascii="仿宋_GB2312" w:hAnsi="仿宋_GB2312" w:eastAsia="仿宋_GB2312" w:cs="仿宋_GB2312"/>
          <w:b w:val="0"/>
          <w:bCs/>
          <w:sz w:val="32"/>
          <w:szCs w:val="32"/>
          <w:lang w:eastAsia="zh-CN"/>
        </w:rPr>
        <w:t>万元</w:t>
      </w:r>
      <w:r>
        <w:rPr>
          <w:rFonts w:hint="eastAsia" w:ascii="仿宋_GB2312" w:hAnsi="仿宋_GB2312" w:eastAsia="仿宋_GB2312" w:cs="仿宋_GB2312"/>
          <w:b w:val="0"/>
          <w:bCs/>
          <w:sz w:val="32"/>
          <w:szCs w:val="32"/>
        </w:rPr>
        <w:t>，</w:t>
      </w:r>
      <w:r>
        <w:rPr>
          <w:rStyle w:val="18"/>
          <w:rFonts w:hint="eastAsia" w:ascii="仿宋_GB2312" w:hAnsi="仿宋_GB2312" w:eastAsia="仿宋_GB2312" w:cs="仿宋_GB2312"/>
          <w:b w:val="0"/>
          <w:bCs/>
          <w:sz w:val="32"/>
          <w:szCs w:val="32"/>
        </w:rPr>
        <w:t>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%。其中：</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Style w:val="18"/>
          <w:rFonts w:hint="eastAsia" w:ascii="仿宋_GB2312" w:hAnsi="仿宋_GB2312" w:eastAsia="仿宋_GB2312" w:cs="仿宋_GB2312"/>
          <w:bCs/>
          <w:sz w:val="32"/>
          <w:szCs w:val="32"/>
        </w:rPr>
        <w:t>1.一般公共服务（</w:t>
      </w:r>
      <w:r>
        <w:rPr>
          <w:rStyle w:val="18"/>
          <w:rFonts w:hint="eastAsia" w:ascii="仿宋_GB2312" w:hAnsi="仿宋_GB2312" w:eastAsia="仿宋_GB2312" w:cs="仿宋_GB2312"/>
          <w:bCs/>
          <w:sz w:val="32"/>
          <w:szCs w:val="32"/>
          <w:lang w:val="en-US" w:eastAsia="zh-CN"/>
        </w:rPr>
        <w:t>201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民主党派及工商联事务</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28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行政运行</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74.14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560" w:lineRule="exact"/>
        <w:ind w:firstLine="642" w:firstLineChars="200"/>
        <w:jc w:val="both"/>
        <w:outlineLvl w:val="9"/>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Cs/>
          <w:sz w:val="32"/>
          <w:szCs w:val="32"/>
        </w:rPr>
        <w:t>2.社会保障和就业（</w:t>
      </w:r>
      <w:r>
        <w:rPr>
          <w:rStyle w:val="18"/>
          <w:rFonts w:hint="eastAsia" w:ascii="仿宋_GB2312" w:hAnsi="仿宋_GB2312" w:eastAsia="仿宋_GB2312" w:cs="仿宋_GB2312"/>
          <w:bCs/>
          <w:sz w:val="32"/>
          <w:szCs w:val="32"/>
          <w:lang w:val="en-US" w:eastAsia="zh-CN"/>
        </w:rPr>
        <w:t>208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行政事业单位离退休</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机关事业单位基本养老保险缴费支出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9.97</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lang w:val="en-US" w:eastAsia="zh-CN"/>
        </w:rPr>
      </w:pPr>
      <w:r>
        <w:rPr>
          <w:rStyle w:val="18"/>
          <w:rFonts w:hint="eastAsia" w:ascii="仿宋_GB2312" w:hAnsi="仿宋_GB2312" w:eastAsia="仿宋_GB2312" w:cs="仿宋_GB2312"/>
          <w:b/>
          <w:bCs w:val="0"/>
          <w:sz w:val="32"/>
          <w:szCs w:val="32"/>
          <w:lang w:val="en-US" w:eastAsia="zh-CN"/>
        </w:rPr>
        <w:t>3</w:t>
      </w:r>
      <w:r>
        <w:rPr>
          <w:rStyle w:val="18"/>
          <w:rFonts w:hint="eastAsia" w:ascii="仿宋_GB2312" w:hAnsi="仿宋_GB2312" w:eastAsia="仿宋_GB2312" w:cs="仿宋_GB2312"/>
          <w:b w:val="0"/>
          <w:bCs/>
          <w:sz w:val="32"/>
          <w:szCs w:val="32"/>
          <w:lang w:val="en-US" w:eastAsia="zh-CN"/>
        </w:rPr>
        <w:t>.</w:t>
      </w:r>
      <w:r>
        <w:rPr>
          <w:rStyle w:val="18"/>
          <w:rFonts w:hint="eastAsia" w:ascii="仿宋_GB2312" w:hAnsi="仿宋_GB2312" w:eastAsia="仿宋_GB2312" w:cs="仿宋_GB2312"/>
          <w:bCs/>
          <w:sz w:val="32"/>
          <w:szCs w:val="32"/>
        </w:rPr>
        <w:t>社会保障和就业（</w:t>
      </w:r>
      <w:r>
        <w:rPr>
          <w:rStyle w:val="18"/>
          <w:rFonts w:hint="eastAsia" w:ascii="仿宋_GB2312" w:hAnsi="仿宋_GB2312" w:eastAsia="仿宋_GB2312" w:cs="仿宋_GB2312"/>
          <w:bCs/>
          <w:sz w:val="32"/>
          <w:szCs w:val="32"/>
          <w:lang w:val="en-US" w:eastAsia="zh-CN"/>
        </w:rPr>
        <w:t>208</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行政事业单位离退休</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05</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机关事业单位职业年金缴费支出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06</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 xml:space="preserve"> 支出决算为</w:t>
      </w:r>
      <w:r>
        <w:rPr>
          <w:rStyle w:val="18"/>
          <w:rFonts w:hint="eastAsia" w:ascii="仿宋_GB2312" w:hAnsi="仿宋_GB2312" w:eastAsia="仿宋_GB2312" w:cs="仿宋_GB2312"/>
          <w:b w:val="0"/>
          <w:bCs/>
          <w:sz w:val="32"/>
          <w:szCs w:val="32"/>
          <w:lang w:val="en-US" w:eastAsia="zh-CN"/>
        </w:rPr>
        <w:t>4.98</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560" w:lineRule="exact"/>
        <w:ind w:firstLine="642" w:firstLineChars="200"/>
        <w:jc w:val="both"/>
        <w:outlineLvl w:val="9"/>
        <w:rPr>
          <w:rStyle w:val="18"/>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210</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行政事业单位医疗</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11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eastAsia="zh-CN"/>
        </w:rPr>
        <w:t>行政单位医疗</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Cs/>
          <w:sz w:val="32"/>
          <w:szCs w:val="32"/>
          <w:lang w:val="en-US" w:eastAsia="zh-CN"/>
        </w:rPr>
        <w:t>01</w:t>
      </w:r>
      <w:r>
        <w:rPr>
          <w:rStyle w:val="18"/>
          <w:rFonts w:hint="eastAsia" w:ascii="仿宋_GB2312" w:hAnsi="仿宋_GB2312" w:eastAsia="仿宋_GB2312" w:cs="仿宋_GB2312"/>
          <w:bCs/>
          <w:sz w:val="32"/>
          <w:szCs w:val="32"/>
        </w:rPr>
        <w:t>）:</w:t>
      </w:r>
      <w:r>
        <w:rPr>
          <w:rStyle w:val="18"/>
          <w:rFonts w:hint="eastAsia" w:ascii="仿宋_GB2312" w:hAnsi="仿宋_GB2312" w:eastAsia="仿宋_GB2312" w:cs="仿宋_GB2312"/>
          <w:b w:val="0"/>
          <w:bCs/>
          <w:sz w:val="32"/>
          <w:szCs w:val="32"/>
        </w:rPr>
        <w:t>支出决算为</w:t>
      </w:r>
      <w:r>
        <w:rPr>
          <w:rStyle w:val="18"/>
          <w:rFonts w:hint="eastAsia" w:ascii="仿宋_GB2312" w:hAnsi="仿宋_GB2312" w:eastAsia="仿宋_GB2312" w:cs="仿宋_GB2312"/>
          <w:b w:val="0"/>
          <w:bCs/>
          <w:sz w:val="32"/>
          <w:szCs w:val="32"/>
          <w:lang w:val="en-US" w:eastAsia="zh-CN"/>
        </w:rPr>
        <w:t>5.84</w:t>
      </w:r>
      <w:r>
        <w:rPr>
          <w:rStyle w:val="18"/>
          <w:rFonts w:hint="eastAsia" w:ascii="仿宋_GB2312" w:hAnsi="仿宋_GB2312" w:eastAsia="仿宋_GB2312" w:cs="仿宋_GB2312"/>
          <w:b w:val="0"/>
          <w:bCs/>
          <w:sz w:val="32"/>
          <w:szCs w:val="32"/>
        </w:rPr>
        <w:t>万元，完成预算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560" w:lineRule="exact"/>
        <w:ind w:firstLine="642" w:firstLineChars="200"/>
        <w:jc w:val="both"/>
        <w:outlineLvl w:val="9"/>
        <w:rPr>
          <w:rStyle w:val="18"/>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val="en-US" w:eastAsia="zh-CN"/>
        </w:rPr>
        <w:t>5.住房保障支出（221）住房改革支出（02）住房公积金（01）：</w:t>
      </w:r>
      <w:r>
        <w:rPr>
          <w:rFonts w:hint="eastAsia" w:ascii="仿宋_GB2312" w:hAnsi="仿宋_GB2312" w:eastAsia="仿宋_GB2312" w:cs="仿宋_GB2312"/>
          <w:b w:val="0"/>
          <w:bCs/>
          <w:sz w:val="32"/>
          <w:szCs w:val="32"/>
          <w:lang w:val="en-US" w:eastAsia="zh-CN"/>
        </w:rPr>
        <w:t>支出决算为：7.94万元，</w:t>
      </w:r>
      <w:r>
        <w:rPr>
          <w:rStyle w:val="18"/>
          <w:rFonts w:hint="eastAsia" w:ascii="仿宋_GB2312" w:hAnsi="仿宋_GB2312" w:eastAsia="仿宋_GB2312" w:cs="仿宋_GB2312"/>
          <w:b w:val="0"/>
          <w:bCs/>
          <w:sz w:val="32"/>
          <w:szCs w:val="32"/>
        </w:rPr>
        <w:t>完成预算</w:t>
      </w:r>
      <w:r>
        <w:rPr>
          <w:rStyle w:val="18"/>
          <w:rFonts w:hint="eastAsia" w:ascii="仿宋_GB2312" w:hAnsi="仿宋_GB2312" w:eastAsia="仿宋_GB2312" w:cs="仿宋_GB2312"/>
          <w:b w:val="0"/>
          <w:bCs/>
          <w:sz w:val="32"/>
          <w:szCs w:val="32"/>
          <w:lang w:val="en-US" w:eastAsia="zh-CN"/>
        </w:rPr>
        <w:t>100</w:t>
      </w:r>
      <w:r>
        <w:rPr>
          <w:rStyle w:val="18"/>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bookmarkStart w:id="20" w:name="_Toc15377214"/>
      <w:bookmarkStart w:id="21" w:name="_Toc15396608"/>
      <w:r>
        <w:rPr>
          <w:rFonts w:hint="eastAsia" w:ascii="仿宋_GB2312" w:hAnsi="仿宋_GB2312" w:eastAsia="仿宋_GB2312" w:cs="仿宋_GB2312"/>
          <w:sz w:val="32"/>
          <w:szCs w:val="32"/>
        </w:rPr>
        <w:t>六、一般公共预算财政拨款基本支出决算情况说明</w:t>
      </w:r>
      <w:bookmarkEnd w:id="20"/>
      <w:bookmarkEnd w:id="21"/>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99.62</w:t>
      </w:r>
      <w:r>
        <w:rPr>
          <w:rFonts w:hint="eastAsia" w:ascii="仿宋_GB2312" w:hAnsi="仿宋_GB2312" w:eastAsia="仿宋_GB2312" w:cs="仿宋_GB2312"/>
          <w:sz w:val="32"/>
          <w:szCs w:val="32"/>
        </w:rPr>
        <w:t>万元，主要包括：基本工资、津贴补贴、奖金、机关事业单位基本养老保险缴费、职业年金缴费、其他社会保障缴费、其他工资福利支出、生活补助、医疗费、奖励金、住房公积金、其他对个人和家庭的补助支出等。</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万元，主要包括：办公费、邮电费、取暖费、差旅费、培训费、公务接待费、公务用车购置及运行维护费。</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七、</w:t>
      </w:r>
      <w:r>
        <w:rPr>
          <w:rStyle w:val="22"/>
          <w:rFonts w:hint="eastAsia" w:ascii="仿宋_GB2312" w:hAnsi="仿宋_GB2312" w:eastAsia="仿宋_GB2312" w:cs="仿宋_GB2312"/>
        </w:rPr>
        <w:t>“</w:t>
      </w:r>
      <w:r>
        <w:rPr>
          <w:rStyle w:val="22"/>
          <w:rFonts w:hint="eastAsia" w:ascii="仿宋_GB2312" w:hAnsi="仿宋_GB2312" w:eastAsia="仿宋_GB2312" w:cs="仿宋_GB2312"/>
          <w:b w:val="0"/>
        </w:rPr>
        <w:t>三公”经费财政拨款支出决算情况说明</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决算数与预算数持平</w:t>
      </w:r>
      <w:r>
        <w:rPr>
          <w:rStyle w:val="18"/>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8"/>
        <w:ind w:left="0" w:leftChars="0" w:firstLine="0" w:firstLineChars="0"/>
        <w:rPr>
          <w:rFonts w:ascii="仿宋_GB2312" w:eastAsia="仿宋_GB2312"/>
          <w:b/>
          <w:sz w:val="32"/>
          <w:szCs w:val="32"/>
        </w:rPr>
      </w:pPr>
      <w:r>
        <w:rPr>
          <w:rFonts w:hint="eastAsia" w:eastAsia="仿宋"/>
          <w:lang w:eastAsia="zh-CN"/>
        </w:rPr>
        <w:drawing>
          <wp:anchor distT="0" distB="0" distL="114300" distR="114300" simplePos="0" relativeHeight="251665408" behindDoc="0" locked="0" layoutInCell="1" allowOverlap="1">
            <wp:simplePos x="0" y="0"/>
            <wp:positionH relativeFrom="column">
              <wp:posOffset>4445</wp:posOffset>
            </wp:positionH>
            <wp:positionV relativeFrom="paragraph">
              <wp:posOffset>213995</wp:posOffset>
            </wp:positionV>
            <wp:extent cx="5027930" cy="2588260"/>
            <wp:effectExtent l="4445" t="4445" r="15875"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1.因公出国（境）经费支出0万元，完成预算0%。</w:t>
      </w:r>
      <w:r>
        <w:rPr>
          <w:rFonts w:hint="eastAsia" w:ascii="仿宋_GB2312" w:hAnsi="仿宋_GB2312"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0万元，完成预算0%。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firstLine="64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0.08万元，完成预算100%。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公务接待费支出决算与2023年度持平。其中：国内公务接待支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0.08</w:t>
      </w:r>
      <w:r>
        <w:rPr>
          <w:rFonts w:hint="eastAsia" w:ascii="仿宋_GB2312" w:hAnsi="仿宋_GB2312" w:eastAsia="仿宋_GB2312" w:cs="仿宋_GB2312"/>
          <w:color w:val="auto"/>
          <w:kern w:val="2"/>
          <w:sz w:val="32"/>
          <w:szCs w:val="32"/>
          <w:highlight w:val="none"/>
          <w:lang w:val="en-US" w:eastAsia="zh-CN" w:bidi="ar-SA"/>
        </w:rPr>
        <w:t>万元，主要用于执行公务、开展业务活动开支的交通费、住宿费、用餐费。国内公务接</w:t>
      </w:r>
      <w:r>
        <w:rPr>
          <w:rFonts w:hint="eastAsia" w:ascii="仿宋_GB2312" w:hAnsi="仿宋_GB2312" w:eastAsia="仿宋_GB2312" w:cs="仿宋_GB2312"/>
          <w:color w:val="auto"/>
          <w:kern w:val="2"/>
          <w:sz w:val="32"/>
          <w:szCs w:val="32"/>
          <w:highlight w:val="none"/>
          <w:lang w:val="en-US" w:eastAsia="zh-CN" w:bidi="ar-SA"/>
        </w:rPr>
        <w:t>待1批次，5人次（不包括陪同人员），共计支出0.08万元，具体内容包括：州工商联到茂县工作调研接待费。涉及金额：0.08万元</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rPr>
      </w:pPr>
      <w:r>
        <w:rPr>
          <w:rFonts w:hint="eastAsia" w:ascii="仿宋_GB2312" w:hAnsi="仿宋_GB2312" w:eastAsia="仿宋_GB2312" w:cs="仿宋_GB2312"/>
          <w:sz w:val="32"/>
          <w:szCs w:val="32"/>
        </w:rPr>
        <w:t>八、</w:t>
      </w:r>
      <w:r>
        <w:rPr>
          <w:rStyle w:val="22"/>
          <w:rFonts w:hint="eastAsia" w:ascii="仿宋_GB2312" w:hAnsi="仿宋_GB2312" w:eastAsia="仿宋_GB2312" w:cs="仿宋_GB2312"/>
          <w:b w:val="0"/>
        </w:rPr>
        <w:t>政府性基金预算支出决算情况说明</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Style w:val="22"/>
          <w:rFonts w:hint="eastAsia" w:ascii="仿宋_GB2312" w:hAnsi="仿宋_GB2312" w:eastAsia="仿宋_GB2312" w:cs="仿宋_GB2312"/>
          <w:b w:val="0"/>
          <w:lang w:eastAsia="zh-CN"/>
        </w:rPr>
        <w:t>九、</w:t>
      </w:r>
      <w:r>
        <w:rPr>
          <w:rStyle w:val="22"/>
          <w:rFonts w:hint="eastAsia" w:ascii="仿宋_GB2312" w:hAnsi="仿宋_GB2312" w:eastAsia="仿宋_GB2312" w:cs="仿宋_GB2312"/>
          <w:b w:val="0"/>
        </w:rPr>
        <w:t>国有资本经营预算支出决算情况说明</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22" w:name="_Toc15396612"/>
      <w:bookmarkStart w:id="23" w:name="_Toc15377221"/>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numPr>
          <w:ilvl w:val="0"/>
          <w:numId w:val="0"/>
        </w:numPr>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rPr>
      </w:pPr>
      <w:r>
        <w:rPr>
          <w:rStyle w:val="22"/>
          <w:rFonts w:hint="eastAsia" w:ascii="仿宋_GB2312" w:hAnsi="仿宋_GB2312" w:eastAsia="仿宋_GB2312" w:cs="仿宋_GB2312"/>
          <w:b w:val="0"/>
          <w:lang w:eastAsia="zh-CN"/>
        </w:rPr>
        <w:t>十、</w:t>
      </w:r>
      <w:r>
        <w:rPr>
          <w:rStyle w:val="22"/>
          <w:rFonts w:hint="eastAsia" w:ascii="仿宋_GB2312" w:hAnsi="仿宋_GB2312" w:eastAsia="仿宋_GB2312" w:cs="仿宋_GB2312"/>
          <w:b w:val="0"/>
        </w:rPr>
        <w:t>其他重要事项的情况说明</w:t>
      </w:r>
      <w:bookmarkEnd w:id="22"/>
      <w:bookmarkEnd w:id="23"/>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sz w:val="32"/>
          <w:szCs w:val="32"/>
        </w:rPr>
      </w:pPr>
      <w:bookmarkStart w:id="24" w:name="_Toc15377222"/>
      <w:r>
        <w:rPr>
          <w:rFonts w:hint="eastAsia" w:ascii="仿宋_GB2312" w:hAnsi="仿宋_GB2312" w:eastAsia="仿宋_GB2312" w:cs="仿宋_GB2312"/>
          <w:b/>
          <w:sz w:val="32"/>
          <w:szCs w:val="32"/>
        </w:rPr>
        <w:t>（一）机关运行经费支出情况</w:t>
      </w:r>
      <w:bookmarkEnd w:id="24"/>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：人员减少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2" w:firstLineChars="200"/>
        <w:jc w:val="both"/>
        <w:outlineLvl w:val="9"/>
        <w:rPr>
          <w:rFonts w:hint="eastAsia" w:ascii="仿宋_GB2312" w:hAnsi="仿宋_GB2312" w:eastAsia="仿宋_GB2312" w:cs="仿宋_GB2312"/>
          <w:b/>
          <w:sz w:val="32"/>
          <w:szCs w:val="32"/>
        </w:rPr>
      </w:pPr>
      <w:bookmarkStart w:id="25" w:name="_Toc15377223"/>
      <w:r>
        <w:rPr>
          <w:rFonts w:hint="eastAsia" w:ascii="仿宋_GB2312" w:hAnsi="仿宋_GB2312" w:eastAsia="仿宋_GB2312" w:cs="仿宋_GB2312"/>
          <w:b/>
          <w:sz w:val="32"/>
          <w:szCs w:val="32"/>
        </w:rPr>
        <w:t>（二）政府采购支出情况</w:t>
      </w:r>
      <w:bookmarkEnd w:id="2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四川省阿坝藏族羌族自治州茂县工商业联合会（行政）</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2" w:firstLineChars="200"/>
        <w:outlineLvl w:val="2"/>
        <w:rPr>
          <w:rFonts w:hint="eastAsia" w:ascii="仿宋_GB2312" w:hAnsi="仿宋_GB2312" w:eastAsia="仿宋_GB2312" w:cs="仿宋_GB2312"/>
          <w:b/>
          <w:color w:val="auto"/>
          <w:sz w:val="32"/>
          <w:szCs w:val="32"/>
          <w:highlight w:val="none"/>
        </w:rPr>
      </w:pPr>
      <w:bookmarkStart w:id="26" w:name="_Toc15377224"/>
      <w:r>
        <w:rPr>
          <w:rFonts w:hint="eastAsia" w:ascii="仿宋_GB2312" w:hAnsi="仿宋_GB2312" w:eastAsia="仿宋_GB2312" w:cs="仿宋_GB2312"/>
          <w:b/>
          <w:color w:val="auto"/>
          <w:sz w:val="32"/>
          <w:szCs w:val="32"/>
          <w:highlight w:val="none"/>
        </w:rPr>
        <w:t>（三）国有资产占有使用情况</w:t>
      </w:r>
      <w:bookmarkEnd w:id="2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四川省阿坝藏族羌族自治州茂县工商业联合会（行政）</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p>
    <w:p>
      <w:pPr>
        <w:keepNext w:val="0"/>
        <w:keepLines w:val="0"/>
        <w:pageBreakBefore w:val="0"/>
        <w:kinsoku/>
        <w:wordWrap/>
        <w:overflowPunct/>
        <w:topLinePunct w:val="0"/>
        <w:autoSpaceDE w:val="0"/>
        <w:autoSpaceDN w:val="0"/>
        <w:bidi w:val="0"/>
        <w:adjustRightInd w:val="0"/>
        <w:spacing w:line="560" w:lineRule="exact"/>
        <w:ind w:firstLine="642" w:firstLineChars="200"/>
        <w:jc w:val="both"/>
        <w:outlineLvl w:val="9"/>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w:t>
      </w:r>
      <w:r>
        <w:rPr>
          <w:rFonts w:hint="eastAsia" w:ascii="仿宋_GB2312" w:hAnsi="仿宋_GB2312" w:eastAsia="仿宋_GB2312" w:cs="仿宋_GB2312"/>
          <w:sz w:val="32"/>
          <w:szCs w:val="32"/>
          <w:lang w:eastAsia="zh-CN"/>
        </w:rPr>
        <w:t>不涉及预算绩效管理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ascii="仿宋_GB2312" w:eastAsia="仿宋_GB2312"/>
          <w:color w:val="000000"/>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部门整体（含部门预算项目）绩效自评报告，其中，</w:t>
      </w:r>
      <w:r>
        <w:rPr>
          <w:rFonts w:hint="eastAsia" w:ascii="仿宋_GB2312" w:eastAsia="仿宋_GB2312"/>
          <w:sz w:val="32"/>
          <w:szCs w:val="32"/>
          <w:lang w:eastAsia="zh-CN"/>
        </w:rPr>
        <w:t>茂县工商业联合会</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eastAsia="仿宋_GB2312"/>
          <w:color w:val="000000"/>
          <w:sz w:val="32"/>
          <w:szCs w:val="32"/>
        </w:rPr>
        <w:t>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整体支出开展绩效自评，从评价情况来看，绩效评价自查开展覆盖下属单位及重点支出，将评价结果作为预算安排的重要依据，参照项目年度预算“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年部门预算编审要求，根据我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职能职责，结合中长期规划和年度工作计划，明确了年度主要工作任务及年度内履职所要达到的总体产出和效果，认真填报了我</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整体支出绩效目标，设定了年度绩效数量指标、成本指标效益指标等。</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outlineLvl w:val="9"/>
        <w:rPr>
          <w:rFonts w:ascii="仿宋_GB2312" w:eastAsia="仿宋_GB2312"/>
          <w:color w:val="000000"/>
          <w:sz w:val="32"/>
          <w:szCs w:val="32"/>
        </w:rPr>
      </w:pPr>
      <w:r>
        <w:rPr>
          <w:rFonts w:hint="eastAsia" w:ascii="仿宋_GB2312" w:eastAsia="仿宋_GB2312"/>
          <w:color w:val="000000"/>
          <w:sz w:val="32"/>
          <w:szCs w:val="32"/>
        </w:rPr>
        <w:t>本单位无专项预算项目，因此本单位未组织开展项目支出绩效评价。</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color w:val="000000"/>
          <w:sz w:val="32"/>
          <w:szCs w:val="32"/>
        </w:rPr>
      </w:pPr>
      <w:r>
        <w:rPr>
          <w:rFonts w:hint="eastAsia" w:ascii="仿宋_GB2312" w:eastAsia="仿宋_GB2312"/>
          <w:color w:val="000000"/>
          <w:sz w:val="32"/>
          <w:szCs w:val="32"/>
        </w:rPr>
        <w:t>部门绩效评价结果:本单位按要求对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年部门整体支出绩效评价情况开展自评，我单位整体支出绩效评价自查自评结果良好，全年基本支出保证了部门的正常运行和日常工作的正常开展，达到预期绩效目标</w:t>
      </w:r>
      <w:r>
        <w:rPr>
          <w:rFonts w:hint="default" w:ascii="仿宋_GB2312" w:eastAsia="仿宋_GB2312"/>
          <w:color w:val="000000"/>
          <w:sz w:val="32"/>
          <w:szCs w:val="32"/>
        </w:rPr>
        <w:t>。</w:t>
      </w:r>
      <w:r>
        <w:rPr>
          <w:rFonts w:hint="eastAsia" w:ascii="仿宋_GB2312" w:eastAsia="仿宋_GB2312"/>
          <w:color w:val="000000"/>
          <w:sz w:val="32"/>
          <w:szCs w:val="32"/>
        </w:rPr>
        <w:t>《茂县工商业联合会</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年部门整体支出绩效评价报告》见附件。</w:t>
      </w:r>
      <w:bookmarkStart w:id="27" w:name="_Toc15396613"/>
      <w:bookmarkStart w:id="28" w:name="_Toc15377225"/>
    </w:p>
    <w:p>
      <w:pPr>
        <w:pStyle w:val="13"/>
        <w:rPr>
          <w:rFonts w:hint="eastAsia"/>
          <w:lang w:eastAsia="zh-CN"/>
        </w:rPr>
      </w:pPr>
    </w:p>
    <w:p>
      <w:pPr>
        <w:keepNext w:val="0"/>
        <w:keepLines w:val="0"/>
        <w:pageBreakBefore w:val="0"/>
        <w:numPr>
          <w:ilvl w:val="0"/>
          <w:numId w:val="0"/>
        </w:numPr>
        <w:kinsoku/>
        <w:wordWrap/>
        <w:overflowPunct/>
        <w:topLinePunct w:val="0"/>
        <w:bidi w:val="0"/>
        <w:spacing w:line="560" w:lineRule="exact"/>
        <w:ind w:firstLine="2208" w:firstLineChars="500"/>
        <w:jc w:val="both"/>
        <w:outlineLvl w:val="9"/>
        <w:rPr>
          <w:rFonts w:hint="eastAsia" w:ascii="方正小标宋简体" w:hAnsi="黑体" w:eastAsia="方正小标宋简体"/>
          <w:b/>
          <w:color w:val="000000"/>
          <w:sz w:val="44"/>
          <w:szCs w:val="44"/>
          <w:lang w:eastAsia="zh-CN"/>
        </w:rPr>
      </w:pPr>
    </w:p>
    <w:p>
      <w:pPr>
        <w:keepNext w:val="0"/>
        <w:keepLines w:val="0"/>
        <w:pageBreakBefore w:val="0"/>
        <w:numPr>
          <w:ilvl w:val="0"/>
          <w:numId w:val="0"/>
        </w:numPr>
        <w:kinsoku/>
        <w:wordWrap/>
        <w:overflowPunct/>
        <w:topLinePunct w:val="0"/>
        <w:bidi w:val="0"/>
        <w:spacing w:line="560" w:lineRule="exact"/>
        <w:ind w:firstLine="2208" w:firstLineChars="500"/>
        <w:jc w:val="both"/>
        <w:outlineLvl w:val="9"/>
        <w:rPr>
          <w:rFonts w:hint="eastAsia" w:ascii="方正小标宋简体" w:hAnsi="黑体" w:eastAsia="方正小标宋简体"/>
          <w:b/>
          <w:color w:val="000000"/>
          <w:sz w:val="44"/>
          <w:szCs w:val="44"/>
          <w:lang w:eastAsia="zh-CN"/>
        </w:rPr>
      </w:pPr>
    </w:p>
    <w:p>
      <w:pPr>
        <w:keepNext w:val="0"/>
        <w:keepLines w:val="0"/>
        <w:pageBreakBefore w:val="0"/>
        <w:numPr>
          <w:ilvl w:val="0"/>
          <w:numId w:val="0"/>
        </w:numPr>
        <w:kinsoku/>
        <w:wordWrap/>
        <w:overflowPunct/>
        <w:topLinePunct w:val="0"/>
        <w:bidi w:val="0"/>
        <w:spacing w:line="560" w:lineRule="exact"/>
        <w:jc w:val="center"/>
        <w:outlineLvl w:val="9"/>
        <w:rPr>
          <w:rStyle w:val="21"/>
          <w:rFonts w:hint="eastAsia" w:ascii="方正小标宋简体" w:hAnsi="黑体" w:eastAsia="方正小标宋简体"/>
          <w:b w:val="0"/>
        </w:rPr>
      </w:pPr>
      <w:r>
        <w:rPr>
          <w:rFonts w:hint="eastAsia" w:ascii="方正小标宋简体" w:hAnsi="黑体" w:eastAsia="方正小标宋简体"/>
          <w:b/>
          <w:color w:val="000000"/>
          <w:sz w:val="44"/>
          <w:szCs w:val="44"/>
          <w:lang w:eastAsia="zh-CN"/>
        </w:rPr>
        <w:t>第三部分</w:t>
      </w:r>
      <w:r>
        <w:rPr>
          <w:rFonts w:hint="eastAsia" w:ascii="方正小标宋简体" w:hAnsi="黑体" w:eastAsia="方正小标宋简体"/>
          <w:b/>
          <w:color w:val="000000"/>
          <w:sz w:val="44"/>
          <w:szCs w:val="44"/>
          <w:lang w:val="en-US" w:eastAsia="zh-CN"/>
        </w:rPr>
        <w:t xml:space="preserve">  </w:t>
      </w:r>
      <w:r>
        <w:rPr>
          <w:rFonts w:hint="eastAsia" w:ascii="方正小标宋简体" w:hAnsi="黑体" w:eastAsia="方正小标宋简体"/>
          <w:b/>
          <w:color w:val="000000"/>
          <w:sz w:val="44"/>
          <w:szCs w:val="44"/>
        </w:rPr>
        <w:t>名</w:t>
      </w:r>
      <w:r>
        <w:rPr>
          <w:rStyle w:val="21"/>
          <w:rFonts w:hint="eastAsia" w:ascii="方正小标宋简体" w:hAnsi="黑体" w:eastAsia="方正小标宋简体"/>
          <w:b w:val="0"/>
        </w:rPr>
        <w:t>词解释</w:t>
      </w:r>
      <w:bookmarkEnd w:id="27"/>
      <w:bookmarkEnd w:id="28"/>
    </w:p>
    <w:p>
      <w:pPr>
        <w:keepNext w:val="0"/>
        <w:keepLines w:val="0"/>
        <w:pageBreakBefore w:val="0"/>
        <w:kinsoku/>
        <w:wordWrap/>
        <w:overflowPunct/>
        <w:topLinePunct w:val="0"/>
        <w:bidi w:val="0"/>
        <w:spacing w:line="560" w:lineRule="exact"/>
        <w:ind w:firstLine="883" w:firstLineChars="200"/>
        <w:jc w:val="both"/>
        <w:outlineLvl w:val="9"/>
        <w:rPr>
          <w:rFonts w:ascii="宋体"/>
          <w:b/>
          <w:color w:val="000000"/>
          <w:sz w:val="44"/>
          <w:szCs w:val="44"/>
        </w:rPr>
      </w:pP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hint="eastAsia" w:ascii="仿宋_GB2312" w:eastAsia="仿宋_GB2312"/>
          <w:sz w:val="32"/>
          <w:szCs w:val="32"/>
        </w:rPr>
        <w:t>。</w:t>
      </w:r>
    </w:p>
    <w:p>
      <w:pPr>
        <w:pStyle w:val="25"/>
        <w:keepNext w:val="0"/>
        <w:keepLines w:val="0"/>
        <w:pageBreakBefore w:val="0"/>
        <w:kinsoku/>
        <w:wordWrap/>
        <w:overflowPunct/>
        <w:topLinePunct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bookmarkStart w:id="29" w:name="_Toc15396614"/>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keepNext w:val="0"/>
        <w:keepLines w:val="0"/>
        <w:pageBreakBefore w:val="0"/>
        <w:kinsoku/>
        <w:wordWrap/>
        <w:overflowPunct/>
        <w:topLinePunct w:val="0"/>
        <w:bidi w:val="0"/>
        <w:spacing w:line="560" w:lineRule="exact"/>
        <w:ind w:firstLine="640" w:firstLineChars="200"/>
        <w:jc w:val="both"/>
        <w:outlineLvl w:val="9"/>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keepNext w:val="0"/>
        <w:keepLines w:val="0"/>
        <w:pageBreakBefore w:val="0"/>
        <w:kinsoku/>
        <w:wordWrap/>
        <w:overflowPunct/>
        <w:topLinePunct w:val="0"/>
        <w:bidi w:val="0"/>
        <w:spacing w:line="560" w:lineRule="exact"/>
        <w:ind w:firstLine="640" w:firstLineChars="200"/>
        <w:jc w:val="both"/>
        <w:outlineLvl w:val="9"/>
        <w:rPr>
          <w:rStyle w:val="21"/>
          <w:rFonts w:hint="eastAsia" w:ascii="方正小标宋简体" w:hAnsi="方正小标宋简体" w:eastAsia="方正小标宋简体" w:cs="方正小标宋简体"/>
          <w:b w:val="0"/>
          <w:lang w:eastAsia="zh-CN"/>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bidi w:val="0"/>
        <w:spacing w:line="560" w:lineRule="exact"/>
        <w:ind w:firstLine="360" w:firstLineChars="200"/>
        <w:jc w:val="both"/>
        <w:outlineLvl w:val="9"/>
        <w:rPr>
          <w:rFonts w:hint="eastAsia"/>
        </w:rPr>
      </w:pPr>
    </w:p>
    <w:p>
      <w:pPr>
        <w:keepNext w:val="0"/>
        <w:keepLines w:val="0"/>
        <w:pageBreakBefore w:val="0"/>
        <w:tabs>
          <w:tab w:val="left" w:pos="1252"/>
        </w:tabs>
        <w:kinsoku/>
        <w:wordWrap/>
        <w:overflowPunct/>
        <w:topLinePunct w:val="0"/>
        <w:bidi w:val="0"/>
        <w:spacing w:line="560" w:lineRule="exact"/>
        <w:ind w:firstLine="880" w:firstLineChars="200"/>
        <w:jc w:val="both"/>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ab/>
      </w:r>
      <w:r>
        <w:rPr>
          <w:rFonts w:hint="eastAsia" w:ascii="方正小标宋简体" w:eastAsia="方正小标宋简体"/>
          <w:sz w:val="44"/>
          <w:szCs w:val="44"/>
          <w:lang w:val="en-US" w:eastAsia="zh-CN"/>
        </w:rPr>
        <w:t xml:space="preserve">     </w:t>
      </w:r>
    </w:p>
    <w:p>
      <w:pPr>
        <w:keepNext w:val="0"/>
        <w:keepLines w:val="0"/>
        <w:pageBreakBefore w:val="0"/>
        <w:numPr>
          <w:ilvl w:val="0"/>
          <w:numId w:val="2"/>
        </w:numPr>
        <w:tabs>
          <w:tab w:val="left" w:pos="1252"/>
        </w:tabs>
        <w:kinsoku/>
        <w:wordWrap/>
        <w:overflowPunct/>
        <w:topLinePunct w:val="0"/>
        <w:bidi w:val="0"/>
        <w:spacing w:line="560" w:lineRule="exact"/>
        <w:ind w:left="0" w:leftChars="0" w:firstLine="880" w:firstLineChars="200"/>
        <w:jc w:val="center"/>
        <w:outlineLvl w:val="9"/>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lang w:eastAsia="zh-CN"/>
        </w:rPr>
        <w:t>附件</w:t>
      </w:r>
    </w:p>
    <w:p>
      <w:pPr>
        <w:keepNext w:val="0"/>
        <w:keepLines w:val="0"/>
        <w:pageBreakBefore w:val="0"/>
        <w:numPr>
          <w:ilvl w:val="0"/>
          <w:numId w:val="0"/>
        </w:numPr>
        <w:tabs>
          <w:tab w:val="left" w:pos="1252"/>
        </w:tabs>
        <w:kinsoku/>
        <w:wordWrap/>
        <w:overflowPunct/>
        <w:topLinePunct w:val="0"/>
        <w:bidi w:val="0"/>
        <w:spacing w:line="560" w:lineRule="exact"/>
        <w:jc w:val="both"/>
        <w:outlineLvl w:val="9"/>
        <w:rPr>
          <w:rFonts w:hint="eastAsia" w:ascii="仿宋" w:hAnsi="仿宋" w:eastAsia="仿宋" w:cs="仿宋"/>
          <w:sz w:val="32"/>
          <w:szCs w:val="32"/>
          <w:lang w:eastAsia="zh-CN"/>
        </w:rPr>
      </w:pPr>
    </w:p>
    <w:p>
      <w:pPr>
        <w:keepNext w:val="0"/>
        <w:keepLines w:val="0"/>
        <w:pageBreakBefore w:val="0"/>
        <w:numPr>
          <w:ilvl w:val="0"/>
          <w:numId w:val="0"/>
        </w:numPr>
        <w:tabs>
          <w:tab w:val="left" w:pos="1252"/>
        </w:tabs>
        <w:kinsoku/>
        <w:wordWrap/>
        <w:overflowPunct/>
        <w:topLinePunct w:val="0"/>
        <w:bidi w:val="0"/>
        <w:spacing w:line="560" w:lineRule="exact"/>
        <w:jc w:val="both"/>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pStyle w:val="2"/>
        <w:rPr>
          <w:rFonts w:hint="eastAsia"/>
          <w:lang w:eastAsia="zh-CN"/>
        </w:rPr>
      </w:pPr>
    </w:p>
    <w:p>
      <w:pPr>
        <w:keepNext w:val="0"/>
        <w:keepLines w:val="0"/>
        <w:pageBreakBefore w:val="0"/>
        <w:kinsoku/>
        <w:wordWrap/>
        <w:overflowPunct/>
        <w:topLinePunct w:val="0"/>
        <w:bidi w:val="0"/>
        <w:spacing w:line="560" w:lineRule="exact"/>
        <w:ind w:firstLine="2880" w:firstLineChars="800"/>
        <w:jc w:val="left"/>
        <w:outlineLvl w:val="9"/>
        <w:rPr>
          <w:rFonts w:hint="eastAsia" w:ascii="方正小标宋简体" w:eastAsia="方正小标宋简体"/>
          <w:sz w:val="36"/>
          <w:szCs w:val="36"/>
        </w:rPr>
      </w:pPr>
      <w:r>
        <w:rPr>
          <w:rFonts w:hint="eastAsia" w:ascii="方正小标宋简体" w:eastAsia="方正小标宋简体"/>
          <w:sz w:val="36"/>
          <w:szCs w:val="36"/>
        </w:rPr>
        <w:t>茂县工商业联合会</w:t>
      </w:r>
    </w:p>
    <w:p>
      <w:pPr>
        <w:keepNext w:val="0"/>
        <w:keepLines w:val="0"/>
        <w:pageBreakBefore w:val="0"/>
        <w:kinsoku/>
        <w:wordWrap/>
        <w:overflowPunct/>
        <w:topLinePunct w:val="0"/>
        <w:bidi w:val="0"/>
        <w:spacing w:line="560" w:lineRule="exact"/>
        <w:ind w:firstLine="720" w:firstLineChars="200"/>
        <w:jc w:val="center"/>
        <w:outlineLvl w:val="9"/>
        <w:rPr>
          <w:rFonts w:hint="eastAsia" w:ascii="方正小标宋简体" w:eastAsia="方正小标宋简体"/>
          <w:sz w:val="44"/>
          <w:szCs w:val="44"/>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4</w:t>
      </w:r>
      <w:r>
        <w:rPr>
          <w:rFonts w:hint="eastAsia" w:ascii="方正小标宋简体" w:eastAsia="方正小标宋简体"/>
          <w:sz w:val="36"/>
          <w:szCs w:val="36"/>
        </w:rPr>
        <w:t>年整体支出绩效评价报告</w:t>
      </w:r>
    </w:p>
    <w:p>
      <w:pPr>
        <w:keepNext w:val="0"/>
        <w:keepLines w:val="0"/>
        <w:pageBreakBefore w:val="0"/>
        <w:widowControl/>
        <w:kinsoku/>
        <w:wordWrap/>
        <w:overflowPunct/>
        <w:topLinePunct w:val="0"/>
        <w:autoSpaceDE w:val="0"/>
        <w:bidi w:val="0"/>
        <w:adjustRightInd w:val="0"/>
        <w:snapToGrid w:val="0"/>
        <w:spacing w:line="560" w:lineRule="exact"/>
        <w:ind w:firstLine="420" w:firstLineChars="200"/>
        <w:contextualSpacing/>
        <w:jc w:val="both"/>
        <w:outlineLvl w:val="9"/>
        <w:rPr>
          <w:rFonts w:hint="eastAsia" w:ascii="黑体" w:eastAsia="黑体" w:cs="宋体"/>
          <w:color w:val="000000"/>
          <w:kern w:val="0"/>
          <w:sz w:val="32"/>
          <w:szCs w:val="32"/>
          <w:shd w:val="clear" w:color="auto" w:fill="FFFFFF"/>
        </w:rPr>
      </w:pPr>
      <w:r>
        <w:rPr>
          <w:rFonts w:hint="eastAsia" w:ascii="黑体" w:eastAsia="黑体" w:cs="宋体"/>
          <w:color w:val="000000"/>
          <w:kern w:val="0"/>
          <w:shd w:val="clear" w:color="auto" w:fill="FFFFFF"/>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一、部门（单位）概况</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hAnsi="Times New Roman" w:eastAsia="仿宋_GB2312" w:cs="Times New Roman"/>
          <w:b/>
          <w:bCs/>
          <w:color w:val="000000"/>
          <w:kern w:val="0"/>
          <w:sz w:val="32"/>
          <w:szCs w:val="32"/>
        </w:rPr>
      </w:pPr>
      <w:r>
        <w:rPr>
          <w:rFonts w:hint="eastAsia" w:ascii="仿宋_GB2312" w:hAnsi="Times New Roman" w:eastAsia="仿宋_GB2312" w:cs="Times New Roman"/>
          <w:b/>
          <w:bCs/>
          <w:color w:val="000000"/>
          <w:kern w:val="0"/>
          <w:sz w:val="32"/>
          <w:szCs w:val="32"/>
        </w:rPr>
        <w:t>（一）机构组成</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lang w:eastAsia="zh-CN"/>
        </w:rPr>
        <w:t>茂县工商业联合会</w:t>
      </w:r>
      <w:r>
        <w:rPr>
          <w:rFonts w:hint="eastAsia" w:ascii="仿宋_GB2312" w:eastAsia="仿宋_GB2312"/>
          <w:sz w:val="32"/>
          <w:szCs w:val="32"/>
        </w:rPr>
        <w:t>是行政单位，属一级预算单位，其中内设机构1个。</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b/>
          <w:bCs/>
          <w:color w:val="000000"/>
          <w:kern w:val="0"/>
          <w:sz w:val="32"/>
          <w:szCs w:val="32"/>
        </w:rPr>
      </w:pPr>
      <w:r>
        <w:rPr>
          <w:rFonts w:hint="eastAsia" w:ascii="仿宋_GB2312" w:hAnsi="仿宋_GB2312" w:eastAsia="仿宋_GB2312"/>
          <w:b/>
          <w:bCs/>
          <w:color w:val="000000"/>
          <w:kern w:val="0"/>
          <w:sz w:val="32"/>
          <w:szCs w:val="32"/>
        </w:rPr>
        <w:t>（二）</w:t>
      </w:r>
      <w:r>
        <w:rPr>
          <w:rFonts w:hint="eastAsia" w:ascii="仿宋_GB2312" w:eastAsia="仿宋_GB2312"/>
          <w:b/>
          <w:bCs/>
          <w:color w:val="000000"/>
          <w:kern w:val="0"/>
          <w:sz w:val="32"/>
          <w:szCs w:val="32"/>
        </w:rPr>
        <w:t>机构职能</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1.参与我县大政方针</w:t>
      </w:r>
      <w:r>
        <w:rPr>
          <w:rFonts w:hint="eastAsia" w:ascii="仿宋_GB2312" w:eastAsia="仿宋_GB2312"/>
          <w:sz w:val="32"/>
          <w:szCs w:val="32"/>
          <w:lang w:eastAsia="zh-CN"/>
        </w:rPr>
        <w:t>政策</w:t>
      </w:r>
      <w:r>
        <w:rPr>
          <w:rFonts w:hint="eastAsia" w:ascii="仿宋_GB2312" w:eastAsia="仿宋_GB2312"/>
          <w:sz w:val="32"/>
          <w:szCs w:val="32"/>
        </w:rPr>
        <w:t>及政治、经济、社会中的重要问题的政治协商，发挥民主监督的作用，参政议政。</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2.引导会员积极参加我县经济建设，推动非公有制经济健康发展。</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3.做好工商界代表人士政治安排的推荐工作。</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sz w:val="32"/>
          <w:szCs w:val="32"/>
        </w:rPr>
      </w:pPr>
      <w:r>
        <w:rPr>
          <w:rFonts w:hint="eastAsia" w:ascii="仿宋_GB2312" w:eastAsia="仿宋_GB2312"/>
          <w:sz w:val="32"/>
          <w:szCs w:val="32"/>
        </w:rPr>
        <w:t>6.办好会办企业。</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sz w:val="32"/>
          <w:szCs w:val="32"/>
        </w:rPr>
        <w:t>7.承办县委、县政府交办的其他工作。</w:t>
      </w:r>
    </w:p>
    <w:p>
      <w:pPr>
        <w:keepNext w:val="0"/>
        <w:keepLines w:val="0"/>
        <w:pageBreakBefore w:val="0"/>
        <w:kinsoku/>
        <w:wordWrap/>
        <w:overflowPunct/>
        <w:topLinePunct w:val="0"/>
        <w:autoSpaceDE w:val="0"/>
        <w:bidi w:val="0"/>
        <w:spacing w:line="560" w:lineRule="exact"/>
        <w:ind w:firstLine="642" w:firstLineChars="200"/>
        <w:jc w:val="both"/>
        <w:outlineLvl w:val="9"/>
        <w:rPr>
          <w:rFonts w:hint="eastAsia" w:ascii="仿宋_GB2312" w:eastAsia="仿宋_GB2312"/>
          <w:color w:val="000000"/>
          <w:kern w:val="0"/>
          <w:sz w:val="32"/>
          <w:szCs w:val="32"/>
        </w:rPr>
      </w:pPr>
      <w:r>
        <w:rPr>
          <w:rFonts w:hint="eastAsia" w:ascii="仿宋_GB2312" w:eastAsia="仿宋_GB2312"/>
          <w:b/>
          <w:bCs/>
          <w:color w:val="000000"/>
          <w:kern w:val="0"/>
          <w:sz w:val="32"/>
          <w:szCs w:val="32"/>
        </w:rPr>
        <w:t>（三）人员概况</w:t>
      </w:r>
    </w:p>
    <w:p>
      <w:pPr>
        <w:keepNext w:val="0"/>
        <w:keepLines w:val="0"/>
        <w:pageBreakBefore w:val="0"/>
        <w:kinsoku/>
        <w:wordWrap/>
        <w:overflowPunct/>
        <w:topLinePunct w:val="0"/>
        <w:autoSpaceDE w:val="0"/>
        <w:bidi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sz w:val="32"/>
          <w:szCs w:val="32"/>
        </w:rPr>
        <w:t>人员总编制</w:t>
      </w:r>
      <w:r>
        <w:rPr>
          <w:rFonts w:hint="eastAsia" w:ascii="仿宋_GB2312" w:eastAsia="仿宋_GB2312"/>
          <w:sz w:val="32"/>
          <w:szCs w:val="32"/>
          <w:lang w:val="en-US" w:eastAsia="zh-CN"/>
        </w:rPr>
        <w:t>4</w:t>
      </w:r>
      <w:r>
        <w:rPr>
          <w:rFonts w:hint="eastAsia" w:ascii="仿宋_GB2312" w:eastAsia="仿宋_GB2312"/>
          <w:sz w:val="32"/>
          <w:szCs w:val="32"/>
        </w:rPr>
        <w:t xml:space="preserve">名,其中:行政编制2名，参照公务员管理事业编制 </w:t>
      </w:r>
      <w:r>
        <w:rPr>
          <w:rFonts w:hint="eastAsia" w:ascii="仿宋_GB2312" w:eastAsia="仿宋_GB2312"/>
          <w:sz w:val="32"/>
          <w:szCs w:val="32"/>
          <w:lang w:val="en-US" w:eastAsia="zh-CN"/>
        </w:rPr>
        <w:t>0</w:t>
      </w:r>
      <w:r>
        <w:rPr>
          <w:rFonts w:hint="eastAsia" w:ascii="仿宋_GB2312" w:eastAsia="仿宋_GB2312"/>
          <w:sz w:val="32"/>
          <w:szCs w:val="32"/>
        </w:rPr>
        <w:t>名。实有在职人员总数</w:t>
      </w:r>
      <w:r>
        <w:rPr>
          <w:rFonts w:hint="eastAsia" w:ascii="仿宋_GB2312" w:eastAsia="仿宋_GB2312"/>
          <w:sz w:val="32"/>
          <w:szCs w:val="32"/>
          <w:lang w:val="en-US" w:eastAsia="zh-CN"/>
        </w:rPr>
        <w:t>2</w:t>
      </w:r>
      <w:r>
        <w:rPr>
          <w:rFonts w:hint="eastAsia" w:ascii="仿宋_GB2312" w:eastAsia="仿宋_GB2312"/>
          <w:sz w:val="32"/>
          <w:szCs w:val="32"/>
        </w:rPr>
        <w:t>名，在职人员中行政人员2名，事业人员</w:t>
      </w:r>
      <w:r>
        <w:rPr>
          <w:rFonts w:hint="eastAsia" w:ascii="仿宋_GB2312" w:eastAsia="仿宋_GB2312"/>
          <w:sz w:val="32"/>
          <w:szCs w:val="32"/>
          <w:lang w:val="en-US" w:eastAsia="zh-CN"/>
        </w:rPr>
        <w:t>0</w:t>
      </w:r>
      <w:r>
        <w:rPr>
          <w:rFonts w:hint="eastAsia" w:ascii="仿宋_GB2312" w:eastAsia="仿宋_GB2312"/>
          <w:sz w:val="32"/>
          <w:szCs w:val="32"/>
        </w:rPr>
        <w:t xml:space="preserve">名。退休人员0人。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二、部门财政资金收支情况</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（一）部门财政资金收入情况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年本中心财政拨款收入决算总额为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102.87万</w:t>
      </w:r>
      <w:r>
        <w:rPr>
          <w:rFonts w:hint="eastAsia" w:ascii="仿宋_GB2312" w:eastAsia="仿宋_GB2312"/>
          <w:color w:val="000000"/>
          <w:kern w:val="0"/>
          <w:sz w:val="32"/>
          <w:szCs w:val="32"/>
        </w:rPr>
        <w:t>元,均为一般公共预算财政拨款。</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sz w:val="32"/>
          <w:szCs w:val="32"/>
        </w:rPr>
      </w:pPr>
      <w:r>
        <w:rPr>
          <w:rFonts w:hint="eastAsia" w:ascii="仿宋_GB2312" w:eastAsia="仿宋_GB2312"/>
          <w:b/>
          <w:bCs/>
          <w:sz w:val="32"/>
          <w:szCs w:val="32"/>
        </w:rPr>
        <w:t>（二）部门财政资金支出情况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年本部门财政拨款支出决算总额</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万元。其中：当年财政拨款支出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万元,均为一般公共预算财政拨款。</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结余分配和结转结余情况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eastAsia="zh-CN"/>
        </w:rPr>
        <w:t>茂县工商业联合会</w:t>
      </w: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年决算报表</w:t>
      </w:r>
      <w:r>
        <w:rPr>
          <w:rFonts w:hint="eastAsia" w:ascii="仿宋_GB2312" w:eastAsia="仿宋_GB2312"/>
          <w:color w:val="000000"/>
          <w:kern w:val="0"/>
          <w:sz w:val="32"/>
          <w:szCs w:val="32"/>
          <w:lang w:eastAsia="zh-CN"/>
        </w:rPr>
        <w:t>中无</w:t>
      </w:r>
      <w:r>
        <w:rPr>
          <w:rFonts w:hint="eastAsia" w:ascii="仿宋_GB2312" w:eastAsia="仿宋_GB2312"/>
          <w:color w:val="000000"/>
          <w:kern w:val="0"/>
          <w:sz w:val="32"/>
          <w:szCs w:val="32"/>
        </w:rPr>
        <w:t>结转结余情况。</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黑体" w:eastAsia="黑体"/>
          <w:color w:val="000000"/>
          <w:kern w:val="0"/>
          <w:sz w:val="32"/>
          <w:szCs w:val="32"/>
          <w:shd w:val="clear" w:color="auto" w:fill="FFFFFF"/>
          <w:lang w:eastAsia="zh-CN"/>
        </w:rPr>
      </w:pPr>
      <w:r>
        <w:rPr>
          <w:rFonts w:hint="eastAsia" w:ascii="仿宋_GB2312" w:eastAsia="仿宋_GB2312"/>
          <w:color w:val="000000"/>
          <w:kern w:val="0"/>
          <w:sz w:val="32"/>
          <w:szCs w:val="32"/>
          <w:lang w:eastAsia="zh-CN"/>
        </w:rPr>
        <w:tab/>
      </w:r>
      <w:r>
        <w:rPr>
          <w:rFonts w:hint="eastAsia" w:ascii="黑体" w:eastAsia="黑体"/>
          <w:color w:val="000000"/>
          <w:kern w:val="0"/>
          <w:sz w:val="32"/>
          <w:szCs w:val="32"/>
          <w:shd w:val="clear" w:color="auto" w:fill="FFFFFF"/>
        </w:rPr>
        <w:t>三、部门整体预算绩效</w:t>
      </w:r>
      <w:r>
        <w:rPr>
          <w:rFonts w:hint="eastAsia" w:ascii="黑体" w:eastAsia="黑体"/>
          <w:color w:val="000000"/>
          <w:kern w:val="0"/>
          <w:sz w:val="32"/>
          <w:szCs w:val="32"/>
          <w:shd w:val="clear" w:color="auto" w:fill="FFFFFF"/>
          <w:lang w:eastAsia="zh-CN"/>
        </w:rPr>
        <w:t>分析</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rPr>
        <w:t>（一）部门预算</w:t>
      </w:r>
      <w:r>
        <w:rPr>
          <w:rFonts w:hint="eastAsia" w:ascii="仿宋_GB2312" w:eastAsia="仿宋_GB2312"/>
          <w:b/>
          <w:bCs/>
          <w:color w:val="000000"/>
          <w:kern w:val="0"/>
          <w:sz w:val="32"/>
          <w:szCs w:val="32"/>
          <w:shd w:val="clear" w:color="auto" w:fill="FFFFFF"/>
          <w:lang w:val="zh-CN"/>
        </w:rPr>
        <w:t>总体绩效分析</w:t>
      </w:r>
    </w:p>
    <w:p>
      <w:pPr>
        <w:keepNext w:val="0"/>
        <w:keepLines w:val="0"/>
        <w:pageBreakBefore w:val="0"/>
        <w:kinsoku/>
        <w:wordWrap/>
        <w:overflowPunct/>
        <w:topLinePunct w:val="0"/>
        <w:bidi w:val="0"/>
        <w:spacing w:line="560" w:lineRule="exact"/>
        <w:ind w:firstLine="642" w:firstLineChars="200"/>
        <w:jc w:val="both"/>
        <w:outlineLvl w:val="9"/>
        <w:rPr>
          <w:rFonts w:hint="eastAsia" w:ascii="仿宋_GB2312" w:hAnsi="仿宋_GB2312" w:eastAsia="仿宋_GB2312" w:cs="仿宋_GB2312"/>
          <w:sz w:val="32"/>
          <w:szCs w:val="32"/>
        </w:rPr>
      </w:pPr>
      <w:r>
        <w:rPr>
          <w:rFonts w:hint="eastAsia" w:ascii="仿宋_GB2312" w:hAnsi="Times New Roman" w:eastAsia="仿宋_GB2312" w:cs="Times New Roman"/>
          <w:b/>
          <w:bCs/>
          <w:color w:val="000000"/>
          <w:kern w:val="0"/>
          <w:sz w:val="32"/>
          <w:szCs w:val="32"/>
          <w:lang w:val="en-US" w:eastAsia="zh-CN" w:bidi="ar-SA"/>
        </w:rPr>
        <w:t>1.履职效能</w:t>
      </w:r>
      <w:r>
        <w:rPr>
          <w:rFonts w:hint="eastAsia" w:ascii="仿宋_GB2312" w:hAnsi="Times New Roman" w:eastAsia="仿宋_GB2312" w:cs="Times New Roman"/>
          <w:bCs w:val="0"/>
          <w:color w:val="000000"/>
          <w:kern w:val="0"/>
          <w:sz w:val="32"/>
          <w:szCs w:val="32"/>
          <w:lang w:val="en-US" w:eastAsia="zh-CN" w:bidi="ar-SA"/>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）加强思想建设和组织建设 。召开茂县工商联（商会）第六届执行委员会第二次会议和茂县工商联（商会）第六届四次、五次</w:t>
      </w:r>
      <w:r>
        <w:rPr>
          <w:rFonts w:hint="eastAsia" w:ascii="仿宋_GB2312" w:hAnsi="仿宋_GB2312" w:eastAsia="仿宋_GB2312" w:cs="仿宋_GB2312"/>
          <w:sz w:val="32"/>
          <w:szCs w:val="32"/>
          <w:lang w:eastAsia="zh-CN"/>
        </w:rPr>
        <w:t>、六次</w:t>
      </w:r>
      <w:r>
        <w:rPr>
          <w:rFonts w:hint="eastAsia" w:ascii="仿宋_GB2312" w:hAnsi="仿宋_GB2312" w:eastAsia="仿宋_GB2312" w:cs="仿宋_GB2312"/>
          <w:sz w:val="32"/>
          <w:szCs w:val="32"/>
        </w:rPr>
        <w:t>常委会</w:t>
      </w:r>
      <w:r>
        <w:rPr>
          <w:rStyle w:val="26"/>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聚焦全县中心工作，深入开展“两联一进”。</w:t>
      </w:r>
      <w:r>
        <w:rPr>
          <w:rFonts w:hint="eastAsia" w:ascii="仿宋_GB2312" w:hAnsi="仿宋_GB2312" w:eastAsia="仿宋_GB2312" w:cs="仿宋_GB2312"/>
          <w:sz w:val="32"/>
          <w:szCs w:val="32"/>
        </w:rPr>
        <w:t>深入联系村开展群众工作全覆盖走访，积极开展惠民政策宣传、环境卫生、汛期安全、森林防灭火督查等活动</w:t>
      </w:r>
      <w:r>
        <w:rPr>
          <w:rFonts w:hint="eastAsia" w:ascii="仿宋_GB2312" w:hAnsi="仿宋_GB2312" w:eastAsia="仿宋_GB2312" w:cs="仿宋_GB2312"/>
          <w:sz w:val="32"/>
          <w:szCs w:val="32"/>
          <w:lang w:eastAsia="zh-CN"/>
        </w:rPr>
        <w:t>。</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加强走访调研，掌握企业发展现状。今年以来，实地走访和调研</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户会员企业，了解企业经营现状和未来发展规划，听取他们的困难和诉求</w:t>
      </w:r>
      <w:r>
        <w:rPr>
          <w:rFonts w:hint="eastAsia" w:ascii="仿宋_GB2312" w:hAnsi="仿宋_GB2312" w:eastAsia="仿宋_GB2312" w:cs="仿宋_GB2312"/>
          <w:sz w:val="32"/>
          <w:szCs w:val="32"/>
        </w:rPr>
        <w:t>。</w:t>
      </w:r>
    </w:p>
    <w:p>
      <w:pPr>
        <w:pStyle w:val="27"/>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）开展考察学习，开阔眼界视野。</w:t>
      </w:r>
      <w:r>
        <w:rPr>
          <w:rFonts w:hint="eastAsia" w:ascii="仿宋_GB2312" w:hAnsi="仿宋_GB2312" w:eastAsia="仿宋_GB2312" w:cs="仿宋_GB2312"/>
          <w:sz w:val="32"/>
          <w:szCs w:val="32"/>
        </w:rPr>
        <w:t>今年以来，县委统战部、县工商联组织我县民营企业代表开展考察学习活动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次。对接重庆市阿坝州商会考察团赴茂县开展农业考察交流活动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动员民企参与“万企兴万村”行动。</w:t>
      </w:r>
      <w:r>
        <w:rPr>
          <w:rFonts w:hint="eastAsia" w:ascii="仿宋_GB2312" w:hAnsi="仿宋_GB2312" w:eastAsia="仿宋_GB2312" w:cs="仿宋_GB2312"/>
          <w:sz w:val="32"/>
          <w:szCs w:val="32"/>
        </w:rPr>
        <w:t>目前已动员我县13户民营企业与行政村开展村企结对。</w:t>
      </w:r>
    </w:p>
    <w:p>
      <w:pPr>
        <w:keepNext w:val="0"/>
        <w:keepLines w:val="0"/>
        <w:pageBreakBefore w:val="0"/>
        <w:widowControl/>
        <w:shd w:val="clear" w:color="auto" w:fill="FFFFFF"/>
        <w:kinsoku/>
        <w:wordWrap/>
        <w:overflowPunct/>
        <w:topLinePunct w:val="0"/>
        <w:bidi w:val="0"/>
        <w:spacing w:line="560" w:lineRule="exact"/>
        <w:ind w:firstLine="642" w:firstLineChars="200"/>
        <w:jc w:val="both"/>
        <w:outlineLvl w:val="9"/>
        <w:rPr>
          <w:rFonts w:hint="eastAsia" w:ascii="仿宋_GB2312" w:eastAsia="仿宋_GB2312"/>
          <w:color w:val="000000"/>
          <w:kern w:val="0"/>
          <w:sz w:val="32"/>
          <w:szCs w:val="32"/>
          <w:lang w:val="zh-CN"/>
        </w:rPr>
      </w:pPr>
      <w:r>
        <w:rPr>
          <w:rFonts w:hint="eastAsia" w:ascii="仿宋_GB2312" w:eastAsia="仿宋_GB2312"/>
          <w:b/>
          <w:bCs/>
          <w:color w:val="000000"/>
          <w:kern w:val="0"/>
          <w:sz w:val="32"/>
          <w:szCs w:val="32"/>
          <w:lang w:val="en-US" w:eastAsia="zh-CN"/>
        </w:rPr>
        <w:t>2.</w:t>
      </w:r>
      <w:r>
        <w:rPr>
          <w:rFonts w:hint="eastAsia" w:ascii="仿宋_GB2312" w:eastAsia="仿宋_GB2312"/>
          <w:b/>
          <w:bCs/>
          <w:color w:val="000000"/>
          <w:kern w:val="0"/>
          <w:sz w:val="32"/>
          <w:szCs w:val="32"/>
          <w:lang w:val="zh-CN"/>
        </w:rPr>
        <w:t>预算管理</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lang w:val="zh-CN"/>
        </w:rPr>
        <w:t>我单位在预决算编制上做到认真、负责、按时按规定报送。统筹单位来年的工作编制预算。编制预算时做到有文件有依据，严格控制一般性支出。</w:t>
      </w:r>
    </w:p>
    <w:p>
      <w:pPr>
        <w:keepNext w:val="0"/>
        <w:keepLines w:val="0"/>
        <w:pageBreakBefore w:val="0"/>
        <w:widowControl/>
        <w:shd w:val="clear" w:color="auto" w:fill="FFFFFF"/>
        <w:kinsoku/>
        <w:wordWrap/>
        <w:overflowPunct/>
        <w:topLinePunct w:val="0"/>
        <w:bidi w:val="0"/>
        <w:spacing w:line="560" w:lineRule="exact"/>
        <w:ind w:firstLine="640" w:firstLineChars="200"/>
        <w:jc w:val="both"/>
        <w:outlineLvl w:val="9"/>
        <w:rPr>
          <w:rFonts w:hint="default"/>
          <w:sz w:val="32"/>
          <w:szCs w:val="32"/>
          <w:lang w:val="en-US" w:eastAsia="zh-CN"/>
        </w:rPr>
      </w:pP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年本单位预算收入合计</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万元，其中：当年财政拨款收入</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万元,均为一般公共预算财政拨款。按功能分类支出情况，民主党派及工商联事务支出</w:t>
      </w:r>
      <w:r>
        <w:rPr>
          <w:rFonts w:hint="eastAsia" w:ascii="仿宋_GB2312" w:eastAsia="仿宋_GB2312"/>
          <w:color w:val="000000"/>
          <w:kern w:val="0"/>
          <w:sz w:val="32"/>
          <w:szCs w:val="32"/>
          <w:lang w:val="en-US" w:eastAsia="zh-CN"/>
        </w:rPr>
        <w:t>74.14</w:t>
      </w:r>
      <w:r>
        <w:rPr>
          <w:rFonts w:hint="eastAsia" w:ascii="仿宋_GB2312" w:eastAsia="仿宋_GB2312"/>
          <w:color w:val="000000"/>
          <w:kern w:val="0"/>
          <w:sz w:val="32"/>
          <w:szCs w:val="32"/>
        </w:rPr>
        <w:t>万元、社会保障和就业支出</w:t>
      </w:r>
      <w:r>
        <w:rPr>
          <w:rFonts w:hint="eastAsia" w:ascii="仿宋_GB2312" w:eastAsia="仿宋_GB2312"/>
          <w:color w:val="000000"/>
          <w:kern w:val="0"/>
          <w:sz w:val="32"/>
          <w:szCs w:val="32"/>
          <w:lang w:val="en-US" w:eastAsia="zh-CN"/>
        </w:rPr>
        <w:t>14.95</w:t>
      </w:r>
      <w:r>
        <w:rPr>
          <w:rFonts w:hint="eastAsia" w:ascii="仿宋_GB2312" w:eastAsia="仿宋_GB2312"/>
          <w:color w:val="000000"/>
          <w:kern w:val="0"/>
          <w:sz w:val="32"/>
          <w:szCs w:val="32"/>
        </w:rPr>
        <w:t>万元、卫生健康支出</w:t>
      </w:r>
      <w:r>
        <w:rPr>
          <w:rFonts w:hint="eastAsia" w:ascii="仿宋_GB2312" w:eastAsia="仿宋_GB2312"/>
          <w:color w:val="000000"/>
          <w:kern w:val="0"/>
          <w:sz w:val="32"/>
          <w:szCs w:val="32"/>
          <w:lang w:val="en-US" w:eastAsia="zh-CN"/>
        </w:rPr>
        <w:t>5.84</w:t>
      </w:r>
      <w:r>
        <w:rPr>
          <w:rFonts w:hint="eastAsia" w:ascii="仿宋_GB2312" w:eastAsia="仿宋_GB2312"/>
          <w:color w:val="000000"/>
          <w:kern w:val="0"/>
          <w:sz w:val="32"/>
          <w:szCs w:val="32"/>
        </w:rPr>
        <w:t>万元、住房保障支出</w:t>
      </w:r>
      <w:r>
        <w:rPr>
          <w:rFonts w:hint="eastAsia" w:ascii="仿宋_GB2312" w:eastAsia="仿宋_GB2312"/>
          <w:color w:val="000000"/>
          <w:kern w:val="0"/>
          <w:sz w:val="32"/>
          <w:szCs w:val="32"/>
          <w:lang w:val="en-US" w:eastAsia="zh-CN"/>
        </w:rPr>
        <w:t>7.94</w:t>
      </w:r>
      <w:r>
        <w:rPr>
          <w:rFonts w:hint="eastAsia" w:ascii="仿宋_GB2312" w:eastAsia="仿宋_GB2312"/>
          <w:color w:val="000000"/>
          <w:kern w:val="0"/>
          <w:sz w:val="32"/>
          <w:szCs w:val="32"/>
        </w:rPr>
        <w:t>万元；按支出性质分类，基本支出</w:t>
      </w:r>
      <w:r>
        <w:rPr>
          <w:rFonts w:hint="eastAsia" w:ascii="仿宋_GB2312" w:eastAsia="仿宋_GB2312"/>
          <w:color w:val="000000"/>
          <w:kern w:val="0"/>
          <w:sz w:val="32"/>
          <w:szCs w:val="32"/>
          <w:lang w:val="en-US" w:eastAsia="zh-CN"/>
        </w:rPr>
        <w:t>102.87</w:t>
      </w:r>
      <w:r>
        <w:rPr>
          <w:rFonts w:hint="eastAsia" w:ascii="仿宋_GB2312" w:eastAsia="仿宋_GB2312"/>
          <w:color w:val="000000"/>
          <w:kern w:val="0"/>
          <w:sz w:val="32"/>
          <w:szCs w:val="32"/>
        </w:rPr>
        <w:t>万元；按经济分类支出情况，工资福利支出</w:t>
      </w:r>
      <w:r>
        <w:rPr>
          <w:rFonts w:hint="eastAsia" w:ascii="仿宋_GB2312" w:eastAsia="仿宋_GB2312"/>
          <w:color w:val="000000"/>
          <w:kern w:val="0"/>
          <w:sz w:val="32"/>
          <w:szCs w:val="32"/>
          <w:lang w:val="en-US" w:eastAsia="zh-CN"/>
        </w:rPr>
        <w:t>99.60</w:t>
      </w:r>
      <w:r>
        <w:rPr>
          <w:rFonts w:hint="eastAsia" w:ascii="仿宋_GB2312" w:eastAsia="仿宋_GB2312"/>
          <w:color w:val="000000"/>
          <w:kern w:val="0"/>
          <w:sz w:val="32"/>
          <w:szCs w:val="32"/>
        </w:rPr>
        <w:t>万元，商品和服务支出</w:t>
      </w:r>
      <w:r>
        <w:rPr>
          <w:rFonts w:hint="eastAsia" w:ascii="仿宋_GB2312" w:eastAsia="仿宋_GB2312"/>
          <w:color w:val="000000"/>
          <w:kern w:val="0"/>
          <w:sz w:val="32"/>
          <w:szCs w:val="32"/>
          <w:lang w:val="en-US" w:eastAsia="zh-CN"/>
        </w:rPr>
        <w:t>3.25</w:t>
      </w:r>
      <w:r>
        <w:rPr>
          <w:rFonts w:hint="eastAsia" w:ascii="仿宋_GB2312" w:eastAsia="仿宋_GB2312"/>
          <w:color w:val="000000"/>
          <w:kern w:val="0"/>
          <w:sz w:val="32"/>
          <w:szCs w:val="32"/>
        </w:rPr>
        <w:t>万元，对个人和家庭的补助支出0.0</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万</w:t>
      </w:r>
      <w:r>
        <w:rPr>
          <w:rFonts w:hint="eastAsia" w:ascii="仿宋_GB2312" w:eastAsia="仿宋_GB2312"/>
          <w:color w:val="000000"/>
          <w:kern w:val="0"/>
          <w:sz w:val="32"/>
          <w:szCs w:val="32"/>
          <w:lang w:eastAsia="zh-CN"/>
        </w:rPr>
        <w:t>元</w:t>
      </w:r>
      <w:r>
        <w:rPr>
          <w:rFonts w:hint="eastAsia" w:ascii="仿宋_GB2312" w:eastAsia="仿宋_GB2312"/>
          <w:color w:val="000000"/>
          <w:kern w:val="0"/>
          <w:sz w:val="32"/>
          <w:szCs w:val="32"/>
          <w:lang w:val="en-US" w:eastAsia="zh-CN"/>
        </w:rPr>
        <w:t>资金执行进度正常，能按要求及时支付，年终预算无结余结转，全部完成年初预算。严控一般性支出，做到“三公”经费不增，厉行节约。</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color w:val="000000"/>
          <w:kern w:val="0"/>
          <w:sz w:val="32"/>
          <w:szCs w:val="32"/>
          <w:lang w:val="en-US" w:eastAsia="zh-CN"/>
        </w:rPr>
      </w:pPr>
      <w:r>
        <w:rPr>
          <w:rFonts w:hint="eastAsia" w:ascii="仿宋_GB2312" w:eastAsia="仿宋_GB2312"/>
          <w:b/>
          <w:bCs/>
          <w:color w:val="000000"/>
          <w:kern w:val="0"/>
          <w:sz w:val="32"/>
          <w:szCs w:val="32"/>
          <w:lang w:val="en-US" w:eastAsia="zh-CN"/>
        </w:rPr>
        <w:t>3.</w:t>
      </w:r>
      <w:r>
        <w:rPr>
          <w:rFonts w:hint="eastAsia" w:ascii="仿宋_GB2312" w:eastAsia="仿宋_GB2312"/>
          <w:b/>
          <w:bCs/>
          <w:color w:val="000000"/>
          <w:kern w:val="0"/>
          <w:sz w:val="32"/>
          <w:szCs w:val="32"/>
          <w:lang w:val="zh-CN"/>
        </w:rPr>
        <w:t>财务管理</w:t>
      </w:r>
      <w:r>
        <w:rPr>
          <w:rFonts w:hint="eastAsia" w:ascii="仿宋_GB2312" w:eastAsia="仿宋_GB2312"/>
          <w:color w:val="000000"/>
          <w:kern w:val="0"/>
          <w:sz w:val="32"/>
          <w:szCs w:val="32"/>
          <w:lang w:val="zh-CN"/>
        </w:rPr>
        <w:t>。单位建立了相关的财务管理制度，设立了出纳和会计岗以及相应的财务人员。</w:t>
      </w:r>
      <w:r>
        <w:rPr>
          <w:rFonts w:hint="eastAsia" w:ascii="仿宋_GB2312" w:eastAsia="仿宋_GB2312"/>
          <w:color w:val="000000"/>
          <w:kern w:val="0"/>
          <w:sz w:val="32"/>
          <w:szCs w:val="32"/>
        </w:rPr>
        <w:t>在财务管理方面，经费支出实行</w:t>
      </w:r>
      <w:r>
        <w:rPr>
          <w:rFonts w:hint="eastAsia" w:ascii="仿宋_GB2312" w:eastAsia="仿宋_GB2312"/>
          <w:color w:val="000000"/>
          <w:kern w:val="0"/>
          <w:sz w:val="32"/>
          <w:szCs w:val="32"/>
          <w:lang w:eastAsia="zh-CN"/>
        </w:rPr>
        <w:t>严格</w:t>
      </w:r>
      <w:r>
        <w:rPr>
          <w:rFonts w:hint="eastAsia" w:ascii="仿宋_GB2312" w:eastAsia="仿宋_GB2312"/>
          <w:color w:val="000000"/>
          <w:kern w:val="0"/>
          <w:sz w:val="32"/>
          <w:szCs w:val="32"/>
        </w:rPr>
        <w:t>审批制度，严格预算原则。严格控制基本经费支出，加强对日常经费开支的管理。加大对公务卡的使用管理，要求工作人员严格按照公务卡结算目录的要求使用公务卡。</w:t>
      </w:r>
      <w:r>
        <w:rPr>
          <w:rFonts w:hint="eastAsia" w:ascii="仿宋_GB2312" w:eastAsia="仿宋_GB2312"/>
          <w:color w:val="000000"/>
          <w:kern w:val="0"/>
          <w:sz w:val="32"/>
          <w:szCs w:val="32"/>
          <w:lang w:val="en-US" w:eastAsia="zh-CN"/>
        </w:rPr>
        <w:t xml:space="preserve"> </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default" w:ascii="仿宋_GB2312" w:eastAsia="仿宋_GB2312"/>
          <w:color w:val="000000"/>
          <w:kern w:val="0"/>
          <w:sz w:val="32"/>
          <w:szCs w:val="32"/>
          <w:lang w:val="en-US" w:eastAsia="zh-CN"/>
        </w:rPr>
      </w:pPr>
      <w:r>
        <w:rPr>
          <w:rFonts w:hint="eastAsia" w:ascii="仿宋_GB2312" w:eastAsia="仿宋_GB2312"/>
          <w:b/>
          <w:bCs/>
          <w:color w:val="000000"/>
          <w:kern w:val="0"/>
          <w:sz w:val="32"/>
          <w:szCs w:val="32"/>
          <w:lang w:val="en-US" w:eastAsia="zh-CN"/>
        </w:rPr>
        <w:t>4.</w:t>
      </w:r>
      <w:r>
        <w:rPr>
          <w:rFonts w:hint="eastAsia" w:ascii="仿宋_GB2312" w:eastAsia="仿宋_GB2312"/>
          <w:b/>
          <w:bCs/>
          <w:color w:val="000000"/>
          <w:kern w:val="0"/>
          <w:sz w:val="32"/>
          <w:szCs w:val="32"/>
          <w:lang w:val="zh-CN"/>
        </w:rPr>
        <w:t>资产管理</w:t>
      </w:r>
      <w:r>
        <w:rPr>
          <w:rFonts w:hint="eastAsia" w:ascii="仿宋_GB2312" w:eastAsia="仿宋_GB2312"/>
          <w:color w:val="000000"/>
          <w:kern w:val="0"/>
          <w:sz w:val="32"/>
          <w:szCs w:val="32"/>
          <w:lang w:val="zh-CN"/>
        </w:rPr>
        <w:t>。</w:t>
      </w:r>
      <w:r>
        <w:rPr>
          <w:rFonts w:hint="eastAsia" w:ascii="仿宋_GB2312" w:eastAsia="仿宋_GB2312"/>
          <w:color w:val="000000"/>
          <w:kern w:val="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kern w:val="0"/>
          <w:sz w:val="32"/>
          <w:szCs w:val="32"/>
          <w:lang w:eastAsia="zh-CN"/>
        </w:rPr>
        <w:t>维修，使资产</w:t>
      </w:r>
      <w:r>
        <w:rPr>
          <w:rFonts w:hint="eastAsia" w:ascii="仿宋_GB2312" w:eastAsia="仿宋_GB2312"/>
          <w:color w:val="000000"/>
          <w:kern w:val="0"/>
          <w:sz w:val="32"/>
          <w:szCs w:val="32"/>
          <w:lang w:val="en-US" w:eastAsia="zh-CN"/>
        </w:rPr>
        <w:t>能保障单位工作的正常运转。在办公设备配置上，严格执行电脑、打印机等最低使用年限，年限期满后能够维修使用的继续使用，没有超出配置。资产利用率达到100%，无闲置资产。</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2" w:firstLineChars="200"/>
        <w:jc w:val="both"/>
        <w:outlineLvl w:val="9"/>
        <w:rPr>
          <w:rFonts w:hint="eastAsia"/>
          <w:lang w:eastAsia="zh-CN"/>
        </w:rPr>
      </w:pPr>
      <w:r>
        <w:rPr>
          <w:rFonts w:hint="eastAsia" w:ascii="仿宋_GB2312" w:eastAsia="仿宋_GB2312"/>
          <w:b/>
          <w:bCs/>
          <w:color w:val="000000"/>
          <w:kern w:val="0"/>
          <w:sz w:val="32"/>
          <w:szCs w:val="32"/>
          <w:lang w:val="en-US" w:eastAsia="zh-CN"/>
        </w:rPr>
        <w:t>5.</w:t>
      </w:r>
      <w:r>
        <w:rPr>
          <w:rFonts w:hint="eastAsia" w:ascii="仿宋_GB2312" w:eastAsia="仿宋_GB2312"/>
          <w:b/>
          <w:bCs/>
          <w:color w:val="000000"/>
          <w:kern w:val="0"/>
          <w:sz w:val="32"/>
          <w:szCs w:val="32"/>
          <w:lang w:val="zh-CN"/>
        </w:rPr>
        <w:t>采购管理。</w:t>
      </w:r>
      <w:r>
        <w:rPr>
          <w:rFonts w:hint="eastAsia" w:ascii="仿宋_GB2312" w:eastAsia="仿宋_GB2312"/>
          <w:color w:val="000000"/>
          <w:kern w:val="0"/>
          <w:sz w:val="32"/>
          <w:szCs w:val="32"/>
          <w:lang w:val="zh-CN"/>
        </w:rPr>
        <w:t>我单位的采购主要是采用询价的方式进行，采购严格按照相关的文件进行。</w:t>
      </w:r>
    </w:p>
    <w:p>
      <w:pPr>
        <w:keepNext w:val="0"/>
        <w:keepLines w:val="0"/>
        <w:pageBreakBefore w:val="0"/>
        <w:widowControl/>
        <w:numPr>
          <w:ilvl w:val="0"/>
          <w:numId w:val="3"/>
        </w:numPr>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color w:val="000000"/>
          <w:kern w:val="0"/>
          <w:sz w:val="32"/>
          <w:szCs w:val="32"/>
          <w:lang w:val="zh-CN"/>
        </w:rPr>
      </w:pPr>
      <w:r>
        <w:rPr>
          <w:rFonts w:hint="eastAsia" w:ascii="仿宋_GB2312" w:eastAsia="仿宋_GB2312"/>
          <w:b/>
          <w:bCs/>
          <w:color w:val="000000"/>
          <w:kern w:val="0"/>
          <w:sz w:val="32"/>
          <w:szCs w:val="32"/>
          <w:shd w:val="clear" w:color="auto" w:fill="FFFFFF"/>
          <w:lang w:val="zh-CN"/>
        </w:rPr>
        <w:t>部门预算项目绩效分析</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常年项目绩效分析。该类项目总数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sz w:val="32"/>
          <w:szCs w:val="32"/>
          <w:lang w:val="zh-CN"/>
        </w:rPr>
      </w:pPr>
      <w:r>
        <w:rPr>
          <w:rFonts w:hint="eastAsia" w:ascii="仿宋_GB2312" w:eastAsia="仿宋_GB2312"/>
          <w:color w:val="000000"/>
          <w:kern w:val="0"/>
          <w:sz w:val="32"/>
          <w:szCs w:val="32"/>
          <w:lang w:val="zh-CN"/>
        </w:rPr>
        <w:t>阶段（一次性）项目绩效分析。该类项目总数</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个，涉及预算总金额</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万元，1—12月预算执行总体进度为 </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 xml:space="preserve"> ，其中：预算结余率大于10%的项目共计</w:t>
      </w:r>
      <w:r>
        <w:rPr>
          <w:rFonts w:hint="eastAsia" w:ascii="仿宋_GB2312" w:eastAsia="仿宋_GB2312"/>
          <w:color w:val="000000"/>
          <w:kern w:val="0"/>
          <w:sz w:val="32"/>
          <w:szCs w:val="32"/>
          <w:lang w:val="en-US" w:eastAsia="zh-CN"/>
        </w:rPr>
        <w:t>0</w:t>
      </w:r>
      <w:r>
        <w:rPr>
          <w:rFonts w:hint="eastAsia" w:ascii="仿宋_GB2312" w:eastAsia="仿宋_GB2312"/>
          <w:color w:val="000000"/>
          <w:kern w:val="0"/>
          <w:sz w:val="32"/>
          <w:szCs w:val="32"/>
          <w:lang w:val="zh-CN"/>
        </w:rPr>
        <w:t>个。</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（三）重点领域绩效分析</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hAnsi="仿宋_GB2312" w:eastAsia="仿宋_GB2312" w:cs="仿宋_GB2312"/>
          <w:bCs w:val="0"/>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2024年茂县工商业联合会不涉及国有资本、行政事业性国有资产、债</w:t>
      </w:r>
      <w:r>
        <w:rPr>
          <w:rFonts w:hint="eastAsia" w:ascii="仿宋_GB2312" w:hAnsi="仿宋_GB2312" w:eastAsia="仿宋_GB2312" w:cs="仿宋_GB2312"/>
          <w:color w:val="000000"/>
          <w:kern w:val="0"/>
          <w:sz w:val="32"/>
          <w:szCs w:val="32"/>
          <w:lang w:eastAsia="zh-CN"/>
        </w:rPr>
        <w:t>券</w:t>
      </w:r>
      <w:r>
        <w:rPr>
          <w:rFonts w:hint="eastAsia" w:ascii="仿宋_GB2312" w:hAnsi="仿宋_GB2312" w:eastAsia="仿宋_GB2312" w:cs="仿宋_GB2312"/>
          <w:color w:val="000000"/>
          <w:kern w:val="0"/>
          <w:sz w:val="32"/>
          <w:szCs w:val="32"/>
          <w:lang w:val="en-US" w:eastAsia="zh-CN"/>
        </w:rPr>
        <w:t>资金、政府采购和政府购买服务等重点领域的项目</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3"/>
        </w:numPr>
        <w:kinsoku/>
        <w:wordWrap/>
        <w:overflowPunct/>
        <w:topLinePunct w:val="0"/>
        <w:autoSpaceDE w:val="0"/>
        <w:bidi w:val="0"/>
        <w:adjustRightInd w:val="0"/>
        <w:snapToGrid w:val="0"/>
        <w:spacing w:line="560" w:lineRule="exact"/>
        <w:ind w:left="0" w:leftChars="0" w:firstLine="642" w:firstLineChars="200"/>
        <w:jc w:val="both"/>
        <w:outlineLvl w:val="9"/>
        <w:rPr>
          <w:rFonts w:hint="eastAsia" w:ascii="仿宋_GB2312" w:eastAsia="仿宋_GB2312"/>
          <w:b/>
          <w:bCs/>
          <w:color w:val="000000"/>
          <w:kern w:val="0"/>
          <w:sz w:val="32"/>
          <w:szCs w:val="32"/>
          <w:shd w:val="clear" w:color="auto" w:fill="FFFFFF"/>
          <w:lang w:val="zh-CN"/>
        </w:rPr>
      </w:pPr>
      <w:r>
        <w:rPr>
          <w:rFonts w:hint="eastAsia" w:ascii="仿宋_GB2312" w:eastAsia="仿宋_GB2312"/>
          <w:b/>
          <w:bCs/>
          <w:color w:val="000000"/>
          <w:kern w:val="0"/>
          <w:sz w:val="32"/>
          <w:szCs w:val="32"/>
          <w:shd w:val="clear" w:color="auto" w:fill="FFFFFF"/>
          <w:lang w:val="zh-CN"/>
        </w:rPr>
        <w:t>绩效结果应用情况</w:t>
      </w:r>
    </w:p>
    <w:p>
      <w:pPr>
        <w:keepNext w:val="0"/>
        <w:keepLines w:val="0"/>
        <w:pageBreakBefore w:val="0"/>
        <w:widowControl/>
        <w:numPr>
          <w:ilvl w:val="0"/>
          <w:numId w:val="0"/>
        </w:numPr>
        <w:kinsoku/>
        <w:wordWrap/>
        <w:overflowPunct/>
        <w:topLinePunct w:val="0"/>
        <w:autoSpaceDE w:val="0"/>
        <w:bidi w:val="0"/>
        <w:adjustRightInd w:val="0"/>
        <w:snapToGrid w:val="0"/>
        <w:spacing w:line="560" w:lineRule="exact"/>
        <w:ind w:firstLine="640" w:firstLineChars="200"/>
        <w:jc w:val="both"/>
        <w:outlineLvl w:val="9"/>
        <w:rPr>
          <w:rFonts w:hint="eastAsia"/>
          <w:sz w:val="32"/>
          <w:szCs w:val="32"/>
        </w:rPr>
      </w:pPr>
      <w:r>
        <w:rPr>
          <w:rFonts w:hint="eastAsia" w:ascii="仿宋_GB2312" w:eastAsia="仿宋_GB2312"/>
          <w:color w:val="000000"/>
          <w:kern w:val="0"/>
          <w:sz w:val="32"/>
          <w:szCs w:val="32"/>
        </w:rPr>
        <w:t>在信息公开上，我单位及时将20</w:t>
      </w:r>
      <w:r>
        <w:rPr>
          <w:rFonts w:hint="eastAsia" w:ascii="仿宋_GB2312" w:eastAsia="仿宋_GB2312"/>
          <w:color w:val="000000"/>
          <w:kern w:val="0"/>
          <w:sz w:val="32"/>
          <w:szCs w:val="32"/>
          <w:lang w:val="en-US" w:eastAsia="zh-CN"/>
        </w:rPr>
        <w:t>23年决算和2024</w:t>
      </w:r>
      <w:r>
        <w:rPr>
          <w:rFonts w:hint="eastAsia" w:ascii="仿宋_GB2312" w:eastAsia="仿宋_GB2312"/>
          <w:color w:val="000000"/>
          <w:kern w:val="0"/>
          <w:sz w:val="32"/>
          <w:szCs w:val="32"/>
        </w:rPr>
        <w:t>年的预算编制信息在茂县政府门户网站上进行公示，接受社会的监督和检查</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2024年单位无结余资金，预算完成率100%。</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contextualSpacing/>
        <w:jc w:val="both"/>
        <w:outlineLvl w:val="9"/>
        <w:rPr>
          <w:rFonts w:hint="eastAsia"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（一）评价结论</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jc w:val="both"/>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我单位部门整体支出绩效评价自查自评结果良好，全年基本支出保证了部门的正常运行和日常工作的正常开展，达到预期绩效目标，自评得分</w:t>
      </w:r>
      <w:r>
        <w:rPr>
          <w:rFonts w:hint="eastAsia" w:ascii="仿宋_GB2312" w:eastAsia="仿宋_GB2312"/>
          <w:color w:val="000000"/>
          <w:kern w:val="0"/>
          <w:sz w:val="32"/>
          <w:szCs w:val="32"/>
          <w:lang w:val="en-US" w:eastAsia="zh-CN"/>
        </w:rPr>
        <w:t>100</w:t>
      </w:r>
      <w:r>
        <w:rPr>
          <w:rFonts w:hint="eastAsia" w:ascii="仿宋_GB2312" w:eastAsia="仿宋_GB2312"/>
          <w:color w:val="000000"/>
          <w:kern w:val="0"/>
          <w:sz w:val="32"/>
          <w:szCs w:val="32"/>
        </w:rPr>
        <w:t xml:space="preserve">分。 </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（二）存在问题</w:t>
      </w:r>
    </w:p>
    <w:p>
      <w:pPr>
        <w:keepNext w:val="0"/>
        <w:keepLines w:val="0"/>
        <w:pageBreakBefore w:val="0"/>
        <w:widowControl/>
        <w:kinsoku/>
        <w:wordWrap/>
        <w:overflowPunct/>
        <w:topLinePunct w:val="0"/>
        <w:autoSpaceDE w:val="0"/>
        <w:bidi w:val="0"/>
        <w:adjustRightInd w:val="0"/>
        <w:snapToGrid w:val="0"/>
        <w:spacing w:line="560" w:lineRule="exact"/>
        <w:ind w:firstLine="640" w:firstLineChars="200"/>
        <w:contextualSpacing/>
        <w:jc w:val="both"/>
        <w:outlineLvl w:val="9"/>
        <w:rPr>
          <w:rFonts w:hint="eastAsia" w:ascii="仿宋" w:hAnsi="仿宋" w:eastAsia="仿宋" w:cs="仿宋"/>
          <w:kern w:val="0"/>
          <w:sz w:val="32"/>
          <w:szCs w:val="32"/>
          <w:lang w:val="zh-CN" w:eastAsia="zh-CN"/>
        </w:rPr>
      </w:pPr>
      <w:r>
        <w:rPr>
          <w:rFonts w:hint="eastAsia" w:ascii="仿宋_GB2312" w:hAnsi="仿宋_GB2312" w:eastAsia="仿宋_GB2312" w:cs="仿宋_GB2312"/>
          <w:kern w:val="0"/>
          <w:sz w:val="32"/>
          <w:szCs w:val="32"/>
          <w:lang w:val="zh-CN" w:eastAsia="zh-CN"/>
        </w:rPr>
        <w:t>在整体支出的预算编制、执行和管理过程中，依然存在一些问题和不足。预算编制的计划性和执行管理上有待提高，</w:t>
      </w:r>
      <w:r>
        <w:rPr>
          <w:rFonts w:hint="eastAsia" w:ascii="仿宋_GB2312" w:hAnsi="仿宋_GB2312" w:eastAsia="仿宋_GB2312" w:cs="仿宋_GB2312"/>
          <w:kern w:val="0"/>
          <w:sz w:val="32"/>
          <w:szCs w:val="32"/>
          <w:lang w:val="en-US" w:eastAsia="zh-CN"/>
        </w:rPr>
        <w:t>预算编制的科学性、合理性</w:t>
      </w:r>
      <w:r>
        <w:rPr>
          <w:rFonts w:hint="eastAsia" w:ascii="仿宋_GB2312" w:hAnsi="仿宋_GB2312" w:eastAsia="仿宋_GB2312" w:cs="仿宋_GB2312"/>
          <w:kern w:val="0"/>
          <w:sz w:val="32"/>
          <w:szCs w:val="32"/>
          <w:lang w:val="zh-CN" w:eastAsia="zh-CN"/>
        </w:rPr>
        <w:t>有待进一步规范。</w:t>
      </w:r>
    </w:p>
    <w:p>
      <w:pPr>
        <w:keepNext w:val="0"/>
        <w:keepLines w:val="0"/>
        <w:pageBreakBefore w:val="0"/>
        <w:widowControl/>
        <w:kinsoku/>
        <w:wordWrap/>
        <w:overflowPunct/>
        <w:topLinePunct w:val="0"/>
        <w:autoSpaceDE w:val="0"/>
        <w:bidi w:val="0"/>
        <w:adjustRightInd w:val="0"/>
        <w:snapToGrid w:val="0"/>
        <w:spacing w:line="560" w:lineRule="exact"/>
        <w:ind w:firstLine="642" w:firstLineChars="200"/>
        <w:contextualSpacing/>
        <w:jc w:val="both"/>
        <w:outlineLvl w:val="9"/>
        <w:rPr>
          <w:rFonts w:hint="eastAsia"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（三）改进建议</w:t>
      </w:r>
    </w:p>
    <w:p>
      <w:pPr>
        <w:pStyle w:val="6"/>
        <w:tabs>
          <w:tab w:val="left" w:pos="2160"/>
        </w:tabs>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建立单位专项资金管理制度，规范约束专项资金的使用和执行管理。加强项目入库绩效指标值设置审核，指标设置更符合项目绩效管理要求。</w:t>
      </w:r>
      <w:bookmarkStart w:id="30" w:name="_GoBack"/>
      <w:bookmarkEnd w:id="30"/>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r>
        <w:rPr>
          <w:rStyle w:val="21"/>
          <w:rFonts w:hint="eastAsia" w:ascii="方正小标宋简体" w:hAnsi="方正小标宋简体" w:eastAsia="方正小标宋简体" w:cs="方正小标宋简体"/>
          <w:b w:val="0"/>
          <w:lang w:eastAsia="zh-CN"/>
        </w:rPr>
        <w:tab/>
      </w: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widowControl/>
        <w:kinsoku/>
        <w:wordWrap/>
        <w:overflowPunct/>
        <w:topLinePunct w:val="0"/>
        <w:autoSpaceDE w:val="0"/>
        <w:bidi w:val="0"/>
        <w:adjustRightInd w:val="0"/>
        <w:snapToGrid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p>
      <w:pPr>
        <w:keepNext w:val="0"/>
        <w:keepLines w:val="0"/>
        <w:pageBreakBefore w:val="0"/>
        <w:tabs>
          <w:tab w:val="left" w:pos="7162"/>
        </w:tabs>
        <w:kinsoku/>
        <w:wordWrap/>
        <w:overflowPunct/>
        <w:topLinePunct w:val="0"/>
        <w:bidi w:val="0"/>
        <w:spacing w:line="560" w:lineRule="exact"/>
        <w:ind w:firstLine="420" w:firstLineChars="200"/>
        <w:jc w:val="both"/>
        <w:outlineLvl w:val="9"/>
        <w:rPr>
          <w:rFonts w:hint="eastAsia"/>
          <w:lang w:val="en-US" w:eastAsia="zh-CN"/>
        </w:rPr>
      </w:pPr>
    </w:p>
    <w:tbl>
      <w:tblPr>
        <w:tblStyle w:val="16"/>
        <w:tblpPr w:leftFromText="180" w:rightFromText="180" w:vertAnchor="text" w:horzAnchor="page" w:tblpX="100" w:tblpY="-14466"/>
        <w:tblOverlap w:val="never"/>
        <w:tblW w:w="11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8"/>
        <w:gridCol w:w="1541"/>
        <w:gridCol w:w="1542"/>
        <w:gridCol w:w="2358"/>
        <w:gridCol w:w="1238"/>
        <w:gridCol w:w="1443"/>
        <w:gridCol w:w="933"/>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1100"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0" w:firstLineChars="1200"/>
              <w:jc w:val="both"/>
              <w:textAlignment w:val="center"/>
              <w:outlineLvl w:val="9"/>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100"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100" w:type="dxa"/>
            <w:gridSpan w:val="8"/>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1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5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center"/>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102.87</w:t>
            </w:r>
          </w:p>
        </w:tc>
        <w:tc>
          <w:tcPr>
            <w:tcW w:w="35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102.87</w:t>
            </w:r>
          </w:p>
        </w:tc>
        <w:tc>
          <w:tcPr>
            <w:tcW w:w="31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2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98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w:t>
            </w:r>
            <w:r>
              <w:rPr>
                <w:rFonts w:hint="eastAsia" w:ascii="宋体" w:hAnsi="宋体" w:cs="宋体"/>
                <w:i w:val="0"/>
                <w:iCs w:val="0"/>
                <w:color w:val="000000"/>
                <w:kern w:val="0"/>
                <w:sz w:val="18"/>
                <w:szCs w:val="18"/>
                <w:u w:val="none"/>
                <w:lang w:val="en-US" w:eastAsia="zh-CN" w:bidi="ar"/>
              </w:rPr>
              <w:t>非</w:t>
            </w:r>
            <w:r>
              <w:rPr>
                <w:rFonts w:ascii="宋体" w:hAnsi="宋体" w:eastAsia="宋体" w:cs="宋体"/>
                <w:i w:val="0"/>
                <w:iCs w:val="0"/>
                <w:color w:val="000000"/>
                <w:kern w:val="0"/>
                <w:sz w:val="18"/>
                <w:szCs w:val="18"/>
                <w:u w:val="none"/>
                <w:lang w:val="en-US" w:eastAsia="zh-CN" w:bidi="ar"/>
              </w:rPr>
              <w:t>公有制经济人士思想政治中的引导作用。发挥在政府管理和服务非公有制经济中的助手作用。促进行业协会商会改革发展。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center"/>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抓好非公有制经济人士的理想信念教育活动</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增强非公有制经济人士对中国特色社会主义的信念，对党和政府的信任，对自身企业发展的信心。引导广大非公有制经济人士积极投身我县经济社会建设。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继续开展到会员企业“走基层”活动</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续加强对基层商会的工作指导</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我会将及时跟进片区商会开展活动的情况，引导片区商会会员加强行业自律，切实增强商会凝聚力。继续当好会员企业的贴心人。加强对基层商会的工作指导。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继续搞好服务，促进“两个健康”发展</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通过到企业走访、召开座谈会，广泛征求意见，为党委、政府决策提供有价值的参考依据；二是加大宣传力度，运用好宣传等媒介，及时宣传报道涌现出的先进典型，营造非公有制经济发展的良好氛围；三是搭建各种平台，为企业提供信息、融资、法律、人才等方面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按照省州安排，加强与浙江省嘉兴市平湖市对接和联系</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全力做好“万企兴万村”及乡村振兴工作。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基本支出</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3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认真学习中央、省州文件精神</w:t>
            </w:r>
          </w:p>
        </w:tc>
        <w:tc>
          <w:tcPr>
            <w:tcW w:w="67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营造浓厚的学习氛围，提高非公有制经济人士的政治素质。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5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按时发发率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引导非公经济人士爱国、敬业、诚信、守法、贡献</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60" w:lineRule="exact"/>
              <w:ind w:firstLine="360" w:firstLineChars="200"/>
              <w:jc w:val="both"/>
              <w:outlineLvl w:val="9"/>
              <w:rPr>
                <w:rFonts w:hint="eastAsia" w:ascii="宋体" w:hAnsi="宋体" w:eastAsia="宋体" w:cs="宋体"/>
                <w:i w:val="0"/>
                <w:iCs w:val="0"/>
                <w:color w:val="000000"/>
                <w:sz w:val="18"/>
                <w:szCs w:val="18"/>
                <w:u w:val="none"/>
              </w:rPr>
            </w:pPr>
          </w:p>
        </w:tc>
        <w:tc>
          <w:tcPr>
            <w:tcW w:w="154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广泛征求会员企业对工商联工作的意见建议，全面了解各个行业的共性问题和各个会员企业的实际困难，切实帮助解决会员企业实际问题，确保会员企业满意。</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line="560" w:lineRule="exact"/>
              <w:ind w:firstLine="360" w:firstLineChars="200"/>
              <w:jc w:val="both"/>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pPr>
        <w:keepNext w:val="0"/>
        <w:keepLines w:val="0"/>
        <w:pageBreakBefore w:val="0"/>
        <w:tabs>
          <w:tab w:val="left" w:pos="756"/>
        </w:tabs>
        <w:kinsoku/>
        <w:wordWrap/>
        <w:overflowPunct/>
        <w:topLinePunct w:val="0"/>
        <w:bidi w:val="0"/>
        <w:spacing w:line="560" w:lineRule="exact"/>
        <w:ind w:firstLine="880" w:firstLineChars="200"/>
        <w:jc w:val="both"/>
        <w:outlineLvl w:val="9"/>
        <w:rPr>
          <w:rStyle w:val="21"/>
          <w:rFonts w:hint="eastAsia" w:ascii="方正小标宋简体" w:hAnsi="方正小标宋简体" w:eastAsia="方正小标宋简体" w:cs="方正小标宋简体"/>
          <w:b w:val="0"/>
          <w:lang w:eastAsia="zh-CN"/>
        </w:rPr>
      </w:pPr>
    </w:p>
    <w:bookmarkEnd w:id="29"/>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kinsoku/>
        <w:wordWrap/>
        <w:overflowPunct/>
        <w:topLinePunct w:val="0"/>
        <w:bidi w:val="0"/>
        <w:spacing w:line="560" w:lineRule="exact"/>
        <w:ind w:firstLine="880" w:firstLineChars="200"/>
        <w:jc w:val="both"/>
        <w:outlineLvl w:val="9"/>
        <w:rPr>
          <w:rFonts w:hint="eastAsia" w:ascii="黑体" w:hAnsi="黑体" w:eastAsia="黑体"/>
          <w:color w:val="auto"/>
          <w:sz w:val="44"/>
          <w:szCs w:val="44"/>
          <w:highlight w:val="none"/>
        </w:rPr>
      </w:pPr>
    </w:p>
    <w:p>
      <w:pPr>
        <w:keepNext w:val="0"/>
        <w:keepLines w:val="0"/>
        <w:pageBreakBefore w:val="0"/>
        <w:numPr>
          <w:ilvl w:val="0"/>
          <w:numId w:val="4"/>
        </w:numPr>
        <w:kinsoku/>
        <w:wordWrap/>
        <w:overflowPunct/>
        <w:topLinePunct w:val="0"/>
        <w:bidi w:val="0"/>
        <w:spacing w:line="560" w:lineRule="exact"/>
        <w:ind w:firstLine="880" w:firstLineChars="200"/>
        <w:jc w:val="center"/>
        <w:outlineLvl w:val="9"/>
        <w:rPr>
          <w:rStyle w:val="21"/>
          <w:rFonts w:hint="eastAsia" w:ascii="黑体" w:hAnsi="黑体" w:eastAsia="黑体"/>
          <w:b w:val="0"/>
          <w:color w:val="auto"/>
          <w:highlight w:val="none"/>
        </w:rPr>
      </w:pPr>
      <w:r>
        <w:rPr>
          <w:rStyle w:val="21"/>
          <w:rFonts w:hint="eastAsia" w:ascii="黑体" w:hAnsi="黑体" w:eastAsia="黑体"/>
          <w:b w:val="0"/>
          <w:color w:val="auto"/>
          <w:highlight w:val="none"/>
        </w:rPr>
        <w:t>附表</w:t>
      </w:r>
    </w:p>
    <w:p>
      <w:pPr>
        <w:pStyle w:val="2"/>
        <w:numPr>
          <w:ilvl w:val="0"/>
          <w:numId w:val="0"/>
        </w:numPr>
        <w:ind w:left="420" w:leftChars="0"/>
        <w:rPr>
          <w:rFonts w:hint="eastAsia"/>
        </w:rPr>
      </w:pP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22"/>
          <w:rFonts w:hint="eastAsia" w:ascii="仿宋_GB2312" w:hAnsi="仿宋_GB2312" w:eastAsia="仿宋_GB2312" w:cs="仿宋_GB2312"/>
          <w:b w:val="0"/>
          <w:bCs w:val="0"/>
          <w:color w:val="auto"/>
          <w:sz w:val="32"/>
          <w:szCs w:val="32"/>
          <w:highlight w:val="none"/>
        </w:rPr>
        <w:t>入支出决算总表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二、收</w:t>
      </w:r>
      <w:r>
        <w:rPr>
          <w:rStyle w:val="22"/>
          <w:rFonts w:hint="eastAsia" w:ascii="仿宋_GB2312" w:hAnsi="仿宋_GB2312" w:eastAsia="仿宋_GB2312" w:cs="仿宋_GB2312"/>
          <w:b w:val="0"/>
          <w:bCs w:val="0"/>
          <w:color w:val="auto"/>
          <w:sz w:val="32"/>
          <w:szCs w:val="32"/>
          <w:highlight w:val="none"/>
        </w:rPr>
        <w:t>入决算表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2"/>
          <w:rFonts w:hint="eastAsia" w:ascii="仿宋_GB2312" w:hAnsi="仿宋_GB2312" w:eastAsia="仿宋_GB2312" w:cs="仿宋_GB2312"/>
          <w:b w:val="0"/>
          <w:bCs w:val="0"/>
          <w:color w:val="auto"/>
          <w:sz w:val="32"/>
          <w:szCs w:val="32"/>
          <w:highlight w:val="none"/>
        </w:rPr>
        <w:t>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b w:val="0"/>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2"/>
          <w:rFonts w:hint="eastAsia" w:ascii="仿宋_GB2312" w:hAnsi="仿宋_GB2312" w:eastAsia="仿宋_GB2312" w:cs="仿宋_GB2312"/>
          <w:b w:val="0"/>
          <w:bCs w:val="0"/>
          <w:color w:val="auto"/>
          <w:sz w:val="32"/>
          <w:szCs w:val="32"/>
          <w:highlight w:val="none"/>
        </w:rPr>
        <w:t>政拨款收入支出决算总表</w:t>
      </w:r>
    </w:p>
    <w:p>
      <w:pPr>
        <w:keepNext w:val="0"/>
        <w:keepLines w:val="0"/>
        <w:pageBreakBefore w:val="0"/>
        <w:kinsoku/>
        <w:wordWrap/>
        <w:overflowPunct/>
        <w:topLinePunct w:val="0"/>
        <w:bidi w:val="0"/>
        <w:spacing w:line="560" w:lineRule="exact"/>
        <w:ind w:firstLine="640" w:firstLineChars="200"/>
        <w:jc w:val="both"/>
        <w:outlineLvl w:val="9"/>
        <w:rPr>
          <w:rStyle w:val="22"/>
          <w:rFonts w:hint="eastAsia" w:ascii="仿宋_GB2312" w:hAnsi="仿宋_GB2312" w:eastAsia="仿宋_GB2312" w:cs="仿宋_GB2312"/>
          <w:b w:val="0"/>
          <w:bCs w:val="0"/>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2"/>
          <w:rFonts w:hint="eastAsia" w:ascii="仿宋_GB2312" w:hAnsi="仿宋_GB2312" w:eastAsia="仿宋_GB2312" w:cs="仿宋_GB2312"/>
          <w:b w:val="0"/>
          <w:bCs w:val="0"/>
          <w:color w:val="auto"/>
          <w:sz w:val="32"/>
          <w:szCs w:val="32"/>
          <w:highlight w:val="none"/>
        </w:rPr>
        <w:t>政拨款支出决算明细表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般公共预算财政拨款支出决算明细表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般公共预算财政拨款基本支出决算表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2"/>
          <w:rFonts w:hint="eastAsia" w:ascii="仿宋_GB2312" w:hAnsi="仿宋_GB2312" w:eastAsia="仿宋_GB2312" w:cs="仿宋_GB2312"/>
          <w:b w:val="0"/>
          <w:bCs w:val="0"/>
          <w:color w:val="auto"/>
          <w:sz w:val="32"/>
          <w:szCs w:val="32"/>
          <w:highlight w:val="none"/>
        </w:rPr>
        <w:t>般公共预算财政拨款项目支出决算表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政</w:t>
      </w:r>
      <w:r>
        <w:rPr>
          <w:rStyle w:val="22"/>
          <w:rFonts w:hint="eastAsia" w:ascii="仿宋_GB2312" w:hAnsi="仿宋_GB2312" w:eastAsia="仿宋_GB2312" w:cs="仿宋_GB2312"/>
          <w:b w:val="0"/>
          <w:bCs w:val="0"/>
          <w:color w:val="auto"/>
          <w:sz w:val="32"/>
          <w:szCs w:val="32"/>
          <w:highlight w:val="none"/>
        </w:rPr>
        <w:t>府性基金预算财政拨款收入支出决算表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国</w:t>
      </w:r>
      <w:r>
        <w:rPr>
          <w:rStyle w:val="22"/>
          <w:rFonts w:hint="eastAsia" w:ascii="仿宋_GB2312" w:hAnsi="仿宋_GB2312" w:eastAsia="仿宋_GB2312" w:cs="仿宋_GB2312"/>
          <w:b w:val="0"/>
          <w:bCs w:val="0"/>
          <w:color w:val="auto"/>
          <w:sz w:val="32"/>
          <w:szCs w:val="32"/>
          <w:highlight w:val="none"/>
        </w:rPr>
        <w:t>有资本经营预算</w:t>
      </w:r>
      <w:r>
        <w:rPr>
          <w:rStyle w:val="22"/>
          <w:rFonts w:hint="eastAsia" w:ascii="仿宋_GB2312" w:hAnsi="仿宋_GB2312" w:eastAsia="仿宋_GB2312" w:cs="仿宋_GB2312"/>
          <w:b w:val="0"/>
          <w:bCs w:val="0"/>
          <w:color w:val="auto"/>
          <w:sz w:val="32"/>
          <w:szCs w:val="32"/>
          <w:highlight w:val="none"/>
          <w:lang w:eastAsia="zh-CN"/>
        </w:rPr>
        <w:t>财政拨款收入</w:t>
      </w:r>
      <w:r>
        <w:rPr>
          <w:rStyle w:val="22"/>
          <w:rFonts w:hint="eastAsia" w:ascii="仿宋_GB2312" w:hAnsi="仿宋_GB2312" w:eastAsia="仿宋_GB2312" w:cs="仿宋_GB2312"/>
          <w:b w:val="0"/>
          <w:bCs w:val="0"/>
          <w:color w:val="auto"/>
          <w:sz w:val="32"/>
          <w:szCs w:val="32"/>
          <w:highlight w:val="none"/>
        </w:rPr>
        <w:t>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rPr>
      </w:pPr>
      <w:r>
        <w:rPr>
          <w:rStyle w:val="22"/>
          <w:rFonts w:hint="eastAsia" w:ascii="仿宋_GB2312" w:hAnsi="仿宋_GB2312" w:eastAsia="仿宋_GB2312" w:cs="仿宋_GB2312"/>
          <w:b w:val="0"/>
          <w:bCs w:val="0"/>
          <w:color w:val="auto"/>
          <w:sz w:val="32"/>
          <w:szCs w:val="32"/>
          <w:highlight w:val="none"/>
        </w:rPr>
        <w:t>十二、</w:t>
      </w:r>
      <w:r>
        <w:rPr>
          <w:rStyle w:val="22"/>
          <w:rFonts w:hint="eastAsia" w:ascii="仿宋_GB2312" w:hAnsi="仿宋_GB2312" w:eastAsia="仿宋_GB2312" w:cs="仿宋_GB2312"/>
          <w:b w:val="0"/>
          <w:bCs w:val="0"/>
          <w:color w:val="auto"/>
          <w:sz w:val="32"/>
          <w:szCs w:val="32"/>
          <w:highlight w:val="none"/>
          <w:lang w:eastAsia="zh-CN"/>
        </w:rPr>
        <w:t>国有资本经营预算财政拨款支出决算表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color w:val="auto"/>
          <w:sz w:val="32"/>
          <w:szCs w:val="32"/>
          <w:highlight w:val="none"/>
          <w:lang w:eastAsia="zh-CN"/>
        </w:rPr>
      </w:pPr>
      <w:r>
        <w:rPr>
          <w:rStyle w:val="22"/>
          <w:rFonts w:hint="eastAsia" w:ascii="仿宋_GB2312" w:hAnsi="仿宋_GB2312" w:eastAsia="仿宋_GB2312" w:cs="仿宋_GB2312"/>
          <w:b w:val="0"/>
          <w:bCs w:val="0"/>
          <w:color w:val="auto"/>
          <w:sz w:val="32"/>
          <w:szCs w:val="32"/>
          <w:highlight w:val="none"/>
        </w:rPr>
        <w:t>十三、</w:t>
      </w:r>
      <w:r>
        <w:rPr>
          <w:rStyle w:val="22"/>
          <w:rFonts w:hint="eastAsia" w:ascii="仿宋_GB2312" w:hAnsi="仿宋_GB2312" w:eastAsia="仿宋_GB2312" w:cs="仿宋_GB2312"/>
          <w:b w:val="0"/>
          <w:bCs w:val="0"/>
          <w:color w:val="auto"/>
          <w:sz w:val="32"/>
          <w:szCs w:val="32"/>
          <w:highlight w:val="none"/>
          <w:lang w:eastAsia="zh-CN"/>
        </w:rPr>
        <w:t>财政拨款“三公”经费支出决算表</w:t>
      </w: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firstLine="640" w:firstLineChars="200"/>
        <w:jc w:val="both"/>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firstLine="420" w:firstLineChars="200"/>
        <w:jc w:val="both"/>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8ay5XJAQAAmgMAAA4AAABkcnMv&#10;ZTJvRG9jLnhtbK1TzY7TMBC+I/EOlu/UaYV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i5vwmhLHLU788v3b5cevy8+vZJn70weoMe0hYGIa7vyAubMf0JllDyra/EVBBOPY3fO1u3JI&#10;RORH69V6XWFIYGy+ID57fB4ipLfSW5KNhkYcX+kqP72HNKbOKbma8/famDJC4/5yIGb2sMx95Jit&#10;NOyHSdDet2fU0+PkG+pw0Skx7xw2Ni/JbMTZ2M/GMUR96JDasvCCcHtMSKJwyxVG2Kkwjqyom9Yr&#10;78Sf95L1+Et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XxrLlckBAACaAwAADgAAAAAA&#10;AAABACAAAAA0AQAAZHJzL2Uyb0RvYy54bWxQSwUGAAAAAAYABgBZAQAAbwUAAAAA&#10;">
              <v:fill on="f" focussize="0,0"/>
              <v:stroke on="f"/>
              <v:imagedata o:title=""/>
              <o:lock v:ext="edit" aspectratio="f"/>
              <v:textbox inset="0mm,0mm,0mm,0mm" style="mso-fit-shape-to-text:t;">
                <w:txbxContent>
                  <w:p>
                    <w:pPr>
                      <w:pStyle w:val="11"/>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741C"/>
    <w:multiLevelType w:val="singleLevel"/>
    <w:tmpl w:val="9464741C"/>
    <w:lvl w:ilvl="0" w:tentative="0">
      <w:start w:val="2"/>
      <w:numFmt w:val="chineseCounting"/>
      <w:suff w:val="nothing"/>
      <w:lvlText w:val="（%1）"/>
      <w:lvlJc w:val="left"/>
      <w:rPr>
        <w:rFonts w:hint="eastAsia"/>
      </w:rPr>
    </w:lvl>
  </w:abstractNum>
  <w:abstractNum w:abstractNumId="1">
    <w:nsid w:val="E1BBE2B3"/>
    <w:multiLevelType w:val="singleLevel"/>
    <w:tmpl w:val="E1BBE2B3"/>
    <w:lvl w:ilvl="0" w:tentative="0">
      <w:start w:val="2"/>
      <w:numFmt w:val="chineseCounting"/>
      <w:suff w:val="space"/>
      <w:lvlText w:val="第%1部分"/>
      <w:lvlJc w:val="left"/>
      <w:rPr>
        <w:rFonts w:hint="eastAsia"/>
      </w:rPr>
    </w:lvl>
  </w:abstractNum>
  <w:abstractNum w:abstractNumId="2">
    <w:nsid w:val="F88D5E09"/>
    <w:multiLevelType w:val="singleLevel"/>
    <w:tmpl w:val="F88D5E09"/>
    <w:lvl w:ilvl="0" w:tentative="0">
      <w:start w:val="1"/>
      <w:numFmt w:val="chineseCounting"/>
      <w:suff w:val="nothing"/>
      <w:lvlText w:val="%1、"/>
      <w:lvlJc w:val="left"/>
      <w:rPr>
        <w:rFonts w:hint="eastAsia"/>
      </w:rPr>
    </w:lvl>
  </w:abstractNum>
  <w:abstractNum w:abstractNumId="3">
    <w:nsid w:val="3259EF4E"/>
    <w:multiLevelType w:val="singleLevel"/>
    <w:tmpl w:val="3259EF4E"/>
    <w:lvl w:ilvl="0" w:tentative="0">
      <w:start w:val="5"/>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006532CF"/>
    <w:rsid w:val="00115698"/>
    <w:rsid w:val="004D5536"/>
    <w:rsid w:val="005E12DE"/>
    <w:rsid w:val="006532CF"/>
    <w:rsid w:val="006B713A"/>
    <w:rsid w:val="00A815E9"/>
    <w:rsid w:val="00C74431"/>
    <w:rsid w:val="00CE0188"/>
    <w:rsid w:val="00D36EE7"/>
    <w:rsid w:val="00F4127A"/>
    <w:rsid w:val="00FA093F"/>
    <w:rsid w:val="00FE24E5"/>
    <w:rsid w:val="06F04498"/>
    <w:rsid w:val="0E212AE8"/>
    <w:rsid w:val="0E977BF9"/>
    <w:rsid w:val="0FAF703D"/>
    <w:rsid w:val="12D85267"/>
    <w:rsid w:val="1AB54070"/>
    <w:rsid w:val="1D800675"/>
    <w:rsid w:val="1E1D0ED7"/>
    <w:rsid w:val="1F2465D9"/>
    <w:rsid w:val="1F9A5745"/>
    <w:rsid w:val="20B01B3F"/>
    <w:rsid w:val="25170EDF"/>
    <w:rsid w:val="2EF173C7"/>
    <w:rsid w:val="34564E38"/>
    <w:rsid w:val="365F27DA"/>
    <w:rsid w:val="3A6A51F0"/>
    <w:rsid w:val="3D583E01"/>
    <w:rsid w:val="40FA3477"/>
    <w:rsid w:val="42186982"/>
    <w:rsid w:val="42D31499"/>
    <w:rsid w:val="43EE27E6"/>
    <w:rsid w:val="49346813"/>
    <w:rsid w:val="549632E1"/>
    <w:rsid w:val="66A876ED"/>
    <w:rsid w:val="6BD267D0"/>
    <w:rsid w:val="6D371CC0"/>
    <w:rsid w:val="78A85D64"/>
    <w:rsid w:val="797D7A6F"/>
    <w:rsid w:val="7C0E0382"/>
    <w:rsid w:val="DFDBB5B2"/>
    <w:rsid w:val="FFBEF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0"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semiHidden/>
    <w:qFormat/>
    <w:uiPriority w:val="0"/>
    <w:pPr>
      <w:ind w:left="840" w:leftChars="400"/>
    </w:pPr>
  </w:style>
  <w:style w:type="paragraph" w:styleId="10">
    <w:name w:val="Balloon Text"/>
    <w:basedOn w:val="1"/>
    <w:link w:val="20"/>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8"/>
    <w:semiHidden/>
    <w:qFormat/>
    <w:uiPriority w:val="0"/>
    <w:pPr>
      <w:snapToGrid w:val="0"/>
      <w:jc w:val="left"/>
    </w:pPr>
    <w:rPr>
      <w:sz w:val="18"/>
      <w:szCs w:val="18"/>
    </w:rPr>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character" w:styleId="18">
    <w:name w:val="Strong"/>
    <w:basedOn w:val="17"/>
    <w:qFormat/>
    <w:uiPriority w:val="0"/>
    <w:rPr>
      <w:rFonts w:cs="Times New Roman"/>
      <w:b/>
    </w:rPr>
  </w:style>
  <w:style w:type="character" w:styleId="19">
    <w:name w:val="Hyperlink"/>
    <w:basedOn w:val="17"/>
    <w:qFormat/>
    <w:uiPriority w:val="0"/>
    <w:rPr>
      <w:rFonts w:cs="Times New Roman"/>
      <w:color w:val="0000FF"/>
      <w:u w:val="single"/>
    </w:rPr>
  </w:style>
  <w:style w:type="character" w:customStyle="1" w:styleId="20">
    <w:name w:val="批注框文本 Char"/>
    <w:basedOn w:val="17"/>
    <w:link w:val="10"/>
    <w:semiHidden/>
    <w:qFormat/>
    <w:uiPriority w:val="99"/>
    <w:rPr>
      <w:sz w:val="18"/>
      <w:szCs w:val="18"/>
    </w:rPr>
  </w:style>
  <w:style w:type="character" w:customStyle="1" w:styleId="21">
    <w:name w:val="标题 1 Char"/>
    <w:basedOn w:val="17"/>
    <w:link w:val="3"/>
    <w:qFormat/>
    <w:uiPriority w:val="0"/>
    <w:rPr>
      <w:rFonts w:ascii="Times New Roman" w:hAnsi="Times New Roman" w:eastAsia="宋体" w:cs="Times New Roman"/>
      <w:b/>
      <w:bCs/>
      <w:kern w:val="44"/>
      <w:sz w:val="44"/>
      <w:szCs w:val="44"/>
    </w:rPr>
  </w:style>
  <w:style w:type="character" w:customStyle="1" w:styleId="22">
    <w:name w:val="标题 2 Char"/>
    <w:basedOn w:val="17"/>
    <w:link w:val="4"/>
    <w:qFormat/>
    <w:uiPriority w:val="0"/>
    <w:rPr>
      <w:rFonts w:ascii="Cambria" w:hAnsi="Cambria" w:eastAsia="宋体" w:cs="Times New Roman"/>
      <w:b/>
      <w:bCs/>
      <w:sz w:val="32"/>
      <w:szCs w:val="32"/>
    </w:rPr>
  </w:style>
  <w:style w:type="paragraph" w:customStyle="1" w:styleId="23">
    <w:name w:val="List Paragraph"/>
    <w:basedOn w:val="1"/>
    <w:qFormat/>
    <w:uiPriority w:val="0"/>
    <w:pPr>
      <w:ind w:firstLine="420" w:firstLineChars="200"/>
    </w:pPr>
  </w:style>
  <w:style w:type="character" w:customStyle="1" w:styleId="24">
    <w:name w:val="页脚 Char"/>
    <w:basedOn w:val="17"/>
    <w:link w:val="11"/>
    <w:qFormat/>
    <w:uiPriority w:val="99"/>
    <w:rPr>
      <w:rFonts w:ascii="Times New Roman" w:hAnsi="Times New Roman" w:eastAsia="宋体" w:cs="Times New Roman"/>
      <w:sz w:val="18"/>
      <w:szCs w:val="18"/>
    </w:rPr>
  </w:style>
  <w:style w:type="paragraph" w:customStyle="1" w:styleId="25">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6">
    <w:name w:val="NormalCharacter"/>
    <w:qFormat/>
    <w:uiPriority w:val="0"/>
  </w:style>
  <w:style w:type="paragraph" w:customStyle="1" w:styleId="27">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收入支出决算总体情况变动表</a:t>
            </a:r>
            <a:endParaRPr lang="zh-CN" altLang="en-US"/>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Sheet1!$B$2:$B$5</c:f>
              <c:numCache>
                <c:formatCode>General</c:formatCode>
                <c:ptCount val="4"/>
                <c:pt idx="0">
                  <c:v>104.46</c:v>
                </c:pt>
                <c:pt idx="2">
                  <c:v>102.87</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Sheet1!$C$2:$C$5</c:f>
              <c:numCache>
                <c:formatCode>General</c:formatCode>
                <c:ptCount val="4"/>
                <c:pt idx="1">
                  <c:v>104.46</c:v>
                </c:pt>
                <c:pt idx="3">
                  <c:v>102.87</c:v>
                </c:pt>
              </c:numCache>
            </c:numRef>
          </c:val>
        </c:ser>
        <c:dLbls>
          <c:showLegendKey val="0"/>
          <c:showVal val="1"/>
          <c:showCatName val="0"/>
          <c:showSerName val="0"/>
          <c:showPercent val="0"/>
          <c:showBubbleSize val="0"/>
        </c:dLbls>
        <c:gapWidth val="75"/>
        <c:overlap val="100"/>
        <c:axId val="207723520"/>
        <c:axId val="207996800"/>
      </c:barChart>
      <c:catAx>
        <c:axId val="2077235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996800"/>
        <c:crosses val="autoZero"/>
        <c:auto val="1"/>
        <c:lblAlgn val="ctr"/>
        <c:lblOffset val="100"/>
        <c:noMultiLvlLbl val="0"/>
      </c:catAx>
      <c:valAx>
        <c:axId val="207996800"/>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7723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ln cmpd="sng">
              <a:solidFill>
                <a:schemeClr val="tx2"/>
              </a:solidFill>
            </a:ln>
          </c:spPr>
          <c:explosion val="0"/>
          <c:dPt>
            <c:idx val="0"/>
            <c:bubble3D val="0"/>
            <c:spPr>
              <a:ln cmpd="sng">
                <a:solidFill>
                  <a:schemeClr val="tx2"/>
                </a:solidFill>
              </a:ln>
            </c:spPr>
          </c:dPt>
          <c:dPt>
            <c:idx val="1"/>
            <c:bubble3D val="0"/>
            <c:spPr>
              <a:ln w="12700" cmpd="sng">
                <a:solidFill>
                  <a:schemeClr val="tx2"/>
                </a:solid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一般公共预算财政拨款</c:v>
                </c:pt>
              </c:strCache>
            </c:strRef>
          </c:cat>
          <c:val>
            <c:numRef>
              <c:f>Sheet1!$B$2:$B$3</c:f>
              <c:numCache>
                <c:formatCode>General</c:formatCode>
                <c:ptCount val="2"/>
                <c:pt idx="1">
                  <c:v>102.87</c:v>
                </c:pt>
              </c:numCache>
            </c:numRef>
          </c:val>
        </c:ser>
        <c:dLbls>
          <c:showLegendKey val="0"/>
          <c:showVal val="1"/>
          <c:showCatName val="0"/>
          <c:showSerName val="0"/>
          <c:showPercent val="1"/>
          <c:showBubbleSize val="0"/>
          <c:showLeaderLines val="1"/>
        </c:dLbls>
        <c:firstSliceAng val="0"/>
      </c:pieChart>
    </c:plotArea>
    <c:legend>
      <c:legendPos val="r"/>
      <c:legendEntry>
        <c:idx val="0"/>
        <c:delete val="1"/>
      </c:legendEntry>
      <c:layout/>
      <c:overlay val="0"/>
      <c:spPr>
        <a:ln>
          <a:noFill/>
        </a:ln>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rgbClr val="000000"/>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a:ln cmpd="sng">
              <a:solidFill>
                <a:srgbClr val="1F497D"/>
              </a:solidFill>
            </a:ln>
          </c:spPr>
          <c:explosion val="0"/>
          <c:dPt>
            <c:idx val="0"/>
            <c:bubble3D val="0"/>
            <c:spPr>
              <a:ln cmpd="sng">
                <a:solidFill>
                  <a:srgbClr val="1F497D"/>
                </a:solidFill>
              </a:ln>
            </c:spPr>
          </c:dPt>
          <c:dPt>
            <c:idx val="1"/>
            <c:bubble3D val="0"/>
            <c:spPr>
              <a:ln w="12700" cmpd="sng">
                <a:solidFill>
                  <a:srgbClr val="1F497D"/>
                </a:solidFill>
              </a:ln>
            </c:spPr>
          </c:dPt>
          <c:dLbls>
            <c:dLbl>
              <c:idx val="1"/>
              <c:layout/>
              <c:dLblPos val="out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1">
                  <c:v>一般支出</c:v>
                </c:pt>
              </c:strCache>
            </c:strRef>
          </c:cat>
          <c:val>
            <c:numRef>
              <c:f>Sheet1!$B$2:$B$3</c:f>
              <c:numCache>
                <c:formatCode>General</c:formatCode>
                <c:ptCount val="2"/>
                <c:pt idx="1">
                  <c:v>102.87</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财政拨款收、支决算总计变动情况图</a:t>
            </a:r>
            <a:endParaRPr lang="zh-CN" altLang="en-US" sz="1600"/>
          </a:p>
        </c:rich>
      </c:tx>
      <c:layout>
        <c:manualLayout>
          <c:xMode val="edge"/>
          <c:yMode val="edge"/>
          <c:x val="0.170887632161298"/>
          <c:y val="0.0221285563751317"/>
        </c:manualLayout>
      </c:layout>
      <c:overlay val="0"/>
    </c:title>
    <c:autoTitleDeleted val="0"/>
    <c:plotArea>
      <c:layout>
        <c:manualLayout>
          <c:layoutTarget val="inner"/>
          <c:xMode val="edge"/>
          <c:yMode val="edge"/>
          <c:x val="0.0925743791492501"/>
          <c:y val="0.185669125395153"/>
          <c:w val="0.777969018932874"/>
          <c:h val="0.718229715489989"/>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Sheet1!$B$2:$B$5</c:f>
              <c:numCache>
                <c:formatCode>General</c:formatCode>
                <c:ptCount val="4"/>
                <c:pt idx="0">
                  <c:v>104.46</c:v>
                </c:pt>
                <c:pt idx="2">
                  <c:v>102.87</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c:v>
                </c:pt>
                <c:pt idx="1">
                  <c:v>2023年</c:v>
                </c:pt>
                <c:pt idx="2">
                  <c:v>2024年</c:v>
                </c:pt>
                <c:pt idx="3">
                  <c:v>2024年</c:v>
                </c:pt>
              </c:strCache>
            </c:strRef>
          </c:cat>
          <c:val>
            <c:numRef>
              <c:f>Sheet1!$C$2:$C$5</c:f>
              <c:numCache>
                <c:formatCode>General</c:formatCode>
                <c:ptCount val="4"/>
                <c:pt idx="1">
                  <c:v>104.46</c:v>
                </c:pt>
                <c:pt idx="3">
                  <c:v>102.87</c:v>
                </c:pt>
              </c:numCache>
            </c:numRef>
          </c:val>
        </c:ser>
        <c:dLbls>
          <c:showLegendKey val="0"/>
          <c:showVal val="1"/>
          <c:showCatName val="0"/>
          <c:showSerName val="0"/>
          <c:showPercent val="0"/>
          <c:showBubbleSize val="0"/>
        </c:dLbls>
        <c:gapWidth val="69"/>
        <c:overlap val="100"/>
        <c:axId val="261905792"/>
        <c:axId val="261925888"/>
      </c:barChart>
      <c:catAx>
        <c:axId val="2619057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25888"/>
        <c:crosses val="autoZero"/>
        <c:auto val="1"/>
        <c:lblAlgn val="ctr"/>
        <c:lblOffset val="100"/>
        <c:noMultiLvlLbl val="0"/>
      </c:catAx>
      <c:valAx>
        <c:axId val="261925888"/>
        <c:scaling>
          <c:orientation val="minMax"/>
        </c:scaling>
        <c:delete val="0"/>
        <c:axPos val="l"/>
        <c:majorGridlines>
          <c:spPr>
            <a:ln w="9525" cap="flat" cmpd="sng" algn="ctr">
              <a:solidFill>
                <a:schemeClr val="tx1">
                  <a:tint val="75000"/>
                  <a:shade val="95000"/>
                  <a:satMod val="105000"/>
                </a:schemeClr>
              </a:solidFill>
              <a:prstDash val="sysDot"/>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9057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400"/>
              <a:t>一般公共预算财政拨款支出决算变动情况图</a:t>
            </a:r>
            <a:endParaRPr lang="en-US" altLang="zh-CN" sz="14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104.46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1">
                  <c:v>102.87</c:v>
                </c:pt>
              </c:numCache>
            </c:numRef>
          </c:val>
        </c:ser>
        <c:dLbls>
          <c:showLegendKey val="0"/>
          <c:showVal val="1"/>
          <c:showCatName val="0"/>
          <c:showSerName val="0"/>
          <c:showPercent val="0"/>
          <c:showBubbleSize val="0"/>
        </c:dLbls>
        <c:gapWidth val="298"/>
        <c:overlap val="100"/>
        <c:axId val="167760814"/>
        <c:axId val="969456403"/>
      </c:barChart>
      <c:catAx>
        <c:axId val="1677608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9456403"/>
        <c:crosses val="autoZero"/>
        <c:auto val="1"/>
        <c:lblAlgn val="ctr"/>
        <c:lblOffset val="100"/>
        <c:noMultiLvlLbl val="0"/>
      </c:catAx>
      <c:valAx>
        <c:axId val="969456403"/>
        <c:scaling>
          <c:orientation val="minMax"/>
        </c:scaling>
        <c:delete val="0"/>
        <c:axPos val="l"/>
        <c:majorGridlines>
          <c:spPr>
            <a:ln w="12700" cap="flat" cmpd="sng" algn="ctr">
              <a:solidFill>
                <a:schemeClr val="lt1">
                  <a:lumMod val="902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760814"/>
        <c:crosses val="autoZero"/>
        <c:crossBetween val="between"/>
      </c:valAx>
      <c:spPr>
        <a:noFill/>
        <a:ln>
          <a:noFill/>
        </a:ln>
        <a:effectLst/>
      </c:spPr>
    </c:plotArea>
    <c:legend>
      <c:legendPos val="b"/>
      <c:layout>
        <c:manualLayout>
          <c:xMode val="edge"/>
          <c:yMode val="edge"/>
          <c:x val="0.866272046388016"/>
          <c:y val="0.424989375265618"/>
          <c:w val="0.117540468712249"/>
          <c:h val="0.1000849978750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8751763235689"/>
          <c:y val="0.0247729149463254"/>
        </c:manualLayout>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dLbl>
              <c:idx val="0"/>
              <c:layout>
                <c:manualLayout>
                  <c:x val="-0.0241138172172655"/>
                  <c:y val="-0.02063983488132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13479623824451"/>
                  <c:y val="-0.0082559339525283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20569086086327"/>
                  <c:y val="-0.028895768833849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社会保障就业支出</c:v>
                </c:pt>
                <c:pt idx="2">
                  <c:v>卫生健康支出</c:v>
                </c:pt>
                <c:pt idx="3">
                  <c:v>住房保障支出</c:v>
                </c:pt>
              </c:strCache>
            </c:strRef>
          </c:cat>
          <c:val>
            <c:numRef>
              <c:f>Sheet1!$B$2:$B$5</c:f>
              <c:numCache>
                <c:formatCode>General</c:formatCode>
                <c:ptCount val="4"/>
                <c:pt idx="0">
                  <c:v>74.14</c:v>
                </c:pt>
                <c:pt idx="1">
                  <c:v>14.95</c:v>
                </c:pt>
                <c:pt idx="2">
                  <c:v>5.84</c:v>
                </c:pt>
                <c:pt idx="3">
                  <c:v>7.94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600"/>
              <a:t>三公经费财政拨款支出决算情况</a:t>
            </a:r>
            <a:endParaRPr sz="1600"/>
          </a:p>
        </c:rich>
      </c:tx>
      <c:layout>
        <c:manualLayout>
          <c:xMode val="edge"/>
          <c:yMode val="edge"/>
          <c:x val="0.245516544581965"/>
          <c:y val="0.0294406280667321"/>
        </c:manualLayout>
      </c:layout>
      <c:overlay val="0"/>
      <c:spPr>
        <a:noFill/>
        <a:ln>
          <a:noFill/>
        </a:ln>
        <a:effectLst/>
      </c:spPr>
    </c:title>
    <c:autoTitleDeleted val="0"/>
    <c:plotArea>
      <c:layout/>
      <c:pieChart>
        <c:varyColors val="1"/>
        <c:ser>
          <c:idx val="0"/>
          <c:order val="0"/>
          <c:tx>
            <c:strRef>
              <c:f>Sheet1!$B$1</c:f>
              <c:strCache>
                <c:ptCount val="1"/>
                <c:pt idx="0">
                  <c:v>三公经费财政拨款支出决算情况</c:v>
                </c:pt>
              </c:strCache>
            </c:strRef>
          </c:tx>
          <c:spPr>
            <a:solidFill>
              <a:schemeClr val="accent2"/>
            </a:solidFill>
            <a:ln>
              <a:solidFill>
                <a:schemeClr val="accent1"/>
              </a:solidFill>
            </a:ln>
          </c:spPr>
          <c:explosion val="0"/>
          <c:dPt>
            <c:idx val="0"/>
            <c:bubble3D val="0"/>
            <c:spPr>
              <a:solidFill>
                <a:schemeClr val="accent2"/>
              </a:solidFill>
              <a:ln>
                <a:solidFill>
                  <a:schemeClr val="accent1"/>
                </a:solidFill>
              </a:ln>
              <a:effectLst/>
            </c:spPr>
          </c:dPt>
          <c:dLbls>
            <c:dLbl>
              <c:idx val="0"/>
              <c:layout>
                <c:manualLayout>
                  <c:x val="0.00189441778226825"/>
                  <c:y val="-0.695534838076546"/>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84137408436474"/>
                      <c:h val="0.103532875368008"/>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802971732302489"/>
          <c:y val="0.5996600084997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7292</Words>
  <Characters>7806</Characters>
  <Lines>94</Lines>
  <Paragraphs>26</Paragraphs>
  <TotalTime>7</TotalTime>
  <ScaleCrop>false</ScaleCrop>
  <LinksUpToDate>false</LinksUpToDate>
  <CharactersWithSpaces>8227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2023-09-13T00:40:00Z</dcterms:created>
  <dc:creator>Administrator</dc:creator>
  <cp:lastModifiedBy>user</cp:lastModifiedBy>
  <cp:lastPrinted>2025-09-15T11:03:00Z</cp:lastPrinted>
  <dcterms:modified xsi:type="dcterms:W3CDTF">2025-09-16T09:54:01Z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0AD9BB1E95F24ECBB8AE609623343873_13</vt:lpwstr>
  </property>
  <property fmtid="{D5CDD505-2E9C-101B-9397-08002B2CF9AE}" pid="4" name="KSOTemplateDocerSaveRecord">
    <vt:lpwstr>eyJoZGlkIjoiMWM3ZGFiOWQ1NjgyOTVmZTcxOGI3YTViMTc0MTFlM2EiLCJ1c2VySWQiOiI0MjE1MjM5NDEifQ==</vt:lpwstr>
  </property>
</Properties>
</file>