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53433">
      <w:pPr>
        <w:pStyle w:val="6"/>
        <w:jc w:val="both"/>
        <w:rPr>
          <w:rFonts w:hint="eastAsia" w:ascii="Times New Roman" w:hAnsi="Times New Roman" w:eastAsia="方正小标宋简体" w:cs="Times New Roman"/>
          <w:color w:val="auto"/>
          <w:kern w:val="2"/>
          <w:sz w:val="44"/>
          <w:szCs w:val="44"/>
          <w:highlight w:val="none"/>
          <w:lang w:val="en-US" w:eastAsia="zh-CN" w:bidi="ar-SA"/>
        </w:rPr>
      </w:pPr>
      <w:bookmarkStart w:id="0" w:name="_Toc15396597"/>
      <w:bookmarkStart w:id="1" w:name="_Toc15377193"/>
      <w:bookmarkStart w:id="2" w:name="_Toc15378441"/>
      <w:bookmarkStart w:id="3" w:name="_Toc15377425"/>
      <w:bookmarkStart w:id="4" w:name="_Toc15396475"/>
      <w:bookmarkStart w:id="5" w:name="_Toc15306267"/>
    </w:p>
    <w:bookmarkEnd w:id="0"/>
    <w:bookmarkEnd w:id="1"/>
    <w:bookmarkEnd w:id="2"/>
    <w:bookmarkEnd w:id="3"/>
    <w:bookmarkEnd w:id="4"/>
    <w:p w14:paraId="416EF9F0">
      <w:pPr>
        <w:pStyle w:val="6"/>
        <w:jc w:val="center"/>
        <w:rPr>
          <w:rFonts w:hint="eastAsia" w:ascii="方正楷体_GBK" w:hAnsi="方正楷体_GBK" w:eastAsia="方正楷体_GBK" w:cs="方正楷体_GBK"/>
          <w:b/>
          <w:bCs/>
          <w:color w:val="auto"/>
          <w:kern w:val="2"/>
          <w:sz w:val="48"/>
          <w:szCs w:val="48"/>
          <w:highlight w:val="none"/>
          <w:lang w:val="en-US" w:eastAsia="zh-CN" w:bidi="ar-SA"/>
        </w:rPr>
      </w:pPr>
      <w:bookmarkStart w:id="6" w:name="_Toc15378442"/>
      <w:bookmarkStart w:id="7" w:name="_Toc15396598"/>
      <w:bookmarkStart w:id="8" w:name="_Toc15396476"/>
      <w:bookmarkStart w:id="9" w:name="_Toc15377194"/>
      <w:bookmarkStart w:id="10" w:name="_Toc15377426"/>
    </w:p>
    <w:p w14:paraId="6FE91643">
      <w:pPr>
        <w:pStyle w:val="6"/>
        <w:jc w:val="center"/>
        <w:rPr>
          <w:rFonts w:hint="eastAsia" w:ascii="方正楷体_GBK" w:hAnsi="方正楷体_GBK" w:eastAsia="方正楷体_GBK" w:cs="方正楷体_GBK"/>
          <w:b/>
          <w:bCs/>
          <w:color w:val="auto"/>
          <w:kern w:val="2"/>
          <w:sz w:val="48"/>
          <w:szCs w:val="48"/>
          <w:highlight w:val="none"/>
          <w:lang w:val="en-US" w:eastAsia="zh-CN" w:bidi="ar-SA"/>
        </w:rPr>
      </w:pPr>
    </w:p>
    <w:p w14:paraId="3BB56758">
      <w:pPr>
        <w:pStyle w:val="3"/>
        <w:bidi w:val="0"/>
        <w:jc w:val="center"/>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2025年度</w:t>
      </w:r>
    </w:p>
    <w:p w14:paraId="22BF0E0F">
      <w:pPr>
        <w:pStyle w:val="3"/>
        <w:bidi w:val="0"/>
        <w:jc w:val="center"/>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四川省</w:t>
      </w:r>
      <w:bookmarkEnd w:id="5"/>
      <w:bookmarkStart w:id="11" w:name="_Toc15306268"/>
      <w:r>
        <w:rPr>
          <w:rFonts w:hint="eastAsia" w:ascii="黑体" w:hAnsi="黑体" w:eastAsia="黑体" w:cs="黑体"/>
          <w:sz w:val="48"/>
          <w:szCs w:val="48"/>
          <w:lang w:val="en-US" w:eastAsia="zh-CN"/>
        </w:rPr>
        <w:t>茂县工商业联合会部门决算</w:t>
      </w:r>
      <w:bookmarkEnd w:id="6"/>
      <w:bookmarkEnd w:id="7"/>
      <w:bookmarkEnd w:id="8"/>
      <w:bookmarkEnd w:id="9"/>
      <w:bookmarkEnd w:id="10"/>
      <w:bookmarkEnd w:id="11"/>
      <w:r>
        <w:rPr>
          <w:rFonts w:hint="eastAsia" w:ascii="黑体" w:hAnsi="黑体" w:eastAsia="黑体" w:cs="黑体"/>
          <w:sz w:val="48"/>
          <w:szCs w:val="48"/>
          <w:lang w:val="en-US" w:eastAsia="zh-CN"/>
        </w:rPr>
        <w:t>公开</w:t>
      </w:r>
    </w:p>
    <w:p w14:paraId="38D924FE">
      <w:pPr>
        <w:widowControl/>
        <w:jc w:val="center"/>
        <w:rPr>
          <w:rFonts w:hint="eastAsia" w:ascii="方正楷体_GBK" w:hAnsi="方正楷体_GBK" w:eastAsia="方正楷体_GBK" w:cs="方正楷体_GBK"/>
          <w:color w:val="auto"/>
          <w:sz w:val="52"/>
          <w:szCs w:val="52"/>
          <w:highlight w:val="none"/>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4C56B8A2">
      <w:pPr>
        <w:spacing w:before="0" w:beforeLines="0" w:after="0" w:afterLines="0" w:line="240" w:lineRule="auto"/>
        <w:ind w:left="0" w:leftChars="0" w:right="0" w:rightChars="0" w:firstLine="0" w:firstLineChars="0"/>
        <w:jc w:val="both"/>
      </w:pPr>
      <w:bookmarkStart w:id="12" w:name="_Toc15377196"/>
      <w:bookmarkStart w:id="13" w:name="_Toc15396599"/>
    </w:p>
    <w:p w14:paraId="67B62BB2">
      <w:pPr>
        <w:widowControl/>
        <w:suppressAutoHyphens/>
        <w:bidi w:val="0"/>
        <w:jc w:val="center"/>
        <w:rPr>
          <w:rFonts w:ascii="黑体" w:hAnsi="黑体" w:eastAsia="黑体"/>
          <w:color w:val="auto"/>
          <w:sz w:val="48"/>
          <w:szCs w:val="48"/>
          <w:highlight w:val="none"/>
        </w:rPr>
      </w:pPr>
      <w:r>
        <w:rPr>
          <w:rFonts w:hint="eastAsia" w:ascii="黑体" w:hAnsi="黑体" w:eastAsia="黑体"/>
          <w:color w:val="auto"/>
          <w:sz w:val="48"/>
          <w:szCs w:val="48"/>
          <w:highlight w:val="none"/>
        </w:rPr>
        <w:t>目录</w:t>
      </w:r>
    </w:p>
    <w:p w14:paraId="06936C75">
      <w:pPr>
        <w:widowControl/>
        <w:jc w:val="center"/>
        <w:rPr>
          <w:rFonts w:ascii="黑体" w:hAnsi="黑体" w:eastAsia="黑体"/>
          <w:color w:val="auto"/>
          <w:sz w:val="48"/>
          <w:szCs w:val="48"/>
          <w:highlight w:val="none"/>
        </w:rPr>
      </w:pPr>
    </w:p>
    <w:p w14:paraId="41A84C2C">
      <w:pPr>
        <w:pStyle w:val="13"/>
        <w:rPr>
          <w:rFonts w:hint="eastAsia" w:ascii="仿宋_GB2312" w:hAnsi="Calibri" w:eastAsia="仿宋_GB2312" w:cs="Times New Roman"/>
          <w:color w:val="000000"/>
          <w:kern w:val="2"/>
          <w:sz w:val="32"/>
          <w:szCs w:val="32"/>
          <w:lang w:val="en-US" w:eastAsia="zh-CN" w:bidi="ar-SA"/>
        </w:rPr>
      </w:pPr>
      <w:r>
        <w:rPr>
          <w:rFonts w:hint="eastAsia" w:ascii="仿宋_GB2312" w:hAnsi="Calibri" w:eastAsia="仿宋_GB2312" w:cs="Times New Roman"/>
          <w:color w:val="000000"/>
          <w:kern w:val="2"/>
          <w:sz w:val="32"/>
          <w:szCs w:val="32"/>
          <w:lang w:val="en-US" w:eastAsia="zh-CN" w:bidi="ar-SA"/>
        </w:rPr>
        <w:t>公开时间：2026年9月4日</w:t>
      </w:r>
    </w:p>
    <w:p w14:paraId="3C211AF7">
      <w:pPr>
        <w:spacing w:before="0" w:beforeLines="0" w:after="0" w:afterLines="0" w:line="240" w:lineRule="auto"/>
        <w:ind w:left="0" w:leftChars="0" w:right="0" w:rightChars="0" w:firstLine="0" w:firstLineChars="0"/>
        <w:jc w:val="both"/>
      </w:pPr>
    </w:p>
    <w:p w14:paraId="326918B5">
      <w:pPr>
        <w:pStyle w:val="13"/>
        <w:tabs>
          <w:tab w:val="right" w:leader="dot" w:pos="8306"/>
          <w:tab w:val="clear" w:pos="8296"/>
        </w:tabs>
        <w:rPr>
          <w:rFonts w:hint="eastAsia" w:ascii="仿宋" w:hAnsi="仿宋" w:eastAsia="仿宋" w:cs="仿宋"/>
          <w:sz w:val="32"/>
          <w:szCs w:val="32"/>
        </w:rPr>
      </w:pPr>
      <w:r>
        <w:rPr>
          <w:rFonts w:ascii="仿宋" w:hAnsi="仿宋" w:eastAsia="仿宋"/>
          <w:bCs/>
          <w:color w:val="auto"/>
          <w:kern w:val="44"/>
          <w:sz w:val="32"/>
          <w:szCs w:val="32"/>
          <w:highlight w:val="none"/>
        </w:rPr>
        <w:fldChar w:fldCharType="begin"/>
      </w:r>
      <w:r>
        <w:rPr>
          <w:rFonts w:ascii="仿宋" w:hAnsi="仿宋" w:eastAsia="仿宋"/>
          <w:bCs/>
          <w:color w:val="auto"/>
          <w:kern w:val="44"/>
          <w:sz w:val="32"/>
          <w:szCs w:val="32"/>
          <w:highlight w:val="none"/>
        </w:rPr>
        <w:instrText xml:space="preserve">TOC \o "1-3" \h \u </w:instrText>
      </w:r>
      <w:r>
        <w:rPr>
          <w:rFonts w:ascii="仿宋" w:hAnsi="仿宋" w:eastAsia="仿宋"/>
          <w:bCs/>
          <w:color w:val="auto"/>
          <w:kern w:val="44"/>
          <w:sz w:val="32"/>
          <w:szCs w:val="32"/>
          <w:highlight w:val="none"/>
        </w:rPr>
        <w:fldChar w:fldCharType="separate"/>
      </w:r>
      <w:r>
        <w:rPr>
          <w:rFonts w:hint="eastAsia" w:ascii="仿宋" w:hAnsi="仿宋" w:eastAsia="仿宋" w:cs="仿宋"/>
          <w:b/>
          <w:bCs/>
          <w:color w:val="auto"/>
          <w:kern w:val="44"/>
          <w:sz w:val="32"/>
          <w:szCs w:val="32"/>
          <w:highlight w:val="none"/>
        </w:rPr>
        <w:fldChar w:fldCharType="begin"/>
      </w:r>
      <w:r>
        <w:rPr>
          <w:rFonts w:hint="eastAsia" w:ascii="仿宋" w:hAnsi="仿宋" w:eastAsia="仿宋" w:cs="仿宋"/>
          <w:b/>
          <w:bCs/>
          <w:kern w:val="44"/>
          <w:sz w:val="32"/>
          <w:szCs w:val="32"/>
          <w:highlight w:val="none"/>
        </w:rPr>
        <w:instrText xml:space="preserve"> HYPERLINK \l _Toc16907 </w:instrText>
      </w:r>
      <w:r>
        <w:rPr>
          <w:rFonts w:hint="eastAsia" w:ascii="仿宋" w:hAnsi="仿宋" w:eastAsia="仿宋" w:cs="仿宋"/>
          <w:b/>
          <w:bCs/>
          <w:kern w:val="44"/>
          <w:sz w:val="32"/>
          <w:szCs w:val="32"/>
          <w:highlight w:val="none"/>
        </w:rPr>
        <w:fldChar w:fldCharType="separate"/>
      </w:r>
      <w:r>
        <w:rPr>
          <w:rFonts w:hint="eastAsia" w:ascii="仿宋" w:hAnsi="仿宋" w:eastAsia="仿宋" w:cs="仿宋"/>
          <w:b/>
          <w:bCs/>
          <w:sz w:val="32"/>
          <w:szCs w:val="32"/>
          <w:highlight w:val="none"/>
        </w:rPr>
        <w:t xml:space="preserve">第一部分 </w:t>
      </w:r>
      <w:r>
        <w:rPr>
          <w:rFonts w:hint="eastAsia" w:ascii="仿宋" w:hAnsi="仿宋" w:eastAsia="仿宋" w:cs="仿宋"/>
          <w:b/>
          <w:bCs/>
          <w:sz w:val="32"/>
          <w:szCs w:val="32"/>
          <w:highlight w:val="none"/>
          <w:lang w:eastAsia="zh-CN"/>
        </w:rPr>
        <w:t>单位</w:t>
      </w:r>
      <w:r>
        <w:rPr>
          <w:rFonts w:hint="eastAsia" w:ascii="仿宋" w:hAnsi="仿宋" w:eastAsia="仿宋" w:cs="仿宋"/>
          <w:b/>
          <w:bCs/>
          <w:sz w:val="32"/>
          <w:szCs w:val="32"/>
          <w:highlight w:val="none"/>
        </w:rPr>
        <w:t>概况</w:t>
      </w:r>
      <w:r>
        <w:rPr>
          <w:rFonts w:hint="eastAsia" w:ascii="仿宋" w:hAnsi="仿宋" w:eastAsia="仿宋" w:cs="仿宋"/>
          <w:b/>
          <w:bCs/>
          <w:sz w:val="32"/>
          <w:szCs w:val="32"/>
        </w:rPr>
        <w:tab/>
      </w:r>
      <w:r>
        <w:rPr>
          <w:rFonts w:hint="eastAsia" w:cs="仿宋"/>
          <w:b/>
          <w:bCs/>
          <w:sz w:val="32"/>
          <w:szCs w:val="32"/>
          <w:lang w:val="en-US" w:eastAsia="zh-CN"/>
        </w:rPr>
        <w:t>4</w:t>
      </w:r>
      <w:r>
        <w:rPr>
          <w:rFonts w:hint="eastAsia" w:ascii="仿宋" w:hAnsi="仿宋" w:eastAsia="仿宋" w:cs="仿宋"/>
          <w:b/>
          <w:bCs/>
          <w:color w:val="auto"/>
          <w:kern w:val="44"/>
          <w:sz w:val="32"/>
          <w:szCs w:val="32"/>
          <w:highlight w:val="none"/>
        </w:rPr>
        <w:fldChar w:fldCharType="end"/>
      </w:r>
    </w:p>
    <w:p w14:paraId="71B16901">
      <w:pPr>
        <w:pStyle w:val="16"/>
        <w:tabs>
          <w:tab w:val="right" w:leader="dot" w:pos="8306"/>
          <w:tab w:val="clear" w:pos="8296"/>
        </w:tabs>
        <w:rPr>
          <w:rFonts w:hint="eastAsia" w:ascii="仿宋" w:hAnsi="仿宋" w:eastAsia="仿宋" w:cs="仿宋"/>
          <w:sz w:val="32"/>
          <w:szCs w:val="32"/>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_Toc25985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bCs w:val="0"/>
          <w:sz w:val="32"/>
          <w:szCs w:val="32"/>
          <w:lang w:eastAsia="zh-CN"/>
        </w:rPr>
        <w:t xml:space="preserve">一、 </w:t>
      </w:r>
      <w:r>
        <w:rPr>
          <w:rFonts w:hint="eastAsia" w:ascii="仿宋" w:hAnsi="仿宋" w:eastAsia="仿宋" w:cs="仿宋"/>
          <w:bCs w:val="0"/>
          <w:sz w:val="32"/>
          <w:szCs w:val="32"/>
          <w:highlight w:val="none"/>
          <w:lang w:eastAsia="zh-CN"/>
        </w:rPr>
        <w:t>主要职责</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bCs/>
          <w:color w:val="auto"/>
          <w:kern w:val="44"/>
          <w:sz w:val="32"/>
          <w:szCs w:val="32"/>
          <w:highlight w:val="none"/>
        </w:rPr>
        <w:fldChar w:fldCharType="end"/>
      </w:r>
    </w:p>
    <w:p w14:paraId="3EBB94E4">
      <w:pPr>
        <w:pStyle w:val="16"/>
        <w:tabs>
          <w:tab w:val="right" w:leader="dot" w:pos="8306"/>
          <w:tab w:val="clear" w:pos="8296"/>
        </w:tabs>
        <w:rPr>
          <w:rFonts w:hint="eastAsia" w:ascii="仿宋" w:hAnsi="仿宋" w:eastAsia="仿宋" w:cs="仿宋"/>
          <w:sz w:val="32"/>
          <w:szCs w:val="32"/>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_Toc2099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sz w:val="32"/>
          <w:szCs w:val="32"/>
          <w:highlight w:val="none"/>
          <w:lang w:val="en-US" w:eastAsia="zh-CN"/>
        </w:rPr>
        <w:t>二、机构设置</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bCs/>
          <w:color w:val="auto"/>
          <w:kern w:val="44"/>
          <w:sz w:val="32"/>
          <w:szCs w:val="32"/>
          <w:highlight w:val="none"/>
        </w:rPr>
        <w:fldChar w:fldCharType="end"/>
      </w:r>
    </w:p>
    <w:p w14:paraId="787A5A54">
      <w:pPr>
        <w:pStyle w:val="13"/>
        <w:tabs>
          <w:tab w:val="right" w:leader="dot" w:pos="8306"/>
          <w:tab w:val="clear" w:pos="8296"/>
        </w:tabs>
        <w:rPr>
          <w:rFonts w:hint="eastAsia" w:ascii="仿宋" w:hAnsi="仿宋" w:eastAsia="仿宋" w:cs="仿宋"/>
          <w:b/>
          <w:bCs w:val="0"/>
          <w:sz w:val="32"/>
          <w:szCs w:val="32"/>
        </w:rPr>
      </w:pPr>
      <w:r>
        <w:rPr>
          <w:rFonts w:hint="eastAsia" w:ascii="仿宋" w:hAnsi="仿宋" w:eastAsia="仿宋" w:cs="仿宋"/>
          <w:b/>
          <w:bCs w:val="0"/>
          <w:color w:val="auto"/>
          <w:kern w:val="44"/>
          <w:sz w:val="32"/>
          <w:szCs w:val="32"/>
          <w:highlight w:val="none"/>
        </w:rPr>
        <w:fldChar w:fldCharType="begin"/>
      </w:r>
      <w:r>
        <w:rPr>
          <w:rFonts w:hint="eastAsia" w:ascii="仿宋" w:hAnsi="仿宋" w:eastAsia="仿宋" w:cs="仿宋"/>
          <w:b/>
          <w:bCs w:val="0"/>
          <w:kern w:val="44"/>
          <w:sz w:val="32"/>
          <w:szCs w:val="32"/>
          <w:highlight w:val="none"/>
        </w:rPr>
        <w:instrText xml:space="preserve"> HYPERLINK \l _Toc4290 </w:instrText>
      </w:r>
      <w:r>
        <w:rPr>
          <w:rFonts w:hint="eastAsia" w:ascii="仿宋" w:hAnsi="仿宋" w:eastAsia="仿宋" w:cs="仿宋"/>
          <w:b/>
          <w:bCs w:val="0"/>
          <w:kern w:val="44"/>
          <w:sz w:val="32"/>
          <w:szCs w:val="32"/>
          <w:highlight w:val="none"/>
        </w:rPr>
        <w:fldChar w:fldCharType="separate"/>
      </w:r>
      <w:r>
        <w:rPr>
          <w:rFonts w:hint="eastAsia" w:ascii="仿宋" w:hAnsi="仿宋" w:eastAsia="仿宋" w:cs="仿宋"/>
          <w:b/>
          <w:bCs w:val="0"/>
          <w:sz w:val="32"/>
          <w:szCs w:val="32"/>
          <w:highlight w:val="none"/>
        </w:rPr>
        <w:t xml:space="preserve">第二部分 </w:t>
      </w:r>
      <w:r>
        <w:rPr>
          <w:rFonts w:hint="eastAsia" w:ascii="仿宋" w:hAnsi="仿宋" w:eastAsia="仿宋" w:cs="仿宋"/>
          <w:b/>
          <w:bCs w:val="0"/>
          <w:sz w:val="32"/>
          <w:szCs w:val="32"/>
          <w:highlight w:val="none"/>
          <w:lang w:val="en-US" w:eastAsia="zh-CN"/>
        </w:rPr>
        <w:t>2025年度</w:t>
      </w:r>
      <w:r>
        <w:rPr>
          <w:rFonts w:hint="eastAsia" w:ascii="仿宋" w:hAnsi="仿宋" w:eastAsia="仿宋" w:cs="仿宋"/>
          <w:b/>
          <w:bCs w:val="0"/>
          <w:sz w:val="32"/>
          <w:szCs w:val="32"/>
          <w:highlight w:val="none"/>
          <w:lang w:eastAsia="zh-CN"/>
        </w:rPr>
        <w:t>单位</w:t>
      </w:r>
      <w:r>
        <w:rPr>
          <w:rFonts w:hint="eastAsia" w:ascii="仿宋" w:hAnsi="仿宋" w:eastAsia="仿宋" w:cs="仿宋"/>
          <w:b/>
          <w:bCs w:val="0"/>
          <w:sz w:val="32"/>
          <w:szCs w:val="32"/>
          <w:highlight w:val="none"/>
        </w:rPr>
        <w:t>决算情况说明</w:t>
      </w:r>
      <w:r>
        <w:rPr>
          <w:rFonts w:hint="eastAsia" w:ascii="仿宋" w:hAnsi="仿宋" w:eastAsia="仿宋" w:cs="仿宋"/>
          <w:b/>
          <w:bCs w:val="0"/>
          <w:sz w:val="32"/>
          <w:szCs w:val="32"/>
        </w:rPr>
        <w:tab/>
      </w:r>
      <w:r>
        <w:rPr>
          <w:rFonts w:hint="eastAsia" w:cs="仿宋"/>
          <w:b/>
          <w:bCs w:val="0"/>
          <w:sz w:val="32"/>
          <w:szCs w:val="32"/>
          <w:lang w:val="en-US" w:eastAsia="zh-CN"/>
        </w:rPr>
        <w:t>5</w:t>
      </w:r>
      <w:r>
        <w:rPr>
          <w:rFonts w:hint="eastAsia" w:ascii="仿宋" w:hAnsi="仿宋" w:eastAsia="仿宋" w:cs="仿宋"/>
          <w:b/>
          <w:bCs w:val="0"/>
          <w:color w:val="auto"/>
          <w:kern w:val="44"/>
          <w:sz w:val="32"/>
          <w:szCs w:val="32"/>
          <w:highlight w:val="none"/>
        </w:rPr>
        <w:fldChar w:fldCharType="end"/>
      </w:r>
    </w:p>
    <w:p w14:paraId="6BD4C28F">
      <w:pPr>
        <w:pStyle w:val="16"/>
        <w:tabs>
          <w:tab w:val="right" w:leader="dot" w:pos="8306"/>
          <w:tab w:val="clear" w:pos="8296"/>
        </w:tabs>
        <w:rPr>
          <w:rFonts w:hint="eastAsia" w:ascii="仿宋" w:hAnsi="仿宋" w:eastAsia="仿宋" w:cs="仿宋"/>
          <w:sz w:val="32"/>
          <w:szCs w:val="32"/>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_Toc23282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sz w:val="32"/>
          <w:szCs w:val="32"/>
          <w:highlight w:val="none"/>
          <w:lang w:eastAsia="zh-CN"/>
        </w:rPr>
        <w:t>一、</w:t>
      </w:r>
      <w:r>
        <w:rPr>
          <w:rFonts w:hint="eastAsia" w:ascii="仿宋" w:hAnsi="仿宋" w:eastAsia="仿宋" w:cs="仿宋"/>
          <w:sz w:val="32"/>
          <w:szCs w:val="32"/>
          <w:highlight w:val="none"/>
        </w:rPr>
        <w:t>收入支出决算总体情况说明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bCs/>
          <w:color w:val="auto"/>
          <w:kern w:val="44"/>
          <w:sz w:val="32"/>
          <w:szCs w:val="32"/>
          <w:highlight w:val="none"/>
        </w:rPr>
        <w:fldChar w:fldCharType="end"/>
      </w:r>
    </w:p>
    <w:p w14:paraId="287CB842">
      <w:pPr>
        <w:pStyle w:val="16"/>
        <w:tabs>
          <w:tab w:val="right" w:leader="dot" w:pos="8306"/>
          <w:tab w:val="clear" w:pos="8296"/>
        </w:tabs>
        <w:rPr>
          <w:rFonts w:hint="eastAsia" w:ascii="仿宋" w:hAnsi="仿宋" w:eastAsia="仿宋" w:cs="仿宋"/>
          <w:sz w:val="32"/>
          <w:szCs w:val="32"/>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_Toc4598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sz w:val="32"/>
          <w:szCs w:val="32"/>
          <w:highlight w:val="none"/>
          <w:lang w:eastAsia="zh-CN"/>
        </w:rPr>
        <w:t>二、</w:t>
      </w:r>
      <w:r>
        <w:rPr>
          <w:rFonts w:hint="eastAsia" w:ascii="仿宋" w:hAnsi="仿宋" w:eastAsia="仿宋" w:cs="仿宋"/>
          <w:sz w:val="32"/>
          <w:szCs w:val="32"/>
          <w:highlight w:val="none"/>
        </w:rPr>
        <w:t>收入决算情况说明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bCs/>
          <w:color w:val="auto"/>
          <w:kern w:val="44"/>
          <w:sz w:val="32"/>
          <w:szCs w:val="32"/>
          <w:highlight w:val="none"/>
        </w:rPr>
        <w:fldChar w:fldCharType="end"/>
      </w:r>
    </w:p>
    <w:p w14:paraId="3C9DC808">
      <w:pPr>
        <w:pStyle w:val="16"/>
        <w:tabs>
          <w:tab w:val="right" w:leader="dot" w:pos="8306"/>
          <w:tab w:val="clear" w:pos="8296"/>
        </w:tabs>
        <w:rPr>
          <w:rFonts w:hint="eastAsia" w:ascii="仿宋" w:hAnsi="仿宋" w:eastAsia="仿宋" w:cs="仿宋"/>
          <w:sz w:val="32"/>
          <w:szCs w:val="32"/>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_Toc6795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sz w:val="32"/>
          <w:szCs w:val="32"/>
          <w:highlight w:val="none"/>
          <w:lang w:eastAsia="zh-CN"/>
        </w:rPr>
        <w:t>三、</w:t>
      </w:r>
      <w:r>
        <w:rPr>
          <w:rFonts w:hint="eastAsia" w:ascii="仿宋" w:hAnsi="仿宋" w:eastAsia="仿宋" w:cs="仿宋"/>
          <w:sz w:val="32"/>
          <w:szCs w:val="32"/>
          <w:highlight w:val="none"/>
        </w:rPr>
        <w:t>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bCs/>
          <w:color w:val="auto"/>
          <w:kern w:val="44"/>
          <w:sz w:val="32"/>
          <w:szCs w:val="32"/>
          <w:highlight w:val="none"/>
        </w:rPr>
        <w:fldChar w:fldCharType="end"/>
      </w:r>
    </w:p>
    <w:p w14:paraId="6A95BA2F">
      <w:pPr>
        <w:pStyle w:val="16"/>
        <w:tabs>
          <w:tab w:val="right" w:leader="dot" w:pos="8306"/>
          <w:tab w:val="clear" w:pos="8296"/>
        </w:tabs>
        <w:rPr>
          <w:rFonts w:hint="eastAsia" w:ascii="仿宋" w:hAnsi="仿宋" w:eastAsia="仿宋" w:cs="仿宋"/>
          <w:sz w:val="32"/>
          <w:szCs w:val="32"/>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_Toc2137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sz w:val="32"/>
          <w:szCs w:val="32"/>
          <w:highlight w:val="none"/>
        </w:rPr>
        <w:t>四、财政拨款收入支出决算总体情况说明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bCs/>
          <w:color w:val="auto"/>
          <w:kern w:val="44"/>
          <w:sz w:val="32"/>
          <w:szCs w:val="32"/>
          <w:highlight w:val="none"/>
        </w:rPr>
        <w:fldChar w:fldCharType="end"/>
      </w:r>
    </w:p>
    <w:p w14:paraId="12BC90D3">
      <w:pPr>
        <w:pStyle w:val="16"/>
        <w:tabs>
          <w:tab w:val="right" w:leader="dot" w:pos="8306"/>
          <w:tab w:val="clear" w:pos="8296"/>
        </w:tabs>
        <w:rPr>
          <w:rFonts w:hint="eastAsia" w:ascii="仿宋" w:hAnsi="仿宋" w:eastAsia="仿宋" w:cs="仿宋"/>
          <w:sz w:val="32"/>
          <w:szCs w:val="32"/>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_Toc10720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sz w:val="32"/>
          <w:szCs w:val="32"/>
          <w:highlight w:val="none"/>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7</w:t>
      </w:r>
      <w:r>
        <w:rPr>
          <w:rFonts w:hint="eastAsia" w:ascii="仿宋" w:hAnsi="仿宋" w:eastAsia="仿宋" w:cs="仿宋"/>
          <w:bCs/>
          <w:color w:val="auto"/>
          <w:kern w:val="44"/>
          <w:sz w:val="32"/>
          <w:szCs w:val="32"/>
          <w:highlight w:val="none"/>
        </w:rPr>
        <w:fldChar w:fldCharType="end"/>
      </w:r>
    </w:p>
    <w:p w14:paraId="2A7C83FC">
      <w:pPr>
        <w:pStyle w:val="16"/>
        <w:tabs>
          <w:tab w:val="right" w:leader="dot" w:pos="8306"/>
          <w:tab w:val="clear" w:pos="8296"/>
        </w:tabs>
        <w:rPr>
          <w:rFonts w:hint="eastAsia" w:ascii="仿宋" w:hAnsi="仿宋" w:eastAsia="仿宋" w:cs="仿宋"/>
          <w:sz w:val="32"/>
          <w:szCs w:val="32"/>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_Toc28846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sz w:val="32"/>
          <w:szCs w:val="32"/>
          <w:highlight w:val="none"/>
        </w:rPr>
        <w:t>六、一般公共预算财政拨款基本支出决算情况说明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9</w:t>
      </w:r>
      <w:r>
        <w:rPr>
          <w:rFonts w:hint="eastAsia" w:ascii="仿宋" w:hAnsi="仿宋" w:eastAsia="仿宋" w:cs="仿宋"/>
          <w:bCs/>
          <w:color w:val="auto"/>
          <w:kern w:val="44"/>
          <w:sz w:val="32"/>
          <w:szCs w:val="32"/>
          <w:highlight w:val="none"/>
        </w:rPr>
        <w:fldChar w:fldCharType="end"/>
      </w:r>
    </w:p>
    <w:p w14:paraId="0FD07C48">
      <w:pPr>
        <w:pStyle w:val="16"/>
        <w:tabs>
          <w:tab w:val="right" w:leader="dot" w:pos="8306"/>
          <w:tab w:val="clear" w:pos="8296"/>
        </w:tabs>
        <w:rPr>
          <w:rFonts w:hint="eastAsia" w:ascii="仿宋" w:hAnsi="仿宋" w:eastAsia="仿宋" w:cs="仿宋"/>
          <w:sz w:val="32"/>
          <w:szCs w:val="32"/>
          <w:lang w:val="en-US" w:eastAsia="zh-CN"/>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_Toc31098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sz w:val="32"/>
          <w:szCs w:val="32"/>
          <w:highlight w:val="none"/>
        </w:rPr>
        <w:t>七、财政拨款“三公”经费支出决算情况说明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w:t>
      </w:r>
      <w:r>
        <w:rPr>
          <w:rFonts w:hint="eastAsia" w:ascii="仿宋" w:hAnsi="仿宋" w:eastAsia="仿宋" w:cs="仿宋"/>
          <w:bCs/>
          <w:color w:val="auto"/>
          <w:kern w:val="44"/>
          <w:sz w:val="32"/>
          <w:szCs w:val="32"/>
          <w:highlight w:val="none"/>
        </w:rPr>
        <w:fldChar w:fldCharType="end"/>
      </w:r>
      <w:r>
        <w:rPr>
          <w:rFonts w:hint="eastAsia" w:ascii="仿宋" w:hAnsi="仿宋" w:eastAsia="仿宋" w:cs="仿宋"/>
          <w:bCs/>
          <w:color w:val="auto"/>
          <w:kern w:val="44"/>
          <w:sz w:val="32"/>
          <w:szCs w:val="32"/>
          <w:highlight w:val="none"/>
          <w:lang w:val="en-US" w:eastAsia="zh-CN"/>
        </w:rPr>
        <w:t>0</w:t>
      </w:r>
    </w:p>
    <w:p w14:paraId="42E4363A">
      <w:pPr>
        <w:pStyle w:val="16"/>
        <w:tabs>
          <w:tab w:val="right" w:leader="dot" w:pos="8306"/>
          <w:tab w:val="clear" w:pos="8296"/>
        </w:tabs>
        <w:rPr>
          <w:rFonts w:hint="eastAsia" w:ascii="仿宋" w:hAnsi="仿宋" w:eastAsia="仿宋" w:cs="仿宋"/>
          <w:sz w:val="32"/>
          <w:szCs w:val="32"/>
          <w:lang w:val="en-US" w:eastAsia="zh-CN"/>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_Toc29186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sz w:val="32"/>
          <w:szCs w:val="32"/>
          <w:highlight w:val="none"/>
        </w:rPr>
        <w:t>八、政府性基金预算支出决算情况说明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w:t>
      </w:r>
      <w:r>
        <w:rPr>
          <w:rFonts w:hint="eastAsia" w:ascii="仿宋" w:hAnsi="仿宋" w:eastAsia="仿宋" w:cs="仿宋"/>
          <w:bCs/>
          <w:color w:val="auto"/>
          <w:kern w:val="44"/>
          <w:sz w:val="32"/>
          <w:szCs w:val="32"/>
          <w:highlight w:val="none"/>
        </w:rPr>
        <w:fldChar w:fldCharType="end"/>
      </w:r>
      <w:r>
        <w:rPr>
          <w:rFonts w:hint="eastAsia" w:ascii="仿宋" w:hAnsi="仿宋" w:eastAsia="仿宋" w:cs="仿宋"/>
          <w:bCs/>
          <w:color w:val="auto"/>
          <w:kern w:val="44"/>
          <w:sz w:val="32"/>
          <w:szCs w:val="32"/>
          <w:highlight w:val="none"/>
          <w:lang w:val="en-US" w:eastAsia="zh-CN"/>
        </w:rPr>
        <w:t>1</w:t>
      </w:r>
    </w:p>
    <w:p w14:paraId="7427C1AC">
      <w:pPr>
        <w:pStyle w:val="16"/>
        <w:tabs>
          <w:tab w:val="right" w:leader="dot" w:pos="8306"/>
          <w:tab w:val="clear" w:pos="8296"/>
        </w:tabs>
        <w:rPr>
          <w:rFonts w:hint="eastAsia" w:ascii="仿宋" w:hAnsi="仿宋" w:eastAsia="仿宋" w:cs="仿宋"/>
          <w:sz w:val="32"/>
          <w:szCs w:val="32"/>
          <w:lang w:val="en-US" w:eastAsia="zh-CN"/>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_Toc9996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sz w:val="32"/>
          <w:szCs w:val="32"/>
          <w:highlight w:val="none"/>
          <w:lang w:eastAsia="zh-CN"/>
        </w:rPr>
        <w:t>九、</w:t>
      </w:r>
      <w:r>
        <w:rPr>
          <w:rFonts w:hint="eastAsia" w:ascii="仿宋" w:hAnsi="仿宋" w:eastAsia="仿宋" w:cs="仿宋"/>
          <w:sz w:val="32"/>
          <w:szCs w:val="32"/>
          <w:highlight w:val="none"/>
        </w:rPr>
        <w:t>国有资本经营预算支出决算情况说明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w:t>
      </w:r>
      <w:r>
        <w:rPr>
          <w:rFonts w:hint="eastAsia" w:ascii="仿宋" w:hAnsi="仿宋" w:eastAsia="仿宋" w:cs="仿宋"/>
          <w:bCs/>
          <w:color w:val="auto"/>
          <w:kern w:val="44"/>
          <w:sz w:val="32"/>
          <w:szCs w:val="32"/>
          <w:highlight w:val="none"/>
        </w:rPr>
        <w:fldChar w:fldCharType="end"/>
      </w:r>
      <w:r>
        <w:rPr>
          <w:rFonts w:hint="eastAsia" w:ascii="仿宋" w:hAnsi="仿宋" w:eastAsia="仿宋" w:cs="仿宋"/>
          <w:bCs/>
          <w:color w:val="auto"/>
          <w:kern w:val="44"/>
          <w:sz w:val="32"/>
          <w:szCs w:val="32"/>
          <w:highlight w:val="none"/>
          <w:lang w:val="en-US" w:eastAsia="zh-CN"/>
        </w:rPr>
        <w:t>1</w:t>
      </w:r>
    </w:p>
    <w:p w14:paraId="315F145F">
      <w:pPr>
        <w:pStyle w:val="16"/>
        <w:tabs>
          <w:tab w:val="right" w:leader="dot" w:pos="8306"/>
          <w:tab w:val="clear" w:pos="8296"/>
        </w:tabs>
        <w:rPr>
          <w:rFonts w:hint="eastAsia" w:ascii="仿宋" w:hAnsi="仿宋" w:eastAsia="仿宋" w:cs="仿宋"/>
          <w:sz w:val="32"/>
          <w:szCs w:val="32"/>
          <w:lang w:val="en-US" w:eastAsia="zh-CN"/>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_Toc15246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sz w:val="32"/>
          <w:szCs w:val="32"/>
          <w:highlight w:val="none"/>
          <w:lang w:eastAsia="zh-CN"/>
        </w:rPr>
        <w:t>十、</w:t>
      </w:r>
      <w:r>
        <w:rPr>
          <w:rFonts w:hint="eastAsia" w:ascii="仿宋" w:hAnsi="仿宋" w:eastAsia="仿宋" w:cs="仿宋"/>
          <w:sz w:val="32"/>
          <w:szCs w:val="32"/>
          <w:highlight w:val="none"/>
        </w:rPr>
        <w:t>其他重要事项的情况说明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w:t>
      </w:r>
      <w:r>
        <w:rPr>
          <w:rFonts w:hint="eastAsia" w:ascii="仿宋" w:hAnsi="仿宋" w:eastAsia="仿宋" w:cs="仿宋"/>
          <w:bCs/>
          <w:color w:val="auto"/>
          <w:kern w:val="44"/>
          <w:sz w:val="32"/>
          <w:szCs w:val="32"/>
          <w:highlight w:val="none"/>
        </w:rPr>
        <w:fldChar w:fldCharType="end"/>
      </w:r>
      <w:r>
        <w:rPr>
          <w:rFonts w:hint="eastAsia" w:ascii="仿宋" w:hAnsi="仿宋" w:eastAsia="仿宋" w:cs="仿宋"/>
          <w:bCs/>
          <w:color w:val="auto"/>
          <w:kern w:val="44"/>
          <w:sz w:val="32"/>
          <w:szCs w:val="32"/>
          <w:highlight w:val="none"/>
          <w:lang w:val="en-US" w:eastAsia="zh-CN"/>
        </w:rPr>
        <w:t>1</w:t>
      </w:r>
    </w:p>
    <w:p w14:paraId="789D0EDC">
      <w:pPr>
        <w:pStyle w:val="13"/>
        <w:tabs>
          <w:tab w:val="right" w:leader="dot" w:pos="8306"/>
          <w:tab w:val="clear" w:pos="8296"/>
        </w:tabs>
        <w:rPr>
          <w:rFonts w:hint="eastAsia" w:ascii="仿宋" w:hAnsi="仿宋" w:eastAsia="仿宋" w:cs="仿宋"/>
          <w:b/>
          <w:bCs/>
          <w:sz w:val="32"/>
          <w:szCs w:val="32"/>
          <w:lang w:val="en-US" w:eastAsia="zh-CN"/>
        </w:rPr>
      </w:pPr>
      <w:r>
        <w:rPr>
          <w:rFonts w:hint="eastAsia" w:ascii="仿宋" w:hAnsi="仿宋" w:eastAsia="仿宋" w:cs="仿宋"/>
          <w:b/>
          <w:bCs/>
          <w:color w:val="auto"/>
          <w:kern w:val="44"/>
          <w:sz w:val="32"/>
          <w:szCs w:val="32"/>
          <w:highlight w:val="none"/>
        </w:rPr>
        <w:fldChar w:fldCharType="begin"/>
      </w:r>
      <w:r>
        <w:rPr>
          <w:rFonts w:hint="eastAsia" w:ascii="仿宋" w:hAnsi="仿宋" w:eastAsia="仿宋" w:cs="仿宋"/>
          <w:b/>
          <w:bCs/>
          <w:kern w:val="44"/>
          <w:sz w:val="32"/>
          <w:szCs w:val="32"/>
          <w:highlight w:val="none"/>
        </w:rPr>
        <w:instrText xml:space="preserve"> HYPERLINK \l _Toc29165 </w:instrText>
      </w:r>
      <w:r>
        <w:rPr>
          <w:rFonts w:hint="eastAsia" w:ascii="仿宋" w:hAnsi="仿宋" w:eastAsia="仿宋" w:cs="仿宋"/>
          <w:b/>
          <w:bCs/>
          <w:kern w:val="44"/>
          <w:sz w:val="32"/>
          <w:szCs w:val="32"/>
          <w:highlight w:val="none"/>
        </w:rPr>
        <w:fldChar w:fldCharType="separate"/>
      </w:r>
      <w:r>
        <w:rPr>
          <w:rFonts w:hint="eastAsia" w:ascii="仿宋" w:hAnsi="仿宋" w:eastAsia="仿宋" w:cs="仿宋"/>
          <w:b/>
          <w:bCs/>
          <w:sz w:val="32"/>
          <w:szCs w:val="32"/>
          <w:highlight w:val="none"/>
          <w:lang w:eastAsia="zh-CN"/>
        </w:rPr>
        <w:t>第三部分</w:t>
      </w:r>
      <w:r>
        <w:rPr>
          <w:rFonts w:hint="eastAsia" w:ascii="仿宋" w:hAnsi="仿宋" w:eastAsia="仿宋" w:cs="仿宋"/>
          <w:b/>
          <w:bCs/>
          <w:sz w:val="32"/>
          <w:szCs w:val="32"/>
          <w:highlight w:val="none"/>
          <w:lang w:val="en-US" w:eastAsia="zh-CN"/>
        </w:rPr>
        <w:t xml:space="preserve"> </w:t>
      </w:r>
      <w:r>
        <w:rPr>
          <w:rFonts w:hint="eastAsia" w:ascii="仿宋" w:hAnsi="仿宋" w:eastAsia="仿宋" w:cs="仿宋"/>
          <w:b/>
          <w:bCs/>
          <w:sz w:val="32"/>
          <w:szCs w:val="32"/>
          <w:highlight w:val="none"/>
        </w:rPr>
        <w:t>名词解释</w:t>
      </w:r>
      <w:r>
        <w:rPr>
          <w:rFonts w:hint="eastAsia" w:ascii="仿宋" w:hAnsi="仿宋" w:eastAsia="仿宋" w:cs="仿宋"/>
          <w:b/>
          <w:bCs/>
          <w:sz w:val="32"/>
          <w:szCs w:val="32"/>
        </w:rPr>
        <w:tab/>
      </w:r>
      <w:r>
        <w:rPr>
          <w:rFonts w:hint="eastAsia" w:cs="仿宋"/>
          <w:b/>
          <w:bCs/>
          <w:sz w:val="32"/>
          <w:szCs w:val="32"/>
          <w:lang w:val="en-US" w:eastAsia="zh-CN"/>
        </w:rPr>
        <w:t>1</w:t>
      </w:r>
      <w:r>
        <w:rPr>
          <w:rFonts w:hint="eastAsia" w:ascii="仿宋" w:hAnsi="仿宋" w:eastAsia="仿宋" w:cs="仿宋"/>
          <w:b/>
          <w:bCs/>
          <w:color w:val="auto"/>
          <w:kern w:val="44"/>
          <w:sz w:val="32"/>
          <w:szCs w:val="32"/>
          <w:highlight w:val="none"/>
        </w:rPr>
        <w:fldChar w:fldCharType="end"/>
      </w:r>
      <w:r>
        <w:rPr>
          <w:rFonts w:hint="eastAsia" w:cs="仿宋"/>
          <w:b/>
          <w:bCs/>
          <w:color w:val="auto"/>
          <w:kern w:val="44"/>
          <w:sz w:val="32"/>
          <w:szCs w:val="32"/>
          <w:highlight w:val="none"/>
          <w:lang w:val="en-US" w:eastAsia="zh-CN"/>
        </w:rPr>
        <w:t>3</w:t>
      </w:r>
    </w:p>
    <w:p w14:paraId="0BF1D189">
      <w:pPr>
        <w:pStyle w:val="13"/>
        <w:tabs>
          <w:tab w:val="right" w:leader="dot" w:pos="8306"/>
          <w:tab w:val="clear" w:pos="8296"/>
        </w:tabs>
        <w:rPr>
          <w:rFonts w:hint="eastAsia" w:ascii="仿宋" w:hAnsi="仿宋" w:eastAsia="仿宋" w:cs="仿宋"/>
          <w:sz w:val="32"/>
          <w:szCs w:val="32"/>
          <w:lang w:val="en-US" w:eastAsia="zh-CN"/>
        </w:rPr>
      </w:pPr>
      <w:r>
        <w:rPr>
          <w:rFonts w:hint="eastAsia" w:ascii="仿宋" w:hAnsi="仿宋" w:eastAsia="仿宋" w:cs="仿宋"/>
          <w:b/>
          <w:bCs/>
          <w:color w:val="auto"/>
          <w:kern w:val="44"/>
          <w:sz w:val="32"/>
          <w:szCs w:val="32"/>
          <w:highlight w:val="none"/>
        </w:rPr>
        <w:fldChar w:fldCharType="begin"/>
      </w:r>
      <w:r>
        <w:rPr>
          <w:rFonts w:hint="eastAsia" w:ascii="仿宋" w:hAnsi="仿宋" w:eastAsia="仿宋" w:cs="仿宋"/>
          <w:b/>
          <w:bCs/>
          <w:kern w:val="44"/>
          <w:sz w:val="32"/>
          <w:szCs w:val="32"/>
          <w:highlight w:val="none"/>
        </w:rPr>
        <w:instrText xml:space="preserve"> HYPERLINK \l _Toc14646 </w:instrText>
      </w:r>
      <w:r>
        <w:rPr>
          <w:rFonts w:hint="eastAsia" w:ascii="仿宋" w:hAnsi="仿宋" w:eastAsia="仿宋" w:cs="仿宋"/>
          <w:b/>
          <w:bCs/>
          <w:kern w:val="44"/>
          <w:sz w:val="32"/>
          <w:szCs w:val="32"/>
          <w:highlight w:val="none"/>
        </w:rPr>
        <w:fldChar w:fldCharType="separate"/>
      </w:r>
      <w:r>
        <w:rPr>
          <w:rFonts w:hint="eastAsia" w:ascii="仿宋" w:hAnsi="仿宋" w:eastAsia="仿宋" w:cs="仿宋"/>
          <w:b/>
          <w:bCs/>
          <w:sz w:val="32"/>
          <w:szCs w:val="32"/>
          <w:highlight w:val="none"/>
        </w:rPr>
        <w:t>第四部分 附件</w:t>
      </w:r>
      <w:r>
        <w:rPr>
          <w:rFonts w:hint="eastAsia" w:ascii="仿宋" w:hAnsi="仿宋" w:eastAsia="仿宋" w:cs="仿宋"/>
          <w:b/>
          <w:bCs/>
          <w:sz w:val="32"/>
          <w:szCs w:val="32"/>
        </w:rPr>
        <w:tab/>
      </w:r>
      <w:r>
        <w:rPr>
          <w:rFonts w:hint="eastAsia" w:cs="仿宋"/>
          <w:b/>
          <w:bCs/>
          <w:sz w:val="32"/>
          <w:szCs w:val="32"/>
          <w:lang w:val="en-US" w:eastAsia="zh-CN"/>
        </w:rPr>
        <w:t>1</w:t>
      </w:r>
      <w:r>
        <w:rPr>
          <w:rFonts w:hint="eastAsia" w:ascii="仿宋" w:hAnsi="仿宋" w:eastAsia="仿宋" w:cs="仿宋"/>
          <w:b/>
          <w:bCs/>
          <w:color w:val="auto"/>
          <w:kern w:val="44"/>
          <w:sz w:val="32"/>
          <w:szCs w:val="32"/>
          <w:highlight w:val="none"/>
        </w:rPr>
        <w:fldChar w:fldCharType="end"/>
      </w:r>
      <w:r>
        <w:rPr>
          <w:rFonts w:hint="eastAsia" w:cs="仿宋"/>
          <w:b/>
          <w:bCs/>
          <w:color w:val="auto"/>
          <w:kern w:val="44"/>
          <w:sz w:val="32"/>
          <w:szCs w:val="32"/>
          <w:highlight w:val="none"/>
          <w:lang w:val="en-US" w:eastAsia="zh-CN"/>
        </w:rPr>
        <w:t>6</w:t>
      </w:r>
    </w:p>
    <w:p w14:paraId="5F9E33A7">
      <w:pPr>
        <w:pStyle w:val="16"/>
        <w:tabs>
          <w:tab w:val="right" w:leader="dot" w:pos="8306"/>
          <w:tab w:val="clear" w:pos="8296"/>
        </w:tabs>
        <w:ind w:left="0" w:leftChars="0" w:firstLine="0" w:firstLineChars="0"/>
        <w:rPr>
          <w:rFonts w:hint="default" w:ascii="仿宋" w:hAnsi="仿宋" w:eastAsia="仿宋" w:cs="仿宋"/>
          <w:b/>
          <w:bCs w:val="0"/>
          <w:color w:val="auto"/>
          <w:kern w:val="44"/>
          <w:sz w:val="32"/>
          <w:szCs w:val="32"/>
          <w:highlight w:val="none"/>
          <w:lang w:val="en-US" w:eastAsia="zh-CN"/>
        </w:rPr>
      </w:pPr>
      <w:r>
        <w:rPr>
          <w:rFonts w:hint="eastAsia" w:ascii="仿宋" w:hAnsi="仿宋" w:eastAsia="仿宋" w:cs="仿宋"/>
          <w:b/>
          <w:bCs/>
          <w:color w:val="auto"/>
          <w:kern w:val="2"/>
          <w:sz w:val="32"/>
          <w:szCs w:val="32"/>
          <w:highlight w:val="none"/>
          <w:lang w:val="en-US" w:eastAsia="zh-CN" w:bidi="ar-SA"/>
        </w:rPr>
        <w:t>第五部分 附表</w:t>
      </w:r>
      <w:r>
        <w:rPr>
          <w:rFonts w:hint="eastAsia" w:ascii="仿宋" w:hAnsi="仿宋" w:eastAsia="仿宋" w:cs="仿宋"/>
          <w:b/>
          <w:bCs/>
          <w:sz w:val="32"/>
          <w:szCs w:val="32"/>
        </w:rPr>
        <w:tab/>
      </w:r>
      <w:r>
        <w:rPr>
          <w:rFonts w:hint="eastAsia" w:ascii="仿宋" w:hAnsi="仿宋" w:eastAsia="仿宋" w:cs="仿宋"/>
          <w:b/>
          <w:bCs/>
          <w:sz w:val="32"/>
          <w:szCs w:val="32"/>
          <w:lang w:val="en-US" w:eastAsia="zh-CN"/>
        </w:rPr>
        <w:t>23</w:t>
      </w:r>
    </w:p>
    <w:p w14:paraId="6083FF4E">
      <w:pPr>
        <w:pStyle w:val="16"/>
        <w:tabs>
          <w:tab w:val="right" w:leader="dot" w:pos="8306"/>
          <w:tab w:val="clear" w:pos="8296"/>
        </w:tabs>
        <w:rPr>
          <w:rFonts w:hint="eastAsia" w:ascii="仿宋" w:hAnsi="仿宋" w:eastAsia="仿宋" w:cs="仿宋"/>
          <w:sz w:val="32"/>
          <w:szCs w:val="32"/>
          <w:lang w:val="en-US" w:eastAsia="zh-CN"/>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_Toc6497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sz w:val="32"/>
          <w:szCs w:val="32"/>
          <w:highlight w:val="none"/>
        </w:rPr>
        <w:t>一、收</w:t>
      </w:r>
      <w:r>
        <w:rPr>
          <w:rFonts w:hint="eastAsia" w:ascii="仿宋" w:hAnsi="仿宋" w:eastAsia="仿宋" w:cs="仿宋"/>
          <w:bCs w:val="0"/>
          <w:sz w:val="32"/>
          <w:szCs w:val="32"/>
          <w:highlight w:val="none"/>
        </w:rPr>
        <w:t>入支出决算总表</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bCs/>
          <w:color w:val="auto"/>
          <w:kern w:val="44"/>
          <w:sz w:val="32"/>
          <w:szCs w:val="32"/>
          <w:highlight w:val="none"/>
        </w:rPr>
        <w:fldChar w:fldCharType="end"/>
      </w:r>
      <w:r>
        <w:rPr>
          <w:rFonts w:hint="eastAsia" w:ascii="仿宋" w:hAnsi="仿宋" w:eastAsia="仿宋" w:cs="仿宋"/>
          <w:bCs/>
          <w:color w:val="auto"/>
          <w:kern w:val="44"/>
          <w:sz w:val="32"/>
          <w:szCs w:val="32"/>
          <w:highlight w:val="none"/>
          <w:lang w:val="en-US" w:eastAsia="zh-CN"/>
        </w:rPr>
        <w:t>3</w:t>
      </w:r>
    </w:p>
    <w:p w14:paraId="6E9BE76E">
      <w:pPr>
        <w:pStyle w:val="16"/>
        <w:tabs>
          <w:tab w:val="right" w:leader="dot" w:pos="8306"/>
          <w:tab w:val="clear" w:pos="8296"/>
        </w:tabs>
        <w:rPr>
          <w:rFonts w:hint="eastAsia" w:ascii="仿宋" w:hAnsi="仿宋" w:eastAsia="仿宋" w:cs="仿宋"/>
          <w:sz w:val="32"/>
          <w:szCs w:val="32"/>
          <w:lang w:val="en-US" w:eastAsia="zh-CN"/>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_Toc13633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sz w:val="32"/>
          <w:szCs w:val="32"/>
          <w:highlight w:val="none"/>
        </w:rPr>
        <w:t>二、收</w:t>
      </w:r>
      <w:r>
        <w:rPr>
          <w:rFonts w:hint="eastAsia" w:ascii="仿宋" w:hAnsi="仿宋" w:eastAsia="仿宋" w:cs="仿宋"/>
          <w:bCs w:val="0"/>
          <w:sz w:val="32"/>
          <w:szCs w:val="32"/>
          <w:highlight w:val="none"/>
        </w:rPr>
        <w:t>入决算表</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bCs/>
          <w:color w:val="auto"/>
          <w:kern w:val="44"/>
          <w:sz w:val="32"/>
          <w:szCs w:val="32"/>
          <w:highlight w:val="none"/>
        </w:rPr>
        <w:fldChar w:fldCharType="end"/>
      </w:r>
      <w:r>
        <w:rPr>
          <w:rFonts w:hint="eastAsia" w:ascii="仿宋" w:hAnsi="仿宋" w:eastAsia="仿宋" w:cs="仿宋"/>
          <w:bCs/>
          <w:color w:val="auto"/>
          <w:kern w:val="44"/>
          <w:sz w:val="32"/>
          <w:szCs w:val="32"/>
          <w:highlight w:val="none"/>
          <w:lang w:val="en-US" w:eastAsia="zh-CN"/>
        </w:rPr>
        <w:t>3</w:t>
      </w:r>
    </w:p>
    <w:p w14:paraId="77881BFC">
      <w:pPr>
        <w:pStyle w:val="16"/>
        <w:tabs>
          <w:tab w:val="right" w:leader="dot" w:pos="8306"/>
          <w:tab w:val="clear" w:pos="8296"/>
        </w:tabs>
        <w:rPr>
          <w:rFonts w:hint="eastAsia" w:ascii="仿宋" w:hAnsi="仿宋" w:eastAsia="仿宋" w:cs="仿宋"/>
          <w:sz w:val="32"/>
          <w:szCs w:val="32"/>
          <w:lang w:val="en-US" w:eastAsia="zh-CN"/>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_Toc20779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bCs w:val="0"/>
          <w:sz w:val="32"/>
          <w:szCs w:val="32"/>
          <w:highlight w:val="none"/>
        </w:rPr>
        <w:t>三、</w:t>
      </w:r>
      <w:r>
        <w:rPr>
          <w:rFonts w:hint="eastAsia" w:ascii="仿宋" w:hAnsi="仿宋" w:eastAsia="仿宋" w:cs="仿宋"/>
          <w:sz w:val="32"/>
          <w:szCs w:val="32"/>
          <w:highlight w:val="none"/>
        </w:rPr>
        <w:t>支</w:t>
      </w:r>
      <w:r>
        <w:rPr>
          <w:rFonts w:hint="eastAsia" w:ascii="仿宋" w:hAnsi="仿宋" w:eastAsia="仿宋" w:cs="仿宋"/>
          <w:bCs w:val="0"/>
          <w:sz w:val="32"/>
          <w:szCs w:val="32"/>
          <w:highlight w:val="none"/>
        </w:rPr>
        <w:t>出决算表</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bCs/>
          <w:color w:val="auto"/>
          <w:kern w:val="44"/>
          <w:sz w:val="32"/>
          <w:szCs w:val="32"/>
          <w:highlight w:val="none"/>
        </w:rPr>
        <w:fldChar w:fldCharType="end"/>
      </w:r>
      <w:r>
        <w:rPr>
          <w:rFonts w:hint="eastAsia" w:ascii="仿宋" w:hAnsi="仿宋" w:eastAsia="仿宋" w:cs="仿宋"/>
          <w:bCs/>
          <w:color w:val="auto"/>
          <w:kern w:val="44"/>
          <w:sz w:val="32"/>
          <w:szCs w:val="32"/>
          <w:highlight w:val="none"/>
          <w:lang w:val="en-US" w:eastAsia="zh-CN"/>
        </w:rPr>
        <w:t>3</w:t>
      </w:r>
    </w:p>
    <w:p w14:paraId="4EE41C15">
      <w:pPr>
        <w:pStyle w:val="16"/>
        <w:tabs>
          <w:tab w:val="right" w:leader="dot" w:pos="8306"/>
          <w:tab w:val="clear" w:pos="8296"/>
        </w:tabs>
        <w:rPr>
          <w:rFonts w:hint="eastAsia" w:ascii="仿宋" w:hAnsi="仿宋" w:eastAsia="仿宋" w:cs="仿宋"/>
          <w:sz w:val="32"/>
          <w:szCs w:val="32"/>
          <w:lang w:val="en-US" w:eastAsia="zh-CN"/>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_Toc186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bCs w:val="0"/>
          <w:sz w:val="32"/>
          <w:szCs w:val="32"/>
          <w:highlight w:val="none"/>
        </w:rPr>
        <w:t>四、</w:t>
      </w:r>
      <w:r>
        <w:rPr>
          <w:rFonts w:hint="eastAsia" w:ascii="仿宋" w:hAnsi="仿宋" w:eastAsia="仿宋" w:cs="仿宋"/>
          <w:sz w:val="32"/>
          <w:szCs w:val="32"/>
          <w:highlight w:val="none"/>
        </w:rPr>
        <w:t>财</w:t>
      </w:r>
      <w:r>
        <w:rPr>
          <w:rFonts w:hint="eastAsia" w:ascii="仿宋" w:hAnsi="仿宋" w:eastAsia="仿宋" w:cs="仿宋"/>
          <w:bCs w:val="0"/>
          <w:sz w:val="32"/>
          <w:szCs w:val="32"/>
          <w:highlight w:val="none"/>
        </w:rPr>
        <w:t>政拨款收入支出决算总表</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bCs/>
          <w:color w:val="auto"/>
          <w:kern w:val="44"/>
          <w:sz w:val="32"/>
          <w:szCs w:val="32"/>
          <w:highlight w:val="none"/>
        </w:rPr>
        <w:fldChar w:fldCharType="end"/>
      </w:r>
      <w:r>
        <w:rPr>
          <w:rFonts w:hint="eastAsia" w:ascii="仿宋" w:hAnsi="仿宋" w:eastAsia="仿宋" w:cs="仿宋"/>
          <w:bCs/>
          <w:color w:val="auto"/>
          <w:kern w:val="44"/>
          <w:sz w:val="32"/>
          <w:szCs w:val="32"/>
          <w:highlight w:val="none"/>
          <w:lang w:val="en-US" w:eastAsia="zh-CN"/>
        </w:rPr>
        <w:t>3</w:t>
      </w:r>
    </w:p>
    <w:p w14:paraId="5AF295D3">
      <w:pPr>
        <w:pStyle w:val="16"/>
        <w:tabs>
          <w:tab w:val="right" w:leader="dot" w:pos="8306"/>
          <w:tab w:val="clear" w:pos="8296"/>
        </w:tabs>
        <w:rPr>
          <w:rFonts w:hint="eastAsia" w:eastAsia="仿宋"/>
          <w:lang w:val="en-US" w:eastAsia="zh-CN"/>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_Toc12887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bCs w:val="0"/>
          <w:sz w:val="32"/>
          <w:szCs w:val="32"/>
          <w:highlight w:val="none"/>
        </w:rPr>
        <w:t>五、</w:t>
      </w:r>
      <w:r>
        <w:rPr>
          <w:rFonts w:hint="eastAsia" w:ascii="仿宋" w:hAnsi="仿宋" w:eastAsia="仿宋" w:cs="仿宋"/>
          <w:sz w:val="32"/>
          <w:szCs w:val="32"/>
          <w:highlight w:val="none"/>
        </w:rPr>
        <w:t>财</w:t>
      </w:r>
      <w:r>
        <w:rPr>
          <w:rFonts w:hint="eastAsia" w:ascii="仿宋" w:hAnsi="仿宋" w:eastAsia="仿宋" w:cs="仿宋"/>
          <w:bCs w:val="0"/>
          <w:sz w:val="32"/>
          <w:szCs w:val="32"/>
          <w:highlight w:val="none"/>
        </w:rPr>
        <w:t>政拨款支出决算明细表</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bCs/>
          <w:color w:val="auto"/>
          <w:kern w:val="44"/>
          <w:sz w:val="32"/>
          <w:szCs w:val="32"/>
          <w:highlight w:val="none"/>
        </w:rPr>
        <w:fldChar w:fldCharType="end"/>
      </w:r>
      <w:r>
        <w:rPr>
          <w:rFonts w:hint="eastAsia" w:ascii="仿宋" w:hAnsi="仿宋" w:eastAsia="仿宋" w:cs="仿宋"/>
          <w:bCs/>
          <w:color w:val="auto"/>
          <w:kern w:val="44"/>
          <w:sz w:val="32"/>
          <w:szCs w:val="32"/>
          <w:highlight w:val="none"/>
          <w:lang w:val="en-US" w:eastAsia="zh-CN"/>
        </w:rPr>
        <w:t>3</w:t>
      </w:r>
    </w:p>
    <w:p w14:paraId="31A1D41F">
      <w:pPr>
        <w:pStyle w:val="16"/>
        <w:tabs>
          <w:tab w:val="right" w:leader="dot" w:pos="8306"/>
          <w:tab w:val="clear" w:pos="8296"/>
        </w:tabs>
        <w:rPr>
          <w:rFonts w:hint="eastAsia" w:ascii="仿宋" w:hAnsi="仿宋" w:eastAsia="仿宋" w:cs="仿宋"/>
          <w:sz w:val="32"/>
          <w:szCs w:val="32"/>
          <w:lang w:val="en-US" w:eastAsia="zh-CN"/>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_Toc15892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bCs w:val="0"/>
          <w:sz w:val="32"/>
          <w:szCs w:val="32"/>
          <w:highlight w:val="none"/>
        </w:rPr>
        <w:t>六、</w:t>
      </w:r>
      <w:r>
        <w:rPr>
          <w:rFonts w:hint="eastAsia" w:ascii="仿宋" w:hAnsi="仿宋" w:eastAsia="仿宋" w:cs="仿宋"/>
          <w:sz w:val="32"/>
          <w:szCs w:val="32"/>
          <w:highlight w:val="none"/>
        </w:rPr>
        <w:t>一</w:t>
      </w:r>
      <w:r>
        <w:rPr>
          <w:rFonts w:hint="eastAsia" w:ascii="仿宋" w:hAnsi="仿宋" w:eastAsia="仿宋" w:cs="仿宋"/>
          <w:bCs w:val="0"/>
          <w:sz w:val="32"/>
          <w:szCs w:val="32"/>
          <w:highlight w:val="none"/>
        </w:rPr>
        <w:t>般公共预算财政拨款支出决算表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bCs/>
          <w:color w:val="auto"/>
          <w:kern w:val="44"/>
          <w:sz w:val="32"/>
          <w:szCs w:val="32"/>
          <w:highlight w:val="none"/>
        </w:rPr>
        <w:fldChar w:fldCharType="end"/>
      </w:r>
      <w:r>
        <w:rPr>
          <w:rFonts w:hint="eastAsia" w:ascii="仿宋" w:hAnsi="仿宋" w:eastAsia="仿宋" w:cs="仿宋"/>
          <w:bCs/>
          <w:color w:val="auto"/>
          <w:kern w:val="44"/>
          <w:sz w:val="32"/>
          <w:szCs w:val="32"/>
          <w:highlight w:val="none"/>
          <w:lang w:val="en-US" w:eastAsia="zh-CN"/>
        </w:rPr>
        <w:t>3</w:t>
      </w:r>
    </w:p>
    <w:p w14:paraId="0EA71C6D">
      <w:pPr>
        <w:pStyle w:val="16"/>
        <w:tabs>
          <w:tab w:val="right" w:leader="dot" w:pos="8306"/>
          <w:tab w:val="clear" w:pos="8296"/>
        </w:tabs>
        <w:rPr>
          <w:rFonts w:hint="eastAsia" w:ascii="仿宋" w:hAnsi="仿宋" w:eastAsia="仿宋" w:cs="仿宋"/>
          <w:sz w:val="32"/>
          <w:szCs w:val="32"/>
          <w:lang w:val="en-US" w:eastAsia="zh-CN"/>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_Toc21716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bCs w:val="0"/>
          <w:sz w:val="32"/>
          <w:szCs w:val="32"/>
          <w:highlight w:val="none"/>
        </w:rPr>
        <w:t>七、</w:t>
      </w:r>
      <w:r>
        <w:rPr>
          <w:rFonts w:hint="eastAsia" w:ascii="仿宋" w:hAnsi="仿宋" w:eastAsia="仿宋" w:cs="仿宋"/>
          <w:sz w:val="32"/>
          <w:szCs w:val="32"/>
          <w:highlight w:val="none"/>
        </w:rPr>
        <w:t>一</w:t>
      </w:r>
      <w:r>
        <w:rPr>
          <w:rFonts w:hint="eastAsia" w:ascii="仿宋" w:hAnsi="仿宋" w:eastAsia="仿宋" w:cs="仿宋"/>
          <w:bCs w:val="0"/>
          <w:sz w:val="32"/>
          <w:szCs w:val="32"/>
          <w:highlight w:val="none"/>
        </w:rPr>
        <w:t>般公共预算财政拨款支出决算明细表</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bCs/>
          <w:color w:val="auto"/>
          <w:kern w:val="44"/>
          <w:sz w:val="32"/>
          <w:szCs w:val="32"/>
          <w:highlight w:val="none"/>
        </w:rPr>
        <w:fldChar w:fldCharType="end"/>
      </w:r>
      <w:r>
        <w:rPr>
          <w:rFonts w:hint="eastAsia" w:ascii="仿宋" w:hAnsi="仿宋" w:eastAsia="仿宋" w:cs="仿宋"/>
          <w:bCs/>
          <w:color w:val="auto"/>
          <w:kern w:val="44"/>
          <w:sz w:val="32"/>
          <w:szCs w:val="32"/>
          <w:highlight w:val="none"/>
          <w:lang w:val="en-US" w:eastAsia="zh-CN"/>
        </w:rPr>
        <w:t>3</w:t>
      </w:r>
    </w:p>
    <w:p w14:paraId="5A499C09">
      <w:pPr>
        <w:pStyle w:val="16"/>
        <w:tabs>
          <w:tab w:val="right" w:leader="dot" w:pos="8306"/>
          <w:tab w:val="clear" w:pos="8296"/>
        </w:tabs>
        <w:rPr>
          <w:rFonts w:hint="eastAsia" w:ascii="仿宋" w:hAnsi="仿宋" w:eastAsia="仿宋" w:cs="仿宋"/>
          <w:sz w:val="32"/>
          <w:szCs w:val="32"/>
          <w:lang w:val="en-US" w:eastAsia="zh-CN"/>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_Toc20383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bCs w:val="0"/>
          <w:sz w:val="32"/>
          <w:szCs w:val="32"/>
          <w:highlight w:val="none"/>
        </w:rPr>
        <w:t>八、</w:t>
      </w:r>
      <w:r>
        <w:rPr>
          <w:rFonts w:hint="eastAsia" w:ascii="仿宋" w:hAnsi="仿宋" w:eastAsia="仿宋" w:cs="仿宋"/>
          <w:sz w:val="32"/>
          <w:szCs w:val="32"/>
          <w:highlight w:val="none"/>
        </w:rPr>
        <w:t>一</w:t>
      </w:r>
      <w:r>
        <w:rPr>
          <w:rFonts w:hint="eastAsia" w:ascii="仿宋" w:hAnsi="仿宋" w:eastAsia="仿宋" w:cs="仿宋"/>
          <w:bCs w:val="0"/>
          <w:sz w:val="32"/>
          <w:szCs w:val="32"/>
          <w:highlight w:val="none"/>
        </w:rPr>
        <w:t>般公共预算财政拨款基本支出决算表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bCs/>
          <w:color w:val="auto"/>
          <w:kern w:val="44"/>
          <w:sz w:val="32"/>
          <w:szCs w:val="32"/>
          <w:highlight w:val="none"/>
        </w:rPr>
        <w:fldChar w:fldCharType="end"/>
      </w:r>
      <w:r>
        <w:rPr>
          <w:rFonts w:hint="eastAsia" w:ascii="仿宋" w:hAnsi="仿宋" w:eastAsia="仿宋" w:cs="仿宋"/>
          <w:bCs/>
          <w:color w:val="auto"/>
          <w:kern w:val="44"/>
          <w:sz w:val="32"/>
          <w:szCs w:val="32"/>
          <w:highlight w:val="none"/>
          <w:lang w:val="en-US" w:eastAsia="zh-CN"/>
        </w:rPr>
        <w:t>3</w:t>
      </w:r>
    </w:p>
    <w:p w14:paraId="4EF3933C">
      <w:pPr>
        <w:pStyle w:val="16"/>
        <w:tabs>
          <w:tab w:val="right" w:leader="dot" w:pos="8306"/>
          <w:tab w:val="clear" w:pos="8296"/>
        </w:tabs>
        <w:rPr>
          <w:rFonts w:hint="eastAsia" w:ascii="仿宋" w:hAnsi="仿宋" w:eastAsia="仿宋" w:cs="仿宋"/>
          <w:sz w:val="32"/>
          <w:szCs w:val="32"/>
          <w:lang w:val="en-US" w:eastAsia="zh-CN"/>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_Toc6984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bCs w:val="0"/>
          <w:sz w:val="32"/>
          <w:szCs w:val="32"/>
          <w:highlight w:val="none"/>
        </w:rPr>
        <w:t>九、</w:t>
      </w:r>
      <w:r>
        <w:rPr>
          <w:rFonts w:hint="eastAsia" w:ascii="仿宋" w:hAnsi="仿宋" w:eastAsia="仿宋" w:cs="仿宋"/>
          <w:sz w:val="32"/>
          <w:szCs w:val="32"/>
          <w:highlight w:val="none"/>
        </w:rPr>
        <w:t>一</w:t>
      </w:r>
      <w:r>
        <w:rPr>
          <w:rFonts w:hint="eastAsia" w:ascii="仿宋" w:hAnsi="仿宋" w:eastAsia="仿宋" w:cs="仿宋"/>
          <w:bCs w:val="0"/>
          <w:sz w:val="32"/>
          <w:szCs w:val="32"/>
          <w:highlight w:val="none"/>
        </w:rPr>
        <w:t>般公共预算财政拨款项目支出决算表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bCs/>
          <w:color w:val="auto"/>
          <w:kern w:val="44"/>
          <w:sz w:val="32"/>
          <w:szCs w:val="32"/>
          <w:highlight w:val="none"/>
        </w:rPr>
        <w:fldChar w:fldCharType="end"/>
      </w:r>
      <w:r>
        <w:rPr>
          <w:rFonts w:hint="eastAsia" w:ascii="仿宋" w:hAnsi="仿宋" w:eastAsia="仿宋" w:cs="仿宋"/>
          <w:bCs/>
          <w:color w:val="auto"/>
          <w:kern w:val="44"/>
          <w:sz w:val="32"/>
          <w:szCs w:val="32"/>
          <w:highlight w:val="none"/>
          <w:lang w:val="en-US" w:eastAsia="zh-CN"/>
        </w:rPr>
        <w:t>3</w:t>
      </w:r>
    </w:p>
    <w:p w14:paraId="0D7FA958">
      <w:pPr>
        <w:pStyle w:val="16"/>
        <w:tabs>
          <w:tab w:val="right" w:leader="dot" w:pos="8306"/>
          <w:tab w:val="clear" w:pos="8296"/>
        </w:tabs>
        <w:rPr>
          <w:rFonts w:hint="eastAsia" w:ascii="仿宋" w:hAnsi="仿宋" w:eastAsia="仿宋" w:cs="仿宋"/>
          <w:sz w:val="32"/>
          <w:szCs w:val="32"/>
          <w:lang w:val="en-US" w:eastAsia="zh-CN"/>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_Toc22688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bCs w:val="0"/>
          <w:sz w:val="32"/>
          <w:szCs w:val="32"/>
          <w:highlight w:val="none"/>
        </w:rPr>
        <w:t>十、</w:t>
      </w:r>
      <w:r>
        <w:rPr>
          <w:rFonts w:hint="eastAsia" w:ascii="仿宋" w:hAnsi="仿宋" w:eastAsia="仿宋" w:cs="仿宋"/>
          <w:sz w:val="32"/>
          <w:szCs w:val="32"/>
          <w:highlight w:val="none"/>
        </w:rPr>
        <w:t>政</w:t>
      </w:r>
      <w:r>
        <w:rPr>
          <w:rFonts w:hint="eastAsia" w:ascii="仿宋" w:hAnsi="仿宋" w:eastAsia="仿宋" w:cs="仿宋"/>
          <w:bCs w:val="0"/>
          <w:sz w:val="32"/>
          <w:szCs w:val="32"/>
          <w:highlight w:val="none"/>
        </w:rPr>
        <w:t>府性基金预算财政拨款收入支出决算表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bCs/>
          <w:color w:val="auto"/>
          <w:kern w:val="44"/>
          <w:sz w:val="32"/>
          <w:szCs w:val="32"/>
          <w:highlight w:val="none"/>
        </w:rPr>
        <w:fldChar w:fldCharType="end"/>
      </w:r>
      <w:r>
        <w:rPr>
          <w:rFonts w:hint="eastAsia" w:ascii="仿宋" w:hAnsi="仿宋" w:eastAsia="仿宋" w:cs="仿宋"/>
          <w:bCs/>
          <w:color w:val="auto"/>
          <w:kern w:val="44"/>
          <w:sz w:val="32"/>
          <w:szCs w:val="32"/>
          <w:highlight w:val="none"/>
          <w:lang w:val="en-US" w:eastAsia="zh-CN"/>
        </w:rPr>
        <w:t>3</w:t>
      </w:r>
    </w:p>
    <w:p w14:paraId="78CF3ED3">
      <w:pPr>
        <w:pStyle w:val="16"/>
        <w:tabs>
          <w:tab w:val="right" w:leader="dot" w:pos="8306"/>
          <w:tab w:val="clear" w:pos="8296"/>
        </w:tabs>
        <w:rPr>
          <w:rFonts w:hint="eastAsia" w:ascii="仿宋" w:hAnsi="仿宋" w:eastAsia="仿宋" w:cs="仿宋"/>
          <w:sz w:val="32"/>
          <w:szCs w:val="32"/>
          <w:lang w:val="en-US" w:eastAsia="zh-CN"/>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_Toc596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bCs w:val="0"/>
          <w:sz w:val="32"/>
          <w:szCs w:val="32"/>
          <w:highlight w:val="none"/>
        </w:rPr>
        <w:t>十一、</w:t>
      </w:r>
      <w:r>
        <w:rPr>
          <w:rFonts w:hint="eastAsia" w:ascii="仿宋" w:hAnsi="仿宋" w:eastAsia="仿宋" w:cs="仿宋"/>
          <w:sz w:val="32"/>
          <w:szCs w:val="32"/>
          <w:highlight w:val="none"/>
        </w:rPr>
        <w:t>国</w:t>
      </w:r>
      <w:r>
        <w:rPr>
          <w:rFonts w:hint="eastAsia" w:ascii="仿宋" w:hAnsi="仿宋" w:eastAsia="仿宋" w:cs="仿宋"/>
          <w:bCs w:val="0"/>
          <w:sz w:val="32"/>
          <w:szCs w:val="32"/>
          <w:highlight w:val="none"/>
        </w:rPr>
        <w:t>有资本经营预算</w:t>
      </w:r>
      <w:r>
        <w:rPr>
          <w:rFonts w:hint="eastAsia" w:ascii="仿宋" w:hAnsi="仿宋" w:eastAsia="仿宋" w:cs="仿宋"/>
          <w:bCs w:val="0"/>
          <w:sz w:val="32"/>
          <w:szCs w:val="32"/>
          <w:highlight w:val="none"/>
          <w:lang w:eastAsia="zh-CN"/>
        </w:rPr>
        <w:t>财政拨款收入</w:t>
      </w:r>
      <w:r>
        <w:rPr>
          <w:rFonts w:hint="eastAsia" w:ascii="仿宋" w:hAnsi="仿宋" w:eastAsia="仿宋" w:cs="仿宋"/>
          <w:bCs w:val="0"/>
          <w:sz w:val="32"/>
          <w:szCs w:val="32"/>
          <w:highlight w:val="none"/>
        </w:rPr>
        <w:t>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bCs/>
          <w:color w:val="auto"/>
          <w:kern w:val="44"/>
          <w:sz w:val="32"/>
          <w:szCs w:val="32"/>
          <w:highlight w:val="none"/>
        </w:rPr>
        <w:fldChar w:fldCharType="end"/>
      </w:r>
      <w:r>
        <w:rPr>
          <w:rFonts w:hint="eastAsia" w:ascii="仿宋" w:hAnsi="仿宋" w:eastAsia="仿宋" w:cs="仿宋"/>
          <w:bCs/>
          <w:color w:val="auto"/>
          <w:kern w:val="44"/>
          <w:sz w:val="32"/>
          <w:szCs w:val="32"/>
          <w:highlight w:val="none"/>
          <w:lang w:val="en-US" w:eastAsia="zh-CN"/>
        </w:rPr>
        <w:t>3</w:t>
      </w:r>
    </w:p>
    <w:p w14:paraId="558D94FF">
      <w:pPr>
        <w:pStyle w:val="16"/>
        <w:tabs>
          <w:tab w:val="right" w:leader="dot" w:pos="8306"/>
          <w:tab w:val="clear" w:pos="8296"/>
        </w:tabs>
        <w:rPr>
          <w:rFonts w:hint="eastAsia" w:ascii="仿宋" w:hAnsi="仿宋" w:eastAsia="仿宋" w:cs="仿宋"/>
          <w:sz w:val="32"/>
          <w:szCs w:val="32"/>
          <w:lang w:val="en-US" w:eastAsia="zh-CN"/>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_Toc22513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bCs w:val="0"/>
          <w:sz w:val="32"/>
          <w:szCs w:val="32"/>
          <w:highlight w:val="none"/>
        </w:rPr>
        <w:t>十二、</w:t>
      </w:r>
      <w:r>
        <w:rPr>
          <w:rFonts w:hint="eastAsia" w:ascii="仿宋" w:hAnsi="仿宋" w:eastAsia="仿宋" w:cs="仿宋"/>
          <w:bCs w:val="0"/>
          <w:sz w:val="32"/>
          <w:szCs w:val="32"/>
          <w:highlight w:val="none"/>
          <w:lang w:eastAsia="zh-CN"/>
        </w:rPr>
        <w:t>国有资本经营预算财政拨款支出决算表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bCs/>
          <w:color w:val="auto"/>
          <w:kern w:val="44"/>
          <w:sz w:val="32"/>
          <w:szCs w:val="32"/>
          <w:highlight w:val="none"/>
        </w:rPr>
        <w:fldChar w:fldCharType="end"/>
      </w:r>
      <w:r>
        <w:rPr>
          <w:rFonts w:hint="eastAsia" w:ascii="仿宋" w:hAnsi="仿宋" w:eastAsia="仿宋" w:cs="仿宋"/>
          <w:bCs/>
          <w:color w:val="auto"/>
          <w:kern w:val="44"/>
          <w:sz w:val="32"/>
          <w:szCs w:val="32"/>
          <w:highlight w:val="none"/>
          <w:lang w:val="en-US" w:eastAsia="zh-CN"/>
        </w:rPr>
        <w:t>3</w:t>
      </w:r>
    </w:p>
    <w:p w14:paraId="135DF954">
      <w:pPr>
        <w:pStyle w:val="16"/>
        <w:tabs>
          <w:tab w:val="right" w:leader="dot" w:pos="8306"/>
          <w:tab w:val="clear" w:pos="8296"/>
        </w:tabs>
        <w:rPr>
          <w:rFonts w:hint="eastAsia" w:eastAsia="仿宋"/>
          <w:sz w:val="32"/>
          <w:szCs w:val="32"/>
          <w:lang w:val="en-US" w:eastAsia="zh-CN"/>
        </w:rPr>
      </w:pPr>
      <w:r>
        <w:rPr>
          <w:rFonts w:hint="eastAsia" w:ascii="仿宋" w:hAnsi="仿宋" w:eastAsia="仿宋" w:cs="仿宋"/>
          <w:bCs/>
          <w:color w:val="auto"/>
          <w:kern w:val="44"/>
          <w:sz w:val="32"/>
          <w:szCs w:val="32"/>
          <w:highlight w:val="none"/>
        </w:rPr>
        <w:fldChar w:fldCharType="begin"/>
      </w:r>
      <w:r>
        <w:rPr>
          <w:rFonts w:hint="eastAsia" w:ascii="仿宋" w:hAnsi="仿宋" w:eastAsia="仿宋" w:cs="仿宋"/>
          <w:bCs/>
          <w:kern w:val="44"/>
          <w:sz w:val="32"/>
          <w:szCs w:val="32"/>
          <w:highlight w:val="none"/>
        </w:rPr>
        <w:instrText xml:space="preserve"> HYPERLINK \l _Toc14113 </w:instrText>
      </w:r>
      <w:r>
        <w:rPr>
          <w:rFonts w:hint="eastAsia" w:ascii="仿宋" w:hAnsi="仿宋" w:eastAsia="仿宋" w:cs="仿宋"/>
          <w:bCs/>
          <w:kern w:val="44"/>
          <w:sz w:val="32"/>
          <w:szCs w:val="32"/>
          <w:highlight w:val="none"/>
        </w:rPr>
        <w:fldChar w:fldCharType="separate"/>
      </w:r>
      <w:r>
        <w:rPr>
          <w:rFonts w:hint="eastAsia" w:ascii="仿宋" w:hAnsi="仿宋" w:eastAsia="仿宋" w:cs="仿宋"/>
          <w:bCs w:val="0"/>
          <w:sz w:val="32"/>
          <w:szCs w:val="32"/>
          <w:highlight w:val="none"/>
        </w:rPr>
        <w:t>十三、</w:t>
      </w:r>
      <w:r>
        <w:rPr>
          <w:rFonts w:hint="eastAsia" w:ascii="仿宋" w:hAnsi="仿宋" w:eastAsia="仿宋" w:cs="仿宋"/>
          <w:bCs w:val="0"/>
          <w:sz w:val="32"/>
          <w:szCs w:val="32"/>
          <w:highlight w:val="none"/>
          <w:lang w:eastAsia="zh-CN"/>
        </w:rPr>
        <w:t>财政拨款“三公”经费支出决算表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bCs/>
          <w:color w:val="auto"/>
          <w:kern w:val="44"/>
          <w:sz w:val="32"/>
          <w:szCs w:val="32"/>
          <w:highlight w:val="none"/>
        </w:rPr>
        <w:fldChar w:fldCharType="end"/>
      </w:r>
      <w:r>
        <w:rPr>
          <w:rFonts w:hint="eastAsia" w:ascii="仿宋" w:hAnsi="仿宋" w:eastAsia="仿宋" w:cs="仿宋"/>
          <w:bCs/>
          <w:color w:val="auto"/>
          <w:kern w:val="44"/>
          <w:sz w:val="32"/>
          <w:szCs w:val="32"/>
          <w:highlight w:val="none"/>
          <w:lang w:val="en-US" w:eastAsia="zh-CN"/>
        </w:rPr>
        <w:t>3</w:t>
      </w:r>
    </w:p>
    <w:p w14:paraId="25935E89">
      <w:pPr>
        <w:widowControl/>
        <w:spacing w:line="440" w:lineRule="exact"/>
        <w:jc w:val="left"/>
        <w:rPr>
          <w:rFonts w:ascii="仿宋" w:hAnsi="仿宋" w:eastAsia="仿宋"/>
          <w:bCs/>
          <w:color w:val="auto"/>
          <w:kern w:val="44"/>
          <w:sz w:val="32"/>
          <w:szCs w:val="32"/>
          <w:highlight w:val="none"/>
        </w:rPr>
        <w:sectPr>
          <w:pgSz w:w="11906" w:h="16838"/>
          <w:pgMar w:top="1440" w:right="1800" w:bottom="1440" w:left="1800" w:header="720" w:footer="720" w:gutter="0"/>
          <w:cols w:space="720" w:num="1"/>
          <w:docGrid w:type="lines" w:linePitch="312" w:charSpace="0"/>
        </w:sectPr>
      </w:pPr>
      <w:r>
        <w:rPr>
          <w:rFonts w:ascii="仿宋" w:hAnsi="仿宋" w:eastAsia="仿宋"/>
          <w:bCs/>
          <w:color w:val="auto"/>
          <w:kern w:val="44"/>
          <w:sz w:val="32"/>
          <w:szCs w:val="32"/>
          <w:highlight w:val="none"/>
        </w:rPr>
        <w:fldChar w:fldCharType="end"/>
      </w:r>
    </w:p>
    <w:p w14:paraId="6C62E0B5">
      <w:pPr>
        <w:keepNext w:val="0"/>
        <w:keepLines w:val="0"/>
        <w:pageBreakBefore w:val="0"/>
        <w:widowControl/>
        <w:numPr>
          <w:ilvl w:val="0"/>
          <w:numId w:val="1"/>
        </w:numPr>
        <w:kinsoku/>
        <w:wordWrap/>
        <w:overflowPunct/>
        <w:topLinePunct w:val="0"/>
        <w:autoSpaceDE/>
        <w:autoSpaceDN/>
        <w:bidi w:val="0"/>
        <w:spacing w:line="560" w:lineRule="exact"/>
        <w:ind w:firstLine="2200" w:firstLineChars="500"/>
        <w:jc w:val="left"/>
        <w:textAlignment w:val="auto"/>
        <w:rPr>
          <w:rStyle w:val="29"/>
          <w:rFonts w:hint="eastAsia" w:ascii="Times New Roman" w:hAnsi="Times New Roman" w:eastAsia="方正小标宋简体" w:cs="方正小标宋简体"/>
          <w:b w:val="0"/>
          <w:bCs w:val="0"/>
          <w:color w:val="auto"/>
          <w:highlight w:val="none"/>
        </w:rPr>
      </w:pPr>
      <w:r>
        <w:rPr>
          <w:rStyle w:val="29"/>
          <w:rFonts w:hint="eastAsia" w:ascii="Times New Roman" w:hAnsi="Times New Roman" w:eastAsia="方正小标宋简体" w:cs="方正小标宋简体"/>
          <w:b w:val="0"/>
          <w:bCs w:val="0"/>
          <w:color w:val="auto"/>
          <w:highlight w:val="none"/>
        </w:rPr>
        <w:t xml:space="preserve"> 部门概况</w:t>
      </w:r>
      <w:bookmarkEnd w:id="12"/>
      <w:bookmarkEnd w:id="13"/>
    </w:p>
    <w:p w14:paraId="6FA30181">
      <w:pPr>
        <w:pStyle w:val="15"/>
        <w:numPr>
          <w:ilvl w:val="0"/>
          <w:numId w:val="0"/>
        </w:numPr>
        <w:rPr>
          <w:rFonts w:hint="eastAsia"/>
        </w:rPr>
      </w:pPr>
    </w:p>
    <w:p w14:paraId="22AAC169">
      <w:pPr>
        <w:rPr>
          <w:rFonts w:hint="eastAsia"/>
        </w:rPr>
      </w:pPr>
    </w:p>
    <w:p w14:paraId="3BF51E6E">
      <w:pPr>
        <w:pStyle w:val="4"/>
        <w:keepNext/>
        <w:keepLines/>
        <w:pageBreakBefore w:val="0"/>
        <w:widowControl w:val="0"/>
        <w:numPr>
          <w:ilvl w:val="0"/>
          <w:numId w:val="2"/>
        </w:numPr>
        <w:kinsoku/>
        <w:wordWrap/>
        <w:overflowPunct/>
        <w:topLinePunct w:val="0"/>
        <w:autoSpaceDE/>
        <w:autoSpaceDN/>
        <w:bidi w:val="0"/>
        <w:adjustRightInd/>
        <w:snapToGrid/>
        <w:spacing w:before="0" w:after="0" w:line="560" w:lineRule="exact"/>
        <w:textAlignment w:val="auto"/>
        <w:rPr>
          <w:rFonts w:hint="eastAsia" w:ascii="仿宋" w:hAnsi="仿宋" w:eastAsia="仿宋" w:cs="仿宋"/>
          <w:b/>
          <w:bCs w:val="0"/>
          <w:color w:val="auto"/>
          <w:highlight w:val="none"/>
          <w:lang w:eastAsia="zh-CN"/>
        </w:rPr>
      </w:pPr>
      <w:r>
        <w:rPr>
          <w:rFonts w:hint="eastAsia" w:ascii="仿宋" w:hAnsi="仿宋" w:eastAsia="仿宋" w:cs="仿宋"/>
          <w:b/>
          <w:bCs w:val="0"/>
          <w:color w:val="auto"/>
          <w:highlight w:val="none"/>
          <w:lang w:eastAsia="zh-CN"/>
        </w:rPr>
        <w:t>部门职责</w:t>
      </w:r>
      <w:bookmarkStart w:id="14" w:name="_Toc21458"/>
    </w:p>
    <w:bookmarkEnd w:id="14"/>
    <w:p w14:paraId="290F9C86">
      <w:pPr>
        <w:keepNext w:val="0"/>
        <w:keepLines w:val="0"/>
        <w:pageBreakBefore w:val="0"/>
        <w:widowControl/>
        <w:kinsoku/>
        <w:wordWrap/>
        <w:overflowPunct/>
        <w:topLinePunct w:val="0"/>
        <w:bidi w:val="0"/>
        <w:spacing w:line="560" w:lineRule="exact"/>
        <w:ind w:firstLine="640" w:firstLineChars="200"/>
        <w:jc w:val="both"/>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1.参与我县大政方针政策及政治、社会中的重要问题的政治协商，发挥民主监督的作用，参政议政。</w:t>
      </w:r>
    </w:p>
    <w:p w14:paraId="333638F2">
      <w:pPr>
        <w:keepNext w:val="0"/>
        <w:keepLines w:val="0"/>
        <w:pageBreakBefore w:val="0"/>
        <w:widowControl/>
        <w:kinsoku/>
        <w:wordWrap/>
        <w:overflowPunct/>
        <w:topLinePunct w:val="0"/>
        <w:bidi w:val="0"/>
        <w:spacing w:line="560" w:lineRule="exact"/>
        <w:ind w:firstLine="640" w:firstLineChars="200"/>
        <w:jc w:val="both"/>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2.引导会员积极参加我县经济建设，推动民营经济健康发展。</w:t>
      </w:r>
    </w:p>
    <w:p w14:paraId="5770A6A2">
      <w:pPr>
        <w:keepNext w:val="0"/>
        <w:keepLines w:val="0"/>
        <w:pageBreakBefore w:val="0"/>
        <w:widowControl/>
        <w:kinsoku/>
        <w:wordWrap/>
        <w:overflowPunct/>
        <w:topLinePunct w:val="0"/>
        <w:bidi w:val="0"/>
        <w:spacing w:line="560" w:lineRule="exact"/>
        <w:ind w:firstLine="640" w:firstLineChars="200"/>
        <w:jc w:val="both"/>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3.做好工商界代表人士政治安排的推荐工作。</w:t>
      </w:r>
    </w:p>
    <w:p w14:paraId="1359E2E3">
      <w:pPr>
        <w:keepNext w:val="0"/>
        <w:keepLines w:val="0"/>
        <w:pageBreakBefore w:val="0"/>
        <w:widowControl/>
        <w:kinsoku/>
        <w:wordWrap/>
        <w:overflowPunct/>
        <w:topLinePunct w:val="0"/>
        <w:bidi w:val="0"/>
        <w:spacing w:line="560" w:lineRule="exact"/>
        <w:ind w:firstLine="640" w:firstLineChars="200"/>
        <w:jc w:val="both"/>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4.对同级同业工会和行业协会实行业务主管，加强对个体劳动者协会、私营企业协会指导工作。</w:t>
      </w:r>
    </w:p>
    <w:p w14:paraId="05E5E80F">
      <w:pPr>
        <w:keepNext w:val="0"/>
        <w:keepLines w:val="0"/>
        <w:pageBreakBefore w:val="0"/>
        <w:widowControl/>
        <w:kinsoku/>
        <w:wordWrap/>
        <w:overflowPunct/>
        <w:topLinePunct w:val="0"/>
        <w:bidi w:val="0"/>
        <w:spacing w:line="560" w:lineRule="exact"/>
        <w:ind w:firstLine="640" w:firstLineChars="200"/>
        <w:jc w:val="both"/>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5.加强与外商、各地工商社团及工商经济界人士的联系，促进经济、技术和贸易合作的发展，协助引进资金、技术人才。</w:t>
      </w:r>
    </w:p>
    <w:p w14:paraId="2F0BF7D1">
      <w:pPr>
        <w:keepNext w:val="0"/>
        <w:keepLines w:val="0"/>
        <w:pageBreakBefore w:val="0"/>
        <w:widowControl/>
        <w:kinsoku/>
        <w:wordWrap/>
        <w:overflowPunct/>
        <w:topLinePunct w:val="0"/>
        <w:bidi w:val="0"/>
        <w:spacing w:line="560" w:lineRule="exact"/>
        <w:ind w:firstLine="640" w:firstLineChars="200"/>
        <w:jc w:val="both"/>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6.办好会办企业。</w:t>
      </w:r>
    </w:p>
    <w:p w14:paraId="46335A37">
      <w:pPr>
        <w:ind w:firstLine="640" w:firstLineChars="200"/>
        <w:rPr>
          <w:rFonts w:hint="eastAsia" w:ascii="仿宋" w:hAnsi="仿宋" w:eastAsia="仿宋" w:cs="仿宋"/>
          <w:sz w:val="32"/>
          <w:szCs w:val="32"/>
          <w:lang w:eastAsia="zh-CN"/>
        </w:rPr>
      </w:pPr>
      <w:r>
        <w:rPr>
          <w:rFonts w:hint="eastAsia" w:ascii="仿宋" w:hAnsi="仿宋" w:eastAsia="仿宋" w:cs="仿宋"/>
          <w:color w:val="000000"/>
          <w:sz w:val="32"/>
          <w:szCs w:val="32"/>
        </w:rPr>
        <w:t>7.承办县委、县政府交办的其他工作</w:t>
      </w:r>
      <w:r>
        <w:rPr>
          <w:rFonts w:hint="eastAsia" w:ascii="仿宋" w:hAnsi="仿宋" w:eastAsia="仿宋" w:cs="仿宋"/>
          <w:color w:val="000000"/>
          <w:sz w:val="32"/>
          <w:szCs w:val="32"/>
          <w:lang w:eastAsia="zh-CN"/>
        </w:rPr>
        <w:t>。</w:t>
      </w:r>
    </w:p>
    <w:p w14:paraId="20FC66F1">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textAlignment w:val="auto"/>
        <w:rPr>
          <w:rFonts w:hint="eastAsia" w:ascii="仿宋" w:hAnsi="仿宋" w:eastAsia="仿宋" w:cs="仿宋"/>
          <w:b/>
          <w:bCs w:val="0"/>
          <w:color w:val="auto"/>
          <w:highlight w:val="none"/>
          <w:lang w:eastAsia="zh-CN"/>
        </w:rPr>
      </w:pPr>
      <w:bookmarkStart w:id="15" w:name="_Toc15377200"/>
      <w:bookmarkStart w:id="16" w:name="_Toc15396601"/>
      <w:r>
        <w:rPr>
          <w:rFonts w:hint="eastAsia" w:ascii="仿宋" w:hAnsi="仿宋" w:eastAsia="仿宋" w:cs="仿宋"/>
          <w:b/>
          <w:bCs w:val="0"/>
          <w:color w:val="auto"/>
          <w:highlight w:val="none"/>
          <w:lang w:val="en-US" w:eastAsia="zh-CN"/>
        </w:rPr>
        <w:t>二、机构设置</w:t>
      </w:r>
      <w:bookmarkEnd w:id="15"/>
      <w:bookmarkEnd w:id="16"/>
    </w:p>
    <w:p w14:paraId="6BC8C05A">
      <w:pPr>
        <w:pStyle w:val="6"/>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茂县</w:t>
      </w:r>
      <w:r>
        <w:rPr>
          <w:rFonts w:hint="eastAsia" w:ascii="仿宋" w:hAnsi="仿宋" w:eastAsia="仿宋" w:cs="仿宋"/>
          <w:sz w:val="32"/>
          <w:szCs w:val="32"/>
        </w:rPr>
        <w:t>工商业联合会下属二级单位</w:t>
      </w:r>
      <w:r>
        <w:rPr>
          <w:rFonts w:hint="eastAsia" w:ascii="仿宋" w:hAnsi="仿宋" w:eastAsia="仿宋" w:cs="仿宋"/>
          <w:sz w:val="32"/>
          <w:szCs w:val="32"/>
          <w:lang w:val="en-US" w:eastAsia="zh-CN"/>
        </w:rPr>
        <w:t>0</w:t>
      </w:r>
      <w:r>
        <w:rPr>
          <w:rFonts w:hint="eastAsia" w:ascii="仿宋" w:hAnsi="仿宋" w:eastAsia="仿宋" w:cs="仿宋"/>
          <w:sz w:val="32"/>
          <w:szCs w:val="32"/>
        </w:rPr>
        <w:t>个，其中行政</w:t>
      </w:r>
      <w:r>
        <w:rPr>
          <w:rFonts w:hint="eastAsia" w:ascii="仿宋" w:hAnsi="仿宋" w:eastAsia="仿宋" w:cs="仿宋"/>
          <w:sz w:val="32"/>
          <w:szCs w:val="32"/>
          <w:lang w:val="en-US" w:eastAsia="zh-CN"/>
        </w:rPr>
        <w:t>单位1</w:t>
      </w:r>
      <w:r>
        <w:rPr>
          <w:rFonts w:hint="eastAsia" w:ascii="仿宋" w:hAnsi="仿宋" w:eastAsia="仿宋" w:cs="仿宋"/>
          <w:sz w:val="32"/>
          <w:szCs w:val="32"/>
        </w:rPr>
        <w:t>个，参照公务员法管理的事业单位</w:t>
      </w:r>
      <w:r>
        <w:rPr>
          <w:rFonts w:hint="eastAsia" w:ascii="仿宋" w:hAnsi="仿宋" w:eastAsia="仿宋" w:cs="仿宋"/>
          <w:sz w:val="32"/>
          <w:szCs w:val="32"/>
          <w:lang w:val="en-US" w:eastAsia="zh-CN"/>
        </w:rPr>
        <w:t>0</w:t>
      </w:r>
      <w:r>
        <w:rPr>
          <w:rFonts w:hint="eastAsia" w:ascii="仿宋" w:hAnsi="仿宋" w:eastAsia="仿宋" w:cs="仿宋"/>
          <w:sz w:val="32"/>
          <w:szCs w:val="32"/>
        </w:rPr>
        <w:t>个，其他事业单位</w:t>
      </w:r>
      <w:r>
        <w:rPr>
          <w:rFonts w:hint="eastAsia" w:ascii="仿宋" w:hAnsi="仿宋" w:eastAsia="仿宋" w:cs="仿宋"/>
          <w:sz w:val="32"/>
          <w:szCs w:val="32"/>
          <w:lang w:val="en-US" w:eastAsia="zh-CN"/>
        </w:rPr>
        <w:t>1</w:t>
      </w:r>
      <w:r>
        <w:rPr>
          <w:rFonts w:hint="eastAsia" w:ascii="仿宋" w:hAnsi="仿宋" w:eastAsia="仿宋" w:cs="仿宋"/>
          <w:sz w:val="32"/>
          <w:szCs w:val="32"/>
        </w:rPr>
        <w:t>个</w:t>
      </w:r>
      <w:r>
        <w:rPr>
          <w:rFonts w:hint="eastAsia" w:ascii="仿宋" w:hAnsi="仿宋" w:eastAsia="仿宋" w:cs="仿宋"/>
          <w:sz w:val="32"/>
          <w:szCs w:val="32"/>
          <w:lang w:eastAsia="zh-CN"/>
        </w:rPr>
        <w:t>。</w:t>
      </w:r>
    </w:p>
    <w:p w14:paraId="34BA0CCA">
      <w:pPr>
        <w:pStyle w:val="6"/>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纳入</w:t>
      </w:r>
      <w:r>
        <w:rPr>
          <w:rFonts w:hint="eastAsia" w:ascii="仿宋" w:hAnsi="仿宋" w:eastAsia="仿宋" w:cs="仿宋"/>
          <w:sz w:val="32"/>
          <w:szCs w:val="32"/>
          <w:lang w:eastAsia="zh-CN"/>
        </w:rPr>
        <w:t>茂县</w:t>
      </w:r>
      <w:r>
        <w:rPr>
          <w:rFonts w:hint="eastAsia" w:ascii="仿宋" w:hAnsi="仿宋" w:eastAsia="仿宋" w:cs="仿宋"/>
          <w:sz w:val="32"/>
          <w:szCs w:val="32"/>
        </w:rPr>
        <w:t>工商业联合会</w:t>
      </w:r>
      <w:r>
        <w:rPr>
          <w:rFonts w:hint="eastAsia" w:ascii="仿宋" w:hAnsi="仿宋" w:eastAsia="仿宋" w:cs="仿宋"/>
          <w:color w:val="auto"/>
          <w:sz w:val="32"/>
          <w:szCs w:val="32"/>
          <w:highlight w:val="none"/>
          <w:lang w:eastAsia="zh-CN"/>
        </w:rPr>
        <w:t>2025年度</w:t>
      </w:r>
      <w:r>
        <w:rPr>
          <w:rFonts w:hint="eastAsia" w:ascii="仿宋" w:hAnsi="仿宋" w:eastAsia="仿宋" w:cs="仿宋"/>
          <w:color w:val="auto"/>
          <w:sz w:val="32"/>
          <w:szCs w:val="32"/>
          <w:highlight w:val="none"/>
        </w:rPr>
        <w:t>部门决算编制范围的二级预算单位</w:t>
      </w:r>
      <w:r>
        <w:rPr>
          <w:rFonts w:hint="eastAsia" w:ascii="仿宋" w:hAnsi="仿宋" w:eastAsia="仿宋" w:cs="仿宋"/>
          <w:color w:val="auto"/>
          <w:sz w:val="32"/>
          <w:szCs w:val="32"/>
          <w:highlight w:val="none"/>
          <w:lang w:val="en-US" w:eastAsia="zh-CN"/>
        </w:rPr>
        <w:t>包括：</w:t>
      </w:r>
    </w:p>
    <w:p w14:paraId="3EE07732">
      <w:pPr>
        <w:pStyle w:val="6"/>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1.茂县工商业联合会（行政）</w:t>
      </w:r>
    </w:p>
    <w:p w14:paraId="1D20E555">
      <w:pPr>
        <w:pStyle w:val="6"/>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2.茂县工商业联合会（事业）</w:t>
      </w:r>
    </w:p>
    <w:p w14:paraId="270BE75E">
      <w:pPr>
        <w:widowControl/>
        <w:jc w:val="left"/>
        <w:rPr>
          <w:rFonts w:ascii="Times New Roman" w:hAnsi="Times New Roman" w:eastAsia="仿宋"/>
          <w:color w:val="auto"/>
          <w:kern w:val="0"/>
          <w:sz w:val="32"/>
          <w:szCs w:val="32"/>
          <w:highlight w:val="none"/>
        </w:rPr>
      </w:pPr>
    </w:p>
    <w:p w14:paraId="2B1FA5A3">
      <w:pPr>
        <w:pStyle w:val="3"/>
        <w:jc w:val="center"/>
        <w:rPr>
          <w:rFonts w:ascii="Times New Roman" w:hAnsi="Times New Roman"/>
          <w:color w:val="auto"/>
          <w:highlight w:val="none"/>
        </w:rPr>
      </w:pPr>
      <w:bookmarkStart w:id="17" w:name="_Toc15377204"/>
      <w:bookmarkStart w:id="18"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eastAsia="方正小标宋简体" w:cs="方正小标宋简体"/>
          <w:b w:val="0"/>
          <w:color w:val="auto"/>
          <w:highlight w:val="none"/>
          <w:lang w:val="en-US" w:eastAsia="zh-CN"/>
        </w:rPr>
        <w:t>2025年度</w:t>
      </w:r>
      <w:r>
        <w:rPr>
          <w:rFonts w:hint="eastAsia" w:ascii="Times New Roman" w:hAnsi="Times New Roman" w:eastAsia="方正小标宋简体" w:cs="方正小标宋简体"/>
          <w:b w:val="0"/>
          <w:color w:val="auto"/>
          <w:highlight w:val="none"/>
        </w:rPr>
        <w:t>部门决算情况说明</w:t>
      </w:r>
      <w:bookmarkEnd w:id="17"/>
      <w:bookmarkEnd w:id="18"/>
    </w:p>
    <w:p w14:paraId="038EFD51">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9" w:name="_Toc15396603"/>
      <w:bookmarkStart w:id="20"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9"/>
      <w:bookmarkEnd w:id="20"/>
    </w:p>
    <w:p w14:paraId="22A6E55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2025年度收入</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支出</w:t>
      </w:r>
      <w:r>
        <w:rPr>
          <w:rFonts w:hint="eastAsia" w:ascii="仿宋" w:hAnsi="仿宋" w:eastAsia="仿宋" w:cs="仿宋"/>
          <w:color w:val="auto"/>
          <w:sz w:val="32"/>
          <w:szCs w:val="32"/>
          <w:highlight w:val="none"/>
        </w:rPr>
        <w:t>总计</w:t>
      </w:r>
      <w:r>
        <w:rPr>
          <w:rFonts w:hint="eastAsia" w:ascii="仿宋" w:hAnsi="仿宋" w:eastAsia="仿宋" w:cs="仿宋"/>
          <w:color w:val="auto"/>
          <w:sz w:val="32"/>
          <w:szCs w:val="32"/>
          <w:highlight w:val="none"/>
          <w:lang w:eastAsia="zh-CN"/>
        </w:rPr>
        <w:t>均为</w:t>
      </w:r>
      <w:r>
        <w:rPr>
          <w:rFonts w:hint="eastAsia" w:ascii="仿宋" w:hAnsi="仿宋" w:eastAsia="仿宋" w:cs="仿宋"/>
          <w:color w:val="auto"/>
          <w:sz w:val="32"/>
          <w:szCs w:val="32"/>
          <w:highlight w:val="none"/>
          <w:lang w:val="en-US" w:eastAsia="zh-CN"/>
        </w:rPr>
        <w:t>121.81</w:t>
      </w:r>
      <w:r>
        <w:rPr>
          <w:rFonts w:hint="eastAsia" w:ascii="仿宋" w:hAnsi="仿宋" w:eastAsia="仿宋" w:cs="仿宋"/>
          <w:color w:val="auto"/>
          <w:sz w:val="32"/>
          <w:szCs w:val="32"/>
          <w:highlight w:val="none"/>
        </w:rPr>
        <w:t>万元。与</w:t>
      </w:r>
      <w:r>
        <w:rPr>
          <w:rFonts w:hint="eastAsia" w:ascii="仿宋" w:hAnsi="仿宋" w:eastAsia="仿宋" w:cs="仿宋"/>
          <w:color w:val="auto"/>
          <w:sz w:val="32"/>
          <w:szCs w:val="32"/>
          <w:highlight w:val="none"/>
          <w:lang w:eastAsia="zh-CN"/>
        </w:rPr>
        <w:t>上</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eastAsia="zh-CN"/>
        </w:rPr>
        <w:t>度</w:t>
      </w:r>
      <w:r>
        <w:rPr>
          <w:rFonts w:hint="eastAsia" w:ascii="仿宋" w:hAnsi="仿宋" w:eastAsia="仿宋" w:cs="仿宋"/>
          <w:color w:val="auto"/>
          <w:sz w:val="32"/>
          <w:szCs w:val="32"/>
          <w:highlight w:val="none"/>
        </w:rPr>
        <w:t>相比，</w:t>
      </w:r>
      <w:r>
        <w:rPr>
          <w:rFonts w:hint="eastAsia" w:ascii="仿宋" w:hAnsi="仿宋" w:eastAsia="仿宋" w:cs="仿宋"/>
          <w:color w:val="auto"/>
          <w:sz w:val="32"/>
          <w:szCs w:val="32"/>
          <w:highlight w:val="none"/>
          <w:lang w:eastAsia="zh-CN"/>
        </w:rPr>
        <w:t>收入</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支出</w:t>
      </w:r>
      <w:r>
        <w:rPr>
          <w:rFonts w:hint="eastAsia" w:ascii="仿宋" w:hAnsi="仿宋" w:eastAsia="仿宋" w:cs="仿宋"/>
          <w:color w:val="auto"/>
          <w:sz w:val="32"/>
          <w:szCs w:val="32"/>
          <w:highlight w:val="none"/>
        </w:rPr>
        <w:t>总计各增加</w:t>
      </w:r>
      <w:r>
        <w:rPr>
          <w:rFonts w:hint="eastAsia" w:ascii="仿宋" w:hAnsi="仿宋" w:eastAsia="仿宋" w:cs="仿宋"/>
          <w:color w:val="auto"/>
          <w:sz w:val="32"/>
          <w:szCs w:val="32"/>
          <w:highlight w:val="none"/>
          <w:lang w:val="en-US" w:eastAsia="zh-CN"/>
        </w:rPr>
        <w:t>18.94</w:t>
      </w:r>
      <w:r>
        <w:rPr>
          <w:rFonts w:hint="eastAsia" w:ascii="仿宋" w:hAnsi="仿宋" w:eastAsia="仿宋" w:cs="仿宋"/>
          <w:color w:val="auto"/>
          <w:sz w:val="32"/>
          <w:szCs w:val="32"/>
          <w:highlight w:val="none"/>
        </w:rPr>
        <w:t>万元，增长</w:t>
      </w:r>
      <w:r>
        <w:rPr>
          <w:rFonts w:hint="eastAsia" w:ascii="仿宋" w:hAnsi="仿宋" w:eastAsia="仿宋" w:cs="仿宋"/>
          <w:color w:val="auto"/>
          <w:sz w:val="32"/>
          <w:szCs w:val="32"/>
          <w:highlight w:val="none"/>
          <w:lang w:val="en-US" w:eastAsia="zh-CN"/>
        </w:rPr>
        <w:t>18.41</w:t>
      </w:r>
      <w:r>
        <w:rPr>
          <w:rFonts w:hint="eastAsia" w:ascii="仿宋" w:hAnsi="仿宋" w:eastAsia="仿宋" w:cs="仿宋"/>
          <w:color w:val="auto"/>
          <w:sz w:val="32"/>
          <w:szCs w:val="32"/>
          <w:highlight w:val="none"/>
        </w:rPr>
        <w:t>%。主要变动原因是</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机构改革、新增事业独立核算单位</w:t>
      </w:r>
      <w:r>
        <w:rPr>
          <w:rFonts w:hint="eastAsia" w:ascii="仿宋" w:hAnsi="仿宋" w:eastAsia="仿宋" w:cs="仿宋"/>
          <w:color w:val="auto"/>
          <w:sz w:val="32"/>
          <w:szCs w:val="32"/>
          <w:highlight w:val="none"/>
          <w:lang w:eastAsia="zh-CN"/>
        </w:rPr>
        <w:t>。</w:t>
      </w:r>
    </w:p>
    <w:p w14:paraId="0BD5289D">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 w:hAnsi="仿宋" w:eastAsia="仿宋" w:cs="仿宋"/>
          <w:color w:val="auto"/>
          <w:sz w:val="32"/>
          <w:szCs w:val="32"/>
          <w:highlight w:val="none"/>
        </w:rPr>
      </w:pPr>
      <w:r>
        <w:rPr>
          <w:rFonts w:hint="eastAsia" w:ascii="仿宋" w:hAnsi="仿宋" w:eastAsia="仿宋" w:cs="仿宋"/>
          <w:color w:val="000000"/>
          <w:sz w:val="32"/>
          <w:szCs w:val="32"/>
        </w:rPr>
        <w:drawing>
          <wp:anchor distT="0" distB="0" distL="114300" distR="114300" simplePos="0" relativeHeight="251659264" behindDoc="1" locked="0" layoutInCell="1" allowOverlap="1">
            <wp:simplePos x="0" y="0"/>
            <wp:positionH relativeFrom="column">
              <wp:posOffset>204470</wp:posOffset>
            </wp:positionH>
            <wp:positionV relativeFrom="paragraph">
              <wp:posOffset>143510</wp:posOffset>
            </wp:positionV>
            <wp:extent cx="5264150" cy="2797810"/>
            <wp:effectExtent l="4445" t="4445" r="8255" b="55245"/>
            <wp:wrapTight wrapText="bothSides">
              <wp:wrapPolygon>
                <wp:start x="-18" y="-34"/>
                <wp:lineTo x="-18" y="21438"/>
                <wp:lineTo x="21556" y="21438"/>
                <wp:lineTo x="21556" y="-34"/>
                <wp:lineTo x="-18" y="-34"/>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246FB14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1" w:name="_Toc15396604"/>
      <w:bookmarkStart w:id="22" w:name="_Toc15377206"/>
      <w:r>
        <w:rPr>
          <w:rFonts w:hint="eastAsia" w:ascii="Times New Roman" w:hAnsi="Times New Roman" w:eastAsia="黑体"/>
          <w:color w:val="auto"/>
          <w:sz w:val="32"/>
          <w:szCs w:val="32"/>
          <w:highlight w:val="none"/>
          <w:lang w:eastAsia="zh-CN"/>
        </w:rPr>
        <w:t>二、收入决算情况说明</w:t>
      </w:r>
      <w:bookmarkEnd w:id="21"/>
      <w:bookmarkEnd w:id="22"/>
    </w:p>
    <w:p w14:paraId="4FEB898B">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 w:hAnsi="仿宋" w:eastAsia="仿宋" w:cs="仿宋"/>
          <w:color w:val="auto"/>
          <w:sz w:val="32"/>
          <w:szCs w:val="32"/>
          <w:highlight w:val="none"/>
          <w:lang w:eastAsia="zh-CN"/>
        </w:rPr>
      </w:pPr>
      <w:r>
        <w:rPr>
          <w:rFonts w:hint="eastAsia" w:ascii="仿宋" w:hAnsi="仿宋" w:eastAsia="仿宋" w:cs="仿宋"/>
          <w:color w:val="000000"/>
          <w:sz w:val="32"/>
          <w:szCs w:val="32"/>
        </w:rPr>
        <w:drawing>
          <wp:anchor distT="0" distB="0" distL="114300" distR="114300" simplePos="0" relativeHeight="251660288" behindDoc="1" locked="0" layoutInCell="1" allowOverlap="1">
            <wp:simplePos x="0" y="0"/>
            <wp:positionH relativeFrom="column">
              <wp:posOffset>299720</wp:posOffset>
            </wp:positionH>
            <wp:positionV relativeFrom="paragraph">
              <wp:posOffset>923925</wp:posOffset>
            </wp:positionV>
            <wp:extent cx="4853940" cy="1929130"/>
            <wp:effectExtent l="5080" t="4445" r="17780" b="66675"/>
            <wp:wrapTight wrapText="bothSides">
              <wp:wrapPolygon>
                <wp:start x="-23" y="-50"/>
                <wp:lineTo x="-23" y="21493"/>
                <wp:lineTo x="21510" y="21493"/>
                <wp:lineTo x="21510" y="-50"/>
                <wp:lineTo x="-23" y="-50"/>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s="仿宋"/>
          <w:color w:val="auto"/>
          <w:sz w:val="32"/>
          <w:szCs w:val="32"/>
          <w:highlight w:val="none"/>
          <w:lang w:eastAsia="zh-CN"/>
        </w:rPr>
        <w:t>2025年度本年收入合计</w:t>
      </w:r>
      <w:r>
        <w:rPr>
          <w:rFonts w:hint="eastAsia" w:ascii="仿宋" w:hAnsi="仿宋" w:eastAsia="仿宋" w:cs="仿宋"/>
          <w:color w:val="auto"/>
          <w:sz w:val="32"/>
          <w:szCs w:val="32"/>
          <w:highlight w:val="none"/>
          <w:lang w:val="en-US" w:eastAsia="zh-CN"/>
        </w:rPr>
        <w:t>121.81</w:t>
      </w:r>
      <w:r>
        <w:rPr>
          <w:rFonts w:hint="eastAsia" w:ascii="仿宋" w:hAnsi="仿宋" w:eastAsia="仿宋" w:cs="仿宋"/>
          <w:color w:val="auto"/>
          <w:sz w:val="32"/>
          <w:szCs w:val="32"/>
          <w:highlight w:val="none"/>
          <w:lang w:eastAsia="zh-CN"/>
        </w:rPr>
        <w:t>万元，其中：一般公共预算财政拨款收入</w:t>
      </w:r>
      <w:r>
        <w:rPr>
          <w:rFonts w:hint="eastAsia" w:ascii="仿宋" w:hAnsi="仿宋" w:eastAsia="仿宋" w:cs="仿宋"/>
          <w:color w:val="auto"/>
          <w:sz w:val="32"/>
          <w:szCs w:val="32"/>
          <w:highlight w:val="none"/>
          <w:lang w:val="en-US" w:eastAsia="zh-CN"/>
        </w:rPr>
        <w:t>121.81</w:t>
      </w:r>
      <w:r>
        <w:rPr>
          <w:rFonts w:hint="eastAsia" w:ascii="仿宋" w:hAnsi="仿宋" w:eastAsia="仿宋" w:cs="仿宋"/>
          <w:color w:val="auto"/>
          <w:sz w:val="32"/>
          <w:szCs w:val="32"/>
          <w:highlight w:val="none"/>
          <w:lang w:eastAsia="zh-CN"/>
        </w:rPr>
        <w:t>万元，占</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lang w:eastAsia="zh-CN"/>
        </w:rPr>
        <w:t>%。</w:t>
      </w:r>
    </w:p>
    <w:p w14:paraId="5C62AA0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eastAsia="仿宋_GB2312" w:cs="仿宋_GB2312"/>
          <w:color w:val="auto"/>
          <w:sz w:val="32"/>
          <w:szCs w:val="32"/>
          <w:highlight w:val="none"/>
          <w:lang w:eastAsia="zh-CN"/>
        </w:rPr>
      </w:pPr>
    </w:p>
    <w:p w14:paraId="14BE639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1"/>
        <w:rPr>
          <w:rStyle w:val="30"/>
          <w:rFonts w:hint="eastAsia" w:ascii="仿宋" w:hAnsi="仿宋" w:eastAsia="仿宋" w:cs="仿宋"/>
          <w:b/>
          <w:bCs/>
          <w:color w:val="auto"/>
          <w:highlight w:val="none"/>
        </w:rPr>
      </w:pPr>
      <w:bookmarkStart w:id="23" w:name="_Toc15377207"/>
      <w:bookmarkStart w:id="24" w:name="_Toc15396605"/>
      <w:r>
        <w:rPr>
          <w:rFonts w:hint="eastAsia" w:ascii="仿宋" w:hAnsi="仿宋" w:eastAsia="仿宋" w:cs="仿宋"/>
          <w:b/>
          <w:bCs/>
          <w:color w:val="auto"/>
          <w:sz w:val="32"/>
          <w:szCs w:val="32"/>
          <w:highlight w:val="none"/>
          <w:lang w:eastAsia="zh-CN"/>
        </w:rPr>
        <w:t>三、</w:t>
      </w:r>
      <w:r>
        <w:rPr>
          <w:rFonts w:hint="eastAsia" w:ascii="仿宋" w:hAnsi="仿宋" w:eastAsia="仿宋" w:cs="仿宋"/>
          <w:b/>
          <w:bCs/>
          <w:color w:val="auto"/>
          <w:sz w:val="32"/>
          <w:szCs w:val="32"/>
          <w:highlight w:val="none"/>
        </w:rPr>
        <w:t>支</w:t>
      </w:r>
      <w:r>
        <w:rPr>
          <w:rStyle w:val="30"/>
          <w:rFonts w:hint="eastAsia" w:ascii="仿宋" w:hAnsi="仿宋" w:eastAsia="仿宋" w:cs="仿宋"/>
          <w:b/>
          <w:bCs/>
          <w:color w:val="auto"/>
          <w:highlight w:val="none"/>
        </w:rPr>
        <w:t>出决算情况说明</w:t>
      </w:r>
      <w:bookmarkEnd w:id="23"/>
      <w:bookmarkEnd w:id="24"/>
    </w:p>
    <w:p w14:paraId="6B871D4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eastAsia="zh-CN"/>
        </w:rPr>
      </w:pPr>
      <w:r>
        <w:rPr>
          <w:rFonts w:hint="eastAsia" w:ascii="仿宋" w:hAnsi="仿宋" w:eastAsia="仿宋" w:cs="仿宋"/>
          <w:color w:val="auto"/>
          <w:sz w:val="32"/>
          <w:szCs w:val="32"/>
          <w:highlight w:val="none"/>
          <w:lang w:eastAsia="zh-CN"/>
        </w:rPr>
        <w:t>2025年度本年支出合计</w:t>
      </w:r>
      <w:r>
        <w:rPr>
          <w:rFonts w:hint="eastAsia" w:ascii="仿宋" w:hAnsi="仿宋" w:eastAsia="仿宋" w:cs="仿宋"/>
          <w:color w:val="auto"/>
          <w:sz w:val="32"/>
          <w:szCs w:val="32"/>
          <w:highlight w:val="none"/>
          <w:lang w:val="en-US" w:eastAsia="zh-CN"/>
        </w:rPr>
        <w:t>121.81</w:t>
      </w:r>
      <w:r>
        <w:rPr>
          <w:rFonts w:hint="eastAsia" w:ascii="仿宋" w:hAnsi="仿宋" w:eastAsia="仿宋" w:cs="仿宋"/>
          <w:color w:val="auto"/>
          <w:sz w:val="32"/>
          <w:szCs w:val="32"/>
          <w:highlight w:val="none"/>
          <w:lang w:eastAsia="zh-CN"/>
        </w:rPr>
        <w:t>万元，其中：基本支出</w:t>
      </w:r>
      <w:r>
        <w:rPr>
          <w:rFonts w:hint="eastAsia" w:ascii="仿宋" w:hAnsi="仿宋" w:eastAsia="仿宋" w:cs="仿宋"/>
          <w:color w:val="auto"/>
          <w:sz w:val="32"/>
          <w:szCs w:val="32"/>
          <w:highlight w:val="none"/>
          <w:lang w:val="en-US" w:eastAsia="zh-CN"/>
        </w:rPr>
        <w:t>80.22</w:t>
      </w:r>
      <w:r>
        <w:rPr>
          <w:rFonts w:hint="eastAsia" w:ascii="仿宋" w:hAnsi="仿宋" w:eastAsia="仿宋" w:cs="仿宋"/>
          <w:color w:val="auto"/>
          <w:sz w:val="32"/>
          <w:szCs w:val="32"/>
          <w:highlight w:val="none"/>
          <w:lang w:eastAsia="zh-CN"/>
        </w:rPr>
        <w:t>万元，占</w:t>
      </w:r>
      <w:r>
        <w:rPr>
          <w:rFonts w:hint="eastAsia" w:ascii="仿宋" w:hAnsi="仿宋" w:eastAsia="仿宋" w:cs="仿宋"/>
          <w:color w:val="auto"/>
          <w:sz w:val="32"/>
          <w:szCs w:val="32"/>
          <w:highlight w:val="none"/>
          <w:lang w:val="en-US" w:eastAsia="zh-CN"/>
        </w:rPr>
        <w:t>65.86</w:t>
      </w:r>
      <w:r>
        <w:rPr>
          <w:rFonts w:hint="eastAsia" w:ascii="仿宋" w:hAnsi="仿宋" w:eastAsia="仿宋" w:cs="仿宋"/>
          <w:color w:val="auto"/>
          <w:sz w:val="32"/>
          <w:szCs w:val="32"/>
          <w:highlight w:val="none"/>
          <w:lang w:eastAsia="zh-CN"/>
        </w:rPr>
        <w:t>%；项目支出</w:t>
      </w:r>
      <w:r>
        <w:rPr>
          <w:rFonts w:hint="eastAsia" w:ascii="仿宋" w:hAnsi="仿宋" w:eastAsia="仿宋" w:cs="仿宋"/>
          <w:color w:val="auto"/>
          <w:sz w:val="32"/>
          <w:szCs w:val="32"/>
          <w:highlight w:val="none"/>
          <w:lang w:val="en-US" w:eastAsia="zh-CN"/>
        </w:rPr>
        <w:t>41.59</w:t>
      </w:r>
      <w:r>
        <w:rPr>
          <w:rFonts w:hint="eastAsia" w:ascii="仿宋" w:hAnsi="仿宋" w:eastAsia="仿宋" w:cs="仿宋"/>
          <w:color w:val="auto"/>
          <w:sz w:val="32"/>
          <w:szCs w:val="32"/>
          <w:highlight w:val="none"/>
          <w:lang w:eastAsia="zh-CN"/>
        </w:rPr>
        <w:t>万元，占</w:t>
      </w:r>
      <w:r>
        <w:rPr>
          <w:rFonts w:hint="eastAsia" w:ascii="仿宋" w:hAnsi="仿宋" w:eastAsia="仿宋" w:cs="仿宋"/>
          <w:color w:val="auto"/>
          <w:sz w:val="32"/>
          <w:szCs w:val="32"/>
          <w:highlight w:val="none"/>
          <w:lang w:val="en-US" w:eastAsia="zh-CN"/>
        </w:rPr>
        <w:t>34.14</w:t>
      </w:r>
      <w:r>
        <w:rPr>
          <w:rFonts w:hint="eastAsia" w:ascii="仿宋" w:hAnsi="仿宋" w:eastAsia="仿宋" w:cs="仿宋"/>
          <w:color w:val="auto"/>
          <w:sz w:val="32"/>
          <w:szCs w:val="32"/>
          <w:highlight w:val="none"/>
          <w:lang w:eastAsia="zh-CN"/>
        </w:rPr>
        <w:t>%。</w:t>
      </w:r>
    </w:p>
    <w:p w14:paraId="1EC06BF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 w:eastAsia="仿宋_GB2312"/>
          <w:color w:val="000000"/>
          <w:sz w:val="32"/>
          <w:szCs w:val="32"/>
        </w:rPr>
        <w:drawing>
          <wp:anchor distT="0" distB="0" distL="114300" distR="114300" simplePos="0" relativeHeight="251661312" behindDoc="1" locked="0" layoutInCell="1" allowOverlap="1">
            <wp:simplePos x="0" y="0"/>
            <wp:positionH relativeFrom="column">
              <wp:posOffset>337820</wp:posOffset>
            </wp:positionH>
            <wp:positionV relativeFrom="paragraph">
              <wp:posOffset>156845</wp:posOffset>
            </wp:positionV>
            <wp:extent cx="4933950" cy="2027555"/>
            <wp:effectExtent l="4445" t="4445" r="14605" b="63500"/>
            <wp:wrapTight wrapText="bothSides">
              <wp:wrapPolygon>
                <wp:start x="-19" y="-47"/>
                <wp:lineTo x="-19" y="21465"/>
                <wp:lineTo x="21581" y="21465"/>
                <wp:lineTo x="21581" y="-47"/>
                <wp:lineTo x="-19" y="-47"/>
              </wp:wrapPolygon>
            </wp:wrapTight>
            <wp:docPr id="1"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1E32FFA">
      <w:pPr>
        <w:spacing w:line="600" w:lineRule="exact"/>
        <w:ind w:firstLine="640" w:firstLineChars="200"/>
        <w:outlineLvl w:val="1"/>
        <w:rPr>
          <w:rStyle w:val="30"/>
          <w:rFonts w:ascii="Times New Roman" w:hAnsi="Times New Roman" w:eastAsia="黑体"/>
          <w:b w:val="0"/>
          <w:color w:val="auto"/>
          <w:highlight w:val="none"/>
        </w:rPr>
      </w:pPr>
      <w:bookmarkStart w:id="25" w:name="_Toc15377208"/>
      <w:bookmarkStart w:id="26" w:name="_Toc15396606"/>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25"/>
      <w:bookmarkEnd w:id="26"/>
    </w:p>
    <w:p w14:paraId="1B70E5E1">
      <w:pPr>
        <w:spacing w:line="600" w:lineRule="exact"/>
        <w:ind w:firstLine="640"/>
        <w:rPr>
          <w:rFonts w:hint="eastAsia" w:ascii="仿宋" w:hAnsi="仿宋" w:eastAsia="仿宋" w:cs="仿宋"/>
          <w:color w:val="auto"/>
          <w:sz w:val="32"/>
          <w:szCs w:val="32"/>
          <w:highlight w:val="none"/>
          <w:lang w:val="en-US" w:eastAsia="zh-CN"/>
        </w:rPr>
      </w:pPr>
      <w:r>
        <w:rPr>
          <w:rFonts w:hint="eastAsia" w:ascii="仿宋" w:hAnsi="仿宋" w:eastAsia="仿宋" w:cs="仿宋"/>
          <w:color w:val="000000"/>
          <w:sz w:val="32"/>
          <w:szCs w:val="32"/>
        </w:rPr>
        <w:drawing>
          <wp:anchor distT="0" distB="0" distL="114300" distR="114300" simplePos="0" relativeHeight="251662336" behindDoc="1" locked="0" layoutInCell="1" allowOverlap="1">
            <wp:simplePos x="0" y="0"/>
            <wp:positionH relativeFrom="column">
              <wp:posOffset>194945</wp:posOffset>
            </wp:positionH>
            <wp:positionV relativeFrom="paragraph">
              <wp:posOffset>1561465</wp:posOffset>
            </wp:positionV>
            <wp:extent cx="5165090" cy="2174240"/>
            <wp:effectExtent l="4445" t="4445" r="12065" b="12065"/>
            <wp:wrapTight wrapText="bothSides">
              <wp:wrapPolygon>
                <wp:start x="-19" y="-44"/>
                <wp:lineTo x="-19" y="21531"/>
                <wp:lineTo x="21571" y="21531"/>
                <wp:lineTo x="21571" y="-44"/>
                <wp:lineTo x="-19" y="-44"/>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s="仿宋"/>
          <w:color w:val="auto"/>
          <w:kern w:val="2"/>
          <w:sz w:val="32"/>
          <w:szCs w:val="32"/>
          <w:highlight w:val="none"/>
          <w:lang w:val="en-US" w:eastAsia="zh-CN" w:bidi="ar-SA"/>
        </w:rPr>
        <w:t>2025年度财政拨款收入、支出总计均为121.81万元。与上年度相比，财政拨款收入、支出总计各增加18.94万元，增长18.41%。主要变动原因是：</w:t>
      </w:r>
      <w:r>
        <w:rPr>
          <w:rFonts w:hint="eastAsia" w:ascii="仿宋" w:hAnsi="仿宋" w:eastAsia="仿宋" w:cs="仿宋"/>
          <w:color w:val="auto"/>
          <w:sz w:val="32"/>
          <w:szCs w:val="32"/>
          <w:highlight w:val="none"/>
          <w:lang w:val="en-US" w:eastAsia="zh-CN"/>
        </w:rPr>
        <w:t>机构改革、新增事业独立核算单位。</w:t>
      </w:r>
    </w:p>
    <w:p w14:paraId="4A1E9D68">
      <w:pPr>
        <w:spacing w:line="600" w:lineRule="exact"/>
        <w:ind w:firstLine="640" w:firstLineChars="200"/>
        <w:outlineLvl w:val="1"/>
        <w:rPr>
          <w:rStyle w:val="30"/>
          <w:rFonts w:ascii="Times New Roman" w:hAnsi="Times New Roman" w:eastAsia="黑体"/>
          <w:b w:val="0"/>
          <w:color w:val="auto"/>
          <w:highlight w:val="none"/>
        </w:rPr>
      </w:pPr>
      <w:bookmarkStart w:id="27" w:name="_Toc15377209"/>
      <w:bookmarkStart w:id="28"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27"/>
      <w:bookmarkEnd w:id="28"/>
    </w:p>
    <w:p w14:paraId="1E5FC91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9"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9"/>
    </w:p>
    <w:p w14:paraId="2DC8FD35">
      <w:pPr>
        <w:spacing w:line="600" w:lineRule="exact"/>
        <w:ind w:firstLine="64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2025年度一般公共预算财政拨款支出121.81万元，占本年支出合计的100%。与上年度相比，一般公共预算财政拨款支出增加18.94万元，增长18.41%。主要变动原因是：</w:t>
      </w:r>
      <w:r>
        <w:rPr>
          <w:rFonts w:hint="eastAsia" w:ascii="仿宋" w:hAnsi="仿宋" w:eastAsia="仿宋" w:cs="仿宋"/>
          <w:color w:val="auto"/>
          <w:sz w:val="32"/>
          <w:szCs w:val="32"/>
          <w:highlight w:val="none"/>
          <w:lang w:val="en-US" w:eastAsia="zh-CN"/>
        </w:rPr>
        <w:t>机构改革、新增事业独立核算单位。</w:t>
      </w:r>
    </w:p>
    <w:p w14:paraId="3FBB708E">
      <w:pPr>
        <w:pStyle w:val="15"/>
        <w:rPr>
          <w:rFonts w:hint="eastAsia" w:ascii="Times New Roman" w:hAnsi="Times New Roman" w:eastAsia="仿宋_GB2312" w:cs="仿宋_GB2312"/>
          <w:color w:val="auto"/>
          <w:kern w:val="2"/>
          <w:sz w:val="32"/>
          <w:szCs w:val="32"/>
          <w:highlight w:val="none"/>
          <w:lang w:val="en-US" w:eastAsia="zh-CN" w:bidi="ar-SA"/>
        </w:rPr>
      </w:pPr>
      <w:r>
        <w:rPr>
          <w:rFonts w:hint="eastAsia" w:ascii="楷体_GB2312" w:hAnsi="仿宋" w:eastAsia="楷体_GB2312"/>
          <w:b/>
          <w:color w:val="000000"/>
          <w:sz w:val="32"/>
          <w:szCs w:val="32"/>
          <w:lang w:eastAsia="zh-CN"/>
        </w:rPr>
        <w:drawing>
          <wp:inline distT="0" distB="0" distL="114300" distR="114300">
            <wp:extent cx="4999990" cy="2435225"/>
            <wp:effectExtent l="5080" t="4445" r="5080" b="1778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6A0D8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0"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0"/>
    </w:p>
    <w:p w14:paraId="4D2DCF27">
      <w:pPr>
        <w:spacing w:line="600" w:lineRule="exact"/>
        <w:ind w:firstLine="64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2025年度一般公共预算财政拨款支出121.81万元，主要用于以下方面：一般公共服务支出58.46万元，占47.99%；社会保障和就业支出11.02万元，占9.05%；卫生健康支出4.39万元，占3.6%；住房保障支出6.35万元，占5.21%；农林水支出41.59万元，占34.14%。</w:t>
      </w:r>
    </w:p>
    <w:p w14:paraId="1D776B5A">
      <w:pPr>
        <w:pStyle w:val="15"/>
        <w:ind w:left="0" w:leftChars="0" w:firstLine="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 w:eastAsia="仿宋_GB2312"/>
          <w:color w:val="000000"/>
          <w:sz w:val="32"/>
          <w:szCs w:val="32"/>
        </w:rPr>
        <w:drawing>
          <wp:anchor distT="0" distB="0" distL="114300" distR="114300" simplePos="0" relativeHeight="251663360" behindDoc="1" locked="0" layoutInCell="1" allowOverlap="1">
            <wp:simplePos x="0" y="0"/>
            <wp:positionH relativeFrom="column">
              <wp:posOffset>56515</wp:posOffset>
            </wp:positionH>
            <wp:positionV relativeFrom="paragraph">
              <wp:posOffset>38735</wp:posOffset>
            </wp:positionV>
            <wp:extent cx="5266055" cy="2369185"/>
            <wp:effectExtent l="4445" t="4445" r="6350" b="45720"/>
            <wp:wrapTight wrapText="bothSides">
              <wp:wrapPolygon>
                <wp:start x="-18" y="-41"/>
                <wp:lineTo x="-18" y="21496"/>
                <wp:lineTo x="21548" y="21496"/>
                <wp:lineTo x="21548" y="-41"/>
                <wp:lineTo x="-18" y="-41"/>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仿宋_GB2312" w:hAnsi="仿宋" w:eastAsia="仿宋_GB2312"/>
          <w:color w:val="000000"/>
          <w:sz w:val="32"/>
          <w:szCs w:val="32"/>
          <w:lang w:val="en-US" w:eastAsia="zh-CN"/>
        </w:rPr>
        <w:t xml:space="preserve"> </w:t>
      </w:r>
    </w:p>
    <w:p w14:paraId="758CBB7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1"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1"/>
    </w:p>
    <w:p w14:paraId="332758AF">
      <w:pPr>
        <w:spacing w:line="600" w:lineRule="exact"/>
        <w:ind w:firstLine="640"/>
        <w:rPr>
          <w:rFonts w:hint="eastAsia" w:ascii="仿宋" w:hAnsi="仿宋" w:eastAsia="仿宋" w:cs="仿宋"/>
          <w:color w:val="auto"/>
          <w:kern w:val="2"/>
          <w:sz w:val="32"/>
          <w:szCs w:val="32"/>
          <w:highlight w:val="none"/>
          <w:lang w:val="en-US" w:eastAsia="zh-CN" w:bidi="ar-SA"/>
        </w:rPr>
      </w:pPr>
      <w:bookmarkStart w:id="32" w:name="_Toc15377213"/>
      <w:bookmarkStart w:id="33" w:name="_Toc15378460"/>
      <w:bookmarkStart w:id="34" w:name="_Toc15377444"/>
      <w:r>
        <w:rPr>
          <w:rFonts w:hint="eastAsia" w:ascii="仿宋" w:hAnsi="仿宋" w:eastAsia="仿宋" w:cs="仿宋"/>
          <w:color w:val="auto"/>
          <w:kern w:val="2"/>
          <w:sz w:val="32"/>
          <w:szCs w:val="32"/>
          <w:highlight w:val="none"/>
          <w:lang w:val="en-US" w:eastAsia="zh-CN" w:bidi="ar-SA"/>
        </w:rPr>
        <w:t>2025年度一般公共预算支出决算数为121.81万元，完成预算100%。其中：</w:t>
      </w:r>
      <w:bookmarkEnd w:id="32"/>
      <w:bookmarkEnd w:id="33"/>
      <w:bookmarkEnd w:id="34"/>
    </w:p>
    <w:p w14:paraId="0E541F5C">
      <w:pPr>
        <w:spacing w:line="600" w:lineRule="exact"/>
        <w:ind w:firstLine="640" w:firstLineChars="200"/>
        <w:rPr>
          <w:rFonts w:hint="eastAsia" w:ascii="仿宋" w:hAnsi="仿宋" w:eastAsia="仿宋" w:cs="仿宋"/>
          <w:b w:val="0"/>
          <w:bCs/>
          <w:color w:val="auto"/>
          <w:sz w:val="32"/>
          <w:szCs w:val="32"/>
          <w:highlight w:val="none"/>
        </w:rPr>
      </w:pPr>
      <w:r>
        <w:rPr>
          <w:rStyle w:val="19"/>
          <w:rFonts w:hint="eastAsia" w:ascii="仿宋" w:hAnsi="仿宋" w:eastAsia="仿宋" w:cs="仿宋"/>
          <w:b w:val="0"/>
          <w:bCs/>
          <w:color w:val="auto"/>
          <w:sz w:val="32"/>
          <w:szCs w:val="32"/>
          <w:highlight w:val="none"/>
        </w:rPr>
        <w:t>1.一般公共服务（类）</w:t>
      </w:r>
      <w:r>
        <w:rPr>
          <w:rStyle w:val="19"/>
          <w:rFonts w:hint="eastAsia" w:ascii="仿宋" w:hAnsi="仿宋" w:eastAsia="仿宋" w:cs="仿宋"/>
          <w:b w:val="0"/>
          <w:bCs/>
          <w:sz w:val="32"/>
          <w:szCs w:val="32"/>
          <w:lang w:eastAsia="zh-CN"/>
        </w:rPr>
        <w:t>民主党派及工商联事务</w:t>
      </w:r>
      <w:r>
        <w:rPr>
          <w:rStyle w:val="19"/>
          <w:rFonts w:hint="eastAsia" w:ascii="仿宋" w:hAnsi="仿宋" w:eastAsia="仿宋" w:cs="仿宋"/>
          <w:b w:val="0"/>
          <w:bCs/>
          <w:color w:val="auto"/>
          <w:sz w:val="32"/>
          <w:szCs w:val="32"/>
          <w:highlight w:val="none"/>
        </w:rPr>
        <w:t>（款）</w:t>
      </w:r>
      <w:r>
        <w:rPr>
          <w:rStyle w:val="19"/>
          <w:rFonts w:hint="eastAsia" w:ascii="仿宋" w:hAnsi="仿宋" w:eastAsia="仿宋" w:cs="仿宋"/>
          <w:b w:val="0"/>
          <w:bCs/>
          <w:sz w:val="32"/>
          <w:szCs w:val="32"/>
          <w:lang w:eastAsia="zh-CN"/>
        </w:rPr>
        <w:t>行政运行</w:t>
      </w:r>
      <w:r>
        <w:rPr>
          <w:rStyle w:val="19"/>
          <w:rFonts w:hint="eastAsia" w:ascii="仿宋" w:hAnsi="仿宋" w:eastAsia="仿宋" w:cs="仿宋"/>
          <w:b w:val="0"/>
          <w:bCs/>
          <w:color w:val="auto"/>
          <w:sz w:val="32"/>
          <w:szCs w:val="32"/>
          <w:highlight w:val="none"/>
        </w:rPr>
        <w:t>（项）: 支出决算</w:t>
      </w:r>
      <w:r>
        <w:rPr>
          <w:rStyle w:val="19"/>
          <w:rFonts w:hint="eastAsia" w:ascii="仿宋" w:hAnsi="仿宋" w:eastAsia="仿宋" w:cs="仿宋"/>
          <w:b w:val="0"/>
          <w:bCs/>
          <w:color w:val="auto"/>
          <w:sz w:val="32"/>
          <w:szCs w:val="32"/>
          <w:highlight w:val="none"/>
          <w:lang w:val="en-US" w:eastAsia="zh-CN"/>
        </w:rPr>
        <w:t>58.46</w:t>
      </w:r>
      <w:r>
        <w:rPr>
          <w:rStyle w:val="19"/>
          <w:rFonts w:hint="eastAsia" w:ascii="仿宋" w:hAnsi="仿宋" w:eastAsia="仿宋" w:cs="仿宋"/>
          <w:b w:val="0"/>
          <w:bCs/>
          <w:color w:val="auto"/>
          <w:sz w:val="32"/>
          <w:szCs w:val="32"/>
          <w:highlight w:val="none"/>
        </w:rPr>
        <w:t>万元，完成预</w:t>
      </w:r>
      <w:r>
        <w:rPr>
          <w:rStyle w:val="19"/>
          <w:rFonts w:hint="eastAsia" w:ascii="仿宋" w:hAnsi="仿宋" w:eastAsia="仿宋" w:cs="仿宋"/>
          <w:b w:val="0"/>
          <w:bCs/>
          <w:color w:val="auto"/>
          <w:sz w:val="32"/>
          <w:szCs w:val="32"/>
          <w:highlight w:val="none"/>
          <w:lang w:val="en-US" w:eastAsia="zh-CN"/>
        </w:rPr>
        <w:t>算100</w:t>
      </w:r>
      <w:r>
        <w:rPr>
          <w:rStyle w:val="19"/>
          <w:rFonts w:hint="eastAsia" w:ascii="仿宋" w:hAnsi="仿宋" w:eastAsia="仿宋" w:cs="仿宋"/>
          <w:b w:val="0"/>
          <w:bCs/>
          <w:color w:val="auto"/>
          <w:sz w:val="32"/>
          <w:szCs w:val="32"/>
          <w:highlight w:val="none"/>
        </w:rPr>
        <w:t>%，决算数等于预算数。</w:t>
      </w:r>
    </w:p>
    <w:p w14:paraId="6903282D">
      <w:pPr>
        <w:spacing w:line="600" w:lineRule="exact"/>
        <w:ind w:firstLine="640" w:firstLineChars="200"/>
        <w:rPr>
          <w:rStyle w:val="19"/>
          <w:rFonts w:hint="eastAsia" w:ascii="仿宋" w:hAnsi="仿宋" w:eastAsia="仿宋" w:cs="仿宋"/>
          <w:b w:val="0"/>
          <w:bCs/>
          <w:color w:val="auto"/>
          <w:sz w:val="32"/>
          <w:szCs w:val="32"/>
          <w:highlight w:val="none"/>
          <w:lang w:eastAsia="zh-CN"/>
        </w:rPr>
      </w:pPr>
      <w:r>
        <w:rPr>
          <w:rStyle w:val="19"/>
          <w:rFonts w:hint="eastAsia" w:ascii="仿宋" w:hAnsi="仿宋" w:eastAsia="仿宋" w:cs="仿宋"/>
          <w:b w:val="0"/>
          <w:bCs/>
          <w:color w:val="auto"/>
          <w:sz w:val="32"/>
          <w:szCs w:val="32"/>
          <w:highlight w:val="none"/>
          <w:lang w:val="en-US" w:eastAsia="zh-CN"/>
        </w:rPr>
        <w:t>2</w:t>
      </w:r>
      <w:r>
        <w:rPr>
          <w:rStyle w:val="19"/>
          <w:rFonts w:hint="eastAsia" w:ascii="仿宋" w:hAnsi="仿宋" w:eastAsia="仿宋" w:cs="仿宋"/>
          <w:b w:val="0"/>
          <w:bCs/>
          <w:color w:val="auto"/>
          <w:sz w:val="32"/>
          <w:szCs w:val="32"/>
          <w:highlight w:val="none"/>
        </w:rPr>
        <w:t>.社会保障和就业（类）</w:t>
      </w:r>
      <w:r>
        <w:rPr>
          <w:rStyle w:val="19"/>
          <w:rFonts w:hint="eastAsia" w:ascii="仿宋" w:hAnsi="仿宋" w:eastAsia="仿宋" w:cs="仿宋"/>
          <w:b w:val="0"/>
          <w:bCs/>
          <w:sz w:val="32"/>
          <w:szCs w:val="32"/>
          <w:lang w:eastAsia="zh-CN"/>
        </w:rPr>
        <w:t>行政事业单位离退休</w:t>
      </w:r>
      <w:r>
        <w:rPr>
          <w:rStyle w:val="19"/>
          <w:rFonts w:hint="eastAsia" w:ascii="仿宋" w:hAnsi="仿宋" w:eastAsia="仿宋" w:cs="仿宋"/>
          <w:b w:val="0"/>
          <w:bCs/>
          <w:color w:val="auto"/>
          <w:sz w:val="32"/>
          <w:szCs w:val="32"/>
          <w:highlight w:val="none"/>
        </w:rPr>
        <w:t>（款）</w:t>
      </w:r>
      <w:r>
        <w:rPr>
          <w:rStyle w:val="19"/>
          <w:rFonts w:hint="eastAsia" w:ascii="仿宋" w:hAnsi="仿宋" w:eastAsia="仿宋" w:cs="仿宋"/>
          <w:b w:val="0"/>
          <w:bCs/>
          <w:sz w:val="32"/>
          <w:szCs w:val="32"/>
          <w:lang w:eastAsia="zh-CN"/>
        </w:rPr>
        <w:t>机关事业单位基本养老保险缴费支出</w:t>
      </w:r>
      <w:r>
        <w:rPr>
          <w:rStyle w:val="19"/>
          <w:rFonts w:hint="eastAsia" w:ascii="仿宋" w:hAnsi="仿宋" w:eastAsia="仿宋" w:cs="仿宋"/>
          <w:b w:val="0"/>
          <w:bCs/>
          <w:color w:val="auto"/>
          <w:sz w:val="32"/>
          <w:szCs w:val="32"/>
          <w:highlight w:val="none"/>
        </w:rPr>
        <w:t>（项）: 支出决算为</w:t>
      </w:r>
      <w:r>
        <w:rPr>
          <w:rStyle w:val="19"/>
          <w:rFonts w:hint="eastAsia" w:ascii="仿宋" w:hAnsi="仿宋" w:eastAsia="仿宋" w:cs="仿宋"/>
          <w:b w:val="0"/>
          <w:bCs/>
          <w:color w:val="auto"/>
          <w:sz w:val="32"/>
          <w:szCs w:val="32"/>
          <w:highlight w:val="none"/>
          <w:lang w:val="en-US" w:eastAsia="zh-CN"/>
        </w:rPr>
        <w:t>7.35</w:t>
      </w:r>
      <w:r>
        <w:rPr>
          <w:rStyle w:val="19"/>
          <w:rFonts w:hint="eastAsia" w:ascii="仿宋" w:hAnsi="仿宋" w:eastAsia="仿宋" w:cs="仿宋"/>
          <w:b w:val="0"/>
          <w:bCs/>
          <w:color w:val="auto"/>
          <w:sz w:val="32"/>
          <w:szCs w:val="32"/>
          <w:highlight w:val="none"/>
        </w:rPr>
        <w:t>万元，完成预算</w:t>
      </w:r>
      <w:r>
        <w:rPr>
          <w:rStyle w:val="19"/>
          <w:rFonts w:hint="eastAsia" w:ascii="仿宋" w:hAnsi="仿宋" w:eastAsia="仿宋" w:cs="仿宋"/>
          <w:b w:val="0"/>
          <w:bCs/>
          <w:color w:val="auto"/>
          <w:sz w:val="32"/>
          <w:szCs w:val="32"/>
          <w:highlight w:val="none"/>
          <w:lang w:val="en-US" w:eastAsia="zh-CN"/>
        </w:rPr>
        <w:t>100</w:t>
      </w:r>
      <w:r>
        <w:rPr>
          <w:rStyle w:val="19"/>
          <w:rFonts w:hint="eastAsia" w:ascii="仿宋" w:hAnsi="仿宋" w:eastAsia="仿宋" w:cs="仿宋"/>
          <w:b w:val="0"/>
          <w:bCs/>
          <w:color w:val="auto"/>
          <w:sz w:val="32"/>
          <w:szCs w:val="32"/>
          <w:highlight w:val="none"/>
        </w:rPr>
        <w:t>%，决算数等于预算数</w:t>
      </w:r>
      <w:r>
        <w:rPr>
          <w:rStyle w:val="19"/>
          <w:rFonts w:hint="eastAsia" w:ascii="仿宋" w:hAnsi="仿宋" w:eastAsia="仿宋" w:cs="仿宋"/>
          <w:b w:val="0"/>
          <w:bCs/>
          <w:color w:val="auto"/>
          <w:sz w:val="32"/>
          <w:szCs w:val="32"/>
          <w:highlight w:val="none"/>
          <w:lang w:eastAsia="zh-CN"/>
        </w:rPr>
        <w:t>。</w:t>
      </w:r>
    </w:p>
    <w:p w14:paraId="7A7205A7">
      <w:pPr>
        <w:spacing w:line="600" w:lineRule="exact"/>
        <w:ind w:firstLine="640" w:firstLineChars="200"/>
        <w:rPr>
          <w:rStyle w:val="19"/>
          <w:rFonts w:hint="eastAsia" w:ascii="仿宋" w:hAnsi="仿宋" w:eastAsia="仿宋" w:cs="仿宋"/>
          <w:b w:val="0"/>
          <w:bCs/>
          <w:color w:val="auto"/>
          <w:sz w:val="32"/>
          <w:szCs w:val="32"/>
          <w:highlight w:val="none"/>
          <w:lang w:eastAsia="zh-CN"/>
        </w:rPr>
      </w:pPr>
      <w:r>
        <w:rPr>
          <w:rStyle w:val="19"/>
          <w:rFonts w:hint="eastAsia" w:ascii="仿宋" w:hAnsi="仿宋" w:eastAsia="仿宋" w:cs="仿宋"/>
          <w:b w:val="0"/>
          <w:bCs/>
          <w:color w:val="auto"/>
          <w:sz w:val="32"/>
          <w:szCs w:val="32"/>
          <w:highlight w:val="none"/>
          <w:lang w:val="en-US" w:eastAsia="zh-CN"/>
        </w:rPr>
        <w:t>3</w:t>
      </w:r>
      <w:r>
        <w:rPr>
          <w:rStyle w:val="19"/>
          <w:rFonts w:hint="eastAsia" w:ascii="仿宋" w:hAnsi="仿宋" w:eastAsia="仿宋" w:cs="仿宋"/>
          <w:b w:val="0"/>
          <w:bCs/>
          <w:color w:val="auto"/>
          <w:sz w:val="32"/>
          <w:szCs w:val="32"/>
          <w:highlight w:val="none"/>
        </w:rPr>
        <w:t>.社会保障和就业（类）</w:t>
      </w:r>
      <w:r>
        <w:rPr>
          <w:rStyle w:val="19"/>
          <w:rFonts w:hint="eastAsia" w:ascii="仿宋" w:hAnsi="仿宋" w:eastAsia="仿宋" w:cs="仿宋"/>
          <w:b w:val="0"/>
          <w:bCs/>
          <w:sz w:val="32"/>
          <w:szCs w:val="32"/>
          <w:lang w:eastAsia="zh-CN"/>
        </w:rPr>
        <w:t>行政事业单位离退休</w:t>
      </w:r>
      <w:r>
        <w:rPr>
          <w:rStyle w:val="19"/>
          <w:rFonts w:hint="eastAsia" w:ascii="仿宋" w:hAnsi="仿宋" w:eastAsia="仿宋" w:cs="仿宋"/>
          <w:b w:val="0"/>
          <w:bCs/>
          <w:color w:val="auto"/>
          <w:sz w:val="32"/>
          <w:szCs w:val="32"/>
          <w:highlight w:val="none"/>
        </w:rPr>
        <w:t>（款）</w:t>
      </w:r>
      <w:r>
        <w:rPr>
          <w:rStyle w:val="19"/>
          <w:rFonts w:hint="eastAsia" w:ascii="仿宋" w:hAnsi="仿宋" w:eastAsia="仿宋" w:cs="仿宋"/>
          <w:b w:val="0"/>
          <w:bCs/>
          <w:sz w:val="32"/>
          <w:szCs w:val="32"/>
          <w:lang w:eastAsia="zh-CN"/>
        </w:rPr>
        <w:t>机关事业单位职业年金缴费支出</w:t>
      </w:r>
      <w:r>
        <w:rPr>
          <w:rStyle w:val="19"/>
          <w:rFonts w:hint="eastAsia" w:ascii="仿宋" w:hAnsi="仿宋" w:eastAsia="仿宋" w:cs="仿宋"/>
          <w:b w:val="0"/>
          <w:bCs/>
          <w:color w:val="auto"/>
          <w:sz w:val="32"/>
          <w:szCs w:val="32"/>
          <w:highlight w:val="none"/>
        </w:rPr>
        <w:t>（项）: 支出决算为</w:t>
      </w:r>
      <w:r>
        <w:rPr>
          <w:rStyle w:val="19"/>
          <w:rFonts w:hint="eastAsia" w:ascii="仿宋" w:hAnsi="仿宋" w:eastAsia="仿宋" w:cs="仿宋"/>
          <w:b w:val="0"/>
          <w:bCs/>
          <w:color w:val="auto"/>
          <w:sz w:val="32"/>
          <w:szCs w:val="32"/>
          <w:highlight w:val="none"/>
          <w:lang w:val="en-US" w:eastAsia="zh-CN"/>
        </w:rPr>
        <w:t>3.67</w:t>
      </w:r>
      <w:r>
        <w:rPr>
          <w:rStyle w:val="19"/>
          <w:rFonts w:hint="eastAsia" w:ascii="仿宋" w:hAnsi="仿宋" w:eastAsia="仿宋" w:cs="仿宋"/>
          <w:b w:val="0"/>
          <w:bCs/>
          <w:color w:val="auto"/>
          <w:sz w:val="32"/>
          <w:szCs w:val="32"/>
          <w:highlight w:val="none"/>
        </w:rPr>
        <w:t>万元，完成预算</w:t>
      </w:r>
      <w:r>
        <w:rPr>
          <w:rStyle w:val="19"/>
          <w:rFonts w:hint="eastAsia" w:ascii="仿宋" w:hAnsi="仿宋" w:eastAsia="仿宋" w:cs="仿宋"/>
          <w:b w:val="0"/>
          <w:bCs/>
          <w:color w:val="auto"/>
          <w:sz w:val="32"/>
          <w:szCs w:val="32"/>
          <w:highlight w:val="none"/>
          <w:lang w:val="en-US" w:eastAsia="zh-CN"/>
        </w:rPr>
        <w:t>100</w:t>
      </w:r>
      <w:r>
        <w:rPr>
          <w:rStyle w:val="19"/>
          <w:rFonts w:hint="eastAsia" w:ascii="仿宋" w:hAnsi="仿宋" w:eastAsia="仿宋" w:cs="仿宋"/>
          <w:b w:val="0"/>
          <w:bCs/>
          <w:color w:val="auto"/>
          <w:sz w:val="32"/>
          <w:szCs w:val="32"/>
          <w:highlight w:val="none"/>
        </w:rPr>
        <w:t>%，决算数等于预算数</w:t>
      </w:r>
      <w:r>
        <w:rPr>
          <w:rStyle w:val="19"/>
          <w:rFonts w:hint="eastAsia" w:ascii="仿宋" w:hAnsi="仿宋" w:eastAsia="仿宋" w:cs="仿宋"/>
          <w:b w:val="0"/>
          <w:bCs/>
          <w:color w:val="auto"/>
          <w:sz w:val="32"/>
          <w:szCs w:val="32"/>
          <w:highlight w:val="none"/>
          <w:lang w:eastAsia="zh-CN"/>
        </w:rPr>
        <w:t>。</w:t>
      </w:r>
    </w:p>
    <w:p w14:paraId="3E6A89B2">
      <w:pPr>
        <w:spacing w:line="600" w:lineRule="exact"/>
        <w:ind w:firstLine="640" w:firstLineChars="200"/>
        <w:rPr>
          <w:rStyle w:val="19"/>
          <w:rFonts w:hint="eastAsia" w:ascii="仿宋" w:hAnsi="仿宋" w:eastAsia="仿宋" w:cs="仿宋"/>
          <w:b w:val="0"/>
          <w:bCs/>
          <w:color w:val="auto"/>
          <w:sz w:val="32"/>
          <w:szCs w:val="32"/>
          <w:highlight w:val="none"/>
        </w:rPr>
      </w:pPr>
      <w:r>
        <w:rPr>
          <w:rStyle w:val="19"/>
          <w:rFonts w:hint="eastAsia" w:ascii="仿宋" w:hAnsi="仿宋" w:eastAsia="仿宋" w:cs="仿宋"/>
          <w:b w:val="0"/>
          <w:bCs/>
          <w:color w:val="auto"/>
          <w:sz w:val="32"/>
          <w:szCs w:val="32"/>
          <w:highlight w:val="none"/>
          <w:lang w:val="en-US" w:eastAsia="zh-CN"/>
        </w:rPr>
        <w:t>4</w:t>
      </w:r>
      <w:r>
        <w:rPr>
          <w:rStyle w:val="19"/>
          <w:rFonts w:hint="eastAsia" w:ascii="仿宋" w:hAnsi="仿宋" w:eastAsia="仿宋" w:cs="仿宋"/>
          <w:b w:val="0"/>
          <w:bCs/>
          <w:color w:val="auto"/>
          <w:sz w:val="32"/>
          <w:szCs w:val="32"/>
          <w:highlight w:val="none"/>
        </w:rPr>
        <w:t>.卫生健康（类）</w:t>
      </w:r>
      <w:r>
        <w:rPr>
          <w:rStyle w:val="19"/>
          <w:rFonts w:hint="eastAsia" w:ascii="仿宋" w:hAnsi="仿宋" w:eastAsia="仿宋" w:cs="仿宋"/>
          <w:b w:val="0"/>
          <w:bCs/>
          <w:color w:val="auto"/>
          <w:sz w:val="32"/>
          <w:szCs w:val="32"/>
          <w:highlight w:val="none"/>
          <w:lang w:eastAsia="zh-CN"/>
        </w:rPr>
        <w:t>行政事业单位医疗</w:t>
      </w:r>
      <w:r>
        <w:rPr>
          <w:rStyle w:val="19"/>
          <w:rFonts w:hint="eastAsia" w:ascii="仿宋" w:hAnsi="仿宋" w:eastAsia="仿宋" w:cs="仿宋"/>
          <w:b w:val="0"/>
          <w:bCs/>
          <w:color w:val="auto"/>
          <w:sz w:val="32"/>
          <w:szCs w:val="32"/>
          <w:highlight w:val="none"/>
        </w:rPr>
        <w:t>（款）</w:t>
      </w:r>
      <w:r>
        <w:rPr>
          <w:rStyle w:val="19"/>
          <w:rFonts w:hint="eastAsia" w:ascii="仿宋" w:hAnsi="仿宋" w:eastAsia="仿宋" w:cs="仿宋"/>
          <w:b w:val="0"/>
          <w:bCs/>
          <w:color w:val="auto"/>
          <w:sz w:val="32"/>
          <w:szCs w:val="32"/>
          <w:highlight w:val="none"/>
          <w:lang w:eastAsia="zh-CN"/>
        </w:rPr>
        <w:t>行政单位医疗</w:t>
      </w:r>
      <w:r>
        <w:rPr>
          <w:rStyle w:val="19"/>
          <w:rFonts w:hint="eastAsia" w:ascii="仿宋" w:hAnsi="仿宋" w:eastAsia="仿宋" w:cs="仿宋"/>
          <w:b w:val="0"/>
          <w:bCs/>
          <w:color w:val="auto"/>
          <w:sz w:val="32"/>
          <w:szCs w:val="32"/>
          <w:highlight w:val="none"/>
        </w:rPr>
        <w:t>（项）:支出决算为</w:t>
      </w:r>
      <w:r>
        <w:rPr>
          <w:rStyle w:val="19"/>
          <w:rFonts w:hint="eastAsia" w:ascii="仿宋" w:hAnsi="仿宋" w:eastAsia="仿宋" w:cs="仿宋"/>
          <w:b w:val="0"/>
          <w:bCs/>
          <w:color w:val="auto"/>
          <w:sz w:val="32"/>
          <w:szCs w:val="32"/>
          <w:highlight w:val="none"/>
          <w:lang w:val="en-US" w:eastAsia="zh-CN"/>
        </w:rPr>
        <w:t>4.39</w:t>
      </w:r>
      <w:r>
        <w:rPr>
          <w:rStyle w:val="19"/>
          <w:rFonts w:hint="eastAsia" w:ascii="仿宋" w:hAnsi="仿宋" w:eastAsia="仿宋" w:cs="仿宋"/>
          <w:b w:val="0"/>
          <w:bCs/>
          <w:color w:val="auto"/>
          <w:sz w:val="32"/>
          <w:szCs w:val="32"/>
          <w:highlight w:val="none"/>
        </w:rPr>
        <w:t>万元，完成预算</w:t>
      </w:r>
      <w:r>
        <w:rPr>
          <w:rStyle w:val="19"/>
          <w:rFonts w:hint="eastAsia" w:ascii="仿宋" w:hAnsi="仿宋" w:eastAsia="仿宋" w:cs="仿宋"/>
          <w:b w:val="0"/>
          <w:bCs/>
          <w:color w:val="auto"/>
          <w:sz w:val="32"/>
          <w:szCs w:val="32"/>
          <w:highlight w:val="none"/>
          <w:lang w:val="en-US" w:eastAsia="zh-CN"/>
        </w:rPr>
        <w:t>100</w:t>
      </w:r>
      <w:r>
        <w:rPr>
          <w:rStyle w:val="19"/>
          <w:rFonts w:hint="eastAsia" w:ascii="仿宋" w:hAnsi="仿宋" w:eastAsia="仿宋" w:cs="仿宋"/>
          <w:b w:val="0"/>
          <w:bCs/>
          <w:color w:val="auto"/>
          <w:sz w:val="32"/>
          <w:szCs w:val="32"/>
          <w:highlight w:val="none"/>
        </w:rPr>
        <w:t>%，决算数等于预算数。</w:t>
      </w:r>
    </w:p>
    <w:p w14:paraId="54AEBA8B">
      <w:pPr>
        <w:spacing w:line="600" w:lineRule="exact"/>
        <w:ind w:firstLine="640" w:firstLineChars="200"/>
        <w:rPr>
          <w:rStyle w:val="19"/>
          <w:rFonts w:hint="eastAsia" w:ascii="仿宋" w:hAnsi="仿宋" w:eastAsia="仿宋" w:cs="仿宋"/>
          <w:b w:val="0"/>
          <w:bCs/>
          <w:color w:val="auto"/>
          <w:sz w:val="32"/>
          <w:szCs w:val="32"/>
          <w:highlight w:val="none"/>
        </w:rPr>
      </w:pPr>
      <w:r>
        <w:rPr>
          <w:rStyle w:val="19"/>
          <w:rFonts w:hint="eastAsia" w:ascii="仿宋" w:hAnsi="仿宋" w:eastAsia="仿宋" w:cs="仿宋"/>
          <w:b w:val="0"/>
          <w:bCs/>
          <w:color w:val="auto"/>
          <w:sz w:val="32"/>
          <w:szCs w:val="32"/>
          <w:highlight w:val="none"/>
          <w:lang w:val="en-US" w:eastAsia="zh-CN"/>
        </w:rPr>
        <w:t>5.住房保障支出（</w:t>
      </w:r>
      <w:r>
        <w:rPr>
          <w:rStyle w:val="19"/>
          <w:rFonts w:hint="eastAsia" w:ascii="仿宋" w:hAnsi="仿宋" w:eastAsia="仿宋" w:cs="仿宋"/>
          <w:b w:val="0"/>
          <w:bCs/>
          <w:color w:val="auto"/>
          <w:sz w:val="32"/>
          <w:szCs w:val="32"/>
          <w:highlight w:val="none"/>
        </w:rPr>
        <w:t>类</w:t>
      </w:r>
      <w:r>
        <w:rPr>
          <w:rStyle w:val="19"/>
          <w:rFonts w:hint="eastAsia" w:ascii="仿宋" w:hAnsi="仿宋" w:eastAsia="仿宋" w:cs="仿宋"/>
          <w:b w:val="0"/>
          <w:bCs/>
          <w:color w:val="auto"/>
          <w:sz w:val="32"/>
          <w:szCs w:val="32"/>
          <w:highlight w:val="none"/>
          <w:lang w:val="en-US" w:eastAsia="zh-CN"/>
        </w:rPr>
        <w:t>）住房改革支出（</w:t>
      </w:r>
      <w:r>
        <w:rPr>
          <w:rStyle w:val="19"/>
          <w:rFonts w:hint="eastAsia" w:ascii="仿宋" w:hAnsi="仿宋" w:eastAsia="仿宋" w:cs="仿宋"/>
          <w:b w:val="0"/>
          <w:bCs/>
          <w:color w:val="auto"/>
          <w:sz w:val="32"/>
          <w:szCs w:val="32"/>
          <w:highlight w:val="none"/>
        </w:rPr>
        <w:t>款</w:t>
      </w:r>
      <w:r>
        <w:rPr>
          <w:rStyle w:val="19"/>
          <w:rFonts w:hint="eastAsia" w:ascii="仿宋" w:hAnsi="仿宋" w:eastAsia="仿宋" w:cs="仿宋"/>
          <w:b w:val="0"/>
          <w:bCs/>
          <w:color w:val="auto"/>
          <w:sz w:val="32"/>
          <w:szCs w:val="32"/>
          <w:highlight w:val="none"/>
          <w:lang w:val="en-US" w:eastAsia="zh-CN"/>
        </w:rPr>
        <w:t>）住房公积金（</w:t>
      </w:r>
      <w:r>
        <w:rPr>
          <w:rStyle w:val="19"/>
          <w:rFonts w:hint="eastAsia" w:ascii="仿宋" w:hAnsi="仿宋" w:eastAsia="仿宋" w:cs="仿宋"/>
          <w:b w:val="0"/>
          <w:bCs/>
          <w:color w:val="auto"/>
          <w:sz w:val="32"/>
          <w:szCs w:val="32"/>
          <w:highlight w:val="none"/>
        </w:rPr>
        <w:t>项</w:t>
      </w:r>
      <w:r>
        <w:rPr>
          <w:rStyle w:val="19"/>
          <w:rFonts w:hint="eastAsia" w:ascii="仿宋" w:hAnsi="仿宋" w:eastAsia="仿宋" w:cs="仿宋"/>
          <w:b w:val="0"/>
          <w:bCs/>
          <w:color w:val="auto"/>
          <w:sz w:val="32"/>
          <w:szCs w:val="32"/>
          <w:highlight w:val="none"/>
          <w:lang w:val="en-US" w:eastAsia="zh-CN"/>
        </w:rPr>
        <w:t>）：支出决算为6.35万元，</w:t>
      </w:r>
      <w:r>
        <w:rPr>
          <w:rStyle w:val="19"/>
          <w:rFonts w:hint="eastAsia" w:ascii="仿宋" w:hAnsi="仿宋" w:eastAsia="仿宋" w:cs="仿宋"/>
          <w:b w:val="0"/>
          <w:bCs/>
          <w:color w:val="auto"/>
          <w:sz w:val="32"/>
          <w:szCs w:val="32"/>
          <w:highlight w:val="none"/>
        </w:rPr>
        <w:t>完成预算</w:t>
      </w:r>
      <w:r>
        <w:rPr>
          <w:rStyle w:val="19"/>
          <w:rFonts w:hint="eastAsia" w:ascii="仿宋" w:hAnsi="仿宋" w:eastAsia="仿宋" w:cs="仿宋"/>
          <w:b w:val="0"/>
          <w:bCs/>
          <w:color w:val="auto"/>
          <w:sz w:val="32"/>
          <w:szCs w:val="32"/>
          <w:highlight w:val="none"/>
          <w:lang w:val="en-US" w:eastAsia="zh-CN"/>
        </w:rPr>
        <w:t>100</w:t>
      </w:r>
      <w:r>
        <w:rPr>
          <w:rStyle w:val="19"/>
          <w:rFonts w:hint="eastAsia" w:ascii="仿宋" w:hAnsi="仿宋" w:eastAsia="仿宋" w:cs="仿宋"/>
          <w:b w:val="0"/>
          <w:bCs/>
          <w:color w:val="auto"/>
          <w:sz w:val="32"/>
          <w:szCs w:val="32"/>
          <w:highlight w:val="none"/>
        </w:rPr>
        <w:t>%，决算数等于预算数。</w:t>
      </w:r>
    </w:p>
    <w:p w14:paraId="2BAE35A6">
      <w:pPr>
        <w:spacing w:line="600" w:lineRule="exact"/>
        <w:ind w:firstLine="640" w:firstLineChars="200"/>
        <w:rPr>
          <w:rFonts w:hint="eastAsia" w:ascii="仿宋" w:hAnsi="仿宋" w:eastAsia="仿宋" w:cs="仿宋"/>
          <w:color w:val="auto"/>
          <w:kern w:val="2"/>
          <w:sz w:val="32"/>
          <w:szCs w:val="32"/>
          <w:highlight w:val="none"/>
          <w:lang w:val="en-US" w:eastAsia="zh-CN" w:bidi="ar-SA"/>
        </w:rPr>
      </w:pPr>
      <w:r>
        <w:rPr>
          <w:rStyle w:val="19"/>
          <w:rFonts w:hint="eastAsia" w:ascii="仿宋" w:hAnsi="仿宋" w:eastAsia="仿宋" w:cs="仿宋"/>
          <w:b w:val="0"/>
          <w:bCs/>
          <w:color w:val="auto"/>
          <w:sz w:val="32"/>
          <w:szCs w:val="32"/>
          <w:highlight w:val="none"/>
          <w:lang w:val="en-US" w:eastAsia="zh-CN"/>
        </w:rPr>
        <w:t>6.农林水支出（</w:t>
      </w:r>
      <w:r>
        <w:rPr>
          <w:rStyle w:val="19"/>
          <w:rFonts w:hint="eastAsia" w:ascii="仿宋" w:hAnsi="仿宋" w:eastAsia="仿宋" w:cs="仿宋"/>
          <w:b w:val="0"/>
          <w:bCs/>
          <w:color w:val="auto"/>
          <w:sz w:val="32"/>
          <w:szCs w:val="32"/>
          <w:highlight w:val="none"/>
        </w:rPr>
        <w:t>类</w:t>
      </w:r>
      <w:r>
        <w:rPr>
          <w:rStyle w:val="19"/>
          <w:rFonts w:hint="eastAsia" w:ascii="仿宋" w:hAnsi="仿宋" w:eastAsia="仿宋" w:cs="仿宋"/>
          <w:b w:val="0"/>
          <w:bCs/>
          <w:color w:val="auto"/>
          <w:sz w:val="32"/>
          <w:szCs w:val="32"/>
          <w:highlight w:val="none"/>
          <w:lang w:val="en-US" w:eastAsia="zh-CN"/>
        </w:rPr>
        <w:t>）</w:t>
      </w:r>
      <w:r>
        <w:rPr>
          <w:rStyle w:val="19"/>
          <w:rFonts w:hint="eastAsia" w:ascii="仿宋" w:hAnsi="仿宋" w:eastAsia="仿宋" w:cs="仿宋"/>
          <w:b w:val="0"/>
          <w:bCs/>
          <w:color w:val="auto"/>
          <w:sz w:val="32"/>
          <w:szCs w:val="32"/>
          <w:highlight w:val="none"/>
        </w:rPr>
        <w:t>巩固脱贫攻坚成果衔接乡村振兴</w:t>
      </w:r>
      <w:r>
        <w:rPr>
          <w:rStyle w:val="19"/>
          <w:rFonts w:hint="eastAsia" w:ascii="仿宋" w:hAnsi="仿宋" w:eastAsia="仿宋" w:cs="仿宋"/>
          <w:b w:val="0"/>
          <w:bCs/>
          <w:color w:val="auto"/>
          <w:sz w:val="32"/>
          <w:szCs w:val="32"/>
          <w:highlight w:val="none"/>
          <w:lang w:val="en-US" w:eastAsia="zh-CN"/>
        </w:rPr>
        <w:t>（</w:t>
      </w:r>
      <w:r>
        <w:rPr>
          <w:rStyle w:val="19"/>
          <w:rFonts w:hint="eastAsia" w:ascii="仿宋" w:hAnsi="仿宋" w:eastAsia="仿宋" w:cs="仿宋"/>
          <w:b w:val="0"/>
          <w:bCs/>
          <w:color w:val="auto"/>
          <w:sz w:val="32"/>
          <w:szCs w:val="32"/>
          <w:highlight w:val="none"/>
        </w:rPr>
        <w:t>款</w:t>
      </w:r>
      <w:r>
        <w:rPr>
          <w:rStyle w:val="19"/>
          <w:rFonts w:hint="eastAsia" w:ascii="仿宋" w:hAnsi="仿宋" w:eastAsia="仿宋" w:cs="仿宋"/>
          <w:b w:val="0"/>
          <w:bCs/>
          <w:color w:val="auto"/>
          <w:sz w:val="32"/>
          <w:szCs w:val="32"/>
          <w:highlight w:val="none"/>
          <w:lang w:val="en-US" w:eastAsia="zh-CN"/>
        </w:rPr>
        <w:t>）其他</w:t>
      </w:r>
      <w:r>
        <w:rPr>
          <w:rStyle w:val="19"/>
          <w:rFonts w:hint="eastAsia" w:ascii="仿宋" w:hAnsi="仿宋" w:eastAsia="仿宋" w:cs="仿宋"/>
          <w:b w:val="0"/>
          <w:bCs/>
          <w:color w:val="auto"/>
          <w:sz w:val="32"/>
          <w:szCs w:val="32"/>
          <w:highlight w:val="none"/>
        </w:rPr>
        <w:t>巩固脱贫攻坚成果衔接乡村振兴</w:t>
      </w:r>
      <w:r>
        <w:rPr>
          <w:rStyle w:val="19"/>
          <w:rFonts w:hint="eastAsia" w:ascii="仿宋" w:hAnsi="仿宋" w:eastAsia="仿宋" w:cs="仿宋"/>
          <w:b w:val="0"/>
          <w:bCs/>
          <w:color w:val="auto"/>
          <w:sz w:val="32"/>
          <w:szCs w:val="32"/>
          <w:highlight w:val="none"/>
          <w:lang w:val="en-US" w:eastAsia="zh-CN"/>
        </w:rPr>
        <w:t>（</w:t>
      </w:r>
      <w:r>
        <w:rPr>
          <w:rStyle w:val="19"/>
          <w:rFonts w:hint="eastAsia" w:ascii="仿宋" w:hAnsi="仿宋" w:eastAsia="仿宋" w:cs="仿宋"/>
          <w:b w:val="0"/>
          <w:bCs/>
          <w:color w:val="auto"/>
          <w:sz w:val="32"/>
          <w:szCs w:val="32"/>
          <w:highlight w:val="none"/>
        </w:rPr>
        <w:t>项</w:t>
      </w:r>
      <w:r>
        <w:rPr>
          <w:rStyle w:val="19"/>
          <w:rFonts w:hint="eastAsia" w:ascii="仿宋" w:hAnsi="仿宋" w:eastAsia="仿宋" w:cs="仿宋"/>
          <w:b w:val="0"/>
          <w:bCs/>
          <w:color w:val="auto"/>
          <w:sz w:val="32"/>
          <w:szCs w:val="32"/>
          <w:highlight w:val="none"/>
          <w:lang w:val="en-US" w:eastAsia="zh-CN"/>
        </w:rPr>
        <w:t>）：支出决算为41.59万元，</w:t>
      </w:r>
      <w:r>
        <w:rPr>
          <w:rStyle w:val="19"/>
          <w:rFonts w:hint="eastAsia" w:ascii="仿宋" w:hAnsi="仿宋" w:eastAsia="仿宋" w:cs="仿宋"/>
          <w:b w:val="0"/>
          <w:bCs/>
          <w:color w:val="auto"/>
          <w:sz w:val="32"/>
          <w:szCs w:val="32"/>
          <w:highlight w:val="none"/>
        </w:rPr>
        <w:t>完成预算</w:t>
      </w:r>
      <w:r>
        <w:rPr>
          <w:rStyle w:val="19"/>
          <w:rFonts w:hint="eastAsia" w:ascii="仿宋" w:hAnsi="仿宋" w:eastAsia="仿宋" w:cs="仿宋"/>
          <w:b w:val="0"/>
          <w:bCs/>
          <w:color w:val="auto"/>
          <w:sz w:val="32"/>
          <w:szCs w:val="32"/>
          <w:highlight w:val="none"/>
          <w:lang w:val="en-US" w:eastAsia="zh-CN"/>
        </w:rPr>
        <w:t>100</w:t>
      </w:r>
      <w:r>
        <w:rPr>
          <w:rStyle w:val="19"/>
          <w:rFonts w:hint="eastAsia" w:ascii="仿宋" w:hAnsi="仿宋" w:eastAsia="仿宋" w:cs="仿宋"/>
          <w:b w:val="0"/>
          <w:bCs/>
          <w:color w:val="auto"/>
          <w:sz w:val="32"/>
          <w:szCs w:val="32"/>
          <w:highlight w:val="none"/>
        </w:rPr>
        <w:t>%，决算数等于预算数。</w:t>
      </w:r>
    </w:p>
    <w:p w14:paraId="739294AA">
      <w:pPr>
        <w:tabs>
          <w:tab w:val="right" w:pos="8306"/>
        </w:tabs>
        <w:spacing w:line="600" w:lineRule="exact"/>
        <w:ind w:firstLine="640"/>
        <w:outlineLvl w:val="1"/>
        <w:rPr>
          <w:rStyle w:val="30"/>
          <w:rFonts w:hint="eastAsia" w:ascii="仿宋" w:hAnsi="仿宋" w:eastAsia="仿宋" w:cs="仿宋"/>
          <w:color w:val="auto"/>
          <w:highlight w:val="none"/>
        </w:rPr>
      </w:pPr>
      <w:bookmarkStart w:id="35" w:name="_Toc15396608"/>
      <w:bookmarkStart w:id="36" w:name="_Toc15377214"/>
      <w:r>
        <w:rPr>
          <w:rFonts w:hint="eastAsia" w:ascii="Times New Roman" w:hAnsi="Times New Roman" w:eastAsia="黑体"/>
          <w:color w:val="auto"/>
          <w:sz w:val="32"/>
          <w:szCs w:val="32"/>
          <w:highlight w:val="none"/>
        </w:rPr>
        <w:t>六、一般公共预算财政拨款基本支出决算情况说明</w:t>
      </w:r>
      <w:bookmarkEnd w:id="35"/>
      <w:bookmarkEnd w:id="36"/>
      <w:r>
        <w:rPr>
          <w:rStyle w:val="30"/>
          <w:rFonts w:hint="eastAsia" w:ascii="仿宋" w:hAnsi="仿宋" w:eastAsia="仿宋" w:cs="仿宋"/>
          <w:b w:val="0"/>
          <w:color w:val="auto"/>
          <w:highlight w:val="none"/>
        </w:rPr>
        <w:tab/>
      </w:r>
    </w:p>
    <w:p w14:paraId="6BC5211A">
      <w:pPr>
        <w:spacing w:line="600" w:lineRule="exact"/>
        <w:ind w:firstLine="64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2025年度一般公共预算财政拨款基本支出121.81万元，其中：</w:t>
      </w:r>
    </w:p>
    <w:p w14:paraId="3EB2213B">
      <w:pPr>
        <w:spacing w:line="600" w:lineRule="exact"/>
        <w:ind w:firstLine="64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人员经费76.09万元，主要包括：基本工资、津贴补贴、奖金、绩效工资、机关事业单位基本养老保险缴费、职业年金缴费、其他社会保障缴费、其他工资福利支出、医疗费补助、奖励金、住房公积金、其他对个人和家庭的补助支出等。</w:t>
      </w:r>
      <w:r>
        <w:rPr>
          <w:rFonts w:hint="eastAsia" w:ascii="仿宋" w:hAnsi="仿宋" w:eastAsia="仿宋" w:cs="仿宋"/>
          <w:color w:val="auto"/>
          <w:kern w:val="2"/>
          <w:sz w:val="32"/>
          <w:szCs w:val="32"/>
          <w:highlight w:val="none"/>
          <w:lang w:val="en-US" w:eastAsia="zh-CN" w:bidi="ar-SA"/>
        </w:rPr>
        <w:br w:type="textWrapping"/>
      </w:r>
      <w:r>
        <w:rPr>
          <w:rFonts w:hint="eastAsia" w:ascii="仿宋" w:hAnsi="仿宋" w:eastAsia="仿宋" w:cs="仿宋"/>
          <w:color w:val="auto"/>
          <w:kern w:val="2"/>
          <w:sz w:val="32"/>
          <w:szCs w:val="32"/>
          <w:highlight w:val="none"/>
          <w:lang w:val="en-US" w:eastAsia="zh-CN" w:bidi="ar-SA"/>
        </w:rPr>
        <w:t>　　公用经费45.72万元，主要包括：办公费、水费、电费、邮电费、差旅费、因公出国（境）费用、公务接待费、劳务费、委托业务费、福利费其他商品和服务支出等。</w:t>
      </w:r>
    </w:p>
    <w:p w14:paraId="68A991B4">
      <w:pPr>
        <w:spacing w:line="600" w:lineRule="exact"/>
        <w:ind w:firstLine="640"/>
        <w:outlineLvl w:val="1"/>
        <w:rPr>
          <w:rStyle w:val="30"/>
          <w:rFonts w:ascii="Times New Roman" w:hAnsi="Times New Roman" w:eastAsia="黑体"/>
          <w:b w:val="0"/>
          <w:color w:val="auto"/>
          <w:highlight w:val="none"/>
        </w:rPr>
      </w:pPr>
      <w:bookmarkStart w:id="37" w:name="_Toc15377215"/>
      <w:bookmarkStart w:id="38" w:name="_Toc15396609"/>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37"/>
      <w:bookmarkEnd w:id="38"/>
    </w:p>
    <w:p w14:paraId="46288AE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9" w:name="_Toc15377216"/>
      <w:r>
        <w:rPr>
          <w:rFonts w:hint="eastAsia" w:ascii="Times New Roman" w:hAnsi="Times New Roman" w:eastAsia="楷体_GB2312" w:cs="楷体_GB2312"/>
          <w:b/>
          <w:color w:val="auto"/>
          <w:sz w:val="32"/>
          <w:szCs w:val="32"/>
          <w:highlight w:val="none"/>
        </w:rPr>
        <w:t>（一）财政拨款“三公”经费支出决算总体情况说明</w:t>
      </w:r>
      <w:bookmarkEnd w:id="39"/>
    </w:p>
    <w:p w14:paraId="4514F474">
      <w:pPr>
        <w:spacing w:line="600" w:lineRule="exact"/>
        <w:ind w:firstLine="640"/>
        <w:rPr>
          <w:rFonts w:hint="eastAsia" w:ascii="Times New Roman" w:hAnsi="Times New Roman" w:eastAsia="仿宋" w:cs="仿宋_GB2312"/>
          <w:b/>
          <w:bCs/>
          <w:color w:val="auto"/>
          <w:kern w:val="2"/>
          <w:sz w:val="32"/>
          <w:szCs w:val="32"/>
          <w:highlight w:val="none"/>
          <w:lang w:val="en-US" w:eastAsia="zh-CN" w:bidi="ar-SA"/>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lang w:eastAsia="zh-CN"/>
        </w:rPr>
        <w:t>年度</w:t>
      </w:r>
      <w:r>
        <w:rPr>
          <w:rFonts w:hint="eastAsia" w:ascii="仿宋" w:hAnsi="仿宋" w:eastAsia="仿宋"/>
          <w:color w:val="auto"/>
          <w:sz w:val="32"/>
          <w:szCs w:val="32"/>
          <w:highlight w:val="none"/>
        </w:rPr>
        <w:t>“三公”经费财政拨款支出决算为</w:t>
      </w:r>
      <w:r>
        <w:rPr>
          <w:rFonts w:hint="eastAsia" w:ascii="仿宋" w:hAnsi="仿宋" w:eastAsia="仿宋"/>
          <w:color w:val="auto"/>
          <w:sz w:val="32"/>
          <w:szCs w:val="32"/>
          <w:highlight w:val="none"/>
          <w:lang w:val="en-US" w:eastAsia="zh-CN"/>
        </w:rPr>
        <w:t>0.1</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与20254年相比</w:t>
      </w:r>
      <w:r>
        <w:rPr>
          <w:rFonts w:hint="eastAsia" w:ascii="仿宋" w:hAnsi="仿宋" w:eastAsia="仿宋"/>
          <w:color w:val="auto"/>
          <w:sz w:val="32"/>
          <w:szCs w:val="32"/>
          <w:highlight w:val="none"/>
          <w:lang w:eastAsia="zh-CN"/>
        </w:rPr>
        <w:t>增加</w:t>
      </w:r>
      <w:r>
        <w:rPr>
          <w:rFonts w:hint="eastAsia" w:ascii="仿宋" w:hAnsi="仿宋" w:eastAsia="仿宋"/>
          <w:color w:val="auto"/>
          <w:sz w:val="32"/>
          <w:szCs w:val="32"/>
          <w:highlight w:val="none"/>
          <w:lang w:val="en-US" w:eastAsia="zh-CN"/>
        </w:rPr>
        <w:t>0.02万元，增长20%。</w:t>
      </w:r>
      <w:r>
        <w:rPr>
          <w:rFonts w:hint="eastAsia" w:ascii="仿宋" w:hAnsi="仿宋" w:eastAsia="仿宋"/>
          <w:color w:val="auto"/>
          <w:sz w:val="32"/>
          <w:szCs w:val="32"/>
          <w:highlight w:val="none"/>
        </w:rPr>
        <w:t>决算数与预算数持平</w:t>
      </w:r>
      <w:r>
        <w:rPr>
          <w:rFonts w:hint="eastAsia" w:ascii="仿宋" w:hAnsi="仿宋" w:eastAsia="仿宋"/>
          <w:color w:val="auto"/>
          <w:sz w:val="32"/>
          <w:szCs w:val="32"/>
          <w:highlight w:val="none"/>
          <w:lang w:eastAsia="zh-CN"/>
        </w:rPr>
        <w:t>。</w:t>
      </w:r>
    </w:p>
    <w:p w14:paraId="2B4BA6F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0" w:name="_Toc15377217"/>
      <w:r>
        <w:rPr>
          <w:rFonts w:hint="eastAsia" w:ascii="Times New Roman" w:hAnsi="Times New Roman" w:eastAsia="楷体_GB2312" w:cs="楷体_GB2312"/>
          <w:b/>
          <w:color w:val="auto"/>
          <w:sz w:val="32"/>
          <w:szCs w:val="32"/>
          <w:highlight w:val="none"/>
        </w:rPr>
        <w:t>（二）财政拨款“三公”经费支出决算具体情况说明</w:t>
      </w:r>
      <w:bookmarkEnd w:id="40"/>
    </w:p>
    <w:p w14:paraId="7F6300BB">
      <w:pPr>
        <w:spacing w:line="600" w:lineRule="exact"/>
        <w:ind w:firstLine="64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lang w:eastAsia="zh-CN"/>
        </w:rPr>
        <w:t>年度</w:t>
      </w:r>
      <w:r>
        <w:rPr>
          <w:rFonts w:hint="eastAsia" w:ascii="仿宋" w:hAnsi="仿宋" w:eastAsia="仿宋"/>
          <w:color w:val="auto"/>
          <w:sz w:val="32"/>
          <w:szCs w:val="32"/>
          <w:highlight w:val="none"/>
        </w:rPr>
        <w:t>“三公”经费财政拨款支出决算中，因公出国（境）费支出决算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0.1</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p>
    <w:p w14:paraId="0840F2FA">
      <w:pPr>
        <w:spacing w:line="600" w:lineRule="exact"/>
        <w:jc w:val="lef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占</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14:paraId="3DF6DE74">
      <w:pPr>
        <w:numPr>
          <w:ilvl w:val="0"/>
          <w:numId w:val="0"/>
        </w:numPr>
        <w:spacing w:line="600" w:lineRule="exact"/>
        <w:ind w:firstLine="630" w:firstLineChars="300"/>
        <w:rPr>
          <w:rFonts w:hint="eastAsia" w:ascii="Times New Roman" w:hAnsi="Times New Roman" w:eastAsia="仿宋_GB2312" w:cs="仿宋_GB2312"/>
          <w:color w:val="auto"/>
          <w:kern w:val="2"/>
          <w:sz w:val="32"/>
          <w:szCs w:val="32"/>
          <w:highlight w:val="none"/>
          <w:lang w:val="en-US" w:eastAsia="zh-CN" w:bidi="ar-SA"/>
        </w:rPr>
      </w:pPr>
      <w:r>
        <w:rPr>
          <w:rFonts w:hint="eastAsia" w:eastAsia="仿宋"/>
          <w:lang w:eastAsia="zh-CN"/>
        </w:rPr>
        <w:drawing>
          <wp:anchor distT="0" distB="0" distL="114300" distR="114300" simplePos="0" relativeHeight="251664384" behindDoc="0" locked="0" layoutInCell="1" allowOverlap="1">
            <wp:simplePos x="0" y="0"/>
            <wp:positionH relativeFrom="column">
              <wp:posOffset>111760</wp:posOffset>
            </wp:positionH>
            <wp:positionV relativeFrom="paragraph">
              <wp:posOffset>167005</wp:posOffset>
            </wp:positionV>
            <wp:extent cx="5027930" cy="2643505"/>
            <wp:effectExtent l="4445" t="4445" r="15875" b="19050"/>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eastAsia="仿宋_GB2312" w:cs="仿宋_GB2312"/>
          <w:b/>
          <w:bCs/>
          <w:color w:val="auto"/>
          <w:kern w:val="2"/>
          <w:sz w:val="32"/>
          <w:szCs w:val="32"/>
          <w:highlight w:val="none"/>
          <w:lang w:val="en-US" w:eastAsia="zh-CN" w:bidi="ar-SA"/>
        </w:rPr>
        <w:t>1.</w:t>
      </w:r>
      <w:r>
        <w:rPr>
          <w:rFonts w:hint="eastAsia" w:ascii="Times New Roman" w:hAnsi="Times New Roman" w:eastAsia="仿宋_GB2312" w:cs="仿宋_GB2312"/>
          <w:b/>
          <w:bCs/>
          <w:color w:val="auto"/>
          <w:kern w:val="2"/>
          <w:sz w:val="32"/>
          <w:szCs w:val="32"/>
          <w:highlight w:val="none"/>
          <w:lang w:val="en-US" w:eastAsia="zh-CN" w:bidi="ar-SA"/>
        </w:rPr>
        <w:t>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p>
    <w:p w14:paraId="02FC1A3F">
      <w:pPr>
        <w:spacing w:line="600" w:lineRule="exact"/>
        <w:ind w:firstLine="643" w:firstLineChars="200"/>
        <w:rPr>
          <w:rFonts w:hint="eastAsia" w:ascii="Times New Roman" w:hAnsi="Times New Roman" w:eastAsia="仿宋_GB2312" w:cs="仿宋_GB2312"/>
          <w:b/>
          <w:bCs/>
          <w:color w:val="auto"/>
          <w:kern w:val="2"/>
          <w:sz w:val="32"/>
          <w:szCs w:val="32"/>
          <w:highlight w:val="none"/>
          <w:lang w:val="en-US" w:eastAsia="zh-CN" w:bidi="ar-SA"/>
        </w:rPr>
      </w:pPr>
      <w:r>
        <w:rPr>
          <w:rFonts w:hint="eastAsia" w:eastAsia="仿宋_GB2312" w:cs="仿宋_GB2312"/>
          <w:b/>
          <w:bCs/>
          <w:color w:val="auto"/>
          <w:kern w:val="2"/>
          <w:sz w:val="32"/>
          <w:szCs w:val="32"/>
          <w:highlight w:val="none"/>
          <w:lang w:val="en-US" w:eastAsia="zh-CN" w:bidi="ar-SA"/>
        </w:rPr>
        <w:t>2.</w:t>
      </w:r>
      <w:r>
        <w:rPr>
          <w:rFonts w:hint="eastAsia" w:ascii="Times New Roman" w:hAnsi="Times New Roman" w:eastAsia="仿宋_GB2312" w:cs="仿宋_GB2312"/>
          <w:b/>
          <w:bCs/>
          <w:color w:val="auto"/>
          <w:kern w:val="2"/>
          <w:sz w:val="32"/>
          <w:szCs w:val="32"/>
          <w:highlight w:val="none"/>
          <w:lang w:val="en-US" w:eastAsia="zh-CN" w:bidi="ar-SA"/>
        </w:rPr>
        <w:t>公务用车购置及运行维护费支出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p>
    <w:p w14:paraId="6565EC26">
      <w:pPr>
        <w:spacing w:line="600" w:lineRule="exact"/>
        <w:ind w:firstLine="640" w:firstLineChars="20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截至2025年12月31日，单位共有公务用车0辆，其中：轿车0辆、越野车0辆、载客汽车0辆。</w:t>
      </w:r>
    </w:p>
    <w:p w14:paraId="14948C2B">
      <w:pPr>
        <w:spacing w:line="600" w:lineRule="exact"/>
        <w:ind w:firstLine="64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公务用车运行维护费支出</w:t>
      </w:r>
      <w:r>
        <w:rPr>
          <w:rFonts w:hint="eastAsia" w:ascii="仿宋" w:hAnsi="仿宋" w:eastAsia="仿宋" w:cs="仿宋"/>
          <w:sz w:val="32"/>
          <w:szCs w:val="32"/>
        </w:rPr>
        <w:t>0</w:t>
      </w:r>
      <w:r>
        <w:rPr>
          <w:rFonts w:hint="eastAsia" w:ascii="仿宋" w:hAnsi="仿宋" w:eastAsia="仿宋" w:cs="仿宋"/>
          <w:color w:val="auto"/>
          <w:kern w:val="2"/>
          <w:sz w:val="32"/>
          <w:szCs w:val="32"/>
          <w:highlight w:val="none"/>
          <w:lang w:val="en-US" w:eastAsia="zh-CN" w:bidi="ar-SA"/>
        </w:rPr>
        <w:t>万元。</w:t>
      </w:r>
    </w:p>
    <w:p w14:paraId="7A75EC19">
      <w:pPr>
        <w:spacing w:line="600" w:lineRule="exact"/>
        <w:ind w:firstLine="640"/>
        <w:rPr>
          <w:rFonts w:hint="eastAsia" w:ascii="仿宋" w:hAnsi="仿宋" w:eastAsia="仿宋" w:cs="仿宋"/>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eastAsia="仿宋_GB2312" w:cs="仿宋_GB2312"/>
          <w:b/>
          <w:bCs/>
          <w:color w:val="auto"/>
          <w:kern w:val="2"/>
          <w:sz w:val="32"/>
          <w:szCs w:val="32"/>
          <w:highlight w:val="none"/>
          <w:lang w:val="en-US" w:eastAsia="zh-CN" w:bidi="ar-SA"/>
        </w:rPr>
        <w:t>0.1</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仿宋" w:hAnsi="仿宋" w:eastAsia="仿宋" w:cs="仿宋"/>
          <w:color w:val="auto"/>
          <w:kern w:val="2"/>
          <w:sz w:val="32"/>
          <w:szCs w:val="32"/>
          <w:highlight w:val="none"/>
          <w:lang w:val="en-US" w:eastAsia="zh-CN" w:bidi="ar-SA"/>
        </w:rPr>
        <w:t>公务接待费支出决算与2024年相比增加0.02万元，增长20%。主要原因是：</w:t>
      </w:r>
      <w:r>
        <w:rPr>
          <w:rFonts w:hint="eastAsia" w:ascii="仿宋" w:hAnsi="仿宋" w:eastAsia="仿宋" w:cs="仿宋"/>
          <w:color w:val="auto"/>
          <w:sz w:val="32"/>
          <w:szCs w:val="32"/>
          <w:highlight w:val="none"/>
          <w:lang w:eastAsia="zh-CN"/>
        </w:rPr>
        <w:t>接待次数增加</w:t>
      </w:r>
      <w:r>
        <w:rPr>
          <w:rFonts w:hint="eastAsia" w:ascii="仿宋" w:hAnsi="仿宋" w:eastAsia="仿宋" w:cs="仿宋"/>
          <w:color w:val="auto"/>
          <w:kern w:val="2"/>
          <w:sz w:val="32"/>
          <w:szCs w:val="32"/>
          <w:highlight w:val="none"/>
          <w:lang w:val="en-US" w:eastAsia="zh-CN" w:bidi="ar-SA"/>
        </w:rPr>
        <w:t>。其中：</w:t>
      </w:r>
    </w:p>
    <w:p w14:paraId="6ADC412B">
      <w:pPr>
        <w:spacing w:line="600" w:lineRule="exact"/>
        <w:ind w:firstLine="64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国内公务接待支出0.1万元，</w:t>
      </w:r>
      <w:r>
        <w:rPr>
          <w:rFonts w:hint="eastAsia" w:ascii="仿宋" w:hAnsi="仿宋" w:eastAsia="仿宋" w:cs="仿宋"/>
          <w:color w:val="auto"/>
          <w:sz w:val="32"/>
          <w:szCs w:val="32"/>
          <w:highlight w:val="none"/>
        </w:rPr>
        <w:t>主要用于执行公务活动开支的用餐费。国内公务接待</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批次，</w:t>
      </w:r>
      <w:r>
        <w:rPr>
          <w:rFonts w:hint="eastAsia" w:ascii="仿宋" w:hAnsi="仿宋" w:eastAsia="仿宋" w:cs="仿宋"/>
          <w:color w:val="auto"/>
          <w:sz w:val="32"/>
          <w:szCs w:val="32"/>
          <w:highlight w:val="none"/>
          <w:lang w:val="en-US" w:eastAsia="zh-CN"/>
        </w:rPr>
        <w:t>9</w:t>
      </w:r>
      <w:r>
        <w:rPr>
          <w:rFonts w:hint="eastAsia" w:ascii="仿宋" w:hAnsi="仿宋" w:eastAsia="仿宋" w:cs="仿宋"/>
          <w:color w:val="auto"/>
          <w:sz w:val="32"/>
          <w:szCs w:val="32"/>
          <w:highlight w:val="none"/>
        </w:rPr>
        <w:t>人次（不包括陪同人员），共计支出</w:t>
      </w:r>
      <w:r>
        <w:rPr>
          <w:rFonts w:hint="eastAsia" w:ascii="仿宋" w:hAnsi="仿宋" w:eastAsia="仿宋" w:cs="仿宋"/>
          <w:color w:val="auto"/>
          <w:sz w:val="32"/>
          <w:szCs w:val="32"/>
          <w:highlight w:val="none"/>
          <w:lang w:val="en-US" w:eastAsia="zh-CN"/>
        </w:rPr>
        <w:t>0.1</w:t>
      </w:r>
      <w:r>
        <w:rPr>
          <w:rFonts w:hint="eastAsia" w:ascii="仿宋" w:hAnsi="仿宋" w:eastAsia="仿宋" w:cs="仿宋"/>
          <w:color w:val="auto"/>
          <w:sz w:val="32"/>
          <w:szCs w:val="32"/>
          <w:highlight w:val="none"/>
        </w:rPr>
        <w:t>万元，具体内容包括：</w:t>
      </w:r>
      <w:r>
        <w:rPr>
          <w:rFonts w:hint="eastAsia" w:ascii="仿宋" w:hAnsi="仿宋" w:eastAsia="仿宋" w:cs="仿宋"/>
          <w:color w:val="auto"/>
          <w:kern w:val="2"/>
          <w:sz w:val="32"/>
          <w:szCs w:val="32"/>
          <w:highlight w:val="none"/>
          <w:lang w:val="en-US" w:eastAsia="zh-CN" w:bidi="ar-SA"/>
        </w:rPr>
        <w:t>州工商联到茂县工作调研接待费</w:t>
      </w:r>
      <w:r>
        <w:rPr>
          <w:rFonts w:hint="eastAsia" w:ascii="仿宋" w:hAnsi="仿宋" w:eastAsia="仿宋" w:cs="仿宋"/>
          <w:color w:val="auto"/>
          <w:sz w:val="32"/>
          <w:szCs w:val="32"/>
          <w:highlight w:val="none"/>
        </w:rPr>
        <w:t>。</w:t>
      </w:r>
    </w:p>
    <w:p w14:paraId="2F7EFCA9">
      <w:pPr>
        <w:spacing w:line="600" w:lineRule="exact"/>
        <w:ind w:firstLine="643" w:firstLineChars="200"/>
        <w:rPr>
          <w:rFonts w:hint="eastAsia" w:ascii="仿宋" w:hAnsi="仿宋" w:eastAsia="仿宋" w:cs="仿宋"/>
          <w:color w:val="auto"/>
          <w:kern w:val="2"/>
          <w:sz w:val="32"/>
          <w:szCs w:val="32"/>
          <w:highlight w:val="none"/>
          <w:lang w:val="en-US" w:eastAsia="zh-CN" w:bidi="ar-SA"/>
        </w:rPr>
      </w:pPr>
      <w:bookmarkStart w:id="41" w:name="_Toc15396610"/>
      <w:bookmarkStart w:id="42" w:name="_Toc15377218"/>
      <w:r>
        <w:rPr>
          <w:rFonts w:hint="eastAsia" w:ascii="仿宋" w:hAnsi="仿宋" w:eastAsia="仿宋" w:cs="仿宋"/>
          <w:b/>
          <w:color w:val="auto"/>
          <w:sz w:val="32"/>
          <w:szCs w:val="32"/>
          <w:highlight w:val="none"/>
        </w:rPr>
        <w:t>外事接待支出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外事接待</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批次，</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人</w:t>
      </w:r>
      <w:r>
        <w:rPr>
          <w:rFonts w:hint="eastAsia" w:ascii="仿宋" w:hAnsi="仿宋" w:eastAsia="仿宋" w:cs="仿宋"/>
          <w:color w:val="auto"/>
          <w:sz w:val="32"/>
          <w:szCs w:val="32"/>
          <w:highlight w:val="none"/>
          <w:lang w:eastAsia="zh-CN"/>
        </w:rPr>
        <w:t>次（不包括陪同人员）</w:t>
      </w:r>
      <w:r>
        <w:rPr>
          <w:rFonts w:hint="eastAsia" w:ascii="仿宋" w:hAnsi="仿宋" w:eastAsia="仿宋" w:cs="仿宋"/>
          <w:color w:val="auto"/>
          <w:sz w:val="32"/>
          <w:szCs w:val="32"/>
          <w:highlight w:val="none"/>
        </w:rPr>
        <w:t>，共计支出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p>
    <w:p w14:paraId="1DFB401A">
      <w:pPr>
        <w:spacing w:line="600" w:lineRule="exact"/>
        <w:ind w:firstLine="640"/>
        <w:outlineLvl w:val="1"/>
        <w:rPr>
          <w:rStyle w:val="30"/>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41"/>
      <w:bookmarkEnd w:id="42"/>
    </w:p>
    <w:p w14:paraId="19494497">
      <w:pPr>
        <w:keepNext w:val="0"/>
        <w:keepLines w:val="0"/>
        <w:pageBreakBefore w:val="0"/>
        <w:numPr>
          <w:ilvl w:val="0"/>
          <w:numId w:val="0"/>
        </w:numPr>
        <w:kinsoku/>
        <w:wordWrap/>
        <w:overflowPunct/>
        <w:topLinePunct w:val="0"/>
        <w:bidi w:val="0"/>
        <w:spacing w:line="560" w:lineRule="exact"/>
        <w:ind w:firstLine="640" w:firstLineChars="200"/>
        <w:jc w:val="both"/>
        <w:outlineLvl w:val="9"/>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2025年度政府性基金预算财政拨款支出</w:t>
      </w:r>
      <w:r>
        <w:rPr>
          <w:rFonts w:hint="eastAsia" w:ascii="仿宋" w:hAnsi="仿宋" w:eastAsia="仿宋" w:cs="仿宋"/>
          <w:sz w:val="32"/>
          <w:szCs w:val="32"/>
        </w:rPr>
        <w:t>0</w:t>
      </w:r>
      <w:r>
        <w:rPr>
          <w:rFonts w:hint="eastAsia" w:ascii="仿宋" w:hAnsi="仿宋" w:eastAsia="仿宋" w:cs="仿宋"/>
          <w:color w:val="auto"/>
          <w:kern w:val="2"/>
          <w:sz w:val="32"/>
          <w:szCs w:val="32"/>
          <w:highlight w:val="none"/>
          <w:lang w:val="en-US" w:eastAsia="zh-CN" w:bidi="ar-SA"/>
        </w:rPr>
        <w:t>万元。</w:t>
      </w:r>
    </w:p>
    <w:p w14:paraId="5BACB3AE">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43" w:name="_Toc15377219"/>
      <w:bookmarkStart w:id="44" w:name="_Toc15396611"/>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43"/>
      <w:bookmarkEnd w:id="44"/>
    </w:p>
    <w:p w14:paraId="1671A272">
      <w:pPr>
        <w:keepNext w:val="0"/>
        <w:keepLines w:val="0"/>
        <w:pageBreakBefore w:val="0"/>
        <w:numPr>
          <w:ilvl w:val="0"/>
          <w:numId w:val="0"/>
        </w:numPr>
        <w:kinsoku/>
        <w:wordWrap/>
        <w:overflowPunct/>
        <w:topLinePunct w:val="0"/>
        <w:bidi w:val="0"/>
        <w:spacing w:line="560" w:lineRule="exact"/>
        <w:ind w:firstLine="640" w:firstLineChars="200"/>
        <w:jc w:val="both"/>
        <w:outlineLvl w:val="9"/>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2025年度国有资本经营预算财政拨款支出0万元。</w:t>
      </w:r>
    </w:p>
    <w:p w14:paraId="70C355AC">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45" w:name="_Toc15377221"/>
      <w:bookmarkStart w:id="46" w:name="_Toc15396612"/>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45"/>
      <w:bookmarkEnd w:id="46"/>
    </w:p>
    <w:p w14:paraId="5D0B9E9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7" w:name="_Toc15377222"/>
      <w:r>
        <w:rPr>
          <w:rFonts w:hint="eastAsia" w:ascii="Times New Roman" w:hAnsi="Times New Roman" w:eastAsia="楷体_GB2312" w:cs="楷体_GB2312"/>
          <w:b/>
          <w:color w:val="auto"/>
          <w:sz w:val="32"/>
          <w:szCs w:val="32"/>
          <w:highlight w:val="none"/>
        </w:rPr>
        <w:t>（一）机关运行经费支出情况</w:t>
      </w:r>
      <w:bookmarkEnd w:id="47"/>
    </w:p>
    <w:p w14:paraId="1A1BAE97">
      <w:pPr>
        <w:keepNext w:val="0"/>
        <w:keepLines w:val="0"/>
        <w:pageBreakBefore w:val="0"/>
        <w:numPr>
          <w:ilvl w:val="0"/>
          <w:numId w:val="0"/>
        </w:numPr>
        <w:kinsoku/>
        <w:wordWrap/>
        <w:overflowPunct/>
        <w:topLinePunct w:val="0"/>
        <w:bidi w:val="0"/>
        <w:spacing w:line="560" w:lineRule="exact"/>
        <w:ind w:firstLine="640" w:firstLineChars="200"/>
        <w:jc w:val="both"/>
        <w:outlineLvl w:val="9"/>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2025年度，茂县工商业联合会机关运行经费支出4.13万元，与2024年度相比增加0.88万元，增长27.08%。主要原因是：办公经费增加。</w:t>
      </w:r>
    </w:p>
    <w:p w14:paraId="093D892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8" w:name="_Toc15377223"/>
      <w:r>
        <w:rPr>
          <w:rFonts w:hint="eastAsia" w:ascii="Times New Roman" w:hAnsi="Times New Roman" w:eastAsia="楷体_GB2312" w:cs="楷体_GB2312"/>
          <w:b/>
          <w:color w:val="auto"/>
          <w:sz w:val="32"/>
          <w:szCs w:val="32"/>
          <w:highlight w:val="none"/>
        </w:rPr>
        <w:t>（二）政府采购支出情况</w:t>
      </w:r>
      <w:bookmarkEnd w:id="48"/>
    </w:p>
    <w:p w14:paraId="21989CE7">
      <w:pPr>
        <w:keepNext w:val="0"/>
        <w:keepLines w:val="0"/>
        <w:pageBreakBefore w:val="0"/>
        <w:numPr>
          <w:ilvl w:val="0"/>
          <w:numId w:val="0"/>
        </w:numPr>
        <w:kinsoku/>
        <w:wordWrap/>
        <w:overflowPunct/>
        <w:topLinePunct w:val="0"/>
        <w:bidi w:val="0"/>
        <w:spacing w:line="560" w:lineRule="exact"/>
        <w:ind w:firstLine="640" w:firstLineChars="200"/>
        <w:jc w:val="both"/>
        <w:outlineLvl w:val="9"/>
        <w:rPr>
          <w:rFonts w:hint="eastAsia" w:ascii="仿宋" w:hAnsi="仿宋" w:eastAsia="仿宋" w:cs="仿宋"/>
          <w:color w:val="auto"/>
          <w:kern w:val="2"/>
          <w:sz w:val="32"/>
          <w:szCs w:val="32"/>
          <w:highlight w:val="none"/>
          <w:lang w:val="en-US" w:eastAsia="zh-CN" w:bidi="ar-SA"/>
        </w:rPr>
      </w:pPr>
      <w:bookmarkStart w:id="49" w:name="_Toc15377224"/>
      <w:r>
        <w:rPr>
          <w:rFonts w:hint="eastAsia" w:ascii="仿宋" w:hAnsi="仿宋" w:eastAsia="仿宋" w:cs="仿宋"/>
          <w:color w:val="auto"/>
          <w:kern w:val="2"/>
          <w:sz w:val="32"/>
          <w:szCs w:val="32"/>
          <w:highlight w:val="none"/>
          <w:lang w:val="en-US" w:eastAsia="zh-CN" w:bidi="ar-SA"/>
        </w:rPr>
        <w:t>2025年度，茂县工商业联合会政府采购支出总额0万元，</w:t>
      </w:r>
    </w:p>
    <w:p w14:paraId="02EF162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（三）国有资产占有使用情况</w:t>
      </w:r>
      <w:bookmarkEnd w:id="49"/>
    </w:p>
    <w:p w14:paraId="0FC970F6">
      <w:pPr>
        <w:keepNext w:val="0"/>
        <w:keepLines w:val="0"/>
        <w:pageBreakBefore w:val="0"/>
        <w:numPr>
          <w:ilvl w:val="0"/>
          <w:numId w:val="0"/>
        </w:numPr>
        <w:kinsoku/>
        <w:wordWrap/>
        <w:overflowPunct/>
        <w:topLinePunct w:val="0"/>
        <w:bidi w:val="0"/>
        <w:spacing w:line="560" w:lineRule="exact"/>
        <w:ind w:firstLine="640" w:firstLineChars="200"/>
        <w:jc w:val="both"/>
        <w:outlineLvl w:val="9"/>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截至2025年12月31日，茂县工商业联合会共有车辆0辆。</w:t>
      </w:r>
    </w:p>
    <w:p w14:paraId="6D98583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10020DF2">
      <w:pPr>
        <w:spacing w:line="600" w:lineRule="exact"/>
        <w:ind w:firstLine="640"/>
        <w:rPr>
          <w:rFonts w:hint="eastAsia" w:ascii="仿宋" w:hAnsi="仿宋" w:eastAsia="仿宋" w:cs="仿宋"/>
          <w:color w:val="auto"/>
          <w:sz w:val="32"/>
          <w:szCs w:val="32"/>
          <w:highlight w:val="none"/>
          <w:lang w:eastAsia="zh-CN"/>
        </w:rPr>
      </w:pPr>
      <w:r>
        <w:rPr>
          <w:rFonts w:hint="default" w:ascii="仿宋" w:hAnsi="仿宋" w:eastAsia="仿宋" w:cs="仿宋"/>
          <w:color w:val="auto"/>
          <w:sz w:val="32"/>
          <w:szCs w:val="32"/>
          <w:highlight w:val="none"/>
          <w:lang w:eastAsia="zh-CN"/>
        </w:rPr>
        <w:t>据预算绩效管理要求，</w:t>
      </w:r>
      <w:r>
        <w:rPr>
          <w:rFonts w:hint="eastAsia" w:ascii="仿宋" w:hAnsi="仿宋" w:eastAsia="仿宋" w:cs="仿宋"/>
          <w:color w:val="auto"/>
          <w:sz w:val="32"/>
          <w:szCs w:val="32"/>
          <w:highlight w:val="none"/>
          <w:lang w:eastAsia="zh-CN"/>
        </w:rPr>
        <w:t>本单位按要求对202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年部门整体支出绩效评价情况开展自评，我单位整体支出绩效评价自查自评结果良好，全年基本支出保证了部门的正常运行和日常工作的正常开展，达到预期绩效目标。《茂县工商业联合会202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年部门整体支出绩效评价报告》见附件</w:t>
      </w:r>
    </w:p>
    <w:p w14:paraId="500345BD">
      <w:pPr>
        <w:pStyle w:val="15"/>
        <w:rPr>
          <w:rFonts w:hint="eastAsia" w:ascii="仿宋" w:hAnsi="仿宋" w:eastAsia="仿宋" w:cs="仿宋"/>
          <w:color w:val="auto"/>
          <w:sz w:val="32"/>
          <w:szCs w:val="32"/>
          <w:highlight w:val="none"/>
          <w:lang w:eastAsia="zh-CN"/>
        </w:rPr>
      </w:pPr>
    </w:p>
    <w:p w14:paraId="7A7A9CE4">
      <w:pPr>
        <w:rPr>
          <w:rFonts w:hint="eastAsia" w:ascii="仿宋" w:hAnsi="仿宋" w:eastAsia="仿宋" w:cs="仿宋"/>
          <w:color w:val="auto"/>
          <w:sz w:val="32"/>
          <w:szCs w:val="32"/>
          <w:highlight w:val="none"/>
          <w:lang w:eastAsia="zh-CN"/>
        </w:rPr>
      </w:pPr>
    </w:p>
    <w:p w14:paraId="13200477">
      <w:pPr>
        <w:pStyle w:val="2"/>
        <w:rPr>
          <w:rFonts w:hint="eastAsia"/>
          <w:lang w:eastAsia="zh-CN"/>
        </w:rPr>
      </w:pPr>
    </w:p>
    <w:p w14:paraId="39D0FA2D">
      <w:pPr>
        <w:pStyle w:val="15"/>
        <w:rPr>
          <w:rFonts w:hint="eastAsia" w:ascii="仿宋" w:hAnsi="仿宋" w:eastAsia="仿宋" w:cs="仿宋"/>
          <w:color w:val="auto"/>
          <w:sz w:val="32"/>
          <w:szCs w:val="32"/>
          <w:highlight w:val="none"/>
          <w:lang w:eastAsia="zh-CN"/>
        </w:rPr>
      </w:pPr>
    </w:p>
    <w:p w14:paraId="014ECD16">
      <w:pPr>
        <w:rPr>
          <w:rFonts w:hint="eastAsia"/>
          <w:lang w:val="en-US" w:eastAsia="zh-CN"/>
        </w:rPr>
      </w:pPr>
    </w:p>
    <w:p w14:paraId="4DAAAC3E">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50" w:name="_Toc15377225"/>
      <w:bookmarkStart w:id="51"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0"/>
      <w:bookmarkEnd w:id="51"/>
    </w:p>
    <w:p w14:paraId="49DB46FE">
      <w:pPr>
        <w:spacing w:line="600" w:lineRule="exact"/>
        <w:jc w:val="left"/>
        <w:rPr>
          <w:rFonts w:ascii="Times New Roman" w:hAnsi="Times New Roman"/>
          <w:b/>
          <w:color w:val="auto"/>
          <w:sz w:val="44"/>
          <w:szCs w:val="44"/>
          <w:highlight w:val="none"/>
        </w:rPr>
      </w:pPr>
    </w:p>
    <w:p w14:paraId="3FEAE47D">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sz w:val="32"/>
          <w:szCs w:val="32"/>
        </w:rPr>
      </w:pPr>
      <w:bookmarkStart w:id="52" w:name="_Toc15396614"/>
      <w:bookmarkStart w:id="53" w:name="_Toc15377226"/>
      <w:r>
        <w:rPr>
          <w:rFonts w:hint="eastAsia" w:ascii="仿宋" w:hAnsi="仿宋" w:eastAsia="仿宋" w:cs="仿宋"/>
          <w:sz w:val="32"/>
          <w:szCs w:val="32"/>
        </w:rPr>
        <w:t>1.财政拨款收入：指单位从同级财政部门取得的财政预算资金。</w:t>
      </w:r>
    </w:p>
    <w:p w14:paraId="1A2E18C9">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sz w:val="32"/>
          <w:szCs w:val="32"/>
        </w:rPr>
      </w:pPr>
      <w:r>
        <w:rPr>
          <w:rFonts w:hint="eastAsia" w:ascii="仿宋" w:hAnsi="仿宋" w:eastAsia="仿宋" w:cs="仿宋"/>
          <w:sz w:val="32"/>
          <w:szCs w:val="32"/>
        </w:rPr>
        <w:t>2.事业收入：指事业单位开展专业业务活动及辅助活动取得的收入。</w:t>
      </w:r>
    </w:p>
    <w:p w14:paraId="258C626D">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sz w:val="32"/>
          <w:szCs w:val="32"/>
        </w:rPr>
      </w:pPr>
      <w:r>
        <w:rPr>
          <w:rFonts w:hint="eastAsia" w:ascii="仿宋" w:hAnsi="仿宋" w:eastAsia="仿宋" w:cs="仿宋"/>
          <w:sz w:val="32"/>
          <w:szCs w:val="32"/>
        </w:rPr>
        <w:t>3.经营收入：指事业单位在专业业务活动及其辅助活动之外开展非独立核算经营活动取得的收入。</w:t>
      </w:r>
    </w:p>
    <w:p w14:paraId="43C000E2">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sz w:val="32"/>
          <w:szCs w:val="32"/>
        </w:rPr>
      </w:pPr>
      <w:r>
        <w:rPr>
          <w:rFonts w:hint="eastAsia" w:ascii="仿宋" w:hAnsi="仿宋" w:eastAsia="仿宋" w:cs="仿宋"/>
          <w:sz w:val="32"/>
          <w:szCs w:val="32"/>
        </w:rPr>
        <w:t>4.其他收入：指单位取得的除上述收入以外的各项收入。</w:t>
      </w:r>
    </w:p>
    <w:p w14:paraId="734E9B39">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sz w:val="32"/>
          <w:szCs w:val="32"/>
        </w:rPr>
      </w:pPr>
      <w:r>
        <w:rPr>
          <w:rFonts w:hint="eastAsia" w:ascii="仿宋" w:hAnsi="仿宋" w:eastAsia="仿宋" w:cs="仿宋"/>
          <w:sz w:val="32"/>
          <w:szCs w:val="32"/>
        </w:rPr>
        <w:t>5.使用非财政拨款结余（含专用结余）</w:t>
      </w:r>
      <w:r>
        <w:rPr>
          <w:rFonts w:hint="eastAsia" w:ascii="仿宋" w:hAnsi="仿宋" w:eastAsia="仿宋" w:cs="仿宋"/>
          <w:color w:val="auto"/>
          <w:sz w:val="32"/>
          <w:szCs w:val="32"/>
        </w:rPr>
        <w:t>：指事业单位使用以前年度积累的非财政拨款结余弥补当年收支差额的金额。</w:t>
      </w:r>
      <w:r>
        <w:rPr>
          <w:rFonts w:hint="eastAsia" w:ascii="仿宋" w:hAnsi="仿宋" w:eastAsia="仿宋" w:cs="仿宋"/>
          <w:sz w:val="32"/>
          <w:szCs w:val="32"/>
        </w:rPr>
        <w:t>。</w:t>
      </w:r>
    </w:p>
    <w:p w14:paraId="71099100">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sz w:val="32"/>
          <w:szCs w:val="32"/>
        </w:rPr>
      </w:pPr>
      <w:r>
        <w:rPr>
          <w:rFonts w:hint="eastAsia" w:ascii="仿宋" w:hAnsi="仿宋" w:eastAsia="仿宋" w:cs="仿宋"/>
          <w:sz w:val="32"/>
          <w:szCs w:val="32"/>
        </w:rPr>
        <w:t>6.年初结转和结余：指以前年度尚未完成、结转到本年按有关规定继续使用的资金。</w:t>
      </w:r>
    </w:p>
    <w:p w14:paraId="61716B6F">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color w:val="auto"/>
          <w:sz w:val="32"/>
          <w:szCs w:val="32"/>
        </w:rPr>
      </w:pPr>
      <w:r>
        <w:rPr>
          <w:rFonts w:hint="eastAsia" w:ascii="仿宋" w:hAnsi="仿宋" w:eastAsia="仿宋" w:cs="仿宋"/>
          <w:color w:val="auto"/>
          <w:sz w:val="32"/>
          <w:szCs w:val="32"/>
        </w:rPr>
        <w:t>7.结余分配：指事业单位按照会计制度规定缴纳的所得税、提取的专用结余以及转入非财政拨款结余的金额等。</w:t>
      </w:r>
    </w:p>
    <w:p w14:paraId="1F1183CD">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color w:val="auto"/>
          <w:sz w:val="32"/>
          <w:szCs w:val="32"/>
        </w:rPr>
      </w:pPr>
      <w:r>
        <w:rPr>
          <w:rFonts w:hint="eastAsia" w:ascii="仿宋" w:hAnsi="仿宋" w:eastAsia="仿宋" w:cs="仿宋"/>
          <w:color w:val="auto"/>
          <w:sz w:val="32"/>
          <w:szCs w:val="32"/>
        </w:rPr>
        <w:t>8.年末结转和结余：指单位按有关规定结转到下年或以后年度继续使用的资金。</w:t>
      </w:r>
    </w:p>
    <w:p w14:paraId="7A9F5267">
      <w:pPr>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9.一般公共服务支出（类）商贸事务（款）事业运行（项）:指反映政府提供一般公共服务的支出。</w:t>
      </w:r>
    </w:p>
    <w:p w14:paraId="23B396B5">
      <w:pPr>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10.社会保障和就业支出（类）行政事业单位医疗（款）机关事业单位基本养老保险支出（项）:指反映政府在社会保障与就业方面的支出。</w:t>
      </w:r>
    </w:p>
    <w:p w14:paraId="4F53B6F8">
      <w:pPr>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11.医疗卫生与计划生育支出（类）行政事业单位医疗（款）事业单位医疗（项）:指反映政府卫生健康和计划生育方面的支出。</w:t>
      </w:r>
    </w:p>
    <w:p w14:paraId="1ECB84A3">
      <w:pPr>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12.住房保障支出（类）住房改革支出（款）住房公积金（项）:指反映政府用于住房方面的支出。</w:t>
      </w:r>
    </w:p>
    <w:p w14:paraId="7AB3AAE8">
      <w:pPr>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13.农林水支出（类）扶贫（款）其他扶贫支出（项）：指反应：其他用于扶贫开发方面的支出</w:t>
      </w:r>
    </w:p>
    <w:p w14:paraId="31F563C6">
      <w:pPr>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14.基本支出：指为保障机构正常运转、完成日常工作任务而发生的人员支出和公用支出。</w:t>
      </w:r>
    </w:p>
    <w:p w14:paraId="1435EFDF">
      <w:pPr>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15.项目支出：指在基本支出之外为完成特定行政任务和事业发展目标所发生的支出。</w:t>
      </w:r>
    </w:p>
    <w:p w14:paraId="5764CE18">
      <w:pPr>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16.经营支出：指事业单位在专业业务活动及其辅助活动之外开展非独立核算经营活动发生的支出。</w:t>
      </w:r>
    </w:p>
    <w:p w14:paraId="1F404924">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sz w:val="32"/>
          <w:szCs w:val="32"/>
        </w:rPr>
      </w:pPr>
      <w:r>
        <w:rPr>
          <w:rFonts w:hint="eastAsia" w:ascii="仿宋" w:hAnsi="仿宋" w:eastAsia="仿宋" w:cs="仿宋"/>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1A7863F">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sz w:val="32"/>
          <w:szCs w:val="32"/>
        </w:rPr>
      </w:pPr>
      <w:r>
        <w:rPr>
          <w:rFonts w:hint="eastAsia" w:ascii="仿宋" w:hAnsi="仿宋" w:eastAsia="仿宋" w:cs="仿宋"/>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19E6F12">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7F562A0B">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07BD2226">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32E52D95">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57545D0D">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23EF41AD">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2D24A62A">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67BDA7C3">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329A5608">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32D49DDE">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64C5F6BD">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2DF84E6B">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1F6AE66E">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4FDE75AA">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61CE16F2">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5A406085">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609600FF">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2A7CFEA6">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450D84D9">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0043D7E0">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38BAEC44">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0704A9BF">
      <w:pPr>
        <w:pStyle w:val="27"/>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p>
    <w:p w14:paraId="0CE8A826">
      <w:pPr>
        <w:spacing w:line="600" w:lineRule="exact"/>
        <w:jc w:val="center"/>
        <w:rPr>
          <w:rFonts w:hint="eastAsia" w:ascii="Times New Roman" w:hAnsi="Times New Roman" w:eastAsia="黑体" w:cs="黑体"/>
          <w:color w:val="FF0000"/>
          <w:sz w:val="32"/>
          <w:szCs w:val="32"/>
          <w:highlight w:val="none"/>
        </w:rPr>
      </w:pPr>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2"/>
    </w:p>
    <w:p w14:paraId="02489CEF">
      <w:pPr>
        <w:pStyle w:val="15"/>
        <w:rPr>
          <w:rFonts w:hint="eastAsia"/>
        </w:rPr>
      </w:pPr>
    </w:p>
    <w:p w14:paraId="1F06348D">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35F0BD05">
      <w:pPr>
        <w:keepNext w:val="0"/>
        <w:keepLines w:val="0"/>
        <w:pageBreakBefore w:val="0"/>
        <w:kinsoku/>
        <w:wordWrap/>
        <w:overflowPunct/>
        <w:topLinePunct w:val="0"/>
        <w:bidi w:val="0"/>
        <w:spacing w:line="560" w:lineRule="exact"/>
        <w:jc w:val="center"/>
        <w:outlineLvl w:val="9"/>
        <w:rPr>
          <w:rFonts w:hint="eastAsia" w:ascii="方正小标宋简体" w:eastAsia="方正小标宋简体"/>
          <w:sz w:val="48"/>
          <w:szCs w:val="48"/>
        </w:rPr>
      </w:pPr>
      <w:r>
        <w:rPr>
          <w:rFonts w:hint="eastAsia" w:ascii="方正小标宋简体" w:eastAsia="方正小标宋简体"/>
          <w:sz w:val="48"/>
          <w:szCs w:val="48"/>
        </w:rPr>
        <w:t>茂县工商业联合会</w:t>
      </w:r>
    </w:p>
    <w:p w14:paraId="12E7F94C">
      <w:pPr>
        <w:keepNext w:val="0"/>
        <w:keepLines w:val="0"/>
        <w:pageBreakBefore w:val="0"/>
        <w:kinsoku/>
        <w:wordWrap/>
        <w:overflowPunct/>
        <w:topLinePunct w:val="0"/>
        <w:bidi w:val="0"/>
        <w:spacing w:line="560" w:lineRule="exact"/>
        <w:jc w:val="center"/>
        <w:outlineLvl w:val="9"/>
        <w:rPr>
          <w:rFonts w:hint="eastAsia" w:ascii="方正小标宋简体" w:eastAsia="方正小标宋简体"/>
          <w:sz w:val="56"/>
          <w:szCs w:val="56"/>
        </w:rPr>
      </w:pPr>
      <w:r>
        <w:rPr>
          <w:rFonts w:hint="eastAsia" w:ascii="方正小标宋简体" w:eastAsia="方正小标宋简体"/>
          <w:sz w:val="48"/>
          <w:szCs w:val="48"/>
        </w:rPr>
        <w:t>202</w:t>
      </w:r>
      <w:r>
        <w:rPr>
          <w:rFonts w:hint="eastAsia" w:ascii="方正小标宋简体" w:eastAsia="方正小标宋简体"/>
          <w:sz w:val="48"/>
          <w:szCs w:val="48"/>
          <w:lang w:val="en-US" w:eastAsia="zh-CN"/>
        </w:rPr>
        <w:t>5</w:t>
      </w:r>
      <w:r>
        <w:rPr>
          <w:rFonts w:hint="eastAsia" w:ascii="方正小标宋简体" w:eastAsia="方正小标宋简体"/>
          <w:sz w:val="48"/>
          <w:szCs w:val="48"/>
        </w:rPr>
        <w:t>年整体支出绩效评价报告</w:t>
      </w:r>
    </w:p>
    <w:p w14:paraId="680BB832">
      <w:pPr>
        <w:keepNext w:val="0"/>
        <w:keepLines w:val="0"/>
        <w:pageBreakBefore w:val="0"/>
        <w:widowControl/>
        <w:kinsoku/>
        <w:wordWrap/>
        <w:overflowPunct/>
        <w:topLinePunct w:val="0"/>
        <w:autoSpaceDE w:val="0"/>
        <w:bidi w:val="0"/>
        <w:adjustRightInd w:val="0"/>
        <w:snapToGrid w:val="0"/>
        <w:spacing w:line="560" w:lineRule="exact"/>
        <w:ind w:firstLine="420" w:firstLineChars="200"/>
        <w:contextualSpacing/>
        <w:jc w:val="both"/>
        <w:outlineLvl w:val="9"/>
        <w:rPr>
          <w:rFonts w:hint="eastAsia" w:ascii="黑体" w:eastAsia="黑体" w:cs="宋体"/>
          <w:color w:val="000000"/>
          <w:kern w:val="0"/>
          <w:sz w:val="32"/>
          <w:szCs w:val="32"/>
          <w:shd w:val="clear" w:color="auto" w:fill="FFFFFF"/>
        </w:rPr>
      </w:pPr>
      <w:r>
        <w:rPr>
          <w:rFonts w:hint="eastAsia" w:ascii="黑体" w:eastAsia="黑体" w:cs="宋体"/>
          <w:color w:val="000000"/>
          <w:kern w:val="0"/>
          <w:shd w:val="clear" w:color="auto" w:fill="FFFFFF"/>
        </w:rPr>
        <w:t xml:space="preserve"> </w:t>
      </w:r>
    </w:p>
    <w:p w14:paraId="4CCDDB9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 w:hAnsi="仿宋" w:eastAsia="仿宋" w:cs="仿宋"/>
          <w:b/>
          <w:bCs/>
          <w:color w:val="000000"/>
          <w:kern w:val="0"/>
          <w:sz w:val="32"/>
          <w:szCs w:val="32"/>
          <w:highlight w:val="none"/>
          <w:shd w:val="clear" w:color="auto" w:fill="FFFFFF"/>
          <w:lang w:val="zh-CN"/>
        </w:rPr>
      </w:pPr>
      <w:r>
        <w:rPr>
          <w:rFonts w:hint="eastAsia" w:ascii="仿宋" w:hAnsi="仿宋" w:eastAsia="仿宋" w:cs="仿宋"/>
          <w:b/>
          <w:bCs/>
          <w:color w:val="000000"/>
          <w:kern w:val="0"/>
          <w:sz w:val="32"/>
          <w:szCs w:val="32"/>
          <w:highlight w:val="none"/>
          <w:shd w:val="clear" w:color="auto" w:fill="FFFFFF"/>
          <w:lang w:val="zh-CN"/>
        </w:rPr>
        <w:t>一、部门（单位）概况</w:t>
      </w:r>
    </w:p>
    <w:p w14:paraId="1C486476">
      <w:pPr>
        <w:keepNext w:val="0"/>
        <w:keepLines w:val="0"/>
        <w:pageBreakBefore w:val="0"/>
        <w:widowControl/>
        <w:kinsoku/>
        <w:wordWrap/>
        <w:overflowPunct/>
        <w:topLinePunct w:val="0"/>
        <w:autoSpaceDE w:val="0"/>
        <w:bidi w:val="0"/>
        <w:adjustRightInd w:val="0"/>
        <w:snapToGrid w:val="0"/>
        <w:spacing w:line="560" w:lineRule="exact"/>
        <w:ind w:firstLine="643" w:firstLineChars="200"/>
        <w:jc w:val="both"/>
        <w:outlineLvl w:val="9"/>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（一）机构组成</w:t>
      </w:r>
    </w:p>
    <w:p w14:paraId="68171F51">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仿宋" w:hAnsi="仿宋" w:eastAsia="仿宋" w:cs="仿宋"/>
          <w:sz w:val="32"/>
          <w:szCs w:val="32"/>
        </w:rPr>
      </w:pPr>
      <w:r>
        <w:rPr>
          <w:rFonts w:hint="eastAsia" w:ascii="仿宋" w:hAnsi="仿宋" w:eastAsia="仿宋" w:cs="仿宋"/>
          <w:sz w:val="32"/>
          <w:szCs w:val="32"/>
          <w:lang w:eastAsia="zh-CN"/>
        </w:rPr>
        <w:t>茂县工商业联合会</w:t>
      </w:r>
      <w:r>
        <w:rPr>
          <w:rFonts w:hint="eastAsia" w:ascii="仿宋" w:hAnsi="仿宋" w:eastAsia="仿宋" w:cs="仿宋"/>
          <w:sz w:val="32"/>
          <w:szCs w:val="32"/>
        </w:rPr>
        <w:t>是行政单位，属一级预算单位，其中内设机构</w:t>
      </w:r>
      <w:r>
        <w:rPr>
          <w:rFonts w:hint="eastAsia" w:ascii="仿宋" w:hAnsi="仿宋" w:eastAsia="仿宋" w:cs="仿宋"/>
          <w:sz w:val="32"/>
          <w:szCs w:val="32"/>
          <w:lang w:val="en-US" w:eastAsia="zh-CN"/>
        </w:rPr>
        <w:t>2</w:t>
      </w:r>
      <w:r>
        <w:rPr>
          <w:rFonts w:hint="eastAsia" w:ascii="仿宋" w:hAnsi="仿宋" w:eastAsia="仿宋" w:cs="仿宋"/>
          <w:sz w:val="32"/>
          <w:szCs w:val="32"/>
        </w:rPr>
        <w:t>个。</w:t>
      </w:r>
    </w:p>
    <w:p w14:paraId="38D72844">
      <w:pPr>
        <w:keepNext w:val="0"/>
        <w:keepLines w:val="0"/>
        <w:pageBreakBefore w:val="0"/>
        <w:widowControl/>
        <w:kinsoku/>
        <w:wordWrap/>
        <w:overflowPunct/>
        <w:topLinePunct w:val="0"/>
        <w:autoSpaceDE w:val="0"/>
        <w:bidi w:val="0"/>
        <w:adjustRightInd w:val="0"/>
        <w:snapToGrid w:val="0"/>
        <w:spacing w:line="560" w:lineRule="exact"/>
        <w:ind w:firstLine="643" w:firstLineChars="200"/>
        <w:jc w:val="both"/>
        <w:outlineLvl w:val="9"/>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（二）机构职能</w:t>
      </w:r>
    </w:p>
    <w:p w14:paraId="13ECAEB2">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 w:hAnsi="仿宋" w:eastAsia="仿宋" w:cs="仿宋"/>
          <w:sz w:val="32"/>
          <w:szCs w:val="32"/>
        </w:rPr>
      </w:pPr>
      <w:r>
        <w:rPr>
          <w:rFonts w:hint="eastAsia" w:ascii="仿宋" w:hAnsi="仿宋" w:eastAsia="仿宋" w:cs="仿宋"/>
          <w:sz w:val="32"/>
          <w:szCs w:val="32"/>
        </w:rPr>
        <w:t>1.参与我县大政方针</w:t>
      </w:r>
      <w:r>
        <w:rPr>
          <w:rFonts w:hint="eastAsia" w:ascii="仿宋" w:hAnsi="仿宋" w:eastAsia="仿宋" w:cs="仿宋"/>
          <w:sz w:val="32"/>
          <w:szCs w:val="32"/>
          <w:lang w:eastAsia="zh-CN"/>
        </w:rPr>
        <w:t>政策</w:t>
      </w:r>
      <w:r>
        <w:rPr>
          <w:rFonts w:hint="eastAsia" w:ascii="仿宋" w:hAnsi="仿宋" w:eastAsia="仿宋" w:cs="仿宋"/>
          <w:sz w:val="32"/>
          <w:szCs w:val="32"/>
        </w:rPr>
        <w:t>及政治、经济、社会中的重要问题的政治协商，发挥民主监督的作用，参政议政。</w:t>
      </w:r>
    </w:p>
    <w:p w14:paraId="0C45E069">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 w:hAnsi="仿宋" w:eastAsia="仿宋" w:cs="仿宋"/>
          <w:sz w:val="32"/>
          <w:szCs w:val="32"/>
        </w:rPr>
      </w:pPr>
      <w:r>
        <w:rPr>
          <w:rFonts w:hint="eastAsia" w:ascii="仿宋" w:hAnsi="仿宋" w:eastAsia="仿宋" w:cs="仿宋"/>
          <w:sz w:val="32"/>
          <w:szCs w:val="32"/>
        </w:rPr>
        <w:t>2.引导会员积极参加我县经济建设，推动非公有制经济健康发展。</w:t>
      </w:r>
    </w:p>
    <w:p w14:paraId="7758D454">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 w:hAnsi="仿宋" w:eastAsia="仿宋" w:cs="仿宋"/>
          <w:sz w:val="32"/>
          <w:szCs w:val="32"/>
        </w:rPr>
      </w:pPr>
      <w:r>
        <w:rPr>
          <w:rFonts w:hint="eastAsia" w:ascii="仿宋" w:hAnsi="仿宋" w:eastAsia="仿宋" w:cs="仿宋"/>
          <w:sz w:val="32"/>
          <w:szCs w:val="32"/>
        </w:rPr>
        <w:t>3.做好工商界代表人士政治安排的推荐工作。</w:t>
      </w:r>
    </w:p>
    <w:p w14:paraId="3A1AEE93">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 w:hAnsi="仿宋" w:eastAsia="仿宋" w:cs="仿宋"/>
          <w:sz w:val="32"/>
          <w:szCs w:val="32"/>
        </w:rPr>
      </w:pPr>
      <w:r>
        <w:rPr>
          <w:rFonts w:hint="eastAsia" w:ascii="仿宋" w:hAnsi="仿宋" w:eastAsia="仿宋" w:cs="仿宋"/>
          <w:sz w:val="32"/>
          <w:szCs w:val="32"/>
        </w:rPr>
        <w:t>4.对同级同业工会和行业协会实行业务主管，加强对个体劳动者协会、私营企业协会指导工作。</w:t>
      </w:r>
    </w:p>
    <w:p w14:paraId="250E4F4F">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 w:hAnsi="仿宋" w:eastAsia="仿宋" w:cs="仿宋"/>
          <w:sz w:val="32"/>
          <w:szCs w:val="32"/>
        </w:rPr>
      </w:pPr>
      <w:r>
        <w:rPr>
          <w:rFonts w:hint="eastAsia" w:ascii="仿宋" w:hAnsi="仿宋" w:eastAsia="仿宋" w:cs="仿宋"/>
          <w:sz w:val="32"/>
          <w:szCs w:val="32"/>
        </w:rPr>
        <w:t>5.加强与外商、各地工商社团及工商经济界人士的联系，促进经济、技术和贸易合作的发展，协助引进资金、技术人才。</w:t>
      </w:r>
    </w:p>
    <w:p w14:paraId="70681A62">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 w:hAnsi="仿宋" w:eastAsia="仿宋" w:cs="仿宋"/>
          <w:sz w:val="32"/>
          <w:szCs w:val="32"/>
        </w:rPr>
      </w:pPr>
      <w:r>
        <w:rPr>
          <w:rFonts w:hint="eastAsia" w:ascii="仿宋" w:hAnsi="仿宋" w:eastAsia="仿宋" w:cs="仿宋"/>
          <w:sz w:val="32"/>
          <w:szCs w:val="32"/>
        </w:rPr>
        <w:t>6.办好会办企业。</w:t>
      </w:r>
    </w:p>
    <w:p w14:paraId="247C2521">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 w:hAnsi="仿宋" w:eastAsia="仿宋" w:cs="仿宋"/>
          <w:color w:val="000000"/>
          <w:kern w:val="0"/>
          <w:sz w:val="32"/>
          <w:szCs w:val="32"/>
        </w:rPr>
      </w:pPr>
      <w:r>
        <w:rPr>
          <w:rFonts w:hint="eastAsia" w:ascii="仿宋" w:hAnsi="仿宋" w:eastAsia="仿宋" w:cs="仿宋"/>
          <w:sz w:val="32"/>
          <w:szCs w:val="32"/>
        </w:rPr>
        <w:t>7.承办县委、县政府交办的其他工作。</w:t>
      </w:r>
    </w:p>
    <w:p w14:paraId="4009AF63">
      <w:pPr>
        <w:keepNext w:val="0"/>
        <w:keepLines w:val="0"/>
        <w:pageBreakBefore w:val="0"/>
        <w:kinsoku/>
        <w:wordWrap/>
        <w:overflowPunct/>
        <w:topLinePunct w:val="0"/>
        <w:autoSpaceDE w:val="0"/>
        <w:bidi w:val="0"/>
        <w:spacing w:line="560" w:lineRule="exact"/>
        <w:ind w:firstLine="643" w:firstLineChars="200"/>
        <w:jc w:val="both"/>
        <w:outlineLvl w:val="9"/>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（三）人员概况</w:t>
      </w:r>
    </w:p>
    <w:p w14:paraId="57A198FD">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 w:hAnsi="仿宋" w:eastAsia="仿宋" w:cs="仿宋"/>
          <w:color w:val="000000"/>
          <w:kern w:val="0"/>
          <w:sz w:val="32"/>
          <w:szCs w:val="32"/>
        </w:rPr>
      </w:pPr>
      <w:r>
        <w:rPr>
          <w:rFonts w:hint="eastAsia" w:ascii="仿宋" w:hAnsi="仿宋" w:eastAsia="仿宋" w:cs="仿宋"/>
          <w:sz w:val="32"/>
          <w:szCs w:val="32"/>
        </w:rPr>
        <w:t>人员总编制</w:t>
      </w:r>
      <w:r>
        <w:rPr>
          <w:rFonts w:hint="eastAsia" w:ascii="仿宋" w:hAnsi="仿宋" w:eastAsia="仿宋" w:cs="仿宋"/>
          <w:sz w:val="32"/>
          <w:szCs w:val="32"/>
          <w:lang w:val="en-US" w:eastAsia="zh-CN"/>
        </w:rPr>
        <w:t>4</w:t>
      </w:r>
      <w:r>
        <w:rPr>
          <w:rFonts w:hint="eastAsia" w:ascii="仿宋" w:hAnsi="仿宋" w:eastAsia="仿宋" w:cs="仿宋"/>
          <w:sz w:val="32"/>
          <w:szCs w:val="32"/>
        </w:rPr>
        <w:t xml:space="preserve">名,其中:行政编制2名，参照公务员管理事业编制 </w:t>
      </w:r>
      <w:r>
        <w:rPr>
          <w:rFonts w:hint="eastAsia" w:ascii="仿宋" w:hAnsi="仿宋" w:eastAsia="仿宋" w:cs="仿宋"/>
          <w:sz w:val="32"/>
          <w:szCs w:val="32"/>
          <w:lang w:val="en-US" w:eastAsia="zh-CN"/>
        </w:rPr>
        <w:t>0</w:t>
      </w:r>
      <w:r>
        <w:rPr>
          <w:rFonts w:hint="eastAsia" w:ascii="仿宋" w:hAnsi="仿宋" w:eastAsia="仿宋" w:cs="仿宋"/>
          <w:sz w:val="32"/>
          <w:szCs w:val="32"/>
        </w:rPr>
        <w:t>名</w:t>
      </w:r>
      <w:r>
        <w:rPr>
          <w:rFonts w:hint="eastAsia" w:ascii="仿宋" w:hAnsi="仿宋" w:eastAsia="仿宋" w:cs="仿宋"/>
          <w:sz w:val="32"/>
          <w:szCs w:val="32"/>
          <w:lang w:eastAsia="zh-CN"/>
        </w:rPr>
        <w:t>，事业编制</w:t>
      </w:r>
      <w:r>
        <w:rPr>
          <w:rFonts w:hint="eastAsia" w:ascii="仿宋" w:hAnsi="仿宋" w:eastAsia="仿宋" w:cs="仿宋"/>
          <w:sz w:val="32"/>
          <w:szCs w:val="32"/>
          <w:lang w:val="en-US" w:eastAsia="zh-CN"/>
        </w:rPr>
        <w:t>2名。</w:t>
      </w:r>
      <w:r>
        <w:rPr>
          <w:rFonts w:hint="eastAsia" w:ascii="仿宋" w:hAnsi="仿宋" w:eastAsia="仿宋" w:cs="仿宋"/>
          <w:sz w:val="32"/>
          <w:szCs w:val="32"/>
        </w:rPr>
        <w:t>实有在职人员总数</w:t>
      </w:r>
      <w:r>
        <w:rPr>
          <w:rFonts w:hint="eastAsia" w:ascii="仿宋" w:hAnsi="仿宋" w:eastAsia="仿宋" w:cs="仿宋"/>
          <w:sz w:val="32"/>
          <w:szCs w:val="32"/>
          <w:lang w:val="en-US" w:eastAsia="zh-CN"/>
        </w:rPr>
        <w:t>4</w:t>
      </w:r>
      <w:r>
        <w:rPr>
          <w:rFonts w:hint="eastAsia" w:ascii="仿宋" w:hAnsi="仿宋" w:eastAsia="仿宋" w:cs="仿宋"/>
          <w:sz w:val="32"/>
          <w:szCs w:val="32"/>
        </w:rPr>
        <w:t>名，在职人员中行政人员2名，事业人员</w:t>
      </w:r>
      <w:r>
        <w:rPr>
          <w:rFonts w:hint="eastAsia" w:ascii="仿宋" w:hAnsi="仿宋" w:eastAsia="仿宋" w:cs="仿宋"/>
          <w:sz w:val="32"/>
          <w:szCs w:val="32"/>
          <w:lang w:val="en-US" w:eastAsia="zh-CN"/>
        </w:rPr>
        <w:t>2</w:t>
      </w:r>
      <w:r>
        <w:rPr>
          <w:rFonts w:hint="eastAsia" w:ascii="仿宋" w:hAnsi="仿宋" w:eastAsia="仿宋" w:cs="仿宋"/>
          <w:sz w:val="32"/>
          <w:szCs w:val="32"/>
        </w:rPr>
        <w:t xml:space="preserve">名。退休人员0人。 </w:t>
      </w:r>
    </w:p>
    <w:p w14:paraId="7A15339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 w:hAnsi="仿宋" w:eastAsia="仿宋" w:cs="仿宋"/>
          <w:b/>
          <w:bCs/>
          <w:color w:val="000000"/>
          <w:kern w:val="0"/>
          <w:sz w:val="32"/>
          <w:szCs w:val="32"/>
          <w:highlight w:val="none"/>
          <w:shd w:val="clear" w:color="auto" w:fill="FFFFFF"/>
          <w:lang w:val="zh-CN"/>
        </w:rPr>
      </w:pPr>
      <w:r>
        <w:rPr>
          <w:rFonts w:hint="eastAsia" w:ascii="仿宋" w:hAnsi="仿宋" w:eastAsia="仿宋" w:cs="仿宋"/>
          <w:b/>
          <w:bCs/>
          <w:color w:val="000000"/>
          <w:kern w:val="0"/>
          <w:sz w:val="32"/>
          <w:szCs w:val="32"/>
          <w:highlight w:val="none"/>
          <w:shd w:val="clear" w:color="auto" w:fill="FFFFFF"/>
          <w:lang w:val="zh-CN"/>
        </w:rPr>
        <w:t>二、部门财政资金收支情况</w:t>
      </w:r>
    </w:p>
    <w:p w14:paraId="0655EE8A">
      <w:pPr>
        <w:keepNext w:val="0"/>
        <w:keepLines w:val="0"/>
        <w:pageBreakBefore w:val="0"/>
        <w:widowControl/>
        <w:kinsoku/>
        <w:wordWrap/>
        <w:overflowPunct/>
        <w:topLinePunct w:val="0"/>
        <w:autoSpaceDE w:val="0"/>
        <w:bidi w:val="0"/>
        <w:adjustRightInd w:val="0"/>
        <w:snapToGrid w:val="0"/>
        <w:spacing w:line="560" w:lineRule="exact"/>
        <w:ind w:firstLine="643" w:firstLineChars="200"/>
        <w:contextualSpacing/>
        <w:jc w:val="both"/>
        <w:outlineLvl w:val="9"/>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（一）部门财政资金收入情况</w:t>
      </w:r>
    </w:p>
    <w:p w14:paraId="27C78FAF">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202</w:t>
      </w:r>
      <w:r>
        <w:rPr>
          <w:rFonts w:hint="eastAsia" w:ascii="仿宋" w:hAnsi="仿宋" w:eastAsia="仿宋" w:cs="仿宋"/>
          <w:color w:val="000000"/>
          <w:kern w:val="0"/>
          <w:sz w:val="32"/>
          <w:szCs w:val="32"/>
          <w:lang w:val="en-US" w:eastAsia="zh-CN"/>
        </w:rPr>
        <w:t>5</w:t>
      </w:r>
      <w:r>
        <w:rPr>
          <w:rFonts w:hint="eastAsia" w:ascii="仿宋" w:hAnsi="仿宋" w:eastAsia="仿宋" w:cs="仿宋"/>
          <w:color w:val="000000"/>
          <w:kern w:val="0"/>
          <w:sz w:val="32"/>
          <w:szCs w:val="32"/>
        </w:rPr>
        <w:t>年本</w:t>
      </w:r>
      <w:r>
        <w:rPr>
          <w:rFonts w:hint="eastAsia" w:ascii="仿宋" w:hAnsi="仿宋" w:eastAsia="仿宋" w:cs="仿宋"/>
          <w:color w:val="000000"/>
          <w:kern w:val="0"/>
          <w:sz w:val="32"/>
          <w:szCs w:val="32"/>
          <w:lang w:val="en-US" w:eastAsia="zh-CN"/>
        </w:rPr>
        <w:t>单位</w:t>
      </w:r>
      <w:r>
        <w:rPr>
          <w:rFonts w:hint="eastAsia" w:ascii="仿宋" w:hAnsi="仿宋" w:eastAsia="仿宋" w:cs="仿宋"/>
          <w:color w:val="000000"/>
          <w:kern w:val="0"/>
          <w:sz w:val="32"/>
          <w:szCs w:val="32"/>
        </w:rPr>
        <w:t>财政拨款收入决算总额为</w:t>
      </w:r>
      <w:r>
        <w:rPr>
          <w:rFonts w:hint="eastAsia" w:ascii="仿宋" w:hAnsi="仿宋" w:eastAsia="仿宋" w:cs="仿宋"/>
          <w:color w:val="000000"/>
          <w:kern w:val="0"/>
          <w:sz w:val="32"/>
          <w:szCs w:val="32"/>
          <w:lang w:val="en-US" w:eastAsia="zh-CN"/>
        </w:rPr>
        <w:t>121.81</w:t>
      </w:r>
      <w:r>
        <w:rPr>
          <w:rFonts w:hint="eastAsia" w:ascii="仿宋" w:hAnsi="仿宋" w:eastAsia="仿宋" w:cs="仿宋"/>
          <w:color w:val="000000"/>
          <w:kern w:val="0"/>
          <w:sz w:val="32"/>
          <w:szCs w:val="32"/>
        </w:rPr>
        <w:t>万元，其中：当年财政拨款收入</w:t>
      </w:r>
      <w:r>
        <w:rPr>
          <w:rFonts w:hint="eastAsia" w:ascii="仿宋" w:hAnsi="仿宋" w:eastAsia="仿宋" w:cs="仿宋"/>
          <w:color w:val="000000"/>
          <w:kern w:val="0"/>
          <w:sz w:val="32"/>
          <w:szCs w:val="32"/>
          <w:lang w:val="en-US" w:eastAsia="zh-CN"/>
        </w:rPr>
        <w:t>121.81万</w:t>
      </w:r>
      <w:r>
        <w:rPr>
          <w:rFonts w:hint="eastAsia" w:ascii="仿宋" w:hAnsi="仿宋" w:eastAsia="仿宋" w:cs="仿宋"/>
          <w:color w:val="000000"/>
          <w:kern w:val="0"/>
          <w:sz w:val="32"/>
          <w:szCs w:val="32"/>
        </w:rPr>
        <w:t>元,均为一般公共预算财政拨款。</w:t>
      </w:r>
    </w:p>
    <w:p w14:paraId="4D360F45">
      <w:pPr>
        <w:keepNext w:val="0"/>
        <w:keepLines w:val="0"/>
        <w:pageBreakBefore w:val="0"/>
        <w:widowControl/>
        <w:kinsoku/>
        <w:wordWrap/>
        <w:overflowPunct/>
        <w:topLinePunct w:val="0"/>
        <w:autoSpaceDE w:val="0"/>
        <w:bidi w:val="0"/>
        <w:adjustRightInd w:val="0"/>
        <w:snapToGrid w:val="0"/>
        <w:spacing w:line="560" w:lineRule="exact"/>
        <w:ind w:firstLine="643" w:firstLineChars="200"/>
        <w:contextualSpacing/>
        <w:jc w:val="both"/>
        <w:outlineLvl w:val="9"/>
        <w:rPr>
          <w:rFonts w:hint="eastAsia" w:ascii="仿宋" w:hAnsi="仿宋" w:eastAsia="仿宋" w:cs="仿宋"/>
          <w:b/>
          <w:bCs/>
          <w:sz w:val="32"/>
          <w:szCs w:val="32"/>
        </w:rPr>
      </w:pPr>
      <w:r>
        <w:rPr>
          <w:rFonts w:hint="eastAsia" w:ascii="仿宋" w:hAnsi="仿宋" w:eastAsia="仿宋" w:cs="仿宋"/>
          <w:b/>
          <w:bCs/>
          <w:sz w:val="32"/>
          <w:szCs w:val="32"/>
        </w:rPr>
        <w:t>（二）部门财政资金支出情况</w:t>
      </w:r>
    </w:p>
    <w:p w14:paraId="6F4BEE19">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202</w:t>
      </w:r>
      <w:r>
        <w:rPr>
          <w:rFonts w:hint="eastAsia" w:ascii="仿宋" w:hAnsi="仿宋" w:eastAsia="仿宋" w:cs="仿宋"/>
          <w:color w:val="000000"/>
          <w:kern w:val="0"/>
          <w:sz w:val="32"/>
          <w:szCs w:val="32"/>
          <w:lang w:val="en-US" w:eastAsia="zh-CN"/>
        </w:rPr>
        <w:t>5</w:t>
      </w:r>
      <w:r>
        <w:rPr>
          <w:rFonts w:hint="eastAsia" w:ascii="仿宋" w:hAnsi="仿宋" w:eastAsia="仿宋" w:cs="仿宋"/>
          <w:color w:val="000000"/>
          <w:kern w:val="0"/>
          <w:sz w:val="32"/>
          <w:szCs w:val="32"/>
        </w:rPr>
        <w:t>年本部门财政拨款支出决算总额</w:t>
      </w:r>
      <w:r>
        <w:rPr>
          <w:rFonts w:hint="eastAsia" w:ascii="仿宋" w:hAnsi="仿宋" w:eastAsia="仿宋" w:cs="仿宋"/>
          <w:color w:val="000000"/>
          <w:kern w:val="0"/>
          <w:sz w:val="32"/>
          <w:szCs w:val="32"/>
          <w:lang w:val="en-US" w:eastAsia="zh-CN"/>
        </w:rPr>
        <w:t>121.81</w:t>
      </w:r>
      <w:r>
        <w:rPr>
          <w:rFonts w:hint="eastAsia" w:ascii="仿宋" w:hAnsi="仿宋" w:eastAsia="仿宋" w:cs="仿宋"/>
          <w:color w:val="000000"/>
          <w:kern w:val="0"/>
          <w:sz w:val="32"/>
          <w:szCs w:val="32"/>
        </w:rPr>
        <w:t>万元。其中：当年财政拨款支出</w:t>
      </w:r>
      <w:r>
        <w:rPr>
          <w:rFonts w:hint="eastAsia" w:ascii="仿宋" w:hAnsi="仿宋" w:eastAsia="仿宋" w:cs="仿宋"/>
          <w:color w:val="000000"/>
          <w:kern w:val="0"/>
          <w:sz w:val="32"/>
          <w:szCs w:val="32"/>
          <w:lang w:val="en-US" w:eastAsia="zh-CN"/>
        </w:rPr>
        <w:t>121.81</w:t>
      </w:r>
      <w:r>
        <w:rPr>
          <w:rFonts w:hint="eastAsia" w:ascii="仿宋" w:hAnsi="仿宋" w:eastAsia="仿宋" w:cs="仿宋"/>
          <w:color w:val="000000"/>
          <w:kern w:val="0"/>
          <w:sz w:val="32"/>
          <w:szCs w:val="32"/>
        </w:rPr>
        <w:t>万元,均为一般公共预算财政拨款。</w:t>
      </w:r>
    </w:p>
    <w:p w14:paraId="07826568">
      <w:pPr>
        <w:keepNext w:val="0"/>
        <w:keepLines w:val="0"/>
        <w:pageBreakBefore w:val="0"/>
        <w:widowControl/>
        <w:kinsoku/>
        <w:wordWrap/>
        <w:overflowPunct/>
        <w:topLinePunct w:val="0"/>
        <w:autoSpaceDE w:val="0"/>
        <w:bidi w:val="0"/>
        <w:adjustRightInd w:val="0"/>
        <w:snapToGrid w:val="0"/>
        <w:spacing w:line="560" w:lineRule="exact"/>
        <w:ind w:firstLine="643" w:firstLineChars="200"/>
        <w:contextualSpacing/>
        <w:jc w:val="both"/>
        <w:outlineLvl w:val="9"/>
        <w:rPr>
          <w:rFonts w:hint="eastAsia" w:ascii="仿宋" w:hAnsi="仿宋" w:eastAsia="仿宋" w:cs="仿宋"/>
          <w:b/>
          <w:bCs/>
          <w:sz w:val="32"/>
          <w:szCs w:val="32"/>
        </w:rPr>
      </w:pPr>
      <w:r>
        <w:rPr>
          <w:rFonts w:hint="eastAsia" w:ascii="仿宋" w:hAnsi="仿宋" w:eastAsia="仿宋" w:cs="仿宋"/>
          <w:b/>
          <w:bCs/>
          <w:sz w:val="32"/>
          <w:szCs w:val="32"/>
          <w:lang w:eastAsia="zh-CN"/>
        </w:rPr>
        <w:t>（三）</w:t>
      </w:r>
      <w:r>
        <w:rPr>
          <w:rFonts w:hint="eastAsia" w:ascii="仿宋" w:hAnsi="仿宋" w:eastAsia="仿宋" w:cs="仿宋"/>
          <w:b/>
          <w:bCs/>
          <w:sz w:val="32"/>
          <w:szCs w:val="32"/>
        </w:rPr>
        <w:t>结余分配和结转结余情况</w:t>
      </w:r>
    </w:p>
    <w:p w14:paraId="7ADDA2B7">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eastAsia="zh-CN"/>
        </w:rPr>
        <w:t>茂县工商业联合会</w:t>
      </w:r>
      <w:r>
        <w:rPr>
          <w:rFonts w:hint="eastAsia" w:ascii="仿宋" w:hAnsi="仿宋" w:eastAsia="仿宋" w:cs="仿宋"/>
          <w:color w:val="000000"/>
          <w:kern w:val="0"/>
          <w:sz w:val="32"/>
          <w:szCs w:val="32"/>
        </w:rPr>
        <w:t>202</w:t>
      </w:r>
      <w:r>
        <w:rPr>
          <w:rFonts w:hint="eastAsia" w:ascii="仿宋" w:hAnsi="仿宋" w:eastAsia="仿宋" w:cs="仿宋"/>
          <w:color w:val="000000"/>
          <w:kern w:val="0"/>
          <w:sz w:val="32"/>
          <w:szCs w:val="32"/>
          <w:lang w:val="en-US" w:eastAsia="zh-CN"/>
        </w:rPr>
        <w:t>5</w:t>
      </w:r>
      <w:r>
        <w:rPr>
          <w:rFonts w:hint="eastAsia" w:ascii="仿宋" w:hAnsi="仿宋" w:eastAsia="仿宋" w:cs="仿宋"/>
          <w:color w:val="000000"/>
          <w:kern w:val="0"/>
          <w:sz w:val="32"/>
          <w:szCs w:val="32"/>
        </w:rPr>
        <w:t>年决算报表</w:t>
      </w:r>
      <w:r>
        <w:rPr>
          <w:rFonts w:hint="eastAsia" w:ascii="仿宋" w:hAnsi="仿宋" w:eastAsia="仿宋" w:cs="仿宋"/>
          <w:color w:val="000000"/>
          <w:kern w:val="0"/>
          <w:sz w:val="32"/>
          <w:szCs w:val="32"/>
          <w:lang w:eastAsia="zh-CN"/>
        </w:rPr>
        <w:t>中无</w:t>
      </w:r>
      <w:r>
        <w:rPr>
          <w:rFonts w:hint="eastAsia" w:ascii="仿宋" w:hAnsi="仿宋" w:eastAsia="仿宋" w:cs="仿宋"/>
          <w:color w:val="000000"/>
          <w:kern w:val="0"/>
          <w:sz w:val="32"/>
          <w:szCs w:val="32"/>
        </w:rPr>
        <w:t>结转结余情况。</w:t>
      </w:r>
    </w:p>
    <w:p w14:paraId="105C08AB">
      <w:pPr>
        <w:keepNext w:val="0"/>
        <w:keepLines w:val="0"/>
        <w:pageBreakBefore w:val="0"/>
        <w:widowControl/>
        <w:kinsoku/>
        <w:wordWrap/>
        <w:overflowPunct/>
        <w:topLinePunct w:val="0"/>
        <w:autoSpaceDE w:val="0"/>
        <w:bidi w:val="0"/>
        <w:adjustRightInd w:val="0"/>
        <w:snapToGrid w:val="0"/>
        <w:spacing w:line="560" w:lineRule="exact"/>
        <w:ind w:firstLine="643" w:firstLineChars="200"/>
        <w:jc w:val="both"/>
        <w:outlineLvl w:val="9"/>
        <w:rPr>
          <w:rFonts w:hint="eastAsia" w:ascii="仿宋" w:hAnsi="仿宋" w:eastAsia="仿宋" w:cs="仿宋"/>
          <w:b/>
          <w:bCs/>
          <w:color w:val="000000"/>
          <w:kern w:val="0"/>
          <w:sz w:val="32"/>
          <w:szCs w:val="32"/>
          <w:shd w:val="clear" w:color="auto" w:fill="FFFFFF"/>
          <w:lang w:eastAsia="zh-CN"/>
        </w:rPr>
      </w:pPr>
      <w:r>
        <w:rPr>
          <w:rFonts w:hint="eastAsia" w:ascii="仿宋" w:hAnsi="仿宋" w:eastAsia="仿宋" w:cs="仿宋"/>
          <w:b/>
          <w:bCs/>
          <w:color w:val="000000"/>
          <w:kern w:val="0"/>
          <w:sz w:val="32"/>
          <w:szCs w:val="32"/>
          <w:lang w:eastAsia="zh-CN"/>
        </w:rPr>
        <w:tab/>
      </w:r>
      <w:r>
        <w:rPr>
          <w:rFonts w:hint="eastAsia" w:ascii="仿宋" w:hAnsi="仿宋" w:eastAsia="仿宋" w:cs="仿宋"/>
          <w:b/>
          <w:bCs/>
          <w:color w:val="000000"/>
          <w:kern w:val="0"/>
          <w:sz w:val="32"/>
          <w:szCs w:val="32"/>
          <w:shd w:val="clear" w:color="auto" w:fill="FFFFFF"/>
        </w:rPr>
        <w:t>三、部门整体预算绩效</w:t>
      </w:r>
      <w:r>
        <w:rPr>
          <w:rFonts w:hint="eastAsia" w:ascii="仿宋" w:hAnsi="仿宋" w:eastAsia="仿宋" w:cs="仿宋"/>
          <w:b/>
          <w:bCs/>
          <w:color w:val="000000"/>
          <w:kern w:val="0"/>
          <w:sz w:val="32"/>
          <w:szCs w:val="32"/>
          <w:shd w:val="clear" w:color="auto" w:fill="FFFFFF"/>
          <w:lang w:eastAsia="zh-CN"/>
        </w:rPr>
        <w:t>分析</w:t>
      </w:r>
    </w:p>
    <w:p w14:paraId="0CF0ACD6">
      <w:pPr>
        <w:keepNext w:val="0"/>
        <w:keepLines w:val="0"/>
        <w:pageBreakBefore w:val="0"/>
        <w:widowControl/>
        <w:kinsoku/>
        <w:wordWrap/>
        <w:overflowPunct/>
        <w:topLinePunct w:val="0"/>
        <w:autoSpaceDE w:val="0"/>
        <w:bidi w:val="0"/>
        <w:adjustRightInd w:val="0"/>
        <w:snapToGrid w:val="0"/>
        <w:spacing w:line="560" w:lineRule="exact"/>
        <w:ind w:firstLine="643" w:firstLineChars="200"/>
        <w:contextualSpacing/>
        <w:jc w:val="both"/>
        <w:outlineLvl w:val="9"/>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rPr>
        <w:t>（一）部门预算</w:t>
      </w:r>
      <w:r>
        <w:rPr>
          <w:rFonts w:hint="eastAsia" w:ascii="仿宋" w:hAnsi="仿宋" w:eastAsia="仿宋" w:cs="仿宋"/>
          <w:b/>
          <w:bCs/>
          <w:color w:val="000000"/>
          <w:kern w:val="0"/>
          <w:sz w:val="32"/>
          <w:szCs w:val="32"/>
          <w:shd w:val="clear" w:color="auto" w:fill="FFFFFF"/>
          <w:lang w:val="zh-CN"/>
        </w:rPr>
        <w:t>总体绩效分析</w:t>
      </w:r>
    </w:p>
    <w:p w14:paraId="2420833A">
      <w:pPr>
        <w:keepNext w:val="0"/>
        <w:keepLines w:val="0"/>
        <w:pageBreakBefore w:val="0"/>
        <w:kinsoku/>
        <w:wordWrap/>
        <w:overflowPunct/>
        <w:topLinePunct w:val="0"/>
        <w:bidi w:val="0"/>
        <w:spacing w:line="560" w:lineRule="exact"/>
        <w:ind w:firstLine="643" w:firstLineChars="200"/>
        <w:jc w:val="both"/>
        <w:outlineLvl w:val="9"/>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SA"/>
        </w:rPr>
        <w:t>1.履职效能</w:t>
      </w:r>
      <w:r>
        <w:rPr>
          <w:rFonts w:hint="eastAsia" w:ascii="仿宋" w:hAnsi="仿宋" w:eastAsia="仿宋" w:cs="仿宋"/>
          <w:bCs w:val="0"/>
          <w:color w:val="000000"/>
          <w:kern w:val="0"/>
          <w:sz w:val="32"/>
          <w:szCs w:val="32"/>
          <w:lang w:val="en-US" w:eastAsia="zh-CN" w:bidi="ar-SA"/>
        </w:rPr>
        <w:t>。</w:t>
      </w:r>
      <w:r>
        <w:rPr>
          <w:rFonts w:hint="eastAsia" w:ascii="仿宋" w:hAnsi="仿宋" w:eastAsia="仿宋" w:cs="仿宋"/>
          <w:sz w:val="32"/>
          <w:szCs w:val="32"/>
        </w:rPr>
        <w:t>（</w:t>
      </w:r>
      <w:r>
        <w:rPr>
          <w:rFonts w:hint="eastAsia" w:ascii="仿宋" w:hAnsi="仿宋" w:eastAsia="仿宋" w:cs="仿宋"/>
          <w:sz w:val="32"/>
          <w:szCs w:val="32"/>
          <w:lang w:val="en-US" w:eastAsia="zh-CN"/>
        </w:rPr>
        <w:t>1</w:t>
      </w:r>
      <w:r>
        <w:rPr>
          <w:rFonts w:hint="eastAsia" w:ascii="仿宋" w:hAnsi="仿宋" w:eastAsia="仿宋" w:cs="仿宋"/>
          <w:sz w:val="32"/>
          <w:szCs w:val="32"/>
        </w:rPr>
        <w:t>）加强思想建设和组织建设 。召开茂县工商联（商会）第六届执行委员会第二次会议和茂县工商联（商会）第六届四次、五次</w:t>
      </w:r>
      <w:r>
        <w:rPr>
          <w:rFonts w:hint="eastAsia" w:ascii="仿宋" w:hAnsi="仿宋" w:eastAsia="仿宋" w:cs="仿宋"/>
          <w:sz w:val="32"/>
          <w:szCs w:val="32"/>
          <w:lang w:eastAsia="zh-CN"/>
        </w:rPr>
        <w:t>、六次</w:t>
      </w:r>
      <w:r>
        <w:rPr>
          <w:rFonts w:hint="eastAsia" w:ascii="仿宋" w:hAnsi="仿宋" w:eastAsia="仿宋" w:cs="仿宋"/>
          <w:sz w:val="32"/>
          <w:szCs w:val="32"/>
        </w:rPr>
        <w:t>常委会</w:t>
      </w:r>
      <w:r>
        <w:rPr>
          <w:rStyle w:val="36"/>
          <w:rFonts w:hint="eastAsia" w:ascii="仿宋" w:hAnsi="仿宋" w:eastAsia="仿宋" w:cs="仿宋"/>
          <w:sz w:val="32"/>
          <w:szCs w:val="32"/>
        </w:rPr>
        <w:t>。</w:t>
      </w:r>
    </w:p>
    <w:p w14:paraId="0B55B1B2">
      <w:pPr>
        <w:keepNext w:val="0"/>
        <w:keepLines w:val="0"/>
        <w:pageBreakBefore w:val="0"/>
        <w:widowControl/>
        <w:shd w:val="clear" w:color="auto" w:fill="FFFFFF"/>
        <w:kinsoku/>
        <w:wordWrap/>
        <w:overflowPunct/>
        <w:topLinePunct w:val="0"/>
        <w:bidi w:val="0"/>
        <w:spacing w:line="560" w:lineRule="exact"/>
        <w:ind w:firstLine="640" w:firstLineChars="200"/>
        <w:jc w:val="both"/>
        <w:outlineLvl w:val="9"/>
        <w:rPr>
          <w:rFonts w:hint="eastAsia" w:ascii="仿宋" w:hAnsi="仿宋" w:eastAsia="仿宋" w:cs="仿宋"/>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2</w:t>
      </w:r>
      <w:r>
        <w:rPr>
          <w:rFonts w:hint="eastAsia" w:ascii="仿宋" w:hAnsi="仿宋" w:eastAsia="仿宋" w:cs="仿宋"/>
          <w:sz w:val="32"/>
          <w:szCs w:val="32"/>
        </w:rPr>
        <w:t>）</w:t>
      </w:r>
      <w:r>
        <w:rPr>
          <w:rFonts w:hint="eastAsia" w:ascii="仿宋" w:hAnsi="仿宋" w:eastAsia="仿宋" w:cs="仿宋"/>
          <w:kern w:val="0"/>
          <w:sz w:val="32"/>
          <w:szCs w:val="32"/>
        </w:rPr>
        <w:t>聚焦全县中心工作，深入开展“两联一进”。</w:t>
      </w:r>
      <w:r>
        <w:rPr>
          <w:rFonts w:hint="eastAsia" w:ascii="仿宋" w:hAnsi="仿宋" w:eastAsia="仿宋" w:cs="仿宋"/>
          <w:sz w:val="32"/>
          <w:szCs w:val="32"/>
        </w:rPr>
        <w:t>深入联系村开展群众工作全覆盖走访，积极开展惠民政策宣传、环境卫生、汛期安全、森林防灭火督查等活动</w:t>
      </w:r>
      <w:r>
        <w:rPr>
          <w:rFonts w:hint="eastAsia" w:ascii="仿宋" w:hAnsi="仿宋" w:eastAsia="仿宋" w:cs="仿宋"/>
          <w:sz w:val="32"/>
          <w:szCs w:val="32"/>
          <w:lang w:eastAsia="zh-CN"/>
        </w:rPr>
        <w:t>。</w:t>
      </w:r>
    </w:p>
    <w:p w14:paraId="6232E94A">
      <w:pPr>
        <w:keepNext w:val="0"/>
        <w:keepLines w:val="0"/>
        <w:pageBreakBefore w:val="0"/>
        <w:widowControl/>
        <w:shd w:val="clear" w:color="auto" w:fill="FFFFFF"/>
        <w:kinsoku/>
        <w:wordWrap/>
        <w:overflowPunct/>
        <w:topLinePunct w:val="0"/>
        <w:bidi w:val="0"/>
        <w:spacing w:line="560" w:lineRule="exact"/>
        <w:ind w:firstLine="640" w:firstLineChars="200"/>
        <w:jc w:val="both"/>
        <w:outlineLvl w:val="9"/>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eastAsia" w:ascii="仿宋" w:hAnsi="仿宋" w:eastAsia="仿宋" w:cs="仿宋"/>
          <w:kern w:val="0"/>
          <w:sz w:val="32"/>
          <w:szCs w:val="32"/>
        </w:rPr>
        <w:t>加强走访调研，掌握企业发展现状。今年以来，实地走访和调研</w:t>
      </w:r>
      <w:r>
        <w:rPr>
          <w:rFonts w:hint="eastAsia" w:ascii="仿宋" w:hAnsi="仿宋" w:eastAsia="仿宋" w:cs="仿宋"/>
          <w:kern w:val="0"/>
          <w:sz w:val="32"/>
          <w:szCs w:val="32"/>
          <w:lang w:val="en-US" w:eastAsia="zh-CN"/>
        </w:rPr>
        <w:t>15</w:t>
      </w:r>
      <w:r>
        <w:rPr>
          <w:rFonts w:hint="eastAsia" w:ascii="仿宋" w:hAnsi="仿宋" w:eastAsia="仿宋" w:cs="仿宋"/>
          <w:kern w:val="0"/>
          <w:sz w:val="32"/>
          <w:szCs w:val="32"/>
        </w:rPr>
        <w:t>户会员企业，了解企业经营现状和未来发展规划，听取他们的困难和诉求</w:t>
      </w:r>
      <w:r>
        <w:rPr>
          <w:rFonts w:hint="eastAsia" w:ascii="仿宋" w:hAnsi="仿宋" w:eastAsia="仿宋" w:cs="仿宋"/>
          <w:sz w:val="32"/>
          <w:szCs w:val="32"/>
        </w:rPr>
        <w:t>。</w:t>
      </w:r>
    </w:p>
    <w:p w14:paraId="092C7BBA">
      <w:pPr>
        <w:pStyle w:val="37"/>
        <w:keepNext w:val="0"/>
        <w:keepLines w:val="0"/>
        <w:pageBreakBefore w:val="0"/>
        <w:kinsoku/>
        <w:wordWrap/>
        <w:overflowPunct/>
        <w:topLinePunct w:val="0"/>
        <w:bidi w:val="0"/>
        <w:spacing w:line="560" w:lineRule="exact"/>
        <w:ind w:firstLine="640" w:firstLineChars="200"/>
        <w:jc w:val="both"/>
        <w:outlineLvl w:val="9"/>
        <w:rPr>
          <w:rFonts w:hint="eastAsia" w:ascii="仿宋" w:hAnsi="仿宋" w:eastAsia="仿宋" w:cs="仿宋"/>
          <w:kern w:val="2"/>
          <w:sz w:val="32"/>
          <w:szCs w:val="32"/>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4</w:t>
      </w:r>
      <w:r>
        <w:rPr>
          <w:rFonts w:hint="eastAsia" w:ascii="仿宋" w:hAnsi="仿宋" w:eastAsia="仿宋" w:cs="仿宋"/>
          <w:kern w:val="2"/>
          <w:sz w:val="32"/>
          <w:szCs w:val="32"/>
        </w:rPr>
        <w:t>）开展考察学习，开阔眼界视野。</w:t>
      </w:r>
      <w:r>
        <w:rPr>
          <w:rFonts w:hint="eastAsia" w:ascii="仿宋" w:hAnsi="仿宋" w:eastAsia="仿宋" w:cs="仿宋"/>
          <w:sz w:val="32"/>
          <w:szCs w:val="32"/>
        </w:rPr>
        <w:t>今年以来，县委统战部、县工商联组织我县民营企业代表开展考察学习活动</w:t>
      </w:r>
      <w:r>
        <w:rPr>
          <w:rFonts w:hint="eastAsia" w:ascii="仿宋" w:hAnsi="仿宋" w:eastAsia="仿宋" w:cs="仿宋"/>
          <w:sz w:val="32"/>
          <w:szCs w:val="32"/>
          <w:lang w:val="en-US" w:eastAsia="zh-CN"/>
        </w:rPr>
        <w:t>2</w:t>
      </w:r>
      <w:r>
        <w:rPr>
          <w:rFonts w:hint="eastAsia" w:ascii="仿宋" w:hAnsi="仿宋" w:eastAsia="仿宋" w:cs="仿宋"/>
          <w:sz w:val="32"/>
          <w:szCs w:val="32"/>
        </w:rPr>
        <w:t>次。对接重庆市阿坝州商会考察团赴茂县开展农业考察交流活动</w:t>
      </w:r>
      <w:r>
        <w:rPr>
          <w:rFonts w:hint="eastAsia" w:ascii="仿宋" w:hAnsi="仿宋" w:eastAsia="仿宋" w:cs="仿宋"/>
          <w:sz w:val="32"/>
          <w:szCs w:val="32"/>
          <w:lang w:val="en-US" w:eastAsia="zh-CN"/>
        </w:rPr>
        <w:t>1</w:t>
      </w:r>
      <w:r>
        <w:rPr>
          <w:rFonts w:hint="eastAsia" w:ascii="仿宋" w:hAnsi="仿宋" w:eastAsia="仿宋" w:cs="仿宋"/>
          <w:sz w:val="32"/>
          <w:szCs w:val="32"/>
        </w:rPr>
        <w:t>次。</w:t>
      </w:r>
    </w:p>
    <w:p w14:paraId="36361AFA">
      <w:pPr>
        <w:keepNext w:val="0"/>
        <w:keepLines w:val="0"/>
        <w:pageBreakBefore w:val="0"/>
        <w:widowControl/>
        <w:shd w:val="clear" w:color="auto" w:fill="FFFFFF"/>
        <w:kinsoku/>
        <w:wordWrap/>
        <w:overflowPunct/>
        <w:topLinePunct w:val="0"/>
        <w:bidi w:val="0"/>
        <w:spacing w:line="560" w:lineRule="exact"/>
        <w:ind w:firstLine="640" w:firstLineChars="200"/>
        <w:jc w:val="both"/>
        <w:outlineLvl w:val="9"/>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eastAsia" w:ascii="仿宋" w:hAnsi="仿宋" w:eastAsia="仿宋" w:cs="仿宋"/>
          <w:kern w:val="0"/>
          <w:sz w:val="32"/>
          <w:szCs w:val="32"/>
        </w:rPr>
        <w:t>动员民企参与“万企兴万村”行动。</w:t>
      </w:r>
      <w:r>
        <w:rPr>
          <w:rFonts w:hint="eastAsia" w:ascii="仿宋" w:hAnsi="仿宋" w:eastAsia="仿宋" w:cs="仿宋"/>
          <w:sz w:val="32"/>
          <w:szCs w:val="32"/>
        </w:rPr>
        <w:t>目前已动员我县1</w:t>
      </w:r>
      <w:r>
        <w:rPr>
          <w:rFonts w:hint="eastAsia" w:ascii="仿宋" w:hAnsi="仿宋" w:eastAsia="仿宋" w:cs="仿宋"/>
          <w:sz w:val="32"/>
          <w:szCs w:val="32"/>
          <w:lang w:val="en-US" w:eastAsia="zh-CN"/>
        </w:rPr>
        <w:t>5</w:t>
      </w:r>
      <w:r>
        <w:rPr>
          <w:rFonts w:hint="eastAsia" w:ascii="仿宋" w:hAnsi="仿宋" w:eastAsia="仿宋" w:cs="仿宋"/>
          <w:sz w:val="32"/>
          <w:szCs w:val="32"/>
        </w:rPr>
        <w:t>户民营企业与行政村开展村企结对。</w:t>
      </w:r>
    </w:p>
    <w:p w14:paraId="1112F1E9">
      <w:pPr>
        <w:keepNext w:val="0"/>
        <w:keepLines w:val="0"/>
        <w:pageBreakBefore w:val="0"/>
        <w:widowControl/>
        <w:shd w:val="clear" w:color="auto" w:fill="FFFFFF"/>
        <w:kinsoku/>
        <w:wordWrap/>
        <w:overflowPunct/>
        <w:topLinePunct w:val="0"/>
        <w:bidi w:val="0"/>
        <w:spacing w:line="560" w:lineRule="exact"/>
        <w:ind w:firstLine="643" w:firstLineChars="200"/>
        <w:jc w:val="both"/>
        <w:outlineLvl w:val="9"/>
        <w:rPr>
          <w:rFonts w:hint="eastAsia" w:ascii="仿宋" w:hAnsi="仿宋" w:eastAsia="仿宋" w:cs="仿宋"/>
          <w:color w:val="000000"/>
          <w:kern w:val="0"/>
          <w:sz w:val="32"/>
          <w:szCs w:val="32"/>
          <w:lang w:val="zh-CN"/>
        </w:rPr>
      </w:pPr>
      <w:r>
        <w:rPr>
          <w:rFonts w:hint="eastAsia" w:ascii="仿宋" w:hAnsi="仿宋" w:eastAsia="仿宋" w:cs="仿宋"/>
          <w:b/>
          <w:bCs/>
          <w:color w:val="000000"/>
          <w:kern w:val="0"/>
          <w:sz w:val="32"/>
          <w:szCs w:val="32"/>
          <w:lang w:val="en-US" w:eastAsia="zh-CN"/>
        </w:rPr>
        <w:t>2.</w:t>
      </w:r>
      <w:r>
        <w:rPr>
          <w:rFonts w:hint="eastAsia" w:ascii="仿宋" w:hAnsi="仿宋" w:eastAsia="仿宋" w:cs="仿宋"/>
          <w:b/>
          <w:bCs/>
          <w:color w:val="000000"/>
          <w:kern w:val="0"/>
          <w:sz w:val="32"/>
          <w:szCs w:val="32"/>
          <w:lang w:val="zh-CN"/>
        </w:rPr>
        <w:t>预算管理</w:t>
      </w:r>
      <w:r>
        <w:rPr>
          <w:rFonts w:hint="eastAsia" w:ascii="仿宋" w:hAnsi="仿宋" w:eastAsia="仿宋" w:cs="仿宋"/>
          <w:color w:val="000000"/>
          <w:kern w:val="0"/>
          <w:sz w:val="32"/>
          <w:szCs w:val="32"/>
          <w:lang w:val="zh-CN"/>
        </w:rPr>
        <w:t>。我单位在预决算编制上做到认真、负责、按时按规定报送。统筹单位来年的工作编制预算。编制预算时做到有文件有依据，严格控制一般性支出。</w:t>
      </w:r>
    </w:p>
    <w:p w14:paraId="0E479067">
      <w:pPr>
        <w:keepNext w:val="0"/>
        <w:keepLines w:val="0"/>
        <w:pageBreakBefore w:val="0"/>
        <w:widowControl/>
        <w:shd w:val="clear" w:color="auto" w:fill="FFFFFF"/>
        <w:kinsoku/>
        <w:wordWrap/>
        <w:overflowPunct/>
        <w:topLinePunct w:val="0"/>
        <w:bidi w:val="0"/>
        <w:spacing w:line="560" w:lineRule="exact"/>
        <w:ind w:firstLine="640" w:firstLineChars="200"/>
        <w:jc w:val="both"/>
        <w:outlineLvl w:val="9"/>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rPr>
        <w:t>202</w:t>
      </w:r>
      <w:r>
        <w:rPr>
          <w:rFonts w:hint="eastAsia" w:ascii="仿宋" w:hAnsi="仿宋" w:eastAsia="仿宋" w:cs="仿宋"/>
          <w:color w:val="000000"/>
          <w:kern w:val="0"/>
          <w:sz w:val="32"/>
          <w:szCs w:val="32"/>
          <w:lang w:val="en-US" w:eastAsia="zh-CN"/>
        </w:rPr>
        <w:t>5</w:t>
      </w:r>
      <w:r>
        <w:rPr>
          <w:rFonts w:hint="eastAsia" w:ascii="仿宋" w:hAnsi="仿宋" w:eastAsia="仿宋" w:cs="仿宋"/>
          <w:color w:val="000000"/>
          <w:kern w:val="0"/>
          <w:sz w:val="32"/>
          <w:szCs w:val="32"/>
        </w:rPr>
        <w:t>年本单位预算收入合计</w:t>
      </w:r>
      <w:r>
        <w:rPr>
          <w:rFonts w:hint="eastAsia" w:ascii="仿宋" w:hAnsi="仿宋" w:eastAsia="仿宋" w:cs="仿宋"/>
          <w:color w:val="000000"/>
          <w:kern w:val="0"/>
          <w:sz w:val="32"/>
          <w:szCs w:val="32"/>
          <w:lang w:val="en-US" w:eastAsia="zh-CN"/>
        </w:rPr>
        <w:t>121.81</w:t>
      </w:r>
      <w:r>
        <w:rPr>
          <w:rFonts w:hint="eastAsia" w:ascii="仿宋" w:hAnsi="仿宋" w:eastAsia="仿宋" w:cs="仿宋"/>
          <w:color w:val="000000"/>
          <w:kern w:val="0"/>
          <w:sz w:val="32"/>
          <w:szCs w:val="32"/>
        </w:rPr>
        <w:t>万元，其中：当年财政拨款收入</w:t>
      </w:r>
      <w:r>
        <w:rPr>
          <w:rFonts w:hint="eastAsia" w:ascii="仿宋" w:hAnsi="仿宋" w:eastAsia="仿宋" w:cs="仿宋"/>
          <w:color w:val="000000"/>
          <w:kern w:val="0"/>
          <w:sz w:val="32"/>
          <w:szCs w:val="32"/>
          <w:lang w:val="en-US" w:eastAsia="zh-CN"/>
        </w:rPr>
        <w:t>121.81</w:t>
      </w:r>
      <w:r>
        <w:rPr>
          <w:rFonts w:hint="eastAsia" w:ascii="仿宋" w:hAnsi="仿宋" w:eastAsia="仿宋" w:cs="仿宋"/>
          <w:color w:val="000000"/>
          <w:kern w:val="0"/>
          <w:sz w:val="32"/>
          <w:szCs w:val="32"/>
        </w:rPr>
        <w:t>万元,均为一般公共预算财政拨款。按功能分类支出情况，民主党派及工商联事务支出</w:t>
      </w:r>
      <w:r>
        <w:rPr>
          <w:rFonts w:hint="eastAsia" w:ascii="仿宋" w:hAnsi="仿宋" w:eastAsia="仿宋" w:cs="仿宋"/>
          <w:color w:val="000000"/>
          <w:kern w:val="0"/>
          <w:sz w:val="32"/>
          <w:szCs w:val="32"/>
          <w:lang w:val="en-US" w:eastAsia="zh-CN"/>
        </w:rPr>
        <w:t>58.46</w:t>
      </w:r>
      <w:r>
        <w:rPr>
          <w:rFonts w:hint="eastAsia" w:ascii="仿宋" w:hAnsi="仿宋" w:eastAsia="仿宋" w:cs="仿宋"/>
          <w:color w:val="000000"/>
          <w:kern w:val="0"/>
          <w:sz w:val="32"/>
          <w:szCs w:val="32"/>
        </w:rPr>
        <w:t>万元、社会保障和就业支出</w:t>
      </w:r>
      <w:r>
        <w:rPr>
          <w:rFonts w:hint="eastAsia" w:ascii="仿宋" w:hAnsi="仿宋" w:eastAsia="仿宋" w:cs="仿宋"/>
          <w:color w:val="000000"/>
          <w:kern w:val="0"/>
          <w:sz w:val="32"/>
          <w:szCs w:val="32"/>
          <w:lang w:val="en-US" w:eastAsia="zh-CN"/>
        </w:rPr>
        <w:t>11.02</w:t>
      </w:r>
      <w:r>
        <w:rPr>
          <w:rFonts w:hint="eastAsia" w:ascii="仿宋" w:hAnsi="仿宋" w:eastAsia="仿宋" w:cs="仿宋"/>
          <w:color w:val="000000"/>
          <w:kern w:val="0"/>
          <w:sz w:val="32"/>
          <w:szCs w:val="32"/>
        </w:rPr>
        <w:t>万元、卫生健康支出</w:t>
      </w:r>
      <w:r>
        <w:rPr>
          <w:rFonts w:hint="eastAsia" w:ascii="仿宋" w:hAnsi="仿宋" w:eastAsia="仿宋" w:cs="仿宋"/>
          <w:color w:val="000000"/>
          <w:kern w:val="0"/>
          <w:sz w:val="32"/>
          <w:szCs w:val="32"/>
          <w:lang w:val="en-US" w:eastAsia="zh-CN"/>
        </w:rPr>
        <w:t>4.39</w:t>
      </w:r>
      <w:r>
        <w:rPr>
          <w:rFonts w:hint="eastAsia" w:ascii="仿宋" w:hAnsi="仿宋" w:eastAsia="仿宋" w:cs="仿宋"/>
          <w:color w:val="000000"/>
          <w:kern w:val="0"/>
          <w:sz w:val="32"/>
          <w:szCs w:val="32"/>
        </w:rPr>
        <w:t>万元、住房保障支出</w:t>
      </w:r>
      <w:r>
        <w:rPr>
          <w:rFonts w:hint="eastAsia" w:ascii="仿宋" w:hAnsi="仿宋" w:eastAsia="仿宋" w:cs="仿宋"/>
          <w:color w:val="000000"/>
          <w:kern w:val="0"/>
          <w:sz w:val="32"/>
          <w:szCs w:val="32"/>
          <w:lang w:val="en-US" w:eastAsia="zh-CN"/>
        </w:rPr>
        <w:t>6.35</w:t>
      </w:r>
      <w:r>
        <w:rPr>
          <w:rFonts w:hint="eastAsia" w:ascii="仿宋" w:hAnsi="仿宋" w:eastAsia="仿宋" w:cs="仿宋"/>
          <w:color w:val="000000"/>
          <w:kern w:val="0"/>
          <w:sz w:val="32"/>
          <w:szCs w:val="32"/>
        </w:rPr>
        <w:t>万元</w:t>
      </w:r>
      <w:r>
        <w:rPr>
          <w:rFonts w:hint="eastAsia" w:ascii="仿宋" w:hAnsi="仿宋" w:eastAsia="仿宋" w:cs="仿宋"/>
          <w:color w:val="000000"/>
          <w:kern w:val="0"/>
          <w:sz w:val="32"/>
          <w:szCs w:val="32"/>
          <w:lang w:eastAsia="zh-CN"/>
        </w:rPr>
        <w:t>、农林水支出</w:t>
      </w:r>
      <w:r>
        <w:rPr>
          <w:rFonts w:hint="eastAsia" w:ascii="仿宋" w:hAnsi="仿宋" w:eastAsia="仿宋" w:cs="仿宋"/>
          <w:color w:val="000000"/>
          <w:kern w:val="0"/>
          <w:sz w:val="32"/>
          <w:szCs w:val="32"/>
          <w:lang w:val="en-US" w:eastAsia="zh-CN"/>
        </w:rPr>
        <w:t>41.59万元；</w:t>
      </w:r>
      <w:r>
        <w:rPr>
          <w:rFonts w:hint="eastAsia" w:ascii="仿宋" w:hAnsi="仿宋" w:eastAsia="仿宋" w:cs="仿宋"/>
          <w:color w:val="000000"/>
          <w:kern w:val="0"/>
          <w:sz w:val="32"/>
          <w:szCs w:val="32"/>
        </w:rPr>
        <w:t>按支出性质分类，基本支出</w:t>
      </w:r>
      <w:r>
        <w:rPr>
          <w:rFonts w:hint="eastAsia" w:ascii="仿宋" w:hAnsi="仿宋" w:eastAsia="仿宋" w:cs="仿宋"/>
          <w:color w:val="000000"/>
          <w:kern w:val="0"/>
          <w:sz w:val="32"/>
          <w:szCs w:val="32"/>
          <w:lang w:val="en-US" w:eastAsia="zh-CN"/>
        </w:rPr>
        <w:t>80.22</w:t>
      </w:r>
      <w:r>
        <w:rPr>
          <w:rFonts w:hint="eastAsia" w:ascii="仿宋" w:hAnsi="仿宋" w:eastAsia="仿宋" w:cs="仿宋"/>
          <w:color w:val="000000"/>
          <w:kern w:val="0"/>
          <w:sz w:val="32"/>
          <w:szCs w:val="32"/>
        </w:rPr>
        <w:t>万元</w:t>
      </w:r>
      <w:r>
        <w:rPr>
          <w:rFonts w:hint="eastAsia" w:ascii="仿宋" w:hAnsi="仿宋" w:eastAsia="仿宋" w:cs="仿宋"/>
          <w:color w:val="000000"/>
          <w:kern w:val="0"/>
          <w:sz w:val="32"/>
          <w:szCs w:val="32"/>
          <w:lang w:eastAsia="zh-CN"/>
        </w:rPr>
        <w:t>、项目支出</w:t>
      </w:r>
      <w:r>
        <w:rPr>
          <w:rFonts w:hint="eastAsia" w:ascii="仿宋" w:hAnsi="仿宋" w:eastAsia="仿宋" w:cs="仿宋"/>
          <w:color w:val="000000"/>
          <w:kern w:val="0"/>
          <w:sz w:val="32"/>
          <w:szCs w:val="32"/>
          <w:lang w:val="en-US" w:eastAsia="zh-CN"/>
        </w:rPr>
        <w:t>41.59万元</w:t>
      </w:r>
      <w:r>
        <w:rPr>
          <w:rFonts w:hint="eastAsia" w:ascii="仿宋" w:hAnsi="仿宋" w:eastAsia="仿宋" w:cs="仿宋"/>
          <w:color w:val="000000"/>
          <w:kern w:val="0"/>
          <w:sz w:val="32"/>
          <w:szCs w:val="32"/>
        </w:rPr>
        <w:t>；按经济分类支出情况，工资福利支出</w:t>
      </w:r>
      <w:r>
        <w:rPr>
          <w:rFonts w:hint="eastAsia" w:ascii="仿宋" w:hAnsi="仿宋" w:eastAsia="仿宋" w:cs="仿宋"/>
          <w:color w:val="000000"/>
          <w:kern w:val="0"/>
          <w:sz w:val="32"/>
          <w:szCs w:val="32"/>
          <w:lang w:val="en-US" w:eastAsia="zh-CN"/>
        </w:rPr>
        <w:t>76.09</w:t>
      </w:r>
      <w:r>
        <w:rPr>
          <w:rFonts w:hint="eastAsia" w:ascii="仿宋" w:hAnsi="仿宋" w:eastAsia="仿宋" w:cs="仿宋"/>
          <w:color w:val="000000"/>
          <w:kern w:val="0"/>
          <w:sz w:val="32"/>
          <w:szCs w:val="32"/>
        </w:rPr>
        <w:t>万元，商品和服务支出</w:t>
      </w:r>
      <w:r>
        <w:rPr>
          <w:rFonts w:hint="eastAsia" w:ascii="仿宋" w:hAnsi="仿宋" w:eastAsia="仿宋" w:cs="仿宋"/>
          <w:color w:val="000000"/>
          <w:kern w:val="0"/>
          <w:sz w:val="32"/>
          <w:szCs w:val="32"/>
          <w:lang w:val="en-US" w:eastAsia="zh-CN"/>
        </w:rPr>
        <w:t>24.02</w:t>
      </w:r>
      <w:r>
        <w:rPr>
          <w:rFonts w:hint="eastAsia" w:ascii="仿宋" w:hAnsi="仿宋" w:eastAsia="仿宋" w:cs="仿宋"/>
          <w:color w:val="000000"/>
          <w:kern w:val="0"/>
          <w:sz w:val="32"/>
          <w:szCs w:val="32"/>
        </w:rPr>
        <w:t>万元，对</w:t>
      </w:r>
      <w:r>
        <w:rPr>
          <w:rFonts w:hint="eastAsia" w:ascii="仿宋" w:hAnsi="仿宋" w:eastAsia="仿宋" w:cs="仿宋"/>
          <w:color w:val="000000"/>
          <w:kern w:val="0"/>
          <w:sz w:val="32"/>
          <w:szCs w:val="32"/>
          <w:lang w:eastAsia="zh-CN"/>
        </w:rPr>
        <w:t>企业</w:t>
      </w:r>
      <w:r>
        <w:rPr>
          <w:rFonts w:hint="eastAsia" w:ascii="仿宋" w:hAnsi="仿宋" w:eastAsia="仿宋" w:cs="仿宋"/>
          <w:color w:val="000000"/>
          <w:kern w:val="0"/>
          <w:sz w:val="32"/>
          <w:szCs w:val="32"/>
        </w:rPr>
        <w:t>补助支出</w:t>
      </w:r>
      <w:r>
        <w:rPr>
          <w:rFonts w:hint="eastAsia" w:ascii="仿宋" w:hAnsi="仿宋" w:eastAsia="仿宋" w:cs="仿宋"/>
          <w:color w:val="000000"/>
          <w:kern w:val="0"/>
          <w:sz w:val="32"/>
          <w:szCs w:val="32"/>
          <w:lang w:val="en-US" w:eastAsia="zh-CN"/>
        </w:rPr>
        <w:t>21.7</w:t>
      </w:r>
      <w:r>
        <w:rPr>
          <w:rFonts w:hint="eastAsia" w:ascii="仿宋" w:hAnsi="仿宋" w:eastAsia="仿宋" w:cs="仿宋"/>
          <w:color w:val="000000"/>
          <w:kern w:val="0"/>
          <w:sz w:val="32"/>
          <w:szCs w:val="32"/>
        </w:rPr>
        <w:t>万</w:t>
      </w:r>
      <w:r>
        <w:rPr>
          <w:rFonts w:hint="eastAsia" w:ascii="仿宋" w:hAnsi="仿宋" w:eastAsia="仿宋" w:cs="仿宋"/>
          <w:color w:val="000000"/>
          <w:kern w:val="0"/>
          <w:sz w:val="32"/>
          <w:szCs w:val="32"/>
          <w:lang w:eastAsia="zh-CN"/>
        </w:rPr>
        <w:t>元；</w:t>
      </w:r>
      <w:r>
        <w:rPr>
          <w:rFonts w:hint="eastAsia" w:ascii="仿宋" w:hAnsi="仿宋" w:eastAsia="仿宋" w:cs="仿宋"/>
          <w:color w:val="000000"/>
          <w:kern w:val="0"/>
          <w:sz w:val="32"/>
          <w:szCs w:val="32"/>
          <w:lang w:val="en-US" w:eastAsia="zh-CN"/>
        </w:rPr>
        <w:t>资金执行进度正常，能按要求及时支付，年终预算无结余结转，全部完成年初预算。</w:t>
      </w:r>
    </w:p>
    <w:p w14:paraId="46A51043">
      <w:pPr>
        <w:keepNext w:val="0"/>
        <w:keepLines w:val="0"/>
        <w:pageBreakBefore w:val="0"/>
        <w:widowControl/>
        <w:numPr>
          <w:ilvl w:val="0"/>
          <w:numId w:val="0"/>
        </w:numPr>
        <w:kinsoku/>
        <w:wordWrap/>
        <w:overflowPunct/>
        <w:topLinePunct w:val="0"/>
        <w:autoSpaceDE w:val="0"/>
        <w:bidi w:val="0"/>
        <w:adjustRightInd w:val="0"/>
        <w:snapToGrid w:val="0"/>
        <w:spacing w:line="560" w:lineRule="exact"/>
        <w:ind w:firstLine="643" w:firstLineChars="200"/>
        <w:jc w:val="both"/>
        <w:outlineLvl w:val="9"/>
        <w:rPr>
          <w:rFonts w:hint="eastAsia" w:ascii="仿宋" w:hAnsi="仿宋" w:eastAsia="仿宋" w:cs="仿宋"/>
          <w:color w:val="000000"/>
          <w:kern w:val="0"/>
          <w:sz w:val="32"/>
          <w:szCs w:val="32"/>
          <w:lang w:val="en-US" w:eastAsia="zh-CN"/>
        </w:rPr>
      </w:pPr>
      <w:r>
        <w:rPr>
          <w:rFonts w:hint="eastAsia" w:ascii="仿宋" w:hAnsi="仿宋" w:eastAsia="仿宋" w:cs="仿宋"/>
          <w:b/>
          <w:bCs/>
          <w:color w:val="000000"/>
          <w:kern w:val="0"/>
          <w:sz w:val="32"/>
          <w:szCs w:val="32"/>
          <w:lang w:val="en-US" w:eastAsia="zh-CN"/>
        </w:rPr>
        <w:t>3.</w:t>
      </w:r>
      <w:r>
        <w:rPr>
          <w:rFonts w:hint="eastAsia" w:ascii="仿宋" w:hAnsi="仿宋" w:eastAsia="仿宋" w:cs="仿宋"/>
          <w:b/>
          <w:bCs/>
          <w:color w:val="000000"/>
          <w:kern w:val="0"/>
          <w:sz w:val="32"/>
          <w:szCs w:val="32"/>
          <w:lang w:val="zh-CN"/>
        </w:rPr>
        <w:t>财务管理</w:t>
      </w:r>
      <w:r>
        <w:rPr>
          <w:rFonts w:hint="eastAsia" w:ascii="仿宋" w:hAnsi="仿宋" w:eastAsia="仿宋" w:cs="仿宋"/>
          <w:color w:val="000000"/>
          <w:kern w:val="0"/>
          <w:sz w:val="32"/>
          <w:szCs w:val="32"/>
          <w:lang w:val="zh-CN"/>
        </w:rPr>
        <w:t>。单位建立了相关的财务管理制度，设立了出纳和会计岗以及相应的财务人员。</w:t>
      </w:r>
      <w:r>
        <w:rPr>
          <w:rFonts w:hint="eastAsia" w:ascii="仿宋" w:hAnsi="仿宋" w:eastAsia="仿宋" w:cs="仿宋"/>
          <w:color w:val="000000"/>
          <w:kern w:val="0"/>
          <w:sz w:val="32"/>
          <w:szCs w:val="32"/>
        </w:rPr>
        <w:t>在财务管理方面，经费支出实行</w:t>
      </w:r>
      <w:r>
        <w:rPr>
          <w:rFonts w:hint="eastAsia" w:ascii="仿宋" w:hAnsi="仿宋" w:eastAsia="仿宋" w:cs="仿宋"/>
          <w:color w:val="000000"/>
          <w:kern w:val="0"/>
          <w:sz w:val="32"/>
          <w:szCs w:val="32"/>
          <w:lang w:eastAsia="zh-CN"/>
        </w:rPr>
        <w:t>严格</w:t>
      </w:r>
      <w:r>
        <w:rPr>
          <w:rFonts w:hint="eastAsia" w:ascii="仿宋" w:hAnsi="仿宋" w:eastAsia="仿宋" w:cs="仿宋"/>
          <w:color w:val="000000"/>
          <w:kern w:val="0"/>
          <w:sz w:val="32"/>
          <w:szCs w:val="32"/>
        </w:rPr>
        <w:t>审批制度，严格预算原则。严格控制基本经费支出，加强对日常经费开支的管理。加大对公务卡的使用管理，要求工作人员严格按照公务卡结算目录的要求使用公务卡。</w:t>
      </w:r>
      <w:r>
        <w:rPr>
          <w:rFonts w:hint="eastAsia" w:ascii="仿宋" w:hAnsi="仿宋" w:eastAsia="仿宋" w:cs="仿宋"/>
          <w:color w:val="000000"/>
          <w:kern w:val="0"/>
          <w:sz w:val="32"/>
          <w:szCs w:val="32"/>
          <w:lang w:val="en-US" w:eastAsia="zh-CN"/>
        </w:rPr>
        <w:t xml:space="preserve"> </w:t>
      </w:r>
    </w:p>
    <w:p w14:paraId="31121A71">
      <w:pPr>
        <w:keepNext w:val="0"/>
        <w:keepLines w:val="0"/>
        <w:pageBreakBefore w:val="0"/>
        <w:widowControl/>
        <w:numPr>
          <w:ilvl w:val="0"/>
          <w:numId w:val="0"/>
        </w:numPr>
        <w:kinsoku/>
        <w:wordWrap/>
        <w:overflowPunct/>
        <w:topLinePunct w:val="0"/>
        <w:autoSpaceDE w:val="0"/>
        <w:bidi w:val="0"/>
        <w:adjustRightInd w:val="0"/>
        <w:snapToGrid w:val="0"/>
        <w:spacing w:line="560" w:lineRule="exact"/>
        <w:ind w:firstLine="643" w:firstLineChars="200"/>
        <w:jc w:val="both"/>
        <w:outlineLvl w:val="9"/>
        <w:rPr>
          <w:rFonts w:hint="eastAsia" w:ascii="仿宋" w:hAnsi="仿宋" w:eastAsia="仿宋" w:cs="仿宋"/>
          <w:color w:val="000000"/>
          <w:kern w:val="0"/>
          <w:sz w:val="32"/>
          <w:szCs w:val="32"/>
          <w:lang w:val="en-US" w:eastAsia="zh-CN"/>
        </w:rPr>
      </w:pPr>
      <w:r>
        <w:rPr>
          <w:rFonts w:hint="eastAsia" w:ascii="仿宋" w:hAnsi="仿宋" w:eastAsia="仿宋" w:cs="仿宋"/>
          <w:b/>
          <w:bCs/>
          <w:color w:val="000000"/>
          <w:kern w:val="0"/>
          <w:sz w:val="32"/>
          <w:szCs w:val="32"/>
          <w:lang w:val="en-US" w:eastAsia="zh-CN"/>
        </w:rPr>
        <w:t>4.</w:t>
      </w:r>
      <w:r>
        <w:rPr>
          <w:rFonts w:hint="eastAsia" w:ascii="仿宋" w:hAnsi="仿宋" w:eastAsia="仿宋" w:cs="仿宋"/>
          <w:b/>
          <w:bCs/>
          <w:color w:val="000000"/>
          <w:kern w:val="0"/>
          <w:sz w:val="32"/>
          <w:szCs w:val="32"/>
          <w:lang w:val="zh-CN"/>
        </w:rPr>
        <w:t>资产管理</w:t>
      </w:r>
      <w:r>
        <w:rPr>
          <w:rFonts w:hint="eastAsia" w:ascii="仿宋" w:hAnsi="仿宋" w:eastAsia="仿宋" w:cs="仿宋"/>
          <w:color w:val="000000"/>
          <w:kern w:val="0"/>
          <w:sz w:val="32"/>
          <w:szCs w:val="32"/>
          <w:lang w:val="zh-CN"/>
        </w:rPr>
        <w:t>。</w:t>
      </w:r>
      <w:r>
        <w:rPr>
          <w:rFonts w:hint="eastAsia" w:ascii="仿宋" w:hAnsi="仿宋" w:eastAsia="仿宋" w:cs="仿宋"/>
          <w:color w:val="000000"/>
          <w:kern w:val="0"/>
          <w:sz w:val="32"/>
          <w:szCs w:val="32"/>
        </w:rPr>
        <w:t>在资产管理方面，坚持谁使用谁保管谁负责的原则，建立台账，各负其责，财务室负责固定资产的日常账务处理，办公室负责台账登记和日常</w:t>
      </w:r>
      <w:r>
        <w:rPr>
          <w:rFonts w:hint="eastAsia" w:ascii="仿宋" w:hAnsi="仿宋" w:eastAsia="仿宋" w:cs="仿宋"/>
          <w:color w:val="000000"/>
          <w:kern w:val="0"/>
          <w:sz w:val="32"/>
          <w:szCs w:val="32"/>
          <w:lang w:eastAsia="zh-CN"/>
        </w:rPr>
        <w:t>维修，使资产</w:t>
      </w:r>
      <w:r>
        <w:rPr>
          <w:rFonts w:hint="eastAsia" w:ascii="仿宋" w:hAnsi="仿宋" w:eastAsia="仿宋" w:cs="仿宋"/>
          <w:color w:val="000000"/>
          <w:kern w:val="0"/>
          <w:sz w:val="32"/>
          <w:szCs w:val="32"/>
          <w:lang w:val="en-US" w:eastAsia="zh-CN"/>
        </w:rPr>
        <w:t>能保障单位工作的正常运转。在办公设备配置上，严格执行电脑、打印机等最低使用年限，年限期满后能够维修使用的继续使用，没有超出配置。资产利用率达到100%，无闲置资产。</w:t>
      </w:r>
    </w:p>
    <w:p w14:paraId="51FDF3D8">
      <w:pPr>
        <w:keepNext w:val="0"/>
        <w:keepLines w:val="0"/>
        <w:pageBreakBefore w:val="0"/>
        <w:widowControl/>
        <w:numPr>
          <w:ilvl w:val="0"/>
          <w:numId w:val="0"/>
        </w:numPr>
        <w:kinsoku/>
        <w:wordWrap/>
        <w:overflowPunct/>
        <w:topLinePunct w:val="0"/>
        <w:autoSpaceDE w:val="0"/>
        <w:bidi w:val="0"/>
        <w:adjustRightInd w:val="0"/>
        <w:snapToGrid w:val="0"/>
        <w:spacing w:line="560" w:lineRule="exact"/>
        <w:ind w:firstLine="643" w:firstLineChars="200"/>
        <w:jc w:val="both"/>
        <w:outlineLvl w:val="9"/>
        <w:rPr>
          <w:rFonts w:hint="eastAsia" w:ascii="仿宋" w:hAnsi="仿宋" w:eastAsia="仿宋" w:cs="仿宋"/>
          <w:sz w:val="32"/>
          <w:szCs w:val="32"/>
          <w:lang w:eastAsia="zh-CN"/>
        </w:rPr>
      </w:pPr>
      <w:r>
        <w:rPr>
          <w:rFonts w:hint="eastAsia" w:ascii="仿宋" w:hAnsi="仿宋" w:eastAsia="仿宋" w:cs="仿宋"/>
          <w:b/>
          <w:bCs/>
          <w:color w:val="000000"/>
          <w:kern w:val="0"/>
          <w:sz w:val="32"/>
          <w:szCs w:val="32"/>
          <w:lang w:val="en-US" w:eastAsia="zh-CN"/>
        </w:rPr>
        <w:t>5.</w:t>
      </w:r>
      <w:r>
        <w:rPr>
          <w:rFonts w:hint="eastAsia" w:ascii="仿宋" w:hAnsi="仿宋" w:eastAsia="仿宋" w:cs="仿宋"/>
          <w:b/>
          <w:bCs/>
          <w:color w:val="000000"/>
          <w:kern w:val="0"/>
          <w:sz w:val="32"/>
          <w:szCs w:val="32"/>
          <w:lang w:val="zh-CN"/>
        </w:rPr>
        <w:t>采购管理。</w:t>
      </w:r>
      <w:r>
        <w:rPr>
          <w:rFonts w:hint="eastAsia" w:ascii="仿宋" w:hAnsi="仿宋" w:eastAsia="仿宋" w:cs="仿宋"/>
          <w:color w:val="000000"/>
          <w:kern w:val="0"/>
          <w:sz w:val="32"/>
          <w:szCs w:val="32"/>
          <w:lang w:val="zh-CN"/>
        </w:rPr>
        <w:t>我单位的采购主要是采用询价的方式进行，采购严格按照相关的文件进行。</w:t>
      </w:r>
    </w:p>
    <w:p w14:paraId="774E514D">
      <w:pPr>
        <w:keepNext w:val="0"/>
        <w:keepLines w:val="0"/>
        <w:pageBreakBefore w:val="0"/>
        <w:widowControl/>
        <w:numPr>
          <w:ilvl w:val="0"/>
          <w:numId w:val="3"/>
        </w:numPr>
        <w:kinsoku/>
        <w:wordWrap/>
        <w:overflowPunct/>
        <w:topLinePunct w:val="0"/>
        <w:autoSpaceDE w:val="0"/>
        <w:bidi w:val="0"/>
        <w:adjustRightInd w:val="0"/>
        <w:snapToGrid w:val="0"/>
        <w:spacing w:line="560" w:lineRule="exact"/>
        <w:ind w:firstLine="643" w:firstLineChars="200"/>
        <w:jc w:val="both"/>
        <w:outlineLvl w:val="9"/>
        <w:rPr>
          <w:rFonts w:hint="eastAsia" w:ascii="仿宋" w:hAnsi="仿宋" w:eastAsia="仿宋" w:cs="仿宋"/>
          <w:color w:val="000000"/>
          <w:kern w:val="0"/>
          <w:sz w:val="32"/>
          <w:szCs w:val="32"/>
          <w:lang w:val="zh-CN"/>
        </w:rPr>
      </w:pPr>
      <w:r>
        <w:rPr>
          <w:rFonts w:hint="eastAsia" w:ascii="仿宋" w:hAnsi="仿宋" w:eastAsia="仿宋" w:cs="仿宋"/>
          <w:b/>
          <w:bCs/>
          <w:color w:val="000000"/>
          <w:kern w:val="0"/>
          <w:sz w:val="32"/>
          <w:szCs w:val="32"/>
          <w:shd w:val="clear" w:color="auto" w:fill="FFFFFF"/>
          <w:lang w:val="zh-CN"/>
        </w:rPr>
        <w:t>部门预算项目绩效分析</w:t>
      </w:r>
    </w:p>
    <w:p w14:paraId="6C271BFE">
      <w:pPr>
        <w:keepNext w:val="0"/>
        <w:keepLines w:val="0"/>
        <w:pageBreakBefore w:val="0"/>
        <w:widowControl/>
        <w:numPr>
          <w:ilvl w:val="0"/>
          <w:numId w:val="0"/>
        </w:numPr>
        <w:kinsoku/>
        <w:wordWrap/>
        <w:overflowPunct/>
        <w:topLinePunct w:val="0"/>
        <w:autoSpaceDE w:val="0"/>
        <w:bidi w:val="0"/>
        <w:adjustRightInd w:val="0"/>
        <w:snapToGrid w:val="0"/>
        <w:spacing w:line="560" w:lineRule="exact"/>
        <w:ind w:firstLine="640" w:firstLineChars="200"/>
        <w:jc w:val="both"/>
        <w:outlineLvl w:val="9"/>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常年项目绩效分析。该类项目总数</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lang w:val="zh-CN"/>
        </w:rPr>
        <w:t>个，涉及预算总金额</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lang w:val="zh-CN"/>
        </w:rPr>
        <w:t xml:space="preserve">万元，1—12月预算执行总体进度为 </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lang w:val="zh-CN"/>
        </w:rPr>
        <w:t xml:space="preserve"> ，其中：预算结余率大于10%的项目共计</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lang w:val="zh-CN"/>
        </w:rPr>
        <w:t>个。</w:t>
      </w:r>
    </w:p>
    <w:p w14:paraId="08FDA627">
      <w:pPr>
        <w:keepNext w:val="0"/>
        <w:keepLines w:val="0"/>
        <w:pageBreakBefore w:val="0"/>
        <w:widowControl/>
        <w:numPr>
          <w:ilvl w:val="0"/>
          <w:numId w:val="0"/>
        </w:numPr>
        <w:kinsoku/>
        <w:wordWrap/>
        <w:overflowPunct/>
        <w:topLinePunct w:val="0"/>
        <w:autoSpaceDE w:val="0"/>
        <w:bidi w:val="0"/>
        <w:adjustRightInd w:val="0"/>
        <w:snapToGrid w:val="0"/>
        <w:spacing w:line="560" w:lineRule="exact"/>
        <w:ind w:firstLine="640" w:firstLineChars="200"/>
        <w:jc w:val="both"/>
        <w:outlineLvl w:val="9"/>
        <w:rPr>
          <w:rFonts w:hint="eastAsia" w:ascii="仿宋" w:hAnsi="仿宋" w:eastAsia="仿宋" w:cs="仿宋"/>
          <w:sz w:val="32"/>
          <w:szCs w:val="32"/>
          <w:lang w:val="zh-CN"/>
        </w:rPr>
      </w:pPr>
      <w:r>
        <w:rPr>
          <w:rFonts w:hint="eastAsia" w:ascii="仿宋" w:hAnsi="仿宋" w:eastAsia="仿宋" w:cs="仿宋"/>
          <w:color w:val="000000"/>
          <w:kern w:val="0"/>
          <w:sz w:val="32"/>
          <w:szCs w:val="32"/>
          <w:lang w:val="zh-CN"/>
        </w:rPr>
        <w:t>阶段（一次性）项目绩效分析。该类项目总数</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lang w:val="zh-CN"/>
        </w:rPr>
        <w:t>个，涉及预算总金额</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lang w:val="zh-CN"/>
        </w:rPr>
        <w:t xml:space="preserve">万元，1—12月预算执行总体进度为 </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lang w:val="zh-CN"/>
        </w:rPr>
        <w:t xml:space="preserve"> ，其中：预算结余率大于10%的项目共计</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lang w:val="zh-CN"/>
        </w:rPr>
        <w:t>个。</w:t>
      </w:r>
    </w:p>
    <w:p w14:paraId="0DD39757">
      <w:pPr>
        <w:keepNext w:val="0"/>
        <w:keepLines w:val="0"/>
        <w:pageBreakBefore w:val="0"/>
        <w:widowControl/>
        <w:kinsoku/>
        <w:wordWrap/>
        <w:overflowPunct/>
        <w:topLinePunct w:val="0"/>
        <w:autoSpaceDE w:val="0"/>
        <w:bidi w:val="0"/>
        <w:adjustRightInd w:val="0"/>
        <w:snapToGrid w:val="0"/>
        <w:spacing w:line="560" w:lineRule="exact"/>
        <w:ind w:firstLine="643" w:firstLineChars="200"/>
        <w:jc w:val="both"/>
        <w:outlineLvl w:val="9"/>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（三）重点领域绩效分析</w:t>
      </w:r>
    </w:p>
    <w:p w14:paraId="7E1CF2D4">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仿宋" w:hAnsi="仿宋" w:eastAsia="仿宋" w:cs="仿宋"/>
          <w:bCs w:val="0"/>
          <w:color w:val="000000"/>
          <w:kern w:val="0"/>
          <w:sz w:val="32"/>
          <w:szCs w:val="32"/>
          <w:lang w:val="en-US" w:eastAsia="zh-CN" w:bidi="ar-SA"/>
        </w:rPr>
      </w:pPr>
      <w:r>
        <w:rPr>
          <w:rFonts w:hint="eastAsia" w:ascii="仿宋" w:hAnsi="仿宋" w:eastAsia="仿宋" w:cs="仿宋"/>
          <w:color w:val="000000"/>
          <w:kern w:val="0"/>
          <w:sz w:val="32"/>
          <w:szCs w:val="32"/>
          <w:lang w:val="en-US" w:eastAsia="zh-CN"/>
        </w:rPr>
        <w:t>2025年茂县工商业联合会不涉及国有资本、行政事业性国有资产、债劵</w:t>
      </w:r>
      <w:bookmarkStart w:id="68" w:name="_GoBack"/>
      <w:bookmarkEnd w:id="68"/>
      <w:r>
        <w:rPr>
          <w:rFonts w:hint="eastAsia" w:ascii="仿宋" w:hAnsi="仿宋" w:eastAsia="仿宋" w:cs="仿宋"/>
          <w:color w:val="000000"/>
          <w:kern w:val="0"/>
          <w:sz w:val="32"/>
          <w:szCs w:val="32"/>
          <w:lang w:val="en-US" w:eastAsia="zh-CN"/>
        </w:rPr>
        <w:t>资金、政府采购和政府购买服务等重点领域的项目</w:t>
      </w:r>
      <w:r>
        <w:rPr>
          <w:rFonts w:hint="eastAsia" w:ascii="仿宋" w:hAnsi="仿宋" w:eastAsia="仿宋" w:cs="仿宋"/>
          <w:sz w:val="32"/>
          <w:szCs w:val="32"/>
          <w:lang w:val="en-US" w:eastAsia="zh-CN"/>
        </w:rPr>
        <w:t>。</w:t>
      </w:r>
    </w:p>
    <w:p w14:paraId="74343329">
      <w:pPr>
        <w:keepNext w:val="0"/>
        <w:keepLines w:val="0"/>
        <w:pageBreakBefore w:val="0"/>
        <w:widowControl/>
        <w:numPr>
          <w:ilvl w:val="0"/>
          <w:numId w:val="3"/>
        </w:numPr>
        <w:kinsoku/>
        <w:wordWrap/>
        <w:overflowPunct/>
        <w:topLinePunct w:val="0"/>
        <w:autoSpaceDE w:val="0"/>
        <w:bidi w:val="0"/>
        <w:adjustRightInd w:val="0"/>
        <w:snapToGrid w:val="0"/>
        <w:spacing w:line="560" w:lineRule="exact"/>
        <w:ind w:left="0" w:leftChars="0" w:firstLine="643" w:firstLineChars="200"/>
        <w:jc w:val="both"/>
        <w:outlineLvl w:val="9"/>
        <w:rPr>
          <w:rFonts w:hint="eastAsia" w:ascii="仿宋" w:hAnsi="仿宋" w:eastAsia="仿宋" w:cs="仿宋"/>
          <w:sz w:val="32"/>
          <w:szCs w:val="32"/>
        </w:rPr>
      </w:pPr>
      <w:r>
        <w:rPr>
          <w:rFonts w:hint="eastAsia" w:ascii="仿宋" w:hAnsi="仿宋" w:eastAsia="仿宋" w:cs="仿宋"/>
          <w:b/>
          <w:bCs/>
          <w:color w:val="000000"/>
          <w:kern w:val="0"/>
          <w:sz w:val="32"/>
          <w:szCs w:val="32"/>
          <w:shd w:val="clear" w:color="auto" w:fill="FFFFFF"/>
          <w:lang w:val="zh-CN"/>
        </w:rPr>
        <w:t>绩效结果应用情况</w:t>
      </w:r>
    </w:p>
    <w:p w14:paraId="5FB060FD">
      <w:pPr>
        <w:keepNext w:val="0"/>
        <w:keepLines w:val="0"/>
        <w:pageBreakBefore w:val="0"/>
        <w:widowControl/>
        <w:numPr>
          <w:numId w:val="0"/>
        </w:numPr>
        <w:kinsoku/>
        <w:wordWrap/>
        <w:overflowPunct/>
        <w:topLinePunct w:val="0"/>
        <w:autoSpaceDE w:val="0"/>
        <w:bidi w:val="0"/>
        <w:adjustRightInd w:val="0"/>
        <w:snapToGrid w:val="0"/>
        <w:spacing w:line="560" w:lineRule="exact"/>
        <w:ind w:leftChars="200" w:firstLine="640" w:firstLineChars="200"/>
        <w:jc w:val="both"/>
        <w:outlineLvl w:val="9"/>
        <w:rPr>
          <w:rFonts w:hint="eastAsia" w:ascii="仿宋" w:hAnsi="仿宋" w:eastAsia="仿宋" w:cs="仿宋"/>
          <w:sz w:val="32"/>
          <w:szCs w:val="32"/>
        </w:rPr>
      </w:pPr>
      <w:r>
        <w:rPr>
          <w:rFonts w:hint="eastAsia" w:ascii="仿宋" w:hAnsi="仿宋" w:eastAsia="仿宋" w:cs="仿宋"/>
          <w:color w:val="000000"/>
          <w:kern w:val="0"/>
          <w:sz w:val="32"/>
          <w:szCs w:val="32"/>
        </w:rPr>
        <w:t>在信息公开上，我单位及时将20</w:t>
      </w:r>
      <w:r>
        <w:rPr>
          <w:rFonts w:hint="eastAsia" w:ascii="仿宋" w:hAnsi="仿宋" w:eastAsia="仿宋" w:cs="仿宋"/>
          <w:color w:val="000000"/>
          <w:kern w:val="0"/>
          <w:sz w:val="32"/>
          <w:szCs w:val="32"/>
          <w:lang w:val="en-US" w:eastAsia="zh-CN"/>
        </w:rPr>
        <w:t>24年决算和2025</w:t>
      </w:r>
      <w:r>
        <w:rPr>
          <w:rFonts w:hint="eastAsia" w:ascii="仿宋" w:hAnsi="仿宋" w:eastAsia="仿宋" w:cs="仿宋"/>
          <w:color w:val="000000"/>
          <w:kern w:val="0"/>
          <w:sz w:val="32"/>
          <w:szCs w:val="32"/>
        </w:rPr>
        <w:t>年的预算编制信息在茂县政府门户网站上进行公示，接受社会的监督和检查</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2025年单位无结余资金，预算完成率100%。</w:t>
      </w:r>
    </w:p>
    <w:p w14:paraId="2717D99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 w:hAnsi="仿宋" w:eastAsia="仿宋" w:cs="仿宋"/>
          <w:b/>
          <w:bCs/>
          <w:color w:val="000000"/>
          <w:kern w:val="0"/>
          <w:sz w:val="32"/>
          <w:szCs w:val="32"/>
          <w:highlight w:val="none"/>
          <w:shd w:val="clear" w:color="auto" w:fill="FFFFFF"/>
          <w:lang w:val="zh-CN"/>
        </w:rPr>
      </w:pPr>
      <w:r>
        <w:rPr>
          <w:rFonts w:hint="eastAsia" w:ascii="仿宋" w:hAnsi="仿宋" w:eastAsia="仿宋" w:cs="仿宋"/>
          <w:b/>
          <w:bCs/>
          <w:color w:val="000000"/>
          <w:kern w:val="0"/>
          <w:sz w:val="32"/>
          <w:szCs w:val="32"/>
          <w:highlight w:val="none"/>
          <w:shd w:val="clear" w:color="auto" w:fill="FFFFFF"/>
          <w:lang w:val="zh-CN"/>
        </w:rPr>
        <w:t>四、评价结论及建议</w:t>
      </w:r>
    </w:p>
    <w:p w14:paraId="725FECEF">
      <w:pPr>
        <w:keepNext w:val="0"/>
        <w:keepLines w:val="0"/>
        <w:pageBreakBefore w:val="0"/>
        <w:widowControl/>
        <w:kinsoku/>
        <w:wordWrap/>
        <w:overflowPunct/>
        <w:topLinePunct w:val="0"/>
        <w:autoSpaceDE w:val="0"/>
        <w:bidi w:val="0"/>
        <w:adjustRightInd w:val="0"/>
        <w:snapToGrid w:val="0"/>
        <w:spacing w:line="560" w:lineRule="exact"/>
        <w:ind w:firstLine="643" w:firstLineChars="200"/>
        <w:contextualSpacing/>
        <w:jc w:val="both"/>
        <w:outlineLvl w:val="9"/>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（一）评价结论</w:t>
      </w:r>
    </w:p>
    <w:p w14:paraId="3D0E14D3">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我单位部门整体支出绩效评价自查自评结果良好，全年基本支出保证了部门的正常运行和日常工作的正常开展，达到预期绩效目标，自评得分</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 xml:space="preserve">分。 </w:t>
      </w:r>
    </w:p>
    <w:p w14:paraId="1871DBA9">
      <w:pPr>
        <w:keepNext w:val="0"/>
        <w:keepLines w:val="0"/>
        <w:pageBreakBefore w:val="0"/>
        <w:widowControl/>
        <w:kinsoku/>
        <w:wordWrap/>
        <w:overflowPunct/>
        <w:topLinePunct w:val="0"/>
        <w:autoSpaceDE w:val="0"/>
        <w:bidi w:val="0"/>
        <w:adjustRightInd w:val="0"/>
        <w:snapToGrid w:val="0"/>
        <w:spacing w:line="560" w:lineRule="exact"/>
        <w:ind w:firstLine="643" w:firstLineChars="200"/>
        <w:contextualSpacing/>
        <w:jc w:val="both"/>
        <w:outlineLvl w:val="9"/>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（二）存在问题</w:t>
      </w:r>
    </w:p>
    <w:p w14:paraId="0CCEB479">
      <w:pPr>
        <w:keepNext w:val="0"/>
        <w:keepLines w:val="0"/>
        <w:pageBreakBefore w:val="0"/>
        <w:widowControl/>
        <w:kinsoku/>
        <w:wordWrap/>
        <w:overflowPunct/>
        <w:topLinePunct w:val="0"/>
        <w:autoSpaceDE w:val="0"/>
        <w:bidi w:val="0"/>
        <w:adjustRightInd w:val="0"/>
        <w:snapToGrid w:val="0"/>
        <w:spacing w:line="560" w:lineRule="exact"/>
        <w:ind w:firstLine="640" w:firstLineChars="200"/>
        <w:contextualSpacing/>
        <w:jc w:val="both"/>
        <w:outlineLvl w:val="9"/>
        <w:rPr>
          <w:rFonts w:hint="eastAsia" w:ascii="仿宋" w:hAnsi="仿宋" w:eastAsia="仿宋" w:cs="仿宋"/>
          <w:kern w:val="0"/>
          <w:sz w:val="32"/>
          <w:szCs w:val="32"/>
          <w:lang w:val="zh-CN" w:eastAsia="zh-CN"/>
        </w:rPr>
      </w:pPr>
      <w:r>
        <w:rPr>
          <w:rFonts w:hint="eastAsia" w:ascii="仿宋" w:hAnsi="仿宋" w:eastAsia="仿宋" w:cs="仿宋"/>
          <w:kern w:val="0"/>
          <w:sz w:val="32"/>
          <w:szCs w:val="32"/>
          <w:lang w:val="zh-CN" w:eastAsia="zh-CN"/>
        </w:rPr>
        <w:t>在整体支出的预算编制、执行和管理过程中，依然存在一些问题和不足。预算编制的计划性和执行管理上有待提高，</w:t>
      </w:r>
      <w:r>
        <w:rPr>
          <w:rFonts w:hint="eastAsia" w:ascii="仿宋" w:hAnsi="仿宋" w:eastAsia="仿宋" w:cs="仿宋"/>
          <w:kern w:val="0"/>
          <w:sz w:val="32"/>
          <w:szCs w:val="32"/>
          <w:lang w:val="en-US" w:eastAsia="zh-CN"/>
        </w:rPr>
        <w:t>预算编制的科学性、合理性</w:t>
      </w:r>
      <w:r>
        <w:rPr>
          <w:rFonts w:hint="eastAsia" w:ascii="仿宋" w:hAnsi="仿宋" w:eastAsia="仿宋" w:cs="仿宋"/>
          <w:kern w:val="0"/>
          <w:sz w:val="32"/>
          <w:szCs w:val="32"/>
          <w:lang w:val="zh-CN" w:eastAsia="zh-CN"/>
        </w:rPr>
        <w:t>有待进一步规范。</w:t>
      </w:r>
    </w:p>
    <w:p w14:paraId="37D51E0E">
      <w:pPr>
        <w:keepNext w:val="0"/>
        <w:keepLines w:val="0"/>
        <w:pageBreakBefore w:val="0"/>
        <w:widowControl/>
        <w:kinsoku/>
        <w:wordWrap/>
        <w:overflowPunct/>
        <w:topLinePunct w:val="0"/>
        <w:autoSpaceDE w:val="0"/>
        <w:bidi w:val="0"/>
        <w:adjustRightInd w:val="0"/>
        <w:snapToGrid w:val="0"/>
        <w:spacing w:line="560" w:lineRule="exact"/>
        <w:ind w:firstLine="643" w:firstLineChars="200"/>
        <w:contextualSpacing/>
        <w:jc w:val="both"/>
        <w:outlineLvl w:val="9"/>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（三）改进建议</w:t>
      </w:r>
    </w:p>
    <w:p w14:paraId="04545454">
      <w:pPr>
        <w:pStyle w:val="6"/>
        <w:tabs>
          <w:tab w:val="left" w:pos="2160"/>
        </w:tabs>
        <w:spacing w:line="600" w:lineRule="exact"/>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建立单位专项资金管理制度，规范约束专项资金的使用和执行管理。加强项目入库绩效指标值设置审核，指标设置更符合项目绩效管理要求。</w:t>
      </w:r>
    </w:p>
    <w:p w14:paraId="7C43BEF6">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Style w:val="29"/>
          <w:rFonts w:hint="eastAsia" w:ascii="仿宋" w:hAnsi="仿宋" w:eastAsia="仿宋" w:cs="仿宋"/>
          <w:b w:val="0"/>
          <w:sz w:val="32"/>
          <w:szCs w:val="32"/>
          <w:lang w:eastAsia="zh-CN"/>
        </w:rPr>
      </w:pPr>
      <w:r>
        <w:rPr>
          <w:rStyle w:val="29"/>
          <w:rFonts w:hint="eastAsia" w:ascii="仿宋" w:hAnsi="仿宋" w:eastAsia="仿宋" w:cs="仿宋"/>
          <w:b w:val="0"/>
          <w:sz w:val="32"/>
          <w:szCs w:val="32"/>
          <w:lang w:eastAsia="zh-CN"/>
        </w:rPr>
        <w:tab/>
      </w:r>
    </w:p>
    <w:tbl>
      <w:tblPr>
        <w:tblStyle w:val="17"/>
        <w:tblpPr w:leftFromText="180" w:rightFromText="180" w:vertAnchor="text" w:horzAnchor="page" w:tblpX="100" w:tblpY="-14466"/>
        <w:tblOverlap w:val="never"/>
        <w:tblW w:w="111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28"/>
        <w:gridCol w:w="1541"/>
        <w:gridCol w:w="1542"/>
        <w:gridCol w:w="2358"/>
        <w:gridCol w:w="1238"/>
        <w:gridCol w:w="1443"/>
        <w:gridCol w:w="933"/>
        <w:gridCol w:w="817"/>
      </w:tblGrid>
      <w:tr w14:paraId="3EE4C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11100" w:type="dxa"/>
            <w:gridSpan w:val="8"/>
            <w:tcBorders>
              <w:top w:val="nil"/>
              <w:left w:val="nil"/>
              <w:bottom w:val="nil"/>
              <w:right w:val="nil"/>
            </w:tcBorders>
            <w:noWrap w:val="0"/>
            <w:vAlign w:val="center"/>
          </w:tcPr>
          <w:p w14:paraId="5D660EA9">
            <w:pPr>
              <w:keepNext w:val="0"/>
              <w:keepLines w:val="0"/>
              <w:pageBreakBefore w:val="0"/>
              <w:widowControl/>
              <w:suppressLineNumbers w:val="0"/>
              <w:kinsoku/>
              <w:wordWrap/>
              <w:overflowPunct/>
              <w:topLinePunct w:val="0"/>
              <w:bidi w:val="0"/>
              <w:spacing w:line="560" w:lineRule="exact"/>
              <w:ind w:firstLine="3600" w:firstLineChars="1200"/>
              <w:jc w:val="both"/>
              <w:textAlignment w:val="center"/>
              <w:outlineLvl w:val="9"/>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部门整体支出绩效目标完成情况自评表</w:t>
            </w:r>
          </w:p>
        </w:tc>
      </w:tr>
      <w:tr w14:paraId="38D50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100" w:type="dxa"/>
            <w:gridSpan w:val="8"/>
            <w:tcBorders>
              <w:top w:val="nil"/>
              <w:left w:val="nil"/>
              <w:bottom w:val="nil"/>
              <w:right w:val="nil"/>
            </w:tcBorders>
            <w:noWrap w:val="0"/>
            <w:vAlign w:val="center"/>
          </w:tcPr>
          <w:p w14:paraId="66C752D6">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w:t>
            </w:r>
            <w:r>
              <w:rPr>
                <w:rFonts w:hint="eastAsia" w:ascii="宋体" w:hAnsi="宋体" w:eastAsia="宋体" w:cs="宋体"/>
                <w:i w:val="0"/>
                <w:iCs w:val="0"/>
                <w:color w:val="000000"/>
                <w:kern w:val="0"/>
                <w:sz w:val="18"/>
                <w:szCs w:val="18"/>
                <w:u w:val="none"/>
                <w:lang w:val="en-US" w:eastAsia="zh-CN" w:bidi="ar"/>
              </w:rPr>
              <w:t>5</w:t>
            </w:r>
            <w:r>
              <w:rPr>
                <w:rFonts w:ascii="宋体" w:hAnsi="宋体" w:eastAsia="宋体" w:cs="宋体"/>
                <w:i w:val="0"/>
                <w:iCs w:val="0"/>
                <w:color w:val="000000"/>
                <w:kern w:val="0"/>
                <w:sz w:val="18"/>
                <w:szCs w:val="18"/>
                <w:u w:val="none"/>
                <w:lang w:val="en-US" w:eastAsia="zh-CN" w:bidi="ar"/>
              </w:rPr>
              <w:t>年度）</w:t>
            </w:r>
          </w:p>
        </w:tc>
      </w:tr>
      <w:tr w14:paraId="1D1BA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100" w:type="dxa"/>
            <w:gridSpan w:val="8"/>
            <w:tcBorders>
              <w:top w:val="nil"/>
              <w:left w:val="nil"/>
              <w:bottom w:val="single" w:color="000000" w:sz="4" w:space="0"/>
              <w:right w:val="nil"/>
            </w:tcBorders>
            <w:noWrap w:val="0"/>
            <w:vAlign w:val="center"/>
          </w:tcPr>
          <w:p w14:paraId="6547A97F">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14:paraId="6FC30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311" w:type="dxa"/>
            <w:gridSpan w:val="3"/>
            <w:tcBorders>
              <w:top w:val="single" w:color="000000" w:sz="4" w:space="0"/>
              <w:left w:val="single" w:color="000000" w:sz="4" w:space="0"/>
              <w:bottom w:val="single" w:color="000000" w:sz="4" w:space="0"/>
              <w:right w:val="single" w:color="000000" w:sz="4" w:space="0"/>
            </w:tcBorders>
            <w:noWrap w:val="0"/>
            <w:vAlign w:val="center"/>
          </w:tcPr>
          <w:p w14:paraId="3FCC5251">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14:paraId="1359A5D3">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茂县工商业联合会</w:t>
            </w:r>
          </w:p>
        </w:tc>
      </w:tr>
      <w:tr w14:paraId="20A7E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228" w:type="dxa"/>
            <w:vMerge w:val="restart"/>
            <w:tcBorders>
              <w:top w:val="single" w:color="000000" w:sz="4" w:space="0"/>
              <w:left w:val="single" w:color="000000" w:sz="4" w:space="0"/>
              <w:bottom w:val="single" w:color="000000" w:sz="4" w:space="0"/>
              <w:right w:val="single" w:color="000000" w:sz="4" w:space="0"/>
            </w:tcBorders>
            <w:noWrap w:val="0"/>
            <w:vAlign w:val="center"/>
          </w:tcPr>
          <w:p w14:paraId="67CCC105">
            <w:pPr>
              <w:keepNext w:val="0"/>
              <w:keepLines w:val="0"/>
              <w:pageBreakBefore w:val="0"/>
              <w:widowControl/>
              <w:suppressLineNumbers w:val="0"/>
              <w:kinsoku/>
              <w:wordWrap/>
              <w:overflowPunct/>
              <w:topLinePunct w:val="0"/>
              <w:bidi w:val="0"/>
              <w:spacing w:line="560" w:lineRule="exact"/>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14:paraId="3E2B1B5E">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3596" w:type="dxa"/>
            <w:gridSpan w:val="2"/>
            <w:tcBorders>
              <w:top w:val="single" w:color="000000" w:sz="4" w:space="0"/>
              <w:left w:val="single" w:color="000000" w:sz="4" w:space="0"/>
              <w:bottom w:val="single" w:color="000000" w:sz="4" w:space="0"/>
              <w:right w:val="single" w:color="000000" w:sz="4" w:space="0"/>
            </w:tcBorders>
            <w:noWrap w:val="0"/>
            <w:vAlign w:val="center"/>
          </w:tcPr>
          <w:p w14:paraId="7D8B1F9F">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3193" w:type="dxa"/>
            <w:gridSpan w:val="3"/>
            <w:tcBorders>
              <w:top w:val="single" w:color="000000" w:sz="4" w:space="0"/>
              <w:left w:val="single" w:color="000000" w:sz="4" w:space="0"/>
              <w:bottom w:val="single" w:color="000000" w:sz="4" w:space="0"/>
              <w:right w:val="single" w:color="000000" w:sz="4" w:space="0"/>
            </w:tcBorders>
            <w:noWrap w:val="0"/>
            <w:vAlign w:val="center"/>
          </w:tcPr>
          <w:p w14:paraId="248216B8">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14:paraId="14F11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B35F0A">
            <w:pPr>
              <w:keepNext w:val="0"/>
              <w:keepLines w:val="0"/>
              <w:pageBreakBefore w:val="0"/>
              <w:kinsoku/>
              <w:wordWrap/>
              <w:overflowPunct/>
              <w:topLinePunct w:val="0"/>
              <w:bidi w:val="0"/>
              <w:spacing w:line="560" w:lineRule="exact"/>
              <w:ind w:firstLine="360" w:firstLineChars="200"/>
              <w:jc w:val="center"/>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14:paraId="279766F5">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121.81</w:t>
            </w:r>
          </w:p>
        </w:tc>
        <w:tc>
          <w:tcPr>
            <w:tcW w:w="3596" w:type="dxa"/>
            <w:gridSpan w:val="2"/>
            <w:tcBorders>
              <w:top w:val="single" w:color="000000" w:sz="4" w:space="0"/>
              <w:left w:val="single" w:color="000000" w:sz="4" w:space="0"/>
              <w:bottom w:val="single" w:color="000000" w:sz="4" w:space="0"/>
              <w:right w:val="single" w:color="000000" w:sz="4" w:space="0"/>
            </w:tcBorders>
            <w:noWrap w:val="0"/>
            <w:vAlign w:val="center"/>
          </w:tcPr>
          <w:p w14:paraId="3F3026C9">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121.81</w:t>
            </w:r>
          </w:p>
        </w:tc>
        <w:tc>
          <w:tcPr>
            <w:tcW w:w="3193" w:type="dxa"/>
            <w:gridSpan w:val="3"/>
            <w:tcBorders>
              <w:top w:val="single" w:color="000000" w:sz="4" w:space="0"/>
              <w:left w:val="single" w:color="000000" w:sz="4" w:space="0"/>
              <w:bottom w:val="single" w:color="000000" w:sz="4" w:space="0"/>
              <w:right w:val="single" w:color="000000" w:sz="4" w:space="0"/>
            </w:tcBorders>
            <w:noWrap w:val="0"/>
            <w:vAlign w:val="center"/>
          </w:tcPr>
          <w:p w14:paraId="67F80E96">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r>
      <w:tr w14:paraId="13ED5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228" w:type="dxa"/>
            <w:tcBorders>
              <w:top w:val="single" w:color="000000" w:sz="4" w:space="0"/>
              <w:left w:val="single" w:color="000000" w:sz="4" w:space="0"/>
              <w:bottom w:val="single" w:color="000000" w:sz="4" w:space="0"/>
              <w:right w:val="single" w:color="000000" w:sz="4" w:space="0"/>
            </w:tcBorders>
            <w:noWrap w:val="0"/>
            <w:vAlign w:val="center"/>
          </w:tcPr>
          <w:p w14:paraId="3EE85F96">
            <w:pPr>
              <w:keepNext w:val="0"/>
              <w:keepLines w:val="0"/>
              <w:pageBreakBefore w:val="0"/>
              <w:widowControl/>
              <w:suppressLineNumbers w:val="0"/>
              <w:kinsoku/>
              <w:wordWrap/>
              <w:overflowPunct/>
              <w:topLinePunct w:val="0"/>
              <w:bidi w:val="0"/>
              <w:spacing w:line="560" w:lineRule="exact"/>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9872" w:type="dxa"/>
            <w:gridSpan w:val="7"/>
            <w:tcBorders>
              <w:top w:val="single" w:color="000000" w:sz="4" w:space="0"/>
              <w:left w:val="single" w:color="000000" w:sz="4" w:space="0"/>
              <w:bottom w:val="single" w:color="000000" w:sz="4" w:space="0"/>
              <w:right w:val="single" w:color="000000" w:sz="4" w:space="0"/>
            </w:tcBorders>
            <w:noWrap w:val="0"/>
            <w:vAlign w:val="center"/>
          </w:tcPr>
          <w:p w14:paraId="454B4BDB">
            <w:pPr>
              <w:keepNext w:val="0"/>
              <w:keepLines w:val="0"/>
              <w:pageBreakBefore w:val="0"/>
              <w:widowControl/>
              <w:suppressLineNumbers w:val="0"/>
              <w:kinsoku/>
              <w:wordWrap/>
              <w:overflowPunct/>
              <w:topLinePunct w:val="0"/>
              <w:bidi w:val="0"/>
              <w:spacing w:line="560" w:lineRule="exact"/>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发挥</w:t>
            </w:r>
            <w:r>
              <w:rPr>
                <w:rFonts w:hint="eastAsia" w:ascii="宋体" w:hAnsi="宋体" w:cs="宋体"/>
                <w:i w:val="0"/>
                <w:iCs w:val="0"/>
                <w:color w:val="000000"/>
                <w:kern w:val="0"/>
                <w:sz w:val="18"/>
                <w:szCs w:val="18"/>
                <w:u w:val="none"/>
                <w:lang w:val="en-US" w:eastAsia="zh-CN" w:bidi="ar"/>
              </w:rPr>
              <w:t>非</w:t>
            </w:r>
            <w:r>
              <w:rPr>
                <w:rFonts w:ascii="宋体" w:hAnsi="宋体" w:eastAsia="宋体" w:cs="宋体"/>
                <w:i w:val="0"/>
                <w:iCs w:val="0"/>
                <w:color w:val="000000"/>
                <w:kern w:val="0"/>
                <w:sz w:val="18"/>
                <w:szCs w:val="18"/>
                <w:u w:val="none"/>
                <w:lang w:val="en-US" w:eastAsia="zh-CN" w:bidi="ar"/>
              </w:rPr>
              <w:t>公有制经济人士思想政治中的引导作用。发挥在政府管理和服务非公有制经济中的助手作用。促进行业协会商会改革发展。</w:t>
            </w:r>
          </w:p>
        </w:tc>
      </w:tr>
      <w:tr w14:paraId="122F3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228" w:type="dxa"/>
            <w:vMerge w:val="restart"/>
            <w:tcBorders>
              <w:top w:val="single" w:color="000000" w:sz="4" w:space="0"/>
              <w:left w:val="single" w:color="000000" w:sz="4" w:space="0"/>
              <w:bottom w:val="single" w:color="000000" w:sz="4" w:space="0"/>
              <w:right w:val="single" w:color="000000" w:sz="4" w:space="0"/>
            </w:tcBorders>
            <w:noWrap w:val="0"/>
            <w:vAlign w:val="center"/>
          </w:tcPr>
          <w:p w14:paraId="0E2F2138">
            <w:pPr>
              <w:keepNext w:val="0"/>
              <w:keepLines w:val="0"/>
              <w:pageBreakBefore w:val="0"/>
              <w:widowControl/>
              <w:suppressLineNumbers w:val="0"/>
              <w:kinsoku/>
              <w:wordWrap/>
              <w:overflowPunct/>
              <w:topLinePunct w:val="0"/>
              <w:bidi w:val="0"/>
              <w:spacing w:line="560" w:lineRule="exact"/>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14:paraId="2F5F4B8C">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14:paraId="5EC3D4E8">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14:paraId="6A15C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AF98CA">
            <w:pPr>
              <w:keepNext w:val="0"/>
              <w:keepLines w:val="0"/>
              <w:pageBreakBefore w:val="0"/>
              <w:kinsoku/>
              <w:wordWrap/>
              <w:overflowPunct/>
              <w:topLinePunct w:val="0"/>
              <w:bidi w:val="0"/>
              <w:spacing w:line="560" w:lineRule="exact"/>
              <w:ind w:firstLine="360" w:firstLineChars="200"/>
              <w:jc w:val="center"/>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14:paraId="58829CF5">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抓好非公有制经济人士的理想信念教育活动</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14:paraId="1EF49A6E">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增强非公有制经济人士对中国特色社会主义的信念，对党和政府的信任，对自身企业发展的信心。引导广大非公有制经济人士积极投身我县经济社会建设。</w:t>
            </w:r>
          </w:p>
        </w:tc>
      </w:tr>
      <w:tr w14:paraId="1E6B8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5"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AE9FAF">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14:paraId="54D2F0FA">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继续开展到会员企业“走基层”活动</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14:paraId="29CCA5CA">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各个行业、各个规模、各个类型的会员企业开展全面调研和走访。实行调研工作全覆盖，广泛征求会员企业对工商联工作的意见建议，全面了解各个行业的共性问题和各个会员企业的实际困难，探讨建立会员企业评估机制，切实帮助解决会员企业实际问题。</w:t>
            </w:r>
          </w:p>
        </w:tc>
      </w:tr>
      <w:tr w14:paraId="1FD50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DE3A05">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14:paraId="20D4F606">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续加强对基层商会的工作指导</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14:paraId="72747674">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我会将及时跟进片区商会开展活动的情况，引导片区商会会员加强行业自律，切实增强商会凝聚力。继续当好会员企业的贴心人。加强对基层商会的工作指导。</w:t>
            </w:r>
          </w:p>
        </w:tc>
      </w:tr>
      <w:tr w14:paraId="1C383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A2C9CB">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14:paraId="444B0BE0">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继续搞好服务，促进“两个健康”发展</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14:paraId="41AF01E6">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通过到企业走访、召开座谈会，广泛征求意见，为党委、政府决策提供有价值的参考依据；二是加大宣传力度，运用好宣传等媒介，及时宣传报道涌现出的先进典型，营造非公有制经济发展的良好氛围；三是搭建各种平台，为企业提供信息、融资、法律、人才等方面的服务。</w:t>
            </w:r>
          </w:p>
        </w:tc>
      </w:tr>
      <w:tr w14:paraId="1851B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27F628">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14:paraId="58634C31">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按照省州安排，加强与浙江省嘉兴市平湖市对接和联系</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14:paraId="34D75F34">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全力做好“万企兴万村”及乡村振兴工作。</w:t>
            </w:r>
          </w:p>
        </w:tc>
      </w:tr>
      <w:tr w14:paraId="70069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B9E1DB">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14:paraId="63654A95">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基本支出</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14:paraId="1CBE7966">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r>
      <w:tr w14:paraId="26D6B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AEE929">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14:paraId="1622F82C">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认真学习中央、省州文件精神</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14:paraId="37141DC8">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营造浓厚的学习氛围，提高非公有制经济人士的政治素质。</w:t>
            </w:r>
          </w:p>
        </w:tc>
      </w:tr>
      <w:tr w14:paraId="61087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1228" w:type="dxa"/>
            <w:vMerge w:val="restart"/>
            <w:tcBorders>
              <w:top w:val="single" w:color="000000" w:sz="4" w:space="0"/>
              <w:left w:val="single" w:color="000000" w:sz="4" w:space="0"/>
              <w:bottom w:val="single" w:color="000000" w:sz="4" w:space="0"/>
              <w:right w:val="single" w:color="000000" w:sz="4" w:space="0"/>
            </w:tcBorders>
            <w:noWrap w:val="0"/>
            <w:vAlign w:val="center"/>
          </w:tcPr>
          <w:p w14:paraId="158EE591">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1541" w:type="dxa"/>
            <w:tcBorders>
              <w:top w:val="single" w:color="000000" w:sz="4" w:space="0"/>
              <w:left w:val="nil"/>
              <w:bottom w:val="single" w:color="000000" w:sz="4" w:space="0"/>
              <w:right w:val="single" w:color="000000" w:sz="4" w:space="0"/>
            </w:tcBorders>
            <w:noWrap w:val="0"/>
            <w:vAlign w:val="center"/>
          </w:tcPr>
          <w:p w14:paraId="514267CC">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42" w:type="dxa"/>
            <w:tcBorders>
              <w:top w:val="single" w:color="000000" w:sz="4" w:space="0"/>
              <w:left w:val="single" w:color="000000" w:sz="4" w:space="0"/>
              <w:bottom w:val="single" w:color="000000" w:sz="4" w:space="0"/>
              <w:right w:val="single" w:color="000000" w:sz="4" w:space="0"/>
            </w:tcBorders>
            <w:noWrap w:val="0"/>
            <w:vAlign w:val="center"/>
          </w:tcPr>
          <w:p w14:paraId="245DF58E">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14:paraId="055B27A8">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50B7F127">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14:paraId="7973EA21">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14:paraId="7CB554E1">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14:paraId="13F731DD">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14:paraId="04E9E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3E7B4C">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restart"/>
            <w:tcBorders>
              <w:top w:val="single" w:color="000000" w:sz="4" w:space="0"/>
              <w:left w:val="nil"/>
              <w:bottom w:val="single" w:color="000000" w:sz="4" w:space="0"/>
              <w:right w:val="single" w:color="000000" w:sz="4" w:space="0"/>
            </w:tcBorders>
            <w:noWrap w:val="0"/>
            <w:vAlign w:val="center"/>
          </w:tcPr>
          <w:p w14:paraId="37D19A6B">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42" w:type="dxa"/>
            <w:tcBorders>
              <w:top w:val="single" w:color="000000" w:sz="4" w:space="0"/>
              <w:left w:val="single" w:color="000000" w:sz="4" w:space="0"/>
              <w:bottom w:val="single" w:color="000000" w:sz="4" w:space="0"/>
              <w:right w:val="single" w:color="000000" w:sz="4" w:space="0"/>
            </w:tcBorders>
            <w:noWrap w:val="0"/>
            <w:vAlign w:val="center"/>
          </w:tcPr>
          <w:p w14:paraId="385906B7">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14:paraId="11273E9B">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17FEBB88">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14:paraId="1A7A6243">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14:paraId="31991D8D">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14:paraId="186CC66A">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26BBD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F89ED7">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continue"/>
            <w:tcBorders>
              <w:top w:val="single" w:color="000000" w:sz="4" w:space="0"/>
              <w:left w:val="nil"/>
              <w:bottom w:val="single" w:color="000000" w:sz="4" w:space="0"/>
              <w:right w:val="single" w:color="000000" w:sz="4" w:space="0"/>
            </w:tcBorders>
            <w:noWrap w:val="0"/>
            <w:vAlign w:val="center"/>
          </w:tcPr>
          <w:p w14:paraId="417C2E75">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2" w:type="dxa"/>
            <w:tcBorders>
              <w:top w:val="single" w:color="000000" w:sz="4" w:space="0"/>
              <w:left w:val="single" w:color="000000" w:sz="4" w:space="0"/>
              <w:bottom w:val="single" w:color="000000" w:sz="4" w:space="0"/>
              <w:right w:val="single" w:color="000000" w:sz="4" w:space="0"/>
            </w:tcBorders>
            <w:noWrap w:val="0"/>
            <w:vAlign w:val="center"/>
          </w:tcPr>
          <w:p w14:paraId="4676276D">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14:paraId="7B47528A">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78AEF9D1">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14:paraId="1704F0E3">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14:paraId="22E86890">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14:paraId="432A00E2">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0E07A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005478">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continue"/>
            <w:tcBorders>
              <w:top w:val="single" w:color="000000" w:sz="4" w:space="0"/>
              <w:left w:val="nil"/>
              <w:bottom w:val="single" w:color="000000" w:sz="4" w:space="0"/>
              <w:right w:val="single" w:color="000000" w:sz="4" w:space="0"/>
            </w:tcBorders>
            <w:noWrap w:val="0"/>
            <w:vAlign w:val="center"/>
          </w:tcPr>
          <w:p w14:paraId="23A81A96">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2" w:type="dxa"/>
            <w:tcBorders>
              <w:top w:val="single" w:color="000000" w:sz="4" w:space="0"/>
              <w:left w:val="single" w:color="000000" w:sz="4" w:space="0"/>
              <w:bottom w:val="single" w:color="000000" w:sz="4" w:space="0"/>
              <w:right w:val="single" w:color="000000" w:sz="4" w:space="0"/>
            </w:tcBorders>
            <w:noWrap w:val="0"/>
            <w:vAlign w:val="center"/>
          </w:tcPr>
          <w:p w14:paraId="471C2849">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14:paraId="38D0CEE2">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按时发发率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264074AF">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14:paraId="4E490A95">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14:paraId="0744E649">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14:paraId="7463CE78">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14:paraId="487D9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730568">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restart"/>
            <w:tcBorders>
              <w:top w:val="single" w:color="000000" w:sz="4" w:space="0"/>
              <w:left w:val="nil"/>
              <w:bottom w:val="single" w:color="000000" w:sz="4" w:space="0"/>
              <w:right w:val="single" w:color="000000" w:sz="4" w:space="0"/>
            </w:tcBorders>
            <w:noWrap w:val="0"/>
            <w:vAlign w:val="center"/>
          </w:tcPr>
          <w:p w14:paraId="5E0DFFC2">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42" w:type="dxa"/>
            <w:vMerge w:val="restart"/>
            <w:tcBorders>
              <w:top w:val="single" w:color="000000" w:sz="4" w:space="0"/>
              <w:left w:val="single" w:color="000000" w:sz="4" w:space="0"/>
              <w:bottom w:val="single" w:color="000000" w:sz="4" w:space="0"/>
              <w:right w:val="single" w:color="000000" w:sz="4" w:space="0"/>
            </w:tcBorders>
            <w:noWrap w:val="0"/>
            <w:vAlign w:val="center"/>
          </w:tcPr>
          <w:p w14:paraId="5FAE00A8">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14:paraId="027DFF63">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2D90A18F">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14:paraId="0B3D72E2">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14:paraId="45495C01">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14:paraId="2F342822">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7711E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A3857E">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continue"/>
            <w:tcBorders>
              <w:top w:val="single" w:color="000000" w:sz="4" w:space="0"/>
              <w:left w:val="nil"/>
              <w:bottom w:val="single" w:color="000000" w:sz="4" w:space="0"/>
              <w:right w:val="single" w:color="000000" w:sz="4" w:space="0"/>
            </w:tcBorders>
            <w:noWrap w:val="0"/>
            <w:vAlign w:val="center"/>
          </w:tcPr>
          <w:p w14:paraId="6A5CB9D0">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48B059">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2358" w:type="dxa"/>
            <w:tcBorders>
              <w:top w:val="single" w:color="000000" w:sz="4" w:space="0"/>
              <w:left w:val="single" w:color="000000" w:sz="4" w:space="0"/>
              <w:bottom w:val="single" w:color="000000" w:sz="4" w:space="0"/>
              <w:right w:val="single" w:color="000000" w:sz="4" w:space="0"/>
            </w:tcBorders>
            <w:noWrap w:val="0"/>
            <w:vAlign w:val="center"/>
          </w:tcPr>
          <w:p w14:paraId="0F6315EB">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1967C85E">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14:paraId="0C98C3EC">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14:paraId="5004864D">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14:paraId="4DCDA7EA">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14:paraId="4FF1A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C7A8A1">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continue"/>
            <w:tcBorders>
              <w:top w:val="single" w:color="000000" w:sz="4" w:space="0"/>
              <w:left w:val="nil"/>
              <w:bottom w:val="single" w:color="000000" w:sz="4" w:space="0"/>
              <w:right w:val="single" w:color="000000" w:sz="4" w:space="0"/>
            </w:tcBorders>
            <w:noWrap w:val="0"/>
            <w:vAlign w:val="center"/>
          </w:tcPr>
          <w:p w14:paraId="5E7F6591">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6E616E">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2358" w:type="dxa"/>
            <w:tcBorders>
              <w:top w:val="single" w:color="000000" w:sz="4" w:space="0"/>
              <w:left w:val="single" w:color="000000" w:sz="4" w:space="0"/>
              <w:bottom w:val="single" w:color="000000" w:sz="4" w:space="0"/>
              <w:right w:val="single" w:color="000000" w:sz="4" w:space="0"/>
            </w:tcBorders>
            <w:noWrap w:val="0"/>
            <w:vAlign w:val="center"/>
          </w:tcPr>
          <w:p w14:paraId="679C4454">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503A6A7E">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14:paraId="1E4B9A15">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14:paraId="7DCE64DC">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14:paraId="42E3DC43">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6E0B7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743939">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continue"/>
            <w:tcBorders>
              <w:top w:val="single" w:color="000000" w:sz="4" w:space="0"/>
              <w:left w:val="nil"/>
              <w:bottom w:val="single" w:color="000000" w:sz="4" w:space="0"/>
              <w:right w:val="single" w:color="000000" w:sz="4" w:space="0"/>
            </w:tcBorders>
            <w:noWrap w:val="0"/>
            <w:vAlign w:val="center"/>
          </w:tcPr>
          <w:p w14:paraId="58469677">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2" w:type="dxa"/>
            <w:tcBorders>
              <w:top w:val="single" w:color="000000" w:sz="4" w:space="0"/>
              <w:left w:val="single" w:color="000000" w:sz="4" w:space="0"/>
              <w:bottom w:val="single" w:color="000000" w:sz="4" w:space="0"/>
              <w:right w:val="single" w:color="000000" w:sz="4" w:space="0"/>
            </w:tcBorders>
            <w:noWrap w:val="0"/>
            <w:vAlign w:val="center"/>
          </w:tcPr>
          <w:p w14:paraId="0203B420">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14:paraId="43589D31">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引导非公经济人士爱国、敬业、诚信、守法、贡献</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18B09638">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14:paraId="1465BAA3">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14:paraId="19200278">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人/户</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14:paraId="39A191FF">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25ACA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C3C224">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tcBorders>
              <w:top w:val="single" w:color="000000" w:sz="4" w:space="0"/>
              <w:left w:val="nil"/>
              <w:bottom w:val="single" w:color="000000" w:sz="4" w:space="0"/>
              <w:right w:val="single" w:color="000000" w:sz="4" w:space="0"/>
            </w:tcBorders>
            <w:noWrap w:val="0"/>
            <w:vAlign w:val="center"/>
          </w:tcPr>
          <w:p w14:paraId="31AA9A62">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542" w:type="dxa"/>
            <w:tcBorders>
              <w:top w:val="single" w:color="000000" w:sz="4" w:space="0"/>
              <w:left w:val="single" w:color="000000" w:sz="4" w:space="0"/>
              <w:bottom w:val="single" w:color="000000" w:sz="4" w:space="0"/>
              <w:right w:val="single" w:color="000000" w:sz="4" w:space="0"/>
            </w:tcBorders>
            <w:noWrap w:val="0"/>
            <w:vAlign w:val="center"/>
          </w:tcPr>
          <w:p w14:paraId="59D03F42">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14:paraId="2F4D0FA6">
            <w:pPr>
              <w:keepNext w:val="0"/>
              <w:keepLines w:val="0"/>
              <w:pageBreakBefore w:val="0"/>
              <w:widowControl/>
              <w:suppressLineNumbers w:val="0"/>
              <w:kinsoku/>
              <w:wordWrap/>
              <w:overflowPunct/>
              <w:topLinePunct w:val="0"/>
              <w:bidi w:val="0"/>
              <w:spacing w:line="560" w:lineRule="exact"/>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广泛征求会员企业对工商联工作的意见建议，全面了解各个行业的共性问题和各个会员企业的实际困难，切实帮助解决会员企业实际问题，确保会员企业满意。</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13606BE2">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14:paraId="6A2FBB4A">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14:paraId="366E06BA">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14:paraId="7FA1DEF9">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bl>
    <w:p w14:paraId="29B62419">
      <w:pPr>
        <w:keepNext w:val="0"/>
        <w:keepLines w:val="0"/>
        <w:pageBreakBefore w:val="0"/>
        <w:tabs>
          <w:tab w:val="left" w:pos="756"/>
        </w:tabs>
        <w:kinsoku/>
        <w:wordWrap/>
        <w:overflowPunct/>
        <w:topLinePunct w:val="0"/>
        <w:bidi w:val="0"/>
        <w:spacing w:line="560" w:lineRule="exact"/>
        <w:ind w:firstLine="880" w:firstLineChars="200"/>
        <w:jc w:val="both"/>
        <w:outlineLvl w:val="9"/>
        <w:rPr>
          <w:rStyle w:val="29"/>
          <w:rFonts w:hint="eastAsia" w:ascii="方正小标宋简体" w:hAnsi="方正小标宋简体" w:eastAsia="方正小标宋简体" w:cs="方正小标宋简体"/>
          <w:b w:val="0"/>
          <w:lang w:eastAsia="zh-CN"/>
        </w:rPr>
      </w:pPr>
    </w:p>
    <w:p w14:paraId="6D2D2B36">
      <w:pPr>
        <w:keepNext w:val="0"/>
        <w:keepLines w:val="0"/>
        <w:pageBreakBefore w:val="0"/>
        <w:kinsoku/>
        <w:wordWrap/>
        <w:overflowPunct/>
        <w:topLinePunct w:val="0"/>
        <w:bidi w:val="0"/>
        <w:spacing w:line="560" w:lineRule="exact"/>
        <w:ind w:firstLine="880" w:firstLineChars="200"/>
        <w:jc w:val="both"/>
        <w:outlineLvl w:val="9"/>
        <w:rPr>
          <w:rFonts w:hint="eastAsia" w:ascii="黑体" w:hAnsi="黑体" w:eastAsia="黑体"/>
          <w:color w:val="auto"/>
          <w:sz w:val="44"/>
          <w:szCs w:val="44"/>
          <w:highlight w:val="none"/>
        </w:rPr>
      </w:pPr>
    </w:p>
    <w:p w14:paraId="7704A891">
      <w:pPr>
        <w:keepNext w:val="0"/>
        <w:keepLines w:val="0"/>
        <w:pageBreakBefore w:val="0"/>
        <w:kinsoku/>
        <w:wordWrap/>
        <w:overflowPunct/>
        <w:topLinePunct w:val="0"/>
        <w:bidi w:val="0"/>
        <w:spacing w:line="560" w:lineRule="exact"/>
        <w:ind w:firstLine="880" w:firstLineChars="200"/>
        <w:jc w:val="both"/>
        <w:outlineLvl w:val="9"/>
        <w:rPr>
          <w:rFonts w:hint="eastAsia" w:ascii="黑体" w:hAnsi="黑体" w:eastAsia="黑体"/>
          <w:color w:val="auto"/>
          <w:sz w:val="44"/>
          <w:szCs w:val="44"/>
          <w:highlight w:val="none"/>
        </w:rPr>
      </w:pPr>
    </w:p>
    <w:p w14:paraId="2BCA3A1F">
      <w:pPr>
        <w:pStyle w:val="6"/>
        <w:rPr>
          <w:rFonts w:hint="eastAsia" w:ascii="仿宋_GB2312" w:hAnsi="Calibri" w:eastAsia="仿宋_GB2312" w:cs="仿宋"/>
          <w:color w:val="auto"/>
          <w:kern w:val="0"/>
          <w:sz w:val="32"/>
          <w:szCs w:val="32"/>
          <w:highlight w:val="none"/>
          <w:lang w:val="en-US" w:eastAsia="zh-CN" w:bidi="ar-SA"/>
        </w:rPr>
      </w:pPr>
    </w:p>
    <w:p w14:paraId="58056C27">
      <w:pPr>
        <w:rPr>
          <w:rFonts w:hint="eastAsia" w:ascii="Times New Roman" w:hAnsi="Times New Roman" w:eastAsia="黑体" w:cs="黑体"/>
          <w:color w:val="auto"/>
          <w:kern w:val="0"/>
          <w:sz w:val="32"/>
          <w:szCs w:val="32"/>
          <w:highlight w:val="none"/>
          <w:shd w:val="clear" w:color="auto" w:fill="FFFFFF"/>
          <w:lang w:val="zh-CN"/>
        </w:rPr>
      </w:pPr>
    </w:p>
    <w:p w14:paraId="3756CD7B">
      <w:pPr>
        <w:widowControl/>
        <w:jc w:val="center"/>
        <w:rPr>
          <w:rFonts w:hint="eastAsia" w:ascii="Times New Roman" w:hAnsi="Times New Roman" w:eastAsia="仿宋"/>
          <w:b w:val="0"/>
          <w:color w:val="auto"/>
          <w:highlight w:val="none"/>
        </w:rPr>
      </w:pPr>
      <w:bookmarkStart w:id="54" w:name="_Toc15396618"/>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53"/>
      <w:bookmarkEnd w:id="54"/>
      <w:bookmarkStart w:id="55" w:name="_Toc15396619"/>
    </w:p>
    <w:p w14:paraId="631D8800">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36F30FBB">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一、收入支出决算总表</w:t>
      </w:r>
      <w:bookmarkEnd w:id="55"/>
    </w:p>
    <w:p w14:paraId="1918C11E">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color w:val="auto"/>
          <w:sz w:val="32"/>
          <w:szCs w:val="32"/>
          <w:highlight w:val="none"/>
        </w:rPr>
      </w:pPr>
      <w:bookmarkStart w:id="56" w:name="_Toc15396620"/>
      <w:r>
        <w:rPr>
          <w:rFonts w:hint="eastAsia" w:ascii="仿宋" w:hAnsi="仿宋" w:eastAsia="仿宋" w:cs="仿宋"/>
          <w:color w:val="auto"/>
          <w:sz w:val="32"/>
          <w:szCs w:val="32"/>
          <w:highlight w:val="none"/>
        </w:rPr>
        <w:t>二、收入决算表</w:t>
      </w:r>
      <w:bookmarkEnd w:id="56"/>
    </w:p>
    <w:p w14:paraId="09447C9E">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color w:val="auto"/>
          <w:sz w:val="32"/>
          <w:szCs w:val="32"/>
          <w:highlight w:val="none"/>
        </w:rPr>
      </w:pPr>
      <w:bookmarkStart w:id="57" w:name="_Toc15396621"/>
      <w:r>
        <w:rPr>
          <w:rFonts w:hint="eastAsia" w:ascii="仿宋" w:hAnsi="仿宋" w:eastAsia="仿宋" w:cs="仿宋"/>
          <w:color w:val="auto"/>
          <w:sz w:val="32"/>
          <w:szCs w:val="32"/>
          <w:highlight w:val="none"/>
        </w:rPr>
        <w:t>三、支出决算表</w:t>
      </w:r>
      <w:bookmarkEnd w:id="57"/>
    </w:p>
    <w:p w14:paraId="1E11B7F6">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color w:val="auto"/>
          <w:sz w:val="32"/>
          <w:szCs w:val="32"/>
          <w:highlight w:val="none"/>
        </w:rPr>
      </w:pPr>
      <w:bookmarkStart w:id="58" w:name="_Toc15396622"/>
      <w:r>
        <w:rPr>
          <w:rFonts w:hint="eastAsia" w:ascii="仿宋" w:hAnsi="仿宋" w:eastAsia="仿宋" w:cs="仿宋"/>
          <w:color w:val="auto"/>
          <w:sz w:val="32"/>
          <w:szCs w:val="32"/>
          <w:highlight w:val="none"/>
        </w:rPr>
        <w:t>四、财政拨款收入支出决算总表</w:t>
      </w:r>
      <w:bookmarkEnd w:id="58"/>
    </w:p>
    <w:p w14:paraId="28780E0C">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color w:val="auto"/>
          <w:sz w:val="32"/>
          <w:szCs w:val="32"/>
          <w:highlight w:val="none"/>
        </w:rPr>
      </w:pPr>
      <w:bookmarkStart w:id="59" w:name="_Toc15396623"/>
      <w:r>
        <w:rPr>
          <w:rFonts w:hint="eastAsia" w:ascii="仿宋" w:hAnsi="仿宋" w:eastAsia="仿宋" w:cs="仿宋"/>
          <w:color w:val="auto"/>
          <w:sz w:val="32"/>
          <w:szCs w:val="32"/>
          <w:highlight w:val="none"/>
        </w:rPr>
        <w:t>五、财政拨款支出决算明细表</w:t>
      </w:r>
      <w:bookmarkEnd w:id="59"/>
      <w:bookmarkStart w:id="60" w:name="_Toc15396624"/>
    </w:p>
    <w:p w14:paraId="4D5D9557">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六、一般公共预算财政拨款支出决算表</w:t>
      </w:r>
      <w:bookmarkEnd w:id="60"/>
    </w:p>
    <w:p w14:paraId="6E88CFD5">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color w:val="auto"/>
          <w:sz w:val="32"/>
          <w:szCs w:val="32"/>
          <w:highlight w:val="none"/>
        </w:rPr>
      </w:pPr>
      <w:bookmarkStart w:id="61" w:name="_Toc15396625"/>
      <w:r>
        <w:rPr>
          <w:rFonts w:hint="eastAsia" w:ascii="仿宋" w:hAnsi="仿宋" w:eastAsia="仿宋" w:cs="仿宋"/>
          <w:color w:val="auto"/>
          <w:sz w:val="32"/>
          <w:szCs w:val="32"/>
          <w:highlight w:val="none"/>
        </w:rPr>
        <w:t>七、一般公共预算财政拨款支出决算明细表</w:t>
      </w:r>
      <w:bookmarkEnd w:id="61"/>
    </w:p>
    <w:p w14:paraId="518066DB">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color w:val="auto"/>
          <w:sz w:val="32"/>
          <w:szCs w:val="32"/>
          <w:highlight w:val="none"/>
        </w:rPr>
      </w:pPr>
      <w:bookmarkStart w:id="62" w:name="_Toc15396626"/>
      <w:r>
        <w:rPr>
          <w:rFonts w:hint="eastAsia" w:ascii="仿宋" w:hAnsi="仿宋" w:eastAsia="仿宋" w:cs="仿宋"/>
          <w:color w:val="auto"/>
          <w:sz w:val="32"/>
          <w:szCs w:val="32"/>
          <w:highlight w:val="none"/>
        </w:rPr>
        <w:t>八、一般公共预算财政拨款基本支出决算表</w:t>
      </w:r>
      <w:bookmarkEnd w:id="62"/>
    </w:p>
    <w:p w14:paraId="17334EF0">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color w:val="auto"/>
          <w:sz w:val="32"/>
          <w:szCs w:val="32"/>
          <w:highlight w:val="none"/>
        </w:rPr>
      </w:pPr>
      <w:bookmarkStart w:id="63" w:name="_Toc15396627"/>
      <w:r>
        <w:rPr>
          <w:rFonts w:hint="eastAsia" w:ascii="仿宋" w:hAnsi="仿宋" w:eastAsia="仿宋" w:cs="仿宋"/>
          <w:color w:val="auto"/>
          <w:sz w:val="32"/>
          <w:szCs w:val="32"/>
          <w:highlight w:val="none"/>
        </w:rPr>
        <w:t>九、一般公共预算财政拨款项目支出决算表</w:t>
      </w:r>
      <w:bookmarkEnd w:id="63"/>
    </w:p>
    <w:p w14:paraId="31116617">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color w:val="auto"/>
          <w:sz w:val="32"/>
          <w:szCs w:val="32"/>
          <w:highlight w:val="none"/>
        </w:rPr>
      </w:pPr>
      <w:bookmarkStart w:id="64" w:name="_Toc15396628"/>
      <w:r>
        <w:rPr>
          <w:rFonts w:hint="eastAsia" w:ascii="仿宋" w:hAnsi="仿宋" w:eastAsia="仿宋" w:cs="仿宋"/>
          <w:color w:val="auto"/>
          <w:sz w:val="32"/>
          <w:szCs w:val="32"/>
          <w:highlight w:val="none"/>
        </w:rPr>
        <w:t>十、</w:t>
      </w:r>
      <w:bookmarkEnd w:id="64"/>
      <w:r>
        <w:rPr>
          <w:rFonts w:hint="eastAsia" w:ascii="仿宋" w:hAnsi="仿宋" w:eastAsia="仿宋" w:cs="仿宋"/>
          <w:color w:val="auto"/>
          <w:sz w:val="32"/>
          <w:szCs w:val="32"/>
          <w:highlight w:val="none"/>
        </w:rPr>
        <w:t>政府性基金预算财政拨款收入支出决算表</w:t>
      </w:r>
    </w:p>
    <w:p w14:paraId="4BF098C6">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color w:val="auto"/>
          <w:sz w:val="32"/>
          <w:szCs w:val="32"/>
          <w:highlight w:val="none"/>
        </w:rPr>
      </w:pPr>
      <w:bookmarkStart w:id="65" w:name="_Toc15396629"/>
      <w:r>
        <w:rPr>
          <w:rFonts w:hint="eastAsia" w:ascii="仿宋" w:hAnsi="仿宋" w:eastAsia="仿宋" w:cs="仿宋"/>
          <w:color w:val="auto"/>
          <w:sz w:val="32"/>
          <w:szCs w:val="32"/>
          <w:highlight w:val="none"/>
        </w:rPr>
        <w:t>十一、</w:t>
      </w:r>
      <w:bookmarkEnd w:id="65"/>
      <w:r>
        <w:rPr>
          <w:rFonts w:hint="eastAsia" w:ascii="仿宋" w:hAnsi="仿宋" w:eastAsia="仿宋" w:cs="仿宋"/>
          <w:color w:val="auto"/>
          <w:sz w:val="32"/>
          <w:szCs w:val="32"/>
          <w:highlight w:val="none"/>
        </w:rPr>
        <w:t>国有资本经营预算</w:t>
      </w:r>
      <w:r>
        <w:rPr>
          <w:rFonts w:hint="eastAsia" w:ascii="仿宋" w:hAnsi="仿宋" w:eastAsia="仿宋" w:cs="仿宋"/>
          <w:color w:val="auto"/>
          <w:sz w:val="32"/>
          <w:szCs w:val="32"/>
          <w:highlight w:val="none"/>
          <w:lang w:eastAsia="zh-CN"/>
        </w:rPr>
        <w:t>财政拨款收入</w:t>
      </w:r>
      <w:r>
        <w:rPr>
          <w:rFonts w:hint="eastAsia" w:ascii="仿宋" w:hAnsi="仿宋" w:eastAsia="仿宋" w:cs="仿宋"/>
          <w:color w:val="auto"/>
          <w:sz w:val="32"/>
          <w:szCs w:val="32"/>
          <w:highlight w:val="none"/>
        </w:rPr>
        <w:t>支出决算表</w:t>
      </w:r>
    </w:p>
    <w:p w14:paraId="1A987F2E">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color w:val="auto"/>
          <w:sz w:val="32"/>
          <w:szCs w:val="32"/>
          <w:highlight w:val="none"/>
        </w:rPr>
      </w:pPr>
      <w:bookmarkStart w:id="66" w:name="_Toc15396630"/>
      <w:r>
        <w:rPr>
          <w:rFonts w:hint="eastAsia" w:ascii="仿宋" w:hAnsi="仿宋" w:eastAsia="仿宋" w:cs="仿宋"/>
          <w:color w:val="auto"/>
          <w:sz w:val="32"/>
          <w:szCs w:val="32"/>
          <w:highlight w:val="none"/>
        </w:rPr>
        <w:t>十二、</w:t>
      </w:r>
      <w:bookmarkEnd w:id="66"/>
      <w:r>
        <w:rPr>
          <w:rFonts w:hint="eastAsia" w:ascii="仿宋" w:hAnsi="仿宋" w:eastAsia="仿宋" w:cs="仿宋"/>
          <w:color w:val="auto"/>
          <w:sz w:val="32"/>
          <w:szCs w:val="32"/>
          <w:highlight w:val="none"/>
          <w:lang w:eastAsia="zh-CN"/>
        </w:rPr>
        <w:t>国有资本经营预算财政拨款支出决算表</w:t>
      </w:r>
    </w:p>
    <w:p w14:paraId="358891DA">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color w:val="auto"/>
          <w:sz w:val="32"/>
          <w:szCs w:val="32"/>
          <w:highlight w:val="none"/>
          <w:lang w:eastAsia="zh-CN"/>
        </w:rPr>
      </w:pPr>
      <w:bookmarkStart w:id="67" w:name="_Toc15396631"/>
      <w:r>
        <w:rPr>
          <w:rFonts w:hint="eastAsia" w:ascii="仿宋" w:hAnsi="仿宋" w:eastAsia="仿宋" w:cs="仿宋"/>
          <w:color w:val="auto"/>
          <w:sz w:val="32"/>
          <w:szCs w:val="32"/>
          <w:highlight w:val="none"/>
        </w:rPr>
        <w:t>十三、</w:t>
      </w:r>
      <w:bookmarkEnd w:id="67"/>
      <w:r>
        <w:rPr>
          <w:rFonts w:hint="eastAsia" w:ascii="仿宋" w:hAnsi="仿宋" w:eastAsia="仿宋" w:cs="仿宋"/>
          <w:color w:val="auto"/>
          <w:sz w:val="32"/>
          <w:szCs w:val="32"/>
          <w:highlight w:val="none"/>
          <w:lang w:eastAsia="zh-CN"/>
        </w:rPr>
        <w:t>财政拨款“三公”经费支出决算表</w:t>
      </w:r>
    </w:p>
    <w:p w14:paraId="5CBF9D6B">
      <w:pPr>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426BE">
    <w:pPr>
      <w:pStyle w:val="11"/>
      <w:jc w:val="center"/>
    </w:pPr>
  </w:p>
  <w:p w14:paraId="5EF8A9F9">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48D4F">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5C907">
    <w:pPr>
      <w:pStyle w:val="11"/>
      <w:jc w:val="center"/>
    </w:pPr>
  </w:p>
  <w:p w14:paraId="2C98CC46">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96851">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DA1BA">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66DA1BA">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805D8">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64741C"/>
    <w:multiLevelType w:val="singleLevel"/>
    <w:tmpl w:val="9464741C"/>
    <w:lvl w:ilvl="0" w:tentative="0">
      <w:start w:val="2"/>
      <w:numFmt w:val="chineseCounting"/>
      <w:suff w:val="nothing"/>
      <w:lvlText w:val="（%1）"/>
      <w:lvlJc w:val="left"/>
      <w:rPr>
        <w:rFonts w:hint="eastAsia"/>
      </w:rPr>
    </w:lvl>
  </w:abstractNum>
  <w:abstractNum w:abstractNumId="1">
    <w:nsid w:val="C7762861"/>
    <w:multiLevelType w:val="singleLevel"/>
    <w:tmpl w:val="C7762861"/>
    <w:lvl w:ilvl="0" w:tentative="0">
      <w:start w:val="1"/>
      <w:numFmt w:val="chineseCounting"/>
      <w:suff w:val="nothing"/>
      <w:lvlText w:val="%1、"/>
      <w:lvlJc w:val="left"/>
      <w:rPr>
        <w:rFonts w:hint="eastAsia"/>
      </w:rPr>
    </w:lvl>
  </w:abstractNum>
  <w:abstractNum w:abstractNumId="2">
    <w:nsid w:val="395AF57D"/>
    <w:multiLevelType w:val="singleLevel"/>
    <w:tmpl w:val="395AF57D"/>
    <w:lvl w:ilvl="0" w:tentative="0">
      <w:start w:val="1"/>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lMDRhNDg1ODJmODQ2YmE2Mjc3OTJmMjk5YjU3Nj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FB2F91"/>
    <w:rsid w:val="02317B1B"/>
    <w:rsid w:val="02FEBE30"/>
    <w:rsid w:val="04F31090"/>
    <w:rsid w:val="061E35DE"/>
    <w:rsid w:val="066E0107"/>
    <w:rsid w:val="07996F6E"/>
    <w:rsid w:val="07DFD8BA"/>
    <w:rsid w:val="08DB07E4"/>
    <w:rsid w:val="09867E8F"/>
    <w:rsid w:val="0A2032A3"/>
    <w:rsid w:val="0BF757F6"/>
    <w:rsid w:val="0C6C4794"/>
    <w:rsid w:val="0CA8290A"/>
    <w:rsid w:val="0D35B1ED"/>
    <w:rsid w:val="0DE07E2B"/>
    <w:rsid w:val="0F98263C"/>
    <w:rsid w:val="101860EC"/>
    <w:rsid w:val="10C055FF"/>
    <w:rsid w:val="11772AA4"/>
    <w:rsid w:val="118107EC"/>
    <w:rsid w:val="13A22C41"/>
    <w:rsid w:val="13D50BC4"/>
    <w:rsid w:val="14022904"/>
    <w:rsid w:val="152F2A07"/>
    <w:rsid w:val="165E0673"/>
    <w:rsid w:val="16BB723D"/>
    <w:rsid w:val="186504BB"/>
    <w:rsid w:val="1938089F"/>
    <w:rsid w:val="19A445FC"/>
    <w:rsid w:val="1B7D550C"/>
    <w:rsid w:val="1BE8440E"/>
    <w:rsid w:val="1D155CEE"/>
    <w:rsid w:val="1E740ACF"/>
    <w:rsid w:val="1FF35744"/>
    <w:rsid w:val="1FF6BC77"/>
    <w:rsid w:val="21962A9E"/>
    <w:rsid w:val="21AE7C77"/>
    <w:rsid w:val="22BC3C41"/>
    <w:rsid w:val="23860B96"/>
    <w:rsid w:val="240371BF"/>
    <w:rsid w:val="260F557C"/>
    <w:rsid w:val="281408E2"/>
    <w:rsid w:val="29FD04D3"/>
    <w:rsid w:val="2BFF7BC6"/>
    <w:rsid w:val="2C8A61B5"/>
    <w:rsid w:val="2D2E01CF"/>
    <w:rsid w:val="2DF04E50"/>
    <w:rsid w:val="2E9545B0"/>
    <w:rsid w:val="2F040D46"/>
    <w:rsid w:val="2FAE5751"/>
    <w:rsid w:val="2FB1A395"/>
    <w:rsid w:val="2FD9A7D8"/>
    <w:rsid w:val="319F7F4E"/>
    <w:rsid w:val="321B2544"/>
    <w:rsid w:val="3304709D"/>
    <w:rsid w:val="33DF6059"/>
    <w:rsid w:val="34281836"/>
    <w:rsid w:val="349D6851"/>
    <w:rsid w:val="35BA6CAF"/>
    <w:rsid w:val="364D14C1"/>
    <w:rsid w:val="36AA5135"/>
    <w:rsid w:val="36BE0DA7"/>
    <w:rsid w:val="376B6AA6"/>
    <w:rsid w:val="376D39B2"/>
    <w:rsid w:val="37E16F03"/>
    <w:rsid w:val="37F53A3B"/>
    <w:rsid w:val="389B6C89"/>
    <w:rsid w:val="38D469F0"/>
    <w:rsid w:val="39627CCD"/>
    <w:rsid w:val="397BAF1F"/>
    <w:rsid w:val="3AB79AF3"/>
    <w:rsid w:val="3B167897"/>
    <w:rsid w:val="3B7EF35A"/>
    <w:rsid w:val="3B9FDB6C"/>
    <w:rsid w:val="3BF5BC2F"/>
    <w:rsid w:val="3CEBA265"/>
    <w:rsid w:val="3CF95CB8"/>
    <w:rsid w:val="3D98207C"/>
    <w:rsid w:val="3D9B0D99"/>
    <w:rsid w:val="3DEE7CF3"/>
    <w:rsid w:val="3DF02244"/>
    <w:rsid w:val="3E78745D"/>
    <w:rsid w:val="3FF4CAE0"/>
    <w:rsid w:val="3FF7B227"/>
    <w:rsid w:val="40E54C45"/>
    <w:rsid w:val="43A407DF"/>
    <w:rsid w:val="44515BEA"/>
    <w:rsid w:val="44E268DA"/>
    <w:rsid w:val="453F7E5B"/>
    <w:rsid w:val="45934CD1"/>
    <w:rsid w:val="486A6C7A"/>
    <w:rsid w:val="48817FFC"/>
    <w:rsid w:val="48AB0762"/>
    <w:rsid w:val="49176D9B"/>
    <w:rsid w:val="4A627F82"/>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2BF3928"/>
    <w:rsid w:val="647F5392"/>
    <w:rsid w:val="664B1D71"/>
    <w:rsid w:val="67AA3209"/>
    <w:rsid w:val="681C4F0D"/>
    <w:rsid w:val="69046D0F"/>
    <w:rsid w:val="698D0931"/>
    <w:rsid w:val="6A993CED"/>
    <w:rsid w:val="6B053271"/>
    <w:rsid w:val="6BCE6674"/>
    <w:rsid w:val="6C4A05C8"/>
    <w:rsid w:val="6C781AF4"/>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8769C8"/>
    <w:rsid w:val="77DC22F5"/>
    <w:rsid w:val="79086DAD"/>
    <w:rsid w:val="79974F09"/>
    <w:rsid w:val="79D7FD79"/>
    <w:rsid w:val="79EE5BA4"/>
    <w:rsid w:val="7A894339"/>
    <w:rsid w:val="7AFF7572"/>
    <w:rsid w:val="7B6C7DFB"/>
    <w:rsid w:val="7BBFBED0"/>
    <w:rsid w:val="7BC3E394"/>
    <w:rsid w:val="7C1F3737"/>
    <w:rsid w:val="7CBFC87B"/>
    <w:rsid w:val="7CE0658C"/>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able of figures"/>
    <w:basedOn w:val="1"/>
    <w:next w:val="1"/>
    <w:qFormat/>
    <w:uiPriority w:val="0"/>
    <w:pPr>
      <w:ind w:left="400" w:leftChars="200" w:hanging="200" w:hangingChars="200"/>
    </w:p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character" w:customStyle="1" w:styleId="21">
    <w:name w:val="Header Char"/>
    <w:basedOn w:val="18"/>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8"/>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8"/>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8"/>
    <w:link w:val="3"/>
    <w:qFormat/>
    <w:uiPriority w:val="9"/>
    <w:rPr>
      <w:rFonts w:ascii="Times New Roman" w:hAnsi="Times New Roman"/>
      <w:b/>
      <w:bCs/>
      <w:kern w:val="44"/>
      <w:sz w:val="44"/>
      <w:szCs w:val="44"/>
    </w:rPr>
  </w:style>
  <w:style w:type="character" w:customStyle="1" w:styleId="30">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8"/>
    <w:link w:val="10"/>
    <w:semiHidden/>
    <w:qFormat/>
    <w:uiPriority w:val="99"/>
    <w:rPr>
      <w:rFonts w:ascii="Times New Roman" w:hAnsi="Times New Roman"/>
      <w:kern w:val="2"/>
      <w:sz w:val="18"/>
      <w:szCs w:val="18"/>
    </w:rPr>
  </w:style>
  <w:style w:type="character" w:customStyle="1" w:styleId="33">
    <w:name w:val="标题 3 Char"/>
    <w:basedOn w:val="18"/>
    <w:link w:val="5"/>
    <w:qFormat/>
    <w:uiPriority w:val="9"/>
    <w:rPr>
      <w:rFonts w:ascii="Times New Roman" w:hAnsi="Times New Roman"/>
      <w:b/>
      <w:bCs/>
      <w:kern w:val="2"/>
      <w:sz w:val="32"/>
      <w:szCs w:val="32"/>
    </w:rPr>
  </w:style>
  <w:style w:type="paragraph" w:customStyle="1" w:styleId="34">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6">
    <w:name w:val="NormalCharacter"/>
    <w:qFormat/>
    <w:uiPriority w:val="0"/>
  </w:style>
  <w:style w:type="paragraph" w:customStyle="1" w:styleId="37">
    <w:name w:val="null3"/>
    <w:qFormat/>
    <w:uiPriority w:val="0"/>
    <w:rPr>
      <w:rFonts w:hint="eastAsia"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收入支出决算总体情况变动表</a:t>
            </a:r>
            <a:endParaRPr lang="zh-CN" altLang="en-US"/>
          </a:p>
        </c:rich>
      </c:tx>
      <c:layout/>
      <c:overlay val="0"/>
    </c:title>
    <c:autoTitleDeleted val="0"/>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2024年</c:v>
                </c:pt>
                <c:pt idx="1">
                  <c:v>2024年</c:v>
                </c:pt>
                <c:pt idx="2">
                  <c:v>2025年</c:v>
                </c:pt>
                <c:pt idx="3">
                  <c:v>2025年</c:v>
                </c:pt>
              </c:strCache>
            </c:strRef>
          </c:cat>
          <c:val>
            <c:numRef>
              <c:f>Sheet1!$B$2:$B$5</c:f>
              <c:numCache>
                <c:formatCode>General</c:formatCode>
                <c:ptCount val="4"/>
                <c:pt idx="0">
                  <c:v>102.87</c:v>
                </c:pt>
                <c:pt idx="2">
                  <c:v>121.81</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2024年</c:v>
                </c:pt>
                <c:pt idx="1">
                  <c:v>2024年</c:v>
                </c:pt>
                <c:pt idx="2">
                  <c:v>2025年</c:v>
                </c:pt>
                <c:pt idx="3">
                  <c:v>2025年</c:v>
                </c:pt>
              </c:strCache>
            </c:strRef>
          </c:cat>
          <c:val>
            <c:numRef>
              <c:f>Sheet1!$C$2:$C$5</c:f>
              <c:numCache>
                <c:formatCode>General</c:formatCode>
                <c:ptCount val="4"/>
                <c:pt idx="1">
                  <c:v>102.87</c:v>
                </c:pt>
                <c:pt idx="3">
                  <c:v>121.81</c:v>
                </c:pt>
              </c:numCache>
            </c:numRef>
          </c:val>
        </c:ser>
        <c:dLbls>
          <c:showLegendKey val="0"/>
          <c:showVal val="1"/>
          <c:showCatName val="0"/>
          <c:showSerName val="0"/>
          <c:showPercent val="0"/>
          <c:showBubbleSize val="0"/>
        </c:dLbls>
        <c:gapWidth val="75"/>
        <c:overlap val="100"/>
        <c:axId val="207723520"/>
        <c:axId val="207996800"/>
      </c:barChart>
      <c:catAx>
        <c:axId val="20772352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07996800"/>
        <c:crosses val="autoZero"/>
        <c:auto val="1"/>
        <c:lblAlgn val="ctr"/>
        <c:lblOffset val="100"/>
        <c:noMultiLvlLbl val="0"/>
      </c:catAx>
      <c:valAx>
        <c:axId val="207996800"/>
        <c:scaling>
          <c:orientation val="minMax"/>
        </c:scaling>
        <c:delete val="0"/>
        <c:axPos val="l"/>
        <c:majorGridlines>
          <c:spPr>
            <a:ln w="9525" cap="flat" cmpd="sng" algn="ctr">
              <a:solidFill>
                <a:schemeClr val="tx1">
                  <a:tint val="75000"/>
                  <a:shade val="95000"/>
                  <a:satMod val="105000"/>
                </a:schemeClr>
              </a:solidFill>
              <a:prstDash val="sysDot"/>
              <a:round/>
            </a:ln>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0772352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5925038a-3754-4b43-b95f-27ecf470b824}"/>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6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a:ln cmpd="sng">
              <a:solidFill>
                <a:schemeClr val="tx2"/>
              </a:solidFill>
            </a:ln>
          </c:spPr>
          <c:explosion val="0"/>
          <c:dPt>
            <c:idx val="0"/>
            <c:bubble3D val="0"/>
            <c:spPr>
              <a:ln cmpd="sng">
                <a:solidFill>
                  <a:schemeClr val="tx2"/>
                </a:solidFill>
              </a:ln>
            </c:spPr>
          </c:dPt>
          <c:dPt>
            <c:idx val="1"/>
            <c:bubble3D val="0"/>
            <c:spPr>
              <a:ln w="12700" cmpd="sng">
                <a:solidFill>
                  <a:schemeClr val="tx2"/>
                </a:solidFill>
              </a:ln>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1">
                  <c:v>一般公共预算财政拨款</c:v>
                </c:pt>
              </c:strCache>
            </c:strRef>
          </c:cat>
          <c:val>
            <c:numRef>
              <c:f>Sheet1!$B$2:$B$3</c:f>
              <c:numCache>
                <c:formatCode>General</c:formatCode>
                <c:ptCount val="2"/>
                <c:pt idx="1">
                  <c:v>121.81</c:v>
                </c:pt>
              </c:numCache>
            </c:numRef>
          </c:val>
        </c:ser>
        <c:dLbls>
          <c:showLegendKey val="0"/>
          <c:showVal val="1"/>
          <c:showCatName val="0"/>
          <c:showSerName val="0"/>
          <c:showPercent val="1"/>
          <c:showBubbleSize val="0"/>
          <c:showLeaderLines val="1"/>
        </c:dLbls>
        <c:firstSliceAng val="0"/>
      </c:pieChart>
    </c:plotArea>
    <c:legend>
      <c:legendPos val="r"/>
      <c:legendEntry>
        <c:idx val="0"/>
        <c:delete val="1"/>
      </c:legendEntry>
      <c:layout/>
      <c:overlay val="0"/>
      <c:spPr>
        <a:ln>
          <a:noFill/>
        </a:ln>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d9964030-6796-4814-b3f6-8404848031b8}"/>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600" b="1" i="0" u="none" strike="noStrike" kern="1200" baseline="0">
              <a:solidFill>
                <a:srgbClr val="000000"/>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a:ln cmpd="sng">
              <a:solidFill>
                <a:srgbClr val="1F497D"/>
              </a:solidFill>
            </a:ln>
          </c:spPr>
          <c:explosion val="0"/>
          <c:dPt>
            <c:idx val="0"/>
            <c:bubble3D val="0"/>
            <c:spPr>
              <a:ln cmpd="sng">
                <a:solidFill>
                  <a:srgbClr val="1F497D"/>
                </a:solidFill>
              </a:ln>
            </c:spPr>
          </c:dPt>
          <c:dPt>
            <c:idx val="1"/>
            <c:bubble3D val="0"/>
            <c:spPr>
              <a:ln w="12700" cmpd="sng">
                <a:solidFill>
                  <a:srgbClr val="1F497D"/>
                </a:solidFill>
              </a:ln>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mn-lt"/>
                        <a:ea typeface="+mn-ea"/>
                        <a:cs typeface="+mn-cs"/>
                      </a:defRPr>
                    </a:pPr>
                    <a:r>
                      <a:rPr lang="en-US" altLang="zh-CN"/>
                      <a:t>41.59</a:t>
                    </a:r>
                    <a:r>
                      <a:rPr altLang="en-US"/>
                      <a:t>，</a:t>
                    </a:r>
                    <a:r>
                      <a:t>34%</a:t>
                    </a:r>
                  </a:p>
                </c:rich>
              </c:tx>
              <c:dLblPos val="outEnd"/>
              <c:showLegendKey val="0"/>
              <c:showVal val="0"/>
              <c:showCatName val="0"/>
              <c:showSerName val="0"/>
              <c:showPercent val="1"/>
              <c:showBubbleSize val="0"/>
              <c:extLst>
                <c:ext xmlns:c15="http://schemas.microsoft.com/office/drawing/2012/chart" uri="{CE6537A1-D6FC-4f65-9D91-7224C49458BB}"/>
              </c:extLst>
            </c:dLbl>
            <c:dLbl>
              <c:idx val="1"/>
              <c:layout/>
              <c:dLblPos val="outEnd"/>
              <c:showLegendKey val="0"/>
              <c:showVal val="1"/>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项目支出</c:v>
                </c:pt>
                <c:pt idx="1">
                  <c:v>基本支出</c:v>
                </c:pt>
              </c:strCache>
            </c:strRef>
          </c:cat>
          <c:val>
            <c:numRef>
              <c:f>Sheet1!$B$2:$B$3</c:f>
              <c:numCache>
                <c:formatCode>General</c:formatCode>
                <c:ptCount val="2"/>
                <c:pt idx="0">
                  <c:v>41.59</c:v>
                </c:pt>
                <c:pt idx="1">
                  <c:v>80.22</c:v>
                </c:pt>
              </c:numCache>
            </c:numRef>
          </c:val>
        </c:ser>
        <c:dLbls>
          <c:showLegendKey val="0"/>
          <c:showVal val="0"/>
          <c:showCatName val="0"/>
          <c:showSerName val="0"/>
          <c:showPercent val="1"/>
          <c:showBubbleSize val="0"/>
          <c:showLeaderLines val="1"/>
        </c:dLbls>
        <c:firstSliceAng val="0"/>
      </c:pieChart>
    </c:plotArea>
    <c:legend>
      <c:legendPos val="r"/>
      <c:legendEntry>
        <c:idx val="0"/>
        <c:delete val="1"/>
      </c:legendEntry>
      <c:layout/>
      <c:overlay val="0"/>
      <c:txPr>
        <a:bodyPr rot="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legend>
    <c:plotVisOnly val="1"/>
    <c:dispBlanksAs val="gap"/>
    <c:showDLblsOverMax val="0"/>
    <c:extLst>
      <c:ext uri="{0b15fc19-7d7d-44ad-8c2d-2c3a37ce22c3}">
        <chartProps xmlns="https://web.wps.cn/et/2018/main" chartId="{b4c1d5b2-8674-4537-9af1-bdce67bb5d5b}"/>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baseline="0">
                <a:solidFill>
                  <a:schemeClr val="tx1"/>
                </a:solidFill>
                <a:latin typeface="+mn-lt"/>
                <a:ea typeface="+mn-ea"/>
                <a:cs typeface="+mn-cs"/>
              </a:defRPr>
            </a:pPr>
            <a:r>
              <a:rPr lang="zh-CN" altLang="en-US" sz="1600"/>
              <a:t>财政拨款收、支决算总计变动情况图</a:t>
            </a:r>
            <a:endParaRPr lang="zh-CN" altLang="en-US" sz="1600"/>
          </a:p>
        </c:rich>
      </c:tx>
      <c:layout>
        <c:manualLayout>
          <c:xMode val="edge"/>
          <c:yMode val="edge"/>
          <c:x val="0.169043521022867"/>
          <c:y val="0.0189673340358272"/>
        </c:manualLayout>
      </c:layout>
      <c:overlay val="0"/>
    </c:title>
    <c:autoTitleDeleted val="0"/>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2024年</c:v>
                </c:pt>
                <c:pt idx="1">
                  <c:v>2024年</c:v>
                </c:pt>
                <c:pt idx="2">
                  <c:v>2025年</c:v>
                </c:pt>
                <c:pt idx="3">
                  <c:v>2025年</c:v>
                </c:pt>
              </c:strCache>
            </c:strRef>
          </c:cat>
          <c:val>
            <c:numRef>
              <c:f>Sheet1!$B$2:$B$5</c:f>
              <c:numCache>
                <c:formatCode>General</c:formatCode>
                <c:ptCount val="4"/>
                <c:pt idx="0">
                  <c:v>102.87</c:v>
                </c:pt>
                <c:pt idx="2">
                  <c:v>121.81</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2024年</c:v>
                </c:pt>
                <c:pt idx="1">
                  <c:v>2024年</c:v>
                </c:pt>
                <c:pt idx="2">
                  <c:v>2025年</c:v>
                </c:pt>
                <c:pt idx="3">
                  <c:v>2025年</c:v>
                </c:pt>
              </c:strCache>
            </c:strRef>
          </c:cat>
          <c:val>
            <c:numRef>
              <c:f>Sheet1!$C$2:$C$5</c:f>
              <c:numCache>
                <c:formatCode>General</c:formatCode>
                <c:ptCount val="4"/>
                <c:pt idx="1">
                  <c:v>102.87</c:v>
                </c:pt>
                <c:pt idx="3">
                  <c:v>121.81</c:v>
                </c:pt>
              </c:numCache>
            </c:numRef>
          </c:val>
        </c:ser>
        <c:dLbls>
          <c:showLegendKey val="0"/>
          <c:showVal val="1"/>
          <c:showCatName val="0"/>
          <c:showSerName val="0"/>
          <c:showPercent val="0"/>
          <c:showBubbleSize val="0"/>
        </c:dLbls>
        <c:gapWidth val="69"/>
        <c:overlap val="100"/>
        <c:axId val="261905792"/>
        <c:axId val="261925888"/>
      </c:barChart>
      <c:catAx>
        <c:axId val="26190579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925888"/>
        <c:crosses val="autoZero"/>
        <c:auto val="1"/>
        <c:lblAlgn val="ctr"/>
        <c:lblOffset val="100"/>
        <c:noMultiLvlLbl val="0"/>
      </c:catAx>
      <c:valAx>
        <c:axId val="261925888"/>
        <c:scaling>
          <c:orientation val="minMax"/>
        </c:scaling>
        <c:delete val="0"/>
        <c:axPos val="l"/>
        <c:majorGridlines>
          <c:spPr>
            <a:ln w="9525" cap="flat" cmpd="sng" algn="ctr">
              <a:solidFill>
                <a:schemeClr val="tx1">
                  <a:tint val="75000"/>
                  <a:shade val="95000"/>
                  <a:satMod val="105000"/>
                </a:schemeClr>
              </a:solidFill>
              <a:prstDash val="sysDot"/>
              <a:round/>
            </a:ln>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90579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3ad924d6-0689-40f8-be39-7f48e6bab530}"/>
      </c:ext>
    </c:extLst>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400"/>
              <a:t>一般公共预算财政拨款支出决算变动情况图</a:t>
            </a:r>
            <a:endParaRPr lang="en-US" altLang="zh-CN" sz="1400"/>
          </a:p>
        </c:rich>
      </c:tx>
      <c:layout/>
      <c:overlay val="0"/>
      <c:spPr>
        <a:noFill/>
        <a:ln>
          <a:noFill/>
        </a:ln>
        <a:effectLst/>
      </c:spPr>
    </c:title>
    <c:autoTitleDeleted val="0"/>
    <c:plotArea>
      <c:layout>
        <c:manualLayout>
          <c:layoutTarget val="inner"/>
          <c:xMode val="edge"/>
          <c:yMode val="edge"/>
          <c:x val="0.0646502394020787"/>
          <c:y val="0.157927461139896"/>
          <c:w val="0.911409552726848"/>
          <c:h val="0.647544041450777"/>
        </c:manualLayout>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2024年</c:v>
                </c:pt>
                <c:pt idx="1">
                  <c:v>2025年</c:v>
                </c:pt>
              </c:strCache>
            </c:strRef>
          </c:cat>
          <c:val>
            <c:numRef>
              <c:f>Sheet1!$B$2:$B$3</c:f>
              <c:numCache>
                <c:formatCode>General</c:formatCode>
                <c:ptCount val="2"/>
                <c:pt idx="0">
                  <c:v>102.87</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2024年</c:v>
                </c:pt>
                <c:pt idx="1">
                  <c:v>2025年</c:v>
                </c:pt>
              </c:strCache>
            </c:strRef>
          </c:cat>
          <c:val>
            <c:numRef>
              <c:f>Sheet1!$C$2:$C$3</c:f>
              <c:numCache>
                <c:formatCode>General</c:formatCode>
                <c:ptCount val="2"/>
                <c:pt idx="1">
                  <c:v>121.81</c:v>
                </c:pt>
              </c:numCache>
            </c:numRef>
          </c:val>
        </c:ser>
        <c:dLbls>
          <c:showLegendKey val="0"/>
          <c:showVal val="1"/>
          <c:showCatName val="0"/>
          <c:showSerName val="0"/>
          <c:showPercent val="0"/>
          <c:showBubbleSize val="0"/>
        </c:dLbls>
        <c:gapWidth val="298"/>
        <c:overlap val="100"/>
        <c:axId val="167760814"/>
        <c:axId val="969456403"/>
      </c:barChart>
      <c:catAx>
        <c:axId val="16776081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9456403"/>
        <c:crosses val="autoZero"/>
        <c:auto val="1"/>
        <c:lblAlgn val="ctr"/>
        <c:lblOffset val="100"/>
        <c:noMultiLvlLbl val="0"/>
      </c:catAx>
      <c:valAx>
        <c:axId val="969456403"/>
        <c:scaling>
          <c:orientation val="minMax"/>
        </c:scaling>
        <c:delete val="0"/>
        <c:axPos val="l"/>
        <c:majorGridlines>
          <c:spPr>
            <a:ln w="12700" cap="flat" cmpd="sng" algn="ctr">
              <a:solidFill>
                <a:schemeClr val="lt1">
                  <a:lumMod val="90200"/>
                </a:schemeClr>
              </a:solidFill>
              <a:prstDash val="sysDot"/>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7760814"/>
        <c:crosses val="autoZero"/>
        <c:crossBetween val="between"/>
      </c:valAx>
      <c:spPr>
        <a:noFill/>
        <a:ln>
          <a:noFill/>
        </a:ln>
        <a:effectLst/>
      </c:spPr>
    </c:plotArea>
    <c:legend>
      <c:legendPos val="b"/>
      <c:layout>
        <c:manualLayout>
          <c:xMode val="edge"/>
          <c:yMode val="edge"/>
          <c:x val="0.866272046388016"/>
          <c:y val="0.424989375265618"/>
          <c:w val="0.117540468712249"/>
          <c:h val="0.10008499787505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35b6d72-b56a-4fe2-be88-a0cf6b7b9f3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68751763235689"/>
          <c:y val="0.0247729149463254"/>
        </c:manualLayout>
      </c:layout>
      <c:overlay val="0"/>
      <c:txPr>
        <a:bodyPr rot="0" spcFirstLastPara="0" vertOverflow="ellipsis" vert="horz" wrap="square" anchor="ctr" anchorCtr="1"/>
        <a:lstStyle/>
        <a:p>
          <a:pPr>
            <a:defRPr lang="zh-CN" sz="16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Pt>
            <c:idx val="3"/>
            <c:bubble3D val="0"/>
          </c:dPt>
          <c:dPt>
            <c:idx val="4"/>
            <c:bubble3D val="0"/>
          </c:dPt>
          <c:dLbls>
            <c:dLbl>
              <c:idx val="0"/>
              <c:layout>
                <c:manualLayout>
                  <c:x val="-0.0241138172172655"/>
                  <c:y val="-0.020639834881321"/>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0313479623824451"/>
                  <c:y val="-0.00825593395252838"/>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3"/>
              <c:layout>
                <c:manualLayout>
                  <c:x val="0.0120569086086327"/>
                  <c:y val="-0.0288957688338493"/>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一般公共服务支出</c:v>
                </c:pt>
                <c:pt idx="1">
                  <c:v>社会保障就业支出</c:v>
                </c:pt>
                <c:pt idx="2">
                  <c:v>卫生健康支出</c:v>
                </c:pt>
                <c:pt idx="3">
                  <c:v>住房保障支出</c:v>
                </c:pt>
                <c:pt idx="4">
                  <c:v>农林水支出</c:v>
                </c:pt>
              </c:strCache>
            </c:strRef>
          </c:cat>
          <c:val>
            <c:numRef>
              <c:f>Sheet1!$B$2:$B$6</c:f>
              <c:numCache>
                <c:formatCode>General</c:formatCode>
                <c:ptCount val="5"/>
                <c:pt idx="0">
                  <c:v>58.46</c:v>
                </c:pt>
                <c:pt idx="1">
                  <c:v>11.02</c:v>
                </c:pt>
                <c:pt idx="2">
                  <c:v>4.39</c:v>
                </c:pt>
                <c:pt idx="3">
                  <c:v>6.35</c:v>
                </c:pt>
                <c:pt idx="4">
                  <c:v>41.59</c:v>
                </c:pt>
              </c:numCache>
            </c:numRef>
          </c:val>
        </c:ser>
        <c:dLbls>
          <c:showLegendKey val="0"/>
          <c:showVal val="1"/>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85594e87-1c68-4d71-a8bf-578f839f3f7e}"/>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600"/>
              <a:t>三公经费财政拨款支出决算情况</a:t>
            </a:r>
            <a:endParaRPr sz="1600"/>
          </a:p>
        </c:rich>
      </c:tx>
      <c:layout>
        <c:manualLayout>
          <c:xMode val="edge"/>
          <c:yMode val="edge"/>
          <c:x val="0.245516544581965"/>
          <c:y val="0.0294406280667321"/>
        </c:manualLayout>
      </c:layout>
      <c:overlay val="0"/>
      <c:spPr>
        <a:noFill/>
        <a:ln>
          <a:noFill/>
        </a:ln>
        <a:effectLst/>
      </c:spPr>
    </c:title>
    <c:autoTitleDeleted val="0"/>
    <c:plotArea>
      <c:layout/>
      <c:pieChart>
        <c:varyColors val="1"/>
        <c:ser>
          <c:idx val="0"/>
          <c:order val="0"/>
          <c:tx>
            <c:strRef>
              <c:f>Sheet1!$B$1</c:f>
              <c:strCache>
                <c:ptCount val="1"/>
                <c:pt idx="0">
                  <c:v>三公经费财政拨款支出决算情况</c:v>
                </c:pt>
              </c:strCache>
            </c:strRef>
          </c:tx>
          <c:spPr>
            <a:solidFill>
              <a:schemeClr val="accent2"/>
            </a:solidFill>
            <a:ln>
              <a:solidFill>
                <a:schemeClr val="accent1"/>
              </a:solidFill>
            </a:ln>
          </c:spPr>
          <c:explosion val="0"/>
          <c:dPt>
            <c:idx val="0"/>
            <c:bubble3D val="0"/>
            <c:spPr>
              <a:solidFill>
                <a:schemeClr val="accent2"/>
              </a:solidFill>
              <a:ln>
                <a:solidFill>
                  <a:schemeClr val="accent1"/>
                </a:solidFill>
              </a:ln>
              <a:effectLst/>
            </c:spPr>
          </c:dPt>
          <c:dLbls>
            <c:dLbl>
              <c:idx val="0"/>
              <c:layout>
                <c:manualLayout>
                  <c:x val="0.00189441778226825"/>
                  <c:y val="-0.695534838076546"/>
                </c:manualLayout>
              </c:layout>
              <c:dLblPos val="bestFit"/>
              <c:showLegendKey val="0"/>
              <c:showVal val="1"/>
              <c:showCatName val="0"/>
              <c:showSerName val="0"/>
              <c:showPercent val="1"/>
              <c:showBubbleSize val="0"/>
              <c:extLst>
                <c:ext xmlns:c15="http://schemas.microsoft.com/office/drawing/2012/chart" uri="{CE6537A1-D6FC-4f65-9D91-7224C49458BB}">
                  <c15:layout>
                    <c:manualLayout>
                      <c:w val="0.184137408436474"/>
                      <c:h val="0.103532875368008"/>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公务接待费</c:v>
                </c:pt>
              </c:strCache>
            </c:strRef>
          </c:cat>
          <c:val>
            <c:numRef>
              <c:f>Sheet1!$B$2</c:f>
              <c:numCache>
                <c:formatCode>General</c:formatCode>
                <c:ptCount val="1"/>
                <c:pt idx="0">
                  <c:v>0.1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802971732302489"/>
          <c:y val="0.59966000849978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c13dae4-6251-4a1f-9a62-b442b71c5ed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6644</Words>
  <Characters>7165</Characters>
  <Lines>61</Lines>
  <Paragraphs>17</Paragraphs>
  <TotalTime>18</TotalTime>
  <ScaleCrop>false</ScaleCrop>
  <LinksUpToDate>false</LinksUpToDate>
  <CharactersWithSpaces>7227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。Distance</cp:lastModifiedBy>
  <cp:lastPrinted>2026-08-26T08:32:00Z</cp:lastPrinted>
  <dcterms:modified xsi:type="dcterms:W3CDTF">2026-08-26T09:26:07Z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EE2E70C06B0E4B05A376CC045B7355CE_13</vt:lpwstr>
  </property>
  <property fmtid="{D5CDD505-2E9C-101B-9397-08002B2CF9AE}" pid="4" name="KSOTemplateDocerSaveRecord">
    <vt:lpwstr>eyJoZGlkIjoiYmU2ZjA5OGFkOGQ0YmQ2YzI5YzRmNDlkMzFlZGZmZjEiLCJ1c2VySWQiOiI0MjE1MjM5NDEifQ==</vt:lpwstr>
  </property>
</Properties>
</file>