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193"/>
      <w:bookmarkStart w:id="1" w:name="_Toc15396475"/>
      <w:bookmarkStart w:id="2" w:name="_Toc15378441"/>
      <w:bookmarkStart w:id="3" w:name="_Toc15377425"/>
      <w:bookmarkStart w:id="4" w:name="_Toc15396597"/>
      <w:bookmarkStart w:id="5" w:name="_Toc15306267"/>
    </w:p>
    <w:p w14:paraId="7D73BD19">
      <w:pPr>
        <w:pStyle w:val="8"/>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029E4FE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2023</w:t>
      </w:r>
      <w:r>
        <w:rPr>
          <w:rFonts w:hint="eastAsia" w:ascii="方正小标宋简体" w:hAnsi="方正小标宋简体" w:eastAsia="方正小标宋简体" w:cs="方正小标宋简体"/>
          <w:b/>
          <w:color w:val="000000"/>
          <w:sz w:val="44"/>
          <w:szCs w:val="44"/>
          <w:u w:color="auto"/>
        </w:rPr>
        <w:t>年度</w:t>
      </w:r>
      <w:bookmarkEnd w:id="0"/>
      <w:bookmarkEnd w:id="1"/>
      <w:bookmarkEnd w:id="2"/>
      <w:bookmarkEnd w:id="3"/>
      <w:bookmarkEnd w:id="4"/>
      <w:bookmarkEnd w:id="5"/>
      <w:bookmarkStart w:id="6" w:name="_Toc15377194"/>
      <w:bookmarkStart w:id="7" w:name="_Toc15377426"/>
      <w:bookmarkStart w:id="8" w:name="_Toc15396598"/>
      <w:bookmarkStart w:id="9" w:name="_Toc15306268"/>
      <w:bookmarkStart w:id="10" w:name="_Toc15378442"/>
      <w:bookmarkStart w:id="11" w:name="_Toc15396476"/>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四川省阿坝州</w:t>
      </w:r>
    </w:p>
    <w:p w14:paraId="6DBC95D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茂县</w:t>
      </w:r>
      <w: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t>文学艺术界联合会</w:t>
      </w:r>
      <w:r>
        <w:rPr>
          <w:rFonts w:hint="eastAsia" w:ascii="方正小标宋简体" w:hAnsi="方正小标宋简体" w:eastAsia="方正小标宋简体" w:cs="方正小标宋简体"/>
          <w:b/>
          <w:color w:val="000000"/>
          <w:sz w:val="44"/>
          <w:szCs w:val="44"/>
          <w:u w:color="auto"/>
        </w:rPr>
        <w:t>单位决算</w:t>
      </w:r>
      <w:bookmarkEnd w:id="6"/>
      <w:bookmarkEnd w:id="7"/>
      <w:bookmarkEnd w:id="8"/>
      <w:bookmarkEnd w:id="9"/>
      <w:bookmarkEnd w:id="10"/>
      <w:bookmarkEnd w:id="11"/>
    </w:p>
    <w:p w14:paraId="0E2C97A9">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bookmarkStart w:id="92" w:name="_GoBack"/>
      <w:bookmarkEnd w:id="92"/>
    </w:p>
    <w:p w14:paraId="637D1FC6">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5"/>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48"/>
          <w:szCs w:val="48"/>
          <w14:textFill>
            <w14:solidFill>
              <w14:schemeClr w14:val="tx1"/>
            </w14:solidFill>
          </w14:textFill>
        </w:rPr>
        <w:t>目录</w:t>
      </w:r>
    </w:p>
    <w:p w14:paraId="297F534D">
      <w:pPr>
        <w:pStyle w:val="1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49203D4D">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第一部分 </w:t>
      </w:r>
      <w:r>
        <w:rPr>
          <w:rFonts w:hint="eastAsia" w:ascii="宋体" w:hAnsi="宋体" w:eastAsia="宋体" w:cs="宋体"/>
          <w:bCs w:val="0"/>
          <w:color w:val="000000" w:themeColor="text1"/>
          <w14:textFill>
            <w14:solidFill>
              <w14:schemeClr w14:val="tx1"/>
            </w14:solidFill>
          </w14:textFill>
        </w:rPr>
        <w:t>单位</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2AD3064">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第二部分 </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单位</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C39B0B7">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 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185CA32">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 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_Toc25539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9EB3F66">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 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D314EC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_Toc16431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_Toc16431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7C5159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_Toc25389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_Toc25389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44CBCE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_Toc10450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_Toc10450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1C1D8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_Toc15415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_Toc15415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67FA2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_Toc17530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_Toc17530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E0B0EA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_Toc22032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_Toc22032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EF1114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_Toc3364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七、一般公共预算财政拨款支出决算明细表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_Toc3364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81F584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_Toc9110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八、一般公共预算财政拨款基本支出决算表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_Toc9110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3984A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_Toc28582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九、一般公共预算财政拨款项目支出决算表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_Toc28582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DAFCA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_Toc22001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十、政府性基金预算财政拨款收入支出决算表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_Toc22001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A4664B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_Toc6538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十一、国有资本经营预算财政拨款收入支出决算表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_Toc6538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E3B3E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_Toc10625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十二、国有资本经营预算财政拨款支出决算表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_Toc10625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_Toc28356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十三、财政拨款“三公”经费支出决算表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_Toc28356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2FF81B7">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70AC7A10">
      <w:pPr>
        <w:rPr>
          <w:rFonts w:hint="eastAsia" w:ascii="思源黑体 CN Normal" w:hAnsi="思源黑体 CN Normal" w:eastAsia="思源黑体 CN Normal" w:cs="思源黑体 CN Normal"/>
        </w:rPr>
      </w:pPr>
      <w:bookmarkStart w:id="13" w:name="_Toc9016"/>
      <w:bookmarkStart w:id="14" w:name="_Toc111208495"/>
      <w:r>
        <w:rPr>
          <w:rFonts w:hint="eastAsia" w:ascii="思源黑体 CN Normal" w:hAnsi="思源黑体 CN Normal" w:eastAsia="思源黑体 CN Normal" w:cs="思源黑体 CN Normal"/>
        </w:rPr>
        <w:br w:type="page"/>
      </w:r>
    </w:p>
    <w:p w14:paraId="521E39E1">
      <w:pPr>
        <w:pStyle w:val="5"/>
        <w:jc w:val="center"/>
        <w:rPr>
          <w:rFonts w:hint="eastAsia" w:ascii="黑体" w:hAnsi="黑体" w:eastAsia="黑体" w:cs="黑体"/>
          <w:b w:val="0"/>
          <w:bCs w:val="0"/>
        </w:rPr>
      </w:pPr>
      <w:r>
        <w:rPr>
          <w:rFonts w:hint="eastAsia" w:ascii="黑体" w:hAnsi="黑体" w:eastAsia="黑体" w:cs="黑体"/>
        </w:rPr>
        <w:t xml:space="preserve">第一部分 </w:t>
      </w:r>
      <w:r>
        <w:rPr>
          <w:rStyle w:val="32"/>
          <w:rFonts w:hint="eastAsia" w:ascii="黑体" w:hAnsi="黑体" w:eastAsia="黑体" w:cs="黑体"/>
          <w:b/>
          <w:bCs w:val="0"/>
        </w:rPr>
        <w:t>单位</w:t>
      </w:r>
      <w:r>
        <w:rPr>
          <w:rStyle w:val="32"/>
          <w:rFonts w:ascii="黑体" w:hAnsi="黑体" w:eastAsia="黑体" w:cs="黑体"/>
          <w:b/>
          <w:bCs w:val="0"/>
          <w:u w:color="auto"/>
        </w:rPr>
        <w:t>概况</w:t>
      </w:r>
      <w:bookmarkEnd w:id="12"/>
      <w:bookmarkEnd w:id="13"/>
      <w:bookmarkEnd w:id="14"/>
    </w:p>
    <w:p w14:paraId="24C03C62">
      <w:pPr>
        <w:pStyle w:val="6"/>
        <w:ind w:firstLine="643" w:firstLineChars="200"/>
        <w:rPr>
          <w:rFonts w:hint="eastAsia" w:ascii="黑体" w:hAnsi="黑体" w:eastAsia="黑体" w:cs="黑体"/>
          <w:bCs w:val="0"/>
          <w:color w:val="000000"/>
          <w:lang w:val="en-US" w:eastAsia="zh-CN"/>
        </w:rPr>
      </w:pPr>
      <w:bookmarkStart w:id="15" w:name="_Toc15377197"/>
      <w:bookmarkStart w:id="16" w:name="_Toc111208496"/>
      <w:bookmarkStart w:id="17" w:name="_Toc28564"/>
      <w:bookmarkStart w:id="18" w:name="_Toc113981010"/>
      <w:bookmarkStart w:id="19" w:name="_Toc15377204"/>
      <w:r>
        <w:rPr>
          <w:rFonts w:hint="eastAsia" w:ascii="黑体" w:hAnsi="黑体" w:eastAsia="黑体" w:cs="黑体"/>
          <w:bCs w:val="0"/>
          <w:color w:val="000000"/>
        </w:rPr>
        <w:t>一、</w:t>
      </w:r>
      <w:bookmarkEnd w:id="15"/>
      <w:bookmarkEnd w:id="16"/>
      <w:bookmarkEnd w:id="17"/>
      <w:bookmarkEnd w:id="18"/>
      <w:bookmarkStart w:id="20" w:name="_Toc15377198"/>
      <w:bookmarkStart w:id="21" w:name="_Toc15378445"/>
      <w:r>
        <w:rPr>
          <w:rFonts w:hint="eastAsia" w:ascii="黑体" w:hAnsi="黑体" w:eastAsia="黑体" w:cs="黑体"/>
          <w:bCs w:val="0"/>
          <w:color w:val="000000"/>
          <w:lang w:val="en-US" w:eastAsia="zh-CN"/>
        </w:rPr>
        <w:t>主要职责</w:t>
      </w:r>
    </w:p>
    <w:bookmarkEnd w:id="20"/>
    <w:bookmarkEnd w:id="21"/>
    <w:p w14:paraId="3FA880AC">
      <w:pPr>
        <w:spacing w:line="600" w:lineRule="exact"/>
        <w:ind w:firstLine="640" w:firstLineChars="200"/>
        <w:rPr>
          <w:rFonts w:ascii="仿宋_GB2312" w:eastAsia="仿宋_GB2312"/>
          <w:sz w:val="32"/>
          <w:szCs w:val="32"/>
        </w:rPr>
      </w:pPr>
      <w:bookmarkStart w:id="22" w:name="_Toc15377200"/>
      <w:bookmarkStart w:id="23" w:name="_Toc22056"/>
      <w:bookmarkStart w:id="24" w:name="_Toc113981011"/>
      <w:bookmarkStart w:id="25" w:name="_Toc111208497"/>
      <w:r>
        <w:rPr>
          <w:rFonts w:hint="eastAsia" w:ascii="仿宋_GB2312" w:eastAsia="仿宋_GB2312"/>
          <w:sz w:val="32"/>
          <w:szCs w:val="32"/>
        </w:rPr>
        <w:t>对各团体会员开展联络、协调、服务、指导工作，通过组织学习、文艺采风、学术研讨、理论研究、展览演出、文艺评奖、书刊出版、人才培训、对外交流和权益保障等各项工作，指导团体会员开展业务活动。</w:t>
      </w:r>
    </w:p>
    <w:p w14:paraId="2CF1E803">
      <w:pPr>
        <w:pStyle w:val="6"/>
        <w:ind w:firstLine="643" w:firstLineChars="200"/>
        <w:rPr>
          <w:rFonts w:hint="eastAsia" w:ascii="黑体" w:hAnsi="黑体" w:eastAsia="黑体" w:cs="黑体"/>
          <w:bCs w:val="0"/>
          <w:color w:val="000000"/>
        </w:rPr>
      </w:pPr>
      <w:r>
        <w:rPr>
          <w:rFonts w:hint="eastAsia" w:ascii="黑体" w:hAnsi="黑体" w:eastAsia="黑体" w:cs="黑体"/>
          <w:bCs w:val="0"/>
          <w:color w:val="000000"/>
        </w:rPr>
        <w:t>二、机构设置</w:t>
      </w:r>
      <w:bookmarkEnd w:id="22"/>
      <w:bookmarkEnd w:id="23"/>
      <w:bookmarkEnd w:id="24"/>
      <w:bookmarkEnd w:id="25"/>
    </w:p>
    <w:p w14:paraId="52E870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文联</w:t>
      </w:r>
      <w:r>
        <w:rPr>
          <w:rFonts w:hint="eastAsia" w:ascii="仿宋" w:hAnsi="仿宋" w:eastAsia="仿宋" w:cs="仿宋"/>
          <w:color w:val="000000"/>
          <w:sz w:val="32"/>
          <w:szCs w:val="32"/>
        </w:rPr>
        <w:t>下属二级单位0个，其中行政单位0个，参照公务员法管理的事业单位0个，其他事业单位0个。</w:t>
      </w:r>
    </w:p>
    <w:p w14:paraId="65B07404">
      <w:pPr>
        <w:widowControl/>
        <w:jc w:val="left"/>
        <w:rPr>
          <w:rFonts w:hint="eastAsia" w:ascii="思源黑体 CN Normal" w:hAnsi="思源黑体 CN Normal" w:eastAsia="思源黑体 CN Normal" w:cs="思源黑体 CN Normal"/>
          <w:color w:val="000000"/>
        </w:rPr>
      </w:pPr>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5"/>
        <w:jc w:val="center"/>
        <w:rPr>
          <w:rFonts w:hint="eastAsia" w:ascii="黑体" w:hAnsi="黑体" w:eastAsia="黑体" w:cs="黑体"/>
        </w:rPr>
      </w:pPr>
      <w:bookmarkStart w:id="26" w:name="_Toc9058"/>
      <w:bookmarkStart w:id="27" w:name="_Toc111208498"/>
      <w:r>
        <w:rPr>
          <w:rFonts w:hint="eastAsia" w:ascii="黑体" w:hAnsi="黑体" w:eastAsia="黑体" w:cs="黑体"/>
        </w:rPr>
        <w:t xml:space="preserve">第二部分 </w:t>
      </w:r>
      <w:r>
        <w:rPr>
          <w:rFonts w:ascii="黑体" w:hAnsi="黑体" w:eastAsia="黑体" w:cs="黑体"/>
          <w:u w:color="auto"/>
        </w:rPr>
        <w:t>2023年度</w:t>
      </w:r>
      <w:r>
        <w:rPr>
          <w:rFonts w:hint="eastAsia" w:ascii="黑体" w:hAnsi="黑体" w:eastAsia="黑体" w:cs="黑体"/>
          <w:lang w:val="en-US" w:eastAsia="zh-CN"/>
        </w:rPr>
        <w:t>单位</w:t>
      </w:r>
      <w:r>
        <w:rPr>
          <w:rFonts w:hint="eastAsia" w:ascii="黑体" w:hAnsi="黑体" w:eastAsia="黑体" w:cs="黑体"/>
        </w:rPr>
        <w:t>决算情况说明</w:t>
      </w:r>
      <w:bookmarkEnd w:id="19"/>
      <w:bookmarkEnd w:id="26"/>
      <w:bookmarkEnd w:id="27"/>
    </w:p>
    <w:p w14:paraId="42459B4E">
      <w:pPr>
        <w:pStyle w:val="6"/>
        <w:ind w:firstLine="643" w:firstLineChars="200"/>
        <w:rPr>
          <w:rFonts w:hint="eastAsia" w:ascii="黑体" w:hAnsi="黑体" w:eastAsia="黑体" w:cs="黑体"/>
          <w:bCs w:val="0"/>
          <w:color w:val="000000"/>
        </w:rPr>
      </w:pPr>
      <w:bookmarkStart w:id="28" w:name="_Toc15377205"/>
      <w:bookmarkStart w:id="29" w:name="_Toc19710"/>
      <w:bookmarkStart w:id="30" w:name="_Toc111208499"/>
      <w:bookmarkStart w:id="31" w:name="_Toc111208509"/>
      <w:bookmarkStart w:id="32" w:name="_Toc18122"/>
      <w:bookmarkStart w:id="33" w:name="_Toc15377225"/>
      <w:r>
        <w:rPr>
          <w:rFonts w:hint="eastAsia" w:ascii="黑体" w:hAnsi="黑体" w:eastAsia="黑体" w:cs="黑体"/>
          <w:bCs w:val="0"/>
          <w:color w:val="000000"/>
        </w:rPr>
        <w:t>一、收入支出决算总体情况说</w:t>
      </w:r>
      <w:bookmarkEnd w:id="28"/>
      <w:r>
        <w:rPr>
          <w:rFonts w:hint="eastAsia" w:ascii="黑体" w:hAnsi="黑体" w:eastAsia="黑体" w:cs="黑体"/>
          <w:bCs w:val="0"/>
          <w:color w:val="000000"/>
        </w:rPr>
        <w:t>明</w:t>
      </w:r>
      <w:bookmarkEnd w:id="29"/>
      <w:bookmarkEnd w:id="30"/>
    </w:p>
    <w:p w14:paraId="1D755BBD">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ascii="仿宋" w:hAnsi="仿宋" w:eastAsia="仿宋" w:cs="仿宋"/>
          <w:color w:val="000000"/>
          <w:sz w:val="32"/>
          <w:u w:color="auto"/>
        </w:rPr>
        <w:t>年度收、支总计均为9</w:t>
      </w:r>
      <w:r>
        <w:rPr>
          <w:rFonts w:hint="eastAsia" w:ascii="仿宋" w:hAnsi="仿宋" w:eastAsia="仿宋" w:cs="仿宋"/>
          <w:color w:val="000000"/>
          <w:sz w:val="32"/>
          <w:u w:color="auto"/>
          <w:lang w:val="en-US" w:eastAsia="zh-CN"/>
        </w:rPr>
        <w:t>2.91</w:t>
      </w:r>
      <w:r>
        <w:rPr>
          <w:rFonts w:hint="eastAsia" w:ascii="仿宋" w:hAnsi="仿宋" w:eastAsia="仿宋" w:cs="仿宋"/>
          <w:color w:val="000000"/>
          <w:sz w:val="32"/>
          <w:szCs w:val="32"/>
        </w:rPr>
        <w:t>万元。与</w:t>
      </w:r>
      <w:r>
        <w:rPr>
          <w:rFonts w:ascii="仿宋" w:hAnsi="仿宋" w:eastAsia="仿宋" w:cs="仿宋"/>
          <w:color w:val="000000"/>
          <w:sz w:val="32"/>
          <w:u w:color="auto"/>
        </w:rPr>
        <w:t>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w:t>
      </w:r>
      <w:r>
        <w:rPr>
          <w:rFonts w:hint="eastAsia" w:ascii="仿宋" w:hAnsi="仿宋" w:eastAsia="仿宋" w:cs="仿宋"/>
          <w:color w:val="000000"/>
          <w:sz w:val="32"/>
          <w:szCs w:val="32"/>
          <w:lang w:eastAsia="zh-CN"/>
        </w:rPr>
        <w:t>入增加</w:t>
      </w:r>
      <w:r>
        <w:rPr>
          <w:rFonts w:hint="eastAsia" w:ascii="仿宋" w:hAnsi="仿宋" w:eastAsia="仿宋" w:cs="仿宋"/>
          <w:color w:val="000000"/>
          <w:sz w:val="32"/>
          <w:szCs w:val="32"/>
          <w:lang w:val="en-US" w:eastAsia="zh-CN"/>
        </w:rPr>
        <w:t>18.2</w:t>
      </w:r>
      <w:r>
        <w:rPr>
          <w:rFonts w:ascii="仿宋" w:hAnsi="仿宋" w:eastAsia="仿宋" w:cs="仿宋"/>
          <w:color w:val="000000"/>
          <w:sz w:val="32"/>
          <w:u w:color="auto"/>
        </w:rPr>
        <w:t>万元。</w:t>
      </w:r>
    </w:p>
    <w:p w14:paraId="3E9073D3">
      <w:pPr>
        <w:spacing w:line="600" w:lineRule="exact"/>
        <w:ind w:firstLine="64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主要变动原因是</w:t>
      </w:r>
      <w:r>
        <w:rPr>
          <w:rFonts w:hint="eastAsia" w:ascii="仿宋_GB2312" w:hAnsi="仿宋" w:eastAsia="仿宋_GB2312"/>
          <w:color w:val="000000" w:themeColor="text1"/>
          <w:sz w:val="32"/>
          <w:szCs w:val="32"/>
          <w:lang w:eastAsia="zh-CN"/>
          <w14:textFill>
            <w14:solidFill>
              <w14:schemeClr w14:val="tx1"/>
            </w14:solidFill>
          </w14:textFill>
        </w:rPr>
        <w:t>人员工资福利及</w:t>
      </w:r>
      <w:r>
        <w:rPr>
          <w:rFonts w:hint="eastAsia" w:ascii="仿宋_GB2312" w:hAnsi="仿宋" w:eastAsia="仿宋_GB2312"/>
          <w:color w:val="000000" w:themeColor="text1"/>
          <w:sz w:val="32"/>
          <w:szCs w:val="32"/>
          <w:lang w:val="en-US" w:eastAsia="zh-CN"/>
          <w14:textFill>
            <w14:solidFill>
              <w14:schemeClr w14:val="tx1"/>
            </w14:solidFill>
          </w14:textFill>
        </w:rPr>
        <w:t>2023年《九鼎山》杂志出版印刷经费的</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 w:hAnsi="仿宋" w:eastAsia="仿宋" w:cs="仿宋"/>
          <w:color w:val="000000" w:themeColor="text1"/>
          <w:sz w:val="32"/>
          <w:szCs w:val="32"/>
          <w14:textFill>
            <w14:solidFill>
              <w14:schemeClr w14:val="tx1"/>
            </w14:solidFill>
          </w14:textFill>
        </w:rPr>
        <w:t xml:space="preserve"> </w:t>
      </w:r>
    </w:p>
    <w:p w14:paraId="3BCC3C7F">
      <w:pPr>
        <w:pStyle w:val="8"/>
        <w:rPr>
          <w:rFonts w:hint="eastAsia" w:ascii="黑体" w:hAnsi="黑体" w:eastAsia="黑体" w:cs="黑体"/>
          <w:bCs w:val="0"/>
          <w:color w:val="000000"/>
          <w:lang w:eastAsia="zh-CN"/>
        </w:rPr>
      </w:pPr>
      <w:r>
        <w:rPr>
          <w:rFonts w:hint="eastAsia" w:ascii="黑体" w:hAnsi="黑体" w:eastAsia="黑体" w:cs="黑体"/>
          <w:bCs w:val="0"/>
          <w:color w:val="000000"/>
          <w:lang w:val="en-US" w:eastAsia="zh-CN"/>
        </w:rPr>
        <w:t xml:space="preserve">       </w:t>
      </w:r>
      <w:r>
        <w:rPr>
          <w:rFonts w:hint="eastAsia" w:ascii="黑体" w:hAnsi="黑体" w:eastAsia="黑体" w:cs="黑体"/>
          <w:bCs w:val="0"/>
          <w:color w:val="000000"/>
          <w:lang w:eastAsia="zh-CN"/>
        </w:rPr>
        <w:drawing>
          <wp:inline distT="0" distB="0" distL="114300" distR="114300">
            <wp:extent cx="3518535" cy="1608455"/>
            <wp:effectExtent l="4445" t="4445" r="20320" b="63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CACEE3">
      <w:pPr>
        <w:pStyle w:val="8"/>
        <w:ind w:firstLine="1353" w:firstLineChars="423"/>
        <w:rPr>
          <w:rFonts w:hint="eastAsia" w:ascii="黑体" w:hAnsi="黑体" w:eastAsia="黑体" w:cs="黑体"/>
          <w:bCs w:val="0"/>
          <w:color w:val="000000"/>
          <w:lang w:eastAsia="zh-CN"/>
        </w:rPr>
      </w:pPr>
      <w:r>
        <w:rPr>
          <w:rFonts w:hint="eastAsia" w:ascii="仿宋" w:hAnsi="仿宋" w:eastAsia="仿宋" w:cs="仿宋"/>
          <w:color w:val="000000"/>
          <w:sz w:val="32"/>
          <w:szCs w:val="32"/>
        </w:rPr>
        <w:t>（图1：收、支决算总计变动情况图）</w:t>
      </w:r>
    </w:p>
    <w:p w14:paraId="32EE6688">
      <w:pPr>
        <w:pStyle w:val="6"/>
        <w:ind w:firstLine="643" w:firstLineChars="200"/>
        <w:rPr>
          <w:rFonts w:hint="eastAsia" w:ascii="黑体" w:hAnsi="黑体" w:eastAsia="黑体" w:cs="黑体"/>
          <w:bCs w:val="0"/>
          <w:color w:val="000000"/>
          <w:lang w:eastAsia="zh-CN"/>
        </w:rPr>
      </w:pPr>
      <w:bookmarkStart w:id="34" w:name="_Toc8125"/>
      <w:bookmarkStart w:id="35" w:name="_Toc15377206"/>
      <w:bookmarkStart w:id="36" w:name="_Toc111208500"/>
      <w:r>
        <w:rPr>
          <w:rFonts w:hint="eastAsia" w:ascii="黑体" w:hAnsi="黑体" w:eastAsia="黑体" w:cs="黑体"/>
          <w:bCs w:val="0"/>
          <w:color w:val="000000"/>
        </w:rPr>
        <w:t>二、收入决算情况说明</w:t>
      </w:r>
      <w:bookmarkEnd w:id="34"/>
      <w:bookmarkEnd w:id="35"/>
      <w:bookmarkEnd w:id="36"/>
      <w:r>
        <w:rPr>
          <w:rFonts w:hint="eastAsia" w:ascii="仿宋" w:hAnsi="仿宋" w:eastAsia="仿宋" w:cs="仿宋"/>
          <w:color w:val="000000"/>
          <w:sz w:val="32"/>
          <w:szCs w:val="32"/>
        </w:rPr>
        <w:t>收、支决算总计变动情况图</w:t>
      </w:r>
    </w:p>
    <w:p w14:paraId="778A0F0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9</w:t>
      </w:r>
      <w:r>
        <w:rPr>
          <w:rFonts w:hint="eastAsia" w:ascii="仿宋" w:hAnsi="仿宋" w:eastAsia="仿宋" w:cs="仿宋"/>
          <w:color w:val="000000"/>
          <w:sz w:val="32"/>
          <w:u w:color="auto"/>
          <w:lang w:val="en-US" w:eastAsia="zh-CN"/>
        </w:rPr>
        <w:t>2.91</w:t>
      </w:r>
      <w:r>
        <w:rPr>
          <w:rFonts w:ascii="仿宋" w:hAnsi="仿宋" w:eastAsia="仿宋" w:cs="仿宋"/>
          <w:color w:val="000000"/>
          <w:sz w:val="32"/>
          <w:u w:color="auto"/>
        </w:rPr>
        <w:t>万元</w:t>
      </w:r>
      <w:r>
        <w:rPr>
          <w:rFonts w:hint="eastAsia" w:ascii="仿宋" w:hAnsi="仿宋" w:eastAsia="仿宋" w:cs="仿宋"/>
          <w:color w:val="000000"/>
          <w:sz w:val="32"/>
          <w:szCs w:val="32"/>
          <w:lang w:val="en-US" w:eastAsia="zh-CN"/>
        </w:rPr>
        <w:t>，其中:一般公共预算财政拨款收入92.91万元，占100%</w:t>
      </w:r>
      <w:r>
        <w:rPr>
          <w:rFonts w:hint="eastAsia" w:ascii="仿宋" w:hAnsi="仿宋" w:eastAsia="仿宋" w:cs="仿宋"/>
          <w:color w:val="000000"/>
          <w:sz w:val="32"/>
          <w:szCs w:val="32"/>
        </w:rPr>
        <w:t>。</w:t>
      </w:r>
    </w:p>
    <w:p w14:paraId="6C5C997B">
      <w:pPr>
        <w:pStyle w:val="16"/>
        <w:ind w:left="1060" w:hanging="640"/>
        <w:jc w:val="center"/>
        <w:rPr>
          <w:rFonts w:hint="eastAsia" w:ascii="思源黑体 CN Normal" w:hAnsi="思源黑体 CN Normal" w:eastAsia="思源黑体 CN Normal" w:cs="思源黑体 CN Normal"/>
          <w:color w:val="FF0000"/>
          <w:sz w:val="32"/>
          <w:szCs w:val="32"/>
          <w:lang w:eastAsia="zh-CN"/>
        </w:rPr>
      </w:pPr>
      <w:r>
        <w:rPr>
          <w:rFonts w:hint="eastAsia" w:ascii="思源黑体 CN Normal" w:hAnsi="思源黑体 CN Normal" w:eastAsia="思源黑体 CN Normal" w:cs="思源黑体 CN Normal"/>
          <w:color w:val="FF0000"/>
          <w:sz w:val="32"/>
          <w:szCs w:val="32"/>
          <w:lang w:val="en-US" w:eastAsia="zh-CN"/>
        </w:rPr>
        <w:t xml:space="preserve">  </w:t>
      </w: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3764915" cy="1638935"/>
            <wp:effectExtent l="4445" t="4445" r="21590" b="52070"/>
            <wp:docPr id="7" name="图表 7"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B48826">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14:paraId="01E5F1E5">
      <w:pPr>
        <w:pStyle w:val="6"/>
        <w:ind w:firstLine="643" w:firstLineChars="200"/>
        <w:rPr>
          <w:rFonts w:hint="eastAsia" w:ascii="黑体" w:hAnsi="黑体" w:eastAsia="黑体" w:cs="黑体"/>
          <w:bCs w:val="0"/>
          <w:color w:val="000000"/>
        </w:rPr>
      </w:pPr>
      <w:bookmarkStart w:id="37" w:name="_Toc111208501"/>
      <w:bookmarkStart w:id="38" w:name="_Toc28283"/>
      <w:bookmarkStart w:id="39" w:name="_Toc15377207"/>
      <w:r>
        <w:rPr>
          <w:rFonts w:hint="eastAsia" w:ascii="黑体" w:hAnsi="黑体" w:eastAsia="黑体" w:cs="黑体"/>
          <w:bCs w:val="0"/>
          <w:color w:val="000000"/>
        </w:rPr>
        <w:t>三、支出决算情况说明</w:t>
      </w:r>
      <w:bookmarkEnd w:id="37"/>
      <w:bookmarkEnd w:id="38"/>
      <w:bookmarkEnd w:id="39"/>
    </w:p>
    <w:p w14:paraId="2CACE513">
      <w:pPr>
        <w:pStyle w:val="8"/>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hint="eastAsia" w:ascii="仿宋" w:hAnsi="仿宋" w:eastAsia="仿宋" w:cs="仿宋"/>
          <w:color w:val="000000"/>
          <w:sz w:val="32"/>
          <w:u w:color="auto"/>
          <w:lang w:val="en-US" w:eastAsia="zh-CN"/>
        </w:rPr>
        <w:t>92.91</w:t>
      </w:r>
      <w:r>
        <w:rPr>
          <w:rFonts w:ascii="仿宋" w:hAnsi="仿宋" w:eastAsia="仿宋" w:cs="仿宋"/>
          <w:color w:val="000000"/>
          <w:sz w:val="32"/>
          <w:u w:color="auto"/>
        </w:rPr>
        <w:t>万元</w:t>
      </w:r>
      <w:r>
        <w:rPr>
          <w:rFonts w:hint="eastAsia" w:ascii="仿宋" w:hAnsi="仿宋" w:eastAsia="仿宋" w:cs="仿宋"/>
          <w:color w:val="000000"/>
          <w:sz w:val="32"/>
          <w:szCs w:val="32"/>
          <w:lang w:val="en-US" w:eastAsia="zh-CN"/>
        </w:rPr>
        <w:t>，其中:基本支出92.91万元，占100.00%</w:t>
      </w:r>
      <w:r>
        <w:rPr>
          <w:rFonts w:hint="eastAsia" w:ascii="仿宋" w:hAnsi="仿宋" w:eastAsia="仿宋" w:cs="仿宋"/>
          <w:color w:val="000000"/>
          <w:sz w:val="32"/>
          <w:szCs w:val="32"/>
        </w:rPr>
        <w:t>。</w:t>
      </w:r>
    </w:p>
    <w:p w14:paraId="755C8B76">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630295" cy="1953895"/>
            <wp:effectExtent l="4445" t="4445" r="22860"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886E81">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14:paraId="54C5B322">
      <w:pPr>
        <w:pStyle w:val="6"/>
        <w:ind w:firstLine="643" w:firstLineChars="200"/>
        <w:rPr>
          <w:rFonts w:hint="eastAsia" w:ascii="黑体" w:hAnsi="黑体" w:eastAsia="黑体" w:cs="黑体"/>
          <w:bCs w:val="0"/>
          <w:color w:val="000000"/>
        </w:rPr>
      </w:pPr>
      <w:bookmarkStart w:id="40" w:name="_Toc15377208"/>
      <w:bookmarkStart w:id="41" w:name="_Toc19521"/>
      <w:bookmarkStart w:id="42" w:name="_Toc111208502"/>
      <w:r>
        <w:rPr>
          <w:rFonts w:hint="eastAsia" w:ascii="黑体" w:hAnsi="黑体" w:eastAsia="黑体" w:cs="黑体"/>
          <w:bCs w:val="0"/>
          <w:color w:val="000000"/>
        </w:rPr>
        <w:t>四、财政拨款收入支出决算总体情况说明</w:t>
      </w:r>
      <w:bookmarkEnd w:id="40"/>
      <w:bookmarkEnd w:id="41"/>
      <w:bookmarkEnd w:id="42"/>
    </w:p>
    <w:p w14:paraId="7E67A27C">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2023</w:t>
      </w:r>
      <w:r>
        <w:rPr>
          <w:rFonts w:hint="eastAsia" w:ascii="仿宋" w:hAnsi="仿宋" w:eastAsia="仿宋" w:cs="仿宋"/>
          <w:color w:val="000000" w:themeColor="text1"/>
          <w:sz w:val="32"/>
          <w:szCs w:val="32"/>
          <w:lang w:val="en-US"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财政拨款收、支总计均为</w:t>
      </w:r>
      <w:r>
        <w:rPr>
          <w:rFonts w:hint="eastAsia" w:ascii="仿宋" w:hAnsi="仿宋" w:eastAsia="仿宋" w:cs="仿宋"/>
          <w:color w:val="000000" w:themeColor="text1"/>
          <w:sz w:val="32"/>
          <w:u w:color="auto"/>
          <w:lang w:val="en-US" w:eastAsia="zh-CN"/>
          <w14:textFill>
            <w14:solidFill>
              <w14:schemeClr w14:val="tx1"/>
            </w14:solidFill>
          </w14:textFill>
        </w:rPr>
        <w:t>92.91</w:t>
      </w:r>
      <w:r>
        <w:rPr>
          <w:rFonts w:ascii="仿宋" w:hAnsi="仿宋" w:eastAsia="仿宋" w:cs="仿宋"/>
          <w:color w:val="000000" w:themeColor="text1"/>
          <w:sz w:val="32"/>
          <w:u w:color="auto"/>
          <w14:textFill>
            <w14:solidFill>
              <w14:schemeClr w14:val="tx1"/>
            </w14:solidFill>
          </w14:textFill>
        </w:rPr>
        <w:t>万元。与2022</w:t>
      </w:r>
      <w:r>
        <w:rPr>
          <w:rFonts w:hint="eastAsia" w:ascii="仿宋" w:hAnsi="仿宋" w:eastAsia="仿宋" w:cs="仿宋"/>
          <w:color w:val="000000" w:themeColor="text1"/>
          <w:sz w:val="32"/>
          <w:szCs w:val="32"/>
          <w:lang w:val="en-US"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相比，财政拨款收、支总计</w:t>
      </w:r>
      <w:r>
        <w:rPr>
          <w:rFonts w:hint="eastAsia" w:ascii="仿宋" w:hAnsi="仿宋" w:eastAsia="仿宋" w:cs="仿宋"/>
          <w:color w:val="000000" w:themeColor="text1"/>
          <w:sz w:val="32"/>
          <w:szCs w:val="32"/>
          <w:lang w:eastAsia="zh-CN"/>
          <w14:textFill>
            <w14:solidFill>
              <w14:schemeClr w14:val="tx1"/>
            </w14:solidFill>
          </w14:textFill>
        </w:rPr>
        <w:t>增加</w:t>
      </w:r>
      <w:r>
        <w:rPr>
          <w:rFonts w:hint="eastAsia" w:ascii="仿宋" w:hAnsi="仿宋" w:eastAsia="仿宋" w:cs="仿宋"/>
          <w:color w:val="000000" w:themeColor="text1"/>
          <w:sz w:val="32"/>
          <w:szCs w:val="32"/>
          <w:lang w:val="en-US" w:eastAsia="zh-CN"/>
          <w14:textFill>
            <w14:solidFill>
              <w14:schemeClr w14:val="tx1"/>
            </w14:solidFill>
          </w14:textFill>
        </w:rPr>
        <w:t>18.2</w:t>
      </w:r>
      <w:r>
        <w:rPr>
          <w:rFonts w:ascii="仿宋" w:hAnsi="仿宋" w:eastAsia="仿宋" w:cs="仿宋"/>
          <w:color w:val="000000" w:themeColor="text1"/>
          <w:sz w:val="32"/>
          <w:u w:color="auto"/>
          <w14:textFill>
            <w14:solidFill>
              <w14:schemeClr w14:val="tx1"/>
            </w14:solidFill>
          </w14:textFill>
        </w:rPr>
        <w:t>万元，</w:t>
      </w:r>
      <w:r>
        <w:rPr>
          <w:rFonts w:hint="eastAsia" w:ascii="仿宋" w:hAnsi="仿宋" w:eastAsia="仿宋" w:cs="仿宋"/>
          <w:color w:val="000000" w:themeColor="text1"/>
          <w:sz w:val="32"/>
          <w:u w:color="auto"/>
          <w:lang w:eastAsia="zh-CN"/>
          <w14:textFill>
            <w14:solidFill>
              <w14:schemeClr w14:val="tx1"/>
            </w14:solidFill>
          </w14:textFill>
        </w:rPr>
        <w:t>增加</w:t>
      </w:r>
      <w:r>
        <w:rPr>
          <w:rFonts w:hint="eastAsia" w:ascii="仿宋" w:hAnsi="仿宋" w:eastAsia="仿宋" w:cs="仿宋"/>
          <w:color w:val="000000" w:themeColor="text1"/>
          <w:sz w:val="32"/>
          <w:u w:color="auto"/>
          <w:lang w:val="en-US" w:eastAsia="zh-CN"/>
          <w14:textFill>
            <w14:solidFill>
              <w14:schemeClr w14:val="tx1"/>
            </w14:solidFill>
          </w14:textFill>
        </w:rPr>
        <w:t>24.36</w:t>
      </w:r>
      <w:r>
        <w:rPr>
          <w:rFonts w:ascii="仿宋" w:hAnsi="仿宋" w:eastAsia="仿宋" w:cs="仿宋"/>
          <w:color w:val="000000" w:themeColor="text1"/>
          <w:sz w:val="32"/>
          <w:u w:color="auto"/>
          <w14:textFill>
            <w14:solidFill>
              <w14:schemeClr w14:val="tx1"/>
            </w14:solidFill>
          </w14:textFill>
        </w:rPr>
        <w:t>%。</w:t>
      </w:r>
    </w:p>
    <w:p w14:paraId="6CFFB3AE">
      <w:pPr>
        <w:pStyle w:val="8"/>
        <w:ind w:left="960" w:leftChars="0" w:hanging="960" w:hangingChars="300"/>
        <w:jc w:val="left"/>
        <w:rPr>
          <w:rFonts w:hint="eastAsia" w:ascii="思源黑体 CN Normal" w:hAnsi="思源黑体 CN Normal" w:eastAsia="仿宋" w:cs="思源黑体 CN Normal"/>
          <w:color w:val="00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主要变动原因是</w:t>
      </w:r>
      <w:r>
        <w:rPr>
          <w:rFonts w:hint="eastAsia" w:ascii="仿宋" w:hAnsi="仿宋" w:eastAsia="仿宋" w:cs="仿宋"/>
          <w:color w:val="000000" w:themeColor="text1"/>
          <w:sz w:val="32"/>
          <w:szCs w:val="32"/>
          <w:lang w:eastAsia="zh-CN"/>
          <w14:textFill>
            <w14:solidFill>
              <w14:schemeClr w14:val="tx1"/>
            </w14:solidFill>
          </w14:textFill>
        </w:rPr>
        <w:t>工资保险调整及项目增加。</w:t>
      </w:r>
      <w:r>
        <w:rPr>
          <w:rFonts w:hint="eastAsia" w:ascii="思源黑体 CN Normal" w:hAnsi="思源黑体 CN Normal" w:eastAsia="仿宋" w:cs="思源黑体 CN Normal"/>
          <w:color w:val="000000"/>
          <w:sz w:val="32"/>
          <w:szCs w:val="32"/>
          <w:lang w:eastAsia="zh-CN"/>
        </w:rPr>
        <w:drawing>
          <wp:inline distT="0" distB="0" distL="114300" distR="114300">
            <wp:extent cx="3963035" cy="2178685"/>
            <wp:effectExtent l="5080" t="4445" r="13335" b="762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FD4674">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14:paraId="47ACA441">
      <w:pPr>
        <w:pStyle w:val="6"/>
        <w:ind w:firstLine="643" w:firstLineChars="200"/>
        <w:rPr>
          <w:rFonts w:hint="eastAsia" w:ascii="黑体" w:hAnsi="黑体" w:eastAsia="黑体" w:cs="黑体"/>
          <w:bCs w:val="0"/>
          <w:color w:val="000000"/>
        </w:rPr>
      </w:pPr>
      <w:bookmarkStart w:id="43" w:name="_Toc15377209"/>
      <w:bookmarkStart w:id="44" w:name="_Toc14368"/>
      <w:bookmarkStart w:id="45" w:name="_Toc111208503"/>
      <w:r>
        <w:rPr>
          <w:rFonts w:hint="eastAsia" w:ascii="黑体" w:hAnsi="黑体" w:eastAsia="黑体" w:cs="黑体"/>
          <w:bCs w:val="0"/>
          <w:color w:val="000000"/>
        </w:rPr>
        <w:t>五、一般公共预算财政拨款支出决算情况说</w:t>
      </w:r>
      <w:bookmarkEnd w:id="43"/>
      <w:r>
        <w:rPr>
          <w:rFonts w:hint="eastAsia" w:ascii="黑体" w:hAnsi="黑体" w:eastAsia="黑体" w:cs="黑体"/>
          <w:bCs w:val="0"/>
          <w:color w:val="000000"/>
        </w:rPr>
        <w:t>明</w:t>
      </w:r>
      <w:bookmarkEnd w:id="44"/>
      <w:bookmarkEnd w:id="45"/>
    </w:p>
    <w:p w14:paraId="14EF3A04">
      <w:pPr>
        <w:spacing w:line="600" w:lineRule="exact"/>
        <w:ind w:firstLine="643" w:firstLineChars="200"/>
        <w:outlineLvl w:val="2"/>
        <w:rPr>
          <w:rFonts w:hint="eastAsia" w:ascii="仿宋" w:hAnsi="仿宋" w:eastAsia="仿宋" w:cs="仿宋"/>
          <w:b/>
          <w:color w:val="000000"/>
          <w:sz w:val="32"/>
          <w:szCs w:val="32"/>
        </w:rPr>
      </w:pPr>
      <w:bookmarkStart w:id="46" w:name="_Toc15377210"/>
      <w:r>
        <w:rPr>
          <w:rFonts w:hint="eastAsia" w:ascii="仿宋" w:hAnsi="仿宋" w:eastAsia="仿宋" w:cs="仿宋"/>
          <w:b/>
          <w:color w:val="000000"/>
          <w:sz w:val="32"/>
          <w:szCs w:val="32"/>
        </w:rPr>
        <w:t>（一）一般公共预算财政拨款支出决算总体情况</w:t>
      </w:r>
      <w:bookmarkEnd w:id="46"/>
    </w:p>
    <w:p w14:paraId="4554F0C2">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7" w:name="_Toc15377211"/>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hint="eastAsia" w:ascii="仿宋" w:hAnsi="仿宋" w:eastAsia="仿宋" w:cs="仿宋"/>
          <w:color w:val="000000"/>
          <w:sz w:val="32"/>
          <w:u w:color="auto"/>
          <w:lang w:val="en-US" w:eastAsia="zh-CN"/>
        </w:rPr>
        <w:t>92.91</w:t>
      </w:r>
      <w:r>
        <w:rPr>
          <w:rFonts w:ascii="仿宋" w:hAnsi="仿宋" w:eastAsia="仿宋" w:cs="仿宋"/>
          <w:color w:val="000000"/>
          <w:sz w:val="32"/>
          <w:u w:color="auto"/>
        </w:rPr>
        <w:t>万元，占本年支出合计的100.00%。与2022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hint="eastAsia" w:ascii="仿宋" w:hAnsi="仿宋" w:eastAsia="仿宋" w:cs="仿宋"/>
          <w:color w:val="000000"/>
          <w:sz w:val="32"/>
          <w:u w:color="auto"/>
          <w:lang w:eastAsia="zh-CN"/>
        </w:rPr>
        <w:t>增加</w:t>
      </w:r>
      <w:r>
        <w:rPr>
          <w:rFonts w:hint="eastAsia" w:ascii="仿宋" w:hAnsi="仿宋" w:eastAsia="仿宋" w:cs="仿宋"/>
          <w:color w:val="000000"/>
          <w:sz w:val="32"/>
          <w:u w:color="auto"/>
          <w:lang w:val="en-US" w:eastAsia="zh-CN"/>
        </w:rPr>
        <w:t>18.2</w:t>
      </w:r>
      <w:r>
        <w:rPr>
          <w:rFonts w:ascii="仿宋" w:hAnsi="仿宋" w:eastAsia="仿宋" w:cs="仿宋"/>
          <w:color w:val="000000"/>
          <w:sz w:val="32"/>
          <w:u w:color="auto"/>
        </w:rPr>
        <w:t>万元，</w:t>
      </w:r>
      <w:r>
        <w:rPr>
          <w:rFonts w:hint="eastAsia" w:ascii="仿宋" w:hAnsi="仿宋" w:eastAsia="仿宋" w:cs="仿宋"/>
          <w:color w:val="000000"/>
          <w:sz w:val="32"/>
          <w:u w:color="auto"/>
          <w:lang w:eastAsia="zh-CN"/>
        </w:rPr>
        <w:t>增加</w:t>
      </w:r>
      <w:r>
        <w:rPr>
          <w:rFonts w:hint="eastAsia" w:ascii="仿宋" w:hAnsi="仿宋" w:eastAsia="仿宋" w:cs="仿宋"/>
          <w:color w:val="000000"/>
          <w:sz w:val="32"/>
          <w:u w:color="auto"/>
          <w:lang w:val="en-US" w:eastAsia="zh-CN"/>
        </w:rPr>
        <w:t>0.24</w:t>
      </w:r>
      <w:r>
        <w:rPr>
          <w:rFonts w:ascii="仿宋" w:hAnsi="仿宋" w:eastAsia="仿宋" w:cs="仿宋"/>
          <w:color w:val="000000"/>
          <w:sz w:val="32"/>
          <w:u w:color="auto"/>
        </w:rPr>
        <w:t xml:space="preserve"> %。</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eastAsia="zh-CN"/>
        </w:rPr>
        <w:t>工资保险调整及项目增加。</w:t>
      </w:r>
    </w:p>
    <w:p w14:paraId="06482289">
      <w:pPr>
        <w:pStyle w:val="8"/>
        <w:ind w:firstLine="0"/>
        <w:rPr>
          <w:rFonts w:hint="eastAsia" w:ascii="思源黑体 CN Normal" w:hAnsi="思源黑体 CN Normal" w:eastAsia="思源黑体 CN Normal" w:cs="思源黑体 CN Normal"/>
          <w:b/>
          <w:color w:val="000000"/>
          <w:sz w:val="32"/>
          <w:szCs w:val="32"/>
          <w:lang w:eastAsia="zh-CN"/>
        </w:rPr>
      </w:pPr>
      <w:r>
        <w:rPr>
          <w:rFonts w:hint="eastAsia" w:ascii="思源黑体 CN Normal" w:hAnsi="思源黑体 CN Normal" w:eastAsia="思源黑体 CN Normal" w:cs="思源黑体 CN Normal"/>
          <w:b/>
          <w:color w:val="000000"/>
          <w:sz w:val="32"/>
          <w:szCs w:val="32"/>
          <w:lang w:val="en-US" w:eastAsia="zh-CN"/>
        </w:rPr>
        <w:t xml:space="preserve">   </w:t>
      </w:r>
      <w:r>
        <w:rPr>
          <w:rFonts w:hint="eastAsia" w:ascii="思源黑体 CN Normal" w:hAnsi="思源黑体 CN Normal" w:eastAsia="思源黑体 CN Normal" w:cs="思源黑体 CN Normal"/>
          <w:b/>
          <w:color w:val="000000"/>
          <w:sz w:val="32"/>
          <w:szCs w:val="32"/>
          <w:lang w:eastAsia="zh-CN"/>
        </w:rPr>
        <w:drawing>
          <wp:inline distT="0" distB="0" distL="114300" distR="114300">
            <wp:extent cx="4257040" cy="2012315"/>
            <wp:effectExtent l="4445" t="4445" r="5715" b="21590"/>
            <wp:docPr id="11" name="图表 1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E00AB0">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14:paraId="6B160DB2">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7"/>
      <w:r>
        <w:rPr>
          <w:rFonts w:hint="eastAsia" w:ascii="仿宋" w:hAnsi="仿宋" w:eastAsia="仿宋" w:cs="仿宋"/>
          <w:b/>
          <w:color w:val="000000"/>
          <w:sz w:val="32"/>
          <w:szCs w:val="32"/>
        </w:rPr>
        <w:t>（一般公共预算收支表）</w:t>
      </w:r>
    </w:p>
    <w:p w14:paraId="10074F69">
      <w:pPr>
        <w:pageBreakBefore w:val="0"/>
        <w:numPr>
          <w:ilvl w:val="0"/>
          <w:numId w:val="0"/>
        </w:numPr>
        <w:kinsoku/>
        <w:wordWrap/>
        <w:overflowPunct/>
        <w:topLinePunct w:val="0"/>
        <w:bidi w:val="0"/>
        <w:spacing w:line="576" w:lineRule="exact"/>
        <w:ind w:leftChars="0" w:firstLine="640" w:firstLineChars="200"/>
        <w:textAlignment w:val="auto"/>
        <w:outlineLvl w:val="2"/>
        <w:rPr>
          <w:rFonts w:hint="eastAsia" w:ascii="思源黑体 CN Normal" w:hAnsi="思源黑体 CN Normal" w:eastAsia="思源黑体 CN Normal" w:cs="思源黑体 CN Normal"/>
          <w:color w:val="000000" w:themeColor="text1"/>
          <w14:textFill>
            <w14:solidFill>
              <w14:schemeClr w14:val="tx1"/>
            </w14:solidFill>
          </w14:textFill>
        </w:rPr>
      </w:pPr>
      <w:bookmarkStart w:id="48" w:name="_Toc15377212"/>
      <w:r>
        <w:rPr>
          <w:rFonts w:ascii="仿宋" w:hAnsi="Times New Roman" w:eastAsia="仿宋" w:cs="Times New Roman"/>
          <w:color w:val="000000" w:themeColor="text1"/>
          <w:kern w:val="2"/>
          <w:sz w:val="32"/>
          <w:szCs w:val="32"/>
          <w:lang w:val="en-US" w:eastAsia="zh-CN" w:bidi="ar-SA"/>
          <w14:textFill>
            <w14:solidFill>
              <w14:schemeClr w14:val="tx1"/>
            </w14:solidFill>
          </w14:textFill>
        </w:rPr>
        <w:t>202</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3</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年一般公共预算财政拨款支出</w:t>
      </w:r>
      <w:r>
        <w:rPr>
          <w:rFonts w:hint="eastAsia" w:ascii="仿宋" w:eastAsia="仿宋"/>
          <w:color w:val="000000" w:themeColor="text1"/>
          <w:sz w:val="32"/>
          <w:szCs w:val="32"/>
          <w:lang w:val="en-US" w:eastAsia="zh-CN"/>
          <w14:textFill>
            <w14:solidFill>
              <w14:schemeClr w14:val="tx1"/>
            </w14:solidFill>
          </w14:textFill>
        </w:rPr>
        <w:t>92.91</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万元，主要用于以下方面:</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一般公共服务（类）支出</w:t>
      </w:r>
      <w:r>
        <w:rPr>
          <w:rFonts w:hint="eastAsia" w:ascii="仿宋" w:eastAsia="仿宋"/>
          <w:color w:val="000000" w:themeColor="text1"/>
          <w:sz w:val="32"/>
          <w:szCs w:val="32"/>
          <w:lang w:val="en-US" w:eastAsia="zh-CN"/>
          <w14:textFill>
            <w14:solidFill>
              <w14:schemeClr w14:val="tx1"/>
            </w14:solidFill>
          </w14:textFill>
        </w:rPr>
        <w:t>55.97</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eastAsia="仿宋"/>
          <w:color w:val="000000" w:themeColor="text1"/>
          <w:sz w:val="32"/>
          <w:szCs w:val="32"/>
          <w:lang w:val="en-US" w:eastAsia="zh-CN"/>
          <w14:textFill>
            <w14:solidFill>
              <w14:schemeClr w14:val="tx1"/>
            </w14:solidFill>
          </w14:textFill>
        </w:rPr>
        <w:t>61</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文化旅游体育与传媒支出</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16.41万元，占18%；</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社会保障和就业（类）支出</w:t>
      </w:r>
      <w:r>
        <w:rPr>
          <w:rFonts w:hint="eastAsia" w:ascii="仿宋" w:eastAsia="仿宋"/>
          <w:color w:val="000000" w:themeColor="text1"/>
          <w:sz w:val="32"/>
          <w:szCs w:val="32"/>
          <w:lang w:val="en-US" w:eastAsia="zh-CN"/>
          <w14:textFill>
            <w14:solidFill>
              <w14:schemeClr w14:val="tx1"/>
            </w14:solidFill>
          </w14:textFill>
        </w:rPr>
        <w:t>10.92</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eastAsia="仿宋"/>
          <w:color w:val="000000" w:themeColor="text1"/>
          <w:sz w:val="32"/>
          <w:szCs w:val="32"/>
          <w:lang w:val="en-US" w:eastAsia="zh-CN"/>
          <w14:textFill>
            <w14:solidFill>
              <w14:schemeClr w14:val="tx1"/>
            </w14:solidFill>
          </w14:textFill>
        </w:rPr>
        <w:t>12</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卫生健康支出</w:t>
      </w:r>
      <w:r>
        <w:rPr>
          <w:rFonts w:hint="eastAsia" w:ascii="仿宋" w:eastAsia="仿宋"/>
          <w:color w:val="000000" w:themeColor="text1"/>
          <w:sz w:val="32"/>
          <w:szCs w:val="32"/>
          <w:lang w:val="en-US" w:eastAsia="zh-CN"/>
          <w14:textFill>
            <w14:solidFill>
              <w14:schemeClr w14:val="tx1"/>
            </w14:solidFill>
          </w14:textFill>
        </w:rPr>
        <w:t>4.05</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4</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Times New Roman" w:eastAsia="仿宋" w:cs="Times New Roman"/>
          <w:b/>
          <w:color w:val="000000" w:themeColor="text1"/>
          <w:kern w:val="2"/>
          <w:sz w:val="32"/>
          <w:szCs w:val="32"/>
          <w:lang w:val="en-US" w:eastAsia="zh-CN" w:bidi="ar-SA"/>
          <w14:textFill>
            <w14:solidFill>
              <w14:schemeClr w14:val="tx1"/>
            </w14:solidFill>
          </w14:textFill>
        </w:rPr>
        <w:t>住房保障支出</w:t>
      </w:r>
      <w:r>
        <w:rPr>
          <w:rFonts w:hint="eastAsia" w:ascii="仿宋" w:eastAsia="仿宋"/>
          <w:color w:val="000000" w:themeColor="text1"/>
          <w:sz w:val="32"/>
          <w:szCs w:val="32"/>
          <w:lang w:val="en-US" w:eastAsia="zh-CN"/>
          <w14:textFill>
            <w14:solidFill>
              <w14:schemeClr w14:val="tx1"/>
            </w14:solidFill>
          </w14:textFill>
        </w:rPr>
        <w:t>5.56</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万元，占</w:t>
      </w:r>
      <w:r>
        <w:rPr>
          <w:rFonts w:hint="eastAsia" w:ascii="仿宋" w:eastAsia="仿宋"/>
          <w:color w:val="000000" w:themeColor="text1"/>
          <w:sz w:val="32"/>
          <w:szCs w:val="32"/>
          <w:lang w:val="en-US" w:eastAsia="zh-CN"/>
          <w14:textFill>
            <w14:solidFill>
              <w14:schemeClr w14:val="tx1"/>
            </w14:solidFill>
          </w14:textFill>
        </w:rPr>
        <w:t>5</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w:t>
      </w:r>
    </w:p>
    <w:p w14:paraId="48E15B26">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8"/>
    </w:p>
    <w:p w14:paraId="000A20CF">
      <w:pPr>
        <w:spacing w:line="600" w:lineRule="exact"/>
        <w:ind w:firstLine="640"/>
        <w:rPr>
          <w:rFonts w:hint="eastAsia" w:ascii="仿宋" w:hAnsi="仿宋" w:eastAsia="仿宋" w:cs="仿宋"/>
          <w:color w:val="000000"/>
          <w:sz w:val="32"/>
          <w:szCs w:val="32"/>
        </w:rPr>
      </w:pPr>
      <w:bookmarkStart w:id="49" w:name="_Toc15377444"/>
      <w:bookmarkStart w:id="50" w:name="_Toc15378460"/>
      <w:bookmarkStart w:id="51" w:name="_Toc15377213"/>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hint="eastAsia" w:ascii="仿宋" w:hAnsi="仿宋" w:eastAsia="仿宋" w:cs="仿宋"/>
          <w:color w:val="000000"/>
          <w:sz w:val="32"/>
          <w:u w:color="auto"/>
          <w:lang w:val="en-US" w:eastAsia="zh-CN"/>
        </w:rPr>
        <w:t>92.91</w:t>
      </w:r>
      <w:r>
        <w:rPr>
          <w:rFonts w:ascii="仿宋" w:hAnsi="仿宋" w:eastAsia="仿宋" w:cs="仿宋"/>
          <w:color w:val="000000"/>
          <w:sz w:val="32"/>
          <w:u w:color="auto"/>
        </w:rPr>
        <w:t>万元，完成预算100%。其中：</w:t>
      </w:r>
      <w:bookmarkEnd w:id="49"/>
      <w:bookmarkEnd w:id="50"/>
      <w:bookmarkEnd w:id="51"/>
    </w:p>
    <w:p w14:paraId="4416BDA1">
      <w:pPr>
        <w:numPr>
          <w:ilvl w:val="0"/>
          <w:numId w:val="0"/>
        </w:numPr>
        <w:spacing w:line="600"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rPr>
        <w:t>1.文化旅游体育与传媒支出（类）其他文化旅游体育与传媒支出（款）其他文化旅游体育与传媒支出决算</w:t>
      </w:r>
      <w:r>
        <w:rPr>
          <w:rFonts w:hint="eastAsia" w:ascii="仿宋" w:hAnsi="仿宋" w:eastAsia="仿宋" w:cs="仿宋"/>
          <w:color w:val="000000"/>
          <w:sz w:val="32"/>
          <w:szCs w:val="32"/>
          <w:lang w:val="en-US" w:eastAsia="zh-CN"/>
        </w:rPr>
        <w:t>16.41</w:t>
      </w:r>
      <w:r>
        <w:rPr>
          <w:rFonts w:hint="eastAsia" w:ascii="仿宋" w:hAnsi="仿宋" w:eastAsia="仿宋" w:cs="仿宋"/>
          <w:color w:val="000000"/>
          <w:sz w:val="32"/>
          <w:szCs w:val="32"/>
        </w:rPr>
        <w:t>万元，完成预算100%。</w:t>
      </w:r>
    </w:p>
    <w:p w14:paraId="61485528">
      <w:pPr>
        <w:numPr>
          <w:ilvl w:val="0"/>
          <w:numId w:val="0"/>
        </w:numPr>
        <w:spacing w:line="600" w:lineRule="exact"/>
        <w:ind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lang w:val="en-US" w:eastAsia="zh-CN"/>
        </w:rPr>
        <w:t>2.</w:t>
      </w: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w:t>
      </w:r>
      <w:r>
        <w:rPr>
          <w:rStyle w:val="21"/>
          <w:rFonts w:hint="eastAsia" w:ascii="仿宋" w:hAnsi="仿宋" w:eastAsia="仿宋"/>
          <w:b w:val="0"/>
          <w:bCs/>
          <w:color w:val="000000"/>
          <w:sz w:val="32"/>
          <w:szCs w:val="32"/>
          <w:lang w:eastAsia="zh-CN"/>
        </w:rPr>
        <w:t>群众团体</w:t>
      </w:r>
      <w:r>
        <w:rPr>
          <w:rStyle w:val="21"/>
          <w:rFonts w:hint="eastAsia" w:ascii="仿宋" w:hAnsi="仿宋" w:eastAsia="仿宋"/>
          <w:b w:val="0"/>
          <w:bCs/>
          <w:color w:val="000000"/>
          <w:sz w:val="32"/>
          <w:szCs w:val="32"/>
        </w:rPr>
        <w:t>事务（款）</w:t>
      </w:r>
      <w:r>
        <w:rPr>
          <w:rStyle w:val="21"/>
          <w:rFonts w:hint="eastAsia" w:ascii="仿宋" w:hAnsi="仿宋" w:eastAsia="仿宋"/>
          <w:b w:val="0"/>
          <w:bCs/>
          <w:color w:val="000000"/>
          <w:sz w:val="32"/>
          <w:szCs w:val="32"/>
          <w:lang w:eastAsia="zh-CN"/>
        </w:rPr>
        <w:t>事业</w:t>
      </w:r>
      <w:r>
        <w:rPr>
          <w:rFonts w:hint="eastAsia" w:ascii="仿宋_GB2312" w:eastAsia="仿宋_GB2312"/>
          <w:color w:val="000000"/>
          <w:sz w:val="32"/>
          <w:szCs w:val="32"/>
        </w:rPr>
        <w:t>运行支出（项）</w:t>
      </w:r>
      <w:r>
        <w:rPr>
          <w:rFonts w:hint="eastAsia" w:ascii="仿宋_GB2312" w:eastAsia="仿宋_GB2312"/>
          <w:color w:val="000000"/>
          <w:sz w:val="32"/>
          <w:szCs w:val="32"/>
          <w:lang w:val="en-US" w:eastAsia="zh-CN"/>
        </w:rPr>
        <w:t>55.97</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14:paraId="2E4E40FD">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）机关事业单位基本养老保险缴费支出（项）</w:t>
      </w:r>
      <w:r>
        <w:rPr>
          <w:rFonts w:hint="eastAsia" w:ascii="仿宋" w:eastAsia="仿宋"/>
          <w:sz w:val="32"/>
          <w:szCs w:val="32"/>
          <w:lang w:val="en-US" w:eastAsia="zh-CN"/>
        </w:rPr>
        <w:t>7.28</w:t>
      </w:r>
      <w:r>
        <w:rPr>
          <w:rFonts w:hint="eastAsia" w:ascii="仿宋_GB2312" w:eastAsia="仿宋_GB2312"/>
          <w:color w:val="000000"/>
          <w:sz w:val="32"/>
          <w:szCs w:val="32"/>
        </w:rPr>
        <w:t>万元，完成预算的100%。</w:t>
      </w:r>
    </w:p>
    <w:p w14:paraId="3E15098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）机关事业单位职业年金缴费支出（项）</w:t>
      </w:r>
      <w:r>
        <w:rPr>
          <w:rFonts w:hint="eastAsia" w:ascii="仿宋_GB2312" w:eastAsia="仿宋_GB2312"/>
          <w:color w:val="000000"/>
          <w:sz w:val="32"/>
          <w:szCs w:val="32"/>
          <w:lang w:val="en-US" w:eastAsia="zh-CN"/>
        </w:rPr>
        <w:t>3.64</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单位医疗支出（项）</w:t>
      </w:r>
      <w:r>
        <w:rPr>
          <w:rFonts w:hint="eastAsia" w:ascii="仿宋" w:eastAsia="仿宋"/>
          <w:sz w:val="32"/>
          <w:szCs w:val="32"/>
          <w:lang w:val="en-US" w:eastAsia="zh-CN"/>
        </w:rPr>
        <w:t>4.05</w:t>
      </w:r>
      <w:r>
        <w:rPr>
          <w:rFonts w:hint="eastAsia" w:ascii="仿宋_GB2312" w:eastAsia="仿宋_GB2312"/>
          <w:color w:val="000000"/>
          <w:sz w:val="32"/>
          <w:szCs w:val="32"/>
        </w:rPr>
        <w:t>万元，完成预算的100%。</w:t>
      </w:r>
    </w:p>
    <w:p w14:paraId="1E89165F">
      <w:pPr>
        <w:spacing w:line="600" w:lineRule="exact"/>
        <w:ind w:firstLine="640"/>
        <w:rPr>
          <w:rFonts w:hint="eastAsia" w:ascii="仿宋" w:hAnsi="仿宋" w:eastAsia="仿宋" w:cs="仿宋"/>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）住房公积金支出（项）</w:t>
      </w:r>
      <w:r>
        <w:rPr>
          <w:rFonts w:hint="eastAsia" w:ascii="仿宋" w:eastAsia="仿宋"/>
          <w:sz w:val="32"/>
          <w:szCs w:val="32"/>
          <w:lang w:val="en-US" w:eastAsia="zh-CN"/>
        </w:rPr>
        <w:t>5.56</w:t>
      </w:r>
      <w:r>
        <w:rPr>
          <w:rFonts w:hint="eastAsia" w:ascii="仿宋_GB2312" w:eastAsia="仿宋_GB2312"/>
          <w:color w:val="000000"/>
          <w:sz w:val="32"/>
          <w:szCs w:val="32"/>
        </w:rPr>
        <w:t>万元，完成预算的100%。</w:t>
      </w:r>
    </w:p>
    <w:p w14:paraId="1A1B20CC">
      <w:pPr>
        <w:pStyle w:val="6"/>
        <w:ind w:firstLine="643" w:firstLineChars="200"/>
        <w:rPr>
          <w:rFonts w:hint="eastAsia" w:ascii="黑体" w:hAnsi="黑体" w:eastAsia="黑体" w:cs="黑体"/>
          <w:b w:val="0"/>
          <w:color w:val="000000"/>
        </w:rPr>
      </w:pPr>
      <w:bookmarkStart w:id="52" w:name="_Toc15377214"/>
      <w:bookmarkStart w:id="53" w:name="_Toc31578"/>
      <w:bookmarkStart w:id="54" w:name="_Toc111208504"/>
      <w:r>
        <w:rPr>
          <w:rFonts w:hint="eastAsia" w:ascii="黑体" w:hAnsi="黑体" w:eastAsia="黑体" w:cs="黑体"/>
          <w:bCs w:val="0"/>
          <w:color w:val="000000"/>
        </w:rPr>
        <w:t>六、一般公共预算财政拨款基本支出决算情况说</w:t>
      </w:r>
      <w:bookmarkEnd w:id="52"/>
      <w:r>
        <w:rPr>
          <w:rFonts w:hint="eastAsia" w:ascii="黑体" w:hAnsi="黑体" w:eastAsia="黑体" w:cs="黑体"/>
          <w:bCs w:val="0"/>
          <w:color w:val="000000"/>
        </w:rPr>
        <w:t>明</w:t>
      </w:r>
      <w:bookmarkEnd w:id="53"/>
      <w:bookmarkEnd w:id="54"/>
    </w:p>
    <w:p w14:paraId="44454209">
      <w:pPr>
        <w:pageBreakBefore w:val="0"/>
        <w:tabs>
          <w:tab w:val="right" w:pos="8306"/>
        </w:tabs>
        <w:kinsoku/>
        <w:wordWrap/>
        <w:overflowPunct/>
        <w:topLinePunct w:val="0"/>
        <w:bidi w:val="0"/>
        <w:spacing w:line="576" w:lineRule="exact"/>
        <w:ind w:firstLine="640"/>
        <w:textAlignment w:val="auto"/>
        <w:outlineLvl w:val="1"/>
        <w:rPr>
          <w:rFonts w:ascii="仿宋" w:hAnsi="Times New Roman" w:eastAsia="仿宋" w:cs="Times New Roman"/>
          <w:color w:val="000000" w:themeColor="text1"/>
          <w:kern w:val="2"/>
          <w:sz w:val="32"/>
          <w:szCs w:val="32"/>
          <w:lang w:val="en-US" w:eastAsia="zh-CN" w:bidi="ar-SA"/>
          <w14:textFill>
            <w14:solidFill>
              <w14:schemeClr w14:val="tx1"/>
            </w14:solidFill>
          </w14:textFill>
        </w:rPr>
      </w:pPr>
      <w:bookmarkStart w:id="55" w:name="_Toc111208505"/>
      <w:bookmarkStart w:id="56" w:name="_Toc15377215"/>
      <w:bookmarkStart w:id="57" w:name="_Toc6614"/>
      <w:r>
        <w:rPr>
          <w:rFonts w:ascii="仿宋" w:hAnsi="Times New Roman" w:eastAsia="仿宋" w:cs="Times New Roman"/>
          <w:color w:val="000000" w:themeColor="text1"/>
          <w:kern w:val="2"/>
          <w:sz w:val="32"/>
          <w:szCs w:val="32"/>
          <w:lang w:val="en-US" w:eastAsia="zh-CN" w:bidi="ar-SA"/>
          <w14:textFill>
            <w14:solidFill>
              <w14:schemeClr w14:val="tx1"/>
            </w14:solidFill>
          </w14:textFill>
        </w:rPr>
        <w:t>202</w:t>
      </w:r>
      <w:r>
        <w:rPr>
          <w:rFonts w:hint="eastAsia" w:ascii="仿宋" w:hAnsi="Times New Roman" w:eastAsia="仿宋" w:cs="Times New Roman"/>
          <w:color w:val="000000" w:themeColor="text1"/>
          <w:kern w:val="2"/>
          <w:sz w:val="32"/>
          <w:szCs w:val="32"/>
          <w:lang w:val="en-US" w:eastAsia="zh-CN" w:bidi="ar-SA"/>
          <w14:textFill>
            <w14:solidFill>
              <w14:schemeClr w14:val="tx1"/>
            </w14:solidFill>
          </w14:textFill>
        </w:rPr>
        <w:t>3</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年一般公共预算财政拨款基本支出</w:t>
      </w:r>
      <w:r>
        <w:rPr>
          <w:rFonts w:hint="eastAsia" w:ascii="仿宋" w:eastAsia="仿宋"/>
          <w:color w:val="000000" w:themeColor="text1"/>
          <w:sz w:val="32"/>
          <w:szCs w:val="32"/>
          <w:lang w:val="en-US" w:eastAsia="zh-CN"/>
          <w14:textFill>
            <w14:solidFill>
              <w14:schemeClr w14:val="tx1"/>
            </w14:solidFill>
          </w14:textFill>
        </w:rPr>
        <w:t>76.5</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万元，其中：</w:t>
      </w:r>
    </w:p>
    <w:p w14:paraId="065B1C24">
      <w:pPr>
        <w:pageBreakBefore w:val="0"/>
        <w:tabs>
          <w:tab w:val="right" w:pos="8306"/>
        </w:tabs>
        <w:kinsoku/>
        <w:wordWrap/>
        <w:overflowPunct/>
        <w:topLinePunct w:val="0"/>
        <w:bidi w:val="0"/>
        <w:spacing w:line="576" w:lineRule="exact"/>
        <w:ind w:firstLine="640"/>
        <w:textAlignment w:val="auto"/>
        <w:outlineLvl w:val="1"/>
        <w:rPr>
          <w:rFonts w:hint="eastAsia" w:ascii="仿宋" w:hAnsi="仿宋" w:eastAsia="仿宋"/>
          <w:color w:val="000000" w:themeColor="text1"/>
          <w:sz w:val="32"/>
          <w:szCs w:val="32"/>
          <w:lang w:eastAsia="zh-CN"/>
          <w14:textFill>
            <w14:solidFill>
              <w14:schemeClr w14:val="tx1"/>
            </w14:solidFill>
          </w14:textFill>
        </w:rPr>
      </w:pPr>
      <w:r>
        <w:rPr>
          <w:rFonts w:ascii="仿宋" w:hAnsi="Times New Roman" w:eastAsia="仿宋" w:cs="Times New Roman"/>
          <w:color w:val="000000" w:themeColor="text1"/>
          <w:kern w:val="2"/>
          <w:sz w:val="32"/>
          <w:szCs w:val="32"/>
          <w:lang w:val="en-US" w:eastAsia="zh-CN" w:bidi="ar-SA"/>
          <w14:textFill>
            <w14:solidFill>
              <w14:schemeClr w14:val="tx1"/>
            </w14:solidFill>
          </w14:textFill>
        </w:rPr>
        <w:t>人员经费</w:t>
      </w:r>
      <w:r>
        <w:rPr>
          <w:rFonts w:hint="eastAsia" w:ascii="仿宋" w:eastAsia="仿宋" w:cs="Times New Roman"/>
          <w:color w:val="000000" w:themeColor="text1"/>
          <w:kern w:val="2"/>
          <w:sz w:val="32"/>
          <w:szCs w:val="32"/>
          <w:lang w:val="en-US" w:eastAsia="zh-CN" w:bidi="ar-SA"/>
          <w14:textFill>
            <w14:solidFill>
              <w14:schemeClr w14:val="tx1"/>
            </w14:solidFill>
          </w14:textFill>
        </w:rPr>
        <w:t>74.26</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万元，主要包括：</w:t>
      </w:r>
      <w:r>
        <w:rPr>
          <w:rFonts w:hint="eastAsia" w:ascii="仿宋" w:hAnsi="仿宋" w:eastAsia="仿宋"/>
          <w:color w:val="000000" w:themeColor="text1"/>
          <w:sz w:val="32"/>
          <w:szCs w:val="32"/>
          <w14:textFill>
            <w14:solidFill>
              <w14:schemeClr w14:val="tx1"/>
            </w14:solidFill>
          </w14:textFill>
        </w:rPr>
        <w:t>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公用经费</w:t>
      </w:r>
      <w:r>
        <w:rPr>
          <w:rFonts w:hint="eastAsia" w:ascii="仿宋" w:eastAsia="仿宋"/>
          <w:color w:val="000000" w:themeColor="text1"/>
          <w:sz w:val="32"/>
          <w:szCs w:val="32"/>
          <w:lang w:val="en-US" w:eastAsia="zh-CN"/>
          <w14:textFill>
            <w14:solidFill>
              <w14:schemeClr w14:val="tx1"/>
            </w14:solidFill>
          </w14:textFill>
        </w:rPr>
        <w:t>2.24</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万元，主要包括：</w:t>
      </w:r>
      <w:r>
        <w:rPr>
          <w:rFonts w:hint="eastAsia" w:ascii="仿宋" w:hAnsi="仿宋" w:eastAsia="仿宋"/>
          <w:color w:val="000000" w:themeColor="text1"/>
          <w:sz w:val="32"/>
          <w:szCs w:val="32"/>
          <w14:textFill>
            <w14:solidFill>
              <w14:schemeClr w14:val="tx1"/>
            </w14:solidFill>
          </w14:textFill>
        </w:rPr>
        <w:t>办公费、邮电费、差旅费</w:t>
      </w:r>
      <w:r>
        <w:rPr>
          <w:rFonts w:hint="eastAsia" w:ascii="仿宋" w:hAnsi="仿宋" w:eastAsia="仿宋"/>
          <w:color w:val="000000" w:themeColor="text1"/>
          <w:sz w:val="32"/>
          <w:szCs w:val="32"/>
          <w:lang w:eastAsia="zh-CN"/>
          <w14:textFill>
            <w14:solidFill>
              <w14:schemeClr w14:val="tx1"/>
            </w14:solidFill>
          </w14:textFill>
        </w:rPr>
        <w:t>。</w:t>
      </w:r>
    </w:p>
    <w:p w14:paraId="67863898">
      <w:pPr>
        <w:pStyle w:val="6"/>
        <w:ind w:firstLine="643" w:firstLineChars="200"/>
        <w:rPr>
          <w:rFonts w:hint="eastAsia" w:ascii="黑体" w:hAnsi="黑体" w:eastAsia="黑体" w:cs="黑体"/>
          <w:bCs w:val="0"/>
          <w:color w:val="000000"/>
        </w:rPr>
      </w:pPr>
      <w:r>
        <w:rPr>
          <w:rFonts w:hint="eastAsia" w:ascii="黑体" w:hAnsi="黑体" w:eastAsia="黑体" w:cs="黑体"/>
          <w:bCs w:val="0"/>
          <w:color w:val="000000"/>
        </w:rPr>
        <w:t>七、“三公”经费财政拨款支出决算情况说明</w:t>
      </w:r>
      <w:bookmarkEnd w:id="55"/>
      <w:bookmarkEnd w:id="56"/>
      <w:bookmarkEnd w:id="57"/>
    </w:p>
    <w:p w14:paraId="2AAF3F57">
      <w:pPr>
        <w:spacing w:line="600" w:lineRule="exact"/>
        <w:ind w:firstLine="643" w:firstLineChars="200"/>
        <w:outlineLvl w:val="2"/>
        <w:rPr>
          <w:rFonts w:hint="eastAsia" w:ascii="仿宋" w:hAnsi="仿宋" w:eastAsia="仿宋" w:cs="仿宋"/>
          <w:b/>
          <w:color w:val="000000"/>
          <w:sz w:val="32"/>
          <w:szCs w:val="32"/>
        </w:rPr>
      </w:pPr>
      <w:bookmarkStart w:id="58" w:name="_Toc15377216"/>
      <w:r>
        <w:rPr>
          <w:rFonts w:hint="eastAsia" w:ascii="仿宋" w:hAnsi="仿宋" w:eastAsia="仿宋" w:cs="仿宋"/>
          <w:b/>
          <w:color w:val="000000"/>
          <w:sz w:val="32"/>
          <w:szCs w:val="32"/>
        </w:rPr>
        <w:t>（一）“三公”经费财政拨款支出决算总体情况说明</w:t>
      </w:r>
      <w:bookmarkEnd w:id="58"/>
    </w:p>
    <w:p w14:paraId="51ABA77B">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0.00万元，完成预算0.00%。</w:t>
      </w:r>
      <w:bookmarkStart w:id="59" w:name="_Toc15377217"/>
    </w:p>
    <w:p w14:paraId="137B0050">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9"/>
    </w:p>
    <w:p w14:paraId="6986EE7E">
      <w:pPr>
        <w:spacing w:line="600" w:lineRule="exact"/>
        <w:ind w:firstLine="640" w:firstLineChars="200"/>
        <w:jc w:val="center"/>
        <w:rPr>
          <w:rFonts w:hint="eastAsia" w:ascii="仿宋" w:hAnsi="仿宋" w:eastAsia="仿宋" w:cs="仿宋"/>
          <w:lang w:eastAsia="zh-CN"/>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0.00万元</w:t>
      </w:r>
      <w:r>
        <w:rPr>
          <w:rFonts w:hint="eastAsia" w:ascii="仿宋" w:hAnsi="仿宋" w:eastAsia="仿宋" w:cs="仿宋"/>
          <w:color w:val="000000"/>
          <w:sz w:val="32"/>
          <w:u w:color="auto"/>
          <w:lang w:eastAsia="zh-CN"/>
        </w:rPr>
        <w:t>。</w:t>
      </w:r>
    </w:p>
    <w:p w14:paraId="491EFA1B">
      <w:pPr>
        <w:pStyle w:val="6"/>
        <w:ind w:firstLine="643" w:firstLineChars="200"/>
        <w:rPr>
          <w:rFonts w:hint="eastAsia" w:ascii="黑体" w:hAnsi="黑体" w:eastAsia="黑体" w:cs="黑体"/>
          <w:bCs w:val="0"/>
          <w:color w:val="000000"/>
        </w:rPr>
      </w:pPr>
      <w:bookmarkStart w:id="60" w:name="_Toc20439"/>
      <w:bookmarkStart w:id="61" w:name="_Toc111208506"/>
      <w:bookmarkStart w:id="62" w:name="_Toc15377218"/>
      <w:r>
        <w:rPr>
          <w:rFonts w:hint="eastAsia" w:ascii="黑体" w:hAnsi="黑体" w:eastAsia="黑体" w:cs="黑体"/>
          <w:bCs w:val="0"/>
          <w:color w:val="000000"/>
        </w:rPr>
        <w:t>八、政府性基金预算支出决算情况说明</w:t>
      </w:r>
      <w:bookmarkEnd w:id="60"/>
      <w:bookmarkEnd w:id="61"/>
      <w:bookmarkEnd w:id="62"/>
    </w:p>
    <w:p w14:paraId="60A43CFF">
      <w:pPr>
        <w:spacing w:line="600" w:lineRule="exact"/>
        <w:ind w:firstLine="640"/>
        <w:rPr>
          <w:rFonts w:hint="eastAsia" w:ascii="仿宋" w:hAnsi="仿宋" w:eastAsia="仿宋" w:cs="仿宋"/>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年政府性基金预算拨款支出</w:t>
      </w:r>
      <w:r>
        <w:rPr>
          <w:rFonts w:ascii="仿宋" w:hAnsi="仿宋" w:eastAsia="仿宋" w:cs="仿宋"/>
          <w:color w:val="000000"/>
          <w:sz w:val="32"/>
          <w:u w:color="auto"/>
        </w:rPr>
        <w:t>0.00万元。</w:t>
      </w:r>
      <w:bookmarkStart w:id="63" w:name="_Toc15377219"/>
    </w:p>
    <w:p w14:paraId="0E81F30C">
      <w:pPr>
        <w:pStyle w:val="6"/>
        <w:ind w:firstLine="643" w:firstLineChars="200"/>
        <w:rPr>
          <w:rFonts w:hint="eastAsia" w:ascii="黑体" w:hAnsi="黑体" w:eastAsia="黑体" w:cs="黑体"/>
          <w:bCs w:val="0"/>
          <w:color w:val="000000"/>
        </w:rPr>
      </w:pPr>
      <w:bookmarkStart w:id="64" w:name="_Toc23467"/>
      <w:bookmarkStart w:id="65" w:name="_Toc111208507"/>
      <w:r>
        <w:rPr>
          <w:rFonts w:hint="eastAsia" w:ascii="黑体" w:hAnsi="黑体" w:eastAsia="黑体" w:cs="黑体"/>
          <w:bCs w:val="0"/>
          <w:color w:val="000000"/>
        </w:rPr>
        <w:t>九、国有资本经营预算支出决算情况说明</w:t>
      </w:r>
      <w:bookmarkEnd w:id="63"/>
      <w:bookmarkEnd w:id="64"/>
      <w:bookmarkEnd w:id="65"/>
    </w:p>
    <w:p w14:paraId="47A98D8F">
      <w:pPr>
        <w:spacing w:line="600" w:lineRule="exact"/>
        <w:ind w:firstLine="640"/>
        <w:rPr>
          <w:rFonts w:hint="eastAsia"/>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0.00万元。</w:t>
      </w:r>
    </w:p>
    <w:p w14:paraId="60620D49">
      <w:pPr>
        <w:pStyle w:val="6"/>
        <w:ind w:firstLine="643" w:firstLineChars="200"/>
        <w:rPr>
          <w:rFonts w:hint="eastAsia" w:ascii="黑体" w:hAnsi="黑体" w:eastAsia="黑体" w:cs="黑体"/>
          <w:bCs w:val="0"/>
          <w:color w:val="000000"/>
        </w:rPr>
      </w:pPr>
      <w:bookmarkStart w:id="66" w:name="_Toc111208508"/>
      <w:bookmarkStart w:id="67" w:name="_Toc18455"/>
      <w:bookmarkStart w:id="68" w:name="_Toc15377221"/>
      <w:r>
        <w:rPr>
          <w:rFonts w:hint="eastAsia" w:ascii="黑体" w:hAnsi="黑体" w:eastAsia="黑体" w:cs="黑体"/>
          <w:bCs w:val="0"/>
          <w:color w:val="000000"/>
        </w:rPr>
        <w:t>十、其他重要事项的情况说明</w:t>
      </w:r>
      <w:bookmarkEnd w:id="66"/>
      <w:bookmarkEnd w:id="67"/>
      <w:bookmarkEnd w:id="68"/>
    </w:p>
    <w:p w14:paraId="004675D8">
      <w:pPr>
        <w:spacing w:line="600" w:lineRule="exact"/>
        <w:ind w:firstLine="643" w:firstLineChars="200"/>
        <w:outlineLvl w:val="2"/>
        <w:rPr>
          <w:rFonts w:hint="eastAsia" w:ascii="仿宋" w:hAnsi="仿宋" w:eastAsia="仿宋" w:cs="仿宋"/>
          <w:b/>
          <w:color w:val="000000"/>
          <w:sz w:val="32"/>
          <w:szCs w:val="32"/>
        </w:rPr>
      </w:pPr>
      <w:bookmarkStart w:id="69" w:name="_Toc15377222"/>
      <w:r>
        <w:rPr>
          <w:rFonts w:hint="eastAsia" w:ascii="仿宋" w:hAnsi="仿宋" w:eastAsia="仿宋" w:cs="仿宋"/>
          <w:b/>
          <w:color w:val="000000"/>
          <w:sz w:val="32"/>
          <w:szCs w:val="32"/>
        </w:rPr>
        <w:t>（一）机关运行经费支出情况</w:t>
      </w:r>
      <w:bookmarkEnd w:id="69"/>
    </w:p>
    <w:p w14:paraId="0DD2A0E5">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，机关运行经费</w:t>
      </w:r>
      <w:r>
        <w:rPr>
          <w:rFonts w:hint="eastAsia" w:ascii="仿宋" w:hAnsi="仿宋" w:eastAsia="仿宋" w:cs="仿宋"/>
          <w:color w:val="000000"/>
          <w:sz w:val="32"/>
          <w:szCs w:val="32"/>
          <w:lang w:val="en-US" w:eastAsia="zh-CN"/>
        </w:rPr>
        <w:t>2.24万元</w:t>
      </w:r>
      <w:r>
        <w:rPr>
          <w:rFonts w:ascii="仿宋" w:hAnsi="仿宋" w:eastAsia="仿宋" w:cs="仿宋"/>
          <w:color w:val="000000"/>
          <w:sz w:val="32"/>
          <w:u w:color="auto"/>
        </w:rPr>
        <w:t xml:space="preserve">。  </w:t>
      </w:r>
    </w:p>
    <w:p w14:paraId="1593C815">
      <w:pPr>
        <w:spacing w:line="600" w:lineRule="exact"/>
        <w:ind w:firstLine="643" w:firstLineChars="200"/>
        <w:outlineLvl w:val="2"/>
        <w:rPr>
          <w:rFonts w:hint="eastAsia" w:ascii="仿宋" w:hAnsi="仿宋" w:eastAsia="仿宋" w:cs="仿宋"/>
          <w:b/>
          <w:color w:val="000000"/>
          <w:sz w:val="32"/>
          <w:szCs w:val="32"/>
        </w:rPr>
      </w:pPr>
      <w:bookmarkStart w:id="70" w:name="_Toc15377223"/>
      <w:r>
        <w:rPr>
          <w:rFonts w:hint="eastAsia" w:ascii="仿宋" w:hAnsi="仿宋" w:eastAsia="仿宋" w:cs="仿宋"/>
          <w:b/>
          <w:color w:val="000000"/>
          <w:sz w:val="32"/>
          <w:szCs w:val="32"/>
        </w:rPr>
        <w:t>（二）政府采购支出情况</w:t>
      </w:r>
      <w:bookmarkEnd w:id="70"/>
      <w:r>
        <w:rPr>
          <w:rFonts w:hint="eastAsia" w:ascii="仿宋" w:hAnsi="仿宋" w:eastAsia="仿宋" w:cs="仿宋"/>
          <w:b/>
          <w:color w:val="000000"/>
          <w:sz w:val="32"/>
          <w:szCs w:val="32"/>
        </w:rPr>
        <w:t>(机构运行信息表)</w:t>
      </w:r>
    </w:p>
    <w:p w14:paraId="30F32107">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，政府采购支出总额</w:t>
      </w:r>
      <w:r>
        <w:rPr>
          <w:rFonts w:ascii="仿宋" w:hAnsi="仿宋" w:eastAsia="仿宋" w:cs="仿宋"/>
          <w:color w:val="000000"/>
          <w:sz w:val="32"/>
          <w:u w:color="auto"/>
        </w:rPr>
        <w:t>0.00万元。</w:t>
      </w:r>
    </w:p>
    <w:p w14:paraId="7EAF3CC7">
      <w:pPr>
        <w:spacing w:line="600" w:lineRule="exact"/>
        <w:ind w:firstLine="643" w:firstLineChars="200"/>
        <w:outlineLvl w:val="2"/>
        <w:rPr>
          <w:rFonts w:hint="eastAsia" w:ascii="仿宋" w:hAnsi="仿宋" w:eastAsia="仿宋" w:cs="仿宋"/>
          <w:b/>
          <w:color w:val="000000"/>
          <w:sz w:val="32"/>
          <w:szCs w:val="32"/>
        </w:rPr>
      </w:pPr>
      <w:bookmarkStart w:id="71" w:name="_Toc15377224"/>
      <w:r>
        <w:rPr>
          <w:rFonts w:hint="eastAsia" w:ascii="仿宋" w:hAnsi="仿宋" w:eastAsia="仿宋" w:cs="仿宋"/>
          <w:b/>
          <w:color w:val="000000"/>
          <w:sz w:val="32"/>
          <w:szCs w:val="32"/>
        </w:rPr>
        <w:t>（三）国有资产占有使用情况</w:t>
      </w:r>
      <w:bookmarkEnd w:id="71"/>
    </w:p>
    <w:p w14:paraId="3A65F855">
      <w:pPr>
        <w:pageBreakBefore w:val="0"/>
        <w:numPr>
          <w:ilvl w:val="0"/>
          <w:numId w:val="0"/>
        </w:numPr>
        <w:kinsoku/>
        <w:wordWrap/>
        <w:overflowPunct/>
        <w:topLinePunct w:val="0"/>
        <w:bidi w:val="0"/>
        <w:spacing w:line="576" w:lineRule="exact"/>
        <w:ind w:firstLine="640" w:firstLineChars="200"/>
        <w:textAlignment w:val="auto"/>
        <w:outlineLvl w:val="1"/>
        <w:rPr>
          <w:rFonts w:hint="eastAsia" w:ascii="仿宋_GB2312" w:eastAsia="仿宋_GB2312"/>
          <w:color w:val="000000"/>
          <w:sz w:val="32"/>
          <w:szCs w:val="32"/>
        </w:rPr>
      </w:pPr>
      <w:r>
        <w:rPr>
          <w:rFonts w:ascii="仿宋_GB2312" w:hAnsi="Times New Roman" w:eastAsia="仿宋_GB2312" w:cs="Times New Roman"/>
          <w:color w:val="000000"/>
          <w:kern w:val="2"/>
          <w:sz w:val="32"/>
          <w:szCs w:val="32"/>
          <w:lang w:val="en-US" w:eastAsia="zh-CN" w:bidi="ar-SA"/>
        </w:rPr>
        <w:t>2022年</w:t>
      </w:r>
      <w:r>
        <w:rPr>
          <w:rFonts w:hint="eastAsia" w:ascii="仿宋_GB2312" w:eastAsia="仿宋_GB2312"/>
          <w:color w:val="000000"/>
          <w:sz w:val="32"/>
          <w:szCs w:val="32"/>
        </w:rPr>
        <w:t>无国有资本经营预算拨款。</w:t>
      </w:r>
    </w:p>
    <w:p w14:paraId="18F029C8">
      <w:pPr>
        <w:spacing w:line="600" w:lineRule="exact"/>
        <w:ind w:firstLine="643" w:firstLineChars="200"/>
        <w:outlineLvl w:val="2"/>
        <w:rPr>
          <w:rFonts w:hint="eastAsia" w:ascii="仿宋" w:hAnsi="仿宋" w:eastAsia="仿宋" w:cs="仿宋"/>
          <w:sz w:val="32"/>
          <w:szCs w:val="32"/>
        </w:rPr>
      </w:pPr>
      <w:r>
        <w:rPr>
          <w:rFonts w:hint="eastAsia" w:ascii="仿宋" w:hAnsi="仿宋" w:eastAsia="仿宋" w:cs="仿宋"/>
          <w:b/>
          <w:color w:val="000000"/>
          <w:sz w:val="32"/>
          <w:szCs w:val="32"/>
        </w:rPr>
        <w:t>（四）预算绩效管理情况</w:t>
      </w:r>
    </w:p>
    <w:p w14:paraId="236361D8">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0个项目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787FD66C">
      <w:pPr>
        <w:widowControl/>
        <w:adjustRightInd w:val="0"/>
        <w:snapToGrid w:val="0"/>
        <w:spacing w:line="540" w:lineRule="exact"/>
        <w:ind w:firstLine="72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全面开展绩效自评，形成茂县文联</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绩效自评报告。其中，茂县文联部门整体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绩效自评得分为100分，绩效自评综述：本年</w:t>
      </w:r>
      <w:r>
        <w:rPr>
          <w:rFonts w:hint="eastAsia" w:ascii="仿宋_GB2312" w:hAnsi="仿宋_GB2312" w:eastAsia="仿宋_GB2312" w:cs="仿宋_GB2312"/>
          <w:color w:val="auto"/>
          <w:sz w:val="32"/>
          <w:szCs w:val="32"/>
          <w:highlight w:val="none"/>
          <w:lang w:val="zh-CN" w:eastAsia="zh-CN"/>
        </w:rPr>
        <w:t>紧紧围绕年度目标任务，团结拼搏，锐意进取，扎实工作，全面完成了各项工作任务。</w:t>
      </w:r>
    </w:p>
    <w:p w14:paraId="27771F25">
      <w:pPr>
        <w:rPr>
          <w:rFonts w:hint="eastAsia" w:ascii="黑体" w:hAnsi="黑体" w:eastAsia="黑体" w:cs="黑体"/>
        </w:rPr>
      </w:pPr>
    </w:p>
    <w:p w14:paraId="31CBF0B9">
      <w:pPr>
        <w:pStyle w:val="2"/>
        <w:rPr>
          <w:rFonts w:hint="eastAsia" w:ascii="黑体" w:hAnsi="黑体" w:eastAsia="黑体" w:cs="黑体"/>
        </w:rPr>
      </w:pPr>
    </w:p>
    <w:p w14:paraId="30D41C23">
      <w:pPr>
        <w:pStyle w:val="3"/>
        <w:rPr>
          <w:rFonts w:hint="eastAsia" w:ascii="黑体" w:hAnsi="黑体" w:eastAsia="黑体" w:cs="黑体"/>
        </w:rPr>
      </w:pPr>
    </w:p>
    <w:p w14:paraId="5BD6C88E">
      <w:pPr>
        <w:pStyle w:val="3"/>
        <w:rPr>
          <w:rFonts w:hint="eastAsia" w:ascii="黑体" w:hAnsi="黑体" w:eastAsia="黑体" w:cs="黑体"/>
        </w:rPr>
      </w:pPr>
    </w:p>
    <w:p w14:paraId="5CE69F42">
      <w:pPr>
        <w:pStyle w:val="3"/>
        <w:rPr>
          <w:rFonts w:hint="eastAsia" w:ascii="黑体" w:hAnsi="黑体" w:eastAsia="黑体" w:cs="黑体"/>
        </w:rPr>
      </w:pPr>
    </w:p>
    <w:p w14:paraId="478ECDDC">
      <w:pPr>
        <w:pStyle w:val="3"/>
        <w:rPr>
          <w:rFonts w:hint="eastAsia" w:ascii="黑体" w:hAnsi="黑体" w:eastAsia="黑体" w:cs="黑体"/>
        </w:rPr>
      </w:pPr>
    </w:p>
    <w:p w14:paraId="48E405A1">
      <w:pPr>
        <w:pStyle w:val="3"/>
        <w:rPr>
          <w:rFonts w:hint="eastAsia" w:ascii="黑体" w:hAnsi="黑体" w:eastAsia="黑体" w:cs="黑体"/>
        </w:rPr>
      </w:pPr>
    </w:p>
    <w:p w14:paraId="05546D78">
      <w:pPr>
        <w:pStyle w:val="5"/>
        <w:jc w:val="both"/>
        <w:rPr>
          <w:rFonts w:hint="eastAsia" w:ascii="黑体" w:hAnsi="黑体" w:eastAsia="黑体" w:cs="黑体"/>
        </w:rPr>
      </w:pPr>
    </w:p>
    <w:p w14:paraId="5EA7C531">
      <w:pPr>
        <w:rPr>
          <w:rFonts w:hint="eastAsia"/>
        </w:rPr>
      </w:pPr>
    </w:p>
    <w:p w14:paraId="6EA4A185">
      <w:pPr>
        <w:pStyle w:val="2"/>
        <w:rPr>
          <w:rFonts w:hint="eastAsia"/>
        </w:rPr>
      </w:pPr>
    </w:p>
    <w:p w14:paraId="72BB9D07">
      <w:pPr>
        <w:pStyle w:val="3"/>
        <w:rPr>
          <w:rFonts w:hint="eastAsia"/>
        </w:rPr>
      </w:pPr>
    </w:p>
    <w:p w14:paraId="05A1EB83">
      <w:pPr>
        <w:pStyle w:val="3"/>
        <w:rPr>
          <w:rFonts w:hint="eastAsia"/>
        </w:rPr>
      </w:pPr>
    </w:p>
    <w:p w14:paraId="7A1AED01">
      <w:pPr>
        <w:pStyle w:val="5"/>
        <w:jc w:val="center"/>
        <w:rPr>
          <w:rFonts w:hint="eastAsia" w:ascii="黑体" w:hAnsi="黑体" w:eastAsia="黑体" w:cs="黑体"/>
        </w:rPr>
      </w:pPr>
      <w:r>
        <w:rPr>
          <w:rFonts w:hint="eastAsia" w:ascii="黑体" w:hAnsi="黑体" w:eastAsia="黑体" w:cs="黑体"/>
        </w:rPr>
        <w:t>第三部分 名词解释</w:t>
      </w:r>
      <w:bookmarkEnd w:id="31"/>
      <w:bookmarkEnd w:id="32"/>
      <w:bookmarkEnd w:id="33"/>
    </w:p>
    <w:p w14:paraId="022F61EC">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9.文化旅游体育与传媒支出（类）新闻出版电影（款）出版发行（项）：反映图书、报纸、期刊、音像、电子、网络出版物出版、印刷复制和发行等方面的支出。</w:t>
      </w:r>
    </w:p>
    <w:p w14:paraId="773E015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ascii="仿宋" w:hAnsi="仿宋" w:eastAsia="仿宋" w:cs="仿宋"/>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11</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13</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326A87">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4</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14:paraId="2D3D8A8E">
      <w:pPr>
        <w:widowControl/>
        <w:jc w:val="left"/>
        <w:rPr>
          <w:rStyle w:val="32"/>
          <w:rFonts w:hint="eastAsia" w:ascii="思源黑体 CN Normal" w:hAnsi="思源黑体 CN Normal" w:eastAsia="思源黑体 CN Normal" w:cs="思源黑体 CN Normal"/>
        </w:rPr>
      </w:pPr>
      <w:r>
        <w:rPr>
          <w:rStyle w:val="32"/>
          <w:rFonts w:hint="eastAsia" w:ascii="思源黑体 CN Normal" w:hAnsi="思源黑体 CN Normal" w:eastAsia="思源黑体 CN Normal" w:cs="思源黑体 CN Normal"/>
        </w:rPr>
        <w:br w:type="page"/>
      </w:r>
    </w:p>
    <w:p w14:paraId="06638D99">
      <w:pPr>
        <w:pStyle w:val="5"/>
        <w:jc w:val="center"/>
        <w:rPr>
          <w:rFonts w:hint="eastAsia" w:ascii="黑体" w:hAnsi="黑体" w:eastAsia="黑体" w:cs="黑体"/>
        </w:rPr>
      </w:pPr>
      <w:bookmarkStart w:id="72" w:name="_Toc25539"/>
      <w:bookmarkStart w:id="73" w:name="_Toc111208510"/>
      <w:r>
        <w:rPr>
          <w:rFonts w:hint="eastAsia" w:ascii="黑体" w:hAnsi="黑体" w:eastAsia="黑体" w:cs="黑体"/>
        </w:rPr>
        <w:t>第四部分 附件</w:t>
      </w:r>
      <w:bookmarkEnd w:id="72"/>
      <w:bookmarkEnd w:id="73"/>
    </w:p>
    <w:p w14:paraId="35ABC9B5">
      <w:pPr>
        <w:widowControl/>
        <w:spacing w:line="480" w:lineRule="exact"/>
        <w:jc w:val="center"/>
        <w:rPr>
          <w:rFonts w:ascii="方正小标宋简体" w:hAnsi="宋体" w:eastAsia="方正小标宋简体"/>
          <w:sz w:val="44"/>
          <w:szCs w:val="44"/>
        </w:rPr>
      </w:pPr>
      <w:bookmarkStart w:id="74" w:name="_Toc21200"/>
      <w:bookmarkStart w:id="75" w:name="_Toc111208512"/>
      <w:bookmarkStart w:id="76" w:name="_Toc79163885"/>
      <w:bookmarkStart w:id="77" w:name="_Toc79163635"/>
      <w:r>
        <w:rPr>
          <w:rFonts w:hint="eastAsia" w:ascii="方正小标宋简体" w:hAnsi="宋体" w:eastAsia="方正小标宋简体"/>
          <w:sz w:val="44"/>
          <w:szCs w:val="44"/>
        </w:rPr>
        <w:t>茂县文学艺术界联合会</w:t>
      </w:r>
    </w:p>
    <w:p w14:paraId="5C8D339F">
      <w:pPr>
        <w:widowControl/>
        <w:spacing w:line="480" w:lineRule="exact"/>
        <w:jc w:val="center"/>
        <w:rPr>
          <w:rFonts w:eastAsia="黑体"/>
          <w:color w:val="000000"/>
          <w:kern w:val="0"/>
          <w:sz w:val="24"/>
          <w:szCs w:val="32"/>
          <w:shd w:val="clear" w:color="auto" w:fill="FFFFFF"/>
        </w:rPr>
      </w:pPr>
      <w:r>
        <w:rPr>
          <w:rFonts w:ascii="方正小标宋简体" w:hAnsi="宋体" w:eastAsia="方正小标宋简体"/>
          <w:sz w:val="44"/>
          <w:szCs w:val="44"/>
        </w:rPr>
        <w:t>202</w:t>
      </w:r>
      <w:r>
        <w:rPr>
          <w:rFonts w:hint="eastAsia" w:ascii="方正小标宋简体" w:hAnsi="宋体" w:eastAsia="方正小标宋简体"/>
          <w:sz w:val="44"/>
          <w:szCs w:val="44"/>
          <w:lang w:val="en-US" w:eastAsia="zh-CN"/>
        </w:rPr>
        <w:t>3</w:t>
      </w:r>
      <w:r>
        <w:rPr>
          <w:rFonts w:hint="eastAsia" w:ascii="方正小标宋简体" w:hAnsi="宋体" w:eastAsia="方正小标宋简体"/>
          <w:sz w:val="44"/>
          <w:szCs w:val="44"/>
        </w:rPr>
        <w:t>年部门整体支出绩效报告</w:t>
      </w:r>
    </w:p>
    <w:p w14:paraId="56A4AB1D">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一、基本情况</w:t>
      </w:r>
    </w:p>
    <w:p w14:paraId="1EBC696B">
      <w:pPr>
        <w:spacing w:line="576" w:lineRule="exact"/>
        <w:ind w:firstLine="643"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r>
        <w:rPr>
          <w:rFonts w:hint="eastAsia" w:ascii="仿宋_GB2312" w:hAnsi="仿宋_GB2312" w:eastAsia="仿宋_GB2312" w:cs="仿宋_GB2312"/>
          <w:sz w:val="32"/>
          <w:szCs w:val="32"/>
        </w:rPr>
        <w:t>茂县文学艺术界联合会目前仅内设办公室和财务室。</w:t>
      </w:r>
    </w:p>
    <w:p w14:paraId="08E38364">
      <w:pPr>
        <w:spacing w:line="576" w:lineRule="exact"/>
        <w:ind w:firstLine="643" w:firstLineChars="20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（二）机构职能。</w:t>
      </w:r>
      <w:r>
        <w:rPr>
          <w:rFonts w:hint="eastAsia" w:ascii="仿宋_GB2312" w:hAnsi="仿宋_GB2312" w:eastAsia="仿宋_GB2312" w:cs="仿宋_GB2312"/>
          <w:sz w:val="32"/>
          <w:szCs w:val="32"/>
        </w:rPr>
        <w:t>茂县文学艺术界联合会是</w:t>
      </w:r>
      <w:r>
        <w:rPr>
          <w:rFonts w:hint="eastAsia" w:ascii="仿宋_GB2312" w:hAnsi="仿宋_GB2312" w:eastAsia="仿宋_GB2312" w:cs="仿宋_GB2312"/>
          <w:kern w:val="0"/>
          <w:sz w:val="32"/>
          <w:szCs w:val="32"/>
        </w:rPr>
        <w:t>县委领导、县委宣传部代管的正科级群团机构，主要职能是繁荣发展社会主义文艺事业，满足人民群众日益增长的文化发展需要，对团体会员开展联络、协调、服务、指导工作。通过文艺采风、学术研讨、展览演出等工作，指导团体会员开展业务活动</w:t>
      </w:r>
      <w:r>
        <w:rPr>
          <w:rFonts w:hint="eastAsia" w:ascii="仿宋_GB2312" w:hAnsi="仿宋_GB2312" w:eastAsia="仿宋_GB2312" w:cs="仿宋_GB2312"/>
          <w:sz w:val="32"/>
          <w:szCs w:val="32"/>
        </w:rPr>
        <w:t>。</w:t>
      </w:r>
    </w:p>
    <w:p w14:paraId="06A82078">
      <w:pPr>
        <w:widowControl/>
        <w:spacing w:line="600" w:lineRule="exact"/>
        <w:ind w:left="210" w:leftChars="100" w:firstLine="321"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shd w:val="clear" w:color="auto" w:fill="FFFFFF"/>
          <w:lang w:val="zh-CN"/>
        </w:rPr>
        <w:t>（三）人员概况。</w:t>
      </w:r>
      <w:r>
        <w:rPr>
          <w:rFonts w:hint="eastAsia" w:ascii="仿宋_GB2312" w:hAnsi="仿宋_GB2312" w:eastAsia="仿宋_GB2312" w:cs="仿宋_GB2312"/>
          <w:color w:val="000000"/>
          <w:kern w:val="0"/>
          <w:sz w:val="32"/>
          <w:szCs w:val="32"/>
        </w:rPr>
        <w:t>总编制 4名,其中:事业编制 4 名。在职人员总数4名。</w:t>
      </w:r>
      <w:r>
        <w:rPr>
          <w:rFonts w:hint="eastAsia" w:ascii="仿宋_GB2312" w:hAnsi="仿宋_GB2312" w:eastAsia="仿宋_GB2312" w:cs="仿宋_GB2312"/>
          <w:color w:val="000000"/>
          <w:kern w:val="0"/>
          <w:sz w:val="32"/>
          <w:szCs w:val="32"/>
          <w:shd w:val="clear" w:color="auto" w:fill="FFFFFF"/>
          <w:lang w:val="zh-CN"/>
        </w:rPr>
        <w:t> </w:t>
      </w:r>
    </w:p>
    <w:p w14:paraId="14ACF6F8">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二、部门资金收支情况</w:t>
      </w:r>
    </w:p>
    <w:p w14:paraId="7EF27BE0">
      <w:pPr>
        <w:widowControl/>
        <w:adjustRightInd w:val="0"/>
        <w:snapToGrid w:val="0"/>
        <w:spacing w:line="540" w:lineRule="exact"/>
        <w:ind w:firstLine="643"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（一）收入情况。</w:t>
      </w:r>
      <w:r>
        <w:rPr>
          <w:rFonts w:hint="eastAsia" w:ascii="仿宋_GB2312" w:hAnsi="仿宋_GB2312" w:eastAsia="仿宋_GB2312" w:cs="仿宋_GB2312"/>
          <w:color w:val="000000"/>
          <w:kern w:val="2"/>
          <w:sz w:val="32"/>
          <w:szCs w:val="32"/>
          <w:lang w:val="en-US" w:eastAsia="zh-CN" w:bidi="ar"/>
        </w:rPr>
        <w:t>2023年我单位总收入92.91万元，其中财政拨款收入92.91万元。</w:t>
      </w:r>
    </w:p>
    <w:p w14:paraId="58AD5CDB">
      <w:pPr>
        <w:widowControl/>
        <w:numPr>
          <w:ilvl w:val="0"/>
          <w:numId w:val="0"/>
        </w:numPr>
        <w:adjustRightInd w:val="0"/>
        <w:snapToGrid w:val="0"/>
        <w:spacing w:line="540" w:lineRule="exact"/>
        <w:ind w:firstLine="643"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b/>
          <w:bCs/>
          <w:color w:val="000000"/>
          <w:kern w:val="0"/>
          <w:sz w:val="32"/>
          <w:szCs w:val="32"/>
          <w:shd w:val="clear" w:color="auto" w:fill="FFFFFF"/>
          <w:lang w:val="zh-CN"/>
        </w:rPr>
        <w:t>（二）支出情况。</w:t>
      </w:r>
      <w:r>
        <w:rPr>
          <w:rFonts w:hint="eastAsia" w:ascii="仿宋_GB2312" w:hAnsi="仿宋_GB2312" w:eastAsia="仿宋_GB2312" w:cs="仿宋_GB2312"/>
          <w:color w:val="000000"/>
          <w:kern w:val="0"/>
          <w:sz w:val="32"/>
          <w:szCs w:val="32"/>
          <w:shd w:val="clear" w:color="auto" w:fill="FFFFFF"/>
          <w:lang w:val="zh-CN"/>
        </w:rPr>
        <w:t>茂县文学艺术界联合会</w:t>
      </w:r>
      <w:r>
        <w:rPr>
          <w:rFonts w:hint="eastAsia" w:ascii="仿宋_GB2312" w:hAnsi="仿宋_GB2312" w:eastAsia="仿宋_GB2312" w:cs="仿宋_GB2312"/>
          <w:color w:val="000000"/>
          <w:kern w:val="0"/>
          <w:sz w:val="32"/>
          <w:szCs w:val="32"/>
          <w:shd w:val="clear" w:color="auto" w:fill="FFFFFF"/>
          <w:lang w:val="en-US" w:eastAsia="zh-CN"/>
        </w:rPr>
        <w:t>2023</w:t>
      </w:r>
      <w:r>
        <w:rPr>
          <w:rFonts w:hint="eastAsia" w:ascii="仿宋_GB2312" w:hAnsi="仿宋_GB2312" w:eastAsia="仿宋_GB2312" w:cs="仿宋_GB2312"/>
          <w:color w:val="000000"/>
          <w:kern w:val="0"/>
          <w:sz w:val="32"/>
          <w:szCs w:val="32"/>
          <w:shd w:val="clear" w:color="auto" w:fill="FFFFFF"/>
          <w:lang w:val="zh-CN"/>
        </w:rPr>
        <w:t>年部门支出总额</w:t>
      </w:r>
      <w:r>
        <w:rPr>
          <w:rFonts w:hint="eastAsia" w:ascii="仿宋_GB2312" w:hAnsi="仿宋_GB2312" w:eastAsia="仿宋_GB2312" w:cs="仿宋_GB2312"/>
          <w:sz w:val="32"/>
          <w:szCs w:val="32"/>
          <w:lang w:val="en-US" w:eastAsia="zh-CN"/>
        </w:rPr>
        <w:t>92.91</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shd w:val="clear" w:color="auto" w:fill="FFFFFF"/>
          <w:lang w:val="zh-CN"/>
        </w:rPr>
        <w:t>。其中群众团体事务支出</w:t>
      </w:r>
      <w:r>
        <w:rPr>
          <w:rFonts w:hint="eastAsia" w:ascii="仿宋_GB2312" w:hAnsi="仿宋_GB2312" w:eastAsia="仿宋_GB2312" w:cs="仿宋_GB2312"/>
          <w:color w:val="000000"/>
          <w:kern w:val="0"/>
          <w:sz w:val="32"/>
          <w:szCs w:val="32"/>
          <w:shd w:val="clear" w:color="auto" w:fill="FFFFFF"/>
          <w:lang w:val="en-US" w:eastAsia="zh-CN"/>
        </w:rPr>
        <w:t>49.16万元；</w:t>
      </w:r>
      <w:r>
        <w:rPr>
          <w:rFonts w:hint="eastAsia" w:ascii="仿宋_GB2312" w:hAnsi="仿宋_GB2312" w:eastAsia="仿宋_GB2312" w:cs="仿宋_GB2312"/>
          <w:color w:val="000000"/>
          <w:sz w:val="32"/>
          <w:szCs w:val="32"/>
          <w:lang w:val="en-US" w:eastAsia="zh-CN"/>
        </w:rPr>
        <w:t>社会保障和就业支出7.8万元，卫生健康支出3.92万元，住房保障支出5.32万元。</w:t>
      </w:r>
    </w:p>
    <w:p w14:paraId="1C357B3F">
      <w:pPr>
        <w:widowControl/>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kern w:val="0"/>
          <w:sz w:val="32"/>
          <w:szCs w:val="32"/>
          <w:shd w:val="clear" w:color="auto" w:fill="FFFFFF"/>
          <w:lang w:val="zh-CN"/>
        </w:rPr>
        <w:t>（三）</w:t>
      </w:r>
      <w:r>
        <w:rPr>
          <w:rFonts w:hint="eastAsia" w:ascii="仿宋_GB2312" w:hAnsi="仿宋_GB2312" w:eastAsia="仿宋_GB2312" w:cs="仿宋_GB2312"/>
          <w:b/>
          <w:sz w:val="32"/>
          <w:szCs w:val="32"/>
        </w:rPr>
        <w:t>结余分配和结转结余情况。</w:t>
      </w:r>
    </w:p>
    <w:p w14:paraId="5963C3AD">
      <w:pPr>
        <w:pStyle w:val="16"/>
        <w:ind w:left="840" w:leftChars="400" w:firstLine="320" w:firstLineChars="1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14:paraId="16466667">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kern w:val="0"/>
          <w:sz w:val="32"/>
          <w:szCs w:val="32"/>
          <w:shd w:val="clear" w:color="auto" w:fill="FFFFFF"/>
        </w:rPr>
        <w:t>三、部门预算绩效分析</w:t>
      </w:r>
    </w:p>
    <w:p w14:paraId="30304148">
      <w:pPr>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r>
        <w:rPr>
          <w:rFonts w:hint="eastAsia" w:ascii="仿宋_GB2312" w:hAnsi="仿宋_GB2312" w:eastAsia="仿宋_GB2312" w:cs="仿宋_GB2312"/>
          <w:color w:val="000000"/>
          <w:kern w:val="0"/>
          <w:sz w:val="32"/>
          <w:szCs w:val="32"/>
          <w:shd w:val="clear" w:color="auto" w:fill="FFFFFF"/>
          <w:lang w:val="zh-CN"/>
        </w:rPr>
        <w:t>根据部门预算绩效评价指标体系“总体绩效”涉及二、三级指标进行逐项绩效分析并评分，依次包括履职效能、预算管理、财务管理、资产管理、采购管理等情况。</w:t>
      </w:r>
    </w:p>
    <w:p w14:paraId="43E4260F">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p>
    <w:p w14:paraId="54EF64B2">
      <w:pPr>
        <w:pStyle w:val="16"/>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开展文联开展文化活动，引导社会组织积极参与，系统推进乡村文化振兴、城乡公共文化服务体系一体建设。</w:t>
      </w:r>
    </w:p>
    <w:p w14:paraId="443616E2">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p>
    <w:p w14:paraId="6166ADB2">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预算编制质量：预算编制规范，符合财政要求。</w:t>
      </w:r>
    </w:p>
    <w:p w14:paraId="6FA7EAEF">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单位收入统筹：各项收入按计划统筹安排，收入来源多样化。</w:t>
      </w:r>
    </w:p>
    <w:p w14:paraId="756680C6">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支出执行进度：支出按计划推进，年度执行率为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w:t>
      </w:r>
    </w:p>
    <w:p w14:paraId="6C51FB0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预算年终结余：结余适中，未超出预算范围。</w:t>
      </w:r>
    </w:p>
    <w:p w14:paraId="65035E67">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3.财务管理。</w:t>
      </w:r>
    </w:p>
    <w:p w14:paraId="32220EAB">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财务管理制度：财务管理制度健全，执行严格。</w:t>
      </w:r>
    </w:p>
    <w:p w14:paraId="6E9663B2">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财务岗位设置：岗位设置合理，职责分明。</w:t>
      </w:r>
    </w:p>
    <w:p w14:paraId="525EA888">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资金使用规范：资金使用符合规定，无违规情况。</w:t>
      </w:r>
    </w:p>
    <w:p w14:paraId="2ACBF260">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4.资产管理。</w:t>
      </w:r>
    </w:p>
    <w:p w14:paraId="6D4DD97C">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人均资产变化率：保持稳定，略有增长。</w:t>
      </w:r>
    </w:p>
    <w:p w14:paraId="10C6F65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资产利用率：资产利用率达到95%，无闲置资产。</w:t>
      </w:r>
    </w:p>
    <w:p w14:paraId="27CF4A94">
      <w:pPr>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val="zh-CN"/>
        </w:rPr>
        <w:t>采购管理。</w:t>
      </w:r>
    </w:p>
    <w:p w14:paraId="76E23421">
      <w:pPr>
        <w:pStyle w:val="16"/>
        <w:numPr>
          <w:ilvl w:val="0"/>
          <w:numId w:val="0"/>
        </w:numPr>
        <w:ind w:leftChars="0" w:firstLine="960" w:firstLineChars="300"/>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rPr>
        <w:t>本年无采购，严格执行</w:t>
      </w:r>
      <w:r>
        <w:rPr>
          <w:rFonts w:hint="eastAsia" w:ascii="仿宋_GB2312" w:hAnsi="仿宋_GB2312" w:eastAsia="仿宋_GB2312" w:cs="仿宋_GB2312"/>
          <w:color w:val="000000"/>
          <w:kern w:val="0"/>
          <w:sz w:val="32"/>
          <w:szCs w:val="32"/>
          <w:lang w:val="zh-CN"/>
        </w:rPr>
        <w:t>内控并制定了一系列的内部控制制度。</w:t>
      </w:r>
    </w:p>
    <w:p w14:paraId="49EB6EE2">
      <w:pPr>
        <w:adjustRightInd w:val="0"/>
        <w:snapToGrid w:val="0"/>
        <w:spacing w:line="578" w:lineRule="exact"/>
        <w:ind w:firstLine="643"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（二）部门预算项目绩效分析。</w:t>
      </w:r>
      <w:r>
        <w:rPr>
          <w:rFonts w:hint="eastAsia" w:ascii="仿宋_GB2312" w:hAnsi="仿宋_GB2312" w:eastAsia="仿宋_GB2312" w:cs="仿宋_GB2312"/>
          <w:kern w:val="0"/>
          <w:sz w:val="32"/>
          <w:szCs w:val="32"/>
          <w:shd w:val="clear" w:color="auto" w:fill="FFFFFF"/>
          <w:lang w:val="zh-CN"/>
        </w:rPr>
        <w:t>根据2024年县级预算绩效管理工作安排，我会积极组织开展了2023年项目支出绩效自评工作，开展情况如下：</w:t>
      </w:r>
    </w:p>
    <w:p w14:paraId="42903370">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是明确专人负责具体工作，积极参加县财政局组织的绩效评价培训会议，秉承全面覆盖、责任清晰，真实准确、科学合理，强化应用、公开透明的原则，按照从投入、过程到产出、效果的绩效逻辑路径，结合项目的实际开展情况，运用定量和定性分析相结合的方法，按时开展绩效自评工作。</w:t>
      </w:r>
    </w:p>
    <w:p w14:paraId="708DC951">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二是实现所有资金项目自评全覆盖，按照预算执行率10%、成本指标10%、产出指标40%、效益指标30%、服务对象满意度指标10%的要求进行百分制评分。自评结果根据评分分为“优、良、中、差”四个等级，对预算执行率偏低、自评等级优良以下的项目，分析问题和原因，并提出整改措施，建立问题整改落实机制。</w:t>
      </w:r>
    </w:p>
    <w:p w14:paraId="161762EA">
      <w:pPr>
        <w:adjustRightInd w:val="0"/>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三是公开自评结果及重点项目支出绩效评价报告，并将其作为编制下一年度部门预算的重要依据，加强内部控制，完善项目管理。</w:t>
      </w:r>
    </w:p>
    <w:p w14:paraId="3E3F60EC">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eastAsia="zh-CN"/>
        </w:rPr>
        <w:t>我会常年性项目九鼎山杂志出版，</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5.47</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14:paraId="120B49E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我会阶段性项目制作茂县民族文化歌曲，及开展“新春送福”文化进万家活动</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16.41</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14:paraId="12AF2B8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en-US" w:eastAsia="zh-CN"/>
        </w:rPr>
        <w:t>2023年办公项目</w:t>
      </w:r>
      <w:r>
        <w:rPr>
          <w:rFonts w:hint="eastAsia" w:ascii="仿宋_GB2312" w:hAnsi="仿宋_GB2312" w:eastAsia="仿宋_GB2312" w:cs="仿宋_GB2312"/>
          <w:sz w:val="32"/>
          <w:szCs w:val="32"/>
          <w:lang w:val="zh-CN"/>
        </w:rPr>
        <w:t>总投资</w:t>
      </w:r>
      <w:r>
        <w:rPr>
          <w:rFonts w:hint="eastAsia" w:ascii="仿宋_GB2312" w:hAnsi="仿宋_GB2312" w:eastAsia="仿宋_GB2312" w:cs="仿宋_GB2312"/>
          <w:sz w:val="32"/>
          <w:szCs w:val="32"/>
          <w:lang w:val="en-US" w:eastAsia="zh-CN"/>
        </w:rPr>
        <w:t>21.88</w:t>
      </w:r>
      <w:r>
        <w:rPr>
          <w:rFonts w:hint="eastAsia" w:ascii="仿宋_GB2312" w:hAnsi="仿宋_GB2312" w:eastAsia="仿宋_GB2312" w:cs="仿宋_GB2312"/>
          <w:sz w:val="32"/>
          <w:szCs w:val="32"/>
          <w:lang w:val="zh-CN"/>
        </w:rPr>
        <w:t>万元，资金来源为202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年茂财预金茂财教（</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6号安排茂县文学艺术界联合会2023年办公经费</w:t>
      </w:r>
      <w:r>
        <w:rPr>
          <w:rFonts w:hint="eastAsia" w:ascii="仿宋_GB2312" w:hAnsi="仿宋_GB2312" w:eastAsia="仿宋_GB2312" w:cs="仿宋_GB2312"/>
          <w:sz w:val="32"/>
          <w:szCs w:val="32"/>
          <w:lang w:val="zh-CN"/>
        </w:rPr>
        <w:t>，资金按照计划时间到位，资金到位率100%。主要用于我会</w:t>
      </w:r>
      <w:r>
        <w:rPr>
          <w:rFonts w:hint="eastAsia" w:ascii="仿宋_GB2312" w:hAnsi="仿宋_GB2312" w:eastAsia="仿宋_GB2312" w:cs="仿宋_GB2312"/>
          <w:sz w:val="32"/>
          <w:szCs w:val="32"/>
          <w:lang w:val="en-US" w:eastAsia="zh-CN"/>
        </w:rPr>
        <w:t>文化惠民活动办公费</w:t>
      </w:r>
      <w:r>
        <w:rPr>
          <w:rFonts w:hint="eastAsia" w:ascii="仿宋_GB2312" w:hAnsi="仿宋_GB2312" w:eastAsia="仿宋_GB2312" w:cs="仿宋_GB2312"/>
          <w:sz w:val="32"/>
          <w:szCs w:val="32"/>
          <w:lang w:val="zh-CN"/>
        </w:rPr>
        <w:t>支付，程序合规合法，资金支付与预算相符。</w:t>
      </w:r>
    </w:p>
    <w:p w14:paraId="417335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sz w:val="32"/>
          <w:szCs w:val="32"/>
          <w:lang w:val="zh-CN"/>
        </w:rPr>
        <w:t>组织架构。为了使项目能够顺利实施，我单位成立了主席为组长，副主席为副组长，文联办公室工作人员为成员的领导小组，下设办公室，具体负责活动项目的实施和管理工作。严格按照相关规定，明确责任，合理分工，密切合作，为我会</w:t>
      </w:r>
      <w:r>
        <w:rPr>
          <w:rFonts w:hint="eastAsia" w:ascii="仿宋_GB2312" w:hAnsi="仿宋_GB2312" w:eastAsia="仿宋_GB2312" w:cs="仿宋_GB2312"/>
          <w:sz w:val="32"/>
          <w:szCs w:val="32"/>
          <w:lang w:val="en-US" w:eastAsia="zh-CN"/>
        </w:rPr>
        <w:t>文化惠民</w:t>
      </w:r>
      <w:r>
        <w:rPr>
          <w:rFonts w:hint="eastAsia" w:ascii="仿宋_GB2312" w:hAnsi="仿宋_GB2312" w:eastAsia="仿宋_GB2312" w:cs="仿宋_GB2312"/>
          <w:sz w:val="32"/>
          <w:szCs w:val="32"/>
          <w:lang w:val="zh-CN"/>
        </w:rPr>
        <w:t>活动顺利实施提供保障。</w:t>
      </w:r>
    </w:p>
    <w:p w14:paraId="37D2E67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w:t>
      </w:r>
      <w:r>
        <w:rPr>
          <w:rFonts w:hint="eastAsia" w:ascii="仿宋_GB2312" w:hAnsi="仿宋_GB2312" w:eastAsia="仿宋_GB2312" w:cs="仿宋_GB2312"/>
          <w:sz w:val="32"/>
          <w:szCs w:val="32"/>
          <w:lang w:val="zh-CN"/>
        </w:rPr>
        <w:t>该项目费用主要用于我会</w:t>
      </w:r>
      <w:r>
        <w:rPr>
          <w:rFonts w:hint="eastAsia" w:ascii="仿宋_GB2312" w:hAnsi="仿宋_GB2312" w:eastAsia="仿宋_GB2312" w:cs="仿宋_GB2312"/>
          <w:sz w:val="32"/>
          <w:szCs w:val="32"/>
          <w:lang w:val="en-US" w:eastAsia="zh-CN"/>
        </w:rPr>
        <w:t>文化惠民办公活动</w:t>
      </w:r>
      <w:r>
        <w:rPr>
          <w:rFonts w:hint="eastAsia" w:ascii="仿宋_GB2312" w:hAnsi="仿宋_GB2312" w:eastAsia="仿宋_GB2312" w:cs="仿宋_GB2312"/>
          <w:sz w:val="32"/>
          <w:szCs w:val="32"/>
          <w:lang w:val="zh-CN"/>
        </w:rPr>
        <w:t>，项目费总计</w:t>
      </w:r>
      <w:r>
        <w:rPr>
          <w:rFonts w:hint="eastAsia" w:ascii="仿宋_GB2312" w:hAnsi="仿宋_GB2312" w:eastAsia="仿宋_GB2312" w:cs="仿宋_GB2312"/>
          <w:sz w:val="32"/>
          <w:szCs w:val="32"/>
          <w:lang w:val="en-US" w:eastAsia="zh-CN"/>
        </w:rPr>
        <w:t>21.88</w:t>
      </w:r>
      <w:r>
        <w:rPr>
          <w:rFonts w:hint="eastAsia" w:ascii="仿宋_GB2312" w:hAnsi="仿宋_GB2312" w:eastAsia="仿宋_GB2312" w:cs="仿宋_GB2312"/>
          <w:sz w:val="32"/>
          <w:szCs w:val="32"/>
          <w:lang w:val="zh-CN"/>
        </w:rPr>
        <w:t>万元。</w:t>
      </w:r>
    </w:p>
    <w:p w14:paraId="2A1804C6">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（三）重点领域绩效分析。</w:t>
      </w:r>
    </w:p>
    <w:p w14:paraId="1A42439B">
      <w:pPr>
        <w:pStyle w:val="16"/>
        <w:ind w:left="1059" w:leftChars="352" w:hanging="320" w:hanging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我会无重点领域项目。</w:t>
      </w:r>
    </w:p>
    <w:p w14:paraId="121AE388">
      <w:pPr>
        <w:widowControl/>
        <w:adjustRightInd w:val="0"/>
        <w:snapToGrid w:val="0"/>
        <w:spacing w:line="54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sz w:val="32"/>
          <w:szCs w:val="32"/>
          <w:lang w:val="zh-CN"/>
        </w:rPr>
        <w:t>（四）绩效结果应用情况。</w:t>
      </w:r>
    </w:p>
    <w:p w14:paraId="4D8AEEC4">
      <w:pPr>
        <w:widowControl/>
        <w:adjustRightInd w:val="0"/>
        <w:snapToGrid w:val="0"/>
        <w:spacing w:line="540" w:lineRule="exact"/>
        <w:ind w:firstLine="640" w:firstLineChars="200"/>
        <w:contextualSpacing/>
        <w:jc w:val="left"/>
        <w:rPr>
          <w:rStyle w:val="37"/>
          <w:rFonts w:hint="eastAsia" w:ascii="仿宋_GB2312" w:hAnsi="仿宋_GB2312" w:eastAsia="仿宋_GB2312" w:cs="仿宋_GB2312"/>
          <w:color w:val="333333"/>
          <w:sz w:val="32"/>
          <w:szCs w:val="32"/>
          <w:shd w:val="clear" w:color="auto" w:fill="FFFFFF"/>
        </w:rPr>
      </w:pPr>
      <w:r>
        <w:rPr>
          <w:rStyle w:val="37"/>
          <w:rFonts w:hint="eastAsia" w:ascii="仿宋_GB2312" w:hAnsi="仿宋_GB2312" w:eastAsia="仿宋_GB2312" w:cs="仿宋_GB2312"/>
          <w:color w:val="333333"/>
          <w:sz w:val="32"/>
          <w:szCs w:val="32"/>
          <w:shd w:val="clear" w:color="auto" w:fill="FFFFFF"/>
        </w:rPr>
        <w:t>增强了预算绩效执行力度的意识，</w:t>
      </w:r>
      <w:r>
        <w:rPr>
          <w:rStyle w:val="37"/>
          <w:rFonts w:hint="eastAsia" w:ascii="仿宋_GB2312" w:hAnsi="仿宋_GB2312" w:eastAsia="仿宋_GB2312" w:cs="仿宋_GB2312"/>
          <w:color w:val="333333"/>
          <w:sz w:val="32"/>
          <w:szCs w:val="32"/>
        </w:rPr>
        <w:t>提高了预算绩效执行力度</w:t>
      </w:r>
      <w:r>
        <w:rPr>
          <w:rStyle w:val="37"/>
          <w:rFonts w:hint="eastAsia" w:ascii="仿宋_GB2312" w:hAnsi="仿宋_GB2312" w:eastAsia="仿宋_GB2312" w:cs="仿宋_GB2312"/>
          <w:color w:val="333333"/>
          <w:sz w:val="32"/>
          <w:szCs w:val="32"/>
          <w:shd w:val="clear" w:color="auto" w:fill="FFFFFF"/>
        </w:rPr>
        <w:t>。用绩效监控全过程，确保实现项目绩效目标，落实绩效主体责任的重要手段。</w:t>
      </w:r>
    </w:p>
    <w:p w14:paraId="4C6E7421">
      <w:pPr>
        <w:widowControl/>
        <w:adjustRightInd w:val="0"/>
        <w:snapToGrid w:val="0"/>
        <w:spacing w:line="580" w:lineRule="exact"/>
        <w:ind w:firstLine="640" w:firstLineChars="200"/>
        <w:contextualSpacing/>
        <w:jc w:val="left"/>
        <w:rPr>
          <w:rFonts w:hint="eastAsia" w:ascii="仿宋_GB2312" w:hAnsi="仿宋_GB2312" w:eastAsia="仿宋_GB2312" w:cs="仿宋_GB2312"/>
          <w:b/>
          <w:sz w:val="32"/>
          <w:szCs w:val="32"/>
          <w:lang w:eastAsia="zh-CN"/>
        </w:rPr>
      </w:pPr>
      <w:r>
        <w:rPr>
          <w:rStyle w:val="37"/>
          <w:rFonts w:hint="eastAsia" w:ascii="仿宋_GB2312" w:hAnsi="仿宋_GB2312" w:eastAsia="仿宋_GB2312" w:cs="仿宋_GB2312"/>
          <w:color w:val="333333"/>
          <w:sz w:val="32"/>
          <w:szCs w:val="32"/>
        </w:rPr>
        <w:t>围绕年初编制的绩效目标，收集项目执行信息并加以梳理、分析，发现绩效目标运行出现偏差时，及时查找原因，提出整改建议，并反馈给相关部门，督促整改纠偏；同时开展自评，</w:t>
      </w:r>
      <w:r>
        <w:rPr>
          <w:rStyle w:val="37"/>
          <w:rFonts w:hint="eastAsia" w:ascii="仿宋_GB2312" w:hAnsi="仿宋_GB2312" w:eastAsia="仿宋_GB2312" w:cs="仿宋_GB2312"/>
          <w:color w:val="333333"/>
          <w:sz w:val="32"/>
          <w:szCs w:val="32"/>
          <w:shd w:val="clear" w:color="auto" w:fill="FFFFFF"/>
        </w:rPr>
        <w:t>对自评进行公开，</w:t>
      </w:r>
      <w:r>
        <w:rPr>
          <w:rStyle w:val="37"/>
          <w:rFonts w:hint="eastAsia" w:ascii="仿宋_GB2312" w:hAnsi="仿宋_GB2312" w:eastAsia="仿宋_GB2312" w:cs="仿宋_GB2312"/>
          <w:color w:val="333333"/>
          <w:sz w:val="32"/>
          <w:szCs w:val="32"/>
        </w:rPr>
        <w:t>如实、准确并及时上报。</w:t>
      </w:r>
    </w:p>
    <w:p w14:paraId="7FADFC5B">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14:paraId="27F781A9">
      <w:pPr>
        <w:pStyle w:val="10"/>
        <w:tabs>
          <w:tab w:val="left" w:pos="2160"/>
        </w:tabs>
        <w:spacing w:line="600" w:lineRule="exact"/>
        <w:ind w:firstLine="643" w:firstLineChars="200"/>
        <w:rPr>
          <w:rFonts w:hint="eastAsia" w:ascii="仿宋_GB2312" w:hAnsi="仿宋_GB2312" w:eastAsia="仿宋_GB2312" w:cs="仿宋_GB2312"/>
          <w:bCs/>
          <w:kern w:val="2"/>
          <w:position w:val="0"/>
          <w:sz w:val="32"/>
          <w:szCs w:val="32"/>
          <w:lang w:val="en-US" w:eastAsia="zh-CN" w:bidi="ar-SA"/>
        </w:rPr>
      </w:pPr>
      <w:r>
        <w:rPr>
          <w:rFonts w:hint="eastAsia" w:ascii="仿宋_GB2312" w:hAnsi="仿宋_GB2312" w:eastAsia="仿宋_GB2312" w:cs="仿宋_GB2312"/>
          <w:b/>
          <w:bCs/>
          <w:color w:val="000000"/>
          <w:kern w:val="0"/>
          <w:sz w:val="32"/>
          <w:szCs w:val="32"/>
          <w:shd w:val="clear" w:color="auto" w:fill="FFFFFF"/>
          <w:lang w:val="zh-CN"/>
        </w:rPr>
        <w:t>（一）评价结论。</w:t>
      </w:r>
      <w:r>
        <w:rPr>
          <w:rFonts w:hint="eastAsia" w:ascii="仿宋_GB2312" w:hAnsi="仿宋_GB2312" w:eastAsia="仿宋_GB2312" w:cs="仿宋_GB2312"/>
          <w:bCs/>
          <w:kern w:val="2"/>
          <w:position w:val="0"/>
          <w:sz w:val="32"/>
          <w:szCs w:val="32"/>
          <w:lang w:val="en-US" w:eastAsia="zh-CN" w:bidi="ar-SA"/>
        </w:rPr>
        <w:t>征集购买民族文学创作书籍275册，创作民族文化歌曲一首，现已完成歌曲作词和谱曲。开展文化惠民“新春送福”文化进万家活动，活动已完成。验收合格，</w:t>
      </w:r>
      <w:r>
        <w:rPr>
          <w:rFonts w:hint="eastAsia" w:ascii="仿宋_GB2312" w:hAnsi="仿宋_GB2312" w:eastAsia="仿宋_GB2312" w:cs="仿宋_GB2312"/>
          <w:bCs/>
          <w:kern w:val="2"/>
          <w:position w:val="0"/>
          <w:sz w:val="32"/>
          <w:szCs w:val="32"/>
          <w:lang w:val="zh-CN" w:eastAsia="zh-CN" w:bidi="ar-SA"/>
        </w:rPr>
        <w:t>群众满意度</w:t>
      </w:r>
      <w:r>
        <w:rPr>
          <w:rFonts w:hint="eastAsia" w:ascii="仿宋_GB2312" w:hAnsi="仿宋_GB2312" w:eastAsia="仿宋_GB2312" w:cs="仿宋_GB2312"/>
          <w:bCs/>
          <w:kern w:val="2"/>
          <w:position w:val="0"/>
          <w:sz w:val="32"/>
          <w:szCs w:val="32"/>
          <w:lang w:val="en-US" w:eastAsia="zh-CN" w:bidi="ar-SA"/>
        </w:rPr>
        <w:t>≥95%，自评总分100分。</w:t>
      </w:r>
    </w:p>
    <w:p w14:paraId="793B1BB5">
      <w:pPr>
        <w:pStyle w:val="10"/>
        <w:tabs>
          <w:tab w:val="left" w:pos="2160"/>
        </w:tabs>
        <w:spacing w:line="600" w:lineRule="exact"/>
        <w:ind w:firstLine="643" w:firstLineChars="200"/>
        <w:rPr>
          <w:rFonts w:hint="eastAsia" w:ascii="仿宋_GB2312" w:hAnsi="仿宋_GB2312" w:eastAsia="仿宋_GB2312" w:cs="仿宋_GB2312"/>
          <w:bCs/>
          <w:kern w:val="2"/>
          <w:position w:val="0"/>
          <w:sz w:val="32"/>
          <w:szCs w:val="32"/>
          <w:lang w:val="en-US" w:eastAsia="zh-CN" w:bidi="ar-SA"/>
        </w:rPr>
      </w:pPr>
      <w:r>
        <w:rPr>
          <w:rFonts w:hint="eastAsia" w:ascii="仿宋_GB2312" w:hAnsi="仿宋_GB2312" w:eastAsia="仿宋_GB2312" w:cs="仿宋_GB2312"/>
          <w:b/>
          <w:bCs/>
          <w:color w:val="000000"/>
          <w:kern w:val="0"/>
          <w:sz w:val="32"/>
          <w:szCs w:val="32"/>
          <w:shd w:val="clear" w:color="auto" w:fill="FFFFFF"/>
          <w:lang w:val="zh-CN"/>
        </w:rPr>
        <w:t>（二）存在问题。</w:t>
      </w:r>
      <w:r>
        <w:rPr>
          <w:rFonts w:hint="eastAsia" w:ascii="仿宋_GB2312" w:hAnsi="仿宋_GB2312" w:eastAsia="仿宋_GB2312" w:cs="仿宋_GB2312"/>
          <w:bCs/>
          <w:kern w:val="2"/>
          <w:position w:val="0"/>
          <w:sz w:val="32"/>
          <w:szCs w:val="32"/>
          <w:lang w:val="en-US" w:eastAsia="zh-CN" w:bidi="ar-SA"/>
        </w:rPr>
        <w:t>由于人员少，工作量大，涉及部分项目实施进度较慢，报账进度较慢。</w:t>
      </w:r>
    </w:p>
    <w:p w14:paraId="27101881">
      <w:pPr>
        <w:widowControl/>
        <w:adjustRightInd w:val="0"/>
        <w:snapToGrid w:val="0"/>
        <w:spacing w:line="580" w:lineRule="exact"/>
        <w:ind w:firstLine="640" w:firstLineChars="200"/>
        <w:contextualSpacing/>
        <w:jc w:val="left"/>
        <w:rPr>
          <w:rStyle w:val="37"/>
          <w:rFonts w:hint="eastAsia" w:ascii="仿宋_GB2312" w:hAnsi="仿宋_GB2312" w:eastAsia="仿宋_GB2312" w:cs="仿宋_GB2312"/>
          <w:color w:val="333333"/>
          <w:sz w:val="32"/>
          <w:szCs w:val="32"/>
          <w:lang w:val="zh-CN"/>
        </w:rPr>
      </w:pPr>
      <w:r>
        <w:rPr>
          <w:rStyle w:val="37"/>
          <w:rFonts w:hint="eastAsia" w:ascii="仿宋_GB2312" w:hAnsi="仿宋_GB2312" w:eastAsia="仿宋_GB2312" w:cs="仿宋_GB2312"/>
          <w:color w:val="333333"/>
          <w:sz w:val="32"/>
          <w:szCs w:val="32"/>
          <w:lang w:val="zh-CN"/>
        </w:rPr>
        <w:t>（三）改进建议。</w:t>
      </w:r>
      <w:bookmarkStart w:id="78" w:name="_Hlk110546638"/>
      <w:r>
        <w:rPr>
          <w:rStyle w:val="37"/>
          <w:rFonts w:hint="eastAsia" w:ascii="仿宋_GB2312" w:hAnsi="仿宋_GB2312" w:eastAsia="仿宋_GB2312" w:cs="仿宋_GB2312"/>
          <w:color w:val="333333"/>
          <w:sz w:val="32"/>
          <w:szCs w:val="32"/>
        </w:rPr>
        <w:t xml:space="preserve"> 进一步提高工作效率，在合法、合规的前提下，合理安排和使用各项资金。加强组织领导，强化督促检查，严格遵守各项财务管理制度，加快项目实施进度，提升资金使用率，确保各项工作任务的有序开展。</w:t>
      </w:r>
      <w:bookmarkEnd w:id="78"/>
    </w:p>
    <w:p w14:paraId="07028F3B">
      <w:pPr>
        <w:spacing w:line="578" w:lineRule="exact"/>
        <w:contextualSpacing/>
        <w:rPr>
          <w:rFonts w:hint="eastAsia" w:ascii="仿宋_GB2312" w:hAnsi="仿宋_GB2312" w:eastAsia="仿宋_GB2312" w:cs="仿宋_GB2312"/>
          <w:sz w:val="32"/>
          <w:szCs w:val="32"/>
        </w:rPr>
      </w:pPr>
    </w:p>
    <w:p w14:paraId="028E6B19">
      <w:pPr>
        <w:spacing w:line="578" w:lineRule="exact"/>
        <w:ind w:firstLine="640" w:firstLineChars="200"/>
      </w:pPr>
      <w:r>
        <w:rPr>
          <w:rStyle w:val="37"/>
          <w:rFonts w:hint="eastAsia" w:ascii="仿宋_GB2312" w:hAnsi="仿宋_GB2312" w:eastAsia="仿宋_GB2312" w:cs="仿宋_GB2312"/>
          <w:color w:val="333333"/>
          <w:sz w:val="32"/>
          <w:szCs w:val="32"/>
        </w:rPr>
        <w:t>附表：部门整体支出绩效目标完成情况自评表</w:t>
      </w:r>
      <w:r>
        <w:rPr>
          <w:rFonts w:hint="eastAsia" w:ascii="仿宋_GB2312" w:hAnsi="仿宋_GB2312" w:eastAsia="仿宋_GB2312" w:cs="仿宋_GB2312"/>
          <w:color w:val="000000"/>
          <w:kern w:val="0"/>
          <w:sz w:val="32"/>
          <w:szCs w:val="32"/>
          <w:shd w:val="clear" w:color="auto" w:fill="FFFFFF"/>
        </w:rPr>
        <w:br w:type="page"/>
      </w:r>
      <w:r>
        <w:rPr>
          <w:rFonts w:hint="eastAsia" w:ascii="黑体" w:hAnsi="黑体" w:eastAsia="黑体" w:cs="黑体"/>
        </w:rPr>
        <w:t>附表</w:t>
      </w:r>
    </w:p>
    <w:tbl>
      <w:tblPr>
        <w:tblStyle w:val="19"/>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14:paraId="54F97652">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76C38445">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344FB75F">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24BC6E4B">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14:paraId="5DEEABFA">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75108A9F">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14:paraId="23D9A4BD">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60853">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93434C">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eastAsia="zh-CN" w:bidi="ar"/>
              </w:rPr>
              <w:t>茂县文学艺术界联合会</w:t>
            </w:r>
          </w:p>
        </w:tc>
      </w:tr>
      <w:tr w14:paraId="298F3F2D">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D3D28">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DAF5">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1BF5B">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A19BE">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14:paraId="4F599A7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A911">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3D2F">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21.88</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4039C">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21.88</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4A0FD">
            <w:pPr>
              <w:widowControl/>
              <w:spacing w:line="300" w:lineRule="exact"/>
              <w:jc w:val="center"/>
              <w:textAlignment w:val="center"/>
              <w:rPr>
                <w:rFonts w:eastAsia="宋体"/>
                <w:color w:val="000000"/>
                <w:sz w:val="24"/>
              </w:rPr>
            </w:pPr>
          </w:p>
        </w:tc>
      </w:tr>
      <w:tr w14:paraId="313498B5">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00F2">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14:paraId="5A8ECFAA">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B957BF">
            <w:pPr>
              <w:widowControl/>
              <w:spacing w:line="300" w:lineRule="exact"/>
              <w:jc w:val="left"/>
              <w:textAlignment w:val="center"/>
              <w:rPr>
                <w:rFonts w:eastAsia="宋体"/>
                <w:color w:val="000000"/>
                <w:sz w:val="24"/>
              </w:rPr>
            </w:pPr>
            <w:r>
              <w:rPr>
                <w:rFonts w:hint="eastAsia" w:eastAsia="宋体"/>
                <w:color w:val="000000"/>
                <w:sz w:val="24"/>
              </w:rPr>
              <w:t>1.根据茂委宣函[2023]7号文件要求，按照《中央支持地方公共文化服务体系建设补助资金管理办法》（财教〔2022〕68号）文件规定，围绕中央关于实现巩固拓展脱贫攻坚成果同乡村振兴有效衔接的有关要求，进一步强化茂县</w:t>
            </w:r>
            <w:r>
              <w:rPr>
                <w:rFonts w:hint="eastAsia" w:eastAsia="宋体"/>
                <w:color w:val="000000"/>
                <w:sz w:val="24"/>
                <w:lang w:eastAsia="zh-CN"/>
              </w:rPr>
              <w:t>公共文化服务体系建设</w:t>
            </w:r>
            <w:r>
              <w:rPr>
                <w:rFonts w:hint="eastAsia" w:eastAsia="宋体"/>
                <w:color w:val="000000"/>
                <w:sz w:val="24"/>
              </w:rPr>
              <w:t>宣传工作，实现宣传传播能力和话语体系建设新突破，讲好茂县故事，传播茂县声音，展示茂县形象，奋力开创茂县</w:t>
            </w:r>
            <w:r>
              <w:rPr>
                <w:rFonts w:hint="eastAsia" w:eastAsia="宋体"/>
                <w:color w:val="000000"/>
                <w:sz w:val="24"/>
                <w:lang w:eastAsia="zh-CN"/>
              </w:rPr>
              <w:t>文文艺</w:t>
            </w:r>
            <w:r>
              <w:rPr>
                <w:rFonts w:hint="eastAsia" w:eastAsia="宋体"/>
                <w:color w:val="000000"/>
                <w:sz w:val="24"/>
              </w:rPr>
              <w:t xml:space="preserve">工作新局面。   </w:t>
            </w:r>
          </w:p>
        </w:tc>
      </w:tr>
      <w:tr w14:paraId="5EB0A386">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13FD">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14:paraId="3D5A1D0B">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2A2B1">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3BD5F6">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14:paraId="5FB2E3A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1408">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5D1D0">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lang w:eastAsia="zh-CN" w:bidi="ar"/>
              </w:rPr>
              <w:t>开展文艺活动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7C31CA">
            <w:pPr>
              <w:widowControl/>
              <w:spacing w:line="300" w:lineRule="exact"/>
              <w:jc w:val="left"/>
              <w:textAlignment w:val="center"/>
              <w:rPr>
                <w:rFonts w:eastAsia="宋体"/>
                <w:color w:val="000000"/>
                <w:sz w:val="24"/>
              </w:rPr>
            </w:pPr>
            <w:r>
              <w:rPr>
                <w:rFonts w:hint="eastAsia" w:ascii="Times New Roman" w:hAnsi="Times New Roman" w:eastAsia="宋体" w:cs="Times New Roman"/>
                <w:color w:val="000000"/>
                <w:sz w:val="24"/>
                <w:lang w:val="en-US" w:eastAsia="zh-CN"/>
              </w:rPr>
              <w:t>通过开展各类文艺活动，搭建文艺创作交流平台，进一步凝聚力量，促进各文艺协会会员的交流，丰富各文艺协会会员的业余文化生活，拓宽会员视野，为其提供采集文艺创作素材，丰富文艺创作经验，繁荣茂县文艺创作，宣传茂县厚重的民族历史文化和乡村振兴成果。</w:t>
            </w:r>
            <w:r>
              <w:rPr>
                <w:rFonts w:hint="eastAsia" w:ascii="Times New Roman" w:hAnsi="Times New Roman" w:eastAsia="宋体" w:cs="Times New Roman"/>
                <w:color w:val="000000"/>
                <w:sz w:val="24"/>
              </w:rPr>
              <w:t xml:space="preserve">  </w:t>
            </w:r>
          </w:p>
        </w:tc>
      </w:tr>
      <w:tr w14:paraId="6DF061C9">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F37E">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14:paraId="4C543992">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A37">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8FE7">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CF5">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D9A">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14:paraId="6FC07301">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935E">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C074">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427ADD97">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FC8">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14:paraId="408D895E">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14:paraId="50A1183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4A93">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B4C8E">
            <w:pPr>
              <w:widowControl/>
              <w:spacing w:line="300" w:lineRule="exact"/>
              <w:jc w:val="center"/>
              <w:textAlignment w:val="center"/>
              <w:rPr>
                <w:rFonts w:eastAsia="宋体"/>
                <w:color w:val="000000"/>
                <w:sz w:val="24"/>
              </w:rPr>
            </w:pPr>
            <w:r>
              <w:rPr>
                <w:rFonts w:eastAsia="宋体"/>
                <w:color w:val="000000"/>
                <w:kern w:val="0"/>
                <w:sz w:val="24"/>
                <w:lang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918">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85D">
            <w:pPr>
              <w:spacing w:line="300" w:lineRule="exact"/>
              <w:rPr>
                <w:rFonts w:eastAsia="宋体"/>
                <w:color w:val="000000"/>
                <w:sz w:val="24"/>
              </w:rPr>
            </w:pPr>
            <w:r>
              <w:rPr>
                <w:rFonts w:hint="eastAsia" w:ascii="宋体" w:hAnsi="宋体" w:eastAsia="宋体" w:cs="宋体"/>
                <w:color w:val="000000"/>
                <w:sz w:val="24"/>
                <w:szCs w:val="24"/>
              </w:rPr>
              <w:t>开展好本年文化活动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CD67">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7000">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7F50">
            <w:pPr>
              <w:spacing w:line="300" w:lineRule="exact"/>
              <w:jc w:val="center"/>
              <w:rPr>
                <w:rFonts w:eastAsia="宋体"/>
                <w:color w:val="000000"/>
                <w:sz w:val="24"/>
              </w:rPr>
            </w:pPr>
            <w:r>
              <w:rPr>
                <w:rFonts w:hint="eastAsia" w:ascii="宋体" w:hAnsi="宋体" w:eastAsia="宋体" w:cs="宋体"/>
                <w:color w:val="000000"/>
                <w:sz w:val="24"/>
                <w:szCs w:val="24"/>
                <w:lang w:eastAsia="zh-CN"/>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949">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14:paraId="6812B861">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3</w:t>
            </w:r>
          </w:p>
        </w:tc>
      </w:tr>
      <w:tr w14:paraId="6F8CC93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F936">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4C1F">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9D36">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C7A4">
            <w:pPr>
              <w:spacing w:line="300" w:lineRule="exact"/>
              <w:rPr>
                <w:rFonts w:eastAsia="宋体"/>
                <w:color w:val="000000"/>
                <w:sz w:val="24"/>
              </w:rPr>
            </w:pPr>
            <w:r>
              <w:rPr>
                <w:rFonts w:hint="eastAsia" w:ascii="宋体" w:hAnsi="宋体" w:eastAsia="宋体" w:cs="宋体"/>
                <w:color w:val="000000"/>
                <w:sz w:val="24"/>
                <w:szCs w:val="24"/>
              </w:rPr>
              <w:t>充分发挥基层公共文化服务效能，各项目工作验收合格率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92A">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70F">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1D2">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C02">
            <w:pPr>
              <w:keepNext w:val="0"/>
              <w:keepLines w:val="0"/>
              <w:widowControl/>
              <w:suppressLineNumbers w:val="0"/>
              <w:jc w:val="center"/>
              <w:textAlignment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918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r>
      <w:tr w14:paraId="68008E9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F586">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AAED">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103F">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8B9A">
            <w:pPr>
              <w:spacing w:line="300" w:lineRule="exact"/>
              <w:rPr>
                <w:rFonts w:eastAsia="宋体"/>
                <w:color w:val="000000"/>
                <w:sz w:val="24"/>
              </w:rPr>
            </w:pPr>
            <w:r>
              <w:rPr>
                <w:rFonts w:hint="eastAsia" w:ascii="宋体" w:hAnsi="宋体" w:eastAsia="宋体" w:cs="宋体"/>
                <w:color w:val="000000"/>
                <w:sz w:val="24"/>
                <w:szCs w:val="24"/>
              </w:rPr>
              <w:t>完成时间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DEEB">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9220">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7C6C">
            <w:pPr>
              <w:spacing w:line="300" w:lineRule="exact"/>
              <w:jc w:val="center"/>
              <w:rPr>
                <w:rFonts w:eastAsia="宋体"/>
                <w:color w:val="000000"/>
                <w:sz w:val="24"/>
              </w:rPr>
            </w:pPr>
            <w:r>
              <w:rPr>
                <w:rFonts w:hint="eastAsia" w:ascii="宋体" w:hAnsi="宋体" w:eastAsia="宋体" w:cs="宋体"/>
                <w:color w:val="000000"/>
                <w:sz w:val="24"/>
                <w:szCs w:val="24"/>
                <w:lang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545F">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32B">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w:t>
            </w:r>
          </w:p>
        </w:tc>
      </w:tr>
      <w:tr w14:paraId="6A9AE41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E834">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897A">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7A15">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14:paraId="47CB58C1">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FAC8">
            <w:pPr>
              <w:spacing w:line="300" w:lineRule="exact"/>
              <w:rPr>
                <w:rFonts w:eastAsia="宋体"/>
                <w:color w:val="000000"/>
                <w:sz w:val="24"/>
              </w:rPr>
            </w:pPr>
            <w:r>
              <w:rPr>
                <w:rFonts w:hint="eastAsia" w:ascii="宋体" w:hAnsi="宋体" w:eastAsia="宋体" w:cs="宋体"/>
                <w:color w:val="000000"/>
                <w:sz w:val="24"/>
                <w:szCs w:val="24"/>
              </w:rPr>
              <w:t>保质保量完成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9FEB">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191">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365E">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B270">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62A5">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r>
      <w:tr w14:paraId="69D02C2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772B">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B93A">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826B">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1BB1F544">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4215">
            <w:pPr>
              <w:spacing w:line="300" w:lineRule="exact"/>
              <w:rPr>
                <w:rFonts w:eastAsia="宋体"/>
                <w:color w:val="000000"/>
                <w:sz w:val="24"/>
              </w:rPr>
            </w:pPr>
            <w:r>
              <w:rPr>
                <w:rFonts w:hint="eastAsia" w:ascii="宋体" w:hAnsi="宋体" w:eastAsia="宋体" w:cs="宋体"/>
                <w:color w:val="000000"/>
                <w:sz w:val="24"/>
                <w:szCs w:val="24"/>
                <w:lang w:eastAsia="zh-CN"/>
              </w:rPr>
              <w:t>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D58">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92FC">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0DDA">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45D">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66EA">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100</w:t>
            </w:r>
          </w:p>
        </w:tc>
      </w:tr>
      <w:tr w14:paraId="449FF32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6292">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CC8C">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3433712F">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14:paraId="11ED2AB5">
            <w:pPr>
              <w:widowControl/>
              <w:spacing w:line="300" w:lineRule="exact"/>
              <w:jc w:val="center"/>
              <w:textAlignment w:val="center"/>
              <w:rPr>
                <w:rFonts w:eastAsia="宋体"/>
                <w:color w:val="000000"/>
                <w:sz w:val="24"/>
              </w:rPr>
            </w:pPr>
            <w:r>
              <w:rPr>
                <w:rFonts w:ascii="宋体" w:hAnsi="宋体" w:eastAsia="宋体" w:cs="宋体"/>
                <w:color w:val="000000"/>
                <w:kern w:val="0"/>
                <w:sz w:val="24"/>
                <w:szCs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50BE">
            <w:pPr>
              <w:spacing w:line="300" w:lineRule="exact"/>
              <w:rPr>
                <w:rFonts w:eastAsia="宋体"/>
                <w:color w:val="000000"/>
                <w:sz w:val="24"/>
              </w:rPr>
            </w:pPr>
            <w:r>
              <w:rPr>
                <w:rFonts w:hint="eastAsia" w:ascii="宋体" w:hAnsi="宋体" w:eastAsia="宋体" w:cs="宋体"/>
                <w:color w:val="000000"/>
                <w:sz w:val="24"/>
                <w:szCs w:val="24"/>
              </w:rPr>
              <w:t>成本指标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4E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D9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21.88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9EC7">
            <w:pPr>
              <w:spacing w:line="300" w:lineRule="exact"/>
              <w:jc w:val="center"/>
              <w:rPr>
                <w:rFonts w:eastAsia="宋体"/>
                <w:color w:val="000000"/>
                <w:sz w:val="24"/>
              </w:rPr>
            </w:pPr>
            <w:r>
              <w:rPr>
                <w:rFonts w:hint="eastAsia" w:ascii="宋体" w:hAnsi="宋体" w:eastAsia="宋体" w:cs="宋体"/>
                <w:color w:val="000000"/>
                <w:sz w:val="24"/>
                <w:szCs w:val="24"/>
                <w:lang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34C">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E856">
            <w:pPr>
              <w:spacing w:line="300" w:lineRule="exact"/>
              <w:jc w:val="center"/>
              <w:rPr>
                <w:rFonts w:eastAsia="宋体"/>
                <w:color w:val="000000"/>
                <w:sz w:val="24"/>
              </w:rPr>
            </w:pPr>
            <w:r>
              <w:rPr>
                <w:rFonts w:hint="eastAsia" w:ascii="宋体" w:hAnsi="宋体" w:eastAsia="宋体" w:cs="宋体"/>
                <w:color w:val="000000"/>
                <w:sz w:val="24"/>
                <w:szCs w:val="24"/>
                <w:lang w:val="en-US" w:eastAsia="zh-CN"/>
              </w:rPr>
              <w:t>21.88</w:t>
            </w:r>
          </w:p>
        </w:tc>
      </w:tr>
    </w:tbl>
    <w:p w14:paraId="1667C9FA">
      <w:pPr>
        <w:pStyle w:val="3"/>
        <w:ind w:left="0" w:leftChars="0" w:firstLine="0" w:firstLineChars="0"/>
        <w:rPr>
          <w:rFonts w:ascii="Times New Roman" w:eastAsia="黑体"/>
          <w:sz w:val="24"/>
          <w:szCs w:val="24"/>
        </w:rPr>
      </w:pPr>
    </w:p>
    <w:p w14:paraId="176C9422">
      <w:pPr>
        <w:widowControl/>
        <w:jc w:val="left"/>
        <w:rPr>
          <w:rStyle w:val="32"/>
          <w:rFonts w:hint="eastAsia" w:ascii="思源黑体 CN Normal" w:hAnsi="思源黑体 CN Normal" w:eastAsia="思源黑体 CN Normal" w:cs="思源黑体 CN Normal"/>
        </w:rPr>
      </w:pPr>
    </w:p>
    <w:p w14:paraId="1DD58993">
      <w:pPr>
        <w:pStyle w:val="5"/>
        <w:jc w:val="center"/>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t>第五部分 附表</w:t>
      </w:r>
      <w:bookmarkEnd w:id="74"/>
      <w:bookmarkEnd w:id="75"/>
      <w:bookmarkEnd w:id="76"/>
      <w:bookmarkEnd w:id="77"/>
    </w:p>
    <w:p w14:paraId="39407B2D">
      <w:pPr>
        <w:pStyle w:val="6"/>
        <w:ind w:firstLine="643" w:firstLineChars="200"/>
        <w:rPr>
          <w:rFonts w:hint="eastAsia" w:ascii="思源黑体 CN Normal" w:hAnsi="思源黑体 CN Normal" w:eastAsia="思源黑体 CN Normal" w:cs="思源黑体 CN Normal"/>
          <w:bCs w:val="0"/>
          <w:color w:val="000000"/>
        </w:rPr>
      </w:pPr>
      <w:bookmarkStart w:id="79" w:name="_Toc16431"/>
      <w:r>
        <w:rPr>
          <w:rFonts w:hint="eastAsia" w:ascii="思源黑体 CN Normal" w:hAnsi="思源黑体 CN Normal" w:eastAsia="思源黑体 CN Normal" w:cs="思源黑体 CN Normal"/>
          <w:bCs w:val="0"/>
          <w:color w:val="000000"/>
        </w:rPr>
        <w:t>一、收入支出决算总表</w:t>
      </w:r>
      <w:bookmarkEnd w:id="79"/>
    </w:p>
    <w:p w14:paraId="2B7DC4AC">
      <w:pPr>
        <w:pStyle w:val="6"/>
        <w:ind w:firstLine="643" w:firstLineChars="200"/>
        <w:rPr>
          <w:rFonts w:hint="eastAsia" w:ascii="思源黑体 CN Normal" w:hAnsi="思源黑体 CN Normal" w:eastAsia="思源黑体 CN Normal" w:cs="思源黑体 CN Normal"/>
          <w:bCs w:val="0"/>
          <w:color w:val="000000"/>
        </w:rPr>
      </w:pPr>
      <w:bookmarkStart w:id="80" w:name="_Toc25389"/>
      <w:r>
        <w:rPr>
          <w:rFonts w:hint="eastAsia" w:ascii="思源黑体 CN Normal" w:hAnsi="思源黑体 CN Normal" w:eastAsia="思源黑体 CN Normal" w:cs="思源黑体 CN Normal"/>
          <w:bCs w:val="0"/>
          <w:color w:val="000000"/>
        </w:rPr>
        <w:t>二、收入决算表</w:t>
      </w:r>
      <w:bookmarkEnd w:id="80"/>
    </w:p>
    <w:p w14:paraId="7858E927">
      <w:pPr>
        <w:pStyle w:val="6"/>
        <w:ind w:firstLine="643" w:firstLineChars="200"/>
        <w:rPr>
          <w:rFonts w:hint="eastAsia" w:ascii="思源黑体 CN Normal" w:hAnsi="思源黑体 CN Normal" w:eastAsia="思源黑体 CN Normal" w:cs="思源黑体 CN Normal"/>
          <w:bCs w:val="0"/>
          <w:color w:val="000000"/>
        </w:rPr>
      </w:pPr>
      <w:bookmarkStart w:id="81" w:name="_Toc10450"/>
      <w:r>
        <w:rPr>
          <w:rFonts w:hint="eastAsia" w:ascii="思源黑体 CN Normal" w:hAnsi="思源黑体 CN Normal" w:eastAsia="思源黑体 CN Normal" w:cs="思源黑体 CN Normal"/>
          <w:bCs w:val="0"/>
          <w:color w:val="000000"/>
        </w:rPr>
        <w:t>三、支出决算表</w:t>
      </w:r>
      <w:bookmarkEnd w:id="81"/>
    </w:p>
    <w:p w14:paraId="31EC7FA5">
      <w:pPr>
        <w:pStyle w:val="6"/>
        <w:ind w:firstLine="643" w:firstLineChars="200"/>
        <w:rPr>
          <w:rFonts w:hint="eastAsia" w:ascii="思源黑体 CN Normal" w:hAnsi="思源黑体 CN Normal" w:eastAsia="思源黑体 CN Normal" w:cs="思源黑体 CN Normal"/>
          <w:bCs w:val="0"/>
          <w:color w:val="000000"/>
        </w:rPr>
      </w:pPr>
      <w:bookmarkStart w:id="82" w:name="_Toc15415"/>
      <w:r>
        <w:rPr>
          <w:rFonts w:hint="eastAsia" w:ascii="思源黑体 CN Normal" w:hAnsi="思源黑体 CN Normal" w:eastAsia="思源黑体 CN Normal" w:cs="思源黑体 CN Normal"/>
          <w:bCs w:val="0"/>
          <w:color w:val="000000"/>
        </w:rPr>
        <w:t>四、财政拨款收入支出决算总表</w:t>
      </w:r>
      <w:bookmarkEnd w:id="82"/>
    </w:p>
    <w:p w14:paraId="4A2F30BB">
      <w:pPr>
        <w:pStyle w:val="6"/>
        <w:ind w:firstLine="643" w:firstLineChars="200"/>
        <w:rPr>
          <w:rFonts w:hint="eastAsia" w:ascii="思源黑体 CN Normal" w:hAnsi="思源黑体 CN Normal" w:eastAsia="思源黑体 CN Normal" w:cs="思源黑体 CN Normal"/>
          <w:bCs w:val="0"/>
          <w:color w:val="000000"/>
        </w:rPr>
      </w:pPr>
      <w:bookmarkStart w:id="83" w:name="_Toc17530"/>
      <w:r>
        <w:rPr>
          <w:rFonts w:hint="eastAsia" w:ascii="思源黑体 CN Normal" w:hAnsi="思源黑体 CN Normal" w:eastAsia="思源黑体 CN Normal" w:cs="思源黑体 CN Normal"/>
          <w:bCs w:val="0"/>
          <w:color w:val="000000"/>
        </w:rPr>
        <w:t>五、财政拨款支出决算明细表</w:t>
      </w:r>
      <w:bookmarkEnd w:id="83"/>
    </w:p>
    <w:p w14:paraId="712C880D">
      <w:pPr>
        <w:pStyle w:val="6"/>
        <w:ind w:firstLine="643" w:firstLineChars="200"/>
        <w:rPr>
          <w:rFonts w:hint="eastAsia" w:ascii="思源黑体 CN Normal" w:hAnsi="思源黑体 CN Normal" w:eastAsia="思源黑体 CN Normal" w:cs="思源黑体 CN Normal"/>
          <w:bCs w:val="0"/>
          <w:color w:val="000000"/>
        </w:rPr>
      </w:pPr>
      <w:bookmarkStart w:id="84" w:name="_Toc22032"/>
      <w:r>
        <w:rPr>
          <w:rFonts w:hint="eastAsia" w:ascii="思源黑体 CN Normal" w:hAnsi="思源黑体 CN Normal" w:eastAsia="思源黑体 CN Normal" w:cs="思源黑体 CN Normal"/>
          <w:bCs w:val="0"/>
          <w:color w:val="000000"/>
        </w:rPr>
        <w:t>六、一般公共预算财政拨款支出决算表</w:t>
      </w:r>
      <w:bookmarkEnd w:id="84"/>
    </w:p>
    <w:p w14:paraId="51429EF5">
      <w:pPr>
        <w:pStyle w:val="6"/>
        <w:ind w:firstLine="643" w:firstLineChars="200"/>
        <w:rPr>
          <w:rFonts w:hint="eastAsia" w:ascii="思源黑体 CN Normal" w:hAnsi="思源黑体 CN Normal" w:eastAsia="思源黑体 CN Normal" w:cs="思源黑体 CN Normal"/>
          <w:bCs w:val="0"/>
          <w:color w:val="000000"/>
        </w:rPr>
      </w:pPr>
      <w:bookmarkStart w:id="85" w:name="_Toc3364"/>
      <w:r>
        <w:rPr>
          <w:rFonts w:hint="eastAsia" w:ascii="思源黑体 CN Normal" w:hAnsi="思源黑体 CN Normal" w:eastAsia="思源黑体 CN Normal" w:cs="思源黑体 CN Normal"/>
          <w:bCs w:val="0"/>
          <w:color w:val="000000"/>
        </w:rPr>
        <w:t>七、一般公共预算财政拨款支出决算明细表</w:t>
      </w:r>
      <w:bookmarkEnd w:id="85"/>
    </w:p>
    <w:p w14:paraId="672B9B4D">
      <w:pPr>
        <w:pStyle w:val="6"/>
        <w:ind w:firstLine="643" w:firstLineChars="200"/>
        <w:rPr>
          <w:rFonts w:hint="eastAsia" w:ascii="思源黑体 CN Normal" w:hAnsi="思源黑体 CN Normal" w:eastAsia="思源黑体 CN Normal" w:cs="思源黑体 CN Normal"/>
          <w:bCs w:val="0"/>
          <w:color w:val="000000"/>
        </w:rPr>
      </w:pPr>
      <w:bookmarkStart w:id="86" w:name="_Toc9110"/>
      <w:r>
        <w:rPr>
          <w:rFonts w:hint="eastAsia" w:ascii="思源黑体 CN Normal" w:hAnsi="思源黑体 CN Normal" w:eastAsia="思源黑体 CN Normal" w:cs="思源黑体 CN Normal"/>
          <w:bCs w:val="0"/>
          <w:color w:val="000000"/>
        </w:rPr>
        <w:t>八、一般公共预算财政拨款基本支出决算表</w:t>
      </w:r>
      <w:bookmarkEnd w:id="86"/>
    </w:p>
    <w:p w14:paraId="2002A273">
      <w:pPr>
        <w:pStyle w:val="6"/>
        <w:ind w:firstLine="643" w:firstLineChars="200"/>
        <w:rPr>
          <w:rFonts w:hint="eastAsia" w:ascii="思源黑体 CN Normal" w:hAnsi="思源黑体 CN Normal" w:eastAsia="思源黑体 CN Normal" w:cs="思源黑体 CN Normal"/>
          <w:bCs w:val="0"/>
          <w:color w:val="000000"/>
        </w:rPr>
      </w:pPr>
      <w:bookmarkStart w:id="87" w:name="_Toc28582"/>
      <w:r>
        <w:rPr>
          <w:rFonts w:hint="eastAsia" w:ascii="思源黑体 CN Normal" w:hAnsi="思源黑体 CN Normal" w:eastAsia="思源黑体 CN Normal" w:cs="思源黑体 CN Normal"/>
          <w:bCs w:val="0"/>
          <w:color w:val="000000"/>
        </w:rPr>
        <w:t>九、一般公共预算财政拨款项目支出决算表</w:t>
      </w:r>
      <w:bookmarkEnd w:id="87"/>
    </w:p>
    <w:p w14:paraId="0A36D281">
      <w:pPr>
        <w:pStyle w:val="6"/>
        <w:ind w:firstLine="643" w:firstLineChars="200"/>
        <w:rPr>
          <w:rFonts w:hint="eastAsia" w:ascii="思源黑体 CN Normal" w:hAnsi="思源黑体 CN Normal" w:eastAsia="思源黑体 CN Normal" w:cs="思源黑体 CN Normal"/>
          <w:bCs w:val="0"/>
          <w:color w:val="000000"/>
        </w:rPr>
      </w:pPr>
      <w:bookmarkStart w:id="88" w:name="_Toc22001"/>
      <w:r>
        <w:rPr>
          <w:rFonts w:hint="eastAsia" w:ascii="思源黑体 CN Normal" w:hAnsi="思源黑体 CN Normal" w:eastAsia="思源黑体 CN Normal" w:cs="思源黑体 CN Normal"/>
          <w:bCs w:val="0"/>
          <w:color w:val="000000"/>
        </w:rPr>
        <w:t>十、政府性基金预算财政拨款收入支出决算表</w:t>
      </w:r>
      <w:bookmarkEnd w:id="88"/>
    </w:p>
    <w:p w14:paraId="0BD12BAB">
      <w:pPr>
        <w:pStyle w:val="6"/>
        <w:ind w:firstLine="643" w:firstLineChars="200"/>
        <w:rPr>
          <w:rFonts w:hint="eastAsia" w:ascii="思源黑体 CN Normal" w:hAnsi="思源黑体 CN Normal" w:eastAsia="思源黑体 CN Normal" w:cs="思源黑体 CN Normal"/>
          <w:bCs w:val="0"/>
          <w:color w:val="000000"/>
        </w:rPr>
      </w:pPr>
      <w:bookmarkStart w:id="89" w:name="_Toc6538"/>
      <w:r>
        <w:rPr>
          <w:rFonts w:hint="eastAsia" w:ascii="思源黑体 CN Normal" w:hAnsi="思源黑体 CN Normal" w:eastAsia="思源黑体 CN Normal" w:cs="思源黑体 CN Normal"/>
          <w:bCs w:val="0"/>
          <w:color w:val="000000"/>
        </w:rPr>
        <w:t>十一、国有资本经营预算财政拨款收入支出决算表</w:t>
      </w:r>
      <w:bookmarkEnd w:id="89"/>
    </w:p>
    <w:p w14:paraId="124CF2DF">
      <w:pPr>
        <w:pStyle w:val="6"/>
        <w:ind w:firstLine="643" w:firstLineChars="200"/>
        <w:rPr>
          <w:rFonts w:hint="eastAsia" w:ascii="思源黑体 CN Normal" w:hAnsi="思源黑体 CN Normal" w:eastAsia="思源黑体 CN Normal" w:cs="思源黑体 CN Normal"/>
          <w:bCs w:val="0"/>
          <w:color w:val="000000"/>
        </w:rPr>
      </w:pPr>
      <w:bookmarkStart w:id="90" w:name="_Toc10625"/>
      <w:r>
        <w:rPr>
          <w:rFonts w:hint="eastAsia" w:ascii="思源黑体 CN Normal" w:hAnsi="思源黑体 CN Normal" w:eastAsia="思源黑体 CN Normal" w:cs="思源黑体 CN Normal"/>
          <w:bCs w:val="0"/>
          <w:color w:val="000000"/>
        </w:rPr>
        <w:t>十二、国有资本经营预算财政拨款支出决算表</w:t>
      </w:r>
      <w:bookmarkEnd w:id="90"/>
    </w:p>
    <w:p w14:paraId="39A925A5">
      <w:pPr>
        <w:pStyle w:val="6"/>
        <w:ind w:firstLine="643" w:firstLineChars="200"/>
        <w:rPr>
          <w:rFonts w:hint="eastAsia" w:ascii="思源黑体 CN Normal" w:hAnsi="思源黑体 CN Normal" w:eastAsia="思源黑体 CN Normal" w:cs="思源黑体 CN Normal"/>
          <w:b w:val="0"/>
          <w:color w:val="000000"/>
        </w:rPr>
      </w:pPr>
      <w:bookmarkStart w:id="91" w:name="_Toc28356"/>
      <w:r>
        <w:rPr>
          <w:rFonts w:hint="eastAsia" w:ascii="思源黑体 CN Normal" w:hAnsi="思源黑体 CN Normal" w:eastAsia="思源黑体 CN Normal" w:cs="思源黑体 CN Normal"/>
          <w:bCs w:val="0"/>
          <w:color w:val="000000"/>
        </w:rPr>
        <w:t>十三、财政拨款“三公”经费支出决算表</w:t>
      </w:r>
      <w:bookmarkEnd w:id="9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E0FF7B9">
        <w:pPr>
          <w:pStyle w:val="13"/>
          <w:jc w:val="center"/>
        </w:pPr>
        <w:r>
          <w:fldChar w:fldCharType="begin"/>
        </w:r>
        <w:r>
          <w:instrText xml:space="preserve">PAGE   \* MERGEFORMAT</w:instrText>
        </w:r>
        <w:r>
          <w:fldChar w:fldCharType="separate"/>
        </w:r>
        <w:r>
          <w:rPr>
            <w:lang w:val="zh-CN"/>
          </w:rPr>
          <w:t>4</w:t>
        </w:r>
        <w:r>
          <w:fldChar w:fldCharType="end"/>
        </w:r>
      </w:p>
    </w:sdtContent>
  </w:sdt>
  <w:p w14:paraId="4009213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jk0YjczNGYyYmM2YzZlMDdkNWQ4MTg0ZTE4ZTY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5647CC"/>
    <w:rsid w:val="0463543B"/>
    <w:rsid w:val="048D6B52"/>
    <w:rsid w:val="04A56E6E"/>
    <w:rsid w:val="04D45254"/>
    <w:rsid w:val="04D550AF"/>
    <w:rsid w:val="051A6F96"/>
    <w:rsid w:val="05C25E8C"/>
    <w:rsid w:val="065A1D10"/>
    <w:rsid w:val="06951176"/>
    <w:rsid w:val="07001BE1"/>
    <w:rsid w:val="07267DE7"/>
    <w:rsid w:val="088F55D5"/>
    <w:rsid w:val="089C4B49"/>
    <w:rsid w:val="09081517"/>
    <w:rsid w:val="090C37B7"/>
    <w:rsid w:val="091B747D"/>
    <w:rsid w:val="09A572B6"/>
    <w:rsid w:val="0A19737C"/>
    <w:rsid w:val="0B7218AA"/>
    <w:rsid w:val="0B99373B"/>
    <w:rsid w:val="0BA37CB5"/>
    <w:rsid w:val="0D0429D6"/>
    <w:rsid w:val="0D093B48"/>
    <w:rsid w:val="0D322E51"/>
    <w:rsid w:val="0D6C338E"/>
    <w:rsid w:val="0DB37F58"/>
    <w:rsid w:val="0E6D2010"/>
    <w:rsid w:val="0F5E6610"/>
    <w:rsid w:val="0FB52B86"/>
    <w:rsid w:val="0FDB629D"/>
    <w:rsid w:val="0FFD0B0D"/>
    <w:rsid w:val="103747CF"/>
    <w:rsid w:val="10C055FF"/>
    <w:rsid w:val="116A6D7C"/>
    <w:rsid w:val="11761AF6"/>
    <w:rsid w:val="11851C0B"/>
    <w:rsid w:val="11D56DF6"/>
    <w:rsid w:val="11ED6591"/>
    <w:rsid w:val="13367661"/>
    <w:rsid w:val="14D728AA"/>
    <w:rsid w:val="15F1786F"/>
    <w:rsid w:val="16BB723D"/>
    <w:rsid w:val="17283764"/>
    <w:rsid w:val="17BC7656"/>
    <w:rsid w:val="17EA348C"/>
    <w:rsid w:val="1840212F"/>
    <w:rsid w:val="184656CF"/>
    <w:rsid w:val="193C261A"/>
    <w:rsid w:val="19934117"/>
    <w:rsid w:val="19943114"/>
    <w:rsid w:val="19DE22C0"/>
    <w:rsid w:val="19F921B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2857975"/>
    <w:rsid w:val="23902475"/>
    <w:rsid w:val="23FA0B3C"/>
    <w:rsid w:val="240371BF"/>
    <w:rsid w:val="2435534E"/>
    <w:rsid w:val="24534F10"/>
    <w:rsid w:val="24DF6C66"/>
    <w:rsid w:val="253D03DB"/>
    <w:rsid w:val="253F66D1"/>
    <w:rsid w:val="25A20B86"/>
    <w:rsid w:val="25B1070F"/>
    <w:rsid w:val="25DD571A"/>
    <w:rsid w:val="265C1D1F"/>
    <w:rsid w:val="26BB36DB"/>
    <w:rsid w:val="271C5A93"/>
    <w:rsid w:val="276F1834"/>
    <w:rsid w:val="27B459F9"/>
    <w:rsid w:val="27C51E91"/>
    <w:rsid w:val="280173B2"/>
    <w:rsid w:val="28513369"/>
    <w:rsid w:val="28BF6D42"/>
    <w:rsid w:val="28C822A0"/>
    <w:rsid w:val="28F20637"/>
    <w:rsid w:val="292E058E"/>
    <w:rsid w:val="29FD04D3"/>
    <w:rsid w:val="2B190DD8"/>
    <w:rsid w:val="2C1E1BB4"/>
    <w:rsid w:val="2CAE1BBE"/>
    <w:rsid w:val="2CCF04B2"/>
    <w:rsid w:val="2DF079DB"/>
    <w:rsid w:val="2E4C04E0"/>
    <w:rsid w:val="2E67588F"/>
    <w:rsid w:val="2F803D16"/>
    <w:rsid w:val="2FF22B1D"/>
    <w:rsid w:val="30CB71E3"/>
    <w:rsid w:val="30E36C85"/>
    <w:rsid w:val="31810DA9"/>
    <w:rsid w:val="31903F88"/>
    <w:rsid w:val="319F7F4E"/>
    <w:rsid w:val="32004B5E"/>
    <w:rsid w:val="323A1C2F"/>
    <w:rsid w:val="329448A6"/>
    <w:rsid w:val="32BD54F9"/>
    <w:rsid w:val="32F45598"/>
    <w:rsid w:val="33204932"/>
    <w:rsid w:val="33447C07"/>
    <w:rsid w:val="35244754"/>
    <w:rsid w:val="364D41F6"/>
    <w:rsid w:val="36FD0156"/>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DE36A6A"/>
    <w:rsid w:val="3E03620E"/>
    <w:rsid w:val="3E343C22"/>
    <w:rsid w:val="3F512FA9"/>
    <w:rsid w:val="3F7C601F"/>
    <w:rsid w:val="3FAC4683"/>
    <w:rsid w:val="3FEA5DFB"/>
    <w:rsid w:val="401C35B7"/>
    <w:rsid w:val="4119235A"/>
    <w:rsid w:val="41677310"/>
    <w:rsid w:val="422C2C46"/>
    <w:rsid w:val="4251506E"/>
    <w:rsid w:val="42B75819"/>
    <w:rsid w:val="43684120"/>
    <w:rsid w:val="444F07DA"/>
    <w:rsid w:val="44601E28"/>
    <w:rsid w:val="45153AE8"/>
    <w:rsid w:val="468E3055"/>
    <w:rsid w:val="472E4611"/>
    <w:rsid w:val="475E72DC"/>
    <w:rsid w:val="47F514AF"/>
    <w:rsid w:val="4839282C"/>
    <w:rsid w:val="48FD75BD"/>
    <w:rsid w:val="49243056"/>
    <w:rsid w:val="494C4A06"/>
    <w:rsid w:val="4A113668"/>
    <w:rsid w:val="4A745623"/>
    <w:rsid w:val="4B187071"/>
    <w:rsid w:val="4B2B2DCB"/>
    <w:rsid w:val="4B6A5BC2"/>
    <w:rsid w:val="4C7555EC"/>
    <w:rsid w:val="4D135D42"/>
    <w:rsid w:val="4D846266"/>
    <w:rsid w:val="4D8D78A2"/>
    <w:rsid w:val="4DF123A8"/>
    <w:rsid w:val="4E290981"/>
    <w:rsid w:val="4E3C6BD2"/>
    <w:rsid w:val="4E832A53"/>
    <w:rsid w:val="4E9E44C2"/>
    <w:rsid w:val="4EBC1A30"/>
    <w:rsid w:val="4F3B530F"/>
    <w:rsid w:val="4F6F7A34"/>
    <w:rsid w:val="4FD74194"/>
    <w:rsid w:val="4FDA49F5"/>
    <w:rsid w:val="50AE413E"/>
    <w:rsid w:val="51912F44"/>
    <w:rsid w:val="51E1640E"/>
    <w:rsid w:val="51EE42CA"/>
    <w:rsid w:val="52195E38"/>
    <w:rsid w:val="52302EF2"/>
    <w:rsid w:val="52ED6284"/>
    <w:rsid w:val="5322283B"/>
    <w:rsid w:val="532B0C13"/>
    <w:rsid w:val="53BA6F17"/>
    <w:rsid w:val="53BE2B80"/>
    <w:rsid w:val="541505F1"/>
    <w:rsid w:val="54992FD0"/>
    <w:rsid w:val="55872E29"/>
    <w:rsid w:val="56D0674C"/>
    <w:rsid w:val="57D23F06"/>
    <w:rsid w:val="58BA52C3"/>
    <w:rsid w:val="58BC5D23"/>
    <w:rsid w:val="59E040FC"/>
    <w:rsid w:val="59E11CD3"/>
    <w:rsid w:val="5A857BDE"/>
    <w:rsid w:val="5AC04BB9"/>
    <w:rsid w:val="5B2A4567"/>
    <w:rsid w:val="5BE202EA"/>
    <w:rsid w:val="5CE95B0C"/>
    <w:rsid w:val="5CFA7F1D"/>
    <w:rsid w:val="5D577E65"/>
    <w:rsid w:val="5D6F6B2F"/>
    <w:rsid w:val="5E2506F8"/>
    <w:rsid w:val="5E5E7F75"/>
    <w:rsid w:val="5EA316D6"/>
    <w:rsid w:val="5ECE1AC8"/>
    <w:rsid w:val="5EF556B7"/>
    <w:rsid w:val="5F3A07D2"/>
    <w:rsid w:val="5F593A88"/>
    <w:rsid w:val="5FF901AE"/>
    <w:rsid w:val="60651EAC"/>
    <w:rsid w:val="60BB3927"/>
    <w:rsid w:val="6200749A"/>
    <w:rsid w:val="620F0B35"/>
    <w:rsid w:val="6240022D"/>
    <w:rsid w:val="62A42EE2"/>
    <w:rsid w:val="62F14F12"/>
    <w:rsid w:val="630D013F"/>
    <w:rsid w:val="63347FC4"/>
    <w:rsid w:val="63604CB9"/>
    <w:rsid w:val="64A36D0B"/>
    <w:rsid w:val="64C656C1"/>
    <w:rsid w:val="64F77166"/>
    <w:rsid w:val="652B24B6"/>
    <w:rsid w:val="657F4183"/>
    <w:rsid w:val="658466A7"/>
    <w:rsid w:val="6596487B"/>
    <w:rsid w:val="65DF63C9"/>
    <w:rsid w:val="662A7F2C"/>
    <w:rsid w:val="66627873"/>
    <w:rsid w:val="66D65FFA"/>
    <w:rsid w:val="67C24194"/>
    <w:rsid w:val="67EB36EB"/>
    <w:rsid w:val="68DA2DB6"/>
    <w:rsid w:val="69725134"/>
    <w:rsid w:val="6B4666B6"/>
    <w:rsid w:val="6CC85DA9"/>
    <w:rsid w:val="6D2A5F93"/>
    <w:rsid w:val="6D8F2D6B"/>
    <w:rsid w:val="6DB91990"/>
    <w:rsid w:val="6DC31436"/>
    <w:rsid w:val="6E6F4E2B"/>
    <w:rsid w:val="6ECB49CF"/>
    <w:rsid w:val="6ECB5A2B"/>
    <w:rsid w:val="6F725CC4"/>
    <w:rsid w:val="6F806E0F"/>
    <w:rsid w:val="70202A42"/>
    <w:rsid w:val="70ED3F4C"/>
    <w:rsid w:val="72227D09"/>
    <w:rsid w:val="72E476B5"/>
    <w:rsid w:val="72F22338"/>
    <w:rsid w:val="733572FD"/>
    <w:rsid w:val="73BE3A62"/>
    <w:rsid w:val="746C7E4B"/>
    <w:rsid w:val="750E6C6B"/>
    <w:rsid w:val="755E374E"/>
    <w:rsid w:val="75B310E7"/>
    <w:rsid w:val="75B318F4"/>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unhideWhenUsed/>
    <w:qFormat/>
    <w:uiPriority w:val="99"/>
    <w:pPr>
      <w:ind w:firstLine="680"/>
    </w:pPr>
  </w:style>
  <w:style w:type="paragraph" w:styleId="9">
    <w:name w:val="annotation text"/>
    <w:basedOn w:val="1"/>
    <w:semiHidden/>
    <w:unhideWhenUsed/>
    <w:qFormat/>
    <w:uiPriority w:val="99"/>
    <w:pPr>
      <w:jc w:val="left"/>
    </w:pPr>
  </w:style>
  <w:style w:type="paragraph" w:styleId="10">
    <w:name w:val="Body Text"/>
    <w:basedOn w:val="1"/>
    <w:link w:val="30"/>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3"/>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10"/>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5"/>
    <w:qFormat/>
    <w:uiPriority w:val="9"/>
    <w:rPr>
      <w:rFonts w:ascii="Times New Roman" w:hAnsi="Times New Roman"/>
      <w:b/>
      <w:bCs/>
      <w:kern w:val="44"/>
      <w:sz w:val="44"/>
      <w:szCs w:val="44"/>
    </w:rPr>
  </w:style>
  <w:style w:type="character" w:customStyle="1" w:styleId="33">
    <w:name w:val="标题 2 字符"/>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2"/>
    <w:autoRedefine/>
    <w:semiHidden/>
    <w:qFormat/>
    <w:uiPriority w:val="99"/>
    <w:rPr>
      <w:rFonts w:ascii="Times New Roman" w:hAnsi="Times New Roman"/>
      <w:kern w:val="2"/>
      <w:sz w:val="18"/>
      <w:szCs w:val="18"/>
    </w:rPr>
  </w:style>
  <w:style w:type="character" w:customStyle="1" w:styleId="36">
    <w:name w:val="标题 3 字符"/>
    <w:basedOn w:val="20"/>
    <w:link w:val="7"/>
    <w:autoRedefine/>
    <w:qFormat/>
    <w:uiPriority w:val="9"/>
    <w:rPr>
      <w:rFonts w:ascii="Times New Roman" w:hAnsi="Times New Roman"/>
      <w:b/>
      <w:bCs/>
      <w:kern w:val="2"/>
      <w:sz w:val="32"/>
      <w:szCs w:val="32"/>
    </w:rPr>
  </w:style>
  <w:style w:type="character" w:customStyle="1" w:styleId="37">
    <w:name w:val="text-tag"/>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收入支出决算总计变动图</a:t>
            </a:r>
          </a:p>
        </c:rich>
      </c:tx>
      <c:layout/>
      <c:overlay val="0"/>
      <c:spPr>
        <a:noFill/>
        <a:ln>
          <a:noFill/>
        </a:ln>
        <a:effectLst/>
      </c:spPr>
    </c:title>
    <c:autoTitleDeleted val="0"/>
    <c:plotArea>
      <c:layout/>
      <c:pieChart>
        <c:varyColors val="1"/>
        <c:ser>
          <c:idx val="0"/>
          <c:order val="0"/>
          <c:tx>
            <c:strRef>
              <c:f>Sheet1!$B$1</c:f>
              <c:strCache>
                <c:ptCount val="1"/>
                <c:pt idx="0">
                  <c:v>收入支出表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2022年</c:v>
                </c:pt>
                <c:pt idx="1">
                  <c:v>2023年</c:v>
                </c:pt>
              </c:strCache>
            </c:strRef>
          </c:cat>
          <c:val>
            <c:numRef>
              <c:f>Sheet1!$B$2:$B$3</c:f>
              <c:numCache>
                <c:formatCode>General</c:formatCode>
                <c:ptCount val="2"/>
                <c:pt idx="0">
                  <c:v>78.73</c:v>
                </c:pt>
                <c:pt idx="1">
                  <c:v>92.91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bdd42e-bc3d-4f7f-bd33-b8eea0c496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收入决算图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2023年收入</c:v>
                </c:pt>
              </c:strCache>
            </c:strRef>
          </c:cat>
          <c:val>
            <c:numRef>
              <c:f>Sheet1!$B$2</c:f>
              <c:numCache>
                <c:formatCode>General</c:formatCode>
                <c:ptCount val="1"/>
                <c:pt idx="0">
                  <c:v>92.91</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e99b510d-3117-4ec4-8f07-680cf881e087}"/>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{97.4}</c:f>
              <c:numCache>
                <c:formatCode>General</c:formatCode>
                <c:ptCount val="1"/>
                <c:pt idx="0">
                  <c:v>97.4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0d5ba4d7-7780-4731-8724-66d3c0bf9a0e}"/>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74.71</c:v>
                </c:pt>
                <c:pt idx="1">
                  <c:v>92.91</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Sheet1!$D$2:$D$3</c:f>
              <c:numCache>
                <c:formatCode>General</c:formatCode>
                <c:ptCount val="2"/>
              </c:numCache>
            </c:numRef>
          </c:val>
        </c:ser>
        <c:dLbls>
          <c:showLegendKey val="0"/>
          <c:showVal val="0"/>
          <c:showCatName val="0"/>
          <c:showSerName val="0"/>
          <c:showPercent val="0"/>
          <c:showBubbleSize val="0"/>
        </c:dLbls>
        <c:gapWidth val="246"/>
        <c:overlap val="-28"/>
        <c:axId val="99015923"/>
        <c:axId val="587590362"/>
      </c:barChart>
      <c:catAx>
        <c:axId val="990159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590362"/>
        <c:crosses val="autoZero"/>
        <c:auto val="1"/>
        <c:lblAlgn val="ctr"/>
        <c:lblOffset val="100"/>
        <c:noMultiLvlLbl val="0"/>
      </c:catAx>
      <c:valAx>
        <c:axId val="58759036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01592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742df1-4b2d-4c94-bc55-0198b5b4e4a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一般公共预算财政拨款支出决算变动</a:t>
            </a:r>
          </a:p>
        </c:rich>
      </c:tx>
      <c:layout>
        <c:manualLayout>
          <c:xMode val="edge"/>
          <c:yMode val="edge"/>
          <c:x val="0.233993718289442"/>
          <c:y val="0.0361240968975776"/>
        </c:manualLayout>
      </c:layout>
      <c:overlay val="0"/>
      <c:spPr>
        <a:noFill/>
        <a:ln>
          <a:noFill/>
        </a:ln>
        <a:effectLst/>
      </c:spPr>
    </c:title>
    <c:autoTitleDeleted val="0"/>
    <c:plotArea>
      <c:layout/>
      <c:pieChart>
        <c:varyColors val="1"/>
        <c:ser>
          <c:idx val="1"/>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74.71</c:v>
                </c:pt>
                <c:pt idx="1">
                  <c:v>92.94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7380a8f0-5af2-4996-a1ac-5b1b65e9dc2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5820</Words>
  <Characters>6263</Characters>
  <Lines>48</Lines>
  <Paragraphs>13</Paragraphs>
  <TotalTime>0</TotalTime>
  <ScaleCrop>false</ScaleCrop>
  <LinksUpToDate>false</LinksUpToDate>
  <CharactersWithSpaces>6342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暖暖か、</cp:lastModifiedBy>
  <cp:lastPrinted>2021-09-26T08:39:00Z</cp:lastPrinted>
  <dcterms:modified xsi:type="dcterms:W3CDTF">2026-02-02T02:04:27Z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1299D18951BE410493814C5A7EEFB11E_13</vt:lpwstr>
  </property>
  <property fmtid="{D5CDD505-2E9C-101B-9397-08002B2CF9AE}" pid="4" name="KSOTemplateDocerSaveRecord">
    <vt:lpwstr>eyJoZGlkIjoiZDAzNjk0YjczNGYyYmM2YzZlMDdkNWQ4MTg0ZTE4ZTYiLCJ1c2VySWQiOiI0MzkwODAyMDEifQ==</vt:lpwstr>
  </property>
</Properties>
</file>