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75" w:name="_GoBack"/>
      <w:bookmarkEnd w:id="75"/>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475"/>
      <w:bookmarkStart w:id="3" w:name="_Toc15396597"/>
      <w:bookmarkStart w:id="4" w:name="_Toc15378441"/>
      <w:bookmarkStart w:id="5" w:name="_Toc15377425"/>
      <w:r>
        <w:rPr>
          <w:rFonts w:ascii="方正小标宋简体" w:hAnsi="黑体" w:eastAsia="方正小标宋简体" w:cs="方正小标宋简体"/>
          <w:color w:val="000000"/>
          <w:sz w:val="44"/>
          <w:szCs w:val="44"/>
        </w:rPr>
        <w:t>2018</w:t>
      </w:r>
      <w:r>
        <w:rPr>
          <w:rFonts w:hint="eastAsia" w:ascii="方正小标宋简体" w:hAnsi="宋体" w:eastAsia="方正小标宋简体" w:cs="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44"/>
          <w:szCs w:val="44"/>
        </w:rPr>
      </w:pPr>
      <w:bookmarkStart w:id="6" w:name="_Toc15377426"/>
      <w:bookmarkStart w:id="7" w:name="_Toc15377194"/>
      <w:bookmarkStart w:id="8" w:name="_Toc15396598"/>
      <w:bookmarkStart w:id="9" w:name="_Toc15396476"/>
      <w:bookmarkStart w:id="10" w:name="_Toc15378442"/>
      <w:r>
        <w:rPr>
          <w:rFonts w:hint="eastAsia" w:ascii="方正小标宋简体" w:hAnsi="宋体" w:eastAsia="方正小标宋简体" w:cs="方正小标宋简体"/>
          <w:color w:val="000000"/>
          <w:sz w:val="44"/>
          <w:szCs w:val="44"/>
        </w:rPr>
        <w:t>四川省</w:t>
      </w:r>
      <w:bookmarkEnd w:id="0"/>
      <w:bookmarkStart w:id="11" w:name="_Toc15306268"/>
      <w:r>
        <w:rPr>
          <w:rFonts w:hint="eastAsia" w:ascii="方正小标宋简体" w:hAnsi="宋体" w:eastAsia="方正小标宋简体" w:cs="方正小标宋简体"/>
          <w:color w:val="000000"/>
          <w:sz w:val="44"/>
          <w:szCs w:val="44"/>
        </w:rPr>
        <w:t>茂县红十字会</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s="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r>
        <w:rPr>
          <w:rFonts w:hint="eastAsia" w:ascii="方正小标宋简体" w:hAnsi="宋体" w:eastAsia="方正小标宋简体" w:cs="方正小标宋简体"/>
          <w:color w:val="000000"/>
          <w:sz w:val="44"/>
          <w:szCs w:val="44"/>
        </w:rPr>
        <w:t>目录</w:t>
      </w:r>
    </w:p>
    <w:p>
      <w:pPr>
        <w:widowControl/>
        <w:jc w:val="center"/>
        <w:rPr>
          <w:rFonts w:ascii="仿宋_GB2312" w:hAnsi="黑体" w:eastAsia="仿宋_GB2312"/>
          <w:sz w:val="32"/>
          <w:szCs w:val="32"/>
        </w:rPr>
      </w:pPr>
      <w:r>
        <w:rPr>
          <w:rFonts w:ascii="仿宋_GB2312" w:hAnsi="黑体" w:eastAsia="仿宋_GB2312" w:cs="仿宋_GB2312"/>
          <w:color w:val="000000"/>
          <w:sz w:val="32"/>
          <w:szCs w:val="32"/>
        </w:rPr>
        <w:fldChar w:fldCharType="begin"/>
      </w:r>
      <w:r>
        <w:rPr>
          <w:rFonts w:ascii="仿宋_GB2312" w:hAnsi="黑体" w:eastAsia="仿宋_GB2312" w:cs="仿宋_GB2312"/>
          <w:color w:val="000000"/>
          <w:sz w:val="32"/>
          <w:szCs w:val="32"/>
        </w:rPr>
        <w:instrText xml:space="preserve"> TOC \o "1-2" \h \z \u </w:instrText>
      </w:r>
      <w:r>
        <w:rPr>
          <w:rFonts w:ascii="仿宋_GB2312" w:hAnsi="黑体" w:eastAsia="仿宋_GB2312" w:cs="仿宋_GB2312"/>
          <w:color w:val="000000"/>
          <w:sz w:val="32"/>
          <w:szCs w:val="32"/>
        </w:rPr>
        <w:fldChar w:fldCharType="separate"/>
      </w:r>
    </w:p>
    <w:p>
      <w:pPr>
        <w:rPr>
          <w:rFonts w:ascii="仿宋_GB2312" w:eastAsia="仿宋_GB2312"/>
          <w:sz w:val="32"/>
          <w:szCs w:val="32"/>
        </w:rPr>
      </w:pPr>
    </w:p>
    <w:p>
      <w:pPr>
        <w:rPr>
          <w:rFonts w:ascii="仿宋_GB2312" w:eastAsia="仿宋_GB2312"/>
          <w:sz w:val="32"/>
          <w:szCs w:val="32"/>
        </w:rPr>
      </w:pPr>
    </w:p>
    <w:p>
      <w:pPr>
        <w:pStyle w:val="11"/>
        <w:rPr>
          <w:rFonts w:ascii="仿宋_GB2312" w:eastAsia="仿宋_GB2312" w:cs="Times New Roman"/>
          <w:sz w:val="32"/>
          <w:szCs w:val="32"/>
        </w:rPr>
      </w:pPr>
      <w:r>
        <w:fldChar w:fldCharType="begin"/>
      </w:r>
      <w:r>
        <w:instrText xml:space="preserve"> HYPERLINK \l "_Toc15396599" </w:instrText>
      </w:r>
      <w:r>
        <w:fldChar w:fldCharType="separate"/>
      </w:r>
      <w:r>
        <w:rPr>
          <w:rStyle w:val="16"/>
          <w:rFonts w:hint="eastAsia" w:ascii="仿宋_GB2312" w:eastAsia="仿宋_GB2312" w:cs="仿宋_GB2312"/>
          <w:sz w:val="32"/>
          <w:szCs w:val="32"/>
        </w:rPr>
        <w:t>第一部分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部门概况</w:t>
      </w:r>
      <w:r>
        <w:rPr>
          <w:rFonts w:ascii="仿宋_GB2312" w:eastAsia="仿宋_GB2312" w:cs="Times New Roman"/>
          <w:sz w:val="32"/>
          <w:szCs w:val="32"/>
        </w:rPr>
        <w:tab/>
      </w:r>
      <w:r>
        <w:rPr>
          <w:rFonts w:ascii="仿宋_GB2312" w:eastAsia="仿宋_GB2312" w:cs="仿宋_GB2312"/>
          <w:sz w:val="32"/>
          <w:szCs w:val="32"/>
        </w:rPr>
        <w:t>4</w:t>
      </w:r>
      <w:r>
        <w:rPr>
          <w:rFonts w:ascii="仿宋_GB2312"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"_Toc15396600" </w:instrText>
      </w:r>
      <w:r>
        <w:fldChar w:fldCharType="separate"/>
      </w:r>
      <w:r>
        <w:rPr>
          <w:rStyle w:val="16"/>
          <w:rFonts w:hint="eastAsia" w:ascii="仿宋_GB2312" w:hAnsi="仿宋" w:eastAsia="仿宋_GB2312" w:cs="仿宋_GB2312"/>
          <w:sz w:val="32"/>
          <w:szCs w:val="32"/>
        </w:rPr>
        <w:t>一、基本职能及主要工作</w:t>
      </w:r>
      <w:r>
        <w:rPr>
          <w:rFonts w:ascii="仿宋_GB2312" w:hAnsi="仿宋" w:eastAsia="仿宋_GB2312"/>
          <w:sz w:val="32"/>
          <w:szCs w:val="32"/>
        </w:rPr>
        <w:tab/>
      </w:r>
      <w:r>
        <w:rPr>
          <w:rFonts w:ascii="仿宋_GB2312" w:hAnsi="仿宋" w:eastAsia="仿宋_GB2312" w:cs="仿宋_GB2312"/>
          <w:sz w:val="32"/>
          <w:szCs w:val="32"/>
        </w:rPr>
        <w:t>4</w:t>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"_Toc15396601" </w:instrText>
      </w:r>
      <w:r>
        <w:fldChar w:fldCharType="separate"/>
      </w:r>
      <w:r>
        <w:rPr>
          <w:rStyle w:val="16"/>
          <w:rFonts w:hint="eastAsia" w:ascii="仿宋_GB2312" w:hAnsi="仿宋" w:eastAsia="仿宋_GB2312" w:cs="仿宋_GB2312"/>
          <w:sz w:val="32"/>
          <w:szCs w:val="32"/>
        </w:rPr>
        <w:t>二、机构设置</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_Toc15396601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5</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1"/>
        <w:rPr>
          <w:rFonts w:ascii="仿宋_GB2312" w:eastAsia="仿宋_GB2312" w:cs="Times New Roman"/>
          <w:sz w:val="32"/>
          <w:szCs w:val="32"/>
        </w:rPr>
      </w:pPr>
      <w:r>
        <w:fldChar w:fldCharType="begin"/>
      </w:r>
      <w:r>
        <w:instrText xml:space="preserve"> HYPERLINK \l "_Toc15396602" </w:instrText>
      </w:r>
      <w:r>
        <w:fldChar w:fldCharType="separate"/>
      </w:r>
      <w:r>
        <w:rPr>
          <w:rStyle w:val="16"/>
          <w:rFonts w:hint="eastAsia" w:ascii="仿宋_GB2312" w:eastAsia="仿宋_GB2312" w:cs="仿宋_GB2312"/>
          <w:sz w:val="32"/>
          <w:szCs w:val="32"/>
        </w:rPr>
        <w:t>第二部分</w:t>
      </w:r>
      <w:r>
        <w:rPr>
          <w:rStyle w:val="16"/>
          <w:rFonts w:ascii="仿宋_GB2312" w:eastAsia="仿宋_GB2312" w:cs="仿宋_GB2312"/>
          <w:sz w:val="32"/>
          <w:szCs w:val="32"/>
        </w:rPr>
        <w:t xml:space="preserve"> 2018</w:t>
      </w:r>
      <w:r>
        <w:rPr>
          <w:rStyle w:val="16"/>
          <w:rFonts w:hint="eastAsia" w:ascii="仿宋_GB2312" w:eastAsia="仿宋_GB2312" w:cs="仿宋_GB2312"/>
          <w:sz w:val="32"/>
          <w:szCs w:val="32"/>
        </w:rPr>
        <w:t>年度部门决算情况说明</w:t>
      </w:r>
      <w:r>
        <w:rPr>
          <w:rFonts w:ascii="仿宋_GB2312" w:eastAsia="仿宋_GB2312" w:cs="Times New Roman"/>
          <w:sz w:val="32"/>
          <w:szCs w:val="32"/>
        </w:rPr>
        <w:tab/>
      </w:r>
      <w:r>
        <w:rPr>
          <w:rFonts w:ascii="仿宋_GB2312" w:eastAsia="仿宋_GB2312" w:cs="仿宋_GB2312"/>
          <w:sz w:val="32"/>
          <w:szCs w:val="32"/>
        </w:rPr>
        <w:fldChar w:fldCharType="begin"/>
      </w:r>
      <w:r>
        <w:rPr>
          <w:rFonts w:ascii="仿宋_GB2312" w:eastAsia="仿宋_GB2312" w:cs="仿宋_GB2312"/>
          <w:sz w:val="32"/>
          <w:szCs w:val="32"/>
        </w:rPr>
        <w:instrText xml:space="preserve"> PAGEREF _Toc15396602 \h </w:instrText>
      </w:r>
      <w:r>
        <w:rPr>
          <w:rFonts w:ascii="仿宋_GB2312" w:eastAsia="仿宋_GB2312" w:cs="仿宋_GB2312"/>
          <w:sz w:val="32"/>
          <w:szCs w:val="32"/>
        </w:rPr>
        <w:fldChar w:fldCharType="separate"/>
      </w:r>
      <w:r>
        <w:rPr>
          <w:rFonts w:ascii="仿宋_GB2312" w:eastAsia="仿宋_GB2312" w:cs="仿宋_GB2312"/>
          <w:sz w:val="32"/>
          <w:szCs w:val="32"/>
        </w:rPr>
        <w:t>6</w:t>
      </w:r>
      <w:r>
        <w:rPr>
          <w:rFonts w:ascii="仿宋_GB2312" w:eastAsia="仿宋_GB2312" w:cs="仿宋_GB2312"/>
          <w:sz w:val="32"/>
          <w:szCs w:val="32"/>
        </w:rPr>
        <w:fldChar w:fldCharType="end"/>
      </w:r>
      <w:r>
        <w:rPr>
          <w:rFonts w:ascii="仿宋_GB2312"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"_Toc15396603" </w:instrText>
      </w:r>
      <w:r>
        <w:fldChar w:fldCharType="separate"/>
      </w:r>
      <w:r>
        <w:rPr>
          <w:rStyle w:val="16"/>
          <w:rFonts w:hint="eastAsia" w:ascii="仿宋_GB2312" w:hAnsi="仿宋" w:eastAsia="仿宋_GB2312" w:cs="仿宋_GB2312"/>
          <w:sz w:val="32"/>
          <w:szCs w:val="32"/>
        </w:rPr>
        <w:t>一、收入支出决算总体情况说明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_Toc15396603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6</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"_Toc15396604" </w:instrText>
      </w:r>
      <w:r>
        <w:fldChar w:fldCharType="separate"/>
      </w:r>
      <w:r>
        <w:rPr>
          <w:rStyle w:val="16"/>
          <w:rFonts w:hint="eastAsia" w:ascii="仿宋_GB2312" w:hAnsi="仿宋" w:eastAsia="仿宋_GB2312" w:cs="仿宋_GB2312"/>
          <w:sz w:val="32"/>
          <w:szCs w:val="32"/>
        </w:rPr>
        <w:t>二、收入决算情况说明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_Toc15396604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6</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"_Toc15396605" </w:instrText>
      </w:r>
      <w:r>
        <w:fldChar w:fldCharType="separate"/>
      </w:r>
      <w:r>
        <w:rPr>
          <w:rStyle w:val="16"/>
          <w:rFonts w:hint="eastAsia" w:ascii="仿宋_GB2312" w:hAnsi="仿宋" w:eastAsia="仿宋_GB2312" w:cs="仿宋_GB2312"/>
          <w:sz w:val="32"/>
          <w:szCs w:val="32"/>
        </w:rPr>
        <w:t>三、支出决算情况说明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_Toc15396605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7</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"_Toc15396606" </w:instrText>
      </w:r>
      <w:r>
        <w:fldChar w:fldCharType="separate"/>
      </w:r>
      <w:r>
        <w:rPr>
          <w:rStyle w:val="16"/>
          <w:rFonts w:hint="eastAsia" w:ascii="仿宋_GB2312" w:hAnsi="仿宋" w:eastAsia="仿宋_GB2312" w:cs="仿宋_GB2312"/>
          <w:sz w:val="32"/>
          <w:szCs w:val="32"/>
        </w:rPr>
        <w:t>四、财政拨款收入支出决算总体情况说明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_Toc15396606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8</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"_Toc15396607" </w:instrText>
      </w:r>
      <w:r>
        <w:fldChar w:fldCharType="separate"/>
      </w:r>
      <w:r>
        <w:rPr>
          <w:rStyle w:val="16"/>
          <w:rFonts w:hint="eastAsia" w:ascii="仿宋_GB2312" w:hAnsi="仿宋" w:eastAsia="仿宋_GB2312" w:cs="仿宋_GB2312"/>
          <w:sz w:val="32"/>
          <w:szCs w:val="32"/>
        </w:rPr>
        <w:t>五、一般公共预算财政拨款支出决算情况说明</w:t>
      </w:r>
      <w:r>
        <w:rPr>
          <w:rFonts w:ascii="仿宋_GB2312" w:hAnsi="仿宋" w:eastAsia="仿宋_GB2312"/>
          <w:sz w:val="32"/>
          <w:szCs w:val="32"/>
        </w:rPr>
        <w:tab/>
      </w:r>
      <w:r>
        <w:rPr>
          <w:rFonts w:ascii="仿宋_GB2312" w:hAnsi="仿宋" w:eastAsia="仿宋_GB2312" w:cs="仿宋_GB2312"/>
          <w:sz w:val="32"/>
          <w:szCs w:val="32"/>
        </w:rPr>
        <w:t>8</w:t>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"_Toc15396608" </w:instrText>
      </w:r>
      <w:r>
        <w:fldChar w:fldCharType="separate"/>
      </w:r>
      <w:r>
        <w:rPr>
          <w:rStyle w:val="16"/>
          <w:rFonts w:hint="eastAsia" w:ascii="仿宋_GB2312" w:hAnsi="仿宋" w:eastAsia="仿宋_GB2312" w:cs="仿宋_GB2312"/>
          <w:sz w:val="32"/>
          <w:szCs w:val="32"/>
        </w:rPr>
        <w:t>六、一般公共预算财政拨款基本支出决算情况说明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_Toc15396608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10</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"_Toc15396609" </w:instrText>
      </w:r>
      <w:r>
        <w:fldChar w:fldCharType="separate"/>
      </w:r>
      <w:r>
        <w:rPr>
          <w:rStyle w:val="16"/>
          <w:rFonts w:hint="eastAsia" w:ascii="仿宋_GB2312" w:hAnsi="仿宋" w:eastAsia="仿宋_GB2312" w:cs="仿宋_GB2312"/>
          <w:sz w:val="32"/>
          <w:szCs w:val="32"/>
        </w:rPr>
        <w:t>七、“三公”经费财政拨款支出决算情况说明</w:t>
      </w:r>
      <w:r>
        <w:rPr>
          <w:rFonts w:ascii="仿宋_GB2312" w:hAnsi="仿宋" w:eastAsia="仿宋_GB2312"/>
          <w:sz w:val="32"/>
          <w:szCs w:val="32"/>
        </w:rPr>
        <w:tab/>
      </w:r>
      <w:r>
        <w:rPr>
          <w:rFonts w:ascii="仿宋_GB2312" w:hAnsi="仿宋" w:eastAsia="仿宋_GB2312" w:cs="仿宋_GB2312"/>
          <w:sz w:val="32"/>
          <w:szCs w:val="32"/>
        </w:rPr>
        <w:fldChar w:fldCharType="begin"/>
      </w:r>
      <w:r>
        <w:rPr>
          <w:rFonts w:ascii="仿宋_GB2312" w:hAnsi="仿宋" w:eastAsia="仿宋_GB2312" w:cs="仿宋_GB2312"/>
          <w:sz w:val="32"/>
          <w:szCs w:val="32"/>
        </w:rPr>
        <w:instrText xml:space="preserve"> PAGEREF _Toc15396609 \h </w:instrText>
      </w:r>
      <w:r>
        <w:rPr>
          <w:rFonts w:ascii="仿宋_GB2312" w:hAnsi="仿宋" w:eastAsia="仿宋_GB2312" w:cs="仿宋_GB2312"/>
          <w:sz w:val="32"/>
          <w:szCs w:val="32"/>
        </w:rPr>
        <w:fldChar w:fldCharType="separate"/>
      </w:r>
      <w:r>
        <w:rPr>
          <w:rFonts w:ascii="仿宋_GB2312" w:hAnsi="仿宋" w:eastAsia="仿宋_GB2312" w:cs="仿宋_GB2312"/>
          <w:sz w:val="32"/>
          <w:szCs w:val="32"/>
        </w:rPr>
        <w:t>11</w:t>
      </w:r>
      <w:r>
        <w:rPr>
          <w:rFonts w:ascii="仿宋_GB2312" w:hAnsi="仿宋" w:eastAsia="仿宋_GB2312" w:cs="仿宋_GB2312"/>
          <w:sz w:val="32"/>
          <w:szCs w:val="32"/>
        </w:rPr>
        <w:fldChar w:fldCharType="end"/>
      </w:r>
      <w:r>
        <w:rPr>
          <w:rFonts w:ascii="仿宋_GB2312" w:hAnsi="仿宋" w:eastAsia="仿宋_GB2312" w:cs="仿宋_GB2312"/>
          <w:sz w:val="32"/>
          <w:szCs w:val="32"/>
        </w:rPr>
        <w:fldChar w:fldCharType="end"/>
      </w:r>
    </w:p>
    <w:p>
      <w:pPr>
        <w:pStyle w:val="12"/>
        <w:rPr>
          <w:rFonts w:ascii="仿宋_GB2312" w:hAnsi="仿宋" w:eastAsia="仿宋_GB2312"/>
          <w:sz w:val="32"/>
          <w:szCs w:val="32"/>
        </w:rPr>
      </w:pPr>
      <w:r>
        <w:fldChar w:fldCharType="begin"/>
      </w:r>
      <w:r>
        <w:instrText xml:space="preserve"> HYPERLINK \l "_Toc15396610" </w:instrText>
      </w:r>
      <w:r>
        <w:fldChar w:fldCharType="separate"/>
      </w:r>
      <w:r>
        <w:rPr>
          <w:rStyle w:val="16"/>
          <w:rFonts w:hint="eastAsia" w:ascii="仿宋_GB2312" w:hAnsi="仿宋" w:eastAsia="仿宋_GB2312" w:cs="仿宋_GB2312"/>
          <w:sz w:val="32"/>
          <w:szCs w:val="32"/>
        </w:rPr>
        <w:t>八、政府性基金预算支出决算情况说明</w:t>
      </w:r>
      <w:r>
        <w:rPr>
          <w:rFonts w:ascii="仿宋_GB2312" w:hAnsi="仿宋" w:eastAsia="仿宋_GB2312"/>
          <w:sz w:val="32"/>
          <w:szCs w:val="32"/>
        </w:rPr>
        <w:tab/>
      </w:r>
      <w:r>
        <w:rPr>
          <w:rFonts w:ascii="仿宋_GB2312" w:hAnsi="仿宋" w:eastAsia="仿宋_GB2312" w:cs="仿宋_GB2312"/>
          <w:sz w:val="32"/>
          <w:szCs w:val="32"/>
        </w:rPr>
        <w:t>13</w:t>
      </w:r>
      <w:r>
        <w:rPr>
          <w:rFonts w:ascii="仿宋_GB2312" w:hAnsi="仿宋" w:eastAsia="仿宋_GB2312" w:cs="仿宋_GB2312"/>
          <w:sz w:val="32"/>
          <w:szCs w:val="32"/>
        </w:rPr>
        <w:fldChar w:fldCharType="end"/>
      </w:r>
    </w:p>
    <w:p>
      <w:pPr>
        <w:pStyle w:val="12"/>
        <w:rPr>
          <w:rFonts w:ascii="仿宋_GB2312" w:eastAsia="仿宋_GB2312"/>
          <w:sz w:val="32"/>
          <w:szCs w:val="32"/>
        </w:rPr>
      </w:pPr>
      <w:r>
        <w:fldChar w:fldCharType="begin"/>
      </w:r>
      <w:r>
        <w:instrText xml:space="preserve"> HYPERLINK \l "_Toc15396611" </w:instrText>
      </w:r>
      <w:r>
        <w:fldChar w:fldCharType="separate"/>
      </w:r>
      <w:r>
        <w:rPr>
          <w:rStyle w:val="16"/>
          <w:rFonts w:hint="eastAsia" w:ascii="仿宋_GB2312" w:hAnsi="仿宋" w:eastAsia="仿宋_GB2312" w:cs="仿宋_GB2312"/>
          <w:sz w:val="32"/>
          <w:szCs w:val="32"/>
        </w:rPr>
        <w:t>九、</w:t>
      </w:r>
      <w:r>
        <w:rPr>
          <w:rStyle w:val="16"/>
          <w:rFonts w:ascii="仿宋_GB2312" w:hAnsi="仿宋" w:eastAsia="仿宋_GB2312" w:cs="仿宋_GB2312"/>
          <w:sz w:val="32"/>
          <w:szCs w:val="32"/>
        </w:rPr>
        <w:t xml:space="preserve"> </w:t>
      </w:r>
      <w:r>
        <w:rPr>
          <w:rStyle w:val="16"/>
          <w:rFonts w:hint="eastAsia" w:ascii="仿宋_GB2312" w:hAnsi="仿宋" w:eastAsia="仿宋_GB2312" w:cs="仿宋_GB2312"/>
          <w:sz w:val="32"/>
          <w:szCs w:val="32"/>
        </w:rPr>
        <w:t>国有资本经营预算支出决算情况说明</w:t>
      </w:r>
      <w:r>
        <w:rPr>
          <w:rFonts w:ascii="仿宋_GB2312" w:hAnsi="仿宋" w:eastAsia="仿宋_GB2312"/>
          <w:sz w:val="32"/>
          <w:szCs w:val="32"/>
        </w:rPr>
        <w:tab/>
      </w:r>
      <w:r>
        <w:rPr>
          <w:rFonts w:ascii="仿宋_GB2312" w:hAnsi="仿宋" w:eastAsia="仿宋_GB2312" w:cs="仿宋_GB2312"/>
          <w:sz w:val="32"/>
          <w:szCs w:val="32"/>
        </w:rPr>
        <w:t>13</w:t>
      </w:r>
      <w:r>
        <w:rPr>
          <w:rFonts w:ascii="仿宋_GB2312" w:hAnsi="仿宋" w:eastAsia="仿宋_GB2312" w:cs="仿宋_GB2312"/>
          <w:sz w:val="32"/>
          <w:szCs w:val="32"/>
        </w:rPr>
        <w:fldChar w:fldCharType="end"/>
      </w:r>
    </w:p>
    <w:p>
      <w:pPr>
        <w:pStyle w:val="12"/>
        <w:rPr>
          <w:rFonts w:ascii="仿宋_GB2312" w:hAnsi="仿宋" w:eastAsia="仿宋_GB2312" w:cs="仿宋_GB2312"/>
          <w:sz w:val="32"/>
          <w:szCs w:val="32"/>
        </w:rPr>
      </w:pPr>
      <w:r>
        <w:rPr>
          <w:rFonts w:hint="eastAsia" w:ascii="仿宋_GB2312" w:hAnsi="仿宋" w:eastAsia="仿宋_GB2312" w:cs="仿宋_GB2312"/>
          <w:sz w:val="32"/>
          <w:szCs w:val="32"/>
        </w:rPr>
        <w:t>十、预算绩效情况说明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3</w:t>
      </w:r>
    </w:p>
    <w:p>
      <w:pPr>
        <w:pStyle w:val="12"/>
        <w:rPr>
          <w:rFonts w:ascii="仿宋_GB2312" w:hAnsi="仿宋" w:eastAsia="仿宋_GB2312"/>
          <w:sz w:val="32"/>
          <w:szCs w:val="32"/>
        </w:rPr>
      </w:pPr>
      <w:r>
        <w:fldChar w:fldCharType="begin"/>
      </w:r>
      <w:r>
        <w:instrText xml:space="preserve"> HYPERLINK \l "_Toc15396612" </w:instrText>
      </w:r>
      <w:r>
        <w:fldChar w:fldCharType="separate"/>
      </w:r>
      <w:r>
        <w:rPr>
          <w:rStyle w:val="16"/>
          <w:rFonts w:hint="eastAsia" w:ascii="仿宋_GB2312" w:hAnsi="仿宋" w:eastAsia="仿宋_GB2312" w:cs="仿宋_GB2312"/>
          <w:sz w:val="32"/>
          <w:szCs w:val="32"/>
        </w:rPr>
        <w:t>十一、其他重要事项的情况说明</w:t>
      </w:r>
      <w:r>
        <w:rPr>
          <w:rFonts w:ascii="仿宋_GB2312" w:hAnsi="仿宋" w:eastAsia="仿宋_GB2312"/>
          <w:sz w:val="32"/>
          <w:szCs w:val="32"/>
        </w:rPr>
        <w:tab/>
      </w:r>
      <w:r>
        <w:rPr>
          <w:rFonts w:ascii="仿宋_GB2312" w:hAnsi="仿宋" w:eastAsia="仿宋_GB2312" w:cs="仿宋_GB2312"/>
          <w:sz w:val="32"/>
          <w:szCs w:val="32"/>
        </w:rPr>
        <w:t>1</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1"/>
        <w:rPr>
          <w:rFonts w:ascii="仿宋_GB2312" w:eastAsia="仿宋_GB2312" w:cs="Times New Roman"/>
          <w:sz w:val="32"/>
          <w:szCs w:val="32"/>
        </w:rPr>
      </w:pPr>
      <w:r>
        <w:fldChar w:fldCharType="begin"/>
      </w:r>
      <w:r>
        <w:instrText xml:space="preserve"> HYPERLINK \l "_Toc15396613" </w:instrText>
      </w:r>
      <w:r>
        <w:fldChar w:fldCharType="separate"/>
      </w:r>
      <w:r>
        <w:rPr>
          <w:rStyle w:val="16"/>
          <w:rFonts w:hint="eastAsia" w:ascii="仿宋_GB2312" w:eastAsia="仿宋_GB2312" w:cs="仿宋_GB2312"/>
          <w:kern w:val="44"/>
          <w:sz w:val="32"/>
          <w:szCs w:val="32"/>
        </w:rPr>
        <w:t>第三部分</w:t>
      </w:r>
      <w:r>
        <w:rPr>
          <w:rStyle w:val="16"/>
          <w:rFonts w:ascii="仿宋_GB2312" w:eastAsia="仿宋_GB2312" w:cs="仿宋_GB2312"/>
          <w:sz w:val="32"/>
          <w:szCs w:val="32"/>
        </w:rPr>
        <w:t xml:space="preserve"> </w:t>
      </w:r>
      <w:r>
        <w:rPr>
          <w:rStyle w:val="16"/>
          <w:rFonts w:hint="eastAsia" w:ascii="仿宋_GB2312" w:eastAsia="仿宋_GB2312" w:cs="仿宋_GB2312"/>
          <w:sz w:val="32"/>
          <w:szCs w:val="32"/>
        </w:rPr>
        <w:t>名</w:t>
      </w:r>
      <w:r>
        <w:rPr>
          <w:rStyle w:val="16"/>
          <w:rFonts w:hint="eastAsia" w:ascii="仿宋_GB2312" w:eastAsia="仿宋_GB2312" w:cs="仿宋_GB2312"/>
          <w:kern w:val="44"/>
          <w:sz w:val="32"/>
          <w:szCs w:val="32"/>
        </w:rPr>
        <w:t>词解释</w:t>
      </w:r>
      <w:r>
        <w:rPr>
          <w:rFonts w:ascii="仿宋_GB2312" w:eastAsia="仿宋_GB2312" w:cs="Times New Roman"/>
          <w:sz w:val="32"/>
          <w:szCs w:val="32"/>
        </w:rPr>
        <w:tab/>
      </w:r>
      <w:r>
        <w:rPr>
          <w:rFonts w:hint="eastAsia" w:ascii="仿宋_GB2312" w:eastAsia="仿宋_GB2312" w:cs="仿宋_GB2312"/>
          <w:sz w:val="32"/>
          <w:szCs w:val="32"/>
        </w:rPr>
        <w:t>1</w:t>
      </w:r>
      <w:r>
        <w:rPr>
          <w:rFonts w:hint="eastAsia" w:ascii="仿宋_GB2312" w:eastAsia="仿宋_GB2312" w:cs="仿宋_GB2312"/>
          <w:sz w:val="32"/>
          <w:szCs w:val="32"/>
        </w:rPr>
        <w:fldChar w:fldCharType="end"/>
      </w:r>
      <w:r>
        <w:rPr>
          <w:rFonts w:hint="eastAsia" w:ascii="仿宋_GB2312" w:eastAsia="仿宋_GB2312" w:cs="仿宋_GB2312"/>
          <w:sz w:val="32"/>
          <w:szCs w:val="32"/>
        </w:rPr>
        <w:t>5</w:t>
      </w:r>
    </w:p>
    <w:p>
      <w:pPr>
        <w:pStyle w:val="11"/>
        <w:rPr>
          <w:rFonts w:ascii="仿宋_GB2312" w:eastAsia="仿宋_GB2312" w:cs="Times New Roman"/>
          <w:sz w:val="32"/>
          <w:szCs w:val="32"/>
        </w:rPr>
      </w:pPr>
      <w:r>
        <w:fldChar w:fldCharType="begin"/>
      </w:r>
      <w:r>
        <w:instrText xml:space="preserve"> HYPERLINK \l "_Toc15396614"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四部分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附件</w:t>
      </w:r>
      <w:r>
        <w:rPr>
          <w:rFonts w:ascii="仿宋_GB2312" w:eastAsia="仿宋_GB2312" w:cs="Times New Roman"/>
          <w:sz w:val="32"/>
          <w:szCs w:val="32"/>
        </w:rPr>
        <w:tab/>
      </w:r>
      <w:r>
        <w:rPr>
          <w:rFonts w:hint="eastAsia" w:ascii="仿宋_GB2312" w:eastAsia="仿宋_GB2312" w:cs="仿宋_GB2312"/>
          <w:sz w:val="32"/>
          <w:szCs w:val="32"/>
        </w:rPr>
        <w:t>1</w:t>
      </w:r>
      <w:r>
        <w:rPr>
          <w:rFonts w:hint="eastAsia" w:ascii="仿宋_GB2312" w:eastAsia="仿宋_GB2312" w:cs="仿宋_GB2312"/>
          <w:sz w:val="32"/>
          <w:szCs w:val="32"/>
        </w:rPr>
        <w:fldChar w:fldCharType="end"/>
      </w:r>
      <w:r>
        <w:rPr>
          <w:rFonts w:hint="eastAsia" w:ascii="仿宋_GB2312" w:eastAsia="仿宋_GB2312" w:cs="仿宋_GB2312"/>
          <w:sz w:val="32"/>
          <w:szCs w:val="32"/>
        </w:rPr>
        <w:t>8</w:t>
      </w:r>
    </w:p>
    <w:p>
      <w:pPr>
        <w:pStyle w:val="12"/>
        <w:rPr>
          <w:rFonts w:ascii="仿宋_GB2312" w:hAnsi="仿宋" w:eastAsia="仿宋_GB2312" w:cs="仿宋_GB2312"/>
          <w:sz w:val="32"/>
          <w:szCs w:val="32"/>
        </w:rPr>
      </w:pPr>
      <w:r>
        <w:fldChar w:fldCharType="begin"/>
      </w:r>
      <w:r>
        <w:instrText xml:space="preserve"> HYPERLINK \l "_Toc15396615" </w:instrText>
      </w:r>
      <w:r>
        <w:fldChar w:fldCharType="separate"/>
      </w:r>
      <w:r>
        <w:rPr>
          <w:rStyle w:val="16"/>
          <w:rFonts w:hint="eastAsia" w:ascii="仿宋_GB2312" w:hAnsi="仿宋" w:eastAsia="仿宋_GB2312" w:cs="仿宋_GB2312"/>
          <w:kern w:val="44"/>
          <w:sz w:val="32"/>
          <w:szCs w:val="32"/>
        </w:rPr>
        <w:t>附件</w:t>
      </w:r>
      <w:r>
        <w:rPr>
          <w:rStyle w:val="16"/>
          <w:rFonts w:ascii="仿宋_GB2312" w:hAnsi="仿宋" w:eastAsia="仿宋_GB2312" w:cs="仿宋_GB2312"/>
          <w:kern w:val="44"/>
          <w:sz w:val="32"/>
          <w:szCs w:val="32"/>
        </w:rPr>
        <w:t>1</w:t>
      </w:r>
      <w:r>
        <w:rPr>
          <w:rFonts w:ascii="仿宋_GB2312" w:hAnsi="仿宋" w:eastAsia="仿宋_GB2312"/>
          <w:sz w:val="32"/>
          <w:szCs w:val="32"/>
        </w:rPr>
        <w:tab/>
      </w:r>
      <w:r>
        <w:rPr>
          <w:rFonts w:ascii="仿宋_GB2312" w:hAnsi="仿宋" w:eastAsia="仿宋_GB2312"/>
          <w:sz w:val="32"/>
          <w:szCs w:val="32"/>
        </w:rPr>
        <w:fldChar w:fldCharType="end"/>
      </w:r>
      <w:r>
        <w:rPr>
          <w:rFonts w:hint="eastAsia" w:ascii="仿宋_GB2312" w:hAnsi="仿宋" w:eastAsia="仿宋_GB2312" w:cs="仿宋_GB2312"/>
          <w:sz w:val="32"/>
          <w:szCs w:val="32"/>
        </w:rPr>
        <w:t>18</w:t>
      </w:r>
    </w:p>
    <w:p>
      <w:pPr>
        <w:pStyle w:val="11"/>
        <w:rPr>
          <w:rFonts w:ascii="仿宋_GB2312" w:eastAsia="仿宋_GB2312" w:cs="Times New Roman"/>
          <w:sz w:val="32"/>
          <w:szCs w:val="32"/>
        </w:rPr>
      </w:pPr>
      <w:r>
        <w:fldChar w:fldCharType="begin"/>
      </w:r>
      <w:r>
        <w:instrText xml:space="preserve"> HYPERLINK \l "_Toc15396618" </w:instrText>
      </w:r>
      <w:r>
        <w:fldChar w:fldCharType="separate"/>
      </w:r>
      <w:r>
        <w:rPr>
          <w:rStyle w:val="16"/>
          <w:rFonts w:hint="eastAsia" w:ascii="仿宋_GB2312" w:eastAsia="仿宋_GB2312" w:cs="仿宋_GB2312"/>
          <w:sz w:val="32"/>
          <w:szCs w:val="32"/>
        </w:rPr>
        <w:t>第</w:t>
      </w:r>
      <w:r>
        <w:rPr>
          <w:rStyle w:val="16"/>
          <w:rFonts w:hint="eastAsia" w:ascii="仿宋_GB2312" w:eastAsia="仿宋_GB2312" w:cs="仿宋_GB2312"/>
          <w:kern w:val="44"/>
          <w:sz w:val="32"/>
          <w:szCs w:val="32"/>
        </w:rPr>
        <w:t>五部分</w:t>
      </w:r>
      <w:r>
        <w:rPr>
          <w:rStyle w:val="16"/>
          <w:rFonts w:ascii="仿宋_GB2312" w:eastAsia="仿宋_GB2312" w:cs="仿宋_GB2312"/>
          <w:kern w:val="44"/>
          <w:sz w:val="32"/>
          <w:szCs w:val="32"/>
        </w:rPr>
        <w:t xml:space="preserve"> </w:t>
      </w:r>
      <w:r>
        <w:rPr>
          <w:rStyle w:val="16"/>
          <w:rFonts w:hint="eastAsia" w:ascii="仿宋_GB2312" w:eastAsia="仿宋_GB2312" w:cs="仿宋_GB2312"/>
          <w:kern w:val="44"/>
          <w:sz w:val="32"/>
          <w:szCs w:val="32"/>
        </w:rPr>
        <w:t>附表</w:t>
      </w:r>
      <w:r>
        <w:rPr>
          <w:rFonts w:ascii="仿宋_GB2312" w:eastAsia="仿宋_GB2312" w:cs="Times New Roman"/>
          <w:sz w:val="32"/>
          <w:szCs w:val="32"/>
        </w:rPr>
        <w:tab/>
      </w:r>
      <w:r>
        <w:rPr>
          <w:rFonts w:hint="eastAsia" w:ascii="仿宋_GB2312" w:eastAsia="仿宋_GB2312" w:cs="仿宋_GB2312"/>
          <w:sz w:val="32"/>
          <w:szCs w:val="32"/>
        </w:rPr>
        <w:t>2</w:t>
      </w:r>
      <w:r>
        <w:rPr>
          <w:rFonts w:hint="eastAsia" w:ascii="仿宋_GB2312" w:eastAsia="仿宋_GB2312" w:cs="仿宋_GB2312"/>
          <w:sz w:val="32"/>
          <w:szCs w:val="32"/>
        </w:rPr>
        <w:fldChar w:fldCharType="end"/>
      </w:r>
      <w:r>
        <w:rPr>
          <w:rFonts w:hint="eastAsia" w:ascii="仿宋_GB2312"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一、</w:t>
      </w:r>
      <w:r>
        <w:fldChar w:fldCharType="begin"/>
      </w:r>
      <w:r>
        <w:instrText xml:space="preserve"> HYPERLINK \l "_Toc15396619" </w:instrText>
      </w:r>
      <w:r>
        <w:fldChar w:fldCharType="separate"/>
      </w:r>
      <w:r>
        <w:rPr>
          <w:rStyle w:val="16"/>
          <w:rFonts w:hint="eastAsia" w:ascii="仿宋_GB2312" w:hAnsi="仿宋" w:eastAsia="仿宋_GB2312" w:cs="仿宋_GB2312"/>
          <w:sz w:val="32"/>
          <w:szCs w:val="32"/>
        </w:rPr>
        <w:t>收入支出决算总表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二、</w:t>
      </w:r>
      <w:r>
        <w:fldChar w:fldCharType="begin"/>
      </w:r>
      <w:r>
        <w:instrText xml:space="preserve"> HYPERLINK \l "_Toc15396620" </w:instrText>
      </w:r>
      <w:r>
        <w:fldChar w:fldCharType="separate"/>
      </w:r>
      <w:r>
        <w:rPr>
          <w:rStyle w:val="16"/>
          <w:rFonts w:hint="eastAsia" w:ascii="仿宋_GB2312" w:hAnsi="仿宋" w:eastAsia="仿宋_GB2312" w:cs="仿宋_GB2312"/>
          <w:sz w:val="32"/>
          <w:szCs w:val="32"/>
        </w:rPr>
        <w:t>收入总表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三、</w:t>
      </w:r>
      <w:r>
        <w:fldChar w:fldCharType="begin"/>
      </w:r>
      <w:r>
        <w:instrText xml:space="preserve"> HYPERLINK \l "_Toc15396621" </w:instrText>
      </w:r>
      <w:r>
        <w:fldChar w:fldCharType="separate"/>
      </w:r>
      <w:r>
        <w:rPr>
          <w:rStyle w:val="16"/>
          <w:rFonts w:hint="eastAsia" w:ascii="仿宋_GB2312" w:hAnsi="仿宋" w:eastAsia="仿宋_GB2312" w:cs="仿宋_GB2312"/>
          <w:sz w:val="32"/>
          <w:szCs w:val="32"/>
        </w:rPr>
        <w:t>支出总表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四、</w:t>
      </w:r>
      <w:r>
        <w:fldChar w:fldCharType="begin"/>
      </w:r>
      <w:r>
        <w:instrText xml:space="preserve"> HYPERLINK \l "_Toc15396622" </w:instrText>
      </w:r>
      <w:r>
        <w:fldChar w:fldCharType="separate"/>
      </w:r>
      <w:r>
        <w:rPr>
          <w:rStyle w:val="16"/>
          <w:rFonts w:hint="eastAsia" w:ascii="仿宋_GB2312" w:hAnsi="仿宋" w:eastAsia="仿宋_GB2312" w:cs="仿宋_GB2312"/>
          <w:sz w:val="32"/>
          <w:szCs w:val="32"/>
        </w:rPr>
        <w:t>财政拨款收入支出决算总表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 w:eastAsia="仿宋_GB2312" w:cs="仿宋_GB2312"/>
          <w:sz w:val="32"/>
          <w:szCs w:val="32"/>
        </w:rPr>
        <w:t>财政拨款支出决算明细表（政府经济分类科目）</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六、</w:t>
      </w:r>
      <w:r>
        <w:fldChar w:fldCharType="begin"/>
      </w:r>
      <w:r>
        <w:instrText xml:space="preserve"> HYPERLINK \l "_Toc15396624" </w:instrText>
      </w:r>
      <w:r>
        <w:fldChar w:fldCharType="separate"/>
      </w:r>
      <w:r>
        <w:rPr>
          <w:rStyle w:val="16"/>
          <w:rFonts w:hint="eastAsia" w:ascii="仿宋_GB2312" w:hAnsi="仿宋" w:eastAsia="仿宋_GB2312" w:cs="仿宋_GB2312"/>
          <w:sz w:val="32"/>
          <w:szCs w:val="32"/>
        </w:rPr>
        <w:t>一般公共预算财政拨款支出决算表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七、</w:t>
      </w:r>
      <w:r>
        <w:fldChar w:fldCharType="begin"/>
      </w:r>
      <w:r>
        <w:instrText xml:space="preserve"> HYPERLINK \l "_Toc15396625" </w:instrText>
      </w:r>
      <w:r>
        <w:fldChar w:fldCharType="separate"/>
      </w:r>
      <w:r>
        <w:rPr>
          <w:rStyle w:val="16"/>
          <w:rFonts w:hint="eastAsia" w:ascii="仿宋_GB2312" w:hAnsi="仿宋" w:eastAsia="仿宋_GB2312" w:cs="仿宋_GB2312"/>
          <w:sz w:val="32"/>
          <w:szCs w:val="32"/>
        </w:rPr>
        <w:t>一般公共预算财政拨款支出决算明细表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八、</w:t>
      </w:r>
      <w:r>
        <w:fldChar w:fldCharType="begin"/>
      </w:r>
      <w:r>
        <w:instrText xml:space="preserve"> HYPERLINK \l "_Toc15396626" </w:instrText>
      </w:r>
      <w:r>
        <w:fldChar w:fldCharType="separate"/>
      </w:r>
      <w:r>
        <w:rPr>
          <w:rStyle w:val="16"/>
          <w:rFonts w:hint="eastAsia" w:ascii="仿宋_GB2312" w:hAnsi="仿宋" w:eastAsia="仿宋_GB2312" w:cs="仿宋_GB2312"/>
          <w:sz w:val="32"/>
          <w:szCs w:val="32"/>
        </w:rPr>
        <w:t>一般公共预算财政拨款基本支出决算表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九、</w:t>
      </w:r>
      <w:r>
        <w:fldChar w:fldCharType="begin"/>
      </w:r>
      <w:r>
        <w:instrText xml:space="preserve"> HYPERLINK \l "_Toc15396627" </w:instrText>
      </w:r>
      <w:r>
        <w:fldChar w:fldCharType="separate"/>
      </w:r>
      <w:r>
        <w:rPr>
          <w:rStyle w:val="16"/>
          <w:rFonts w:hint="eastAsia" w:ascii="仿宋_GB2312" w:hAnsi="仿宋" w:eastAsia="仿宋_GB2312" w:cs="仿宋_GB2312"/>
          <w:sz w:val="32"/>
          <w:szCs w:val="32"/>
        </w:rPr>
        <w:t>一般公共预算财政拨款项目支出决算表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十、</w:t>
      </w:r>
      <w:r>
        <w:fldChar w:fldCharType="begin"/>
      </w:r>
      <w:r>
        <w:instrText xml:space="preserve"> HYPERLINK \l "_Toc15396628" </w:instrText>
      </w:r>
      <w:r>
        <w:fldChar w:fldCharType="separate"/>
      </w:r>
      <w:r>
        <w:rPr>
          <w:rStyle w:val="16"/>
          <w:rFonts w:hint="eastAsia" w:ascii="仿宋_GB2312" w:hAnsi="仿宋" w:eastAsia="仿宋_GB2312" w:cs="仿宋_GB2312"/>
          <w:sz w:val="32"/>
          <w:szCs w:val="32"/>
        </w:rPr>
        <w:t>一般公共预算财政拨款“三公”经费支出决算表</w:t>
      </w:r>
      <w:r>
        <w:rPr>
          <w:rFonts w:ascii="仿宋_GB2312" w:hAnsi="仿宋" w:eastAsia="仿宋_GB2312"/>
          <w:sz w:val="32"/>
          <w:szCs w:val="32"/>
        </w:rPr>
        <w:tab/>
      </w:r>
      <w:r>
        <w:rPr>
          <w:rFonts w:ascii="仿宋_GB2312" w:hAnsi="仿宋" w:eastAsia="仿宋_GB2312" w:cs="仿宋_GB2312"/>
          <w:sz w:val="32"/>
          <w:szCs w:val="32"/>
        </w:rPr>
        <w:t>2</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2"/>
        <w:rPr>
          <w:rFonts w:ascii="仿宋_GB2312" w:hAnsi="仿宋" w:eastAsia="仿宋_GB2312"/>
          <w:sz w:val="32"/>
          <w:szCs w:val="32"/>
        </w:rPr>
      </w:pPr>
      <w:r>
        <w:rPr>
          <w:rFonts w:hint="eastAsia" w:ascii="仿宋_GB2312" w:hAnsi="仿宋" w:eastAsia="仿宋_GB2312" w:cs="仿宋_GB2312"/>
          <w:sz w:val="32"/>
          <w:szCs w:val="32"/>
        </w:rPr>
        <w:t>十一、</w:t>
      </w:r>
      <w:r>
        <w:fldChar w:fldCharType="begin"/>
      </w:r>
      <w:r>
        <w:instrText xml:space="preserve"> HYPERLINK \l "_Toc15396629" </w:instrText>
      </w:r>
      <w:r>
        <w:fldChar w:fldCharType="separate"/>
      </w:r>
      <w:r>
        <w:rPr>
          <w:rStyle w:val="16"/>
          <w:rFonts w:hint="eastAsia" w:ascii="仿宋_GB2312" w:hAnsi="仿宋" w:eastAsia="仿宋_GB2312" w:cs="仿宋_GB2312"/>
          <w:sz w:val="32"/>
          <w:szCs w:val="32"/>
        </w:rPr>
        <w:t>政府性基金预算财政拨款收入支出决算表</w:t>
      </w:r>
      <w:r>
        <w:rPr>
          <w:rFonts w:ascii="仿宋_GB2312" w:hAnsi="仿宋" w:eastAsia="仿宋_GB2312"/>
          <w:sz w:val="32"/>
          <w:szCs w:val="32"/>
        </w:rPr>
        <w:tab/>
      </w:r>
      <w:r>
        <w:rPr>
          <w:rFonts w:ascii="仿宋_GB2312" w:hAnsi="仿宋" w:eastAsia="仿宋_GB2312" w:cs="仿宋_GB2312"/>
          <w:sz w:val="32"/>
          <w:szCs w:val="32"/>
        </w:rPr>
        <w:t>2</w:t>
      </w:r>
      <w:r>
        <w:rPr>
          <w:rFonts w:hint="eastAsia" w:ascii="仿宋_GB2312" w:hAnsi="仿宋" w:eastAsia="仿宋_GB2312" w:cs="仿宋_GB2312"/>
          <w:sz w:val="32"/>
          <w:szCs w:val="32"/>
        </w:rPr>
        <w:t>4</w:t>
      </w:r>
      <w:r>
        <w:rPr>
          <w:rFonts w:hint="eastAsia" w:ascii="仿宋_GB2312" w:hAnsi="仿宋" w:eastAsia="仿宋_GB2312" w:cs="仿宋_GB2312"/>
          <w:sz w:val="32"/>
          <w:szCs w:val="32"/>
        </w:rPr>
        <w:fldChar w:fldCharType="end"/>
      </w:r>
    </w:p>
    <w:p>
      <w:pPr>
        <w:pStyle w:val="12"/>
        <w:rPr>
          <w:rFonts w:ascii="仿宋_GB2312" w:hAnsi="仿宋" w:eastAsia="仿宋_GB2312"/>
          <w:sz w:val="32"/>
          <w:szCs w:val="32"/>
        </w:rPr>
      </w:pPr>
      <w:r>
        <w:rPr>
          <w:rFonts w:hint="eastAsia" w:ascii="仿宋_GB2312" w:hAnsi="仿宋" w:eastAsia="仿宋_GB2312" w:cs="仿宋_GB2312"/>
          <w:sz w:val="32"/>
          <w:szCs w:val="32"/>
        </w:rPr>
        <w:t>十二、</w:t>
      </w:r>
      <w:r>
        <w:fldChar w:fldCharType="begin"/>
      </w:r>
      <w:r>
        <w:instrText xml:space="preserve"> HYPERLINK \l "_Toc15396630" </w:instrText>
      </w:r>
      <w:r>
        <w:fldChar w:fldCharType="separate"/>
      </w:r>
      <w:r>
        <w:rPr>
          <w:rStyle w:val="16"/>
          <w:rFonts w:hint="eastAsia" w:ascii="仿宋_GB2312" w:hAnsi="仿宋" w:eastAsia="仿宋_GB2312" w:cs="仿宋_GB2312"/>
          <w:sz w:val="32"/>
          <w:szCs w:val="32"/>
        </w:rPr>
        <w:t>政府性基金预算财政拨款“三公”经费支出决算表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pStyle w:val="12"/>
        <w:rPr>
          <w:rFonts w:ascii="仿宋_GB2312" w:hAnsi="仿宋" w:eastAsia="仿宋_GB2312"/>
          <w:sz w:val="32"/>
          <w:szCs w:val="32"/>
        </w:rPr>
      </w:pPr>
      <w:r>
        <w:rPr>
          <w:rFonts w:hint="eastAsia" w:ascii="仿宋_GB2312" w:hAnsi="仿宋" w:eastAsia="仿宋_GB2312" w:cs="仿宋_GB2312"/>
          <w:sz w:val="32"/>
          <w:szCs w:val="32"/>
        </w:rPr>
        <w:t>十三、</w:t>
      </w:r>
      <w:r>
        <w:fldChar w:fldCharType="begin"/>
      </w:r>
      <w:r>
        <w:instrText xml:space="preserve"> HYPERLINK \l "_Toc15396631" </w:instrText>
      </w:r>
      <w:r>
        <w:fldChar w:fldCharType="separate"/>
      </w:r>
      <w:r>
        <w:rPr>
          <w:rStyle w:val="16"/>
          <w:rFonts w:hint="eastAsia" w:ascii="仿宋_GB2312" w:hAnsi="仿宋" w:eastAsia="仿宋_GB2312" w:cs="仿宋_GB2312"/>
          <w:sz w:val="32"/>
          <w:szCs w:val="32"/>
        </w:rPr>
        <w:t>国有资本经营预算支出决算表</w:t>
      </w:r>
      <w:r>
        <w:rPr>
          <w:rFonts w:ascii="仿宋_GB2312" w:hAnsi="仿宋" w:eastAsia="仿宋_GB2312"/>
          <w:sz w:val="32"/>
          <w:szCs w:val="32"/>
        </w:rPr>
        <w:tab/>
      </w:r>
      <w:r>
        <w:rPr>
          <w:rFonts w:hint="eastAsia" w:ascii="仿宋_GB2312" w:hAnsi="仿宋" w:eastAsia="仿宋_GB2312" w:cs="仿宋_GB2312"/>
          <w:sz w:val="32"/>
          <w:szCs w:val="32"/>
        </w:rPr>
        <w:t>2</w:t>
      </w:r>
      <w:r>
        <w:rPr>
          <w:rFonts w:hint="eastAsia" w:ascii="仿宋_GB2312" w:hAnsi="仿宋" w:eastAsia="仿宋_GB2312" w:cs="仿宋_GB2312"/>
          <w:sz w:val="32"/>
          <w:szCs w:val="32"/>
        </w:rPr>
        <w:fldChar w:fldCharType="end"/>
      </w:r>
      <w:r>
        <w:rPr>
          <w:rFonts w:hint="eastAsia" w:ascii="仿宋_GB2312" w:hAnsi="仿宋" w:eastAsia="仿宋_GB2312" w:cs="仿宋_GB2312"/>
          <w:sz w:val="32"/>
          <w:szCs w:val="32"/>
        </w:rPr>
        <w:t>4</w:t>
      </w:r>
    </w:p>
    <w:p>
      <w:pPr>
        <w:widowControl/>
        <w:jc w:val="left"/>
        <w:rPr>
          <w:rFonts w:ascii="仿宋" w:hAnsi="仿宋" w:eastAsia="仿宋"/>
          <w:color w:val="000000"/>
          <w:sz w:val="24"/>
          <w:szCs w:val="24"/>
        </w:rPr>
      </w:pPr>
      <w:r>
        <w:rPr>
          <w:rFonts w:ascii="仿宋_GB2312" w:hAnsi="黑体" w:eastAsia="仿宋_GB2312" w:cs="仿宋_GB2312"/>
          <w:color w:val="000000"/>
          <w:sz w:val="32"/>
          <w:szCs w:val="32"/>
        </w:rPr>
        <w:fldChar w:fldCharType="end"/>
      </w:r>
    </w:p>
    <w:p>
      <w:pPr>
        <w:widowControl/>
        <w:jc w:val="left"/>
        <w:rPr>
          <w:rFonts w:ascii="黑体" w:hAnsi="黑体" w:eastAsia="黑体"/>
          <w:kern w:val="44"/>
          <w:sz w:val="44"/>
          <w:szCs w:val="44"/>
        </w:rPr>
      </w:pPr>
      <w:bookmarkStart w:id="12" w:name="_Toc15377196"/>
      <w:bookmarkStart w:id="13" w:name="_Toc15396599"/>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left"/>
        <w:rPr>
          <w:rFonts w:ascii="黑体" w:hAnsi="黑体" w:eastAsia="黑体"/>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Style w:val="17"/>
          <w:rFonts w:ascii="方正小标宋简体" w:hAnsi="黑体" w:eastAsia="方正小标宋简体"/>
          <w:b w:val="0"/>
          <w:bCs w:val="0"/>
        </w:rPr>
      </w:pPr>
      <w:r>
        <w:rPr>
          <w:rFonts w:hint="eastAsia" w:ascii="方正小标宋简体" w:hAnsi="黑体" w:eastAsia="方正小标宋简体" w:cs="方正小标宋简体"/>
          <w:sz w:val="44"/>
          <w:szCs w:val="44"/>
        </w:rPr>
        <w:t>第一部分</w:t>
      </w:r>
      <w:r>
        <w:rPr>
          <w:rFonts w:ascii="方正小标宋简体" w:hAnsi="黑体" w:eastAsia="方正小标宋简体" w:cs="方正小标宋简体"/>
          <w:sz w:val="44"/>
          <w:szCs w:val="44"/>
        </w:rPr>
        <w:t xml:space="preserve"> </w:t>
      </w:r>
      <w:r>
        <w:rPr>
          <w:rStyle w:val="17"/>
          <w:rFonts w:hint="eastAsia" w:ascii="方正小标宋简体" w:hAnsi="黑体" w:eastAsia="方正小标宋简体" w:cs="方正小标宋简体"/>
          <w:b w:val="0"/>
          <w:bCs w:val="0"/>
        </w:rPr>
        <w:t>部门概况</w:t>
      </w:r>
      <w:bookmarkEnd w:id="12"/>
      <w:bookmarkEnd w:id="13"/>
      <w:bookmarkStart w:id="14" w:name="_Toc15396600"/>
      <w:bookmarkStart w:id="15" w:name="_Toc15377197"/>
    </w:p>
    <w:p>
      <w:pPr>
        <w:adjustRightInd w:val="0"/>
        <w:snapToGrid w:val="0"/>
        <w:spacing w:line="360" w:lineRule="auto"/>
        <w:outlineLvl w:val="0"/>
        <w:rPr>
          <w:rFonts w:ascii="黑体" w:hAnsi="黑体" w:eastAsia="黑体"/>
          <w:b/>
          <w:bCs/>
          <w:color w:val="000000"/>
          <w:sz w:val="48"/>
          <w:szCs w:val="48"/>
        </w:rPr>
      </w:pPr>
      <w:r>
        <w:rPr>
          <w:rFonts w:hint="eastAsia" w:ascii="黑体" w:hAnsi="黑体" w:eastAsia="黑体" w:cs="黑体"/>
          <w:b/>
          <w:bCs/>
          <w:color w:val="000000"/>
          <w:sz w:val="32"/>
          <w:szCs w:val="32"/>
        </w:rPr>
        <w:t>一、基</w:t>
      </w:r>
      <w:r>
        <w:rPr>
          <w:rStyle w:val="18"/>
          <w:rFonts w:hint="eastAsia" w:ascii="黑体" w:hAnsi="黑体" w:eastAsia="黑体" w:cs="黑体"/>
          <w:b w:val="0"/>
          <w:bCs w:val="0"/>
        </w:rPr>
        <w:t>本职能及主要工作</w:t>
      </w:r>
      <w:bookmarkEnd w:id="14"/>
      <w:bookmarkEnd w:id="15"/>
      <w:bookmarkStart w:id="16" w:name="_Toc15377198"/>
      <w:bookmarkStart w:id="17" w:name="_Toc15378445"/>
    </w:p>
    <w:p>
      <w:pPr>
        <w:spacing w:line="600" w:lineRule="exact"/>
        <w:ind w:left="284" w:firstLine="160" w:firstLineChars="50"/>
        <w:rPr>
          <w:rStyle w:val="18"/>
          <w:rFonts w:ascii="楷体" w:hAnsi="楷体" w:eastAsia="楷体" w:cs="Times New Roman"/>
          <w:b w:val="0"/>
          <w:bCs w:val="0"/>
        </w:rPr>
      </w:pPr>
      <w:r>
        <w:rPr>
          <w:rFonts w:hint="eastAsia" w:ascii="楷体" w:hAnsi="楷体" w:eastAsia="楷体" w:cs="楷体"/>
          <w:b/>
          <w:bCs/>
          <w:color w:val="000000"/>
          <w:sz w:val="32"/>
          <w:szCs w:val="32"/>
        </w:rPr>
        <w:t>（一）主要职能</w:t>
      </w:r>
      <w:bookmarkEnd w:id="16"/>
      <w:bookmarkEnd w:id="17"/>
      <w:bookmarkStart w:id="18" w:name="_Toc15378446"/>
      <w:bookmarkStart w:id="19" w:name="_Toc15377199"/>
    </w:p>
    <w:p>
      <w:pPr>
        <w:spacing w:line="60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传播国际红十字运动知识和国际人道主义法。宣传、贯彻《中华人民共和国红十字会法》，依照红十字会法和红十字章程组织协调开展我县红十字会工作；开展备灾救灾工作。在自然灾害和突发事件中</w:t>
      </w:r>
      <w:r>
        <w:rPr>
          <w:rFonts w:ascii="仿宋_GB2312" w:hAnsi="楷体" w:eastAsia="仿宋_GB2312" w:cs="仿宋_GB2312"/>
          <w:sz w:val="32"/>
          <w:szCs w:val="32"/>
        </w:rPr>
        <w:t>,</w:t>
      </w:r>
      <w:r>
        <w:rPr>
          <w:rFonts w:hint="eastAsia" w:ascii="仿宋_GB2312" w:hAnsi="楷体" w:eastAsia="仿宋_GB2312" w:cs="仿宋_GB2312"/>
          <w:sz w:val="32"/>
          <w:szCs w:val="32"/>
        </w:rPr>
        <w:t>开展救护和救助工作</w:t>
      </w:r>
      <w:r>
        <w:rPr>
          <w:rFonts w:ascii="仿宋_GB2312" w:hAnsi="楷体" w:eastAsia="仿宋_GB2312" w:cs="仿宋_GB2312"/>
          <w:sz w:val="32"/>
          <w:szCs w:val="32"/>
        </w:rPr>
        <w:t>;</w:t>
      </w:r>
      <w:r>
        <w:rPr>
          <w:rFonts w:hint="eastAsia" w:ascii="仿宋_GB2312" w:hAnsi="楷体" w:eastAsia="仿宋_GB2312" w:cs="仿宋_GB2312"/>
          <w:sz w:val="32"/>
          <w:szCs w:val="32"/>
        </w:rPr>
        <w:t>依法接受国内外组织和个人的捐赠</w:t>
      </w:r>
      <w:r>
        <w:rPr>
          <w:rFonts w:ascii="仿宋_GB2312" w:hAnsi="楷体" w:eastAsia="仿宋_GB2312" w:cs="仿宋_GB2312"/>
          <w:sz w:val="32"/>
          <w:szCs w:val="32"/>
        </w:rPr>
        <w:t>,</w:t>
      </w:r>
      <w:r>
        <w:rPr>
          <w:rFonts w:hint="eastAsia" w:ascii="仿宋_GB2312" w:hAnsi="楷体" w:eastAsia="仿宋_GB2312" w:cs="仿宋_GB2312"/>
          <w:sz w:val="32"/>
          <w:szCs w:val="32"/>
        </w:rPr>
        <w:t>及时向灾区群众和受难者提供人道主义援助</w:t>
      </w:r>
      <w:r>
        <w:rPr>
          <w:rFonts w:ascii="仿宋_GB2312" w:hAnsi="楷体" w:eastAsia="仿宋_GB2312" w:cs="仿宋_GB2312"/>
          <w:sz w:val="32"/>
          <w:szCs w:val="32"/>
        </w:rPr>
        <w:t>,</w:t>
      </w:r>
      <w:r>
        <w:rPr>
          <w:rFonts w:hint="eastAsia" w:ascii="仿宋_GB2312" w:hAnsi="楷体" w:eastAsia="仿宋_GB2312" w:cs="仿宋_GB2312"/>
          <w:sz w:val="32"/>
          <w:szCs w:val="32"/>
        </w:rPr>
        <w:t>突发事件中对受害者组织实施救助工作。</w:t>
      </w:r>
    </w:p>
    <w:p>
      <w:pPr>
        <w:spacing w:line="600" w:lineRule="exact"/>
        <w:ind w:left="210" w:leftChars="100"/>
        <w:rPr>
          <w:rStyle w:val="18"/>
          <w:rFonts w:ascii="楷体" w:hAnsi="楷体" w:eastAsia="楷体" w:cs="Times New Roman"/>
          <w:b w:val="0"/>
          <w:bCs w:val="0"/>
        </w:rPr>
      </w:pPr>
      <w:r>
        <w:rPr>
          <w:rFonts w:hint="eastAsia" w:ascii="楷体" w:hAnsi="楷体" w:eastAsia="楷体" w:cs="楷体"/>
          <w:b/>
          <w:bCs/>
          <w:color w:val="000000"/>
          <w:sz w:val="32"/>
          <w:szCs w:val="32"/>
        </w:rPr>
        <w:t>（二）</w:t>
      </w:r>
      <w:r>
        <w:rPr>
          <w:rFonts w:ascii="楷体" w:hAnsi="楷体" w:eastAsia="楷体" w:cs="楷体"/>
          <w:b/>
          <w:bCs/>
          <w:color w:val="000000"/>
          <w:sz w:val="32"/>
          <w:szCs w:val="32"/>
        </w:rPr>
        <w:t>2018</w:t>
      </w:r>
      <w:r>
        <w:rPr>
          <w:rFonts w:hint="eastAsia" w:ascii="楷体" w:hAnsi="楷体" w:eastAsia="楷体" w:cs="楷体"/>
          <w:b/>
          <w:bCs/>
          <w:color w:val="000000"/>
          <w:sz w:val="32"/>
          <w:szCs w:val="32"/>
        </w:rPr>
        <w:t>年重点工作完成情况</w:t>
      </w:r>
      <w:bookmarkEnd w:id="18"/>
      <w:bookmarkEnd w:id="19"/>
    </w:p>
    <w:p>
      <w:pPr>
        <w:spacing w:line="600" w:lineRule="exact"/>
        <w:ind w:left="210" w:leftChars="100" w:firstLine="480" w:firstLineChars="150"/>
        <w:rPr>
          <w:rFonts w:ascii="仿宋_GB2312" w:hAnsi="楷体" w:eastAsia="仿宋_GB2312"/>
          <w:color w:val="000000"/>
          <w:sz w:val="32"/>
          <w:szCs w:val="32"/>
        </w:rPr>
      </w:pP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积极主动、全力配合“</w:t>
      </w:r>
      <w:r>
        <w:rPr>
          <w:rFonts w:ascii="仿宋_GB2312" w:hAnsi="楷体" w:eastAsia="仿宋_GB2312" w:cs="仿宋_GB2312"/>
          <w:color w:val="000000"/>
          <w:sz w:val="32"/>
          <w:szCs w:val="32"/>
        </w:rPr>
        <w:t>6.24</w:t>
      </w:r>
      <w:r>
        <w:rPr>
          <w:rFonts w:hint="eastAsia" w:ascii="仿宋_GB2312" w:hAnsi="楷体" w:eastAsia="仿宋_GB2312" w:cs="仿宋_GB2312"/>
          <w:color w:val="000000"/>
          <w:sz w:val="32"/>
          <w:szCs w:val="32"/>
        </w:rPr>
        <w:t>”灾后重建工作。坚决落</w:t>
      </w:r>
    </w:p>
    <w:p>
      <w:pPr>
        <w:spacing w:line="600" w:lineRule="exact"/>
        <w:rPr>
          <w:rFonts w:ascii="仿宋_GB2312" w:hAnsi="楷体" w:eastAsia="仿宋_GB2312"/>
          <w:sz w:val="32"/>
          <w:szCs w:val="32"/>
        </w:rPr>
      </w:pPr>
      <w:r>
        <w:rPr>
          <w:rFonts w:hint="eastAsia" w:ascii="仿宋_GB2312" w:hAnsi="楷体" w:eastAsia="仿宋_GB2312" w:cs="仿宋_GB2312"/>
          <w:color w:val="000000"/>
          <w:sz w:val="32"/>
          <w:szCs w:val="32"/>
        </w:rPr>
        <w:t>实县委县政府的安排部署，按照“一年建成农房、两年基本完成重建、三年恢复产业”的总体要求，积极主动、全力配合，确保“</w:t>
      </w:r>
      <w:r>
        <w:rPr>
          <w:rFonts w:ascii="仿宋_GB2312" w:hAnsi="楷体" w:eastAsia="仿宋_GB2312" w:cs="仿宋_GB2312"/>
          <w:color w:val="000000"/>
          <w:sz w:val="32"/>
          <w:szCs w:val="32"/>
        </w:rPr>
        <w:t>6.24</w:t>
      </w:r>
      <w:r>
        <w:rPr>
          <w:rFonts w:hint="eastAsia" w:ascii="仿宋_GB2312" w:hAnsi="楷体" w:eastAsia="仿宋_GB2312" w:cs="仿宋_GB2312"/>
          <w:color w:val="000000"/>
          <w:sz w:val="32"/>
          <w:szCs w:val="32"/>
        </w:rPr>
        <w:t>”灾后重建任务顺利推进。</w:t>
      </w:r>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w:t>
      </w:r>
      <w:r>
        <w:rPr>
          <w:rFonts w:hint="eastAsia" w:ascii="仿宋_GB2312" w:hAnsi="楷体" w:eastAsia="仿宋_GB2312" w:cs="仿宋_GB2312"/>
          <w:color w:val="000000"/>
          <w:sz w:val="32"/>
          <w:szCs w:val="32"/>
        </w:rPr>
        <w:t>积极开展救灾、救助活动。采取多种方式，继续加大宣传力度，广泛动员、整合社会各方力量，努力建立和拓宽资金来源渠道，逐步提高红十字会救助实力。针对县情，结合红会实际，积极做好救灾、备灾准备工作。协助政府部门做好灾害救助工作，努力发挥红十字人道主义救助作用。</w:t>
      </w:r>
    </w:p>
    <w:p>
      <w:pPr>
        <w:spacing w:line="600" w:lineRule="exact"/>
        <w:ind w:firstLine="720" w:firstLineChars="225"/>
        <w:rPr>
          <w:rFonts w:ascii="仿宋_GB2312" w:hAnsi="楷体" w:eastAsia="仿宋_GB2312"/>
          <w:color w:val="000000"/>
          <w:sz w:val="32"/>
          <w:szCs w:val="32"/>
        </w:rPr>
      </w:pP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加大培训力度，提升救灾救护能力。继续深化防灾、避险、应急、卫生救护等师资、普及和专业培训工作。在易发生意外伤害的教育、公共安全等领域，以及交通运输、矿山、电力、建筑、旅游等行业开展应急救护培训。努力提高广大群众在突发事故中的自救、互救意识和能力。</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4.</w:t>
      </w:r>
      <w:r>
        <w:rPr>
          <w:rFonts w:hint="eastAsia" w:ascii="仿宋_GB2312" w:hAnsi="楷体" w:eastAsia="仿宋_GB2312" w:cs="仿宋_GB2312"/>
          <w:color w:val="000000"/>
          <w:sz w:val="32"/>
          <w:szCs w:val="32"/>
        </w:rPr>
        <w:t>强化项目管理，健全款物管理机制。加强项目与款物的管理工作，积极协调和申报好浙江省红十字会援建太平乡牛尾村博爱家园项目。</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完善志愿服务体系，巩固和发展会员及志愿者队伍。规范已在册会员、志愿者的登记、管理工作。广泛开展红十字志愿服务活动。</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6.</w:t>
      </w:r>
      <w:r>
        <w:rPr>
          <w:rFonts w:hint="eastAsia" w:ascii="仿宋_GB2312" w:hAnsi="楷体" w:eastAsia="仿宋_GB2312" w:cs="仿宋_GB2312"/>
          <w:color w:val="000000"/>
          <w:sz w:val="32"/>
          <w:szCs w:val="32"/>
        </w:rPr>
        <w:t>注重品牌宣传，弘扬红十字会精神。积极开展无偿献血、造血干细胞和人体器官捐献宣传，加强以应急救护为重点的普及宣传工作。积极组织红十字青少年开展体现红十字精神的社会实践活动，帮助广大青少年形成符合传统美德和时代精神的道德规范。</w:t>
      </w:r>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7.</w:t>
      </w:r>
      <w:r>
        <w:rPr>
          <w:rFonts w:hint="eastAsia" w:ascii="仿宋_GB2312" w:hAnsi="楷体" w:eastAsia="仿宋_GB2312" w:cs="仿宋_GB2312"/>
          <w:color w:val="000000"/>
          <w:sz w:val="32"/>
          <w:szCs w:val="32"/>
        </w:rPr>
        <w:t>继续加强自身建设。不断提高自身素质，继续发展红十字会员和红十字志愿者，提高备灾、救灾能力。</w:t>
      </w:r>
    </w:p>
    <w:p>
      <w:pPr>
        <w:spacing w:line="600" w:lineRule="exact"/>
        <w:ind w:firstLine="640" w:firstLineChars="200"/>
        <w:outlineLvl w:val="1"/>
        <w:rPr>
          <w:rFonts w:ascii="仿宋_GB2312" w:hAnsi="楷体" w:eastAsia="仿宋_GB2312"/>
          <w:color w:val="000000"/>
          <w:sz w:val="32"/>
          <w:szCs w:val="32"/>
        </w:rPr>
      </w:pPr>
      <w:r>
        <w:rPr>
          <w:rFonts w:ascii="仿宋_GB2312" w:hAnsi="楷体" w:eastAsia="仿宋_GB2312" w:cs="仿宋_GB2312"/>
          <w:color w:val="000000"/>
          <w:sz w:val="32"/>
          <w:szCs w:val="32"/>
        </w:rPr>
        <w:t>8.</w:t>
      </w:r>
      <w:r>
        <w:rPr>
          <w:rFonts w:hint="eastAsia" w:ascii="仿宋_GB2312" w:hAnsi="楷体" w:eastAsia="仿宋_GB2312" w:cs="仿宋_GB2312"/>
          <w:color w:val="000000"/>
          <w:sz w:val="32"/>
          <w:szCs w:val="32"/>
        </w:rPr>
        <w:t>完成</w:t>
      </w:r>
      <w:r>
        <w:rPr>
          <w:rFonts w:hint="eastAsia" w:ascii="仿宋_GB2312" w:hAnsi="楷体" w:eastAsia="仿宋_GB2312" w:cs="仿宋_GB2312"/>
          <w:color w:val="000000"/>
          <w:sz w:val="32"/>
          <w:szCs w:val="32"/>
          <w:lang w:eastAsia="zh-CN"/>
        </w:rPr>
        <w:t>县委、县政府</w:t>
      </w:r>
      <w:r>
        <w:rPr>
          <w:rFonts w:hint="eastAsia" w:ascii="仿宋_GB2312" w:hAnsi="楷体" w:eastAsia="仿宋_GB2312" w:cs="仿宋_GB2312"/>
          <w:color w:val="000000"/>
          <w:sz w:val="32"/>
          <w:szCs w:val="32"/>
        </w:rPr>
        <w:t>交办的各项工作任务。</w:t>
      </w:r>
    </w:p>
    <w:p>
      <w:pPr>
        <w:pStyle w:val="3"/>
        <w:rPr>
          <w:rStyle w:val="18"/>
          <w:rFonts w:cs="Times New Roman"/>
          <w:b w:val="0"/>
          <w:bCs w:val="0"/>
        </w:rPr>
      </w:pPr>
      <w:bookmarkStart w:id="20" w:name="_Toc15396601"/>
      <w:bookmarkStart w:id="21" w:name="_Toc15377200"/>
      <w:r>
        <w:rPr>
          <w:rFonts w:hint="eastAsia" w:ascii="黑体" w:eastAsia="黑体" w:cs="黑体"/>
          <w:color w:val="000000"/>
        </w:rPr>
        <w:t>二、</w:t>
      </w:r>
      <w:r>
        <w:rPr>
          <w:rFonts w:hint="eastAsia" w:ascii="黑体" w:hAnsi="黑体" w:eastAsia="黑体" w:cs="黑体"/>
          <w:color w:val="000000"/>
        </w:rPr>
        <w:t>机</w:t>
      </w:r>
      <w:r>
        <w:rPr>
          <w:rStyle w:val="18"/>
          <w:rFonts w:hint="eastAsia" w:ascii="黑体" w:hAnsi="黑体" w:eastAsia="黑体" w:cs="黑体"/>
          <w:b w:val="0"/>
          <w:bCs w:val="0"/>
        </w:rPr>
        <w:t>构设置</w:t>
      </w:r>
      <w:bookmarkEnd w:id="20"/>
      <w:bookmarkEnd w:id="21"/>
    </w:p>
    <w:p>
      <w:pPr>
        <w:ind w:firstLine="800" w:firstLineChars="250"/>
        <w:rPr>
          <w:rFonts w:ascii="仿宋_GB2312" w:hAnsi="楷体" w:eastAsia="仿宋_GB2312"/>
          <w:sz w:val="32"/>
          <w:szCs w:val="32"/>
        </w:rPr>
      </w:pPr>
      <w:r>
        <w:rPr>
          <w:rFonts w:hint="eastAsia" w:ascii="仿宋_GB2312" w:hAnsi="楷体" w:eastAsia="仿宋_GB2312" w:cs="仿宋_GB2312"/>
          <w:sz w:val="32"/>
          <w:szCs w:val="32"/>
        </w:rPr>
        <w:t>茂县红十字会下属二级单位</w:t>
      </w:r>
      <w:r>
        <w:rPr>
          <w:rFonts w:ascii="仿宋_GB2312" w:hAnsi="楷体" w:eastAsia="仿宋_GB2312" w:cs="仿宋_GB2312"/>
          <w:sz w:val="32"/>
          <w:szCs w:val="32"/>
        </w:rPr>
        <w:t>0</w:t>
      </w:r>
      <w:r>
        <w:rPr>
          <w:rFonts w:hint="eastAsia" w:ascii="仿宋_GB2312" w:hAnsi="楷体" w:eastAsia="仿宋_GB2312" w:cs="仿宋_GB2312"/>
          <w:sz w:val="32"/>
          <w:szCs w:val="32"/>
        </w:rPr>
        <w:t>个，其中行政单位</w:t>
      </w:r>
      <w:r>
        <w:rPr>
          <w:rFonts w:ascii="仿宋_GB2312" w:hAnsi="楷体" w:eastAsia="仿宋_GB2312" w:cs="仿宋_GB2312"/>
          <w:sz w:val="32"/>
          <w:szCs w:val="32"/>
        </w:rPr>
        <w:t>0</w:t>
      </w:r>
      <w:r>
        <w:rPr>
          <w:rFonts w:hint="eastAsia" w:ascii="仿宋_GB2312" w:hAnsi="楷体" w:eastAsia="仿宋_GB2312" w:cs="仿宋_GB2312"/>
          <w:sz w:val="32"/>
          <w:szCs w:val="32"/>
        </w:rPr>
        <w:t>个，参照公务员法管理的事业单位</w:t>
      </w:r>
      <w:r>
        <w:rPr>
          <w:rFonts w:ascii="仿宋_GB2312" w:hAnsi="楷体" w:eastAsia="仿宋_GB2312" w:cs="仿宋_GB2312"/>
          <w:sz w:val="32"/>
          <w:szCs w:val="32"/>
        </w:rPr>
        <w:t>1</w:t>
      </w:r>
      <w:r>
        <w:rPr>
          <w:rFonts w:hint="eastAsia" w:ascii="仿宋_GB2312" w:hAnsi="楷体" w:eastAsia="仿宋_GB2312" w:cs="仿宋_GB2312"/>
          <w:sz w:val="32"/>
          <w:szCs w:val="32"/>
        </w:rPr>
        <w:t>个，其他事业单位</w:t>
      </w:r>
      <w:r>
        <w:rPr>
          <w:rFonts w:ascii="仿宋_GB2312" w:hAnsi="楷体" w:eastAsia="仿宋_GB2312" w:cs="仿宋_GB2312"/>
          <w:sz w:val="32"/>
          <w:szCs w:val="32"/>
        </w:rPr>
        <w:t>0</w:t>
      </w:r>
      <w:r>
        <w:rPr>
          <w:rFonts w:hint="eastAsia" w:ascii="仿宋_GB2312" w:hAnsi="楷体" w:eastAsia="仿宋_GB2312" w:cs="仿宋_GB2312"/>
          <w:sz w:val="32"/>
          <w:szCs w:val="32"/>
        </w:rPr>
        <w:t>个。</w:t>
      </w:r>
    </w:p>
    <w:p>
      <w:pPr>
        <w:widowControl/>
        <w:jc w:val="left"/>
        <w:rPr>
          <w:rFonts w:ascii="仿宋_GB2312" w:hAnsi="仿宋" w:eastAsia="仿宋_GB2312"/>
          <w:color w:val="000000"/>
          <w:kern w:val="0"/>
          <w:sz w:val="32"/>
          <w:szCs w:val="32"/>
        </w:rPr>
      </w:pPr>
    </w:p>
    <w:p>
      <w:pPr>
        <w:numPr>
          <w:ilvl w:val="0"/>
          <w:numId w:val="1"/>
        </w:numPr>
        <w:adjustRightInd w:val="0"/>
        <w:snapToGrid w:val="0"/>
        <w:spacing w:line="360" w:lineRule="auto"/>
        <w:jc w:val="center"/>
        <w:outlineLvl w:val="0"/>
        <w:rPr>
          <w:rStyle w:val="17"/>
          <w:rFonts w:ascii="方正小标宋简体" w:hAnsi="黑体" w:eastAsia="方正小标宋简体"/>
        </w:rPr>
      </w:pPr>
      <w:bookmarkStart w:id="22" w:name="_Toc15377204"/>
      <w:bookmarkStart w:id="23" w:name="_Toc15396602"/>
      <w:r>
        <w:rPr>
          <w:rStyle w:val="17"/>
          <w:rFonts w:ascii="方正小标宋简体" w:hAnsi="黑体" w:eastAsia="方正小标宋简体" w:cs="方正小标宋简体"/>
        </w:rPr>
        <w:t>2018</w:t>
      </w:r>
      <w:r>
        <w:rPr>
          <w:rStyle w:val="17"/>
          <w:rFonts w:hint="eastAsia" w:ascii="方正小标宋简体" w:hAnsi="黑体" w:eastAsia="方正小标宋简体" w:cs="方正小标宋简体"/>
        </w:rPr>
        <w:t>年度部门决算情况说明</w:t>
      </w:r>
      <w:bookmarkEnd w:id="22"/>
      <w:bookmarkEnd w:id="23"/>
    </w:p>
    <w:p>
      <w:pPr>
        <w:rPr>
          <w:b/>
          <w:bCs/>
        </w:rPr>
      </w:pPr>
    </w:p>
    <w:p>
      <w:pPr>
        <w:spacing w:line="600" w:lineRule="exact"/>
        <w:ind w:left="567"/>
        <w:outlineLvl w:val="1"/>
        <w:rPr>
          <w:rStyle w:val="18"/>
          <w:rFonts w:ascii="黑体" w:hAnsi="黑体" w:eastAsia="黑体" w:cs="Times New Roman"/>
          <w:b w:val="0"/>
          <w:bCs w:val="0"/>
        </w:rPr>
      </w:pPr>
      <w:bookmarkStart w:id="24" w:name="_Toc15377205"/>
      <w:bookmarkStart w:id="25" w:name="_Toc15396603"/>
      <w:r>
        <w:rPr>
          <w:rFonts w:hint="eastAsia" w:ascii="黑体" w:hAnsi="黑体" w:eastAsia="黑体" w:cs="黑体"/>
          <w:color w:val="000000"/>
          <w:sz w:val="32"/>
          <w:szCs w:val="32"/>
        </w:rPr>
        <w:t>一、收</w:t>
      </w:r>
      <w:r>
        <w:rPr>
          <w:rStyle w:val="18"/>
          <w:rFonts w:hint="eastAsia" w:ascii="黑体" w:hAnsi="黑体" w:eastAsia="黑体" w:cs="黑体"/>
          <w:b w:val="0"/>
          <w:bCs w:val="0"/>
        </w:rPr>
        <w:t>入支出决算总体情况说明</w:t>
      </w:r>
      <w:bookmarkEnd w:id="24"/>
      <w:bookmarkEnd w:id="25"/>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年度收、支总计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年相比，收、支总计各增加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2"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1</w:t>
      </w:r>
      <w:r>
        <w:rPr>
          <w:rFonts w:hint="eastAsia" w:ascii="仿宋_GB2312" w:hAnsi="楷体" w:eastAsia="仿宋_GB2312" w:cs="仿宋_GB2312"/>
          <w:b/>
          <w:bCs/>
          <w:color w:val="000000"/>
          <w:sz w:val="32"/>
          <w:szCs w:val="32"/>
        </w:rPr>
        <w:t>：收、支决算总计变动情况图）</w:t>
      </w:r>
    </w:p>
    <w:p>
      <w:pPr>
        <w:spacing w:line="600" w:lineRule="exact"/>
        <w:ind w:firstLine="420" w:firstLineChars="200"/>
        <w:jc w:val="left"/>
        <w:rPr>
          <w:rFonts w:ascii="仿宋_GB2312" w:eastAsia="仿宋_GB2312"/>
          <w:color w:val="000000"/>
          <w:sz w:val="32"/>
          <w:szCs w:val="32"/>
        </w:rPr>
      </w:pPr>
      <w:r>
        <w:pict>
          <v:shape id="_x0000_s1026" o:spid="_x0000_s1026" o:spt="75" type="#_x0000_t75" style="position:absolute;left:0pt;margin-left:-3.7pt;margin-top:25.3pt;height:289.9pt;width:351.85pt;z-index:251659264;mso-width-relative:page;mso-height-relative:page;" o:ole="t" filled="f" o:preferrelative="t" stroked="f" coordsize="21600,21600">
            <v:path/>
            <v:fill on="f" focussize="0,0"/>
            <v:stroke on="f" joinstyle="miter"/>
            <v:imagedata r:id="rId7" o:title=""/>
            <o:lock v:ext="edit" aspectratio="t"/>
          </v:shape>
          <o:OLEObject Type="Embed" ProgID="Excel.Chart.8" ShapeID="_x0000_s1026" DrawAspect="Content" ObjectID="_1468075725" r:id="rId6">
            <o:LockedField>false</o:LockedField>
          </o:OLEObject>
        </w:pict>
      </w: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spacing w:line="600" w:lineRule="exact"/>
        <w:ind w:firstLine="640" w:firstLineChars="200"/>
        <w:jc w:val="left"/>
        <w:rPr>
          <w:rFonts w:ascii="仿宋_GB2312" w:eastAsia="仿宋_GB2312"/>
          <w:color w:val="000000"/>
          <w:sz w:val="32"/>
          <w:szCs w:val="32"/>
        </w:rPr>
      </w:pPr>
    </w:p>
    <w:p>
      <w:pPr>
        <w:pStyle w:val="28"/>
        <w:numPr>
          <w:ilvl w:val="0"/>
          <w:numId w:val="2"/>
        </w:numPr>
        <w:spacing w:line="600" w:lineRule="exact"/>
        <w:ind w:firstLineChars="0"/>
        <w:outlineLvl w:val="1"/>
        <w:rPr>
          <w:rStyle w:val="18"/>
          <w:rFonts w:ascii="黑体" w:hAnsi="黑体" w:eastAsia="黑体" w:cs="Times New Roman"/>
          <w:b w:val="0"/>
          <w:bCs w:val="0"/>
        </w:rPr>
      </w:pPr>
      <w:bookmarkStart w:id="26" w:name="_Toc15396604"/>
      <w:bookmarkStart w:id="27" w:name="_Toc15377206"/>
      <w:r>
        <w:rPr>
          <w:rFonts w:hint="eastAsia" w:ascii="黑体" w:hAnsi="黑体" w:eastAsia="黑体" w:cs="黑体"/>
          <w:color w:val="000000"/>
          <w:sz w:val="32"/>
          <w:szCs w:val="32"/>
        </w:rPr>
        <w:t>收</w:t>
      </w:r>
      <w:r>
        <w:rPr>
          <w:rStyle w:val="18"/>
          <w:rFonts w:hint="eastAsia" w:ascii="黑体" w:hAnsi="黑体" w:eastAsia="黑体" w:cs="黑体"/>
          <w:b w:val="0"/>
          <w:bCs w:val="0"/>
        </w:rPr>
        <w:t>入决算情况说明</w:t>
      </w:r>
      <w:bookmarkEnd w:id="26"/>
      <w:bookmarkEnd w:id="27"/>
    </w:p>
    <w:p>
      <w:pPr>
        <w:spacing w:line="600" w:lineRule="exact"/>
        <w:ind w:firstLine="640" w:firstLineChars="200"/>
        <w:outlineLvl w:val="1"/>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年本年收入合计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万元，其中：一般公共预算财政拨款收入</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；政府性基金预算财政拨款收入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万元；国有资本经营预算财政拨款收入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万元；事业收入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万元；经营收入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万元；附属单位上缴收入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万元；其他收入</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2"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2</w:t>
      </w:r>
      <w:r>
        <w:rPr>
          <w:rFonts w:hint="eastAsia" w:ascii="仿宋_GB2312" w:hAnsi="楷体" w:eastAsia="仿宋_GB2312" w:cs="仿宋_GB2312"/>
          <w:b/>
          <w:bCs/>
          <w:color w:val="000000"/>
          <w:sz w:val="32"/>
          <w:szCs w:val="32"/>
        </w:rPr>
        <w:t>：收入决算结构图）</w:t>
      </w:r>
    </w:p>
    <w:p>
      <w:pPr>
        <w:spacing w:line="600" w:lineRule="exact"/>
        <w:ind w:firstLine="420" w:firstLineChars="200"/>
        <w:rPr>
          <w:rFonts w:ascii="仿宋_GB2312" w:eastAsia="仿宋_GB2312"/>
          <w:color w:val="FF0000"/>
          <w:sz w:val="32"/>
          <w:szCs w:val="32"/>
        </w:rPr>
      </w:pPr>
      <w:r>
        <w:pict>
          <v:shape id="_x0000_s1027" o:spid="_x0000_s1027" o:spt="75" type="#_x0000_t75" style="position:absolute;left:0pt;margin-left:1.75pt;margin-top:7.5pt;height:241.9pt;width:416.15pt;z-index:251660288;mso-width-relative:page;mso-height-relative:page;" o:ole="t" filled="f" o:preferrelative="t" stroked="f" coordsize="21600,21600">
            <v:path/>
            <v:fill on="f" focussize="0,0"/>
            <v:stroke on="f" joinstyle="miter"/>
            <v:imagedata r:id="rId9" o:title=""/>
            <o:lock v:ext="edit" aspectratio="t"/>
          </v:shape>
          <o:OLEObject Type="Embed" ProgID="Excel.Chart.8" ShapeID="_x0000_s1027" DrawAspect="Content" ObjectID="_1468075726" r:id="rId8">
            <o:LockedField>false</o:LockedField>
          </o:OLEObject>
        </w:pict>
      </w: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ind w:firstLine="640" w:firstLineChars="200"/>
        <w:rPr>
          <w:rFonts w:ascii="仿宋_GB2312" w:eastAsia="仿宋_GB2312"/>
          <w:color w:val="FF0000"/>
          <w:sz w:val="32"/>
          <w:szCs w:val="32"/>
        </w:rPr>
      </w:pPr>
    </w:p>
    <w:p>
      <w:pPr>
        <w:spacing w:line="600" w:lineRule="exact"/>
        <w:rPr>
          <w:rFonts w:ascii="仿宋_GB2312" w:eastAsia="仿宋_GB2312"/>
          <w:color w:val="FF0000"/>
          <w:sz w:val="32"/>
          <w:szCs w:val="32"/>
        </w:rPr>
      </w:pPr>
    </w:p>
    <w:p>
      <w:pPr>
        <w:pStyle w:val="28"/>
        <w:numPr>
          <w:ilvl w:val="0"/>
          <w:numId w:val="2"/>
        </w:numPr>
        <w:spacing w:line="600" w:lineRule="exact"/>
        <w:ind w:firstLineChars="0"/>
        <w:outlineLvl w:val="1"/>
        <w:rPr>
          <w:rStyle w:val="18"/>
          <w:rFonts w:ascii="黑体" w:hAnsi="黑体" w:eastAsia="黑体" w:cs="Times New Roman"/>
          <w:b w:val="0"/>
          <w:bCs w:val="0"/>
        </w:rPr>
      </w:pPr>
      <w:bookmarkStart w:id="28" w:name="_Toc15377207"/>
      <w:bookmarkStart w:id="29" w:name="_Toc15396605"/>
      <w:r>
        <w:rPr>
          <w:rFonts w:hint="eastAsia" w:ascii="黑体" w:hAnsi="黑体" w:eastAsia="黑体" w:cs="黑体"/>
          <w:color w:val="000000"/>
          <w:sz w:val="32"/>
          <w:szCs w:val="32"/>
        </w:rPr>
        <w:t>支</w:t>
      </w:r>
      <w:r>
        <w:rPr>
          <w:rStyle w:val="18"/>
          <w:rFonts w:hint="eastAsia" w:ascii="黑体" w:hAnsi="黑体" w:eastAsia="黑体" w:cs="黑体"/>
          <w:b w:val="0"/>
          <w:bCs w:val="0"/>
        </w:rPr>
        <w:t>出决算情况说明</w:t>
      </w:r>
      <w:bookmarkEnd w:id="28"/>
      <w:bookmarkEnd w:id="29"/>
    </w:p>
    <w:p>
      <w:pPr>
        <w:spacing w:line="600" w:lineRule="exact"/>
        <w:ind w:firstLine="640"/>
        <w:rPr>
          <w:rFonts w:ascii="仿宋_GB2312" w:hAnsi="楷体" w:eastAsia="仿宋_GB2312"/>
          <w:color w:val="000000"/>
          <w:sz w:val="32"/>
          <w:szCs w:val="32"/>
          <w:shd w:val="pct10" w:color="auto" w:fill="FFFFFF"/>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年本年支出合计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万元，其中：基本支出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；项目支出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万元；上缴上级支出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万元；经营支出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万元；对附属单位补助支出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420" w:firstLineChars="200"/>
        <w:rPr>
          <w:rFonts w:ascii="仿宋_GB2312" w:hAnsi="楷体" w:eastAsia="仿宋_GB2312"/>
          <w:color w:val="000000"/>
          <w:sz w:val="32"/>
          <w:szCs w:val="32"/>
        </w:rPr>
      </w:pPr>
      <w:r>
        <w:pict>
          <v:shape id="_x0000_s1028" o:spid="_x0000_s1028" o:spt="75" type="#_x0000_t75" style="position:absolute;left:0pt;margin-left:6.7pt;margin-top:27pt;height:241.9pt;width:415.7pt;z-index:251661312;mso-width-relative:page;mso-height-relative:page;" o:ole="t" filled="f" o:preferrelative="t" stroked="f" coordsize="21600,21600">
            <v:path/>
            <v:fill on="f" focussize="0,0"/>
            <v:stroke on="f" joinstyle="miter"/>
            <v:imagedata r:id="rId11" o:title=""/>
            <o:lock v:ext="edit" aspectratio="t"/>
          </v:shape>
          <o:OLEObject Type="Embed" ProgID="Excel.Chart.8" ShapeID="_x0000_s1028" DrawAspect="Content" ObjectID="_1468075727" r:id="rId10">
            <o:LockedField>false</o:LockedField>
          </o:OLEObject>
        </w:pict>
      </w: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3</w:t>
      </w:r>
      <w:r>
        <w:rPr>
          <w:rFonts w:hint="eastAsia" w:ascii="仿宋_GB2312" w:hAnsi="楷体" w:eastAsia="仿宋_GB2312" w:cs="仿宋_GB2312"/>
          <w:b/>
          <w:bCs/>
          <w:color w:val="000000"/>
          <w:sz w:val="32"/>
          <w:szCs w:val="32"/>
        </w:rPr>
        <w:t>：支出决算结构图）</w:t>
      </w:r>
    </w:p>
    <w:p>
      <w:pPr>
        <w:spacing w:line="600" w:lineRule="exact"/>
        <w:ind w:firstLine="640" w:firstLineChars="200"/>
        <w:rPr>
          <w:rFonts w:ascii="仿宋_GB2312" w:hAnsi="楷体" w:eastAsia="仿宋_GB2312"/>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仿宋_GB2312" w:eastAsia="仿宋_GB2312"/>
          <w:color w:val="FF0000"/>
          <w:sz w:val="32"/>
          <w:szCs w:val="32"/>
        </w:rPr>
      </w:pPr>
    </w:p>
    <w:p>
      <w:pPr>
        <w:pStyle w:val="3"/>
        <w:ind w:firstLine="642" w:firstLineChars="200"/>
        <w:rPr>
          <w:rStyle w:val="18"/>
          <w:rFonts w:ascii="黑体" w:hAnsi="黑体" w:eastAsia="黑体" w:cs="Times New Roman"/>
          <w:b w:val="0"/>
          <w:bCs w:val="0"/>
        </w:rPr>
      </w:pPr>
      <w:bookmarkStart w:id="30" w:name="_Toc15396606"/>
      <w:bookmarkStart w:id="31" w:name="_Toc15377208"/>
      <w:r>
        <w:rPr>
          <w:rFonts w:hint="eastAsia" w:ascii="黑体" w:hAnsi="黑体" w:eastAsia="黑体" w:cs="黑体"/>
          <w:color w:val="000000"/>
        </w:rPr>
        <w:t>四、财</w:t>
      </w:r>
      <w:r>
        <w:rPr>
          <w:rStyle w:val="18"/>
          <w:rFonts w:hint="eastAsia" w:ascii="黑体" w:hAnsi="黑体" w:eastAsia="黑体" w:cs="黑体"/>
          <w:b w:val="0"/>
          <w:bCs w:val="0"/>
        </w:rPr>
        <w:t>政拨款收入支出决算总体情况说明</w:t>
      </w:r>
      <w:bookmarkEnd w:id="30"/>
      <w:bookmarkEnd w:id="31"/>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年财政拨款收、支总计</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年相比，财政拨款收、支总计各增加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2"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4</w:t>
      </w:r>
      <w:r>
        <w:rPr>
          <w:rFonts w:hint="eastAsia" w:ascii="仿宋_GB2312" w:hAnsi="楷体" w:eastAsia="仿宋_GB2312" w:cs="仿宋_GB2312"/>
          <w:b/>
          <w:bCs/>
          <w:color w:val="000000"/>
          <w:sz w:val="32"/>
          <w:szCs w:val="32"/>
        </w:rPr>
        <w:t>：财政拨款收、支决算总计变动情况）</w:t>
      </w:r>
    </w:p>
    <w:p>
      <w:pPr>
        <w:spacing w:line="600" w:lineRule="exact"/>
        <w:ind w:firstLine="420" w:firstLineChars="200"/>
        <w:rPr>
          <w:rFonts w:ascii="仿宋_GB2312" w:hAnsi="楷体" w:eastAsia="仿宋_GB2312"/>
          <w:color w:val="000000"/>
          <w:sz w:val="32"/>
          <w:szCs w:val="32"/>
        </w:rPr>
      </w:pPr>
      <w:r>
        <w:pict>
          <v:shape id="_x0000_s1029" o:spid="_x0000_s1029" o:spt="75" type="#_x0000_t75" style="position:absolute;left:0pt;margin-left:38.6pt;margin-top:17.15pt;height:241.45pt;width:270.7pt;z-index:251662336;mso-width-relative:page;mso-height-relative:page;" o:ole="t" filled="f" o:preferrelative="t" stroked="f" coordsize="21600,21600">
            <v:path/>
            <v:fill on="f" focussize="0,0"/>
            <v:stroke on="f" joinstyle="miter"/>
            <v:imagedata r:id="rId13" o:title=""/>
            <o:lock v:ext="edit" aspectratio="t"/>
          </v:shape>
          <o:OLEObject Type="Embed" ProgID="Excel.Chart.8" ShapeID="_x0000_s1029" DrawAspect="Content" ObjectID="_1468075728" r:id="rId12">
            <o:LockedField>false</o:LockedField>
          </o:OLEObject>
        </w:pict>
      </w: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pStyle w:val="3"/>
        <w:ind w:firstLine="481" w:firstLineChars="150"/>
        <w:rPr>
          <w:rFonts w:ascii="黑体" w:hAnsi="黑体" w:eastAsia="黑体" w:cs="Times New Roman"/>
          <w:color w:val="000000"/>
        </w:rPr>
      </w:pPr>
      <w:bookmarkStart w:id="32" w:name="_Toc15396607"/>
      <w:bookmarkStart w:id="33" w:name="_Toc15377209"/>
    </w:p>
    <w:p>
      <w:pPr>
        <w:pStyle w:val="3"/>
        <w:ind w:firstLine="481" w:firstLineChars="150"/>
        <w:rPr>
          <w:rFonts w:ascii="仿宋" w:hAnsi="仿宋" w:eastAsia="仿宋" w:cs="Times New Roman"/>
          <w:color w:val="000000"/>
        </w:rPr>
      </w:pPr>
      <w:r>
        <w:rPr>
          <w:rFonts w:hint="eastAsia" w:ascii="黑体" w:hAnsi="黑体" w:eastAsia="黑体" w:cs="黑体"/>
          <w:color w:val="000000"/>
        </w:rPr>
        <w:t>五、一</w:t>
      </w:r>
      <w:r>
        <w:rPr>
          <w:rStyle w:val="18"/>
          <w:rFonts w:hint="eastAsia" w:ascii="黑体" w:hAnsi="黑体" w:eastAsia="黑体" w:cs="黑体"/>
          <w:b w:val="0"/>
          <w:bCs w:val="0"/>
        </w:rPr>
        <w:t>般公共预算财政拨款支出决算情况说明</w:t>
      </w:r>
      <w:bookmarkEnd w:id="32"/>
      <w:bookmarkEnd w:id="33"/>
      <w:bookmarkStart w:id="34" w:name="_Toc15377210"/>
    </w:p>
    <w:p>
      <w:pPr>
        <w:spacing w:line="600" w:lineRule="exact"/>
        <w:ind w:firstLine="642" w:firstLineChars="200"/>
        <w:outlineLvl w:val="1"/>
        <w:rPr>
          <w:rFonts w:ascii="楷体" w:hAnsi="楷体" w:eastAsia="楷体"/>
          <w:b/>
          <w:bCs/>
          <w:color w:val="000000"/>
          <w:sz w:val="32"/>
          <w:szCs w:val="32"/>
        </w:rPr>
      </w:pPr>
      <w:r>
        <w:rPr>
          <w:rFonts w:hint="eastAsia" w:ascii="楷体" w:hAnsi="楷体" w:eastAsia="楷体" w:cs="楷体"/>
          <w:b/>
          <w:bCs/>
          <w:color w:val="000000"/>
          <w:sz w:val="32"/>
          <w:szCs w:val="32"/>
        </w:rPr>
        <w:t>（一）一般公共预算财政拨款支出决算总体情况</w:t>
      </w:r>
      <w:bookmarkEnd w:id="34"/>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万元，占本年支出合计的</w:t>
      </w:r>
      <w:r>
        <w:rPr>
          <w:rFonts w:ascii="仿宋_GB2312" w:hAnsi="楷体" w:eastAsia="仿宋_GB2312" w:cs="仿宋_GB2312"/>
          <w:color w:val="000000"/>
          <w:sz w:val="32"/>
          <w:szCs w:val="32"/>
        </w:rPr>
        <w:t>100%</w:t>
      </w:r>
      <w:r>
        <w:rPr>
          <w:rFonts w:hint="eastAsia" w:ascii="仿宋_GB2312" w:hAnsi="楷体" w:eastAsia="仿宋_GB2312" w:cs="仿宋_GB2312"/>
          <w:color w:val="000000"/>
          <w:sz w:val="32"/>
          <w:szCs w:val="32"/>
        </w:rPr>
        <w:t>。与</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年相比，一般公共预算财政拨款增加</w:t>
      </w:r>
      <w:r>
        <w:rPr>
          <w:rFonts w:ascii="仿宋_GB2312" w:hAnsi="楷体" w:eastAsia="仿宋_GB2312" w:cs="仿宋_GB2312"/>
          <w:color w:val="000000"/>
          <w:sz w:val="32"/>
          <w:szCs w:val="32"/>
        </w:rPr>
        <w:t>15.13</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15%</w:t>
      </w:r>
      <w:r>
        <w:rPr>
          <w:rFonts w:hint="eastAsia" w:ascii="仿宋_GB2312" w:hAnsi="楷体" w:eastAsia="仿宋_GB2312" w:cs="仿宋_GB2312"/>
          <w:color w:val="000000"/>
          <w:sz w:val="32"/>
          <w:szCs w:val="32"/>
        </w:rPr>
        <w:t>。主要变动原因是人员变动及工资调整。</w:t>
      </w:r>
    </w:p>
    <w:p>
      <w:pPr>
        <w:spacing w:line="600" w:lineRule="exact"/>
        <w:ind w:firstLine="642" w:firstLineChars="200"/>
        <w:rPr>
          <w:rFonts w:ascii="仿宋_GB2312" w:hAnsi="楷体" w:eastAsia="仿宋_GB2312"/>
          <w:b/>
          <w:bCs/>
          <w:color w:val="000000"/>
          <w:sz w:val="32"/>
          <w:szCs w:val="32"/>
        </w:rPr>
      </w:pPr>
    </w:p>
    <w:p>
      <w:pPr>
        <w:spacing w:line="600" w:lineRule="exact"/>
        <w:ind w:firstLine="642" w:firstLineChars="200"/>
        <w:rPr>
          <w:rFonts w:ascii="仿宋_GB2312" w:hAnsi="楷体" w:eastAsia="仿宋_GB2312"/>
          <w:b/>
          <w:bCs/>
          <w:color w:val="000000"/>
          <w:sz w:val="32"/>
          <w:szCs w:val="32"/>
        </w:rPr>
      </w:pPr>
    </w:p>
    <w:p>
      <w:pPr>
        <w:spacing w:line="600" w:lineRule="exact"/>
        <w:ind w:firstLine="642"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5</w:t>
      </w:r>
      <w:r>
        <w:rPr>
          <w:rFonts w:hint="eastAsia" w:ascii="仿宋_GB2312" w:hAnsi="楷体" w:eastAsia="仿宋_GB2312" w:cs="仿宋_GB2312"/>
          <w:b/>
          <w:bCs/>
          <w:color w:val="000000"/>
          <w:sz w:val="32"/>
          <w:szCs w:val="32"/>
        </w:rPr>
        <w:t>：一般公共预算财政拨款支出决算变动情况）</w:t>
      </w:r>
    </w:p>
    <w:p>
      <w:pPr>
        <w:spacing w:line="600" w:lineRule="exact"/>
        <w:ind w:firstLine="420" w:firstLineChars="200"/>
        <w:rPr>
          <w:rFonts w:ascii="楷体" w:hAnsi="楷体" w:eastAsia="楷体"/>
          <w:color w:val="000000"/>
          <w:sz w:val="32"/>
          <w:szCs w:val="32"/>
        </w:rPr>
      </w:pPr>
      <w:r>
        <w:pict>
          <v:shape id="_x0000_s1030" o:spid="_x0000_s1030" o:spt="75" type="#_x0000_t75" style="position:absolute;left:0pt;margin-left:19.1pt;margin-top:27.65pt;height:217.45pt;width:246.7pt;z-index:251663360;mso-width-relative:page;mso-height-relative:page;" o:ole="t" filled="f" o:preferrelative="t" stroked="f" coordsize="21600,21600">
            <v:path/>
            <v:fill on="f" focussize="0,0"/>
            <v:stroke on="f" joinstyle="miter"/>
            <v:imagedata r:id="rId15" o:title=""/>
            <o:lock v:ext="edit" aspectratio="t"/>
          </v:shape>
          <o:OLEObject Type="Embed" ProgID="Excel.Chart.8" ShapeID="_x0000_s1030" DrawAspect="Content" ObjectID="_1468075729" r:id="rId14">
            <o:LockedField>false</o:LockedField>
          </o:OLEObject>
        </w:pict>
      </w: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2" w:firstLineChars="200"/>
        <w:outlineLvl w:val="1"/>
        <w:rPr>
          <w:rFonts w:ascii="楷体" w:hAnsi="楷体" w:eastAsia="楷体"/>
          <w:b/>
          <w:bCs/>
          <w:color w:val="000000"/>
          <w:sz w:val="32"/>
          <w:szCs w:val="32"/>
        </w:rPr>
      </w:pPr>
      <w:bookmarkStart w:id="35" w:name="_Toc15377211"/>
      <w:r>
        <w:rPr>
          <w:rFonts w:hint="eastAsia" w:ascii="楷体" w:hAnsi="楷体" w:eastAsia="楷体" w:cs="楷体"/>
          <w:b/>
          <w:bCs/>
          <w:color w:val="000000"/>
          <w:sz w:val="32"/>
          <w:szCs w:val="32"/>
        </w:rPr>
        <w:t>（二）一般公共预算财政拨款支出决算结构情况</w:t>
      </w:r>
      <w:bookmarkEnd w:id="35"/>
      <w:r>
        <w:rPr>
          <w:rStyle w:val="18"/>
          <w:rFonts w:ascii="楷体" w:hAnsi="楷体" w:eastAsia="楷体" w:cs="楷体"/>
          <w:b w:val="0"/>
          <w:bCs w:val="0"/>
        </w:rPr>
        <w:t xml:space="preserve"> </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万元，主要用于以下方面</w:t>
      </w:r>
      <w:r>
        <w:rPr>
          <w:rFonts w:ascii="仿宋_GB2312" w:hAnsi="楷体" w:eastAsia="仿宋_GB2312" w:cs="仿宋_GB2312"/>
          <w:color w:val="000000"/>
          <w:sz w:val="32"/>
          <w:szCs w:val="32"/>
        </w:rPr>
        <w:t>:</w:t>
      </w:r>
      <w:r>
        <w:rPr>
          <w:rFonts w:hint="eastAsia" w:ascii="仿宋_GB2312" w:hAnsi="楷体" w:eastAsia="仿宋_GB2312" w:cs="仿宋_GB2312"/>
          <w:b/>
          <w:bCs/>
          <w:color w:val="000000"/>
          <w:sz w:val="32"/>
          <w:szCs w:val="32"/>
        </w:rPr>
        <w:t>一般公共服务（类）</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教育支出（类）</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科学技术（类）</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Fonts w:hint="eastAsia" w:ascii="仿宋_GB2312" w:hAnsi="楷体" w:eastAsia="仿宋_GB2312" w:cs="仿宋_GB2312"/>
          <w:b/>
          <w:bCs/>
          <w:color w:val="000000"/>
          <w:sz w:val="32"/>
          <w:szCs w:val="32"/>
        </w:rPr>
        <w:t>社会保障和就业（</w:t>
      </w:r>
      <w:r>
        <w:rPr>
          <w:rFonts w:ascii="仿宋_GB2312" w:hAnsi="楷体" w:eastAsia="仿宋_GB2312" w:cs="仿宋_GB2312"/>
          <w:b/>
          <w:bCs/>
          <w:color w:val="000000"/>
          <w:sz w:val="32"/>
          <w:szCs w:val="32"/>
        </w:rPr>
        <w:t>208</w:t>
      </w:r>
      <w:r>
        <w:rPr>
          <w:rFonts w:hint="eastAsia" w:ascii="仿宋_GB2312" w:hAnsi="楷体" w:eastAsia="仿宋_GB2312" w:cs="仿宋_GB2312"/>
          <w:b/>
          <w:bCs/>
          <w:color w:val="000000"/>
          <w:sz w:val="32"/>
          <w:szCs w:val="32"/>
        </w:rPr>
        <w:t>）</w:t>
      </w:r>
      <w:r>
        <w:rPr>
          <w:rFonts w:hint="eastAsia" w:ascii="仿宋_GB2312" w:hAnsi="楷体" w:eastAsia="仿宋_GB2312" w:cs="仿宋_GB2312"/>
          <w:color w:val="000000"/>
          <w:sz w:val="32"/>
          <w:szCs w:val="32"/>
        </w:rPr>
        <w:t>支出</w:t>
      </w:r>
      <w:r>
        <w:rPr>
          <w:rFonts w:ascii="仿宋_GB2312" w:hAnsi="楷体" w:eastAsia="仿宋_GB2312" w:cs="仿宋_GB2312"/>
          <w:color w:val="000000"/>
          <w:sz w:val="32"/>
          <w:szCs w:val="32"/>
        </w:rPr>
        <w:t>87.27</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87%</w:t>
      </w:r>
      <w:r>
        <w:rPr>
          <w:rFonts w:hint="eastAsia" w:ascii="仿宋_GB2312" w:hAnsi="楷体" w:eastAsia="仿宋_GB2312" w:cs="仿宋_GB2312"/>
          <w:color w:val="000000"/>
          <w:sz w:val="32"/>
          <w:szCs w:val="32"/>
        </w:rPr>
        <w:t>；医疗卫生支出</w:t>
      </w:r>
      <w:r>
        <w:rPr>
          <w:rFonts w:ascii="仿宋_GB2312" w:hAnsi="楷体" w:eastAsia="仿宋_GB2312" w:cs="仿宋_GB2312"/>
          <w:color w:val="000000"/>
          <w:sz w:val="32"/>
          <w:szCs w:val="32"/>
        </w:rPr>
        <w:t>5.16</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；住房保障支出</w:t>
      </w:r>
      <w:r>
        <w:rPr>
          <w:rFonts w:ascii="仿宋_GB2312" w:hAnsi="楷体" w:eastAsia="仿宋_GB2312" w:cs="仿宋_GB2312"/>
          <w:color w:val="000000"/>
          <w:sz w:val="32"/>
          <w:szCs w:val="32"/>
        </w:rPr>
        <w:t>8.13</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8%</w:t>
      </w:r>
      <w:r>
        <w:rPr>
          <w:rFonts w:hint="eastAsia" w:ascii="仿宋_GB2312" w:hAnsi="楷体" w:eastAsia="仿宋_GB2312" w:cs="仿宋_GB2312"/>
          <w:color w:val="000000"/>
          <w:sz w:val="32"/>
          <w:szCs w:val="32"/>
        </w:rPr>
        <w:t>。</w:t>
      </w:r>
    </w:p>
    <w:p>
      <w:pPr>
        <w:spacing w:line="600" w:lineRule="exact"/>
        <w:ind w:firstLine="420" w:firstLineChars="200"/>
        <w:rPr>
          <w:rFonts w:ascii="仿宋_GB2312" w:hAnsi="楷体" w:eastAsia="仿宋_GB2312"/>
          <w:color w:val="000000"/>
          <w:sz w:val="32"/>
          <w:szCs w:val="32"/>
        </w:rPr>
      </w:pPr>
      <w:r>
        <w:pict>
          <v:shape id="_x0000_s1031" o:spid="_x0000_s1031" o:spt="75" type="#_x0000_t75" style="position:absolute;left:0pt;margin-left:8.5pt;margin-top:23.25pt;height:241.9pt;width:415.7pt;z-index:251664384;mso-width-relative:page;mso-height-relative:page;" o:ole="t" filled="f" o:preferrelative="t" stroked="f" coordsize="21600,21600">
            <v:path/>
            <v:fill on="f" focussize="0,0"/>
            <v:stroke on="f" joinstyle="miter"/>
            <v:imagedata r:id="rId17" o:title=""/>
            <o:lock v:ext="edit" aspectratio="t"/>
          </v:shape>
          <o:OLEObject Type="Embed" ProgID="Excel.Chart.8" ShapeID="_x0000_s1031" DrawAspect="Content" ObjectID="_1468075730" r:id="rId16">
            <o:LockedField>false</o:LockedField>
          </o:OLEObject>
        </w:pict>
      </w: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6</w:t>
      </w:r>
      <w:r>
        <w:rPr>
          <w:rFonts w:hint="eastAsia" w:ascii="仿宋_GB2312" w:hAnsi="楷体" w:eastAsia="仿宋_GB2312" w:cs="仿宋_GB2312"/>
          <w:b/>
          <w:bCs/>
          <w:color w:val="000000"/>
          <w:sz w:val="32"/>
          <w:szCs w:val="32"/>
        </w:rPr>
        <w:t>：一般公共预算财政拨款支出决算结构）</w:t>
      </w:r>
    </w:p>
    <w:p>
      <w:pPr>
        <w:spacing w:line="600" w:lineRule="exact"/>
        <w:ind w:firstLine="640" w:firstLineChars="200"/>
        <w:rPr>
          <w:rFonts w:ascii="仿宋_GB2312" w:hAnsi="楷体" w:eastAsia="仿宋_GB2312"/>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0" w:firstLineChars="200"/>
        <w:rPr>
          <w:rFonts w:ascii="楷体" w:hAnsi="楷体" w:eastAsia="楷体"/>
          <w:color w:val="000000"/>
          <w:sz w:val="32"/>
          <w:szCs w:val="32"/>
        </w:rPr>
      </w:pPr>
    </w:p>
    <w:p>
      <w:pPr>
        <w:spacing w:line="600" w:lineRule="exact"/>
        <w:ind w:firstLine="642" w:firstLineChars="200"/>
        <w:outlineLvl w:val="1"/>
        <w:rPr>
          <w:rFonts w:ascii="楷体" w:hAnsi="楷体" w:eastAsia="楷体"/>
          <w:b/>
          <w:bCs/>
          <w:color w:val="000000"/>
          <w:sz w:val="32"/>
          <w:szCs w:val="32"/>
        </w:rPr>
      </w:pPr>
      <w:bookmarkStart w:id="36" w:name="_Toc15377212"/>
      <w:r>
        <w:rPr>
          <w:rFonts w:hint="eastAsia" w:ascii="仿宋" w:hAnsi="仿宋" w:eastAsia="仿宋" w:cs="仿宋"/>
          <w:b/>
          <w:bCs/>
          <w:color w:val="000000"/>
          <w:sz w:val="32"/>
          <w:szCs w:val="32"/>
        </w:rPr>
        <w:t>（</w:t>
      </w:r>
      <w:r>
        <w:rPr>
          <w:rFonts w:hint="eastAsia" w:ascii="楷体" w:hAnsi="楷体" w:eastAsia="楷体" w:cs="楷体"/>
          <w:b/>
          <w:bCs/>
          <w:color w:val="000000"/>
          <w:sz w:val="32"/>
          <w:szCs w:val="32"/>
        </w:rPr>
        <w:t>三）一般公共预算财政拨款支出决算具体情况</w:t>
      </w:r>
      <w:bookmarkEnd w:id="36"/>
    </w:p>
    <w:p>
      <w:pPr>
        <w:spacing w:line="600" w:lineRule="exact"/>
        <w:ind w:firstLine="640" w:firstLineChars="200"/>
        <w:outlineLvl w:val="2"/>
        <w:rPr>
          <w:rFonts w:ascii="仿宋_GB2312" w:hAnsi="楷体" w:eastAsia="仿宋_GB2312"/>
          <w:color w:val="FF0000"/>
          <w:sz w:val="32"/>
          <w:szCs w:val="32"/>
        </w:rPr>
      </w:pPr>
      <w:bookmarkStart w:id="37" w:name="_Toc15377444"/>
      <w:bookmarkStart w:id="38" w:name="_Toc15377213"/>
      <w:bookmarkStart w:id="39" w:name="_Toc15378460"/>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年般公共预算支出决算数为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w:t>
      </w:r>
      <w:r>
        <w:rPr>
          <w:rStyle w:val="15"/>
          <w:rFonts w:hint="eastAsia" w:ascii="仿宋_GB2312" w:hAnsi="楷体" w:eastAsia="仿宋_GB2312" w:cs="仿宋_GB2312"/>
          <w:color w:val="000000"/>
          <w:sz w:val="32"/>
          <w:szCs w:val="32"/>
        </w:rPr>
        <w:t>完成预算</w:t>
      </w:r>
      <w:r>
        <w:rPr>
          <w:rStyle w:val="15"/>
          <w:rFonts w:ascii="仿宋_GB2312" w:hAnsi="楷体" w:eastAsia="仿宋_GB2312" w:cs="仿宋_GB2312"/>
          <w:color w:val="000000"/>
          <w:sz w:val="32"/>
          <w:szCs w:val="32"/>
        </w:rPr>
        <w:t>100%</w:t>
      </w:r>
      <w:r>
        <w:rPr>
          <w:rStyle w:val="15"/>
          <w:rFonts w:hint="eastAsia" w:ascii="仿宋_GB2312" w:hAnsi="楷体" w:eastAsia="仿宋_GB2312" w:cs="仿宋_GB2312"/>
          <w:color w:val="000000"/>
          <w:sz w:val="32"/>
          <w:szCs w:val="32"/>
        </w:rPr>
        <w:t>。其中：</w:t>
      </w:r>
      <w:bookmarkEnd w:id="37"/>
      <w:bookmarkEnd w:id="38"/>
      <w:bookmarkEnd w:id="39"/>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w:t>
      </w:r>
      <w:r>
        <w:rPr>
          <w:rStyle w:val="15"/>
          <w:rFonts w:hint="eastAsia" w:ascii="仿宋_GB2312" w:hAnsi="楷体" w:eastAsia="仿宋_GB2312" w:cs="仿宋_GB2312"/>
          <w:b w:val="0"/>
          <w:bCs w:val="0"/>
          <w:sz w:val="32"/>
          <w:szCs w:val="32"/>
        </w:rPr>
        <w:t>社会保障和就业支出（类）行政事业单位离退休（款）</w:t>
      </w:r>
      <w:r>
        <w:rPr>
          <w:rStyle w:val="15"/>
          <w:rFonts w:hint="eastAsia" w:ascii="仿宋_GB2312" w:hAnsi="楷体" w:eastAsia="仿宋_GB2312" w:cs="仿宋_GB2312"/>
          <w:b w:val="0"/>
          <w:bCs w:val="0"/>
          <w:color w:val="000000"/>
          <w:sz w:val="32"/>
          <w:szCs w:val="32"/>
        </w:rPr>
        <w:t>机关事业单位养老保险缴费支出（项）</w:t>
      </w:r>
      <w:r>
        <w:rPr>
          <w:rStyle w:val="15"/>
          <w:rFonts w:ascii="仿宋_GB2312" w:hAnsi="楷体" w:eastAsia="仿宋_GB2312" w:cs="仿宋_GB2312"/>
          <w:b w:val="0"/>
          <w:bCs w:val="0"/>
          <w:color w:val="000000"/>
          <w:sz w:val="32"/>
          <w:szCs w:val="32"/>
        </w:rPr>
        <w:t>:</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9.86</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2.</w:t>
      </w:r>
      <w:r>
        <w:rPr>
          <w:rStyle w:val="15"/>
          <w:rFonts w:hint="eastAsia" w:ascii="仿宋_GB2312" w:hAnsi="楷体" w:eastAsia="仿宋_GB2312" w:cs="仿宋_GB2312"/>
          <w:b w:val="0"/>
          <w:bCs w:val="0"/>
          <w:sz w:val="32"/>
          <w:szCs w:val="32"/>
        </w:rPr>
        <w:t>社会保障和就业支出（类）行政事业单位离退休（款）机关事业单位职业年金缴费支出（项）：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:3.94</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3.</w:t>
      </w:r>
      <w:r>
        <w:rPr>
          <w:rStyle w:val="15"/>
          <w:rFonts w:hint="eastAsia" w:ascii="仿宋_GB2312" w:hAnsi="楷体" w:eastAsia="仿宋_GB2312" w:cs="仿宋_GB2312"/>
          <w:b w:val="0"/>
          <w:bCs w:val="0"/>
          <w:sz w:val="32"/>
          <w:szCs w:val="32"/>
        </w:rPr>
        <w:t>社会保障和就业支出（类）红十字事业（款）其他红十字事业支出（项）：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73.47</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color w:val="000000"/>
          <w:sz w:val="32"/>
          <w:szCs w:val="32"/>
        </w:rPr>
        <w:t>4.</w:t>
      </w:r>
      <w:r>
        <w:rPr>
          <w:rStyle w:val="15"/>
          <w:rFonts w:hint="eastAsia" w:ascii="仿宋_GB2312" w:hAnsi="楷体" w:eastAsia="仿宋_GB2312" w:cs="仿宋_GB2312"/>
          <w:b w:val="0"/>
          <w:bCs w:val="0"/>
          <w:color w:val="000000"/>
          <w:sz w:val="32"/>
          <w:szCs w:val="32"/>
        </w:rPr>
        <w:t>医疗卫生与计划生育支出（类）行政事业单位医疗（款）</w:t>
      </w:r>
      <w:r>
        <w:rPr>
          <w:rStyle w:val="15"/>
          <w:rFonts w:hint="eastAsia" w:ascii="仿宋_GB2312" w:hAnsi="楷体" w:eastAsia="仿宋_GB2312" w:cs="仿宋_GB2312"/>
          <w:b w:val="0"/>
          <w:bCs w:val="0"/>
          <w:sz w:val="32"/>
          <w:szCs w:val="32"/>
        </w:rPr>
        <w:t>行政单位医疗（项）：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:5.16</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5.</w:t>
      </w:r>
      <w:r>
        <w:rPr>
          <w:rStyle w:val="15"/>
          <w:rFonts w:hint="eastAsia" w:ascii="仿宋_GB2312" w:hAnsi="楷体" w:eastAsia="仿宋_GB2312" w:cs="仿宋_GB2312"/>
          <w:b w:val="0"/>
          <w:bCs w:val="0"/>
          <w:sz w:val="32"/>
          <w:szCs w:val="32"/>
        </w:rPr>
        <w:t>住房保障支出（类）住房改革支出（款）住房公积金（项）：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:7.11</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6.</w:t>
      </w:r>
      <w:r>
        <w:rPr>
          <w:rStyle w:val="15"/>
          <w:rFonts w:hint="eastAsia" w:ascii="仿宋_GB2312" w:hAnsi="楷体" w:eastAsia="仿宋_GB2312" w:cs="仿宋_GB2312"/>
          <w:b w:val="0"/>
          <w:bCs w:val="0"/>
          <w:sz w:val="32"/>
          <w:szCs w:val="32"/>
        </w:rPr>
        <w:t>住房保障支出（类）住房改革支出（款）购房补贴（项）：</w:t>
      </w:r>
      <w:r>
        <w:rPr>
          <w:rStyle w:val="15"/>
          <w:rFonts w:ascii="仿宋_GB2312" w:hAnsi="楷体" w:eastAsia="仿宋_GB2312" w:cs="仿宋_GB2312"/>
          <w:b w:val="0"/>
          <w:bCs w:val="0"/>
          <w:sz w:val="32"/>
          <w:szCs w:val="32"/>
        </w:rPr>
        <w:t>2018</w:t>
      </w:r>
      <w:r>
        <w:rPr>
          <w:rStyle w:val="15"/>
          <w:rFonts w:hint="eastAsia" w:ascii="仿宋_GB2312" w:hAnsi="楷体" w:eastAsia="仿宋_GB2312" w:cs="仿宋_GB2312"/>
          <w:b w:val="0"/>
          <w:bCs w:val="0"/>
          <w:sz w:val="32"/>
          <w:szCs w:val="32"/>
        </w:rPr>
        <w:t>年决算数为</w:t>
      </w:r>
      <w:r>
        <w:rPr>
          <w:rStyle w:val="15"/>
          <w:rFonts w:ascii="仿宋_GB2312" w:hAnsi="楷体" w:eastAsia="仿宋_GB2312" w:cs="仿宋_GB2312"/>
          <w:b w:val="0"/>
          <w:bCs w:val="0"/>
          <w:sz w:val="32"/>
          <w:szCs w:val="32"/>
        </w:rPr>
        <w:t>:1.02</w:t>
      </w:r>
      <w:r>
        <w:rPr>
          <w:rStyle w:val="15"/>
          <w:rFonts w:hint="eastAsia" w:ascii="仿宋_GB2312" w:hAnsi="楷体" w:eastAsia="仿宋_GB2312" w:cs="仿宋_GB2312"/>
          <w:b w:val="0"/>
          <w:bCs w:val="0"/>
          <w:sz w:val="32"/>
          <w:szCs w:val="32"/>
        </w:rPr>
        <w:t>万元，完成预算</w:t>
      </w:r>
      <w:r>
        <w:rPr>
          <w:rStyle w:val="15"/>
          <w:rFonts w:ascii="仿宋_GB2312" w:hAnsi="楷体" w:eastAsia="仿宋_GB2312" w:cs="仿宋_GB2312"/>
          <w:b w:val="0"/>
          <w:bCs w:val="0"/>
          <w:sz w:val="32"/>
          <w:szCs w:val="32"/>
        </w:rPr>
        <w:t>100%</w:t>
      </w:r>
      <w:r>
        <w:rPr>
          <w:rStyle w:val="15"/>
          <w:rFonts w:hint="eastAsia" w:ascii="仿宋_GB2312" w:hAnsi="楷体" w:eastAsia="仿宋_GB2312" w:cs="仿宋_GB2312"/>
          <w:b w:val="0"/>
          <w:bCs w:val="0"/>
          <w:sz w:val="32"/>
          <w:szCs w:val="32"/>
        </w:rPr>
        <w:t>。</w:t>
      </w:r>
    </w:p>
    <w:p>
      <w:pPr>
        <w:pStyle w:val="3"/>
        <w:ind w:firstLine="481" w:firstLineChars="150"/>
        <w:rPr>
          <w:rStyle w:val="18"/>
          <w:rFonts w:cs="Times New Roman"/>
          <w:b/>
          <w:bCs/>
        </w:rPr>
      </w:pPr>
      <w:bookmarkStart w:id="40" w:name="_Toc15396608"/>
      <w:bookmarkStart w:id="41" w:name="_Toc15377214"/>
      <w:r>
        <w:rPr>
          <w:rFonts w:hint="eastAsia" w:ascii="黑体" w:eastAsia="黑体" w:cs="黑体"/>
          <w:color w:val="000000"/>
        </w:rPr>
        <w:t>六、</w:t>
      </w:r>
      <w:r>
        <w:rPr>
          <w:rFonts w:hint="eastAsia" w:ascii="黑体" w:hAnsi="黑体" w:eastAsia="黑体" w:cs="黑体"/>
          <w:color w:val="000000"/>
        </w:rPr>
        <w:t>一</w:t>
      </w:r>
      <w:r>
        <w:rPr>
          <w:rStyle w:val="18"/>
          <w:rFonts w:hint="eastAsia" w:ascii="黑体" w:hAnsi="黑体" w:eastAsia="黑体" w:cs="黑体"/>
          <w:b w:val="0"/>
          <w:bCs w:val="0"/>
        </w:rPr>
        <w:t>般公共预算财政拨款基本支出决算情况说明</w:t>
      </w:r>
      <w:bookmarkEnd w:id="40"/>
      <w:bookmarkEnd w:id="41"/>
    </w:p>
    <w:p>
      <w:pPr>
        <w:spacing w:line="600" w:lineRule="exact"/>
        <w:ind w:firstLine="645"/>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年一般公共预算财政拨款基本支出</w:t>
      </w:r>
      <w:r>
        <w:rPr>
          <w:rFonts w:ascii="仿宋_GB2312" w:hAnsi="楷体" w:eastAsia="仿宋_GB2312" w:cs="仿宋_GB2312"/>
          <w:color w:val="000000"/>
          <w:sz w:val="32"/>
          <w:szCs w:val="32"/>
        </w:rPr>
        <w:t>100.56</w:t>
      </w:r>
      <w:r>
        <w:rPr>
          <w:rFonts w:hint="eastAsia" w:ascii="仿宋_GB2312" w:hAnsi="楷体" w:eastAsia="仿宋_GB2312" w:cs="仿宋_GB2312"/>
          <w:color w:val="000000"/>
          <w:sz w:val="32"/>
          <w:szCs w:val="32"/>
        </w:rPr>
        <w:t>万元，其中：</w:t>
      </w:r>
    </w:p>
    <w:p>
      <w:pPr>
        <w:spacing w:line="600" w:lineRule="exact"/>
        <w:ind w:firstLine="645"/>
        <w:rPr>
          <w:rFonts w:ascii="仿宋_GB2312" w:hAnsi="楷体" w:eastAsia="仿宋_GB2312"/>
          <w:color w:val="000000"/>
          <w:sz w:val="32"/>
          <w:szCs w:val="32"/>
        </w:rPr>
      </w:pPr>
      <w:r>
        <w:rPr>
          <w:rFonts w:hint="eastAsia" w:ascii="仿宋_GB2312" w:hAnsi="楷体" w:eastAsia="仿宋_GB2312" w:cs="仿宋_GB2312"/>
          <w:color w:val="000000"/>
          <w:sz w:val="32"/>
          <w:szCs w:val="32"/>
        </w:rPr>
        <w:t>人员经费</w:t>
      </w:r>
      <w:r>
        <w:rPr>
          <w:rFonts w:ascii="仿宋_GB2312" w:hAnsi="楷体" w:eastAsia="仿宋_GB2312" w:cs="仿宋_GB2312"/>
          <w:color w:val="000000"/>
          <w:sz w:val="32"/>
          <w:szCs w:val="32"/>
        </w:rPr>
        <w:t>91.5</w:t>
      </w:r>
      <w:r>
        <w:rPr>
          <w:rFonts w:hint="eastAsia" w:ascii="仿宋_GB2312" w:hAnsi="楷体" w:eastAsia="仿宋_GB2312" w:cs="仿宋_GB2312"/>
          <w:color w:val="000000"/>
          <w:sz w:val="32"/>
          <w:szCs w:val="32"/>
        </w:rPr>
        <w:t>万元，主要包括：基本工资、津贴补贴、奖金、伙食补助费、绩效工资、机关事业单位基本养老保险缴费、职业年金缴费、职工基本医疗保险费、其他社会保障缴费、其他工资福利支出、离休费、退休费、抚恤金、生活补助、医疗费、奖励金、住房公积金、提租补贴、购房补贴、其他对个人和家庭的补助支出等。</w:t>
      </w:r>
      <w:r>
        <w:rPr>
          <w:rFonts w:ascii="仿宋_GB2312" w:hAnsi="楷体" w:eastAsia="仿宋_GB2312"/>
          <w:color w:val="000000"/>
          <w:sz w:val="32"/>
          <w:szCs w:val="32"/>
        </w:rPr>
        <w:br w:type="textWrapping"/>
      </w:r>
      <w:r>
        <w:rPr>
          <w:rFonts w:hint="eastAsia" w:ascii="仿宋_GB2312" w:hAnsi="楷体" w:eastAsia="仿宋_GB2312" w:cs="仿宋_GB2312"/>
          <w:color w:val="000000"/>
          <w:sz w:val="32"/>
          <w:szCs w:val="32"/>
        </w:rPr>
        <w:t>　　公用经费</w:t>
      </w:r>
      <w:r>
        <w:rPr>
          <w:rFonts w:ascii="仿宋_GB2312" w:hAnsi="楷体" w:eastAsia="仿宋_GB2312" w:cs="仿宋_GB2312"/>
          <w:color w:val="000000"/>
          <w:sz w:val="32"/>
          <w:szCs w:val="32"/>
        </w:rPr>
        <w:t>9.06</w:t>
      </w:r>
      <w:r>
        <w:rPr>
          <w:rFonts w:hint="eastAsia" w:ascii="仿宋_GB2312" w:hAnsi="楷体"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Style w:val="3"/>
        <w:ind w:firstLine="481" w:firstLineChars="150"/>
        <w:rPr>
          <w:rStyle w:val="18"/>
          <w:rFonts w:ascii="黑体" w:hAnsi="黑体" w:eastAsia="黑体" w:cs="Times New Roman"/>
          <w:b w:val="0"/>
          <w:bCs w:val="0"/>
        </w:rPr>
      </w:pPr>
      <w:bookmarkStart w:id="42" w:name="_Toc15396609"/>
      <w:bookmarkStart w:id="43" w:name="_Toc15377215"/>
      <w:r>
        <w:rPr>
          <w:rFonts w:hint="eastAsia" w:ascii="黑体" w:hAnsi="黑体" w:eastAsia="黑体" w:cs="黑体"/>
          <w:color w:val="000000"/>
        </w:rPr>
        <w:t>七、</w:t>
      </w:r>
      <w:r>
        <w:rPr>
          <w:rStyle w:val="18"/>
          <w:rFonts w:hint="eastAsia" w:ascii="黑体" w:hAnsi="黑体" w:eastAsia="黑体" w:cs="黑体"/>
          <w:b/>
          <w:bCs/>
        </w:rPr>
        <w:t>“</w:t>
      </w:r>
      <w:r>
        <w:rPr>
          <w:rStyle w:val="18"/>
          <w:rFonts w:hint="eastAsia" w:ascii="黑体" w:hAnsi="黑体" w:eastAsia="黑体" w:cs="黑体"/>
          <w:b w:val="0"/>
          <w:bCs w:val="0"/>
        </w:rPr>
        <w:t>三公”经费财政拨款支出决算情况说明</w:t>
      </w:r>
      <w:bookmarkEnd w:id="42"/>
      <w:bookmarkEnd w:id="43"/>
    </w:p>
    <w:p>
      <w:pPr>
        <w:spacing w:line="600" w:lineRule="exact"/>
        <w:ind w:firstLine="642" w:firstLineChars="200"/>
        <w:outlineLvl w:val="1"/>
        <w:rPr>
          <w:rFonts w:ascii="楷体" w:hAnsi="楷体" w:eastAsia="楷体"/>
          <w:b/>
          <w:bCs/>
          <w:color w:val="000000"/>
          <w:sz w:val="32"/>
          <w:szCs w:val="32"/>
        </w:rPr>
      </w:pPr>
      <w:bookmarkStart w:id="44" w:name="_Toc15377216"/>
      <w:r>
        <w:rPr>
          <w:rFonts w:hint="eastAsia" w:ascii="楷体" w:hAnsi="楷体" w:eastAsia="楷体" w:cs="楷体"/>
          <w:b/>
          <w:bCs/>
          <w:color w:val="000000"/>
          <w:sz w:val="32"/>
          <w:szCs w:val="32"/>
        </w:rPr>
        <w:t>（一）“三公”经费财政拨款支出决算总体情况说明</w:t>
      </w:r>
      <w:bookmarkEnd w:id="44"/>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年“三公”经费财政拨款支出决算为</w:t>
      </w:r>
      <w:r>
        <w:rPr>
          <w:rFonts w:ascii="仿宋_GB2312" w:hAnsi="楷体" w:eastAsia="仿宋_GB2312" w:cs="仿宋_GB2312"/>
          <w:color w:val="000000"/>
          <w:sz w:val="32"/>
          <w:szCs w:val="32"/>
        </w:rPr>
        <w:t>3.46</w:t>
      </w:r>
      <w:r>
        <w:rPr>
          <w:rFonts w:hint="eastAsia" w:ascii="仿宋_GB2312" w:hAnsi="楷体" w:eastAsia="仿宋_GB2312" w:cs="仿宋_GB2312"/>
          <w:color w:val="000000"/>
          <w:sz w:val="32"/>
          <w:szCs w:val="32"/>
        </w:rPr>
        <w:t>万元，完成预算</w:t>
      </w:r>
      <w:r>
        <w:rPr>
          <w:rFonts w:ascii="仿宋_GB2312" w:hAnsi="楷体" w:eastAsia="仿宋_GB2312" w:cs="仿宋_GB2312"/>
          <w:color w:val="000000"/>
          <w:sz w:val="32"/>
          <w:szCs w:val="32"/>
        </w:rPr>
        <w:t>82%</w:t>
      </w:r>
      <w:r>
        <w:rPr>
          <w:rFonts w:hint="eastAsia" w:ascii="仿宋_GB2312" w:hAnsi="楷体" w:eastAsia="仿宋_GB2312" w:cs="仿宋_GB2312"/>
          <w:color w:val="000000"/>
          <w:sz w:val="32"/>
          <w:szCs w:val="32"/>
        </w:rPr>
        <w:t>，决算数小于预算数的主要原因是厉行节约。</w:t>
      </w:r>
    </w:p>
    <w:p>
      <w:pPr>
        <w:spacing w:line="600" w:lineRule="exact"/>
        <w:ind w:firstLine="642" w:firstLineChars="200"/>
        <w:outlineLvl w:val="1"/>
        <w:rPr>
          <w:rFonts w:ascii="仿宋_GB2312" w:hAnsi="楷体" w:eastAsia="仿宋_GB2312"/>
          <w:b/>
          <w:bCs/>
          <w:color w:val="000000"/>
          <w:sz w:val="32"/>
          <w:szCs w:val="32"/>
        </w:rPr>
      </w:pPr>
      <w:bookmarkStart w:id="45" w:name="_Toc15377217"/>
      <w:r>
        <w:rPr>
          <w:rFonts w:hint="eastAsia" w:ascii="仿宋_GB2312" w:hAnsi="楷体" w:eastAsia="仿宋_GB2312" w:cs="仿宋_GB2312"/>
          <w:b/>
          <w:bCs/>
          <w:color w:val="000000"/>
          <w:sz w:val="32"/>
          <w:szCs w:val="32"/>
        </w:rPr>
        <w:t>（二）“三公”经费财政拨款支出决算具体情况说明</w:t>
      </w:r>
      <w:bookmarkEnd w:id="45"/>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年“三公”经费财政拨款支出决算中，因公出国（境）费支出决算</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万元；公务用车购置及运行维护费支出决算</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95%</w:t>
      </w:r>
      <w:r>
        <w:rPr>
          <w:rFonts w:hint="eastAsia" w:ascii="仿宋_GB2312" w:hAnsi="楷体" w:eastAsia="仿宋_GB2312" w:cs="仿宋_GB2312"/>
          <w:color w:val="000000"/>
          <w:sz w:val="32"/>
          <w:szCs w:val="32"/>
        </w:rPr>
        <w:t>；公务接待费支出决算</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万元，占</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。具体情况如下：</w:t>
      </w:r>
    </w:p>
    <w:p>
      <w:pPr>
        <w:spacing w:line="600" w:lineRule="exact"/>
        <w:ind w:firstLine="64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（图</w:t>
      </w:r>
      <w:r>
        <w:rPr>
          <w:rFonts w:ascii="仿宋_GB2312" w:hAnsi="楷体" w:eastAsia="仿宋_GB2312" w:cs="仿宋_GB2312"/>
          <w:b/>
          <w:bCs/>
          <w:color w:val="000000"/>
          <w:sz w:val="32"/>
          <w:szCs w:val="32"/>
        </w:rPr>
        <w:t>8</w:t>
      </w:r>
      <w:r>
        <w:rPr>
          <w:rFonts w:hint="eastAsia" w:ascii="仿宋_GB2312" w:hAnsi="楷体" w:eastAsia="仿宋_GB2312" w:cs="仿宋_GB2312"/>
          <w:b/>
          <w:bCs/>
          <w:color w:val="000000"/>
          <w:sz w:val="32"/>
          <w:szCs w:val="32"/>
        </w:rPr>
        <w:t>：“三公”经费财政拨款支出结构）</w:t>
      </w:r>
    </w:p>
    <w:p>
      <w:pPr>
        <w:spacing w:line="600" w:lineRule="exact"/>
        <w:ind w:firstLine="640"/>
        <w:rPr>
          <w:rFonts w:ascii="仿宋_GB2312" w:hAnsi="楷体" w:eastAsia="仿宋_GB2312"/>
          <w:color w:val="000000"/>
          <w:sz w:val="32"/>
          <w:szCs w:val="32"/>
        </w:rPr>
      </w:pPr>
      <w:r>
        <w:pict>
          <v:shape id="_x0000_s1032" o:spid="_x0000_s1032" o:spt="75" type="#_x0000_t75" style="position:absolute;left:0pt;margin-left:-0.5pt;margin-top:12.85pt;height:241.9pt;width:415.7pt;z-index:251665408;mso-width-relative:page;mso-height-relative:page;" o:ole="t" filled="f" o:preferrelative="t" stroked="f" coordsize="21600,21600">
            <v:path/>
            <v:fill on="f" focussize="0,0"/>
            <v:stroke on="f" joinstyle="miter"/>
            <v:imagedata r:id="rId19" o:title=""/>
            <o:lock v:ext="edit" aspectratio="t"/>
          </v:shape>
          <o:OLEObject Type="Embed" ProgID="Excel.Chart.8" ShapeID="_x0000_s1032" DrawAspect="Content" ObjectID="_1468075731" r:id="rId18">
            <o:LockedField>false</o:LockedField>
          </o:OLEObject>
        </w:pict>
      </w: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ind w:firstLine="640"/>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rPr>
          <w:rFonts w:ascii="楷体" w:hAnsi="楷体" w:eastAsia="楷体"/>
          <w:color w:val="000000"/>
          <w:sz w:val="32"/>
          <w:szCs w:val="32"/>
        </w:rPr>
      </w:pPr>
    </w:p>
    <w:p>
      <w:pPr>
        <w:spacing w:line="600" w:lineRule="exact"/>
        <w:ind w:firstLine="642" w:firstLineChars="200"/>
        <w:rPr>
          <w:rFonts w:ascii="仿宋_GB2312" w:hAnsi="楷体" w:eastAsia="仿宋_GB2312"/>
          <w:b/>
          <w:bCs/>
          <w:color w:val="000000"/>
          <w:sz w:val="32"/>
          <w:szCs w:val="32"/>
        </w:rPr>
      </w:pPr>
      <w:r>
        <w:rPr>
          <w:rFonts w:ascii="仿宋_GB2312" w:hAnsi="楷体" w:eastAsia="仿宋_GB2312" w:cs="仿宋_GB2312"/>
          <w:b/>
          <w:bCs/>
          <w:color w:val="000000"/>
          <w:sz w:val="32"/>
          <w:szCs w:val="32"/>
        </w:rPr>
        <w:t>1.</w:t>
      </w:r>
      <w:r>
        <w:rPr>
          <w:rFonts w:hint="eastAsia" w:ascii="仿宋_GB2312" w:hAnsi="楷体" w:eastAsia="仿宋_GB2312" w:cs="仿宋_GB2312"/>
          <w:b/>
          <w:bCs/>
          <w:color w:val="000000"/>
          <w:sz w:val="32"/>
          <w:szCs w:val="32"/>
        </w:rPr>
        <w:t>因公出国（境）经费支出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r>
        <w:rPr>
          <w:rStyle w:val="15"/>
          <w:rFonts w:hint="eastAsia" w:ascii="仿宋_GB2312" w:hAnsi="楷体" w:eastAsia="仿宋_GB2312" w:cs="仿宋_GB2312"/>
          <w:b w:val="0"/>
          <w:bCs w:val="0"/>
          <w:color w:val="000000"/>
          <w:sz w:val="32"/>
          <w:szCs w:val="32"/>
        </w:rPr>
        <w:t>。</w:t>
      </w:r>
    </w:p>
    <w:p>
      <w:pPr>
        <w:spacing w:line="600" w:lineRule="exact"/>
        <w:ind w:firstLine="640"/>
        <w:rPr>
          <w:rFonts w:ascii="仿宋_GB2312" w:hAnsi="楷体" w:eastAsia="仿宋_GB2312"/>
          <w:b/>
          <w:bCs/>
          <w:color w:val="000000"/>
          <w:sz w:val="32"/>
          <w:szCs w:val="32"/>
        </w:rPr>
      </w:pPr>
      <w:r>
        <w:rPr>
          <w:rFonts w:ascii="仿宋_GB2312" w:hAnsi="楷体" w:eastAsia="仿宋_GB2312" w:cs="仿宋_GB2312"/>
          <w:b/>
          <w:bCs/>
          <w:color w:val="000000"/>
          <w:sz w:val="32"/>
          <w:szCs w:val="32"/>
        </w:rPr>
        <w:t>2.</w:t>
      </w:r>
      <w:r>
        <w:rPr>
          <w:rFonts w:hint="eastAsia" w:ascii="仿宋_GB2312" w:hAnsi="楷体" w:eastAsia="仿宋_GB2312" w:cs="仿宋_GB2312"/>
          <w:b/>
          <w:bCs/>
          <w:color w:val="000000"/>
          <w:sz w:val="32"/>
          <w:szCs w:val="32"/>
        </w:rPr>
        <w:t>公务用车购置及运行维护费支出</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w:t>
      </w:r>
      <w:r>
        <w:rPr>
          <w:rFonts w:ascii="仿宋_GB2312" w:hAnsi="楷体" w:eastAsia="仿宋_GB2312" w:cs="仿宋_GB2312"/>
          <w:color w:val="000000"/>
          <w:sz w:val="32"/>
          <w:szCs w:val="32"/>
        </w:rPr>
        <w:t>,</w:t>
      </w:r>
      <w:r>
        <w:rPr>
          <w:rStyle w:val="15"/>
          <w:rFonts w:hint="eastAsia" w:ascii="仿宋_GB2312" w:hAnsi="楷体" w:eastAsia="仿宋_GB2312" w:cs="仿宋_GB2312"/>
          <w:b w:val="0"/>
          <w:bCs w:val="0"/>
          <w:color w:val="000000"/>
          <w:sz w:val="32"/>
          <w:szCs w:val="32"/>
        </w:rPr>
        <w:t>完成预算</w:t>
      </w:r>
      <w:r>
        <w:rPr>
          <w:rStyle w:val="15"/>
          <w:rFonts w:ascii="仿宋_GB2312" w:hAnsi="楷体" w:eastAsia="仿宋_GB2312" w:cs="仿宋_GB2312"/>
          <w:b w:val="0"/>
          <w:bCs w:val="0"/>
          <w:color w:val="000000"/>
          <w:sz w:val="32"/>
          <w:szCs w:val="32"/>
        </w:rPr>
        <w:t>82%</w:t>
      </w:r>
      <w:r>
        <w:rPr>
          <w:rStyle w:val="15"/>
          <w:rFonts w:hint="eastAsia" w:ascii="仿宋_GB2312" w:hAnsi="楷体" w:eastAsia="仿宋_GB2312" w:cs="仿宋_GB2312"/>
          <w:b w:val="0"/>
          <w:bCs w:val="0"/>
          <w:color w:val="000000"/>
          <w:sz w:val="32"/>
          <w:szCs w:val="32"/>
        </w:rPr>
        <w:t>。</w:t>
      </w:r>
      <w:r>
        <w:rPr>
          <w:rFonts w:hint="eastAsia" w:ascii="仿宋_GB2312" w:hAnsi="楷体" w:eastAsia="仿宋_GB2312" w:cs="仿宋_GB2312"/>
          <w:color w:val="000000"/>
          <w:sz w:val="32"/>
          <w:szCs w:val="32"/>
        </w:rPr>
        <w:t>公务用车购置及运行维护费支出决算比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年增加</w:t>
      </w:r>
      <w:r>
        <w:rPr>
          <w:rFonts w:ascii="仿宋_GB2312" w:hAnsi="楷体" w:eastAsia="仿宋_GB2312" w:cs="仿宋_GB2312"/>
          <w:color w:val="000000"/>
          <w:sz w:val="32"/>
          <w:szCs w:val="32"/>
        </w:rPr>
        <w:t>0.35</w:t>
      </w:r>
      <w:r>
        <w:rPr>
          <w:rFonts w:hint="eastAsia" w:ascii="仿宋_GB2312" w:hAnsi="楷体" w:eastAsia="仿宋_GB2312" w:cs="仿宋_GB2312"/>
          <w:color w:val="000000"/>
          <w:sz w:val="32"/>
          <w:szCs w:val="32"/>
        </w:rPr>
        <w:t>万元，增长</w:t>
      </w:r>
      <w:r>
        <w:rPr>
          <w:rFonts w:ascii="仿宋_GB2312" w:hAnsi="楷体" w:eastAsia="仿宋_GB2312" w:cs="仿宋_GB2312"/>
          <w:color w:val="000000"/>
          <w:sz w:val="32"/>
          <w:szCs w:val="32"/>
        </w:rPr>
        <w:t>11%</w:t>
      </w:r>
      <w:r>
        <w:rPr>
          <w:rFonts w:hint="eastAsia" w:ascii="仿宋_GB2312" w:hAnsi="楷体" w:eastAsia="仿宋_GB2312" w:cs="仿宋_GB2312"/>
          <w:color w:val="000000"/>
          <w:sz w:val="32"/>
          <w:szCs w:val="32"/>
        </w:rPr>
        <w:t>。主要原因是车辆老旧</w:t>
      </w:r>
      <w:r>
        <w:rPr>
          <w:rFonts w:ascii="仿宋_GB2312" w:hAnsi="楷体" w:eastAsia="仿宋_GB2312" w:cs="仿宋_GB2312"/>
          <w:color w:val="000000"/>
          <w:sz w:val="32"/>
          <w:szCs w:val="32"/>
        </w:rPr>
        <w:t>,</w:t>
      </w:r>
      <w:r>
        <w:rPr>
          <w:rFonts w:hint="eastAsia" w:ascii="仿宋_GB2312" w:hAnsi="楷体" w:eastAsia="仿宋_GB2312" w:cs="仿宋_GB2312"/>
          <w:color w:val="000000"/>
          <w:sz w:val="32"/>
          <w:szCs w:val="32"/>
        </w:rPr>
        <w:t>维修费用增加。</w:t>
      </w:r>
    </w:p>
    <w:p>
      <w:pPr>
        <w:spacing w:line="600" w:lineRule="exact"/>
        <w:ind w:firstLine="640" w:firstLineChars="200"/>
        <w:rPr>
          <w:rFonts w:ascii="仿宋_GB2312" w:hAnsi="楷体" w:eastAsia="仿宋_GB2312"/>
          <w:b/>
          <w:bCs/>
          <w:color w:val="000000"/>
          <w:sz w:val="32"/>
          <w:szCs w:val="32"/>
        </w:rPr>
      </w:pPr>
      <w:r>
        <w:rPr>
          <w:rFonts w:hint="eastAsia" w:ascii="仿宋_GB2312" w:hAnsi="楷体" w:eastAsia="仿宋_GB2312" w:cs="仿宋_GB2312"/>
          <w:color w:val="000000"/>
          <w:sz w:val="32"/>
          <w:szCs w:val="32"/>
        </w:rPr>
        <w:t>其中：</w:t>
      </w:r>
      <w:r>
        <w:rPr>
          <w:rFonts w:hint="eastAsia" w:ascii="仿宋_GB2312" w:hAnsi="楷体" w:eastAsia="仿宋_GB2312" w:cs="仿宋_GB2312"/>
          <w:b/>
          <w:bCs/>
          <w:color w:val="000000"/>
          <w:sz w:val="32"/>
          <w:szCs w:val="32"/>
        </w:rPr>
        <w:t>公务用车购置支出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万元。全年按规定更新购置公务用车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辆，其中：轿车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万元，越野车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万元，载客汽车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辆、金额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万元。截至</w:t>
      </w: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w:t>
      </w:r>
      <w:r>
        <w:rPr>
          <w:rFonts w:ascii="仿宋_GB2312" w:hAnsi="楷体" w:eastAsia="仿宋_GB2312" w:cs="仿宋_GB2312"/>
          <w:color w:val="000000"/>
          <w:sz w:val="32"/>
          <w:szCs w:val="32"/>
        </w:rPr>
        <w:t>12</w:t>
      </w:r>
      <w:r>
        <w:rPr>
          <w:rFonts w:hint="eastAsia" w:ascii="仿宋_GB2312" w:hAnsi="楷体" w:eastAsia="仿宋_GB2312" w:cs="仿宋_GB2312"/>
          <w:color w:val="000000"/>
          <w:sz w:val="32"/>
          <w:szCs w:val="32"/>
        </w:rPr>
        <w:t>月底，单位共有公务用车</w:t>
      </w: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辆，其中：轿车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辆、越野车</w:t>
      </w:r>
      <w:r>
        <w:rPr>
          <w:rFonts w:ascii="仿宋_GB2312" w:hAnsi="楷体" w:eastAsia="仿宋_GB2312" w:cs="仿宋_GB2312"/>
          <w:color w:val="000000"/>
          <w:sz w:val="32"/>
          <w:szCs w:val="32"/>
        </w:rPr>
        <w:t>1</w:t>
      </w:r>
      <w:r>
        <w:rPr>
          <w:rFonts w:hint="eastAsia" w:ascii="仿宋_GB2312" w:hAnsi="楷体" w:eastAsia="仿宋_GB2312" w:cs="仿宋_GB2312"/>
          <w:color w:val="000000"/>
          <w:sz w:val="32"/>
          <w:szCs w:val="32"/>
        </w:rPr>
        <w:t>辆、载客汽车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w:t>
      </w:r>
    </w:p>
    <w:p>
      <w:pPr>
        <w:spacing w:line="600" w:lineRule="exact"/>
        <w:ind w:firstLine="64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公务用车运行维护费支出</w:t>
      </w:r>
      <w:r>
        <w:rPr>
          <w:rFonts w:ascii="仿宋_GB2312" w:hAnsi="楷体" w:eastAsia="仿宋_GB2312" w:cs="仿宋_GB2312"/>
          <w:color w:val="000000"/>
          <w:sz w:val="32"/>
          <w:szCs w:val="32"/>
        </w:rPr>
        <w:t>3.28</w:t>
      </w:r>
      <w:r>
        <w:rPr>
          <w:rFonts w:hint="eastAsia" w:ascii="仿宋_GB2312" w:hAnsi="楷体" w:eastAsia="仿宋_GB2312" w:cs="仿宋_GB2312"/>
          <w:color w:val="000000"/>
          <w:sz w:val="32"/>
          <w:szCs w:val="32"/>
        </w:rPr>
        <w:t>万元。主要用于出差、下乡等所需的公务用车燃料费、维修费、过路过桥费、保险费等支出。</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b/>
          <w:bCs/>
          <w:color w:val="000000"/>
          <w:sz w:val="32"/>
          <w:szCs w:val="32"/>
        </w:rPr>
        <w:t>3.</w:t>
      </w:r>
      <w:r>
        <w:rPr>
          <w:rFonts w:hint="eastAsia" w:ascii="仿宋_GB2312" w:hAnsi="楷体" w:eastAsia="仿宋_GB2312" w:cs="仿宋_GB2312"/>
          <w:b/>
          <w:bCs/>
          <w:color w:val="000000"/>
          <w:sz w:val="32"/>
          <w:szCs w:val="32"/>
        </w:rPr>
        <w:t>公务接待费支出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w:t>
      </w:r>
      <w:r>
        <w:rPr>
          <w:rStyle w:val="15"/>
          <w:rFonts w:hint="eastAsia" w:ascii="仿宋_GB2312" w:hAnsi="楷体" w:eastAsia="仿宋_GB2312" w:cs="仿宋_GB2312"/>
          <w:b w:val="0"/>
          <w:bCs w:val="0"/>
          <w:color w:val="000000"/>
          <w:sz w:val="32"/>
          <w:szCs w:val="32"/>
        </w:rPr>
        <w:t>完成预算</w:t>
      </w:r>
      <w:r>
        <w:rPr>
          <w:rStyle w:val="15"/>
          <w:rFonts w:ascii="仿宋_GB2312" w:hAnsi="楷体" w:eastAsia="仿宋_GB2312" w:cs="仿宋_GB2312"/>
          <w:b w:val="0"/>
          <w:bCs w:val="0"/>
          <w:color w:val="000000"/>
          <w:sz w:val="32"/>
          <w:szCs w:val="32"/>
        </w:rPr>
        <w:t>100%</w:t>
      </w:r>
      <w:r>
        <w:rPr>
          <w:rStyle w:val="15"/>
          <w:rFonts w:hint="eastAsia" w:ascii="仿宋_GB2312" w:hAnsi="楷体" w:eastAsia="仿宋_GB2312" w:cs="仿宋_GB2312"/>
          <w:b w:val="0"/>
          <w:bCs w:val="0"/>
          <w:color w:val="000000"/>
          <w:sz w:val="32"/>
          <w:szCs w:val="32"/>
        </w:rPr>
        <w:t>。</w:t>
      </w:r>
      <w:r>
        <w:rPr>
          <w:rFonts w:hint="eastAsia" w:ascii="仿宋_GB2312" w:hAnsi="楷体" w:eastAsia="仿宋_GB2312" w:cs="仿宋_GB2312"/>
          <w:color w:val="000000"/>
          <w:sz w:val="32"/>
          <w:szCs w:val="32"/>
        </w:rPr>
        <w:t>公务接待费支出决算比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年减少</w:t>
      </w:r>
      <w:r>
        <w:rPr>
          <w:rFonts w:ascii="仿宋_GB2312" w:hAnsi="楷体" w:eastAsia="仿宋_GB2312" w:cs="仿宋_GB2312"/>
          <w:color w:val="000000"/>
          <w:sz w:val="32"/>
          <w:szCs w:val="32"/>
        </w:rPr>
        <w:t>0.01</w:t>
      </w:r>
      <w:r>
        <w:rPr>
          <w:rFonts w:hint="eastAsia" w:ascii="仿宋_GB2312" w:hAnsi="楷体" w:eastAsia="仿宋_GB2312" w:cs="仿宋_GB2312"/>
          <w:color w:val="000000"/>
          <w:sz w:val="32"/>
          <w:szCs w:val="32"/>
        </w:rPr>
        <w:t>万元，下降</w:t>
      </w:r>
      <w:r>
        <w:rPr>
          <w:rFonts w:ascii="仿宋_GB2312" w:hAnsi="楷体" w:eastAsia="仿宋_GB2312" w:cs="仿宋_GB2312"/>
          <w:color w:val="000000"/>
          <w:sz w:val="32"/>
          <w:szCs w:val="32"/>
        </w:rPr>
        <w:t>5%</w:t>
      </w:r>
      <w:r>
        <w:rPr>
          <w:rFonts w:hint="eastAsia" w:ascii="仿宋_GB2312" w:hAnsi="楷体" w:eastAsia="仿宋_GB2312" w:cs="仿宋_GB2312"/>
          <w:color w:val="000000"/>
          <w:sz w:val="32"/>
          <w:szCs w:val="32"/>
        </w:rPr>
        <w:t>。主要原因是厉行节约。</w:t>
      </w:r>
    </w:p>
    <w:p>
      <w:pPr>
        <w:spacing w:line="600" w:lineRule="exact"/>
        <w:ind w:firstLine="640" w:firstLineChars="200"/>
        <w:rPr>
          <w:rFonts w:ascii="仿宋_GB2312" w:hAnsi="楷体" w:eastAsia="仿宋_GB2312"/>
          <w:color w:val="000000"/>
          <w:sz w:val="32"/>
          <w:szCs w:val="32"/>
        </w:rPr>
      </w:pPr>
      <w:r>
        <w:rPr>
          <w:rFonts w:hint="eastAsia" w:ascii="仿宋_GB2312" w:hAnsi="楷体" w:eastAsia="仿宋_GB2312" w:cs="仿宋_GB2312"/>
          <w:color w:val="000000"/>
          <w:sz w:val="32"/>
          <w:szCs w:val="32"/>
        </w:rPr>
        <w:t>主要用于执行公务、开展业务活动开支的交通费、住宿费、用餐费等。国内公务接待</w:t>
      </w:r>
      <w:r>
        <w:rPr>
          <w:rFonts w:ascii="仿宋_GB2312" w:hAnsi="楷体" w:eastAsia="仿宋_GB2312" w:cs="仿宋_GB2312"/>
          <w:color w:val="000000"/>
          <w:sz w:val="32"/>
          <w:szCs w:val="32"/>
        </w:rPr>
        <w:t>2</w:t>
      </w:r>
      <w:r>
        <w:rPr>
          <w:rFonts w:hint="eastAsia" w:ascii="仿宋_GB2312" w:hAnsi="楷体" w:eastAsia="仿宋_GB2312" w:cs="仿宋_GB2312"/>
          <w:color w:val="000000"/>
          <w:sz w:val="32"/>
          <w:szCs w:val="32"/>
        </w:rPr>
        <w:t>批次</w:t>
      </w:r>
      <w:r>
        <w:rPr>
          <w:rFonts w:ascii="仿宋_GB2312" w:hAnsi="楷体" w:eastAsia="仿宋_GB2312" w:cs="仿宋_GB2312"/>
          <w:color w:val="000000"/>
          <w:sz w:val="32"/>
          <w:szCs w:val="32"/>
        </w:rPr>
        <w:t>35</w:t>
      </w:r>
      <w:r>
        <w:rPr>
          <w:rFonts w:hint="eastAsia" w:ascii="仿宋_GB2312" w:hAnsi="楷体" w:eastAsia="仿宋_GB2312" w:cs="仿宋_GB2312"/>
          <w:color w:val="000000"/>
          <w:sz w:val="32"/>
          <w:szCs w:val="32"/>
        </w:rPr>
        <w:t>人次，共计支出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万元，具体内容包括：浙江省红十字会援助博爱家园项目回访用餐两次，金额</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万元。其中：</w:t>
      </w:r>
    </w:p>
    <w:p>
      <w:pPr>
        <w:spacing w:line="600" w:lineRule="exact"/>
        <w:ind w:firstLine="642" w:firstLineChars="200"/>
        <w:rPr>
          <w:rFonts w:ascii="仿宋_GB2312" w:hAnsi="楷体" w:eastAsia="仿宋_GB2312"/>
          <w:b/>
          <w:bCs/>
          <w:color w:val="000000"/>
          <w:sz w:val="32"/>
          <w:szCs w:val="32"/>
        </w:rPr>
      </w:pPr>
      <w:r>
        <w:rPr>
          <w:rFonts w:hint="eastAsia" w:ascii="仿宋_GB2312" w:hAnsi="楷体" w:eastAsia="仿宋_GB2312" w:cs="仿宋_GB2312"/>
          <w:b/>
          <w:bCs/>
          <w:color w:val="000000"/>
          <w:sz w:val="32"/>
          <w:szCs w:val="32"/>
        </w:rPr>
        <w:t>外事接待支出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2" w:firstLineChars="200"/>
        <w:rPr>
          <w:rFonts w:ascii="仿宋_GB2312" w:hAnsi="楷体" w:eastAsia="仿宋_GB2312"/>
          <w:color w:val="000000"/>
          <w:sz w:val="32"/>
          <w:szCs w:val="32"/>
        </w:rPr>
      </w:pPr>
      <w:r>
        <w:rPr>
          <w:rFonts w:hint="eastAsia" w:ascii="仿宋_GB2312" w:hAnsi="楷体" w:eastAsia="仿宋_GB2312" w:cs="仿宋_GB2312"/>
          <w:b/>
          <w:bCs/>
          <w:color w:val="000000"/>
          <w:sz w:val="32"/>
          <w:szCs w:val="32"/>
        </w:rPr>
        <w:t>其他国内公务接待支出</w:t>
      </w:r>
      <w:r>
        <w:rPr>
          <w:rFonts w:ascii="仿宋_GB2312" w:hAnsi="楷体" w:eastAsia="仿宋_GB2312" w:cs="仿宋_GB2312"/>
          <w:color w:val="000000"/>
          <w:sz w:val="32"/>
          <w:szCs w:val="32"/>
        </w:rPr>
        <w:t>0.18</w:t>
      </w:r>
      <w:r>
        <w:rPr>
          <w:rFonts w:hint="eastAsia" w:ascii="仿宋_GB2312" w:hAnsi="楷体" w:eastAsia="仿宋_GB2312" w:cs="仿宋_GB2312"/>
          <w:color w:val="000000"/>
          <w:sz w:val="32"/>
          <w:szCs w:val="32"/>
        </w:rPr>
        <w:t>万元，主要用于</w:t>
      </w:r>
      <w:bookmarkStart w:id="46" w:name="_Toc15377218"/>
      <w:bookmarkStart w:id="47" w:name="_Toc15396610"/>
      <w:r>
        <w:rPr>
          <w:rFonts w:hint="eastAsia" w:ascii="仿宋_GB2312" w:hAnsi="楷体" w:eastAsia="仿宋_GB2312" w:cs="仿宋_GB2312"/>
          <w:color w:val="000000"/>
          <w:sz w:val="32"/>
          <w:szCs w:val="32"/>
        </w:rPr>
        <w:t>执行公务、开展业务活动开支的交通费、住宿费、用餐费等</w:t>
      </w:r>
    </w:p>
    <w:p>
      <w:pPr>
        <w:spacing w:line="600" w:lineRule="exact"/>
        <w:ind w:firstLine="640" w:firstLineChars="200"/>
        <w:rPr>
          <w:rStyle w:val="18"/>
          <w:rFonts w:ascii="仿宋" w:hAnsi="仿宋" w:eastAsia="仿宋" w:cs="Times New Roman"/>
          <w:b w:val="0"/>
          <w:bCs w:val="0"/>
          <w:color w:val="000000"/>
        </w:rPr>
      </w:pPr>
      <w:r>
        <w:rPr>
          <w:rFonts w:hint="eastAsia" w:ascii="黑体" w:eastAsia="黑体" w:cs="黑体"/>
          <w:color w:val="000000"/>
          <w:sz w:val="32"/>
          <w:szCs w:val="32"/>
        </w:rPr>
        <w:t>八、</w:t>
      </w:r>
      <w:r>
        <w:rPr>
          <w:rStyle w:val="18"/>
          <w:rFonts w:hint="eastAsia" w:ascii="黑体" w:hAnsi="黑体" w:eastAsia="黑体" w:cs="黑体"/>
        </w:rPr>
        <w:t>政府性基金预算支出决算情况说明</w:t>
      </w:r>
      <w:bookmarkEnd w:id="46"/>
      <w:bookmarkEnd w:id="47"/>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年政府性基金预算拨款支出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pStyle w:val="3"/>
        <w:ind w:firstLine="640" w:firstLineChars="200"/>
        <w:rPr>
          <w:rStyle w:val="18"/>
          <w:rFonts w:ascii="黑体" w:hAnsi="黑体" w:eastAsia="黑体" w:cs="Times New Roman"/>
          <w:b w:val="0"/>
          <w:bCs w:val="0"/>
        </w:rPr>
      </w:pPr>
      <w:bookmarkStart w:id="48" w:name="_Toc15396611"/>
      <w:bookmarkStart w:id="49" w:name="_Toc15377219"/>
      <w:r>
        <w:rPr>
          <w:rStyle w:val="18"/>
          <w:rFonts w:hint="eastAsia" w:ascii="黑体" w:hAnsi="黑体" w:eastAsia="黑体" w:cs="黑体"/>
          <w:b w:val="0"/>
          <w:bCs w:val="0"/>
        </w:rPr>
        <w:t>九、国有资本经营预算支出决算情况说明</w:t>
      </w:r>
      <w:bookmarkEnd w:id="48"/>
      <w:bookmarkEnd w:id="49"/>
      <w:r>
        <w:rPr>
          <w:rStyle w:val="18"/>
          <w:rFonts w:ascii="黑体" w:hAnsi="黑体" w:eastAsia="黑体" w:cs="黑体"/>
          <w:b w:val="0"/>
          <w:bCs w:val="0"/>
        </w:rPr>
        <w:t xml:space="preserve"> </w:t>
      </w:r>
    </w:p>
    <w:p>
      <w:pPr>
        <w:spacing w:line="600" w:lineRule="exact"/>
        <w:ind w:firstLine="64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年国有资本经营预算拨款支出</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pStyle w:val="3"/>
        <w:ind w:firstLine="640" w:firstLineChars="200"/>
        <w:rPr>
          <w:rStyle w:val="18"/>
          <w:rFonts w:ascii="黑体" w:hAnsi="黑体" w:eastAsia="黑体" w:cs="Times New Roman"/>
          <w:b w:val="0"/>
          <w:bCs w:val="0"/>
        </w:rPr>
      </w:pPr>
      <w:r>
        <w:rPr>
          <w:rStyle w:val="18"/>
          <w:rFonts w:hint="eastAsia" w:ascii="黑体" w:hAnsi="黑体" w:eastAsia="黑体" w:cs="黑体"/>
          <w:b w:val="0"/>
          <w:bCs w:val="0"/>
        </w:rPr>
        <w:t>十、预算绩效情况说明</w:t>
      </w:r>
      <w:r>
        <w:rPr>
          <w:rStyle w:val="18"/>
          <w:rFonts w:ascii="黑体" w:hAnsi="黑体" w:eastAsia="黑体" w:cs="黑体"/>
          <w:b w:val="0"/>
          <w:bCs w:val="0"/>
        </w:rPr>
        <w:t xml:space="preserve"> </w:t>
      </w:r>
    </w:p>
    <w:p>
      <w:pPr>
        <w:spacing w:line="600" w:lineRule="exact"/>
        <w:ind w:firstLine="642" w:firstLineChars="200"/>
        <w:outlineLvl w:val="1"/>
        <w:rPr>
          <w:rFonts w:ascii="楷体" w:hAnsi="楷体" w:eastAsia="楷体"/>
          <w:b/>
          <w:bCs/>
          <w:sz w:val="32"/>
          <w:szCs w:val="32"/>
        </w:rPr>
      </w:pPr>
      <w:r>
        <w:rPr>
          <w:rFonts w:hint="eastAsia" w:ascii="楷体" w:hAnsi="楷体" w:eastAsia="楷体" w:cs="楷体"/>
          <w:b/>
          <w:bCs/>
          <w:sz w:val="32"/>
          <w:szCs w:val="32"/>
        </w:rPr>
        <w:t>预算绩效管理工作开展情况</w:t>
      </w:r>
      <w:r>
        <w:rPr>
          <w:rStyle w:val="18"/>
          <w:rFonts w:ascii="楷体" w:hAnsi="楷体" w:eastAsia="楷体" w:cs="楷体"/>
          <w:b w:val="0"/>
          <w:bCs w:val="0"/>
        </w:rPr>
        <w:t xml:space="preserve"> </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我单位根据预算绩效管理要求，根据年初工作规划和重点性工作，积极履职，强化管理，通过加强预算收支管理，不断建立健全内部管理制度，梳理内部管理流程，</w:t>
      </w:r>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完成了年度工作目标。</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本单位按要求对</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年部门整体支出绩效评价情况开展自评，本年度我单位整体支出评价自查自评结果良好，全年基本支出保证了部门的正常运行和日常工作的正常开展，绩效目标得到了</w:t>
      </w:r>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实现，绩效水平不断提高，绩效指标体系逐渐丰富和完善。</w:t>
      </w:r>
    </w:p>
    <w:p>
      <w:pPr>
        <w:spacing w:line="600" w:lineRule="exact"/>
        <w:ind w:firstLine="642" w:firstLineChars="200"/>
        <w:outlineLvl w:val="1"/>
        <w:rPr>
          <w:rFonts w:ascii="楷体" w:hAnsi="楷体" w:eastAsia="楷体" w:cs="楷体"/>
          <w:b/>
          <w:bCs/>
          <w:sz w:val="32"/>
          <w:szCs w:val="32"/>
        </w:rPr>
      </w:pPr>
      <w:r>
        <w:rPr>
          <w:rFonts w:hint="eastAsia" w:ascii="楷体" w:hAnsi="楷体" w:eastAsia="楷体" w:cs="楷体"/>
          <w:b/>
          <w:bCs/>
          <w:sz w:val="32"/>
          <w:szCs w:val="32"/>
        </w:rPr>
        <w:t>项目绩效目标完成情况</w:t>
      </w:r>
      <w:r>
        <w:rPr>
          <w:rFonts w:ascii="楷体" w:hAnsi="楷体" w:eastAsia="楷体" w:cs="楷体"/>
          <w:b/>
          <w:bCs/>
          <w:sz w:val="32"/>
          <w:szCs w:val="32"/>
        </w:rPr>
        <w:t xml:space="preserve"> </w:t>
      </w:r>
    </w:p>
    <w:p>
      <w:pPr>
        <w:spacing w:line="600" w:lineRule="exact"/>
        <w:outlineLvl w:val="1"/>
        <w:rPr>
          <w:rFonts w:ascii="楷体" w:hAnsi="楷体" w:eastAsia="楷体"/>
          <w:sz w:val="32"/>
          <w:szCs w:val="32"/>
        </w:rPr>
      </w:pPr>
      <w:r>
        <w:rPr>
          <w:rFonts w:ascii="楷体" w:hAnsi="楷体" w:eastAsia="楷体" w:cs="楷体"/>
          <w:sz w:val="32"/>
          <w:szCs w:val="32"/>
        </w:rPr>
        <w:t xml:space="preserve">    </w:t>
      </w:r>
      <w:r>
        <w:rPr>
          <w:rFonts w:hint="eastAsia" w:ascii="仿宋_GB2312" w:hAnsi="楷体" w:eastAsia="仿宋_GB2312" w:cs="仿宋_GB2312"/>
          <w:sz w:val="32"/>
          <w:szCs w:val="32"/>
        </w:rPr>
        <w:t>项目绩效内容本单位不涉及。</w:t>
      </w:r>
    </w:p>
    <w:p>
      <w:pPr>
        <w:spacing w:line="600" w:lineRule="exact"/>
        <w:ind w:firstLine="642" w:firstLineChars="200"/>
        <w:outlineLvl w:val="1"/>
        <w:rPr>
          <w:rFonts w:ascii="楷体" w:hAnsi="楷体" w:eastAsia="楷体"/>
          <w:sz w:val="32"/>
          <w:szCs w:val="32"/>
        </w:rPr>
      </w:pPr>
      <w:r>
        <w:rPr>
          <w:rFonts w:hint="eastAsia" w:ascii="楷体" w:hAnsi="楷体" w:eastAsia="楷体" w:cs="楷体"/>
          <w:b/>
          <w:bCs/>
          <w:sz w:val="32"/>
          <w:szCs w:val="32"/>
        </w:rPr>
        <w:t>部门开展绩效评价结果</w:t>
      </w:r>
    </w:p>
    <w:p>
      <w:pPr>
        <w:spacing w:line="580" w:lineRule="exact"/>
        <w:ind w:firstLine="640" w:firstLineChars="200"/>
        <w:rPr>
          <w:rFonts w:ascii="仿宋_GB2312" w:hAnsi="楷体" w:eastAsia="仿宋_GB2312"/>
          <w:sz w:val="32"/>
          <w:szCs w:val="32"/>
        </w:rPr>
      </w:pPr>
      <w:r>
        <w:rPr>
          <w:rFonts w:hint="eastAsia" w:ascii="仿宋_GB2312" w:hAnsi="楷体" w:eastAsia="仿宋_GB2312" w:cs="仿宋_GB2312"/>
          <w:sz w:val="32"/>
          <w:szCs w:val="32"/>
        </w:rPr>
        <w:t>本部门按要求对</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年部门整体支出绩效评价情况开展自评，《茂县红十字会</w:t>
      </w:r>
      <w:r>
        <w:rPr>
          <w:rFonts w:ascii="仿宋_GB2312" w:hAnsi="楷体" w:eastAsia="仿宋_GB2312" w:cs="仿宋_GB2312"/>
          <w:sz w:val="32"/>
          <w:szCs w:val="32"/>
        </w:rPr>
        <w:t>2018</w:t>
      </w:r>
      <w:r>
        <w:rPr>
          <w:rFonts w:hint="eastAsia" w:ascii="仿宋_GB2312" w:hAnsi="楷体" w:eastAsia="仿宋_GB2312" w:cs="仿宋_GB2312"/>
          <w:sz w:val="32"/>
          <w:szCs w:val="32"/>
        </w:rPr>
        <w:t>年部门整体支出绩效评价报告》见附件。</w:t>
      </w:r>
    </w:p>
    <w:p>
      <w:pPr>
        <w:spacing w:line="600" w:lineRule="exact"/>
        <w:ind w:firstLine="800" w:firstLineChars="250"/>
        <w:outlineLvl w:val="1"/>
        <w:rPr>
          <w:rStyle w:val="18"/>
          <w:rFonts w:ascii="黑体" w:hAnsi="黑体" w:eastAsia="黑体" w:cs="Times New Roman"/>
        </w:rPr>
      </w:pPr>
      <w:bookmarkStart w:id="50" w:name="_Toc15396612"/>
      <w:bookmarkStart w:id="51" w:name="_Toc15377221"/>
      <w:r>
        <w:rPr>
          <w:rFonts w:hint="eastAsia" w:ascii="黑体" w:hAnsi="黑体" w:eastAsia="黑体" w:cs="黑体"/>
          <w:color w:val="000000"/>
          <w:sz w:val="32"/>
          <w:szCs w:val="32"/>
        </w:rPr>
        <w:t>十</w:t>
      </w:r>
      <w:r>
        <w:rPr>
          <w:rStyle w:val="18"/>
          <w:rFonts w:hint="eastAsia" w:ascii="黑体" w:hAnsi="黑体" w:eastAsia="黑体" w:cs="黑体"/>
        </w:rPr>
        <w:t>一、</w:t>
      </w:r>
      <w:r>
        <w:rPr>
          <w:rStyle w:val="18"/>
          <w:rFonts w:hint="eastAsia" w:ascii="黑体" w:hAnsi="黑体" w:eastAsia="黑体" w:cs="黑体"/>
          <w:b w:val="0"/>
          <w:bCs w:val="0"/>
        </w:rPr>
        <w:t>其他重要事项的情况说明</w:t>
      </w:r>
      <w:bookmarkEnd w:id="50"/>
      <w:bookmarkEnd w:id="51"/>
    </w:p>
    <w:p>
      <w:pPr>
        <w:spacing w:line="600" w:lineRule="exact"/>
        <w:ind w:firstLine="642" w:firstLineChars="200"/>
        <w:outlineLvl w:val="2"/>
        <w:rPr>
          <w:rFonts w:ascii="楷体" w:hAnsi="楷体" w:eastAsia="楷体"/>
          <w:color w:val="000000"/>
          <w:sz w:val="32"/>
          <w:szCs w:val="32"/>
        </w:rPr>
      </w:pPr>
      <w:bookmarkStart w:id="52" w:name="_Toc15377222"/>
      <w:r>
        <w:rPr>
          <w:rFonts w:hint="eastAsia" w:ascii="楷体" w:hAnsi="楷体" w:eastAsia="楷体" w:cs="楷体"/>
          <w:b/>
          <w:bCs/>
          <w:color w:val="000000"/>
          <w:sz w:val="32"/>
          <w:szCs w:val="32"/>
        </w:rPr>
        <w:t>（一）机关运行经费支出情况</w:t>
      </w:r>
      <w:bookmarkEnd w:id="52"/>
    </w:p>
    <w:p>
      <w:pPr>
        <w:spacing w:line="600" w:lineRule="exact"/>
        <w:ind w:firstLine="640" w:firstLineChars="200"/>
        <w:rPr>
          <w:rFonts w:ascii="仿宋_GB2312" w:hAnsi="楷体" w:eastAsia="仿宋_GB2312"/>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年，茂县红十字会机关运行经费支出</w:t>
      </w:r>
      <w:r>
        <w:rPr>
          <w:rFonts w:ascii="仿宋_GB2312" w:hAnsi="楷体" w:eastAsia="仿宋_GB2312" w:cs="仿宋_GB2312"/>
          <w:color w:val="000000"/>
          <w:sz w:val="32"/>
          <w:szCs w:val="32"/>
        </w:rPr>
        <w:t>9.06</w:t>
      </w:r>
      <w:r>
        <w:rPr>
          <w:rFonts w:hint="eastAsia" w:ascii="仿宋_GB2312" w:hAnsi="楷体" w:eastAsia="仿宋_GB2312" w:cs="仿宋_GB2312"/>
          <w:color w:val="000000"/>
          <w:sz w:val="32"/>
          <w:szCs w:val="32"/>
        </w:rPr>
        <w:t>万元，比</w:t>
      </w:r>
      <w:r>
        <w:rPr>
          <w:rFonts w:ascii="仿宋_GB2312" w:hAnsi="楷体" w:eastAsia="仿宋_GB2312" w:cs="仿宋_GB2312"/>
          <w:color w:val="000000"/>
          <w:sz w:val="32"/>
          <w:szCs w:val="32"/>
        </w:rPr>
        <w:t>2017</w:t>
      </w:r>
      <w:r>
        <w:rPr>
          <w:rFonts w:hint="eastAsia" w:ascii="仿宋_GB2312" w:hAnsi="楷体" w:eastAsia="仿宋_GB2312" w:cs="仿宋_GB2312"/>
          <w:color w:val="000000"/>
          <w:sz w:val="32"/>
          <w:szCs w:val="32"/>
        </w:rPr>
        <w:t>年减少</w:t>
      </w:r>
      <w:r>
        <w:rPr>
          <w:rFonts w:ascii="仿宋_GB2312" w:hAnsi="楷体" w:eastAsia="仿宋_GB2312" w:cs="仿宋_GB2312"/>
          <w:color w:val="000000"/>
          <w:sz w:val="32"/>
          <w:szCs w:val="32"/>
        </w:rPr>
        <w:t>0.04</w:t>
      </w:r>
      <w:r>
        <w:rPr>
          <w:rFonts w:hint="eastAsia" w:ascii="仿宋_GB2312" w:hAnsi="楷体" w:eastAsia="仿宋_GB2312" w:cs="仿宋_GB2312"/>
          <w:color w:val="000000"/>
          <w:sz w:val="32"/>
          <w:szCs w:val="32"/>
        </w:rPr>
        <w:t>万元，下降</w:t>
      </w:r>
      <w:r>
        <w:rPr>
          <w:rFonts w:ascii="仿宋_GB2312" w:hAnsi="楷体" w:eastAsia="仿宋_GB2312" w:cs="仿宋_GB2312"/>
          <w:color w:val="000000"/>
          <w:sz w:val="32"/>
          <w:szCs w:val="32"/>
        </w:rPr>
        <w:t>0.04%</w:t>
      </w:r>
      <w:r>
        <w:rPr>
          <w:rFonts w:hint="eastAsia" w:ascii="仿宋_GB2312" w:hAnsi="楷体" w:eastAsia="仿宋_GB2312" w:cs="仿宋_GB2312"/>
          <w:color w:val="000000"/>
          <w:sz w:val="32"/>
          <w:szCs w:val="32"/>
        </w:rPr>
        <w:t>。主要原因是厉行节约。</w:t>
      </w:r>
    </w:p>
    <w:p>
      <w:pPr>
        <w:spacing w:line="600" w:lineRule="exact"/>
        <w:ind w:firstLine="642" w:firstLineChars="200"/>
        <w:outlineLvl w:val="1"/>
        <w:rPr>
          <w:rFonts w:ascii="楷体" w:hAnsi="楷体" w:eastAsia="楷体"/>
          <w:b/>
          <w:bCs/>
          <w:color w:val="000000"/>
          <w:sz w:val="32"/>
          <w:szCs w:val="32"/>
        </w:rPr>
      </w:pPr>
      <w:bookmarkStart w:id="53" w:name="_Toc15377223"/>
      <w:r>
        <w:rPr>
          <w:rFonts w:hint="eastAsia" w:ascii="楷体" w:hAnsi="楷体" w:eastAsia="楷体" w:cs="楷体"/>
          <w:b/>
          <w:bCs/>
          <w:color w:val="000000"/>
          <w:sz w:val="32"/>
          <w:szCs w:val="32"/>
        </w:rPr>
        <w:t>（二）政府采购支出情况</w:t>
      </w:r>
      <w:bookmarkEnd w:id="53"/>
    </w:p>
    <w:p>
      <w:pPr>
        <w:spacing w:line="600" w:lineRule="exact"/>
        <w:ind w:firstLine="640" w:firstLineChars="200"/>
        <w:rPr>
          <w:rFonts w:ascii="仿宋_GB2312" w:hAnsi="楷体" w:eastAsia="仿宋_GB2312"/>
          <w:b/>
          <w:bCs/>
          <w:color w:val="000000"/>
          <w:sz w:val="32"/>
          <w:szCs w:val="32"/>
        </w:rPr>
      </w:pP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年茂县红十字会政府采购支出总额</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万元。</w:t>
      </w:r>
    </w:p>
    <w:p>
      <w:pPr>
        <w:spacing w:line="600" w:lineRule="exact"/>
        <w:ind w:firstLine="642" w:firstLineChars="200"/>
        <w:outlineLvl w:val="1"/>
        <w:rPr>
          <w:rFonts w:ascii="楷体" w:hAnsi="楷体" w:eastAsia="楷体"/>
          <w:b/>
          <w:bCs/>
          <w:color w:val="000000"/>
          <w:sz w:val="32"/>
          <w:szCs w:val="32"/>
        </w:rPr>
      </w:pPr>
      <w:bookmarkStart w:id="54" w:name="_Toc15377224"/>
      <w:r>
        <w:rPr>
          <w:rFonts w:hint="eastAsia" w:ascii="楷体" w:hAnsi="楷体" w:eastAsia="楷体" w:cs="楷体"/>
          <w:b/>
          <w:bCs/>
          <w:color w:val="000000"/>
          <w:sz w:val="32"/>
          <w:szCs w:val="32"/>
        </w:rPr>
        <w:t>（三）国有资产占有使用情况</w:t>
      </w:r>
      <w:bookmarkEnd w:id="54"/>
    </w:p>
    <w:p>
      <w:pPr>
        <w:autoSpaceDE w:val="0"/>
        <w:autoSpaceDN w:val="0"/>
        <w:adjustRightInd w:val="0"/>
        <w:spacing w:line="600" w:lineRule="exact"/>
        <w:ind w:firstLine="640" w:firstLineChars="200"/>
        <w:jc w:val="left"/>
        <w:rPr>
          <w:rFonts w:ascii="仿宋_GB2312" w:hAnsi="楷体" w:eastAsia="仿宋_GB2312"/>
          <w:color w:val="000000"/>
          <w:sz w:val="32"/>
          <w:szCs w:val="32"/>
        </w:rPr>
      </w:pPr>
      <w:r>
        <w:rPr>
          <w:rFonts w:hint="eastAsia" w:ascii="仿宋_GB2312" w:hAnsi="楷体" w:eastAsia="仿宋_GB2312" w:cs="仿宋_GB2312"/>
          <w:color w:val="000000"/>
          <w:sz w:val="32"/>
          <w:szCs w:val="32"/>
        </w:rPr>
        <w:t>截至</w:t>
      </w:r>
      <w:r>
        <w:rPr>
          <w:rFonts w:ascii="仿宋_GB2312" w:hAnsi="楷体" w:eastAsia="仿宋_GB2312" w:cs="仿宋_GB2312"/>
          <w:color w:val="000000"/>
          <w:sz w:val="32"/>
          <w:szCs w:val="32"/>
        </w:rPr>
        <w:t>2018</w:t>
      </w:r>
      <w:r>
        <w:rPr>
          <w:rFonts w:hint="eastAsia" w:ascii="仿宋_GB2312" w:hAnsi="楷体" w:eastAsia="仿宋_GB2312" w:cs="仿宋_GB2312"/>
          <w:color w:val="000000"/>
          <w:sz w:val="32"/>
          <w:szCs w:val="32"/>
        </w:rPr>
        <w:t>年</w:t>
      </w:r>
      <w:r>
        <w:rPr>
          <w:rFonts w:ascii="仿宋_GB2312" w:hAnsi="楷体" w:eastAsia="仿宋_GB2312" w:cs="仿宋_GB2312"/>
          <w:color w:val="000000"/>
          <w:sz w:val="32"/>
          <w:szCs w:val="32"/>
        </w:rPr>
        <w:t>12</w:t>
      </w:r>
      <w:r>
        <w:rPr>
          <w:rFonts w:hint="eastAsia" w:ascii="仿宋_GB2312" w:hAnsi="楷体" w:eastAsia="仿宋_GB2312" w:cs="仿宋_GB2312"/>
          <w:color w:val="000000"/>
          <w:sz w:val="32"/>
          <w:szCs w:val="32"/>
        </w:rPr>
        <w:t>月</w:t>
      </w:r>
      <w:r>
        <w:rPr>
          <w:rFonts w:ascii="仿宋_GB2312" w:hAnsi="楷体" w:eastAsia="仿宋_GB2312" w:cs="仿宋_GB2312"/>
          <w:color w:val="000000"/>
          <w:sz w:val="32"/>
          <w:szCs w:val="32"/>
        </w:rPr>
        <w:t>31</w:t>
      </w:r>
      <w:r>
        <w:rPr>
          <w:rFonts w:hint="eastAsia" w:ascii="仿宋_GB2312" w:hAnsi="楷体" w:eastAsia="仿宋_GB2312" w:cs="仿宋_GB2312"/>
          <w:color w:val="000000"/>
          <w:sz w:val="32"/>
          <w:szCs w:val="32"/>
        </w:rPr>
        <w:t>日，茂县红十字会共有车辆</w:t>
      </w: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辆，其中：部级领导干部用车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辆、一般公务用车</w:t>
      </w:r>
      <w:r>
        <w:rPr>
          <w:rFonts w:ascii="仿宋_GB2312" w:hAnsi="楷体" w:eastAsia="仿宋_GB2312" w:cs="仿宋_GB2312"/>
          <w:color w:val="000000"/>
          <w:sz w:val="32"/>
          <w:szCs w:val="32"/>
        </w:rPr>
        <w:t>3</w:t>
      </w:r>
      <w:r>
        <w:rPr>
          <w:rFonts w:hint="eastAsia" w:ascii="仿宋_GB2312" w:hAnsi="楷体" w:eastAsia="仿宋_GB2312" w:cs="仿宋_GB2312"/>
          <w:color w:val="000000"/>
          <w:sz w:val="32"/>
          <w:szCs w:val="32"/>
        </w:rPr>
        <w:t>辆（待报废）、一般执法执勤用车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辆、特种专业技术用车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辆、其他用车</w:t>
      </w:r>
      <w:r>
        <w:rPr>
          <w:rFonts w:ascii="仿宋_GB2312" w:hAnsi="楷体" w:eastAsia="仿宋_GB2312" w:cs="仿宋_GB2312"/>
          <w:color w:val="000000"/>
          <w:sz w:val="32"/>
          <w:szCs w:val="32"/>
        </w:rPr>
        <w:t>0</w:t>
      </w:r>
      <w:r>
        <w:rPr>
          <w:rFonts w:hint="eastAsia" w:ascii="仿宋_GB2312" w:hAnsi="楷体" w:eastAsia="仿宋_GB2312" w:cs="仿宋_GB2312"/>
          <w:color w:val="000000"/>
          <w:sz w:val="32"/>
          <w:szCs w:val="32"/>
        </w:rPr>
        <w:t>辆。</w:t>
      </w:r>
    </w:p>
    <w:p>
      <w:pPr>
        <w:spacing w:line="600" w:lineRule="atLeast"/>
        <w:ind w:firstLine="642" w:firstLineChars="200"/>
        <w:rPr>
          <w:rFonts w:ascii="楷体" w:hAnsi="楷体" w:eastAsia="楷体"/>
          <w:b/>
          <w:bCs/>
          <w:color w:val="000000"/>
          <w:sz w:val="32"/>
          <w:szCs w:val="32"/>
        </w:rPr>
      </w:pPr>
    </w:p>
    <w:p>
      <w:pPr>
        <w:widowControl/>
        <w:jc w:val="left"/>
        <w:rPr>
          <w:rFonts w:ascii="仿宋_GB2312" w:eastAsia="仿宋_GB2312"/>
          <w:b/>
          <w:bCs/>
          <w:color w:val="000000"/>
          <w:sz w:val="32"/>
          <w:szCs w:val="32"/>
        </w:rPr>
      </w:pPr>
      <w:r>
        <w:rPr>
          <w:rFonts w:ascii="仿宋_GB2312" w:eastAsia="仿宋_GB2312"/>
          <w:b/>
          <w:bCs/>
          <w:color w:val="000000"/>
          <w:sz w:val="32"/>
          <w:szCs w:val="32"/>
        </w:rPr>
        <w:br w:type="page"/>
      </w:r>
    </w:p>
    <w:p>
      <w:pPr>
        <w:spacing w:line="600" w:lineRule="exact"/>
        <w:jc w:val="center"/>
        <w:outlineLvl w:val="0"/>
        <w:rPr>
          <w:rStyle w:val="17"/>
          <w:rFonts w:ascii="方正小标宋简体" w:hAnsi="黑体" w:eastAsia="方正小标宋简体"/>
          <w:b w:val="0"/>
          <w:bCs w:val="0"/>
        </w:rPr>
      </w:pPr>
      <w:bookmarkStart w:id="55" w:name="_Toc15377225"/>
      <w:bookmarkStart w:id="56" w:name="_Toc15396613"/>
      <w:r>
        <w:rPr>
          <w:rFonts w:hint="eastAsia" w:ascii="方正小标宋简体" w:hAnsi="黑体" w:eastAsia="方正小标宋简体" w:cs="方正小标宋简体"/>
          <w:b/>
          <w:bCs/>
          <w:color w:val="000000"/>
          <w:sz w:val="44"/>
          <w:szCs w:val="44"/>
        </w:rPr>
        <w:t>第三部分名</w:t>
      </w:r>
      <w:r>
        <w:rPr>
          <w:rStyle w:val="17"/>
          <w:rFonts w:hint="eastAsia" w:ascii="方正小标宋简体" w:hAnsi="黑体" w:eastAsia="方正小标宋简体" w:cs="方正小标宋简体"/>
          <w:b w:val="0"/>
          <w:bCs w:val="0"/>
        </w:rPr>
        <w:t>词解释</w:t>
      </w:r>
      <w:bookmarkEnd w:id="55"/>
      <w:bookmarkEnd w:id="56"/>
    </w:p>
    <w:p>
      <w:pPr>
        <w:spacing w:line="600" w:lineRule="exact"/>
        <w:jc w:val="left"/>
        <w:rPr>
          <w:rFonts w:ascii="宋体"/>
          <w:b/>
          <w:bCs/>
          <w:color w:val="000000"/>
          <w:sz w:val="44"/>
          <w:szCs w:val="44"/>
        </w:rPr>
      </w:pP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r>
        <w:rPr>
          <w:rFonts w:ascii="仿宋_GB2312" w:eastAsia="仿宋_GB2312" w:cs="仿宋_GB2312"/>
          <w:sz w:val="32"/>
          <w:szCs w:val="32"/>
        </w:rPr>
        <w:t xml:space="preserve"> </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7"/>
        <w:spacing w:line="560" w:lineRule="exact"/>
        <w:ind w:firstLine="640" w:firstLineChars="200"/>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lang w:val="en-US" w:eastAsia="zh-CN"/>
        </w:rPr>
        <w:t>.</w:t>
      </w:r>
      <w:r>
        <w:rPr>
          <w:rFonts w:hint="eastAsia" w:ascii="仿宋_GB2312" w:eastAsia="仿宋_GB2312" w:cs="仿宋_GB2312"/>
          <w:sz w:val="32"/>
          <w:szCs w:val="32"/>
        </w:rPr>
        <w:t>年末结转和结余：指单位按有关规定结转到下年或以后年度继续使用的资金。</w:t>
      </w:r>
    </w:p>
    <w:p>
      <w:pPr>
        <w:spacing w:line="576" w:lineRule="exact"/>
        <w:ind w:firstLine="640" w:firstLineChars="200"/>
        <w:rPr>
          <w:rStyle w:val="15"/>
          <w:rFonts w:ascii="仿宋_GB2312" w:hAnsi="楷体" w:eastAsia="仿宋_GB2312"/>
          <w:b w:val="0"/>
          <w:bCs w:val="0"/>
          <w:color w:val="000000"/>
          <w:sz w:val="32"/>
          <w:szCs w:val="32"/>
        </w:rPr>
      </w:pPr>
      <w:r>
        <w:rPr>
          <w:rFonts w:ascii="仿宋_GB2312" w:eastAsia="仿宋_GB2312" w:cs="仿宋_GB2312"/>
          <w:color w:val="000000"/>
          <w:sz w:val="32"/>
          <w:szCs w:val="32"/>
        </w:rPr>
        <w:t>9.</w:t>
      </w:r>
      <w:r>
        <w:rPr>
          <w:rStyle w:val="15"/>
          <w:rFonts w:hint="eastAsia" w:ascii="仿宋_GB2312" w:hAnsi="楷体" w:eastAsia="仿宋_GB2312" w:cs="仿宋_GB2312"/>
          <w:b w:val="0"/>
          <w:bCs w:val="0"/>
          <w:sz w:val="32"/>
          <w:szCs w:val="32"/>
        </w:rPr>
        <w:t>社会保障和就业支出（类）行政事业单位离退休（款）</w:t>
      </w:r>
      <w:r>
        <w:rPr>
          <w:rStyle w:val="15"/>
          <w:rFonts w:hint="eastAsia" w:ascii="仿宋_GB2312" w:hAnsi="楷体" w:eastAsia="仿宋_GB2312" w:cs="仿宋_GB2312"/>
          <w:b w:val="0"/>
          <w:bCs w:val="0"/>
          <w:color w:val="000000"/>
          <w:sz w:val="32"/>
          <w:szCs w:val="32"/>
        </w:rPr>
        <w:t>机关事业单位养老保险缴费支出（项）</w:t>
      </w:r>
      <w:r>
        <w:rPr>
          <w:rStyle w:val="15"/>
          <w:rFonts w:ascii="仿宋_GB2312" w:hAnsi="楷体" w:eastAsia="仿宋_GB2312" w:cs="仿宋_GB2312"/>
          <w:b w:val="0"/>
          <w:bCs w:val="0"/>
          <w:color w:val="000000"/>
          <w:sz w:val="32"/>
          <w:szCs w:val="32"/>
        </w:rPr>
        <w:t>:</w:t>
      </w:r>
      <w:r>
        <w:rPr>
          <w:rStyle w:val="15"/>
          <w:rFonts w:hint="eastAsia" w:ascii="仿宋_GB2312" w:hAnsi="楷体" w:eastAsia="仿宋_GB2312" w:cs="仿宋_GB2312"/>
          <w:b w:val="0"/>
          <w:bCs w:val="0"/>
          <w:color w:val="000000"/>
          <w:sz w:val="32"/>
          <w:szCs w:val="32"/>
        </w:rPr>
        <w:t>指机关事业单位实施养老保险制度由单位缴纳的基本养老保险缴费支出。</w:t>
      </w:r>
    </w:p>
    <w:p>
      <w:pPr>
        <w:spacing w:line="576" w:lineRule="exact"/>
        <w:ind w:firstLine="640" w:firstLineChars="20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 xml:space="preserve"> 10.</w:t>
      </w:r>
      <w:r>
        <w:rPr>
          <w:rStyle w:val="15"/>
          <w:rFonts w:hint="eastAsia" w:ascii="仿宋_GB2312" w:hAnsi="楷体" w:eastAsia="仿宋_GB2312" w:cs="仿宋_GB2312"/>
          <w:b w:val="0"/>
          <w:bCs w:val="0"/>
          <w:sz w:val="32"/>
          <w:szCs w:val="32"/>
        </w:rPr>
        <w:t>社会保障和就业支出（类）行政事业单位离退休（款）机关事业单位职业年金缴费支出（项）：指机关事业单位</w:t>
      </w:r>
      <w:r>
        <w:rPr>
          <w:rStyle w:val="15"/>
          <w:rFonts w:hint="eastAsia" w:ascii="仿宋_GB2312" w:hAnsi="楷体" w:eastAsia="仿宋_GB2312" w:cs="仿宋_GB2312"/>
          <w:b w:val="0"/>
          <w:bCs w:val="0"/>
          <w:color w:val="000000"/>
          <w:sz w:val="32"/>
          <w:szCs w:val="32"/>
        </w:rPr>
        <w:t>实施养老保险制度由单位缴纳的</w:t>
      </w:r>
      <w:r>
        <w:rPr>
          <w:rStyle w:val="15"/>
          <w:rFonts w:hint="eastAsia" w:ascii="仿宋_GB2312" w:hAnsi="楷体" w:eastAsia="仿宋_GB2312" w:cs="仿宋_GB2312"/>
          <w:b w:val="0"/>
          <w:bCs w:val="0"/>
          <w:sz w:val="32"/>
          <w:szCs w:val="32"/>
        </w:rPr>
        <w:t>职业年金缴费支出。</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11.</w:t>
      </w:r>
      <w:r>
        <w:rPr>
          <w:rStyle w:val="15"/>
          <w:rFonts w:hint="eastAsia" w:ascii="仿宋_GB2312" w:hAnsi="楷体" w:eastAsia="仿宋_GB2312" w:cs="仿宋_GB2312"/>
          <w:b w:val="0"/>
          <w:bCs w:val="0"/>
          <w:sz w:val="32"/>
          <w:szCs w:val="32"/>
        </w:rPr>
        <w:t>社会保障和就业支出（类）红十字事业（款）其他红十字事业支出（项）：指政府支持红十字会开展红十字社会公益活动等方面的支出。</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color w:val="000000"/>
          <w:sz w:val="32"/>
          <w:szCs w:val="32"/>
        </w:rPr>
        <w:t>12.</w:t>
      </w:r>
      <w:r>
        <w:rPr>
          <w:rStyle w:val="15"/>
          <w:rFonts w:hint="eastAsia" w:ascii="仿宋_GB2312" w:hAnsi="楷体" w:eastAsia="仿宋_GB2312" w:cs="仿宋_GB2312"/>
          <w:b w:val="0"/>
          <w:bCs w:val="0"/>
          <w:color w:val="000000"/>
          <w:sz w:val="32"/>
          <w:szCs w:val="32"/>
        </w:rPr>
        <w:t>医疗卫生与计划生育支出（类）行政事业单位医疗（款）</w:t>
      </w:r>
      <w:r>
        <w:rPr>
          <w:rStyle w:val="15"/>
          <w:rFonts w:hint="eastAsia" w:ascii="仿宋_GB2312" w:hAnsi="楷体" w:eastAsia="仿宋_GB2312" w:cs="仿宋_GB2312"/>
          <w:b w:val="0"/>
          <w:bCs w:val="0"/>
          <w:sz w:val="32"/>
          <w:szCs w:val="32"/>
        </w:rPr>
        <w:t>行政单位医疗（项）：指反映财政部门集中安排的行政事业单位基表养老保险缴费经费，未参加医疗保险的行政事业单位的公费医疗经费，按国家规定享受离休人员、红军老战士待遇人员的医疗经费。</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13.</w:t>
      </w:r>
      <w:r>
        <w:rPr>
          <w:rStyle w:val="15"/>
          <w:rFonts w:hint="eastAsia" w:ascii="仿宋_GB2312" w:hAnsi="楷体" w:eastAsia="仿宋_GB2312" w:cs="仿宋_GB2312"/>
          <w:b w:val="0"/>
          <w:bCs w:val="0"/>
          <w:sz w:val="32"/>
          <w:szCs w:val="32"/>
        </w:rPr>
        <w:t>住房保障支出（类）住房改革支出（款）住房公积金（项）：指反映行政事业单位按</w:t>
      </w:r>
      <w:r>
        <w:rPr>
          <w:rStyle w:val="15"/>
          <w:rFonts w:hint="default" w:ascii="仿宋_GB2312" w:hAnsi="楷体" w:eastAsia="仿宋_GB2312" w:cs="仿宋_GB2312"/>
          <w:b w:val="0"/>
          <w:bCs w:val="0"/>
          <w:sz w:val="32"/>
          <w:szCs w:val="32"/>
        </w:rPr>
        <w:t>人力资源和社会保障部</w:t>
      </w:r>
      <w:r>
        <w:rPr>
          <w:rStyle w:val="15"/>
          <w:rFonts w:hint="eastAsia" w:ascii="仿宋_GB2312" w:hAnsi="楷体" w:eastAsia="仿宋_GB2312" w:cs="仿宋_GB2312"/>
          <w:b w:val="0"/>
          <w:bCs w:val="0"/>
          <w:sz w:val="32"/>
          <w:szCs w:val="32"/>
        </w:rPr>
        <w:t>、财政部规定的基本工资和津贴补贴以及规定比例为职工缴纳的住房公积金。</w:t>
      </w:r>
    </w:p>
    <w:p>
      <w:pPr>
        <w:spacing w:line="576" w:lineRule="exact"/>
        <w:ind w:firstLine="800" w:firstLineChars="250"/>
        <w:rPr>
          <w:rStyle w:val="15"/>
          <w:rFonts w:ascii="仿宋_GB2312" w:hAnsi="楷体" w:eastAsia="仿宋_GB2312"/>
          <w:b w:val="0"/>
          <w:bCs w:val="0"/>
          <w:sz w:val="32"/>
          <w:szCs w:val="32"/>
        </w:rPr>
      </w:pPr>
      <w:r>
        <w:rPr>
          <w:rStyle w:val="15"/>
          <w:rFonts w:ascii="仿宋_GB2312" w:hAnsi="楷体" w:eastAsia="仿宋_GB2312" w:cs="仿宋_GB2312"/>
          <w:b w:val="0"/>
          <w:bCs w:val="0"/>
          <w:sz w:val="32"/>
          <w:szCs w:val="32"/>
        </w:rPr>
        <w:t>14.</w:t>
      </w:r>
      <w:r>
        <w:rPr>
          <w:rStyle w:val="15"/>
          <w:rFonts w:hint="eastAsia" w:ascii="仿宋_GB2312" w:hAnsi="楷体" w:eastAsia="仿宋_GB2312" w:cs="仿宋_GB2312"/>
          <w:b w:val="0"/>
          <w:bCs w:val="0"/>
          <w:sz w:val="32"/>
          <w:szCs w:val="32"/>
        </w:rPr>
        <w:t>住房保障支出（类）住房改革支出（款）购房补贴（项）：指按房改政策规定，行政事业单位向符合条件职工（含离退休人员）、军队（含武警）向转役复原离退休人员发放的用于购买住房的补贴。</w:t>
      </w:r>
    </w:p>
    <w:p>
      <w:pPr>
        <w:ind w:firstLine="800" w:firstLineChars="250"/>
        <w:rPr>
          <w:rFonts w:ascii="仿宋_GB2312" w:eastAsia="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ind w:firstLine="800" w:firstLineChars="25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r>
        <w:rPr>
          <w:rFonts w:ascii="仿宋_GB2312" w:eastAsia="仿宋_GB2312" w:cs="仿宋_GB2312"/>
          <w:color w:val="000000"/>
          <w:sz w:val="32"/>
          <w:szCs w:val="32"/>
        </w:rPr>
        <w:t xml:space="preserve"> </w:t>
      </w:r>
    </w:p>
    <w:p>
      <w:pPr>
        <w:ind w:firstLine="800" w:firstLineChars="250"/>
        <w:rPr>
          <w:rFonts w:ascii="仿宋_GB2312" w:eastAsia="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7"/>
        <w:spacing w:line="560" w:lineRule="exact"/>
        <w:ind w:firstLine="800" w:firstLineChars="250"/>
        <w:rPr>
          <w:rFonts w:ascii="仿宋_GB2312" w:eastAsia="仿宋_GB2312" w:cs="Times New Roman"/>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7"/>
        <w:spacing w:line="560" w:lineRule="exact"/>
        <w:ind w:firstLine="800" w:firstLineChars="250"/>
        <w:rPr>
          <w:rFonts w:ascii="仿宋_GB2312" w:eastAsia="仿宋_GB2312" w:cs="Times New Roman"/>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800" w:firstLineChars="250"/>
        <w:rPr>
          <w:rFonts w:ascii="仿宋_GB2312" w:eastAsia="仿宋_GB2312" w:cs="Times New Roman"/>
          <w:sz w:val="32"/>
          <w:szCs w:val="32"/>
        </w:rPr>
      </w:pPr>
    </w:p>
    <w:p>
      <w:pPr>
        <w:pStyle w:val="27"/>
        <w:spacing w:line="560" w:lineRule="exact"/>
        <w:ind w:firstLine="640" w:firstLineChars="200"/>
        <w:rPr>
          <w:rFonts w:ascii="仿宋_GB2312" w:eastAsia="仿宋_GB2312" w:cs="Times New Roman"/>
          <w:sz w:val="32"/>
          <w:szCs w:val="32"/>
        </w:rPr>
      </w:pPr>
    </w:p>
    <w:p>
      <w:pPr>
        <w:spacing w:line="600" w:lineRule="exact"/>
        <w:jc w:val="center"/>
        <w:outlineLvl w:val="0"/>
        <w:rPr>
          <w:rStyle w:val="17"/>
          <w:rFonts w:ascii="方正小标宋简体" w:hAnsi="黑体" w:eastAsia="方正小标宋简体"/>
          <w:b w:val="0"/>
          <w:bCs w:val="0"/>
        </w:rPr>
      </w:pPr>
      <w:bookmarkStart w:id="57" w:name="_Toc15396614"/>
      <w:bookmarkStart w:id="58" w:name="_Toc15377226"/>
      <w:r>
        <w:rPr>
          <w:rStyle w:val="17"/>
          <w:rFonts w:hint="eastAsia" w:ascii="方正小标宋简体" w:hAnsi="黑体" w:eastAsia="方正小标宋简体" w:cs="方正小标宋简体"/>
          <w:b w:val="0"/>
          <w:bCs w:val="0"/>
        </w:rPr>
        <w:t>第四部分附件</w:t>
      </w:r>
      <w:bookmarkEnd w:id="57"/>
    </w:p>
    <w:p>
      <w:pPr>
        <w:pStyle w:val="3"/>
        <w:rPr>
          <w:rStyle w:val="17"/>
          <w:rFonts w:ascii="仿宋" w:hAnsi="仿宋" w:eastAsia="仿宋" w:cs="仿宋"/>
          <w:b w:val="0"/>
          <w:bCs w:val="0"/>
          <w:sz w:val="32"/>
          <w:szCs w:val="32"/>
        </w:rPr>
      </w:pPr>
      <w:bookmarkStart w:id="59" w:name="_Toc15396615"/>
      <w:bookmarkStart w:id="60" w:name="_Toc15396616"/>
      <w:r>
        <w:rPr>
          <w:rStyle w:val="17"/>
          <w:rFonts w:hint="eastAsia" w:ascii="仿宋" w:hAnsi="仿宋" w:eastAsia="仿宋" w:cs="仿宋"/>
          <w:b w:val="0"/>
          <w:bCs w:val="0"/>
          <w:sz w:val="32"/>
          <w:szCs w:val="32"/>
        </w:rPr>
        <w:t>附件</w:t>
      </w:r>
      <w:r>
        <w:rPr>
          <w:rStyle w:val="17"/>
          <w:rFonts w:ascii="仿宋" w:hAnsi="仿宋" w:eastAsia="仿宋" w:cs="仿宋"/>
          <w:b w:val="0"/>
          <w:bCs w:val="0"/>
          <w:sz w:val="32"/>
          <w:szCs w:val="32"/>
        </w:rPr>
        <w:t>1</w:t>
      </w:r>
      <w:bookmarkEnd w:id="59"/>
    </w:p>
    <w:p>
      <w:pPr>
        <w:spacing w:line="600" w:lineRule="exact"/>
        <w:jc w:val="center"/>
        <w:outlineLvl w:val="0"/>
        <w:rPr>
          <w:rFonts w:ascii="方正小标宋简体" w:hAnsi="黑体" w:eastAsia="方正小标宋简体"/>
          <w:sz w:val="44"/>
          <w:szCs w:val="44"/>
        </w:rPr>
      </w:pPr>
      <w:r>
        <w:rPr>
          <w:rFonts w:hint="eastAsia" w:ascii="方正小标宋简体" w:hAnsi="黑体" w:eastAsia="方正小标宋简体" w:cs="方正小标宋简体"/>
          <w:sz w:val="44"/>
          <w:szCs w:val="44"/>
        </w:rPr>
        <w:t>茂县红十字会</w:t>
      </w:r>
    </w:p>
    <w:p>
      <w:pPr>
        <w:spacing w:line="600" w:lineRule="exact"/>
        <w:jc w:val="center"/>
        <w:outlineLvl w:val="0"/>
        <w:rPr>
          <w:rFonts w:ascii="方正小标宋简体" w:hAnsi="黑体" w:eastAsia="方正小标宋简体"/>
          <w:sz w:val="44"/>
          <w:szCs w:val="44"/>
        </w:rPr>
      </w:pPr>
      <w:r>
        <w:rPr>
          <w:rFonts w:ascii="方正小标宋简体" w:hAnsi="黑体" w:eastAsia="方正小标宋简体" w:cs="方正小标宋简体"/>
          <w:sz w:val="44"/>
          <w:szCs w:val="44"/>
        </w:rPr>
        <w:t>2018</w:t>
      </w:r>
      <w:r>
        <w:rPr>
          <w:rFonts w:hint="eastAsia" w:ascii="方正小标宋简体" w:hAnsi="黑体" w:eastAsia="方正小标宋简体" w:cs="方正小标宋简体"/>
          <w:sz w:val="44"/>
          <w:szCs w:val="44"/>
        </w:rPr>
        <w:t>年部门整体支出绩效评价报告</w:t>
      </w:r>
      <w:bookmarkEnd w:id="60"/>
    </w:p>
    <w:p>
      <w:pPr>
        <w:spacing w:line="580" w:lineRule="exact"/>
        <w:ind w:firstLine="640" w:firstLineChars="200"/>
        <w:rPr>
          <w:rFonts w:ascii="黑体" w:hAnsi="黑体" w:eastAsia="黑体"/>
          <w:sz w:val="32"/>
          <w:szCs w:val="32"/>
        </w:rPr>
      </w:pPr>
    </w:p>
    <w:p>
      <w:pPr>
        <w:pStyle w:val="3"/>
        <w:rPr>
          <w:rFonts w:ascii="仿宋" w:hAnsi="仿宋" w:eastAsia="仿宋" w:cs="Times New Roman"/>
          <w:color w:val="000000"/>
        </w:rPr>
      </w:pPr>
      <w:r>
        <w:rPr>
          <w:rFonts w:hint="eastAsia" w:ascii="黑体" w:hAnsi="黑体" w:eastAsia="黑体" w:cs="黑体"/>
        </w:rPr>
        <w:t>一、部门（单位）概况</w:t>
      </w:r>
    </w:p>
    <w:p>
      <w:pPr>
        <w:tabs>
          <w:tab w:val="left" w:pos="720"/>
          <w:tab w:val="left" w:pos="1620"/>
        </w:tabs>
        <w:spacing w:line="360" w:lineRule="auto"/>
        <w:ind w:firstLine="481" w:firstLineChars="150"/>
        <w:rPr>
          <w:rFonts w:ascii="楷体" w:hAnsi="楷体" w:eastAsia="楷体"/>
          <w:b/>
          <w:bCs/>
          <w:sz w:val="32"/>
          <w:szCs w:val="32"/>
        </w:rPr>
      </w:pPr>
      <w:r>
        <w:rPr>
          <w:rFonts w:hint="eastAsia" w:ascii="楷体" w:hAnsi="楷体" w:eastAsia="楷体" w:cs="楷体"/>
          <w:b/>
          <w:bCs/>
          <w:sz w:val="32"/>
          <w:szCs w:val="32"/>
        </w:rPr>
        <w:t>（一）机构组成</w:t>
      </w:r>
    </w:p>
    <w:p>
      <w:pPr>
        <w:tabs>
          <w:tab w:val="left" w:pos="720"/>
          <w:tab w:val="left" w:pos="1620"/>
        </w:tabs>
        <w:spacing w:line="360" w:lineRule="auto"/>
        <w:ind w:firstLine="480" w:firstLineChars="150"/>
        <w:rPr>
          <w:rFonts w:ascii="仿宋_GB2312" w:hAnsi="Meiryo UI" w:eastAsia="仿宋_GB2312"/>
          <w:sz w:val="32"/>
          <w:szCs w:val="32"/>
        </w:rPr>
      </w:pPr>
      <w:r>
        <w:rPr>
          <w:rFonts w:hint="eastAsia" w:ascii="仿宋_GB2312" w:hAnsi="仿宋" w:eastAsia="仿宋_GB2312" w:cs="仿宋_GB2312"/>
          <w:sz w:val="32"/>
          <w:szCs w:val="32"/>
        </w:rPr>
        <w:t>红</w:t>
      </w:r>
      <w:r>
        <w:rPr>
          <w:rFonts w:hint="eastAsia" w:ascii="仿宋_GB2312" w:hAnsi="Meiryo UI" w:eastAsia="仿宋_GB2312" w:cs="仿宋_GB2312"/>
          <w:sz w:val="32"/>
          <w:szCs w:val="32"/>
        </w:rPr>
        <w:t>十字会</w:t>
      </w:r>
      <w:r>
        <w:rPr>
          <w:rFonts w:hint="eastAsia" w:ascii="仿宋_GB2312" w:hAnsi="仿宋" w:eastAsia="仿宋_GB2312" w:cs="仿宋_GB2312"/>
          <w:sz w:val="32"/>
          <w:szCs w:val="32"/>
        </w:rPr>
        <w:t>为</w:t>
      </w:r>
      <w:r>
        <w:rPr>
          <w:rFonts w:hint="eastAsia" w:ascii="仿宋_GB2312" w:hAnsi="Meiryo UI" w:eastAsia="仿宋_GB2312" w:cs="仿宋_GB2312"/>
          <w:sz w:val="32"/>
          <w:szCs w:val="32"/>
        </w:rPr>
        <w:t>独立的一</w:t>
      </w:r>
      <w:r>
        <w:rPr>
          <w:rFonts w:hint="eastAsia" w:ascii="仿宋_GB2312" w:hAnsi="仿宋" w:eastAsia="仿宋_GB2312" w:cs="仿宋_GB2312"/>
          <w:sz w:val="32"/>
          <w:szCs w:val="32"/>
        </w:rPr>
        <w:t>级预</w:t>
      </w:r>
      <w:r>
        <w:rPr>
          <w:rFonts w:hint="eastAsia" w:ascii="仿宋_GB2312" w:hAnsi="Meiryo UI" w:eastAsia="仿宋_GB2312" w:cs="仿宋_GB2312"/>
          <w:sz w:val="32"/>
          <w:szCs w:val="32"/>
        </w:rPr>
        <w:t>算</w:t>
      </w:r>
      <w:r>
        <w:rPr>
          <w:rFonts w:hint="eastAsia" w:ascii="仿宋_GB2312" w:hAnsi="仿宋" w:eastAsia="仿宋_GB2312" w:cs="仿宋_GB2312"/>
          <w:sz w:val="32"/>
          <w:szCs w:val="32"/>
        </w:rPr>
        <w:t>单</w:t>
      </w:r>
      <w:r>
        <w:rPr>
          <w:rFonts w:hint="eastAsia" w:ascii="仿宋_GB2312" w:hAnsi="Meiryo UI" w:eastAsia="仿宋_GB2312" w:cs="仿宋_GB2312"/>
          <w:sz w:val="32"/>
          <w:szCs w:val="32"/>
        </w:rPr>
        <w:t>位，内</w:t>
      </w:r>
      <w:r>
        <w:rPr>
          <w:rFonts w:hint="eastAsia" w:ascii="仿宋_GB2312" w:hAnsi="仿宋" w:eastAsia="仿宋_GB2312" w:cs="仿宋_GB2312"/>
          <w:sz w:val="32"/>
          <w:szCs w:val="32"/>
        </w:rPr>
        <w:t>设</w:t>
      </w:r>
      <w:r>
        <w:rPr>
          <w:rFonts w:hint="eastAsia" w:ascii="仿宋_GB2312" w:hAnsi="Meiryo UI" w:eastAsia="仿宋_GB2312" w:cs="仿宋_GB2312"/>
          <w:sz w:val="32"/>
          <w:szCs w:val="32"/>
        </w:rPr>
        <w:t>机构共二个：</w:t>
      </w:r>
      <w:r>
        <w:rPr>
          <w:rFonts w:hint="eastAsia" w:ascii="仿宋_GB2312" w:hAnsi="仿宋" w:eastAsia="仿宋_GB2312" w:cs="仿宋_GB2312"/>
          <w:sz w:val="32"/>
          <w:szCs w:val="32"/>
        </w:rPr>
        <w:t>办</w:t>
      </w:r>
      <w:r>
        <w:rPr>
          <w:rFonts w:hint="eastAsia" w:ascii="仿宋_GB2312" w:hAnsi="Meiryo UI" w:eastAsia="仿宋_GB2312" w:cs="仿宋_GB2312"/>
          <w:sz w:val="32"/>
          <w:szCs w:val="32"/>
        </w:rPr>
        <w:t>公室、</w:t>
      </w:r>
      <w:r>
        <w:rPr>
          <w:rFonts w:hint="eastAsia" w:ascii="仿宋_GB2312" w:hAnsi="仿宋" w:eastAsia="仿宋_GB2312" w:cs="仿宋_GB2312"/>
          <w:sz w:val="32"/>
          <w:szCs w:val="32"/>
        </w:rPr>
        <w:t>综</w:t>
      </w:r>
      <w:r>
        <w:rPr>
          <w:rFonts w:hint="eastAsia" w:ascii="仿宋_GB2312" w:hAnsi="Meiryo UI" w:eastAsia="仿宋_GB2312" w:cs="仿宋_GB2312"/>
          <w:sz w:val="32"/>
          <w:szCs w:val="32"/>
        </w:rPr>
        <w:t>合股。茂</w:t>
      </w:r>
      <w:r>
        <w:rPr>
          <w:rFonts w:hint="eastAsia" w:ascii="仿宋_GB2312" w:hAnsi="仿宋" w:eastAsia="仿宋_GB2312" w:cs="仿宋_GB2312"/>
          <w:sz w:val="32"/>
          <w:szCs w:val="32"/>
        </w:rPr>
        <w:t>县红</w:t>
      </w:r>
      <w:r>
        <w:rPr>
          <w:rFonts w:hint="eastAsia" w:ascii="仿宋_GB2312" w:hAnsi="Meiryo UI" w:eastAsia="仿宋_GB2312" w:cs="仿宋_GB2312"/>
          <w:sz w:val="32"/>
          <w:szCs w:val="32"/>
        </w:rPr>
        <w:t>十字会</w:t>
      </w:r>
      <w:r>
        <w:rPr>
          <w:rFonts w:hint="eastAsia" w:ascii="仿宋_GB2312" w:hAnsi="仿宋" w:eastAsia="仿宋_GB2312" w:cs="仿宋_GB2312"/>
          <w:sz w:val="32"/>
          <w:szCs w:val="32"/>
        </w:rPr>
        <w:t>编</w:t>
      </w:r>
      <w:r>
        <w:rPr>
          <w:rFonts w:hint="eastAsia" w:ascii="仿宋_GB2312" w:hAnsi="Meiryo UI" w:eastAsia="仿宋_GB2312" w:cs="仿宋_GB2312"/>
          <w:sz w:val="32"/>
          <w:szCs w:val="32"/>
        </w:rPr>
        <w:t>制共</w:t>
      </w:r>
      <w:r>
        <w:rPr>
          <w:rFonts w:ascii="仿宋_GB2312" w:hAnsi="Meiryo UI" w:eastAsia="仿宋_GB2312" w:cs="仿宋_GB2312"/>
          <w:sz w:val="32"/>
          <w:szCs w:val="32"/>
        </w:rPr>
        <w:t>5</w:t>
      </w:r>
      <w:r>
        <w:rPr>
          <w:rFonts w:hint="eastAsia" w:ascii="仿宋_GB2312" w:hAnsi="Meiryo UI" w:eastAsia="仿宋_GB2312" w:cs="仿宋_GB2312"/>
          <w:sz w:val="32"/>
          <w:szCs w:val="32"/>
        </w:rPr>
        <w:t>名，其中：参公管理</w:t>
      </w:r>
      <w:r>
        <w:rPr>
          <w:rFonts w:ascii="仿宋_GB2312" w:hAnsi="Meiryo UI" w:eastAsia="仿宋_GB2312" w:cs="仿宋_GB2312"/>
          <w:sz w:val="32"/>
          <w:szCs w:val="32"/>
        </w:rPr>
        <w:t>5</w:t>
      </w:r>
      <w:r>
        <w:rPr>
          <w:rFonts w:hint="eastAsia" w:ascii="仿宋_GB2312" w:hAnsi="Meiryo UI" w:eastAsia="仿宋_GB2312" w:cs="仿宋_GB2312"/>
          <w:sz w:val="32"/>
          <w:szCs w:val="32"/>
        </w:rPr>
        <w:t>名（含</w:t>
      </w:r>
      <w:r>
        <w:rPr>
          <w:rFonts w:ascii="仿宋_GB2312" w:hAnsi="Meiryo UI" w:eastAsia="仿宋_GB2312" w:cs="仿宋_GB2312"/>
          <w:sz w:val="32"/>
          <w:szCs w:val="32"/>
        </w:rPr>
        <w:t>1</w:t>
      </w:r>
      <w:r>
        <w:rPr>
          <w:rFonts w:hint="eastAsia" w:ascii="仿宋_GB2312" w:hAnsi="Meiryo UI" w:eastAsia="仿宋_GB2312" w:cs="仿宋_GB2312"/>
          <w:sz w:val="32"/>
          <w:szCs w:val="32"/>
        </w:rPr>
        <w:t>名工勤）。</w:t>
      </w:r>
    </w:p>
    <w:p>
      <w:pPr>
        <w:pStyle w:val="6"/>
        <w:adjustRightInd w:val="0"/>
        <w:snapToGrid w:val="0"/>
        <w:spacing w:before="93" w:line="360" w:lineRule="auto"/>
        <w:ind w:firstLine="481" w:firstLineChars="150"/>
        <w:rPr>
          <w:rFonts w:ascii="楷体" w:hAnsi="楷体" w:eastAsia="楷体" w:cs="Times New Roman"/>
          <w:b/>
          <w:bCs/>
          <w:sz w:val="32"/>
          <w:szCs w:val="32"/>
        </w:rPr>
      </w:pPr>
      <w:r>
        <w:rPr>
          <w:rFonts w:hint="eastAsia" w:ascii="楷体" w:hAnsi="楷体" w:eastAsia="楷体" w:cs="楷体"/>
          <w:b/>
          <w:bCs/>
          <w:sz w:val="32"/>
          <w:szCs w:val="32"/>
        </w:rPr>
        <w:t>（二）机构职能</w:t>
      </w:r>
    </w:p>
    <w:p>
      <w:pPr>
        <w:pStyle w:val="6"/>
        <w:adjustRightInd w:val="0"/>
        <w:snapToGrid w:val="0"/>
        <w:spacing w:before="93" w:line="360" w:lineRule="auto"/>
        <w:ind w:firstLine="480" w:firstLineChars="150"/>
        <w:rPr>
          <w:rFonts w:hAnsi="仿宋" w:cs="Times New Roman"/>
          <w:sz w:val="32"/>
          <w:szCs w:val="32"/>
        </w:rPr>
      </w:pPr>
      <w:r>
        <w:rPr>
          <w:rFonts w:hint="eastAsia" w:hAnsi="仿宋"/>
          <w:sz w:val="32"/>
          <w:szCs w:val="32"/>
        </w:rPr>
        <w:t>传播国际红十字运动知识和国际人道主义法。宣传、贯彻《中华人民共和国红十字会法》，依照红十字会法和红十字章程组织协调开展我县红十字会工作；开展备灾救灾工作，在自然灾害和开展救灾备灾工作。在自然灾害和突发事件中</w:t>
      </w:r>
      <w:r>
        <w:rPr>
          <w:rFonts w:hAnsi="仿宋"/>
          <w:sz w:val="32"/>
          <w:szCs w:val="32"/>
        </w:rPr>
        <w:t>,</w:t>
      </w:r>
      <w:r>
        <w:rPr>
          <w:rFonts w:hint="eastAsia" w:hAnsi="仿宋"/>
          <w:sz w:val="32"/>
          <w:szCs w:val="32"/>
        </w:rPr>
        <w:t>开展救护和救助工作</w:t>
      </w:r>
      <w:r>
        <w:rPr>
          <w:rFonts w:hAnsi="仿宋"/>
          <w:sz w:val="32"/>
          <w:szCs w:val="32"/>
        </w:rPr>
        <w:t>;</w:t>
      </w:r>
      <w:r>
        <w:rPr>
          <w:rFonts w:hint="eastAsia" w:hAnsi="仿宋"/>
          <w:sz w:val="32"/>
          <w:szCs w:val="32"/>
        </w:rPr>
        <w:t>依法接受国内外组织和个人的捐赠</w:t>
      </w:r>
      <w:r>
        <w:rPr>
          <w:rFonts w:hAnsi="仿宋"/>
          <w:sz w:val="32"/>
          <w:szCs w:val="32"/>
        </w:rPr>
        <w:t>,</w:t>
      </w:r>
      <w:r>
        <w:rPr>
          <w:rFonts w:hint="eastAsia" w:hAnsi="仿宋"/>
          <w:sz w:val="32"/>
          <w:szCs w:val="32"/>
        </w:rPr>
        <w:t>及时向灾区群众和受难者提供人道主义援助突发事件中，对受害者组织实施救助工作。</w:t>
      </w:r>
    </w:p>
    <w:p>
      <w:pPr>
        <w:tabs>
          <w:tab w:val="left" w:pos="720"/>
          <w:tab w:val="left" w:pos="1620"/>
        </w:tabs>
        <w:spacing w:line="360" w:lineRule="auto"/>
        <w:ind w:firstLine="481" w:firstLineChars="150"/>
        <w:rPr>
          <w:rFonts w:ascii="楷体" w:hAnsi="楷体" w:eastAsia="楷体"/>
          <w:b/>
          <w:bCs/>
          <w:sz w:val="32"/>
          <w:szCs w:val="32"/>
        </w:rPr>
      </w:pPr>
      <w:r>
        <w:rPr>
          <w:rFonts w:hint="eastAsia" w:ascii="楷体" w:hAnsi="楷体" w:eastAsia="楷体" w:cs="楷体"/>
          <w:b/>
          <w:bCs/>
          <w:sz w:val="32"/>
          <w:szCs w:val="32"/>
        </w:rPr>
        <w:t>（三）人员概况</w:t>
      </w:r>
    </w:p>
    <w:p>
      <w:pPr>
        <w:tabs>
          <w:tab w:val="left" w:pos="720"/>
          <w:tab w:val="left" w:pos="1620"/>
        </w:tabs>
        <w:spacing w:line="360" w:lineRule="auto"/>
        <w:ind w:firstLine="480" w:firstLineChars="150"/>
        <w:rPr>
          <w:rFonts w:ascii="仿宋_GB2312" w:hAnsi="仿宋" w:eastAsia="仿宋_GB2312"/>
        </w:rPr>
      </w:pPr>
      <w:r>
        <w:rPr>
          <w:rFonts w:hint="eastAsia" w:ascii="仿宋_GB2312" w:hAnsi="仿宋" w:eastAsia="仿宋_GB2312" w:cs="仿宋_GB2312"/>
          <w:sz w:val="32"/>
          <w:szCs w:val="32"/>
        </w:rPr>
        <w:t>茂县红十字会在职在岗人数</w:t>
      </w:r>
      <w:r>
        <w:rPr>
          <w:rFonts w:ascii="仿宋_GB2312" w:hAnsi="仿宋" w:eastAsia="仿宋_GB2312" w:cs="仿宋_GB2312"/>
          <w:sz w:val="32"/>
          <w:szCs w:val="32"/>
        </w:rPr>
        <w:t>7</w:t>
      </w:r>
      <w:r>
        <w:rPr>
          <w:rFonts w:hint="eastAsia" w:ascii="仿宋_GB2312" w:hAnsi="仿宋" w:eastAsia="仿宋_GB2312" w:cs="仿宋_GB2312"/>
          <w:sz w:val="32"/>
          <w:szCs w:val="32"/>
        </w:rPr>
        <w:t>人。</w:t>
      </w:r>
    </w:p>
    <w:p>
      <w:pPr>
        <w:spacing w:line="580" w:lineRule="exact"/>
        <w:ind w:firstLine="160" w:firstLineChars="50"/>
        <w:rPr>
          <w:rFonts w:ascii="仿宋_GB2312" w:hAnsi="Meiryo UI" w:eastAsia="仿宋_GB2312"/>
          <w:sz w:val="32"/>
          <w:szCs w:val="32"/>
        </w:rPr>
      </w:pPr>
    </w:p>
    <w:p>
      <w:pPr>
        <w:pStyle w:val="3"/>
        <w:rPr>
          <w:rFonts w:ascii="仿宋" w:hAnsi="仿宋" w:eastAsia="仿宋" w:cs="Times New Roman"/>
          <w:color w:val="000000"/>
        </w:rPr>
      </w:pPr>
      <w:r>
        <w:rPr>
          <w:rFonts w:hint="eastAsia" w:ascii="黑体" w:hAnsi="黑体" w:eastAsia="黑体" w:cs="黑体"/>
        </w:rPr>
        <w:t>二、部门财政资金收支情况</w:t>
      </w:r>
    </w:p>
    <w:p>
      <w:pPr>
        <w:tabs>
          <w:tab w:val="left" w:pos="720"/>
          <w:tab w:val="left" w:pos="1620"/>
        </w:tabs>
        <w:spacing w:line="360" w:lineRule="auto"/>
        <w:ind w:firstLine="642" w:firstLineChars="200"/>
        <w:rPr>
          <w:rFonts w:ascii="仿宋_GB2312" w:hAnsi="仿宋" w:eastAsia="仿宋_GB2312"/>
          <w:b/>
          <w:bCs/>
          <w:sz w:val="32"/>
          <w:szCs w:val="32"/>
        </w:rPr>
      </w:pPr>
      <w:r>
        <w:rPr>
          <w:rFonts w:hint="eastAsia" w:ascii="楷体" w:hAnsi="楷体" w:eastAsia="楷体" w:cs="楷体"/>
          <w:b/>
          <w:bCs/>
          <w:sz w:val="32"/>
          <w:szCs w:val="32"/>
        </w:rPr>
        <w:t>（一）部门财政资金收入情况</w:t>
      </w:r>
    </w:p>
    <w:p>
      <w:pPr>
        <w:tabs>
          <w:tab w:val="left" w:pos="720"/>
          <w:tab w:val="left" w:pos="1620"/>
        </w:tabs>
        <w:spacing w:line="360" w:lineRule="auto"/>
        <w:ind w:firstLine="640" w:firstLineChars="200"/>
        <w:rPr>
          <w:rFonts w:ascii="仿宋_GB2312" w:hAnsi="仿宋" w:eastAsia="仿宋_GB2312" w:cs="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年决算总收入</w:t>
      </w:r>
      <w:r>
        <w:rPr>
          <w:rFonts w:ascii="仿宋_GB2312" w:hAnsi="仿宋" w:eastAsia="仿宋_GB2312" w:cs="仿宋_GB2312"/>
          <w:sz w:val="32"/>
          <w:szCs w:val="32"/>
        </w:rPr>
        <w:t>100.56</w:t>
      </w:r>
      <w:r>
        <w:rPr>
          <w:rFonts w:hint="eastAsia" w:ascii="仿宋_GB2312" w:hAnsi="仿宋" w:eastAsia="仿宋_GB2312" w:cs="仿宋_GB2312"/>
          <w:sz w:val="32"/>
          <w:szCs w:val="32"/>
        </w:rPr>
        <w:t>万元，其中：一般公共财政预算拨款</w:t>
      </w:r>
      <w:r>
        <w:rPr>
          <w:rFonts w:ascii="仿宋_GB2312" w:hAnsi="仿宋" w:eastAsia="仿宋_GB2312" w:cs="仿宋_GB2312"/>
          <w:sz w:val="32"/>
          <w:szCs w:val="32"/>
        </w:rPr>
        <w:t>100.56</w:t>
      </w:r>
      <w:r>
        <w:rPr>
          <w:rFonts w:hint="eastAsia" w:ascii="仿宋_GB2312" w:hAnsi="仿宋" w:eastAsia="仿宋_GB2312" w:cs="仿宋_GB2312"/>
          <w:sz w:val="32"/>
          <w:szCs w:val="32"/>
        </w:rPr>
        <w:t>万元。收入决算总额较</w:t>
      </w:r>
      <w:r>
        <w:rPr>
          <w:rFonts w:ascii="仿宋_GB2312" w:hAnsi="仿宋" w:eastAsia="仿宋_GB2312" w:cs="仿宋_GB2312"/>
          <w:sz w:val="32"/>
          <w:szCs w:val="32"/>
        </w:rPr>
        <w:t>2017</w:t>
      </w:r>
      <w:r>
        <w:rPr>
          <w:rFonts w:hint="eastAsia" w:ascii="仿宋_GB2312" w:hAnsi="仿宋" w:eastAsia="仿宋_GB2312" w:cs="仿宋_GB2312"/>
          <w:sz w:val="32"/>
          <w:szCs w:val="32"/>
        </w:rPr>
        <w:t>年增加</w:t>
      </w:r>
      <w:r>
        <w:rPr>
          <w:rFonts w:ascii="仿宋_GB2312" w:hAnsi="仿宋" w:eastAsia="仿宋_GB2312" w:cs="仿宋_GB2312"/>
          <w:sz w:val="32"/>
          <w:szCs w:val="32"/>
        </w:rPr>
        <w:t>15.13</w:t>
      </w:r>
      <w:r>
        <w:rPr>
          <w:rFonts w:hint="eastAsia" w:ascii="仿宋_GB2312" w:hAnsi="仿宋" w:eastAsia="仿宋_GB2312" w:cs="仿宋_GB2312"/>
          <w:sz w:val="32"/>
          <w:szCs w:val="32"/>
        </w:rPr>
        <w:t>万元，主要原因人员工资增加。</w:t>
      </w:r>
      <w:r>
        <w:rPr>
          <w:rFonts w:ascii="仿宋_GB2312" w:hAnsi="仿宋" w:eastAsia="仿宋_GB2312" w:cs="仿宋_GB2312"/>
          <w:sz w:val="32"/>
          <w:szCs w:val="32"/>
        </w:rPr>
        <w:t xml:space="preserve">  </w:t>
      </w:r>
    </w:p>
    <w:p>
      <w:pPr>
        <w:spacing w:line="580" w:lineRule="exact"/>
        <w:ind w:firstLine="642" w:firstLineChars="200"/>
        <w:rPr>
          <w:rFonts w:ascii="楷体" w:hAnsi="楷体" w:eastAsia="楷体"/>
          <w:b/>
          <w:bCs/>
          <w:sz w:val="32"/>
          <w:szCs w:val="32"/>
        </w:rPr>
      </w:pPr>
      <w:r>
        <w:rPr>
          <w:rFonts w:hint="eastAsia" w:ascii="楷体" w:hAnsi="楷体" w:eastAsia="楷体" w:cs="楷体"/>
          <w:b/>
          <w:bCs/>
          <w:sz w:val="32"/>
          <w:szCs w:val="32"/>
        </w:rPr>
        <w:t>（二）部门财政资金支出情况</w:t>
      </w:r>
    </w:p>
    <w:p>
      <w:pPr>
        <w:spacing w:line="580" w:lineRule="exact"/>
        <w:ind w:firstLine="640" w:firstLineChars="200"/>
        <w:rPr>
          <w:rFonts w:ascii="仿宋_GB2312" w:hAnsi="仿宋" w:eastAsia="仿宋_GB2312"/>
          <w:sz w:val="32"/>
          <w:szCs w:val="32"/>
        </w:rPr>
      </w:pPr>
      <w:r>
        <w:rPr>
          <w:rFonts w:ascii="仿宋_GB2312" w:hAnsi="仿宋" w:eastAsia="仿宋_GB2312" w:cs="仿宋_GB2312"/>
          <w:sz w:val="32"/>
          <w:szCs w:val="32"/>
        </w:rPr>
        <w:t>2018</w:t>
      </w:r>
      <w:r>
        <w:rPr>
          <w:rFonts w:hint="eastAsia" w:ascii="仿宋_GB2312" w:hAnsi="仿宋" w:eastAsia="仿宋_GB2312" w:cs="仿宋_GB2312"/>
          <w:sz w:val="32"/>
          <w:szCs w:val="32"/>
        </w:rPr>
        <w:t>年部门决算总支出</w:t>
      </w:r>
      <w:r>
        <w:rPr>
          <w:rFonts w:ascii="仿宋_GB2312" w:hAnsi="仿宋" w:eastAsia="仿宋_GB2312" w:cs="仿宋_GB2312"/>
          <w:sz w:val="32"/>
          <w:szCs w:val="32"/>
        </w:rPr>
        <w:t>100.56</w:t>
      </w:r>
      <w:r>
        <w:rPr>
          <w:rFonts w:hint="eastAsia" w:ascii="仿宋_GB2312" w:hAnsi="仿宋" w:eastAsia="仿宋_GB2312" w:cs="仿宋_GB2312"/>
          <w:sz w:val="32"/>
          <w:szCs w:val="32"/>
        </w:rPr>
        <w:t>万元，其中：社会保障就业支出</w:t>
      </w:r>
      <w:r>
        <w:rPr>
          <w:rFonts w:ascii="仿宋_GB2312" w:hAnsi="仿宋" w:eastAsia="仿宋_GB2312" w:cs="仿宋_GB2312"/>
          <w:sz w:val="32"/>
          <w:szCs w:val="32"/>
        </w:rPr>
        <w:t>87.27</w:t>
      </w:r>
      <w:r>
        <w:rPr>
          <w:rFonts w:hint="eastAsia" w:ascii="仿宋_GB2312" w:hAnsi="仿宋" w:eastAsia="仿宋_GB2312" w:cs="仿宋_GB2312"/>
          <w:sz w:val="32"/>
          <w:szCs w:val="32"/>
        </w:rPr>
        <w:t>万元，医疗卫生</w:t>
      </w:r>
      <w:r>
        <w:rPr>
          <w:rFonts w:ascii="仿宋_GB2312" w:hAnsi="仿宋" w:eastAsia="仿宋_GB2312" w:cs="仿宋_GB2312"/>
          <w:sz w:val="32"/>
          <w:szCs w:val="32"/>
        </w:rPr>
        <w:t>5.16</w:t>
      </w:r>
      <w:r>
        <w:rPr>
          <w:rFonts w:hint="eastAsia" w:ascii="仿宋_GB2312" w:hAnsi="仿宋" w:eastAsia="仿宋_GB2312" w:cs="仿宋_GB2312"/>
          <w:sz w:val="32"/>
          <w:szCs w:val="32"/>
        </w:rPr>
        <w:t>万元，住房保障支出</w:t>
      </w:r>
      <w:r>
        <w:rPr>
          <w:rFonts w:ascii="仿宋_GB2312" w:hAnsi="仿宋" w:eastAsia="仿宋_GB2312" w:cs="仿宋_GB2312"/>
          <w:sz w:val="32"/>
          <w:szCs w:val="32"/>
        </w:rPr>
        <w:t>8.13</w:t>
      </w:r>
      <w:r>
        <w:rPr>
          <w:rFonts w:hint="eastAsia" w:ascii="仿宋_GB2312" w:hAnsi="仿宋" w:eastAsia="仿宋_GB2312" w:cs="仿宋_GB2312"/>
          <w:sz w:val="32"/>
          <w:szCs w:val="32"/>
        </w:rPr>
        <w:t>万元。支出决算总额较</w:t>
      </w:r>
      <w:r>
        <w:rPr>
          <w:rFonts w:ascii="仿宋_GB2312" w:hAnsi="仿宋" w:eastAsia="仿宋_GB2312" w:cs="仿宋_GB2312"/>
          <w:sz w:val="32"/>
          <w:szCs w:val="32"/>
        </w:rPr>
        <w:t>2017</w:t>
      </w:r>
      <w:r>
        <w:rPr>
          <w:rFonts w:hint="eastAsia" w:ascii="仿宋_GB2312" w:hAnsi="仿宋" w:eastAsia="仿宋_GB2312" w:cs="仿宋_GB2312"/>
          <w:sz w:val="32"/>
          <w:szCs w:val="32"/>
        </w:rPr>
        <w:t>年增加</w:t>
      </w:r>
      <w:r>
        <w:rPr>
          <w:rFonts w:ascii="仿宋_GB2312" w:hAnsi="仿宋" w:eastAsia="仿宋_GB2312" w:cs="仿宋_GB2312"/>
          <w:sz w:val="32"/>
          <w:szCs w:val="32"/>
        </w:rPr>
        <w:t>15.13</w:t>
      </w:r>
      <w:r>
        <w:rPr>
          <w:rFonts w:hint="eastAsia" w:ascii="仿宋_GB2312" w:hAnsi="仿宋" w:eastAsia="仿宋_GB2312" w:cs="仿宋_GB2312"/>
          <w:sz w:val="32"/>
          <w:szCs w:val="32"/>
        </w:rPr>
        <w:t>万元，主要原因人员工资增加。</w:t>
      </w:r>
    </w:p>
    <w:p>
      <w:pPr>
        <w:pStyle w:val="3"/>
        <w:rPr>
          <w:rFonts w:ascii="黑体" w:hAnsi="黑体" w:eastAsia="黑体" w:cs="Times New Roman"/>
        </w:rPr>
      </w:pPr>
      <w:r>
        <w:rPr>
          <w:rFonts w:hint="eastAsia" w:ascii="黑体" w:hAnsi="黑体" w:eastAsia="黑体" w:cs="黑体"/>
        </w:rPr>
        <w:t>三、部门整体预算绩效管理情况</w:t>
      </w:r>
    </w:p>
    <w:p>
      <w:pPr>
        <w:pStyle w:val="3"/>
        <w:ind w:firstLine="321" w:firstLineChars="100"/>
        <w:rPr>
          <w:rFonts w:ascii="仿宋" w:hAnsi="仿宋" w:eastAsia="仿宋" w:cs="Times New Roman"/>
          <w:color w:val="000000"/>
        </w:rPr>
      </w:pPr>
      <w:r>
        <w:rPr>
          <w:rFonts w:hint="eastAsia" w:ascii="楷体" w:hAnsi="楷体" w:eastAsia="楷体" w:cs="楷体"/>
        </w:rPr>
        <w:t>（一）部门预算管理</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我单位加强财务管理，严格按照相关财经制度执行，特别是对“三公”经费的预算控制。严格招待费用审核审批程序，“三公”经费较好地控制在预算范围之内。</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为加强财务管理，勤俭办学</w:t>
      </w:r>
      <w:r>
        <w:rPr>
          <w:rFonts w:ascii="仿宋_GB2312" w:hAnsi="仿宋" w:eastAsia="仿宋_GB2312" w:cs="仿宋_GB2312"/>
          <w:sz w:val="32"/>
          <w:szCs w:val="32"/>
        </w:rPr>
        <w:t>,</w:t>
      </w:r>
      <w:r>
        <w:rPr>
          <w:rFonts w:hint="eastAsia" w:ascii="仿宋_GB2312" w:hAnsi="仿宋" w:eastAsia="仿宋_GB2312" w:cs="仿宋_GB2312"/>
          <w:sz w:val="32"/>
          <w:szCs w:val="32"/>
        </w:rPr>
        <w:t>厉行节约，促进党风廉政建设</w:t>
      </w:r>
      <w:r>
        <w:rPr>
          <w:rFonts w:ascii="仿宋_GB2312" w:hAnsi="仿宋" w:eastAsia="仿宋_GB2312" w:cs="仿宋_GB2312"/>
          <w:sz w:val="32"/>
          <w:szCs w:val="32"/>
        </w:rPr>
        <w:t>,</w:t>
      </w:r>
      <w:r>
        <w:rPr>
          <w:rFonts w:hint="eastAsia" w:ascii="仿宋_GB2312" w:hAnsi="仿宋" w:eastAsia="仿宋_GB2312" w:cs="仿宋_GB2312"/>
          <w:sz w:val="32"/>
          <w:szCs w:val="32"/>
        </w:rPr>
        <w:t>保证教学、科研、行政后勤等各项工作的顺利进行，我单位制定了财务管理制度，固定资产管理制度，并严格按照《会计法》《会计档案管理办法》进行会计凭证、账簿登记和会计档案管理。</w:t>
      </w:r>
    </w:p>
    <w:p>
      <w:pPr>
        <w:spacing w:line="360" w:lineRule="auto"/>
        <w:ind w:firstLine="640" w:firstLineChars="200"/>
        <w:rPr>
          <w:rFonts w:ascii="仿宋_GB2312" w:hAnsi="仿宋" w:eastAsia="仿宋_GB2312"/>
          <w:sz w:val="32"/>
          <w:szCs w:val="32"/>
        </w:rPr>
      </w:pPr>
      <w:r>
        <w:rPr>
          <w:rFonts w:hint="eastAsia" w:ascii="仿宋_GB2312" w:hAnsi="仿宋" w:eastAsia="仿宋_GB2312" w:cs="仿宋_GB2312"/>
          <w:sz w:val="32"/>
          <w:szCs w:val="32"/>
        </w:rPr>
        <w:t>在我单位采购办公用品时严格按照茂府办发【</w:t>
      </w:r>
      <w:r>
        <w:rPr>
          <w:rFonts w:ascii="仿宋_GB2312" w:hAnsi="仿宋" w:eastAsia="仿宋_GB2312" w:cs="仿宋_GB2312"/>
          <w:sz w:val="32"/>
          <w:szCs w:val="32"/>
        </w:rPr>
        <w:t>2013</w:t>
      </w:r>
      <w:r>
        <w:rPr>
          <w:rFonts w:hint="eastAsia" w:ascii="仿宋_GB2312" w:hAnsi="仿宋" w:eastAsia="仿宋_GB2312" w:cs="仿宋_GB2312"/>
          <w:sz w:val="32"/>
          <w:szCs w:val="32"/>
        </w:rPr>
        <w:t>】</w:t>
      </w:r>
      <w:r>
        <w:rPr>
          <w:rFonts w:ascii="仿宋_GB2312" w:hAnsi="仿宋" w:eastAsia="仿宋_GB2312" w:cs="仿宋_GB2312"/>
          <w:sz w:val="32"/>
          <w:szCs w:val="32"/>
        </w:rPr>
        <w:t>64</w:t>
      </w:r>
      <w:r>
        <w:rPr>
          <w:rFonts w:hint="eastAsia" w:ascii="仿宋_GB2312" w:hAnsi="仿宋" w:eastAsia="仿宋_GB2312" w:cs="仿宋_GB2312"/>
          <w:sz w:val="32"/>
          <w:szCs w:val="32"/>
        </w:rPr>
        <w:t>号文件精神，项目预算资金在限额标准以上的都通过填报《茂县政府采购计划申请表》向县财政申请，经审核批准后在组织实施。项目预算资金在限额标准以下的都通过填报《茂县政府采购备案表》经备案后在进行采购。</w:t>
      </w:r>
    </w:p>
    <w:p>
      <w:pPr>
        <w:pStyle w:val="3"/>
        <w:ind w:firstLine="321" w:firstLineChars="100"/>
        <w:rPr>
          <w:rFonts w:ascii="仿宋" w:hAnsi="仿宋" w:eastAsia="仿宋" w:cs="Times New Roman"/>
        </w:rPr>
      </w:pPr>
      <w:r>
        <w:rPr>
          <w:rFonts w:hint="eastAsia" w:ascii="楷体" w:hAnsi="楷体" w:eastAsia="楷体" w:cs="楷体"/>
        </w:rPr>
        <w:t>（二）专项预算管理</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本单位不涉及专项预算管理。</w:t>
      </w:r>
    </w:p>
    <w:p>
      <w:pPr>
        <w:pStyle w:val="3"/>
        <w:ind w:firstLine="321" w:firstLineChars="100"/>
        <w:rPr>
          <w:rFonts w:ascii="仿宋" w:hAnsi="仿宋" w:eastAsia="仿宋" w:cs="Times New Roman"/>
        </w:rPr>
      </w:pPr>
      <w:r>
        <w:rPr>
          <w:rFonts w:hint="eastAsia" w:ascii="楷体" w:hAnsi="楷体" w:eastAsia="楷体" w:cs="楷体"/>
        </w:rPr>
        <w:t>（三）结果应用情况</w:t>
      </w:r>
    </w:p>
    <w:p>
      <w:pPr>
        <w:spacing w:line="580" w:lineRule="exact"/>
        <w:ind w:firstLine="640" w:firstLineChars="200"/>
        <w:rPr>
          <w:rFonts w:ascii="仿宋_GB2312" w:hAnsi="仿宋" w:eastAsia="仿宋_GB2312"/>
          <w:sz w:val="32"/>
          <w:szCs w:val="32"/>
        </w:rPr>
      </w:pPr>
      <w:r>
        <w:rPr>
          <w:rFonts w:hint="eastAsia" w:ascii="仿宋_GB2312" w:hAnsi="仿宋" w:eastAsia="仿宋_GB2312" w:cs="仿宋_GB2312"/>
          <w:sz w:val="32"/>
          <w:szCs w:val="32"/>
        </w:rPr>
        <w:t>我单位对部门预算绩效管理工作开展</w:t>
      </w:r>
      <w:r>
        <w:rPr>
          <w:rFonts w:ascii="仿宋_GB2312" w:hAnsi="仿宋" w:eastAsia="仿宋_GB2312" w:cs="仿宋_GB2312"/>
          <w:sz w:val="32"/>
          <w:szCs w:val="32"/>
        </w:rPr>
        <w:t xml:space="preserve"> </w:t>
      </w:r>
      <w:r>
        <w:rPr>
          <w:rFonts w:hint="eastAsia" w:ascii="仿宋_GB2312" w:hAnsi="仿宋" w:eastAsia="仿宋_GB2312" w:cs="仿宋_GB2312"/>
          <w:sz w:val="32"/>
          <w:szCs w:val="32"/>
        </w:rPr>
        <w:t>情况进行了自查自评，将评价结果作为预算安排的重要依据，优化资金配置，不断强化绩效理念，推动我单位整体绩效管理水平不断提升。</w:t>
      </w:r>
    </w:p>
    <w:p>
      <w:pPr>
        <w:pStyle w:val="3"/>
        <w:rPr>
          <w:rFonts w:ascii="黑体" w:hAnsi="黑体" w:eastAsia="黑体" w:cs="Times New Roman"/>
        </w:rPr>
      </w:pPr>
      <w:r>
        <w:rPr>
          <w:rFonts w:hint="eastAsia" w:ascii="黑体" w:hAnsi="黑体" w:eastAsia="黑体" w:cs="黑体"/>
        </w:rPr>
        <w:t>四、评价结论及建议</w:t>
      </w:r>
    </w:p>
    <w:p>
      <w:pPr>
        <w:spacing w:line="360" w:lineRule="auto"/>
        <w:ind w:firstLine="642" w:firstLineChars="200"/>
        <w:rPr>
          <w:rFonts w:ascii="楷体" w:hAnsi="楷体" w:eastAsia="楷体"/>
          <w:b/>
          <w:bCs/>
          <w:sz w:val="32"/>
          <w:szCs w:val="32"/>
        </w:rPr>
      </w:pPr>
      <w:r>
        <w:rPr>
          <w:rFonts w:hint="eastAsia" w:ascii="楷体" w:hAnsi="楷体" w:eastAsia="楷体" w:cs="楷体"/>
          <w:b/>
          <w:bCs/>
          <w:sz w:val="32"/>
          <w:szCs w:val="32"/>
        </w:rPr>
        <w:t>（一）评价结论</w:t>
      </w:r>
    </w:p>
    <w:p>
      <w:pPr>
        <w:spacing w:line="360" w:lineRule="auto"/>
        <w:ind w:firstLine="640" w:firstLineChars="200"/>
        <w:rPr>
          <w:rFonts w:ascii="仿宋_GB2312" w:hAnsi="楷体" w:eastAsia="仿宋_GB2312"/>
          <w:sz w:val="32"/>
          <w:szCs w:val="32"/>
        </w:rPr>
      </w:pPr>
      <w:r>
        <w:rPr>
          <w:rFonts w:hint="eastAsia" w:ascii="仿宋_GB2312" w:hAnsi="楷体" w:eastAsia="仿宋_GB2312" w:cs="仿宋_GB2312"/>
          <w:sz w:val="32"/>
          <w:szCs w:val="32"/>
        </w:rPr>
        <w:t>本年，根据我单位年初工作规划，围绕县委、县政府全面建成小康社会的发展蓝图，积极履职，强化管理，</w:t>
      </w:r>
      <w:r>
        <w:rPr>
          <w:rFonts w:hint="eastAsia" w:ascii="仿宋_GB2312" w:hAnsi="楷体" w:eastAsia="仿宋_GB2312" w:cs="仿宋_GB2312"/>
          <w:sz w:val="32"/>
          <w:szCs w:val="32"/>
          <w:lang w:eastAsia="zh-CN"/>
        </w:rPr>
        <w:t>较好地</w:t>
      </w:r>
      <w:r>
        <w:rPr>
          <w:rFonts w:hint="eastAsia" w:ascii="仿宋_GB2312" w:hAnsi="楷体" w:eastAsia="仿宋_GB2312" w:cs="仿宋_GB2312"/>
          <w:sz w:val="32"/>
          <w:szCs w:val="32"/>
        </w:rPr>
        <w:t>完成了上年度工作目标</w:t>
      </w:r>
      <w:r>
        <w:rPr>
          <w:rFonts w:hint="eastAsia" w:ascii="仿宋_GB2312" w:hAnsi="楷体" w:eastAsia="仿宋_GB2312" w:cs="仿宋_GB2312"/>
          <w:sz w:val="32"/>
          <w:szCs w:val="32"/>
          <w:lang w:val="en-US" w:eastAsia="zh-CN"/>
        </w:rPr>
        <w:t>,整体评价良好。</w:t>
      </w:r>
      <w:r>
        <w:rPr>
          <w:rFonts w:hint="eastAsia" w:ascii="仿宋_GB2312" w:hAnsi="楷体" w:eastAsia="仿宋_GB2312" w:cs="仿宋_GB2312"/>
          <w:sz w:val="32"/>
          <w:szCs w:val="32"/>
        </w:rPr>
        <w:t>通过加强预算收支管理，不断建立健全内部管理制度，梳理内部管理流程，单位整体支出管理情况得到提升。</w:t>
      </w:r>
    </w:p>
    <w:p>
      <w:pPr>
        <w:widowControl/>
        <w:adjustRightInd w:val="0"/>
        <w:snapToGrid w:val="0"/>
        <w:spacing w:line="360" w:lineRule="auto"/>
        <w:ind w:firstLine="301" w:firstLineChars="100"/>
        <w:jc w:val="left"/>
        <w:rPr>
          <w:rStyle w:val="18"/>
          <w:rFonts w:ascii="楷体" w:hAnsi="楷体" w:eastAsia="楷体" w:cs="Times New Roman"/>
        </w:rPr>
      </w:pPr>
      <w:r>
        <w:rPr>
          <w:rFonts w:hint="eastAsia" w:ascii="楷体" w:hAnsi="楷体" w:eastAsia="楷体" w:cs="楷体"/>
          <w:b/>
          <w:bCs/>
          <w:sz w:val="30"/>
          <w:szCs w:val="30"/>
        </w:rPr>
        <w:t>（二）存在问题</w:t>
      </w:r>
    </w:p>
    <w:p>
      <w:pPr>
        <w:widowControl/>
        <w:adjustRightInd w:val="0"/>
        <w:snapToGrid w:val="0"/>
        <w:spacing w:line="360" w:lineRule="auto"/>
        <w:ind w:firstLine="320" w:firstLineChars="100"/>
        <w:jc w:val="left"/>
        <w:rPr>
          <w:rFonts w:ascii="仿宋_GB2312" w:hAnsi="仿宋" w:eastAsia="仿宋_GB2312"/>
          <w:sz w:val="32"/>
          <w:szCs w:val="32"/>
        </w:rPr>
      </w:pPr>
      <w:r>
        <w:rPr>
          <w:rFonts w:hint="eastAsia" w:ascii="仿宋_GB2312" w:hAnsi="仿宋" w:eastAsia="仿宋_GB2312" w:cs="仿宋_GB2312"/>
          <w:sz w:val="32"/>
          <w:szCs w:val="32"/>
        </w:rPr>
        <w:t>业务水平有待提升，内部管理制度还需不断健全</w:t>
      </w:r>
    </w:p>
    <w:p>
      <w:pPr>
        <w:pStyle w:val="3"/>
        <w:ind w:firstLine="321" w:firstLineChars="100"/>
        <w:rPr>
          <w:rStyle w:val="18"/>
          <w:rFonts w:ascii="黑体" w:hAnsi="黑体" w:eastAsia="黑体" w:cs="Times New Roman"/>
          <w:b w:val="0"/>
          <w:bCs w:val="0"/>
        </w:rPr>
      </w:pPr>
      <w:r>
        <w:rPr>
          <w:rFonts w:hint="eastAsia" w:ascii="楷体" w:hAnsi="楷体" w:eastAsia="楷体" w:cs="楷体"/>
        </w:rPr>
        <w:t>（三）改进建议</w:t>
      </w:r>
    </w:p>
    <w:p>
      <w:pPr>
        <w:spacing w:line="360" w:lineRule="auto"/>
        <w:ind w:firstLine="320" w:firstLineChars="100"/>
        <w:rPr>
          <w:rFonts w:ascii="仿宋_GB2312" w:hAnsi="仿宋" w:eastAsia="仿宋_GB2312"/>
          <w:sz w:val="32"/>
          <w:szCs w:val="32"/>
        </w:rPr>
      </w:pPr>
      <w:r>
        <w:rPr>
          <w:rFonts w:hint="eastAsia" w:ascii="仿宋_GB2312" w:hAnsi="仿宋" w:eastAsia="仿宋_GB2312" w:cs="仿宋_GB2312"/>
          <w:sz w:val="32"/>
          <w:szCs w:val="32"/>
        </w:rPr>
        <w:t>通过加强预算收支管理，不断建立健全内部管理制度，梳理内部管理流程，单位整体支出管理情况得到提升。</w:t>
      </w:r>
    </w:p>
    <w:p/>
    <w:p/>
    <w:p/>
    <w:p/>
    <w:tbl>
      <w:tblPr>
        <w:tblStyle w:val="13"/>
        <w:tblpPr w:leftFromText="180" w:rightFromText="180" w:vertAnchor="text" w:horzAnchor="margin" w:tblpY="180"/>
        <w:tblW w:w="8520" w:type="dxa"/>
        <w:tblInd w:w="0" w:type="dxa"/>
        <w:tblLayout w:type="fixed"/>
        <w:tblCellMar>
          <w:top w:w="0" w:type="dxa"/>
          <w:left w:w="0" w:type="dxa"/>
          <w:bottom w:w="0" w:type="dxa"/>
          <w:right w:w="0" w:type="dxa"/>
        </w:tblCellMar>
      </w:tblPr>
      <w:tblGrid>
        <w:gridCol w:w="678"/>
        <w:gridCol w:w="1105"/>
        <w:gridCol w:w="2509"/>
        <w:gridCol w:w="338"/>
        <w:gridCol w:w="374"/>
        <w:gridCol w:w="3500"/>
        <w:gridCol w:w="16"/>
      </w:tblGrid>
      <w:tr>
        <w:tblPrEx>
          <w:tblCellMar>
            <w:top w:w="0" w:type="dxa"/>
            <w:left w:w="0" w:type="dxa"/>
            <w:bottom w:w="0" w:type="dxa"/>
            <w:right w:w="0" w:type="dxa"/>
          </w:tblCellMar>
        </w:tblPrEx>
        <w:trPr>
          <w:gridAfter w:val="1"/>
          <w:wAfter w:w="16" w:type="dxa"/>
          <w:trHeight w:val="335" w:hRule="atLeast"/>
        </w:trPr>
        <w:tc>
          <w:tcPr>
            <w:tcW w:w="8504" w:type="dxa"/>
            <w:gridSpan w:val="6"/>
            <w:tcBorders>
              <w:top w:val="nil"/>
              <w:left w:val="nil"/>
              <w:bottom w:val="single" w:color="000000" w:sz="4" w:space="0"/>
              <w:right w:val="nil"/>
            </w:tcBorders>
            <w:tcMar>
              <w:top w:w="15" w:type="dxa"/>
              <w:left w:w="15" w:type="dxa"/>
              <w:right w:w="15" w:type="dxa"/>
            </w:tcMar>
            <w:vAlign w:val="center"/>
          </w:tcPr>
          <w:p>
            <w:pPr>
              <w:widowControl/>
              <w:jc w:val="center"/>
              <w:textAlignment w:val="center"/>
              <w:rPr>
                <w:rFonts w:ascii="仿宋_GB2312" w:hAnsi="宋体" w:eastAsia="仿宋_GB2312" w:cs="宋体"/>
                <w:b/>
                <w:color w:val="000000"/>
                <w:sz w:val="32"/>
                <w:szCs w:val="32"/>
              </w:rPr>
            </w:pPr>
            <w:r>
              <w:rPr>
                <w:rFonts w:hint="eastAsia" w:ascii="仿宋_GB2312" w:hAnsi="宋体" w:eastAsia="仿宋_GB2312" w:cs="宋体"/>
                <w:b/>
                <w:color w:val="000000"/>
                <w:kern w:val="0"/>
                <w:sz w:val="32"/>
                <w:szCs w:val="32"/>
              </w:rPr>
              <w:t>茂县红十字会2018年整体支出绩效评价指标体系</w:t>
            </w:r>
          </w:p>
        </w:tc>
      </w:tr>
      <w:tr>
        <w:tblPrEx>
          <w:tblCellMar>
            <w:top w:w="0" w:type="dxa"/>
            <w:left w:w="0" w:type="dxa"/>
            <w:bottom w:w="0" w:type="dxa"/>
            <w:right w:w="0" w:type="dxa"/>
          </w:tblCellMar>
        </w:tblPrEx>
        <w:trPr>
          <w:trHeight w:val="665"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二级指标</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三级指标</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指标解释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扣分理由</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计分标准（备注）</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报送时效（2分）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基础信息更新（2分）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部门是否按照县级部门预算编制通知和有关要求，按时完成基础库、项目库报送工作</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超过规定5个工作日扣0.5分，10个工作日扣1分，以此类推，直至扣完</w:t>
            </w:r>
          </w:p>
        </w:tc>
      </w:tr>
      <w:tr>
        <w:tblPrEx>
          <w:tblCellMar>
            <w:top w:w="0" w:type="dxa"/>
            <w:left w:w="0" w:type="dxa"/>
            <w:bottom w:w="0" w:type="dxa"/>
            <w:right w:w="0" w:type="dxa"/>
          </w:tblCellMar>
        </w:tblPrEx>
        <w:trPr>
          <w:trHeight w:val="98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编制质量（3分）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预算编制准确（2分）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（预算资金总来源-中期评估调整取消资金-预算结余注销资金）÷预算资金总来源*指标分值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其中：预算资金总来源是指县级年初预算与执行中追加预算（不含当年专款）总和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部门预算审查（1分）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根据县人大财经委对预算草案审查结果进行考核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对财经委审查后提出并确需修改的问题，每个问题扣0.02分，直至扣完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绩效目标（5分）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部门整体绩效目标编制完整、合理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部门整体绩效目标能完整、合理反映部门年度职责履行情况的得分，否则不得分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重点项目绩效目标（3分）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项目绩效目标编制明确、量化</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项目支出绩效目标编制不明确和量化的发现一个扣0.5分，直至扣完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执行进度（10分）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财力专项预算分配时限（4分）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按规定及时分配财力专项预算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按《预算法》规定时限完成分配的考核得分，否则不得分</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部门预算执行进度（6分）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部门按要求严格预算执行管理</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部门预算实际列支数÷部门预算总额*指标分值</w:t>
            </w:r>
          </w:p>
        </w:tc>
      </w:tr>
      <w:tr>
        <w:tblPrEx>
          <w:tblCellMar>
            <w:top w:w="0" w:type="dxa"/>
            <w:left w:w="0" w:type="dxa"/>
            <w:bottom w:w="0" w:type="dxa"/>
            <w:right w:w="0" w:type="dxa"/>
          </w:tblCellMar>
        </w:tblPrEx>
        <w:trPr>
          <w:trHeight w:val="884" w:hRule="atLeast"/>
        </w:trPr>
        <w:tc>
          <w:tcPr>
            <w:tcW w:w="67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预算调整（4分）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执行中期评估（4分）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部门中期评估调整取消资金÷(中期评估调整取消资金+预算结余注销资金）*指标分值</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当中期评估调整取消资金与结余注销资金之和为零时，得满分</w:t>
            </w:r>
          </w:p>
        </w:tc>
      </w:tr>
      <w:tr>
        <w:tblPrEx>
          <w:tblCellMar>
            <w:top w:w="0" w:type="dxa"/>
            <w:left w:w="0" w:type="dxa"/>
            <w:bottom w:w="0" w:type="dxa"/>
            <w:right w:w="0" w:type="dxa"/>
          </w:tblCellMar>
        </w:tblPrEx>
        <w:trPr>
          <w:trHeight w:val="665" w:hRule="atLeast"/>
        </w:trPr>
        <w:tc>
          <w:tcPr>
            <w:tcW w:w="678"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行政成本（6分）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三公经费（6分）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严格执行“三公经费”预算</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部门“三公”经费决算数一项超预算扣1分，两项超预算扣2分，以此类推，直至扣完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政府采购实施计划编制（2）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实施计划与政府采购预算的一致性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（1-调整或细化资金/政府采购预算资金）*分值</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政府采购实施计划的执行（2）</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执行的实施计划与备案的实施计划的一致性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（1-实施计划备案后的调整或细化资金/实施计划备案后的资金）*分值</w:t>
            </w:r>
          </w:p>
        </w:tc>
      </w:tr>
      <w:tr>
        <w:tblPrEx>
          <w:tblCellMar>
            <w:top w:w="0" w:type="dxa"/>
            <w:left w:w="0" w:type="dxa"/>
            <w:bottom w:w="0" w:type="dxa"/>
            <w:right w:w="0" w:type="dxa"/>
          </w:tblCellMar>
        </w:tblPrEx>
        <w:trPr>
          <w:trHeight w:val="1057"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资产管理信息系统建设情况（2分）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考核部门和单位将国有资产纳入资产信息系统管理情况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62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行政事业单位资产清查开展情况（2分）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考核行政事业单位按要求及时、准确、全面开展资产清查工作情况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行政事业单位资产报表上报情况（2分）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考核行政事业单位上报国有资产报表数据的真实性、准确性、全面性</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057" w:hRule="atLeast"/>
        </w:trPr>
        <w:tc>
          <w:tcPr>
            <w:tcW w:w="678"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内控制度管理（4分）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内部控制度健全完整（4分）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考核部门内部控制制度的设置和执行情况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color w:val="000000"/>
                <w:sz w:val="16"/>
                <w:szCs w:val="16"/>
                <w:lang w:val="en-US" w:eastAsia="zh-CN"/>
              </w:rPr>
            </w:pPr>
            <w:r>
              <w:rPr>
                <w:rFonts w:hint="eastAsia" w:ascii="宋体" w:hAnsi="宋体" w:cs="宋体"/>
                <w:color w:val="000000"/>
                <w:sz w:val="16"/>
                <w:szCs w:val="16"/>
                <w:lang w:val="en-US" w:eastAsia="zh-CN"/>
              </w:rPr>
              <w:t>1</w:t>
            </w: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color w:val="000000"/>
                <w:sz w:val="16"/>
                <w:szCs w:val="16"/>
                <w:lang w:eastAsia="zh-CN"/>
              </w:rPr>
            </w:pPr>
            <w:r>
              <w:rPr>
                <w:rFonts w:hint="eastAsia" w:ascii="宋体" w:hAnsi="宋体" w:cs="宋体"/>
                <w:color w:val="000000"/>
                <w:sz w:val="16"/>
                <w:szCs w:val="16"/>
                <w:lang w:eastAsia="zh-CN"/>
              </w:rPr>
              <w:t>制度还需要不断健全</w:t>
            </w: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信息公开（10分）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预算公开（4分）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除涉密信息外，各部门要在财政部门批复后二十日内向社会公开本部门预算（含所有财政资金安排的“三公”经费、机关运行经费的安排、使用情况等）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按县财政通知要求公开预算，未按要求公开的，发现一处扣0.5分，直至扣完</w:t>
            </w:r>
          </w:p>
        </w:tc>
      </w:tr>
      <w:tr>
        <w:tblPrEx>
          <w:tblCellMar>
            <w:top w:w="0" w:type="dxa"/>
            <w:left w:w="0" w:type="dxa"/>
            <w:bottom w:w="0" w:type="dxa"/>
            <w:right w:w="0" w:type="dxa"/>
          </w:tblCellMar>
        </w:tblPrEx>
        <w:trPr>
          <w:trHeight w:val="130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决算公开（4分）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除涉密信息外，各部门要在财政部门批复二十日内向社会公开本部门决算（含所有财政资金安排的“三公”经费、机关运行经费的安排、使用情况等）</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绩效信息公开（2分）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按要求公开部门整体支出绩效自评报告及其他按要求应公开的绩效信息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未按要求公开的，发现一处问题0.5分，直至扣完</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绩效评价（10分）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评价项目覆盖率（2分）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部门实施绩效评价项目数量占部门管理专项预算项目数量的比重，部门申报绩效目标项目数量的比重，用以反映和考核部门实施绩效评价项目资金覆盖情况</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评价覆盖率=实施绩效评价项目数量/部门管理专项预算项目数量×100%</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评价层次（2分）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部门（单位）是否对单位内部股室开展整体绩效评价</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对单位内部实施评价的得分，否则不得分</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评价结果报告（2分）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部门是否按要求向财政部门报告自评报告等相关绩效信息</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未按要求报送的，发现一处扣0.5分，直至扣完。</w:t>
            </w:r>
          </w:p>
        </w:tc>
      </w:tr>
      <w:tr>
        <w:tblPrEx>
          <w:tblCellMar>
            <w:top w:w="0" w:type="dxa"/>
            <w:left w:w="0" w:type="dxa"/>
            <w:bottom w:w="0" w:type="dxa"/>
            <w:right w:w="0" w:type="dxa"/>
          </w:tblCellMar>
        </w:tblPrEx>
        <w:trPr>
          <w:trHeight w:val="66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整改完成率（4分）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部门是否按要求针对绩效评价发现问题制定整改措施，并整改落实到位</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完成率=应制定整改措施的项目数量/部门实际制定整改措施项目数量×100%。</w:t>
            </w:r>
          </w:p>
        </w:tc>
      </w:tr>
      <w:tr>
        <w:tblPrEx>
          <w:tblCellMar>
            <w:top w:w="0" w:type="dxa"/>
            <w:left w:w="0" w:type="dxa"/>
            <w:bottom w:w="0" w:type="dxa"/>
            <w:right w:w="0" w:type="dxa"/>
          </w:tblCellMar>
        </w:tblPrEx>
        <w:trPr>
          <w:trHeight w:val="130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依法接受财政监督（6分）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是否按要求开展自查自纠（2分）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根据相关自查自纠报告、报表报送时效和质量进行考核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重点检查发现违规违纪问题（2分）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根据检查组提供的工作底稿、检查报告等资料进行考核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专项检查发现的违纪违规问题，每个问题扣0.5分，直至扣完</w:t>
            </w:r>
          </w:p>
        </w:tc>
      </w:tr>
      <w:tr>
        <w:tblPrEx>
          <w:tblCellMar>
            <w:top w:w="0" w:type="dxa"/>
            <w:left w:w="0" w:type="dxa"/>
            <w:bottom w:w="0" w:type="dxa"/>
            <w:right w:w="0" w:type="dxa"/>
          </w:tblCellMar>
        </w:tblPrEx>
        <w:trPr>
          <w:trHeight w:val="77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存在问题整改是否到位（2分）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根据相关整改报告、凭证依据等相关证明材料进行考核</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未在规定时间内完成整改，并提供相关证明材料的，每个问题0.5分，直至扣完</w:t>
            </w:r>
          </w:p>
        </w:tc>
      </w:tr>
      <w:tr>
        <w:tblPrEx>
          <w:tblCellMar>
            <w:top w:w="0" w:type="dxa"/>
            <w:left w:w="0" w:type="dxa"/>
            <w:bottom w:w="0" w:type="dxa"/>
            <w:right w:w="0" w:type="dxa"/>
          </w:tblCellMar>
        </w:tblPrEx>
        <w:trPr>
          <w:trHeight w:val="775" w:hRule="atLeast"/>
        </w:trPr>
        <w:tc>
          <w:tcPr>
            <w:tcW w:w="67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部门整体绩效（30分）</w:t>
            </w:r>
          </w:p>
        </w:tc>
        <w:tc>
          <w:tcPr>
            <w:tcW w:w="110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重点项目绩效评价结果（10分）</w:t>
            </w:r>
          </w:p>
        </w:tc>
        <w:tc>
          <w:tcPr>
            <w:tcW w:w="25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部门实施重大项目的经济、社会效益</w:t>
            </w:r>
          </w:p>
        </w:tc>
        <w:tc>
          <w:tcPr>
            <w:tcW w:w="3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根据县财政组织实施项目绩效评价结果换算</w:t>
            </w:r>
          </w:p>
        </w:tc>
      </w:tr>
      <w:tr>
        <w:tblPrEx>
          <w:tblCellMar>
            <w:top w:w="0" w:type="dxa"/>
            <w:left w:w="0" w:type="dxa"/>
            <w:bottom w:w="0" w:type="dxa"/>
            <w:right w:w="0" w:type="dxa"/>
          </w:tblCellMar>
        </w:tblPrEx>
        <w:trPr>
          <w:trHeight w:val="345"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部门职能完成情况特性指标（20分）</w:t>
            </w:r>
          </w:p>
        </w:tc>
        <w:tc>
          <w:tcPr>
            <w:tcW w:w="250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根据部门职能职责、州级主管部门和县委县政府安排的各项专项工作任务及其他年度重点工作任务等，汇总梳理形成能够量化衡量且全面反映部门职能工作完成情况的若干指标。</w:t>
            </w:r>
          </w:p>
        </w:tc>
        <w:tc>
          <w:tcPr>
            <w:tcW w:w="3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16"/>
                <w:szCs w:val="16"/>
              </w:rPr>
            </w:pPr>
            <w:r>
              <w:rPr>
                <w:rFonts w:hint="eastAsia" w:ascii="宋体" w:hAnsi="宋体" w:cs="宋体"/>
                <w:color w:val="000000"/>
                <w:kern w:val="0"/>
                <w:sz w:val="16"/>
                <w:szCs w:val="16"/>
              </w:rPr>
              <w:t>部门和评价组根据部门实际设置</w:t>
            </w:r>
          </w:p>
        </w:tc>
      </w:tr>
      <w:tr>
        <w:tblPrEx>
          <w:tblCellMar>
            <w:top w:w="0" w:type="dxa"/>
            <w:left w:w="0" w:type="dxa"/>
            <w:bottom w:w="0" w:type="dxa"/>
            <w:right w:w="0" w:type="dxa"/>
          </w:tblCellMar>
        </w:tblPrEx>
        <w:trPr>
          <w:trHeight w:val="1280" w:hRule="atLeast"/>
        </w:trPr>
        <w:tc>
          <w:tcPr>
            <w:tcW w:w="6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110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6"/>
                <w:szCs w:val="16"/>
              </w:rPr>
            </w:pPr>
          </w:p>
        </w:tc>
        <w:tc>
          <w:tcPr>
            <w:tcW w:w="3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74"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6"/>
                <w:szCs w:val="16"/>
              </w:rPr>
            </w:pPr>
          </w:p>
        </w:tc>
        <w:tc>
          <w:tcPr>
            <w:tcW w:w="3516"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16"/>
                <w:szCs w:val="16"/>
              </w:rPr>
            </w:pPr>
          </w:p>
        </w:tc>
      </w:tr>
      <w:tr>
        <w:tblPrEx>
          <w:tblCellMar>
            <w:top w:w="0" w:type="dxa"/>
            <w:left w:w="0" w:type="dxa"/>
            <w:bottom w:w="0" w:type="dxa"/>
            <w:right w:w="0" w:type="dxa"/>
          </w:tblCellMar>
        </w:tblPrEx>
        <w:trPr>
          <w:gridAfter w:val="1"/>
          <w:wAfter w:w="16" w:type="dxa"/>
          <w:trHeight w:val="665" w:hRule="atLeast"/>
        </w:trPr>
        <w:tc>
          <w:tcPr>
            <w:tcW w:w="8504" w:type="dxa"/>
            <w:gridSpan w:val="6"/>
            <w:tcBorders>
              <w:top w:val="single" w:color="000000" w:sz="4" w:space="0"/>
              <w:left w:val="nil"/>
              <w:bottom w:val="nil"/>
              <w:right w:val="nil"/>
            </w:tcBorders>
            <w:tcMar>
              <w:top w:w="15" w:type="dxa"/>
              <w:left w:w="15" w:type="dxa"/>
              <w:right w:w="15" w:type="dxa"/>
            </w:tcMar>
            <w:vAlign w:val="center"/>
          </w:tcPr>
          <w:p>
            <w:pPr>
              <w:widowControl/>
              <w:jc w:val="center"/>
              <w:textAlignment w:val="center"/>
              <w:rPr>
                <w:rFonts w:ascii="宋体" w:hAnsi="宋体" w:cs="宋体"/>
                <w:b/>
                <w:color w:val="000000"/>
                <w:sz w:val="16"/>
                <w:szCs w:val="16"/>
              </w:rPr>
            </w:pPr>
            <w:r>
              <w:rPr>
                <w:rFonts w:hint="eastAsia" w:ascii="宋体" w:hAnsi="宋体" w:cs="宋体"/>
                <w:b/>
                <w:color w:val="000000"/>
                <w:kern w:val="0"/>
                <w:sz w:val="16"/>
                <w:szCs w:val="16"/>
              </w:rPr>
              <w:t>注：若某部门不存在某项评价内容或评价指标，则该评价内容或评价指标不计入该部门考核评价范围，即该部门评价总分＝不含该评价内容或指标的评价总分/（100-该评价内容或指标所占分值）*100。</w:t>
            </w:r>
          </w:p>
        </w:tc>
      </w:tr>
    </w:tbl>
    <w:p/>
    <w:p/>
    <w:p/>
    <w:p/>
    <w:p/>
    <w:p/>
    <w:p/>
    <w:p/>
    <w:p/>
    <w:p/>
    <w:p/>
    <w:p/>
    <w:p/>
    <w:p/>
    <w:p/>
    <w:p>
      <w:pPr>
        <w:widowControl/>
        <w:jc w:val="left"/>
        <w:rPr>
          <w:rFonts w:ascii="仿宋_GB2312" w:hAnsi="仿宋_GB2312" w:eastAsia="仿宋_GB2312"/>
          <w:sz w:val="32"/>
          <w:szCs w:val="32"/>
        </w:rPr>
      </w:pPr>
      <w:r>
        <w:rPr>
          <w:rFonts w:ascii="仿宋_GB2312" w:hAnsi="仿宋_GB2312" w:eastAsia="仿宋_GB2312"/>
          <w:sz w:val="32"/>
          <w:szCs w:val="32"/>
        </w:rPr>
        <w:br w:type="page"/>
      </w:r>
    </w:p>
    <w:p>
      <w:pPr>
        <w:spacing w:line="580" w:lineRule="exact"/>
        <w:ind w:firstLine="1325" w:firstLineChars="300"/>
        <w:jc w:val="center"/>
        <w:rPr>
          <w:rStyle w:val="17"/>
          <w:rFonts w:ascii="方正小标宋简体" w:hAnsi="黑体" w:eastAsia="方正小标宋简体"/>
          <w:b w:val="0"/>
          <w:bCs w:val="0"/>
        </w:rPr>
      </w:pPr>
      <w:bookmarkStart w:id="61" w:name="_Toc15396618"/>
      <w:r>
        <w:rPr>
          <w:rFonts w:hint="eastAsia" w:ascii="方正小标宋简体" w:hAnsi="黑体" w:eastAsia="方正小标宋简体" w:cs="方正小标宋简体"/>
          <w:b/>
          <w:bCs/>
          <w:color w:val="000000"/>
          <w:sz w:val="44"/>
          <w:szCs w:val="44"/>
        </w:rPr>
        <w:t>第</w:t>
      </w:r>
      <w:r>
        <w:rPr>
          <w:rStyle w:val="17"/>
          <w:rFonts w:hint="eastAsia" w:ascii="方正小标宋简体" w:hAnsi="黑体" w:eastAsia="方正小标宋简体" w:cs="方正小标宋简体"/>
          <w:b w:val="0"/>
          <w:bCs w:val="0"/>
        </w:rPr>
        <w:t>五部分</w:t>
      </w:r>
      <w:r>
        <w:rPr>
          <w:rStyle w:val="17"/>
          <w:rFonts w:ascii="方正小标宋简体" w:hAnsi="黑体" w:eastAsia="方正小标宋简体" w:cs="方正小标宋简体"/>
          <w:b w:val="0"/>
          <w:bCs w:val="0"/>
        </w:rPr>
        <w:t xml:space="preserve"> </w:t>
      </w:r>
      <w:r>
        <w:rPr>
          <w:rStyle w:val="17"/>
          <w:rFonts w:hint="eastAsia" w:ascii="方正小标宋简体" w:hAnsi="黑体" w:eastAsia="方正小标宋简体" w:cs="方正小标宋简体"/>
          <w:b w:val="0"/>
          <w:bCs w:val="0"/>
        </w:rPr>
        <w:t>附表</w:t>
      </w:r>
      <w:bookmarkEnd w:id="58"/>
      <w:bookmarkEnd w:id="61"/>
    </w:p>
    <w:p>
      <w:pPr>
        <w:pStyle w:val="3"/>
        <w:rPr>
          <w:rFonts w:ascii="仿宋_GB2312" w:hAnsi="仿宋" w:eastAsia="仿宋_GB2312" w:cs="Times New Roman"/>
          <w:color w:val="000000"/>
        </w:rPr>
      </w:pPr>
      <w:bookmarkStart w:id="62" w:name="_Toc15396619"/>
      <w:r>
        <w:rPr>
          <w:rFonts w:hint="eastAsia" w:ascii="仿宋_GB2312" w:hAnsi="仿宋" w:eastAsia="仿宋_GB2312" w:cs="仿宋_GB2312"/>
          <w:b w:val="0"/>
          <w:bCs w:val="0"/>
          <w:color w:val="000000"/>
        </w:rPr>
        <w:t>一、收</w:t>
      </w:r>
      <w:r>
        <w:rPr>
          <w:rStyle w:val="18"/>
          <w:rFonts w:hint="eastAsia" w:ascii="仿宋_GB2312" w:hAnsi="仿宋" w:eastAsia="仿宋_GB2312" w:cs="仿宋_GB2312"/>
          <w:b w:val="0"/>
          <w:bCs w:val="0"/>
        </w:rPr>
        <w:t>入支出决算总表</w:t>
      </w:r>
      <w:bookmarkEnd w:id="62"/>
    </w:p>
    <w:p>
      <w:pPr>
        <w:pStyle w:val="3"/>
        <w:rPr>
          <w:rFonts w:ascii="仿宋_GB2312" w:hAnsi="仿宋" w:eastAsia="仿宋_GB2312" w:cs="Times New Roman"/>
          <w:color w:val="000000"/>
        </w:rPr>
      </w:pPr>
      <w:bookmarkStart w:id="63" w:name="_Toc15396620"/>
      <w:r>
        <w:rPr>
          <w:rFonts w:hint="eastAsia" w:ascii="仿宋_GB2312" w:hAnsi="仿宋" w:eastAsia="仿宋_GB2312" w:cs="仿宋_GB2312"/>
          <w:b w:val="0"/>
          <w:bCs w:val="0"/>
          <w:color w:val="000000"/>
        </w:rPr>
        <w:t>二、收</w:t>
      </w:r>
      <w:r>
        <w:rPr>
          <w:rStyle w:val="18"/>
          <w:rFonts w:hint="eastAsia" w:ascii="仿宋_GB2312" w:hAnsi="仿宋" w:eastAsia="仿宋_GB2312" w:cs="仿宋_GB2312"/>
          <w:b w:val="0"/>
          <w:bCs w:val="0"/>
        </w:rPr>
        <w:t>入总表</w:t>
      </w:r>
      <w:bookmarkEnd w:id="63"/>
    </w:p>
    <w:p>
      <w:pPr>
        <w:pStyle w:val="3"/>
        <w:rPr>
          <w:rFonts w:ascii="仿宋_GB2312" w:hAnsi="仿宋" w:eastAsia="仿宋_GB2312" w:cs="Times New Roman"/>
          <w:color w:val="000000"/>
        </w:rPr>
      </w:pPr>
      <w:bookmarkStart w:id="64" w:name="_Toc15396621"/>
      <w:r>
        <w:rPr>
          <w:rStyle w:val="18"/>
          <w:rFonts w:hint="eastAsia" w:ascii="仿宋_GB2312" w:hAnsi="仿宋" w:eastAsia="仿宋_GB2312" w:cs="仿宋_GB2312"/>
          <w:b w:val="0"/>
          <w:bCs w:val="0"/>
        </w:rPr>
        <w:t>三、</w:t>
      </w:r>
      <w:r>
        <w:rPr>
          <w:rFonts w:hint="eastAsia" w:ascii="仿宋_GB2312" w:hAnsi="仿宋" w:eastAsia="仿宋_GB2312" w:cs="仿宋_GB2312"/>
          <w:b w:val="0"/>
          <w:bCs w:val="0"/>
          <w:color w:val="000000"/>
        </w:rPr>
        <w:t>支</w:t>
      </w:r>
      <w:r>
        <w:rPr>
          <w:rStyle w:val="18"/>
          <w:rFonts w:hint="eastAsia" w:ascii="仿宋_GB2312" w:hAnsi="仿宋" w:eastAsia="仿宋_GB2312" w:cs="仿宋_GB2312"/>
          <w:b w:val="0"/>
          <w:bCs w:val="0"/>
        </w:rPr>
        <w:t>出总表</w:t>
      </w:r>
      <w:bookmarkEnd w:id="64"/>
    </w:p>
    <w:p>
      <w:pPr>
        <w:pStyle w:val="3"/>
        <w:rPr>
          <w:rFonts w:ascii="仿宋_GB2312" w:hAnsi="仿宋" w:eastAsia="仿宋_GB2312" w:cs="Times New Roman"/>
          <w:b w:val="0"/>
          <w:bCs w:val="0"/>
          <w:color w:val="000000"/>
        </w:rPr>
      </w:pPr>
      <w:bookmarkStart w:id="65" w:name="_Toc15396622"/>
      <w:r>
        <w:rPr>
          <w:rStyle w:val="18"/>
          <w:rFonts w:hint="eastAsia" w:ascii="仿宋_GB2312" w:hAnsi="仿宋" w:eastAsia="仿宋_GB2312" w:cs="仿宋_GB2312"/>
          <w:b w:val="0"/>
          <w:bCs w:val="0"/>
        </w:rPr>
        <w:t>四、</w:t>
      </w:r>
      <w:r>
        <w:rPr>
          <w:rFonts w:hint="eastAsia" w:ascii="仿宋_GB2312" w:hAnsi="仿宋" w:eastAsia="仿宋_GB2312" w:cs="仿宋_GB2312"/>
          <w:b w:val="0"/>
          <w:bCs w:val="0"/>
          <w:color w:val="000000"/>
        </w:rPr>
        <w:t>财</w:t>
      </w:r>
      <w:r>
        <w:rPr>
          <w:rStyle w:val="18"/>
          <w:rFonts w:hint="eastAsia" w:ascii="仿宋_GB2312" w:hAnsi="仿宋" w:eastAsia="仿宋_GB2312" w:cs="仿宋_GB2312"/>
          <w:b w:val="0"/>
          <w:bCs w:val="0"/>
        </w:rPr>
        <w:t>政拨款收入支出决算总表</w:t>
      </w:r>
      <w:bookmarkEnd w:id="65"/>
    </w:p>
    <w:p>
      <w:pPr>
        <w:pStyle w:val="3"/>
        <w:rPr>
          <w:rFonts w:ascii="仿宋_GB2312" w:hAnsi="仿宋" w:eastAsia="仿宋_GB2312" w:cs="Times New Roman"/>
          <w:color w:val="000000"/>
        </w:rPr>
      </w:pPr>
      <w:bookmarkStart w:id="66" w:name="_Toc15396623"/>
      <w:r>
        <w:rPr>
          <w:rStyle w:val="18"/>
          <w:rFonts w:hint="eastAsia" w:ascii="仿宋_GB2312" w:hAnsi="仿宋" w:eastAsia="仿宋_GB2312" w:cs="仿宋_GB2312"/>
          <w:b w:val="0"/>
          <w:bCs w:val="0"/>
        </w:rPr>
        <w:t>五、</w:t>
      </w:r>
      <w:r>
        <w:rPr>
          <w:rFonts w:hint="eastAsia" w:ascii="仿宋_GB2312" w:hAnsi="仿宋" w:eastAsia="仿宋_GB2312" w:cs="仿宋_GB2312"/>
          <w:b w:val="0"/>
          <w:bCs w:val="0"/>
          <w:color w:val="000000"/>
        </w:rPr>
        <w:t>财</w:t>
      </w:r>
      <w:r>
        <w:rPr>
          <w:rStyle w:val="18"/>
          <w:rFonts w:hint="eastAsia" w:ascii="仿宋_GB2312" w:hAnsi="仿宋" w:eastAsia="仿宋_GB2312" w:cs="仿宋_GB2312"/>
          <w:b w:val="0"/>
          <w:bCs w:val="0"/>
        </w:rPr>
        <w:t>政拨款支出决算明细表（政府经济分类科目）</w:t>
      </w:r>
      <w:bookmarkEnd w:id="66"/>
    </w:p>
    <w:p>
      <w:pPr>
        <w:pStyle w:val="3"/>
        <w:rPr>
          <w:rFonts w:ascii="仿宋_GB2312" w:hAnsi="仿宋" w:eastAsia="仿宋_GB2312" w:cs="Times New Roman"/>
          <w:color w:val="000000"/>
        </w:rPr>
      </w:pPr>
      <w:bookmarkStart w:id="67" w:name="_Toc15396624"/>
      <w:r>
        <w:rPr>
          <w:rStyle w:val="18"/>
          <w:rFonts w:hint="eastAsia" w:ascii="仿宋_GB2312" w:hAnsi="仿宋" w:eastAsia="仿宋_GB2312" w:cs="仿宋_GB2312"/>
          <w:b w:val="0"/>
          <w:bCs w:val="0"/>
        </w:rPr>
        <w:t>六、</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般公共预算财政拨款支出决算表</w:t>
      </w:r>
      <w:bookmarkEnd w:id="67"/>
    </w:p>
    <w:p>
      <w:pPr>
        <w:pStyle w:val="3"/>
        <w:rPr>
          <w:rFonts w:ascii="仿宋_GB2312" w:hAnsi="仿宋" w:eastAsia="仿宋_GB2312" w:cs="Times New Roman"/>
          <w:color w:val="000000"/>
        </w:rPr>
      </w:pPr>
      <w:bookmarkStart w:id="68" w:name="_Toc15396625"/>
      <w:r>
        <w:rPr>
          <w:rStyle w:val="18"/>
          <w:rFonts w:hint="eastAsia" w:ascii="仿宋_GB2312" w:hAnsi="仿宋" w:eastAsia="仿宋_GB2312" w:cs="仿宋_GB2312"/>
          <w:b w:val="0"/>
          <w:bCs w:val="0"/>
        </w:rPr>
        <w:t>七、</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般公共预算财政拨款支出决算明细表</w:t>
      </w:r>
      <w:bookmarkEnd w:id="68"/>
    </w:p>
    <w:p>
      <w:pPr>
        <w:pStyle w:val="3"/>
        <w:rPr>
          <w:rFonts w:ascii="仿宋_GB2312" w:hAnsi="仿宋" w:eastAsia="仿宋_GB2312" w:cs="Times New Roman"/>
          <w:color w:val="000000"/>
        </w:rPr>
      </w:pPr>
      <w:bookmarkStart w:id="69" w:name="_Toc15396626"/>
      <w:r>
        <w:rPr>
          <w:rStyle w:val="18"/>
          <w:rFonts w:hint="eastAsia" w:ascii="仿宋_GB2312" w:hAnsi="仿宋" w:eastAsia="仿宋_GB2312" w:cs="仿宋_GB2312"/>
          <w:b w:val="0"/>
          <w:bCs w:val="0"/>
        </w:rPr>
        <w:t>八、</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般公共预算财政拨款基本支出决算表</w:t>
      </w:r>
      <w:bookmarkEnd w:id="69"/>
    </w:p>
    <w:p>
      <w:pPr>
        <w:pStyle w:val="3"/>
        <w:rPr>
          <w:rFonts w:ascii="仿宋_GB2312" w:hAnsi="仿宋" w:eastAsia="仿宋_GB2312" w:cs="Times New Roman"/>
          <w:color w:val="000000"/>
        </w:rPr>
      </w:pPr>
      <w:bookmarkStart w:id="70" w:name="_Toc15396627"/>
      <w:r>
        <w:rPr>
          <w:rStyle w:val="18"/>
          <w:rFonts w:hint="eastAsia" w:ascii="仿宋_GB2312" w:hAnsi="仿宋" w:eastAsia="仿宋_GB2312" w:cs="仿宋_GB2312"/>
          <w:b w:val="0"/>
          <w:bCs w:val="0"/>
        </w:rPr>
        <w:t>九、</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般公共预算财政拨款项目支出决算表</w:t>
      </w:r>
      <w:bookmarkEnd w:id="70"/>
    </w:p>
    <w:p>
      <w:pPr>
        <w:pStyle w:val="3"/>
        <w:rPr>
          <w:rFonts w:ascii="仿宋_GB2312" w:hAnsi="仿宋" w:eastAsia="仿宋_GB2312" w:cs="Times New Roman"/>
          <w:color w:val="000000"/>
        </w:rPr>
      </w:pPr>
      <w:bookmarkStart w:id="71" w:name="_Toc15396628"/>
      <w:r>
        <w:rPr>
          <w:rStyle w:val="18"/>
          <w:rFonts w:hint="eastAsia" w:ascii="仿宋_GB2312" w:hAnsi="仿宋" w:eastAsia="仿宋_GB2312" w:cs="仿宋_GB2312"/>
          <w:b w:val="0"/>
          <w:bCs w:val="0"/>
        </w:rPr>
        <w:t>十、</w:t>
      </w:r>
      <w:r>
        <w:rPr>
          <w:rFonts w:hint="eastAsia" w:ascii="仿宋_GB2312" w:hAnsi="仿宋" w:eastAsia="仿宋_GB2312" w:cs="仿宋_GB2312"/>
          <w:b w:val="0"/>
          <w:bCs w:val="0"/>
          <w:color w:val="000000"/>
        </w:rPr>
        <w:t>一</w:t>
      </w:r>
      <w:r>
        <w:rPr>
          <w:rStyle w:val="18"/>
          <w:rFonts w:hint="eastAsia" w:ascii="仿宋_GB2312" w:hAnsi="仿宋" w:eastAsia="仿宋_GB2312" w:cs="仿宋_GB2312"/>
          <w:b w:val="0"/>
          <w:bCs w:val="0"/>
        </w:rPr>
        <w:t>般公共预算财政拨款“三公”经费支出决算表</w:t>
      </w:r>
      <w:bookmarkEnd w:id="71"/>
    </w:p>
    <w:p>
      <w:pPr>
        <w:pStyle w:val="3"/>
        <w:rPr>
          <w:rFonts w:ascii="仿宋_GB2312" w:hAnsi="仿宋" w:eastAsia="仿宋_GB2312" w:cs="Times New Roman"/>
          <w:color w:val="000000"/>
        </w:rPr>
      </w:pPr>
      <w:bookmarkStart w:id="72" w:name="_Toc15396629"/>
      <w:r>
        <w:rPr>
          <w:rStyle w:val="18"/>
          <w:rFonts w:hint="eastAsia" w:ascii="仿宋_GB2312" w:hAnsi="仿宋" w:eastAsia="仿宋_GB2312" w:cs="仿宋_GB2312"/>
          <w:b w:val="0"/>
          <w:bCs w:val="0"/>
        </w:rPr>
        <w:t>十一、</w:t>
      </w:r>
      <w:r>
        <w:rPr>
          <w:rFonts w:hint="eastAsia" w:ascii="仿宋_GB2312" w:hAnsi="仿宋" w:eastAsia="仿宋_GB2312" w:cs="仿宋_GB2312"/>
          <w:b w:val="0"/>
          <w:bCs w:val="0"/>
          <w:color w:val="000000"/>
        </w:rPr>
        <w:t>政</w:t>
      </w:r>
      <w:r>
        <w:rPr>
          <w:rStyle w:val="18"/>
          <w:rFonts w:hint="eastAsia" w:ascii="仿宋_GB2312" w:hAnsi="仿宋" w:eastAsia="仿宋_GB2312" w:cs="仿宋_GB2312"/>
          <w:b w:val="0"/>
          <w:bCs w:val="0"/>
        </w:rPr>
        <w:t>府性基金预算财政拨款收入支出决算表</w:t>
      </w:r>
      <w:bookmarkEnd w:id="72"/>
    </w:p>
    <w:p>
      <w:pPr>
        <w:pStyle w:val="3"/>
        <w:rPr>
          <w:rFonts w:ascii="仿宋_GB2312" w:hAnsi="仿宋" w:eastAsia="仿宋_GB2312" w:cs="Times New Roman"/>
          <w:color w:val="000000"/>
        </w:rPr>
      </w:pPr>
      <w:bookmarkStart w:id="73" w:name="_Toc15396630"/>
      <w:r>
        <w:rPr>
          <w:rStyle w:val="18"/>
          <w:rFonts w:hint="eastAsia" w:ascii="仿宋_GB2312" w:hAnsi="仿宋" w:eastAsia="仿宋_GB2312" w:cs="仿宋_GB2312"/>
          <w:b w:val="0"/>
          <w:bCs w:val="0"/>
        </w:rPr>
        <w:t>十二、</w:t>
      </w:r>
      <w:r>
        <w:rPr>
          <w:rFonts w:hint="eastAsia" w:ascii="仿宋_GB2312" w:hAnsi="仿宋" w:eastAsia="仿宋_GB2312" w:cs="仿宋_GB2312"/>
          <w:b w:val="0"/>
          <w:bCs w:val="0"/>
          <w:color w:val="000000"/>
        </w:rPr>
        <w:t>政</w:t>
      </w:r>
      <w:r>
        <w:rPr>
          <w:rStyle w:val="18"/>
          <w:rFonts w:hint="eastAsia" w:ascii="仿宋_GB2312" w:hAnsi="仿宋" w:eastAsia="仿宋_GB2312" w:cs="仿宋_GB2312"/>
          <w:b w:val="0"/>
          <w:bCs w:val="0"/>
        </w:rPr>
        <w:t>府性基金预算财政拨款“三公”经费支出决算表</w:t>
      </w:r>
      <w:bookmarkEnd w:id="73"/>
    </w:p>
    <w:p>
      <w:pPr>
        <w:pStyle w:val="3"/>
        <w:rPr>
          <w:rStyle w:val="18"/>
          <w:rFonts w:ascii="仿宋_GB2312" w:hAnsi="仿宋" w:eastAsia="仿宋_GB2312" w:cs="Times New Roman"/>
          <w:b w:val="0"/>
          <w:bCs w:val="0"/>
        </w:rPr>
      </w:pPr>
      <w:bookmarkStart w:id="74" w:name="_Toc15396631"/>
      <w:r>
        <w:rPr>
          <w:rStyle w:val="18"/>
          <w:rFonts w:hint="eastAsia" w:ascii="仿宋_GB2312" w:hAnsi="仿宋" w:eastAsia="仿宋_GB2312" w:cs="仿宋_GB2312"/>
          <w:b w:val="0"/>
          <w:bCs w:val="0"/>
        </w:rPr>
        <w:t>十三、</w:t>
      </w:r>
      <w:r>
        <w:rPr>
          <w:rFonts w:hint="eastAsia" w:ascii="仿宋_GB2312" w:hAnsi="仿宋" w:eastAsia="仿宋_GB2312" w:cs="仿宋_GB2312"/>
          <w:b w:val="0"/>
          <w:bCs w:val="0"/>
          <w:color w:val="000000"/>
        </w:rPr>
        <w:t>国</w:t>
      </w:r>
      <w:r>
        <w:rPr>
          <w:rStyle w:val="18"/>
          <w:rFonts w:hint="eastAsia" w:ascii="仿宋_GB2312" w:hAnsi="仿宋" w:eastAsia="仿宋_GB2312" w:cs="仿宋_GB2312"/>
          <w:b w:val="0"/>
          <w:bCs w:val="0"/>
        </w:rPr>
        <w:t>有资本经营预算支出决算表</w:t>
      </w:r>
      <w:bookmarkEnd w:id="74"/>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Meiryo UI">
    <w:altName w:val="方正书宋_GBK"/>
    <w:panose1 w:val="020B0604030504040204"/>
    <w:charset w:val="80"/>
    <w:family w:val="swiss"/>
    <w:pitch w:val="default"/>
    <w:sig w:usb0="00000000" w:usb1="00000000" w:usb2="00010012" w:usb3="00000000" w:csb0="6002009F" w:csb1="DFD7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rPr>
        <w:lang w:val="zh-CN"/>
      </w:rP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5E7743"/>
    <w:multiLevelType w:val="singleLevel"/>
    <w:tmpl w:val="5C5E7743"/>
    <w:lvl w:ilvl="0" w:tentative="0">
      <w:start w:val="2"/>
      <w:numFmt w:val="chineseCounting"/>
      <w:suff w:val="space"/>
      <w:lvlText w:val="第%1部分"/>
      <w:lvlJc w:val="left"/>
      <w:rPr>
        <w:rFonts w:hint="eastAsia" w:ascii="方正小标宋简体" w:eastAsia="方正小标宋简体"/>
      </w:rPr>
    </w:lvl>
  </w:abstractNum>
  <w:abstractNum w:abstractNumId="1">
    <w:nsid w:val="5F2271EC"/>
    <w:multiLevelType w:val="multilevel"/>
    <w:tmpl w:val="5F2271EC"/>
    <w:lvl w:ilvl="0" w:tentative="0">
      <w:start w:val="2"/>
      <w:numFmt w:val="japaneseCounting"/>
      <w:lvlText w:val="%1、"/>
      <w:lvlJc w:val="left"/>
      <w:pPr>
        <w:ind w:left="1287" w:hanging="720"/>
      </w:pPr>
      <w:rPr>
        <w:rFonts w:hint="default"/>
        <w:color w:val="000000"/>
      </w:rPr>
    </w:lvl>
    <w:lvl w:ilvl="1" w:tentative="0">
      <w:start w:val="1"/>
      <w:numFmt w:val="lowerLetter"/>
      <w:lvlText w:val="%2)"/>
      <w:lvlJc w:val="left"/>
      <w:pPr>
        <w:ind w:left="1407" w:hanging="420"/>
      </w:pPr>
    </w:lvl>
    <w:lvl w:ilvl="2" w:tentative="0">
      <w:start w:val="1"/>
      <w:numFmt w:val="lowerRoman"/>
      <w:lvlText w:val="%3."/>
      <w:lvlJc w:val="right"/>
      <w:pPr>
        <w:ind w:left="1827" w:hanging="420"/>
      </w:pPr>
    </w:lvl>
    <w:lvl w:ilvl="3" w:tentative="0">
      <w:start w:val="1"/>
      <w:numFmt w:val="decimal"/>
      <w:lvlText w:val="%4."/>
      <w:lvlJc w:val="left"/>
      <w:pPr>
        <w:ind w:left="2247" w:hanging="420"/>
      </w:pPr>
    </w:lvl>
    <w:lvl w:ilvl="4" w:tentative="0">
      <w:start w:val="1"/>
      <w:numFmt w:val="lowerLetter"/>
      <w:lvlText w:val="%5)"/>
      <w:lvlJc w:val="left"/>
      <w:pPr>
        <w:ind w:left="2667" w:hanging="420"/>
      </w:pPr>
    </w:lvl>
    <w:lvl w:ilvl="5" w:tentative="0">
      <w:start w:val="1"/>
      <w:numFmt w:val="lowerRoman"/>
      <w:lvlText w:val="%6."/>
      <w:lvlJc w:val="right"/>
      <w:pPr>
        <w:ind w:left="3087" w:hanging="420"/>
      </w:pPr>
    </w:lvl>
    <w:lvl w:ilvl="6" w:tentative="0">
      <w:start w:val="1"/>
      <w:numFmt w:val="decimal"/>
      <w:lvlText w:val="%7."/>
      <w:lvlJc w:val="left"/>
      <w:pPr>
        <w:ind w:left="3507" w:hanging="420"/>
      </w:pPr>
    </w:lvl>
    <w:lvl w:ilvl="7" w:tentative="0">
      <w:start w:val="1"/>
      <w:numFmt w:val="lowerLetter"/>
      <w:lvlText w:val="%8)"/>
      <w:lvlJc w:val="left"/>
      <w:pPr>
        <w:ind w:left="3927" w:hanging="420"/>
      </w:pPr>
    </w:lvl>
    <w:lvl w:ilvl="8" w:tentative="0">
      <w:start w:val="1"/>
      <w:numFmt w:val="lowerRoman"/>
      <w:lvlText w:val="%9."/>
      <w:lvlJc w:val="right"/>
      <w:pPr>
        <w:ind w:left="4347"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03AA"/>
    <w:rsid w:val="00015D92"/>
    <w:rsid w:val="000222C6"/>
    <w:rsid w:val="00024725"/>
    <w:rsid w:val="0002549F"/>
    <w:rsid w:val="000304FF"/>
    <w:rsid w:val="0003536E"/>
    <w:rsid w:val="0006487A"/>
    <w:rsid w:val="00065F8F"/>
    <w:rsid w:val="000768F2"/>
    <w:rsid w:val="00076B45"/>
    <w:rsid w:val="0009184B"/>
    <w:rsid w:val="0009593C"/>
    <w:rsid w:val="000B047F"/>
    <w:rsid w:val="000B5923"/>
    <w:rsid w:val="000B5A48"/>
    <w:rsid w:val="000B6FF3"/>
    <w:rsid w:val="000C3467"/>
    <w:rsid w:val="000C3CA6"/>
    <w:rsid w:val="000D1267"/>
    <w:rsid w:val="000D129A"/>
    <w:rsid w:val="000D1D50"/>
    <w:rsid w:val="000D4D12"/>
    <w:rsid w:val="000D5411"/>
    <w:rsid w:val="000D5782"/>
    <w:rsid w:val="000E27A8"/>
    <w:rsid w:val="000E5A3A"/>
    <w:rsid w:val="000E6613"/>
    <w:rsid w:val="000E7119"/>
    <w:rsid w:val="000F3367"/>
    <w:rsid w:val="000F6A42"/>
    <w:rsid w:val="001038D5"/>
    <w:rsid w:val="00114E9B"/>
    <w:rsid w:val="0014729F"/>
    <w:rsid w:val="00157BAB"/>
    <w:rsid w:val="001654D1"/>
    <w:rsid w:val="0018106D"/>
    <w:rsid w:val="00185073"/>
    <w:rsid w:val="001877A7"/>
    <w:rsid w:val="001903BE"/>
    <w:rsid w:val="00191536"/>
    <w:rsid w:val="00192C7D"/>
    <w:rsid w:val="00196687"/>
    <w:rsid w:val="001A25B3"/>
    <w:rsid w:val="001B0E7F"/>
    <w:rsid w:val="001B42FF"/>
    <w:rsid w:val="001B6DF6"/>
    <w:rsid w:val="001C0962"/>
    <w:rsid w:val="001D7531"/>
    <w:rsid w:val="001E737D"/>
    <w:rsid w:val="001F0592"/>
    <w:rsid w:val="001F7506"/>
    <w:rsid w:val="002006CD"/>
    <w:rsid w:val="00202B36"/>
    <w:rsid w:val="00204B7A"/>
    <w:rsid w:val="0021101A"/>
    <w:rsid w:val="00213A79"/>
    <w:rsid w:val="00214A0B"/>
    <w:rsid w:val="00220536"/>
    <w:rsid w:val="00235629"/>
    <w:rsid w:val="0024294E"/>
    <w:rsid w:val="00260C38"/>
    <w:rsid w:val="002616C0"/>
    <w:rsid w:val="002662AA"/>
    <w:rsid w:val="00280496"/>
    <w:rsid w:val="00295495"/>
    <w:rsid w:val="002B2613"/>
    <w:rsid w:val="002E4B07"/>
    <w:rsid w:val="002E6C6E"/>
    <w:rsid w:val="002F1818"/>
    <w:rsid w:val="002F567B"/>
    <w:rsid w:val="002F6F39"/>
    <w:rsid w:val="003216A9"/>
    <w:rsid w:val="00356FC8"/>
    <w:rsid w:val="00362C7A"/>
    <w:rsid w:val="0037013F"/>
    <w:rsid w:val="003714B3"/>
    <w:rsid w:val="00380C92"/>
    <w:rsid w:val="003A484F"/>
    <w:rsid w:val="003B0BE0"/>
    <w:rsid w:val="003B0C1B"/>
    <w:rsid w:val="003B688C"/>
    <w:rsid w:val="003C0291"/>
    <w:rsid w:val="003C39AE"/>
    <w:rsid w:val="003C6FD4"/>
    <w:rsid w:val="003C71E6"/>
    <w:rsid w:val="003C7B60"/>
    <w:rsid w:val="003D1FB2"/>
    <w:rsid w:val="003D66DA"/>
    <w:rsid w:val="003E1310"/>
    <w:rsid w:val="003E6CCA"/>
    <w:rsid w:val="003E6F55"/>
    <w:rsid w:val="003F028A"/>
    <w:rsid w:val="0040145B"/>
    <w:rsid w:val="00404580"/>
    <w:rsid w:val="00406254"/>
    <w:rsid w:val="004223DE"/>
    <w:rsid w:val="00434489"/>
    <w:rsid w:val="00437085"/>
    <w:rsid w:val="0044020D"/>
    <w:rsid w:val="00443880"/>
    <w:rsid w:val="004464F4"/>
    <w:rsid w:val="004626F4"/>
    <w:rsid w:val="00463D88"/>
    <w:rsid w:val="00464A50"/>
    <w:rsid w:val="00471401"/>
    <w:rsid w:val="00473A49"/>
    <w:rsid w:val="00473F31"/>
    <w:rsid w:val="0048263A"/>
    <w:rsid w:val="00487E5D"/>
    <w:rsid w:val="004A711F"/>
    <w:rsid w:val="004B199D"/>
    <w:rsid w:val="004B4690"/>
    <w:rsid w:val="004D6160"/>
    <w:rsid w:val="004E0A2D"/>
    <w:rsid w:val="004E206B"/>
    <w:rsid w:val="004E6DF7"/>
    <w:rsid w:val="004F0FBD"/>
    <w:rsid w:val="00505A47"/>
    <w:rsid w:val="00512FDA"/>
    <w:rsid w:val="00520DA0"/>
    <w:rsid w:val="0052712D"/>
    <w:rsid w:val="00531612"/>
    <w:rsid w:val="005333C5"/>
    <w:rsid w:val="005664BB"/>
    <w:rsid w:val="0057481D"/>
    <w:rsid w:val="0058486E"/>
    <w:rsid w:val="005B373B"/>
    <w:rsid w:val="005D1C8B"/>
    <w:rsid w:val="005D5CED"/>
    <w:rsid w:val="005E2E22"/>
    <w:rsid w:val="005F1A4C"/>
    <w:rsid w:val="00605688"/>
    <w:rsid w:val="00606307"/>
    <w:rsid w:val="006070AF"/>
    <w:rsid w:val="00607E6C"/>
    <w:rsid w:val="006101B1"/>
    <w:rsid w:val="00611D9C"/>
    <w:rsid w:val="00614E44"/>
    <w:rsid w:val="00622830"/>
    <w:rsid w:val="00630AEF"/>
    <w:rsid w:val="006325F8"/>
    <w:rsid w:val="00634C9A"/>
    <w:rsid w:val="006440E4"/>
    <w:rsid w:val="0066343B"/>
    <w:rsid w:val="00664777"/>
    <w:rsid w:val="006748A4"/>
    <w:rsid w:val="00683E73"/>
    <w:rsid w:val="006A03EA"/>
    <w:rsid w:val="006A3141"/>
    <w:rsid w:val="006A5E34"/>
    <w:rsid w:val="006B2422"/>
    <w:rsid w:val="006B2B9A"/>
    <w:rsid w:val="006C185B"/>
    <w:rsid w:val="006C1937"/>
    <w:rsid w:val="006D01EC"/>
    <w:rsid w:val="006E2280"/>
    <w:rsid w:val="006F020C"/>
    <w:rsid w:val="007127B7"/>
    <w:rsid w:val="00717C7F"/>
    <w:rsid w:val="007416B6"/>
    <w:rsid w:val="00746525"/>
    <w:rsid w:val="00746F48"/>
    <w:rsid w:val="0075404D"/>
    <w:rsid w:val="0076182A"/>
    <w:rsid w:val="00767B7E"/>
    <w:rsid w:val="007770C3"/>
    <w:rsid w:val="00783467"/>
    <w:rsid w:val="00784D24"/>
    <w:rsid w:val="00785FBA"/>
    <w:rsid w:val="00786E4A"/>
    <w:rsid w:val="007875EB"/>
    <w:rsid w:val="0079426B"/>
    <w:rsid w:val="007D312A"/>
    <w:rsid w:val="007D3F19"/>
    <w:rsid w:val="007E23B0"/>
    <w:rsid w:val="007F1991"/>
    <w:rsid w:val="007F2C2F"/>
    <w:rsid w:val="007F55FC"/>
    <w:rsid w:val="007F5665"/>
    <w:rsid w:val="00800112"/>
    <w:rsid w:val="00820F0E"/>
    <w:rsid w:val="008231B3"/>
    <w:rsid w:val="008253BB"/>
    <w:rsid w:val="0083706E"/>
    <w:rsid w:val="0084038C"/>
    <w:rsid w:val="008423A5"/>
    <w:rsid w:val="00850625"/>
    <w:rsid w:val="00853718"/>
    <w:rsid w:val="00855221"/>
    <w:rsid w:val="00860645"/>
    <w:rsid w:val="008632C9"/>
    <w:rsid w:val="00871F71"/>
    <w:rsid w:val="008857C6"/>
    <w:rsid w:val="00885AF4"/>
    <w:rsid w:val="008939CD"/>
    <w:rsid w:val="00896FFF"/>
    <w:rsid w:val="008A3DFA"/>
    <w:rsid w:val="008B768C"/>
    <w:rsid w:val="008C4DB1"/>
    <w:rsid w:val="008C4EAF"/>
    <w:rsid w:val="008C5176"/>
    <w:rsid w:val="008C7FD0"/>
    <w:rsid w:val="008E1DE7"/>
    <w:rsid w:val="008E286B"/>
    <w:rsid w:val="008E707C"/>
    <w:rsid w:val="008E7BA2"/>
    <w:rsid w:val="00900B08"/>
    <w:rsid w:val="00902155"/>
    <w:rsid w:val="00902FA3"/>
    <w:rsid w:val="00913DCD"/>
    <w:rsid w:val="00916C55"/>
    <w:rsid w:val="00923564"/>
    <w:rsid w:val="0092392E"/>
    <w:rsid w:val="00930C56"/>
    <w:rsid w:val="009315F9"/>
    <w:rsid w:val="00946945"/>
    <w:rsid w:val="00947831"/>
    <w:rsid w:val="00951248"/>
    <w:rsid w:val="0095152F"/>
    <w:rsid w:val="00953165"/>
    <w:rsid w:val="00954C49"/>
    <w:rsid w:val="00965A60"/>
    <w:rsid w:val="0097099F"/>
    <w:rsid w:val="00971997"/>
    <w:rsid w:val="00971FFC"/>
    <w:rsid w:val="009823EC"/>
    <w:rsid w:val="0098660A"/>
    <w:rsid w:val="00991BEF"/>
    <w:rsid w:val="009931C3"/>
    <w:rsid w:val="009A6AF5"/>
    <w:rsid w:val="009A6BFE"/>
    <w:rsid w:val="009B0E8B"/>
    <w:rsid w:val="009B2C43"/>
    <w:rsid w:val="009B4EAE"/>
    <w:rsid w:val="009B7573"/>
    <w:rsid w:val="009C22F4"/>
    <w:rsid w:val="009C2E98"/>
    <w:rsid w:val="009D3447"/>
    <w:rsid w:val="009D4711"/>
    <w:rsid w:val="009E648E"/>
    <w:rsid w:val="009F1185"/>
    <w:rsid w:val="009F18CD"/>
    <w:rsid w:val="009F2A13"/>
    <w:rsid w:val="00A04EB0"/>
    <w:rsid w:val="00A13CC1"/>
    <w:rsid w:val="00A16847"/>
    <w:rsid w:val="00A237D8"/>
    <w:rsid w:val="00A268C4"/>
    <w:rsid w:val="00A27FCA"/>
    <w:rsid w:val="00A307CD"/>
    <w:rsid w:val="00A40A00"/>
    <w:rsid w:val="00A4142F"/>
    <w:rsid w:val="00A46D00"/>
    <w:rsid w:val="00A5418B"/>
    <w:rsid w:val="00A56DF2"/>
    <w:rsid w:val="00A6655F"/>
    <w:rsid w:val="00A67AB5"/>
    <w:rsid w:val="00A70632"/>
    <w:rsid w:val="00A91760"/>
    <w:rsid w:val="00A93B00"/>
    <w:rsid w:val="00A93C21"/>
    <w:rsid w:val="00AC3C6A"/>
    <w:rsid w:val="00AC5DA3"/>
    <w:rsid w:val="00AD1A66"/>
    <w:rsid w:val="00AD5620"/>
    <w:rsid w:val="00AD7C1B"/>
    <w:rsid w:val="00AE16BA"/>
    <w:rsid w:val="00AE1EBE"/>
    <w:rsid w:val="00B03C9D"/>
    <w:rsid w:val="00B060AE"/>
    <w:rsid w:val="00B10517"/>
    <w:rsid w:val="00B13C46"/>
    <w:rsid w:val="00B14E76"/>
    <w:rsid w:val="00B161B8"/>
    <w:rsid w:val="00B2048C"/>
    <w:rsid w:val="00B310B9"/>
    <w:rsid w:val="00B35F3F"/>
    <w:rsid w:val="00B36C9E"/>
    <w:rsid w:val="00B36CBB"/>
    <w:rsid w:val="00B425E0"/>
    <w:rsid w:val="00B440AA"/>
    <w:rsid w:val="00B44B70"/>
    <w:rsid w:val="00B53C56"/>
    <w:rsid w:val="00B77EA6"/>
    <w:rsid w:val="00B81598"/>
    <w:rsid w:val="00B841F1"/>
    <w:rsid w:val="00B944D6"/>
    <w:rsid w:val="00BA3B1A"/>
    <w:rsid w:val="00BA53EB"/>
    <w:rsid w:val="00BB4DF0"/>
    <w:rsid w:val="00BC289F"/>
    <w:rsid w:val="00BC5361"/>
    <w:rsid w:val="00BC5460"/>
    <w:rsid w:val="00BC6B50"/>
    <w:rsid w:val="00BD0E25"/>
    <w:rsid w:val="00BD2CDB"/>
    <w:rsid w:val="00BF5BD6"/>
    <w:rsid w:val="00C00D1E"/>
    <w:rsid w:val="00C03E31"/>
    <w:rsid w:val="00C07704"/>
    <w:rsid w:val="00C10F98"/>
    <w:rsid w:val="00C207B0"/>
    <w:rsid w:val="00C32DDB"/>
    <w:rsid w:val="00C33E72"/>
    <w:rsid w:val="00C354B2"/>
    <w:rsid w:val="00C35554"/>
    <w:rsid w:val="00C42709"/>
    <w:rsid w:val="00C533CC"/>
    <w:rsid w:val="00C5751C"/>
    <w:rsid w:val="00C6034E"/>
    <w:rsid w:val="00C61BFC"/>
    <w:rsid w:val="00C62B85"/>
    <w:rsid w:val="00C65438"/>
    <w:rsid w:val="00C91CBB"/>
    <w:rsid w:val="00CC09B6"/>
    <w:rsid w:val="00CC666F"/>
    <w:rsid w:val="00CD1E3F"/>
    <w:rsid w:val="00CE44F6"/>
    <w:rsid w:val="00CE49DA"/>
    <w:rsid w:val="00CE7B61"/>
    <w:rsid w:val="00D00095"/>
    <w:rsid w:val="00D1175B"/>
    <w:rsid w:val="00D20620"/>
    <w:rsid w:val="00D26091"/>
    <w:rsid w:val="00D34E7C"/>
    <w:rsid w:val="00D35489"/>
    <w:rsid w:val="00D51276"/>
    <w:rsid w:val="00D66DBC"/>
    <w:rsid w:val="00D7035F"/>
    <w:rsid w:val="00DA65AC"/>
    <w:rsid w:val="00DB1913"/>
    <w:rsid w:val="00DC410D"/>
    <w:rsid w:val="00DC68CA"/>
    <w:rsid w:val="00DC71CE"/>
    <w:rsid w:val="00DC7CBA"/>
    <w:rsid w:val="00DD24D7"/>
    <w:rsid w:val="00DD73B7"/>
    <w:rsid w:val="00DF19A9"/>
    <w:rsid w:val="00DF28BC"/>
    <w:rsid w:val="00DF34B6"/>
    <w:rsid w:val="00DF34B9"/>
    <w:rsid w:val="00E01053"/>
    <w:rsid w:val="00E07ACF"/>
    <w:rsid w:val="00E305DB"/>
    <w:rsid w:val="00E31F17"/>
    <w:rsid w:val="00E331A1"/>
    <w:rsid w:val="00E33202"/>
    <w:rsid w:val="00E336A9"/>
    <w:rsid w:val="00E50624"/>
    <w:rsid w:val="00E568DF"/>
    <w:rsid w:val="00E64269"/>
    <w:rsid w:val="00E82267"/>
    <w:rsid w:val="00EA010F"/>
    <w:rsid w:val="00EA207F"/>
    <w:rsid w:val="00EB3F00"/>
    <w:rsid w:val="00EB77C7"/>
    <w:rsid w:val="00ED1B63"/>
    <w:rsid w:val="00ED3C1F"/>
    <w:rsid w:val="00ED3CBC"/>
    <w:rsid w:val="00ED4085"/>
    <w:rsid w:val="00ED420E"/>
    <w:rsid w:val="00EE2F57"/>
    <w:rsid w:val="00EE6126"/>
    <w:rsid w:val="00EF4C34"/>
    <w:rsid w:val="00EF77C6"/>
    <w:rsid w:val="00F05438"/>
    <w:rsid w:val="00F1361C"/>
    <w:rsid w:val="00F160C7"/>
    <w:rsid w:val="00F36D8F"/>
    <w:rsid w:val="00F417B1"/>
    <w:rsid w:val="00F423FC"/>
    <w:rsid w:val="00F47A44"/>
    <w:rsid w:val="00F602DF"/>
    <w:rsid w:val="00F65613"/>
    <w:rsid w:val="00F804A6"/>
    <w:rsid w:val="00F81FD9"/>
    <w:rsid w:val="00F83502"/>
    <w:rsid w:val="00F841AA"/>
    <w:rsid w:val="00F93482"/>
    <w:rsid w:val="00FA23E8"/>
    <w:rsid w:val="00FD3CC1"/>
    <w:rsid w:val="00FD54B8"/>
    <w:rsid w:val="00FD6632"/>
    <w:rsid w:val="00FD6BED"/>
    <w:rsid w:val="00FE3E55"/>
    <w:rsid w:val="00FE6351"/>
    <w:rsid w:val="00FF1E02"/>
    <w:rsid w:val="00FF30B4"/>
    <w:rsid w:val="0BEF30AE"/>
    <w:rsid w:val="10C055FF"/>
    <w:rsid w:val="16BB723D"/>
    <w:rsid w:val="22A31981"/>
    <w:rsid w:val="240371BF"/>
    <w:rsid w:val="29D23E1C"/>
    <w:rsid w:val="29FD04D3"/>
    <w:rsid w:val="319F7F4E"/>
    <w:rsid w:val="443B06E1"/>
    <w:rsid w:val="6C2C2481"/>
    <w:rsid w:val="6DEF5CE2"/>
    <w:rsid w:val="79DD6B1A"/>
    <w:rsid w:val="7DF6675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name="toc 1"/>
    <w:lsdException w:qFormat="1" w:unhideWhenUsed="0" w:uiPriority="99" w:name="toc 2"/>
    <w:lsdException w:qFormat="1" w:unhideWhenUsed="0" w:uiPriority="99" w:name="toc 3"/>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nhideWhenUsed="0" w:uiPriority="99"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1"/>
    <w:link w:val="17"/>
    <w:qFormat/>
    <w:uiPriority w:val="99"/>
    <w:pPr>
      <w:keepNext/>
      <w:keepLines/>
      <w:spacing w:before="340" w:after="330" w:line="578" w:lineRule="auto"/>
      <w:outlineLvl w:val="0"/>
    </w:pPr>
    <w:rPr>
      <w:b/>
      <w:bCs/>
      <w:kern w:val="44"/>
      <w:sz w:val="44"/>
      <w:szCs w:val="44"/>
    </w:rPr>
  </w:style>
  <w:style w:type="paragraph" w:styleId="3">
    <w:name w:val="heading 2"/>
    <w:basedOn w:val="1"/>
    <w:next w:val="1"/>
    <w:link w:val="18"/>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link w:val="19"/>
    <w:qFormat/>
    <w:uiPriority w:val="99"/>
    <w:pPr>
      <w:keepNext/>
      <w:keepLines/>
      <w:spacing w:before="260" w:after="260" w:line="416" w:lineRule="auto"/>
      <w:outlineLvl w:val="2"/>
    </w:pPr>
    <w:rPr>
      <w:b/>
      <w:bCs/>
      <w:sz w:val="32"/>
      <w:szCs w:val="32"/>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99"/>
    <w:rPr>
      <w:rFonts w:ascii="Cambria" w:hAnsi="Cambria" w:eastAsia="黑体" w:cs="Cambria"/>
      <w:sz w:val="20"/>
      <w:szCs w:val="20"/>
    </w:rPr>
  </w:style>
  <w:style w:type="paragraph" w:styleId="6">
    <w:name w:val="Body Text"/>
    <w:basedOn w:val="1"/>
    <w:link w:val="26"/>
    <w:qFormat/>
    <w:uiPriority w:val="99"/>
    <w:pPr>
      <w:spacing w:beforeLines="30"/>
    </w:pPr>
    <w:rPr>
      <w:rFonts w:ascii="仿宋_GB2312" w:eastAsia="仿宋_GB2312" w:cs="仿宋_GB2312"/>
      <w:kern w:val="0"/>
      <w:sz w:val="24"/>
      <w:szCs w:val="24"/>
    </w:rPr>
  </w:style>
  <w:style w:type="paragraph" w:styleId="7">
    <w:name w:val="toc 3"/>
    <w:basedOn w:val="1"/>
    <w:next w:val="1"/>
    <w:semiHidden/>
    <w:qFormat/>
    <w:uiPriority w:val="99"/>
    <w:pPr>
      <w:tabs>
        <w:tab w:val="right" w:leader="dot" w:pos="8296"/>
      </w:tabs>
      <w:ind w:left="840" w:leftChars="400"/>
    </w:pPr>
  </w:style>
  <w:style w:type="paragraph" w:styleId="8">
    <w:name w:val="Balloon Text"/>
    <w:basedOn w:val="1"/>
    <w:link w:val="21"/>
    <w:semiHidden/>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kern w:val="0"/>
      <w:sz w:val="18"/>
      <w:szCs w:val="18"/>
    </w:rPr>
  </w:style>
  <w:style w:type="paragraph" w:styleId="10">
    <w:name w:val="header"/>
    <w:basedOn w:val="1"/>
    <w:link w:val="24"/>
    <w:semiHidden/>
    <w:qFormat/>
    <w:uiPriority w:val="99"/>
    <w:pPr>
      <w:pBdr>
        <w:bottom w:val="single" w:color="auto" w:sz="6" w:space="1"/>
      </w:pBdr>
      <w:tabs>
        <w:tab w:val="center" w:pos="4153"/>
        <w:tab w:val="right" w:pos="8306"/>
      </w:tabs>
      <w:snapToGrid w:val="0"/>
      <w:jc w:val="center"/>
    </w:pPr>
    <w:rPr>
      <w:kern w:val="0"/>
      <w:sz w:val="18"/>
      <w:szCs w:val="18"/>
    </w:rPr>
  </w:style>
  <w:style w:type="paragraph" w:styleId="11">
    <w:name w:val="toc 1"/>
    <w:basedOn w:val="1"/>
    <w:next w:val="1"/>
    <w:semiHidden/>
    <w:qFormat/>
    <w:uiPriority w:val="99"/>
    <w:pPr>
      <w:tabs>
        <w:tab w:val="right" w:leader="dot" w:pos="8296"/>
      </w:tabs>
      <w:spacing w:before="93"/>
      <w:jc w:val="center"/>
    </w:pPr>
    <w:rPr>
      <w:rFonts w:ascii="仿宋" w:hAnsi="仿宋" w:eastAsia="仿宋" w:cs="仿宋"/>
      <w:sz w:val="28"/>
      <w:szCs w:val="28"/>
    </w:rPr>
  </w:style>
  <w:style w:type="paragraph" w:styleId="12">
    <w:name w:val="toc 2"/>
    <w:basedOn w:val="1"/>
    <w:next w:val="1"/>
    <w:semiHidden/>
    <w:qFormat/>
    <w:uiPriority w:val="99"/>
    <w:pPr>
      <w:tabs>
        <w:tab w:val="right" w:leader="dot" w:pos="8296"/>
      </w:tabs>
      <w:ind w:left="420" w:leftChars="200"/>
    </w:pPr>
  </w:style>
  <w:style w:type="character" w:styleId="15">
    <w:name w:val="Strong"/>
    <w:basedOn w:val="14"/>
    <w:qFormat/>
    <w:uiPriority w:val="99"/>
    <w:rPr>
      <w:b/>
      <w:bCs/>
    </w:rPr>
  </w:style>
  <w:style w:type="character" w:styleId="16">
    <w:name w:val="Hyperlink"/>
    <w:basedOn w:val="14"/>
    <w:qFormat/>
    <w:uiPriority w:val="99"/>
    <w:rPr>
      <w:color w:val="0000FF"/>
      <w:u w:val="single"/>
    </w:rPr>
  </w:style>
  <w:style w:type="character" w:customStyle="1" w:styleId="17">
    <w:name w:val="标题 1 Char"/>
    <w:basedOn w:val="14"/>
    <w:link w:val="2"/>
    <w:qFormat/>
    <w:locked/>
    <w:uiPriority w:val="99"/>
    <w:rPr>
      <w:rFonts w:ascii="Times New Roman" w:hAnsi="Times New Roman" w:cs="Times New Roman"/>
      <w:b/>
      <w:bCs/>
      <w:kern w:val="44"/>
      <w:sz w:val="44"/>
      <w:szCs w:val="44"/>
    </w:rPr>
  </w:style>
  <w:style w:type="character" w:customStyle="1" w:styleId="18">
    <w:name w:val="标题 2 Char"/>
    <w:basedOn w:val="14"/>
    <w:link w:val="3"/>
    <w:qFormat/>
    <w:locked/>
    <w:uiPriority w:val="99"/>
    <w:rPr>
      <w:rFonts w:ascii="Cambria" w:hAnsi="Cambria" w:eastAsia="宋体" w:cs="Cambria"/>
      <w:b/>
      <w:bCs/>
      <w:kern w:val="2"/>
      <w:sz w:val="32"/>
      <w:szCs w:val="32"/>
    </w:rPr>
  </w:style>
  <w:style w:type="character" w:customStyle="1" w:styleId="19">
    <w:name w:val="标题 3 Char"/>
    <w:basedOn w:val="14"/>
    <w:link w:val="4"/>
    <w:qFormat/>
    <w:locked/>
    <w:uiPriority w:val="99"/>
    <w:rPr>
      <w:rFonts w:ascii="Times New Roman" w:hAnsi="Times New Roman" w:cs="Times New Roman"/>
      <w:b/>
      <w:bCs/>
      <w:kern w:val="2"/>
      <w:sz w:val="32"/>
      <w:szCs w:val="32"/>
    </w:rPr>
  </w:style>
  <w:style w:type="character" w:customStyle="1" w:styleId="20">
    <w:name w:val="Body Text Char"/>
    <w:basedOn w:val="14"/>
    <w:link w:val="6"/>
    <w:semiHidden/>
    <w:qFormat/>
    <w:uiPriority w:val="99"/>
    <w:rPr>
      <w:rFonts w:ascii="Times New Roman" w:hAnsi="Times New Roman" w:cs="Times New Roman"/>
      <w:sz w:val="24"/>
      <w:szCs w:val="24"/>
    </w:rPr>
  </w:style>
  <w:style w:type="character" w:customStyle="1" w:styleId="21">
    <w:name w:val="批注框文本 Char"/>
    <w:basedOn w:val="14"/>
    <w:link w:val="8"/>
    <w:semiHidden/>
    <w:qFormat/>
    <w:locked/>
    <w:uiPriority w:val="99"/>
    <w:rPr>
      <w:rFonts w:ascii="Times New Roman" w:hAnsi="Times New Roman" w:cs="Times New Roman"/>
      <w:kern w:val="2"/>
      <w:sz w:val="18"/>
      <w:szCs w:val="18"/>
    </w:rPr>
  </w:style>
  <w:style w:type="character" w:customStyle="1" w:styleId="22">
    <w:name w:val="Footer Char"/>
    <w:basedOn w:val="14"/>
    <w:link w:val="9"/>
    <w:semiHidden/>
    <w:qFormat/>
    <w:uiPriority w:val="99"/>
    <w:rPr>
      <w:rFonts w:ascii="Times New Roman" w:hAnsi="Times New Roman" w:cs="Times New Roman"/>
      <w:sz w:val="18"/>
      <w:szCs w:val="18"/>
    </w:rPr>
  </w:style>
  <w:style w:type="character" w:customStyle="1" w:styleId="23">
    <w:name w:val="Header Char"/>
    <w:basedOn w:val="14"/>
    <w:link w:val="10"/>
    <w:semiHidden/>
    <w:qFormat/>
    <w:uiPriority w:val="99"/>
    <w:rPr>
      <w:rFonts w:ascii="Times New Roman" w:hAnsi="Times New Roman" w:cs="Times New Roman"/>
      <w:sz w:val="18"/>
      <w:szCs w:val="18"/>
    </w:rPr>
  </w:style>
  <w:style w:type="character" w:customStyle="1" w:styleId="24">
    <w:name w:val="页眉 Char"/>
    <w:link w:val="10"/>
    <w:semiHidden/>
    <w:qFormat/>
    <w:locked/>
    <w:uiPriority w:val="99"/>
    <w:rPr>
      <w:sz w:val="18"/>
      <w:szCs w:val="18"/>
    </w:rPr>
  </w:style>
  <w:style w:type="character" w:customStyle="1" w:styleId="25">
    <w:name w:val="页脚 Char"/>
    <w:link w:val="9"/>
    <w:qFormat/>
    <w:locked/>
    <w:uiPriority w:val="99"/>
    <w:rPr>
      <w:sz w:val="18"/>
      <w:szCs w:val="18"/>
    </w:rPr>
  </w:style>
  <w:style w:type="character" w:customStyle="1" w:styleId="26">
    <w:name w:val="正文文本 Char"/>
    <w:link w:val="6"/>
    <w:qFormat/>
    <w:locked/>
    <w:uiPriority w:val="99"/>
    <w:rPr>
      <w:rFonts w:ascii="仿宋_GB2312" w:hAnsi="Times New Roman" w:eastAsia="仿宋_GB2312" w:cs="仿宋_GB2312"/>
      <w:sz w:val="24"/>
      <w:szCs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99"/>
    <w:pPr>
      <w:ind w:firstLine="420" w:firstLineChars="200"/>
    </w:pPr>
  </w:style>
  <w:style w:type="paragraph" w:customStyle="1" w:styleId="29">
    <w:name w:val="TOC 标题1"/>
    <w:basedOn w:val="2"/>
    <w:next w:val="1"/>
    <w:qFormat/>
    <w:uiPriority w:val="99"/>
    <w:pPr>
      <w:widowControl/>
      <w:spacing w:before="480" w:after="0" w:line="276" w:lineRule="auto"/>
      <w:jc w:val="left"/>
      <w:outlineLvl w:val="9"/>
    </w:pPr>
    <w:rPr>
      <w:rFonts w:ascii="Cambria" w:hAnsi="Cambria" w:cs="Cambria"/>
      <w:color w:val="365F91"/>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image" Target="media/image2.emf"/><Relationship Id="rId8" Type="http://schemas.openxmlformats.org/officeDocument/2006/relationships/oleObject" Target="embeddings/oleObject2.bin"/><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7.emf"/><Relationship Id="rId18" Type="http://schemas.openxmlformats.org/officeDocument/2006/relationships/oleObject" Target="embeddings/oleObject7.bin"/><Relationship Id="rId17" Type="http://schemas.openxmlformats.org/officeDocument/2006/relationships/image" Target="media/image6.emf"/><Relationship Id="rId16" Type="http://schemas.openxmlformats.org/officeDocument/2006/relationships/oleObject" Target="embeddings/oleObject6.bin"/><Relationship Id="rId15" Type="http://schemas.openxmlformats.org/officeDocument/2006/relationships/image" Target="media/image5.emf"/><Relationship Id="rId14" Type="http://schemas.openxmlformats.org/officeDocument/2006/relationships/oleObject" Target="embeddings/oleObject5.bin"/><Relationship Id="rId13" Type="http://schemas.openxmlformats.org/officeDocument/2006/relationships/image" Target="media/image4.emf"/><Relationship Id="rId12" Type="http://schemas.openxmlformats.org/officeDocument/2006/relationships/oleObject" Target="embeddings/oleObject4.bin"/><Relationship Id="rId11" Type="http://schemas.openxmlformats.org/officeDocument/2006/relationships/image" Target="media/image3.emf"/><Relationship Id="rId10" Type="http://schemas.openxmlformats.org/officeDocument/2006/relationships/oleObject" Target="embeddings/oleObject3.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9071</Words>
  <Characters>2248</Characters>
  <Lines>18</Lines>
  <Paragraphs>22</Paragraphs>
  <TotalTime>477</TotalTime>
  <ScaleCrop>false</ScaleCrop>
  <LinksUpToDate>false</LinksUpToDate>
  <CharactersWithSpaces>11297</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user</cp:lastModifiedBy>
  <cp:lastPrinted>2019-09-19T17:04:00Z</cp:lastPrinted>
  <dcterms:modified xsi:type="dcterms:W3CDTF">2026-08-20T10:18:51Z</dcterms:modified>
  <dc:title>四川省***</dc:title>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