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0" w:name="_GoBack"/>
      <w:bookmarkEnd w:id="70"/>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7425"/>
      <w:bookmarkStart w:id="3" w:name="_Toc15396597"/>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194"/>
      <w:bookmarkStart w:id="8" w:name="_Toc15377426"/>
      <w:bookmarkStart w:id="9" w:name="_Toc15396598"/>
      <w:bookmarkStart w:id="10" w:name="_Toc15396476"/>
      <w:r>
        <w:rPr>
          <w:rFonts w:hint="eastAsia" w:ascii="方正小标宋简体" w:hAnsi="宋体" w:eastAsia="方正小标宋简体"/>
          <w:color w:val="000000"/>
          <w:sz w:val="72"/>
          <w:szCs w:val="72"/>
        </w:rPr>
        <w:t>四川省阿坝州</w:t>
      </w:r>
      <w:bookmarkEnd w:id="0"/>
      <w:bookmarkEnd w:id="6"/>
      <w:bookmarkEnd w:id="7"/>
      <w:bookmarkEnd w:id="8"/>
      <w:bookmarkEnd w:id="9"/>
      <w:bookmarkEnd w:id="10"/>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茂县红十字会</w:t>
      </w:r>
    </w:p>
    <w:p>
      <w:pPr>
        <w:adjustRightInd w:val="0"/>
        <w:snapToGrid w:val="0"/>
        <w:spacing w:line="360" w:lineRule="auto"/>
        <w:jc w:val="center"/>
        <w:outlineLvl w:val="0"/>
        <w:rPr>
          <w:rFonts w:ascii="方正小标宋简体" w:hAnsi="宋体" w:eastAsia="方正小标宋简体"/>
          <w:color w:val="000000"/>
          <w:sz w:val="72"/>
          <w:szCs w:val="72"/>
        </w:rPr>
      </w:pPr>
      <w:bookmarkStart w:id="11" w:name="_Toc15306268"/>
      <w:r>
        <w:rPr>
          <w:rFonts w:hint="eastAsia" w:ascii="方正小标宋简体" w:hAnsi="宋体" w:eastAsia="方正小标宋简体"/>
          <w:color w:val="000000"/>
          <w:sz w:val="72"/>
          <w:szCs w:val="72"/>
        </w:rPr>
        <w:t>部门决算</w:t>
      </w:r>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rPr>
          <w:sz w:val="32"/>
          <w:szCs w:val="32"/>
        </w:rPr>
      </w:pPr>
    </w:p>
    <w:p>
      <w:pPr>
        <w:pStyle w:val="8"/>
        <w:adjustRightInd w:val="0"/>
        <w:snapToGrid w:val="0"/>
        <w:spacing w:before="0" w:line="560" w:lineRule="exact"/>
        <w:jc w:val="left"/>
        <w:rPr>
          <w:rFonts w:ascii="仿宋_GB2312" w:eastAsia="仿宋_GB2312" w:cstheme="minorBidi"/>
          <w:sz w:val="32"/>
          <w:szCs w:val="32"/>
        </w:rPr>
      </w:pPr>
      <w:r>
        <w:rPr>
          <w:rFonts w:hint="eastAsia" w:ascii="仿宋_GB2312" w:eastAsia="仿宋_GB2312"/>
          <w:sz w:val="32"/>
          <w:szCs w:val="32"/>
        </w:rPr>
        <w:t>第一部分 部门概况</w:t>
      </w:r>
      <w:r>
        <w:rPr>
          <w:rFonts w:ascii="仿宋_GB2312" w:eastAsia="仿宋_GB2312"/>
          <w:sz w:val="32"/>
          <w:szCs w:val="32"/>
        </w:rPr>
        <w:tab/>
      </w:r>
      <w:r>
        <w:rPr>
          <w:rFonts w:hint="eastAsia" w:ascii="仿宋_GB2312" w:eastAsia="仿宋_GB2312"/>
          <w:sz w:val="32"/>
          <w:szCs w:val="32"/>
        </w:rPr>
        <w:t>4</w:t>
      </w:r>
    </w:p>
    <w:p>
      <w:pPr>
        <w:pStyle w:val="9"/>
        <w:adjustRightInd w:val="0"/>
        <w:snapToGrid w:val="0"/>
        <w:spacing w:line="560" w:lineRule="exact"/>
        <w:jc w:val="left"/>
        <w:rPr>
          <w:rFonts w:ascii="仿宋_GB2312" w:hAnsi="仿宋" w:eastAsia="仿宋_GB2312"/>
          <w:sz w:val="32"/>
          <w:szCs w:val="32"/>
        </w:rPr>
      </w:pPr>
      <w:r>
        <w:rPr>
          <w:rFonts w:hint="eastAsia" w:ascii="仿宋_GB2312" w:hAnsi="仿宋" w:eastAsia="仿宋_GB2312"/>
          <w:sz w:val="32"/>
          <w:szCs w:val="32"/>
        </w:rPr>
        <w:t>一、基本职能及主要工作</w:t>
      </w:r>
      <w:r>
        <w:rPr>
          <w:rFonts w:ascii="仿宋_GB2312" w:hAnsi="仿宋" w:eastAsia="仿宋_GB2312"/>
          <w:sz w:val="32"/>
          <w:szCs w:val="32"/>
        </w:rPr>
        <w:tab/>
      </w:r>
      <w:r>
        <w:rPr>
          <w:rFonts w:hint="eastAsia" w:ascii="仿宋_GB2312" w:hAnsi="仿宋" w:eastAsia="仿宋_GB2312"/>
          <w:sz w:val="32"/>
          <w:szCs w:val="32"/>
        </w:rPr>
        <w:t>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二、机构设置</w:t>
      </w:r>
      <w:r>
        <w:rPr>
          <w:rFonts w:ascii="仿宋_GB2312" w:hAnsi="仿宋" w:eastAsia="仿宋_GB2312"/>
          <w:sz w:val="32"/>
          <w:szCs w:val="32"/>
        </w:rPr>
        <w:tab/>
      </w:r>
      <w:r>
        <w:rPr>
          <w:rFonts w:hint="eastAsia" w:ascii="仿宋_GB2312" w:hAnsi="仿宋" w:eastAsia="仿宋_GB2312"/>
          <w:sz w:val="32"/>
          <w:szCs w:val="32"/>
        </w:rPr>
        <w:t>5</w:t>
      </w:r>
    </w:p>
    <w:p>
      <w:pPr>
        <w:pStyle w:val="8"/>
        <w:adjustRightInd w:val="0"/>
        <w:snapToGrid w:val="0"/>
        <w:spacing w:before="0" w:line="560" w:lineRule="exact"/>
        <w:jc w:val="left"/>
        <w:rPr>
          <w:rFonts w:ascii="仿宋_GB2312" w:eastAsia="仿宋_GB2312"/>
          <w:sz w:val="32"/>
          <w:szCs w:val="32"/>
        </w:rPr>
      </w:pPr>
      <w:r>
        <w:rPr>
          <w:rFonts w:hint="eastAsia" w:ascii="仿宋_GB2312" w:eastAsia="仿宋_GB2312"/>
          <w:sz w:val="32"/>
          <w:szCs w:val="32"/>
        </w:rPr>
        <w:t>第二部分2019年度部门决算情况说明</w:t>
      </w:r>
      <w:r>
        <w:rPr>
          <w:rFonts w:ascii="仿宋_GB2312" w:eastAsia="仿宋_GB2312"/>
          <w:sz w:val="32"/>
          <w:szCs w:val="32"/>
        </w:rPr>
        <w:tab/>
      </w:r>
      <w:r>
        <w:rPr>
          <w:rFonts w:hint="eastAsia" w:ascii="仿宋_GB2312" w:eastAsia="仿宋_GB2312"/>
          <w:sz w:val="32"/>
          <w:szCs w:val="32"/>
        </w:rPr>
        <w:t>6</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一、收入支出决算总体情况说明</w:t>
      </w:r>
      <w:r>
        <w:rPr>
          <w:rFonts w:ascii="仿宋_GB2312" w:hAnsi="仿宋" w:eastAsia="仿宋_GB2312"/>
          <w:sz w:val="32"/>
          <w:szCs w:val="32"/>
        </w:rPr>
        <w:tab/>
      </w:r>
      <w:r>
        <w:rPr>
          <w:rFonts w:hint="eastAsia" w:ascii="仿宋_GB2312" w:hAnsi="仿宋" w:eastAsia="仿宋_GB2312"/>
          <w:sz w:val="32"/>
          <w:szCs w:val="32"/>
        </w:rPr>
        <w:t>6</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二、收入决算情况说明</w:t>
      </w:r>
      <w:r>
        <w:rPr>
          <w:rFonts w:ascii="仿宋_GB2312" w:hAnsi="仿宋" w:eastAsia="仿宋_GB2312"/>
          <w:sz w:val="32"/>
          <w:szCs w:val="32"/>
        </w:rPr>
        <w:tab/>
      </w:r>
      <w:r>
        <w:rPr>
          <w:rFonts w:hint="eastAsia" w:ascii="仿宋_GB2312" w:hAnsi="仿宋" w:eastAsia="仿宋_GB2312"/>
          <w:sz w:val="32"/>
          <w:szCs w:val="32"/>
        </w:rPr>
        <w:t>6</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三、支出决算情况说明</w:t>
      </w:r>
      <w:r>
        <w:rPr>
          <w:rFonts w:ascii="仿宋_GB2312" w:hAnsi="仿宋" w:eastAsia="仿宋_GB2312"/>
          <w:sz w:val="32"/>
          <w:szCs w:val="32"/>
        </w:rPr>
        <w:tab/>
      </w:r>
      <w:r>
        <w:rPr>
          <w:rFonts w:hint="eastAsia" w:ascii="仿宋_GB2312" w:hAnsi="仿宋" w:eastAsia="仿宋_GB2312"/>
          <w:sz w:val="32"/>
          <w:szCs w:val="32"/>
        </w:rPr>
        <w:t>7</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四、财政拨款收入支出决算总体情况说明</w:t>
      </w:r>
      <w:r>
        <w:rPr>
          <w:rFonts w:ascii="仿宋_GB2312" w:hAnsi="仿宋" w:eastAsia="仿宋_GB2312"/>
          <w:sz w:val="32"/>
          <w:szCs w:val="32"/>
        </w:rPr>
        <w:tab/>
      </w:r>
      <w:r>
        <w:rPr>
          <w:rFonts w:hint="eastAsia" w:ascii="仿宋_GB2312" w:hAnsi="仿宋" w:eastAsia="仿宋_GB2312"/>
          <w:sz w:val="32"/>
          <w:szCs w:val="32"/>
        </w:rPr>
        <w:t>7</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五、一般公共预算财政拨款支出决算情况说明</w:t>
      </w:r>
      <w:r>
        <w:rPr>
          <w:rFonts w:ascii="仿宋_GB2312" w:hAnsi="仿宋" w:eastAsia="仿宋_GB2312"/>
          <w:sz w:val="32"/>
          <w:szCs w:val="32"/>
        </w:rPr>
        <w:tab/>
      </w:r>
      <w:r>
        <w:rPr>
          <w:rFonts w:hint="eastAsia" w:ascii="仿宋_GB2312" w:hAnsi="仿宋" w:eastAsia="仿宋_GB2312"/>
          <w:sz w:val="32"/>
          <w:szCs w:val="32"/>
        </w:rPr>
        <w:t>8</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六、一般公共预算财政拨款基本支出决算情况说明</w:t>
      </w:r>
      <w:r>
        <w:rPr>
          <w:rFonts w:ascii="仿宋_GB2312" w:hAnsi="仿宋" w:eastAsia="仿宋_GB2312"/>
          <w:sz w:val="32"/>
          <w:szCs w:val="32"/>
        </w:rPr>
        <w:tab/>
      </w:r>
      <w:r>
        <w:rPr>
          <w:rFonts w:hint="eastAsia" w:ascii="仿宋_GB2312" w:hAnsi="仿宋" w:eastAsia="仿宋_GB2312"/>
          <w:sz w:val="32"/>
          <w:szCs w:val="32"/>
        </w:rPr>
        <w:t>11</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七、“三公”经费财政拨款支出决算情况说明</w:t>
      </w:r>
      <w:r>
        <w:rPr>
          <w:rFonts w:ascii="仿宋_GB2312" w:hAnsi="仿宋" w:eastAsia="仿宋_GB2312"/>
          <w:sz w:val="32"/>
          <w:szCs w:val="32"/>
        </w:rPr>
        <w:tab/>
      </w:r>
      <w:r>
        <w:rPr>
          <w:rFonts w:hint="eastAsia" w:ascii="仿宋_GB2312" w:hAnsi="仿宋" w:eastAsia="仿宋_GB2312"/>
          <w:sz w:val="32"/>
          <w:szCs w:val="32"/>
        </w:rPr>
        <w:t>11</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八、政府性基金预算支出决算情况说明</w:t>
      </w:r>
      <w:r>
        <w:rPr>
          <w:rFonts w:ascii="仿宋_GB2312" w:hAnsi="仿宋" w:eastAsia="仿宋_GB2312"/>
          <w:sz w:val="32"/>
          <w:szCs w:val="32"/>
        </w:rPr>
        <w:tab/>
      </w:r>
      <w:r>
        <w:rPr>
          <w:rFonts w:hint="eastAsia" w:ascii="仿宋_GB2312" w:hAnsi="仿宋" w:eastAsia="仿宋_GB2312"/>
          <w:sz w:val="32"/>
          <w:szCs w:val="32"/>
        </w:rPr>
        <w:t>13</w:t>
      </w:r>
    </w:p>
    <w:p>
      <w:pPr>
        <w:pStyle w:val="9"/>
        <w:adjustRightInd w:val="0"/>
        <w:snapToGrid w:val="0"/>
        <w:spacing w:line="560" w:lineRule="exact"/>
        <w:ind w:leftChars="0"/>
        <w:jc w:val="left"/>
        <w:rPr>
          <w:rFonts w:ascii="仿宋_GB2312" w:hAnsi="仿宋" w:eastAsia="仿宋_GB2312"/>
          <w:sz w:val="32"/>
          <w:szCs w:val="32"/>
        </w:rPr>
      </w:pPr>
      <w:r>
        <w:rPr>
          <w:rFonts w:hint="eastAsia" w:ascii="仿宋_GB2312" w:hAnsi="仿宋" w:eastAsia="仿宋_GB2312"/>
          <w:sz w:val="32"/>
          <w:szCs w:val="32"/>
        </w:rPr>
        <w:t>九、 国有资本经营预算支出决算情况说明</w:t>
      </w:r>
      <w:r>
        <w:rPr>
          <w:rFonts w:ascii="仿宋_GB2312" w:hAnsi="仿宋" w:eastAsia="仿宋_GB2312"/>
          <w:sz w:val="32"/>
          <w:szCs w:val="32"/>
        </w:rPr>
        <w:tab/>
      </w:r>
      <w:r>
        <w:rPr>
          <w:rFonts w:hint="eastAsia" w:ascii="仿宋_GB2312" w:hAnsi="仿宋" w:eastAsia="仿宋_GB2312"/>
          <w:sz w:val="32"/>
          <w:szCs w:val="32"/>
        </w:rPr>
        <w:t>13</w:t>
      </w:r>
    </w:p>
    <w:p>
      <w:pPr>
        <w:pStyle w:val="9"/>
        <w:adjustRightInd w:val="0"/>
        <w:snapToGrid w:val="0"/>
        <w:spacing w:line="560" w:lineRule="exact"/>
        <w:jc w:val="left"/>
        <w:rPr>
          <w:rFonts w:ascii="仿宋_GB2312" w:hAnsi="仿宋" w:eastAsia="仿宋_GB2312"/>
          <w:sz w:val="32"/>
          <w:szCs w:val="32"/>
        </w:rPr>
      </w:pPr>
      <w:r>
        <w:rPr>
          <w:rFonts w:hint="eastAsia" w:ascii="仿宋_GB2312" w:hAnsi="仿宋" w:eastAsia="仿宋_GB2312"/>
          <w:sz w:val="32"/>
          <w:szCs w:val="32"/>
        </w:rPr>
        <w:t>十、其他重要事项的情况说明</w:t>
      </w:r>
      <w:r>
        <w:rPr>
          <w:rFonts w:ascii="仿宋_GB2312" w:hAnsi="仿宋" w:eastAsia="仿宋_GB2312"/>
          <w:sz w:val="32"/>
          <w:szCs w:val="32"/>
        </w:rPr>
        <w:tab/>
      </w:r>
      <w:r>
        <w:rPr>
          <w:rFonts w:hint="eastAsia" w:ascii="仿宋_GB2312" w:hAnsi="仿宋" w:eastAsia="仿宋_GB2312"/>
          <w:sz w:val="32"/>
          <w:szCs w:val="32"/>
        </w:rPr>
        <w:t>13</w:t>
      </w:r>
    </w:p>
    <w:p>
      <w:pPr>
        <w:pStyle w:val="8"/>
        <w:adjustRightInd w:val="0"/>
        <w:snapToGrid w:val="0"/>
        <w:spacing w:before="0" w:line="560" w:lineRule="exact"/>
        <w:jc w:val="left"/>
        <w:rPr>
          <w:rFonts w:ascii="仿宋_GB2312" w:eastAsia="仿宋_GB2312" w:cstheme="minorBidi"/>
          <w:sz w:val="32"/>
          <w:szCs w:val="32"/>
        </w:rPr>
      </w:pPr>
      <w:r>
        <w:rPr>
          <w:rFonts w:hint="eastAsia" w:ascii="仿宋_GB2312" w:eastAsia="仿宋_GB2312"/>
          <w:sz w:val="32"/>
          <w:szCs w:val="32"/>
        </w:rPr>
        <w:t>第三部分 名词解释</w:t>
      </w:r>
      <w:r>
        <w:rPr>
          <w:rFonts w:ascii="仿宋_GB2312" w:eastAsia="仿宋_GB2312"/>
          <w:sz w:val="32"/>
          <w:szCs w:val="32"/>
        </w:rPr>
        <w:tab/>
      </w:r>
      <w:r>
        <w:rPr>
          <w:rFonts w:hint="eastAsia" w:ascii="仿宋_GB2312" w:eastAsia="仿宋_GB2312"/>
          <w:sz w:val="32"/>
          <w:szCs w:val="32"/>
        </w:rPr>
        <w:t>15</w:t>
      </w:r>
    </w:p>
    <w:p>
      <w:pPr>
        <w:pStyle w:val="8"/>
        <w:adjustRightInd w:val="0"/>
        <w:snapToGrid w:val="0"/>
        <w:spacing w:before="0" w:line="560" w:lineRule="exact"/>
        <w:jc w:val="left"/>
        <w:rPr>
          <w:rFonts w:ascii="仿宋_GB2312" w:eastAsia="仿宋_GB2312" w:cstheme="minorBidi"/>
          <w:sz w:val="32"/>
          <w:szCs w:val="32"/>
        </w:rPr>
      </w:pPr>
      <w:r>
        <w:rPr>
          <w:rFonts w:hint="eastAsia" w:ascii="仿宋_GB2312" w:eastAsia="仿宋_GB2312"/>
          <w:sz w:val="32"/>
          <w:szCs w:val="32"/>
        </w:rPr>
        <w:t>第四部分 附件</w:t>
      </w:r>
      <w:r>
        <w:rPr>
          <w:rFonts w:ascii="仿宋_GB2312" w:eastAsia="仿宋_GB2312"/>
          <w:sz w:val="32"/>
          <w:szCs w:val="32"/>
        </w:rPr>
        <w:tab/>
      </w:r>
      <w:r>
        <w:rPr>
          <w:rFonts w:hint="eastAsia" w:ascii="仿宋_GB2312" w:eastAsia="仿宋_GB2312"/>
          <w:sz w:val="32"/>
          <w:szCs w:val="32"/>
        </w:rPr>
        <w:t>18</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附件1</w:t>
      </w:r>
      <w:r>
        <w:rPr>
          <w:rFonts w:ascii="仿宋_GB2312" w:hAnsi="仿宋" w:eastAsia="仿宋_GB2312"/>
          <w:sz w:val="32"/>
          <w:szCs w:val="32"/>
        </w:rPr>
        <w:tab/>
      </w:r>
      <w:r>
        <w:rPr>
          <w:rFonts w:hint="eastAsia" w:ascii="仿宋_GB2312" w:hAnsi="仿宋" w:eastAsia="仿宋_GB2312"/>
          <w:sz w:val="32"/>
          <w:szCs w:val="32"/>
        </w:rPr>
        <w:t>18</w:t>
      </w:r>
    </w:p>
    <w:p>
      <w:pPr>
        <w:pStyle w:val="8"/>
        <w:adjustRightInd w:val="0"/>
        <w:snapToGrid w:val="0"/>
        <w:spacing w:before="0" w:line="560" w:lineRule="exact"/>
        <w:jc w:val="left"/>
        <w:rPr>
          <w:rFonts w:ascii="仿宋_GB2312" w:eastAsia="仿宋_GB2312" w:cstheme="minorBidi"/>
          <w:sz w:val="32"/>
          <w:szCs w:val="32"/>
        </w:rPr>
      </w:pPr>
      <w:r>
        <w:rPr>
          <w:rFonts w:hint="eastAsia" w:ascii="仿宋_GB2312" w:eastAsia="仿宋_GB2312"/>
          <w:sz w:val="32"/>
          <w:szCs w:val="32"/>
        </w:rPr>
        <w:t>第五部分 附表</w:t>
      </w:r>
      <w:r>
        <w:rPr>
          <w:rFonts w:ascii="仿宋_GB2312" w:eastAsia="仿宋_GB2312"/>
          <w:sz w:val="32"/>
          <w:szCs w:val="32"/>
        </w:rPr>
        <w:tab/>
      </w:r>
      <w:r>
        <w:rPr>
          <w:rFonts w:hint="eastAsia" w:ascii="仿宋_GB2312"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一、收入支出决算总表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二、收入决算表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三、支出决算表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四、财政拨款收入支出决算总表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sz w:val="32"/>
          <w:szCs w:val="32"/>
        </w:rPr>
      </w:pPr>
      <w:r>
        <w:rPr>
          <w:rFonts w:hint="eastAsia" w:ascii="仿宋_GB2312" w:hAnsi="仿宋" w:eastAsia="仿宋_GB2312"/>
          <w:sz w:val="32"/>
          <w:szCs w:val="32"/>
        </w:rPr>
        <w:t>五、财政拨款支出决算明细表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六、一般公共预算财政拨款支出决算表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七、一般公共预算财政拨款支出决算明细表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八、一般公共预算财政拨款基本支出决算表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九、一般公共预算财政拨款项目支出决算表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十、一般公共预算财政拨款“三公”经费支出决算表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十一、政府性基金预算财政拨款收入支出决算表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十二、政府性基金预算财政拨款“三公”经费支出决算表</w:t>
      </w:r>
      <w:r>
        <w:rPr>
          <w:rFonts w:ascii="仿宋_GB2312" w:hAnsi="仿宋" w:eastAsia="仿宋_GB2312"/>
          <w:sz w:val="32"/>
          <w:szCs w:val="32"/>
        </w:rPr>
        <w:tab/>
      </w:r>
      <w:r>
        <w:rPr>
          <w:rFonts w:hint="eastAsia" w:ascii="仿宋_GB2312" w:hAnsi="仿宋" w:eastAsia="仿宋_GB2312"/>
          <w:sz w:val="32"/>
          <w:szCs w:val="32"/>
        </w:rPr>
        <w:t>24</w:t>
      </w:r>
    </w:p>
    <w:p>
      <w:pPr>
        <w:pStyle w:val="9"/>
        <w:adjustRightInd w:val="0"/>
        <w:snapToGrid w:val="0"/>
        <w:spacing w:line="560" w:lineRule="exact"/>
        <w:jc w:val="left"/>
        <w:rPr>
          <w:rFonts w:ascii="仿宋_GB2312" w:hAnsi="仿宋" w:eastAsia="仿宋_GB2312" w:cstheme="minorBidi"/>
          <w:sz w:val="32"/>
          <w:szCs w:val="32"/>
        </w:rPr>
      </w:pPr>
      <w:r>
        <w:rPr>
          <w:rFonts w:hint="eastAsia" w:ascii="仿宋_GB2312" w:hAnsi="仿宋" w:eastAsia="仿宋_GB2312"/>
          <w:sz w:val="32"/>
          <w:szCs w:val="32"/>
        </w:rPr>
        <w:t>十三、国有资本经营预算支出决算表</w:t>
      </w:r>
      <w:r>
        <w:rPr>
          <w:rFonts w:ascii="仿宋_GB2312" w:hAnsi="仿宋" w:eastAsia="仿宋_GB2312"/>
          <w:sz w:val="32"/>
          <w:szCs w:val="32"/>
        </w:rPr>
        <w:tab/>
      </w:r>
      <w:r>
        <w:rPr>
          <w:rFonts w:hint="eastAsia" w:ascii="仿宋_GB2312" w:hAnsi="仿宋" w:eastAsia="仿宋_GB2312"/>
          <w:sz w:val="32"/>
          <w:szCs w:val="32"/>
        </w:rPr>
        <w:t>24</w:t>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2"/>
        <w:jc w:val="center"/>
        <w:rPr>
          <w:rStyle w:val="14"/>
          <w:rFonts w:ascii="黑体" w:hAnsi="黑体" w:eastAsia="黑体"/>
          <w:b w:val="0"/>
          <w:bCs w:val="0"/>
        </w:rPr>
      </w:pPr>
      <w:r>
        <w:rPr>
          <w:rFonts w:hint="eastAsia" w:ascii="黑体" w:hAnsi="黑体" w:eastAsia="黑体"/>
          <w:b w:val="0"/>
        </w:rPr>
        <w:t xml:space="preserve">第一部分 </w:t>
      </w:r>
      <w:r>
        <w:rPr>
          <w:rStyle w:val="14"/>
          <w:rFonts w:hint="eastAsia" w:ascii="黑体" w:hAnsi="黑体" w:eastAsia="黑体"/>
          <w:b w:val="0"/>
          <w:bCs w:val="0"/>
        </w:rPr>
        <w:t>部门概况</w:t>
      </w:r>
    </w:p>
    <w:p>
      <w:pPr>
        <w:widowControl/>
        <w:jc w:val="left"/>
        <w:rPr>
          <w:rFonts w:ascii="黑体" w:eastAsia="黑体"/>
          <w:color w:val="000000"/>
          <w:sz w:val="32"/>
          <w:szCs w:val="32"/>
        </w:rPr>
      </w:pPr>
    </w:p>
    <w:p>
      <w:pPr>
        <w:pStyle w:val="3"/>
        <w:rPr>
          <w:rStyle w:val="15"/>
          <w:rFonts w:ascii="仿宋" w:hAnsi="仿宋" w:eastAsia="仿宋"/>
          <w:b w:val="0"/>
          <w:bCs w:val="0"/>
        </w:rPr>
      </w:pPr>
      <w:bookmarkStart w:id="12" w:name="_Toc15396600"/>
      <w:bookmarkStart w:id="13" w:name="_Toc15377197"/>
      <w:r>
        <w:rPr>
          <w:rFonts w:hint="eastAsia" w:ascii="黑体" w:hAnsi="黑体" w:eastAsia="黑体"/>
          <w:b w:val="0"/>
          <w:color w:val="000000"/>
        </w:rPr>
        <w:t>一、基</w:t>
      </w:r>
      <w:r>
        <w:rPr>
          <w:rStyle w:val="15"/>
          <w:rFonts w:hint="eastAsia" w:ascii="黑体" w:hAnsi="黑体" w:eastAsia="黑体"/>
          <w:b w:val="0"/>
          <w:bCs w:val="0"/>
        </w:rPr>
        <w:t>本职能及主要工作</w:t>
      </w:r>
      <w:bookmarkEnd w:id="12"/>
      <w:bookmarkEnd w:id="13"/>
    </w:p>
    <w:p>
      <w:pPr>
        <w:spacing w:line="600" w:lineRule="exact"/>
        <w:ind w:firstLine="640" w:firstLineChars="200"/>
        <w:rPr>
          <w:rFonts w:ascii="仿宋" w:hAnsi="仿宋" w:eastAsia="仿宋"/>
          <w:bCs/>
          <w:color w:val="000000"/>
          <w:sz w:val="32"/>
          <w:szCs w:val="32"/>
        </w:rPr>
      </w:pPr>
      <w:bookmarkStart w:id="14" w:name="_Toc15378445"/>
      <w:bookmarkStart w:id="15" w:name="_Toc15377198"/>
      <w:r>
        <w:rPr>
          <w:rFonts w:hint="eastAsia" w:ascii="仿宋" w:hAnsi="仿宋" w:eastAsia="仿宋"/>
          <w:bCs/>
          <w:color w:val="000000"/>
          <w:sz w:val="32"/>
          <w:szCs w:val="32"/>
        </w:rPr>
        <w:t>（一）主要职能</w:t>
      </w:r>
      <w:bookmarkEnd w:id="14"/>
      <w:bookmarkEnd w:id="15"/>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传播国际红十字运动知识和国际人道主义法。宣传、贯彻《中华人民共和国红十字会法》，依照红十字会法和红十字章程组织协调开展我县红十字会工作；开展备灾救灾工作。在自然灾害和突发事件中</w:t>
      </w:r>
      <w:r>
        <w:rPr>
          <w:rFonts w:ascii="仿宋" w:hAnsi="仿宋" w:eastAsia="仿宋" w:cs="仿宋_GB2312"/>
          <w:sz w:val="32"/>
          <w:szCs w:val="32"/>
        </w:rPr>
        <w:t>,</w:t>
      </w:r>
      <w:r>
        <w:rPr>
          <w:rFonts w:hint="eastAsia" w:ascii="仿宋" w:hAnsi="仿宋" w:eastAsia="仿宋" w:cs="仿宋_GB2312"/>
          <w:sz w:val="32"/>
          <w:szCs w:val="32"/>
        </w:rPr>
        <w:t>开展救护和救助工作</w:t>
      </w:r>
      <w:r>
        <w:rPr>
          <w:rFonts w:ascii="仿宋" w:hAnsi="仿宋" w:eastAsia="仿宋" w:cs="仿宋_GB2312"/>
          <w:sz w:val="32"/>
          <w:szCs w:val="32"/>
        </w:rPr>
        <w:t>;</w:t>
      </w:r>
      <w:r>
        <w:rPr>
          <w:rFonts w:hint="eastAsia" w:ascii="仿宋" w:hAnsi="仿宋" w:eastAsia="仿宋" w:cs="仿宋_GB2312"/>
          <w:sz w:val="32"/>
          <w:szCs w:val="32"/>
        </w:rPr>
        <w:t>依法接受国内外组织和个人的捐赠</w:t>
      </w:r>
      <w:r>
        <w:rPr>
          <w:rFonts w:ascii="仿宋" w:hAnsi="仿宋" w:eastAsia="仿宋" w:cs="仿宋_GB2312"/>
          <w:sz w:val="32"/>
          <w:szCs w:val="32"/>
        </w:rPr>
        <w:t>,</w:t>
      </w:r>
      <w:r>
        <w:rPr>
          <w:rFonts w:hint="eastAsia" w:ascii="仿宋" w:hAnsi="仿宋" w:eastAsia="仿宋" w:cs="仿宋_GB2312"/>
          <w:sz w:val="32"/>
          <w:szCs w:val="32"/>
        </w:rPr>
        <w:t>及时向灾区群众和受难者提供人道主义援助</w:t>
      </w:r>
      <w:r>
        <w:rPr>
          <w:rFonts w:ascii="仿宋" w:hAnsi="仿宋" w:eastAsia="仿宋" w:cs="仿宋_GB2312"/>
          <w:sz w:val="32"/>
          <w:szCs w:val="32"/>
        </w:rPr>
        <w:t>,</w:t>
      </w:r>
      <w:r>
        <w:rPr>
          <w:rFonts w:hint="eastAsia" w:ascii="仿宋" w:hAnsi="仿宋" w:eastAsia="仿宋" w:cs="仿宋_GB2312"/>
          <w:sz w:val="32"/>
          <w:szCs w:val="32"/>
        </w:rPr>
        <w:t>突发事件中对受害者组织实施救助工作。</w:t>
      </w:r>
    </w:p>
    <w:p>
      <w:pPr>
        <w:pStyle w:val="4"/>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6"/>
      <w:bookmarkStart w:id="17"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6"/>
      <w:bookmarkEnd w:id="17"/>
    </w:p>
    <w:p>
      <w:pPr>
        <w:pStyle w:val="17"/>
        <w:snapToGrid w:val="0"/>
        <w:spacing w:before="93" w:beforeAutospacing="0" w:after="0" w:afterAutospacing="0" w:line="560" w:lineRule="exact"/>
        <w:ind w:firstLine="640" w:firstLineChars="200"/>
        <w:rPr>
          <w:rFonts w:ascii="仿宋" w:hAnsi="仿宋" w:eastAsia="仿宋"/>
          <w:color w:val="000000"/>
          <w:sz w:val="32"/>
          <w:szCs w:val="32"/>
        </w:rPr>
      </w:pPr>
      <w:r>
        <w:rPr>
          <w:rFonts w:hint="eastAsia" w:ascii="仿宋" w:hAnsi="仿宋" w:eastAsia="仿宋"/>
          <w:sz w:val="32"/>
          <w:szCs w:val="32"/>
        </w:rPr>
        <w:t>认真</w:t>
      </w:r>
      <w:r>
        <w:rPr>
          <w:rFonts w:hint="eastAsia" w:ascii="仿宋" w:hAnsi="仿宋" w:eastAsia="仿宋"/>
          <w:bCs/>
          <w:sz w:val="32"/>
          <w:szCs w:val="32"/>
        </w:rPr>
        <w:t>依法履行红十字职责，大力加强红十字组织和队伍建设，不断完善促进红十字事业发展长效机制。</w:t>
      </w:r>
      <w:r>
        <w:rPr>
          <w:rFonts w:hint="eastAsia" w:ascii="仿宋" w:hAnsi="仿宋" w:eastAsia="仿宋"/>
          <w:bCs/>
          <w:kern w:val="2"/>
          <w:sz w:val="32"/>
          <w:szCs w:val="32"/>
        </w:rPr>
        <w:t>继续认真</w:t>
      </w:r>
      <w:r>
        <w:rPr>
          <w:rFonts w:hint="eastAsia" w:ascii="仿宋" w:hAnsi="仿宋" w:eastAsia="仿宋"/>
          <w:color w:val="000000"/>
          <w:sz w:val="32"/>
          <w:szCs w:val="32"/>
        </w:rPr>
        <w:t>深入实施“博爱家园项目”。2019年将其博爱家园项目作为宣传倡导红十字精神的一线阵地和提高基层红十字会能力的重要载体，继续完成生计基金的投放，加强对该村志愿者的培训，增强基层红十字组织的服务能力。依法开展设置募捐箱和专项救助相结合的募捐活动，促进募捐筹资工作常态化；2019年完成100余名应急救护员的培训工作；开展一至二期对红十字志愿者和红十字会员的培训，并定期组织开展红十字活动；加大预防艾滋病、无偿献血的宣传力度。</w:t>
      </w:r>
    </w:p>
    <w:p>
      <w:pPr>
        <w:pStyle w:val="3"/>
        <w:rPr>
          <w:rStyle w:val="15"/>
          <w:b w:val="0"/>
          <w:bCs w:val="0"/>
        </w:rPr>
      </w:pPr>
      <w:bookmarkStart w:id="18" w:name="_Toc15377200"/>
      <w:bookmarkStart w:id="19" w:name="_Toc15396601"/>
      <w:r>
        <w:rPr>
          <w:rFonts w:hint="eastAsia" w:ascii="黑体" w:eastAsia="黑体"/>
          <w:b w:val="0"/>
          <w:color w:val="000000"/>
        </w:rPr>
        <w:t>二、</w:t>
      </w:r>
      <w:r>
        <w:rPr>
          <w:rFonts w:hint="eastAsia" w:ascii="黑体" w:hAnsi="黑体" w:eastAsia="黑体"/>
          <w:b w:val="0"/>
          <w:color w:val="000000"/>
        </w:rPr>
        <w:t>机</w:t>
      </w:r>
      <w:r>
        <w:rPr>
          <w:rStyle w:val="15"/>
          <w:rFonts w:hint="eastAsia" w:ascii="黑体" w:hAnsi="黑体" w:eastAsia="黑体"/>
          <w:b w:val="0"/>
          <w:bCs w:val="0"/>
        </w:rPr>
        <w:t>构设置</w:t>
      </w:r>
      <w:bookmarkEnd w:id="18"/>
      <w:bookmarkEnd w:id="19"/>
    </w:p>
    <w:p>
      <w:pPr>
        <w:ind w:firstLine="800" w:firstLineChars="250"/>
        <w:rPr>
          <w:rFonts w:ascii="仿宋" w:hAnsi="仿宋" w:eastAsia="仿宋"/>
          <w:sz w:val="32"/>
          <w:szCs w:val="32"/>
        </w:rPr>
      </w:pPr>
      <w:r>
        <w:rPr>
          <w:rFonts w:hint="eastAsia" w:ascii="仿宋" w:hAnsi="仿宋" w:eastAsia="仿宋"/>
          <w:sz w:val="32"/>
          <w:szCs w:val="32"/>
        </w:rPr>
        <w:t>茂县红十字会下属二级单位0个，其中行政单位0个，参照公务员法管理的事业单位</w:t>
      </w:r>
      <w:r>
        <w:rPr>
          <w:rFonts w:hint="eastAsia" w:ascii="仿宋" w:hAnsi="仿宋" w:eastAsia="仿宋"/>
          <w:bCs/>
          <w:sz w:val="32"/>
          <w:szCs w:val="32"/>
        </w:rPr>
        <w:t>1</w:t>
      </w:r>
      <w:r>
        <w:rPr>
          <w:rFonts w:hint="eastAsia" w:ascii="仿宋" w:hAnsi="仿宋" w:eastAsia="仿宋"/>
          <w:sz w:val="32"/>
          <w:szCs w:val="32"/>
        </w:rPr>
        <w:t>个，其他事业单位0个。</w:t>
      </w:r>
    </w:p>
    <w:p>
      <w:pPr>
        <w:pStyle w:val="2"/>
        <w:ind w:right="440"/>
        <w:jc w:val="right"/>
        <w:rPr>
          <w:rStyle w:val="14"/>
          <w:rFonts w:ascii="黑体" w:hAnsi="黑体" w:eastAsia="黑体"/>
          <w:b w:val="0"/>
          <w:bCs w:val="0"/>
        </w:rPr>
      </w:pPr>
      <w:r>
        <w:rPr>
          <w:rFonts w:ascii="仿宋" w:hAnsi="仿宋" w:eastAsia="仿宋"/>
          <w:color w:val="000000"/>
          <w:sz w:val="32"/>
          <w:szCs w:val="32"/>
        </w:rPr>
        <w:br w:type="page"/>
      </w:r>
      <w:bookmarkStart w:id="20" w:name="_Toc15396602"/>
      <w:bookmarkStart w:id="21"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14"/>
          <w:rFonts w:hint="eastAsia" w:ascii="黑体" w:hAnsi="黑体" w:eastAsia="黑体"/>
          <w:b w:val="0"/>
          <w:bCs w:val="0"/>
        </w:rPr>
        <w:t>2019年度部门决算情况说明</w:t>
      </w:r>
      <w:bookmarkEnd w:id="20"/>
      <w:bookmarkEnd w:id="21"/>
    </w:p>
    <w:p/>
    <w:p>
      <w:pPr>
        <w:pStyle w:val="18"/>
        <w:numPr>
          <w:ilvl w:val="0"/>
          <w:numId w:val="1"/>
        </w:numPr>
        <w:spacing w:line="600" w:lineRule="exact"/>
        <w:ind w:firstLineChars="0"/>
        <w:outlineLvl w:val="1"/>
        <w:rPr>
          <w:rStyle w:val="15"/>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15"/>
          <w:rFonts w:hint="eastAsia" w:ascii="黑体" w:hAnsi="黑体" w:eastAsia="黑体"/>
        </w:rPr>
        <w:t>入支出决算总体情况说明</w:t>
      </w:r>
      <w:bookmarkEnd w:id="22"/>
      <w:bookmarkEnd w:id="2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2019年度收、支总计98.61万元。与2018年相比，收、支总计各减少1.95万元，下降1.9</w:t>
      </w:r>
      <w:r>
        <w:rPr>
          <w:rFonts w:ascii="仿宋" w:hAnsi="仿宋" w:eastAsia="仿宋"/>
          <w:color w:val="000000"/>
          <w:sz w:val="32"/>
          <w:szCs w:val="32"/>
        </w:rPr>
        <w:t>%</w:t>
      </w:r>
      <w:r>
        <w:rPr>
          <w:rFonts w:hint="eastAsia" w:ascii="仿宋" w:hAnsi="仿宋" w:eastAsia="仿宋"/>
          <w:color w:val="000000"/>
          <w:sz w:val="32"/>
          <w:szCs w:val="32"/>
        </w:rPr>
        <w:t>。主要变动原因是人员减少。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r>
        <w:drawing>
          <wp:inline distT="0" distB="0" distL="0" distR="0">
            <wp:extent cx="4998085" cy="3086100"/>
            <wp:effectExtent l="19050" t="0" r="12065" b="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
    <w:p>
      <w:pPr>
        <w:spacing w:line="600" w:lineRule="exact"/>
        <w:ind w:left="640"/>
        <w:outlineLvl w:val="1"/>
        <w:rPr>
          <w:rStyle w:val="15"/>
          <w:rFonts w:ascii="黑体" w:hAnsi="黑体" w:eastAsia="黑体"/>
          <w:b w:val="0"/>
        </w:rPr>
      </w:pPr>
      <w:bookmarkStart w:id="24" w:name="_Toc15396604"/>
      <w:bookmarkStart w:id="25" w:name="_Toc15377206"/>
      <w:r>
        <w:rPr>
          <w:rFonts w:hint="eastAsia" w:ascii="黑体" w:hAnsi="黑体" w:eastAsia="黑体"/>
          <w:color w:val="000000"/>
          <w:sz w:val="32"/>
          <w:szCs w:val="32"/>
        </w:rPr>
        <w:t>二、收</w:t>
      </w:r>
      <w:r>
        <w:rPr>
          <w:rStyle w:val="15"/>
          <w:rFonts w:hint="eastAsia" w:ascii="黑体" w:hAnsi="黑体" w:eastAsia="黑体"/>
        </w:rPr>
        <w:t>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9年本年收入合计98.61万元，其中：一般公共预算财政拨款收入98.61万元，占100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万元；事业收入0万元；经营收入0万元；附属单位上缴收入0万元；其他收入0万元。</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left="640"/>
        <w:outlineLvl w:val="1"/>
        <w:rPr>
          <w:rStyle w:val="15"/>
          <w:rFonts w:ascii="黑体" w:hAnsi="黑体" w:eastAsia="黑体"/>
          <w:b w:val="0"/>
        </w:rPr>
      </w:pPr>
      <w:bookmarkStart w:id="26" w:name="_Toc15396605"/>
      <w:bookmarkStart w:id="27" w:name="_Toc15377207"/>
      <w:r>
        <w:rPr>
          <w:rFonts w:hint="eastAsia" w:ascii="黑体" w:hAnsi="黑体" w:eastAsia="黑体"/>
          <w:color w:val="000000"/>
          <w:sz w:val="32"/>
          <w:szCs w:val="32"/>
        </w:rPr>
        <w:t>三、支</w:t>
      </w:r>
      <w:r>
        <w:rPr>
          <w:rStyle w:val="15"/>
          <w:rFonts w:hint="eastAsia" w:ascii="黑体" w:hAnsi="黑体" w:eastAsia="黑体"/>
        </w:rPr>
        <w:t>出决算情况说明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9年本年支出合计98.61万元，其中：基本支出98.19万元；项目支出0.42万元；上缴上级支出0万元；经营支出0万元；对附属单位补助支出0万元。</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
      <w:pPr>
        <w:spacing w:line="600" w:lineRule="exact"/>
        <w:ind w:firstLine="640" w:firstLineChars="200"/>
        <w:outlineLvl w:val="1"/>
        <w:rPr>
          <w:rStyle w:val="15"/>
          <w:rFonts w:ascii="黑体" w:hAnsi="黑体" w:eastAsia="黑体"/>
          <w:b w:val="0"/>
        </w:rPr>
      </w:pPr>
      <w:bookmarkStart w:id="28" w:name="_Toc15377208"/>
      <w:bookmarkStart w:id="29" w:name="_Toc15396606"/>
      <w:r>
        <w:rPr>
          <w:rFonts w:hint="eastAsia" w:ascii="黑体" w:hAnsi="黑体" w:eastAsia="黑体"/>
          <w:color w:val="000000"/>
          <w:sz w:val="32"/>
          <w:szCs w:val="32"/>
        </w:rPr>
        <w:t>四、财</w:t>
      </w:r>
      <w:r>
        <w:rPr>
          <w:rStyle w:val="15"/>
          <w:rFonts w:hint="eastAsia" w:ascii="黑体" w:hAnsi="黑体" w:eastAsia="黑体"/>
        </w:rPr>
        <w:t>政拨款收入支出决算总体情况说明</w:t>
      </w:r>
      <w:bookmarkEnd w:id="28"/>
      <w:bookmarkEnd w:id="2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9年财政拨款收、支总计98.61万元。与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8年相比，财政拨款收、支总计各减少1.95万元，下降1.9</w:t>
      </w:r>
      <w:r>
        <w:rPr>
          <w:rFonts w:ascii="仿宋" w:hAnsi="仿宋" w:eastAsia="仿宋"/>
          <w:color w:val="000000"/>
          <w:sz w:val="32"/>
          <w:szCs w:val="32"/>
        </w:rPr>
        <w:t>%</w:t>
      </w:r>
      <w:r>
        <w:rPr>
          <w:rFonts w:hint="eastAsia" w:ascii="仿宋" w:hAnsi="仿宋" w:eastAsia="仿宋"/>
          <w:color w:val="000000"/>
          <w:sz w:val="32"/>
          <w:szCs w:val="32"/>
        </w:rPr>
        <w:t>。主要变动原因是人员减少。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r>
        <w:drawing>
          <wp:inline distT="0" distB="0" distL="0" distR="0">
            <wp:extent cx="5448300" cy="2809875"/>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Fonts w:ascii="黑体" w:hAnsi="黑体" w:eastAsia="黑体"/>
          <w:color w:val="000000"/>
          <w:sz w:val="32"/>
          <w:szCs w:val="32"/>
        </w:rPr>
      </w:pPr>
      <w:bookmarkStart w:id="30" w:name="_Toc15396607"/>
      <w:bookmarkStart w:id="31" w:name="_Toc15377209"/>
    </w:p>
    <w:p>
      <w:pPr>
        <w:spacing w:line="600" w:lineRule="exact"/>
        <w:ind w:firstLine="640" w:firstLineChars="200"/>
        <w:outlineLvl w:val="1"/>
        <w:rPr>
          <w:rStyle w:val="1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5"/>
          <w:rFonts w:hint="eastAsia" w:ascii="黑体" w:hAnsi="黑体" w:eastAsia="黑体"/>
        </w:rPr>
        <w:t>般公共预算财政拨款支出决算情况说明</w:t>
      </w:r>
      <w:bookmarkEnd w:id="30"/>
      <w:bookmarkEnd w:id="31"/>
    </w:p>
    <w:p>
      <w:pPr>
        <w:spacing w:line="600" w:lineRule="exact"/>
        <w:ind w:firstLine="642"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9年一般公共预算财政拨款支出98.61万元，占本年支出合计的100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8年相比，一般公共预算财政拨款减少1.95万元，下降1.9</w:t>
      </w:r>
      <w:r>
        <w:rPr>
          <w:rFonts w:ascii="仿宋" w:hAnsi="仿宋" w:eastAsia="仿宋"/>
          <w:color w:val="000000"/>
          <w:sz w:val="32"/>
          <w:szCs w:val="32"/>
        </w:rPr>
        <w:t>%</w:t>
      </w:r>
      <w:r>
        <w:rPr>
          <w:rFonts w:hint="eastAsia" w:ascii="仿宋" w:hAnsi="仿宋" w:eastAsia="仿宋"/>
          <w:color w:val="000000"/>
          <w:sz w:val="32"/>
          <w:szCs w:val="32"/>
        </w:rPr>
        <w:t>。主要变动原因是人员减少。</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2" w:firstLineChars="20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政拨款支出98.61万元，主要用于以下方面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w:t>
      </w:r>
      <w:r>
        <w:rPr>
          <w:rFonts w:hint="eastAsia" w:ascii="仿宋" w:hAnsi="仿宋" w:eastAsia="仿宋"/>
          <w:b/>
          <w:bCs/>
          <w:color w:val="000000" w:themeColor="text1"/>
          <w:sz w:val="32"/>
          <w:szCs w:val="32"/>
        </w:rPr>
        <w:t>文化旅游体育与传媒（类）支出0万元</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社会保障和就业（208）</w:t>
      </w:r>
      <w:r>
        <w:rPr>
          <w:rFonts w:hint="eastAsia" w:ascii="仿宋" w:hAnsi="仿宋" w:eastAsia="仿宋"/>
          <w:color w:val="000000" w:themeColor="text1"/>
          <w:sz w:val="32"/>
          <w:szCs w:val="32"/>
        </w:rPr>
        <w:t>支出85.85万元，占87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5.17万元，占5.3</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；住房保障支出7.17万元，占7.3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农林水支出</w:t>
      </w:r>
      <w:r>
        <w:rPr>
          <w:rFonts w:hint="eastAsia" w:ascii="仿宋" w:hAnsi="仿宋" w:eastAsia="仿宋"/>
          <w:color w:val="000000" w:themeColor="text1"/>
          <w:sz w:val="32"/>
          <w:szCs w:val="32"/>
        </w:rPr>
        <w:t>0.42万元占0.4%。</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r>
        <w:drawing>
          <wp:inline distT="0" distB="0" distL="0" distR="0">
            <wp:extent cx="5467350" cy="413385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p>
    <w:p>
      <w:pPr>
        <w:spacing w:line="600" w:lineRule="exact"/>
        <w:ind w:firstLine="640" w:firstLineChars="200"/>
        <w:outlineLvl w:val="2"/>
        <w:rPr>
          <w:rFonts w:ascii="仿宋" w:hAnsi="仿宋" w:eastAsia="仿宋"/>
          <w:b/>
          <w:color w:val="FF0000"/>
          <w:sz w:val="32"/>
          <w:szCs w:val="32"/>
        </w:rPr>
      </w:pPr>
      <w:bookmarkStart w:id="34" w:name="_Toc15377213"/>
      <w:bookmarkStart w:id="35" w:name="_Toc15378460"/>
      <w:bookmarkStart w:id="36" w:name="_Toc15377444"/>
      <w:r>
        <w:rPr>
          <w:rFonts w:hint="eastAsia" w:ascii="仿宋" w:hAnsi="仿宋" w:eastAsia="仿宋"/>
          <w:color w:val="000000" w:themeColor="text1"/>
          <w:sz w:val="32"/>
          <w:szCs w:val="32"/>
        </w:rPr>
        <w:t>2019年一般公共预算支出决算数为98.61万元，</w:t>
      </w:r>
      <w:r>
        <w:rPr>
          <w:rStyle w:val="12"/>
          <w:rFonts w:hint="eastAsia" w:ascii="仿宋" w:hAnsi="仿宋" w:eastAsia="仿宋"/>
          <w:b w:val="0"/>
          <w:bCs/>
          <w:color w:val="000000" w:themeColor="text1"/>
          <w:sz w:val="32"/>
          <w:szCs w:val="32"/>
        </w:rPr>
        <w:t>完成</w:t>
      </w:r>
      <w:r>
        <w:rPr>
          <w:rStyle w:val="12"/>
          <w:rFonts w:hint="eastAsia" w:ascii="仿宋" w:hAnsi="仿宋" w:eastAsia="仿宋"/>
          <w:b w:val="0"/>
          <w:bCs/>
          <w:color w:val="000000"/>
          <w:sz w:val="32"/>
          <w:szCs w:val="32"/>
        </w:rPr>
        <w:t>预算100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。其中：</w:t>
      </w:r>
      <w:bookmarkEnd w:id="34"/>
      <w:bookmarkEnd w:id="35"/>
      <w:bookmarkEnd w:id="36"/>
    </w:p>
    <w:p>
      <w:pPr>
        <w:spacing w:line="576" w:lineRule="exact"/>
        <w:ind w:firstLine="640" w:firstLineChars="200"/>
        <w:rPr>
          <w:rStyle w:val="12"/>
          <w:rFonts w:ascii="仿宋" w:hAnsi="仿宋" w:eastAsia="仿宋"/>
          <w:b w:val="0"/>
          <w:bCs/>
          <w:sz w:val="32"/>
          <w:szCs w:val="32"/>
        </w:rPr>
      </w:pPr>
      <w:r>
        <w:rPr>
          <w:rStyle w:val="12"/>
          <w:rFonts w:ascii="仿宋" w:hAnsi="仿宋" w:eastAsia="仿宋" w:cs="仿宋_GB2312"/>
          <w:b w:val="0"/>
          <w:sz w:val="32"/>
          <w:szCs w:val="32"/>
        </w:rPr>
        <w:t>1.</w:t>
      </w:r>
      <w:r>
        <w:rPr>
          <w:rStyle w:val="12"/>
          <w:rFonts w:hint="eastAsia" w:ascii="仿宋" w:hAnsi="仿宋" w:eastAsia="仿宋" w:cs="仿宋_GB2312"/>
          <w:b w:val="0"/>
          <w:sz w:val="32"/>
          <w:szCs w:val="32"/>
        </w:rPr>
        <w:t>社会保障和就业支出（208）行政事业单位离退休（05）</w:t>
      </w:r>
      <w:r>
        <w:rPr>
          <w:rStyle w:val="12"/>
          <w:rFonts w:hint="eastAsia" w:ascii="仿宋" w:hAnsi="仿宋" w:eastAsia="仿宋" w:cs="仿宋_GB2312"/>
          <w:b w:val="0"/>
          <w:color w:val="000000"/>
          <w:sz w:val="32"/>
          <w:szCs w:val="32"/>
        </w:rPr>
        <w:t>机关事业单位养老保险缴费支出（05）</w:t>
      </w:r>
      <w:r>
        <w:rPr>
          <w:rStyle w:val="12"/>
          <w:rFonts w:ascii="仿宋" w:hAnsi="仿宋" w:eastAsia="仿宋" w:cs="仿宋_GB2312"/>
          <w:b w:val="0"/>
          <w:color w:val="000000"/>
          <w:sz w:val="32"/>
          <w:szCs w:val="32"/>
        </w:rPr>
        <w:t>:</w:t>
      </w:r>
      <w:r>
        <w:rPr>
          <w:rStyle w:val="12"/>
          <w:rFonts w:ascii="仿宋" w:hAnsi="仿宋" w:eastAsia="仿宋" w:cs="仿宋_GB2312"/>
          <w:b w:val="0"/>
          <w:sz w:val="32"/>
          <w:szCs w:val="32"/>
        </w:rPr>
        <w:t>201</w:t>
      </w:r>
      <w:r>
        <w:rPr>
          <w:rStyle w:val="12"/>
          <w:rFonts w:hint="eastAsia" w:ascii="仿宋" w:hAnsi="仿宋" w:eastAsia="仿宋" w:cs="仿宋_GB2312"/>
          <w:b w:val="0"/>
          <w:sz w:val="32"/>
          <w:szCs w:val="32"/>
        </w:rPr>
        <w:t>9年决算数为7.75万元，完成预算</w:t>
      </w:r>
      <w:r>
        <w:rPr>
          <w:rStyle w:val="12"/>
          <w:rFonts w:ascii="仿宋" w:hAnsi="仿宋" w:eastAsia="仿宋" w:cs="仿宋_GB2312"/>
          <w:b w:val="0"/>
          <w:sz w:val="32"/>
          <w:szCs w:val="32"/>
        </w:rPr>
        <w:t>100%</w:t>
      </w:r>
      <w:r>
        <w:rPr>
          <w:rStyle w:val="12"/>
          <w:rFonts w:hint="eastAsia" w:ascii="仿宋" w:hAnsi="仿宋" w:eastAsia="仿宋" w:cs="仿宋_GB2312"/>
          <w:b w:val="0"/>
          <w:sz w:val="32"/>
          <w:szCs w:val="32"/>
        </w:rPr>
        <w:t>。</w:t>
      </w:r>
    </w:p>
    <w:p>
      <w:pPr>
        <w:spacing w:line="576" w:lineRule="exact"/>
        <w:ind w:firstLine="640" w:firstLineChars="200"/>
        <w:rPr>
          <w:rStyle w:val="12"/>
          <w:rFonts w:ascii="仿宋" w:hAnsi="仿宋" w:eastAsia="仿宋"/>
          <w:b w:val="0"/>
          <w:bCs/>
          <w:sz w:val="32"/>
          <w:szCs w:val="32"/>
        </w:rPr>
      </w:pPr>
      <w:r>
        <w:rPr>
          <w:rStyle w:val="12"/>
          <w:rFonts w:ascii="仿宋" w:hAnsi="仿宋" w:eastAsia="仿宋" w:cs="仿宋_GB2312"/>
          <w:b w:val="0"/>
          <w:sz w:val="32"/>
          <w:szCs w:val="32"/>
        </w:rPr>
        <w:t>2.</w:t>
      </w:r>
      <w:r>
        <w:rPr>
          <w:rStyle w:val="12"/>
          <w:rFonts w:hint="eastAsia" w:ascii="仿宋" w:hAnsi="仿宋" w:eastAsia="仿宋" w:cs="仿宋_GB2312"/>
          <w:b w:val="0"/>
          <w:sz w:val="32"/>
          <w:szCs w:val="32"/>
        </w:rPr>
        <w:t>社会保障和就业支出（208）行政事业单位离退休（05）机关事业单位职业年金缴费支出（06）：</w:t>
      </w:r>
      <w:r>
        <w:rPr>
          <w:rStyle w:val="12"/>
          <w:rFonts w:ascii="仿宋" w:hAnsi="仿宋" w:eastAsia="仿宋" w:cs="仿宋_GB2312"/>
          <w:b w:val="0"/>
          <w:sz w:val="32"/>
          <w:szCs w:val="32"/>
        </w:rPr>
        <w:t>201</w:t>
      </w:r>
      <w:r>
        <w:rPr>
          <w:rStyle w:val="12"/>
          <w:rFonts w:hint="eastAsia" w:ascii="仿宋" w:hAnsi="仿宋" w:eastAsia="仿宋" w:cs="仿宋_GB2312"/>
          <w:b w:val="0"/>
          <w:sz w:val="32"/>
          <w:szCs w:val="32"/>
        </w:rPr>
        <w:t>9年决算数为</w:t>
      </w:r>
      <w:r>
        <w:rPr>
          <w:rStyle w:val="12"/>
          <w:rFonts w:ascii="仿宋" w:hAnsi="仿宋" w:eastAsia="仿宋" w:cs="仿宋_GB2312"/>
          <w:b w:val="0"/>
          <w:sz w:val="32"/>
          <w:szCs w:val="32"/>
        </w:rPr>
        <w:t>:</w:t>
      </w:r>
      <w:r>
        <w:rPr>
          <w:rStyle w:val="12"/>
          <w:rFonts w:hint="eastAsia" w:ascii="仿宋" w:hAnsi="仿宋" w:eastAsia="仿宋" w:cs="仿宋_GB2312"/>
          <w:b w:val="0"/>
          <w:sz w:val="32"/>
          <w:szCs w:val="32"/>
        </w:rPr>
        <w:t>3.58万元，完成预算</w:t>
      </w:r>
      <w:r>
        <w:rPr>
          <w:rStyle w:val="12"/>
          <w:rFonts w:ascii="仿宋" w:hAnsi="仿宋" w:eastAsia="仿宋" w:cs="仿宋_GB2312"/>
          <w:b w:val="0"/>
          <w:sz w:val="32"/>
          <w:szCs w:val="32"/>
        </w:rPr>
        <w:t>100%</w:t>
      </w:r>
      <w:r>
        <w:rPr>
          <w:rStyle w:val="12"/>
          <w:rFonts w:hint="eastAsia" w:ascii="仿宋" w:hAnsi="仿宋" w:eastAsia="仿宋" w:cs="仿宋_GB2312"/>
          <w:b w:val="0"/>
          <w:sz w:val="32"/>
          <w:szCs w:val="32"/>
        </w:rPr>
        <w:t>。</w:t>
      </w:r>
    </w:p>
    <w:p>
      <w:pPr>
        <w:spacing w:line="576" w:lineRule="exact"/>
        <w:ind w:firstLine="640" w:firstLineChars="200"/>
        <w:rPr>
          <w:rStyle w:val="12"/>
          <w:rFonts w:ascii="仿宋" w:hAnsi="仿宋" w:eastAsia="仿宋"/>
          <w:b w:val="0"/>
          <w:bCs/>
          <w:sz w:val="32"/>
          <w:szCs w:val="32"/>
        </w:rPr>
      </w:pPr>
      <w:r>
        <w:rPr>
          <w:rStyle w:val="12"/>
          <w:rFonts w:ascii="仿宋" w:hAnsi="仿宋" w:eastAsia="仿宋" w:cs="仿宋_GB2312"/>
          <w:b w:val="0"/>
          <w:sz w:val="32"/>
          <w:szCs w:val="32"/>
        </w:rPr>
        <w:t>3.</w:t>
      </w:r>
      <w:r>
        <w:rPr>
          <w:rStyle w:val="12"/>
          <w:rFonts w:hint="eastAsia" w:ascii="仿宋" w:hAnsi="仿宋" w:eastAsia="仿宋" w:cs="仿宋_GB2312"/>
          <w:b w:val="0"/>
          <w:sz w:val="32"/>
          <w:szCs w:val="32"/>
        </w:rPr>
        <w:t>社会保障和就业支出（208）红十字事业（16）其他红十字事业支出（01）：</w:t>
      </w:r>
      <w:r>
        <w:rPr>
          <w:rStyle w:val="12"/>
          <w:rFonts w:ascii="仿宋" w:hAnsi="仿宋" w:eastAsia="仿宋" w:cs="仿宋_GB2312"/>
          <w:b w:val="0"/>
          <w:sz w:val="32"/>
          <w:szCs w:val="32"/>
        </w:rPr>
        <w:t>201</w:t>
      </w:r>
      <w:r>
        <w:rPr>
          <w:rStyle w:val="12"/>
          <w:rFonts w:hint="eastAsia" w:ascii="仿宋" w:hAnsi="仿宋" w:eastAsia="仿宋" w:cs="仿宋_GB2312"/>
          <w:b w:val="0"/>
          <w:sz w:val="32"/>
          <w:szCs w:val="32"/>
        </w:rPr>
        <w:t>9年决算数为74.52万元，完成预算</w:t>
      </w:r>
      <w:r>
        <w:rPr>
          <w:rStyle w:val="12"/>
          <w:rFonts w:ascii="仿宋" w:hAnsi="仿宋" w:eastAsia="仿宋" w:cs="仿宋_GB2312"/>
          <w:b w:val="0"/>
          <w:sz w:val="32"/>
          <w:szCs w:val="32"/>
        </w:rPr>
        <w:t>100%</w:t>
      </w:r>
      <w:r>
        <w:rPr>
          <w:rStyle w:val="12"/>
          <w:rFonts w:hint="eastAsia" w:ascii="仿宋" w:hAnsi="仿宋" w:eastAsia="仿宋" w:cs="仿宋_GB2312"/>
          <w:b w:val="0"/>
          <w:sz w:val="32"/>
          <w:szCs w:val="32"/>
        </w:rPr>
        <w:t>。</w:t>
      </w:r>
    </w:p>
    <w:p>
      <w:pPr>
        <w:spacing w:line="576" w:lineRule="exact"/>
        <w:ind w:firstLine="640" w:firstLineChars="200"/>
        <w:rPr>
          <w:rStyle w:val="12"/>
          <w:rFonts w:ascii="仿宋" w:hAnsi="仿宋" w:eastAsia="仿宋"/>
          <w:b w:val="0"/>
          <w:bCs/>
          <w:sz w:val="32"/>
          <w:szCs w:val="32"/>
        </w:rPr>
      </w:pPr>
      <w:r>
        <w:rPr>
          <w:rStyle w:val="12"/>
          <w:rFonts w:ascii="仿宋" w:hAnsi="仿宋" w:eastAsia="仿宋" w:cs="仿宋_GB2312"/>
          <w:b w:val="0"/>
          <w:color w:val="000000"/>
          <w:sz w:val="32"/>
          <w:szCs w:val="32"/>
        </w:rPr>
        <w:t>4.</w:t>
      </w:r>
      <w:r>
        <w:rPr>
          <w:rStyle w:val="12"/>
          <w:rFonts w:hint="eastAsia" w:ascii="仿宋" w:hAnsi="仿宋" w:eastAsia="仿宋" w:cs="仿宋_GB2312"/>
          <w:b w:val="0"/>
          <w:color w:val="000000"/>
          <w:sz w:val="32"/>
          <w:szCs w:val="32"/>
        </w:rPr>
        <w:t>医疗卫生与计划生育支出（210）行政事业单位医疗（11）</w:t>
      </w:r>
      <w:r>
        <w:rPr>
          <w:rStyle w:val="12"/>
          <w:rFonts w:hint="eastAsia" w:ascii="仿宋" w:hAnsi="仿宋" w:eastAsia="仿宋" w:cs="仿宋_GB2312"/>
          <w:b w:val="0"/>
          <w:sz w:val="32"/>
          <w:szCs w:val="32"/>
        </w:rPr>
        <w:t>行政单位医疗（01）：</w:t>
      </w:r>
      <w:r>
        <w:rPr>
          <w:rStyle w:val="12"/>
          <w:rFonts w:ascii="仿宋" w:hAnsi="仿宋" w:eastAsia="仿宋" w:cs="仿宋_GB2312"/>
          <w:b w:val="0"/>
          <w:sz w:val="32"/>
          <w:szCs w:val="32"/>
        </w:rPr>
        <w:t>201</w:t>
      </w:r>
      <w:r>
        <w:rPr>
          <w:rStyle w:val="12"/>
          <w:rFonts w:hint="eastAsia" w:ascii="仿宋" w:hAnsi="仿宋" w:eastAsia="仿宋" w:cs="仿宋_GB2312"/>
          <w:b w:val="0"/>
          <w:sz w:val="32"/>
          <w:szCs w:val="32"/>
        </w:rPr>
        <w:t>9年决算数为</w:t>
      </w:r>
      <w:r>
        <w:rPr>
          <w:rStyle w:val="12"/>
          <w:rFonts w:ascii="仿宋" w:hAnsi="仿宋" w:eastAsia="仿宋" w:cs="仿宋_GB2312"/>
          <w:b w:val="0"/>
          <w:sz w:val="32"/>
          <w:szCs w:val="32"/>
        </w:rPr>
        <w:t>:5.1</w:t>
      </w:r>
      <w:r>
        <w:rPr>
          <w:rStyle w:val="12"/>
          <w:rFonts w:hint="eastAsia" w:ascii="仿宋" w:hAnsi="仿宋" w:eastAsia="仿宋" w:cs="仿宋_GB2312"/>
          <w:b w:val="0"/>
          <w:sz w:val="32"/>
          <w:szCs w:val="32"/>
        </w:rPr>
        <w:t>7万元，完成预算</w:t>
      </w:r>
      <w:r>
        <w:rPr>
          <w:rStyle w:val="12"/>
          <w:rFonts w:ascii="仿宋" w:hAnsi="仿宋" w:eastAsia="仿宋" w:cs="仿宋_GB2312"/>
          <w:b w:val="0"/>
          <w:sz w:val="32"/>
          <w:szCs w:val="32"/>
        </w:rPr>
        <w:t>100%</w:t>
      </w:r>
      <w:r>
        <w:rPr>
          <w:rStyle w:val="12"/>
          <w:rFonts w:hint="eastAsia" w:ascii="仿宋" w:hAnsi="仿宋" w:eastAsia="仿宋" w:cs="仿宋_GB2312"/>
          <w:b w:val="0"/>
          <w:sz w:val="32"/>
          <w:szCs w:val="32"/>
        </w:rPr>
        <w:t>。</w:t>
      </w:r>
    </w:p>
    <w:p>
      <w:pPr>
        <w:spacing w:line="576" w:lineRule="exact"/>
        <w:ind w:firstLine="640" w:firstLineChars="200"/>
        <w:rPr>
          <w:rStyle w:val="12"/>
          <w:rFonts w:ascii="仿宋" w:hAnsi="仿宋" w:eastAsia="仿宋"/>
          <w:b w:val="0"/>
          <w:bCs/>
          <w:sz w:val="32"/>
          <w:szCs w:val="32"/>
        </w:rPr>
      </w:pPr>
      <w:r>
        <w:rPr>
          <w:rStyle w:val="12"/>
          <w:rFonts w:ascii="仿宋" w:hAnsi="仿宋" w:eastAsia="仿宋" w:cs="仿宋_GB2312"/>
          <w:b w:val="0"/>
          <w:sz w:val="32"/>
          <w:szCs w:val="32"/>
        </w:rPr>
        <w:t>5.</w:t>
      </w:r>
      <w:r>
        <w:rPr>
          <w:rStyle w:val="12"/>
          <w:rFonts w:hint="eastAsia" w:ascii="仿宋" w:hAnsi="仿宋" w:eastAsia="仿宋" w:cs="仿宋_GB2312"/>
          <w:b w:val="0"/>
          <w:sz w:val="32"/>
          <w:szCs w:val="32"/>
        </w:rPr>
        <w:t>住房保障支出（221）住房改革支出（02）住房公积金（01）：</w:t>
      </w:r>
      <w:r>
        <w:rPr>
          <w:rStyle w:val="12"/>
          <w:rFonts w:ascii="仿宋" w:hAnsi="仿宋" w:eastAsia="仿宋" w:cs="仿宋_GB2312"/>
          <w:b w:val="0"/>
          <w:sz w:val="32"/>
          <w:szCs w:val="32"/>
        </w:rPr>
        <w:t>201</w:t>
      </w:r>
      <w:r>
        <w:rPr>
          <w:rStyle w:val="12"/>
          <w:rFonts w:hint="eastAsia" w:ascii="仿宋" w:hAnsi="仿宋" w:eastAsia="仿宋" w:cs="仿宋_GB2312"/>
          <w:b w:val="0"/>
          <w:sz w:val="32"/>
          <w:szCs w:val="32"/>
        </w:rPr>
        <w:t>9年决算数为</w:t>
      </w:r>
      <w:r>
        <w:rPr>
          <w:rStyle w:val="12"/>
          <w:rFonts w:ascii="仿宋" w:hAnsi="仿宋" w:eastAsia="仿宋" w:cs="仿宋_GB2312"/>
          <w:b w:val="0"/>
          <w:sz w:val="32"/>
          <w:szCs w:val="32"/>
        </w:rPr>
        <w:t>:7.1</w:t>
      </w:r>
      <w:r>
        <w:rPr>
          <w:rStyle w:val="12"/>
          <w:rFonts w:hint="eastAsia" w:ascii="仿宋" w:hAnsi="仿宋" w:eastAsia="仿宋" w:cs="仿宋_GB2312"/>
          <w:b w:val="0"/>
          <w:sz w:val="32"/>
          <w:szCs w:val="32"/>
        </w:rPr>
        <w:t>7万元，完成预算</w:t>
      </w:r>
      <w:r>
        <w:rPr>
          <w:rStyle w:val="12"/>
          <w:rFonts w:ascii="仿宋" w:hAnsi="仿宋" w:eastAsia="仿宋" w:cs="仿宋_GB2312"/>
          <w:b w:val="0"/>
          <w:sz w:val="32"/>
          <w:szCs w:val="32"/>
        </w:rPr>
        <w:t>100%</w:t>
      </w:r>
      <w:r>
        <w:rPr>
          <w:rStyle w:val="12"/>
          <w:rFonts w:hint="eastAsia" w:ascii="仿宋" w:hAnsi="仿宋" w:eastAsia="仿宋" w:cs="仿宋_GB2312"/>
          <w:b w:val="0"/>
          <w:sz w:val="32"/>
          <w:szCs w:val="32"/>
        </w:rPr>
        <w:t>。</w:t>
      </w:r>
    </w:p>
    <w:p>
      <w:pPr>
        <w:spacing w:line="576" w:lineRule="exact"/>
        <w:ind w:firstLine="640" w:firstLineChars="200"/>
        <w:rPr>
          <w:rFonts w:ascii="仿宋" w:hAnsi="仿宋" w:eastAsia="仿宋"/>
          <w:b/>
          <w:bCs/>
          <w:sz w:val="32"/>
          <w:szCs w:val="32"/>
        </w:rPr>
      </w:pPr>
      <w:r>
        <w:rPr>
          <w:rStyle w:val="12"/>
          <w:rFonts w:ascii="仿宋" w:hAnsi="仿宋" w:eastAsia="仿宋" w:cs="仿宋_GB2312"/>
          <w:b w:val="0"/>
          <w:sz w:val="32"/>
          <w:szCs w:val="32"/>
        </w:rPr>
        <w:t>6.</w:t>
      </w:r>
      <w:r>
        <w:rPr>
          <w:rStyle w:val="12"/>
          <w:rFonts w:hint="eastAsia" w:ascii="仿宋" w:hAnsi="仿宋" w:eastAsia="仿宋" w:cs="仿宋_GB2312"/>
          <w:b w:val="0"/>
          <w:sz w:val="32"/>
          <w:szCs w:val="32"/>
        </w:rPr>
        <w:t>农林水支出（213）扶贫（05）其他扶贫支出（99）：</w:t>
      </w:r>
      <w:r>
        <w:rPr>
          <w:rStyle w:val="12"/>
          <w:rFonts w:ascii="仿宋" w:hAnsi="仿宋" w:eastAsia="仿宋" w:cs="仿宋_GB2312"/>
          <w:b w:val="0"/>
          <w:sz w:val="32"/>
          <w:szCs w:val="32"/>
        </w:rPr>
        <w:t>201</w:t>
      </w:r>
      <w:r>
        <w:rPr>
          <w:rStyle w:val="12"/>
          <w:rFonts w:hint="eastAsia" w:ascii="仿宋" w:hAnsi="仿宋" w:eastAsia="仿宋" w:cs="仿宋_GB2312"/>
          <w:b w:val="0"/>
          <w:sz w:val="32"/>
          <w:szCs w:val="32"/>
        </w:rPr>
        <w:t>9年决算数为</w:t>
      </w:r>
      <w:r>
        <w:rPr>
          <w:rStyle w:val="12"/>
          <w:rFonts w:ascii="仿宋" w:hAnsi="仿宋" w:eastAsia="仿宋" w:cs="仿宋_GB2312"/>
          <w:b w:val="0"/>
          <w:sz w:val="32"/>
          <w:szCs w:val="32"/>
        </w:rPr>
        <w:t>:</w:t>
      </w:r>
      <w:r>
        <w:rPr>
          <w:rStyle w:val="12"/>
          <w:rFonts w:hint="eastAsia" w:ascii="仿宋" w:hAnsi="仿宋" w:eastAsia="仿宋" w:cs="仿宋_GB2312"/>
          <w:b w:val="0"/>
          <w:sz w:val="32"/>
          <w:szCs w:val="32"/>
        </w:rPr>
        <w:t>0.42万元，完成预算</w:t>
      </w:r>
      <w:r>
        <w:rPr>
          <w:rStyle w:val="12"/>
          <w:rFonts w:ascii="仿宋" w:hAnsi="仿宋" w:eastAsia="仿宋" w:cs="仿宋_GB2312"/>
          <w:b w:val="0"/>
          <w:sz w:val="32"/>
          <w:szCs w:val="32"/>
        </w:rPr>
        <w:t>100%</w:t>
      </w:r>
      <w:r>
        <w:rPr>
          <w:rStyle w:val="12"/>
          <w:rFonts w:hint="eastAsia" w:ascii="仿宋" w:hAnsi="仿宋" w:eastAsia="仿宋" w:cs="仿宋_GB2312"/>
          <w:b w:val="0"/>
          <w:sz w:val="32"/>
          <w:szCs w:val="32"/>
        </w:rPr>
        <w:t>。</w:t>
      </w:r>
    </w:p>
    <w:p>
      <w:pPr>
        <w:tabs>
          <w:tab w:val="right" w:pos="8306"/>
        </w:tabs>
        <w:spacing w:line="600" w:lineRule="exact"/>
        <w:ind w:firstLine="640"/>
        <w:outlineLvl w:val="1"/>
        <w:rPr>
          <w:rStyle w:val="15"/>
        </w:rPr>
      </w:pPr>
      <w:bookmarkStart w:id="37" w:name="_Toc15396608"/>
      <w:bookmarkStart w:id="38"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5"/>
          <w:rFonts w:hint="eastAsia" w:ascii="黑体" w:hAnsi="黑体" w:eastAsia="黑体"/>
        </w:rPr>
        <w:t>般公共预算财政拨款基本支出决算情况说明</w:t>
      </w:r>
      <w:bookmarkEnd w:id="37"/>
      <w:bookmarkEnd w:id="38"/>
      <w:r>
        <w:rPr>
          <w:rStyle w:val="15"/>
          <w:rFonts w:ascii="黑体" w:hAnsi="黑体" w:eastAsia="黑体"/>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9年一般公共预算财政拨款基本支出98.61万元，其中：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89.73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8.88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5"/>
          <w:rFonts w:ascii="黑体" w:hAnsi="黑体" w:eastAsia="黑体"/>
          <w:b w:val="0"/>
        </w:rPr>
      </w:pPr>
      <w:bookmarkStart w:id="39" w:name="_Toc15396609"/>
      <w:bookmarkStart w:id="40" w:name="_Toc15377215"/>
      <w:r>
        <w:rPr>
          <w:rFonts w:hint="eastAsia" w:ascii="黑体" w:eastAsia="黑体"/>
          <w:color w:val="000000"/>
          <w:sz w:val="32"/>
          <w:szCs w:val="32"/>
        </w:rPr>
        <w:t>七、</w:t>
      </w:r>
      <w:r>
        <w:rPr>
          <w:rStyle w:val="15"/>
          <w:rFonts w:hint="eastAsia" w:ascii="黑体" w:hAnsi="黑体" w:eastAsia="黑体"/>
        </w:rPr>
        <w:t>“三公”经费财政拨款支出决算情况说明</w:t>
      </w:r>
      <w:bookmarkEnd w:id="39"/>
      <w:bookmarkEnd w:id="40"/>
    </w:p>
    <w:p>
      <w:pPr>
        <w:spacing w:line="600" w:lineRule="exact"/>
        <w:ind w:firstLine="640"/>
        <w:outlineLvl w:val="2"/>
        <w:rPr>
          <w:rFonts w:ascii="仿宋" w:hAnsi="仿宋" w:eastAsia="仿宋"/>
          <w:b/>
          <w:color w:val="000000"/>
          <w:sz w:val="32"/>
          <w:szCs w:val="32"/>
        </w:rPr>
      </w:pPr>
      <w:bookmarkStart w:id="41" w:name="_Toc15377216"/>
      <w:r>
        <w:rPr>
          <w:rFonts w:hint="eastAsia" w:ascii="仿宋" w:hAnsi="仿宋" w:eastAsia="仿宋"/>
          <w:b/>
          <w:color w:val="000000"/>
          <w:sz w:val="32"/>
          <w:szCs w:val="32"/>
        </w:rPr>
        <w:t>（一）“三公”经费财政拨款支出决算总体情况说明</w:t>
      </w:r>
      <w:bookmarkEnd w:id="41"/>
    </w:p>
    <w:p>
      <w:pPr>
        <w:spacing w:line="600" w:lineRule="exact"/>
        <w:ind w:firstLine="640"/>
        <w:rPr>
          <w:rFonts w:ascii="仿宋_GB2312" w:hAnsi="楷体" w:eastAsia="仿宋_GB2312"/>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9年“三公”经费财政拨款支出决算为2.5万元，完成预算62.5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楷体" w:eastAsia="仿宋_GB2312" w:cs="仿宋_GB2312"/>
          <w:color w:val="000000"/>
          <w:sz w:val="32"/>
          <w:szCs w:val="32"/>
        </w:rPr>
        <w:t>决算数小于预算数的主要原因是厉行节约。</w:t>
      </w:r>
    </w:p>
    <w:p>
      <w:pPr>
        <w:spacing w:line="600" w:lineRule="exact"/>
        <w:ind w:firstLine="640"/>
        <w:outlineLvl w:val="2"/>
        <w:rPr>
          <w:rFonts w:ascii="仿宋" w:hAnsi="仿宋" w:eastAsia="仿宋"/>
          <w:b/>
          <w:color w:val="000000"/>
          <w:sz w:val="32"/>
          <w:szCs w:val="32"/>
        </w:rPr>
      </w:pPr>
      <w:bookmarkStart w:id="42" w:name="_Toc15377217"/>
      <w:r>
        <w:rPr>
          <w:rFonts w:hint="eastAsia" w:ascii="仿宋" w:hAnsi="仿宋" w:eastAsia="仿宋"/>
          <w:b/>
          <w:color w:val="000000"/>
          <w:sz w:val="32"/>
          <w:szCs w:val="32"/>
        </w:rPr>
        <w:t>（二）“三公”经费财政拨款支出决算具体情况说明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9年“三公”经费财政拨款支出决算中，因公出国（境）费支出决算0万元；公务用车购置及运行维护费支出决算2.5万元，占100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2"/>
          <w:rFonts w:hint="eastAsia" w:ascii="仿宋" w:hAnsi="仿宋" w:eastAsia="仿宋"/>
          <w:bCs/>
          <w:color w:val="000000"/>
          <w:sz w:val="32"/>
          <w:szCs w:val="32"/>
        </w:rPr>
        <w:t>。</w:t>
      </w:r>
    </w:p>
    <w:p>
      <w:pPr>
        <w:spacing w:line="600" w:lineRule="exact"/>
        <w:ind w:firstLine="640"/>
        <w:rPr>
          <w:rFonts w:ascii="仿宋" w:hAnsi="仿宋" w:eastAsia="仿宋" w:cs="仿宋_GB2312"/>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2.5万元,</w:t>
      </w:r>
      <w:r>
        <w:rPr>
          <w:rStyle w:val="12"/>
          <w:rFonts w:hint="eastAsia" w:ascii="仿宋" w:hAnsi="仿宋" w:eastAsia="仿宋"/>
          <w:bCs/>
          <w:color w:val="000000"/>
          <w:sz w:val="32"/>
          <w:szCs w:val="32"/>
        </w:rPr>
        <w:t>完成预算62.5</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w:t>
      </w:r>
      <w:r>
        <w:rPr>
          <w:rFonts w:hint="eastAsia" w:ascii="仿宋" w:hAnsi="仿宋" w:eastAsia="仿宋"/>
          <w:color w:val="000000"/>
          <w:sz w:val="32"/>
          <w:szCs w:val="32"/>
        </w:rPr>
        <w:t>8年减少0.78万元，下降24</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cs="仿宋_GB2312"/>
          <w:color w:val="000000"/>
          <w:sz w:val="32"/>
          <w:szCs w:val="32"/>
        </w:rPr>
        <w:t>厉行节约。</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0万元。全年按规定更新购置公务用车0辆，金额0</w:t>
      </w:r>
      <w:r>
        <w:rPr>
          <w:rFonts w:ascii="仿宋" w:hAnsi="仿宋" w:eastAsia="仿宋"/>
          <w:color w:val="000000"/>
          <w:sz w:val="32"/>
          <w:szCs w:val="32"/>
        </w:rPr>
        <w:t>元。</w:t>
      </w: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月底，单位共有公务用车1辆，其中：主要领导干部用车0辆、机要通信用车0辆、应急保障用车1辆、 执法执勤用车0辆。</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2.5万元。</w:t>
      </w:r>
      <w:r>
        <w:rPr>
          <w:rFonts w:hint="eastAsia" w:ascii="仿宋" w:hAnsi="仿宋" w:eastAsia="仿宋" w:cs="仿宋_GB2312"/>
          <w:color w:val="000000"/>
          <w:sz w:val="32"/>
          <w:szCs w:val="32"/>
        </w:rPr>
        <w:t>主要用于出差、下乡等所需的公务用车燃料费、维修费、过路过桥费、保险费等支出。</w:t>
      </w: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0万元</w:t>
      </w:r>
      <w:r>
        <w:rPr>
          <w:rStyle w:val="12"/>
          <w:rFonts w:hint="eastAsia" w:ascii="仿宋" w:hAnsi="仿宋" w:eastAsia="仿宋"/>
          <w:bCs/>
          <w:color w:val="000000"/>
          <w:sz w:val="32"/>
          <w:szCs w:val="32"/>
        </w:rPr>
        <w:t>。</w:t>
      </w:r>
      <w:r>
        <w:rPr>
          <w:rFonts w:hint="eastAsia" w:ascii="仿宋" w:hAnsi="仿宋" w:eastAsia="仿宋"/>
          <w:b/>
          <w:color w:val="000000"/>
          <w:sz w:val="32"/>
          <w:szCs w:val="32"/>
        </w:rPr>
        <w:t>国内公务接待支出</w:t>
      </w:r>
      <w:r>
        <w:rPr>
          <w:rFonts w:hint="eastAsia" w:ascii="仿宋" w:hAnsi="仿宋" w:eastAsia="仿宋"/>
          <w:color w:val="000000"/>
          <w:sz w:val="32"/>
          <w:szCs w:val="32"/>
        </w:rPr>
        <w:t>0万元，国内公务接待0批次，0人次，共计支出0万元。</w:t>
      </w:r>
    </w:p>
    <w:p>
      <w:pPr>
        <w:spacing w:line="600" w:lineRule="exact"/>
        <w:ind w:firstLine="642" w:firstLineChars="200"/>
        <w:rPr>
          <w:rFonts w:ascii="仿宋" w:hAnsi="仿宋" w:eastAsia="仿宋"/>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w:t>
      </w:r>
      <w:r>
        <w:rPr>
          <w:rFonts w:hint="eastAsia" w:ascii="仿宋" w:hAnsi="仿宋" w:eastAsia="仿宋"/>
          <w:color w:val="000000" w:themeColor="text1"/>
          <w:sz w:val="32"/>
          <w:szCs w:val="32"/>
        </w:rPr>
        <w:t>，外事接待0批次，0人，共计支出0万元。</w:t>
      </w:r>
      <w:bookmarkStart w:id="43" w:name="_Toc15377218"/>
      <w:bookmarkStart w:id="44" w:name="_Toc15396610"/>
    </w:p>
    <w:p>
      <w:pPr>
        <w:spacing w:line="600" w:lineRule="exact"/>
        <w:ind w:firstLine="640"/>
        <w:outlineLvl w:val="1"/>
        <w:rPr>
          <w:rStyle w:val="15"/>
          <w:rFonts w:ascii="黑体" w:hAnsi="黑体" w:eastAsia="黑体"/>
        </w:rPr>
      </w:pPr>
      <w:r>
        <w:rPr>
          <w:rFonts w:hint="eastAsia" w:ascii="黑体" w:eastAsia="黑体"/>
          <w:color w:val="000000"/>
          <w:sz w:val="32"/>
          <w:szCs w:val="32"/>
        </w:rPr>
        <w:t>八、</w:t>
      </w:r>
      <w:r>
        <w:rPr>
          <w:rStyle w:val="15"/>
          <w:rFonts w:hint="eastAsia" w:ascii="黑体" w:hAnsi="黑体" w:eastAsia="黑体"/>
        </w:rPr>
        <w:t>政府性基金预算支出决算情况说明</w:t>
      </w:r>
      <w:bookmarkEnd w:id="43"/>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9年政府性基金预算拨款支出0万元。</w:t>
      </w:r>
    </w:p>
    <w:p>
      <w:pPr>
        <w:numPr>
          <w:ilvl w:val="0"/>
          <w:numId w:val="2"/>
        </w:numPr>
        <w:spacing w:line="600" w:lineRule="exact"/>
        <w:ind w:firstLine="640"/>
        <w:outlineLvl w:val="1"/>
        <w:rPr>
          <w:rStyle w:val="15"/>
          <w:rFonts w:ascii="黑体" w:hAnsi="黑体" w:eastAsia="黑体"/>
          <w:b w:val="0"/>
        </w:rPr>
      </w:pPr>
      <w:bookmarkStart w:id="45" w:name="_Toc15377219"/>
      <w:bookmarkStart w:id="46" w:name="_Toc15396611"/>
      <w:r>
        <w:rPr>
          <w:rStyle w:val="15"/>
          <w:rFonts w:hint="eastAsia" w:ascii="黑体" w:hAnsi="黑体" w:eastAsia="黑体"/>
        </w:rPr>
        <w:t>国有资本经营预算支出决算情况说明</w:t>
      </w:r>
      <w:bookmarkEnd w:id="45"/>
      <w:bookmarkEnd w:id="4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9年国有资本经营预算拨款支出0万元。</w:t>
      </w:r>
    </w:p>
    <w:p>
      <w:pPr>
        <w:spacing w:line="600" w:lineRule="exact"/>
        <w:ind w:firstLine="640" w:firstLineChars="200"/>
        <w:outlineLvl w:val="1"/>
        <w:rPr>
          <w:rStyle w:val="15"/>
          <w:rFonts w:ascii="黑体" w:hAnsi="黑体" w:eastAsia="黑体"/>
        </w:rPr>
      </w:pPr>
      <w:bookmarkStart w:id="47" w:name="_Toc15377221"/>
      <w:bookmarkStart w:id="48" w:name="_Toc15396612"/>
      <w:r>
        <w:rPr>
          <w:rFonts w:hint="eastAsia" w:ascii="黑体" w:hAnsi="黑体" w:eastAsia="黑体"/>
          <w:color w:val="000000"/>
          <w:sz w:val="32"/>
          <w:szCs w:val="32"/>
        </w:rPr>
        <w:t>十</w:t>
      </w:r>
      <w:r>
        <w:rPr>
          <w:rStyle w:val="15"/>
          <w:rFonts w:hint="eastAsia" w:ascii="黑体" w:hAnsi="黑体" w:eastAsia="黑体"/>
        </w:rPr>
        <w:t>、其他重要事项的情况说明</w:t>
      </w:r>
      <w:bookmarkEnd w:id="47"/>
      <w:bookmarkEnd w:id="48"/>
    </w:p>
    <w:p>
      <w:pPr>
        <w:spacing w:line="600" w:lineRule="exact"/>
        <w:ind w:firstLine="642" w:firstLineChars="200"/>
        <w:outlineLvl w:val="2"/>
        <w:rPr>
          <w:rFonts w:ascii="仿宋" w:hAnsi="仿宋" w:eastAsia="仿宋"/>
          <w:b/>
          <w:color w:val="000000"/>
          <w:sz w:val="32"/>
          <w:szCs w:val="32"/>
        </w:rPr>
      </w:pPr>
      <w:bookmarkStart w:id="49" w:name="_Toc15377222"/>
      <w:r>
        <w:rPr>
          <w:rFonts w:hint="eastAsia" w:ascii="仿宋" w:hAnsi="仿宋" w:eastAsia="仿宋"/>
          <w:b/>
          <w:color w:val="000000"/>
          <w:sz w:val="32"/>
          <w:szCs w:val="32"/>
        </w:rPr>
        <w:t>（一）机关运行经费支出情况</w:t>
      </w:r>
      <w:bookmarkEnd w:id="49"/>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9年，茂县红十字会机关运行经费支出8.88万元，比</w:t>
      </w:r>
      <w:r>
        <w:rPr>
          <w:rFonts w:ascii="仿宋" w:hAnsi="仿宋" w:eastAsia="仿宋"/>
          <w:color w:val="000000"/>
          <w:sz w:val="32"/>
          <w:szCs w:val="32"/>
        </w:rPr>
        <w:t>201</w:t>
      </w:r>
      <w:r>
        <w:rPr>
          <w:rFonts w:hint="eastAsia" w:ascii="仿宋" w:hAnsi="仿宋" w:eastAsia="仿宋"/>
          <w:color w:val="000000"/>
          <w:sz w:val="32"/>
          <w:szCs w:val="32"/>
        </w:rPr>
        <w:t>8年减少0.18万元，下降2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主要原因是厉行节约。</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0" w:name="_Toc15377223"/>
      <w:r>
        <w:rPr>
          <w:rFonts w:hint="eastAsia" w:ascii="仿宋" w:hAnsi="仿宋" w:eastAsia="仿宋"/>
          <w:b/>
          <w:color w:val="000000"/>
          <w:sz w:val="32"/>
          <w:szCs w:val="32"/>
        </w:rPr>
        <w:t>（二）政府采购支出情况</w:t>
      </w:r>
      <w:bookmarkEnd w:id="50"/>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9年，茂县红十字会政府采购支出总额0万元。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1" w:name="_Toc15377224"/>
      <w:r>
        <w:rPr>
          <w:rFonts w:hint="eastAsia" w:ascii="仿宋" w:hAnsi="仿宋" w:eastAsia="仿宋"/>
          <w:b/>
          <w:color w:val="000000"/>
          <w:sz w:val="32"/>
          <w:szCs w:val="32"/>
        </w:rPr>
        <w:t>（三）国有资产占有使用情况</w:t>
      </w:r>
      <w:bookmarkEnd w:id="51"/>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日，茂县红十字会共有车辆4辆，其中：主要领导干部用车0辆、机要通信用车4辆（其中有3辆待报废）、应急保障用车0辆、其他用车0辆。</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 w:hAnsi="仿宋" w:eastAsia="仿宋"/>
          <w:sz w:val="32"/>
          <w:szCs w:val="32"/>
        </w:rPr>
      </w:pPr>
      <w:r>
        <w:rPr>
          <w:rFonts w:hint="eastAsia" w:ascii="仿宋" w:hAnsi="仿宋" w:eastAsia="仿宋" w:cs="仿宋_GB2312"/>
          <w:sz w:val="32"/>
          <w:szCs w:val="32"/>
        </w:rPr>
        <w:t>我单位根据预算绩效管理要求，根据年初工作规划和重点性工作，积极履职，强化管理，通过加强预算收支管理，不断建立健全内部管理制度，梳理内部管理流程，较好的完成了年度工作目标。</w:t>
      </w:r>
    </w:p>
    <w:p>
      <w:pPr>
        <w:spacing w:line="580" w:lineRule="exact"/>
        <w:ind w:firstLine="640" w:firstLineChars="200"/>
        <w:rPr>
          <w:rFonts w:ascii="仿宋" w:hAnsi="仿宋" w:eastAsia="仿宋"/>
          <w:sz w:val="32"/>
          <w:szCs w:val="32"/>
        </w:rPr>
      </w:pPr>
      <w:r>
        <w:rPr>
          <w:rFonts w:hint="eastAsia" w:ascii="仿宋" w:hAnsi="仿宋" w:eastAsia="仿宋" w:cs="仿宋_GB2312"/>
          <w:sz w:val="32"/>
          <w:szCs w:val="32"/>
        </w:rPr>
        <w:t>本单位按要求对</w:t>
      </w:r>
      <w:r>
        <w:rPr>
          <w:rFonts w:ascii="仿宋" w:hAnsi="仿宋" w:eastAsia="仿宋" w:cs="仿宋_GB2312"/>
          <w:sz w:val="32"/>
          <w:szCs w:val="32"/>
        </w:rPr>
        <w:t>201</w:t>
      </w:r>
      <w:r>
        <w:rPr>
          <w:rFonts w:hint="eastAsia" w:ascii="仿宋" w:hAnsi="仿宋" w:eastAsia="仿宋" w:cs="仿宋_GB2312"/>
          <w:sz w:val="32"/>
          <w:szCs w:val="32"/>
        </w:rPr>
        <w:t>9年部门整体支出绩效评价情况开展自评，本年度我单位整体支出评价自查自评结果良好，全年基本支出保证了部门的正常运行和日常工作的正常开展，绩效目标得到了较好的实现，绩效水平不断提高，绩效指标体系逐渐丰富和完善。</w:t>
      </w:r>
    </w:p>
    <w:p>
      <w:pPr>
        <w:spacing w:line="580" w:lineRule="exact"/>
        <w:ind w:firstLine="642" w:firstLineChars="200"/>
        <w:rPr>
          <w:rFonts w:ascii="仿宋" w:hAnsi="仿宋" w:eastAsia="仿宋" w:cs="仿宋_GB2312"/>
          <w:sz w:val="32"/>
          <w:szCs w:val="32"/>
        </w:rPr>
      </w:pPr>
      <w:r>
        <w:rPr>
          <w:rFonts w:hint="eastAsia" w:ascii="仿宋" w:hAnsi="仿宋" w:eastAsia="仿宋" w:cs="楷体_GB2312"/>
          <w:b/>
          <w:sz w:val="32"/>
          <w:szCs w:val="32"/>
        </w:rPr>
        <w:t>1.项目绩效目标完成情况。</w:t>
      </w:r>
      <w:r>
        <w:rPr>
          <w:rFonts w:hint="eastAsia" w:ascii="仿宋" w:hAnsi="仿宋" w:eastAsia="仿宋" w:cs="楷体_GB2312"/>
          <w:b/>
          <w:sz w:val="32"/>
          <w:szCs w:val="32"/>
        </w:rPr>
        <w:br w:type="textWrapping"/>
      </w:r>
      <w:r>
        <w:rPr>
          <w:rFonts w:hint="eastAsia" w:ascii="仿宋_GB2312" w:hAnsi="仿宋_GB2312" w:eastAsia="仿宋_GB2312" w:cs="仿宋_GB2312"/>
          <w:sz w:val="32"/>
          <w:szCs w:val="32"/>
        </w:rPr>
        <w:t xml:space="preserve">    </w:t>
      </w:r>
      <w:r>
        <w:rPr>
          <w:rFonts w:ascii="楷体" w:hAnsi="楷体" w:eastAsia="楷体" w:cs="楷体"/>
          <w:sz w:val="32"/>
          <w:szCs w:val="32"/>
        </w:rPr>
        <w:t xml:space="preserve"> </w:t>
      </w:r>
      <w:r>
        <w:rPr>
          <w:rFonts w:hint="eastAsia" w:ascii="仿宋" w:hAnsi="仿宋" w:eastAsia="仿宋" w:cs="仿宋_GB2312"/>
          <w:sz w:val="32"/>
          <w:szCs w:val="32"/>
        </w:rPr>
        <w:t>项目绩效内容本单位不涉及。</w:t>
      </w:r>
    </w:p>
    <w:p>
      <w:pPr>
        <w:spacing w:line="580" w:lineRule="exact"/>
        <w:ind w:left="630"/>
        <w:rPr>
          <w:rFonts w:ascii="仿宋" w:hAnsi="仿宋" w:eastAsia="仿宋" w:cs="仿宋_GB2312"/>
          <w:b/>
          <w:sz w:val="32"/>
          <w:szCs w:val="32"/>
        </w:rPr>
      </w:pPr>
      <w:r>
        <w:rPr>
          <w:rFonts w:hint="eastAsia" w:ascii="仿宋" w:hAnsi="仿宋" w:eastAsia="仿宋" w:cs="楷体_GB2312"/>
          <w:b/>
          <w:sz w:val="32"/>
          <w:szCs w:val="32"/>
        </w:rPr>
        <w:t>2.部门绩效评价结果。</w:t>
      </w:r>
    </w:p>
    <w:p>
      <w:pPr>
        <w:spacing w:line="580" w:lineRule="exact"/>
        <w:ind w:firstLine="640" w:firstLineChars="200"/>
        <w:rPr>
          <w:rFonts w:ascii="仿宋" w:hAnsi="仿宋" w:eastAsia="仿宋"/>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201</w:t>
      </w:r>
      <w:r>
        <w:rPr>
          <w:rFonts w:hint="eastAsia" w:ascii="仿宋" w:hAnsi="仿宋" w:eastAsia="仿宋" w:cs="仿宋_GB2312"/>
          <w:sz w:val="32"/>
          <w:szCs w:val="32"/>
        </w:rPr>
        <w:t>9年部门整体支出绩效评价情况开展自评《茂县红十字会</w:t>
      </w:r>
      <w:r>
        <w:rPr>
          <w:rFonts w:ascii="仿宋" w:hAnsi="仿宋" w:eastAsia="仿宋" w:cs="仿宋_GB2312"/>
          <w:sz w:val="32"/>
          <w:szCs w:val="32"/>
        </w:rPr>
        <w:t>201</w:t>
      </w:r>
      <w:r>
        <w:rPr>
          <w:rFonts w:hint="eastAsia" w:ascii="仿宋" w:hAnsi="仿宋" w:eastAsia="仿宋" w:cs="仿宋_GB2312"/>
          <w:sz w:val="32"/>
          <w:szCs w:val="32"/>
        </w:rPr>
        <w:t>9年部门整体支出绩效评价报告》见附件。（附件1）。</w:t>
      </w:r>
    </w:p>
    <w:p>
      <w:pPr>
        <w:widowControl/>
        <w:jc w:val="left"/>
        <w:rPr>
          <w:rFonts w:ascii="仿宋" w:hAnsi="仿宋" w:eastAsia="仿宋"/>
          <w:b/>
          <w:color w:val="000000"/>
          <w:sz w:val="32"/>
          <w:szCs w:val="32"/>
        </w:rPr>
      </w:pPr>
      <w:r>
        <w:rPr>
          <w:rFonts w:ascii="仿宋" w:hAnsi="仿宋" w:eastAsia="仿宋"/>
          <w:b/>
          <w:color w:val="000000"/>
          <w:sz w:val="32"/>
          <w:szCs w:val="32"/>
        </w:rPr>
        <w:br w:type="page"/>
      </w:r>
    </w:p>
    <w:p>
      <w:pPr>
        <w:numPr>
          <w:ilvl w:val="0"/>
          <w:numId w:val="3"/>
        </w:numPr>
        <w:spacing w:line="600" w:lineRule="exact"/>
        <w:ind w:firstLine="660" w:firstLineChars="150"/>
        <w:jc w:val="center"/>
        <w:outlineLvl w:val="0"/>
        <w:rPr>
          <w:rStyle w:val="14"/>
          <w:rFonts w:ascii="黑体" w:hAnsi="黑体" w:eastAsia="黑体"/>
          <w:b w:val="0"/>
        </w:rPr>
      </w:pPr>
      <w:bookmarkStart w:id="52" w:name="_Toc15396613"/>
      <w:bookmarkStart w:id="53" w:name="_Toc15377225"/>
      <w:r>
        <w:rPr>
          <w:rFonts w:hint="eastAsia" w:ascii="黑体" w:hAnsi="黑体" w:eastAsia="黑体"/>
          <w:color w:val="000000"/>
          <w:sz w:val="44"/>
          <w:szCs w:val="44"/>
        </w:rPr>
        <w:t>名</w:t>
      </w:r>
      <w:r>
        <w:rPr>
          <w:rStyle w:val="14"/>
          <w:rFonts w:hint="eastAsia" w:ascii="黑体" w:hAnsi="黑体" w:eastAsia="黑体"/>
        </w:rPr>
        <w:t>词解释</w:t>
      </w:r>
      <w:bookmarkEnd w:id="52"/>
      <w:bookmarkEnd w:id="53"/>
    </w:p>
    <w:p>
      <w:pPr>
        <w:spacing w:line="600" w:lineRule="exact"/>
        <w:jc w:val="left"/>
        <w:rPr>
          <w:rFonts w:ascii="宋体"/>
          <w:b/>
          <w:color w:val="000000"/>
          <w:sz w:val="44"/>
          <w:szCs w:val="44"/>
        </w:rPr>
      </w:pPr>
    </w:p>
    <w:p>
      <w:pPr>
        <w:pStyle w:val="20"/>
        <w:spacing w:line="560" w:lineRule="exact"/>
        <w:ind w:firstLine="640" w:firstLineChars="200"/>
        <w:rPr>
          <w:rFonts w:hAnsi="仿宋"/>
          <w:sz w:val="32"/>
          <w:szCs w:val="32"/>
        </w:rPr>
      </w:pPr>
      <w:r>
        <w:rPr>
          <w:rFonts w:hAnsi="仿宋"/>
          <w:sz w:val="32"/>
          <w:szCs w:val="32"/>
        </w:rPr>
        <w:t>1.</w:t>
      </w:r>
      <w:r>
        <w:rPr>
          <w:rFonts w:hint="eastAsia" w:hAnsi="仿宋"/>
          <w:sz w:val="32"/>
          <w:szCs w:val="32"/>
        </w:rPr>
        <w:t>财政拨款收入：指单位从同级财政部门取得的财政预算资金。</w:t>
      </w:r>
    </w:p>
    <w:p>
      <w:pPr>
        <w:pStyle w:val="20"/>
        <w:spacing w:line="560" w:lineRule="exact"/>
        <w:ind w:firstLine="640" w:firstLineChars="200"/>
        <w:rPr>
          <w:rFonts w:hAnsi="仿宋"/>
          <w:sz w:val="32"/>
          <w:szCs w:val="32"/>
        </w:rPr>
      </w:pPr>
      <w:r>
        <w:rPr>
          <w:rFonts w:hAnsi="仿宋"/>
          <w:sz w:val="32"/>
          <w:szCs w:val="32"/>
        </w:rPr>
        <w:t>2.</w:t>
      </w:r>
      <w:r>
        <w:rPr>
          <w:rFonts w:hint="eastAsia" w:hAnsi="仿宋"/>
          <w:sz w:val="32"/>
          <w:szCs w:val="32"/>
        </w:rPr>
        <w:t>事业收入：指事业单位开展专业业务活动及辅助活动取得的收入。</w:t>
      </w:r>
    </w:p>
    <w:p>
      <w:pPr>
        <w:pStyle w:val="20"/>
        <w:spacing w:line="560" w:lineRule="exact"/>
        <w:ind w:firstLine="640" w:firstLineChars="200"/>
        <w:rPr>
          <w:rFonts w:hAnsi="仿宋"/>
          <w:sz w:val="32"/>
          <w:szCs w:val="32"/>
        </w:rPr>
      </w:pPr>
      <w:r>
        <w:rPr>
          <w:rFonts w:hAnsi="仿宋"/>
          <w:sz w:val="32"/>
          <w:szCs w:val="32"/>
        </w:rPr>
        <w:t>3.</w:t>
      </w:r>
      <w:r>
        <w:rPr>
          <w:rFonts w:hint="eastAsia" w:hAnsi="仿宋"/>
          <w:sz w:val="32"/>
          <w:szCs w:val="32"/>
        </w:rPr>
        <w:t>经营收入：指事业单位在专业业务活动及其辅助活动之外开展非独立核算经营活动取得的收入。</w:t>
      </w:r>
    </w:p>
    <w:p>
      <w:pPr>
        <w:pStyle w:val="20"/>
        <w:spacing w:line="560" w:lineRule="exact"/>
        <w:ind w:firstLine="640" w:firstLineChars="200"/>
        <w:rPr>
          <w:rFonts w:hAnsi="仿宋"/>
          <w:sz w:val="32"/>
          <w:szCs w:val="32"/>
        </w:rPr>
      </w:pPr>
      <w:r>
        <w:rPr>
          <w:rFonts w:hAnsi="仿宋"/>
          <w:sz w:val="32"/>
          <w:szCs w:val="32"/>
        </w:rPr>
        <w:t>4.</w:t>
      </w:r>
      <w:r>
        <w:rPr>
          <w:rFonts w:hint="eastAsia" w:hAnsi="仿宋"/>
          <w:sz w:val="32"/>
          <w:szCs w:val="32"/>
        </w:rPr>
        <w:t>其他收入：指单位取得的除上述收入以外的各项收入。</w:t>
      </w:r>
    </w:p>
    <w:p>
      <w:pPr>
        <w:pStyle w:val="20"/>
        <w:spacing w:line="560" w:lineRule="exact"/>
        <w:ind w:firstLine="640" w:firstLineChars="200"/>
        <w:rPr>
          <w:rFonts w:hAnsi="仿宋"/>
          <w:sz w:val="32"/>
          <w:szCs w:val="32"/>
        </w:rPr>
      </w:pPr>
      <w:r>
        <w:rPr>
          <w:rFonts w:hAnsi="仿宋"/>
          <w:sz w:val="32"/>
          <w:szCs w:val="32"/>
        </w:rPr>
        <w:t>5.</w:t>
      </w:r>
      <w:r>
        <w:rPr>
          <w:rFonts w:hint="eastAsia" w:hAnsi="仿宋"/>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Ansi="仿宋"/>
          <w:sz w:val="32"/>
          <w:szCs w:val="32"/>
        </w:rPr>
        <w:t xml:space="preserve"> </w:t>
      </w:r>
    </w:p>
    <w:p>
      <w:pPr>
        <w:pStyle w:val="20"/>
        <w:spacing w:line="560" w:lineRule="exact"/>
        <w:ind w:firstLine="640" w:firstLineChars="200"/>
        <w:rPr>
          <w:rFonts w:hAnsi="仿宋"/>
          <w:sz w:val="32"/>
          <w:szCs w:val="32"/>
        </w:rPr>
      </w:pPr>
      <w:r>
        <w:rPr>
          <w:rFonts w:hAnsi="仿宋"/>
          <w:sz w:val="32"/>
          <w:szCs w:val="32"/>
        </w:rPr>
        <w:t>6.</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20"/>
        <w:spacing w:line="560" w:lineRule="exact"/>
        <w:ind w:firstLine="640" w:firstLineChars="200"/>
        <w:rPr>
          <w:rFonts w:hAnsi="仿宋"/>
          <w:sz w:val="32"/>
          <w:szCs w:val="32"/>
        </w:rPr>
      </w:pPr>
      <w:r>
        <w:rPr>
          <w:rFonts w:hAnsi="仿宋"/>
          <w:sz w:val="32"/>
          <w:szCs w:val="32"/>
        </w:rPr>
        <w:t>7.</w:t>
      </w:r>
      <w:r>
        <w:rPr>
          <w:rFonts w:hint="eastAsia" w:hAnsi="仿宋"/>
          <w:sz w:val="32"/>
          <w:szCs w:val="32"/>
        </w:rPr>
        <w:t>结余分配：指事业单位按照事业单位会计制度的规定从非财政补助结余中分配的事业基金和职工福利基金等。</w:t>
      </w:r>
    </w:p>
    <w:p>
      <w:pPr>
        <w:pStyle w:val="20"/>
        <w:spacing w:line="560" w:lineRule="exact"/>
        <w:ind w:firstLine="640" w:firstLineChars="200"/>
        <w:rPr>
          <w:rFonts w:hAnsi="仿宋"/>
          <w:sz w:val="32"/>
          <w:szCs w:val="32"/>
        </w:rPr>
      </w:pPr>
      <w:r>
        <w:rPr>
          <w:rFonts w:hAnsi="仿宋"/>
          <w:sz w:val="32"/>
          <w:szCs w:val="32"/>
        </w:rPr>
        <w:t>8</w:t>
      </w:r>
      <w:r>
        <w:rPr>
          <w:rFonts w:hint="eastAsia" w:hAnsi="仿宋"/>
          <w:sz w:val="32"/>
          <w:szCs w:val="32"/>
        </w:rPr>
        <w:t>、年末结转和结余：指单位按有关规定结转到下年或以后年度继续使用的资金。</w:t>
      </w:r>
    </w:p>
    <w:p>
      <w:pPr>
        <w:spacing w:line="576" w:lineRule="exact"/>
        <w:ind w:firstLine="640" w:firstLineChars="200"/>
        <w:rPr>
          <w:rStyle w:val="12"/>
          <w:rFonts w:ascii="仿宋" w:hAnsi="仿宋" w:eastAsia="仿宋"/>
          <w:b w:val="0"/>
          <w:bCs/>
          <w:color w:val="000000"/>
          <w:sz w:val="32"/>
          <w:szCs w:val="32"/>
        </w:rPr>
      </w:pPr>
      <w:r>
        <w:rPr>
          <w:rFonts w:ascii="仿宋" w:hAnsi="仿宋" w:eastAsia="仿宋" w:cs="仿宋_GB2312"/>
          <w:color w:val="000000"/>
          <w:sz w:val="32"/>
          <w:szCs w:val="32"/>
        </w:rPr>
        <w:t>9.</w:t>
      </w:r>
      <w:r>
        <w:rPr>
          <w:rStyle w:val="12"/>
          <w:rFonts w:hint="eastAsia" w:ascii="仿宋" w:hAnsi="仿宋" w:eastAsia="仿宋" w:cs="仿宋_GB2312"/>
          <w:b w:val="0"/>
          <w:sz w:val="32"/>
          <w:szCs w:val="32"/>
        </w:rPr>
        <w:t>社会保障和就业支出（类）行政事业单位离退休（款）</w:t>
      </w:r>
      <w:r>
        <w:rPr>
          <w:rStyle w:val="12"/>
          <w:rFonts w:hint="eastAsia" w:ascii="仿宋" w:hAnsi="仿宋" w:eastAsia="仿宋" w:cs="仿宋_GB2312"/>
          <w:b w:val="0"/>
          <w:color w:val="000000"/>
          <w:sz w:val="32"/>
          <w:szCs w:val="32"/>
        </w:rPr>
        <w:t>机关事业单位养老保险缴费支出（项）</w:t>
      </w:r>
      <w:r>
        <w:rPr>
          <w:rStyle w:val="12"/>
          <w:rFonts w:ascii="仿宋" w:hAnsi="仿宋" w:eastAsia="仿宋" w:cs="仿宋_GB2312"/>
          <w:b w:val="0"/>
          <w:color w:val="000000"/>
          <w:sz w:val="32"/>
          <w:szCs w:val="32"/>
        </w:rPr>
        <w:t>:</w:t>
      </w:r>
      <w:r>
        <w:rPr>
          <w:rStyle w:val="12"/>
          <w:rFonts w:hint="eastAsia" w:ascii="仿宋" w:hAnsi="仿宋" w:eastAsia="仿宋" w:cs="仿宋_GB2312"/>
          <w:b w:val="0"/>
          <w:color w:val="000000"/>
          <w:sz w:val="32"/>
          <w:szCs w:val="32"/>
        </w:rPr>
        <w:t>指机关事业单位实施养老保险制度由单位缴纳的基本养老保险缴费支出。</w:t>
      </w:r>
    </w:p>
    <w:p>
      <w:pPr>
        <w:spacing w:line="576" w:lineRule="exact"/>
        <w:ind w:firstLine="640" w:firstLineChars="200"/>
        <w:rPr>
          <w:rStyle w:val="12"/>
          <w:rFonts w:ascii="仿宋" w:hAnsi="仿宋" w:eastAsia="仿宋"/>
          <w:b w:val="0"/>
          <w:bCs/>
          <w:sz w:val="32"/>
          <w:szCs w:val="32"/>
        </w:rPr>
      </w:pPr>
      <w:r>
        <w:rPr>
          <w:rStyle w:val="12"/>
          <w:rFonts w:ascii="仿宋" w:hAnsi="仿宋" w:eastAsia="仿宋" w:cs="仿宋_GB2312"/>
          <w:b w:val="0"/>
          <w:sz w:val="32"/>
          <w:szCs w:val="32"/>
        </w:rPr>
        <w:t xml:space="preserve"> 10.</w:t>
      </w:r>
      <w:r>
        <w:rPr>
          <w:rStyle w:val="12"/>
          <w:rFonts w:hint="eastAsia" w:ascii="仿宋" w:hAnsi="仿宋" w:eastAsia="仿宋" w:cs="仿宋_GB2312"/>
          <w:b w:val="0"/>
          <w:sz w:val="32"/>
          <w:szCs w:val="32"/>
        </w:rPr>
        <w:t>社会保障和就业支出（类）行政事业单位离退休（款）机关事业单位职业年金缴费支出（项）：指机关事业单位</w:t>
      </w:r>
      <w:r>
        <w:rPr>
          <w:rStyle w:val="12"/>
          <w:rFonts w:hint="eastAsia" w:ascii="仿宋" w:hAnsi="仿宋" w:eastAsia="仿宋" w:cs="仿宋_GB2312"/>
          <w:b w:val="0"/>
          <w:color w:val="000000"/>
          <w:sz w:val="32"/>
          <w:szCs w:val="32"/>
        </w:rPr>
        <w:t>实施养老保险制度由单位缴纳的</w:t>
      </w:r>
      <w:r>
        <w:rPr>
          <w:rStyle w:val="12"/>
          <w:rFonts w:hint="eastAsia" w:ascii="仿宋" w:hAnsi="仿宋" w:eastAsia="仿宋" w:cs="仿宋_GB2312"/>
          <w:b w:val="0"/>
          <w:sz w:val="32"/>
          <w:szCs w:val="32"/>
        </w:rPr>
        <w:t>职业年金缴费支出。</w:t>
      </w:r>
    </w:p>
    <w:p>
      <w:pPr>
        <w:spacing w:line="576" w:lineRule="exact"/>
        <w:ind w:firstLine="800" w:firstLineChars="250"/>
        <w:rPr>
          <w:rStyle w:val="12"/>
          <w:rFonts w:ascii="仿宋" w:hAnsi="仿宋" w:eastAsia="仿宋"/>
          <w:b w:val="0"/>
          <w:bCs/>
          <w:sz w:val="32"/>
          <w:szCs w:val="32"/>
        </w:rPr>
      </w:pPr>
      <w:r>
        <w:rPr>
          <w:rStyle w:val="12"/>
          <w:rFonts w:ascii="仿宋" w:hAnsi="仿宋" w:eastAsia="仿宋" w:cs="仿宋_GB2312"/>
          <w:b w:val="0"/>
          <w:sz w:val="32"/>
          <w:szCs w:val="32"/>
        </w:rPr>
        <w:t>11.</w:t>
      </w:r>
      <w:r>
        <w:rPr>
          <w:rStyle w:val="12"/>
          <w:rFonts w:hint="eastAsia" w:ascii="仿宋" w:hAnsi="仿宋" w:eastAsia="仿宋" w:cs="仿宋_GB2312"/>
          <w:b w:val="0"/>
          <w:sz w:val="32"/>
          <w:szCs w:val="32"/>
        </w:rPr>
        <w:t>社会保障和就业支出（类）红十字事业（款）其他红十字事业支出（项）：指政府支持红十字会开展红十字社会公益活动等方面的支出。</w:t>
      </w:r>
    </w:p>
    <w:p>
      <w:pPr>
        <w:spacing w:line="576" w:lineRule="exact"/>
        <w:ind w:firstLine="800" w:firstLineChars="250"/>
        <w:rPr>
          <w:rStyle w:val="12"/>
          <w:rFonts w:ascii="仿宋" w:hAnsi="仿宋" w:eastAsia="仿宋"/>
          <w:b w:val="0"/>
          <w:bCs/>
          <w:sz w:val="32"/>
          <w:szCs w:val="32"/>
        </w:rPr>
      </w:pPr>
      <w:r>
        <w:rPr>
          <w:rStyle w:val="12"/>
          <w:rFonts w:ascii="仿宋" w:hAnsi="仿宋" w:eastAsia="仿宋" w:cs="仿宋_GB2312"/>
          <w:b w:val="0"/>
          <w:color w:val="000000"/>
          <w:sz w:val="32"/>
          <w:szCs w:val="32"/>
        </w:rPr>
        <w:t>12.</w:t>
      </w:r>
      <w:r>
        <w:rPr>
          <w:rStyle w:val="12"/>
          <w:rFonts w:hint="eastAsia" w:ascii="仿宋" w:hAnsi="仿宋" w:eastAsia="仿宋" w:cs="仿宋_GB2312"/>
          <w:b w:val="0"/>
          <w:color w:val="000000"/>
          <w:sz w:val="32"/>
          <w:szCs w:val="32"/>
        </w:rPr>
        <w:t>医疗卫生与计划生育支出（类）行政事业单位医疗（款）</w:t>
      </w:r>
      <w:r>
        <w:rPr>
          <w:rStyle w:val="12"/>
          <w:rFonts w:hint="eastAsia" w:ascii="仿宋" w:hAnsi="仿宋" w:eastAsia="仿宋" w:cs="仿宋_GB2312"/>
          <w:b w:val="0"/>
          <w:sz w:val="32"/>
          <w:szCs w:val="32"/>
        </w:rPr>
        <w:t>行政单位医疗（项）：指反映财政部门集中安排的行政事业单位基表养老保险缴费经费，未参加医疗保险的行政事业单位的公费医疗经费，按国家规定享受离休人员、红军老战士待遇人员的医疗经费。</w:t>
      </w:r>
    </w:p>
    <w:p>
      <w:pPr>
        <w:spacing w:line="576" w:lineRule="exact"/>
        <w:ind w:firstLine="800" w:firstLineChars="250"/>
        <w:rPr>
          <w:rStyle w:val="12"/>
          <w:rFonts w:ascii="仿宋" w:hAnsi="仿宋" w:eastAsia="仿宋"/>
          <w:b w:val="0"/>
          <w:bCs/>
          <w:sz w:val="32"/>
          <w:szCs w:val="32"/>
        </w:rPr>
      </w:pPr>
      <w:r>
        <w:rPr>
          <w:rStyle w:val="12"/>
          <w:rFonts w:ascii="仿宋" w:hAnsi="仿宋" w:eastAsia="仿宋" w:cs="仿宋_GB2312"/>
          <w:b w:val="0"/>
          <w:sz w:val="32"/>
          <w:szCs w:val="32"/>
        </w:rPr>
        <w:t>13.</w:t>
      </w:r>
      <w:r>
        <w:rPr>
          <w:rStyle w:val="12"/>
          <w:rFonts w:hint="eastAsia" w:ascii="仿宋" w:hAnsi="仿宋" w:eastAsia="仿宋" w:cs="仿宋_GB2312"/>
          <w:b w:val="0"/>
          <w:sz w:val="32"/>
          <w:szCs w:val="32"/>
        </w:rPr>
        <w:t>住房保障支出（类）住房改革支出（款）住房公积金（项）：指反映行政事业单位按</w:t>
      </w:r>
      <w:r>
        <w:rPr>
          <w:rStyle w:val="12"/>
          <w:rFonts w:hint="default" w:ascii="仿宋" w:hAnsi="仿宋" w:eastAsia="仿宋" w:cs="仿宋_GB2312"/>
          <w:b w:val="0"/>
          <w:sz w:val="32"/>
          <w:szCs w:val="32"/>
        </w:rPr>
        <w:t>人力资源和社会保障部</w:t>
      </w:r>
      <w:r>
        <w:rPr>
          <w:rStyle w:val="12"/>
          <w:rFonts w:hint="eastAsia" w:ascii="仿宋" w:hAnsi="仿宋" w:eastAsia="仿宋" w:cs="仿宋_GB2312"/>
          <w:b w:val="0"/>
          <w:sz w:val="32"/>
          <w:szCs w:val="32"/>
        </w:rPr>
        <w:t>、财政部规定的基本工资和津贴补贴以及规定比例为职工缴纳的住房公积金。</w:t>
      </w:r>
    </w:p>
    <w:p>
      <w:pPr>
        <w:spacing w:line="576" w:lineRule="exact"/>
        <w:ind w:firstLine="800" w:firstLineChars="250"/>
        <w:rPr>
          <w:rStyle w:val="12"/>
          <w:rFonts w:ascii="仿宋" w:hAnsi="仿宋" w:eastAsia="仿宋"/>
          <w:b w:val="0"/>
          <w:bCs/>
          <w:sz w:val="32"/>
          <w:szCs w:val="32"/>
        </w:rPr>
      </w:pPr>
      <w:r>
        <w:rPr>
          <w:rStyle w:val="12"/>
          <w:rFonts w:ascii="仿宋" w:hAnsi="仿宋" w:eastAsia="仿宋" w:cs="仿宋_GB2312"/>
          <w:b w:val="0"/>
          <w:sz w:val="32"/>
          <w:szCs w:val="32"/>
        </w:rPr>
        <w:t>14.</w:t>
      </w:r>
      <w:r>
        <w:rPr>
          <w:rStyle w:val="12"/>
          <w:rFonts w:hint="eastAsia" w:ascii="仿宋" w:hAnsi="仿宋" w:eastAsia="仿宋" w:cs="仿宋_GB2312"/>
          <w:b w:val="0"/>
          <w:sz w:val="32"/>
          <w:szCs w:val="32"/>
        </w:rPr>
        <w:t>住房保障支出（类）住房改革支出（款）购房补贴（项）：指按房改政策规定，行政事业单位向符合条件职工（含离退休人员）、军队（含武警）向转役复原离退休人员发放的用于购买住房的补贴。</w:t>
      </w:r>
    </w:p>
    <w:p>
      <w:pPr>
        <w:ind w:firstLine="800" w:firstLineChars="250"/>
        <w:rPr>
          <w:rFonts w:ascii="仿宋" w:hAnsi="仿宋" w:eastAsia="仿宋"/>
          <w:color w:val="000000"/>
          <w:sz w:val="32"/>
          <w:szCs w:val="32"/>
        </w:rPr>
      </w:pPr>
      <w:r>
        <w:rPr>
          <w:rFonts w:ascii="仿宋" w:hAnsi="仿宋" w:eastAsia="仿宋" w:cs="仿宋_GB2312"/>
          <w:color w:val="000000"/>
          <w:sz w:val="32"/>
          <w:szCs w:val="32"/>
        </w:rPr>
        <w:t>15.</w:t>
      </w:r>
      <w:r>
        <w:rPr>
          <w:rFonts w:hint="eastAsia" w:ascii="仿宋" w:hAnsi="仿宋" w:eastAsia="仿宋" w:cs="仿宋_GB2312"/>
          <w:color w:val="000000"/>
          <w:sz w:val="32"/>
          <w:szCs w:val="32"/>
        </w:rPr>
        <w:t>基本支出：指为保障机构正常运转、完成日常工作任务而发生的人员支出和公用支出。</w:t>
      </w:r>
    </w:p>
    <w:p>
      <w:pPr>
        <w:ind w:firstLine="800" w:firstLineChars="250"/>
        <w:rPr>
          <w:rFonts w:ascii="仿宋" w:hAnsi="仿宋" w:eastAsia="仿宋" w:cs="仿宋_GB2312"/>
          <w:color w:val="000000"/>
          <w:sz w:val="32"/>
          <w:szCs w:val="32"/>
        </w:rPr>
      </w:pPr>
      <w:r>
        <w:rPr>
          <w:rFonts w:ascii="仿宋" w:hAnsi="仿宋" w:eastAsia="仿宋" w:cs="仿宋_GB2312"/>
          <w:color w:val="000000"/>
          <w:sz w:val="32"/>
          <w:szCs w:val="32"/>
        </w:rPr>
        <w:t>16.</w:t>
      </w:r>
      <w:r>
        <w:rPr>
          <w:rFonts w:hint="eastAsia" w:ascii="仿宋" w:hAnsi="仿宋" w:eastAsia="仿宋" w:cs="仿宋_GB2312"/>
          <w:color w:val="000000"/>
          <w:sz w:val="32"/>
          <w:szCs w:val="32"/>
        </w:rPr>
        <w:t>项目支出：指在基本支出之外为完成特定行政任务和事业发展目标所发生的支出。</w:t>
      </w:r>
      <w:r>
        <w:rPr>
          <w:rFonts w:ascii="仿宋" w:hAnsi="仿宋" w:eastAsia="仿宋" w:cs="仿宋_GB2312"/>
          <w:color w:val="000000"/>
          <w:sz w:val="32"/>
          <w:szCs w:val="32"/>
        </w:rPr>
        <w:t xml:space="preserve"> </w:t>
      </w:r>
    </w:p>
    <w:p>
      <w:pPr>
        <w:ind w:firstLine="800" w:firstLineChars="250"/>
        <w:rPr>
          <w:rFonts w:ascii="仿宋" w:hAnsi="仿宋" w:eastAsia="仿宋"/>
          <w:color w:val="000000"/>
          <w:sz w:val="32"/>
          <w:szCs w:val="32"/>
        </w:rPr>
      </w:pPr>
      <w:r>
        <w:rPr>
          <w:rFonts w:ascii="仿宋" w:hAnsi="仿宋" w:eastAsia="仿宋" w:cs="仿宋_GB2312"/>
          <w:color w:val="000000"/>
          <w:sz w:val="32"/>
          <w:szCs w:val="32"/>
        </w:rPr>
        <w:t>17.</w:t>
      </w:r>
      <w:r>
        <w:rPr>
          <w:rFonts w:hint="eastAsia" w:ascii="仿宋" w:hAnsi="仿宋" w:eastAsia="仿宋" w:cs="仿宋_GB2312"/>
          <w:color w:val="000000"/>
          <w:sz w:val="32"/>
          <w:szCs w:val="32"/>
        </w:rPr>
        <w:t>经营支出：指事业单位在专业业务活动及其辅助活动之外开展非独立核算经营活动发生的支出。</w:t>
      </w:r>
    </w:p>
    <w:p>
      <w:pPr>
        <w:pStyle w:val="20"/>
        <w:spacing w:line="560" w:lineRule="exact"/>
        <w:ind w:firstLine="800" w:firstLineChars="250"/>
        <w:rPr>
          <w:rFonts w:hAnsi="仿宋" w:cs="Times New Roman"/>
          <w:sz w:val="32"/>
          <w:szCs w:val="32"/>
        </w:rPr>
      </w:pPr>
      <w:r>
        <w:rPr>
          <w:rFonts w:hAnsi="仿宋" w:cs="仿宋_GB2312"/>
          <w:sz w:val="32"/>
          <w:szCs w:val="32"/>
        </w:rPr>
        <w:t>18.</w:t>
      </w:r>
      <w:r>
        <w:rPr>
          <w:rFonts w:hint="eastAsia" w:hAnsi="仿宋"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800" w:firstLineChars="250"/>
        <w:rPr>
          <w:rFonts w:hAnsi="仿宋" w:cs="Times New Roman"/>
          <w:sz w:val="32"/>
          <w:szCs w:val="32"/>
        </w:rPr>
      </w:pPr>
      <w:r>
        <w:rPr>
          <w:rFonts w:hAnsi="仿宋" w:cs="仿宋_GB2312"/>
          <w:sz w:val="32"/>
          <w:szCs w:val="32"/>
        </w:rPr>
        <w:t>19.</w:t>
      </w:r>
      <w:r>
        <w:rPr>
          <w:rFonts w:hint="eastAsia" w:hAnsi="仿宋"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4"/>
          <w:rFonts w:ascii="黑体" w:hAnsi="黑体" w:eastAsia="黑体"/>
          <w:b w:val="0"/>
        </w:rPr>
      </w:pPr>
      <w:bookmarkStart w:id="54" w:name="_Toc15377226"/>
      <w:r>
        <w:rPr>
          <w:rFonts w:ascii="宋体"/>
          <w:b/>
          <w:color w:val="000000"/>
          <w:sz w:val="44"/>
          <w:szCs w:val="44"/>
        </w:rPr>
        <w:br w:type="page"/>
      </w:r>
      <w:bookmarkStart w:id="55" w:name="_Toc15396614"/>
      <w:r>
        <w:rPr>
          <w:rFonts w:hint="eastAsia" w:ascii="黑体" w:hAnsi="黑体" w:eastAsia="黑体"/>
          <w:color w:val="000000"/>
          <w:sz w:val="44"/>
          <w:szCs w:val="44"/>
        </w:rPr>
        <w:t>第</w:t>
      </w:r>
      <w:r>
        <w:rPr>
          <w:rStyle w:val="14"/>
          <w:rFonts w:hint="eastAsia" w:ascii="黑体" w:hAnsi="黑体" w:eastAsia="黑体"/>
        </w:rPr>
        <w:t>四部分 附件</w:t>
      </w:r>
      <w:bookmarkEnd w:id="55"/>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茂县红十字会</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（一）机构组成</w:t>
      </w:r>
    </w:p>
    <w:p>
      <w:pPr>
        <w:tabs>
          <w:tab w:val="left" w:pos="720"/>
          <w:tab w:val="left" w:pos="1620"/>
        </w:tabs>
        <w:spacing w:line="360" w:lineRule="auto"/>
        <w:ind w:firstLine="480" w:firstLineChars="150"/>
        <w:rPr>
          <w:rFonts w:ascii="仿宋" w:hAnsi="仿宋" w:eastAsia="仿宋"/>
          <w:sz w:val="32"/>
          <w:szCs w:val="32"/>
        </w:rPr>
      </w:pPr>
      <w:r>
        <w:rPr>
          <w:rFonts w:hint="eastAsia" w:ascii="仿宋" w:hAnsi="仿宋" w:eastAsia="仿宋" w:cs="仿宋_GB2312"/>
          <w:sz w:val="32"/>
          <w:szCs w:val="32"/>
        </w:rPr>
        <w:t>红十字会为独立的一级预算单位，内设机构共二个：办公室、综合股。茂县红十字会编制共</w:t>
      </w:r>
      <w:r>
        <w:rPr>
          <w:rFonts w:ascii="仿宋" w:hAnsi="仿宋" w:eastAsia="仿宋" w:cs="仿宋_GB2312"/>
          <w:sz w:val="32"/>
          <w:szCs w:val="32"/>
        </w:rPr>
        <w:t>5</w:t>
      </w:r>
      <w:r>
        <w:rPr>
          <w:rFonts w:hint="eastAsia" w:ascii="仿宋" w:hAnsi="仿宋" w:eastAsia="仿宋" w:cs="仿宋_GB2312"/>
          <w:sz w:val="32"/>
          <w:szCs w:val="32"/>
        </w:rPr>
        <w:t>名，其中：参公管理</w:t>
      </w:r>
      <w:r>
        <w:rPr>
          <w:rFonts w:ascii="仿宋" w:hAnsi="仿宋" w:eastAsia="仿宋" w:cs="仿宋_GB2312"/>
          <w:sz w:val="32"/>
          <w:szCs w:val="32"/>
        </w:rPr>
        <w:t>5</w:t>
      </w:r>
      <w:r>
        <w:rPr>
          <w:rFonts w:hint="eastAsia" w:ascii="仿宋" w:hAnsi="仿宋" w:eastAsia="仿宋" w:cs="仿宋_GB2312"/>
          <w:sz w:val="32"/>
          <w:szCs w:val="32"/>
        </w:rPr>
        <w:t>名（含</w:t>
      </w:r>
      <w:r>
        <w:rPr>
          <w:rFonts w:ascii="仿宋" w:hAnsi="仿宋" w:eastAsia="仿宋" w:cs="仿宋_GB2312"/>
          <w:sz w:val="32"/>
          <w:szCs w:val="32"/>
        </w:rPr>
        <w:t>1</w:t>
      </w:r>
      <w:r>
        <w:rPr>
          <w:rFonts w:hint="eastAsia" w:ascii="仿宋" w:hAnsi="仿宋" w:eastAsia="仿宋" w:cs="仿宋_GB2312"/>
          <w:sz w:val="32"/>
          <w:szCs w:val="32"/>
        </w:rPr>
        <w:t>名工勤）。</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（二）机构职能</w:t>
      </w:r>
    </w:p>
    <w:p>
      <w:pPr>
        <w:pStyle w:val="4"/>
        <w:adjustRightInd w:val="0"/>
        <w:snapToGrid w:val="0"/>
        <w:spacing w:before="93" w:line="360" w:lineRule="auto"/>
        <w:ind w:firstLine="480" w:firstLineChars="150"/>
        <w:rPr>
          <w:rFonts w:ascii="仿宋" w:hAnsi="仿宋" w:eastAsia="仿宋"/>
          <w:sz w:val="32"/>
          <w:szCs w:val="32"/>
        </w:rPr>
      </w:pPr>
      <w:r>
        <w:rPr>
          <w:rFonts w:hint="eastAsia" w:ascii="仿宋" w:hAnsi="仿宋" w:eastAsia="仿宋"/>
          <w:sz w:val="32"/>
          <w:szCs w:val="32"/>
        </w:rPr>
        <w:t>传播国际红十字运动知识和国际人道主义法。宣传、贯彻《中华人民共和国红十字会法》，依照红十字会法和红十字章程组织协调开展我县红十字会工作；开展备灾救灾工作，在自然灾害和开展救灾备灾工作。在自然灾害和突发事件中</w:t>
      </w:r>
      <w:r>
        <w:rPr>
          <w:rFonts w:ascii="仿宋" w:hAnsi="仿宋" w:eastAsia="仿宋"/>
          <w:sz w:val="32"/>
          <w:szCs w:val="32"/>
        </w:rPr>
        <w:t>,</w:t>
      </w:r>
      <w:r>
        <w:rPr>
          <w:rFonts w:hint="eastAsia" w:ascii="仿宋" w:hAnsi="仿宋" w:eastAsia="仿宋"/>
          <w:sz w:val="32"/>
          <w:szCs w:val="32"/>
        </w:rPr>
        <w:t>开展救护和救助工作</w:t>
      </w:r>
      <w:r>
        <w:rPr>
          <w:rFonts w:ascii="仿宋" w:hAnsi="仿宋" w:eastAsia="仿宋"/>
          <w:sz w:val="32"/>
          <w:szCs w:val="32"/>
        </w:rPr>
        <w:t>;</w:t>
      </w:r>
      <w:r>
        <w:rPr>
          <w:rFonts w:hint="eastAsia" w:ascii="仿宋" w:hAnsi="仿宋" w:eastAsia="仿宋"/>
          <w:sz w:val="32"/>
          <w:szCs w:val="32"/>
        </w:rPr>
        <w:t>依法接受国内外组织和个人的捐赠</w:t>
      </w:r>
      <w:r>
        <w:rPr>
          <w:rFonts w:ascii="仿宋" w:hAnsi="仿宋" w:eastAsia="仿宋"/>
          <w:sz w:val="32"/>
          <w:szCs w:val="32"/>
        </w:rPr>
        <w:t>,</w:t>
      </w:r>
      <w:r>
        <w:rPr>
          <w:rFonts w:hint="eastAsia" w:ascii="仿宋" w:hAnsi="仿宋" w:eastAsia="仿宋"/>
          <w:sz w:val="32"/>
          <w:szCs w:val="32"/>
        </w:rPr>
        <w:t>及时向灾区群众和受难者提供人道主义援助突发事件中，对受害者组织实施救助工作。</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（三）人员概况</w:t>
      </w:r>
    </w:p>
    <w:p>
      <w:pPr>
        <w:tabs>
          <w:tab w:val="left" w:pos="720"/>
          <w:tab w:val="left" w:pos="1620"/>
        </w:tabs>
        <w:spacing w:line="360" w:lineRule="auto"/>
        <w:ind w:firstLine="480" w:firstLineChars="150"/>
        <w:rPr>
          <w:rFonts w:ascii="仿宋" w:hAnsi="仿宋" w:eastAsia="仿宋"/>
        </w:rPr>
      </w:pPr>
      <w:r>
        <w:rPr>
          <w:rFonts w:hint="eastAsia" w:ascii="仿宋" w:hAnsi="仿宋" w:eastAsia="仿宋" w:cs="仿宋_GB2312"/>
          <w:sz w:val="32"/>
          <w:szCs w:val="32"/>
        </w:rPr>
        <w:t>茂县红十字会在职在岗人数6人。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（一）部门财政资金收入情况</w:t>
      </w:r>
    </w:p>
    <w:p>
      <w:pPr>
        <w:tabs>
          <w:tab w:val="left" w:pos="720"/>
          <w:tab w:val="left" w:pos="1620"/>
        </w:tabs>
        <w:spacing w:line="360" w:lineRule="auto"/>
        <w:ind w:firstLine="640" w:firstLineChars="20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rPr>
        <w:t>9年决算总收入98.61万元，其中：一般公共财政预算拨款98.61万元。收入决算总额较</w:t>
      </w:r>
      <w:r>
        <w:rPr>
          <w:rFonts w:ascii="仿宋" w:hAnsi="仿宋" w:eastAsia="仿宋" w:cs="仿宋_GB2312"/>
          <w:sz w:val="32"/>
          <w:szCs w:val="32"/>
        </w:rPr>
        <w:t>201</w:t>
      </w:r>
      <w:r>
        <w:rPr>
          <w:rFonts w:hint="eastAsia" w:ascii="仿宋" w:hAnsi="仿宋" w:eastAsia="仿宋" w:cs="仿宋_GB2312"/>
          <w:sz w:val="32"/>
          <w:szCs w:val="32"/>
        </w:rPr>
        <w:t>8年减少1.95万元，主要原因人员减少和厉行节约。</w:t>
      </w:r>
      <w:r>
        <w:rPr>
          <w:rFonts w:ascii="仿宋" w:hAnsi="仿宋" w:eastAsia="仿宋" w:cs="仿宋_GB2312"/>
          <w:sz w:val="32"/>
          <w:szCs w:val="32"/>
        </w:rPr>
        <w:t xml:space="preserve">  </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（二）部门财政资金支出情况</w:t>
      </w:r>
    </w:p>
    <w:p>
      <w:pPr>
        <w:spacing w:line="600" w:lineRule="exact"/>
        <w:ind w:firstLine="640"/>
        <w:rPr>
          <w:rFonts w:ascii="仿宋" w:hAnsi="仿宋" w:eastAsia="仿宋"/>
          <w:color w:val="000000" w:themeColor="text1"/>
          <w:sz w:val="32"/>
          <w:szCs w:val="32"/>
        </w:rPr>
      </w:pPr>
      <w:r>
        <w:rPr>
          <w:rFonts w:ascii="仿宋" w:hAnsi="仿宋" w:eastAsia="仿宋" w:cs="仿宋_GB2312"/>
          <w:sz w:val="32"/>
          <w:szCs w:val="32"/>
        </w:rPr>
        <w:t>201</w:t>
      </w:r>
      <w:r>
        <w:rPr>
          <w:rFonts w:hint="eastAsia" w:ascii="仿宋" w:hAnsi="仿宋" w:eastAsia="仿宋" w:cs="仿宋_GB2312"/>
          <w:sz w:val="32"/>
          <w:szCs w:val="32"/>
        </w:rPr>
        <w:t>9年部门决算总支出98.61万元，其中：</w:t>
      </w:r>
      <w:r>
        <w:rPr>
          <w:rFonts w:hint="eastAsia" w:ascii="仿宋" w:hAnsi="仿宋" w:eastAsia="仿宋"/>
          <w:color w:val="000000" w:themeColor="text1"/>
          <w:sz w:val="32"/>
          <w:szCs w:val="32"/>
        </w:rPr>
        <w:t>社会保障和就业支出85.85万元；</w:t>
      </w:r>
      <w:r>
        <w:rPr>
          <w:rFonts w:hint="eastAsia" w:ascii="仿宋" w:hAnsi="仿宋" w:eastAsia="仿宋"/>
          <w:bCs/>
          <w:color w:val="000000" w:themeColor="text1"/>
          <w:sz w:val="32"/>
          <w:szCs w:val="32"/>
        </w:rPr>
        <w:t>卫生健康支出</w:t>
      </w:r>
      <w:r>
        <w:rPr>
          <w:rFonts w:hint="eastAsia" w:ascii="仿宋" w:hAnsi="仿宋" w:eastAsia="仿宋"/>
          <w:color w:val="000000" w:themeColor="text1"/>
          <w:sz w:val="32"/>
          <w:szCs w:val="32"/>
        </w:rPr>
        <w:t>5.17万元；住房保障支出7.17万元；农林水支出0.42万元。</w:t>
      </w:r>
      <w:r>
        <w:rPr>
          <w:rFonts w:hint="eastAsia" w:ascii="仿宋" w:hAnsi="仿宋" w:eastAsia="仿宋" w:cs="仿宋_GB2312"/>
          <w:sz w:val="32"/>
          <w:szCs w:val="32"/>
        </w:rPr>
        <w:t>支出决算总额较</w:t>
      </w:r>
      <w:r>
        <w:rPr>
          <w:rFonts w:ascii="仿宋" w:hAnsi="仿宋" w:eastAsia="仿宋" w:cs="仿宋_GB2312"/>
          <w:sz w:val="32"/>
          <w:szCs w:val="32"/>
        </w:rPr>
        <w:t>201</w:t>
      </w:r>
      <w:r>
        <w:rPr>
          <w:rFonts w:hint="eastAsia" w:ascii="仿宋" w:hAnsi="仿宋" w:eastAsia="仿宋" w:cs="仿宋_GB2312"/>
          <w:sz w:val="32"/>
          <w:szCs w:val="32"/>
        </w:rPr>
        <w:t>8年减少1.95万元，主要原因人员减少和厉行节约。</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（一）部门预算管理。</w:t>
      </w:r>
    </w:p>
    <w:p>
      <w:pPr>
        <w:spacing w:line="360" w:lineRule="auto"/>
        <w:ind w:firstLine="640" w:firstLineChars="200"/>
        <w:rPr>
          <w:rFonts w:ascii="仿宋" w:hAnsi="仿宋" w:eastAsia="仿宋"/>
          <w:sz w:val="32"/>
          <w:szCs w:val="32"/>
        </w:rPr>
      </w:pPr>
      <w:r>
        <w:rPr>
          <w:rFonts w:hint="eastAsia" w:ascii="仿宋" w:hAnsi="仿宋" w:eastAsia="仿宋" w:cs="仿宋_GB2312"/>
          <w:sz w:val="32"/>
          <w:szCs w:val="32"/>
        </w:rPr>
        <w:t>我单位加强财务管理，严格按照相关财经制度执行，特别是对“三公”经费的预算控制。严格招待费用审核审批程序，“三公”经费较好地控制在预算范围之内。</w:t>
      </w:r>
    </w:p>
    <w:p>
      <w:pPr>
        <w:spacing w:line="360" w:lineRule="auto"/>
        <w:ind w:firstLine="640" w:firstLineChars="200"/>
        <w:rPr>
          <w:rFonts w:ascii="仿宋" w:hAnsi="仿宋" w:eastAsia="仿宋"/>
          <w:sz w:val="32"/>
          <w:szCs w:val="32"/>
        </w:rPr>
      </w:pPr>
      <w:r>
        <w:rPr>
          <w:rFonts w:hint="eastAsia" w:ascii="仿宋" w:hAnsi="仿宋" w:eastAsia="仿宋" w:cs="仿宋_GB2312"/>
          <w:sz w:val="32"/>
          <w:szCs w:val="32"/>
        </w:rPr>
        <w:t>为加强财务管理，勤俭办学</w:t>
      </w:r>
      <w:r>
        <w:rPr>
          <w:rFonts w:ascii="仿宋" w:hAnsi="仿宋" w:eastAsia="仿宋" w:cs="仿宋_GB2312"/>
          <w:sz w:val="32"/>
          <w:szCs w:val="32"/>
        </w:rPr>
        <w:t>,</w:t>
      </w:r>
      <w:r>
        <w:rPr>
          <w:rFonts w:hint="eastAsia" w:ascii="仿宋" w:hAnsi="仿宋" w:eastAsia="仿宋" w:cs="仿宋_GB2312"/>
          <w:sz w:val="32"/>
          <w:szCs w:val="32"/>
        </w:rPr>
        <w:t>厉行节约，促进党风廉政建设</w:t>
      </w:r>
      <w:r>
        <w:rPr>
          <w:rFonts w:ascii="仿宋" w:hAnsi="仿宋" w:eastAsia="仿宋" w:cs="仿宋_GB2312"/>
          <w:sz w:val="32"/>
          <w:szCs w:val="32"/>
        </w:rPr>
        <w:t>,</w:t>
      </w:r>
      <w:r>
        <w:rPr>
          <w:rFonts w:hint="eastAsia" w:ascii="仿宋" w:hAnsi="仿宋" w:eastAsia="仿宋" w:cs="仿宋_GB2312"/>
          <w:sz w:val="32"/>
          <w:szCs w:val="32"/>
        </w:rPr>
        <w:t>保证教学、科研、行政后勤等各项工作的顺利进行，我单位制定了财务管理制度，固定资产管理制度，并严格按照《会计法》《会计档案管理办法》进行会计凭证、账簿登记和会计档案管理。</w:t>
      </w:r>
    </w:p>
    <w:p>
      <w:pPr>
        <w:spacing w:line="360" w:lineRule="auto"/>
        <w:ind w:firstLine="640" w:firstLineChars="200"/>
        <w:rPr>
          <w:rFonts w:ascii="仿宋" w:hAnsi="仿宋" w:eastAsia="仿宋"/>
          <w:sz w:val="32"/>
          <w:szCs w:val="32"/>
        </w:rPr>
      </w:pPr>
      <w:r>
        <w:rPr>
          <w:rFonts w:hint="eastAsia" w:ascii="仿宋" w:hAnsi="仿宋" w:eastAsia="仿宋" w:cs="仿宋_GB2312"/>
          <w:sz w:val="32"/>
          <w:szCs w:val="32"/>
        </w:rPr>
        <w:t>在我单位采购办公用品时严格按照相关文件精神，项目预算资金在限额标准以上的都通过填报《茂县政府采购计划申请表》向县财政申请，经审核批准后在组织实施。项目预算资金在限额标准以下的都通过填报《茂县政府采购备案表》经备案后在进行采购。</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（二）结果应用情况。</w:t>
      </w:r>
    </w:p>
    <w:p>
      <w:pPr>
        <w:spacing w:line="580" w:lineRule="exact"/>
        <w:ind w:firstLine="640" w:firstLineChars="200"/>
        <w:rPr>
          <w:rFonts w:ascii="仿宋" w:hAnsi="仿宋" w:eastAsia="仿宋"/>
          <w:sz w:val="32"/>
          <w:szCs w:val="32"/>
        </w:rPr>
      </w:pPr>
      <w:r>
        <w:rPr>
          <w:rFonts w:hint="eastAsia" w:ascii="仿宋" w:hAnsi="仿宋" w:eastAsia="仿宋" w:cs="仿宋_GB2312"/>
          <w:sz w:val="32"/>
          <w:szCs w:val="32"/>
        </w:rPr>
        <w:t>我单位对部门预算绩效管理工作开展</w:t>
      </w:r>
      <w:r>
        <w:rPr>
          <w:rFonts w:ascii="仿宋" w:hAnsi="仿宋" w:eastAsia="仿宋" w:cs="仿宋_GB2312"/>
          <w:sz w:val="32"/>
          <w:szCs w:val="32"/>
        </w:rPr>
        <w:t xml:space="preserve"> </w:t>
      </w:r>
      <w:r>
        <w:rPr>
          <w:rFonts w:hint="eastAsia" w:ascii="仿宋" w:hAnsi="仿宋" w:eastAsia="仿宋" w:cs="仿宋_GB2312"/>
          <w:sz w:val="32"/>
          <w:szCs w:val="32"/>
        </w:rPr>
        <w:t>情况进行了自查自评，将评价结果作为预算安排的重要依据，优化资金配置，不断强化绩效理念，推动我单位整体绩效管理水平不断提升。</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（一）评价结论</w:t>
      </w:r>
    </w:p>
    <w:p>
      <w:pPr>
        <w:spacing w:line="360" w:lineRule="auto"/>
        <w:ind w:firstLine="640" w:firstLineChars="200"/>
        <w:rPr>
          <w:rFonts w:ascii="仿宋" w:hAnsi="仿宋" w:eastAsia="仿宋"/>
          <w:sz w:val="32"/>
          <w:szCs w:val="32"/>
        </w:rPr>
      </w:pPr>
      <w:r>
        <w:rPr>
          <w:rFonts w:hint="eastAsia" w:ascii="仿宋" w:hAnsi="仿宋" w:eastAsia="仿宋" w:cs="仿宋_GB2312"/>
          <w:sz w:val="32"/>
          <w:szCs w:val="32"/>
        </w:rPr>
        <w:t>本年，根据我单位年初工作规划，围绕县委、县政府全面建成小康社会的发展蓝图，积极履职，强化管理，较好的完成了上年度工作目标，整体评价良好。通过加强预算收支管理，不断建立健全内部管理制度，梳理内部管理流程，单位整体支出管理情况得到提升。</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（二）存在问题</w:t>
      </w:r>
    </w:p>
    <w:p>
      <w:pPr>
        <w:widowControl/>
        <w:adjustRightInd w:val="0"/>
        <w:snapToGrid w:val="0"/>
        <w:spacing w:line="360" w:lineRule="auto"/>
        <w:ind w:firstLine="320" w:firstLineChars="100"/>
        <w:jc w:val="left"/>
        <w:rPr>
          <w:rFonts w:ascii="仿宋" w:hAnsi="仿宋" w:eastAsia="仿宋"/>
          <w:sz w:val="32"/>
          <w:szCs w:val="32"/>
        </w:rPr>
      </w:pPr>
      <w:r>
        <w:rPr>
          <w:rFonts w:hint="eastAsia" w:ascii="仿宋" w:hAnsi="仿宋" w:eastAsia="仿宋" w:cs="仿宋_GB2312"/>
          <w:sz w:val="32"/>
          <w:szCs w:val="32"/>
        </w:rPr>
        <w:t>业务水平有待提升，内部管理制度还需不断健全</w:t>
      </w:r>
    </w:p>
    <w:p>
      <w:pPr>
        <w:widowControl/>
        <w:adjustRightInd w:val="0"/>
        <w:snapToGrid w:val="0"/>
        <w:spacing w:line="360" w:lineRule="auto"/>
        <w:ind w:firstLine="640" w:firstLineChars="200"/>
        <w:jc w:val="left"/>
        <w:rPr>
          <w:rFonts w:ascii="仿宋" w:hAnsi="仿宋" w:eastAsia="仿宋"/>
          <w:sz w:val="32"/>
          <w:szCs w:val="32"/>
        </w:rPr>
      </w:pPr>
      <w:r>
        <w:rPr>
          <w:rFonts w:hint="eastAsia" w:ascii="仿宋" w:hAnsi="仿宋" w:eastAsia="仿宋" w:cs="宋体"/>
          <w:color w:val="000000"/>
          <w:kern w:val="0"/>
          <w:sz w:val="32"/>
          <w:szCs w:val="32"/>
          <w:shd w:val="clear" w:color="auto" w:fill="FFFFFF"/>
          <w:lang w:val="zh-CN"/>
        </w:rPr>
        <w:t>（三）改进建议</w:t>
      </w:r>
    </w:p>
    <w:p>
      <w:pPr>
        <w:spacing w:line="360" w:lineRule="auto"/>
        <w:ind w:firstLine="320" w:firstLineChars="100"/>
        <w:rPr>
          <w:rFonts w:ascii="仿宋" w:hAnsi="仿宋" w:eastAsia="仿宋"/>
          <w:sz w:val="32"/>
          <w:szCs w:val="32"/>
        </w:rPr>
      </w:pPr>
      <w:r>
        <w:rPr>
          <w:rFonts w:hint="eastAsia" w:ascii="仿宋" w:hAnsi="仿宋" w:eastAsia="仿宋" w:cs="仿宋_GB2312"/>
          <w:sz w:val="32"/>
          <w:szCs w:val="32"/>
        </w:rPr>
        <w:t>通过加强预算收支管理，不断建立健全内部管理制度，梳理内部管理流程，单位整体支出管理情况得到提升。</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Style w:val="14"/>
          <w:rFonts w:ascii="黑体" w:hAnsi="黑体" w:eastAsia="黑体"/>
          <w:b w:val="0"/>
        </w:rPr>
      </w:pPr>
    </w:p>
    <w:tbl>
      <w:tblPr>
        <w:tblStyle w:val="10"/>
        <w:tblpPr w:leftFromText="180" w:rightFromText="180" w:vertAnchor="text" w:horzAnchor="margin" w:tblpY="180"/>
        <w:tblW w:w="8520" w:type="dxa"/>
        <w:tblInd w:w="0" w:type="dxa"/>
        <w:tblLayout w:type="fixed"/>
        <w:tblCellMar>
          <w:top w:w="0" w:type="dxa"/>
          <w:left w:w="0" w:type="dxa"/>
          <w:bottom w:w="0" w:type="dxa"/>
          <w:right w:w="0" w:type="dxa"/>
        </w:tblCellMar>
      </w:tblPr>
      <w:tblGrid>
        <w:gridCol w:w="678"/>
        <w:gridCol w:w="1105"/>
        <w:gridCol w:w="2509"/>
        <w:gridCol w:w="338"/>
        <w:gridCol w:w="374"/>
        <w:gridCol w:w="3500"/>
        <w:gridCol w:w="16"/>
      </w:tblGrid>
      <w:tr>
        <w:tblPrEx>
          <w:tblCellMar>
            <w:top w:w="0" w:type="dxa"/>
            <w:left w:w="0" w:type="dxa"/>
            <w:bottom w:w="0" w:type="dxa"/>
            <w:right w:w="0" w:type="dxa"/>
          </w:tblCellMar>
        </w:tblPrEx>
        <w:trPr>
          <w:gridAfter w:val="1"/>
          <w:wAfter w:w="16" w:type="dxa"/>
          <w:trHeight w:val="335" w:hRule="atLeast"/>
        </w:trPr>
        <w:tc>
          <w:tcPr>
            <w:tcW w:w="8504" w:type="dxa"/>
            <w:gridSpan w:val="6"/>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仿宋_GB2312" w:hAnsi="宋体" w:eastAsia="仿宋_GB2312" w:cs="宋体"/>
                <w:b/>
                <w:color w:val="000000"/>
                <w:sz w:val="32"/>
                <w:szCs w:val="32"/>
              </w:rPr>
            </w:pPr>
            <w:r>
              <w:rPr>
                <w:rFonts w:hint="eastAsia" w:ascii="仿宋_GB2312" w:hAnsi="宋体" w:eastAsia="仿宋_GB2312" w:cs="宋体"/>
                <w:b/>
                <w:color w:val="000000"/>
                <w:kern w:val="0"/>
                <w:sz w:val="32"/>
                <w:szCs w:val="32"/>
              </w:rPr>
              <w:t>茂县红十字会2019年整体支出绩效评价指标体系</w:t>
            </w:r>
          </w:p>
        </w:tc>
      </w:tr>
      <w:tr>
        <w:tblPrEx>
          <w:tblCellMar>
            <w:top w:w="0" w:type="dxa"/>
            <w:left w:w="0" w:type="dxa"/>
            <w:bottom w:w="0" w:type="dxa"/>
            <w:right w:w="0" w:type="dxa"/>
          </w:tblCellMar>
        </w:tblPrEx>
        <w:trPr>
          <w:trHeight w:val="665"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二级指标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三级指标</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指标解释</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扣分</w:t>
            </w: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扣分理由</w:t>
            </w: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计分标准（备注）</w:t>
            </w:r>
          </w:p>
        </w:tc>
      </w:tr>
      <w:tr>
        <w:tblPrEx>
          <w:tblCellMar>
            <w:top w:w="0" w:type="dxa"/>
            <w:left w:w="0" w:type="dxa"/>
            <w:bottom w:w="0" w:type="dxa"/>
            <w:right w:w="0" w:type="dxa"/>
          </w:tblCellMar>
        </w:tblPrEx>
        <w:trPr>
          <w:trHeight w:val="88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报送时效（2分）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基础信息更新（2分）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部门是否按照县级部门预算编制通知和有关要求，按时完成基础库、项目库报送工作</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超过规定5个工作日扣0.5分，10个工作日扣1分，以此类推，直至扣完</w:t>
            </w:r>
          </w:p>
        </w:tc>
      </w:tr>
      <w:tr>
        <w:tblPrEx>
          <w:tblCellMar>
            <w:top w:w="0" w:type="dxa"/>
            <w:left w:w="0" w:type="dxa"/>
            <w:bottom w:w="0" w:type="dxa"/>
            <w:right w:w="0" w:type="dxa"/>
          </w:tblCellMar>
        </w:tblPrEx>
        <w:trPr>
          <w:trHeight w:val="985"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编制质量（3分）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预算编制准确（2分）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（预算资金总来源-中期评估调整取消资金-预算结余注销资金）÷预算资金总来源*指标分值</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其中：预算资金总来源是指县级年初预算与执行中追加预算（不含当年专款）总和</w:t>
            </w:r>
          </w:p>
        </w:tc>
      </w:tr>
      <w:tr>
        <w:tblPrEx>
          <w:tblCellMar>
            <w:top w:w="0" w:type="dxa"/>
            <w:left w:w="0" w:type="dxa"/>
            <w:bottom w:w="0" w:type="dxa"/>
            <w:right w:w="0" w:type="dxa"/>
          </w:tblCellMar>
        </w:tblPrEx>
        <w:trPr>
          <w:trHeight w:val="66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部门预算审查（1分）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根据县人大财经委对预算草案审查结果进行考核</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对财经委审查后提出并确需修改的问题，每个问题扣0.02分，直至扣完</w:t>
            </w:r>
          </w:p>
        </w:tc>
      </w:tr>
      <w:tr>
        <w:tblPrEx>
          <w:tblCellMar>
            <w:top w:w="0" w:type="dxa"/>
            <w:left w:w="0" w:type="dxa"/>
            <w:bottom w:w="0" w:type="dxa"/>
            <w:right w:w="0" w:type="dxa"/>
          </w:tblCellMar>
        </w:tblPrEx>
        <w:trPr>
          <w:trHeight w:val="775"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绩效目标（5分）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部门整体绩效目标（2分）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部门整体绩效目标编制完整、合理</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部门整体绩效目标能完整、合理反映部门年度职责履行情况的得分，否则不得分</w:t>
            </w:r>
          </w:p>
        </w:tc>
      </w:tr>
      <w:tr>
        <w:tblPrEx>
          <w:tblCellMar>
            <w:top w:w="0" w:type="dxa"/>
            <w:left w:w="0" w:type="dxa"/>
            <w:bottom w:w="0" w:type="dxa"/>
            <w:right w:w="0" w:type="dxa"/>
          </w:tblCellMar>
        </w:tblPrEx>
        <w:trPr>
          <w:trHeight w:val="77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重点项目绩效目标（3分）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项目绩效目标编制明确、量化</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项目支出绩效目标编制不明确和量化的发现一个扣0.5分，直至扣完</w:t>
            </w:r>
          </w:p>
        </w:tc>
      </w:tr>
      <w:tr>
        <w:tblPrEx>
          <w:tblCellMar>
            <w:top w:w="0" w:type="dxa"/>
            <w:left w:w="0" w:type="dxa"/>
            <w:bottom w:w="0" w:type="dxa"/>
            <w:right w:w="0" w:type="dxa"/>
          </w:tblCellMar>
        </w:tblPrEx>
        <w:trPr>
          <w:trHeight w:val="775"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执行进度（10分）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财力专项预算分配时限（4分）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按规定及时分配财力专项预算</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按《预算法》规定时限完成分配的考核得分，否则不得分</w:t>
            </w:r>
          </w:p>
        </w:tc>
      </w:tr>
      <w:tr>
        <w:tblPrEx>
          <w:tblCellMar>
            <w:top w:w="0" w:type="dxa"/>
            <w:left w:w="0" w:type="dxa"/>
            <w:bottom w:w="0" w:type="dxa"/>
            <w:right w:w="0" w:type="dxa"/>
          </w:tblCellMar>
        </w:tblPrEx>
        <w:trPr>
          <w:trHeight w:val="77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部门预算执行进度（6分）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部门按要求严格预算执行管理</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部门预算实际列支数÷部门预算总额*指标分值</w:t>
            </w:r>
          </w:p>
        </w:tc>
      </w:tr>
      <w:tr>
        <w:tblPrEx>
          <w:tblCellMar>
            <w:top w:w="0" w:type="dxa"/>
            <w:left w:w="0" w:type="dxa"/>
            <w:bottom w:w="0" w:type="dxa"/>
            <w:right w:w="0" w:type="dxa"/>
          </w:tblCellMar>
        </w:tblPrEx>
        <w:trPr>
          <w:trHeight w:val="88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预算调整（4分）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执行中期评估（4分）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部门中期评估调整取消资金÷(中期评估调整取消资金+预算结余注销资金）*指标分值</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当中期评估调整取消资金与结余注销资金之和为零时，得满分</w:t>
            </w:r>
          </w:p>
        </w:tc>
      </w:tr>
      <w:tr>
        <w:tblPrEx>
          <w:tblCellMar>
            <w:top w:w="0" w:type="dxa"/>
            <w:left w:w="0" w:type="dxa"/>
            <w:bottom w:w="0" w:type="dxa"/>
            <w:right w:w="0" w:type="dxa"/>
          </w:tblCellMar>
        </w:tblPrEx>
        <w:trPr>
          <w:trHeight w:val="665" w:hRule="atLeast"/>
        </w:trPr>
        <w:tc>
          <w:tcPr>
            <w:tcW w:w="67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行政成本（6分）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三公经费（6分）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严格执行“三公经费”预算</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部门“三公”经费决算数一项超预算扣1分，两项超预算扣2分，以此类推，直至扣完</w:t>
            </w:r>
          </w:p>
        </w:tc>
      </w:tr>
      <w:tr>
        <w:tblPrEx>
          <w:tblCellMar>
            <w:top w:w="0" w:type="dxa"/>
            <w:left w:w="0" w:type="dxa"/>
            <w:bottom w:w="0" w:type="dxa"/>
            <w:right w:w="0" w:type="dxa"/>
          </w:tblCellMar>
        </w:tblPrEx>
        <w:trPr>
          <w:trHeight w:val="775"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政府采购实施计划（4分）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政府采购实施计划编制（2）</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实施计划与政府采购预算的一致性</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（1-调整或细化资金/政府采购预算资金）*分值</w:t>
            </w:r>
          </w:p>
        </w:tc>
      </w:tr>
      <w:tr>
        <w:tblPrEx>
          <w:tblCellMar>
            <w:top w:w="0" w:type="dxa"/>
            <w:left w:w="0" w:type="dxa"/>
            <w:bottom w:w="0" w:type="dxa"/>
            <w:right w:w="0" w:type="dxa"/>
          </w:tblCellMar>
        </w:tblPrEx>
        <w:trPr>
          <w:trHeight w:val="77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政府采购实施计划的执行（2）</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执行的实施计划与备案的实施计划的一致性</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（1-实施计划备案后的调整或细化资金/实施计划备案后的资金）*分值</w:t>
            </w:r>
          </w:p>
        </w:tc>
      </w:tr>
      <w:tr>
        <w:tblPrEx>
          <w:tblCellMar>
            <w:top w:w="0" w:type="dxa"/>
            <w:left w:w="0" w:type="dxa"/>
            <w:bottom w:w="0" w:type="dxa"/>
            <w:right w:w="0" w:type="dxa"/>
          </w:tblCellMar>
        </w:tblPrEx>
        <w:trPr>
          <w:trHeight w:val="1057"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资产管理（6分）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资产管理信息系统建设情况（2分）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考核部门和单位将国有资产纳入资产信息系统管理情况</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①未将所属单位国有资产纳入系统管理，每少一个单位扣1分。②未将资产变动情况及时录入系统，每次扣0.5分。③未落实人员负责管理系统，扣1分。</w:t>
            </w:r>
          </w:p>
        </w:tc>
      </w:tr>
      <w:tr>
        <w:tblPrEx>
          <w:tblCellMar>
            <w:top w:w="0" w:type="dxa"/>
            <w:left w:w="0" w:type="dxa"/>
            <w:bottom w:w="0" w:type="dxa"/>
            <w:right w:w="0" w:type="dxa"/>
          </w:tblCellMar>
        </w:tblPrEx>
        <w:trPr>
          <w:trHeight w:val="162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行政事业单位资产清查开展情况（2分）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考核行政事业单位按要求及时、准确、全面开展资产清查工作情况</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①未在规定时间内完成资产清查任务扣1分。②资产清查结果与财政组织复核的结果误差超过10%的扣1分。③未及时按批复的清查结果进行账务调整扣1分。④未及时更新资产管理信息系统，导致系统资产数据与上报财政的资产清查结果不一致扣1分。</w:t>
            </w:r>
          </w:p>
        </w:tc>
      </w:tr>
      <w:tr>
        <w:tblPrEx>
          <w:tblCellMar>
            <w:top w:w="0" w:type="dxa"/>
            <w:left w:w="0" w:type="dxa"/>
            <w:bottom w:w="0" w:type="dxa"/>
            <w:right w:w="0" w:type="dxa"/>
          </w:tblCellMar>
        </w:tblPrEx>
        <w:trPr>
          <w:trHeight w:val="130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行政事业单位资产报表上报情况（2分）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考核行政事业单位上报国有资产报表数据的真实性、准确性、全面性</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①未落实专人负责资产报表，未及时上报资产报表扣1分。②报表填报不规范，内容不完整，数据不真实，扣1分。③未提交分析报告，对资产变动情况未作分析说明，扣1分。</w:t>
            </w:r>
          </w:p>
        </w:tc>
      </w:tr>
      <w:tr>
        <w:tblPrEx>
          <w:tblCellMar>
            <w:top w:w="0" w:type="dxa"/>
            <w:left w:w="0" w:type="dxa"/>
            <w:bottom w:w="0" w:type="dxa"/>
            <w:right w:w="0" w:type="dxa"/>
          </w:tblCellMar>
        </w:tblPrEx>
        <w:trPr>
          <w:trHeight w:val="1057" w:hRule="atLeast"/>
        </w:trPr>
        <w:tc>
          <w:tcPr>
            <w:tcW w:w="6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内控制度管理（4分）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内部控制度健全完整（4分）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考核部门内部控制制度的设置和执行情况</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r>
              <w:rPr>
                <w:rFonts w:hint="eastAsia" w:ascii="宋体" w:hAnsi="宋体" w:cs="宋体"/>
                <w:color w:val="000000"/>
                <w:sz w:val="16"/>
                <w:szCs w:val="16"/>
              </w:rPr>
              <w:t>1</w:t>
            </w: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r>
              <w:rPr>
                <w:rFonts w:hint="eastAsia" w:ascii="宋体" w:hAnsi="宋体" w:cs="宋体"/>
                <w:color w:val="000000"/>
                <w:kern w:val="0"/>
                <w:sz w:val="16"/>
                <w:szCs w:val="16"/>
              </w:rPr>
              <w:t>制度还需要不断健全</w:t>
            </w: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内部控制制度健全完整并执行良好的得分，否则不得分。在本年度内因内控制度不健全或执行不到位，造成单位出现廉政风险或发生重大责任事故的不得分。</w:t>
            </w:r>
          </w:p>
        </w:tc>
      </w:tr>
      <w:tr>
        <w:tblPrEx>
          <w:tblCellMar>
            <w:top w:w="0" w:type="dxa"/>
            <w:left w:w="0" w:type="dxa"/>
            <w:bottom w:w="0" w:type="dxa"/>
            <w:right w:w="0" w:type="dxa"/>
          </w:tblCellMar>
        </w:tblPrEx>
        <w:trPr>
          <w:trHeight w:val="1305"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信息公开（10分）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预算公开（4分）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除涉密信息外，各部门要在财政部门批复后二十日内向社会公开本部门预算（含所有财政资金安排的“三公”经费、机关运行经费的安排、使用情况等）</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按县财政通知要求公开预算，未按要求公开的，发现一处扣0.5分，直至扣完</w:t>
            </w:r>
          </w:p>
        </w:tc>
      </w:tr>
      <w:tr>
        <w:tblPrEx>
          <w:tblCellMar>
            <w:top w:w="0" w:type="dxa"/>
            <w:left w:w="0" w:type="dxa"/>
            <w:bottom w:w="0" w:type="dxa"/>
            <w:right w:w="0" w:type="dxa"/>
          </w:tblCellMar>
        </w:tblPrEx>
        <w:trPr>
          <w:trHeight w:val="130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决算公开（4分）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除涉密信息外，各部门要在财政部门批复二十日内向社会公开本部门决算（含所有财政资金安排的“三公”经费、机关运行经费的安排、使用情况等）</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未按要求公开的，发现一处问题0.5分，直至扣完</w:t>
            </w:r>
          </w:p>
        </w:tc>
      </w:tr>
      <w:tr>
        <w:tblPrEx>
          <w:tblCellMar>
            <w:top w:w="0" w:type="dxa"/>
            <w:left w:w="0" w:type="dxa"/>
            <w:bottom w:w="0" w:type="dxa"/>
            <w:right w:w="0" w:type="dxa"/>
          </w:tblCellMar>
        </w:tblPrEx>
        <w:trPr>
          <w:trHeight w:val="66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绩效信息公开（2分）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按要求公开部门整体支出绩效自评报告及其他按要求应公开的绩效信息</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未按要求公开的，发现一处问题0.5分，直至扣完</w:t>
            </w:r>
          </w:p>
        </w:tc>
      </w:tr>
      <w:tr>
        <w:tblPrEx>
          <w:tblCellMar>
            <w:top w:w="0" w:type="dxa"/>
            <w:left w:w="0" w:type="dxa"/>
            <w:bottom w:w="0" w:type="dxa"/>
            <w:right w:w="0" w:type="dxa"/>
          </w:tblCellMar>
        </w:tblPrEx>
        <w:trPr>
          <w:trHeight w:val="1305"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绩效评价（10分）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评价项目覆盖率（2分）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部门实施绩效评价项目数量占部门管理专项预算项目数量的比重，部门申报绩效目标项目数量的比重，用以反映和考核部门实施绩效评价项目资金覆盖情况</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评价覆盖率=实施绩效评价项目数量/部门管理专项预算项目数量×100%</w:t>
            </w:r>
          </w:p>
        </w:tc>
      </w:tr>
      <w:tr>
        <w:tblPrEx>
          <w:tblCellMar>
            <w:top w:w="0" w:type="dxa"/>
            <w:left w:w="0" w:type="dxa"/>
            <w:bottom w:w="0" w:type="dxa"/>
            <w:right w:w="0" w:type="dxa"/>
          </w:tblCellMar>
        </w:tblPrEx>
        <w:trPr>
          <w:trHeight w:val="66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评价层次（2分）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部门（单位）是否对单位内部股室开展整体绩效评价</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对单位内部实施评价的得分，否则不得分</w:t>
            </w:r>
          </w:p>
        </w:tc>
      </w:tr>
      <w:tr>
        <w:tblPrEx>
          <w:tblCellMar>
            <w:top w:w="0" w:type="dxa"/>
            <w:left w:w="0" w:type="dxa"/>
            <w:bottom w:w="0" w:type="dxa"/>
            <w:right w:w="0" w:type="dxa"/>
          </w:tblCellMar>
        </w:tblPrEx>
        <w:trPr>
          <w:trHeight w:val="66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评价结果报告（2分）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部门是否按要求向财政部门报告自评报告等相关绩效信息</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未按要求报送的，发现一处扣0.5分，直至扣完。</w:t>
            </w:r>
          </w:p>
        </w:tc>
      </w:tr>
      <w:tr>
        <w:tblPrEx>
          <w:tblCellMar>
            <w:top w:w="0" w:type="dxa"/>
            <w:left w:w="0" w:type="dxa"/>
            <w:bottom w:w="0" w:type="dxa"/>
            <w:right w:w="0" w:type="dxa"/>
          </w:tblCellMar>
        </w:tblPrEx>
        <w:trPr>
          <w:trHeight w:val="66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整改完成率（4分）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部门是否按要求针对绩效评价发现问题制定整改措施，并整改落实到位</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完成率=应制定整改措施的项目数量/部门实际制定整改措施项目数量×100%。</w:t>
            </w:r>
          </w:p>
        </w:tc>
      </w:tr>
      <w:tr>
        <w:tblPrEx>
          <w:tblCellMar>
            <w:top w:w="0" w:type="dxa"/>
            <w:left w:w="0" w:type="dxa"/>
            <w:bottom w:w="0" w:type="dxa"/>
            <w:right w:w="0" w:type="dxa"/>
          </w:tblCellMar>
        </w:tblPrEx>
        <w:trPr>
          <w:trHeight w:val="1305"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依法接受财政监督（6分）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是否按要求开展自查自纠（2分）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根据相关自查自纠报告、报表报送时效和质量进行考核</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未在规定时间内报送自查自纠相关材料（包括：纸质和电子版）的，扣0.5分；报告内容不完整，扣1分；报表质量差（如：数据、逻辑、勾稽关系错误）等扣0.5分；直至扣完</w:t>
            </w:r>
          </w:p>
        </w:tc>
      </w:tr>
      <w:tr>
        <w:tblPrEx>
          <w:tblCellMar>
            <w:top w:w="0" w:type="dxa"/>
            <w:left w:w="0" w:type="dxa"/>
            <w:bottom w:w="0" w:type="dxa"/>
            <w:right w:w="0" w:type="dxa"/>
          </w:tblCellMar>
        </w:tblPrEx>
        <w:trPr>
          <w:trHeight w:val="77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重点检查发现违规违纪问题（2分）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根据检查组提供的工作底稿、检查报告等资料进行考核</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专项检查发现的违纪违规问题，每个问题扣0.5分，直至扣完</w:t>
            </w:r>
          </w:p>
        </w:tc>
      </w:tr>
      <w:tr>
        <w:tblPrEx>
          <w:tblCellMar>
            <w:top w:w="0" w:type="dxa"/>
            <w:left w:w="0" w:type="dxa"/>
            <w:bottom w:w="0" w:type="dxa"/>
            <w:right w:w="0" w:type="dxa"/>
          </w:tblCellMar>
        </w:tblPrEx>
        <w:trPr>
          <w:trHeight w:val="77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存在问题整改是否到位（2分）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根据相关整改报告、凭证依据等相关证明材料进行考核</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未在规定时间内完成整改，并提供相关证明材料的，每个问题0.5分，直至扣完</w:t>
            </w:r>
          </w:p>
        </w:tc>
      </w:tr>
      <w:tr>
        <w:tblPrEx>
          <w:tblCellMar>
            <w:top w:w="0" w:type="dxa"/>
            <w:left w:w="0" w:type="dxa"/>
            <w:bottom w:w="0" w:type="dxa"/>
            <w:right w:w="0" w:type="dxa"/>
          </w:tblCellMar>
        </w:tblPrEx>
        <w:trPr>
          <w:trHeight w:val="775"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部门整体绩效（30分）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重点项目绩效评价结果（10分）</w:t>
            </w:r>
          </w:p>
        </w:tc>
        <w:tc>
          <w:tcPr>
            <w:tcW w:w="2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部门实施重大项目的经济、社会效益</w:t>
            </w:r>
          </w:p>
        </w:tc>
        <w:tc>
          <w:tcPr>
            <w:tcW w:w="3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根据县财政组织实施项目绩效评价结果换算</w:t>
            </w:r>
          </w:p>
        </w:tc>
      </w:tr>
      <w:tr>
        <w:tblPrEx>
          <w:tblCellMar>
            <w:top w:w="0" w:type="dxa"/>
            <w:left w:w="0" w:type="dxa"/>
            <w:bottom w:w="0" w:type="dxa"/>
            <w:right w:w="0" w:type="dxa"/>
          </w:tblCellMar>
        </w:tblPrEx>
        <w:trPr>
          <w:trHeight w:val="345"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部门职能完成情况特性指标（20分）</w:t>
            </w:r>
          </w:p>
        </w:tc>
        <w:tc>
          <w:tcPr>
            <w:tcW w:w="2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根据部门职能职责、州级主管部门和县委县政府安排的各项专项工作任务及其他年度重点工作任务等，汇总梳理形成能够量化衡量且全面反映部门职能工作完成情况的若干指标。</w:t>
            </w:r>
          </w:p>
        </w:tc>
        <w:tc>
          <w:tcPr>
            <w:tcW w:w="33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部门和评价组根据部门实际设置</w:t>
            </w:r>
          </w:p>
        </w:tc>
      </w:tr>
      <w:tr>
        <w:tblPrEx>
          <w:tblCellMar>
            <w:top w:w="0" w:type="dxa"/>
            <w:left w:w="0" w:type="dxa"/>
            <w:bottom w:w="0" w:type="dxa"/>
            <w:right w:w="0" w:type="dxa"/>
          </w:tblCellMar>
        </w:tblPrEx>
        <w:trPr>
          <w:trHeight w:val="1280"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2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6"/>
                <w:szCs w:val="16"/>
              </w:rPr>
            </w:pPr>
          </w:p>
        </w:tc>
        <w:tc>
          <w:tcPr>
            <w:tcW w:w="33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7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16"/>
                <w:szCs w:val="16"/>
              </w:rPr>
            </w:pPr>
          </w:p>
        </w:tc>
        <w:tc>
          <w:tcPr>
            <w:tcW w:w="351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16"/>
                <w:szCs w:val="16"/>
              </w:rPr>
            </w:pPr>
          </w:p>
        </w:tc>
      </w:tr>
      <w:tr>
        <w:tblPrEx>
          <w:tblCellMar>
            <w:top w:w="0" w:type="dxa"/>
            <w:left w:w="0" w:type="dxa"/>
            <w:bottom w:w="0" w:type="dxa"/>
            <w:right w:w="0" w:type="dxa"/>
          </w:tblCellMar>
        </w:tblPrEx>
        <w:trPr>
          <w:gridAfter w:val="1"/>
          <w:wAfter w:w="16" w:type="dxa"/>
          <w:trHeight w:val="665" w:hRule="atLeast"/>
        </w:trPr>
        <w:tc>
          <w:tcPr>
            <w:tcW w:w="8504" w:type="dxa"/>
            <w:gridSpan w:val="6"/>
            <w:tcBorders>
              <w:top w:val="single" w:color="000000" w:sz="4" w:space="0"/>
              <w:left w:val="nil"/>
              <w:bottom w:val="nil"/>
              <w:right w:val="nil"/>
            </w:tcBorders>
            <w:tcMar>
              <w:top w:w="15" w:type="dxa"/>
              <w:left w:w="15" w:type="dxa"/>
              <w:right w:w="15" w:type="dxa"/>
            </w:tcMar>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注：若某部门不存在某项评价内容或评价指标，则该评价内容或评价指标不计入该部门考核评价范围，即该部门评价总分＝不含该评价内容或指标的评价总分/（100-该评价内容或指标所占分值）*100。</w:t>
            </w:r>
          </w:p>
        </w:tc>
      </w:tr>
    </w:tbl>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outlineLvl w:val="0"/>
        <w:rPr>
          <w:rStyle w:val="14"/>
          <w:rFonts w:ascii="黑体" w:hAnsi="黑体" w:eastAsia="黑体"/>
          <w:b w:val="0"/>
        </w:rPr>
      </w:pPr>
    </w:p>
    <w:p>
      <w:pPr>
        <w:spacing w:line="600" w:lineRule="exact"/>
        <w:jc w:val="center"/>
        <w:outlineLvl w:val="0"/>
        <w:rPr>
          <w:rStyle w:val="14"/>
          <w:rFonts w:ascii="黑体" w:hAnsi="黑体" w:eastAsia="黑体"/>
          <w:b w:val="0"/>
        </w:rPr>
      </w:pPr>
    </w:p>
    <w:p>
      <w:pPr>
        <w:spacing w:line="600" w:lineRule="exact"/>
        <w:jc w:val="center"/>
        <w:outlineLvl w:val="0"/>
        <w:rPr>
          <w:rStyle w:val="14"/>
          <w:rFonts w:ascii="黑体" w:hAnsi="黑体" w:eastAsia="黑体"/>
          <w:b w:val="0"/>
        </w:rPr>
      </w:pPr>
      <w:bookmarkStart w:id="56" w:name="_Toc15396618"/>
      <w:r>
        <w:rPr>
          <w:rFonts w:hint="eastAsia" w:ascii="黑体" w:hAnsi="黑体" w:eastAsia="黑体"/>
          <w:color w:val="000000"/>
          <w:sz w:val="44"/>
          <w:szCs w:val="44"/>
        </w:rPr>
        <w:t>第</w:t>
      </w:r>
      <w:r>
        <w:rPr>
          <w:rStyle w:val="14"/>
          <w:rFonts w:hint="eastAsia" w:ascii="黑体" w:hAnsi="黑体" w:eastAsia="黑体"/>
        </w:rPr>
        <w:t>五部分 附表</w:t>
      </w:r>
      <w:bookmarkEnd w:id="54"/>
      <w:bookmarkEnd w:id="56"/>
    </w:p>
    <w:p>
      <w:pPr>
        <w:spacing w:line="600" w:lineRule="exact"/>
        <w:jc w:val="center"/>
        <w:outlineLvl w:val="0"/>
        <w:rPr>
          <w:rFonts w:ascii="仿宋" w:hAnsi="仿宋" w:eastAsia="仿宋"/>
          <w:b/>
          <w:color w:val="000000"/>
          <w:sz w:val="44"/>
          <w:szCs w:val="44"/>
        </w:rPr>
      </w:pPr>
    </w:p>
    <w:p>
      <w:pPr>
        <w:pStyle w:val="3"/>
        <w:rPr>
          <w:rFonts w:ascii="仿宋" w:hAnsi="仿宋" w:eastAsia="仿宋"/>
          <w:b w:val="0"/>
          <w:color w:val="000000"/>
        </w:rPr>
      </w:pPr>
      <w:bookmarkStart w:id="57" w:name="_Toc15396619"/>
      <w:r>
        <w:rPr>
          <w:rFonts w:hint="eastAsia" w:ascii="仿宋" w:hAnsi="仿宋" w:eastAsia="仿宋"/>
          <w:b w:val="0"/>
          <w:color w:val="000000"/>
        </w:rPr>
        <w:t>一、收</w:t>
      </w:r>
      <w:r>
        <w:rPr>
          <w:rStyle w:val="15"/>
          <w:rFonts w:hint="eastAsia" w:ascii="仿宋" w:hAnsi="仿宋" w:eastAsia="仿宋"/>
          <w:b w:val="0"/>
          <w:bCs w:val="0"/>
        </w:rPr>
        <w:t>入支出决算总表</w:t>
      </w:r>
      <w:bookmarkEnd w:id="57"/>
    </w:p>
    <w:p>
      <w:pPr>
        <w:pStyle w:val="3"/>
        <w:rPr>
          <w:rFonts w:ascii="仿宋" w:hAnsi="仿宋" w:eastAsia="仿宋"/>
          <w:b w:val="0"/>
          <w:color w:val="000000"/>
        </w:rPr>
      </w:pPr>
      <w:bookmarkStart w:id="58" w:name="_Toc15396620"/>
      <w:r>
        <w:rPr>
          <w:rFonts w:hint="eastAsia" w:ascii="仿宋" w:hAnsi="仿宋" w:eastAsia="仿宋"/>
          <w:b w:val="0"/>
          <w:color w:val="000000"/>
        </w:rPr>
        <w:t>二、收</w:t>
      </w:r>
      <w:r>
        <w:rPr>
          <w:rStyle w:val="15"/>
          <w:rFonts w:hint="eastAsia" w:ascii="仿宋" w:hAnsi="仿宋" w:eastAsia="仿宋"/>
          <w:b w:val="0"/>
          <w:bCs w:val="0"/>
        </w:rPr>
        <w:t>入决算表</w:t>
      </w:r>
      <w:bookmarkEnd w:id="58"/>
    </w:p>
    <w:p>
      <w:pPr>
        <w:pStyle w:val="3"/>
        <w:rPr>
          <w:rFonts w:ascii="仿宋" w:hAnsi="仿宋" w:eastAsia="仿宋"/>
          <w:b w:val="0"/>
          <w:color w:val="000000"/>
        </w:rPr>
      </w:pPr>
      <w:bookmarkStart w:id="59" w:name="_Toc15396621"/>
      <w:r>
        <w:rPr>
          <w:rStyle w:val="15"/>
          <w:rFonts w:hint="eastAsia" w:ascii="仿宋" w:hAnsi="仿宋" w:eastAsia="仿宋"/>
          <w:b w:val="0"/>
          <w:bCs w:val="0"/>
        </w:rPr>
        <w:t>三、</w:t>
      </w:r>
      <w:r>
        <w:rPr>
          <w:rFonts w:hint="eastAsia" w:ascii="仿宋" w:hAnsi="仿宋" w:eastAsia="仿宋"/>
          <w:b w:val="0"/>
          <w:color w:val="000000"/>
        </w:rPr>
        <w:t>支</w:t>
      </w:r>
      <w:r>
        <w:rPr>
          <w:rStyle w:val="15"/>
          <w:rFonts w:hint="eastAsia" w:ascii="仿宋" w:hAnsi="仿宋" w:eastAsia="仿宋"/>
          <w:b w:val="0"/>
          <w:bCs w:val="0"/>
        </w:rPr>
        <w:t>出决算表</w:t>
      </w:r>
      <w:bookmarkEnd w:id="59"/>
    </w:p>
    <w:p>
      <w:pPr>
        <w:pStyle w:val="3"/>
        <w:rPr>
          <w:rFonts w:ascii="仿宋" w:hAnsi="仿宋" w:eastAsia="仿宋"/>
          <w:b w:val="0"/>
          <w:color w:val="000000"/>
        </w:rPr>
      </w:pPr>
      <w:bookmarkStart w:id="60" w:name="_Toc15396622"/>
      <w:r>
        <w:rPr>
          <w:rStyle w:val="15"/>
          <w:rFonts w:hint="eastAsia" w:ascii="仿宋" w:hAnsi="仿宋" w:eastAsia="仿宋"/>
          <w:b w:val="0"/>
          <w:bCs w:val="0"/>
        </w:rPr>
        <w:t>四、</w:t>
      </w:r>
      <w:r>
        <w:rPr>
          <w:rFonts w:hint="eastAsia" w:ascii="仿宋" w:hAnsi="仿宋" w:eastAsia="仿宋"/>
          <w:b w:val="0"/>
          <w:color w:val="000000"/>
        </w:rPr>
        <w:t>财</w:t>
      </w:r>
      <w:r>
        <w:rPr>
          <w:rStyle w:val="15"/>
          <w:rFonts w:hint="eastAsia" w:ascii="仿宋" w:hAnsi="仿宋" w:eastAsia="仿宋"/>
          <w:b w:val="0"/>
          <w:bCs w:val="0"/>
        </w:rPr>
        <w:t>政拨款收入支出决算总表</w:t>
      </w:r>
      <w:bookmarkEnd w:id="60"/>
    </w:p>
    <w:p>
      <w:pPr>
        <w:pStyle w:val="3"/>
        <w:rPr>
          <w:rStyle w:val="15"/>
          <w:rFonts w:ascii="仿宋" w:hAnsi="仿宋" w:eastAsia="仿宋"/>
          <w:b w:val="0"/>
          <w:bCs w:val="0"/>
        </w:rPr>
      </w:pPr>
      <w:bookmarkStart w:id="61" w:name="_Toc15396623"/>
      <w:r>
        <w:rPr>
          <w:rStyle w:val="15"/>
          <w:rFonts w:hint="eastAsia" w:ascii="仿宋" w:hAnsi="仿宋" w:eastAsia="仿宋"/>
          <w:b w:val="0"/>
          <w:bCs w:val="0"/>
        </w:rPr>
        <w:t>五、</w:t>
      </w:r>
      <w:r>
        <w:rPr>
          <w:rFonts w:hint="eastAsia" w:ascii="仿宋" w:hAnsi="仿宋" w:eastAsia="仿宋"/>
          <w:b w:val="0"/>
          <w:color w:val="000000"/>
        </w:rPr>
        <w:t>财</w:t>
      </w:r>
      <w:r>
        <w:rPr>
          <w:rStyle w:val="15"/>
          <w:rFonts w:hint="eastAsia" w:ascii="仿宋" w:hAnsi="仿宋" w:eastAsia="仿宋"/>
          <w:b w:val="0"/>
          <w:bCs w:val="0"/>
        </w:rPr>
        <w:t>政拨款支出决算明细表</w:t>
      </w:r>
      <w:bookmarkEnd w:id="61"/>
      <w:bookmarkStart w:id="62" w:name="_Toc15396624"/>
    </w:p>
    <w:p>
      <w:pPr>
        <w:pStyle w:val="3"/>
        <w:rPr>
          <w:rFonts w:ascii="仿宋" w:hAnsi="仿宋" w:eastAsia="仿宋"/>
          <w:b w:val="0"/>
          <w:color w:val="000000"/>
        </w:rPr>
      </w:pPr>
      <w:r>
        <w:rPr>
          <w:rStyle w:val="15"/>
          <w:rFonts w:hint="eastAsia" w:ascii="仿宋" w:hAnsi="仿宋" w:eastAsia="仿宋"/>
          <w:b w:val="0"/>
          <w:bCs w:val="0"/>
        </w:rPr>
        <w:t>六、</w:t>
      </w:r>
      <w:r>
        <w:rPr>
          <w:rFonts w:hint="eastAsia" w:ascii="仿宋" w:hAnsi="仿宋" w:eastAsia="仿宋"/>
          <w:b w:val="0"/>
          <w:color w:val="000000"/>
        </w:rPr>
        <w:t>一</w:t>
      </w:r>
      <w:r>
        <w:rPr>
          <w:rStyle w:val="15"/>
          <w:rFonts w:hint="eastAsia" w:ascii="仿宋" w:hAnsi="仿宋" w:eastAsia="仿宋"/>
          <w:b w:val="0"/>
          <w:bCs w:val="0"/>
        </w:rPr>
        <w:t>般公共预算财政拨款支出决算表</w:t>
      </w:r>
      <w:bookmarkEnd w:id="62"/>
    </w:p>
    <w:p>
      <w:pPr>
        <w:pStyle w:val="3"/>
        <w:rPr>
          <w:rFonts w:ascii="仿宋" w:hAnsi="仿宋" w:eastAsia="仿宋"/>
          <w:b w:val="0"/>
          <w:color w:val="000000"/>
        </w:rPr>
      </w:pPr>
      <w:bookmarkStart w:id="63" w:name="_Toc15396625"/>
      <w:r>
        <w:rPr>
          <w:rStyle w:val="15"/>
          <w:rFonts w:hint="eastAsia" w:ascii="仿宋" w:hAnsi="仿宋" w:eastAsia="仿宋"/>
          <w:b w:val="0"/>
          <w:bCs w:val="0"/>
        </w:rPr>
        <w:t>七、</w:t>
      </w:r>
      <w:r>
        <w:rPr>
          <w:rFonts w:hint="eastAsia" w:ascii="仿宋" w:hAnsi="仿宋" w:eastAsia="仿宋"/>
          <w:b w:val="0"/>
          <w:color w:val="000000"/>
        </w:rPr>
        <w:t>一</w:t>
      </w:r>
      <w:r>
        <w:rPr>
          <w:rStyle w:val="15"/>
          <w:rFonts w:hint="eastAsia" w:ascii="仿宋" w:hAnsi="仿宋" w:eastAsia="仿宋"/>
          <w:b w:val="0"/>
          <w:bCs w:val="0"/>
        </w:rPr>
        <w:t>般公共预算财政拨款支出决算明细表</w:t>
      </w:r>
      <w:bookmarkEnd w:id="63"/>
    </w:p>
    <w:p>
      <w:pPr>
        <w:pStyle w:val="3"/>
        <w:rPr>
          <w:rFonts w:ascii="仿宋" w:hAnsi="仿宋" w:eastAsia="仿宋"/>
          <w:b w:val="0"/>
          <w:color w:val="000000"/>
        </w:rPr>
      </w:pPr>
      <w:bookmarkStart w:id="64" w:name="_Toc15396626"/>
      <w:r>
        <w:rPr>
          <w:rStyle w:val="15"/>
          <w:rFonts w:hint="eastAsia" w:ascii="仿宋" w:hAnsi="仿宋" w:eastAsia="仿宋"/>
          <w:b w:val="0"/>
          <w:bCs w:val="0"/>
        </w:rPr>
        <w:t>八、</w:t>
      </w:r>
      <w:r>
        <w:rPr>
          <w:rFonts w:hint="eastAsia" w:ascii="仿宋" w:hAnsi="仿宋" w:eastAsia="仿宋"/>
          <w:b w:val="0"/>
          <w:color w:val="000000"/>
        </w:rPr>
        <w:t>一</w:t>
      </w:r>
      <w:r>
        <w:rPr>
          <w:rStyle w:val="15"/>
          <w:rFonts w:hint="eastAsia" w:ascii="仿宋" w:hAnsi="仿宋" w:eastAsia="仿宋"/>
          <w:b w:val="0"/>
          <w:bCs w:val="0"/>
        </w:rPr>
        <w:t>般公共预算财政拨款基本支出决算表</w:t>
      </w:r>
      <w:bookmarkEnd w:id="64"/>
    </w:p>
    <w:p>
      <w:pPr>
        <w:pStyle w:val="3"/>
        <w:rPr>
          <w:rFonts w:ascii="仿宋" w:hAnsi="仿宋" w:eastAsia="仿宋"/>
          <w:b w:val="0"/>
          <w:color w:val="000000"/>
        </w:rPr>
      </w:pPr>
      <w:bookmarkStart w:id="65" w:name="_Toc15396627"/>
      <w:r>
        <w:rPr>
          <w:rStyle w:val="15"/>
          <w:rFonts w:hint="eastAsia" w:ascii="仿宋" w:hAnsi="仿宋" w:eastAsia="仿宋"/>
          <w:b w:val="0"/>
          <w:bCs w:val="0"/>
        </w:rPr>
        <w:t>九、</w:t>
      </w:r>
      <w:r>
        <w:rPr>
          <w:rFonts w:hint="eastAsia" w:ascii="仿宋" w:hAnsi="仿宋" w:eastAsia="仿宋"/>
          <w:b w:val="0"/>
          <w:color w:val="000000"/>
        </w:rPr>
        <w:t>一</w:t>
      </w:r>
      <w:r>
        <w:rPr>
          <w:rStyle w:val="15"/>
          <w:rFonts w:hint="eastAsia" w:ascii="仿宋" w:hAnsi="仿宋" w:eastAsia="仿宋"/>
          <w:b w:val="0"/>
          <w:bCs w:val="0"/>
        </w:rPr>
        <w:t>般公共预算财政拨款项目支出决算表</w:t>
      </w:r>
      <w:bookmarkEnd w:id="65"/>
    </w:p>
    <w:p>
      <w:pPr>
        <w:pStyle w:val="3"/>
        <w:rPr>
          <w:rFonts w:ascii="仿宋" w:hAnsi="仿宋" w:eastAsia="仿宋"/>
          <w:b w:val="0"/>
          <w:color w:val="000000"/>
        </w:rPr>
      </w:pPr>
      <w:bookmarkStart w:id="66" w:name="_Toc15396628"/>
      <w:r>
        <w:rPr>
          <w:rStyle w:val="15"/>
          <w:rFonts w:hint="eastAsia" w:ascii="仿宋" w:hAnsi="仿宋" w:eastAsia="仿宋"/>
          <w:b w:val="0"/>
          <w:bCs w:val="0"/>
        </w:rPr>
        <w:t>十、</w:t>
      </w:r>
      <w:r>
        <w:rPr>
          <w:rFonts w:hint="eastAsia" w:ascii="仿宋" w:hAnsi="仿宋" w:eastAsia="仿宋"/>
          <w:b w:val="0"/>
          <w:color w:val="000000"/>
        </w:rPr>
        <w:t>一</w:t>
      </w:r>
      <w:r>
        <w:rPr>
          <w:rStyle w:val="15"/>
          <w:rFonts w:hint="eastAsia" w:ascii="仿宋" w:hAnsi="仿宋" w:eastAsia="仿宋"/>
          <w:b w:val="0"/>
          <w:bCs w:val="0"/>
        </w:rPr>
        <w:t>般公共预算财政拨款“三公”经费支出决算表</w:t>
      </w:r>
      <w:bookmarkEnd w:id="66"/>
    </w:p>
    <w:p>
      <w:pPr>
        <w:pStyle w:val="3"/>
        <w:rPr>
          <w:rFonts w:ascii="仿宋" w:hAnsi="仿宋" w:eastAsia="仿宋"/>
          <w:b w:val="0"/>
          <w:color w:val="000000"/>
        </w:rPr>
      </w:pPr>
      <w:bookmarkStart w:id="67" w:name="_Toc15396629"/>
      <w:r>
        <w:rPr>
          <w:rStyle w:val="15"/>
          <w:rFonts w:hint="eastAsia" w:ascii="仿宋" w:hAnsi="仿宋" w:eastAsia="仿宋"/>
          <w:b w:val="0"/>
          <w:bCs w:val="0"/>
        </w:rPr>
        <w:t>十一、</w:t>
      </w:r>
      <w:r>
        <w:rPr>
          <w:rFonts w:hint="eastAsia" w:ascii="仿宋" w:hAnsi="仿宋" w:eastAsia="仿宋"/>
          <w:b w:val="0"/>
          <w:color w:val="000000"/>
        </w:rPr>
        <w:t>政</w:t>
      </w:r>
      <w:r>
        <w:rPr>
          <w:rStyle w:val="15"/>
          <w:rFonts w:hint="eastAsia" w:ascii="仿宋" w:hAnsi="仿宋" w:eastAsia="仿宋"/>
          <w:b w:val="0"/>
          <w:bCs w:val="0"/>
        </w:rPr>
        <w:t>府性基金预算财政拨款收入支出决算表</w:t>
      </w:r>
      <w:bookmarkEnd w:id="67"/>
    </w:p>
    <w:p>
      <w:pPr>
        <w:pStyle w:val="3"/>
        <w:rPr>
          <w:rFonts w:ascii="仿宋" w:hAnsi="仿宋" w:eastAsia="仿宋"/>
          <w:b w:val="0"/>
          <w:color w:val="000000"/>
        </w:rPr>
      </w:pPr>
      <w:bookmarkStart w:id="68" w:name="_Toc15396630"/>
      <w:r>
        <w:rPr>
          <w:rStyle w:val="15"/>
          <w:rFonts w:hint="eastAsia" w:ascii="仿宋" w:hAnsi="仿宋" w:eastAsia="仿宋"/>
          <w:b w:val="0"/>
          <w:bCs w:val="0"/>
        </w:rPr>
        <w:t>十二、</w:t>
      </w:r>
      <w:r>
        <w:rPr>
          <w:rFonts w:hint="eastAsia" w:ascii="仿宋" w:hAnsi="仿宋" w:eastAsia="仿宋"/>
          <w:b w:val="0"/>
          <w:color w:val="000000"/>
        </w:rPr>
        <w:t>政</w:t>
      </w:r>
      <w:r>
        <w:rPr>
          <w:rStyle w:val="15"/>
          <w:rFonts w:hint="eastAsia" w:ascii="仿宋" w:hAnsi="仿宋" w:eastAsia="仿宋"/>
          <w:b w:val="0"/>
          <w:bCs w:val="0"/>
        </w:rPr>
        <w:t>府性基金预算财政拨款“三公”经费支出决算表</w:t>
      </w:r>
      <w:bookmarkEnd w:id="68"/>
    </w:p>
    <w:p>
      <w:pPr>
        <w:pStyle w:val="3"/>
        <w:rPr>
          <w:rFonts w:ascii="仿宋" w:hAnsi="仿宋" w:eastAsia="仿宋"/>
          <w:b w:val="0"/>
          <w:color w:val="000000" w:themeColor="text1"/>
        </w:rPr>
      </w:pPr>
      <w:bookmarkStart w:id="69" w:name="_Toc15396631"/>
      <w:r>
        <w:rPr>
          <w:rStyle w:val="15"/>
          <w:rFonts w:hint="eastAsia" w:ascii="仿宋" w:hAnsi="仿宋" w:eastAsia="仿宋"/>
          <w:b w:val="0"/>
          <w:bCs w:val="0"/>
        </w:rPr>
        <w:t>十三、</w:t>
      </w:r>
      <w:r>
        <w:rPr>
          <w:rFonts w:hint="eastAsia" w:ascii="仿宋" w:hAnsi="仿宋" w:eastAsia="仿宋"/>
          <w:b w:val="0"/>
          <w:color w:val="000000"/>
        </w:rPr>
        <w:t>国</w:t>
      </w:r>
      <w:r>
        <w:rPr>
          <w:rStyle w:val="15"/>
          <w:rFonts w:hint="eastAsia" w:ascii="仿宋" w:hAnsi="仿宋" w:eastAsia="仿宋"/>
          <w:b w:val="0"/>
          <w:bCs w:val="0"/>
        </w:rPr>
        <w:t>有资本经营预算支出决算表</w:t>
      </w:r>
      <w:bookmarkEnd w:id="69"/>
    </w:p>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0000000000000000000"/>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97765"/>
      <w:docPartObj>
        <w:docPartGallery w:val="autotext"/>
      </w:docPartObj>
    </w:sdtPr>
    <w:sdtContent>
      <w:p>
        <w:pPr>
          <w:pStyle w:val="6"/>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33"/>
    <w:rsid w:val="0004187E"/>
    <w:rsid w:val="00095A4F"/>
    <w:rsid w:val="00114661"/>
    <w:rsid w:val="00150AD1"/>
    <w:rsid w:val="001665CD"/>
    <w:rsid w:val="00172B05"/>
    <w:rsid w:val="001A5B59"/>
    <w:rsid w:val="003B7BE0"/>
    <w:rsid w:val="003E0416"/>
    <w:rsid w:val="003E5DAE"/>
    <w:rsid w:val="0045031C"/>
    <w:rsid w:val="004D4DFE"/>
    <w:rsid w:val="004D7B93"/>
    <w:rsid w:val="004E04E1"/>
    <w:rsid w:val="005B367D"/>
    <w:rsid w:val="005C15E8"/>
    <w:rsid w:val="0060119C"/>
    <w:rsid w:val="00616135"/>
    <w:rsid w:val="00653E27"/>
    <w:rsid w:val="006D43BB"/>
    <w:rsid w:val="00724CC3"/>
    <w:rsid w:val="00841730"/>
    <w:rsid w:val="008763CB"/>
    <w:rsid w:val="008A3ECD"/>
    <w:rsid w:val="009A2B9C"/>
    <w:rsid w:val="009C07A7"/>
    <w:rsid w:val="00A413AC"/>
    <w:rsid w:val="00AA0F33"/>
    <w:rsid w:val="00AD09EC"/>
    <w:rsid w:val="00AE20D2"/>
    <w:rsid w:val="00B04EB7"/>
    <w:rsid w:val="00B14B5B"/>
    <w:rsid w:val="00B51F19"/>
    <w:rsid w:val="00B940FB"/>
    <w:rsid w:val="00BA611D"/>
    <w:rsid w:val="00BE67D7"/>
    <w:rsid w:val="00C02291"/>
    <w:rsid w:val="00C06A36"/>
    <w:rsid w:val="00CD451E"/>
    <w:rsid w:val="00D95E93"/>
    <w:rsid w:val="00E57D7D"/>
    <w:rsid w:val="00EA1E15"/>
    <w:rsid w:val="00F005D6"/>
    <w:rsid w:val="00F31987"/>
    <w:rsid w:val="00F72FC0"/>
    <w:rsid w:val="76171FEF"/>
    <w:rsid w:val="FEFE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99"/>
    <w:pPr>
      <w:spacing w:beforeLines="30"/>
    </w:pPr>
    <w:rPr>
      <w:rFonts w:ascii="仿宋_GB2312" w:eastAsia="仿宋_GB2312"/>
      <w:kern w:val="0"/>
      <w:sz w:val="30"/>
    </w:rPr>
  </w:style>
  <w:style w:type="paragraph" w:styleId="5">
    <w:name w:val="Balloon Text"/>
    <w:basedOn w:val="1"/>
    <w:link w:val="19"/>
    <w:semiHidden/>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Hyperlink"/>
    <w:basedOn w:val="11"/>
    <w:unhideWhenUsed/>
    <w:qFormat/>
    <w:uiPriority w:val="99"/>
    <w:rPr>
      <w:color w:val="0000FF" w:themeColor="hyperlink"/>
      <w:u w:val="single"/>
    </w:rPr>
  </w:style>
  <w:style w:type="character" w:customStyle="1" w:styleId="14">
    <w:name w:val="标题 1 Char"/>
    <w:basedOn w:val="11"/>
    <w:link w:val="2"/>
    <w:qFormat/>
    <w:uiPriority w:val="9"/>
    <w:rPr>
      <w:rFonts w:ascii="Times New Roman" w:hAnsi="Times New Roman" w:eastAsia="宋体" w:cs="Times New Roman"/>
      <w:b/>
      <w:bCs/>
      <w:kern w:val="44"/>
      <w:sz w:val="44"/>
      <w:szCs w:val="44"/>
    </w:rPr>
  </w:style>
  <w:style w:type="character" w:customStyle="1" w:styleId="15">
    <w:name w:val="标题 2 Char"/>
    <w:basedOn w:val="11"/>
    <w:link w:val="3"/>
    <w:qFormat/>
    <w:uiPriority w:val="9"/>
    <w:rPr>
      <w:rFonts w:asciiTheme="majorHAnsi" w:hAnsiTheme="majorHAnsi" w:eastAsiaTheme="majorEastAsia" w:cstheme="majorBidi"/>
      <w:b/>
      <w:bCs/>
      <w:sz w:val="32"/>
      <w:szCs w:val="32"/>
    </w:rPr>
  </w:style>
  <w:style w:type="character" w:customStyle="1" w:styleId="16">
    <w:name w:val="正文文本 Char"/>
    <w:basedOn w:val="11"/>
    <w:link w:val="4"/>
    <w:qFormat/>
    <w:uiPriority w:val="99"/>
    <w:rPr>
      <w:rFonts w:ascii="仿宋_GB2312" w:hAnsi="Times New Roman" w:eastAsia="仿宋_GB2312" w:cs="Times New Roman"/>
      <w:kern w:val="0"/>
      <w:sz w:val="30"/>
      <w:szCs w:val="24"/>
    </w:r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 w:type="paragraph" w:styleId="18">
    <w:name w:val="List Paragraph"/>
    <w:basedOn w:val="1"/>
    <w:qFormat/>
    <w:uiPriority w:val="34"/>
    <w:pPr>
      <w:ind w:firstLine="420" w:firstLineChars="200"/>
    </w:pPr>
  </w:style>
  <w:style w:type="character" w:customStyle="1" w:styleId="19">
    <w:name w:val="批注框文本 Char"/>
    <w:basedOn w:val="11"/>
    <w:link w:val="5"/>
    <w:semiHidden/>
    <w:qFormat/>
    <w:uiPriority w:val="99"/>
    <w:rPr>
      <w:rFonts w:ascii="Times New Roman" w:hAnsi="Times New Roman" w:eastAsia="宋体" w:cs="Times New Roman"/>
      <w:sz w:val="18"/>
      <w:szCs w:val="18"/>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页眉 Char"/>
    <w:basedOn w:val="11"/>
    <w:link w:val="7"/>
    <w:semiHidden/>
    <w:qFormat/>
    <w:uiPriority w:val="99"/>
    <w:rPr>
      <w:rFonts w:ascii="Times New Roman" w:hAnsi="Times New Roman" w:eastAsia="宋体" w:cs="Times New Roman"/>
      <w:sz w:val="18"/>
      <w:szCs w:val="18"/>
    </w:rPr>
  </w:style>
  <w:style w:type="character" w:customStyle="1" w:styleId="22">
    <w:name w:val="页脚 Char"/>
    <w:basedOn w:val="11"/>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2018年度</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收、支总计（万元）</c:v>
                </c:pt>
              </c:strCache>
            </c:strRef>
          </c:cat>
          <c:val>
            <c:numRef>
              <c:f>Sheet1!$B$2</c:f>
              <c:numCache>
                <c:formatCode>General</c:formatCode>
                <c:ptCount val="1"/>
                <c:pt idx="0">
                  <c:v>100.56</c:v>
                </c:pt>
              </c:numCache>
            </c:numRef>
          </c:val>
        </c:ser>
        <c:ser>
          <c:idx val="1"/>
          <c:order val="1"/>
          <c:tx>
            <c:strRef>
              <c:f>Sheet1!$C$1</c:f>
              <c:strCache>
                <c:ptCount val="1"/>
                <c:pt idx="0">
                  <c:v>2019年度</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收、支总计（万元）</c:v>
                </c:pt>
              </c:strCache>
            </c:strRef>
          </c:cat>
          <c:val>
            <c:numRef>
              <c:f>Sheet1!$C$2</c:f>
              <c:numCache>
                <c:formatCode>General</c:formatCode>
                <c:ptCount val="1"/>
                <c:pt idx="0">
                  <c:v>98.61</c:v>
                </c:pt>
              </c:numCache>
            </c:numRef>
          </c:val>
        </c:ser>
        <c:dLbls>
          <c:showLegendKey val="0"/>
          <c:showVal val="1"/>
          <c:showCatName val="0"/>
          <c:showSerName val="0"/>
          <c:showPercent val="0"/>
          <c:showBubbleSize val="0"/>
        </c:dLbls>
        <c:gapWidth val="150"/>
        <c:axId val="134294528"/>
        <c:axId val="134320896"/>
      </c:barChart>
      <c:catAx>
        <c:axId val="1342945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320896"/>
        <c:crosses val="autoZero"/>
        <c:auto val="1"/>
        <c:lblAlgn val="ctr"/>
        <c:lblOffset val="100"/>
        <c:noMultiLvlLbl val="0"/>
      </c:catAx>
      <c:valAx>
        <c:axId val="1343208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42945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2019年收入合计</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0982592983726789"/>
                  <c:y val="-0.2766839748746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98.61</a:t>
                    </a:r>
                    <a:r>
                      <a:rPr lang="zh-CN" altLang="en-US"/>
                      <a:t>万元</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一般公共预算财政拨款收入98.61万元，占100%</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98.61</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9291983216763"/>
          <c:y val="0.0371517027863779"/>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2019年支出合计</c:v>
                </c:pt>
              </c:strCache>
            </c:strRef>
          </c:tx>
          <c:explosion val="0"/>
          <c:dPt>
            <c:idx val="0"/>
            <c:bubble3D val="0"/>
          </c:dPt>
          <c:dPt>
            <c:idx val="1"/>
            <c:bubble3D val="0"/>
          </c:dPt>
          <c:dPt>
            <c:idx val="2"/>
            <c:bubble3D val="0"/>
          </c:dPt>
          <c:dPt>
            <c:idx val="3"/>
            <c:bubble3D val="0"/>
          </c:dPt>
          <c:dPt>
            <c:idx val="4"/>
            <c:bubble3D val="0"/>
          </c:dPt>
          <c:dLbls>
            <c:dLbl>
              <c:idx val="0"/>
              <c:layout>
                <c:manualLayout>
                  <c:x val="0.0119596686580804"/>
                  <c:y val="-0.29511225957436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98.19</a:t>
                    </a:r>
                    <a:r>
                      <a:rPr lang="zh-CN" altLang="en-US"/>
                      <a:t>万元</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0.42</a:t>
                    </a:r>
                    <a:r>
                      <a:rPr lang="zh-CN" altLang="en-US"/>
                      <a:t>万元</a:t>
                    </a:r>
                    <a:endParaRPr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基本支出98.19万元</c:v>
                </c:pt>
                <c:pt idx="1">
                  <c:v>项目支出0.42万元</c:v>
                </c:pt>
                <c:pt idx="2">
                  <c:v>上缴上级支出</c:v>
                </c:pt>
                <c:pt idx="3">
                  <c:v>经营支出</c:v>
                </c:pt>
                <c:pt idx="4">
                  <c:v>对附属单位补助支出</c:v>
                </c:pt>
              </c:strCache>
            </c:strRef>
          </c:cat>
          <c:val>
            <c:numRef>
              <c:f>Sheet1!$B$2:$B$6</c:f>
              <c:numCache>
                <c:formatCode>General</c:formatCode>
                <c:ptCount val="5"/>
                <c:pt idx="0">
                  <c:v>98.19</c:v>
                </c:pt>
                <c:pt idx="1">
                  <c:v>0.42</c:v>
                </c:pt>
                <c:pt idx="2">
                  <c:v>0</c:v>
                </c:pt>
                <c:pt idx="3">
                  <c:v>0</c:v>
                </c:pt>
                <c:pt idx="4">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27944887577712"/>
          <c:y val="0.380258891787133"/>
          <c:w val="0.257607724991515"/>
          <c:h val="0.37322834645669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640230428913"/>
          <c:y val="0.0798142239654991"/>
          <c:w val="0.737252834828764"/>
          <c:h val="0.780032979148982"/>
        </c:manualLayout>
      </c:layout>
      <c:barChart>
        <c:barDir val="col"/>
        <c:grouping val="clustered"/>
        <c:varyColors val="0"/>
        <c:ser>
          <c:idx val="0"/>
          <c:order val="0"/>
          <c:tx>
            <c:strRef>
              <c:f>Sheet1!$B$1</c:f>
              <c:strCache>
                <c:ptCount val="1"/>
                <c:pt idx="0">
                  <c:v>2018年</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100.56</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财政拨款收、支总计（万元）</c:v>
                </c:pt>
              </c:strCache>
            </c:strRef>
          </c:cat>
          <c:val>
            <c:numRef>
              <c:f>Sheet1!$B$2</c:f>
              <c:numCache>
                <c:formatCode>General</c:formatCode>
                <c:ptCount val="1"/>
                <c:pt idx="0">
                  <c:v>100.55</c:v>
                </c:pt>
              </c:numCache>
            </c:numRef>
          </c:val>
        </c:ser>
        <c:ser>
          <c:idx val="1"/>
          <c:order val="1"/>
          <c:tx>
            <c:strRef>
              <c:f>Sheet1!$C$1</c:f>
              <c:strCache>
                <c:ptCount val="1"/>
                <c:pt idx="0">
                  <c:v>2019年</c:v>
                </c:pt>
              </c:strCache>
            </c:strRef>
          </c:tx>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98.61</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财政拨款收、支总计（万元）</c:v>
                </c:pt>
              </c:strCache>
            </c:strRef>
          </c:cat>
          <c:val>
            <c:numRef>
              <c:f>Sheet1!$C$2</c:f>
              <c:numCache>
                <c:formatCode>General</c:formatCode>
                <c:ptCount val="1"/>
                <c:pt idx="0">
                  <c:v>98.6</c:v>
                </c:pt>
              </c:numCache>
            </c:numRef>
          </c:val>
        </c:ser>
        <c:dLbls>
          <c:showLegendKey val="0"/>
          <c:showVal val="1"/>
          <c:showCatName val="0"/>
          <c:showSerName val="0"/>
          <c:showPercent val="0"/>
          <c:showBubbleSize val="0"/>
        </c:dLbls>
        <c:gapWidth val="150"/>
        <c:axId val="138189824"/>
        <c:axId val="138633984"/>
      </c:barChart>
      <c:catAx>
        <c:axId val="1381898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8633984"/>
        <c:crosses val="autoZero"/>
        <c:auto val="1"/>
        <c:lblAlgn val="ctr"/>
        <c:lblOffset val="100"/>
        <c:noMultiLvlLbl val="0"/>
      </c:catAx>
      <c:valAx>
        <c:axId val="1386339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81898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一般公共预算财政拨款支出(万元)</c:v>
                </c:pt>
              </c:strCache>
            </c:strRef>
          </c:cat>
          <c:val>
            <c:numRef>
              <c:f>Sheet1!$B$2</c:f>
              <c:numCache>
                <c:formatCode>General</c:formatCode>
                <c:ptCount val="1"/>
                <c:pt idx="0">
                  <c:v>100.56</c:v>
                </c:pt>
              </c:numCache>
            </c:numRef>
          </c:val>
        </c:ser>
        <c:ser>
          <c:idx val="1"/>
          <c:order val="1"/>
          <c:tx>
            <c:strRef>
              <c:f>Sheet1!$C$1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一般公共预算财政拨款支出(万元)</c:v>
                </c:pt>
              </c:strCache>
            </c:strRef>
          </c:cat>
          <c:val>
            <c:numRef>
              <c:f>Sheet1!$C$2</c:f>
              <c:numCache>
                <c:formatCode>General</c:formatCode>
                <c:ptCount val="1"/>
                <c:pt idx="0">
                  <c:v>98.61</c:v>
                </c:pt>
              </c:numCache>
            </c:numRef>
          </c:val>
        </c:ser>
        <c:dLbls>
          <c:showLegendKey val="0"/>
          <c:showVal val="1"/>
          <c:showCatName val="0"/>
          <c:showSerName val="0"/>
          <c:showPercent val="0"/>
          <c:showBubbleSize val="0"/>
        </c:dLbls>
        <c:gapWidth val="150"/>
        <c:axId val="138504064"/>
        <c:axId val="138505600"/>
      </c:barChart>
      <c:catAx>
        <c:axId val="1385040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8505600"/>
        <c:crosses val="autoZero"/>
        <c:auto val="1"/>
        <c:lblAlgn val="ctr"/>
        <c:lblOffset val="100"/>
        <c:noMultiLvlLbl val="0"/>
      </c:catAx>
      <c:valAx>
        <c:axId val="1385056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85040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0441347270615564"/>
          <c:y val="0.208294930875577"/>
          <c:w val="0.59465737514518"/>
          <c:h val="0.76098310291859"/>
        </c:manualLayout>
      </c:layout>
      <c:pieChart>
        <c:varyColors val="1"/>
        <c:ser>
          <c:idx val="0"/>
          <c:order val="0"/>
          <c:tx>
            <c:strRef>
              <c:f>Sheet1!$B$1</c:f>
              <c:strCache>
                <c:ptCount val="1"/>
                <c:pt idx="0">
                  <c:v>2019年一般公共预算财政拨款支出98.61万元</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dLbl>
              <c:idx val="0"/>
              <c:delete val="1"/>
            </c:dLbl>
            <c:dLbl>
              <c:idx val="1"/>
              <c:delete val="1"/>
            </c:dLbl>
            <c:dLbl>
              <c:idx val="2"/>
              <c:delete val="1"/>
            </c:dLbl>
            <c:dLbl>
              <c:idx val="3"/>
              <c:delete val="1"/>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85.85</a:t>
                    </a:r>
                    <a:r>
                      <a:rPr lang="zh-CN" altLang="en-US"/>
                      <a:t>万元</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0.100393243527486"/>
                  <c:y val="0.049916421737605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5.17</a:t>
                    </a:r>
                    <a:r>
                      <a:rPr lang="zh-CN" altLang="zh-CN" sz="1000" b="0" i="0" u="none" strike="noStrike" baseline="0"/>
                      <a:t>万元</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7.17</a:t>
                    </a:r>
                    <a:r>
                      <a:rPr lang="zh-CN" altLang="en-US"/>
                      <a:t>万元</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7"/>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0.42</a:t>
                    </a:r>
                    <a:r>
                      <a:rPr lang="zh-CN" altLang="en-US"/>
                      <a:t>万元</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Sheet1!$A$2:$A$9</c:f>
              <c:strCache>
                <c:ptCount val="8"/>
                <c:pt idx="0">
                  <c:v>一般公共服务（类）支出</c:v>
                </c:pt>
                <c:pt idx="1">
                  <c:v>教育支出（类）</c:v>
                </c:pt>
                <c:pt idx="2">
                  <c:v>科学技术（类）支出</c:v>
                </c:pt>
                <c:pt idx="3">
                  <c:v>文化旅游体育与传媒（类）支出</c:v>
                </c:pt>
                <c:pt idx="4">
                  <c:v>社会保障和就业（208）支出占87%</c:v>
                </c:pt>
                <c:pt idx="5">
                  <c:v>卫生健康支出占5.3%</c:v>
                </c:pt>
                <c:pt idx="6">
                  <c:v>住房保障支出占7.3%</c:v>
                </c:pt>
                <c:pt idx="7">
                  <c:v>农林水支出占0.4%</c:v>
                </c:pt>
              </c:strCache>
            </c:strRef>
          </c:cat>
          <c:val>
            <c:numRef>
              <c:f>Sheet1!$B$2:$B$9</c:f>
              <c:numCache>
                <c:formatCode>General</c:formatCode>
                <c:ptCount val="8"/>
                <c:pt idx="0">
                  <c:v>0</c:v>
                </c:pt>
                <c:pt idx="1">
                  <c:v>0</c:v>
                </c:pt>
                <c:pt idx="2">
                  <c:v>0</c:v>
                </c:pt>
                <c:pt idx="3">
                  <c:v>0</c:v>
                </c:pt>
                <c:pt idx="4">
                  <c:v>85.85</c:v>
                </c:pt>
                <c:pt idx="5">
                  <c:v>5.17</c:v>
                </c:pt>
                <c:pt idx="6">
                  <c:v>7.71</c:v>
                </c:pt>
                <c:pt idx="7">
                  <c:v>0.42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2019年“三公”经费财政拨款支出（万元）</c:v>
                </c:pt>
              </c:strCache>
            </c:strRef>
          </c:tx>
          <c:explosion val="0"/>
          <c:dPt>
            <c:idx val="0"/>
            <c:bubble3D val="0"/>
          </c:dPt>
          <c:dPt>
            <c:idx val="1"/>
            <c:bubble3D val="0"/>
          </c:dPt>
          <c:dPt>
            <c:idx val="2"/>
            <c:bubble3D val="0"/>
          </c:dPt>
          <c:dLbls>
            <c:dLbl>
              <c:idx val="0"/>
              <c:delete val="1"/>
            </c:dLbl>
            <c:dLbl>
              <c:idx val="1"/>
              <c:layout>
                <c:manualLayout>
                  <c:x val="-0.000982782581987031"/>
                  <c:y val="-0.33341166719485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2.5</a:t>
                    </a:r>
                    <a:r>
                      <a:rPr lang="zh-CN" altLang="en-US"/>
                      <a:t>万元</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因公出国（境）费支出决算</c:v>
                </c:pt>
                <c:pt idx="1">
                  <c:v>公务用车购置及运行维护费支出决算（占100%）</c:v>
                </c:pt>
                <c:pt idx="2">
                  <c:v>公务接待费支出决算</c:v>
                </c:pt>
              </c:strCache>
            </c:strRef>
          </c:cat>
          <c:val>
            <c:numRef>
              <c:f>Sheet1!$B$2:$B$4</c:f>
              <c:numCache>
                <c:formatCode>General</c:formatCode>
                <c:ptCount val="3"/>
                <c:pt idx="0">
                  <c:v>0</c:v>
                </c:pt>
                <c:pt idx="1">
                  <c:v>2.5</c:v>
                </c:pt>
                <c:pt idx="2">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1421</Words>
  <Characters>8101</Characters>
  <Lines>67</Lines>
  <Paragraphs>19</Paragraphs>
  <TotalTime>117</TotalTime>
  <ScaleCrop>false</ScaleCrop>
  <LinksUpToDate>false</LinksUpToDate>
  <CharactersWithSpaces>9503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2020-09-20T16:58:00Z</dcterms:created>
  <dc:creator>微软用户</dc:creator>
  <cp:lastModifiedBy>user</cp:lastModifiedBy>
  <cp:lastPrinted>2020-09-21T15:48:00Z</cp:lastPrinted>
  <dcterms:modified xsi:type="dcterms:W3CDTF">2026-05-09T09:25:24Z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