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简体" w:eastAsia="方正小标宋简体"/>
          <w:sz w:val="72"/>
          <w:szCs w:val="72"/>
        </w:rPr>
      </w:pPr>
      <w:bookmarkStart w:id="1" w:name="_Toc15378441"/>
      <w:bookmarkStart w:id="2" w:name="_Toc15396475"/>
      <w:bookmarkStart w:id="3" w:name="_Toc15396597"/>
      <w:bookmarkStart w:id="4" w:name="_Toc15377193"/>
      <w:bookmarkStart w:id="5" w:name="_Toc15377425"/>
      <w:r>
        <w:rPr>
          <w:rFonts w:hint="eastAsia" w:ascii="方正小标宋简体" w:eastAsia="方正小标宋简体"/>
          <w:sz w:val="72"/>
          <w:szCs w:val="72"/>
        </w:rPr>
        <w:t>202</w:t>
      </w:r>
      <w:r>
        <w:rPr>
          <w:rFonts w:hint="eastAsia" w:ascii="方正小标宋简体" w:eastAsia="方正小标宋简体"/>
          <w:sz w:val="72"/>
          <w:szCs w:val="72"/>
          <w:lang w:val="en-US" w:eastAsia="zh-CN"/>
        </w:rPr>
        <w:t>1</w:t>
      </w:r>
      <w:r>
        <w:rPr>
          <w:rFonts w:hint="eastAsia" w:ascii="方正小标宋简体" w:eastAsia="方正小标宋简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194"/>
      <w:bookmarkStart w:id="8" w:name="_Toc15396476"/>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红十字会</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bookmarkStart w:id="163" w:name="_GoBack"/>
      <w:bookmarkEnd w:id="163"/>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hint="eastAsia" w:ascii="仿宋" w:hAnsi="仿宋" w:eastAsia="仿宋" w:cs="仿宋"/>
          <w:color w:val="000000"/>
          <w:sz w:val="32"/>
          <w:szCs w:val="32"/>
        </w:rPr>
      </w:pPr>
      <w:r>
        <w:rPr>
          <w:rFonts w:ascii="方正小标宋简体" w:hAnsi="宋体" w:eastAsia="方正小标宋简体"/>
          <w:sz w:val="36"/>
          <w:szCs w:val="36"/>
        </w:rPr>
        <w:br w:type="page"/>
      </w:r>
      <w:r>
        <w:rPr>
          <w:rFonts w:hint="eastAsia" w:ascii="仿宋" w:hAnsi="仿宋" w:eastAsia="仿宋" w:cs="仿宋"/>
          <w:color w:val="000000"/>
          <w:sz w:val="32"/>
          <w:szCs w:val="32"/>
        </w:rPr>
        <w:t>目录</w:t>
      </w:r>
    </w:p>
    <w:p>
      <w:pPr>
        <w:pStyle w:val="13"/>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公开时间：202</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rPr>
        <w:t>日</w:t>
      </w:r>
    </w:p>
    <w:p>
      <w:pPr>
        <w:pStyle w:val="13"/>
        <w:tabs>
          <w:tab w:val="right" w:leader="dot" w:pos="8306"/>
        </w:tabs>
        <w:rPr>
          <w:rFonts w:hint="eastAsia" w:ascii="仿宋" w:hAnsi="仿宋" w:eastAsia="仿宋" w:cs="仿宋"/>
          <w:sz w:val="32"/>
          <w:szCs w:val="32"/>
        </w:rPr>
      </w:pPr>
      <w:r>
        <w:rPr>
          <w:rFonts w:hint="eastAsia" w:ascii="仿宋" w:hAnsi="仿宋" w:eastAsia="仿宋" w:cs="仿宋"/>
          <w:b w:val="0"/>
          <w:sz w:val="32"/>
          <w:szCs w:val="32"/>
        </w:rPr>
        <w:fldChar w:fldCharType="begin"/>
      </w:r>
      <w:r>
        <w:rPr>
          <w:rFonts w:hint="eastAsia" w:ascii="仿宋" w:hAnsi="仿宋" w:eastAsia="仿宋" w:cs="仿宋"/>
          <w:b w:val="0"/>
          <w:sz w:val="32"/>
          <w:szCs w:val="32"/>
        </w:rPr>
        <w:instrText xml:space="preserve"> TOC \o \u </w:instrText>
      </w:r>
      <w:r>
        <w:rPr>
          <w:rFonts w:hint="eastAsia" w:ascii="仿宋" w:hAnsi="仿宋" w:eastAsia="仿宋" w:cs="仿宋"/>
          <w:b w:val="0"/>
          <w:sz w:val="32"/>
          <w:szCs w:val="32"/>
        </w:rPr>
        <w:fldChar w:fldCharType="separate"/>
      </w:r>
      <w:r>
        <w:rPr>
          <w:rFonts w:hint="eastAsia" w:ascii="仿宋" w:hAnsi="仿宋" w:eastAsia="仿宋" w:cs="仿宋"/>
          <w:sz w:val="32"/>
          <w:szCs w:val="32"/>
        </w:rPr>
        <w:t xml:space="preserve">第一部分 </w:t>
      </w:r>
      <w:r>
        <w:rPr>
          <w:rFonts w:hint="eastAsia" w:ascii="仿宋" w:hAnsi="仿宋" w:eastAsia="仿宋" w:cs="仿宋"/>
          <w:bCs w:val="0"/>
          <w:sz w:val="32"/>
          <w:szCs w:val="32"/>
        </w:rPr>
        <w:t>部门概况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_Toc16219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一、基</w:t>
      </w:r>
      <w:r>
        <w:rPr>
          <w:rFonts w:hint="eastAsia" w:ascii="仿宋" w:hAnsi="仿宋" w:eastAsia="仿宋" w:cs="仿宋"/>
          <w:bCs w:val="0"/>
          <w:sz w:val="32"/>
          <w:szCs w:val="32"/>
        </w:rPr>
        <w:t>本职能及主要工作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_Toc22047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color w:val="000000"/>
          <w:sz w:val="32"/>
          <w:szCs w:val="32"/>
        </w:rPr>
        <w:t>（一）主要职能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_Toc5450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color w:val="000000"/>
          <w:sz w:val="32"/>
          <w:szCs w:val="32"/>
        </w:rPr>
        <w:t>（二）202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年重点工作完成情况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_Toc8917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二、机</w:t>
      </w:r>
      <w:r>
        <w:rPr>
          <w:rFonts w:hint="eastAsia" w:ascii="仿宋" w:hAnsi="仿宋" w:eastAsia="仿宋" w:cs="仿宋"/>
          <w:bCs w:val="0"/>
          <w:sz w:val="32"/>
          <w:szCs w:val="32"/>
        </w:rPr>
        <w:t>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_Toc22720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 xml:space="preserve">第二部分 </w:t>
      </w:r>
      <w:r>
        <w:rPr>
          <w:rFonts w:hint="eastAsia" w:ascii="仿宋" w:hAnsi="仿宋" w:eastAsia="仿宋" w:cs="仿宋"/>
          <w:bCs w:val="0"/>
          <w:sz w:val="32"/>
          <w:szCs w:val="32"/>
        </w:rPr>
        <w:t>202</w:t>
      </w:r>
      <w:r>
        <w:rPr>
          <w:rFonts w:hint="eastAsia" w:ascii="仿宋" w:hAnsi="仿宋" w:eastAsia="仿宋" w:cs="仿宋"/>
          <w:bCs w:val="0"/>
          <w:sz w:val="32"/>
          <w:szCs w:val="32"/>
          <w:lang w:val="en-US" w:eastAsia="zh-CN"/>
        </w:rPr>
        <w:t>1</w:t>
      </w:r>
      <w:r>
        <w:rPr>
          <w:rFonts w:hint="eastAsia" w:ascii="仿宋" w:hAnsi="仿宋" w:eastAsia="仿宋" w:cs="仿宋"/>
          <w:bCs w:val="0"/>
          <w:sz w:val="32"/>
          <w:szCs w:val="32"/>
        </w:rPr>
        <w:t>年度部门决算情况说明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_Toc7244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sz w:val="32"/>
          <w:szCs w:val="32"/>
        </w:rPr>
        <w:t xml:space="preserve">一、 </w:t>
      </w:r>
      <w:r>
        <w:rPr>
          <w:rFonts w:hint="eastAsia" w:ascii="仿宋" w:hAnsi="仿宋" w:eastAsia="仿宋" w:cs="仿宋"/>
          <w:color w:val="000000"/>
          <w:sz w:val="32"/>
          <w:szCs w:val="32"/>
        </w:rPr>
        <w:t>收</w:t>
      </w:r>
      <w:r>
        <w:rPr>
          <w:rFonts w:hint="eastAsia" w:ascii="仿宋" w:hAnsi="仿宋" w:eastAsia="仿宋" w:cs="仿宋"/>
          <w:sz w:val="32"/>
          <w:szCs w:val="32"/>
        </w:rPr>
        <w:t>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_Toc24302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sz w:val="32"/>
          <w:szCs w:val="32"/>
        </w:rPr>
        <w:t xml:space="preserve">二、 </w:t>
      </w:r>
      <w:r>
        <w:rPr>
          <w:rFonts w:hint="eastAsia" w:ascii="仿宋" w:hAnsi="仿宋" w:eastAsia="仿宋" w:cs="仿宋"/>
          <w:color w:val="000000"/>
          <w:sz w:val="32"/>
          <w:szCs w:val="32"/>
        </w:rPr>
        <w:t>收</w:t>
      </w:r>
      <w:r>
        <w:rPr>
          <w:rFonts w:hint="eastAsia" w:ascii="仿宋" w:hAnsi="仿宋" w:eastAsia="仿宋" w:cs="仿宋"/>
          <w:sz w:val="32"/>
          <w:szCs w:val="32"/>
        </w:rPr>
        <w:t>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_Toc30627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sz w:val="32"/>
          <w:szCs w:val="32"/>
        </w:rPr>
        <w:t xml:space="preserve">三、 </w:t>
      </w:r>
      <w:r>
        <w:rPr>
          <w:rFonts w:hint="eastAsia" w:ascii="仿宋" w:hAnsi="仿宋" w:eastAsia="仿宋" w:cs="仿宋"/>
          <w:color w:val="000000"/>
          <w:sz w:val="32"/>
          <w:szCs w:val="32"/>
        </w:rPr>
        <w:t>支</w:t>
      </w:r>
      <w:r>
        <w:rPr>
          <w:rFonts w:hint="eastAsia" w:ascii="仿宋" w:hAnsi="仿宋" w:eastAsia="仿宋" w:cs="仿宋"/>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_Toc12902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四、财</w:t>
      </w:r>
      <w:r>
        <w:rPr>
          <w:rFonts w:hint="eastAsia" w:ascii="仿宋" w:hAnsi="仿宋" w:eastAsia="仿宋" w:cs="仿宋"/>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_Toc16230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五、一</w:t>
      </w:r>
      <w:r>
        <w:rPr>
          <w:rFonts w:hint="eastAsia" w:ascii="仿宋" w:hAnsi="仿宋" w:eastAsia="仿宋" w:cs="仿宋"/>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_Toc15548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（一）一般公共预算财政拨款支出决算总体情况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_Toc814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（二）一般公共预算财政拨款支出决算结构情况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_Toc12844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（三）一般公共预算财政拨款支出决算具体情况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_Toc9506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六、一</w:t>
      </w:r>
      <w:r>
        <w:rPr>
          <w:rFonts w:hint="eastAsia" w:ascii="仿宋" w:hAnsi="仿宋" w:eastAsia="仿宋" w:cs="仿宋"/>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_Toc30621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七、</w:t>
      </w:r>
      <w:r>
        <w:rPr>
          <w:rFonts w:hint="eastAsia" w:ascii="仿宋" w:hAnsi="仿宋" w:eastAsia="仿宋" w:cs="仿宋"/>
          <w:sz w:val="32"/>
          <w:szCs w:val="32"/>
        </w:rPr>
        <w:t>“三公”经费财政拨款支出决算情况说明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_Toc15495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（一）“三公”经费财政拨款支出决算总体情况说明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_Toc15725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（二）“三公”经费财政拨款支出决算具体情况说明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_Toc32190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_Toc7660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_Toc23406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_Toc17527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（一）机关运行经费支出情况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_Toc29088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（二）政府采购支出情况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（三）国有资产占有使用情况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_Toc4888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（四）预算绩效管理情况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_Toc8767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t xml:space="preserve">第三部分 </w:t>
      </w:r>
      <w:r>
        <w:rPr>
          <w:rFonts w:hint="eastAsia" w:ascii="仿宋" w:hAnsi="仿宋" w:eastAsia="仿宋" w:cs="仿宋"/>
          <w:color w:val="000000"/>
          <w:sz w:val="32"/>
          <w:szCs w:val="32"/>
        </w:rPr>
        <w:t>名</w:t>
      </w:r>
      <w:r>
        <w:rPr>
          <w:rFonts w:hint="eastAsia" w:ascii="仿宋" w:hAnsi="仿宋" w:eastAsia="仿宋" w:cs="仿宋"/>
          <w:sz w:val="32"/>
          <w:szCs w:val="32"/>
        </w:rPr>
        <w:t>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_Toc21050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第</w:t>
      </w:r>
      <w:r>
        <w:rPr>
          <w:rFonts w:hint="eastAsia" w:ascii="仿宋" w:hAnsi="仿宋" w:eastAsia="仿宋" w:cs="仿宋"/>
          <w:sz w:val="32"/>
          <w:szCs w:val="32"/>
        </w:rPr>
        <w:t>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_Toc25128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_Toc27183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bCs/>
          <w:sz w:val="32"/>
          <w:szCs w:val="32"/>
        </w:rPr>
        <w:t>茂县红十字会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_Toc9299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p>
    <w:p>
      <w:pPr>
        <w:pStyle w:val="13"/>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第</w:t>
      </w:r>
      <w:r>
        <w:rPr>
          <w:rFonts w:hint="eastAsia" w:ascii="仿宋" w:hAnsi="仿宋" w:eastAsia="仿宋" w:cs="仿宋"/>
          <w:sz w:val="32"/>
          <w:szCs w:val="32"/>
        </w:rPr>
        <w:t>五部分 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_Toc21040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一、收</w:t>
      </w:r>
      <w:r>
        <w:rPr>
          <w:rFonts w:hint="eastAsia" w:ascii="仿宋" w:hAnsi="仿宋" w:eastAsia="仿宋" w:cs="仿宋"/>
          <w:bCs w:val="0"/>
          <w:sz w:val="32"/>
          <w:szCs w:val="32"/>
        </w:rPr>
        <w:t>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_Toc31471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color w:val="000000"/>
          <w:sz w:val="32"/>
          <w:szCs w:val="32"/>
        </w:rPr>
        <w:t>二、收</w:t>
      </w:r>
      <w:r>
        <w:rPr>
          <w:rFonts w:hint="eastAsia" w:ascii="仿宋" w:hAnsi="仿宋" w:eastAsia="仿宋" w:cs="仿宋"/>
          <w:bCs w:val="0"/>
          <w:sz w:val="32"/>
          <w:szCs w:val="32"/>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_Toc21531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三、</w:t>
      </w:r>
      <w:r>
        <w:rPr>
          <w:rFonts w:hint="eastAsia" w:ascii="仿宋" w:hAnsi="仿宋" w:eastAsia="仿宋" w:cs="仿宋"/>
          <w:color w:val="000000"/>
          <w:sz w:val="32"/>
          <w:szCs w:val="32"/>
        </w:rPr>
        <w:t>支</w:t>
      </w:r>
      <w:r>
        <w:rPr>
          <w:rFonts w:hint="eastAsia" w:ascii="仿宋" w:hAnsi="仿宋" w:eastAsia="仿宋" w:cs="仿宋"/>
          <w:bCs w:val="0"/>
          <w:sz w:val="32"/>
          <w:szCs w:val="32"/>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_Toc20239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四、</w:t>
      </w:r>
      <w:r>
        <w:rPr>
          <w:rFonts w:hint="eastAsia" w:ascii="仿宋" w:hAnsi="仿宋" w:eastAsia="仿宋" w:cs="仿宋"/>
          <w:color w:val="000000"/>
          <w:sz w:val="32"/>
          <w:szCs w:val="32"/>
        </w:rPr>
        <w:t>财</w:t>
      </w:r>
      <w:r>
        <w:rPr>
          <w:rFonts w:hint="eastAsia" w:ascii="仿宋" w:hAnsi="仿宋" w:eastAsia="仿宋" w:cs="仿宋"/>
          <w:bCs w:val="0"/>
          <w:sz w:val="32"/>
          <w:szCs w:val="32"/>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_Toc2237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五、</w:t>
      </w:r>
      <w:r>
        <w:rPr>
          <w:rFonts w:hint="eastAsia" w:ascii="仿宋" w:hAnsi="仿宋" w:eastAsia="仿宋" w:cs="仿宋"/>
          <w:color w:val="000000"/>
          <w:sz w:val="32"/>
          <w:szCs w:val="32"/>
        </w:rPr>
        <w:t>财</w:t>
      </w:r>
      <w:r>
        <w:rPr>
          <w:rFonts w:hint="eastAsia" w:ascii="仿宋" w:hAnsi="仿宋" w:eastAsia="仿宋" w:cs="仿宋"/>
          <w:bCs w:val="0"/>
          <w:sz w:val="32"/>
          <w:szCs w:val="32"/>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_Toc25153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六、</w:t>
      </w:r>
      <w:r>
        <w:rPr>
          <w:rFonts w:hint="eastAsia" w:ascii="仿宋" w:hAnsi="仿宋" w:eastAsia="仿宋" w:cs="仿宋"/>
          <w:color w:val="000000"/>
          <w:sz w:val="32"/>
          <w:szCs w:val="32"/>
        </w:rPr>
        <w:t>一</w:t>
      </w:r>
      <w:r>
        <w:rPr>
          <w:rFonts w:hint="eastAsia" w:ascii="仿宋" w:hAnsi="仿宋" w:eastAsia="仿宋" w:cs="仿宋"/>
          <w:bCs w:val="0"/>
          <w:sz w:val="32"/>
          <w:szCs w:val="32"/>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_Toc28544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七、</w:t>
      </w:r>
      <w:r>
        <w:rPr>
          <w:rFonts w:hint="eastAsia" w:ascii="仿宋" w:hAnsi="仿宋" w:eastAsia="仿宋" w:cs="仿宋"/>
          <w:color w:val="000000"/>
          <w:sz w:val="32"/>
          <w:szCs w:val="32"/>
        </w:rPr>
        <w:t>一</w:t>
      </w:r>
      <w:r>
        <w:rPr>
          <w:rFonts w:hint="eastAsia" w:ascii="仿宋" w:hAnsi="仿宋" w:eastAsia="仿宋" w:cs="仿宋"/>
          <w:bCs w:val="0"/>
          <w:sz w:val="32"/>
          <w:szCs w:val="32"/>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_Toc12820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八、</w:t>
      </w:r>
      <w:r>
        <w:rPr>
          <w:rFonts w:hint="eastAsia" w:ascii="仿宋" w:hAnsi="仿宋" w:eastAsia="仿宋" w:cs="仿宋"/>
          <w:color w:val="000000"/>
          <w:sz w:val="32"/>
          <w:szCs w:val="32"/>
        </w:rPr>
        <w:t>一</w:t>
      </w:r>
      <w:r>
        <w:rPr>
          <w:rFonts w:hint="eastAsia" w:ascii="仿宋" w:hAnsi="仿宋" w:eastAsia="仿宋" w:cs="仿宋"/>
          <w:bCs w:val="0"/>
          <w:sz w:val="32"/>
          <w:szCs w:val="32"/>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_Toc17491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九、</w:t>
      </w:r>
      <w:r>
        <w:rPr>
          <w:rFonts w:hint="eastAsia" w:ascii="仿宋" w:hAnsi="仿宋" w:eastAsia="仿宋" w:cs="仿宋"/>
          <w:color w:val="000000"/>
          <w:sz w:val="32"/>
          <w:szCs w:val="32"/>
        </w:rPr>
        <w:t>一</w:t>
      </w:r>
      <w:r>
        <w:rPr>
          <w:rFonts w:hint="eastAsia" w:ascii="仿宋" w:hAnsi="仿宋" w:eastAsia="仿宋" w:cs="仿宋"/>
          <w:bCs w:val="0"/>
          <w:sz w:val="32"/>
          <w:szCs w:val="32"/>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_Toc29908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十、</w:t>
      </w:r>
      <w:r>
        <w:rPr>
          <w:rFonts w:hint="eastAsia" w:ascii="仿宋" w:hAnsi="仿宋" w:eastAsia="仿宋" w:cs="仿宋"/>
          <w:color w:val="000000"/>
          <w:sz w:val="32"/>
          <w:szCs w:val="32"/>
        </w:rPr>
        <w:t>一</w:t>
      </w:r>
      <w:r>
        <w:rPr>
          <w:rFonts w:hint="eastAsia" w:ascii="仿宋" w:hAnsi="仿宋" w:eastAsia="仿宋" w:cs="仿宋"/>
          <w:bCs w:val="0"/>
          <w:sz w:val="32"/>
          <w:szCs w:val="32"/>
        </w:rPr>
        <w:t>般公共预算财政拨款“三公”经费支出决算表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_Toc3591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十一、</w:t>
      </w:r>
      <w:r>
        <w:rPr>
          <w:rFonts w:hint="eastAsia" w:ascii="仿宋" w:hAnsi="仿宋" w:eastAsia="仿宋" w:cs="仿宋"/>
          <w:color w:val="000000"/>
          <w:sz w:val="32"/>
          <w:szCs w:val="32"/>
        </w:rPr>
        <w:t>政</w:t>
      </w:r>
      <w:r>
        <w:rPr>
          <w:rFonts w:hint="eastAsia" w:ascii="仿宋" w:hAnsi="仿宋" w:eastAsia="仿宋" w:cs="仿宋"/>
          <w:bCs w:val="0"/>
          <w:sz w:val="32"/>
          <w:szCs w:val="32"/>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_Toc24822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十二、</w:t>
      </w:r>
      <w:r>
        <w:rPr>
          <w:rFonts w:hint="eastAsia" w:ascii="仿宋" w:hAnsi="仿宋" w:eastAsia="仿宋" w:cs="仿宋"/>
          <w:color w:val="000000"/>
          <w:sz w:val="32"/>
          <w:szCs w:val="32"/>
        </w:rPr>
        <w:t>政</w:t>
      </w:r>
      <w:r>
        <w:rPr>
          <w:rFonts w:hint="eastAsia" w:ascii="仿宋" w:hAnsi="仿宋" w:eastAsia="仿宋" w:cs="仿宋"/>
          <w:bCs w:val="0"/>
          <w:sz w:val="32"/>
          <w:szCs w:val="32"/>
        </w:rPr>
        <w:t>府性基金预算财政拨款“三公”经费支出决算表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_Toc28801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十三、</w:t>
      </w:r>
      <w:r>
        <w:rPr>
          <w:rFonts w:hint="eastAsia" w:ascii="仿宋" w:hAnsi="仿宋" w:eastAsia="仿宋" w:cs="仿宋"/>
          <w:color w:val="000000"/>
          <w:sz w:val="32"/>
          <w:szCs w:val="32"/>
        </w:rPr>
        <w:t>国</w:t>
      </w:r>
      <w:r>
        <w:rPr>
          <w:rFonts w:hint="eastAsia" w:ascii="仿宋" w:hAnsi="仿宋" w:eastAsia="仿宋" w:cs="仿宋"/>
          <w:bCs w:val="0"/>
          <w:sz w:val="32"/>
          <w:szCs w:val="32"/>
        </w:rPr>
        <w:t>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_Toc15626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6"/>
        <w:tabs>
          <w:tab w:val="right" w:leader="dot" w:pos="8306"/>
        </w:tabs>
        <w:rPr>
          <w:rFonts w:hint="eastAsia" w:ascii="仿宋" w:hAnsi="仿宋" w:eastAsia="仿宋" w:cs="仿宋"/>
          <w:sz w:val="32"/>
          <w:szCs w:val="32"/>
        </w:rPr>
      </w:pPr>
      <w:r>
        <w:rPr>
          <w:rFonts w:hint="eastAsia" w:ascii="仿宋" w:hAnsi="仿宋" w:eastAsia="仿宋" w:cs="仿宋"/>
          <w:bCs w:val="0"/>
          <w:sz w:val="32"/>
          <w:szCs w:val="32"/>
        </w:rPr>
        <w:t>十四、国有资本经营预算财政拨款支出决算表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_Toc26978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p>
    <w:p>
      <w:pPr>
        <w:pStyle w:val="13"/>
        <w:tabs>
          <w:tab w:val="right" w:leader="dot" w:pos="8296"/>
        </w:tabs>
        <w:rPr>
          <w:rFonts w:ascii="仿宋" w:hAnsi="仿宋" w:eastAsia="仿宋"/>
          <w:b w:val="0"/>
          <w:sz w:val="28"/>
          <w:szCs w:val="28"/>
        </w:rPr>
      </w:pPr>
      <w:r>
        <w:rPr>
          <w:rFonts w:hint="eastAsia" w:ascii="仿宋" w:hAnsi="仿宋" w:eastAsia="仿宋" w:cs="仿宋"/>
          <w:sz w:val="32"/>
          <w:szCs w:val="32"/>
        </w:rPr>
        <w:fldChar w:fldCharType="end"/>
      </w:r>
    </w:p>
    <w:p>
      <w:pPr>
        <w:pStyle w:val="13"/>
        <w:tabs>
          <w:tab w:val="right" w:leader="dot" w:pos="8296"/>
        </w:tabs>
        <w:rPr>
          <w:rFonts w:ascii="仿宋" w:hAnsi="仿宋" w:eastAsia="仿宋"/>
          <w:b w:val="0"/>
          <w:sz w:val="28"/>
          <w:szCs w:val="28"/>
        </w:rPr>
      </w:pPr>
      <w:bookmarkStart w:id="12" w:name="_Toc15377196"/>
      <w:bookmarkStart w:id="13" w:name="_Toc15396599"/>
      <w:r>
        <w:rPr>
          <w:rFonts w:hint="eastAsia" w:ascii="仿宋" w:hAnsi="仿宋" w:eastAsia="仿宋"/>
          <w:b w:val="0"/>
          <w:sz w:val="28"/>
          <w:szCs w:val="28"/>
        </w:rPr>
        <w:br w:type="page"/>
      </w:r>
    </w:p>
    <w:p>
      <w:pPr>
        <w:pStyle w:val="2"/>
        <w:jc w:val="center"/>
        <w:rPr>
          <w:rFonts w:ascii="黑体" w:hAnsi="黑体" w:eastAsia="黑体"/>
          <w:bCs w:val="0"/>
        </w:rPr>
      </w:pPr>
      <w:bookmarkStart w:id="14" w:name="_Toc16219"/>
      <w:bookmarkStart w:id="15" w:name="_Toc79163601"/>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rPr>
        <w:t>部门概况</w:t>
      </w:r>
      <w:bookmarkEnd w:id="12"/>
      <w:bookmarkEnd w:id="13"/>
      <w:bookmarkEnd w:id="14"/>
      <w:bookmarkEnd w:id="15"/>
    </w:p>
    <w:p>
      <w:pPr>
        <w:pStyle w:val="3"/>
        <w:rPr>
          <w:rStyle w:val="23"/>
          <w:rFonts w:ascii="仿宋" w:hAnsi="仿宋" w:eastAsia="仿宋"/>
          <w:b w:val="0"/>
          <w:bCs w:val="0"/>
        </w:rPr>
      </w:pPr>
      <w:bookmarkStart w:id="16" w:name="_Toc15396600"/>
      <w:bookmarkStart w:id="17" w:name="_Toc15377197"/>
      <w:bookmarkStart w:id="18" w:name="_Toc79163602"/>
      <w:bookmarkStart w:id="19" w:name="_Toc22047"/>
      <w:r>
        <w:rPr>
          <w:rFonts w:hint="eastAsia" w:ascii="黑体" w:hAnsi="黑体" w:eastAsia="黑体"/>
          <w:b w:val="0"/>
          <w:color w:val="000000"/>
        </w:rPr>
        <w:t>一、基</w:t>
      </w:r>
      <w:r>
        <w:rPr>
          <w:rStyle w:val="23"/>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5450"/>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pPr>
        <w:spacing w:line="600" w:lineRule="exact"/>
        <w:ind w:firstLine="640" w:firstLineChars="200"/>
        <w:rPr>
          <w:rFonts w:ascii="仿宋" w:hAnsi="仿宋" w:eastAsia="仿宋"/>
          <w:sz w:val="32"/>
          <w:szCs w:val="32"/>
        </w:rPr>
      </w:pPr>
      <w:bookmarkStart w:id="24" w:name="_Toc15377199"/>
      <w:bookmarkStart w:id="25" w:name="_Toc15378446"/>
      <w:bookmarkStart w:id="26" w:name="_Toc79163604"/>
      <w:r>
        <w:rPr>
          <w:rFonts w:hint="eastAsia" w:ascii="仿宋" w:hAnsi="仿宋" w:eastAsia="仿宋" w:cs="仿宋_GB2312"/>
          <w:sz w:val="32"/>
          <w:szCs w:val="32"/>
        </w:rPr>
        <w:t>传播国际红十字运动知识和国际人道主义法。宣传、贯彻《中华人民共和国红十字会法》，依照红十字会法和红十字章程组织协调开展我县红十字会工作；开展备灾救灾工作。在自然灾害和突发事件中</w:t>
      </w:r>
      <w:r>
        <w:rPr>
          <w:rFonts w:ascii="仿宋" w:hAnsi="仿宋" w:eastAsia="仿宋" w:cs="仿宋_GB2312"/>
          <w:sz w:val="32"/>
          <w:szCs w:val="32"/>
        </w:rPr>
        <w:t>,</w:t>
      </w:r>
      <w:r>
        <w:rPr>
          <w:rFonts w:hint="eastAsia" w:ascii="仿宋" w:hAnsi="仿宋" w:eastAsia="仿宋" w:cs="仿宋_GB2312"/>
          <w:sz w:val="32"/>
          <w:szCs w:val="32"/>
        </w:rPr>
        <w:t>开展救护和救助工作</w:t>
      </w:r>
      <w:r>
        <w:rPr>
          <w:rFonts w:ascii="仿宋" w:hAnsi="仿宋" w:eastAsia="仿宋" w:cs="仿宋_GB2312"/>
          <w:sz w:val="32"/>
          <w:szCs w:val="32"/>
        </w:rPr>
        <w:t>;</w:t>
      </w:r>
      <w:r>
        <w:rPr>
          <w:rFonts w:hint="eastAsia" w:ascii="仿宋" w:hAnsi="仿宋" w:eastAsia="仿宋" w:cs="仿宋_GB2312"/>
          <w:sz w:val="32"/>
          <w:szCs w:val="32"/>
        </w:rPr>
        <w:t>依法接受国内外组织和个人的捐赠</w:t>
      </w:r>
      <w:r>
        <w:rPr>
          <w:rFonts w:ascii="仿宋" w:hAnsi="仿宋" w:eastAsia="仿宋" w:cs="仿宋_GB2312"/>
          <w:sz w:val="32"/>
          <w:szCs w:val="32"/>
        </w:rPr>
        <w:t>,</w:t>
      </w:r>
      <w:r>
        <w:rPr>
          <w:rFonts w:hint="eastAsia" w:ascii="仿宋" w:hAnsi="仿宋" w:eastAsia="仿宋" w:cs="仿宋_GB2312"/>
          <w:sz w:val="32"/>
          <w:szCs w:val="32"/>
        </w:rPr>
        <w:t>及时向灾区群众和受难者提供人道主义援助</w:t>
      </w:r>
      <w:r>
        <w:rPr>
          <w:rFonts w:ascii="仿宋" w:hAnsi="仿宋" w:eastAsia="仿宋" w:cs="仿宋_GB2312"/>
          <w:sz w:val="32"/>
          <w:szCs w:val="32"/>
        </w:rPr>
        <w:t>,</w:t>
      </w:r>
      <w:r>
        <w:rPr>
          <w:rFonts w:hint="eastAsia" w:ascii="仿宋" w:hAnsi="仿宋" w:eastAsia="仿宋" w:cs="仿宋_GB2312"/>
          <w:sz w:val="32"/>
          <w:szCs w:val="32"/>
        </w:rPr>
        <w:t>突发事件中对受害者组织实施救助工作。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7" w:name="_Toc8917"/>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bookmarkEnd w:id="24"/>
      <w:bookmarkEnd w:id="25"/>
      <w:bookmarkEnd w:id="26"/>
      <w:bookmarkEnd w:id="27"/>
    </w:p>
    <w:p>
      <w:pPr>
        <w:pStyle w:val="37"/>
        <w:snapToGrid w:val="0"/>
        <w:spacing w:before="93"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sz w:val="32"/>
          <w:szCs w:val="32"/>
        </w:rPr>
        <w:t>认真</w:t>
      </w:r>
      <w:r>
        <w:rPr>
          <w:rFonts w:hint="eastAsia" w:ascii="仿宋" w:hAnsi="仿宋" w:eastAsia="仿宋"/>
          <w:bCs/>
          <w:sz w:val="32"/>
          <w:szCs w:val="32"/>
        </w:rPr>
        <w:t>依法履行红十字职责，大力加强红十字组织和队伍建设，不断完善促进红十字事业发展长效机制。</w:t>
      </w:r>
      <w:r>
        <w:rPr>
          <w:rFonts w:hint="eastAsia" w:ascii="仿宋" w:hAnsi="仿宋" w:eastAsia="仿宋"/>
          <w:bCs/>
          <w:kern w:val="2"/>
          <w:sz w:val="32"/>
          <w:szCs w:val="32"/>
        </w:rPr>
        <w:t>继续认真</w:t>
      </w:r>
      <w:r>
        <w:rPr>
          <w:rFonts w:hint="eastAsia" w:ascii="仿宋" w:hAnsi="仿宋" w:eastAsia="仿宋"/>
          <w:color w:val="000000"/>
          <w:sz w:val="32"/>
          <w:szCs w:val="32"/>
        </w:rPr>
        <w:t>深入实施“博爱家园项目”。202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将其博爱家园项目作为宣传倡导红十字精神的一线阵地和提高基层红十字会能力的重要载体，继续完成生计基金的投放，加强对志愿者的培训，增强基层红十字组织的服务能力。依法开展设置募捐箱和专项救助相结合的募捐活动，促进募捐筹资工作常态化；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年完成200余名应急救护员的培训工作；开展一至二期对红十字志愿者和红十字会员的培训，并定期组织开展红十字活动；加大预防艾滋病、无偿献血的宣传力度。</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3"/>
          <w:b w:val="0"/>
          <w:bCs w:val="0"/>
        </w:rPr>
      </w:pPr>
      <w:bookmarkStart w:id="28" w:name="_Toc15396601"/>
      <w:bookmarkStart w:id="29" w:name="_Toc15377200"/>
      <w:bookmarkStart w:id="30" w:name="_Toc22720"/>
      <w:bookmarkStart w:id="31" w:name="_Toc79163605"/>
      <w:r>
        <w:rPr>
          <w:rFonts w:hint="eastAsia" w:ascii="黑体" w:eastAsia="黑体"/>
          <w:b w:val="0"/>
          <w:color w:val="000000"/>
        </w:rPr>
        <w:t>二、</w:t>
      </w:r>
      <w:r>
        <w:rPr>
          <w:rFonts w:hint="eastAsia" w:ascii="黑体" w:hAnsi="黑体" w:eastAsia="黑体"/>
          <w:b w:val="0"/>
          <w:color w:val="000000"/>
        </w:rPr>
        <w:t>机</w:t>
      </w:r>
      <w:r>
        <w:rPr>
          <w:rStyle w:val="23"/>
          <w:rFonts w:hint="eastAsia" w:ascii="黑体" w:hAnsi="黑体" w:eastAsia="黑体"/>
          <w:b w:val="0"/>
          <w:bCs w:val="0"/>
        </w:rPr>
        <w:t>构设置</w:t>
      </w:r>
      <w:bookmarkEnd w:id="28"/>
      <w:bookmarkEnd w:id="29"/>
      <w:bookmarkEnd w:id="30"/>
      <w:bookmarkEnd w:id="31"/>
    </w:p>
    <w:p>
      <w:pPr>
        <w:ind w:firstLine="800" w:firstLineChars="250"/>
        <w:rPr>
          <w:rFonts w:ascii="仿宋" w:hAnsi="仿宋" w:eastAsia="仿宋"/>
          <w:sz w:val="32"/>
          <w:szCs w:val="32"/>
        </w:rPr>
      </w:pPr>
      <w:r>
        <w:rPr>
          <w:rFonts w:hint="eastAsia" w:ascii="仿宋" w:hAnsi="仿宋" w:eastAsia="仿宋"/>
          <w:sz w:val="32"/>
          <w:szCs w:val="32"/>
        </w:rPr>
        <w:t>茂县红十字会下属二级单位0个，其中行政单位0个，参照公务员法管理的事业单位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个，其他事业单位0个。</w:t>
      </w:r>
    </w:p>
    <w:p>
      <w:pPr>
        <w:pStyle w:val="2"/>
        <w:ind w:right="440"/>
        <w:jc w:val="right"/>
        <w:rPr>
          <w:rFonts w:ascii="黑体" w:hAnsi="黑体" w:eastAsia="黑体"/>
          <w:b w:val="0"/>
          <w:color w:val="000000"/>
        </w:rPr>
      </w:pPr>
      <w:bookmarkStart w:id="32" w:name="_Toc15377204"/>
      <w:bookmarkStart w:id="33" w:name="_Toc79163609"/>
      <w:bookmarkStart w:id="34" w:name="_Toc15396602"/>
    </w:p>
    <w:p>
      <w:pPr>
        <w:pStyle w:val="2"/>
        <w:ind w:right="440"/>
        <w:jc w:val="right"/>
        <w:rPr>
          <w:rFonts w:ascii="黑体" w:hAnsi="黑体" w:eastAsia="黑体"/>
          <w:b w:val="0"/>
          <w:color w:val="000000"/>
        </w:rPr>
      </w:pPr>
    </w:p>
    <w:p>
      <w:pPr>
        <w:pStyle w:val="2"/>
        <w:ind w:right="440"/>
        <w:jc w:val="right"/>
        <w:rPr>
          <w:rFonts w:ascii="黑体" w:hAnsi="黑体" w:eastAsia="黑体"/>
          <w:b w:val="0"/>
          <w:color w:val="000000"/>
        </w:rPr>
      </w:pPr>
    </w:p>
    <w:p>
      <w:pPr>
        <w:pStyle w:val="2"/>
        <w:ind w:right="440"/>
        <w:jc w:val="right"/>
        <w:rPr>
          <w:rFonts w:ascii="黑体" w:hAnsi="黑体" w:eastAsia="黑体"/>
          <w:b w:val="0"/>
          <w:color w:val="000000"/>
        </w:rPr>
      </w:pPr>
    </w:p>
    <w:p>
      <w:pPr>
        <w:pStyle w:val="2"/>
        <w:ind w:right="440"/>
        <w:jc w:val="right"/>
        <w:rPr>
          <w:rFonts w:ascii="黑体" w:hAnsi="黑体" w:eastAsia="黑体"/>
          <w:b w:val="0"/>
          <w:color w:val="000000"/>
        </w:rPr>
      </w:pPr>
    </w:p>
    <w:p>
      <w:pPr>
        <w:pStyle w:val="2"/>
        <w:ind w:right="440"/>
        <w:jc w:val="right"/>
        <w:rPr>
          <w:rFonts w:ascii="黑体" w:hAnsi="黑体" w:eastAsia="黑体"/>
          <w:b w:val="0"/>
          <w:color w:val="000000"/>
        </w:rPr>
      </w:pPr>
    </w:p>
    <w:p>
      <w:pPr>
        <w:pStyle w:val="2"/>
        <w:ind w:right="440"/>
        <w:rPr>
          <w:rFonts w:ascii="黑体" w:hAnsi="黑体" w:eastAsia="黑体"/>
          <w:b w:val="0"/>
          <w:color w:val="000000"/>
        </w:rPr>
      </w:pPr>
    </w:p>
    <w:p>
      <w:pPr>
        <w:rPr>
          <w:rFonts w:ascii="黑体" w:hAnsi="黑体" w:eastAsia="黑体"/>
          <w:color w:val="000000"/>
        </w:rPr>
      </w:pPr>
    </w:p>
    <w:p>
      <w:pPr>
        <w:rPr>
          <w:rFonts w:ascii="黑体" w:hAnsi="黑体" w:eastAsia="黑体"/>
          <w:color w:val="000000"/>
        </w:rPr>
      </w:pPr>
    </w:p>
    <w:p>
      <w:pPr>
        <w:rPr>
          <w:rFonts w:ascii="黑体" w:hAnsi="黑体" w:eastAsia="黑体"/>
          <w:color w:val="000000"/>
        </w:rPr>
      </w:pPr>
    </w:p>
    <w:p>
      <w:pPr>
        <w:rPr>
          <w:rFonts w:ascii="黑体" w:hAnsi="黑体" w:eastAsia="黑体"/>
          <w:color w:val="000000"/>
        </w:rPr>
      </w:pPr>
    </w:p>
    <w:p>
      <w:pPr>
        <w:pStyle w:val="2"/>
        <w:ind w:right="440"/>
        <w:jc w:val="right"/>
        <w:rPr>
          <w:rFonts w:ascii="黑体" w:hAnsi="黑体" w:eastAsia="黑体"/>
          <w:b w:val="0"/>
          <w:color w:val="000000"/>
        </w:rPr>
      </w:pPr>
    </w:p>
    <w:p>
      <w:pPr>
        <w:pStyle w:val="2"/>
        <w:ind w:right="440"/>
        <w:jc w:val="right"/>
      </w:pPr>
      <w:bookmarkStart w:id="35" w:name="_Toc7244"/>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w:t>
      </w:r>
      <w:r>
        <w:rPr>
          <w:rStyle w:val="22"/>
          <w:rFonts w:hint="eastAsia" w:ascii="黑体" w:hAnsi="黑体" w:eastAsia="黑体"/>
          <w:b w:val="0"/>
          <w:bCs w:val="0"/>
          <w:lang w:val="en-US" w:eastAsia="zh-CN"/>
        </w:rPr>
        <w:t>1</w:t>
      </w:r>
      <w:r>
        <w:rPr>
          <w:rStyle w:val="22"/>
          <w:rFonts w:hint="eastAsia" w:ascii="黑体" w:hAnsi="黑体" w:eastAsia="黑体"/>
          <w:b w:val="0"/>
          <w:bCs w:val="0"/>
        </w:rPr>
        <w:t>年度部门决算情况说明</w:t>
      </w:r>
      <w:bookmarkEnd w:id="32"/>
      <w:bookmarkEnd w:id="33"/>
      <w:bookmarkEnd w:id="34"/>
      <w:bookmarkEnd w:id="35"/>
    </w:p>
    <w:p>
      <w:pPr>
        <w:pStyle w:val="33"/>
        <w:numPr>
          <w:ilvl w:val="0"/>
          <w:numId w:val="1"/>
        </w:numPr>
        <w:spacing w:line="600" w:lineRule="exact"/>
        <w:ind w:firstLineChars="0"/>
        <w:outlineLvl w:val="1"/>
        <w:rPr>
          <w:rStyle w:val="23"/>
          <w:rFonts w:ascii="黑体" w:hAnsi="黑体" w:eastAsia="黑体"/>
          <w:b w:val="0"/>
        </w:rPr>
      </w:pPr>
      <w:bookmarkStart w:id="36" w:name="_Toc79163610"/>
      <w:bookmarkStart w:id="37" w:name="_Toc15396603"/>
      <w:bookmarkStart w:id="38" w:name="_Toc24302"/>
      <w:bookmarkStart w:id="39"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年度收、支总计1</w:t>
      </w:r>
      <w:r>
        <w:rPr>
          <w:rFonts w:hint="eastAsia" w:ascii="仿宋" w:hAnsi="仿宋" w:eastAsia="仿宋"/>
          <w:color w:val="000000"/>
          <w:sz w:val="32"/>
          <w:szCs w:val="32"/>
          <w:lang w:val="en-US" w:eastAsia="zh-CN"/>
        </w:rPr>
        <w:t>25.08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23.95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19.1</w:t>
      </w:r>
      <w:r>
        <w:rPr>
          <w:rFonts w:ascii="仿宋" w:hAnsi="仿宋" w:eastAsia="仿宋"/>
          <w:color w:val="000000"/>
          <w:sz w:val="32"/>
          <w:szCs w:val="32"/>
        </w:rPr>
        <w:t>%</w:t>
      </w:r>
      <w:r>
        <w:rPr>
          <w:rFonts w:hint="eastAsia" w:ascii="仿宋" w:hAnsi="仿宋" w:eastAsia="仿宋"/>
          <w:color w:val="000000"/>
          <w:sz w:val="32"/>
          <w:szCs w:val="32"/>
        </w:rPr>
        <w:t>。主要变动原因是人员工资保险的变动。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0288" behindDoc="1" locked="0" layoutInCell="1" allowOverlap="1">
            <wp:simplePos x="0" y="0"/>
            <wp:positionH relativeFrom="column">
              <wp:posOffset>315595</wp:posOffset>
            </wp:positionH>
            <wp:positionV relativeFrom="paragraph">
              <wp:posOffset>276860</wp:posOffset>
            </wp:positionV>
            <wp:extent cx="5080000" cy="381000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pStyle w:val="33"/>
        <w:numPr>
          <w:ilvl w:val="0"/>
          <w:numId w:val="1"/>
        </w:numPr>
        <w:spacing w:line="600" w:lineRule="exact"/>
        <w:ind w:firstLineChars="0"/>
        <w:outlineLvl w:val="1"/>
        <w:rPr>
          <w:rStyle w:val="23"/>
          <w:rFonts w:ascii="黑体" w:hAnsi="黑体" w:eastAsia="黑体"/>
          <w:b w:val="0"/>
        </w:rPr>
      </w:pPr>
      <w:bookmarkStart w:id="40" w:name="_Toc79163611"/>
      <w:bookmarkStart w:id="41" w:name="_Toc15377206"/>
      <w:bookmarkStart w:id="42" w:name="_Toc30627"/>
      <w:bookmarkStart w:id="43" w:name="_Toc15396604"/>
      <w:r>
        <w:rPr>
          <w:rFonts w:hint="eastAsia" w:ascii="黑体" w:hAnsi="黑体" w:eastAsia="黑体"/>
          <w:color w:val="000000"/>
          <w:sz w:val="32"/>
          <w:szCs w:val="32"/>
        </w:rPr>
        <w:t>收</w:t>
      </w:r>
      <w:r>
        <w:rPr>
          <w:rStyle w:val="23"/>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万元；上级补助收入</w:t>
      </w:r>
      <w:r>
        <w:rPr>
          <w:rFonts w:ascii="仿宋" w:hAnsi="仿宋" w:eastAsia="仿宋"/>
          <w:color w:val="000000"/>
          <w:sz w:val="32"/>
          <w:szCs w:val="32"/>
        </w:rPr>
        <w:t>0</w:t>
      </w:r>
      <w:r>
        <w:rPr>
          <w:rFonts w:hint="eastAsia" w:ascii="仿宋" w:hAnsi="仿宋" w:eastAsia="仿宋"/>
          <w:color w:val="000000"/>
          <w:sz w:val="32"/>
          <w:szCs w:val="32"/>
        </w:rPr>
        <w:t>万元；事业收入</w:t>
      </w:r>
      <w:r>
        <w:rPr>
          <w:rFonts w:ascii="仿宋" w:hAnsi="仿宋" w:eastAsia="仿宋"/>
          <w:color w:val="000000"/>
          <w:sz w:val="32"/>
          <w:szCs w:val="32"/>
        </w:rPr>
        <w:t>0</w:t>
      </w:r>
      <w:r>
        <w:rPr>
          <w:rFonts w:hint="eastAsia" w:ascii="仿宋" w:hAnsi="仿宋" w:eastAsia="仿宋"/>
          <w:color w:val="000000"/>
          <w:sz w:val="32"/>
          <w:szCs w:val="32"/>
        </w:rPr>
        <w:t>万元；经营收入</w:t>
      </w:r>
      <w:r>
        <w:rPr>
          <w:rFonts w:ascii="仿宋" w:hAnsi="仿宋" w:eastAsia="仿宋"/>
          <w:color w:val="000000"/>
          <w:sz w:val="32"/>
          <w:szCs w:val="32"/>
        </w:rPr>
        <w:t>0</w:t>
      </w:r>
      <w:r>
        <w:rPr>
          <w:rFonts w:hint="eastAsia" w:ascii="仿宋" w:hAnsi="仿宋" w:eastAsia="仿宋"/>
          <w:color w:val="000000"/>
          <w:sz w:val="32"/>
          <w:szCs w:val="32"/>
        </w:rPr>
        <w:t>万元；附属单位上缴收入</w:t>
      </w:r>
      <w:r>
        <w:rPr>
          <w:rFonts w:ascii="仿宋" w:hAnsi="仿宋" w:eastAsia="仿宋"/>
          <w:color w:val="000000"/>
          <w:sz w:val="32"/>
          <w:szCs w:val="32"/>
        </w:rPr>
        <w:t>0</w:t>
      </w:r>
      <w:r>
        <w:rPr>
          <w:rFonts w:hint="eastAsia" w:ascii="仿宋" w:hAnsi="仿宋" w:eastAsia="仿宋"/>
          <w:color w:val="000000"/>
          <w:sz w:val="32"/>
          <w:szCs w:val="32"/>
        </w:rPr>
        <w:t>万元；其他收入</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9264" behindDoc="1" locked="0" layoutInCell="1" allowOverlap="1">
            <wp:simplePos x="0" y="0"/>
            <wp:positionH relativeFrom="column">
              <wp:posOffset>-4445</wp:posOffset>
            </wp:positionH>
            <wp:positionV relativeFrom="paragraph">
              <wp:posOffset>207645</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33"/>
        <w:numPr>
          <w:ilvl w:val="0"/>
          <w:numId w:val="1"/>
        </w:numPr>
        <w:spacing w:line="600" w:lineRule="exact"/>
        <w:ind w:firstLineChars="0"/>
        <w:outlineLvl w:val="1"/>
        <w:rPr>
          <w:rStyle w:val="23"/>
          <w:rFonts w:ascii="黑体" w:hAnsi="黑体" w:eastAsia="黑体"/>
          <w:b w:val="0"/>
        </w:rPr>
      </w:pPr>
      <w:bookmarkStart w:id="44" w:name="_Toc15377207"/>
      <w:bookmarkStart w:id="45" w:name="_Toc15396605"/>
      <w:bookmarkStart w:id="46" w:name="_Toc12902"/>
      <w:bookmarkStart w:id="47" w:name="_Toc79163612"/>
      <w:r>
        <w:rPr>
          <w:rFonts w:hint="eastAsia" w:ascii="黑体" w:hAnsi="黑体" w:eastAsia="黑体"/>
          <w:color w:val="000000"/>
          <w:sz w:val="32"/>
          <w:szCs w:val="32"/>
        </w:rPr>
        <w:t>支</w:t>
      </w:r>
      <w:r>
        <w:rPr>
          <w:rStyle w:val="23"/>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125.08</w:t>
      </w:r>
      <w:r>
        <w:rPr>
          <w:rFonts w:hint="eastAsia" w:ascii="仿宋_GB2312" w:eastAsia="仿宋_GB2312"/>
          <w:sz w:val="32"/>
          <w:szCs w:val="32"/>
        </w:rPr>
        <w:t>万元，其中：基本支出</w:t>
      </w:r>
      <w:r>
        <w:rPr>
          <w:rFonts w:hint="eastAsia" w:ascii="仿宋_GB2312" w:eastAsia="仿宋_GB2312"/>
          <w:sz w:val="32"/>
          <w:szCs w:val="32"/>
          <w:lang w:val="en-US" w:eastAsia="zh-CN"/>
        </w:rPr>
        <w:t>125.08</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356235</wp:posOffset>
            </wp:positionH>
            <wp:positionV relativeFrom="paragraph">
              <wp:posOffset>235585</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Fonts w:ascii="黑体" w:hAnsi="黑体" w:eastAsia="黑体"/>
          <w:color w:val="000000"/>
          <w:sz w:val="32"/>
          <w:szCs w:val="32"/>
        </w:rPr>
      </w:pPr>
      <w:bookmarkStart w:id="48" w:name="_Toc15377208"/>
      <w:bookmarkStart w:id="49" w:name="_Toc79163613"/>
      <w:bookmarkStart w:id="50" w:name="_Toc15396606"/>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3"/>
          <w:rFonts w:ascii="黑体" w:hAnsi="黑体" w:eastAsia="黑体"/>
          <w:b w:val="0"/>
        </w:rPr>
      </w:pPr>
      <w:bookmarkStart w:id="51" w:name="_Toc16230"/>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23.95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人员工资、保险的变动。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r>
        <w:rPr>
          <w:rFonts w:ascii="仿宋" w:hAnsi="仿宋" w:eastAsia="仿宋"/>
          <w:b/>
          <w:color w:val="00B050"/>
          <w:sz w:val="32"/>
          <w:szCs w:val="32"/>
        </w:rPr>
        <w:drawing>
          <wp:anchor distT="0" distB="0" distL="114300" distR="114300" simplePos="0" relativeHeight="251662336" behindDoc="1" locked="0" layoutInCell="1" allowOverlap="1">
            <wp:simplePos x="0" y="0"/>
            <wp:positionH relativeFrom="column">
              <wp:posOffset>947420</wp:posOffset>
            </wp:positionH>
            <wp:positionV relativeFrom="paragraph">
              <wp:posOffset>99695</wp:posOffset>
            </wp:positionV>
            <wp:extent cx="3427095" cy="2592705"/>
            <wp:effectExtent l="4445" t="4445" r="16510"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ascii="黑体" w:hAnsi="黑体" w:eastAsia="黑体"/>
          <w:color w:val="000000"/>
          <w:sz w:val="32"/>
          <w:szCs w:val="32"/>
        </w:rPr>
      </w:pPr>
      <w:bookmarkStart w:id="52" w:name="_Toc79163614"/>
      <w:bookmarkStart w:id="53" w:name="_Toc15396607"/>
      <w:bookmarkStart w:id="54" w:name="_Toc15377209"/>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outlineLvl w:val="1"/>
        <w:rPr>
          <w:rFonts w:ascii="黑体" w:hAnsi="黑体" w:eastAsia="黑体"/>
          <w:color w:val="000000"/>
          <w:sz w:val="32"/>
          <w:szCs w:val="32"/>
        </w:rPr>
      </w:pPr>
      <w:r>
        <w:rPr>
          <w:rFonts w:ascii="黑体" w:hAnsi="黑体" w:eastAsia="黑体"/>
          <w:color w:val="000000"/>
          <w:sz w:val="32"/>
          <w:szCs w:val="32"/>
        </w:rPr>
        <w:t xml:space="preserve">   </w:t>
      </w:r>
    </w:p>
    <w:p>
      <w:pPr>
        <w:spacing w:line="600" w:lineRule="exact"/>
        <w:outlineLvl w:val="1"/>
        <w:rPr>
          <w:rStyle w:val="23"/>
          <w:rFonts w:ascii="黑体" w:hAnsi="黑体" w:eastAsia="黑体"/>
          <w:b w:val="0"/>
        </w:rPr>
      </w:pPr>
      <w:r>
        <w:rPr>
          <w:rFonts w:ascii="黑体" w:hAnsi="黑体" w:eastAsia="黑体"/>
          <w:color w:val="000000"/>
          <w:sz w:val="32"/>
          <w:szCs w:val="32"/>
        </w:rPr>
        <w:t xml:space="preserve">  </w:t>
      </w:r>
      <w:bookmarkStart w:id="55" w:name="_Toc15548"/>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15377210"/>
      <w:bookmarkStart w:id="57" w:name="_Toc79163615"/>
      <w:bookmarkStart w:id="58" w:name="_Toc814"/>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23.95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olor w:val="000000"/>
          <w:sz w:val="32"/>
          <w:szCs w:val="32"/>
        </w:rPr>
        <w:t>人员工资、保险的变动。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3360" behindDoc="1" locked="0" layoutInCell="1" allowOverlap="1">
            <wp:simplePos x="0" y="0"/>
            <wp:positionH relativeFrom="column">
              <wp:posOffset>471805</wp:posOffset>
            </wp:positionH>
            <wp:positionV relativeFrom="paragraph">
              <wp:posOffset>182245</wp:posOffset>
            </wp:positionV>
            <wp:extent cx="4284345" cy="2653030"/>
            <wp:effectExtent l="4445" t="4445" r="16510" b="95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9" w:name="_Toc12844"/>
      <w:bookmarkStart w:id="60" w:name="_Toc15377211"/>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b/>
          <w:bCs/>
          <w:color w:val="000000"/>
          <w:sz w:val="32"/>
          <w:szCs w:val="32"/>
        </w:rPr>
        <w:t>支出</w:t>
      </w:r>
      <w:r>
        <w:rPr>
          <w:rFonts w:hint="eastAsia" w:ascii="仿宋" w:hAnsi="仿宋" w:eastAsia="仿宋"/>
          <w:b/>
          <w:color w:val="000000"/>
          <w:sz w:val="32"/>
          <w:szCs w:val="32"/>
        </w:rPr>
        <w:t>（类）</w:t>
      </w:r>
      <w:r>
        <w:rPr>
          <w:rFonts w:ascii="仿宋" w:hAnsi="仿宋" w:eastAsia="仿宋"/>
          <w:color w:val="000000"/>
          <w:sz w:val="32"/>
          <w:szCs w:val="32"/>
        </w:rPr>
        <w:t>0</w:t>
      </w:r>
      <w:r>
        <w:rPr>
          <w:rFonts w:hint="eastAsia" w:ascii="仿宋" w:hAnsi="仿宋" w:eastAsia="仿宋"/>
          <w:color w:val="000000"/>
          <w:sz w:val="32"/>
          <w:szCs w:val="32"/>
        </w:rPr>
        <w:t>万元；</w:t>
      </w:r>
      <w:r>
        <w:rPr>
          <w:rFonts w:hint="eastAsia" w:ascii="仿宋" w:hAnsi="仿宋" w:eastAsia="仿宋"/>
          <w:b/>
          <w:color w:val="000000"/>
          <w:sz w:val="32"/>
          <w:szCs w:val="32"/>
        </w:rPr>
        <w:t>教育支出（类）</w:t>
      </w:r>
      <w:r>
        <w:rPr>
          <w:rFonts w:ascii="仿宋" w:hAnsi="仿宋" w:eastAsia="仿宋"/>
          <w:b/>
          <w:color w:val="000000"/>
          <w:sz w:val="32"/>
          <w:szCs w:val="32"/>
        </w:rPr>
        <w:t>0</w:t>
      </w:r>
      <w:r>
        <w:rPr>
          <w:rFonts w:hint="eastAsia" w:ascii="仿宋" w:hAnsi="仿宋" w:eastAsia="仿宋"/>
          <w:color w:val="000000"/>
          <w:sz w:val="32"/>
          <w:szCs w:val="32"/>
        </w:rPr>
        <w:t>元；</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0</w:t>
      </w:r>
      <w:r>
        <w:rPr>
          <w:rFonts w:hint="eastAsia" w:ascii="仿宋" w:hAnsi="仿宋" w:eastAsia="仿宋"/>
          <w:color w:val="000000"/>
          <w:sz w:val="32"/>
          <w:szCs w:val="32"/>
        </w:rPr>
        <w:t>万元；</w:t>
      </w:r>
      <w:r>
        <w:rPr>
          <w:rFonts w:hint="eastAsia" w:ascii="仿宋" w:hAnsi="仿宋" w:eastAsia="仿宋"/>
          <w:b/>
          <w:bCs/>
          <w:color w:val="000000"/>
          <w:sz w:val="32"/>
          <w:szCs w:val="32"/>
        </w:rPr>
        <w:t>文化旅游体育与传媒（类）支出</w:t>
      </w:r>
      <w:r>
        <w:rPr>
          <w:rFonts w:ascii="仿宋" w:hAnsi="仿宋" w:eastAsia="仿宋"/>
          <w:b/>
          <w:bCs/>
          <w:color w:val="000000"/>
          <w:sz w:val="32"/>
          <w:szCs w:val="32"/>
        </w:rPr>
        <w:t>0</w:t>
      </w:r>
      <w:r>
        <w:rPr>
          <w:rFonts w:hint="eastAsia" w:ascii="仿宋" w:hAnsi="仿宋" w:eastAsia="仿宋"/>
          <w:b/>
          <w:bCs/>
          <w:color w:val="000000"/>
          <w:sz w:val="32"/>
          <w:szCs w:val="32"/>
        </w:rPr>
        <w:t>万元</w:t>
      </w:r>
      <w:r>
        <w:rPr>
          <w:rFonts w:hint="eastAsia" w:ascii="仿宋" w:hAnsi="仿宋" w:eastAsia="仿宋"/>
          <w:color w:val="000000"/>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112.23</w:t>
      </w:r>
      <w:r>
        <w:rPr>
          <w:rFonts w:hint="eastAsia" w:ascii="仿宋" w:hAnsi="仿宋" w:eastAsia="仿宋"/>
          <w:color w:val="000000" w:themeColor="text1"/>
          <w:sz w:val="32"/>
          <w:szCs w:val="32"/>
        </w:rPr>
        <w:t>万元，占8</w:t>
      </w:r>
      <w:r>
        <w:rPr>
          <w:rFonts w:hint="eastAsia" w:ascii="仿宋" w:hAnsi="仿宋" w:eastAsia="仿宋"/>
          <w:color w:val="000000" w:themeColor="text1"/>
          <w:sz w:val="32"/>
          <w:szCs w:val="32"/>
          <w:lang w:val="en-US" w:eastAsia="zh-CN"/>
        </w:rPr>
        <w:t>9.7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ascii="仿宋" w:hAnsi="仿宋" w:eastAsia="仿宋"/>
          <w:b/>
          <w:bCs/>
          <w:color w:val="000000" w:themeColor="text1"/>
          <w:sz w:val="32"/>
          <w:szCs w:val="32"/>
        </w:rPr>
        <w:t>（</w:t>
      </w:r>
      <w:r>
        <w:rPr>
          <w:rFonts w:hint="eastAsia" w:ascii="仿宋" w:hAnsi="仿宋" w:eastAsia="仿宋"/>
          <w:b/>
          <w:bCs/>
          <w:color w:val="000000" w:themeColor="text1"/>
          <w:sz w:val="32"/>
          <w:szCs w:val="32"/>
        </w:rPr>
        <w:t>类</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5.</w:t>
      </w:r>
      <w:r>
        <w:rPr>
          <w:rFonts w:hint="eastAsia" w:ascii="仿宋" w:hAnsi="仿宋" w:eastAsia="仿宋"/>
          <w:color w:val="000000" w:themeColor="text1"/>
          <w:sz w:val="32"/>
          <w:szCs w:val="32"/>
          <w:lang w:val="en-US" w:eastAsia="zh-CN"/>
        </w:rPr>
        <w:t>22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ascii="仿宋" w:hAnsi="仿宋" w:eastAsia="仿宋"/>
          <w:b/>
          <w:bCs/>
          <w:color w:val="000000" w:themeColor="text1"/>
          <w:sz w:val="32"/>
          <w:szCs w:val="32"/>
        </w:rPr>
        <w:t>（</w:t>
      </w:r>
      <w:r>
        <w:rPr>
          <w:rFonts w:hint="eastAsia" w:ascii="仿宋" w:hAnsi="仿宋" w:eastAsia="仿宋"/>
          <w:b/>
          <w:bCs/>
          <w:color w:val="000000" w:themeColor="text1"/>
          <w:sz w:val="32"/>
          <w:szCs w:val="32"/>
        </w:rPr>
        <w:t>类</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7.</w:t>
      </w:r>
      <w:r>
        <w:rPr>
          <w:rFonts w:hint="eastAsia" w:ascii="仿宋" w:hAnsi="仿宋" w:eastAsia="仿宋"/>
          <w:color w:val="000000" w:themeColor="text1"/>
          <w:sz w:val="32"/>
          <w:szCs w:val="32"/>
          <w:lang w:val="en-US" w:eastAsia="zh-CN"/>
        </w:rPr>
        <w:t>63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6.1</w:t>
      </w:r>
      <w:r>
        <w:rPr>
          <w:rFonts w:ascii="仿宋" w:hAnsi="仿宋" w:eastAsia="仿宋"/>
          <w:color w:val="000000" w:themeColor="text1"/>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1" locked="0" layoutInCell="1" allowOverlap="1">
            <wp:simplePos x="0" y="0"/>
            <wp:positionH relativeFrom="column">
              <wp:posOffset>491490</wp:posOffset>
            </wp:positionH>
            <wp:positionV relativeFrom="paragraph">
              <wp:posOffset>324485</wp:posOffset>
            </wp:positionV>
            <wp:extent cx="4570730" cy="2919095"/>
            <wp:effectExtent l="4445" t="4445" r="15875" b="101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2" w:name="_Toc15377212"/>
      <w:bookmarkStart w:id="63" w:name="_Toc79163617"/>
      <w:bookmarkStart w:id="64" w:name="_Toc9506"/>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8460"/>
      <w:bookmarkStart w:id="66" w:name="_Toc15377444"/>
      <w:bookmarkStart w:id="67" w:name="_Toc15377213"/>
      <w:r>
        <w:rPr>
          <w:rFonts w:ascii="仿宋_GB2312" w:eastAsia="仿宋_GB2312"/>
          <w:b/>
          <w:bCs/>
          <w:sz w:val="32"/>
          <w:szCs w:val="32"/>
        </w:rPr>
        <w:t>202</w:t>
      </w:r>
      <w:r>
        <w:rPr>
          <w:rFonts w:hint="eastAsia" w:ascii="仿宋_GB2312" w:eastAsia="仿宋_GB2312"/>
          <w:b/>
          <w:bCs/>
          <w:sz w:val="32"/>
          <w:szCs w:val="32"/>
          <w:lang w:val="en-US" w:eastAsia="zh-CN"/>
        </w:rPr>
        <w:t>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125.08万元</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spacing w:line="576" w:lineRule="exact"/>
        <w:ind w:firstLine="640" w:firstLineChars="200"/>
        <w:rPr>
          <w:rStyle w:val="20"/>
          <w:rFonts w:ascii="仿宋" w:hAnsi="仿宋" w:eastAsia="仿宋"/>
          <w:b w:val="0"/>
          <w:bCs/>
          <w:sz w:val="32"/>
          <w:szCs w:val="32"/>
        </w:rPr>
      </w:pPr>
      <w:r>
        <w:rPr>
          <w:rStyle w:val="20"/>
          <w:rFonts w:ascii="仿宋" w:hAnsi="仿宋" w:eastAsia="仿宋" w:cs="仿宋_GB2312"/>
          <w:b w:val="0"/>
          <w:sz w:val="32"/>
          <w:szCs w:val="32"/>
        </w:rPr>
        <w:t>1.</w:t>
      </w:r>
      <w:r>
        <w:rPr>
          <w:rStyle w:val="20"/>
          <w:rFonts w:hint="eastAsia" w:ascii="仿宋" w:hAnsi="仿宋" w:eastAsia="仿宋" w:cs="仿宋_GB2312"/>
          <w:b w:val="0"/>
          <w:sz w:val="32"/>
          <w:szCs w:val="32"/>
        </w:rPr>
        <w:t>社会保障和就业支出（类）行政事业单位离退休（款）</w:t>
      </w:r>
      <w:r>
        <w:rPr>
          <w:rStyle w:val="20"/>
          <w:rFonts w:hint="eastAsia" w:ascii="仿宋" w:hAnsi="仿宋" w:eastAsia="仿宋" w:cs="仿宋_GB2312"/>
          <w:b w:val="0"/>
          <w:color w:val="000000"/>
          <w:sz w:val="32"/>
          <w:szCs w:val="32"/>
        </w:rPr>
        <w:t>机关事业单位养老保险缴费支出（项）</w:t>
      </w:r>
      <w:r>
        <w:rPr>
          <w:rStyle w:val="20"/>
          <w:rFonts w:ascii="仿宋" w:hAnsi="仿宋" w:eastAsia="仿宋" w:cs="仿宋_GB2312"/>
          <w:b w:val="0"/>
          <w:color w:val="000000"/>
          <w:sz w:val="32"/>
          <w:szCs w:val="32"/>
        </w:rPr>
        <w:t>:</w:t>
      </w:r>
      <w:r>
        <w:rPr>
          <w:rStyle w:val="20"/>
          <w:rFonts w:ascii="仿宋" w:hAnsi="仿宋" w:eastAsia="仿宋" w:cs="仿宋_GB2312"/>
          <w:b w:val="0"/>
          <w:sz w:val="32"/>
          <w:szCs w:val="32"/>
        </w:rPr>
        <w:t>202</w:t>
      </w:r>
      <w:r>
        <w:rPr>
          <w:rStyle w:val="20"/>
          <w:rFonts w:hint="eastAsia" w:ascii="仿宋" w:hAnsi="仿宋" w:eastAsia="仿宋" w:cs="仿宋_GB2312"/>
          <w:b w:val="0"/>
          <w:sz w:val="32"/>
          <w:szCs w:val="32"/>
          <w:lang w:val="en-US" w:eastAsia="zh-CN"/>
        </w:rPr>
        <w:t>1</w:t>
      </w:r>
      <w:r>
        <w:rPr>
          <w:rStyle w:val="20"/>
          <w:rFonts w:hint="eastAsia" w:ascii="仿宋" w:hAnsi="仿宋" w:eastAsia="仿宋" w:cs="仿宋_GB2312"/>
          <w:b w:val="0"/>
          <w:sz w:val="32"/>
          <w:szCs w:val="32"/>
        </w:rPr>
        <w:t>年决算数为</w:t>
      </w:r>
      <w:r>
        <w:rPr>
          <w:rStyle w:val="20"/>
          <w:rFonts w:hint="eastAsia" w:ascii="仿宋" w:hAnsi="仿宋" w:eastAsia="仿宋" w:cs="仿宋_GB2312"/>
          <w:b w:val="0"/>
          <w:sz w:val="32"/>
          <w:szCs w:val="32"/>
          <w:lang w:val="en-US" w:eastAsia="zh-CN"/>
        </w:rPr>
        <w:t>7.57</w:t>
      </w:r>
      <w:r>
        <w:rPr>
          <w:rStyle w:val="20"/>
          <w:rFonts w:hint="eastAsia" w:ascii="仿宋" w:hAnsi="仿宋" w:eastAsia="仿宋" w:cs="仿宋_GB2312"/>
          <w:b w:val="0"/>
          <w:sz w:val="32"/>
          <w:szCs w:val="32"/>
        </w:rPr>
        <w:t>万元，完成预算</w:t>
      </w:r>
      <w:r>
        <w:rPr>
          <w:rStyle w:val="20"/>
          <w:rFonts w:ascii="仿宋" w:hAnsi="仿宋" w:eastAsia="仿宋" w:cs="仿宋_GB2312"/>
          <w:b w:val="0"/>
          <w:sz w:val="32"/>
          <w:szCs w:val="32"/>
        </w:rPr>
        <w:t>100%</w:t>
      </w:r>
      <w:r>
        <w:rPr>
          <w:rStyle w:val="20"/>
          <w:rFonts w:hint="eastAsia" w:ascii="仿宋" w:hAnsi="仿宋" w:eastAsia="仿宋" w:cs="仿宋_GB2312"/>
          <w:b w:val="0"/>
          <w:sz w:val="32"/>
          <w:szCs w:val="32"/>
        </w:rPr>
        <w:t>。</w:t>
      </w:r>
    </w:p>
    <w:p>
      <w:pPr>
        <w:spacing w:line="576" w:lineRule="exact"/>
        <w:ind w:firstLine="640" w:firstLineChars="200"/>
        <w:rPr>
          <w:rStyle w:val="20"/>
          <w:rFonts w:ascii="仿宋" w:hAnsi="仿宋" w:eastAsia="仿宋"/>
          <w:b w:val="0"/>
          <w:bCs/>
          <w:sz w:val="32"/>
          <w:szCs w:val="32"/>
        </w:rPr>
      </w:pPr>
      <w:r>
        <w:rPr>
          <w:rStyle w:val="20"/>
          <w:rFonts w:ascii="仿宋" w:hAnsi="仿宋" w:eastAsia="仿宋" w:cs="仿宋_GB2312"/>
          <w:b w:val="0"/>
          <w:sz w:val="32"/>
          <w:szCs w:val="32"/>
        </w:rPr>
        <w:t>2.</w:t>
      </w:r>
      <w:r>
        <w:rPr>
          <w:rStyle w:val="20"/>
          <w:rFonts w:hint="eastAsia" w:ascii="仿宋" w:hAnsi="仿宋" w:eastAsia="仿宋" w:cs="仿宋_GB2312"/>
          <w:b w:val="0"/>
          <w:sz w:val="32"/>
          <w:szCs w:val="32"/>
        </w:rPr>
        <w:t>社会保障和就业支出（类）行政事业单位离退休（款）机关事业单位职业年金缴费支出（项）：</w:t>
      </w:r>
      <w:r>
        <w:rPr>
          <w:rStyle w:val="20"/>
          <w:rFonts w:ascii="仿宋" w:hAnsi="仿宋" w:eastAsia="仿宋" w:cs="仿宋_GB2312"/>
          <w:b w:val="0"/>
          <w:sz w:val="32"/>
          <w:szCs w:val="32"/>
        </w:rPr>
        <w:t>202</w:t>
      </w:r>
      <w:r>
        <w:rPr>
          <w:rStyle w:val="20"/>
          <w:rFonts w:hint="eastAsia" w:ascii="仿宋" w:hAnsi="仿宋" w:eastAsia="仿宋" w:cs="仿宋_GB2312"/>
          <w:b w:val="0"/>
          <w:sz w:val="32"/>
          <w:szCs w:val="32"/>
          <w:lang w:val="en-US" w:eastAsia="zh-CN"/>
        </w:rPr>
        <w:t>1</w:t>
      </w:r>
      <w:r>
        <w:rPr>
          <w:rStyle w:val="20"/>
          <w:rFonts w:hint="eastAsia" w:ascii="仿宋" w:hAnsi="仿宋" w:eastAsia="仿宋" w:cs="仿宋_GB2312"/>
          <w:b w:val="0"/>
          <w:sz w:val="32"/>
          <w:szCs w:val="32"/>
        </w:rPr>
        <w:t>年决算数为</w:t>
      </w:r>
      <w:r>
        <w:rPr>
          <w:rStyle w:val="20"/>
          <w:rFonts w:ascii="仿宋" w:hAnsi="仿宋" w:eastAsia="仿宋" w:cs="仿宋_GB2312"/>
          <w:b w:val="0"/>
          <w:sz w:val="32"/>
          <w:szCs w:val="32"/>
        </w:rPr>
        <w:t>:</w:t>
      </w:r>
      <w:r>
        <w:rPr>
          <w:rStyle w:val="20"/>
          <w:rFonts w:hint="eastAsia" w:ascii="仿宋" w:hAnsi="仿宋" w:eastAsia="仿宋" w:cs="仿宋_GB2312"/>
          <w:b w:val="0"/>
          <w:sz w:val="32"/>
          <w:szCs w:val="32"/>
        </w:rPr>
        <w:t>3.</w:t>
      </w:r>
      <w:r>
        <w:rPr>
          <w:rStyle w:val="20"/>
          <w:rFonts w:hint="eastAsia" w:ascii="仿宋" w:hAnsi="仿宋" w:eastAsia="仿宋" w:cs="仿宋_GB2312"/>
          <w:b w:val="0"/>
          <w:sz w:val="32"/>
          <w:szCs w:val="32"/>
          <w:lang w:val="en-US" w:eastAsia="zh-CN"/>
        </w:rPr>
        <w:t>78</w:t>
      </w:r>
      <w:r>
        <w:rPr>
          <w:rStyle w:val="20"/>
          <w:rFonts w:hint="eastAsia" w:ascii="仿宋" w:hAnsi="仿宋" w:eastAsia="仿宋" w:cs="仿宋_GB2312"/>
          <w:b w:val="0"/>
          <w:sz w:val="32"/>
          <w:szCs w:val="32"/>
        </w:rPr>
        <w:t>万元，完成预算</w:t>
      </w:r>
      <w:r>
        <w:rPr>
          <w:rStyle w:val="20"/>
          <w:rFonts w:ascii="仿宋" w:hAnsi="仿宋" w:eastAsia="仿宋" w:cs="仿宋_GB2312"/>
          <w:b w:val="0"/>
          <w:sz w:val="32"/>
          <w:szCs w:val="32"/>
        </w:rPr>
        <w:t>100%</w:t>
      </w:r>
      <w:r>
        <w:rPr>
          <w:rStyle w:val="20"/>
          <w:rFonts w:hint="eastAsia" w:ascii="仿宋" w:hAnsi="仿宋" w:eastAsia="仿宋" w:cs="仿宋_GB2312"/>
          <w:b w:val="0"/>
          <w:sz w:val="32"/>
          <w:szCs w:val="32"/>
        </w:rPr>
        <w:t>。</w:t>
      </w:r>
    </w:p>
    <w:p>
      <w:pPr>
        <w:spacing w:line="576" w:lineRule="exact"/>
        <w:ind w:firstLine="640" w:firstLineChars="200"/>
        <w:rPr>
          <w:rStyle w:val="20"/>
          <w:rFonts w:ascii="仿宋" w:hAnsi="仿宋" w:eastAsia="仿宋"/>
          <w:b w:val="0"/>
          <w:bCs/>
          <w:sz w:val="32"/>
          <w:szCs w:val="32"/>
        </w:rPr>
      </w:pPr>
      <w:r>
        <w:rPr>
          <w:rStyle w:val="20"/>
          <w:rFonts w:ascii="仿宋" w:hAnsi="仿宋" w:eastAsia="仿宋" w:cs="仿宋_GB2312"/>
          <w:b w:val="0"/>
          <w:sz w:val="32"/>
          <w:szCs w:val="32"/>
        </w:rPr>
        <w:t>3.</w:t>
      </w:r>
      <w:r>
        <w:rPr>
          <w:rStyle w:val="20"/>
          <w:rFonts w:hint="eastAsia" w:ascii="仿宋" w:hAnsi="仿宋" w:eastAsia="仿宋" w:cs="仿宋_GB2312"/>
          <w:b w:val="0"/>
          <w:sz w:val="32"/>
          <w:szCs w:val="32"/>
        </w:rPr>
        <w:t>社会保障和就业支出（类）红十字事业（款）</w:t>
      </w:r>
      <w:r>
        <w:rPr>
          <w:rStyle w:val="20"/>
          <w:rFonts w:hint="eastAsia" w:ascii="仿宋" w:hAnsi="仿宋" w:eastAsia="仿宋" w:cs="仿宋_GB2312"/>
          <w:b w:val="0"/>
          <w:sz w:val="32"/>
          <w:szCs w:val="32"/>
          <w:lang w:eastAsia="zh-CN"/>
        </w:rPr>
        <w:t>行政运行</w:t>
      </w:r>
      <w:r>
        <w:rPr>
          <w:rStyle w:val="20"/>
          <w:rFonts w:hint="eastAsia" w:ascii="仿宋" w:hAnsi="仿宋" w:eastAsia="仿宋" w:cs="仿宋_GB2312"/>
          <w:b w:val="0"/>
          <w:sz w:val="32"/>
          <w:szCs w:val="32"/>
        </w:rPr>
        <w:t>（项）：</w:t>
      </w:r>
      <w:r>
        <w:rPr>
          <w:rStyle w:val="20"/>
          <w:rFonts w:ascii="仿宋" w:hAnsi="仿宋" w:eastAsia="仿宋" w:cs="仿宋_GB2312"/>
          <w:b w:val="0"/>
          <w:sz w:val="32"/>
          <w:szCs w:val="32"/>
        </w:rPr>
        <w:t>202</w:t>
      </w:r>
      <w:r>
        <w:rPr>
          <w:rStyle w:val="20"/>
          <w:rFonts w:hint="eastAsia" w:ascii="仿宋" w:hAnsi="仿宋" w:eastAsia="仿宋" w:cs="仿宋_GB2312"/>
          <w:b w:val="0"/>
          <w:sz w:val="32"/>
          <w:szCs w:val="32"/>
          <w:lang w:val="en-US" w:eastAsia="zh-CN"/>
        </w:rPr>
        <w:t>1</w:t>
      </w:r>
      <w:r>
        <w:rPr>
          <w:rStyle w:val="20"/>
          <w:rFonts w:hint="eastAsia" w:ascii="仿宋" w:hAnsi="仿宋" w:eastAsia="仿宋" w:cs="仿宋_GB2312"/>
          <w:b w:val="0"/>
          <w:sz w:val="32"/>
          <w:szCs w:val="32"/>
        </w:rPr>
        <w:t>年决算数为</w:t>
      </w:r>
      <w:r>
        <w:rPr>
          <w:rStyle w:val="20"/>
          <w:rFonts w:hint="eastAsia" w:ascii="仿宋" w:hAnsi="仿宋" w:eastAsia="仿宋" w:cs="仿宋_GB2312"/>
          <w:b w:val="0"/>
          <w:sz w:val="32"/>
          <w:szCs w:val="32"/>
          <w:lang w:val="en-US" w:eastAsia="zh-CN"/>
        </w:rPr>
        <w:t>100.88</w:t>
      </w:r>
      <w:r>
        <w:rPr>
          <w:rStyle w:val="20"/>
          <w:rFonts w:hint="eastAsia" w:ascii="仿宋" w:hAnsi="仿宋" w:eastAsia="仿宋" w:cs="仿宋_GB2312"/>
          <w:b w:val="0"/>
          <w:sz w:val="32"/>
          <w:szCs w:val="32"/>
        </w:rPr>
        <w:t>万元，完成预算</w:t>
      </w:r>
      <w:r>
        <w:rPr>
          <w:rStyle w:val="20"/>
          <w:rFonts w:ascii="仿宋" w:hAnsi="仿宋" w:eastAsia="仿宋" w:cs="仿宋_GB2312"/>
          <w:b w:val="0"/>
          <w:sz w:val="32"/>
          <w:szCs w:val="32"/>
        </w:rPr>
        <w:t>100%</w:t>
      </w:r>
      <w:r>
        <w:rPr>
          <w:rStyle w:val="20"/>
          <w:rFonts w:hint="eastAsia" w:ascii="仿宋" w:hAnsi="仿宋" w:eastAsia="仿宋" w:cs="仿宋_GB2312"/>
          <w:b w:val="0"/>
          <w:sz w:val="32"/>
          <w:szCs w:val="32"/>
        </w:rPr>
        <w:t>。</w:t>
      </w:r>
    </w:p>
    <w:p>
      <w:pPr>
        <w:spacing w:line="576" w:lineRule="exact"/>
        <w:ind w:firstLine="640" w:firstLineChars="200"/>
        <w:rPr>
          <w:rStyle w:val="20"/>
          <w:rFonts w:ascii="仿宋" w:hAnsi="仿宋" w:eastAsia="仿宋"/>
          <w:b w:val="0"/>
          <w:bCs/>
          <w:sz w:val="32"/>
          <w:szCs w:val="32"/>
        </w:rPr>
      </w:pPr>
      <w:r>
        <w:rPr>
          <w:rStyle w:val="20"/>
          <w:rFonts w:ascii="仿宋" w:hAnsi="仿宋" w:eastAsia="仿宋" w:cs="仿宋_GB2312"/>
          <w:b w:val="0"/>
          <w:color w:val="000000"/>
          <w:sz w:val="32"/>
          <w:szCs w:val="32"/>
        </w:rPr>
        <w:t>4.</w:t>
      </w:r>
      <w:r>
        <w:rPr>
          <w:rStyle w:val="20"/>
          <w:rFonts w:hint="eastAsia" w:ascii="仿宋" w:hAnsi="仿宋" w:eastAsia="仿宋" w:cs="仿宋_GB2312"/>
          <w:b w:val="0"/>
          <w:color w:val="000000"/>
          <w:sz w:val="32"/>
          <w:szCs w:val="32"/>
        </w:rPr>
        <w:t>医疗卫生与计划生育支出（类）行政事业单位医疗（款）</w:t>
      </w:r>
      <w:r>
        <w:rPr>
          <w:rStyle w:val="20"/>
          <w:rFonts w:hint="eastAsia" w:ascii="仿宋" w:hAnsi="仿宋" w:eastAsia="仿宋" w:cs="仿宋_GB2312"/>
          <w:b w:val="0"/>
          <w:sz w:val="32"/>
          <w:szCs w:val="32"/>
        </w:rPr>
        <w:t>行政单位医疗（项）：</w:t>
      </w:r>
      <w:r>
        <w:rPr>
          <w:rStyle w:val="20"/>
          <w:rFonts w:ascii="仿宋" w:hAnsi="仿宋" w:eastAsia="仿宋" w:cs="仿宋_GB2312"/>
          <w:b w:val="0"/>
          <w:sz w:val="32"/>
          <w:szCs w:val="32"/>
        </w:rPr>
        <w:t>202</w:t>
      </w:r>
      <w:r>
        <w:rPr>
          <w:rStyle w:val="20"/>
          <w:rFonts w:hint="eastAsia" w:ascii="仿宋" w:hAnsi="仿宋" w:eastAsia="仿宋" w:cs="仿宋_GB2312"/>
          <w:b w:val="0"/>
          <w:sz w:val="32"/>
          <w:szCs w:val="32"/>
          <w:lang w:val="en-US" w:eastAsia="zh-CN"/>
        </w:rPr>
        <w:t>1</w:t>
      </w:r>
      <w:r>
        <w:rPr>
          <w:rStyle w:val="20"/>
          <w:rFonts w:hint="eastAsia" w:ascii="仿宋" w:hAnsi="仿宋" w:eastAsia="仿宋" w:cs="仿宋_GB2312"/>
          <w:b w:val="0"/>
          <w:sz w:val="32"/>
          <w:szCs w:val="32"/>
        </w:rPr>
        <w:t>年决算数为</w:t>
      </w:r>
      <w:r>
        <w:rPr>
          <w:rStyle w:val="20"/>
          <w:rFonts w:ascii="仿宋" w:hAnsi="仿宋" w:eastAsia="仿宋" w:cs="仿宋_GB2312"/>
          <w:b w:val="0"/>
          <w:sz w:val="32"/>
          <w:szCs w:val="32"/>
        </w:rPr>
        <w:t>:5.</w:t>
      </w:r>
      <w:r>
        <w:rPr>
          <w:rStyle w:val="20"/>
          <w:rFonts w:hint="eastAsia" w:ascii="仿宋" w:hAnsi="仿宋" w:eastAsia="仿宋" w:cs="仿宋_GB2312"/>
          <w:b w:val="0"/>
          <w:sz w:val="32"/>
          <w:szCs w:val="32"/>
          <w:lang w:val="en-US" w:eastAsia="zh-CN"/>
        </w:rPr>
        <w:t>22</w:t>
      </w:r>
      <w:r>
        <w:rPr>
          <w:rStyle w:val="20"/>
          <w:rFonts w:hint="eastAsia" w:ascii="仿宋" w:hAnsi="仿宋" w:eastAsia="仿宋" w:cs="仿宋_GB2312"/>
          <w:b w:val="0"/>
          <w:sz w:val="32"/>
          <w:szCs w:val="32"/>
        </w:rPr>
        <w:t>万元，完成预算</w:t>
      </w:r>
      <w:r>
        <w:rPr>
          <w:rStyle w:val="20"/>
          <w:rFonts w:ascii="仿宋" w:hAnsi="仿宋" w:eastAsia="仿宋" w:cs="仿宋_GB2312"/>
          <w:b w:val="0"/>
          <w:sz w:val="32"/>
          <w:szCs w:val="32"/>
        </w:rPr>
        <w:t>100%</w:t>
      </w:r>
      <w:r>
        <w:rPr>
          <w:rStyle w:val="20"/>
          <w:rFonts w:hint="eastAsia" w:ascii="仿宋" w:hAnsi="仿宋" w:eastAsia="仿宋" w:cs="仿宋_GB2312"/>
          <w:b w:val="0"/>
          <w:sz w:val="32"/>
          <w:szCs w:val="32"/>
        </w:rPr>
        <w:t>。</w:t>
      </w:r>
    </w:p>
    <w:p>
      <w:pPr>
        <w:spacing w:line="576" w:lineRule="exact"/>
        <w:ind w:firstLine="640" w:firstLineChars="200"/>
        <w:rPr>
          <w:rFonts w:ascii="仿宋" w:hAnsi="仿宋" w:eastAsia="仿宋"/>
          <w:b/>
          <w:color w:val="000000"/>
          <w:sz w:val="32"/>
          <w:szCs w:val="32"/>
        </w:rPr>
      </w:pPr>
      <w:r>
        <w:rPr>
          <w:rStyle w:val="20"/>
          <w:rFonts w:ascii="仿宋" w:hAnsi="仿宋" w:eastAsia="仿宋" w:cs="仿宋_GB2312"/>
          <w:b w:val="0"/>
          <w:sz w:val="32"/>
          <w:szCs w:val="32"/>
        </w:rPr>
        <w:t>5.</w:t>
      </w:r>
      <w:r>
        <w:rPr>
          <w:rStyle w:val="20"/>
          <w:rFonts w:hint="eastAsia" w:ascii="仿宋" w:hAnsi="仿宋" w:eastAsia="仿宋" w:cs="仿宋_GB2312"/>
          <w:b w:val="0"/>
          <w:sz w:val="32"/>
          <w:szCs w:val="32"/>
        </w:rPr>
        <w:t>住房保障支出（类）住房改革支出（款）住房公积金（项）：</w:t>
      </w:r>
      <w:r>
        <w:rPr>
          <w:rStyle w:val="20"/>
          <w:rFonts w:ascii="仿宋" w:hAnsi="仿宋" w:eastAsia="仿宋" w:cs="仿宋_GB2312"/>
          <w:b w:val="0"/>
          <w:sz w:val="32"/>
          <w:szCs w:val="32"/>
        </w:rPr>
        <w:t>202</w:t>
      </w:r>
      <w:r>
        <w:rPr>
          <w:rStyle w:val="20"/>
          <w:rFonts w:hint="eastAsia" w:ascii="仿宋" w:hAnsi="仿宋" w:eastAsia="仿宋" w:cs="仿宋_GB2312"/>
          <w:b w:val="0"/>
          <w:sz w:val="32"/>
          <w:szCs w:val="32"/>
          <w:lang w:val="en-US" w:eastAsia="zh-CN"/>
        </w:rPr>
        <w:t>1</w:t>
      </w:r>
      <w:r>
        <w:rPr>
          <w:rStyle w:val="20"/>
          <w:rFonts w:hint="eastAsia" w:ascii="仿宋" w:hAnsi="仿宋" w:eastAsia="仿宋" w:cs="仿宋_GB2312"/>
          <w:b w:val="0"/>
          <w:sz w:val="32"/>
          <w:szCs w:val="32"/>
        </w:rPr>
        <w:t>年决算数为</w:t>
      </w:r>
      <w:r>
        <w:rPr>
          <w:rStyle w:val="20"/>
          <w:rFonts w:ascii="仿宋" w:hAnsi="仿宋" w:eastAsia="仿宋" w:cs="仿宋_GB2312"/>
          <w:b w:val="0"/>
          <w:sz w:val="32"/>
          <w:szCs w:val="32"/>
        </w:rPr>
        <w:t>:7.</w:t>
      </w:r>
      <w:r>
        <w:rPr>
          <w:rStyle w:val="20"/>
          <w:rFonts w:hint="eastAsia" w:ascii="仿宋" w:hAnsi="仿宋" w:eastAsia="仿宋" w:cs="仿宋_GB2312"/>
          <w:b w:val="0"/>
          <w:sz w:val="32"/>
          <w:szCs w:val="32"/>
          <w:lang w:val="en-US" w:eastAsia="zh-CN"/>
        </w:rPr>
        <w:t>63</w:t>
      </w:r>
      <w:r>
        <w:rPr>
          <w:rStyle w:val="20"/>
          <w:rFonts w:hint="eastAsia" w:ascii="仿宋" w:hAnsi="仿宋" w:eastAsia="仿宋" w:cs="仿宋_GB2312"/>
          <w:b w:val="0"/>
          <w:sz w:val="32"/>
          <w:szCs w:val="32"/>
        </w:rPr>
        <w:t>万元，完成预算</w:t>
      </w:r>
      <w:r>
        <w:rPr>
          <w:rStyle w:val="20"/>
          <w:rFonts w:ascii="仿宋" w:hAnsi="仿宋" w:eastAsia="仿宋" w:cs="仿宋_GB2312"/>
          <w:b w:val="0"/>
          <w:sz w:val="32"/>
          <w:szCs w:val="32"/>
        </w:rPr>
        <w:t>100%</w:t>
      </w:r>
      <w:r>
        <w:rPr>
          <w:rStyle w:val="20"/>
          <w:rFonts w:hint="eastAsia" w:ascii="仿宋" w:hAnsi="仿宋" w:eastAsia="仿宋" w:cs="仿宋_GB2312"/>
          <w:b w:val="0"/>
          <w:sz w:val="32"/>
          <w:szCs w:val="32"/>
        </w:rPr>
        <w:t>。</w:t>
      </w:r>
    </w:p>
    <w:p>
      <w:pPr>
        <w:tabs>
          <w:tab w:val="right" w:pos="8306"/>
        </w:tabs>
        <w:spacing w:line="600" w:lineRule="exact"/>
        <w:ind w:firstLine="640"/>
        <w:outlineLvl w:val="1"/>
        <w:rPr>
          <w:rStyle w:val="23"/>
        </w:rPr>
      </w:pPr>
      <w:bookmarkStart w:id="68" w:name="_Toc15377214"/>
      <w:bookmarkStart w:id="69" w:name="_Toc79163618"/>
      <w:bookmarkStart w:id="70" w:name="_Toc30621"/>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68"/>
      <w:bookmarkEnd w:id="69"/>
      <w:bookmarkEnd w:id="70"/>
      <w:bookmarkEnd w:id="71"/>
      <w:r>
        <w:rPr>
          <w:rStyle w:val="23"/>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125.08</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118.77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6.31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3"/>
          <w:rFonts w:ascii="黑体" w:hAnsi="黑体" w:eastAsia="黑体"/>
          <w:b w:val="0"/>
        </w:rPr>
      </w:pPr>
      <w:bookmarkStart w:id="72" w:name="_Toc15396609"/>
      <w:bookmarkStart w:id="73" w:name="_Toc79163619"/>
      <w:bookmarkStart w:id="74" w:name="_Toc15377215"/>
      <w:bookmarkStart w:id="75" w:name="_Toc15495"/>
      <w:r>
        <w:rPr>
          <w:rFonts w:hint="eastAsia" w:ascii="黑体" w:eastAsia="黑体"/>
          <w:color w:val="000000"/>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725"/>
      <w:bookmarkStart w:id="77" w:name="_Toc15377216"/>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2.86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ascii="仿宋" w:hAnsi="仿宋" w:eastAsia="仿宋"/>
          <w:color w:val="000000"/>
          <w:sz w:val="32"/>
          <w:szCs w:val="32"/>
        </w:rPr>
        <w:t>厉行节约</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9" w:name="_Toc79163621"/>
      <w:bookmarkStart w:id="80" w:name="_Toc32190"/>
      <w:bookmarkStart w:id="81" w:name="_Toc15377217"/>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2.86</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1" locked="0" layoutInCell="1" allowOverlap="1">
            <wp:simplePos x="0" y="0"/>
            <wp:positionH relativeFrom="column">
              <wp:posOffset>409575</wp:posOffset>
            </wp:positionH>
            <wp:positionV relativeFrom="paragraph">
              <wp:posOffset>215900</wp:posOffset>
            </wp:positionV>
            <wp:extent cx="4386580" cy="2462530"/>
            <wp:effectExtent l="4445" t="5080" r="9525" b="889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rPr>
          <w:rFonts w:ascii="仿宋_GB2312" w:eastAsia="仿宋_GB2312"/>
          <w:b/>
          <w:color w:val="000000"/>
          <w:sz w:val="32"/>
          <w:szCs w:val="32"/>
        </w:rPr>
      </w:pPr>
      <w:r>
        <w:rPr>
          <w:rFonts w:ascii="仿宋_GB2312" w:eastAsia="仿宋_GB2312"/>
          <w:b/>
          <w:color w:val="000000"/>
          <w:sz w:val="32"/>
          <w:szCs w:val="32"/>
        </w:rPr>
        <w:t xml:space="preserve">    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2.86</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72</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0.59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厉行节约</w:t>
      </w:r>
      <w:r>
        <w:rPr>
          <w:rFonts w:hint="eastAsia" w:ascii="仿宋_GB2312" w:eastAsia="仿宋_GB2312"/>
          <w:color w:val="000000"/>
          <w:sz w:val="32"/>
          <w:szCs w:val="32"/>
        </w:rPr>
        <w:t>。</w:t>
      </w:r>
    </w:p>
    <w:p>
      <w:pPr>
        <w:spacing w:line="600" w:lineRule="exact"/>
        <w:ind w:firstLine="64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w:t>
      </w:r>
      <w:r>
        <w:rPr>
          <w:rFonts w:ascii="仿宋_GB2312" w:eastAsia="仿宋_GB2312"/>
          <w:color w:val="000000"/>
          <w:sz w:val="32"/>
          <w:szCs w:val="32"/>
        </w:rPr>
        <w:t>，</w:t>
      </w:r>
      <w:r>
        <w:rPr>
          <w:rFonts w:hint="eastAsia" w:ascii="仿宋_GB2312" w:eastAsia="仿宋_GB2312"/>
          <w:color w:val="000000"/>
          <w:sz w:val="32"/>
          <w:szCs w:val="32"/>
        </w:rPr>
        <w:t>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w:t>
      </w:r>
      <w:r>
        <w:rPr>
          <w:rFonts w:hint="eastAsia" w:ascii="仿宋" w:hAnsi="仿宋" w:eastAsia="仿宋"/>
          <w:color w:val="000000"/>
          <w:sz w:val="32"/>
          <w:szCs w:val="32"/>
        </w:rPr>
        <w:t>单位共有公务用车1辆，其中：主要领导干部用车0辆、机要通信用车0辆、应急保障用车1辆、 执法执勤用车0辆。</w:t>
      </w:r>
    </w:p>
    <w:p>
      <w:pPr>
        <w:spacing w:line="600" w:lineRule="exact"/>
        <w:ind w:firstLine="642" w:firstLineChars="200"/>
        <w:rPr>
          <w:rFonts w:ascii="仿宋_GB2312" w:eastAsia="仿宋_GB2312"/>
          <w:b/>
          <w:color w:val="000000"/>
          <w:sz w:val="32"/>
          <w:szCs w:val="32"/>
        </w:rPr>
      </w:pP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2.86</w:t>
      </w:r>
      <w:r>
        <w:rPr>
          <w:rFonts w:hint="eastAsia" w:ascii="仿宋_GB2312" w:eastAsia="仿宋_GB2312"/>
          <w:color w:val="000000"/>
          <w:sz w:val="32"/>
          <w:szCs w:val="32"/>
        </w:rPr>
        <w:t>万元。主要用于</w:t>
      </w:r>
      <w:r>
        <w:rPr>
          <w:rFonts w:hint="eastAsia" w:ascii="仿宋" w:hAnsi="仿宋" w:eastAsia="仿宋" w:cs="仿宋_GB2312"/>
          <w:color w:val="000000"/>
          <w:sz w:val="32"/>
          <w:szCs w:val="32"/>
        </w:rPr>
        <w:t>出差、下乡</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w:t>
      </w:r>
      <w:r>
        <w:rPr>
          <w:rFonts w:hint="eastAsia" w:ascii="仿宋" w:hAnsi="仿宋" w:eastAsia="仿宋"/>
          <w:b/>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b/>
          <w:bCs/>
          <w:color w:val="000000"/>
          <w:sz w:val="32"/>
          <w:szCs w:val="32"/>
        </w:rPr>
        <w:t>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w:t>
      </w:r>
    </w:p>
    <w:p>
      <w:pPr>
        <w:spacing w:line="600" w:lineRule="exact"/>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outlineLvl w:val="1"/>
        <w:rPr>
          <w:rStyle w:val="23"/>
          <w:rFonts w:ascii="黑体" w:hAnsi="黑体" w:eastAsia="黑体"/>
        </w:rPr>
      </w:pPr>
      <w:bookmarkStart w:id="82" w:name="_Toc7660"/>
      <w:bookmarkStart w:id="83" w:name="_Toc15396610"/>
      <w:bookmarkStart w:id="84" w:name="_Toc79163622"/>
      <w:bookmarkStart w:id="85" w:name="_Toc15377218"/>
      <w:r>
        <w:rPr>
          <w:rFonts w:hint="eastAsia" w:ascii="黑体" w:eastAsia="黑体"/>
          <w:color w:val="000000"/>
          <w:sz w:val="32"/>
          <w:szCs w:val="32"/>
        </w:rPr>
        <w:t>八、</w:t>
      </w:r>
      <w:r>
        <w:rPr>
          <w:rStyle w:val="23"/>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3"/>
          <w:rFonts w:ascii="黑体" w:hAnsi="黑体" w:eastAsia="黑体"/>
          <w:b w:val="0"/>
        </w:rPr>
      </w:pPr>
      <w:bookmarkStart w:id="86" w:name="_Toc15377219"/>
      <w:bookmarkStart w:id="87" w:name="_Toc15396611"/>
      <w:bookmarkStart w:id="88" w:name="_Toc79163623"/>
      <w:bookmarkStart w:id="89" w:name="_Toc23406"/>
      <w:r>
        <w:rPr>
          <w:rStyle w:val="23"/>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3"/>
          <w:rFonts w:ascii="黑体" w:hAnsi="黑体" w:eastAsia="黑体"/>
        </w:rPr>
      </w:pPr>
      <w:bookmarkStart w:id="90" w:name="_Toc15377221"/>
      <w:bookmarkStart w:id="91" w:name="_Toc17527"/>
      <w:bookmarkStart w:id="92" w:name="_Toc79163624"/>
      <w:bookmarkStart w:id="93" w:name="_Toc15396612"/>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15377222"/>
      <w:bookmarkStart w:id="95" w:name="_Toc29088"/>
      <w:bookmarkStart w:id="96" w:name="_Toc7916362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茂县红十字会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6.31</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6.26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50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厉行节约</w:t>
      </w:r>
      <w:r>
        <w:rPr>
          <w:rFonts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626"/>
      <w:bookmarkStart w:id="98" w:name="_Toc15377223"/>
      <w:bookmarkStart w:id="99" w:name="_Toc269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茂县红十字会</w:t>
      </w:r>
      <w:r>
        <w:rPr>
          <w:rFonts w:hint="eastAsia" w:ascii="仿宋_GB2312" w:eastAsia="仿宋_GB2312"/>
          <w:color w:val="000000"/>
          <w:sz w:val="32"/>
          <w:szCs w:val="32"/>
        </w:rPr>
        <w:t>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627"/>
      <w:bookmarkStart w:id="101" w:name="_Toc15377224"/>
      <w:bookmarkStart w:id="102" w:name="_Toc4888"/>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茂县红十字会</w:t>
      </w:r>
      <w:r>
        <w:rPr>
          <w:rFonts w:hint="eastAsia" w:ascii="仿宋_GB2312" w:eastAsia="仿宋_GB2312"/>
          <w:color w:val="000000"/>
          <w:sz w:val="32"/>
          <w:szCs w:val="32"/>
        </w:rPr>
        <w:t>共有车辆</w:t>
      </w:r>
      <w:r>
        <w:rPr>
          <w:rFonts w:ascii="仿宋_GB2312" w:eastAsia="仿宋_GB2312"/>
          <w:color w:val="000000"/>
          <w:sz w:val="32"/>
          <w:szCs w:val="32"/>
        </w:rPr>
        <w:t>4</w:t>
      </w:r>
      <w:r>
        <w:rPr>
          <w:rFonts w:hint="eastAsia" w:ascii="仿宋_GB2312" w:eastAsia="仿宋_GB2312"/>
          <w:color w:val="000000"/>
          <w:sz w:val="32"/>
          <w:szCs w:val="32"/>
        </w:rPr>
        <w:t>辆，</w:t>
      </w:r>
      <w:r>
        <w:rPr>
          <w:rFonts w:hint="eastAsia" w:ascii="仿宋" w:hAnsi="仿宋" w:eastAsia="仿宋"/>
          <w:color w:val="000000"/>
          <w:sz w:val="32"/>
          <w:szCs w:val="32"/>
        </w:rPr>
        <w:t>其中：主要领导干部用车0辆、机要通信用车4辆（其中有3辆待报废）、应急保障用车0辆、其他用车0辆。</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79163628"/>
      <w:bookmarkStart w:id="104" w:name="_Toc8767"/>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我单位根据预算绩效管理要求，根据年初工作规划和重点性工作，积极履职，强化管理，通过加强预算收支管理，不断建立健全内部管理制度，梳理内部管理流程，较好的完成了年度工作目标。</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本单位按要求对</w:t>
      </w:r>
      <w:r>
        <w:rPr>
          <w:rFonts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部门整体支出绩效评价情况开展自评，本年度我单位整体支出评价自查自评结果良好，全年基本支出保证了部门的正常运行和日常工作的正常开展，绩效目标得到了较好的实现，绩效水平不断提高，绩效指标体系逐渐丰富和完善。</w:t>
      </w:r>
    </w:p>
    <w:p>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项目绩效内容本单位不涉及。</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年部门整体支出绩效评价情况开展自评《茂县红十字会</w:t>
      </w:r>
      <w:r>
        <w:rPr>
          <w:rFonts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年部门整体支出绩效评价报告》见附件。（附件1）。</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numPr>
          <w:ilvl w:val="0"/>
          <w:numId w:val="4"/>
        </w:numPr>
        <w:spacing w:line="600" w:lineRule="exact"/>
        <w:ind w:firstLine="660" w:firstLineChars="150"/>
        <w:jc w:val="center"/>
        <w:outlineLvl w:val="0"/>
        <w:rPr>
          <w:rStyle w:val="22"/>
          <w:rFonts w:ascii="黑体" w:hAnsi="黑体" w:eastAsia="黑体"/>
          <w:b w:val="0"/>
        </w:rPr>
      </w:pPr>
      <w:bookmarkStart w:id="105" w:name="_Toc79163629"/>
      <w:bookmarkStart w:id="106" w:name="_Toc15377225"/>
      <w:bookmarkStart w:id="107" w:name="_Toc15396613"/>
      <w:bookmarkStart w:id="108" w:name="_Toc21050"/>
      <w:r>
        <w:rPr>
          <w:rFonts w:hint="eastAsia" w:ascii="黑体" w:hAnsi="黑体" w:eastAsia="黑体"/>
          <w:color w:val="000000"/>
          <w:sz w:val="44"/>
          <w:szCs w:val="44"/>
        </w:rPr>
        <w:t>名</w:t>
      </w:r>
      <w:r>
        <w:rPr>
          <w:rStyle w:val="22"/>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2"/>
        <w:spacing w:line="560" w:lineRule="exact"/>
        <w:ind w:firstLine="640" w:firstLineChars="200"/>
        <w:rPr>
          <w:rFonts w:hAnsi="仿宋"/>
          <w:sz w:val="32"/>
          <w:szCs w:val="32"/>
        </w:rPr>
      </w:pPr>
      <w:bookmarkStart w:id="109" w:name="_Toc15377226"/>
      <w:r>
        <w:rPr>
          <w:rFonts w:hAnsi="仿宋"/>
          <w:sz w:val="32"/>
          <w:szCs w:val="32"/>
        </w:rPr>
        <w:t>1.</w:t>
      </w:r>
      <w:r>
        <w:rPr>
          <w:rFonts w:hint="eastAsia" w:hAnsi="仿宋"/>
          <w:sz w:val="32"/>
          <w:szCs w:val="32"/>
        </w:rPr>
        <w:t>财政拨款收入：指单位从同级财政部门取得的财政预算资金。</w:t>
      </w:r>
    </w:p>
    <w:p>
      <w:pPr>
        <w:pStyle w:val="32"/>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32"/>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32"/>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pPr>
        <w:pStyle w:val="32"/>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32"/>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32"/>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32"/>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576" w:lineRule="exact"/>
        <w:ind w:firstLine="640" w:firstLineChars="200"/>
        <w:rPr>
          <w:rStyle w:val="20"/>
          <w:rFonts w:ascii="仿宋" w:hAnsi="仿宋" w:eastAsia="仿宋"/>
          <w:b w:val="0"/>
          <w:bCs/>
          <w:color w:val="000000"/>
          <w:sz w:val="32"/>
          <w:szCs w:val="32"/>
        </w:rPr>
      </w:pPr>
      <w:r>
        <w:rPr>
          <w:rFonts w:ascii="仿宋" w:hAnsi="仿宋" w:eastAsia="仿宋" w:cs="仿宋_GB2312"/>
          <w:color w:val="000000"/>
          <w:sz w:val="32"/>
          <w:szCs w:val="32"/>
        </w:rPr>
        <w:t>9.</w:t>
      </w:r>
      <w:r>
        <w:rPr>
          <w:rStyle w:val="20"/>
          <w:rFonts w:hint="eastAsia" w:ascii="仿宋" w:hAnsi="仿宋" w:eastAsia="仿宋" w:cs="仿宋_GB2312"/>
          <w:b w:val="0"/>
          <w:sz w:val="32"/>
          <w:szCs w:val="32"/>
        </w:rPr>
        <w:t>社会保障和就业支出（类）行政事业单位离退休（款）</w:t>
      </w:r>
      <w:r>
        <w:rPr>
          <w:rStyle w:val="20"/>
          <w:rFonts w:hint="eastAsia" w:ascii="仿宋" w:hAnsi="仿宋" w:eastAsia="仿宋" w:cs="仿宋_GB2312"/>
          <w:b w:val="0"/>
          <w:color w:val="000000"/>
          <w:sz w:val="32"/>
          <w:szCs w:val="32"/>
        </w:rPr>
        <w:t>机关事业单位养老保险缴费支出（项）</w:t>
      </w:r>
      <w:r>
        <w:rPr>
          <w:rStyle w:val="20"/>
          <w:rFonts w:ascii="仿宋" w:hAnsi="仿宋" w:eastAsia="仿宋" w:cs="仿宋_GB2312"/>
          <w:b w:val="0"/>
          <w:color w:val="000000"/>
          <w:sz w:val="32"/>
          <w:szCs w:val="32"/>
        </w:rPr>
        <w:t>:</w:t>
      </w:r>
      <w:r>
        <w:rPr>
          <w:rStyle w:val="20"/>
          <w:rFonts w:hint="eastAsia" w:ascii="仿宋" w:hAnsi="仿宋" w:eastAsia="仿宋" w:cs="仿宋_GB2312"/>
          <w:b w:val="0"/>
          <w:color w:val="000000"/>
          <w:sz w:val="32"/>
          <w:szCs w:val="32"/>
        </w:rPr>
        <w:t>指机关事业单位实施养老保险制度由单位缴纳的基本养老保险缴费支出。</w:t>
      </w:r>
    </w:p>
    <w:p>
      <w:pPr>
        <w:spacing w:line="576" w:lineRule="exact"/>
        <w:ind w:firstLine="640" w:firstLineChars="200"/>
        <w:rPr>
          <w:rStyle w:val="20"/>
          <w:rFonts w:ascii="仿宋" w:hAnsi="仿宋" w:eastAsia="仿宋"/>
          <w:b w:val="0"/>
          <w:bCs/>
          <w:sz w:val="32"/>
          <w:szCs w:val="32"/>
        </w:rPr>
      </w:pPr>
      <w:r>
        <w:rPr>
          <w:rStyle w:val="20"/>
          <w:rFonts w:ascii="仿宋" w:hAnsi="仿宋" w:eastAsia="仿宋" w:cs="仿宋_GB2312"/>
          <w:b w:val="0"/>
          <w:sz w:val="32"/>
          <w:szCs w:val="32"/>
        </w:rPr>
        <w:t>10.</w:t>
      </w:r>
      <w:r>
        <w:rPr>
          <w:rStyle w:val="20"/>
          <w:rFonts w:hint="eastAsia" w:ascii="仿宋" w:hAnsi="仿宋" w:eastAsia="仿宋" w:cs="仿宋_GB2312"/>
          <w:b w:val="0"/>
          <w:sz w:val="32"/>
          <w:szCs w:val="32"/>
        </w:rPr>
        <w:t>社会保障和就业支出（类）行政事业单位离退休（款）机关事业单位职业年金缴费支出（项）：指机关事业单位</w:t>
      </w:r>
      <w:r>
        <w:rPr>
          <w:rStyle w:val="20"/>
          <w:rFonts w:hint="eastAsia" w:ascii="仿宋" w:hAnsi="仿宋" w:eastAsia="仿宋" w:cs="仿宋_GB2312"/>
          <w:b w:val="0"/>
          <w:color w:val="000000"/>
          <w:sz w:val="32"/>
          <w:szCs w:val="32"/>
        </w:rPr>
        <w:t>实施养老保险制度由单位缴纳的</w:t>
      </w:r>
      <w:r>
        <w:rPr>
          <w:rStyle w:val="20"/>
          <w:rFonts w:hint="eastAsia" w:ascii="仿宋" w:hAnsi="仿宋" w:eastAsia="仿宋" w:cs="仿宋_GB2312"/>
          <w:b w:val="0"/>
          <w:sz w:val="32"/>
          <w:szCs w:val="32"/>
        </w:rPr>
        <w:t>职业年金缴费支出。</w:t>
      </w:r>
    </w:p>
    <w:p>
      <w:pPr>
        <w:spacing w:line="576" w:lineRule="exact"/>
        <w:ind w:firstLine="800" w:firstLineChars="250"/>
        <w:rPr>
          <w:rStyle w:val="20"/>
          <w:rFonts w:ascii="仿宋" w:hAnsi="仿宋" w:eastAsia="仿宋"/>
          <w:b w:val="0"/>
          <w:bCs/>
          <w:sz w:val="32"/>
          <w:szCs w:val="32"/>
        </w:rPr>
      </w:pPr>
      <w:r>
        <w:rPr>
          <w:rStyle w:val="20"/>
          <w:rFonts w:ascii="仿宋" w:hAnsi="仿宋" w:eastAsia="仿宋" w:cs="仿宋_GB2312"/>
          <w:b w:val="0"/>
          <w:sz w:val="32"/>
          <w:szCs w:val="32"/>
        </w:rPr>
        <w:t>11.</w:t>
      </w:r>
      <w:r>
        <w:rPr>
          <w:rStyle w:val="20"/>
          <w:rFonts w:hint="eastAsia" w:ascii="仿宋" w:hAnsi="仿宋" w:eastAsia="仿宋" w:cs="仿宋_GB2312"/>
          <w:b w:val="0"/>
          <w:sz w:val="32"/>
          <w:szCs w:val="32"/>
        </w:rPr>
        <w:t>社会保障和就业支出（类）红十字事业（款）其他红十字事业支出（项）：指政府支持红十字会开展红十字社会公益活动等方面的支出。</w:t>
      </w:r>
    </w:p>
    <w:p>
      <w:pPr>
        <w:spacing w:line="576" w:lineRule="exact"/>
        <w:ind w:firstLine="800" w:firstLineChars="250"/>
        <w:rPr>
          <w:rStyle w:val="20"/>
          <w:rFonts w:ascii="仿宋" w:hAnsi="仿宋" w:eastAsia="仿宋"/>
          <w:b w:val="0"/>
          <w:bCs/>
          <w:sz w:val="32"/>
          <w:szCs w:val="32"/>
        </w:rPr>
      </w:pPr>
      <w:r>
        <w:rPr>
          <w:rStyle w:val="20"/>
          <w:rFonts w:ascii="仿宋" w:hAnsi="仿宋" w:eastAsia="仿宋" w:cs="仿宋_GB2312"/>
          <w:b w:val="0"/>
          <w:color w:val="000000"/>
          <w:sz w:val="32"/>
          <w:szCs w:val="32"/>
        </w:rPr>
        <w:t>12.</w:t>
      </w:r>
      <w:r>
        <w:rPr>
          <w:rStyle w:val="20"/>
          <w:rFonts w:hint="eastAsia" w:ascii="仿宋" w:hAnsi="仿宋" w:eastAsia="仿宋" w:cs="仿宋_GB2312"/>
          <w:b w:val="0"/>
          <w:color w:val="000000"/>
          <w:sz w:val="32"/>
          <w:szCs w:val="32"/>
        </w:rPr>
        <w:t>医疗卫生与计划生育支出（类）行政事业单位医疗（款）</w:t>
      </w:r>
      <w:r>
        <w:rPr>
          <w:rStyle w:val="20"/>
          <w:rFonts w:hint="eastAsia" w:ascii="仿宋" w:hAnsi="仿宋" w:eastAsia="仿宋" w:cs="仿宋_GB2312"/>
          <w:b w:val="0"/>
          <w:sz w:val="32"/>
          <w:szCs w:val="32"/>
        </w:rPr>
        <w:t>行政单位医疗（项）：指反映财政部门集中安排的行政事业单位基表养老保险缴费经费，未参加医疗保险的行政事业单位的公费医疗经费，按国家规定享受离休人员、红军老战士待遇人员的医疗经费。</w:t>
      </w:r>
    </w:p>
    <w:p>
      <w:pPr>
        <w:spacing w:line="576" w:lineRule="exact"/>
        <w:ind w:firstLine="800" w:firstLineChars="250"/>
        <w:rPr>
          <w:rStyle w:val="20"/>
          <w:rFonts w:ascii="仿宋" w:hAnsi="仿宋" w:eastAsia="仿宋"/>
          <w:b w:val="0"/>
          <w:bCs/>
          <w:sz w:val="32"/>
          <w:szCs w:val="32"/>
        </w:rPr>
      </w:pPr>
      <w:r>
        <w:rPr>
          <w:rStyle w:val="20"/>
          <w:rFonts w:ascii="仿宋" w:hAnsi="仿宋" w:eastAsia="仿宋" w:cs="仿宋_GB2312"/>
          <w:b w:val="0"/>
          <w:sz w:val="32"/>
          <w:szCs w:val="32"/>
        </w:rPr>
        <w:t>13.</w:t>
      </w:r>
      <w:r>
        <w:rPr>
          <w:rStyle w:val="20"/>
          <w:rFonts w:hint="eastAsia" w:ascii="仿宋" w:hAnsi="仿宋" w:eastAsia="仿宋" w:cs="仿宋_GB2312"/>
          <w:b w:val="0"/>
          <w:sz w:val="32"/>
          <w:szCs w:val="32"/>
        </w:rPr>
        <w:t>住房保障支出（类）住房改革支出（款）住房公积金（项）：指反映行政事业单位按</w:t>
      </w:r>
      <w:r>
        <w:rPr>
          <w:rStyle w:val="20"/>
          <w:rFonts w:hint="default" w:ascii="仿宋" w:hAnsi="仿宋" w:eastAsia="仿宋" w:cs="仿宋_GB2312"/>
          <w:b w:val="0"/>
          <w:sz w:val="32"/>
          <w:szCs w:val="32"/>
        </w:rPr>
        <w:t>人力资源和社会保障部</w:t>
      </w:r>
      <w:r>
        <w:rPr>
          <w:rStyle w:val="20"/>
          <w:rFonts w:hint="eastAsia" w:ascii="仿宋" w:hAnsi="仿宋" w:eastAsia="仿宋" w:cs="仿宋_GB2312"/>
          <w:b w:val="0"/>
          <w:sz w:val="32"/>
          <w:szCs w:val="32"/>
        </w:rPr>
        <w:t>、财政部规定的基本工资和津贴补贴以及规定比例为职工缴纳的住房公积金。</w:t>
      </w:r>
    </w:p>
    <w:p>
      <w:pPr>
        <w:spacing w:line="576" w:lineRule="exact"/>
        <w:ind w:firstLine="800" w:firstLineChars="250"/>
        <w:rPr>
          <w:rStyle w:val="20"/>
          <w:rFonts w:ascii="仿宋" w:hAnsi="仿宋" w:eastAsia="仿宋"/>
          <w:b w:val="0"/>
          <w:bCs/>
          <w:sz w:val="32"/>
          <w:szCs w:val="32"/>
        </w:rPr>
      </w:pPr>
      <w:r>
        <w:rPr>
          <w:rStyle w:val="20"/>
          <w:rFonts w:ascii="仿宋" w:hAnsi="仿宋" w:eastAsia="仿宋" w:cs="仿宋_GB2312"/>
          <w:b w:val="0"/>
          <w:sz w:val="32"/>
          <w:szCs w:val="32"/>
        </w:rPr>
        <w:t>14.</w:t>
      </w:r>
      <w:r>
        <w:rPr>
          <w:rStyle w:val="20"/>
          <w:rFonts w:hint="eastAsia" w:ascii="仿宋" w:hAnsi="仿宋" w:eastAsia="仿宋" w:cs="仿宋_GB2312"/>
          <w:b w:val="0"/>
          <w:sz w:val="32"/>
          <w:szCs w:val="32"/>
        </w:rPr>
        <w:t>住房保障支出（类）住房改革支出（款）购房补贴（项）：指按房改政策规定，行政事业单位向符合条件职工（含离退休人员）、军队（含武警）向转役复原离退休人员发放的用于购买住房的补贴。</w:t>
      </w:r>
    </w:p>
    <w:p>
      <w:pPr>
        <w:ind w:firstLine="800" w:firstLineChars="250"/>
        <w:rPr>
          <w:rFonts w:ascii="仿宋" w:hAnsi="仿宋" w:eastAsia="仿宋"/>
          <w:color w:val="000000"/>
          <w:sz w:val="32"/>
          <w:szCs w:val="32"/>
        </w:rPr>
      </w:pPr>
      <w:r>
        <w:rPr>
          <w:rFonts w:ascii="仿宋" w:hAnsi="仿宋" w:eastAsia="仿宋" w:cs="仿宋_GB2312"/>
          <w:color w:val="000000"/>
          <w:sz w:val="32"/>
          <w:szCs w:val="32"/>
        </w:rPr>
        <w:t>15.</w:t>
      </w:r>
      <w:r>
        <w:rPr>
          <w:rFonts w:hint="eastAsia" w:ascii="仿宋" w:hAnsi="仿宋" w:eastAsia="仿宋" w:cs="仿宋_GB2312"/>
          <w:color w:val="000000"/>
          <w:sz w:val="32"/>
          <w:szCs w:val="32"/>
        </w:rPr>
        <w:t>基本支出：指为保障机构正常运转、完成日常工作任务而发生的人员支出和公用支出。</w:t>
      </w:r>
    </w:p>
    <w:p>
      <w:pPr>
        <w:ind w:firstLine="800" w:firstLineChars="250"/>
        <w:rPr>
          <w:rFonts w:ascii="仿宋" w:hAnsi="仿宋" w:eastAsia="仿宋" w:cs="仿宋_GB2312"/>
          <w:color w:val="000000"/>
          <w:sz w:val="32"/>
          <w:szCs w:val="32"/>
        </w:rPr>
      </w:pPr>
      <w:r>
        <w:rPr>
          <w:rFonts w:ascii="仿宋" w:hAnsi="仿宋" w:eastAsia="仿宋" w:cs="仿宋_GB2312"/>
          <w:color w:val="000000"/>
          <w:sz w:val="32"/>
          <w:szCs w:val="32"/>
        </w:rPr>
        <w:t>16.</w:t>
      </w:r>
      <w:r>
        <w:rPr>
          <w:rFonts w:hint="eastAsia" w:ascii="仿宋" w:hAnsi="仿宋" w:eastAsia="仿宋" w:cs="仿宋_GB2312"/>
          <w:color w:val="000000"/>
          <w:sz w:val="32"/>
          <w:szCs w:val="32"/>
        </w:rPr>
        <w:t>项目支出：指在基本支出之外为完成特定行政任务和事业发展目标所发生的支出。</w:t>
      </w:r>
      <w:r>
        <w:rPr>
          <w:rFonts w:ascii="仿宋" w:hAnsi="仿宋" w:eastAsia="仿宋" w:cs="仿宋_GB2312"/>
          <w:color w:val="000000"/>
          <w:sz w:val="32"/>
          <w:szCs w:val="32"/>
        </w:rPr>
        <w:t xml:space="preserve"> </w:t>
      </w:r>
    </w:p>
    <w:p>
      <w:pPr>
        <w:ind w:firstLine="800" w:firstLineChars="250"/>
        <w:rPr>
          <w:rFonts w:ascii="仿宋" w:hAnsi="仿宋" w:eastAsia="仿宋"/>
          <w:color w:val="000000"/>
          <w:sz w:val="32"/>
          <w:szCs w:val="32"/>
        </w:rPr>
      </w:pPr>
      <w:r>
        <w:rPr>
          <w:rFonts w:ascii="仿宋" w:hAnsi="仿宋" w:eastAsia="仿宋" w:cs="仿宋_GB2312"/>
          <w:color w:val="000000"/>
          <w:sz w:val="32"/>
          <w:szCs w:val="32"/>
        </w:rPr>
        <w:t>17.</w:t>
      </w:r>
      <w:r>
        <w:rPr>
          <w:rFonts w:hint="eastAsia" w:ascii="仿宋" w:hAnsi="仿宋" w:eastAsia="仿宋" w:cs="仿宋_GB2312"/>
          <w:color w:val="000000"/>
          <w:sz w:val="32"/>
          <w:szCs w:val="32"/>
        </w:rPr>
        <w:t>经营支出：指事业单位在专业业务活动及其辅助活动之外开展非独立核算经营活动发生的支出。</w:t>
      </w:r>
    </w:p>
    <w:p>
      <w:pPr>
        <w:pStyle w:val="32"/>
        <w:spacing w:line="560" w:lineRule="exact"/>
        <w:ind w:firstLine="800" w:firstLineChars="250"/>
        <w:rPr>
          <w:rFonts w:hAnsi="仿宋" w:cs="Times New Roman"/>
          <w:sz w:val="32"/>
          <w:szCs w:val="32"/>
        </w:rPr>
      </w:pPr>
      <w:r>
        <w:rPr>
          <w:rFonts w:hAnsi="仿宋" w:cs="仿宋_GB2312"/>
          <w:sz w:val="32"/>
          <w:szCs w:val="32"/>
        </w:rPr>
        <w:t>18.</w:t>
      </w:r>
      <w:r>
        <w:rPr>
          <w:rFonts w:hint="eastAsia" w:hAnsi="仿宋"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60" w:lineRule="exact"/>
        <w:ind w:firstLine="800" w:firstLineChars="250"/>
        <w:rPr>
          <w:rFonts w:hAnsi="仿宋" w:cs="Times New Roman"/>
          <w:sz w:val="32"/>
          <w:szCs w:val="32"/>
        </w:rPr>
      </w:pPr>
      <w:r>
        <w:rPr>
          <w:rFonts w:hAnsi="仿宋" w:cs="仿宋_GB2312"/>
          <w:sz w:val="32"/>
          <w:szCs w:val="32"/>
        </w:rPr>
        <w:t>19.</w:t>
      </w:r>
      <w:r>
        <w:rPr>
          <w:rFonts w:hint="eastAsia" w:hAnsi="仿宋"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2"/>
          <w:rFonts w:ascii="黑体" w:hAnsi="黑体" w:eastAsia="黑体"/>
          <w:b w:val="0"/>
        </w:rPr>
      </w:pPr>
      <w:r>
        <w:rPr>
          <w:rFonts w:ascii="宋体"/>
          <w:b/>
          <w:color w:val="000000"/>
          <w:sz w:val="44"/>
          <w:szCs w:val="44"/>
        </w:rPr>
        <w:br w:type="page"/>
      </w:r>
      <w:bookmarkStart w:id="110" w:name="_Toc25128"/>
      <w:bookmarkStart w:id="111" w:name="_Toc15396614"/>
      <w:bookmarkStart w:id="112" w:name="_Toc79163630"/>
      <w:r>
        <w:rPr>
          <w:rFonts w:hint="eastAsia" w:ascii="黑体" w:hAnsi="黑体" w:eastAsia="黑体"/>
          <w:color w:val="000000"/>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82422313"/>
      <w:bookmarkStart w:id="114" w:name="_Toc79163631"/>
      <w:bookmarkStart w:id="115" w:name="_Toc27183"/>
      <w:r>
        <w:rPr>
          <w:rFonts w:hint="eastAsia" w:ascii="黑体" w:hAnsi="黑体" w:eastAsia="黑体" w:cs="黑体"/>
          <w:sz w:val="32"/>
          <w:szCs w:val="32"/>
        </w:rPr>
        <w:t>附件</w:t>
      </w:r>
      <w:r>
        <w:rPr>
          <w:rFonts w:ascii="黑体" w:hAnsi="黑体" w:eastAsia="黑体" w:cs="黑体"/>
          <w:sz w:val="32"/>
          <w:szCs w:val="32"/>
        </w:rPr>
        <w:t>1</w:t>
      </w:r>
      <w:bookmarkEnd w:id="113"/>
      <w:bookmarkEnd w:id="114"/>
      <w:bookmarkEnd w:id="115"/>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黑体" w:hAnsi="黑体" w:eastAsia="黑体" w:cs="黑体"/>
          <w:b/>
          <w:bCs/>
          <w:sz w:val="44"/>
          <w:szCs w:val="44"/>
        </w:rPr>
      </w:pPr>
      <w:bookmarkStart w:id="116" w:name="_Toc82422314"/>
      <w:bookmarkStart w:id="117" w:name="_Toc9299"/>
      <w:bookmarkStart w:id="118" w:name="_Toc79163632"/>
      <w:r>
        <w:rPr>
          <w:rFonts w:hint="eastAsia" w:ascii="黑体" w:hAnsi="黑体" w:eastAsia="黑体" w:cs="黑体"/>
          <w:b/>
          <w:bCs/>
          <w:sz w:val="44"/>
          <w:szCs w:val="44"/>
        </w:rPr>
        <w:t>茂县红十字会</w:t>
      </w:r>
      <w:bookmarkEnd w:id="116"/>
      <w:bookmarkEnd w:id="117"/>
    </w:p>
    <w:bookmarkEnd w:id="118"/>
    <w:p>
      <w:pPr>
        <w:widowControl/>
        <w:spacing w:line="580" w:lineRule="exact"/>
        <w:contextualSpacing/>
        <w:jc w:val="center"/>
        <w:rPr>
          <w:rFonts w:hint="eastAsia" w:ascii="黑体" w:hAnsi="黑体" w:eastAsia="黑体" w:cs="黑体"/>
          <w:b/>
          <w:bCs/>
          <w:sz w:val="44"/>
          <w:szCs w:val="44"/>
          <w:shd w:val="clear" w:color="auto" w:fill="FFFFFF"/>
        </w:rPr>
      </w:pPr>
      <w:r>
        <w:rPr>
          <w:rFonts w:hint="eastAsia" w:ascii="黑体" w:hAnsi="黑体" w:eastAsia="黑体" w:cs="黑体"/>
          <w:b/>
          <w:bCs/>
          <w:sz w:val="44"/>
          <w:szCs w:val="44"/>
          <w:shd w:val="clear" w:color="auto" w:fill="FFFFFF"/>
        </w:rPr>
        <w:t>2022年部门整体支出绩效评价报告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一、</w:t>
      </w:r>
      <w:r>
        <w:rPr>
          <w:rFonts w:hint="eastAsia" w:ascii="仿宋" w:hAnsi="仿宋" w:eastAsia="仿宋" w:cs="仿宋"/>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tabs>
          <w:tab w:val="left" w:pos="720"/>
          <w:tab w:val="left" w:pos="1620"/>
        </w:tabs>
        <w:spacing w:line="56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红十字会为独立的一级预算单位，内设机构共二个：办公室、综合股。茂县红十字会编制共</w:t>
      </w:r>
      <w:r>
        <w:rPr>
          <w:rFonts w:hint="eastAsia" w:ascii="仿宋" w:hAnsi="仿宋" w:eastAsia="仿宋" w:cs="仿宋"/>
          <w:sz w:val="32"/>
          <w:szCs w:val="32"/>
          <w:lang w:val="en-US" w:eastAsia="zh-CN"/>
        </w:rPr>
        <w:t>6</w:t>
      </w:r>
      <w:r>
        <w:rPr>
          <w:rFonts w:hint="eastAsia" w:ascii="仿宋" w:hAnsi="仿宋" w:eastAsia="仿宋" w:cs="仿宋"/>
          <w:sz w:val="32"/>
          <w:szCs w:val="32"/>
        </w:rPr>
        <w:t>名，其中：参公管理</w:t>
      </w:r>
      <w:r>
        <w:rPr>
          <w:rFonts w:hint="eastAsia" w:ascii="仿宋" w:hAnsi="仿宋" w:eastAsia="仿宋" w:cs="仿宋"/>
          <w:sz w:val="32"/>
          <w:szCs w:val="32"/>
          <w:lang w:val="en-US" w:eastAsia="zh-CN"/>
        </w:rPr>
        <w:t>6</w:t>
      </w:r>
      <w:r>
        <w:rPr>
          <w:rFonts w:hint="eastAsia" w:ascii="仿宋" w:hAnsi="仿宋" w:eastAsia="仿宋" w:cs="仿宋"/>
          <w:sz w:val="32"/>
          <w:szCs w:val="32"/>
        </w:rPr>
        <w:t>名（含1名工勤）。</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pPr>
        <w:pStyle w:val="6"/>
        <w:adjustRightInd w:val="0"/>
        <w:snapToGrid w:val="0"/>
        <w:spacing w:before="130" w:line="560" w:lineRule="exact"/>
        <w:ind w:firstLine="672" w:firstLineChars="21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Cs/>
          <w:sz w:val="32"/>
          <w:szCs w:val="32"/>
        </w:rPr>
        <w:t>职能：传播国际红十字运动知识和国际人道主义法。宣传、贯彻《中华人民共和国红十字会法》，依照红十字会法和红十字章程组织协调开展我县红十字会工作；开展备灾救灾工作，在自然灾害和开展救灾备灾工作。在自然灾害和突发事件中,开展救护和救助工作;依法接受国内外组织和个人的捐赠,及时向灾区群众和受难者提供人道主义援助,突发事件中，对受害者组织实施救助工作。</w:t>
      </w:r>
    </w:p>
    <w:p>
      <w:pPr>
        <w:widowControl/>
        <w:numPr>
          <w:ilvl w:val="0"/>
          <w:numId w:val="5"/>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pPr>
        <w:widowControl/>
        <w:adjustRightInd w:val="0"/>
        <w:snapToGrid w:val="0"/>
        <w:spacing w:line="560" w:lineRule="exact"/>
        <w:ind w:firstLine="640" w:firstLineChars="2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sz w:val="32"/>
          <w:szCs w:val="32"/>
        </w:rPr>
        <w:t>茂县红十字会在职在岗人数6人。</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tabs>
          <w:tab w:val="left" w:pos="720"/>
          <w:tab w:val="left" w:pos="1620"/>
        </w:tabs>
        <w:spacing w:line="560" w:lineRule="exact"/>
        <w:ind w:firstLine="640" w:firstLineChars="200"/>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1</w:t>
      </w:r>
      <w:r>
        <w:rPr>
          <w:rFonts w:hint="eastAsia" w:ascii="仿宋" w:hAnsi="仿宋" w:eastAsia="仿宋" w:cs="仿宋"/>
          <w:bCs/>
          <w:sz w:val="32"/>
          <w:szCs w:val="32"/>
        </w:rPr>
        <w:t>年决算总收入</w:t>
      </w:r>
      <w:r>
        <w:rPr>
          <w:rFonts w:hint="eastAsia" w:ascii="仿宋" w:hAnsi="仿宋" w:eastAsia="仿宋" w:cs="仿宋"/>
          <w:bCs/>
          <w:sz w:val="32"/>
          <w:szCs w:val="32"/>
          <w:lang w:val="en-US" w:eastAsia="zh-CN"/>
        </w:rPr>
        <w:t>125.08</w:t>
      </w:r>
      <w:r>
        <w:rPr>
          <w:rFonts w:hint="eastAsia" w:ascii="仿宋" w:hAnsi="仿宋" w:eastAsia="仿宋" w:cs="仿宋"/>
          <w:bCs/>
          <w:sz w:val="32"/>
          <w:szCs w:val="32"/>
        </w:rPr>
        <w:t>万元，其中：社会保障就业支出</w:t>
      </w:r>
      <w:r>
        <w:rPr>
          <w:rFonts w:hint="eastAsia" w:ascii="仿宋" w:hAnsi="仿宋" w:eastAsia="仿宋" w:cs="仿宋"/>
          <w:bCs/>
          <w:sz w:val="32"/>
          <w:szCs w:val="32"/>
          <w:lang w:val="en-US" w:eastAsia="zh-CN"/>
        </w:rPr>
        <w:t>112.23</w:t>
      </w:r>
      <w:r>
        <w:rPr>
          <w:rFonts w:hint="eastAsia" w:ascii="仿宋" w:hAnsi="仿宋" w:eastAsia="仿宋" w:cs="仿宋"/>
          <w:bCs/>
          <w:sz w:val="32"/>
          <w:szCs w:val="32"/>
        </w:rPr>
        <w:t>万元，卫生健康支出</w:t>
      </w:r>
      <w:r>
        <w:rPr>
          <w:rFonts w:hint="eastAsia" w:ascii="仿宋" w:hAnsi="仿宋" w:eastAsia="仿宋" w:cs="仿宋"/>
          <w:bCs/>
          <w:sz w:val="32"/>
          <w:szCs w:val="32"/>
          <w:lang w:val="en-US" w:eastAsia="zh-CN"/>
        </w:rPr>
        <w:t>5.22</w:t>
      </w:r>
      <w:r>
        <w:rPr>
          <w:rFonts w:hint="eastAsia" w:ascii="仿宋" w:hAnsi="仿宋" w:eastAsia="仿宋" w:cs="仿宋"/>
          <w:bCs/>
          <w:sz w:val="32"/>
          <w:szCs w:val="32"/>
        </w:rPr>
        <w:t>万元，住房保障支出</w:t>
      </w:r>
      <w:r>
        <w:rPr>
          <w:rFonts w:hint="eastAsia" w:ascii="仿宋" w:hAnsi="仿宋" w:eastAsia="仿宋" w:cs="仿宋"/>
          <w:bCs/>
          <w:sz w:val="32"/>
          <w:szCs w:val="32"/>
          <w:lang w:val="en-US" w:eastAsia="zh-CN"/>
        </w:rPr>
        <w:t>7.63</w:t>
      </w:r>
      <w:r>
        <w:rPr>
          <w:rFonts w:hint="eastAsia" w:ascii="仿宋" w:hAnsi="仿宋" w:eastAsia="仿宋" w:cs="仿宋"/>
          <w:bCs/>
          <w:sz w:val="32"/>
          <w:szCs w:val="32"/>
        </w:rPr>
        <w:t>万元。支出决算总额较20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年增加</w:t>
      </w:r>
      <w:r>
        <w:rPr>
          <w:rFonts w:hint="eastAsia" w:ascii="仿宋" w:hAnsi="仿宋" w:eastAsia="仿宋" w:cs="仿宋"/>
          <w:bCs/>
          <w:sz w:val="32"/>
          <w:szCs w:val="32"/>
          <w:lang w:val="en-US" w:eastAsia="zh-CN"/>
        </w:rPr>
        <w:t>23.95</w:t>
      </w:r>
      <w:r>
        <w:rPr>
          <w:rFonts w:hint="eastAsia" w:ascii="仿宋" w:hAnsi="仿宋" w:eastAsia="仿宋" w:cs="仿宋"/>
          <w:bCs/>
          <w:sz w:val="32"/>
          <w:szCs w:val="32"/>
        </w:rPr>
        <w:t>万元，主要原因人员工资、保险变动。</w:t>
      </w:r>
    </w:p>
    <w:p>
      <w:pPr>
        <w:widowControl/>
        <w:adjustRightInd w:val="0"/>
        <w:snapToGrid w:val="0"/>
        <w:spacing w:line="560" w:lineRule="exact"/>
        <w:ind w:firstLine="720"/>
        <w:jc w:val="left"/>
        <w:rPr>
          <w:rFonts w:hint="eastAsia" w:ascii="仿宋" w:hAnsi="仿宋" w:eastAsia="仿宋" w:cs="仿宋"/>
          <w:bCs/>
          <w:sz w:val="32"/>
          <w:szCs w:val="32"/>
          <w:lang w:val="zh-CN" w:eastAsia="zh-CN"/>
        </w:rPr>
      </w:pPr>
      <w:r>
        <w:rPr>
          <w:rFonts w:hint="eastAsia" w:ascii="仿宋" w:hAnsi="仿宋" w:eastAsia="仿宋" w:cs="仿宋"/>
          <w:bCs/>
          <w:sz w:val="32"/>
          <w:szCs w:val="32"/>
          <w:lang w:eastAsia="zh-CN"/>
        </w:rPr>
        <w:t>主要内容及涉及范围：人员经费包括</w:t>
      </w:r>
      <w:r>
        <w:rPr>
          <w:rFonts w:hint="eastAsia" w:ascii="仿宋" w:hAnsi="仿宋" w:eastAsia="仿宋" w:cs="仿宋"/>
          <w:bCs/>
          <w:sz w:val="32"/>
          <w:szCs w:val="32"/>
        </w:rPr>
        <w:t>基本工资、津贴补贴、奖金、其他社会保障缴费、退休费生活补助、住房公积金等；日常公用经费包括办公费、差旅费、培训费、公务接待费、劳务费、公务用车运行维护费、其他商品和服务支出等</w:t>
      </w:r>
      <w:r>
        <w:rPr>
          <w:rFonts w:hint="eastAsia" w:ascii="仿宋" w:hAnsi="仿宋" w:eastAsia="仿宋" w:cs="仿宋"/>
          <w:bCs/>
          <w:sz w:val="32"/>
          <w:szCs w:val="32"/>
          <w:lang w:eastAsia="zh-CN"/>
        </w:rPr>
        <w:t>。</w:t>
      </w:r>
    </w:p>
    <w:p>
      <w:pPr>
        <w:widowControl/>
        <w:numPr>
          <w:ilvl w:val="0"/>
          <w:numId w:val="6"/>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pPr>
        <w:tabs>
          <w:tab w:val="left" w:pos="720"/>
          <w:tab w:val="left" w:pos="1620"/>
        </w:tabs>
        <w:spacing w:line="560" w:lineRule="exact"/>
        <w:ind w:firstLine="640" w:firstLineChars="200"/>
        <w:rPr>
          <w:rFonts w:hint="eastAsia" w:ascii="仿宋" w:hAnsi="仿宋" w:eastAsia="仿宋" w:cs="仿宋"/>
          <w:bCs/>
          <w:sz w:val="32"/>
          <w:szCs w:val="32"/>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1</w:t>
      </w:r>
      <w:r>
        <w:rPr>
          <w:rFonts w:hint="eastAsia" w:ascii="仿宋" w:hAnsi="仿宋" w:eastAsia="仿宋" w:cs="仿宋"/>
          <w:bCs/>
          <w:sz w:val="32"/>
          <w:szCs w:val="32"/>
        </w:rPr>
        <w:t>年部门决算总支出</w:t>
      </w:r>
      <w:r>
        <w:rPr>
          <w:rFonts w:hint="eastAsia" w:ascii="仿宋" w:hAnsi="仿宋" w:eastAsia="仿宋" w:cs="仿宋"/>
          <w:bCs/>
          <w:sz w:val="32"/>
          <w:szCs w:val="32"/>
          <w:lang w:val="en-US" w:eastAsia="zh-CN"/>
        </w:rPr>
        <w:t>125.08</w:t>
      </w:r>
      <w:r>
        <w:rPr>
          <w:rFonts w:hint="eastAsia" w:ascii="仿宋" w:hAnsi="仿宋" w:eastAsia="仿宋" w:cs="仿宋"/>
          <w:bCs/>
          <w:sz w:val="32"/>
          <w:szCs w:val="32"/>
        </w:rPr>
        <w:t>万元，其中：社会保障就业支出</w:t>
      </w:r>
      <w:r>
        <w:rPr>
          <w:rFonts w:hint="eastAsia" w:ascii="仿宋" w:hAnsi="仿宋" w:eastAsia="仿宋" w:cs="仿宋"/>
          <w:bCs/>
          <w:sz w:val="32"/>
          <w:szCs w:val="32"/>
          <w:lang w:val="en-US" w:eastAsia="zh-CN"/>
        </w:rPr>
        <w:t>112.23</w:t>
      </w:r>
      <w:r>
        <w:rPr>
          <w:rFonts w:hint="eastAsia" w:ascii="仿宋" w:hAnsi="仿宋" w:eastAsia="仿宋" w:cs="仿宋"/>
          <w:bCs/>
          <w:sz w:val="32"/>
          <w:szCs w:val="32"/>
        </w:rPr>
        <w:t>万元，卫生健康支出</w:t>
      </w:r>
      <w:r>
        <w:rPr>
          <w:rFonts w:hint="eastAsia" w:ascii="仿宋" w:hAnsi="仿宋" w:eastAsia="仿宋" w:cs="仿宋"/>
          <w:bCs/>
          <w:sz w:val="32"/>
          <w:szCs w:val="32"/>
          <w:lang w:val="en-US" w:eastAsia="zh-CN"/>
        </w:rPr>
        <w:t>5.22</w:t>
      </w:r>
      <w:r>
        <w:rPr>
          <w:rFonts w:hint="eastAsia" w:ascii="仿宋" w:hAnsi="仿宋" w:eastAsia="仿宋" w:cs="仿宋"/>
          <w:bCs/>
          <w:sz w:val="32"/>
          <w:szCs w:val="32"/>
        </w:rPr>
        <w:t>万元，住房保障支出</w:t>
      </w:r>
      <w:r>
        <w:rPr>
          <w:rFonts w:hint="eastAsia" w:ascii="仿宋" w:hAnsi="仿宋" w:eastAsia="仿宋" w:cs="仿宋"/>
          <w:bCs/>
          <w:sz w:val="32"/>
          <w:szCs w:val="32"/>
          <w:lang w:val="en-US" w:eastAsia="zh-CN"/>
        </w:rPr>
        <w:t>7.63</w:t>
      </w:r>
      <w:r>
        <w:rPr>
          <w:rFonts w:hint="eastAsia" w:ascii="仿宋" w:hAnsi="仿宋" w:eastAsia="仿宋" w:cs="仿宋"/>
          <w:bCs/>
          <w:sz w:val="32"/>
          <w:szCs w:val="32"/>
        </w:rPr>
        <w:t>万元。支出决算总额较20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年增加</w:t>
      </w:r>
      <w:r>
        <w:rPr>
          <w:rFonts w:hint="eastAsia" w:ascii="仿宋" w:hAnsi="仿宋" w:eastAsia="仿宋" w:cs="仿宋"/>
          <w:bCs/>
          <w:sz w:val="32"/>
          <w:szCs w:val="32"/>
          <w:lang w:val="en-US" w:eastAsia="zh-CN"/>
        </w:rPr>
        <w:t>23.95</w:t>
      </w:r>
      <w:r>
        <w:rPr>
          <w:rFonts w:hint="eastAsia" w:ascii="仿宋" w:hAnsi="仿宋" w:eastAsia="仿宋" w:cs="仿宋"/>
          <w:bCs/>
          <w:sz w:val="32"/>
          <w:szCs w:val="32"/>
        </w:rPr>
        <w:t>万元，主要原因人员工资、保险变动。</w:t>
      </w:r>
    </w:p>
    <w:p>
      <w:pPr>
        <w:widowControl/>
        <w:numPr>
          <w:ilvl w:val="0"/>
          <w:numId w:val="7"/>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部门整体预算绩效管理情况</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spacing w:line="560" w:lineRule="exact"/>
        <w:ind w:firstLine="787" w:firstLineChars="246"/>
        <w:rPr>
          <w:rFonts w:hint="eastAsia" w:ascii="仿宋" w:hAnsi="仿宋" w:eastAsia="仿宋" w:cs="仿宋"/>
          <w:sz w:val="32"/>
          <w:szCs w:val="32"/>
        </w:rPr>
      </w:pPr>
      <w:r>
        <w:rPr>
          <w:rFonts w:hint="eastAsia" w:ascii="仿宋" w:hAnsi="仿宋" w:eastAsia="仿宋" w:cs="仿宋"/>
          <w:bCs/>
          <w:sz w:val="32"/>
          <w:szCs w:val="32"/>
        </w:rPr>
        <w:t>1.部门预算编制情况：本单位在预算编制时严格按照相关规定进行编制汇总，并及时报送数据。</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年预算时，在职职工6人，其中：参公人员5名，工勤人员1名。</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2.执行管理情况：</w:t>
      </w:r>
      <w:r>
        <w:rPr>
          <w:rFonts w:hint="eastAsia" w:ascii="仿宋" w:hAnsi="仿宋" w:eastAsia="仿宋" w:cs="仿宋"/>
          <w:sz w:val="32"/>
          <w:szCs w:val="32"/>
        </w:rPr>
        <w:t>本单位6月执行进度为50%，9月执行进度为63%，11月执行进度为78%。全年执行度为100%。</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3.综合管理情况：</w:t>
      </w:r>
      <w:r>
        <w:rPr>
          <w:rFonts w:hint="eastAsia" w:ascii="仿宋" w:hAnsi="仿宋" w:eastAsia="仿宋" w:cs="仿宋"/>
          <w:sz w:val="32"/>
          <w:szCs w:val="32"/>
        </w:rPr>
        <w:t>我单位加强财务管理，严格按照相关财经制度执行，特别是对“三公”经费的预算控制。严格招待费用审核审批程序，“三公”经费较好地控制在预算范围之内。</w:t>
      </w:r>
    </w:p>
    <w:p>
      <w:pPr>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为加强财务管理，勤俭办学,厉行节约，促进党风廉政建设,保证教学、科研、行政后勤等各项工作的顺利进行，我单位制定了财务管理制度，固定资产管理制度，并严格按照《会计法》《会计档案管理办法》进行会计凭证、账簿登记和会计档案管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我单位采购办公用品时严格按照相关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pPr>
        <w:widowControl/>
        <w:adjustRightInd w:val="0"/>
        <w:snapToGrid w:val="0"/>
        <w:spacing w:line="560" w:lineRule="exact"/>
        <w:ind w:firstLine="720"/>
        <w:jc w:val="left"/>
        <w:rPr>
          <w:rFonts w:hint="eastAsia" w:ascii="仿宋" w:hAnsi="仿宋" w:eastAsia="仿宋" w:cs="仿宋"/>
          <w:bCs/>
          <w:sz w:val="32"/>
          <w:szCs w:val="32"/>
        </w:rPr>
      </w:pPr>
      <w:r>
        <w:rPr>
          <w:rFonts w:hint="eastAsia" w:ascii="仿宋" w:hAnsi="仿宋" w:eastAsia="仿宋" w:cs="仿宋"/>
          <w:bCs/>
          <w:sz w:val="32"/>
          <w:szCs w:val="32"/>
        </w:rPr>
        <w:t>有效履行部门职责、满意度高。</w:t>
      </w:r>
    </w:p>
    <w:p>
      <w:pPr>
        <w:widowControl/>
        <w:adjustRightInd w:val="0"/>
        <w:snapToGrid w:val="0"/>
        <w:spacing w:line="56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认真</w:t>
      </w:r>
      <w:r>
        <w:rPr>
          <w:rFonts w:hint="eastAsia" w:ascii="仿宋" w:hAnsi="仿宋" w:eastAsia="仿宋" w:cs="仿宋"/>
          <w:bCs/>
          <w:sz w:val="32"/>
          <w:szCs w:val="32"/>
        </w:rPr>
        <w:t>依法履行红十字职责，大力加强红十字组织和队伍建设，不断完善促进红十字事业发展长效机制。继续认真</w:t>
      </w:r>
      <w:r>
        <w:rPr>
          <w:rFonts w:hint="eastAsia" w:ascii="仿宋" w:hAnsi="仿宋" w:eastAsia="仿宋" w:cs="仿宋"/>
          <w:color w:val="000000"/>
          <w:sz w:val="32"/>
          <w:szCs w:val="32"/>
        </w:rPr>
        <w:t>深入实施“博爱家园项目”。202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将其博爱家园项目作为宣传倡导红十字精神的一线阵地和提高基层红十字会能力的重要载体，继续完成生计基金的投放，加强对该村志愿者的培训，增强基层红十字组织的服务能力。依法开展设置募捐箱和专项救助相结合的募捐活动，促进募捐筹资工作常态化；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年完成200余名应急救护员的培训工作</w:t>
      </w:r>
      <w:r>
        <w:rPr>
          <w:rFonts w:hint="eastAsia" w:ascii="仿宋" w:hAnsi="仿宋" w:eastAsia="仿宋" w:cs="仿宋"/>
          <w:color w:val="000000"/>
          <w:sz w:val="32"/>
          <w:szCs w:val="32"/>
          <w:lang w:eastAsia="zh-CN"/>
        </w:rPr>
        <w:t>以及</w:t>
      </w:r>
      <w:r>
        <w:rPr>
          <w:rFonts w:hint="eastAsia" w:ascii="仿宋" w:hAnsi="仿宋" w:eastAsia="仿宋" w:cs="仿宋"/>
          <w:color w:val="000000"/>
          <w:sz w:val="32"/>
          <w:szCs w:val="32"/>
          <w:lang w:val="en-US" w:eastAsia="zh-CN"/>
        </w:rPr>
        <w:t>1000余名人员的应急救护普及培训</w:t>
      </w:r>
      <w:r>
        <w:rPr>
          <w:rFonts w:hint="eastAsia" w:ascii="仿宋" w:hAnsi="仿宋" w:eastAsia="仿宋" w:cs="仿宋"/>
          <w:color w:val="000000"/>
          <w:sz w:val="32"/>
          <w:szCs w:val="32"/>
        </w:rPr>
        <w:t>；开展一至二期对红十字志愿者和红十字会员的培训，并定期组织开展红十字活动；加大预防艾滋病、无偿献血的宣传力度。</w:t>
      </w:r>
    </w:p>
    <w:p>
      <w:pPr>
        <w:widowControl/>
        <w:numPr>
          <w:ilvl w:val="0"/>
          <w:numId w:val="8"/>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自评质量</w:t>
      </w:r>
    </w:p>
    <w:p>
      <w:pPr>
        <w:widowControl/>
        <w:adjustRightInd w:val="0"/>
        <w:snapToGrid w:val="0"/>
        <w:spacing w:line="580" w:lineRule="exact"/>
        <w:contextualSpacing/>
        <w:jc w:val="left"/>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shd w:val="clear" w:color="auto" w:fill="FFFFFF"/>
        </w:rPr>
        <w:t xml:space="preserve">  </w:t>
      </w:r>
      <w:r>
        <w:rPr>
          <w:rFonts w:hint="eastAsia" w:ascii="仿宋" w:hAnsi="仿宋" w:eastAsia="仿宋" w:cs="仿宋"/>
          <w:color w:val="000000"/>
          <w:sz w:val="32"/>
          <w:szCs w:val="32"/>
        </w:rPr>
        <w:t xml:space="preserve">  2021年度</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绩效自评综合</w:t>
      </w:r>
      <w:r>
        <w:rPr>
          <w:rFonts w:hint="eastAsia" w:ascii="仿宋" w:hAnsi="仿宋" w:eastAsia="仿宋" w:cs="仿宋"/>
          <w:color w:val="000000"/>
          <w:sz w:val="32"/>
          <w:szCs w:val="32"/>
          <w:lang w:eastAsia="zh-CN"/>
        </w:rPr>
        <w:t>评价良好。</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spacing w:line="56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本年，根据我单位年初工作规划，围绕县委、县政府全面建成小康社会的发展蓝图，积极履职，强化管理，较好的完成了上年度工作目标。通过加强预算收支管理，不断建立健全内部管理制度，梳理内部管理流程，单位整体支出管理情况得到提升。</w:t>
      </w:r>
    </w:p>
    <w:p>
      <w:pPr>
        <w:widowControl/>
        <w:numPr>
          <w:ilvl w:val="0"/>
          <w:numId w:val="6"/>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存在问题</w:t>
      </w:r>
    </w:p>
    <w:p>
      <w:pPr>
        <w:widowControl/>
        <w:adjustRightInd w:val="0"/>
        <w:snapToGrid w:val="0"/>
        <w:spacing w:line="560" w:lineRule="exact"/>
        <w:ind w:firstLine="320" w:firstLineChars="10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Cs/>
          <w:sz w:val="32"/>
          <w:szCs w:val="32"/>
        </w:rPr>
        <w:t>业务水平有待提升，内部管理制度还需不断健全。</w:t>
      </w:r>
    </w:p>
    <w:p>
      <w:pPr>
        <w:widowControl/>
        <w:numPr>
          <w:ilvl w:val="0"/>
          <w:numId w:val="6"/>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改进建议</w:t>
      </w:r>
    </w:p>
    <w:p>
      <w:pPr>
        <w:widowControl/>
        <w:adjustRightInd w:val="0"/>
        <w:snapToGrid w:val="0"/>
        <w:spacing w:line="560" w:lineRule="exact"/>
        <w:ind w:firstLine="720"/>
        <w:jc w:val="left"/>
        <w:rPr>
          <w:rFonts w:hint="eastAsia" w:ascii="仿宋" w:hAnsi="仿宋" w:eastAsia="仿宋" w:cs="仿宋"/>
          <w:sz w:val="32"/>
          <w:szCs w:val="32"/>
        </w:rPr>
      </w:pPr>
      <w:r>
        <w:rPr>
          <w:rFonts w:hint="eastAsia" w:ascii="仿宋" w:hAnsi="仿宋" w:eastAsia="仿宋" w:cs="仿宋"/>
          <w:sz w:val="32"/>
          <w:szCs w:val="32"/>
        </w:rPr>
        <w:t>通过加强预算收支管理，不断建立健全内部管理制度，梳理内部管理流程，单位整体支出管理情况得到提升。</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2"/>
          <w:rFonts w:ascii="黑体" w:hAnsi="黑体" w:eastAsia="黑体"/>
          <w:b w:val="0"/>
        </w:rPr>
      </w:pPr>
      <w:bookmarkStart w:id="119" w:name="_Toc79163635"/>
      <w:bookmarkStart w:id="120" w:name="_Toc15396618"/>
      <w:bookmarkStart w:id="121" w:name="_Toc21040"/>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109"/>
      <w:bookmarkEnd w:id="119"/>
      <w:bookmarkEnd w:id="120"/>
      <w:bookmarkEnd w:id="121"/>
    </w:p>
    <w:p>
      <w:pPr>
        <w:pStyle w:val="3"/>
        <w:rPr>
          <w:rFonts w:ascii="仿宋" w:hAnsi="仿宋" w:eastAsia="仿宋"/>
          <w:color w:val="000000"/>
        </w:rPr>
      </w:pPr>
      <w:bookmarkStart w:id="122" w:name="_Toc79163636"/>
      <w:bookmarkStart w:id="123" w:name="_Toc15396619"/>
      <w:bookmarkStart w:id="124" w:name="_Toc31471"/>
      <w:r>
        <w:rPr>
          <w:rFonts w:hint="eastAsia" w:ascii="仿宋" w:hAnsi="仿宋" w:eastAsia="仿宋"/>
          <w:b w:val="0"/>
          <w:color w:val="000000"/>
        </w:rPr>
        <w:t>一、收</w:t>
      </w:r>
      <w:r>
        <w:rPr>
          <w:rStyle w:val="23"/>
          <w:rFonts w:hint="eastAsia" w:ascii="仿宋" w:hAnsi="仿宋" w:eastAsia="仿宋"/>
          <w:b w:val="0"/>
          <w:bCs w:val="0"/>
        </w:rPr>
        <w:t>入支出决算总表</w:t>
      </w:r>
      <w:bookmarkEnd w:id="122"/>
      <w:bookmarkEnd w:id="123"/>
      <w:bookmarkEnd w:id="124"/>
    </w:p>
    <w:p>
      <w:pPr>
        <w:pStyle w:val="3"/>
        <w:rPr>
          <w:rFonts w:ascii="仿宋" w:hAnsi="仿宋" w:eastAsia="仿宋"/>
          <w:color w:val="000000"/>
        </w:rPr>
      </w:pPr>
      <w:bookmarkStart w:id="125" w:name="_Toc79163637"/>
      <w:bookmarkStart w:id="126" w:name="_Toc15396620"/>
      <w:bookmarkStart w:id="127" w:name="_Toc21531"/>
      <w:r>
        <w:rPr>
          <w:rFonts w:hint="eastAsia" w:ascii="仿宋" w:hAnsi="仿宋" w:eastAsia="仿宋"/>
          <w:b w:val="0"/>
          <w:color w:val="000000"/>
        </w:rPr>
        <w:t>二、收</w:t>
      </w:r>
      <w:r>
        <w:rPr>
          <w:rStyle w:val="23"/>
          <w:rFonts w:hint="eastAsia" w:ascii="仿宋" w:hAnsi="仿宋" w:eastAsia="仿宋"/>
          <w:b w:val="0"/>
          <w:bCs w:val="0"/>
        </w:rPr>
        <w:t>入决算表</w:t>
      </w:r>
      <w:bookmarkEnd w:id="125"/>
      <w:bookmarkEnd w:id="126"/>
      <w:bookmarkEnd w:id="127"/>
    </w:p>
    <w:p>
      <w:pPr>
        <w:pStyle w:val="3"/>
        <w:rPr>
          <w:rFonts w:ascii="仿宋" w:hAnsi="仿宋" w:eastAsia="仿宋"/>
          <w:color w:val="000000"/>
        </w:rPr>
      </w:pPr>
      <w:bookmarkStart w:id="128" w:name="_Toc79163638"/>
      <w:bookmarkStart w:id="129" w:name="_Toc15396621"/>
      <w:bookmarkStart w:id="130" w:name="_Toc20239"/>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28"/>
      <w:bookmarkEnd w:id="129"/>
      <w:bookmarkEnd w:id="130"/>
    </w:p>
    <w:p>
      <w:pPr>
        <w:pStyle w:val="3"/>
        <w:rPr>
          <w:rFonts w:ascii="仿宋" w:hAnsi="仿宋" w:eastAsia="仿宋"/>
          <w:b w:val="0"/>
          <w:color w:val="000000"/>
        </w:rPr>
      </w:pPr>
      <w:bookmarkStart w:id="131" w:name="_Toc15396622"/>
      <w:bookmarkStart w:id="132" w:name="_Toc79163639"/>
      <w:bookmarkStart w:id="133" w:name="_Toc2237"/>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31"/>
      <w:bookmarkEnd w:id="132"/>
      <w:bookmarkEnd w:id="133"/>
    </w:p>
    <w:p>
      <w:pPr>
        <w:pStyle w:val="3"/>
        <w:rPr>
          <w:rStyle w:val="23"/>
          <w:rFonts w:ascii="仿宋" w:hAnsi="仿宋" w:eastAsia="仿宋"/>
          <w:b w:val="0"/>
          <w:bCs w:val="0"/>
        </w:rPr>
      </w:pPr>
      <w:bookmarkStart w:id="134" w:name="_Toc15396623"/>
      <w:bookmarkStart w:id="135" w:name="_Toc79163640"/>
      <w:bookmarkStart w:id="136" w:name="_Toc25153"/>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34"/>
      <w:bookmarkEnd w:id="135"/>
      <w:bookmarkEnd w:id="136"/>
      <w:bookmarkStart w:id="137" w:name="_Toc15396624"/>
    </w:p>
    <w:p>
      <w:pPr>
        <w:pStyle w:val="3"/>
        <w:rPr>
          <w:rFonts w:ascii="仿宋" w:hAnsi="仿宋" w:eastAsia="仿宋"/>
          <w:color w:val="000000"/>
        </w:rPr>
      </w:pPr>
      <w:bookmarkStart w:id="138" w:name="_Toc79163641"/>
      <w:bookmarkStart w:id="139" w:name="_Toc28544"/>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37"/>
      <w:bookmarkEnd w:id="138"/>
      <w:bookmarkEnd w:id="139"/>
    </w:p>
    <w:p>
      <w:pPr>
        <w:pStyle w:val="3"/>
        <w:rPr>
          <w:rFonts w:ascii="仿宋" w:hAnsi="仿宋" w:eastAsia="仿宋"/>
          <w:color w:val="000000"/>
        </w:rPr>
      </w:pPr>
      <w:bookmarkStart w:id="140" w:name="_Toc79163642"/>
      <w:bookmarkStart w:id="141" w:name="_Toc15396625"/>
      <w:bookmarkStart w:id="142" w:name="_Toc12820"/>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40"/>
      <w:bookmarkEnd w:id="141"/>
      <w:bookmarkEnd w:id="142"/>
    </w:p>
    <w:p>
      <w:pPr>
        <w:pStyle w:val="3"/>
        <w:rPr>
          <w:rFonts w:ascii="仿宋" w:hAnsi="仿宋" w:eastAsia="仿宋"/>
          <w:color w:val="000000"/>
        </w:rPr>
      </w:pPr>
      <w:bookmarkStart w:id="143" w:name="_Toc79163643"/>
      <w:bookmarkStart w:id="144" w:name="_Toc15396626"/>
      <w:bookmarkStart w:id="145" w:name="_Toc17491"/>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43"/>
      <w:bookmarkEnd w:id="144"/>
      <w:bookmarkEnd w:id="145"/>
    </w:p>
    <w:p>
      <w:pPr>
        <w:pStyle w:val="3"/>
        <w:rPr>
          <w:rFonts w:ascii="仿宋" w:hAnsi="仿宋" w:eastAsia="仿宋"/>
          <w:color w:val="000000"/>
        </w:rPr>
      </w:pPr>
      <w:bookmarkStart w:id="146" w:name="_Toc79163644"/>
      <w:bookmarkStart w:id="147" w:name="_Toc15396627"/>
      <w:bookmarkStart w:id="148" w:name="_Toc29908"/>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46"/>
      <w:bookmarkEnd w:id="147"/>
      <w:bookmarkEnd w:id="148"/>
    </w:p>
    <w:p>
      <w:pPr>
        <w:pStyle w:val="3"/>
        <w:rPr>
          <w:rFonts w:ascii="仿宋" w:hAnsi="仿宋" w:eastAsia="仿宋"/>
          <w:color w:val="000000"/>
        </w:rPr>
      </w:pPr>
      <w:bookmarkStart w:id="149" w:name="_Toc79163645"/>
      <w:bookmarkStart w:id="150" w:name="_Toc15396628"/>
      <w:bookmarkStart w:id="151" w:name="_Toc3591"/>
      <w:r>
        <w:rPr>
          <w:rStyle w:val="23"/>
          <w:rFonts w:hint="eastAsia" w:ascii="仿宋" w:hAnsi="仿宋" w:eastAsia="仿宋"/>
          <w:b w:val="0"/>
          <w:bCs w:val="0"/>
        </w:rPr>
        <w:t>十、</w:t>
      </w:r>
      <w:r>
        <w:rPr>
          <w:rFonts w:hint="eastAsia" w:ascii="仿宋" w:hAnsi="仿宋" w:eastAsia="仿宋"/>
          <w:b w:val="0"/>
          <w:color w:val="000000"/>
        </w:rPr>
        <w:t>一</w:t>
      </w:r>
      <w:r>
        <w:rPr>
          <w:rStyle w:val="23"/>
          <w:rFonts w:hint="eastAsia" w:ascii="仿宋" w:hAnsi="仿宋" w:eastAsia="仿宋"/>
          <w:b w:val="0"/>
          <w:bCs w:val="0"/>
        </w:rPr>
        <w:t>般公共预算财政拨款“三公”经费支出决算表</w:t>
      </w:r>
      <w:bookmarkEnd w:id="149"/>
      <w:bookmarkEnd w:id="150"/>
      <w:bookmarkEnd w:id="151"/>
    </w:p>
    <w:p>
      <w:pPr>
        <w:pStyle w:val="3"/>
        <w:rPr>
          <w:rFonts w:ascii="仿宋" w:hAnsi="仿宋" w:eastAsia="仿宋"/>
          <w:color w:val="000000"/>
        </w:rPr>
      </w:pPr>
      <w:bookmarkStart w:id="152" w:name="_Toc15396629"/>
      <w:bookmarkStart w:id="153" w:name="_Toc79163646"/>
      <w:bookmarkStart w:id="154" w:name="_Toc24822"/>
      <w:r>
        <w:rPr>
          <w:rStyle w:val="23"/>
          <w:rFonts w:hint="eastAsia" w:ascii="仿宋" w:hAnsi="仿宋" w:eastAsia="仿宋"/>
          <w:b w:val="0"/>
          <w:bCs w:val="0"/>
        </w:rPr>
        <w:t>十一、</w:t>
      </w:r>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bookmarkEnd w:id="152"/>
      <w:bookmarkEnd w:id="153"/>
      <w:bookmarkEnd w:id="154"/>
    </w:p>
    <w:p>
      <w:pPr>
        <w:pStyle w:val="3"/>
        <w:rPr>
          <w:rFonts w:ascii="仿宋" w:hAnsi="仿宋" w:eastAsia="仿宋"/>
          <w:color w:val="000000"/>
        </w:rPr>
      </w:pPr>
      <w:bookmarkStart w:id="155" w:name="_Toc79163647"/>
      <w:bookmarkStart w:id="156" w:name="_Toc15396630"/>
      <w:bookmarkStart w:id="157" w:name="_Toc28801"/>
      <w:r>
        <w:rPr>
          <w:rStyle w:val="23"/>
          <w:rFonts w:hint="eastAsia" w:ascii="仿宋" w:hAnsi="仿宋" w:eastAsia="仿宋"/>
          <w:b w:val="0"/>
          <w:bCs w:val="0"/>
        </w:rPr>
        <w:t>十二、</w:t>
      </w:r>
      <w:r>
        <w:rPr>
          <w:rFonts w:hint="eastAsia" w:ascii="仿宋" w:hAnsi="仿宋" w:eastAsia="仿宋"/>
          <w:b w:val="0"/>
          <w:color w:val="000000"/>
        </w:rPr>
        <w:t>政</w:t>
      </w:r>
      <w:r>
        <w:rPr>
          <w:rStyle w:val="23"/>
          <w:rFonts w:hint="eastAsia" w:ascii="仿宋" w:hAnsi="仿宋" w:eastAsia="仿宋"/>
          <w:b w:val="0"/>
          <w:bCs w:val="0"/>
        </w:rPr>
        <w:t>府性基金预算财政拨款“三公”经费支出决算表</w:t>
      </w:r>
      <w:bookmarkEnd w:id="155"/>
      <w:bookmarkEnd w:id="156"/>
      <w:bookmarkEnd w:id="157"/>
    </w:p>
    <w:p>
      <w:pPr>
        <w:pStyle w:val="3"/>
        <w:rPr>
          <w:rStyle w:val="23"/>
          <w:rFonts w:ascii="仿宋" w:hAnsi="仿宋" w:eastAsia="仿宋"/>
          <w:b w:val="0"/>
          <w:bCs w:val="0"/>
        </w:rPr>
      </w:pPr>
      <w:bookmarkStart w:id="158" w:name="_Toc15396631"/>
      <w:bookmarkStart w:id="159" w:name="_Toc79163648"/>
      <w:bookmarkStart w:id="160" w:name="_Toc15626"/>
      <w:r>
        <w:rPr>
          <w:rStyle w:val="23"/>
          <w:rFonts w:hint="eastAsia" w:ascii="仿宋" w:hAnsi="仿宋" w:eastAsia="仿宋"/>
          <w:b w:val="0"/>
          <w:bCs w:val="0"/>
        </w:rPr>
        <w:t>十三、</w:t>
      </w:r>
      <w:r>
        <w:rPr>
          <w:rFonts w:hint="eastAsia" w:ascii="仿宋" w:hAnsi="仿宋" w:eastAsia="仿宋"/>
          <w:b w:val="0"/>
          <w:color w:val="000000"/>
        </w:rPr>
        <w:t>国</w:t>
      </w:r>
      <w:r>
        <w:rPr>
          <w:rStyle w:val="23"/>
          <w:rFonts w:hint="eastAsia" w:ascii="仿宋" w:hAnsi="仿宋" w:eastAsia="仿宋"/>
          <w:b w:val="0"/>
          <w:bCs w:val="0"/>
        </w:rPr>
        <w:t>有资本经营预算财政拨款支出决算表</w:t>
      </w:r>
      <w:bookmarkEnd w:id="158"/>
      <w:bookmarkEnd w:id="159"/>
      <w:bookmarkEnd w:id="160"/>
    </w:p>
    <w:p>
      <w:pPr>
        <w:pStyle w:val="3"/>
        <w:rPr>
          <w:rStyle w:val="23"/>
          <w:rFonts w:ascii="仿宋" w:hAnsi="仿宋" w:eastAsia="仿宋"/>
          <w:b w:val="0"/>
          <w:bCs w:val="0"/>
        </w:rPr>
      </w:pPr>
      <w:bookmarkStart w:id="161" w:name="_Toc79163649"/>
      <w:bookmarkStart w:id="162" w:name="_Toc26978"/>
      <w:r>
        <w:rPr>
          <w:rStyle w:val="23"/>
          <w:rFonts w:hint="eastAsia" w:ascii="仿宋" w:hAnsi="仿宋" w:eastAsia="仿宋"/>
          <w:b w:val="0"/>
          <w:bCs w:val="0"/>
        </w:rPr>
        <w:t>十四、国有资本经营预算财政拨款支出决算表</w:t>
      </w:r>
      <w:bookmarkEnd w:id="161"/>
      <w:bookmarkEnd w:id="16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5</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008AB"/>
    <w:multiLevelType w:val="singleLevel"/>
    <w:tmpl w:val="CC2008AB"/>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F9E47F7"/>
    <w:multiLevelType w:val="singleLevel"/>
    <w:tmpl w:val="EF9E47F7"/>
    <w:lvl w:ilvl="0" w:tentative="0">
      <w:start w:val="1"/>
      <w:numFmt w:val="decimal"/>
      <w:lvlText w:val="%1."/>
      <w:lvlJc w:val="left"/>
      <w:pPr>
        <w:tabs>
          <w:tab w:val="left" w:pos="312"/>
        </w:tabs>
      </w:pPr>
    </w:lvl>
  </w:abstractNum>
  <w:abstractNum w:abstractNumId="4">
    <w:nsid w:val="F6ABCE87"/>
    <w:multiLevelType w:val="singleLevel"/>
    <w:tmpl w:val="F6ABCE87"/>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14E69799"/>
    <w:multiLevelType w:val="singleLevel"/>
    <w:tmpl w:val="14E69799"/>
    <w:lvl w:ilvl="0" w:tentative="0">
      <w:start w:val="2"/>
      <w:numFmt w:val="chineseCounting"/>
      <w:suff w:val="nothing"/>
      <w:lvlText w:val="（%1）"/>
      <w:lvlJc w:val="left"/>
      <w:rPr>
        <w:rFonts w:hint="eastAsia"/>
      </w:rPr>
    </w:lvl>
  </w:abstractNum>
  <w:abstractNum w:abstractNumId="7">
    <w:nsid w:val="3E794925"/>
    <w:multiLevelType w:val="singleLevel"/>
    <w:tmpl w:val="3E794925"/>
    <w:lvl w:ilvl="0" w:tentative="0">
      <w:start w:val="3"/>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WQ1NWFmMDE2ZjNmY2RkYTlkOTI4ZDY4M2Q2M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7F78"/>
    <w:rsid w:val="0021101A"/>
    <w:rsid w:val="00220536"/>
    <w:rsid w:val="00235629"/>
    <w:rsid w:val="00256262"/>
    <w:rsid w:val="00260C38"/>
    <w:rsid w:val="002616C0"/>
    <w:rsid w:val="00265372"/>
    <w:rsid w:val="002662AA"/>
    <w:rsid w:val="0027224D"/>
    <w:rsid w:val="00280496"/>
    <w:rsid w:val="00287808"/>
    <w:rsid w:val="002932CF"/>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ED9"/>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A1A2E"/>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1BC3"/>
    <w:rsid w:val="009844B8"/>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8C1"/>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345"/>
    <w:rsid w:val="00B53C56"/>
    <w:rsid w:val="00B576D6"/>
    <w:rsid w:val="00B57DAF"/>
    <w:rsid w:val="00B77EA6"/>
    <w:rsid w:val="00B81598"/>
    <w:rsid w:val="00B841F1"/>
    <w:rsid w:val="00B86929"/>
    <w:rsid w:val="00B90E4E"/>
    <w:rsid w:val="00B944D6"/>
    <w:rsid w:val="00B965DC"/>
    <w:rsid w:val="00BB4DF0"/>
    <w:rsid w:val="00BC289F"/>
    <w:rsid w:val="00BC2D50"/>
    <w:rsid w:val="00BC5361"/>
    <w:rsid w:val="00BC5460"/>
    <w:rsid w:val="00BC6B50"/>
    <w:rsid w:val="00BD0E25"/>
    <w:rsid w:val="00BE5E70"/>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446"/>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E5DCD"/>
    <w:rsid w:val="00DF28BC"/>
    <w:rsid w:val="00DF34B9"/>
    <w:rsid w:val="00E01053"/>
    <w:rsid w:val="00E07ACF"/>
    <w:rsid w:val="00E10559"/>
    <w:rsid w:val="00E32CAD"/>
    <w:rsid w:val="00E331A1"/>
    <w:rsid w:val="00E33202"/>
    <w:rsid w:val="00E336A9"/>
    <w:rsid w:val="00E472B1"/>
    <w:rsid w:val="00E50624"/>
    <w:rsid w:val="00E568DF"/>
    <w:rsid w:val="00E64269"/>
    <w:rsid w:val="00E70975"/>
    <w:rsid w:val="00E82267"/>
    <w:rsid w:val="00E853CE"/>
    <w:rsid w:val="00E867B6"/>
    <w:rsid w:val="00EA010F"/>
    <w:rsid w:val="00EB3295"/>
    <w:rsid w:val="00ED1B63"/>
    <w:rsid w:val="00ED3C1F"/>
    <w:rsid w:val="00ED4085"/>
    <w:rsid w:val="00ED420E"/>
    <w:rsid w:val="00ED6FBE"/>
    <w:rsid w:val="00EE2F57"/>
    <w:rsid w:val="00EF4C34"/>
    <w:rsid w:val="00EF60EF"/>
    <w:rsid w:val="00EF77C6"/>
    <w:rsid w:val="00F05438"/>
    <w:rsid w:val="00F1361C"/>
    <w:rsid w:val="00F156F0"/>
    <w:rsid w:val="00F160C7"/>
    <w:rsid w:val="00F21DC8"/>
    <w:rsid w:val="00F2408F"/>
    <w:rsid w:val="00F240E9"/>
    <w:rsid w:val="00F36D8F"/>
    <w:rsid w:val="00F417B1"/>
    <w:rsid w:val="00F45853"/>
    <w:rsid w:val="00F53095"/>
    <w:rsid w:val="00F55FBF"/>
    <w:rsid w:val="00F602DF"/>
    <w:rsid w:val="00F754A1"/>
    <w:rsid w:val="00F81FD9"/>
    <w:rsid w:val="00F841AA"/>
    <w:rsid w:val="00F84A94"/>
    <w:rsid w:val="00F87E96"/>
    <w:rsid w:val="00FA23E8"/>
    <w:rsid w:val="00FC2607"/>
    <w:rsid w:val="00FD3CC1"/>
    <w:rsid w:val="00FF1E02"/>
    <w:rsid w:val="00FF30B4"/>
    <w:rsid w:val="05E41A4E"/>
    <w:rsid w:val="07515DE3"/>
    <w:rsid w:val="0A2032A3"/>
    <w:rsid w:val="0A435C81"/>
    <w:rsid w:val="0C5123CB"/>
    <w:rsid w:val="0D4C53BC"/>
    <w:rsid w:val="0EDEAE87"/>
    <w:rsid w:val="10225C1C"/>
    <w:rsid w:val="10C055FF"/>
    <w:rsid w:val="118107EC"/>
    <w:rsid w:val="16BB723D"/>
    <w:rsid w:val="1D155CEE"/>
    <w:rsid w:val="240371BF"/>
    <w:rsid w:val="27020959"/>
    <w:rsid w:val="29A7D5D9"/>
    <w:rsid w:val="29FD04D3"/>
    <w:rsid w:val="2EFF5BD2"/>
    <w:rsid w:val="319F7F4E"/>
    <w:rsid w:val="3BF943F5"/>
    <w:rsid w:val="479F4109"/>
    <w:rsid w:val="4E1D2E39"/>
    <w:rsid w:val="4ECE2238"/>
    <w:rsid w:val="565C7948"/>
    <w:rsid w:val="56B13FA5"/>
    <w:rsid w:val="57A40B47"/>
    <w:rsid w:val="590E2E94"/>
    <w:rsid w:val="5CFBBBEF"/>
    <w:rsid w:val="5E6737F7"/>
    <w:rsid w:val="5F79EC19"/>
    <w:rsid w:val="5FF99065"/>
    <w:rsid w:val="65560AF1"/>
    <w:rsid w:val="6C4A05C8"/>
    <w:rsid w:val="6F7E5AF8"/>
    <w:rsid w:val="72734D90"/>
    <w:rsid w:val="72F400FA"/>
    <w:rsid w:val="733E6ADC"/>
    <w:rsid w:val="7628103B"/>
    <w:rsid w:val="76D7D750"/>
    <w:rsid w:val="76EBDDB9"/>
    <w:rsid w:val="797D1180"/>
    <w:rsid w:val="79837E39"/>
    <w:rsid w:val="7ACF0210"/>
    <w:rsid w:val="7C4C7F13"/>
    <w:rsid w:val="7DBCE2B0"/>
    <w:rsid w:val="7EDD97BD"/>
    <w:rsid w:val="7FE9B762"/>
    <w:rsid w:val="7FFE6BBE"/>
    <w:rsid w:val="7FFFEC5B"/>
    <w:rsid w:val="A57FCED5"/>
    <w:rsid w:val="BFFE6E27"/>
    <w:rsid w:val="CB5B9164"/>
    <w:rsid w:val="DEADE8ED"/>
    <w:rsid w:val="DFEFBC7D"/>
    <w:rsid w:val="E75BD9A2"/>
    <w:rsid w:val="E773AB51"/>
    <w:rsid w:val="F5DEBE7B"/>
    <w:rsid w:val="F9DED3CA"/>
    <w:rsid w:val="FAAD2235"/>
    <w:rsid w:val="FE61026F"/>
    <w:rsid w:val="FFFE8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Char"/>
    <w:basedOn w:val="19"/>
    <w:link w:val="2"/>
    <w:qFormat/>
    <w:locked/>
    <w:uiPriority w:val="9"/>
    <w:rPr>
      <w:rFonts w:ascii="Times New Roman" w:hAnsi="Times New Roman" w:cs="Times New Roman"/>
      <w:b/>
      <w:bCs/>
      <w:kern w:val="44"/>
      <w:sz w:val="44"/>
      <w:szCs w:val="44"/>
    </w:rPr>
  </w:style>
  <w:style w:type="character" w:customStyle="1" w:styleId="23">
    <w:name w:val="标题 2 Char"/>
    <w:basedOn w:val="19"/>
    <w:link w:val="3"/>
    <w:qFormat/>
    <w:locked/>
    <w:uiPriority w:val="9"/>
    <w:rPr>
      <w:rFonts w:ascii="Cambria" w:hAnsi="Cambria" w:eastAsia="宋体" w:cs="Times New Roman"/>
      <w:b/>
      <w:bCs/>
      <w:kern w:val="2"/>
      <w:sz w:val="32"/>
      <w:szCs w:val="32"/>
    </w:rPr>
  </w:style>
  <w:style w:type="character" w:customStyle="1" w:styleId="24">
    <w:name w:val="标题 3 Char"/>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Char"/>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Char"/>
    <w:link w:val="12"/>
    <w:semiHidden/>
    <w:qFormat/>
    <w:locked/>
    <w:uiPriority w:val="99"/>
    <w:rPr>
      <w:sz w:val="18"/>
    </w:rPr>
  </w:style>
  <w:style w:type="character" w:customStyle="1" w:styleId="30">
    <w:name w:val="页脚 Char"/>
    <w:link w:val="11"/>
    <w:qFormat/>
    <w:locked/>
    <w:uiPriority w:val="99"/>
    <w:rPr>
      <w:sz w:val="18"/>
    </w:rPr>
  </w:style>
  <w:style w:type="character" w:customStyle="1" w:styleId="31">
    <w:name w:val="正文文本 Char"/>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3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a:t>收、支决算总计变动情况图</a:t>
            </a:r>
            <a:endParaRPr lang="x-none"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delete val="1"/>
          </c:dLbls>
          <c:cat>
            <c:strRef>
              <c:f>Sheet1!$A$2:$A$4</c:f>
              <c:strCache>
                <c:ptCount val="3"/>
                <c:pt idx="0">
                  <c:v>2020年</c:v>
                </c:pt>
                <c:pt idx="1">
                  <c:v>2021年</c:v>
                </c:pt>
              </c:strCache>
            </c:strRef>
          </c:cat>
          <c:val>
            <c:numRef>
              <c:f>Sheet1!$B$2:$B$4</c:f>
              <c:numCache>
                <c:formatCode>General</c:formatCode>
                <c:ptCount val="3"/>
                <c:pt idx="0">
                  <c:v>101.13</c:v>
                </c:pt>
                <c:pt idx="1">
                  <c:v>125.08</c:v>
                </c:pt>
              </c:numCache>
            </c:numRef>
          </c:val>
        </c:ser>
        <c:ser>
          <c:idx val="1"/>
          <c:order val="1"/>
          <c:tx>
            <c:strRef>
              <c:f>Sheet1!$C$1</c:f>
              <c:strCache>
                <c:ptCount val="1"/>
                <c:pt idx="0">
                  <c:v>总支出</c:v>
                </c:pt>
              </c:strCache>
            </c:strRef>
          </c:tx>
          <c:spPr>
            <a:solidFill>
              <a:schemeClr val="accent2"/>
            </a:solidFill>
            <a:ln>
              <a:noFill/>
            </a:ln>
            <a:effectLst/>
          </c:spPr>
          <c:invertIfNegative val="0"/>
          <c:dLbls>
            <c:delete val="1"/>
          </c:dLbls>
          <c:cat>
            <c:strRef>
              <c:f>Sheet1!$A$2:$A$4</c:f>
              <c:strCache>
                <c:ptCount val="3"/>
                <c:pt idx="0">
                  <c:v>2020年</c:v>
                </c:pt>
                <c:pt idx="1">
                  <c:v>2021年</c:v>
                </c:pt>
              </c:strCache>
            </c:strRef>
          </c:cat>
          <c:val>
            <c:numRef>
              <c:f>Sheet1!$C$2:$C$4</c:f>
              <c:numCache>
                <c:formatCode>General</c:formatCode>
                <c:ptCount val="3"/>
                <c:pt idx="0">
                  <c:v>101.13</c:v>
                </c:pt>
                <c:pt idx="1">
                  <c:v>125.08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Sheet1!$A$2:$A$4</c:f>
              <c:strCache>
                <c:ptCount val="3"/>
                <c:pt idx="0">
                  <c:v>2020年</c:v>
                </c:pt>
                <c:pt idx="1">
                  <c:v>2021年</c:v>
                </c:pt>
              </c:strCache>
            </c:strRef>
          </c:cat>
          <c:val>
            <c:numRef>
              <c:f>Sheet1!$D$2:$D$4</c:f>
              <c:numCache>
                <c:formatCode>General</c:formatCode>
                <c:ptCount val="3"/>
              </c:numCache>
            </c:numRef>
          </c:val>
        </c:ser>
        <c:dLbls>
          <c:showLegendKey val="0"/>
          <c:showVal val="1"/>
          <c:showCatName val="0"/>
          <c:showSerName val="0"/>
          <c:showPercent val="0"/>
          <c:showBubbleSize val="0"/>
        </c:dLbls>
        <c:gapWidth val="75"/>
        <c:overlap val="-25"/>
        <c:axId val="95202688"/>
        <c:axId val="95646848"/>
      </c:barChart>
      <c:catAx>
        <c:axId val="952026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46848"/>
        <c:crosses val="autoZero"/>
        <c:auto val="1"/>
        <c:lblAlgn val="ctr"/>
        <c:lblOffset val="100"/>
        <c:noMultiLvlLbl val="0"/>
      </c:catAx>
      <c:valAx>
        <c:axId val="9564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026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a:t>收入决算结构</a:t>
            </a:r>
            <a:endParaRPr lang="x-none"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上级补助收入</c:v>
                </c:pt>
                <c:pt idx="3">
                  <c:v>事业收入</c:v>
                </c:pt>
              </c:strCache>
            </c:strRef>
          </c:cat>
          <c:val>
            <c:numRef>
              <c:f>Sheet1!$B$2:$B$5</c:f>
              <c:numCache>
                <c:formatCode>General</c:formatCode>
                <c:ptCount val="4"/>
                <c:pt idx="0">
                  <c:v>101.13</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a:t>支出决算结构图</a:t>
            </a:r>
            <a:endParaRPr lang="x-none"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101.13</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sz="1050" b="1"/>
              <a:t>财政拨款收、支决算总计变动情况图</a:t>
            </a:r>
            <a:endParaRPr lang="x-none" altLang="zh-CN" sz="105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dLbl>
              <c:idx val="0"/>
              <c:layout>
                <c:manualLayout>
                  <c:x val="-0.0040763387066889"/>
                  <c:y val="0.007837374479549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4504354270891"/>
                  <c:y val="0.07861866274797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Sheet1!$B$2:$B$4</c:f>
              <c:numCache>
                <c:formatCode>General</c:formatCode>
                <c:ptCount val="3"/>
                <c:pt idx="0">
                  <c:v>101.13</c:v>
                </c:pt>
                <c:pt idx="1">
                  <c:v>125.08</c:v>
                </c:pt>
              </c:numCache>
            </c:numRef>
          </c:val>
        </c:ser>
        <c:ser>
          <c:idx val="1"/>
          <c:order val="1"/>
          <c:tx>
            <c:strRef>
              <c:f>Sheet1!$C$1</c:f>
              <c:strCache>
                <c:ptCount val="1"/>
                <c:pt idx="0">
                  <c:v>总支出</c:v>
                </c:pt>
              </c:strCache>
            </c:strRef>
          </c:tx>
          <c:spPr>
            <a:solidFill>
              <a:schemeClr val="accent2"/>
            </a:solidFill>
            <a:ln>
              <a:noFill/>
            </a:ln>
            <a:effectLst/>
          </c:spPr>
          <c:invertIfNegative val="0"/>
          <c:dLbls>
            <c:dLbl>
              <c:idx val="0"/>
              <c:layout>
                <c:manualLayout>
                  <c:x val="0.0633685380767093"/>
                  <c:y val="0.09184423218221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33796553640912"/>
                  <c:y val="0.09698750918442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Sheet1!$C$2:$C$4</c:f>
              <c:numCache>
                <c:formatCode>General</c:formatCode>
                <c:ptCount val="3"/>
                <c:pt idx="0">
                  <c:v>101.13</c:v>
                </c:pt>
                <c:pt idx="1">
                  <c:v>125.08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Sheet1!$D$2:$D$4</c:f>
              <c:numCache>
                <c:formatCode>General</c:formatCode>
                <c:ptCount val="3"/>
              </c:numCache>
            </c:numRef>
          </c:val>
        </c:ser>
        <c:dLbls>
          <c:showLegendKey val="0"/>
          <c:showVal val="1"/>
          <c:showCatName val="0"/>
          <c:showSerName val="0"/>
          <c:showPercent val="0"/>
          <c:showBubbleSize val="0"/>
        </c:dLbls>
        <c:gapWidth val="150"/>
        <c:axId val="97083392"/>
        <c:axId val="97084928"/>
      </c:barChart>
      <c:catAx>
        <c:axId val="970833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84928"/>
        <c:crosses val="autoZero"/>
        <c:auto val="1"/>
        <c:lblAlgn val="ctr"/>
        <c:lblOffset val="100"/>
        <c:noMultiLvlLbl val="0"/>
      </c:catAx>
      <c:valAx>
        <c:axId val="9708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833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sz="1050"/>
              <a:t>一般公共预算财政拨款支出决算变动情况图</a:t>
            </a:r>
            <a:endParaRPr lang="x-none" altLang="zh-CN" sz="105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总收入</c:v>
                </c:pt>
              </c:strCache>
            </c:strRef>
          </c:tx>
          <c:spPr>
            <a:solidFill>
              <a:schemeClr val="accent1"/>
            </a:solidFill>
            <a:ln>
              <a:noFill/>
            </a:ln>
            <a:effectLst/>
          </c:spPr>
          <c:invertIfNegative val="0"/>
          <c:dLbls>
            <c:dLbl>
              <c:idx val="1"/>
              <c:layout>
                <c:manualLayout>
                  <c:x val="-0.0714391581443605"/>
                  <c:y val="0.07180469123982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Sheet1!$B$2:$B$4</c:f>
              <c:numCache>
                <c:formatCode>General</c:formatCode>
                <c:ptCount val="3"/>
                <c:pt idx="0">
                  <c:v>101.13</c:v>
                </c:pt>
                <c:pt idx="1">
                  <c:v>125.08</c:v>
                </c:pt>
              </c:numCache>
            </c:numRef>
          </c:val>
        </c:ser>
        <c:ser>
          <c:idx val="1"/>
          <c:order val="1"/>
          <c:tx>
            <c:strRef>
              <c:f>Sheet1!$C$1</c:f>
              <c:strCache>
                <c:ptCount val="1"/>
                <c:pt idx="0">
                  <c:v>总支出</c:v>
                </c:pt>
              </c:strCache>
            </c:strRef>
          </c:tx>
          <c:spPr>
            <a:solidFill>
              <a:schemeClr val="accent2"/>
            </a:solidFill>
            <a:ln>
              <a:noFill/>
            </a:ln>
            <a:effectLst/>
          </c:spPr>
          <c:invertIfNegative val="0"/>
          <c:dLbls>
            <c:dLbl>
              <c:idx val="0"/>
              <c:layout>
                <c:manualLayout>
                  <c:x val="0.0459463465243812"/>
                  <c:y val="0.03590234561991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8123610493553"/>
                  <c:y val="0.0770703685974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Sheet1!$C$2:$C$4</c:f>
              <c:numCache>
                <c:formatCode>General</c:formatCode>
                <c:ptCount val="3"/>
                <c:pt idx="0">
                  <c:v>101.13</c:v>
                </c:pt>
                <c:pt idx="1">
                  <c:v>125.08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2020年</c:v>
                </c:pt>
                <c:pt idx="1">
                  <c:v>2021年</c:v>
                </c:pt>
              </c:strCache>
            </c:strRef>
          </c:cat>
          <c:val>
            <c:numRef>
              <c:f>Sheet1!$D$2:$D$4</c:f>
              <c:numCache>
                <c:formatCode>General</c:formatCode>
                <c:ptCount val="3"/>
              </c:numCache>
            </c:numRef>
          </c:val>
        </c:ser>
        <c:dLbls>
          <c:showLegendKey val="0"/>
          <c:showVal val="1"/>
          <c:showCatName val="0"/>
          <c:showSerName val="0"/>
          <c:showPercent val="0"/>
          <c:showBubbleSize val="0"/>
        </c:dLbls>
        <c:gapWidth val="75"/>
        <c:overlap val="-25"/>
        <c:axId val="97001472"/>
        <c:axId val="97003008"/>
      </c:barChart>
      <c:catAx>
        <c:axId val="97001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03008"/>
        <c:crosses val="autoZero"/>
        <c:auto val="1"/>
        <c:lblAlgn val="ctr"/>
        <c:lblOffset val="100"/>
        <c:noMultiLvlLbl val="0"/>
      </c:catAx>
      <c:valAx>
        <c:axId val="9700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014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a:t>一般公共预算财政拨款支出决算图</a:t>
            </a:r>
            <a:endParaRPr lang="x-none"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社会保障和就业支出占89.7%</c:v>
                </c:pt>
                <c:pt idx="5">
                  <c:v>卫生健康支出占4.2%</c:v>
                </c:pt>
                <c:pt idx="6">
                  <c:v>住房保障支出占6.1%</c:v>
                </c:pt>
              </c:strCache>
            </c:strRef>
          </c:cat>
          <c:val>
            <c:numRef>
              <c:f>Sheet1!$B$2:$B$8</c:f>
              <c:numCache>
                <c:formatCode>General</c:formatCode>
                <c:ptCount val="7"/>
                <c:pt idx="0">
                  <c:v>0</c:v>
                </c:pt>
                <c:pt idx="1">
                  <c:v>0</c:v>
                </c:pt>
                <c:pt idx="2">
                  <c:v>0</c:v>
                </c:pt>
                <c:pt idx="3">
                  <c:v>0</c:v>
                </c:pt>
                <c:pt idx="4">
                  <c:v>112.23</c:v>
                </c:pt>
                <c:pt idx="5">
                  <c:v>5.22</c:v>
                </c:pt>
                <c:pt idx="6">
                  <c:v>7.63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x-none" altLang="zh-CN"/>
              <a:t>202</a:t>
            </a:r>
            <a:r>
              <a:rPr lang="en-US" altLang="x-none"/>
              <a:t>1</a:t>
            </a:r>
            <a:r>
              <a:rPr lang="x-none" altLang="zh-CN"/>
              <a:t>年“三公”经费支出</a:t>
            </a:r>
            <a:endParaRPr lang="x-none"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2.86</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6811</Words>
  <Characters>7266</Characters>
  <Lines>17</Lines>
  <Paragraphs>16</Paragraphs>
  <TotalTime>7</TotalTime>
  <ScaleCrop>false</ScaleCrop>
  <LinksUpToDate>false</LinksUpToDate>
  <CharactersWithSpaces>7348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2021-08-08T01:38:00Z</dcterms:created>
  <dc:creator>曹颖</dc:creator>
  <cp:lastModifiedBy>user</cp:lastModifiedBy>
  <cp:lastPrinted>2022-09-20T17:28:00Z</cp:lastPrinted>
  <dcterms:modified xsi:type="dcterms:W3CDTF">2026-05-14T15:49:41Z</dcterms:modified>
  <dc:title>阿坝州部门决算说明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DCBCD695A82B45B0BF3A8C70AC054DEF</vt:lpwstr>
  </property>
</Properties>
</file>