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CD0C4">
      <w:pPr>
        <w:pStyle w:val="5"/>
        <w:outlineLvl w:val="9"/>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8441"/>
      <w:bookmarkStart w:id="2" w:name="_Toc15396475"/>
      <w:bookmarkStart w:id="3" w:name="_Toc15306267"/>
      <w:bookmarkStart w:id="4" w:name="_Toc15396597"/>
      <w:bookmarkStart w:id="5" w:name="_Toc15377193"/>
    </w:p>
    <w:p w14:paraId="6FAB2C5C">
      <w:pPr>
        <w:pStyle w:val="5"/>
        <w:rPr>
          <w:rFonts w:hint="eastAsia" w:ascii="Times New Roman" w:hAnsi="Times New Roman" w:eastAsia="方正小标宋简体" w:cs="Times New Roman"/>
          <w:color w:val="auto"/>
          <w:kern w:val="2"/>
          <w:sz w:val="72"/>
          <w:szCs w:val="72"/>
          <w:highlight w:val="none"/>
          <w:lang w:val="en-US" w:eastAsia="zh-CN" w:bidi="ar-SA"/>
        </w:rPr>
      </w:pPr>
    </w:p>
    <w:p w14:paraId="26BBB2C2">
      <w:pPr>
        <w:pStyle w:val="5"/>
        <w:rPr>
          <w:rFonts w:hint="eastAsia" w:ascii="Times New Roman" w:hAnsi="Times New Roman" w:eastAsia="方正小标宋简体" w:cs="Times New Roman"/>
          <w:color w:val="auto"/>
          <w:kern w:val="2"/>
          <w:sz w:val="72"/>
          <w:szCs w:val="72"/>
          <w:highlight w:val="none"/>
          <w:lang w:val="en-US" w:eastAsia="zh-CN" w:bidi="ar-SA"/>
        </w:rPr>
      </w:pPr>
    </w:p>
    <w:p w14:paraId="21ABE62F">
      <w:pPr>
        <w:pStyle w:val="5"/>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四川省阿坝州</w:t>
      </w:r>
    </w:p>
    <w:p w14:paraId="1F1EB496">
      <w:pPr>
        <w:pStyle w:val="5"/>
        <w:jc w:val="center"/>
        <w:outlineLvl w:val="0"/>
        <w:rPr>
          <w:rFonts w:hint="eastAsia" w:ascii="Times New Roman" w:eastAsia="方正小标宋简体" w:cs="Times New Roman"/>
          <w:color w:val="auto"/>
          <w:kern w:val="2"/>
          <w:sz w:val="44"/>
          <w:szCs w:val="44"/>
          <w:highlight w:val="none"/>
          <w:lang w:val="en-US" w:eastAsia="zh-CN" w:bidi="ar-SA"/>
        </w:rPr>
      </w:pPr>
      <w:bookmarkStart w:id="6" w:name="_Toc3448"/>
      <w:bookmarkStart w:id="7" w:name="_Toc26399"/>
      <w:bookmarkStart w:id="8" w:name="_Toc9886"/>
      <w:bookmarkStart w:id="9" w:name="_Toc21343"/>
      <w:bookmarkStart w:id="10" w:name="_Toc4917"/>
      <w:r>
        <w:rPr>
          <w:rFonts w:hint="eastAsia" w:ascii="Times New Roman" w:eastAsia="方正小标宋简体" w:cs="Times New Roman"/>
          <w:color w:val="auto"/>
          <w:kern w:val="2"/>
          <w:sz w:val="44"/>
          <w:szCs w:val="44"/>
          <w:highlight w:val="none"/>
          <w:lang w:val="en-US" w:eastAsia="zh-CN" w:bidi="ar-SA"/>
        </w:rPr>
        <w:t>茂县红十字会</w:t>
      </w:r>
      <w:bookmarkEnd w:id="6"/>
      <w:bookmarkEnd w:id="7"/>
      <w:bookmarkEnd w:id="8"/>
      <w:bookmarkEnd w:id="9"/>
      <w:bookmarkEnd w:id="10"/>
    </w:p>
    <w:p w14:paraId="2AE38D67">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单位决算</w:t>
      </w:r>
    </w:p>
    <w:p w14:paraId="38641C26">
      <w:pPr>
        <w:spacing w:line="600" w:lineRule="exact"/>
        <w:jc w:val="center"/>
        <w:outlineLvl w:val="9"/>
        <w:rPr>
          <w:rFonts w:ascii="Times New Roman" w:hAnsi="Times New Roman" w:eastAsia="方正小标宋简体"/>
          <w:color w:val="auto"/>
          <w:sz w:val="72"/>
          <w:szCs w:val="72"/>
          <w:highlight w:val="none"/>
        </w:rPr>
      </w:pPr>
    </w:p>
    <w:p w14:paraId="3513BEB8">
      <w:pPr>
        <w:pStyle w:val="20"/>
        <w:outlineLvl w:val="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sdt>
      <w:sdtPr>
        <w:rPr>
          <w:rFonts w:ascii="宋体" w:hAnsi="宋体" w:eastAsia="宋体" w:cs="Times New Roman"/>
          <w:kern w:val="2"/>
          <w:sz w:val="21"/>
          <w:szCs w:val="24"/>
          <w:lang w:val="en-US" w:eastAsia="zh-CN" w:bidi="ar-SA"/>
        </w:rPr>
        <w:id w:val="147458406"/>
        <w15:color w:val="DBDBDB"/>
        <w:docPartObj>
          <w:docPartGallery w:val="Table of Contents"/>
          <w:docPartUnique/>
        </w:docPartObj>
      </w:sdtPr>
      <w:sdtEndPr>
        <w:rPr>
          <w:rFonts w:hint="eastAsia" w:ascii="Times New Roman" w:hAnsi="Times New Roman" w:eastAsia="方正小标宋简体" w:cs="方正小标宋简体"/>
          <w:b/>
          <w:bCs/>
          <w:color w:val="auto"/>
          <w:kern w:val="44"/>
          <w:sz w:val="44"/>
          <w:szCs w:val="44"/>
          <w:highlight w:val="none"/>
          <w:lang w:val="en-US" w:eastAsia="zh-CN" w:bidi="ar-SA"/>
        </w:rPr>
      </w:sdtEndPr>
      <w:sdtContent>
        <w:p w14:paraId="777F7522">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目录</w:t>
          </w:r>
        </w:p>
        <w:p w14:paraId="521999CC">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年9月25日</w:t>
          </w:r>
        </w:p>
        <w:p w14:paraId="5DEFFE46">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Times New Roman" w:hAnsi="Times New Roman" w:eastAsia="方正小标宋简体" w:cs="方正小标宋简体"/>
              <w:b w:val="0"/>
              <w:color w:val="auto"/>
              <w:sz w:val="44"/>
              <w:szCs w:val="44"/>
              <w:highlight w:val="none"/>
            </w:rPr>
            <w:fldChar w:fldCharType="begin"/>
          </w:r>
          <w:r>
            <w:rPr>
              <w:rFonts w:hint="eastAsia" w:ascii="Times New Roman" w:hAnsi="Times New Roman" w:eastAsia="方正小标宋简体" w:cs="方正小标宋简体"/>
              <w:b w:val="0"/>
              <w:color w:val="auto"/>
              <w:sz w:val="44"/>
              <w:szCs w:val="44"/>
              <w:highlight w:val="none"/>
            </w:rPr>
            <w:instrText xml:space="preserve">TOC \o "1-2" \h \u </w:instrText>
          </w:r>
          <w:r>
            <w:rPr>
              <w:rFonts w:hint="eastAsia" w:ascii="Times New Roman" w:hAnsi="Times New Roman" w:eastAsia="方正小标宋简体" w:cs="方正小标宋简体"/>
              <w:b w:val="0"/>
              <w:color w:val="auto"/>
              <w:sz w:val="44"/>
              <w:szCs w:val="44"/>
              <w:highlight w:val="none"/>
            </w:rPr>
            <w:fldChar w:fldCharType="separate"/>
          </w: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_Toc5078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第一部分  部门概况</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2</w:t>
          </w:r>
          <w:r>
            <w:rPr>
              <w:rFonts w:hint="eastAsia" w:ascii="楷体" w:hAnsi="楷体" w:eastAsia="楷体" w:cs="楷体"/>
              <w:b w:val="0"/>
              <w:bCs w:val="0"/>
              <w:kern w:val="2"/>
              <w:sz w:val="24"/>
              <w:szCs w:val="24"/>
              <w:lang w:val="en-US" w:eastAsia="zh-CN" w:bidi="ar-SA"/>
            </w:rPr>
            <w:fldChar w:fldCharType="end"/>
          </w:r>
        </w:p>
        <w:p w14:paraId="5E87A504">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_Toc27984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一、部门职责</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PAGEREF _Toc27984 \h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2</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fldChar w:fldCharType="end"/>
          </w:r>
        </w:p>
        <w:p w14:paraId="09529067">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_Toc28647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二、机构设置</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2</w:t>
          </w:r>
          <w:r>
            <w:rPr>
              <w:rFonts w:hint="eastAsia" w:ascii="楷体" w:hAnsi="楷体" w:eastAsia="楷体" w:cs="楷体"/>
              <w:b w:val="0"/>
              <w:bCs w:val="0"/>
              <w:kern w:val="2"/>
              <w:sz w:val="24"/>
              <w:szCs w:val="24"/>
              <w:lang w:val="en-US" w:eastAsia="zh-CN" w:bidi="ar-SA"/>
            </w:rPr>
            <w:fldChar w:fldCharType="end"/>
          </w:r>
        </w:p>
        <w:p w14:paraId="2030FC7B">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_Toc22592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第二部分  2024年度部门决算情况说明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p>
        <w:p w14:paraId="19FD8C6D">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_Toc14151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一、收入支出决算总体情况说明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p>
        <w:p w14:paraId="59086F3A">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_Toc22701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二、收入决算情况说明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p>
        <w:p w14:paraId="07450B27">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_Toc25851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三、支出决算情况说明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4</w:t>
          </w:r>
          <w:r>
            <w:rPr>
              <w:rFonts w:hint="eastAsia" w:ascii="楷体" w:hAnsi="楷体" w:eastAsia="楷体" w:cs="楷体"/>
              <w:b w:val="0"/>
              <w:bCs w:val="0"/>
              <w:kern w:val="2"/>
              <w:sz w:val="24"/>
              <w:szCs w:val="24"/>
              <w:lang w:val="en-US" w:eastAsia="zh-CN" w:bidi="ar-SA"/>
            </w:rPr>
            <w:fldChar w:fldCharType="end"/>
          </w:r>
        </w:p>
        <w:p w14:paraId="7C78CB60">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_Toc10943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四、财政拨款收入支出决算总体情况说明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PAGEREF _Toc10943 \h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5</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fldChar w:fldCharType="end"/>
          </w:r>
        </w:p>
        <w:p w14:paraId="2F1F3636">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_Toc9437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五、一般公共预算财政拨款支出决算情况说明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5</w:t>
          </w:r>
          <w:r>
            <w:rPr>
              <w:rFonts w:hint="eastAsia" w:ascii="楷体" w:hAnsi="楷体" w:eastAsia="楷体" w:cs="楷体"/>
              <w:b w:val="0"/>
              <w:bCs w:val="0"/>
              <w:kern w:val="2"/>
              <w:sz w:val="24"/>
              <w:szCs w:val="24"/>
              <w:lang w:val="en-US" w:eastAsia="zh-CN" w:bidi="ar-SA"/>
            </w:rPr>
            <w:fldChar w:fldCharType="end"/>
          </w:r>
        </w:p>
        <w:p w14:paraId="70A7F95F">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_Toc29169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六、一般公共预算财政拨款基本支出决算情况说明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7</w:t>
          </w:r>
          <w:r>
            <w:rPr>
              <w:rFonts w:hint="eastAsia" w:ascii="楷体" w:hAnsi="楷体" w:eastAsia="楷体" w:cs="楷体"/>
              <w:b w:val="0"/>
              <w:bCs w:val="0"/>
              <w:kern w:val="2"/>
              <w:sz w:val="24"/>
              <w:szCs w:val="24"/>
              <w:lang w:val="en-US" w:eastAsia="zh-CN" w:bidi="ar-SA"/>
            </w:rPr>
            <w:fldChar w:fldCharType="end"/>
          </w:r>
        </w:p>
        <w:p w14:paraId="36D1006B">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_Toc16222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七、财政拨款“三公”经费支出决算情况说明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8</w:t>
          </w:r>
          <w:r>
            <w:rPr>
              <w:rFonts w:hint="eastAsia" w:ascii="楷体" w:hAnsi="楷体" w:eastAsia="楷体" w:cs="楷体"/>
              <w:b w:val="0"/>
              <w:bCs w:val="0"/>
              <w:kern w:val="2"/>
              <w:sz w:val="24"/>
              <w:szCs w:val="24"/>
              <w:lang w:val="en-US" w:eastAsia="zh-CN" w:bidi="ar-SA"/>
            </w:rPr>
            <w:fldChar w:fldCharType="end"/>
          </w:r>
        </w:p>
        <w:p w14:paraId="550966B7">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_Toc17484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八、政府性基金预算支出决算情况说明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9</w:t>
          </w:r>
          <w:r>
            <w:rPr>
              <w:rFonts w:hint="eastAsia" w:ascii="楷体" w:hAnsi="楷体" w:eastAsia="楷体" w:cs="楷体"/>
              <w:b w:val="0"/>
              <w:bCs w:val="0"/>
              <w:kern w:val="2"/>
              <w:sz w:val="24"/>
              <w:szCs w:val="24"/>
              <w:lang w:val="en-US" w:eastAsia="zh-CN" w:bidi="ar-SA"/>
            </w:rPr>
            <w:fldChar w:fldCharType="end"/>
          </w:r>
        </w:p>
        <w:p w14:paraId="598CCD9F">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_Toc3153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九、国有资本经营预算支出决算情况说明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PAGEREF _Toc3153 \h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9</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fldChar w:fldCharType="end"/>
          </w:r>
        </w:p>
        <w:p w14:paraId="66B8BD95">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_Toc5246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十、其他重要事项的情况说明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9</w:t>
          </w:r>
          <w:r>
            <w:rPr>
              <w:rFonts w:hint="eastAsia" w:ascii="楷体" w:hAnsi="楷体" w:eastAsia="楷体" w:cs="楷体"/>
              <w:b w:val="0"/>
              <w:bCs w:val="0"/>
              <w:kern w:val="2"/>
              <w:sz w:val="24"/>
              <w:szCs w:val="24"/>
              <w:lang w:val="en-US" w:eastAsia="zh-CN" w:bidi="ar-SA"/>
            </w:rPr>
            <w:fldChar w:fldCharType="end"/>
          </w:r>
        </w:p>
        <w:p w14:paraId="5936B4F3">
          <w:pPr>
            <w:pStyle w:val="15"/>
            <w:tabs>
              <w:tab w:val="right" w:leader="dot" w:pos="8306"/>
              <w:tab w:val="clear" w:pos="8296"/>
            </w:tabs>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_Toc27957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第三部分  名词解释</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11</w:t>
          </w:r>
        </w:p>
        <w:p w14:paraId="57B2030C">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t xml:space="preserve">第四部分  </w:t>
          </w: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_Toc6538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附件</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1</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4</w:t>
          </w:r>
        </w:p>
        <w:p w14:paraId="24941BC5">
          <w:pPr>
            <w:pStyle w:val="15"/>
            <w:tabs>
              <w:tab w:val="right" w:leader="dot" w:pos="8306"/>
              <w:tab w:val="clear" w:pos="8296"/>
            </w:tabs>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_Toc30618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第五部分 附表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16</w:t>
          </w:r>
        </w:p>
        <w:p w14:paraId="47339082">
          <w:pPr>
            <w:pStyle w:val="15"/>
            <w:tabs>
              <w:tab w:val="right" w:leader="dot" w:pos="8306"/>
              <w:tab w:val="clear" w:pos="8296"/>
            </w:tabs>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_Toc16991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一、收入支出决算总表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16</w:t>
          </w:r>
        </w:p>
        <w:p w14:paraId="40E57E90">
          <w:pPr>
            <w:pStyle w:val="15"/>
            <w:tabs>
              <w:tab w:val="right" w:leader="dot" w:pos="8306"/>
              <w:tab w:val="clear" w:pos="8296"/>
            </w:tabs>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_Toc9073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三、支出决算表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16</w:t>
          </w:r>
        </w:p>
        <w:p w14:paraId="18EDD6F3">
          <w:pPr>
            <w:pStyle w:val="15"/>
            <w:tabs>
              <w:tab w:val="right" w:leader="dot" w:pos="8306"/>
              <w:tab w:val="clear" w:pos="8296"/>
            </w:tabs>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_Toc16356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四、财政拨款收入支出决算总表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16</w:t>
          </w:r>
        </w:p>
        <w:p w14:paraId="0DC6A97D">
          <w:pPr>
            <w:pStyle w:val="15"/>
            <w:tabs>
              <w:tab w:val="right" w:leader="dot" w:pos="8306"/>
              <w:tab w:val="clear" w:pos="8296"/>
            </w:tabs>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_Toc17138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五、财政拨款支出决算明细表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16</w:t>
          </w:r>
        </w:p>
        <w:p w14:paraId="259EA4EF">
          <w:pPr>
            <w:pStyle w:val="15"/>
            <w:tabs>
              <w:tab w:val="right" w:leader="dot" w:pos="8306"/>
              <w:tab w:val="clear" w:pos="8296"/>
            </w:tabs>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_Toc4549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六、一般公共预算财政拨款支出决算表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16</w:t>
          </w:r>
        </w:p>
        <w:p w14:paraId="096966EE">
          <w:pPr>
            <w:pStyle w:val="15"/>
            <w:tabs>
              <w:tab w:val="right" w:leader="dot" w:pos="8306"/>
              <w:tab w:val="clear" w:pos="8296"/>
            </w:tabs>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_Toc14791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七、一般公共预算财政拨款支出决算明细表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16</w:t>
          </w:r>
        </w:p>
        <w:p w14:paraId="216FDD89">
          <w:pPr>
            <w:pStyle w:val="15"/>
            <w:tabs>
              <w:tab w:val="right" w:leader="dot" w:pos="8306"/>
              <w:tab w:val="clear" w:pos="8296"/>
            </w:tabs>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_Toc28418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八、一般公共预算财政拨款基本支出决算表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16</w:t>
          </w:r>
        </w:p>
        <w:p w14:paraId="178745F6">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_Toc18307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九、一般公共预算财政拨款项目支出决算表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16</w:t>
          </w:r>
        </w:p>
        <w:p w14:paraId="69EA6A39">
          <w:pPr>
            <w:pStyle w:val="15"/>
            <w:tabs>
              <w:tab w:val="right" w:leader="dot" w:pos="8306"/>
              <w:tab w:val="clear" w:pos="8296"/>
            </w:tabs>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_Toc5528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十、政府性基金预算财政拨款收入支出决算表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16</w:t>
          </w:r>
        </w:p>
        <w:p w14:paraId="6EED9449">
          <w:pPr>
            <w:pStyle w:val="15"/>
            <w:tabs>
              <w:tab w:val="right" w:leader="dot" w:pos="8306"/>
              <w:tab w:val="clear" w:pos="8296"/>
            </w:tabs>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_Toc9214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十一、国有资本经营预算财政拨款收入支出决算表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16</w:t>
          </w:r>
        </w:p>
        <w:p w14:paraId="5D24C8A4">
          <w:pPr>
            <w:pStyle w:val="15"/>
            <w:tabs>
              <w:tab w:val="right" w:leader="dot" w:pos="8306"/>
              <w:tab w:val="clear" w:pos="8296"/>
            </w:tabs>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_Toc20620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十二、国有资本经营预算财政拨款支出决算表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16</w:t>
          </w:r>
        </w:p>
        <w:p w14:paraId="0FFEEA04">
          <w:pPr>
            <w:ind w:firstLine="420" w:firstLineChars="200"/>
            <w:rPr>
              <w:rFonts w:hint="default" w:ascii="Times New Roman" w:hAnsi="Times New Roman" w:eastAsia="宋体" w:cs="方正小标宋简体"/>
              <w:color w:val="auto"/>
              <w:szCs w:val="44"/>
              <w:highlight w:val="none"/>
              <w:lang w:val="en-US" w:eastAsia="zh-C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HYPERLINK \l _Toc16013 </w:instrText>
          </w:r>
          <w:r>
            <w:rPr>
              <w:rFonts w:hint="eastAsia" w:ascii="Times New Roman" w:hAnsi="Times New Roman" w:eastAsia="宋体" w:cs="Times New Roman"/>
            </w:rPr>
            <w:fldChar w:fldCharType="separate"/>
          </w:r>
          <w:r>
            <w:rPr>
              <w:rFonts w:hint="eastAsia" w:ascii="楷体" w:hAnsi="楷体" w:eastAsia="楷体" w:cs="楷体"/>
              <w:b w:val="0"/>
              <w:bCs w:val="0"/>
              <w:kern w:val="2"/>
              <w:sz w:val="24"/>
              <w:szCs w:val="24"/>
              <w:lang w:val="en-US" w:eastAsia="zh-CN" w:bidi="ar-SA"/>
            </w:rPr>
            <w:t>十三、财政拨款三公经费支出决算表...............................</w:t>
          </w:r>
          <w:bookmarkStart w:id="120" w:name="_GoBack"/>
          <w:bookmarkEnd w:id="120"/>
          <w:r>
            <w:rPr>
              <w:rFonts w:hint="eastAsia" w:cs="Times New Roman"/>
              <w:lang w:val="en-US" w:eastAsia="zh-CN"/>
            </w:rPr>
            <w:t>..</w:t>
          </w:r>
          <w:r>
            <w:rPr>
              <w:rFonts w:hint="eastAsia" w:ascii="Times New Roman" w:hAnsi="Times New Roman" w:eastAsia="宋体" w:cs="Times New Roman"/>
            </w:rPr>
            <w:fldChar w:fldCharType="end"/>
          </w:r>
          <w:r>
            <w:rPr>
              <w:rFonts w:hint="eastAsia" w:cs="Times New Roman"/>
              <w:lang w:val="en-US" w:eastAsia="zh-CN"/>
            </w:rPr>
            <w:t>16</w:t>
          </w:r>
        </w:p>
        <w:p w14:paraId="49D48546">
          <w:pPr>
            <w:rPr>
              <w:rFonts w:hint="eastAsia" w:ascii="Times New Roman" w:hAnsi="Times New Roman" w:eastAsia="方正小标宋简体" w:cs="方正小标宋简体"/>
              <w:b/>
              <w:bCs/>
              <w:color w:val="auto"/>
              <w:kern w:val="44"/>
              <w:sz w:val="44"/>
              <w:szCs w:val="44"/>
              <w:highlight w:val="none"/>
              <w:lang w:val="en-US" w:eastAsia="zh-CN" w:bidi="ar-SA"/>
            </w:rPr>
          </w:pPr>
          <w:r>
            <w:rPr>
              <w:rFonts w:hint="eastAsia" w:ascii="Times New Roman" w:hAnsi="Times New Roman" w:eastAsia="方正小标宋简体" w:cs="方正小标宋简体"/>
              <w:color w:val="auto"/>
              <w:szCs w:val="44"/>
              <w:highlight w:val="none"/>
            </w:rPr>
            <w:fldChar w:fldCharType="end"/>
          </w:r>
        </w:p>
      </w:sdtContent>
    </w:sdt>
    <w:sdt>
      <w:sdtPr>
        <w:rPr>
          <w:rFonts w:ascii="宋体" w:hAnsi="宋体" w:eastAsia="宋体" w:cs="Times New Roman"/>
          <w:kern w:val="2"/>
          <w:sz w:val="21"/>
          <w:szCs w:val="24"/>
          <w:lang w:val="en-US" w:eastAsia="zh-CN" w:bidi="ar-SA"/>
        </w:rPr>
        <w:id w:val="147475044"/>
        <w:showingPlcHdr/>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4D9CA722">
          <w:r>
            <w:rPr>
              <w:rFonts w:hint="eastAsia" w:ascii="宋体" w:hAnsi="宋体" w:cs="Times New Roman"/>
              <w:kern w:val="2"/>
              <w:sz w:val="21"/>
              <w:szCs w:val="24"/>
              <w:lang w:val="en-US" w:eastAsia="zh-CN" w:bidi="ar-SA"/>
            </w:rPr>
            <w:t xml:space="preserve">     </w:t>
          </w:r>
        </w:p>
      </w:sdtContent>
    </w:sdt>
    <w:p w14:paraId="4DA2B360"/>
    <w:p w14:paraId="3C6F8A72">
      <w:pPr>
        <w:pStyle w:val="2"/>
        <w:pageBreakBefore w:val="0"/>
        <w:kinsoku/>
        <w:wordWrap/>
        <w:overflowPunct/>
        <w:topLinePunct w:val="0"/>
        <w:bidi w:val="0"/>
        <w:spacing w:before="0" w:after="0" w:line="576" w:lineRule="exact"/>
        <w:ind w:left="0" w:leftChars="0"/>
        <w:jc w:val="center"/>
        <w:rPr>
          <w:rFonts w:ascii="Times New Roman" w:hAnsi="Times New Roman" w:eastAsia="黑体"/>
          <w:color w:val="auto"/>
          <w:sz w:val="44"/>
          <w:szCs w:val="44"/>
          <w:highlight w:val="none"/>
        </w:rPr>
      </w:pPr>
      <w:bookmarkStart w:id="11" w:name="_Toc5322"/>
      <w:r>
        <w:rPr>
          <w:rFonts w:hint="eastAsia" w:ascii="Times New Roman" w:hAnsi="Times New Roman" w:eastAsia="方正小标宋简体" w:cs="方正小标宋简体"/>
          <w:b w:val="0"/>
          <w:color w:val="auto"/>
          <w:sz w:val="44"/>
          <w:szCs w:val="44"/>
          <w:highlight w:val="none"/>
        </w:rPr>
        <w:t>第一部分</w:t>
      </w:r>
      <w:r>
        <w:rPr>
          <w:rFonts w:hint="eastAsia" w:ascii="Times New Roman" w:hAnsi="Times New Roman" w:eastAsia="方正小标宋简体" w:cs="方正小标宋简体"/>
          <w:b w:val="0"/>
          <w:color w:val="auto"/>
          <w:sz w:val="44"/>
          <w:szCs w:val="44"/>
          <w:highlight w:val="none"/>
          <w:lang w:val="en-US" w:eastAsia="zh-CN"/>
        </w:rPr>
        <w:t xml:space="preserve"> </w:t>
      </w:r>
      <w:r>
        <w:rPr>
          <w:rFonts w:hint="eastAsia" w:ascii="Times New Roman" w:hAnsi="Times New Roman" w:eastAsia="方正小标宋简体" w:cs="方正小标宋简体"/>
          <w:b w:val="0"/>
          <w:color w:val="auto"/>
          <w:sz w:val="44"/>
          <w:szCs w:val="44"/>
          <w:highlight w:val="none"/>
        </w:rPr>
        <w:t xml:space="preserve"> </w:t>
      </w:r>
      <w:r>
        <w:rPr>
          <w:rStyle w:val="29"/>
          <w:rFonts w:hint="eastAsia" w:ascii="Times New Roman" w:hAnsi="Times New Roman" w:eastAsia="方正小标宋简体" w:cs="方正小标宋简体"/>
          <w:b w:val="0"/>
          <w:bCs w:val="0"/>
          <w:color w:val="auto"/>
          <w:sz w:val="44"/>
          <w:szCs w:val="44"/>
          <w:highlight w:val="none"/>
        </w:rPr>
        <w:t>部门概况</w:t>
      </w:r>
      <w:bookmarkEnd w:id="11"/>
    </w:p>
    <w:p w14:paraId="36593D6C">
      <w:pPr>
        <w:pStyle w:val="3"/>
        <w:pageBreakBefore w:val="0"/>
        <w:numPr>
          <w:ilvl w:val="0"/>
          <w:numId w:val="0"/>
        </w:numPr>
        <w:kinsoku/>
        <w:wordWrap/>
        <w:overflowPunct/>
        <w:topLinePunct w:val="0"/>
        <w:bidi w:val="0"/>
        <w:spacing w:before="0" w:after="0" w:line="576" w:lineRule="exact"/>
        <w:ind w:left="0" w:leftChars="0" w:firstLine="643" w:firstLineChars="200"/>
        <w:outlineLvl w:val="1"/>
        <w:rPr>
          <w:rFonts w:hint="eastAsia" w:ascii="黑体" w:hAnsi="黑体" w:eastAsia="黑体" w:cs="黑体"/>
          <w:sz w:val="32"/>
          <w:szCs w:val="32"/>
        </w:rPr>
      </w:pPr>
      <w:bookmarkStart w:id="12" w:name="_Toc26269"/>
      <w:bookmarkStart w:id="13" w:name="_Toc4602"/>
      <w:r>
        <w:rPr>
          <w:rFonts w:hint="eastAsia" w:ascii="黑体" w:hAnsi="黑体" w:eastAsia="黑体" w:cs="黑体"/>
          <w:b/>
          <w:bCs/>
          <w:kern w:val="2"/>
          <w:sz w:val="32"/>
          <w:szCs w:val="32"/>
          <w:lang w:val="en-US" w:eastAsia="zh-CN" w:bidi="ar-SA"/>
        </w:rPr>
        <w:t>一、</w:t>
      </w:r>
      <w:r>
        <w:rPr>
          <w:rFonts w:hint="eastAsia" w:ascii="黑体" w:hAnsi="黑体" w:eastAsia="黑体" w:cs="黑体"/>
          <w:b w:val="0"/>
          <w:color w:val="auto"/>
          <w:highlight w:val="none"/>
          <w:lang w:eastAsia="zh-CN"/>
        </w:rPr>
        <w:t>部门职责</w:t>
      </w:r>
      <w:bookmarkEnd w:id="12"/>
      <w:bookmarkEnd w:id="13"/>
    </w:p>
    <w:p w14:paraId="1742F0C9">
      <w:pPr>
        <w:pStyle w:val="3"/>
        <w:pageBreakBefore w:val="0"/>
        <w:numPr>
          <w:ilvl w:val="0"/>
          <w:numId w:val="0"/>
        </w:numPr>
        <w:kinsoku/>
        <w:wordWrap/>
        <w:overflowPunct/>
        <w:topLinePunct w:val="0"/>
        <w:bidi w:val="0"/>
        <w:spacing w:before="0" w:after="0" w:line="576" w:lineRule="exact"/>
        <w:ind w:left="0" w:leftChars="0" w:firstLine="640" w:firstLineChars="200"/>
        <w:outlineLvl w:val="9"/>
        <w:rPr>
          <w:rFonts w:hint="default"/>
          <w:color w:val="000000" w:themeColor="text1"/>
          <w:lang w:val="en-US" w:eastAsia="zh-CN"/>
          <w14:textFill>
            <w14:solidFill>
              <w14:schemeClr w14:val="tx1"/>
            </w14:solidFill>
          </w14:textFill>
        </w:rPr>
      </w:pPr>
      <w:bookmarkStart w:id="14" w:name="_Toc22828"/>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传播国际红十字运动知识和国际人道主义法。宣传、贯彻《中华人民共和国红十字会法》，依照红十字会法和红十字章程组织协调开展我县红十字会工作；开展备灾救灾工作。在自然灾害和突发事件中,开展救护和救助工作;依法接受国内外组织和个人的捐赠,及时向灾区群众和受难者提供人道主义援助,突发事件中对受害者组织实施救助工作。</w:t>
      </w:r>
      <w:bookmarkEnd w:id="14"/>
    </w:p>
    <w:p w14:paraId="0D1380D2">
      <w:pPr>
        <w:pStyle w:val="3"/>
        <w:pageBreakBefore w:val="0"/>
        <w:kinsoku/>
        <w:wordWrap/>
        <w:overflowPunct/>
        <w:topLinePunct w:val="0"/>
        <w:bidi w:val="0"/>
        <w:spacing w:before="0" w:after="0" w:line="576" w:lineRule="exact"/>
        <w:ind w:left="0" w:leftChars="0" w:firstLine="640" w:firstLineChars="200"/>
        <w:outlineLvl w:val="1"/>
        <w:rPr>
          <w:rStyle w:val="30"/>
          <w:rFonts w:ascii="Times New Roman" w:hAnsi="Times New Roman"/>
          <w:b w:val="0"/>
          <w:bCs w:val="0"/>
          <w:color w:val="auto"/>
          <w:highlight w:val="none"/>
        </w:rPr>
      </w:pPr>
      <w:bookmarkStart w:id="15" w:name="_Toc13062"/>
      <w:bookmarkStart w:id="16" w:name="_Toc5016"/>
      <w:bookmarkStart w:id="17" w:name="_Toc15377200"/>
      <w:bookmarkStart w:id="18"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5"/>
      <w:bookmarkEnd w:id="16"/>
      <w:bookmarkEnd w:id="17"/>
      <w:bookmarkEnd w:id="18"/>
    </w:p>
    <w:p w14:paraId="4D72EE84">
      <w:pPr>
        <w:pageBreakBefore w:val="0"/>
        <w:kinsoku/>
        <w:wordWrap/>
        <w:overflowPunct/>
        <w:topLinePunct w:val="0"/>
        <w:bidi w:val="0"/>
        <w:spacing w:line="576" w:lineRule="exact"/>
        <w:ind w:left="0" w:leftChars="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茂县红十字会下属二级单位0个，其中行政单位0个，参照公务员法管理的事业单位1个，其他事业单位0个。</w:t>
      </w:r>
    </w:p>
    <w:p w14:paraId="30D493D9">
      <w:pPr>
        <w:pageBreakBefore w:val="0"/>
        <w:kinsoku/>
        <w:wordWrap/>
        <w:overflowPunct/>
        <w:topLinePunct w:val="0"/>
        <w:bidi w:val="0"/>
        <w:spacing w:line="576" w:lineRule="exact"/>
        <w:ind w:left="0" w:leftChars="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5ED46FB2">
      <w:pPr>
        <w:pageBreakBefore w:val="0"/>
        <w:kinsoku/>
        <w:wordWrap/>
        <w:overflowPunct/>
        <w:topLinePunct w:val="0"/>
        <w:bidi w:val="0"/>
        <w:spacing w:line="576" w:lineRule="exact"/>
        <w:ind w:left="0" w:leftChars="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76493BC8">
      <w:pPr>
        <w:pageBreakBefore w:val="0"/>
        <w:kinsoku/>
        <w:wordWrap/>
        <w:overflowPunct/>
        <w:topLinePunct w:val="0"/>
        <w:bidi w:val="0"/>
        <w:spacing w:line="576" w:lineRule="exact"/>
        <w:ind w:left="0" w:leftChars="0" w:firstLine="640" w:firstLineChars="200"/>
        <w:rPr>
          <w:rFonts w:hint="eastAsia" w:ascii="仿宋_GB2312" w:hAnsi="仿宋_GB2312" w:eastAsia="仿宋_GB2312" w:cs="仿宋_GB2312"/>
          <w:sz w:val="32"/>
          <w:szCs w:val="32"/>
        </w:rPr>
      </w:pPr>
    </w:p>
    <w:p w14:paraId="0F7794A2">
      <w:pPr>
        <w:pageBreakBefore w:val="0"/>
        <w:kinsoku/>
        <w:wordWrap/>
        <w:overflowPunct/>
        <w:topLinePunct w:val="0"/>
        <w:bidi w:val="0"/>
        <w:spacing w:line="576" w:lineRule="exact"/>
        <w:ind w:left="0" w:leftChars="0" w:firstLine="640" w:firstLineChars="200"/>
        <w:rPr>
          <w:rFonts w:hint="eastAsia" w:ascii="仿宋_GB2312" w:hAnsi="仿宋_GB2312" w:eastAsia="仿宋_GB2312" w:cs="仿宋_GB2312"/>
          <w:sz w:val="32"/>
          <w:szCs w:val="32"/>
        </w:rPr>
      </w:pPr>
    </w:p>
    <w:p w14:paraId="70448BB0">
      <w:pPr>
        <w:pageBreakBefore w:val="0"/>
        <w:kinsoku/>
        <w:wordWrap/>
        <w:overflowPunct/>
        <w:topLinePunct w:val="0"/>
        <w:bidi w:val="0"/>
        <w:spacing w:line="576" w:lineRule="exact"/>
        <w:ind w:left="0" w:leftChars="0" w:firstLine="640" w:firstLineChars="200"/>
        <w:rPr>
          <w:rFonts w:hint="eastAsia" w:ascii="仿宋_GB2312" w:hAnsi="仿宋_GB2312" w:eastAsia="仿宋_GB2312" w:cs="仿宋_GB2312"/>
          <w:sz w:val="32"/>
          <w:szCs w:val="32"/>
        </w:rPr>
      </w:pPr>
    </w:p>
    <w:p w14:paraId="4F1C9E7B">
      <w:pPr>
        <w:pageBreakBefore w:val="0"/>
        <w:kinsoku/>
        <w:wordWrap/>
        <w:overflowPunct/>
        <w:topLinePunct w:val="0"/>
        <w:bidi w:val="0"/>
        <w:spacing w:line="576" w:lineRule="exact"/>
        <w:ind w:left="0" w:leftChars="0" w:firstLine="640" w:firstLineChars="200"/>
        <w:rPr>
          <w:rFonts w:hint="eastAsia" w:ascii="仿宋_GB2312" w:hAnsi="仿宋_GB2312" w:eastAsia="仿宋_GB2312" w:cs="仿宋_GB2312"/>
          <w:sz w:val="32"/>
          <w:szCs w:val="32"/>
        </w:rPr>
      </w:pPr>
    </w:p>
    <w:p w14:paraId="235F3C36">
      <w:pPr>
        <w:pageBreakBefore w:val="0"/>
        <w:kinsoku/>
        <w:wordWrap/>
        <w:overflowPunct/>
        <w:topLinePunct w:val="0"/>
        <w:bidi w:val="0"/>
        <w:spacing w:line="576" w:lineRule="exact"/>
        <w:ind w:left="0" w:leftChars="0" w:firstLine="640" w:firstLineChars="200"/>
        <w:rPr>
          <w:rFonts w:hint="eastAsia" w:ascii="仿宋_GB2312" w:hAnsi="仿宋_GB2312" w:eastAsia="仿宋_GB2312" w:cs="仿宋_GB2312"/>
          <w:sz w:val="32"/>
          <w:szCs w:val="32"/>
        </w:rPr>
      </w:pPr>
    </w:p>
    <w:p w14:paraId="55274525">
      <w:pPr>
        <w:pageBreakBefore w:val="0"/>
        <w:kinsoku/>
        <w:wordWrap/>
        <w:overflowPunct/>
        <w:topLinePunct w:val="0"/>
        <w:bidi w:val="0"/>
        <w:spacing w:line="576" w:lineRule="exact"/>
        <w:ind w:left="0" w:leftChars="0" w:firstLine="640" w:firstLineChars="200"/>
        <w:rPr>
          <w:rFonts w:hint="eastAsia" w:ascii="仿宋_GB2312" w:hAnsi="仿宋_GB2312" w:eastAsia="仿宋_GB2312" w:cs="仿宋_GB2312"/>
          <w:sz w:val="32"/>
          <w:szCs w:val="32"/>
        </w:rPr>
      </w:pPr>
    </w:p>
    <w:p w14:paraId="43A116EE">
      <w:pPr>
        <w:pageBreakBefore w:val="0"/>
        <w:kinsoku/>
        <w:wordWrap/>
        <w:overflowPunct/>
        <w:topLinePunct w:val="0"/>
        <w:bidi w:val="0"/>
        <w:spacing w:line="576" w:lineRule="exact"/>
        <w:ind w:left="0" w:leftChars="0" w:firstLine="640" w:firstLineChars="200"/>
        <w:rPr>
          <w:rFonts w:hint="eastAsia" w:ascii="仿宋_GB2312" w:hAnsi="仿宋_GB2312" w:eastAsia="仿宋_GB2312" w:cs="仿宋_GB2312"/>
          <w:sz w:val="32"/>
          <w:szCs w:val="32"/>
        </w:rPr>
      </w:pPr>
    </w:p>
    <w:p w14:paraId="68C591BA">
      <w:pPr>
        <w:pageBreakBefore w:val="0"/>
        <w:kinsoku/>
        <w:wordWrap/>
        <w:overflowPunct/>
        <w:topLinePunct w:val="0"/>
        <w:bidi w:val="0"/>
        <w:spacing w:line="576" w:lineRule="exact"/>
        <w:ind w:left="0" w:leftChars="0" w:firstLine="640" w:firstLineChars="200"/>
        <w:rPr>
          <w:rFonts w:hint="eastAsia" w:ascii="仿宋_GB2312" w:hAnsi="仿宋_GB2312" w:eastAsia="仿宋_GB2312" w:cs="仿宋_GB2312"/>
          <w:sz w:val="32"/>
          <w:szCs w:val="32"/>
        </w:rPr>
      </w:pPr>
    </w:p>
    <w:p w14:paraId="690DF178">
      <w:pPr>
        <w:pageBreakBefore w:val="0"/>
        <w:kinsoku/>
        <w:wordWrap/>
        <w:overflowPunct/>
        <w:topLinePunct w:val="0"/>
        <w:bidi w:val="0"/>
        <w:spacing w:line="576" w:lineRule="exact"/>
        <w:ind w:left="0" w:leftChars="0" w:firstLine="640" w:firstLineChars="200"/>
        <w:rPr>
          <w:rFonts w:hint="eastAsia" w:ascii="仿宋_GB2312" w:hAnsi="仿宋_GB2312" w:eastAsia="仿宋_GB2312" w:cs="仿宋_GB2312"/>
          <w:sz w:val="32"/>
          <w:szCs w:val="32"/>
        </w:rPr>
      </w:pPr>
    </w:p>
    <w:p w14:paraId="337C9E11">
      <w:pPr>
        <w:pageBreakBefore w:val="0"/>
        <w:kinsoku/>
        <w:wordWrap/>
        <w:overflowPunct/>
        <w:topLinePunct w:val="0"/>
        <w:bidi w:val="0"/>
        <w:spacing w:line="576" w:lineRule="exact"/>
        <w:ind w:left="0" w:leftChars="0" w:firstLine="640" w:firstLineChars="200"/>
        <w:rPr>
          <w:rFonts w:hint="eastAsia" w:ascii="仿宋_GB2312" w:hAnsi="仿宋_GB2312" w:eastAsia="仿宋_GB2312" w:cs="仿宋_GB2312"/>
          <w:sz w:val="32"/>
          <w:szCs w:val="32"/>
        </w:rPr>
      </w:pPr>
    </w:p>
    <w:p w14:paraId="6D9FBA48">
      <w:pPr>
        <w:pageBreakBefore w:val="0"/>
        <w:kinsoku/>
        <w:wordWrap/>
        <w:overflowPunct/>
        <w:topLinePunct w:val="0"/>
        <w:bidi w:val="0"/>
        <w:spacing w:line="576" w:lineRule="exact"/>
        <w:rPr>
          <w:rFonts w:hint="eastAsia" w:ascii="仿宋_GB2312" w:hAnsi="仿宋_GB2312" w:eastAsia="仿宋_GB2312" w:cs="仿宋_GB2312"/>
          <w:sz w:val="32"/>
          <w:szCs w:val="32"/>
        </w:rPr>
      </w:pPr>
    </w:p>
    <w:p w14:paraId="1151E768">
      <w:pPr>
        <w:pageBreakBefore w:val="0"/>
        <w:widowControl/>
        <w:kinsoku/>
        <w:wordWrap/>
        <w:overflowPunct/>
        <w:topLinePunct w:val="0"/>
        <w:bidi w:val="0"/>
        <w:spacing w:line="576" w:lineRule="exact"/>
        <w:ind w:left="0" w:leftChars="0"/>
        <w:jc w:val="center"/>
        <w:rPr>
          <w:rFonts w:ascii="Times New Roman" w:hAnsi="Times New Roman"/>
          <w:color w:val="auto"/>
          <w:sz w:val="44"/>
          <w:szCs w:val="44"/>
          <w:highlight w:val="none"/>
        </w:rPr>
      </w:pPr>
      <w:bookmarkStart w:id="19" w:name="_Toc15396602"/>
      <w:bookmarkStart w:id="20" w:name="_Toc15377204"/>
      <w:bookmarkStart w:id="21" w:name="_Toc31676"/>
      <w:r>
        <w:rPr>
          <w:rFonts w:hint="eastAsia" w:ascii="方正小标宋简体" w:hAnsi="方正小标宋简体" w:eastAsia="方正小标宋简体" w:cs="方正小标宋简体"/>
          <w:b w:val="0"/>
          <w:color w:val="auto"/>
          <w:sz w:val="44"/>
          <w:szCs w:val="44"/>
          <w:highlight w:val="none"/>
        </w:rPr>
        <w:t>第二部分</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rPr>
        <w:t xml:space="preserve"> </w:t>
      </w:r>
      <w:r>
        <w:rPr>
          <w:rFonts w:hint="eastAsia" w:ascii="方正小标宋简体" w:hAnsi="方正小标宋简体" w:eastAsia="方正小标宋简体" w:cs="方正小标宋简体"/>
          <w:b w:val="0"/>
          <w:color w:val="auto"/>
          <w:sz w:val="44"/>
          <w:szCs w:val="44"/>
          <w:highlight w:val="none"/>
          <w:lang w:val="en-US" w:eastAsia="zh-CN"/>
        </w:rPr>
        <w:t>2024年度</w:t>
      </w:r>
      <w:r>
        <w:rPr>
          <w:rFonts w:hint="eastAsia" w:ascii="方正小标宋简体" w:hAnsi="方正小标宋简体" w:eastAsia="方正小标宋简体" w:cs="方正小标宋简体"/>
          <w:b w:val="0"/>
          <w:color w:val="auto"/>
          <w:sz w:val="44"/>
          <w:szCs w:val="44"/>
          <w:highlight w:val="none"/>
        </w:rPr>
        <w:t>部门决算情况说明</w:t>
      </w:r>
      <w:bookmarkEnd w:id="19"/>
      <w:bookmarkEnd w:id="20"/>
      <w:bookmarkEnd w:id="21"/>
    </w:p>
    <w:p w14:paraId="65A01BC4">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Style w:val="30"/>
          <w:rFonts w:hint="eastAsia" w:ascii="Times New Roman" w:hAnsi="Times New Roman" w:eastAsia="黑体"/>
          <w:b w:val="0"/>
          <w:color w:val="auto"/>
          <w:highlight w:val="none"/>
        </w:rPr>
      </w:pPr>
      <w:bookmarkStart w:id="22" w:name="_Toc15396603"/>
      <w:bookmarkStart w:id="23" w:name="_Toc15377205"/>
      <w:bookmarkStart w:id="24" w:name="_Toc21510"/>
      <w:bookmarkStart w:id="25" w:name="_Toc17532"/>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2"/>
      <w:bookmarkEnd w:id="23"/>
      <w:bookmarkEnd w:id="24"/>
      <w:bookmarkEnd w:id="25"/>
    </w:p>
    <w:p w14:paraId="111B1D85">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26" w:name="_Toc21561"/>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2024年度收入、支出总计均为123.14万元。与2023年度相比，收入、支出总计各增加1.93万元，增长1.60%。主要变动原因是：人员工资保险的变动。</w:t>
      </w:r>
      <w:bookmarkEnd w:id="26"/>
    </w:p>
    <w:p w14:paraId="3AFC1D29">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13EDE97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2BD4E01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color w:val="auto"/>
          <w:sz w:val="32"/>
          <w:szCs w:val="32"/>
          <w:highlight w:val="none"/>
        </w:rPr>
      </w:pPr>
      <w:r>
        <w:rPr>
          <w:rFonts w:hint="eastAsia" w:ascii="仿宋" w:hAnsi="Times New Roman" w:eastAsia="仿宋"/>
          <w:color w:val="FF0000"/>
          <w:sz w:val="32"/>
          <w:szCs w:val="32"/>
        </w:rPr>
        <w:pict>
          <v:shape id="Object 5" o:spid="_x0000_s1026" o:spt="75" type="#_x0000_t75" style="position:absolute;left:0pt;margin-left:25.55pt;margin-top:-2.2pt;height:249.75pt;width:367.45pt;z-index:-251657216;mso-width-relative:page;mso-height-relative:page;" o:ole="t" filled="f" o:preferrelative="t" stroked="f" coordsize="21600,21600">
            <v:path/>
            <v:fill on="f" focussize="0,0"/>
            <v:stroke on="f"/>
            <v:imagedata r:id="rId10" o:title=""/>
            <o:lock v:ext="edit" aspectratio="t"/>
          </v:shape>
          <o:OLEObject Type="Embed" ProgID="Excel.Chart.8" ShapeID="Object 5" DrawAspect="Content" ObjectID="_1468075725" r:id="rId9">
            <o:LockedField>false</o:LockedField>
          </o:OLEObject>
        </w:pict>
      </w:r>
    </w:p>
    <w:p w14:paraId="32DC7AED">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color w:val="auto"/>
          <w:sz w:val="32"/>
          <w:szCs w:val="32"/>
          <w:highlight w:val="none"/>
        </w:rPr>
      </w:pPr>
    </w:p>
    <w:p w14:paraId="2647361F">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color w:val="auto"/>
          <w:sz w:val="32"/>
          <w:szCs w:val="32"/>
          <w:highlight w:val="none"/>
        </w:rPr>
      </w:pPr>
    </w:p>
    <w:p w14:paraId="4632557F">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color w:val="auto"/>
          <w:sz w:val="32"/>
          <w:szCs w:val="32"/>
          <w:highlight w:val="none"/>
        </w:rPr>
      </w:pPr>
    </w:p>
    <w:p w14:paraId="2E67855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color w:val="auto"/>
          <w:sz w:val="32"/>
          <w:szCs w:val="32"/>
          <w:highlight w:val="none"/>
        </w:rPr>
      </w:pPr>
    </w:p>
    <w:p w14:paraId="0F39293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color w:val="auto"/>
          <w:sz w:val="32"/>
          <w:szCs w:val="32"/>
          <w:highlight w:val="none"/>
        </w:rPr>
      </w:pPr>
    </w:p>
    <w:p w14:paraId="5AE64637">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olor w:val="auto"/>
          <w:sz w:val="32"/>
          <w:szCs w:val="32"/>
          <w:highlight w:val="none"/>
          <w:lang w:eastAsia="zh-CN"/>
        </w:rPr>
      </w:pPr>
      <w:bookmarkStart w:id="27" w:name="_Toc18141"/>
      <w:bookmarkStart w:id="28" w:name="_Toc15377206"/>
      <w:bookmarkStart w:id="29" w:name="_Toc15396604"/>
    </w:p>
    <w:p w14:paraId="5B1BE434">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olor w:val="auto"/>
          <w:sz w:val="32"/>
          <w:szCs w:val="32"/>
          <w:highlight w:val="none"/>
          <w:lang w:eastAsia="zh-CN"/>
        </w:rPr>
      </w:pPr>
    </w:p>
    <w:p w14:paraId="311EDCCA">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olor w:val="auto"/>
          <w:sz w:val="32"/>
          <w:szCs w:val="32"/>
          <w:highlight w:val="none"/>
          <w:lang w:eastAsia="zh-CN"/>
        </w:rPr>
      </w:pPr>
    </w:p>
    <w:p w14:paraId="5C033BEB">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olor w:val="auto"/>
          <w:sz w:val="32"/>
          <w:szCs w:val="32"/>
          <w:highlight w:val="none"/>
          <w:lang w:eastAsia="zh-CN"/>
        </w:rPr>
      </w:pPr>
      <w:bookmarkStart w:id="30" w:name="_Toc14076"/>
      <w:r>
        <w:rPr>
          <w:rFonts w:hint="eastAsia" w:ascii="Times New Roman" w:hAnsi="Times New Roman" w:eastAsia="黑体"/>
          <w:color w:val="auto"/>
          <w:sz w:val="32"/>
          <w:szCs w:val="32"/>
          <w:highlight w:val="none"/>
          <w:lang w:eastAsia="zh-CN"/>
        </w:rPr>
        <w:t>二、收入决算情况说明</w:t>
      </w:r>
      <w:bookmarkEnd w:id="27"/>
      <w:bookmarkEnd w:id="28"/>
      <w:bookmarkEnd w:id="29"/>
      <w:bookmarkEnd w:id="30"/>
    </w:p>
    <w:p w14:paraId="542DE84B">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31" w:name="_Toc10728"/>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2024年度本年收入合计123.14万元，其中：一般公共预算财政拨款收入123.14万元，占100%。</w:t>
      </w:r>
      <w:bookmarkEnd w:id="31"/>
    </w:p>
    <w:p w14:paraId="21E67DEA">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06D94AC6">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317D1877">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5005F6D6">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45D16F98">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6B8029DB">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r>
        <w:rPr>
          <w:rFonts w:ascii="仿宋" w:hAnsi="Times New Roman" w:eastAsia="仿宋"/>
          <w:color w:val="000000"/>
          <w:kern w:val="2"/>
          <w:sz w:val="32"/>
          <w:szCs w:val="32"/>
        </w:rPr>
        <w:pict>
          <v:shape id="Object 8" o:spid="_x0000_s1027" o:spt="75" type="#_x0000_t75" style="position:absolute;left:0pt;margin-left:27.3pt;margin-top:7.35pt;height:282.35pt;width:344.6pt;z-index:-251656192;mso-width-relative:page;mso-height-relative:page;" o:ole="t" filled="f" o:preferrelative="t" stroked="f" coordsize="21600,21600">
            <v:path/>
            <v:fill on="f" focussize="0,0"/>
            <v:stroke on="f"/>
            <v:imagedata r:id="rId12" o:title=""/>
            <o:lock v:ext="edit" aspectratio="t"/>
          </v:shape>
          <o:OLEObject Type="Embed" ProgID="Excel.Chart.8" ShapeID="Object 8" DrawAspect="Content" ObjectID="_1468075726" r:id="rId11">
            <o:LockedField>false</o:LockedField>
          </o:OLEObject>
        </w:pict>
      </w:r>
    </w:p>
    <w:p w14:paraId="5F147879">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73F33049">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1C9D6C21">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1F789A2E">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25447952">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1D9C2B7D">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130A59A9">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166C108D">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743D0D1A">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olor w:val="auto"/>
          <w:sz w:val="32"/>
          <w:szCs w:val="32"/>
          <w:highlight w:val="none"/>
          <w:lang w:eastAsia="zh-CN"/>
        </w:rPr>
      </w:pPr>
      <w:bookmarkStart w:id="32" w:name="_Toc15377207"/>
      <w:bookmarkStart w:id="33" w:name="_Toc15396605"/>
      <w:bookmarkStart w:id="34" w:name="_Toc20946"/>
    </w:p>
    <w:p w14:paraId="33DEE775">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Style w:val="30"/>
          <w:rFonts w:hint="eastAsia" w:ascii="Times New Roman" w:hAnsi="Times New Roman" w:eastAsia="黑体"/>
          <w:b w:val="0"/>
          <w:color w:val="auto"/>
          <w:highlight w:val="none"/>
        </w:rPr>
      </w:pPr>
      <w:bookmarkStart w:id="35" w:name="_Toc7361"/>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32"/>
      <w:bookmarkEnd w:id="33"/>
      <w:bookmarkEnd w:id="34"/>
      <w:bookmarkEnd w:id="35"/>
    </w:p>
    <w:p w14:paraId="39EFA13B">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36" w:name="_Toc8489"/>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2024年度本年支出合计123.14万元，其中：基本支出123.14万元，占100%。</w:t>
      </w:r>
      <w:bookmarkEnd w:id="36"/>
    </w:p>
    <w:p w14:paraId="20046DE4">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3C6618BF">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r>
        <w:rPr>
          <w:rFonts w:ascii="仿宋" w:hAnsi="Times New Roman" w:eastAsia="仿宋"/>
          <w:color w:val="000000"/>
          <w:kern w:val="2"/>
          <w:sz w:val="32"/>
          <w:szCs w:val="32"/>
        </w:rPr>
        <w:pict>
          <v:shape id="Object 9" o:spid="_x0000_s1028" o:spt="75" type="#_x0000_t75" style="position:absolute;left:0pt;margin-left:45.5pt;margin-top:1.65pt;height:240.85pt;width:323.3pt;z-index:-251655168;mso-width-relative:page;mso-height-relative:page;" o:ole="t" filled="f" o:preferrelative="t" stroked="f" coordsize="21600,21600">
            <v:path/>
            <v:fill on="f" focussize="0,0"/>
            <v:stroke on="f"/>
            <v:imagedata r:id="rId14" o:title=""/>
            <o:lock v:ext="edit" aspectratio="t"/>
          </v:shape>
          <o:OLEObject Type="Embed" ProgID="Excel.Chart.8" ShapeID="Object 9" DrawAspect="Content" ObjectID="_1468075727" r:id="rId13">
            <o:LockedField>false</o:LockedField>
          </o:OLEObject>
        </w:pict>
      </w:r>
    </w:p>
    <w:p w14:paraId="217E4863">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6AA5FCB2">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514B9D5A">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71AB7B5C">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14:paraId="642DF28E">
      <w:pPr>
        <w:pageBreakBefore w:val="0"/>
        <w:kinsoku/>
        <w:wordWrap/>
        <w:overflowPunct/>
        <w:topLinePunct w:val="0"/>
        <w:bidi w:val="0"/>
        <w:spacing w:line="576" w:lineRule="exact"/>
        <w:outlineLvl w:val="1"/>
        <w:rPr>
          <w:rFonts w:hint="eastAsia" w:ascii="Times New Roman" w:hAnsi="Times New Roman" w:eastAsia="黑体"/>
          <w:color w:val="auto"/>
          <w:sz w:val="32"/>
          <w:szCs w:val="32"/>
          <w:highlight w:val="none"/>
        </w:rPr>
      </w:pPr>
      <w:bookmarkStart w:id="37" w:name="_Toc15377208"/>
      <w:bookmarkStart w:id="38" w:name="_Toc28499"/>
      <w:bookmarkStart w:id="39" w:name="_Toc15396606"/>
    </w:p>
    <w:p w14:paraId="399D7ACE">
      <w:pPr>
        <w:pageBreakBefore w:val="0"/>
        <w:kinsoku/>
        <w:wordWrap/>
        <w:overflowPunct/>
        <w:topLinePunct w:val="0"/>
        <w:bidi w:val="0"/>
        <w:spacing w:line="576" w:lineRule="exact"/>
        <w:ind w:left="0" w:leftChars="0" w:firstLine="640" w:firstLineChars="200"/>
        <w:outlineLvl w:val="1"/>
        <w:rPr>
          <w:rFonts w:hint="eastAsia" w:ascii="Times New Roman" w:hAnsi="Times New Roman" w:eastAsia="黑体"/>
          <w:color w:val="auto"/>
          <w:sz w:val="32"/>
          <w:szCs w:val="32"/>
          <w:highlight w:val="none"/>
        </w:rPr>
      </w:pPr>
    </w:p>
    <w:p w14:paraId="37520CD1">
      <w:pPr>
        <w:pageBreakBefore w:val="0"/>
        <w:kinsoku/>
        <w:wordWrap/>
        <w:overflowPunct/>
        <w:topLinePunct w:val="0"/>
        <w:bidi w:val="0"/>
        <w:spacing w:line="576" w:lineRule="exact"/>
        <w:ind w:left="0" w:leftChars="0" w:firstLine="640" w:firstLineChars="200"/>
        <w:outlineLvl w:val="1"/>
        <w:rPr>
          <w:rFonts w:hint="eastAsia" w:ascii="Times New Roman" w:hAnsi="Times New Roman" w:eastAsia="黑体"/>
          <w:color w:val="auto"/>
          <w:sz w:val="32"/>
          <w:szCs w:val="32"/>
          <w:highlight w:val="none"/>
        </w:rPr>
      </w:pPr>
    </w:p>
    <w:p w14:paraId="6D1E3B7A">
      <w:pPr>
        <w:pageBreakBefore w:val="0"/>
        <w:kinsoku/>
        <w:wordWrap/>
        <w:overflowPunct/>
        <w:topLinePunct w:val="0"/>
        <w:bidi w:val="0"/>
        <w:spacing w:line="576" w:lineRule="exact"/>
        <w:ind w:left="0" w:leftChars="0" w:firstLine="640" w:firstLineChars="200"/>
        <w:outlineLvl w:val="1"/>
        <w:rPr>
          <w:rFonts w:hint="eastAsia" w:ascii="Times New Roman" w:hAnsi="Times New Roman" w:eastAsia="黑体"/>
          <w:color w:val="auto"/>
          <w:sz w:val="32"/>
          <w:szCs w:val="32"/>
          <w:highlight w:val="none"/>
        </w:rPr>
      </w:pPr>
    </w:p>
    <w:p w14:paraId="06F93590">
      <w:pPr>
        <w:pageBreakBefore w:val="0"/>
        <w:kinsoku/>
        <w:wordWrap/>
        <w:overflowPunct/>
        <w:topLinePunct w:val="0"/>
        <w:bidi w:val="0"/>
        <w:spacing w:line="576" w:lineRule="exact"/>
        <w:ind w:left="0" w:leftChars="0" w:firstLine="640" w:firstLineChars="200"/>
        <w:outlineLvl w:val="1"/>
        <w:rPr>
          <w:rStyle w:val="30"/>
          <w:rFonts w:ascii="Times New Roman" w:hAnsi="Times New Roman" w:eastAsia="黑体"/>
          <w:b w:val="0"/>
          <w:color w:val="auto"/>
          <w:highlight w:val="none"/>
        </w:rPr>
      </w:pPr>
      <w:bookmarkStart w:id="40" w:name="_Toc24021"/>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37"/>
      <w:bookmarkEnd w:id="38"/>
      <w:bookmarkEnd w:id="39"/>
      <w:bookmarkEnd w:id="40"/>
    </w:p>
    <w:p w14:paraId="5E31264C">
      <w:pPr>
        <w:pageBreakBefore w:val="0"/>
        <w:kinsoku/>
        <w:wordWrap/>
        <w:overflowPunct/>
        <w:topLinePunct w:val="0"/>
        <w:bidi w:val="0"/>
        <w:spacing w:line="576" w:lineRule="exact"/>
        <w:ind w:left="0" w:leftChars="0" w:firstLine="640"/>
        <w:rPr>
          <w:rFonts w:hint="eastAsia" w:ascii="Times New Roman" w:hAnsi="Times New Roman" w:eastAsia="仿宋"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2024年度财政拨款收入、支出总计均为123.14万元。与2023年度相比，财政拨款收入总计、支出总计各增加1.93万元，增长1.:0%。主要变动原因是：人员工资保险的变动</w:t>
      </w:r>
      <w:r>
        <w:rPr>
          <w:rFonts w:hint="eastAsia" w:ascii="仿宋" w:hAnsi="仿宋" w:eastAsia="仿宋"/>
          <w:color w:val="000000"/>
          <w:sz w:val="32"/>
          <w:szCs w:val="32"/>
          <w:lang w:eastAsia="zh-CN"/>
        </w:rPr>
        <w:t>。</w:t>
      </w:r>
    </w:p>
    <w:p w14:paraId="28601DCA">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2B292EAB">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ascii="仿宋" w:hAnsi="Times New Roman" w:eastAsia="仿宋"/>
          <w:color w:val="000000"/>
          <w:sz w:val="32"/>
          <w:szCs w:val="32"/>
        </w:rPr>
        <w:pict>
          <v:shape id="Object 10" o:spid="_x0000_s1029" o:spt="75" type="#_x0000_t75" style="position:absolute;left:0pt;margin-left:34.55pt;margin-top:15.6pt;height:251.15pt;width:370.3pt;z-index:-251654144;mso-width-relative:page;mso-height-relative:page;" o:ole="t" filled="f" o:preferrelative="t" stroked="f" coordsize="21600,21600">
            <v:path/>
            <v:fill on="f" focussize="0,0"/>
            <v:stroke on="f"/>
            <v:imagedata r:id="rId16" o:title=""/>
            <o:lock v:ext="edit" aspectratio="t"/>
          </v:shape>
          <o:OLEObject Type="Embed" ProgID="Excel.Chart.8" ShapeID="Object 10" DrawAspect="Content" ObjectID="_1468075728" r:id="rId15">
            <o:LockedField>false</o:LockedField>
          </o:OLEObject>
        </w:pict>
      </w:r>
    </w:p>
    <w:p w14:paraId="3D32199B">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10637FB9">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38784CFC">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084FC72A">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10B38F0D">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11074427">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4F2B6366">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5BFE6926">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1E00434D">
      <w:pPr>
        <w:pageBreakBefore w:val="0"/>
        <w:kinsoku/>
        <w:wordWrap/>
        <w:overflowPunct/>
        <w:topLinePunct w:val="0"/>
        <w:bidi w:val="0"/>
        <w:spacing w:line="576" w:lineRule="exact"/>
        <w:ind w:left="0" w:leftChars="0" w:firstLine="640" w:firstLineChars="200"/>
        <w:outlineLvl w:val="1"/>
        <w:rPr>
          <w:rFonts w:hint="eastAsia" w:ascii="Times New Roman" w:hAnsi="Times New Roman" w:eastAsia="黑体"/>
          <w:color w:val="auto"/>
          <w:sz w:val="32"/>
          <w:szCs w:val="32"/>
          <w:highlight w:val="none"/>
        </w:rPr>
      </w:pPr>
      <w:bookmarkStart w:id="41" w:name="_Toc23543"/>
      <w:bookmarkStart w:id="42" w:name="_Toc15396607"/>
      <w:bookmarkStart w:id="43" w:name="_Toc15377209"/>
    </w:p>
    <w:p w14:paraId="7D7811EA">
      <w:pPr>
        <w:pageBreakBefore w:val="0"/>
        <w:kinsoku/>
        <w:wordWrap/>
        <w:overflowPunct/>
        <w:topLinePunct w:val="0"/>
        <w:bidi w:val="0"/>
        <w:spacing w:line="576" w:lineRule="exact"/>
        <w:ind w:left="0" w:leftChars="0" w:firstLine="640" w:firstLineChars="200"/>
        <w:outlineLvl w:val="1"/>
        <w:rPr>
          <w:rStyle w:val="30"/>
          <w:rFonts w:ascii="Times New Roman" w:hAnsi="Times New Roman" w:eastAsia="黑体"/>
          <w:b w:val="0"/>
          <w:color w:val="auto"/>
          <w:highlight w:val="none"/>
        </w:rPr>
      </w:pPr>
      <w:bookmarkStart w:id="44" w:name="_Toc1252"/>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41"/>
      <w:bookmarkEnd w:id="42"/>
      <w:bookmarkEnd w:id="43"/>
      <w:bookmarkEnd w:id="44"/>
    </w:p>
    <w:p w14:paraId="198D611D">
      <w:pPr>
        <w:pageBreakBefore w:val="0"/>
        <w:kinsoku/>
        <w:wordWrap/>
        <w:overflowPunct/>
        <w:topLinePunct w:val="0"/>
        <w:bidi w:val="0"/>
        <w:spacing w:line="576" w:lineRule="exact"/>
        <w:ind w:left="0" w:leftChars="0" w:firstLine="643" w:firstLineChars="200"/>
        <w:outlineLvl w:val="2"/>
        <w:rPr>
          <w:rFonts w:hint="eastAsia" w:ascii="Times New Roman" w:hAnsi="Times New Roman" w:eastAsia="楷体_GB2312" w:cs="楷体_GB2312"/>
          <w:b/>
          <w:color w:val="auto"/>
          <w:sz w:val="32"/>
          <w:szCs w:val="32"/>
          <w:highlight w:val="none"/>
        </w:rPr>
      </w:pPr>
      <w:bookmarkStart w:id="45" w:name="_Toc11667"/>
      <w:bookmarkStart w:id="46" w:name="_Toc15377210"/>
      <w:bookmarkStart w:id="47" w:name="_Toc19588"/>
      <w:r>
        <w:rPr>
          <w:rFonts w:hint="eastAsia" w:ascii="Times New Roman" w:hAnsi="Times New Roman" w:eastAsia="楷体_GB2312" w:cs="楷体_GB2312"/>
          <w:b/>
          <w:color w:val="auto"/>
          <w:sz w:val="32"/>
          <w:szCs w:val="32"/>
          <w:highlight w:val="none"/>
        </w:rPr>
        <w:t>（一）一般公共预算财政拨款支出决算总体情况</w:t>
      </w:r>
      <w:bookmarkEnd w:id="45"/>
      <w:bookmarkEnd w:id="46"/>
      <w:bookmarkEnd w:id="47"/>
    </w:p>
    <w:p w14:paraId="5A1C5BD6">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2024年度一般公共预算财政拨款支出123.14万元，占本年支出合计的100%。与2023年度相比，一般公共预算财政拨款支出增加1.93万元，增长1.:0%。主要变动原因是：人员工资保险的变动。</w:t>
      </w:r>
    </w:p>
    <w:p w14:paraId="1AE67E85">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315C508B">
      <w:pPr>
        <w:pageBreakBefore w:val="0"/>
        <w:kinsoku/>
        <w:wordWrap/>
        <w:overflowPunct/>
        <w:topLinePunct w:val="0"/>
        <w:bidi w:val="0"/>
        <w:spacing w:line="576" w:lineRule="exact"/>
        <w:ind w:left="0" w:leftChars="0" w:firstLine="640"/>
        <w:rPr>
          <w:rFonts w:hint="eastAsia" w:ascii="仿宋_GB2312" w:hAnsi="仿宋_GB2312" w:eastAsia="仿宋_GB2312" w:cs="仿宋_GB2312"/>
          <w:color w:val="auto"/>
          <w:kern w:val="2"/>
          <w:sz w:val="32"/>
          <w:szCs w:val="32"/>
          <w:highlight w:val="none"/>
          <w:lang w:val="en-US" w:eastAsia="zh-CN" w:bidi="ar-SA"/>
        </w:rPr>
      </w:pPr>
    </w:p>
    <w:p w14:paraId="602845DC">
      <w:pPr>
        <w:pageBreakBefore w:val="0"/>
        <w:kinsoku/>
        <w:wordWrap/>
        <w:overflowPunct/>
        <w:topLinePunct w:val="0"/>
        <w:bidi w:val="0"/>
        <w:spacing w:line="576" w:lineRule="exact"/>
        <w:ind w:left="0" w:leftChars="0" w:firstLine="640"/>
        <w:rPr>
          <w:rFonts w:hint="eastAsia" w:ascii="仿宋_GB2312" w:hAnsi="仿宋_GB2312" w:eastAsia="仿宋_GB2312" w:cs="仿宋_GB2312"/>
          <w:color w:val="auto"/>
          <w:kern w:val="2"/>
          <w:sz w:val="32"/>
          <w:szCs w:val="32"/>
          <w:highlight w:val="none"/>
          <w:lang w:val="en-US" w:eastAsia="zh-CN" w:bidi="ar-SA"/>
        </w:rPr>
      </w:pPr>
    </w:p>
    <w:p w14:paraId="30023BE7">
      <w:pPr>
        <w:pageBreakBefore w:val="0"/>
        <w:kinsoku/>
        <w:wordWrap/>
        <w:overflowPunct/>
        <w:topLinePunct w:val="0"/>
        <w:bidi w:val="0"/>
        <w:spacing w:line="576" w:lineRule="exact"/>
        <w:rPr>
          <w:rFonts w:hint="eastAsia" w:ascii="仿宋_GB2312" w:hAnsi="仿宋_GB2312" w:eastAsia="仿宋_GB2312" w:cs="仿宋_GB2312"/>
          <w:color w:val="auto"/>
          <w:kern w:val="2"/>
          <w:sz w:val="32"/>
          <w:szCs w:val="32"/>
          <w:highlight w:val="none"/>
          <w:lang w:val="en-US" w:eastAsia="zh-CN" w:bidi="ar-SA"/>
        </w:rPr>
      </w:pPr>
    </w:p>
    <w:p w14:paraId="31F078DC">
      <w:pPr>
        <w:pageBreakBefore w:val="0"/>
        <w:kinsoku/>
        <w:wordWrap/>
        <w:overflowPunct/>
        <w:topLinePunct w:val="0"/>
        <w:bidi w:val="0"/>
        <w:spacing w:line="576" w:lineRule="exact"/>
        <w:ind w:left="0" w:leftChars="0" w:firstLine="640" w:firstLineChars="200"/>
        <w:outlineLvl w:val="9"/>
        <w:rPr>
          <w:rFonts w:hint="eastAsia" w:ascii="Times New Roman" w:hAnsi="Times New Roman" w:eastAsia="楷体_GB2312" w:cs="楷体_GB2312"/>
          <w:b/>
          <w:color w:val="auto"/>
          <w:sz w:val="32"/>
          <w:szCs w:val="32"/>
          <w:highlight w:val="none"/>
        </w:rPr>
      </w:pPr>
      <w:bookmarkStart w:id="48" w:name="_Toc15377211"/>
      <w:r>
        <w:rPr>
          <w:rFonts w:ascii="仿宋" w:hAnsi="Times New Roman" w:eastAsia="仿宋"/>
          <w:color w:val="000000"/>
          <w:sz w:val="32"/>
          <w:szCs w:val="32"/>
        </w:rPr>
        <w:pict>
          <v:shape id="Object 11" o:spid="_x0000_s1030" o:spt="75" type="#_x0000_t75" style="position:absolute;left:0pt;margin-left:38pt;margin-top:12.15pt;height:213.75pt;width:345pt;z-index:-251653120;mso-width-relative:page;mso-height-relative:page;" o:ole="t" filled="f" o:preferrelative="t" stroked="f" coordsize="21600,21600">
            <v:path/>
            <v:fill on="f" focussize="0,0"/>
            <v:stroke on="f"/>
            <v:imagedata r:id="rId18" o:title=""/>
            <o:lock v:ext="edit" aspectratio="t"/>
          </v:shape>
          <o:OLEObject Type="Embed" ProgID="Excel.Chart.8" ShapeID="Object 11" DrawAspect="Content" ObjectID="_1468075729" r:id="rId17">
            <o:LockedField>false</o:LockedField>
          </o:OLEObject>
        </w:pict>
      </w:r>
    </w:p>
    <w:p w14:paraId="7533B657">
      <w:pPr>
        <w:pageBreakBefore w:val="0"/>
        <w:kinsoku/>
        <w:wordWrap/>
        <w:overflowPunct/>
        <w:topLinePunct w:val="0"/>
        <w:bidi w:val="0"/>
        <w:spacing w:line="576" w:lineRule="exact"/>
        <w:ind w:left="0" w:leftChars="0" w:firstLine="643" w:firstLineChars="200"/>
        <w:outlineLvl w:val="9"/>
        <w:rPr>
          <w:rFonts w:hint="eastAsia" w:ascii="Times New Roman" w:hAnsi="Times New Roman" w:eastAsia="楷体_GB2312" w:cs="楷体_GB2312"/>
          <w:b/>
          <w:color w:val="auto"/>
          <w:sz w:val="32"/>
          <w:szCs w:val="32"/>
          <w:highlight w:val="none"/>
        </w:rPr>
      </w:pPr>
    </w:p>
    <w:p w14:paraId="5DD5A4A7">
      <w:pPr>
        <w:pageBreakBefore w:val="0"/>
        <w:kinsoku/>
        <w:wordWrap/>
        <w:overflowPunct/>
        <w:topLinePunct w:val="0"/>
        <w:bidi w:val="0"/>
        <w:spacing w:line="576" w:lineRule="exact"/>
        <w:ind w:left="0" w:leftChars="0" w:firstLine="643" w:firstLineChars="200"/>
        <w:outlineLvl w:val="9"/>
        <w:rPr>
          <w:rFonts w:hint="eastAsia" w:ascii="Times New Roman" w:hAnsi="Times New Roman" w:eastAsia="楷体_GB2312" w:cs="楷体_GB2312"/>
          <w:b/>
          <w:color w:val="auto"/>
          <w:sz w:val="32"/>
          <w:szCs w:val="32"/>
          <w:highlight w:val="none"/>
        </w:rPr>
      </w:pPr>
    </w:p>
    <w:p w14:paraId="06C20A0B">
      <w:pPr>
        <w:pageBreakBefore w:val="0"/>
        <w:kinsoku/>
        <w:wordWrap/>
        <w:overflowPunct/>
        <w:topLinePunct w:val="0"/>
        <w:bidi w:val="0"/>
        <w:spacing w:line="576" w:lineRule="exact"/>
        <w:ind w:left="0" w:leftChars="0" w:firstLine="643" w:firstLineChars="200"/>
        <w:outlineLvl w:val="9"/>
        <w:rPr>
          <w:rFonts w:hint="eastAsia" w:ascii="Times New Roman" w:hAnsi="Times New Roman" w:eastAsia="楷体_GB2312" w:cs="楷体_GB2312"/>
          <w:b/>
          <w:color w:val="auto"/>
          <w:sz w:val="32"/>
          <w:szCs w:val="32"/>
          <w:highlight w:val="none"/>
        </w:rPr>
      </w:pPr>
    </w:p>
    <w:p w14:paraId="61C7B64D">
      <w:pPr>
        <w:pageBreakBefore w:val="0"/>
        <w:kinsoku/>
        <w:wordWrap/>
        <w:overflowPunct/>
        <w:topLinePunct w:val="0"/>
        <w:bidi w:val="0"/>
        <w:spacing w:line="576" w:lineRule="exact"/>
        <w:ind w:left="0" w:leftChars="0" w:firstLine="643" w:firstLineChars="200"/>
        <w:outlineLvl w:val="9"/>
        <w:rPr>
          <w:rFonts w:hint="eastAsia" w:ascii="Times New Roman" w:hAnsi="Times New Roman" w:eastAsia="楷体_GB2312" w:cs="楷体_GB2312"/>
          <w:b/>
          <w:color w:val="auto"/>
          <w:sz w:val="32"/>
          <w:szCs w:val="32"/>
          <w:highlight w:val="none"/>
        </w:rPr>
      </w:pPr>
    </w:p>
    <w:p w14:paraId="1B3A1926">
      <w:pPr>
        <w:pageBreakBefore w:val="0"/>
        <w:kinsoku/>
        <w:wordWrap/>
        <w:overflowPunct/>
        <w:topLinePunct w:val="0"/>
        <w:bidi w:val="0"/>
        <w:spacing w:line="576" w:lineRule="exact"/>
        <w:ind w:left="0" w:leftChars="0" w:firstLine="643" w:firstLineChars="200"/>
        <w:outlineLvl w:val="9"/>
        <w:rPr>
          <w:rFonts w:hint="eastAsia" w:ascii="Times New Roman" w:hAnsi="Times New Roman" w:eastAsia="楷体_GB2312" w:cs="楷体_GB2312"/>
          <w:b/>
          <w:color w:val="auto"/>
          <w:sz w:val="32"/>
          <w:szCs w:val="32"/>
          <w:highlight w:val="none"/>
        </w:rPr>
      </w:pPr>
    </w:p>
    <w:p w14:paraId="58D78718">
      <w:pPr>
        <w:pageBreakBefore w:val="0"/>
        <w:kinsoku/>
        <w:wordWrap/>
        <w:overflowPunct/>
        <w:topLinePunct w:val="0"/>
        <w:bidi w:val="0"/>
        <w:spacing w:line="576" w:lineRule="exact"/>
        <w:ind w:left="0" w:leftChars="0" w:firstLine="643" w:firstLineChars="200"/>
        <w:outlineLvl w:val="9"/>
        <w:rPr>
          <w:rFonts w:hint="eastAsia" w:ascii="Times New Roman" w:hAnsi="Times New Roman" w:eastAsia="楷体_GB2312" w:cs="楷体_GB2312"/>
          <w:b/>
          <w:color w:val="auto"/>
          <w:sz w:val="32"/>
          <w:szCs w:val="32"/>
          <w:highlight w:val="none"/>
        </w:rPr>
      </w:pPr>
    </w:p>
    <w:p w14:paraId="2C9A0AD6">
      <w:pPr>
        <w:pageBreakBefore w:val="0"/>
        <w:kinsoku/>
        <w:wordWrap/>
        <w:overflowPunct/>
        <w:topLinePunct w:val="0"/>
        <w:bidi w:val="0"/>
        <w:spacing w:line="576" w:lineRule="exact"/>
        <w:ind w:left="0" w:leftChars="0" w:firstLine="643" w:firstLineChars="200"/>
        <w:outlineLvl w:val="9"/>
        <w:rPr>
          <w:rFonts w:hint="eastAsia" w:ascii="Times New Roman" w:hAnsi="Times New Roman" w:eastAsia="楷体_GB2312" w:cs="楷体_GB2312"/>
          <w:b/>
          <w:color w:val="auto"/>
          <w:sz w:val="32"/>
          <w:szCs w:val="32"/>
          <w:highlight w:val="none"/>
        </w:rPr>
      </w:pPr>
    </w:p>
    <w:p w14:paraId="116E7097">
      <w:pPr>
        <w:pageBreakBefore w:val="0"/>
        <w:kinsoku/>
        <w:wordWrap/>
        <w:overflowPunct/>
        <w:topLinePunct w:val="0"/>
        <w:bidi w:val="0"/>
        <w:spacing w:line="576" w:lineRule="exact"/>
        <w:ind w:left="0" w:leftChars="0" w:firstLine="643" w:firstLineChars="200"/>
        <w:outlineLvl w:val="2"/>
        <w:rPr>
          <w:rFonts w:hint="eastAsia" w:ascii="Times New Roman" w:hAnsi="Times New Roman" w:eastAsia="楷体_GB2312" w:cs="楷体_GB2312"/>
          <w:b/>
          <w:color w:val="auto"/>
          <w:sz w:val="32"/>
          <w:szCs w:val="32"/>
          <w:highlight w:val="none"/>
        </w:rPr>
      </w:pPr>
      <w:bookmarkStart w:id="49" w:name="_Toc28345"/>
      <w:bookmarkStart w:id="50" w:name="_Toc3113"/>
      <w:r>
        <w:rPr>
          <w:rFonts w:hint="eastAsia" w:ascii="Times New Roman" w:hAnsi="Times New Roman" w:eastAsia="楷体_GB2312" w:cs="楷体_GB2312"/>
          <w:b/>
          <w:color w:val="auto"/>
          <w:sz w:val="32"/>
          <w:szCs w:val="32"/>
          <w:highlight w:val="none"/>
        </w:rPr>
        <w:t>（二）一般公共预算财政拨款支出决算结构情况</w:t>
      </w:r>
      <w:bookmarkEnd w:id="48"/>
      <w:bookmarkEnd w:id="49"/>
      <w:bookmarkEnd w:id="50"/>
    </w:p>
    <w:p w14:paraId="5FB264C6">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2024年度一般公共预算财政拨款支出123.14万元，主要用于以下方面：社会保障和就业支出106.55万元，占86.53%；卫生健康支出7.19万元，占5.84%；住房保障支出9.:0万元，占7.63%。</w:t>
      </w:r>
    </w:p>
    <w:p w14:paraId="4D71FE88">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1C50C6FF">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ascii="仿宋" w:hAnsi="Times New Roman" w:eastAsia="仿宋"/>
          <w:color w:val="000000"/>
          <w:kern w:val="2"/>
          <w:sz w:val="32"/>
          <w:szCs w:val="32"/>
        </w:rPr>
        <w:pict>
          <v:shape id="Object 13" o:spid="_x0000_s1031" o:spt="75" type="#_x0000_t75" style="position:absolute;left:0pt;margin-left:64.9pt;margin-top:9.45pt;height:222.75pt;width:325.55pt;z-index:-251652096;mso-width-relative:page;mso-height-relative:page;" o:ole="t" filled="f" o:preferrelative="t" stroked="f" coordsize="21600,21600">
            <v:path/>
            <v:fill on="f" focussize="0,0"/>
            <v:stroke on="f"/>
            <v:imagedata r:id="rId20" o:title=""/>
            <o:lock v:ext="edit" aspectratio="t"/>
          </v:shape>
          <o:OLEObject Type="Embed" ProgID="Excel.Chart.8" ShapeID="Object 13" DrawAspect="Content" ObjectID="_1468075730" r:id="rId19">
            <o:LockedField>false</o:LockedField>
          </o:OLEObject>
        </w:pict>
      </w:r>
    </w:p>
    <w:p w14:paraId="6A63325F">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7BA610AE">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136D69F1">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7D1EFCAC">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5B14BC59">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17593468">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19544C1F">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75AA6BCA">
      <w:pPr>
        <w:pageBreakBefore w:val="0"/>
        <w:kinsoku/>
        <w:wordWrap/>
        <w:overflowPunct/>
        <w:topLinePunct w:val="0"/>
        <w:bidi w:val="0"/>
        <w:spacing w:line="576" w:lineRule="exact"/>
        <w:ind w:left="0" w:leftChars="0" w:firstLine="643" w:firstLineChars="200"/>
        <w:outlineLvl w:val="2"/>
        <w:rPr>
          <w:rFonts w:hint="eastAsia" w:ascii="Times New Roman" w:hAnsi="Times New Roman" w:eastAsia="楷体_GB2312" w:cs="楷体_GB2312"/>
          <w:b/>
          <w:color w:val="auto"/>
          <w:sz w:val="32"/>
          <w:szCs w:val="32"/>
          <w:highlight w:val="none"/>
        </w:rPr>
      </w:pPr>
      <w:bookmarkStart w:id="51" w:name="_Toc4411"/>
      <w:bookmarkStart w:id="52" w:name="_Toc15377212"/>
      <w:bookmarkStart w:id="53" w:name="_Toc25309"/>
      <w:r>
        <w:rPr>
          <w:rFonts w:hint="eastAsia" w:ascii="Times New Roman" w:hAnsi="Times New Roman" w:eastAsia="楷体_GB2312" w:cs="楷体_GB2312"/>
          <w:b/>
          <w:color w:val="auto"/>
          <w:sz w:val="32"/>
          <w:szCs w:val="32"/>
          <w:highlight w:val="none"/>
        </w:rPr>
        <w:t>（三）一般公共预算财政拨款支出决算具体情况</w:t>
      </w:r>
      <w:bookmarkEnd w:id="51"/>
      <w:bookmarkEnd w:id="52"/>
      <w:bookmarkEnd w:id="53"/>
    </w:p>
    <w:p w14:paraId="30C41056">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54" w:name="_Toc15377213"/>
      <w:bookmarkStart w:id="55" w:name="_Toc15377444"/>
      <w:bookmarkStart w:id="56" w:name="_Toc15378460"/>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2024年度一般公共预算财政拨款支出决算数为123.14万元，完成预算100%。其中：</w:t>
      </w:r>
      <w:bookmarkEnd w:id="54"/>
      <w:bookmarkEnd w:id="55"/>
      <w:bookmarkEnd w:id="56"/>
    </w:p>
    <w:p w14:paraId="22836BD6">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1.社会保障和就业支出（208）行政事业单位离退休（05）机关事业单位养老保险缴费支出（05）:2024年决算数为11.43万元，完成预算100%，决算数与预算数持平。</w:t>
      </w:r>
    </w:p>
    <w:p w14:paraId="61579A73">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2.社会保障和就业支出（208）行政事业单位离退休（05）机关事业单位职业年金缴费支出（06）：2024年决算数为:5.72万元，完成预算100%，决算数与预算数持平。</w:t>
      </w:r>
    </w:p>
    <w:p w14:paraId="7EA2EE95">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3.社会保障和就业支出（208）红十字事业（16）行政运行（01）：2024年决算数为89.40万元，完成预算100%，决算数与预算数持平。</w:t>
      </w:r>
    </w:p>
    <w:p w14:paraId="4D6D0CD9">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4.医疗卫生与计划生育支出（210）行政事业单位医疗（11）行政单位医疗（01）：2024年决算数为7.19万元，完成预算100%，决算数与预算数持平。</w:t>
      </w:r>
    </w:p>
    <w:p w14:paraId="09D9B6FF">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5.住房保障支出（221）住房改革支出（02）住房公积金（01）：2024年决算数为9.40万元，完成预算100%，决算数与预算数持平。</w:t>
      </w:r>
    </w:p>
    <w:p w14:paraId="3E380964">
      <w:pPr>
        <w:pageBreakBefore w:val="0"/>
        <w:tabs>
          <w:tab w:val="right" w:pos="8306"/>
        </w:tabs>
        <w:kinsoku/>
        <w:wordWrap/>
        <w:overflowPunct/>
        <w:topLinePunct w:val="0"/>
        <w:bidi w:val="0"/>
        <w:spacing w:line="576" w:lineRule="exact"/>
        <w:ind w:left="0" w:leftChars="0" w:firstLine="640" w:firstLineChars="0"/>
        <w:outlineLvl w:val="1"/>
        <w:rPr>
          <w:rStyle w:val="30"/>
          <w:rFonts w:ascii="Times New Roman" w:hAnsi="Times New Roman"/>
          <w:color w:val="auto"/>
          <w:highlight w:val="none"/>
        </w:rPr>
      </w:pPr>
      <w:bookmarkStart w:id="57" w:name="_Toc15396608"/>
      <w:bookmarkStart w:id="58" w:name="_Toc15377214"/>
      <w:bookmarkStart w:id="59" w:name="_Toc15272"/>
      <w:bookmarkStart w:id="60" w:name="_Toc21067"/>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57"/>
      <w:bookmarkEnd w:id="58"/>
      <w:bookmarkEnd w:id="59"/>
      <w:bookmarkEnd w:id="60"/>
      <w:r>
        <w:rPr>
          <w:rStyle w:val="30"/>
          <w:rFonts w:ascii="Times New Roman" w:hAnsi="Times New Roman" w:eastAsia="黑体"/>
          <w:b w:val="0"/>
          <w:color w:val="auto"/>
          <w:highlight w:val="none"/>
        </w:rPr>
        <w:tab/>
      </w:r>
    </w:p>
    <w:p w14:paraId="00002E6B">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2024年度一般公共预算财政拨款基本支出123.14万元，其中：</w:t>
      </w:r>
    </w:p>
    <w:p w14:paraId="5BDA87A9">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人员经费118.19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公用经费4.95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B559D50">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61" w:name="_Toc20148"/>
      <w:bookmarkStart w:id="62" w:name="_Toc15377215"/>
      <w:bookmarkStart w:id="63" w:name="_Toc15396609"/>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七、财政拨款“三公”经费支出决算情况说明</w:t>
      </w:r>
      <w:bookmarkEnd w:id="61"/>
      <w:bookmarkEnd w:id="62"/>
      <w:bookmarkEnd w:id="63"/>
    </w:p>
    <w:p w14:paraId="32177F1B">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64" w:name="_Toc17926"/>
      <w:bookmarkStart w:id="65" w:name="_Toc15377216"/>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（一）“三公”经费财政拨款支出决算总体情况说明</w:t>
      </w:r>
      <w:bookmarkEnd w:id="64"/>
      <w:bookmarkEnd w:id="65"/>
    </w:p>
    <w:p w14:paraId="16EF54CA">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2024年度“三公”经费财政拨款支出决算为0.24万元，完成预算6%，较上年度减少1.57万元，下降86.70%。决算数小于预算数的主要原因是：厉行节约。</w:t>
      </w:r>
    </w:p>
    <w:p w14:paraId="00187B21">
      <w:pPr>
        <w:pageBreakBefore w:val="0"/>
        <w:kinsoku/>
        <w:wordWrap/>
        <w:overflowPunct/>
        <w:topLinePunct w:val="0"/>
        <w:bidi w:val="0"/>
        <w:spacing w:line="576" w:lineRule="exact"/>
        <w:ind w:left="0" w:leftChars="0" w:firstLine="643" w:firstLineChars="200"/>
        <w:outlineLvl w:val="2"/>
        <w:rPr>
          <w:rFonts w:hint="eastAsia" w:ascii="Times New Roman" w:hAnsi="Times New Roman" w:eastAsia="楷体_GB2312" w:cs="楷体_GB2312"/>
          <w:b/>
          <w:color w:val="auto"/>
          <w:sz w:val="32"/>
          <w:szCs w:val="32"/>
          <w:highlight w:val="none"/>
        </w:rPr>
      </w:pPr>
      <w:bookmarkStart w:id="66" w:name="_Toc15377217"/>
      <w:bookmarkStart w:id="67" w:name="_Toc22622"/>
      <w:bookmarkStart w:id="68" w:name="_Toc19477"/>
      <w:r>
        <w:rPr>
          <w:rFonts w:hint="eastAsia" w:ascii="Times New Roman" w:hAnsi="Times New Roman" w:eastAsia="楷体_GB2312" w:cs="楷体_GB2312"/>
          <w:b/>
          <w:color w:val="auto"/>
          <w:sz w:val="32"/>
          <w:szCs w:val="32"/>
          <w:highlight w:val="none"/>
        </w:rPr>
        <w:t>（二）“三公”经费财政拨款支出决算具体情况说明</w:t>
      </w:r>
      <w:bookmarkEnd w:id="66"/>
      <w:bookmarkEnd w:id="67"/>
      <w:bookmarkEnd w:id="68"/>
    </w:p>
    <w:p w14:paraId="33F722D1">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2024年度“三公”经费财政拨款支出决算中，公务用车购置及运行维护费支出决算0.24万元，占100%。具体情况如下：</w:t>
      </w:r>
    </w:p>
    <w:p w14:paraId="47116B51">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Times New Roman" w:eastAsia="仿宋"/>
          <w:color w:val="000000"/>
          <w:sz w:val="32"/>
          <w:szCs w:val="32"/>
        </w:rPr>
        <w:pict>
          <v:shape id="Object 14" o:spid="_x0000_s1033" o:spt="75" type="#_x0000_t75" style="position:absolute;left:0pt;margin-left:38.35pt;margin-top:0.7pt;height:222.75pt;width:366.75pt;z-index:-251651072;mso-width-relative:page;mso-height-relative:page;" o:ole="t" filled="f" o:preferrelative="t" stroked="f" coordsize="21600,21600">
            <v:path/>
            <v:fill on="f" focussize="0,0"/>
            <v:stroke on="f"/>
            <v:imagedata r:id="rId22" o:title=""/>
            <o:lock v:ext="edit" aspectratio="t"/>
          </v:shape>
          <o:OLEObject Type="Embed" ProgID="Excel.Chart.8" ShapeID="Object 14" DrawAspect="Content" ObjectID="_1468075731" r:id="rId21">
            <o:LockedField>false</o:LockedField>
          </o:OLEObject>
        </w:pict>
      </w:r>
    </w:p>
    <w:p w14:paraId="50F52081">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65BB6926">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27A1109E">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6B53B447">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17A4176B">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5EFC672E">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14:paraId="280EF860">
      <w:pPr>
        <w:pageBreakBefore w:val="0"/>
        <w:numPr>
          <w:ilvl w:val="0"/>
          <w:numId w:val="0"/>
        </w:numPr>
        <w:kinsoku/>
        <w:wordWrap/>
        <w:overflowPunct/>
        <w:topLinePunct w:val="0"/>
        <w:bidi w:val="0"/>
        <w:snapToGrid/>
        <w:spacing w:line="576" w:lineRule="exact"/>
        <w:ind w:left="0" w:leftChars="0" w:firstLine="643"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p>
    <w:p w14:paraId="71991D31">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auto"/>
          <w:kern w:val="2"/>
          <w:sz w:val="32"/>
          <w:szCs w:val="32"/>
          <w:highlight w:val="none"/>
          <w:lang w:val="en-US" w:eastAsia="zh-CN" w:bidi="ar-SA"/>
        </w:rPr>
        <w:t>1.因公出国（境）经费支出：</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全年不涉及安排因公出国（境）团组，出国。较上年无变化。</w:t>
      </w:r>
    </w:p>
    <w:p w14:paraId="5416D98F">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0.24万元，完成预算6.00%。公务用车购置及运行维护费支出决算比2023年度减少1.57万元，下降86.70%。主要原因是：厉行节约。</w:t>
      </w:r>
    </w:p>
    <w:p w14:paraId="120148DE">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截至2024年12月31日，单位共有公务用车1辆，其中：轿车0辆、越野车1辆、载客汽车0辆。</w:t>
      </w:r>
    </w:p>
    <w:p w14:paraId="638B05CE">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公务用车运行维护费支出0.24万元。较上年度减少</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1.57</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万元，下降86.70%。主要用于出差、下乡等所需的公务用车燃料费、维修费、过路过桥费、保险费等支出。</w:t>
      </w:r>
    </w:p>
    <w:p w14:paraId="7EE7B107">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bookmarkStart w:id="69" w:name="_Toc15396610"/>
      <w:bookmarkStart w:id="70" w:name="_Toc15377218"/>
      <w:r>
        <w:rPr>
          <w:rFonts w:hint="eastAsia"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本年度不涉及公务接待费支出，决算较2023年度无变动。主要原因是：厉行节约。</w:t>
      </w:r>
    </w:p>
    <w:p w14:paraId="0A7E9D19">
      <w:pPr>
        <w:pageBreakBefore w:val="0"/>
        <w:kinsoku/>
        <w:wordWrap/>
        <w:overflowPunct/>
        <w:topLinePunct w:val="0"/>
        <w:bidi w:val="0"/>
        <w:spacing w:line="576" w:lineRule="exact"/>
        <w:ind w:left="0" w:leftChars="0" w:firstLine="640" w:firstLineChars="0"/>
        <w:outlineLvl w:val="1"/>
        <w:rPr>
          <w:rStyle w:val="30"/>
          <w:rFonts w:ascii="Times New Roman" w:hAnsi="Times New Roman" w:eastAsia="黑体"/>
          <w:color w:val="auto"/>
          <w:highlight w:val="none"/>
        </w:rPr>
      </w:pPr>
      <w:bookmarkStart w:id="71" w:name="_Toc23394"/>
      <w:bookmarkStart w:id="72" w:name="_Toc24166"/>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69"/>
      <w:bookmarkEnd w:id="70"/>
      <w:bookmarkEnd w:id="71"/>
      <w:bookmarkEnd w:id="72"/>
    </w:p>
    <w:p w14:paraId="05071034">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2024年度不涉及政府性基金预算财政拨款支出，较上年度无变化。</w:t>
      </w:r>
    </w:p>
    <w:p w14:paraId="04421C0B">
      <w:pPr>
        <w:pageBreakBefore w:val="0"/>
        <w:numPr>
          <w:ilvl w:val="0"/>
          <w:numId w:val="0"/>
        </w:numPr>
        <w:kinsoku/>
        <w:wordWrap/>
        <w:overflowPunct/>
        <w:topLinePunct w:val="0"/>
        <w:bidi w:val="0"/>
        <w:spacing w:line="576" w:lineRule="exact"/>
        <w:ind w:left="0" w:leftChars="0" w:firstLine="640" w:firstLineChars="200"/>
        <w:outlineLvl w:val="1"/>
        <w:rPr>
          <w:rStyle w:val="30"/>
          <w:rFonts w:ascii="Times New Roman" w:hAnsi="Times New Roman" w:eastAsia="黑体"/>
          <w:b w:val="0"/>
          <w:color w:val="auto"/>
          <w:highlight w:val="none"/>
        </w:rPr>
      </w:pPr>
      <w:bookmarkStart w:id="73" w:name="_Toc15377219"/>
      <w:bookmarkStart w:id="74" w:name="_Toc15396611"/>
      <w:bookmarkStart w:id="75" w:name="_Toc31586"/>
      <w:bookmarkStart w:id="76" w:name="_Toc24724"/>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73"/>
      <w:bookmarkEnd w:id="74"/>
      <w:bookmarkEnd w:id="75"/>
      <w:bookmarkEnd w:id="76"/>
    </w:p>
    <w:p w14:paraId="6B5B2DBE">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2024年度不涉及国有资本经营预算财政拨款支出，较上年度无变化。</w:t>
      </w:r>
    </w:p>
    <w:p w14:paraId="12435083">
      <w:pPr>
        <w:pageBreakBefore w:val="0"/>
        <w:numPr>
          <w:ilvl w:val="0"/>
          <w:numId w:val="0"/>
        </w:numPr>
        <w:kinsoku/>
        <w:wordWrap/>
        <w:overflowPunct/>
        <w:topLinePunct w:val="0"/>
        <w:bidi w:val="0"/>
        <w:spacing w:line="576" w:lineRule="exact"/>
        <w:ind w:left="0" w:leftChars="0" w:firstLine="640" w:firstLineChars="200"/>
        <w:outlineLvl w:val="1"/>
        <w:rPr>
          <w:rStyle w:val="30"/>
          <w:rFonts w:hint="eastAsia" w:ascii="Times New Roman" w:hAnsi="Times New Roman" w:eastAsia="黑体"/>
          <w:b w:val="0"/>
          <w:color w:val="auto"/>
          <w:highlight w:val="none"/>
        </w:rPr>
      </w:pPr>
      <w:bookmarkStart w:id="77" w:name="_Toc15396612"/>
      <w:bookmarkStart w:id="78" w:name="_Toc15377221"/>
      <w:bookmarkStart w:id="79" w:name="_Toc23213"/>
      <w:bookmarkStart w:id="80" w:name="_Toc17947"/>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77"/>
      <w:bookmarkEnd w:id="78"/>
      <w:bookmarkEnd w:id="79"/>
      <w:bookmarkEnd w:id="80"/>
    </w:p>
    <w:p w14:paraId="53F153FB">
      <w:pPr>
        <w:pageBreakBefore w:val="0"/>
        <w:kinsoku/>
        <w:wordWrap/>
        <w:overflowPunct/>
        <w:topLinePunct w:val="0"/>
        <w:bidi w:val="0"/>
        <w:spacing w:line="576" w:lineRule="exact"/>
        <w:ind w:left="0" w:leftChars="0" w:firstLine="643" w:firstLineChars="200"/>
        <w:outlineLvl w:val="2"/>
        <w:rPr>
          <w:rFonts w:hint="eastAsia" w:ascii="Times New Roman" w:hAnsi="Times New Roman" w:eastAsia="楷体_GB2312" w:cs="楷体_GB2312"/>
          <w:b/>
          <w:color w:val="auto"/>
          <w:sz w:val="32"/>
          <w:szCs w:val="32"/>
          <w:highlight w:val="none"/>
        </w:rPr>
      </w:pPr>
      <w:bookmarkStart w:id="81" w:name="_Toc15377222"/>
      <w:bookmarkStart w:id="82" w:name="_Toc3992"/>
      <w:bookmarkStart w:id="83" w:name="_Toc19199"/>
      <w:r>
        <w:rPr>
          <w:rFonts w:hint="eastAsia" w:ascii="Times New Roman" w:hAnsi="Times New Roman" w:eastAsia="楷体_GB2312" w:cs="楷体_GB2312"/>
          <w:b/>
          <w:color w:val="auto"/>
          <w:sz w:val="32"/>
          <w:szCs w:val="32"/>
          <w:highlight w:val="none"/>
        </w:rPr>
        <w:t>（一）机关运行经费支出情况</w:t>
      </w:r>
      <w:bookmarkEnd w:id="81"/>
      <w:bookmarkEnd w:id="82"/>
      <w:bookmarkEnd w:id="83"/>
    </w:p>
    <w:p w14:paraId="6FE26F3A">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2024年度，茂县红十字会机关运行经费支出4.95万元，比2023年度减少0.75万元，下降13.16%。主要原因是：厉行节约。</w:t>
      </w:r>
    </w:p>
    <w:p w14:paraId="32D331D4">
      <w:pPr>
        <w:pageBreakBefore w:val="0"/>
        <w:kinsoku/>
        <w:wordWrap/>
        <w:overflowPunct/>
        <w:topLinePunct w:val="0"/>
        <w:bidi w:val="0"/>
        <w:spacing w:line="576" w:lineRule="exact"/>
        <w:ind w:left="0" w:leftChars="0" w:firstLine="643" w:firstLineChars="200"/>
        <w:outlineLvl w:val="2"/>
        <w:rPr>
          <w:rFonts w:hint="eastAsia" w:ascii="Times New Roman" w:hAnsi="Times New Roman" w:eastAsia="楷体_GB2312" w:cs="楷体_GB2312"/>
          <w:b/>
          <w:color w:val="auto"/>
          <w:sz w:val="32"/>
          <w:szCs w:val="32"/>
          <w:highlight w:val="none"/>
        </w:rPr>
      </w:pPr>
      <w:bookmarkStart w:id="84" w:name="_Toc1637"/>
      <w:bookmarkStart w:id="85" w:name="_Toc15377223"/>
      <w:bookmarkStart w:id="86" w:name="_Toc28379"/>
      <w:r>
        <w:rPr>
          <w:rFonts w:hint="eastAsia" w:ascii="Times New Roman" w:hAnsi="Times New Roman" w:eastAsia="楷体_GB2312" w:cs="楷体_GB2312"/>
          <w:b/>
          <w:color w:val="auto"/>
          <w:sz w:val="32"/>
          <w:szCs w:val="32"/>
          <w:highlight w:val="none"/>
        </w:rPr>
        <w:t>（二）政府采购支出情况</w:t>
      </w:r>
      <w:bookmarkEnd w:id="84"/>
      <w:bookmarkEnd w:id="85"/>
      <w:bookmarkEnd w:id="86"/>
    </w:p>
    <w:p w14:paraId="7C0548EE">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2024年度，茂县红十字会不涉及政府采购支出。</w:t>
      </w:r>
    </w:p>
    <w:p w14:paraId="356C01EA">
      <w:pPr>
        <w:pageBreakBefore w:val="0"/>
        <w:kinsoku/>
        <w:wordWrap/>
        <w:overflowPunct/>
        <w:topLinePunct w:val="0"/>
        <w:bidi w:val="0"/>
        <w:spacing w:line="576" w:lineRule="exact"/>
        <w:ind w:left="0" w:leftChars="0" w:firstLine="643" w:firstLineChars="200"/>
        <w:outlineLvl w:val="2"/>
        <w:rPr>
          <w:rFonts w:hint="eastAsia" w:ascii="Times New Roman" w:hAnsi="Times New Roman" w:eastAsia="楷体_GB2312" w:cs="楷体_GB2312"/>
          <w:b/>
          <w:color w:val="auto"/>
          <w:sz w:val="32"/>
          <w:szCs w:val="32"/>
          <w:highlight w:val="none"/>
        </w:rPr>
      </w:pPr>
      <w:bookmarkStart w:id="87" w:name="_Toc15377224"/>
      <w:bookmarkStart w:id="88" w:name="_Toc30591"/>
      <w:bookmarkStart w:id="89" w:name="_Toc13023"/>
      <w:r>
        <w:rPr>
          <w:rFonts w:hint="eastAsia" w:ascii="Times New Roman" w:hAnsi="Times New Roman" w:eastAsia="楷体_GB2312" w:cs="楷体_GB2312"/>
          <w:b/>
          <w:color w:val="auto"/>
          <w:sz w:val="32"/>
          <w:szCs w:val="32"/>
          <w:highlight w:val="none"/>
        </w:rPr>
        <w:t>（三）国有资产占有使用情况</w:t>
      </w:r>
      <w:bookmarkEnd w:id="87"/>
      <w:bookmarkEnd w:id="88"/>
      <w:bookmarkEnd w:id="89"/>
    </w:p>
    <w:p w14:paraId="692A5A83">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截至2024年12月31日，茂县红十字会共有车辆1辆，其中：主要负责人用车0辆、机要通信用车0辆、应急保障用车1辆、其他用车0辆。</w:t>
      </w:r>
    </w:p>
    <w:p w14:paraId="28FADC4E">
      <w:pPr>
        <w:pageBreakBefore w:val="0"/>
        <w:kinsoku/>
        <w:wordWrap/>
        <w:overflowPunct/>
        <w:topLinePunct w:val="0"/>
        <w:bidi w:val="0"/>
        <w:spacing w:line="576" w:lineRule="exact"/>
        <w:ind w:left="0" w:leftChars="0" w:firstLine="643" w:firstLineChars="200"/>
        <w:outlineLvl w:val="2"/>
        <w:rPr>
          <w:rFonts w:hint="eastAsia" w:ascii="Times New Roman" w:hAnsi="Times New Roman" w:eastAsia="楷体_GB2312" w:cs="楷体_GB2312"/>
          <w:b/>
          <w:color w:val="auto"/>
          <w:sz w:val="32"/>
          <w:szCs w:val="32"/>
          <w:highlight w:val="none"/>
        </w:rPr>
      </w:pPr>
      <w:bookmarkStart w:id="90" w:name="_Toc8479"/>
      <w:bookmarkStart w:id="91" w:name="_Toc17019"/>
      <w:r>
        <w:rPr>
          <w:rFonts w:hint="eastAsia" w:ascii="Times New Roman" w:hAnsi="Times New Roman" w:eastAsia="楷体_GB2312" w:cs="楷体_GB2312"/>
          <w:b/>
          <w:color w:val="auto"/>
          <w:sz w:val="32"/>
          <w:szCs w:val="32"/>
          <w:highlight w:val="none"/>
        </w:rPr>
        <w:t>（四）预算绩效管理情况</w:t>
      </w:r>
      <w:bookmarkEnd w:id="90"/>
      <w:bookmarkEnd w:id="91"/>
    </w:p>
    <w:p w14:paraId="612AAE84">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根据预算绩效管理要求，我会在2024年度预算编制阶段，组织对红十字会事业发展工作经费项目开展了预算事前绩效评估，对1个项目编制了绩效目标，预算执行过程中，选取1个项目开展绩效监控并开展绩效自评。此项目</w:t>
      </w:r>
      <w:r>
        <w:rPr>
          <w:rFonts w:hint="eastAsia" w:ascii="仿宋_GB2312" w:hAnsi="仿宋_GB2312" w:eastAsia="仿宋_GB2312" w:cs="仿宋_GB2312"/>
          <w:b w:val="0"/>
          <w:bCs w:val="0"/>
          <w:color w:val="000000" w:themeColor="text1"/>
          <w:kern w:val="2"/>
          <w:sz w:val="32"/>
          <w:szCs w:val="32"/>
          <w:highlight w:val="none"/>
          <w:lang w:val="zh-CN" w:eastAsia="zh-CN" w:bidi="ar-SA"/>
          <w14:textFill>
            <w14:solidFill>
              <w14:schemeClr w14:val="tx1"/>
            </w14:solidFill>
          </w14:textFill>
        </w:rPr>
        <w:t>提升了红十字会的服务能力，增强其在灾害应对、救助、救护等方面的效能。强化了应急救援队伍的建设与培训、提高了物资储备和调配效率、扩大了健康教育和献血推广活动。</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我会按要求对2024年部门整体支出开展绩效自评，自查自评结果良好，全年基本支出保障了部门的正常运行和日常工作的正常开展，项目支出保障了重点工作的开展，绩效目标得到较好实现，绩效管理水平不断提高，绩效指标体系逐渐丰富和完善。 </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单位预算项目绩效自评报告及部门预算项目支出绩效自评表（2024年度）详见第四部分附件。</w:t>
      </w:r>
    </w:p>
    <w:p w14:paraId="1A97246A">
      <w:pPr>
        <w:pageBreakBefore w:val="0"/>
        <w:kinsoku/>
        <w:wordWrap/>
        <w:overflowPunct/>
        <w:topLinePunct w:val="0"/>
        <w:bidi w:val="0"/>
        <w:spacing w:line="576" w:lineRule="exact"/>
        <w:ind w:left="0" w:leftChars="0" w:firstLine="640"/>
        <w:rPr>
          <w:rFonts w:hint="default" w:ascii="Times New Roman" w:hAnsi="Times New Roman" w:eastAsia="仿宋_GB2312" w:cs="仿宋_GB2312"/>
          <w:color w:val="auto"/>
          <w:kern w:val="2"/>
          <w:sz w:val="32"/>
          <w:szCs w:val="32"/>
          <w:highlight w:val="none"/>
          <w:lang w:val="en-US" w:eastAsia="zh-CN" w:bidi="ar-SA"/>
        </w:rPr>
      </w:pPr>
    </w:p>
    <w:p w14:paraId="78DB29D9">
      <w:pPr>
        <w:pageBreakBefore w:val="0"/>
        <w:kinsoku/>
        <w:wordWrap/>
        <w:overflowPunct/>
        <w:topLinePunct w:val="0"/>
        <w:bidi w:val="0"/>
        <w:spacing w:line="576" w:lineRule="exact"/>
        <w:ind w:left="0" w:leftChars="0" w:firstLine="640"/>
        <w:rPr>
          <w:rFonts w:hint="default" w:ascii="Times New Roman" w:hAnsi="Times New Roman" w:eastAsia="仿宋_GB2312" w:cs="仿宋_GB2312"/>
          <w:color w:val="auto"/>
          <w:kern w:val="2"/>
          <w:sz w:val="32"/>
          <w:szCs w:val="32"/>
          <w:highlight w:val="none"/>
          <w:lang w:val="en-US" w:eastAsia="zh-CN" w:bidi="ar-SA"/>
        </w:rPr>
      </w:pPr>
    </w:p>
    <w:p w14:paraId="123901F4">
      <w:pPr>
        <w:pageBreakBefore w:val="0"/>
        <w:kinsoku/>
        <w:wordWrap/>
        <w:overflowPunct/>
        <w:topLinePunct w:val="0"/>
        <w:bidi w:val="0"/>
        <w:spacing w:line="576" w:lineRule="exact"/>
        <w:ind w:left="0" w:leftChars="0" w:firstLine="640"/>
        <w:rPr>
          <w:rFonts w:hint="default" w:ascii="Times New Roman" w:hAnsi="Times New Roman" w:eastAsia="仿宋_GB2312" w:cs="仿宋_GB2312"/>
          <w:color w:val="auto"/>
          <w:kern w:val="2"/>
          <w:sz w:val="32"/>
          <w:szCs w:val="32"/>
          <w:highlight w:val="none"/>
          <w:lang w:val="en-US" w:eastAsia="zh-CN" w:bidi="ar-SA"/>
        </w:rPr>
      </w:pPr>
    </w:p>
    <w:p w14:paraId="1293A877">
      <w:pPr>
        <w:pageBreakBefore w:val="0"/>
        <w:numPr>
          <w:ilvl w:val="0"/>
          <w:numId w:val="0"/>
        </w:numPr>
        <w:kinsoku/>
        <w:wordWrap/>
        <w:overflowPunct/>
        <w:topLinePunct w:val="0"/>
        <w:bidi w:val="0"/>
        <w:spacing w:line="576" w:lineRule="exact"/>
        <w:ind w:left="0" w:leftChars="0"/>
        <w:jc w:val="both"/>
        <w:outlineLvl w:val="0"/>
        <w:rPr>
          <w:rFonts w:hint="eastAsia" w:ascii="Times New Roman" w:hAnsi="Times New Roman" w:eastAsia="黑体"/>
          <w:color w:val="auto"/>
          <w:sz w:val="44"/>
          <w:szCs w:val="44"/>
          <w:highlight w:val="none"/>
        </w:rPr>
      </w:pPr>
      <w:bookmarkStart w:id="92" w:name="_Toc15396613"/>
      <w:bookmarkStart w:id="93" w:name="_Toc29989"/>
      <w:bookmarkStart w:id="94" w:name="_Toc15377225"/>
    </w:p>
    <w:p w14:paraId="2E27AF32">
      <w:pPr>
        <w:pageBreakBefore w:val="0"/>
        <w:numPr>
          <w:ilvl w:val="0"/>
          <w:numId w:val="0"/>
        </w:numPr>
        <w:kinsoku/>
        <w:wordWrap/>
        <w:overflowPunct/>
        <w:topLinePunct w:val="0"/>
        <w:bidi w:val="0"/>
        <w:spacing w:line="576" w:lineRule="exact"/>
        <w:ind w:left="0" w:leftChars="0"/>
        <w:jc w:val="center"/>
        <w:outlineLvl w:val="0"/>
        <w:rPr>
          <w:rFonts w:hint="eastAsia" w:ascii="方正小标宋简体" w:hAnsi="方正小标宋简体" w:eastAsia="方正小标宋简体" w:cs="方正小标宋简体"/>
          <w:color w:val="auto"/>
          <w:sz w:val="44"/>
          <w:szCs w:val="44"/>
          <w:highlight w:val="none"/>
        </w:rPr>
      </w:pPr>
      <w:bookmarkStart w:id="95" w:name="_Toc349"/>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92"/>
      <w:bookmarkEnd w:id="93"/>
      <w:bookmarkEnd w:id="94"/>
      <w:bookmarkEnd w:id="95"/>
    </w:p>
    <w:p w14:paraId="1ED6C227">
      <w:pPr>
        <w:pageBreakBefore w:val="0"/>
        <w:kinsoku/>
        <w:wordWrap/>
        <w:overflowPunct/>
        <w:topLinePunct w:val="0"/>
        <w:bidi w:val="0"/>
        <w:spacing w:line="576" w:lineRule="exact"/>
        <w:ind w:left="0" w:leftChars="0"/>
        <w:jc w:val="left"/>
        <w:rPr>
          <w:rFonts w:ascii="Times New Roman" w:hAnsi="Times New Roman"/>
          <w:b/>
          <w:color w:val="auto"/>
          <w:sz w:val="44"/>
          <w:szCs w:val="44"/>
          <w:highlight w:val="none"/>
        </w:rPr>
      </w:pPr>
    </w:p>
    <w:p w14:paraId="421B958D">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96" w:name="_Toc27413"/>
      <w:bookmarkStart w:id="97" w:name="_Toc5538"/>
      <w:bookmarkStart w:id="98" w:name="_Toc28497"/>
      <w:bookmarkStart w:id="99" w:name="_Toc15377226"/>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1.财政拨款收入：指单位从同级财政部门取得的财政预算资金。</w:t>
      </w:r>
      <w:bookmarkEnd w:id="96"/>
      <w:bookmarkEnd w:id="97"/>
      <w:bookmarkEnd w:id="98"/>
    </w:p>
    <w:p w14:paraId="1FDFA5CE">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2.事业收入：指事业单位开展专业业务活动及辅助活动取得的收入。</w:t>
      </w:r>
    </w:p>
    <w:p w14:paraId="717A0544">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3.经营收入：指事业单位在专业业务活动及其辅助活动之外开展非独立核算经营活动取得的收入。</w:t>
      </w:r>
    </w:p>
    <w:p w14:paraId="361ED2FE">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100" w:name="_Toc9023"/>
      <w:bookmarkStart w:id="101" w:name="_Toc32244"/>
      <w:bookmarkStart w:id="102" w:name="_Toc27219"/>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4.其他收入：指单位取得的除上述收入以外的各项收入。</w:t>
      </w:r>
      <w:bookmarkEnd w:id="100"/>
      <w:bookmarkEnd w:id="101"/>
      <w:bookmarkEnd w:id="102"/>
    </w:p>
    <w:p w14:paraId="0C8CA051">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12AB3F25">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6.年初结转和结余：指以前年度尚未完成、结转到本年按有关规定继续使用的资金。 </w:t>
      </w:r>
    </w:p>
    <w:p w14:paraId="490CE1AA">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7.结余分配：指事业单位按照事业单位会计制度的规定从非财政补助结余中分配的事业基金和职工福利基金等。</w:t>
      </w:r>
    </w:p>
    <w:p w14:paraId="17ABCB98">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8、年末结转和结余：指单位按有关规定结转到下年或以后年度继续使用的资金。</w:t>
      </w:r>
    </w:p>
    <w:p w14:paraId="2D7D0E6B">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9.社会保障和就业支出（208）行政事业单位离退休（05）机关事业单位养老保险缴费支出（05）:指机关事业单位实施养老保险制度由单位缴纳的基本养老保险缴费支出。</w:t>
      </w:r>
    </w:p>
    <w:p w14:paraId="71463A02">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10.社会保障和就业支出（208）行政事业单位离退休（05）机关事业单位职业年金缴费支出（06）：指机关事业单位实施养老保险制度由单位缴纳的职业年金缴费支出。</w:t>
      </w:r>
    </w:p>
    <w:p w14:paraId="57D3F192">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11.社会保障和就业支出（208）红十字事业（16）其他红十字事业支出（01）：指红十字事业行政运行的支出。</w:t>
      </w:r>
    </w:p>
    <w:p w14:paraId="66D470A3">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12.医疗卫生与计划生育支出（210）行政事业单位医疗（11）行政单位医疗（01）：指反映财政部门集中安排的行政事业单位基本养老保险缴费经费，未参加医疗保险的行政事业单位的公费医疗经费，按国家规定享受离休人员、红军老战士待遇人员的医疗经费。</w:t>
      </w:r>
    </w:p>
    <w:p w14:paraId="179AE055">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13.住房保障支出（221）住房改革支出（02）住房公积金（01）：指反映行政事业单位按人力资源和会保障部、财政部规定的基本工资和津贴补贴以及规定比例为职工缴纳的住房公积金。</w:t>
      </w:r>
    </w:p>
    <w:p w14:paraId="66F1B599">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14.住房保障支出（221）住房改革支出（02）购房补贴（03）：指按房改政策规定，行政事业单位向符合条件职工（含离退休人员）、军队（含武警）向转役复原离退休人员发放的用于购买住房的补贴。</w:t>
      </w:r>
    </w:p>
    <w:p w14:paraId="1F248D11">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15.基本支出：指为保障机构正常运转、完成日常工作任务而发生的人员支出和公用支出。</w:t>
      </w:r>
    </w:p>
    <w:p w14:paraId="336B5886">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16.项目支出：指在基本支出之外为完成特定行政任务和事业发展目标所发生的支出。 </w:t>
      </w:r>
    </w:p>
    <w:p w14:paraId="6D8DB652">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17.经营支出：指事业单位在专业业务活动及其辅助活动之外开展非独立核算经营活动发生的支出。</w:t>
      </w:r>
    </w:p>
    <w:p w14:paraId="06439453">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3E0A3F">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A1AE187">
      <w:pPr>
        <w:pageBreakBefore w:val="0"/>
        <w:kinsoku/>
        <w:wordWrap/>
        <w:overflowPunct/>
        <w:topLinePunct w:val="0"/>
        <w:bidi w:val="0"/>
        <w:snapToGrid/>
        <w:spacing w:line="576" w:lineRule="exact"/>
        <w:ind w:left="0" w:leftChars="0" w:firstLine="640"/>
        <w:textAlignment w:val="auto"/>
        <w:rPr>
          <w:rStyle w:val="29"/>
          <w:rFonts w:hint="eastAsia" w:ascii="方正小标宋简体" w:hAnsi="方正小标宋简体" w:eastAsia="方正小标宋简体" w:cs="方正小标宋简体"/>
          <w:b w:val="0"/>
          <w:bCs w:val="0"/>
          <w:color w:val="auto"/>
          <w:highlight w:val="none"/>
          <w:lang w:eastAsia="zh-CN"/>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br w:type="page"/>
      </w:r>
      <w:bookmarkStart w:id="103" w:name="_Toc15396614"/>
      <w:r>
        <w:rPr>
          <w:rFonts w:hint="eastAsia" w:eastAsia="仿宋_GB2312" w:cs="仿宋_GB2312"/>
          <w:color w:val="auto"/>
          <w:kern w:val="2"/>
          <w:sz w:val="32"/>
          <w:szCs w:val="32"/>
          <w:highlight w:val="none"/>
          <w:lang w:val="en-US" w:eastAsia="zh-CN" w:bidi="ar-SA"/>
        </w:rPr>
        <w:t xml:space="preserve">                </w:t>
      </w:r>
      <w:r>
        <w:rPr>
          <w:rFonts w:hint="eastAsia" w:ascii="方正小标宋简体" w:hAnsi="方正小标宋简体" w:eastAsia="方正小标宋简体" w:cs="方正小标宋简体"/>
          <w:b w:val="0"/>
          <w:bCs w:val="0"/>
          <w:color w:val="auto"/>
          <w:sz w:val="44"/>
          <w:szCs w:val="44"/>
          <w:highlight w:val="none"/>
        </w:rPr>
        <w:t>第四部分</w:t>
      </w:r>
      <w:r>
        <w:rPr>
          <w:rFonts w:hint="eastAsia" w:ascii="方正小标宋简体" w:hAnsi="方正小标宋简体" w:eastAsia="方正小标宋简体" w:cs="方正小标宋简体"/>
          <w:b w:val="0"/>
          <w:bCs w:val="0"/>
          <w:color w:val="auto"/>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rPr>
        <w:t xml:space="preserve"> 附件</w:t>
      </w:r>
      <w:bookmarkEnd w:id="103"/>
    </w:p>
    <w:p w14:paraId="643292D0">
      <w:pPr>
        <w:pageBreakBefore w:val="0"/>
        <w:kinsoku/>
        <w:wordWrap/>
        <w:overflowPunct/>
        <w:topLinePunct w:val="0"/>
        <w:bidi w:val="0"/>
        <w:spacing w:line="576" w:lineRule="exact"/>
        <w:ind w:left="0" w:leftChars="0"/>
        <w:rPr>
          <w:rFonts w:eastAsia="黑体"/>
          <w:sz w:val="24"/>
        </w:rPr>
      </w:pPr>
    </w:p>
    <w:p w14:paraId="10A6862F">
      <w:pPr>
        <w:pageBreakBefore w:val="0"/>
        <w:widowControl/>
        <w:kinsoku/>
        <w:wordWrap/>
        <w:overflowPunct/>
        <w:topLinePunct w:val="0"/>
        <w:bidi w:val="0"/>
        <w:spacing w:line="576" w:lineRule="exact"/>
        <w:ind w:left="0" w:leftChars="0"/>
        <w:jc w:val="center"/>
        <w:textAlignment w:val="center"/>
        <w:outlineLvl w:val="1"/>
        <w:rPr>
          <w:rFonts w:eastAsia="方正小标宋简体"/>
          <w:color w:val="000000"/>
          <w:kern w:val="0"/>
          <w:szCs w:val="32"/>
          <w:lang w:bidi="ar"/>
        </w:rPr>
      </w:pPr>
      <w:bookmarkStart w:id="104" w:name="_Toc14722"/>
      <w:r>
        <w:rPr>
          <w:rFonts w:eastAsia="方正小标宋简体"/>
          <w:color w:val="000000"/>
          <w:kern w:val="0"/>
          <w:sz w:val="44"/>
          <w:szCs w:val="44"/>
          <w:lang w:bidi="ar"/>
        </w:rPr>
        <w:t>部门预算项目支出绩效评价表</w:t>
      </w:r>
      <w:r>
        <w:rPr>
          <w:rFonts w:eastAsia="方正小标宋简体"/>
          <w:color w:val="000000"/>
          <w:kern w:val="0"/>
          <w:szCs w:val="32"/>
          <w:lang w:bidi="ar"/>
        </w:rPr>
        <w:t>（2024年度）</w:t>
      </w:r>
      <w:bookmarkEnd w:id="104"/>
    </w:p>
    <w:tbl>
      <w:tblPr>
        <w:tblStyle w:val="16"/>
        <w:tblpPr w:leftFromText="180" w:rightFromText="180" w:vertAnchor="text" w:horzAnchor="page" w:tblpX="433" w:tblpY="640"/>
        <w:tblOverlap w:val="never"/>
        <w:tblW w:w="62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526"/>
        <w:gridCol w:w="1331"/>
        <w:gridCol w:w="1429"/>
        <w:gridCol w:w="458"/>
        <w:gridCol w:w="671"/>
        <w:gridCol w:w="440"/>
        <w:gridCol w:w="688"/>
        <w:gridCol w:w="529"/>
        <w:gridCol w:w="371"/>
        <w:gridCol w:w="54"/>
        <w:gridCol w:w="2450"/>
      </w:tblGrid>
      <w:tr w14:paraId="3B9E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28A8B">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97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04D08C">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51322323T000007894488-茂县红十字会红十字事业发展工作经费</w:t>
            </w:r>
          </w:p>
        </w:tc>
      </w:tr>
      <w:tr w14:paraId="69AC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1E15F">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18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A8B65">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茂县红十字会本级</w:t>
            </w:r>
          </w:p>
        </w:tc>
        <w:tc>
          <w:tcPr>
            <w:tcW w:w="957" w:type="pct"/>
            <w:gridSpan w:val="4"/>
            <w:tcBorders>
              <w:top w:val="nil"/>
              <w:left w:val="nil"/>
              <w:bottom w:val="nil"/>
              <w:right w:val="nil"/>
            </w:tcBorders>
            <w:shd w:val="clear" w:color="auto" w:fill="auto"/>
            <w:vAlign w:val="center"/>
          </w:tcPr>
          <w:p w14:paraId="004464DB">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CDE32">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茂县红十字会</w:t>
            </w:r>
          </w:p>
        </w:tc>
      </w:tr>
      <w:tr w14:paraId="2B0D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367BE">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3B211">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18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67B257">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21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F4C735">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r>
      <w:tr w14:paraId="07EA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7"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5F53">
            <w:pPr>
              <w:pageBreakBefore w:val="0"/>
              <w:kinsoku/>
              <w:wordWrap/>
              <w:overflowPunct/>
              <w:topLinePunct w:val="0"/>
              <w:bidi w:val="0"/>
              <w:spacing w:line="576" w:lineRule="exact"/>
              <w:ind w:left="0" w:leftChars="0"/>
              <w:rPr>
                <w:rFonts w:hint="eastAsia" w:ascii="宋体" w:hAnsi="宋体" w:eastAsia="宋体" w:cs="宋体"/>
                <w:i w:val="0"/>
                <w:iCs w:val="0"/>
                <w:color w:val="000000"/>
                <w:sz w:val="21"/>
                <w:szCs w:val="21"/>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37026">
            <w:pPr>
              <w:pageBreakBefore w:val="0"/>
              <w:kinsoku/>
              <w:wordWrap/>
              <w:overflowPunct/>
              <w:topLinePunct w:val="0"/>
              <w:bidi w:val="0"/>
              <w:spacing w:line="576" w:lineRule="exact"/>
              <w:ind w:left="0" w:leftChars="0"/>
              <w:rPr>
                <w:rFonts w:hint="eastAsia" w:ascii="宋体" w:hAnsi="宋体" w:eastAsia="宋体" w:cs="宋体"/>
                <w:i w:val="0"/>
                <w:iCs w:val="0"/>
                <w:color w:val="000000"/>
                <w:sz w:val="21"/>
                <w:szCs w:val="21"/>
                <w:u w:val="none"/>
              </w:rPr>
            </w:pPr>
          </w:p>
        </w:tc>
        <w:tc>
          <w:tcPr>
            <w:tcW w:w="18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EB8516">
            <w:pPr>
              <w:pageBreakBefore w:val="0"/>
              <w:widowControl/>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lang w:val="en-US" w:eastAsia="zh-CN" w:bidi="ar"/>
              </w:rPr>
              <w:t>发展基层红十字会组织、基层红十字会会员、志愿者工作、救护员培训工作、应急救护基地运行维护费等红十字事业发展工作经费。通过开展保护人的生命和健康，维护人的</w:t>
            </w:r>
            <w:r>
              <w:rPr>
                <w:rFonts w:hint="eastAsia" w:ascii="宋体" w:hAnsi="宋体" w:eastAsia="宋体" w:cs="宋体"/>
                <w:i w:val="0"/>
                <w:iCs w:val="0"/>
                <w:color w:val="000000"/>
                <w:kern w:val="0"/>
                <w:sz w:val="21"/>
                <w:szCs w:val="21"/>
                <w:u w:val="none"/>
                <w:lang w:val="en-US" w:eastAsia="zh-CN" w:bidi="ar"/>
              </w:rPr>
              <w:t>尊严，培育和践行社会主义核心价值观，弘扬人道、博爱、奉献精神，保障和规范红十字会依法履行职责，更好地促进红十字事业发展</w:t>
            </w:r>
          </w:p>
        </w:tc>
        <w:tc>
          <w:tcPr>
            <w:tcW w:w="21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F9F341">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color w:val="000000"/>
                <w:kern w:val="0"/>
                <w:sz w:val="21"/>
                <w:szCs w:val="21"/>
                <w:lang w:val="en-US" w:eastAsia="zh-CN" w:bidi="ar"/>
              </w:rPr>
              <w:t>组织实施红十字基层组织建设4个，志愿服务队建设4个；宣传献血、遗体捐献、造血干细胞捐献工作，开展博爱送万家工作；完成持证救护员培训280余人，完成应急救护普及培训2000余人，完成“五进”培训及及宣传2500余人。</w:t>
            </w:r>
          </w:p>
        </w:tc>
      </w:tr>
      <w:tr w14:paraId="2A12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1"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19DF">
            <w:pPr>
              <w:pageBreakBefore w:val="0"/>
              <w:kinsoku/>
              <w:wordWrap/>
              <w:overflowPunct/>
              <w:topLinePunct w:val="0"/>
              <w:bidi w:val="0"/>
              <w:spacing w:line="576" w:lineRule="exact"/>
              <w:ind w:left="0" w:leftChars="0"/>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A121">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lang w:val="en-US" w:eastAsia="zh-CN" w:bidi="ar"/>
              </w:rPr>
              <w:t>2.项目实施内容及过程概述</w:t>
            </w:r>
          </w:p>
        </w:tc>
        <w:tc>
          <w:tcPr>
            <w:tcW w:w="397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305A3A">
            <w:pPr>
              <w:pageBreakBefore w:val="0"/>
              <w:widowControl/>
              <w:kinsoku/>
              <w:wordWrap/>
              <w:overflowPunct/>
              <w:topLinePunct w:val="0"/>
              <w:bidi w:val="0"/>
              <w:spacing w:line="576" w:lineRule="exact"/>
              <w:ind w:left="0" w:lef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年发展红十字会会员、基层红十字组织、红十字志愿者、“三救三献”宣传、应急救护培训工作、应急救护培训基地运行维护工作等。组织实施红十字基层组织建设4个，志愿服务队建设4个；宣传献血、遗体捐献、造血干细胞捐献工作，开展博爱送万家工作；完成持证救护员培训280余人，完成应急救护普及培训2000余人，完成“五进”培训及及宣传2500余人。</w:t>
            </w:r>
          </w:p>
          <w:p w14:paraId="049179C1">
            <w:pPr>
              <w:pageBreakBefore w:val="0"/>
              <w:kinsoku/>
              <w:wordWrap/>
              <w:overflowPunct/>
              <w:topLinePunct w:val="0"/>
              <w:bidi w:val="0"/>
              <w:spacing w:line="576" w:lineRule="exact"/>
              <w:ind w:left="0" w:leftChars="0"/>
              <w:jc w:val="both"/>
              <w:rPr>
                <w:rFonts w:hint="eastAsia" w:ascii="宋体" w:hAnsi="宋体" w:eastAsia="宋体" w:cs="宋体"/>
                <w:i w:val="0"/>
                <w:iCs w:val="0"/>
                <w:color w:val="000000"/>
                <w:sz w:val="21"/>
                <w:szCs w:val="21"/>
                <w:u w:val="none"/>
              </w:rPr>
            </w:pPr>
          </w:p>
        </w:tc>
      </w:tr>
      <w:tr w14:paraId="1AED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exac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5D5C9">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1A76">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年度预算数</w:t>
            </w:r>
          </w:p>
          <w:p w14:paraId="2BE6F8AD">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lang w:val="en-US" w:eastAsia="zh-CN" w:bidi="ar"/>
              </w:rPr>
              <w:t>（万元）</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011C">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5083">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C4542">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F51A">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5FFA">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69B67">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E01F">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14:paraId="0B47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CBB50">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7E5D">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64BD">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22FF">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89EF8">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CEBE">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5EC2">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FB68C">
            <w:pPr>
              <w:pageBreakBefore w:val="0"/>
              <w:kinsoku/>
              <w:wordWrap/>
              <w:overflowPunct/>
              <w:topLinePunct w:val="0"/>
              <w:bidi w:val="0"/>
              <w:spacing w:line="576" w:lineRule="exact"/>
              <w:ind w:left="0" w:leftChars="0"/>
              <w:jc w:val="center"/>
              <w:rPr>
                <w:rFonts w:hint="default" w:ascii="宋体" w:hAnsi="宋体" w:eastAsia="宋体" w:cs="宋体"/>
                <w:i w:val="0"/>
                <w:iCs w:val="0"/>
                <w:color w:val="000000"/>
                <w:sz w:val="21"/>
                <w:szCs w:val="21"/>
                <w:u w:val="none"/>
                <w:lang w:val="en-US" w:eastAsia="zh-CN"/>
              </w:rPr>
            </w:pPr>
          </w:p>
        </w:tc>
        <w:tc>
          <w:tcPr>
            <w:tcW w:w="1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20DDF">
            <w:pPr>
              <w:pageBreakBefore w:val="0"/>
              <w:widowControl/>
              <w:kinsoku/>
              <w:wordWrap/>
              <w:overflowPunct/>
              <w:topLinePunct w:val="0"/>
              <w:bidi w:val="0"/>
              <w:spacing w:line="576" w:lineRule="exact"/>
              <w:ind w:left="0" w:leftChars="0" w:firstLine="220" w:firstLineChars="100"/>
              <w:jc w:val="left"/>
              <w:textAlignment w:val="center"/>
              <w:rPr>
                <w:rFonts w:hint="eastAsia" w:eastAsia="宋体"/>
                <w:color w:val="000000"/>
                <w:kern w:val="0"/>
                <w:sz w:val="22"/>
                <w:szCs w:val="22"/>
                <w:lang w:bidi="ar"/>
              </w:rPr>
            </w:pPr>
          </w:p>
        </w:tc>
      </w:tr>
      <w:tr w14:paraId="1D5A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F07F">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B381">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EF1B">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20A0">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417E0">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50D1">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EE33">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i w:val="0"/>
                <w:iCs w:val="0"/>
                <w:color w:val="000000"/>
                <w:sz w:val="21"/>
                <w:szCs w:val="21"/>
                <w:u w:val="none"/>
                <w:lang w:val="en-US" w:eastAsia="zh-CN"/>
              </w:rPr>
            </w:pP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E2544">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p>
        </w:tc>
        <w:tc>
          <w:tcPr>
            <w:tcW w:w="1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C6CB6">
            <w:pPr>
              <w:pageBreakBefore w:val="0"/>
              <w:kinsoku/>
              <w:wordWrap/>
              <w:overflowPunct/>
              <w:topLinePunct w:val="0"/>
              <w:bidi w:val="0"/>
              <w:spacing w:line="576" w:lineRule="exact"/>
              <w:ind w:left="0" w:leftChars="0"/>
              <w:rPr>
                <w:rFonts w:hint="eastAsia" w:ascii="宋体" w:hAnsi="宋体" w:eastAsia="宋体" w:cs="宋体"/>
                <w:i/>
                <w:iCs/>
                <w:color w:val="000000"/>
                <w:sz w:val="21"/>
                <w:szCs w:val="21"/>
                <w:u w:val="none"/>
              </w:rPr>
            </w:pPr>
          </w:p>
        </w:tc>
      </w:tr>
      <w:tr w14:paraId="2890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20173">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88AF">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CA28">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74CA">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8BD8A">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8B16">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BB34">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51BC5">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p>
        </w:tc>
        <w:tc>
          <w:tcPr>
            <w:tcW w:w="1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D9265">
            <w:pPr>
              <w:pageBreakBefore w:val="0"/>
              <w:kinsoku/>
              <w:wordWrap/>
              <w:overflowPunct/>
              <w:topLinePunct w:val="0"/>
              <w:bidi w:val="0"/>
              <w:spacing w:line="576" w:lineRule="exact"/>
              <w:ind w:left="0" w:leftChars="0"/>
              <w:rPr>
                <w:rFonts w:hint="eastAsia" w:ascii="宋体" w:hAnsi="宋体" w:eastAsia="宋体" w:cs="宋体"/>
                <w:i/>
                <w:iCs/>
                <w:color w:val="000000"/>
                <w:sz w:val="21"/>
                <w:szCs w:val="21"/>
                <w:u w:val="none"/>
              </w:rPr>
            </w:pPr>
          </w:p>
        </w:tc>
      </w:tr>
      <w:tr w14:paraId="417D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547F2">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80E3">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15AD">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83A4">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8A80B">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B200">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0CF1">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81643">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p>
        </w:tc>
        <w:tc>
          <w:tcPr>
            <w:tcW w:w="1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A8E2B">
            <w:pPr>
              <w:pageBreakBefore w:val="0"/>
              <w:kinsoku/>
              <w:wordWrap/>
              <w:overflowPunct/>
              <w:topLinePunct w:val="0"/>
              <w:bidi w:val="0"/>
              <w:spacing w:line="576" w:lineRule="exact"/>
              <w:ind w:left="0" w:leftChars="0"/>
              <w:rPr>
                <w:rFonts w:hint="eastAsia" w:ascii="宋体" w:hAnsi="宋体" w:eastAsia="宋体" w:cs="宋体"/>
                <w:i/>
                <w:iCs/>
                <w:color w:val="000000"/>
                <w:sz w:val="21"/>
                <w:szCs w:val="21"/>
                <w:u w:val="none"/>
              </w:rPr>
            </w:pPr>
          </w:p>
        </w:tc>
      </w:tr>
      <w:tr w14:paraId="7251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8BCB4">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19E5">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F804">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72D3">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5B3D7">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6CDB">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4F60">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D7724">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p>
        </w:tc>
        <w:tc>
          <w:tcPr>
            <w:tcW w:w="1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9913">
            <w:pPr>
              <w:pageBreakBefore w:val="0"/>
              <w:kinsoku/>
              <w:wordWrap/>
              <w:overflowPunct/>
              <w:topLinePunct w:val="0"/>
              <w:bidi w:val="0"/>
              <w:spacing w:line="576" w:lineRule="exact"/>
              <w:ind w:left="0" w:leftChars="0"/>
              <w:rPr>
                <w:rFonts w:hint="eastAsia" w:ascii="宋体" w:hAnsi="宋体" w:eastAsia="宋体" w:cs="宋体"/>
                <w:i/>
                <w:iCs/>
                <w:color w:val="000000"/>
                <w:sz w:val="21"/>
                <w:szCs w:val="21"/>
                <w:u w:val="none"/>
              </w:rPr>
            </w:pPr>
          </w:p>
        </w:tc>
      </w:tr>
      <w:tr w14:paraId="79B3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exac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AC311">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A5C8">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C422">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8A0A">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137B">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bidi="ar"/>
              </w:rPr>
            </w:pPr>
            <w:r>
              <w:rPr>
                <w:rFonts w:hint="eastAsia" w:eastAsia="宋体"/>
                <w:color w:val="000000"/>
                <w:kern w:val="0"/>
                <w:sz w:val="18"/>
                <w:szCs w:val="18"/>
                <w:lang w:val="en-US" w:eastAsia="zh-CN" w:bidi="ar"/>
              </w:rPr>
              <w:t>指标性质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8ACA">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bidi="ar"/>
              </w:rPr>
            </w:pPr>
            <w:r>
              <w:rPr>
                <w:rFonts w:hint="eastAsia" w:eastAsia="宋体"/>
                <w:color w:val="000000"/>
                <w:kern w:val="0"/>
                <w:sz w:val="18"/>
                <w:szCs w:val="18"/>
                <w:lang w:val="en-US" w:eastAsia="zh-CN" w:bidi="ar"/>
              </w:rPr>
              <w:t>指标值</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C392">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度量单位</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CA58">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bidi="ar"/>
              </w:rPr>
            </w:pPr>
            <w:r>
              <w:rPr>
                <w:rFonts w:hint="eastAsia" w:eastAsia="宋体"/>
                <w:color w:val="000000"/>
                <w:kern w:val="0"/>
                <w:sz w:val="18"/>
                <w:szCs w:val="18"/>
                <w:lang w:val="en-US" w:eastAsia="zh-CN" w:bidi="ar"/>
              </w:rPr>
              <w:t>完成值</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A2C4">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CAE5D">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1917">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14:paraId="66DE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BED13">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2678C">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9571A">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8AA5">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bidi="ar"/>
              </w:rPr>
            </w:pPr>
            <w:r>
              <w:rPr>
                <w:rFonts w:hint="eastAsia" w:eastAsia="宋体"/>
                <w:color w:val="000000"/>
                <w:kern w:val="0"/>
                <w:sz w:val="18"/>
                <w:szCs w:val="18"/>
                <w:lang w:val="en-US" w:eastAsia="zh-CN" w:bidi="ar"/>
              </w:rPr>
              <w:t>发展红十字会员、志愿者、三救三献等红十字事业工作</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4BF0">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1782">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85751">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人次</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F777">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9F18">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850F4">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2908">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r>
      <w:tr w14:paraId="76DE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918DC">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7AC4">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6C3C6">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4161">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bidi="ar"/>
              </w:rPr>
            </w:pPr>
            <w:r>
              <w:rPr>
                <w:rFonts w:hint="eastAsia" w:eastAsia="宋体"/>
                <w:color w:val="000000"/>
                <w:kern w:val="0"/>
                <w:sz w:val="18"/>
                <w:szCs w:val="18"/>
                <w:lang w:val="en-US" w:eastAsia="zh-CN" w:bidi="ar"/>
              </w:rPr>
              <w:t>开展应急救护培训、应急救护普及培训</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CA96">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BE20">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7653">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人次</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1DC3">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7D3B">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BE789">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C95C">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r>
      <w:tr w14:paraId="389C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FEE3">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866BA">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7555">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53D7">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bidi="ar"/>
              </w:rPr>
            </w:pPr>
            <w:r>
              <w:rPr>
                <w:rFonts w:hint="eastAsia" w:eastAsia="宋体"/>
                <w:color w:val="000000"/>
                <w:kern w:val="0"/>
                <w:sz w:val="18"/>
                <w:szCs w:val="18"/>
                <w:lang w:val="en-US" w:eastAsia="zh-CN" w:bidi="ar"/>
              </w:rPr>
              <w:t>开展大病救助工作</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2F18">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128A">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9320">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人次</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CE2C">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6014">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9E249">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C7E4">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r>
      <w:tr w14:paraId="6D43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DEE57">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FD3CF">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1CE3">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9C6E7">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此项工作在2024年度内完成</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8BFD">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7013">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9B39">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81E5">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1795">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5FD90">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2F71">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r>
      <w:tr w14:paraId="08E1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58998">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4802">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64DF">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79F3">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就发展红十字事业是救助社会生命的极其重要的社会工作，要不断地提高红十字事业地发展</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53A4">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BE92">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B01C">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C464">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7F12">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BC9FF">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CD60">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r>
      <w:tr w14:paraId="56B4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A5DD0">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572C">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78E2">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90ED">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全县人民队红十字事业发展的满意度</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C1B2">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A7EF">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FC2F">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2F08">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EA62">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922FD">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F34C">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r>
      <w:tr w14:paraId="2A45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1"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32CFC">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AABB">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7639">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社会成本指标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0F48">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救灾资金及物资储备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A984">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381A">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4816">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元/年</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A05B">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DCC9">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BB30A">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9783">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r>
      <w:tr w14:paraId="234A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exact"/>
        </w:trPr>
        <w:tc>
          <w:tcPr>
            <w:tcW w:w="33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AE6643">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9F12">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A5C40">
            <w:pPr>
              <w:pageBreakBefore w:val="0"/>
              <w:kinsoku/>
              <w:wordWrap/>
              <w:overflowPunct/>
              <w:topLinePunct w:val="0"/>
              <w:bidi w:val="0"/>
              <w:spacing w:line="576" w:lineRule="exact"/>
              <w:ind w:left="0" w:leftChars="0"/>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ABEA">
            <w:pPr>
              <w:pageBreakBefore w:val="0"/>
              <w:kinsoku/>
              <w:wordWrap/>
              <w:overflowPunct/>
              <w:topLinePunct w:val="0"/>
              <w:bidi w:val="0"/>
              <w:spacing w:line="576" w:lineRule="exact"/>
              <w:ind w:left="0" w:leftChars="0"/>
              <w:rPr>
                <w:rFonts w:hint="eastAsia" w:ascii="宋体" w:hAnsi="宋体" w:eastAsia="宋体" w:cs="宋体"/>
                <w:i w:val="0"/>
                <w:iCs w:val="0"/>
                <w:color w:val="000000"/>
                <w:sz w:val="21"/>
                <w:szCs w:val="21"/>
                <w:u w:val="none"/>
              </w:rPr>
            </w:pPr>
          </w:p>
        </w:tc>
      </w:tr>
      <w:tr w14:paraId="1B7A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exac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8ECD">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9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31AC4E">
            <w:pPr>
              <w:pageBreakBefore w:val="0"/>
              <w:widowControl/>
              <w:kinsoku/>
              <w:wordWrap/>
              <w:overflowPunct/>
              <w:topLinePunct w:val="0"/>
              <w:bidi w:val="0"/>
              <w:spacing w:line="576" w:lineRule="exact"/>
              <w:ind w:left="0" w:leftChars="0"/>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zh-CN" w:eastAsia="zh-CN" w:bidi="ar"/>
              </w:rPr>
              <w:t>我会加强项目管理，按照项目方案完成工作，达到项目目标，各项指标均达到年度要求，完成率较好，在项目管理上执行多种举措督促监管，做到了项目建设规范有序，项目运行效果明显。评价总分为</w:t>
            </w:r>
            <w:r>
              <w:rPr>
                <w:rFonts w:hint="eastAsia" w:ascii="宋体" w:hAnsi="宋体" w:eastAsia="宋体" w:cs="宋体"/>
                <w:color w:val="000000"/>
                <w:kern w:val="0"/>
                <w:sz w:val="21"/>
                <w:szCs w:val="21"/>
                <w:lang w:val="en-US" w:eastAsia="zh-CN" w:bidi="ar"/>
              </w:rPr>
              <w:t>100分</w:t>
            </w:r>
          </w:p>
          <w:p w14:paraId="56EB4C6B">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iCs/>
                <w:color w:val="000000"/>
                <w:sz w:val="21"/>
                <w:szCs w:val="21"/>
                <w:u w:val="none"/>
              </w:rPr>
            </w:pPr>
          </w:p>
        </w:tc>
      </w:tr>
      <w:tr w14:paraId="23F6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9" w:hRule="exac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B5DD">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9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37356A">
            <w:pPr>
              <w:pageBreakBefore w:val="0"/>
              <w:widowControl/>
              <w:kinsoku/>
              <w:wordWrap/>
              <w:overflowPunct/>
              <w:topLinePunct w:val="0"/>
              <w:bidi w:val="0"/>
              <w:spacing w:line="576" w:lineRule="exact"/>
              <w:ind w:left="0" w:leftChars="0"/>
              <w:jc w:val="left"/>
              <w:textAlignment w:val="center"/>
              <w:rPr>
                <w:rFonts w:hint="eastAsia" w:ascii="宋体" w:hAnsi="宋体" w:eastAsia="宋体" w:cs="宋体"/>
                <w:color w:val="000000"/>
                <w:kern w:val="0"/>
                <w:sz w:val="21"/>
                <w:szCs w:val="21"/>
                <w:lang w:val="zh-CN" w:eastAsia="zh-CN" w:bidi="ar"/>
              </w:rPr>
            </w:pPr>
            <w:r>
              <w:rPr>
                <w:rFonts w:hint="eastAsia" w:ascii="宋体" w:hAnsi="宋体" w:eastAsia="宋体" w:cs="宋体"/>
                <w:color w:val="000000"/>
                <w:kern w:val="0"/>
                <w:sz w:val="21"/>
                <w:szCs w:val="21"/>
                <w:lang w:val="zh-CN" w:eastAsia="zh-CN" w:bidi="ar"/>
              </w:rPr>
              <w:t>在项目决策、项目管理、项目结果等方面表现较好，但在项目实施过程中，我们面临一些问题和挑战，包括人道救助资源配置的不平衡、以及志愿者招募难度大、红十字会知名度不高，影响了人道救助效率和公众参与度。</w:t>
            </w:r>
          </w:p>
          <w:p w14:paraId="3240C98E">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iCs/>
                <w:color w:val="000000"/>
                <w:sz w:val="21"/>
                <w:szCs w:val="21"/>
                <w:u w:val="none"/>
              </w:rPr>
            </w:pPr>
          </w:p>
        </w:tc>
      </w:tr>
      <w:tr w14:paraId="4F18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exac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2AAB">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69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8354D6">
            <w:pPr>
              <w:pageBreakBefore w:val="0"/>
              <w:widowControl/>
              <w:kinsoku/>
              <w:wordWrap/>
              <w:overflowPunct/>
              <w:topLinePunct w:val="0"/>
              <w:bidi w:val="0"/>
              <w:spacing w:line="576" w:lineRule="exact"/>
              <w:ind w:left="0" w:leftChars="0"/>
              <w:jc w:val="left"/>
              <w:textAlignment w:val="center"/>
              <w:rPr>
                <w:rFonts w:hint="eastAsia" w:ascii="宋体" w:hAnsi="宋体" w:eastAsia="宋体" w:cs="宋体"/>
                <w:color w:val="000000"/>
                <w:kern w:val="0"/>
                <w:sz w:val="21"/>
                <w:szCs w:val="21"/>
                <w:lang w:val="en" w:eastAsia="zh-CN" w:bidi="ar"/>
              </w:rPr>
            </w:pPr>
            <w:r>
              <w:rPr>
                <w:rFonts w:hint="eastAsia" w:ascii="宋体" w:hAnsi="宋体" w:eastAsia="宋体" w:cs="宋体"/>
                <w:color w:val="000000"/>
                <w:kern w:val="0"/>
                <w:sz w:val="21"/>
                <w:szCs w:val="21"/>
                <w:lang w:val="zh-CN" w:eastAsia="zh-CN" w:bidi="ar"/>
              </w:rPr>
              <w:t>要加大对偏远和资源匮乏地区的关注和支持，平衡资源配置；通过举办应急救护普及培训和其他宣传活动，增强红十字会的社会影响力，招募更多志愿者；利用现代媒体和互联网技术，提高红十字会工作的可见度和认知度。通过这些措施，我们相信红十字会能够更好地完成其使命，更有效地服务社会和公众。</w:t>
            </w:r>
          </w:p>
          <w:p w14:paraId="322EEECF">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iCs/>
                <w:color w:val="000000"/>
                <w:sz w:val="21"/>
                <w:szCs w:val="21"/>
                <w:u w:val="none"/>
              </w:rPr>
            </w:pPr>
          </w:p>
        </w:tc>
      </w:tr>
    </w:tbl>
    <w:p w14:paraId="25C3DEC2">
      <w:pPr>
        <w:pageBreakBefore w:val="0"/>
        <w:kinsoku/>
        <w:wordWrap/>
        <w:overflowPunct/>
        <w:topLinePunct w:val="0"/>
        <w:bidi w:val="0"/>
        <w:spacing w:line="576" w:lineRule="exact"/>
        <w:ind w:left="0" w:leftChars="0"/>
        <w:rPr>
          <w:rFonts w:hint="eastAsia" w:ascii="Times New Roman" w:hAnsi="Times New Roman" w:eastAsia="黑体" w:cs="黑体"/>
          <w:color w:val="auto"/>
          <w:kern w:val="0"/>
          <w:sz w:val="32"/>
          <w:szCs w:val="32"/>
          <w:highlight w:val="none"/>
          <w:shd w:val="clear" w:color="auto" w:fill="FFFFFF"/>
          <w:lang w:val="zh-CN"/>
        </w:rPr>
      </w:pPr>
    </w:p>
    <w:p w14:paraId="6E435F91">
      <w:pPr>
        <w:pageBreakBefore w:val="0"/>
        <w:widowControl/>
        <w:kinsoku/>
        <w:wordWrap/>
        <w:overflowPunct/>
        <w:topLinePunct w:val="0"/>
        <w:bidi w:val="0"/>
        <w:spacing w:line="576" w:lineRule="exact"/>
        <w:ind w:left="0" w:leftChars="0"/>
        <w:jc w:val="center"/>
        <w:outlineLvl w:val="0"/>
        <w:rPr>
          <w:rFonts w:hint="eastAsia" w:ascii="方正小标宋简体" w:hAnsi="方正小标宋简体" w:eastAsia="方正小标宋简体" w:cs="方正小标宋简体"/>
          <w:b w:val="0"/>
          <w:color w:val="auto"/>
          <w:sz w:val="44"/>
          <w:szCs w:val="44"/>
          <w:highlight w:val="none"/>
        </w:rPr>
      </w:pPr>
      <w:bookmarkStart w:id="105" w:name="_Toc14560"/>
      <w:bookmarkStart w:id="106" w:name="_Toc15396618"/>
      <w:r>
        <w:rPr>
          <w:rFonts w:hint="eastAsia" w:ascii="方正小标宋简体" w:hAnsi="方正小标宋简体" w:eastAsia="方正小标宋简体" w:cs="方正小标宋简体"/>
          <w:color w:val="auto"/>
          <w:sz w:val="44"/>
          <w:szCs w:val="44"/>
          <w:highlight w:val="none"/>
        </w:rPr>
        <w:t>第</w:t>
      </w:r>
      <w:r>
        <w:rPr>
          <w:rStyle w:val="29"/>
          <w:rFonts w:hint="eastAsia" w:ascii="方正小标宋简体" w:hAnsi="方正小标宋简体" w:eastAsia="方正小标宋简体" w:cs="方正小标宋简体"/>
          <w:b w:val="0"/>
          <w:color w:val="auto"/>
          <w:sz w:val="44"/>
          <w:szCs w:val="44"/>
          <w:highlight w:val="none"/>
        </w:rPr>
        <w:t>五部分 附表</w:t>
      </w:r>
      <w:bookmarkEnd w:id="99"/>
      <w:bookmarkEnd w:id="105"/>
      <w:bookmarkEnd w:id="106"/>
      <w:bookmarkStart w:id="107" w:name="_Toc15396619"/>
    </w:p>
    <w:p w14:paraId="411CE597">
      <w:pPr>
        <w:pStyle w:val="15"/>
        <w:keepNext w:val="0"/>
        <w:keepLines w:val="0"/>
        <w:pageBreakBefore w:val="0"/>
        <w:kinsoku/>
        <w:wordWrap/>
        <w:overflowPunct/>
        <w:topLinePunct w:val="0"/>
        <w:autoSpaceDE/>
        <w:autoSpaceDN/>
        <w:bidi w:val="0"/>
        <w:adjustRightInd w:val="0"/>
        <w:snapToGrid w:val="0"/>
        <w:spacing w:line="576" w:lineRule="exact"/>
        <w:ind w:left="0" w:leftChars="0"/>
        <w:jc w:val="left"/>
        <w:textAlignment w:val="auto"/>
        <w:rPr>
          <w:rFonts w:hint="eastAsia" w:ascii="Times New Roman" w:hAnsi="Times New Roman" w:eastAsia="仿宋_GB2312" w:cs="仿宋_GB2312"/>
          <w:color w:val="auto"/>
          <w:sz w:val="32"/>
          <w:szCs w:val="32"/>
          <w:highlight w:val="none"/>
        </w:rPr>
      </w:pPr>
    </w:p>
    <w:p w14:paraId="1E973EF1">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一、收入支出决算总表</w:t>
      </w:r>
      <w:bookmarkEnd w:id="107"/>
    </w:p>
    <w:p w14:paraId="078D0572">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108" w:name="_Toc15396620"/>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二、收入决算表</w:t>
      </w:r>
      <w:bookmarkEnd w:id="108"/>
    </w:p>
    <w:p w14:paraId="20690F0E">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109" w:name="_Toc15396621"/>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三、支出决算表</w:t>
      </w:r>
      <w:bookmarkEnd w:id="109"/>
    </w:p>
    <w:p w14:paraId="77B7A869">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110" w:name="_Toc15396622"/>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四、财政拨款收入支出决算总表</w:t>
      </w:r>
      <w:bookmarkEnd w:id="110"/>
    </w:p>
    <w:p w14:paraId="6FC20AB5">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111" w:name="_Toc15396623"/>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五、财政拨款支出决算明细表</w:t>
      </w:r>
      <w:bookmarkEnd w:id="111"/>
      <w:bookmarkStart w:id="112" w:name="_Toc15396624"/>
    </w:p>
    <w:p w14:paraId="2D48B7C7">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六、一般公共预算财政拨款支出决算表</w:t>
      </w:r>
      <w:bookmarkEnd w:id="112"/>
    </w:p>
    <w:p w14:paraId="01D5F9D3">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113" w:name="_Toc15396625"/>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七、一般公共预算财政拨款支出决算明细表</w:t>
      </w:r>
      <w:bookmarkEnd w:id="113"/>
    </w:p>
    <w:p w14:paraId="63776126">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114" w:name="_Toc15396626"/>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八、一般公共预算财政拨款基本支出决算表</w:t>
      </w:r>
      <w:bookmarkEnd w:id="114"/>
    </w:p>
    <w:p w14:paraId="61F0764E">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115" w:name="_Toc15396627"/>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九、一般公共预算财政拨款项目支出决算表</w:t>
      </w:r>
      <w:bookmarkEnd w:id="115"/>
    </w:p>
    <w:p w14:paraId="13231771">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116" w:name="_Toc15396628"/>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十、</w:t>
      </w:r>
      <w:bookmarkEnd w:id="116"/>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政府性基金预算财政拨款收入支出决算表</w:t>
      </w:r>
    </w:p>
    <w:p w14:paraId="08A05AAA">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117" w:name="_Toc15396629"/>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十一、</w:t>
      </w:r>
      <w:bookmarkEnd w:id="117"/>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国有资本经营预算财政拨款收入支出决算表</w:t>
      </w:r>
    </w:p>
    <w:p w14:paraId="5ACFB684">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118" w:name="_Toc15396630"/>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十二、</w:t>
      </w:r>
      <w:bookmarkEnd w:id="118"/>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国有资本经营预算财政拨款支出决算表</w:t>
      </w:r>
    </w:p>
    <w:p w14:paraId="2E69B0CE">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119" w:name="_Toc15396631"/>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十三、</w:t>
      </w:r>
      <w:bookmarkEnd w:id="119"/>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财政拨款“三公”经费支出决算表</w:t>
      </w:r>
    </w:p>
    <w:p w14:paraId="3194C70B">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58B67">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D3EDE">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0D3EDE">
                    <w:pPr>
                      <w:pStyle w:val="9"/>
                    </w:pPr>
                    <w:r>
                      <w:fldChar w:fldCharType="begin"/>
                    </w:r>
                    <w:r>
                      <w:instrText xml:space="preserve"> PAGE  \* MERGEFORMAT </w:instrText>
                    </w:r>
                    <w:r>
                      <w:fldChar w:fldCharType="separate"/>
                    </w:r>
                    <w:r>
                      <w:t>- 1 -</w:t>
                    </w:r>
                    <w:r>
                      <w:fldChar w:fldCharType="end"/>
                    </w:r>
                  </w:p>
                </w:txbxContent>
              </v:textbox>
            </v:shape>
          </w:pict>
        </mc:Fallback>
      </mc:AlternateContent>
    </w:r>
  </w:p>
  <w:p w14:paraId="48E43F0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CBB1">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E8362">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BE8362">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C8EF6">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E9BA3">
                          <w:pPr>
                            <w:pStyle w:val="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BE9BA3">
                    <w:pPr>
                      <w:pStyle w:val="9"/>
                    </w:pPr>
                    <w:r>
                      <w:fldChar w:fldCharType="begin"/>
                    </w:r>
                    <w:r>
                      <w:instrText xml:space="preserve"> PAGE  \* MERGEFORMAT </w:instrText>
                    </w:r>
                    <w:r>
                      <w:fldChar w:fldCharType="separate"/>
                    </w:r>
                    <w:r>
                      <w:t>- 2 -</w:t>
                    </w:r>
                    <w:r>
                      <w:fldChar w:fldCharType="end"/>
                    </w:r>
                  </w:p>
                </w:txbxContent>
              </v:textbox>
            </v:shape>
          </w:pict>
        </mc:Fallback>
      </mc:AlternateContent>
    </w:r>
  </w:p>
  <w:p w14:paraId="24809E7D">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D481">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9CEE6">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A69CEE6">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0DAA7">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36931"/>
    <w:rsid w:val="012A5EC2"/>
    <w:rsid w:val="015975B8"/>
    <w:rsid w:val="02FEBE30"/>
    <w:rsid w:val="030503D9"/>
    <w:rsid w:val="0355755F"/>
    <w:rsid w:val="04577485"/>
    <w:rsid w:val="04817F8D"/>
    <w:rsid w:val="04916F1E"/>
    <w:rsid w:val="061E35DE"/>
    <w:rsid w:val="066E0107"/>
    <w:rsid w:val="07996F6E"/>
    <w:rsid w:val="07DFD8BA"/>
    <w:rsid w:val="08B23693"/>
    <w:rsid w:val="09867E8F"/>
    <w:rsid w:val="0A2032A3"/>
    <w:rsid w:val="0CA8290A"/>
    <w:rsid w:val="0D35B1ED"/>
    <w:rsid w:val="0E254B6B"/>
    <w:rsid w:val="0F98263C"/>
    <w:rsid w:val="101860EC"/>
    <w:rsid w:val="101F47CC"/>
    <w:rsid w:val="10C055FF"/>
    <w:rsid w:val="11694EBD"/>
    <w:rsid w:val="11772AA4"/>
    <w:rsid w:val="11796CCB"/>
    <w:rsid w:val="118107EC"/>
    <w:rsid w:val="12E24EE2"/>
    <w:rsid w:val="133A44C3"/>
    <w:rsid w:val="13D50BC4"/>
    <w:rsid w:val="14576EEE"/>
    <w:rsid w:val="14B17F78"/>
    <w:rsid w:val="165E0673"/>
    <w:rsid w:val="16B831D5"/>
    <w:rsid w:val="16BB723D"/>
    <w:rsid w:val="17E50567"/>
    <w:rsid w:val="186504BB"/>
    <w:rsid w:val="19A445FC"/>
    <w:rsid w:val="19D5052A"/>
    <w:rsid w:val="1BE8440E"/>
    <w:rsid w:val="1D155CEE"/>
    <w:rsid w:val="1D1638FE"/>
    <w:rsid w:val="1E110F21"/>
    <w:rsid w:val="1E312DEB"/>
    <w:rsid w:val="1E740ACF"/>
    <w:rsid w:val="1FF35744"/>
    <w:rsid w:val="1FF6BC77"/>
    <w:rsid w:val="2186353C"/>
    <w:rsid w:val="218A68E9"/>
    <w:rsid w:val="2366379D"/>
    <w:rsid w:val="23860B96"/>
    <w:rsid w:val="240371BF"/>
    <w:rsid w:val="244F3473"/>
    <w:rsid w:val="24C97D99"/>
    <w:rsid w:val="25A718F0"/>
    <w:rsid w:val="25BB59F6"/>
    <w:rsid w:val="260F557C"/>
    <w:rsid w:val="26970054"/>
    <w:rsid w:val="27053DD4"/>
    <w:rsid w:val="281408E2"/>
    <w:rsid w:val="29FD04D3"/>
    <w:rsid w:val="2BFF7BC6"/>
    <w:rsid w:val="2C882884"/>
    <w:rsid w:val="2C8A61B5"/>
    <w:rsid w:val="2CE92FEB"/>
    <w:rsid w:val="2DF04E50"/>
    <w:rsid w:val="2E586DFA"/>
    <w:rsid w:val="2EF052E8"/>
    <w:rsid w:val="2F040D46"/>
    <w:rsid w:val="2F6B035B"/>
    <w:rsid w:val="2FAE5751"/>
    <w:rsid w:val="2FB1A395"/>
    <w:rsid w:val="2FD9A7D8"/>
    <w:rsid w:val="2FDBF714"/>
    <w:rsid w:val="30AB6865"/>
    <w:rsid w:val="319F7F4E"/>
    <w:rsid w:val="32BD1EF1"/>
    <w:rsid w:val="3304709D"/>
    <w:rsid w:val="330662B0"/>
    <w:rsid w:val="33A773CB"/>
    <w:rsid w:val="349D6851"/>
    <w:rsid w:val="36AA5135"/>
    <w:rsid w:val="36BE0DA7"/>
    <w:rsid w:val="376B6AA6"/>
    <w:rsid w:val="376D39B2"/>
    <w:rsid w:val="37E16F03"/>
    <w:rsid w:val="37F53A3B"/>
    <w:rsid w:val="389B6C89"/>
    <w:rsid w:val="38D469F0"/>
    <w:rsid w:val="39627CCD"/>
    <w:rsid w:val="397BAF1F"/>
    <w:rsid w:val="3A427B13"/>
    <w:rsid w:val="3AB79AF3"/>
    <w:rsid w:val="3AE834C0"/>
    <w:rsid w:val="3B7EF35A"/>
    <w:rsid w:val="3B9FDB6C"/>
    <w:rsid w:val="3BF5BC2F"/>
    <w:rsid w:val="3CEBA265"/>
    <w:rsid w:val="3D98207C"/>
    <w:rsid w:val="3DEE7CF3"/>
    <w:rsid w:val="3E740A63"/>
    <w:rsid w:val="3E78745D"/>
    <w:rsid w:val="3EE17838"/>
    <w:rsid w:val="3F55381A"/>
    <w:rsid w:val="3F5E6880"/>
    <w:rsid w:val="3F7F7599"/>
    <w:rsid w:val="3FF4CAE0"/>
    <w:rsid w:val="3FF7B227"/>
    <w:rsid w:val="44E268DA"/>
    <w:rsid w:val="450D13D7"/>
    <w:rsid w:val="45506656"/>
    <w:rsid w:val="45D47FA2"/>
    <w:rsid w:val="4768268B"/>
    <w:rsid w:val="486A6C7A"/>
    <w:rsid w:val="4A627F82"/>
    <w:rsid w:val="4ABB6AB7"/>
    <w:rsid w:val="4B0E749A"/>
    <w:rsid w:val="4B2477C4"/>
    <w:rsid w:val="4B4F25DA"/>
    <w:rsid w:val="4BE068DB"/>
    <w:rsid w:val="4D577224"/>
    <w:rsid w:val="4DBF1CEB"/>
    <w:rsid w:val="4DF0007C"/>
    <w:rsid w:val="4EAB630A"/>
    <w:rsid w:val="4ECE2238"/>
    <w:rsid w:val="4F833267"/>
    <w:rsid w:val="4FE9BD67"/>
    <w:rsid w:val="4FFB052F"/>
    <w:rsid w:val="504A52B5"/>
    <w:rsid w:val="537E6D0A"/>
    <w:rsid w:val="53F74C96"/>
    <w:rsid w:val="55170BA8"/>
    <w:rsid w:val="553218C9"/>
    <w:rsid w:val="555979A7"/>
    <w:rsid w:val="567E1AA5"/>
    <w:rsid w:val="56E47B74"/>
    <w:rsid w:val="57000AE0"/>
    <w:rsid w:val="57175D52"/>
    <w:rsid w:val="57BD3DD4"/>
    <w:rsid w:val="59017B4C"/>
    <w:rsid w:val="59E85E60"/>
    <w:rsid w:val="5AF92295"/>
    <w:rsid w:val="5B250254"/>
    <w:rsid w:val="5B9733C8"/>
    <w:rsid w:val="5BDD79E6"/>
    <w:rsid w:val="5BF561CA"/>
    <w:rsid w:val="5BFF5DFC"/>
    <w:rsid w:val="5CD71FC4"/>
    <w:rsid w:val="5D1F11B5"/>
    <w:rsid w:val="5D695134"/>
    <w:rsid w:val="5DA71965"/>
    <w:rsid w:val="5DAE1B18"/>
    <w:rsid w:val="5DE7D9E5"/>
    <w:rsid w:val="5ECEC941"/>
    <w:rsid w:val="5FBF9FF3"/>
    <w:rsid w:val="5FCD4E2C"/>
    <w:rsid w:val="5FEF394A"/>
    <w:rsid w:val="5FF67715"/>
    <w:rsid w:val="62BF3928"/>
    <w:rsid w:val="62F23D84"/>
    <w:rsid w:val="63B3701E"/>
    <w:rsid w:val="64140C79"/>
    <w:rsid w:val="647F5392"/>
    <w:rsid w:val="65073E19"/>
    <w:rsid w:val="65281E29"/>
    <w:rsid w:val="65E66580"/>
    <w:rsid w:val="664B1D71"/>
    <w:rsid w:val="664B4E8E"/>
    <w:rsid w:val="66C55B5C"/>
    <w:rsid w:val="67277B67"/>
    <w:rsid w:val="67AA3209"/>
    <w:rsid w:val="698D0931"/>
    <w:rsid w:val="6A7FE5F3"/>
    <w:rsid w:val="6B053271"/>
    <w:rsid w:val="6B505529"/>
    <w:rsid w:val="6BDD78B3"/>
    <w:rsid w:val="6C4A05C8"/>
    <w:rsid w:val="6C8742B8"/>
    <w:rsid w:val="6DBF5E93"/>
    <w:rsid w:val="6DFF077E"/>
    <w:rsid w:val="6E714EF0"/>
    <w:rsid w:val="6E7E3605"/>
    <w:rsid w:val="6E7FDCC7"/>
    <w:rsid w:val="6ED6A62E"/>
    <w:rsid w:val="6EE00B15"/>
    <w:rsid w:val="6F6FB3EB"/>
    <w:rsid w:val="6F8731EA"/>
    <w:rsid w:val="6FC309E3"/>
    <w:rsid w:val="6FCE6052"/>
    <w:rsid w:val="6FD57C00"/>
    <w:rsid w:val="6FEFFFD8"/>
    <w:rsid w:val="6FF5CC65"/>
    <w:rsid w:val="6FFB47EC"/>
    <w:rsid w:val="6FFF034A"/>
    <w:rsid w:val="70484440"/>
    <w:rsid w:val="704A3BFB"/>
    <w:rsid w:val="712A28F1"/>
    <w:rsid w:val="715C0E4B"/>
    <w:rsid w:val="718129CA"/>
    <w:rsid w:val="71992E7C"/>
    <w:rsid w:val="72020806"/>
    <w:rsid w:val="72233669"/>
    <w:rsid w:val="725A0553"/>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9F07014"/>
    <w:rsid w:val="7A894339"/>
    <w:rsid w:val="7AD284E8"/>
    <w:rsid w:val="7AFF7572"/>
    <w:rsid w:val="7B6C7DFB"/>
    <w:rsid w:val="7BBFBED0"/>
    <w:rsid w:val="7BC3E394"/>
    <w:rsid w:val="7C1F3737"/>
    <w:rsid w:val="7C571FDD"/>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E45BF"/>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4"/>
    <w:basedOn w:val="1"/>
    <w:next w:val="1"/>
    <w:semiHidden/>
    <w:unhideWhenUsed/>
    <w:qFormat/>
    <w:uiPriority w:val="39"/>
    <w:pPr>
      <w:ind w:left="1260" w:leftChars="600"/>
    </w:p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6"/>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9"/>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8"/>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Info spid="_x0000_s1030"/>
    <customShpInfo spid="_x0000_s1031"/>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5600</Words>
  <Characters>6203</Characters>
  <Lines>61</Lines>
  <Paragraphs>17</Paragraphs>
  <TotalTime>0</TotalTime>
  <ScaleCrop>false</ScaleCrop>
  <LinksUpToDate>false</LinksUpToDate>
  <CharactersWithSpaces>6345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Ms、丹</cp:lastModifiedBy>
  <cp:lastPrinted>2025-09-19T02:28:00Z</cp:lastPrinted>
  <dcterms:modified xsi:type="dcterms:W3CDTF">2025-09-22T03:50:17Z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A351A24FB6374CE385E13487ED261C2C_13</vt:lpwstr>
  </property>
  <property fmtid="{D5CDD505-2E9C-101B-9397-08002B2CF9AE}" pid="4" name="KSOTemplateDocerSaveRecord">
    <vt:lpwstr>eyJoZGlkIjoiNWUwNWQ1NWFmMDE2ZjNmY2RkYTlkOTI4ZDY4M2Q2MDUiLCJ1c2VySWQiOiI0NTE1MDUzMzMifQ==</vt:lpwstr>
  </property>
</Properties>
</file>