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uppressAutoHyphens/>
        <w:jc w:val="center"/>
        <w:rPr>
          <w:rFonts w:ascii="Arial Unicode MS" w:eastAsia="Arial Unicode MS" w:cs="Arial Unicode MS" w:hAnsi="Arial Unicode MS" w:hint="eastAsia"/>
          <w:color w:val="000000"/>
          <w:kern w:val="0"/>
          <w:sz w:val="44"/>
          <w:szCs w:val="44"/>
          <w:lang w:val="en-US" w:eastAsia="zh-CN"/>
        </w:rPr>
      </w:pPr>
    </w:p>
    <w:p>
      <w:pPr>
        <w:widowControl/>
        <w:suppressAutoHyphens/>
        <w:jc w:val="center"/>
        <w:rPr>
          <w:rFonts w:ascii="Arial Unicode MS" w:eastAsia="Arial Unicode MS" w:cs="Arial Unicode MS" w:hAnsi="Arial Unicode MS" w:hint="eastAsia"/>
          <w:color w:val="000000"/>
          <w:kern w:val="0"/>
          <w:sz w:val="44"/>
          <w:szCs w:val="44"/>
          <w:lang w:val="en-US" w:eastAsia="zh-CN"/>
        </w:rPr>
      </w:pPr>
    </w:p>
    <w:p>
      <w:pPr>
        <w:widowControl/>
        <w:suppressAutoHyphens/>
        <w:jc w:val="center"/>
        <w:rPr>
          <w:rFonts w:ascii="Arial Unicode MS" w:eastAsia="Arial Unicode MS" w:cs="Arial Unicode MS" w:hAnsi="Arial Unicode MS" w:hint="eastAsia"/>
          <w:color w:val="000000"/>
          <w:kern w:val="0"/>
          <w:sz w:val="44"/>
          <w:szCs w:val="44"/>
          <w:lang w:val="en-US" w:eastAsia="zh-CN"/>
        </w:rPr>
      </w:pPr>
    </w:p>
    <w:p>
      <w:pPr>
        <w:widowControl/>
        <w:suppressAutoHyphens/>
        <w:jc w:val="center"/>
        <w:rPr>
          <w:rFonts w:ascii="Arial Unicode MS" w:eastAsia="Arial Unicode MS" w:cs="Arial Unicode MS" w:hAnsi="Arial Unicode MS" w:hint="eastAsia"/>
          <w:color w:val="000000"/>
          <w:kern w:val="0"/>
          <w:sz w:val="44"/>
          <w:szCs w:val="44"/>
          <w:lang w:val="en-US" w:eastAsia="zh-CN"/>
        </w:rPr>
      </w:pPr>
    </w:p>
    <w:p>
      <w:pPr>
        <w:widowControl/>
        <w:suppressAutoHyphens/>
        <w:jc w:val="center"/>
        <w:rPr>
          <w:rFonts w:ascii="Arial Unicode MS" w:eastAsia="Arial Unicode MS" w:cs="Arial Unicode MS" w:hAnsi="Arial Unicode MS" w:hint="eastAsia"/>
          <w:color w:val="000000"/>
          <w:kern w:val="0"/>
          <w:sz w:val="44"/>
          <w:szCs w:val="44"/>
          <w:lang w:val="en-US" w:eastAsia="zh-CN"/>
        </w:rPr>
      </w:pPr>
    </w:p>
    <w:p>
      <w:pPr>
        <w:widowControl w:val="0"/>
        <w:suppressAutoHyphens/>
        <w:jc w:val="center"/>
        <w:rPr>
          <w:rFonts w:ascii="黑体" w:eastAsia="黑体" w:cs="Times New Roman" w:hint="eastAsia"/>
          <w:sz w:val="44"/>
          <w:szCs w:val="44"/>
        </w:rPr>
      </w:pPr>
      <w:r>
        <w:rPr>
          <w:rFonts w:ascii="黑体" w:eastAsia="黑体" w:cs="Times New Roman" w:hint="eastAsia"/>
          <w:sz w:val="44"/>
          <w:szCs w:val="44"/>
          <w:lang w:val="en-US" w:eastAsia="zh-CN"/>
        </w:rPr>
        <w:t>关于</w:t>
      </w:r>
      <w:r>
        <w:rPr>
          <w:rFonts w:ascii="黑体" w:eastAsia="黑体" w:cs="Times New Roman" w:hint="eastAsia"/>
          <w:sz w:val="44"/>
          <w:szCs w:val="44"/>
        </w:rPr>
        <w:t>茂县凤仪镇幼儿园单位</w:t>
      </w:r>
    </w:p>
    <w:p>
      <w:pPr>
        <w:widowControl w:val="0"/>
        <w:suppressAutoHyphens/>
        <w:jc w:val="center"/>
        <w:rPr>
          <w:rFonts w:ascii="黑体" w:eastAsia="黑体" w:cs="Times New Roman" w:hint="eastAsia"/>
          <w:sz w:val="44"/>
          <w:szCs w:val="44"/>
          <w:lang w:val="en-US" w:eastAsia="zh-CN"/>
        </w:rPr>
      </w:pPr>
      <w:r>
        <w:rPr>
          <w:rFonts w:ascii="黑体" w:eastAsia="黑体" w:cs="Times New Roman" w:hint="eastAsia"/>
          <w:sz w:val="44"/>
          <w:szCs w:val="44"/>
        </w:rPr>
        <w:t>2026年部门</w:t>
      </w:r>
      <w:r>
        <w:rPr>
          <w:rFonts w:ascii="黑体" w:eastAsia="黑体" w:cs="Times New Roman" w:hint="eastAsia"/>
          <w:sz w:val="44"/>
          <w:szCs w:val="44"/>
          <w:lang w:val="en-US" w:eastAsia="zh-CN"/>
        </w:rPr>
        <w:t>预算</w:t>
      </w: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center"/>
        <w:rPr>
          <w:rFonts w:ascii="仿宋_GB2312" w:eastAsia="仿宋_GB2312" w:cs="仿宋_GB2312"/>
          <w:color w:val="000000"/>
          <w:kern w:val="0"/>
          <w:sz w:val="44"/>
          <w:szCs w:val="44"/>
          <w:lang w:val="en-US" w:eastAsia="zh-CN"/>
        </w:rPr>
      </w:pPr>
      <w:r>
        <w:rPr>
          <w:rFonts w:ascii="仿宋_GB2312" w:eastAsia="仿宋_GB2312" w:cs="仿宋_GB2312" w:hint="eastAsia"/>
          <w:color w:val="000000"/>
          <w:kern w:val="0"/>
          <w:sz w:val="44"/>
          <w:szCs w:val="44"/>
          <w:lang w:val="en-US" w:eastAsia="zh-CN"/>
        </w:rPr>
        <w:t>2026年4月3日</w:t>
      </w:r>
    </w:p>
    <w:p>
      <w:pPr>
        <w:widowControl/>
        <w:suppressAutoHyphens/>
        <w:jc w:val="center"/>
        <w:rPr>
          <w:rFonts w:ascii="Arial Unicode MS" w:eastAsia="Arial Unicode MS" w:cs="Arial Unicode MS" w:hAnsi="Arial Unicode MS" w:hint="eastAsia"/>
          <w:color w:val="000000"/>
          <w:kern w:val="0"/>
          <w:sz w:val="44"/>
          <w:szCs w:val="44"/>
        </w:rPr>
      </w:pPr>
    </w:p>
    <w:p>
      <w:pPr>
        <w:widowControl/>
        <w:suppressAutoHyphens/>
        <w:jc w:val="both"/>
        <w:rPr>
          <w:rFonts w:ascii="Arial Unicode MS" w:eastAsia="Arial Unicode MS" w:cs="Arial Unicode MS" w:hAnsi="Arial Unicode MS" w:hint="eastAsia"/>
          <w:color w:val="000000"/>
          <w:kern w:val="0"/>
          <w:sz w:val="44"/>
          <w:szCs w:val="44"/>
        </w:rPr>
      </w:pPr>
    </w:p>
    <w:p>
      <w:pPr>
        <w:ind w:firstLineChars="600" w:firstLine="3120"/>
        <w:rPr>
          <w:rFonts w:ascii="黑体" w:eastAsia="黑体" w:hint="eastAsia"/>
          <w:sz w:val="52"/>
          <w:szCs w:val="52"/>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0"/>
        <w:ind w:firstLineChars="0" w:firstLine="0"/>
        <w:rPr>
          <w:rFonts w:ascii="黑体" w:eastAsia="黑体"/>
          <w:sz w:val="32"/>
          <w:szCs w:val="32"/>
        </w:rPr>
      </w:pPr>
      <w:r>
        <w:rPr>
          <w:rFonts w:ascii="黑体" w:eastAsia="黑体" w:hint="eastAsia"/>
          <w:sz w:val="32"/>
          <w:szCs w:val="32"/>
        </w:rPr>
        <w:t>一、基本职能及主要工作</w:t>
      </w:r>
    </w:p>
    <w:p>
      <w:pPr>
        <w:widowControl w:val="0"/>
        <w:suppressAutoHyphens/>
        <w:rPr>
          <w:rFonts w:ascii="楷体_GB2312" w:eastAsia="楷体_GB2312" w:cs="Times New Roman" w:hint="eastAsia"/>
          <w:sz w:val="32"/>
          <w:szCs w:val="32"/>
        </w:rPr>
      </w:pPr>
      <w:r>
        <w:rPr>
          <w:rFonts w:ascii="方正楷体_GB2312" w:eastAsia="方正楷体_GB2312" w:hint="eastAsia"/>
          <w:sz w:val="32"/>
          <w:szCs w:val="32"/>
        </w:rPr>
        <w:t>（</w:t>
      </w:r>
      <w:r>
        <w:rPr>
          <w:rFonts w:ascii="楷体_GB2312" w:eastAsia="楷体_GB2312" w:cs="Times New Roman" w:hint="eastAsia"/>
          <w:sz w:val="32"/>
          <w:szCs w:val="32"/>
        </w:rPr>
        <w:t>一）部门职能简介</w:t>
      </w:r>
    </w:p>
    <w:p>
      <w:pPr>
        <w:widowControl w:val="0"/>
        <w:suppressAutoHyphens/>
        <w:rPr>
          <w:rFonts w:ascii="楷体_GB2312" w:eastAsia="楷体_GB2312" w:cs="Times New Roman" w:hint="eastAsia"/>
          <w:sz w:val="32"/>
          <w:szCs w:val="32"/>
        </w:rPr>
      </w:pPr>
      <w:r>
        <w:rPr>
          <w:rFonts w:ascii="楷体_GB2312" w:eastAsia="楷体_GB2312" w:cs="Times New Roman" w:hint="eastAsia"/>
          <w:sz w:val="32"/>
          <w:szCs w:val="32"/>
        </w:rPr>
        <w:t>（二）202</w:t>
      </w:r>
      <w:r>
        <w:rPr>
          <w:rFonts w:ascii="楷体_GB2312" w:eastAsia="楷体_GB2312" w:cs="Times New Roman" w:hint="eastAsia"/>
          <w:sz w:val="32"/>
          <w:szCs w:val="32"/>
          <w:lang w:val="en-US" w:eastAsia="zh-CN"/>
        </w:rPr>
        <w:t>6</w:t>
      </w:r>
      <w:r>
        <w:rPr>
          <w:rFonts w:ascii="楷体_GB2312" w:eastAsia="楷体_GB2312" w:cs="Times New Roman"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widowControl w:val="0"/>
        <w:suppressAutoHyphens/>
        <w:rPr>
          <w:rFonts w:ascii="楷体_GB2312" w:eastAsia="楷体_GB2312" w:cs="Times New Roman" w:hint="eastAsia"/>
          <w:sz w:val="32"/>
          <w:szCs w:val="32"/>
        </w:rPr>
      </w:pPr>
      <w:r>
        <w:rPr>
          <w:rFonts w:ascii="楷体_GB2312" w:eastAsia="楷体_GB2312" w:cs="Times New Roman" w:hint="eastAsia"/>
          <w:sz w:val="32"/>
          <w:szCs w:val="32"/>
        </w:rPr>
        <w:t>（一）收入预算情况</w:t>
      </w:r>
    </w:p>
    <w:p>
      <w:pPr>
        <w:widowControl w:val="0"/>
        <w:suppressAutoHyphens/>
        <w:rPr>
          <w:rFonts w:ascii="楷体_GB2312" w:eastAsia="楷体_GB2312" w:cs="Times New Roman" w:hint="eastAsia"/>
          <w:sz w:val="32"/>
          <w:szCs w:val="32"/>
        </w:rPr>
      </w:pPr>
      <w:r>
        <w:rPr>
          <w:rFonts w:ascii="楷体_GB2312" w:eastAsia="楷体_GB2312" w:cs="Times New Roman"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cs="Times New Roman" w:hint="eastAsia"/>
          <w:sz w:val="32"/>
          <w:szCs w:val="32"/>
        </w:rPr>
        <w:t>（一）一般公共预算当年拨款规模变化情况</w:t>
        <w:br/>
        <w:t>（二）一般公共预算当年拨款结构情况</w:t>
        <w:br/>
        <w:t>（三）一般公共预算当年拨款具体使用情况</w:t>
      </w:r>
      <w:r>
        <w:rPr>
          <w:rFonts w:ascii="方正楷体_GB2312" w:eastAsia="方正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pStyle w:val="19"/>
        <w:rPr>
          <w:rFonts w:hint="eastAsia"/>
        </w:rPr>
      </w:pPr>
    </w:p>
    <w:p>
      <w:pPr>
        <w:pStyle w:val="19"/>
        <w:rPr>
          <w:rFonts w:hint="eastAsia"/>
        </w:rPr>
      </w:pP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一、基本职能及主要工作</w:t>
      </w:r>
    </w:p>
    <w:p>
      <w:pPr>
        <w:spacing w:line="580" w:lineRule="exact"/>
        <w:ind w:firstLineChars="200" w:firstLine="640"/>
        <w:jc w:val="left"/>
        <w:outlineLvl w:val="2"/>
        <w:rPr>
          <w:rFonts w:ascii="楷体" w:eastAsia="楷体" w:cs="楷体" w:hint="eastAsia"/>
          <w:b w:val="0"/>
          <w:bCs/>
          <w:sz w:val="32"/>
          <w:szCs w:val="32"/>
        </w:rPr>
      </w:pPr>
      <w:r>
        <w:rPr>
          <w:rFonts w:ascii="楷体" w:eastAsia="楷体" w:cs="楷体" w:hint="eastAsia"/>
          <w:b w:val="0"/>
          <w:bCs/>
          <w:sz w:val="32"/>
          <w:szCs w:val="32"/>
        </w:rPr>
        <w:t>(一)</w:t>
      </w:r>
      <w:r>
        <w:rPr>
          <w:rFonts w:ascii="楷体" w:eastAsia="楷体" w:cs="楷体"/>
          <w:sz w:val="32"/>
          <w:u w:color="auto"/>
        </w:rPr>
        <w:t>职能简介。</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1.贯彻执行有关教育工作的法律法规和方针政策。</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2.为学龄前儿童实施保育教育服务。</w:t>
      </w:r>
    </w:p>
    <w:p>
      <w:pPr>
        <w:spacing w:line="580" w:lineRule="exact"/>
        <w:ind w:firstLineChars="200" w:firstLine="640"/>
        <w:jc w:val="left"/>
        <w:outlineLvl w:val="2"/>
        <w:rPr>
          <w:rFonts w:ascii="楷体" w:eastAsia="楷体" w:cs="楷体" w:hint="eastAsia"/>
          <w:b w:val="0"/>
          <w:bCs/>
          <w:sz w:val="32"/>
          <w:szCs w:val="32"/>
        </w:rPr>
      </w:pPr>
      <w:r>
        <w:rPr>
          <w:rFonts w:ascii="楷体" w:eastAsia="楷体" w:cs="楷体" w:hint="eastAsia"/>
          <w:b w:val="0"/>
          <w:bCs/>
          <w:sz w:val="32"/>
          <w:szCs w:val="32"/>
          <w:lang w:eastAsia="zh-CN"/>
        </w:rPr>
        <w:t>（</w:t>
      </w:r>
      <w:r>
        <w:rPr>
          <w:rFonts w:ascii="楷体" w:eastAsia="楷体" w:cs="楷体" w:hint="eastAsia"/>
          <w:b w:val="0"/>
          <w:bCs/>
          <w:sz w:val="32"/>
          <w:szCs w:val="32"/>
          <w:lang w:val="en-US" w:eastAsia="zh-CN"/>
        </w:rPr>
        <w:t>二）</w:t>
      </w:r>
      <w:r>
        <w:rPr>
          <w:rFonts w:ascii="楷体" w:eastAsia="楷体" w:cs="楷体"/>
          <w:b w:val="0"/>
          <w:bCs/>
          <w:sz w:val="32"/>
          <w:szCs w:val="32"/>
        </w:rPr>
        <w:t>2026</w:t>
      </w:r>
      <w:r>
        <w:rPr>
          <w:rFonts w:ascii="楷体" w:eastAsia="楷体" w:cs="楷体"/>
          <w:sz w:val="32"/>
          <w:u w:color="auto"/>
        </w:rPr>
        <w:t>重点工作。</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1.强化校园安全工作，重点落实安全责任，坚持把安全工作放在重中之重来抓。做好各类传染疾病预防及宣传工作，掌握师幼健康状况。</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2.加强教师队伍建设，狠抓常规教学，努力提升办园质量；加强教科研工作，构建园本课程；加强骨干教师的培养工作，不断提升业务水平。</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3.加大宣传力度，树立良好的幼儿园形象。</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4.加强家园联系，争取家长的理解、支持和主动参与幼儿园的教育。</w:t>
      </w:r>
    </w:p>
    <w:p>
      <w:pPr>
        <w:widowControl w:val="0"/>
        <w:suppressAutoHyphens/>
        <w:spacing w:line="560" w:lineRule="exact"/>
        <w:ind w:firstLineChars="200" w:firstLine="640"/>
        <w:rPr>
          <w:rFonts w:ascii="方正仿宋_GB2312" w:eastAsia="方正仿宋_GB2312" w:cs="方正仿宋_GB2312" w:hint="eastAsia"/>
          <w:b/>
          <w:sz w:val="32"/>
          <w:szCs w:val="32"/>
        </w:rPr>
      </w:pPr>
      <w:r>
        <w:rPr>
          <w:rFonts w:ascii="仿宋_GB2312" w:eastAsia="仿宋_GB2312" w:cs="Times New Roman" w:hint="eastAsia"/>
          <w:sz w:val="32"/>
          <w:szCs w:val="32"/>
        </w:rPr>
        <w:t>5.全面实施素质教育，规范以责任制为核心的管理体制，加强园所管理。</w:t>
      </w: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二、部门概况</w:t>
      </w:r>
    </w:p>
    <w:p>
      <w:pPr>
        <w:widowControl w:val="0"/>
        <w:suppressAutoHyphens/>
        <w:spacing w:line="560" w:lineRule="exact"/>
        <w:ind w:firstLineChars="200" w:firstLine="640"/>
        <w:rPr>
          <w:rFonts w:ascii="方正仿宋_GB2312" w:eastAsia="方正仿宋_GB2312" w:cs="方正仿宋_GB2312" w:hint="eastAsia"/>
          <w:sz w:val="32"/>
          <w:szCs w:val="32"/>
        </w:rPr>
      </w:pPr>
      <w:r>
        <w:rPr>
          <w:rFonts w:ascii="仿宋_GB2312" w:eastAsia="仿宋_GB2312" w:cs="Times New Roman" w:hint="eastAsia"/>
          <w:sz w:val="32"/>
          <w:szCs w:val="32"/>
        </w:rPr>
        <w:t>茂县凤仪镇幼儿园为县教育局下属二级预算单位。</w:t>
      </w:r>
      <w:r>
        <w:rPr>
          <w:rFonts w:ascii="仿宋_GB2312" w:eastAsia="仿宋_GB2312" w:hint="eastAsia"/>
          <w:sz w:val="32"/>
          <w:szCs w:val="32"/>
        </w:rPr>
        <w:t>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w:t>
      </w: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三、收支预算总体情况</w:t>
      </w:r>
    </w:p>
    <w:p>
      <w:pPr>
        <w:widowControl w:val="0"/>
        <w:suppressAutoHyphens/>
        <w:spacing w:line="560" w:lineRule="exact"/>
        <w:ind w:firstLineChars="200" w:firstLine="640"/>
        <w:rPr>
          <w:rFonts w:ascii="仿宋_GB2312" w:eastAsia="仿宋_GB2312" w:cs="Times New Roman" w:hint="eastAsia"/>
          <w:sz w:val="32"/>
          <w:szCs w:val="32"/>
          <w:lang w:eastAsia="zh-CN"/>
        </w:rPr>
      </w:pPr>
      <w:r>
        <w:rPr>
          <w:rFonts w:ascii="仿宋_GB2312" w:eastAsia="仿宋_GB2312" w:cs="Times New Roman" w:hint="eastAsia"/>
          <w:sz w:val="32"/>
          <w:szCs w:val="32"/>
        </w:rPr>
        <w:t>按照综合预算的原则，茂县凤仪镇幼儿园所有收入和支出均纳入单位预算管理。茂县凤仪镇幼儿园2026年收支预算总数6846190.65元，</w:t>
      </w:r>
      <w:r>
        <w:rPr>
          <w:rFonts w:ascii="仿宋_GB2312" w:eastAsia="仿宋_GB2312" w:cs="Times New Roman" w:hint="eastAsia"/>
          <w:sz w:val="32"/>
          <w:szCs w:val="32"/>
          <w:lang w:val="en-US" w:eastAsia="zh-CN"/>
        </w:rPr>
        <w:t>较</w:t>
      </w:r>
      <w:r>
        <w:rPr>
          <w:rFonts w:ascii="仿宋_GB2312" w:eastAsia="仿宋_GB2312" w:cs="Times New Roman" w:hint="eastAsia"/>
          <w:sz w:val="32"/>
          <w:szCs w:val="32"/>
        </w:rPr>
        <w:t>2025年增加603028.80元</w:t>
      </w:r>
      <w:r>
        <w:rPr>
          <w:rFonts w:ascii="仿宋_GB2312" w:eastAsia="仿宋_GB2312" w:cs="Times New Roman" w:hint="eastAsia"/>
          <w:sz w:val="32"/>
          <w:szCs w:val="32"/>
          <w:lang w:eastAsia="zh-CN"/>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cs="Times New Roman" w:hint="eastAsia"/>
          <w:sz w:val="32"/>
          <w:szCs w:val="32"/>
        </w:rPr>
      </w:pPr>
      <w:r>
        <w:rPr>
          <w:rFonts w:ascii="仿宋_GB2312" w:eastAsia="仿宋_GB2312"/>
          <w:sz w:val="32"/>
          <w:szCs w:val="32"/>
        </w:rPr>
        <w:t>　</w:t>
      </w:r>
      <w:r>
        <w:rPr>
          <w:rFonts w:ascii="仿宋_GB2312" w:eastAsia="仿宋_GB2312" w:cs="Times New Roman" w:hint="eastAsia"/>
          <w:sz w:val="32"/>
          <w:szCs w:val="32"/>
        </w:rPr>
        <w:t>　茂县凤仪镇幼儿园2026年收入预算</w:t>
      </w:r>
      <w:r>
        <w:rPr>
          <w:rFonts w:ascii="仿宋_GB2312" w:eastAsia="仿宋_GB2312" w:cs="Times New Roman" w:hint="eastAsia"/>
          <w:sz w:val="32"/>
          <w:szCs w:val="32"/>
          <w:lang w:eastAsia="zh-CN"/>
        </w:rPr>
        <w:t>6846190.65元</w:t>
      </w:r>
      <w:r>
        <w:rPr>
          <w:rFonts w:ascii="仿宋_GB2312" w:eastAsia="仿宋_GB2312" w:cs="Times New Roman" w:hint="eastAsia"/>
          <w:sz w:val="32"/>
          <w:szCs w:val="32"/>
        </w:rPr>
        <w:t>，上年结转0元；一般公共预算拨款收入</w:t>
      </w:r>
      <w:r>
        <w:rPr>
          <w:rFonts w:ascii="仿宋_GB2312" w:eastAsia="仿宋_GB2312" w:cs="Times New Roman" w:hint="eastAsia"/>
          <w:sz w:val="32"/>
          <w:szCs w:val="32"/>
          <w:lang w:eastAsia="zh-CN"/>
        </w:rPr>
        <w:t>6846190.65元</w:t>
      </w:r>
      <w:r>
        <w:rPr>
          <w:rFonts w:ascii="仿宋_GB2312" w:eastAsia="仿宋_GB2312" w:cs="Times New Roman" w:hint="eastAsia"/>
          <w:sz w:val="32"/>
          <w:szCs w:val="32"/>
        </w:rPr>
        <w:t>，占100%。</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202</w:t>
      </w:r>
      <w:r>
        <w:rPr>
          <w:rFonts w:ascii="仿宋_GB2312" w:eastAsia="仿宋_GB2312" w:cs="Times New Roman" w:hint="eastAsia"/>
          <w:sz w:val="32"/>
          <w:szCs w:val="32"/>
          <w:lang w:val="en-US" w:eastAsia="zh-CN"/>
        </w:rPr>
        <w:t>6</w:t>
      </w:r>
      <w:r>
        <w:rPr>
          <w:rFonts w:ascii="仿宋_GB2312" w:eastAsia="仿宋_GB2312" w:cs="Times New Roman" w:hint="eastAsia"/>
          <w:sz w:val="32"/>
          <w:szCs w:val="32"/>
        </w:rPr>
        <w:t>年支出预算</w:t>
      </w:r>
      <w:r>
        <w:rPr>
          <w:rFonts w:ascii="仿宋_GB2312" w:eastAsia="仿宋_GB2312" w:cs="Times New Roman" w:hint="eastAsia"/>
          <w:sz w:val="32"/>
          <w:szCs w:val="32"/>
          <w:lang w:eastAsia="zh-CN"/>
        </w:rPr>
        <w:t>6846190.65元</w:t>
      </w:r>
      <w:r>
        <w:rPr>
          <w:rFonts w:ascii="仿宋_GB2312" w:eastAsia="仿宋_GB2312" w:cs="Times New Roman" w:hint="eastAsia"/>
          <w:sz w:val="32"/>
          <w:szCs w:val="32"/>
        </w:rPr>
        <w:t>，其中：基本支出</w:t>
      </w:r>
      <w:r>
        <w:rPr>
          <w:rFonts w:ascii="仿宋_GB2312" w:eastAsia="仿宋_GB2312" w:cs="Times New Roman" w:hint="eastAsia"/>
          <w:sz w:val="32"/>
          <w:szCs w:val="32"/>
          <w:lang w:eastAsia="zh-CN"/>
        </w:rPr>
        <w:t>6196030.65元</w:t>
      </w:r>
      <w:r>
        <w:rPr>
          <w:rFonts w:ascii="仿宋_GB2312" w:eastAsia="仿宋_GB2312" w:cs="Times New Roman" w:hint="eastAsia"/>
          <w:sz w:val="32"/>
          <w:szCs w:val="32"/>
        </w:rPr>
        <w:t>，占90.50%；项目支出</w:t>
      </w:r>
      <w:r>
        <w:rPr>
          <w:rFonts w:ascii="仿宋_GB2312" w:eastAsia="仿宋_GB2312" w:cs="Times New Roman" w:hint="eastAsia"/>
          <w:sz w:val="32"/>
          <w:szCs w:val="32"/>
          <w:lang w:eastAsia="zh-CN"/>
        </w:rPr>
        <w:t>650160.0</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，占9.50%。</w:t>
      </w:r>
    </w:p>
    <w:p>
      <w:pPr>
        <w:pStyle w:val="18"/>
        <w:widowControl/>
        <w:suppressAutoHyphens/>
        <w:spacing w:before="0" w:beforeAutospacing="0" w:after="0" w:afterAutospacing="0" w:line="600" w:lineRule="exact"/>
        <w:ind w:firstLineChars="200" w:firstLine="640"/>
        <w:outlineLvl w:val="1"/>
        <w:rPr>
          <w:rFonts w:ascii="方正仿宋_GB2312" w:eastAsia="方正仿宋_GB2312" w:cs="方正仿宋_GB2312" w:hint="eastAsia"/>
          <w:sz w:val="32"/>
          <w:szCs w:val="32"/>
        </w:rPr>
      </w:pPr>
      <w:r>
        <w:rPr>
          <w:rFonts w:ascii="黑体" w:eastAsia="黑体" w:cs="黑体" w:hint="eastAsia"/>
          <w:sz w:val="32"/>
          <w:szCs w:val="32"/>
        </w:rPr>
        <w:t>四、财政拨款支</w:t>
      </w:r>
      <w:r>
        <w:rPr>
          <w:rFonts w:ascii="黑体" w:eastAsia="黑体" w:cs="黑体" w:hint="eastAsia"/>
          <w:sz w:val="32"/>
          <w:szCs w:val="32"/>
          <w:lang w:val="en-US" w:eastAsia="zh-CN"/>
        </w:rPr>
        <w:t>出</w:t>
      </w:r>
      <w:r>
        <w:rPr>
          <w:rFonts w:ascii="黑体" w:eastAsia="黑体" w:cs="黑体" w:hint="eastAsia"/>
          <w:sz w:val="32"/>
          <w:szCs w:val="32"/>
        </w:rPr>
        <w:t>预算情况说明</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茂县凤仪镇幼儿园2026年财政拨款收支预算总数</w:t>
      </w:r>
      <w:r>
        <w:rPr>
          <w:rFonts w:ascii="仿宋_GB2312" w:eastAsia="仿宋_GB2312" w:cs="Times New Roman" w:hint="eastAsia"/>
          <w:sz w:val="32"/>
          <w:szCs w:val="32"/>
          <w:lang w:eastAsia="zh-CN"/>
        </w:rPr>
        <w:t>6846190.65元</w:t>
      </w:r>
      <w:r>
        <w:rPr>
          <w:rFonts w:ascii="仿宋_GB2312" w:eastAsia="仿宋_GB2312" w:cs="Times New Roman" w:hint="eastAsia"/>
          <w:sz w:val="32"/>
          <w:szCs w:val="32"/>
        </w:rPr>
        <w:t>，</w:t>
      </w:r>
      <w:r>
        <w:rPr>
          <w:rFonts w:ascii="仿宋_GB2312" w:eastAsia="仿宋_GB2312" w:cs="Times New Roman" w:hint="eastAsia"/>
          <w:sz w:val="32"/>
          <w:szCs w:val="32"/>
          <w:lang w:val="en-US" w:eastAsia="zh-CN"/>
        </w:rPr>
        <w:t>较</w:t>
      </w:r>
      <w:r>
        <w:rPr>
          <w:rFonts w:ascii="仿宋_GB2312" w:eastAsia="仿宋_GB2312" w:cs="Times New Roman" w:hint="eastAsia"/>
          <w:sz w:val="32"/>
          <w:szCs w:val="32"/>
        </w:rPr>
        <w:t>2025年财政拨款收支预算总数增加603028.80元，主要原因</w:t>
      </w:r>
      <w:r>
        <w:rPr>
          <w:rFonts w:ascii="仿宋_GB2312" w:eastAsia="仿宋_GB2312" w:cs="Times New Roman" w:hint="eastAsia"/>
          <w:sz w:val="32"/>
          <w:szCs w:val="32"/>
          <w:lang w:eastAsia="zh-CN"/>
        </w:rPr>
        <w:t>是：</w:t>
      </w:r>
      <w:r>
        <w:rPr>
          <w:rFonts w:ascii="仿宋_GB2312" w:eastAsia="仿宋_GB2312" w:cs="Times New Roman" w:hint="eastAsia"/>
          <w:sz w:val="32"/>
          <w:szCs w:val="32"/>
          <w:lang w:val="en-US" w:eastAsia="zh-CN"/>
        </w:rPr>
        <w:t>项目增加</w:t>
      </w:r>
      <w:r>
        <w:rPr>
          <w:rFonts w:ascii="仿宋_GB2312" w:eastAsia="仿宋_GB2312" w:cs="Times New Roman" w:hint="eastAsia"/>
          <w:sz w:val="32"/>
          <w:szCs w:val="32"/>
        </w:rPr>
        <w:t>。</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收入包括：本年一般公共预算拨款收入</w:t>
      </w:r>
      <w:r>
        <w:rPr>
          <w:rFonts w:ascii="仿宋_GB2312" w:eastAsia="仿宋_GB2312" w:cs="Times New Roman" w:hint="eastAsia"/>
          <w:sz w:val="32"/>
          <w:szCs w:val="32"/>
          <w:lang w:val="en-US" w:eastAsia="zh-CN"/>
        </w:rPr>
        <w:t>6846190.65</w:t>
      </w:r>
      <w:r>
        <w:rPr>
          <w:rFonts w:ascii="仿宋_GB2312" w:eastAsia="仿宋_GB2312" w:cs="Times New Roman" w:hint="eastAsia"/>
          <w:sz w:val="32"/>
          <w:szCs w:val="32"/>
        </w:rPr>
        <w:t>元。</w:t>
      </w:r>
    </w:p>
    <w:p>
      <w:pPr>
        <w:widowControl w:val="0"/>
        <w:suppressAutoHyphens/>
        <w:spacing w:line="56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支出包括：一般公共服务支出</w:t>
      </w:r>
      <w:r>
        <w:rPr>
          <w:rFonts w:ascii="仿宋_GB2312" w:eastAsia="仿宋_GB2312" w:cs="Times New Roman" w:hint="eastAsia"/>
          <w:sz w:val="32"/>
          <w:szCs w:val="32"/>
          <w:lang w:val="en-US" w:eastAsia="zh-CN"/>
        </w:rPr>
        <w:t>6846190.65</w:t>
      </w:r>
      <w:r>
        <w:rPr>
          <w:rFonts w:ascii="仿宋_GB2312" w:eastAsia="仿宋_GB2312" w:cs="Times New Roman" w:hint="eastAsia"/>
          <w:sz w:val="32"/>
          <w:szCs w:val="32"/>
        </w:rPr>
        <w:t>元，社会保障和就业支出</w:t>
      </w:r>
      <w:r>
        <w:rPr>
          <w:rFonts w:ascii="仿宋_GB2312" w:eastAsia="仿宋_GB2312" w:cs="Times New Roman" w:hint="eastAsia"/>
          <w:sz w:val="32"/>
          <w:szCs w:val="32"/>
          <w:lang w:val="en-US" w:eastAsia="zh-CN"/>
        </w:rPr>
        <w:t>980278.04</w:t>
      </w:r>
      <w:r>
        <w:rPr>
          <w:rFonts w:ascii="仿宋_GB2312" w:eastAsia="仿宋_GB2312" w:cs="Times New Roman" w:hint="eastAsia"/>
          <w:sz w:val="32"/>
          <w:szCs w:val="32"/>
        </w:rPr>
        <w:t>元，卫生健康支出</w:t>
      </w:r>
      <w:r>
        <w:rPr>
          <w:rFonts w:ascii="仿宋_GB2312" w:eastAsia="仿宋_GB2312" w:cs="Times New Roman" w:hint="eastAsia"/>
          <w:sz w:val="32"/>
          <w:szCs w:val="32"/>
          <w:lang w:val="en-US" w:eastAsia="zh-CN"/>
        </w:rPr>
        <w:t>383312.01</w:t>
      </w:r>
      <w:r>
        <w:rPr>
          <w:rFonts w:ascii="仿宋_GB2312" w:eastAsia="仿宋_GB2312" w:cs="Times New Roman" w:hint="eastAsia"/>
          <w:sz w:val="32"/>
          <w:szCs w:val="32"/>
        </w:rPr>
        <w:t>元，住房保障支出</w:t>
      </w:r>
      <w:r>
        <w:rPr>
          <w:rFonts w:ascii="仿宋_GB2312" w:eastAsia="仿宋_GB2312" w:cs="Times New Roman" w:hint="eastAsia"/>
          <w:sz w:val="32"/>
          <w:szCs w:val="32"/>
          <w:lang w:val="en-US" w:eastAsia="zh-CN"/>
        </w:rPr>
        <w:t>528612.00</w:t>
      </w:r>
      <w:r>
        <w:rPr>
          <w:rFonts w:ascii="仿宋_GB2312" w:eastAsia="仿宋_GB2312" w:cs="Times New Roman" w:hint="eastAsia"/>
          <w:sz w:val="32"/>
          <w:szCs w:val="32"/>
        </w:rPr>
        <w:t>元</w:t>
      </w:r>
      <w:r>
        <w:rPr>
          <w:rFonts w:ascii="仿宋_GB2312" w:eastAsia="仿宋_GB2312" w:cs="Times New Roman" w:hint="eastAsia"/>
          <w:sz w:val="32"/>
          <w:szCs w:val="32"/>
          <w:lang w:val="en-US" w:eastAsia="zh-CN"/>
        </w:rPr>
        <w:t>,教育支出4953988.60元</w:t>
      </w:r>
      <w:r>
        <w:rPr>
          <w:rFonts w:ascii="仿宋_GB2312" w:eastAsia="仿宋_GB2312" w:cs="Times New Roman" w:hint="eastAsia"/>
          <w:sz w:val="32"/>
          <w:szCs w:val="32"/>
        </w:rPr>
        <w:t>。</w:t>
      </w: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五、一般公共预算当年拨款情况说明</w:t>
      </w:r>
    </w:p>
    <w:p>
      <w:pPr>
        <w:spacing w:line="580" w:lineRule="exact"/>
        <w:ind w:firstLineChars="200" w:firstLine="640"/>
        <w:jc w:val="left"/>
        <w:outlineLvl w:val="2"/>
        <w:rPr>
          <w:rFonts w:ascii="楷体_GB2312" w:eastAsia="楷体_GB2312" w:cs="仿宋_GB2312" w:hint="eastAsia"/>
          <w:b/>
          <w:kern w:val="2"/>
          <w:sz w:val="32"/>
          <w:szCs w:val="32"/>
          <w:lang w:val="en-US" w:eastAsia="zh-CN" w:bidi="ar-SA"/>
        </w:rPr>
      </w:pPr>
      <w:r>
        <w:rPr>
          <w:rFonts w:ascii="楷体_GB2312" w:eastAsia="楷体_GB2312" w:cs="仿宋_GB2312" w:hint="eastAsia"/>
          <w:b/>
          <w:kern w:val="2"/>
          <w:sz w:val="32"/>
          <w:szCs w:val="32"/>
          <w:lang w:val="en-US" w:eastAsia="zh-CN" w:bidi="ar-SA"/>
        </w:rPr>
        <w:t>（一）一般公共预算当年拨款规模变化情况</w:t>
      </w:r>
    </w:p>
    <w:p>
      <w:pPr>
        <w:widowControl w:val="0"/>
        <w:suppressAutoHyphens/>
        <w:spacing w:line="560" w:lineRule="exact"/>
        <w:ind w:firstLineChars="200" w:firstLine="640"/>
        <w:rPr>
          <w:rFonts w:ascii="方正仿宋_GB2312" w:eastAsia="方正仿宋_GB2312" w:cs="方正仿宋_GB2312" w:hint="eastAsia"/>
          <w:sz w:val="32"/>
          <w:szCs w:val="32"/>
        </w:rPr>
      </w:pPr>
      <w:r>
        <w:rPr>
          <w:rFonts w:ascii="仿宋_GB2312" w:eastAsia="仿宋_GB2312" w:cs="Times New Roman" w:hint="eastAsia"/>
          <w:sz w:val="32"/>
          <w:szCs w:val="32"/>
        </w:rPr>
        <w:t>茂县凤仪镇幼儿园2026年一般公共预算当年拨款</w:t>
      </w:r>
      <w:r>
        <w:rPr>
          <w:rFonts w:ascii="仿宋_GB2312" w:eastAsia="仿宋_GB2312" w:cs="Times New Roman" w:hint="eastAsia"/>
          <w:sz w:val="32"/>
          <w:szCs w:val="32"/>
          <w:lang w:eastAsia="zh-CN"/>
        </w:rPr>
        <w:t>6846190.65元</w:t>
      </w:r>
      <w:r>
        <w:rPr>
          <w:rFonts w:ascii="仿宋_GB2312" w:eastAsia="仿宋_GB2312" w:cs="Times New Roman" w:hint="eastAsia"/>
          <w:sz w:val="32"/>
          <w:szCs w:val="32"/>
        </w:rPr>
        <w:t>，</w:t>
      </w:r>
      <w:r>
        <w:rPr>
          <w:rFonts w:ascii="仿宋_GB2312" w:eastAsia="仿宋_GB2312" w:cs="Times New Roman" w:hint="eastAsia"/>
          <w:sz w:val="32"/>
          <w:szCs w:val="32"/>
          <w:lang w:val="en-US" w:eastAsia="zh-CN"/>
        </w:rPr>
        <w:t>较</w:t>
      </w:r>
      <w:r>
        <w:rPr>
          <w:rFonts w:ascii="仿宋_GB2312" w:eastAsia="仿宋_GB2312" w:cs="Times New Roman" w:hint="eastAsia"/>
          <w:sz w:val="32"/>
          <w:szCs w:val="32"/>
        </w:rPr>
        <w:t>2025年预算数增加</w:t>
      </w:r>
      <w:r>
        <w:rPr>
          <w:rFonts w:ascii="仿宋_GB2312" w:eastAsia="仿宋_GB2312" w:cs="Times New Roman" w:hint="eastAsia"/>
          <w:sz w:val="32"/>
          <w:szCs w:val="32"/>
          <w:lang w:eastAsia="zh-CN"/>
        </w:rPr>
        <w:t>603028.80元</w:t>
      </w:r>
      <w:r>
        <w:rPr>
          <w:rFonts w:ascii="仿宋_GB2312" w:eastAsia="仿宋_GB2312" w:cs="Times New Roman" w:hint="eastAsia"/>
          <w:sz w:val="32"/>
          <w:szCs w:val="32"/>
        </w:rPr>
        <w:t>。主要原因是</w:t>
      </w:r>
      <w:r>
        <w:rPr>
          <w:rFonts w:ascii="仿宋_GB2312" w:eastAsia="仿宋_GB2312" w:cs="Times New Roman" w:hint="eastAsia"/>
          <w:sz w:val="32"/>
          <w:szCs w:val="32"/>
          <w:lang w:eastAsia="zh-CN"/>
        </w:rPr>
        <w:t>：</w:t>
      </w:r>
      <w:r>
        <w:rPr>
          <w:rFonts w:ascii="仿宋_GB2312" w:eastAsia="仿宋_GB2312" w:cs="Times New Roman" w:hint="eastAsia"/>
          <w:sz w:val="32"/>
          <w:szCs w:val="32"/>
        </w:rPr>
        <w:t>项目增加。</w:t>
      </w:r>
    </w:p>
    <w:p>
      <w:pPr>
        <w:spacing w:line="580" w:lineRule="exact"/>
        <w:ind w:firstLineChars="200" w:firstLine="640"/>
        <w:jc w:val="left"/>
        <w:outlineLvl w:val="2"/>
        <w:rPr>
          <w:rFonts w:ascii="楷体_GB2312" w:eastAsia="楷体_GB2312" w:cs="仿宋_GB2312" w:hint="eastAsia"/>
          <w:b/>
          <w:kern w:val="2"/>
          <w:sz w:val="32"/>
          <w:szCs w:val="32"/>
          <w:lang w:val="en-US" w:eastAsia="zh-CN" w:bidi="ar-SA"/>
        </w:rPr>
      </w:pPr>
      <w:r>
        <w:rPr>
          <w:rFonts w:ascii="楷体_GB2312" w:eastAsia="楷体_GB2312" w:cs="仿宋_GB2312" w:hint="eastAsia"/>
          <w:b/>
          <w:kern w:val="2"/>
          <w:sz w:val="32"/>
          <w:szCs w:val="32"/>
          <w:lang w:val="en-US" w:eastAsia="zh-CN" w:bidi="ar-SA"/>
        </w:rPr>
        <w:t>（二）一般公共预算当年拨款结构情况</w:t>
      </w:r>
    </w:p>
    <w:p>
      <w:pPr>
        <w:spacing w:line="580" w:lineRule="exact"/>
        <w:ind w:firstLineChars="200" w:firstLine="640"/>
        <w:jc w:val="left"/>
        <w:rPr>
          <w:rFonts w:ascii="方正仿宋_GB2312" w:eastAsia="方正仿宋_GB2312" w:cs="方正仿宋_GB2312" w:hint="eastAsia"/>
          <w:sz w:val="32"/>
          <w:szCs w:val="32"/>
        </w:rPr>
      </w:pPr>
      <w:r>
        <w:rPr>
          <w:rFonts w:ascii="方正仿宋_GB2312" w:eastAsia="方正仿宋_GB2312" w:cs="方正仿宋_GB2312" w:hint="eastAsia"/>
          <w:sz w:val="32"/>
          <w:szCs w:val="32"/>
        </w:rPr>
        <w:t> </w:t>
      </w:r>
      <w:r>
        <w:rPr>
          <w:rFonts w:ascii="仿宋_GB2312" w:eastAsia="仿宋_GB2312" w:cs="Times New Roman" w:hint="eastAsia"/>
          <w:sz w:val="32"/>
          <w:szCs w:val="32"/>
        </w:rPr>
        <w:t>教育支出</w:t>
      </w:r>
      <w:r>
        <w:rPr>
          <w:rFonts w:ascii="仿宋_GB2312" w:eastAsia="仿宋_GB2312" w:cs="Times New Roman" w:hint="eastAsia"/>
          <w:sz w:val="32"/>
          <w:szCs w:val="32"/>
          <w:lang w:eastAsia="zh-CN"/>
        </w:rPr>
        <w:t>4953988.6</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，占72.36%； 卫生健康支出</w:t>
      </w:r>
      <w:r>
        <w:rPr>
          <w:rFonts w:ascii="仿宋_GB2312" w:eastAsia="仿宋_GB2312" w:cs="Times New Roman" w:hint="eastAsia"/>
          <w:sz w:val="32"/>
          <w:szCs w:val="32"/>
          <w:lang w:eastAsia="zh-CN"/>
        </w:rPr>
        <w:t>383312.01元</w:t>
      </w:r>
      <w:r>
        <w:rPr>
          <w:rFonts w:ascii="仿宋_GB2312" w:eastAsia="仿宋_GB2312" w:cs="Times New Roman" w:hint="eastAsia"/>
          <w:sz w:val="32"/>
          <w:szCs w:val="32"/>
        </w:rPr>
        <w:t>，占5.60% ；住房保障支出</w:t>
      </w:r>
      <w:r>
        <w:rPr>
          <w:rFonts w:ascii="仿宋_GB2312" w:eastAsia="仿宋_GB2312" w:cs="Times New Roman" w:hint="eastAsia"/>
          <w:sz w:val="32"/>
          <w:szCs w:val="32"/>
          <w:lang w:eastAsia="zh-CN"/>
        </w:rPr>
        <w:t>528612.0</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，占7.72%；社会保障和就业支出</w:t>
      </w:r>
      <w:r>
        <w:rPr>
          <w:rFonts w:ascii="仿宋_GB2312" w:eastAsia="仿宋_GB2312" w:cs="Times New Roman" w:hint="eastAsia"/>
          <w:sz w:val="32"/>
          <w:szCs w:val="32"/>
          <w:lang w:eastAsia="zh-CN"/>
        </w:rPr>
        <w:t>980278.04元</w:t>
      </w:r>
      <w:r>
        <w:rPr>
          <w:rFonts w:ascii="仿宋_GB2312" w:eastAsia="仿宋_GB2312" w:cs="Times New Roman" w:hint="eastAsia"/>
          <w:sz w:val="32"/>
          <w:szCs w:val="32"/>
        </w:rPr>
        <w:t>，占14.32%。</w:t>
      </w:r>
    </w:p>
    <w:p>
      <w:pPr>
        <w:spacing w:line="580" w:lineRule="exact"/>
        <w:ind w:firstLineChars="200" w:firstLine="640"/>
        <w:jc w:val="left"/>
        <w:outlineLvl w:val="2"/>
        <w:rPr>
          <w:rFonts w:ascii="楷体_GB2312" w:eastAsia="楷体_GB2312" w:cs="仿宋_GB2312" w:hint="eastAsia"/>
          <w:b/>
          <w:kern w:val="2"/>
          <w:sz w:val="32"/>
          <w:szCs w:val="32"/>
          <w:lang w:val="en-US" w:eastAsia="zh-CN" w:bidi="ar-SA"/>
        </w:rPr>
      </w:pPr>
      <w:r>
        <w:rPr>
          <w:rFonts w:ascii="楷体_GB2312" w:eastAsia="楷体_GB2312" w:cs="仿宋_GB2312" w:hint="eastAsia"/>
          <w:b/>
          <w:kern w:val="2"/>
          <w:sz w:val="32"/>
          <w:szCs w:val="32"/>
          <w:lang w:val="en-US" w:eastAsia="zh-CN" w:bidi="ar-SA"/>
        </w:rPr>
        <w:t>（三）一般公共预算当年拨款具体使用情况</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1.教育支出普通教育学前教育2026年预算数为</w:t>
      </w:r>
      <w:r>
        <w:rPr>
          <w:rFonts w:ascii="仿宋_GB2312" w:eastAsia="仿宋_GB2312" w:cs="Times New Roman" w:hint="eastAsia"/>
          <w:sz w:val="32"/>
          <w:szCs w:val="32"/>
          <w:lang w:eastAsia="zh-CN"/>
        </w:rPr>
        <w:t>4472388.6</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，主要用于：学前教育支出。</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2.教育支出教育费附加安排的支出其他教育费附加安排的支出2026年预算数为</w:t>
      </w:r>
      <w:r>
        <w:rPr>
          <w:rFonts w:ascii="仿宋_GB2312" w:eastAsia="仿宋_GB2312" w:cs="Times New Roman" w:hint="eastAsia"/>
          <w:sz w:val="32"/>
          <w:szCs w:val="32"/>
          <w:lang w:eastAsia="zh-CN"/>
        </w:rPr>
        <w:t>481600.0</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，主要用于：教育费附加支出。</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3.社会保障和就业支出行政事业单位养老支出机关事业单位基本养老保险缴费支出2026年预算数为653518.77元，主要用于：单位缴纳基本养老保险费支出。</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4.社会保障和就业支出行政事业单位养老支出机关事业单位职业年金缴费支出2026年预算数为</w:t>
      </w:r>
      <w:r>
        <w:rPr>
          <w:rFonts w:ascii="仿宋_GB2312" w:eastAsia="仿宋_GB2312" w:cs="Times New Roman" w:hint="eastAsia"/>
          <w:sz w:val="32"/>
          <w:szCs w:val="32"/>
          <w:lang w:eastAsia="zh-CN"/>
        </w:rPr>
        <w:t>326759.27元</w:t>
      </w:r>
      <w:r>
        <w:rPr>
          <w:rFonts w:ascii="仿宋_GB2312" w:eastAsia="仿宋_GB2312" w:cs="Times New Roman" w:hint="eastAsia"/>
          <w:sz w:val="32"/>
          <w:szCs w:val="32"/>
        </w:rPr>
        <w:t>，主要用于：单位实际缴纳职业年金支出。</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5.卫生健康支出行政事业单位医疗事业单位医疗2026年预算数为</w:t>
      </w:r>
      <w:r>
        <w:rPr>
          <w:rFonts w:ascii="仿宋_GB2312" w:eastAsia="仿宋_GB2312" w:cs="Times New Roman" w:hint="eastAsia"/>
          <w:sz w:val="32"/>
          <w:szCs w:val="32"/>
          <w:lang w:eastAsia="zh-CN"/>
        </w:rPr>
        <w:t>383312.01元</w:t>
      </w:r>
      <w:r>
        <w:rPr>
          <w:rFonts w:ascii="仿宋_GB2312" w:eastAsia="仿宋_GB2312" w:cs="Times New Roman" w:hint="eastAsia"/>
          <w:sz w:val="32"/>
          <w:szCs w:val="32"/>
        </w:rPr>
        <w:t>，主要用于：事业单位基本医疗保险缴费经费。</w:t>
      </w:r>
    </w:p>
    <w:p>
      <w:pPr>
        <w:spacing w:line="580" w:lineRule="exact"/>
        <w:ind w:firstLineChars="200" w:firstLine="640"/>
        <w:jc w:val="left"/>
        <w:rPr>
          <w:rFonts w:ascii="方正仿宋_GB2312" w:eastAsia="方正仿宋_GB2312" w:cs="方正仿宋_GB2312" w:hint="eastAsia"/>
          <w:sz w:val="32"/>
          <w:szCs w:val="32"/>
        </w:rPr>
      </w:pPr>
      <w:r>
        <w:rPr>
          <w:rFonts w:ascii="仿宋_GB2312" w:eastAsia="仿宋_GB2312" w:cs="Times New Roman" w:hint="eastAsia"/>
          <w:sz w:val="32"/>
          <w:szCs w:val="32"/>
        </w:rPr>
        <w:t>6.住房保障支出住房改革支出住房公积金2026年预算数为</w:t>
      </w:r>
      <w:r>
        <w:rPr>
          <w:rFonts w:ascii="仿宋_GB2312" w:eastAsia="仿宋_GB2312" w:cs="Times New Roman" w:hint="eastAsia"/>
          <w:sz w:val="32"/>
          <w:szCs w:val="32"/>
          <w:lang w:eastAsia="zh-CN"/>
        </w:rPr>
        <w:t>528612.0</w:t>
      </w:r>
      <w:r>
        <w:rPr>
          <w:rFonts w:ascii="仿宋_GB2312" w:eastAsia="仿宋_GB2312" w:cs="Times New Roman" w:hint="eastAsia"/>
          <w:sz w:val="32"/>
          <w:szCs w:val="32"/>
          <w:lang w:val="en-US" w:eastAsia="zh-CN"/>
        </w:rPr>
        <w:t>0</w:t>
      </w:r>
      <w:r>
        <w:rPr>
          <w:rFonts w:ascii="仿宋_GB2312" w:eastAsia="仿宋_GB2312" w:cs="Times New Roman" w:hint="eastAsia"/>
          <w:sz w:val="32"/>
          <w:szCs w:val="32"/>
          <w:lang w:eastAsia="zh-CN"/>
        </w:rPr>
        <w:t>元</w:t>
      </w:r>
      <w:r>
        <w:rPr>
          <w:rFonts w:ascii="仿宋_GB2312" w:eastAsia="仿宋_GB2312" w:cs="Times New Roman" w:hint="eastAsia"/>
          <w:sz w:val="32"/>
          <w:szCs w:val="32"/>
        </w:rPr>
        <w:t>，主要用于：为职工缴纳的住房公积金。</w:t>
      </w: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六、一般公共预算基本支出情况说明</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茂县凤仪镇幼儿园2026年一般公共预算基本支出</w:t>
      </w:r>
      <w:r>
        <w:rPr>
          <w:rFonts w:ascii="仿宋_GB2312" w:eastAsia="仿宋_GB2312" w:cs="Times New Roman" w:hint="eastAsia"/>
          <w:sz w:val="32"/>
          <w:szCs w:val="32"/>
          <w:lang w:eastAsia="zh-CN"/>
        </w:rPr>
        <w:t>6196030.65元</w:t>
      </w:r>
      <w:r>
        <w:rPr>
          <w:rFonts w:ascii="仿宋_GB2312" w:eastAsia="仿宋_GB2312" w:cs="Times New Roman" w:hint="eastAsia"/>
          <w:sz w:val="32"/>
          <w:szCs w:val="32"/>
        </w:rPr>
        <w:t>，其中：</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人员经费</w:t>
      </w:r>
      <w:r>
        <w:rPr>
          <w:rFonts w:ascii="仿宋_GB2312" w:eastAsia="仿宋_GB2312" w:cs="Times New Roman" w:hint="eastAsia"/>
          <w:sz w:val="32"/>
          <w:szCs w:val="32"/>
          <w:lang w:eastAsia="zh-CN"/>
        </w:rPr>
        <w:t>6061463.23元</w:t>
      </w:r>
      <w:r>
        <w:rPr>
          <w:rFonts w:ascii="仿宋_GB2312" w:eastAsia="仿宋_GB2312" w:cs="Times New Roman" w:hint="eastAsia"/>
          <w:sz w:val="32"/>
          <w:szCs w:val="32"/>
        </w:rPr>
        <w:t>，主要包括：基本工资、津贴补贴、奖金、其他社会保障缴费、绩效工资、机关事业单位基本养老保险缴费、职业年金缴费、其他工资福利支出、离休费、奖励金、住房公积金、其他对个人和家庭的补助支出。</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公用经费</w:t>
      </w:r>
      <w:r>
        <w:rPr>
          <w:rFonts w:ascii="仿宋_GB2312" w:eastAsia="仿宋_GB2312" w:cs="Times New Roman" w:hint="eastAsia"/>
          <w:sz w:val="32"/>
          <w:szCs w:val="32"/>
          <w:lang w:eastAsia="zh-CN"/>
        </w:rPr>
        <w:t>134567.42元</w:t>
      </w:r>
      <w:r>
        <w:rPr>
          <w:rFonts w:ascii="仿宋_GB2312" w:eastAsia="仿宋_GB2312" w:cs="Times New Roman" w:hint="eastAsia"/>
          <w:sz w:val="32"/>
          <w:szCs w:val="32"/>
        </w:rPr>
        <w:t>，主要包括：办公费、印刷费、手续费、水费、电费、邮电费、差旅费、维修（护）费、租赁费、会议费、培训费、劳务费、其他商品和服务支出。</w:t>
      </w:r>
    </w:p>
    <w:p>
      <w:pPr>
        <w:pStyle w:val="18"/>
        <w:widowControl/>
        <w:suppressAutoHyphens/>
        <w:spacing w:before="0" w:beforeAutospacing="0" w:after="0" w:afterAutospacing="0" w:line="600" w:lineRule="exact"/>
        <w:ind w:firstLineChars="200" w:firstLine="640"/>
        <w:outlineLvl w:val="1"/>
        <w:rPr>
          <w:rFonts w:ascii="黑体" w:eastAsia="黑体" w:cs="黑体" w:hint="eastAsia"/>
          <w:sz w:val="32"/>
          <w:szCs w:val="32"/>
        </w:rPr>
      </w:pPr>
      <w:r>
        <w:rPr>
          <w:rFonts w:ascii="黑体" w:eastAsia="黑体" w:cs="黑体" w:hint="eastAsia"/>
          <w:sz w:val="32"/>
          <w:szCs w:val="32"/>
        </w:rPr>
        <w:t>七、“三公”经费财政拨款预算安排情况说明</w:t>
      </w: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茂县凤仪镇幼儿园2026年</w:t>
      </w:r>
      <w:r>
        <w:rPr>
          <w:rFonts w:ascii="仿宋_GB2312" w:eastAsia="仿宋_GB2312" w:cs="Times New Roman" w:hint="eastAsia"/>
          <w:sz w:val="32"/>
          <w:szCs w:val="32"/>
          <w:lang w:val="en-US" w:eastAsia="zh-CN"/>
        </w:rPr>
        <w:t>无</w:t>
      </w:r>
      <w:r>
        <w:rPr>
          <w:rFonts w:ascii="仿宋_GB2312" w:eastAsia="仿宋_GB2312" w:cs="Times New Roman" w:hint="eastAsia"/>
          <w:sz w:val="32"/>
          <w:szCs w:val="32"/>
        </w:rPr>
        <w:t>财政拨款。</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rPr>
        <w:t>（一）2026年无因公出国（境）经费</w:t>
      </w:r>
      <w:r>
        <w:rPr>
          <w:rFonts w:ascii="仿宋_GB2312" w:eastAsia="仿宋_GB2312" w:cs="Times New Roman"/>
          <w:sz w:val="32"/>
          <w:szCs w:val="32"/>
        </w:rPr>
        <w:t>0元</w:t>
      </w:r>
      <w:r>
        <w:rPr>
          <w:rFonts w:ascii="仿宋_GB2312" w:eastAsia="仿宋_GB2312" w:cs="Times New Roman" w:hint="eastAsia"/>
          <w:sz w:val="32"/>
          <w:szCs w:val="32"/>
        </w:rPr>
        <w:t>。</w:t>
      </w:r>
      <w:r>
        <w:rPr>
          <w:rFonts w:ascii="仿宋_GB2312" w:eastAsia="仿宋_GB2312" w:cs="Times New Roman"/>
          <w:sz w:val="32"/>
          <w:szCs w:val="32"/>
        </w:rPr>
        <w:t>较2025年预算经费持平。</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rPr>
        <w:t>（二）</w:t>
      </w:r>
      <w:r>
        <w:rPr>
          <w:rFonts w:ascii="仿宋_GB2312" w:eastAsia="仿宋_GB2312" w:cs="Times New Roman"/>
          <w:sz w:val="32"/>
          <w:szCs w:val="32"/>
        </w:rPr>
        <w:t>2</w:t>
      </w:r>
      <w:r>
        <w:rPr>
          <w:rFonts w:ascii="仿宋_GB2312" w:eastAsia="仿宋_GB2312" w:cs="Times New Roman" w:hint="eastAsia"/>
          <w:sz w:val="32"/>
          <w:szCs w:val="32"/>
        </w:rPr>
        <w:t>025年公务接待费</w:t>
      </w:r>
      <w:r>
        <w:rPr>
          <w:rFonts w:ascii="仿宋_GB2312" w:eastAsia="仿宋_GB2312" w:cs="Times New Roman"/>
          <w:sz w:val="32"/>
          <w:szCs w:val="32"/>
        </w:rPr>
        <w:t>0元</w:t>
      </w:r>
      <w:r>
        <w:rPr>
          <w:rFonts w:ascii="仿宋_GB2312" w:eastAsia="仿宋_GB2312" w:cs="Times New Roman" w:hint="eastAsia"/>
          <w:sz w:val="32"/>
          <w:szCs w:val="32"/>
        </w:rPr>
        <w:t>。</w:t>
      </w:r>
      <w:r>
        <w:rPr>
          <w:rFonts w:ascii="仿宋_GB2312" w:eastAsia="仿宋_GB2312" w:cs="Times New Roman"/>
          <w:sz w:val="32"/>
          <w:szCs w:val="32"/>
        </w:rPr>
        <w:t>较2025年预算经费持平。</w:t>
      </w:r>
    </w:p>
    <w:p>
      <w:pPr>
        <w:spacing w:line="580" w:lineRule="exact"/>
        <w:ind w:firstLineChars="200" w:firstLine="640"/>
        <w:jc w:val="left"/>
        <w:rPr>
          <w:rFonts w:ascii="仿宋_GB2312" w:eastAsia="仿宋_GB2312" w:cs="Times New Roman" w:hint="eastAsia"/>
          <w:sz w:val="32"/>
          <w:szCs w:val="32"/>
        </w:rPr>
      </w:pPr>
    </w:p>
    <w:p>
      <w:pPr>
        <w:spacing w:line="580"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（三）2025年公务用车购置及运行维护费</w:t>
      </w:r>
      <w:r>
        <w:rPr>
          <w:rFonts w:ascii="仿宋_GB2312" w:eastAsia="仿宋_GB2312" w:cs="Times New Roman"/>
          <w:sz w:val="32"/>
          <w:szCs w:val="32"/>
        </w:rPr>
        <w:t>0元</w:t>
      </w:r>
      <w:r>
        <w:rPr>
          <w:rFonts w:ascii="仿宋_GB2312" w:eastAsia="仿宋_GB2312" w:cs="Times New Roman" w:hint="eastAsia"/>
          <w:sz w:val="32"/>
          <w:szCs w:val="32"/>
        </w:rPr>
        <w:t>。</w:t>
      </w:r>
      <w:r>
        <w:rPr>
          <w:rFonts w:ascii="仿宋_GB2312" w:eastAsia="仿宋_GB2312" w:cs="Times New Roman"/>
          <w:sz w:val="32"/>
          <w:szCs w:val="32"/>
        </w:rPr>
        <w:t>较2025年预算经费持平。</w:t>
      </w:r>
    </w:p>
    <w:p>
      <w:pPr>
        <w:spacing w:line="578" w:lineRule="exact"/>
        <w:ind w:firstLineChars="200" w:firstLine="640"/>
        <w:jc w:val="left"/>
        <w:rPr>
          <w:rFonts w:ascii="黑体" w:eastAsia="黑体" w:cs="黑体" w:hint="eastAsia"/>
          <w:sz w:val="32"/>
          <w:szCs w:val="32"/>
        </w:rPr>
      </w:pPr>
      <w:r>
        <w:rPr>
          <w:rFonts w:ascii="黑体" w:eastAsia="黑体" w:cs="黑体" w:hint="eastAsia"/>
          <w:sz w:val="32"/>
          <w:szCs w:val="32"/>
        </w:rPr>
        <w:t>八、政府性基金预算支出规模及变化情况说明</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2026年政府性基金预算</w:t>
      </w:r>
      <w:r>
        <w:rPr>
          <w:rFonts w:ascii="仿宋_GB2312" w:eastAsia="仿宋_GB2312" w:cs="Times New Roman"/>
          <w:sz w:val="32"/>
          <w:szCs w:val="32"/>
          <w:lang w:val="en-US" w:eastAsia="zh-CN"/>
        </w:rPr>
        <w:t>0元。</w:t>
      </w:r>
      <w:r>
        <w:rPr>
          <w:rFonts w:ascii="仿宋_GB2312" w:eastAsia="仿宋_GB2312" w:cs="Times New Roman"/>
          <w:sz w:val="32"/>
          <w:szCs w:val="32"/>
        </w:rPr>
        <w:t>较2025年预算经费持平。</w:t>
      </w:r>
    </w:p>
    <w:p>
      <w:pPr>
        <w:spacing w:line="580" w:lineRule="exact"/>
        <w:ind w:firstLine="640"/>
        <w:jc w:val="left"/>
        <w:rPr>
          <w:rFonts w:ascii="黑体" w:eastAsia="黑体" w:cs="黑体" w:hint="eastAsia"/>
          <w:sz w:val="32"/>
          <w:szCs w:val="32"/>
        </w:rPr>
      </w:pPr>
      <w:r>
        <w:rPr>
          <w:rFonts w:ascii="黑体" w:eastAsia="黑体" w:cs="黑体" w:hint="eastAsia"/>
          <w:sz w:val="32"/>
          <w:szCs w:val="32"/>
        </w:rPr>
        <w:t>九、其他重要事项的情况说明</w:t>
      </w:r>
    </w:p>
    <w:p>
      <w:pPr>
        <w:spacing w:line="580" w:lineRule="exact"/>
        <w:ind w:firstLineChars="200" w:firstLine="640"/>
        <w:jc w:val="left"/>
        <w:outlineLvl w:val="2"/>
        <w:rPr>
          <w:rFonts w:ascii="楷体_GB2312" w:eastAsia="楷体_GB2312" w:cs="Times New Roman" w:hint="eastAsia"/>
          <w:b/>
          <w:kern w:val="2"/>
          <w:sz w:val="32"/>
          <w:szCs w:val="32"/>
          <w:lang w:val="en-US" w:eastAsia="zh-CN" w:bidi="ar-SA"/>
        </w:rPr>
      </w:pPr>
      <w:r>
        <w:rPr>
          <w:rFonts w:ascii="楷体_GB2312" w:eastAsia="楷体_GB2312" w:cs="Times New Roman" w:hint="eastAsia"/>
          <w:b/>
          <w:kern w:val="2"/>
          <w:sz w:val="32"/>
          <w:szCs w:val="32"/>
          <w:lang w:val="en-US" w:eastAsia="zh-CN" w:bidi="ar-SA"/>
        </w:rPr>
        <w:t>（一）机关运行经费情况</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2026年</w:t>
      </w:r>
      <w:r>
        <w:rPr>
          <w:rFonts w:ascii="仿宋_GB2312" w:eastAsia="仿宋_GB2312" w:cs="Times New Roman"/>
          <w:sz w:val="32"/>
          <w:szCs w:val="32"/>
          <w:lang w:val="en-US" w:eastAsia="zh-CN"/>
        </w:rPr>
        <w:t>机关运行经费财政拨款预算数为0元</w:t>
      </w:r>
      <w:bookmarkStart w:id="0" w:name="_GoBack"/>
      <w:bookmarkEnd w:id="0"/>
      <w:r>
        <w:rPr>
          <w:rFonts w:ascii="仿宋_GB2312" w:eastAsia="仿宋_GB2312" w:cs="Times New Roman"/>
          <w:sz w:val="32"/>
          <w:szCs w:val="32"/>
          <w:lang w:val="en-US" w:eastAsia="zh-CN"/>
        </w:rPr>
        <w:t>。</w:t>
      </w:r>
      <w:r>
        <w:rPr>
          <w:rFonts w:ascii="仿宋_GB2312" w:eastAsia="仿宋_GB2312" w:cs="Times New Roman"/>
          <w:sz w:val="32"/>
          <w:szCs w:val="32"/>
        </w:rPr>
        <w:t>较2025年预算经费持平。</w:t>
      </w:r>
    </w:p>
    <w:p>
      <w:pPr>
        <w:spacing w:line="580" w:lineRule="exact"/>
        <w:ind w:firstLineChars="200" w:firstLine="640"/>
        <w:jc w:val="left"/>
        <w:outlineLvl w:val="2"/>
        <w:rPr>
          <w:rFonts w:ascii="楷体_GB2312" w:eastAsia="楷体_GB2312" w:cs="Times New Roman" w:hint="eastAsia"/>
          <w:b/>
          <w:kern w:val="2"/>
          <w:sz w:val="32"/>
          <w:szCs w:val="32"/>
          <w:lang w:val="en-US" w:eastAsia="zh-CN" w:bidi="ar-SA"/>
        </w:rPr>
      </w:pPr>
      <w:r>
        <w:rPr>
          <w:rFonts w:ascii="楷体_GB2312" w:eastAsia="楷体_GB2312" w:cs="Times New Roman" w:hint="eastAsia"/>
          <w:b/>
          <w:kern w:val="2"/>
          <w:sz w:val="32"/>
          <w:szCs w:val="32"/>
          <w:lang w:val="en-US" w:eastAsia="zh-CN" w:bidi="ar-SA"/>
        </w:rPr>
        <w:t>（二）政府采购情况</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2026年无政府采购项目。</w:t>
      </w:r>
    </w:p>
    <w:p>
      <w:pPr>
        <w:spacing w:line="580" w:lineRule="exact"/>
        <w:ind w:firstLineChars="200" w:firstLine="640"/>
        <w:jc w:val="left"/>
        <w:outlineLvl w:val="2"/>
        <w:rPr>
          <w:rFonts w:ascii="楷体_GB2312" w:eastAsia="楷体_GB2312" w:cs="Times New Roman" w:hint="eastAsia"/>
          <w:b/>
          <w:kern w:val="2"/>
          <w:sz w:val="32"/>
          <w:szCs w:val="32"/>
          <w:lang w:val="en-US" w:eastAsia="zh-CN" w:bidi="ar-SA"/>
        </w:rPr>
      </w:pPr>
      <w:r>
        <w:rPr>
          <w:rFonts w:ascii="楷体_GB2312" w:eastAsia="楷体_GB2312" w:cs="Times New Roman" w:hint="eastAsia"/>
          <w:b/>
          <w:kern w:val="2"/>
          <w:sz w:val="32"/>
          <w:szCs w:val="32"/>
          <w:lang w:val="en-US" w:eastAsia="zh-CN" w:bidi="ar-SA"/>
        </w:rPr>
        <w:t>（三）国有资产占有使用情况</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截</w:t>
      </w:r>
      <w:r>
        <w:rPr>
          <w:rFonts w:ascii="仿宋_GB2312" w:eastAsia="仿宋_GB2312" w:cs="Times New Roman"/>
          <w:sz w:val="32"/>
          <w:szCs w:val="32"/>
          <w:lang w:val="en-US" w:eastAsia="zh-CN"/>
        </w:rPr>
        <w:t>至</w:t>
      </w:r>
      <w:r>
        <w:rPr>
          <w:rFonts w:ascii="仿宋_GB2312" w:eastAsia="仿宋_GB2312" w:cs="Times New Roman" w:hint="eastAsia"/>
          <w:sz w:val="32"/>
          <w:szCs w:val="32"/>
          <w:lang w:val="en-US" w:eastAsia="zh-CN"/>
        </w:rPr>
        <w:t>2025年12月31日，我单位固定资产总额 15965468.17元，其中：房屋3800平方米，价值13203446.90元；公务用车0辆，价值0元；其他固定资产2762021.27元。</w:t>
      </w:r>
    </w:p>
    <w:p>
      <w:pPr>
        <w:spacing w:line="580" w:lineRule="exact"/>
        <w:ind w:firstLineChars="200" w:firstLine="640"/>
        <w:jc w:val="left"/>
        <w:outlineLvl w:val="2"/>
        <w:rPr>
          <w:rFonts w:ascii="楷体_GB2312" w:eastAsia="楷体_GB2312" w:cs="Times New Roman" w:hint="eastAsia"/>
          <w:b/>
          <w:kern w:val="2"/>
          <w:sz w:val="32"/>
          <w:szCs w:val="32"/>
          <w:lang w:val="en-US" w:eastAsia="zh-CN" w:bidi="ar-SA"/>
        </w:rPr>
      </w:pPr>
      <w:r>
        <w:rPr>
          <w:rFonts w:ascii="楷体_GB2312" w:eastAsia="楷体_GB2312" w:cs="Times New Roman" w:hint="eastAsia"/>
          <w:b/>
          <w:kern w:val="2"/>
          <w:sz w:val="32"/>
          <w:szCs w:val="32"/>
          <w:lang w:val="en-US" w:eastAsia="zh-CN" w:bidi="ar-SA"/>
        </w:rPr>
        <w:t>（四）绩效目标设置情况</w:t>
      </w:r>
    </w:p>
    <w:p>
      <w:pPr>
        <w:spacing w:line="580" w:lineRule="exact"/>
        <w:ind w:firstLineChars="200" w:firstLine="640"/>
        <w:jc w:val="left"/>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2026年项目支出均按要求实行绩效目标管理，涉及项目   3个，一般公共预算当年拨款650160.00元。</w:t>
      </w:r>
    </w:p>
    <w:p>
      <w:pPr>
        <w:pStyle w:val="21"/>
        <w:spacing w:before="0" w:line="360" w:lineRule="auto"/>
        <w:ind w:firstLineChars="200" w:firstLine="640"/>
        <w:rPr>
          <w:rFonts w:ascii="方正仿宋_GB2312" w:eastAsia="方正仿宋_GB2312" w:cs="方正仿宋_GB2312" w:hint="eastAsia"/>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Times New Roman" w:hint="eastAsia"/>
          <w:b/>
          <w:kern w:val="2"/>
          <w:sz w:val="32"/>
          <w:szCs w:val="32"/>
          <w:lang w:val="en-US" w:eastAsia="zh-CN" w:bidi="ar-SA"/>
        </w:rPr>
        <w:t>（一）财政拨款收入：</w:t>
      </w:r>
      <w:r>
        <w:rPr>
          <w:rFonts w:ascii="仿宋_GB2312" w:eastAsia="仿宋_GB2312" w:cs="Times New Roman" w:hint="eastAsia"/>
          <w:kern w:val="2"/>
          <w:sz w:val="32"/>
          <w:szCs w:val="32"/>
          <w:lang w:val="en-US" w:eastAsia="zh-CN" w:bidi="ar-SA"/>
        </w:rPr>
        <w:t>指由财政拨款形成的部门收入。按现行管理制度，部门预算中反映的财政拨款仅包括一般公共预算拨款和政府性基金预算拨款。</w:t>
        <w:br/>
      </w:r>
      <w:r>
        <w:rPr>
          <w:rFonts w:ascii="方正仿宋_GB2312" w:eastAsia="方正仿宋_GB2312" w:cs="方正仿宋_GB2312" w:hint="eastAsia"/>
          <w:b/>
          <w:kern w:val="2"/>
          <w:sz w:val="32"/>
          <w:szCs w:val="32"/>
        </w:rPr>
        <w:t>　</w:t>
      </w:r>
      <w:r>
        <w:rPr>
          <w:rFonts w:ascii="楷体_GB2312" w:eastAsia="楷体_GB2312" w:cs="Times New Roman" w:hint="eastAsia"/>
          <w:b/>
          <w:kern w:val="2"/>
          <w:sz w:val="32"/>
          <w:szCs w:val="32"/>
          <w:lang w:val="en-US" w:eastAsia="zh-CN" w:bidi="ar-SA"/>
        </w:rPr>
        <w:t>　（二）事业收入：</w:t>
      </w:r>
      <w:r>
        <w:rPr>
          <w:rFonts w:ascii="仿宋_GB2312" w:eastAsia="仿宋_GB2312" w:cs="Times New Roman" w:hint="eastAsia"/>
          <w:kern w:val="2"/>
          <w:sz w:val="32"/>
          <w:szCs w:val="32"/>
          <w:lang w:val="en-US" w:eastAsia="zh-CN" w:bidi="ar-SA"/>
        </w:rPr>
        <w:t>指所属事业单位开展专业业务活动及辅助活动所取得的收入。</w:t>
      </w:r>
      <w:r>
        <w:rPr>
          <w:rFonts w:ascii="方正仿宋_GB2312" w:eastAsia="方正仿宋_GB2312" w:cs="方正仿宋_GB2312" w:hint="eastAsia"/>
          <w:kern w:val="2"/>
          <w:sz w:val="32"/>
          <w:szCs w:val="32"/>
        </w:rPr>
        <w:br/>
        <w:t>　　</w:t>
      </w:r>
      <w:r>
        <w:rPr>
          <w:rFonts w:ascii="楷体_GB2312" w:eastAsia="楷体_GB2312" w:cs="Times New Roman" w:hint="eastAsia"/>
          <w:b/>
          <w:kern w:val="2"/>
          <w:sz w:val="32"/>
          <w:szCs w:val="32"/>
          <w:lang w:val="en-US" w:eastAsia="zh-CN" w:bidi="ar-SA"/>
        </w:rPr>
        <w:t>（三）事业单位经营收入：</w:t>
      </w:r>
      <w:r>
        <w:rPr>
          <w:rFonts w:ascii="仿宋_GB2312" w:eastAsia="仿宋_GB2312" w:cs="Times New Roman" w:hint="eastAsia"/>
          <w:kern w:val="2"/>
          <w:sz w:val="32"/>
          <w:szCs w:val="32"/>
          <w:lang w:val="en-US" w:eastAsia="zh-CN" w:bidi="ar-SA"/>
        </w:rPr>
        <w:t>指所属事业单位在专业业务活动及其辅助活动之外开展非独立核算经营活动取得的收入。</w:t>
        <w:br/>
      </w:r>
      <w:r>
        <w:rPr>
          <w:rFonts w:ascii="方正仿宋_GB2312" w:eastAsia="方正仿宋_GB2312" w:cs="方正仿宋_GB2312" w:hint="eastAsia"/>
          <w:kern w:val="2"/>
          <w:sz w:val="32"/>
          <w:szCs w:val="32"/>
        </w:rPr>
        <w:t>　　</w:t>
      </w:r>
      <w:r>
        <w:rPr>
          <w:rFonts w:ascii="楷体_GB2312" w:eastAsia="楷体_GB2312" w:cs="Times New Roman" w:hint="eastAsia"/>
          <w:b/>
          <w:kern w:val="2"/>
          <w:sz w:val="32"/>
          <w:szCs w:val="32"/>
          <w:lang w:val="en-US" w:eastAsia="zh-CN" w:bidi="ar-SA"/>
        </w:rPr>
        <w:t>（四）其他收入：</w:t>
      </w:r>
      <w:r>
        <w:rPr>
          <w:rFonts w:ascii="仿宋_GB2312" w:eastAsia="仿宋_GB2312" w:cs="Times New Roman" w:hint="eastAsia"/>
          <w:kern w:val="2"/>
          <w:sz w:val="32"/>
          <w:szCs w:val="32"/>
          <w:lang w:val="en-US" w:eastAsia="zh-CN" w:bidi="ar-SA"/>
        </w:rPr>
        <w:t>指除上述“财政拨款收入”、“事业收入”、“事业单位经营收入”等以外的收入，主要是所属行政事业单位按规定动用的售房收入、存款利息收入等。</w:t>
        <w:br/>
      </w:r>
      <w:r>
        <w:rPr>
          <w:rFonts w:ascii="方正仿宋_GB2312" w:eastAsia="方正仿宋_GB2312" w:cs="方正仿宋_GB2312" w:hint="eastAsia"/>
          <w:kern w:val="2"/>
          <w:sz w:val="32"/>
          <w:szCs w:val="32"/>
        </w:rPr>
        <w:t>　</w:t>
      </w:r>
      <w:r>
        <w:rPr>
          <w:rFonts w:ascii="楷体_GB2312" w:eastAsia="楷体_GB2312" w:cs="Times New Roman" w:hint="eastAsia"/>
          <w:b/>
          <w:kern w:val="2"/>
          <w:sz w:val="32"/>
          <w:szCs w:val="32"/>
          <w:lang w:val="en-US" w:eastAsia="zh-CN" w:bidi="ar-SA"/>
        </w:rPr>
        <w:t>　（五）用事业基金弥补收支差额：</w:t>
      </w:r>
      <w:r>
        <w:rPr>
          <w:rFonts w:ascii="仿宋_GB2312" w:eastAsia="仿宋_GB2312" w:cs="Times New Roman" w:hint="eastAsia"/>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ascii="方正仿宋_GB2312" w:eastAsia="方正仿宋_GB2312" w:cs="方正仿宋_GB2312" w:hint="eastAsia"/>
          <w:kern w:val="2"/>
          <w:sz w:val="32"/>
          <w:szCs w:val="32"/>
        </w:rPr>
        <w:br/>
        <w:t>　</w:t>
      </w:r>
      <w:r>
        <w:rPr>
          <w:rFonts w:ascii="方正仿宋_GB2312" w:eastAsia="方正仿宋_GB2312" w:cs="方正仿宋_GB2312" w:hint="eastAsia"/>
          <w:b/>
          <w:kern w:val="2"/>
          <w:sz w:val="32"/>
          <w:szCs w:val="32"/>
        </w:rPr>
        <w:t>　</w:t>
      </w:r>
      <w:r>
        <w:rPr>
          <w:rFonts w:ascii="楷体_GB2312" w:eastAsia="楷体_GB2312" w:cs="Times New Roman" w:hint="eastAsia"/>
          <w:b/>
          <w:kern w:val="2"/>
          <w:sz w:val="32"/>
          <w:szCs w:val="32"/>
          <w:lang w:val="en-US" w:eastAsia="zh-CN" w:bidi="ar-SA"/>
        </w:rPr>
        <w:t>（六）上年结转：</w:t>
      </w:r>
      <w:r>
        <w:rPr>
          <w:rFonts w:ascii="仿宋_GB2312" w:eastAsia="仿宋_GB2312" w:cs="Times New Roman" w:hint="eastAsia"/>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cs="Times New Roman" w:hint="eastAsia"/>
          <w:kern w:val="2"/>
          <w:sz w:val="32"/>
          <w:szCs w:val="32"/>
          <w:lang w:val="en-US" w:eastAsia="zh-CN" w:bidi="ar-SA"/>
        </w:rPr>
      </w:pPr>
      <w:r>
        <w:rPr>
          <w:rFonts w:ascii="楷体_GB2312" w:eastAsia="楷体_GB2312" w:cs="Times New Roman" w:hint="eastAsia"/>
          <w:b/>
          <w:sz w:val="32"/>
          <w:szCs w:val="32"/>
        </w:rPr>
        <w:t>（七）基本支出：</w:t>
      </w:r>
      <w:r>
        <w:rPr>
          <w:rFonts w:ascii="仿宋_GB2312" w:eastAsia="仿宋_GB2312" w:cs="Times New Roman" w:hint="eastAsia"/>
          <w:kern w:val="2"/>
          <w:sz w:val="32"/>
          <w:szCs w:val="32"/>
          <w:lang w:val="en-US" w:eastAsia="zh-CN" w:bidi="ar-SA"/>
        </w:rPr>
        <w:t>指为保证机构正常运转，完成日常工作任务而发生的人员支出和公用支出。</w:t>
      </w:r>
      <w:r>
        <w:rPr>
          <w:rFonts w:ascii="方正仿宋_GB2312" w:eastAsia="方正仿宋_GB2312" w:cs="方正仿宋_GB2312" w:hint="eastAsia"/>
          <w:sz w:val="32"/>
          <w:szCs w:val="32"/>
        </w:rPr>
        <w:br/>
        <w:t>　　</w:t>
      </w:r>
      <w:r>
        <w:rPr>
          <w:rFonts w:ascii="楷体_GB2312" w:eastAsia="楷体_GB2312" w:cs="Times New Roman" w:hint="eastAsia"/>
          <w:b/>
          <w:sz w:val="32"/>
          <w:szCs w:val="32"/>
        </w:rPr>
        <w:t>（八）项目支出：</w:t>
      </w:r>
      <w:r>
        <w:rPr>
          <w:rFonts w:ascii="仿宋_GB2312" w:eastAsia="仿宋_GB2312" w:cs="Times New Roman" w:hint="eastAsia"/>
          <w:kern w:val="2"/>
          <w:sz w:val="32"/>
          <w:szCs w:val="32"/>
          <w:lang w:val="en-US" w:eastAsia="zh-CN" w:bidi="ar-SA"/>
        </w:rPr>
        <w:t>指在基本支出之外为完成特定行政任务和事业发展目标所发生的支出。</w:t>
      </w:r>
      <w:r>
        <w:rPr>
          <w:rFonts w:ascii="方正仿宋_GB2312" w:eastAsia="方正仿宋_GB2312" w:cs="方正仿宋_GB2312" w:hint="eastAsia"/>
          <w:sz w:val="32"/>
          <w:szCs w:val="32"/>
        </w:rPr>
        <w:br/>
        <w:t>　　</w:t>
      </w:r>
      <w:r>
        <w:rPr>
          <w:rFonts w:ascii="楷体_GB2312" w:eastAsia="楷体_GB2312" w:cs="Times New Roman" w:hint="eastAsia"/>
          <w:b/>
          <w:sz w:val="32"/>
          <w:szCs w:val="32"/>
        </w:rPr>
        <w:t>（九）“三公”经费：</w:t>
      </w:r>
      <w:r>
        <w:rPr>
          <w:rFonts w:ascii="仿宋_GB2312" w:eastAsia="仿宋_GB2312" w:cs="Times New Roman" w:hint="eastAsia"/>
          <w:kern w:val="2"/>
          <w:sz w:val="32"/>
          <w:szCs w:val="32"/>
          <w:lang w:val="en-US"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18"/>
        <w:widowControl/>
        <w:suppressAutoHyphens/>
        <w:spacing w:before="0" w:beforeAutospacing="0" w:after="0" w:afterAutospacing="0"/>
        <w:ind w:firstLineChars="200" w:firstLine="640"/>
        <w:rPr>
          <w:rFonts w:ascii="方正仿宋_GB2312" w:eastAsia="方正仿宋_GB2312" w:cs="方正仿宋_GB2312" w:hint="eastAsia"/>
          <w:sz w:val="32"/>
          <w:szCs w:val="32"/>
        </w:rPr>
      </w:pPr>
    </w:p>
    <w:p>
      <w:pPr>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茂县凤仪镇幼儿园</w:t>
      </w:r>
    </w:p>
    <w:p>
      <w:pPr>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2026年4月3日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Unicode MS">
    <w:altName w:val="宋体"/>
    <w:panose1 w:val="020B0604020202020204"/>
    <w:charset w:val="86"/>
    <w:family w:val="auto"/>
    <w:pitch w:val="variable"/>
    <w:sig w:usb0="FFFFFFFF" w:usb1="E9FFFFFF" w:usb2="0000003F" w:usb3="00000000" w:csb0="603F01FF" w:csb1="FFFF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楷体_GB2312">
    <w:altName w:val="宋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7A"/>
    <w:family w:val="auto"/>
    <w:pitch w:val="variable"/>
    <w:sig w:usb0="00000203" w:usb1="288F0000" w:usb2="00000006" w:usb3="00000000" w:csb0="00040001" w:csb1="00000000"/>
  </w:font>
  <w:font w:name="楷体">
    <w:panose1 w:val="02010609060101010101"/>
    <w:charset w:val="86"/>
    <w:family w:val="auto"/>
    <w:pitch w:val="variable"/>
    <w:sig w:usb0="800002BF" w:usb1="38CF7CFA" w:usb2="00000016" w:usb3="00000000" w:csb0="00040001" w:csb1="00000000"/>
  </w:font>
  <w:font w:name="方正仿宋_GB2312">
    <w:altName w:val="宋体"/>
    <w:panose1 w:val="02000000000000000000"/>
    <w:charset w:val="86"/>
    <w:family w:val="auto"/>
    <w:pitch w:val="variable"/>
    <w:sig w:usb0="A00002BF" w:usb1="184F6CFA" w:usb2="00000012"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zIwY2U5NTEyYmI3OTdhMDllNmUyMWU1NTVmN2NhOD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footer"/>
    <w:basedOn w:val="0"/>
    <w:autoRedefine/>
    <w:pPr>
      <w:tabs>
        <w:tab w:val="center" w:pos="4153"/>
        <w:tab w:val="right" w:pos="8306"/>
      </w:tabs>
      <w:snapToGrid w:val="0"/>
      <w:jc w:val="left"/>
    </w:pPr>
    <w:rPr>
      <w:sz w:val="18"/>
    </w:rPr>
  </w:style>
  <w:style w:type="paragraph" w:styleId="17">
    <w:name w:val="header"/>
    <w:basedOn w:val="0"/>
    <w:pP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jc w:val="left"/>
    </w:pPr>
    <w:rPr>
      <w:kern w:val="0"/>
      <w:sz w:val="24"/>
    </w:rPr>
  </w:style>
  <w:style w:type="paragraph" w:customStyle="1" w:styleId="19">
    <w:name w:val="〖C01〗正文"/>
    <w:basedOn w:val="0"/>
    <w:pPr>
      <w:topLinePunct/>
      <w:spacing w:line="600" w:lineRule="exact"/>
      <w:ind w:firstLineChars="200" w:firstLine="200"/>
    </w:pPr>
    <w:rPr>
      <w:rFonts w:ascii="方正仿宋_GB2312" w:eastAsia="方正仿宋_GB2312"/>
      <w:sz w:val="32"/>
      <w:szCs w:val="32"/>
    </w:rPr>
  </w:style>
  <w:style w:type="paragraph" w:styleId="20">
    <w:name w:val="List Paragraph"/>
    <w:basedOn w:val="0"/>
    <w:pPr>
      <w:ind w:firstLineChars="200" w:firstLine="200"/>
    </w:pPr>
  </w:style>
  <w:style w:type="paragraph" w:customStyle="1" w:styleId="21">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39</TotalTime>
  <Application>Yozo_Office27021597764231179</Application>
  <Pages>8</Pages>
  <Words>2616</Words>
  <Characters>3057</Characters>
  <Lines>170</Lines>
  <Paragraphs>72</Paragraphs>
  <CharactersWithSpaces>3098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丹尼</dc:creator>
  <cp:lastModifiedBy>user</cp:lastModifiedBy>
  <cp:revision>19</cp:revision>
  <dcterms:created xsi:type="dcterms:W3CDTF">2023-02-17T01:20:00Z</dcterms:created>
  <dcterms:modified xsi:type="dcterms:W3CDTF">2026-03-30T06:59:17Z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4BCC831FF0F24F18A9453E268540240F_13</vt:lpwstr>
  </property>
  <property fmtid="{D5CDD505-2E9C-101B-9397-08002B2CF9AE}" pid="4" name="KSOTemplateDocerSaveRecord">
    <vt:lpwstr>eyJoZGlkIjoiOTcyMzM1MTJkYmM0YTAxMDQ1MmM1YzAzODg3OWU5ODMiLCJ1c2VySWQiOiIyODc3ODg2In0=</vt:lpwstr>
  </property>
</Properties>
</file>