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pacing w:line="576" w:lineRule="exact"/>
        <w:jc w:val="center"/>
        <w:rPr>
          <w:rFonts w:hint="eastAsia" w:ascii="方正小标宋简体" w:hAnsi="方正小标宋简体" w:eastAsia="方正小标宋简体" w:cs="方正小标宋简体"/>
          <w:sz w:val="48"/>
          <w:szCs w:val="48"/>
        </w:rPr>
      </w:pPr>
    </w:p>
    <w:p>
      <w:pPr>
        <w:keepNext w:val="0"/>
        <w:keepLines w:val="0"/>
        <w:pageBreakBefore w:val="0"/>
        <w:widowControl w:val="0"/>
        <w:spacing w:line="576" w:lineRule="exact"/>
        <w:jc w:val="center"/>
        <w:rPr>
          <w:rFonts w:hint="eastAsia" w:ascii="方正小标宋简体" w:hAnsi="方正小标宋简体" w:eastAsia="方正小标宋简体" w:cs="方正小标宋简体"/>
          <w:sz w:val="48"/>
          <w:szCs w:val="48"/>
        </w:rPr>
      </w:pPr>
    </w:p>
    <w:p>
      <w:pPr>
        <w:keepNext w:val="0"/>
        <w:keepLines w:val="0"/>
        <w:pageBreakBefore w:val="0"/>
        <w:widowControl w:val="0"/>
        <w:spacing w:line="576" w:lineRule="exact"/>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2022年度</w:t>
      </w:r>
    </w:p>
    <w:p>
      <w:pPr>
        <w:keepNext w:val="0"/>
        <w:keepLines w:val="0"/>
        <w:pageBreakBefore w:val="0"/>
        <w:widowControl w:val="0"/>
        <w:spacing w:line="576" w:lineRule="exact"/>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四川省阿坝州茂县综合防治大骨节病办公室2022年度部门决算</w:t>
      </w:r>
    </w:p>
    <w:p>
      <w:pPr>
        <w:pStyle w:val="195"/>
        <w:keepNext w:val="0"/>
        <w:keepLines w:val="0"/>
        <w:pageBreakBefore w:val="0"/>
        <w:widowControl/>
        <w:suppressLineNumbers w:val="0"/>
        <w:spacing w:line="576" w:lineRule="exact"/>
        <w:jc w:val="center"/>
      </w:pPr>
      <w:r>
        <w:t> </w:t>
      </w:r>
    </w:p>
    <w:p>
      <w:pPr>
        <w:pStyle w:val="195"/>
        <w:keepNext w:val="0"/>
        <w:keepLines w:val="0"/>
        <w:pageBreakBefore w:val="0"/>
        <w:widowControl/>
        <w:suppressLineNumbers w:val="0"/>
        <w:spacing w:line="576" w:lineRule="exact"/>
        <w:jc w:val="center"/>
      </w:pPr>
      <w:r>
        <w:t> </w:t>
      </w:r>
    </w:p>
    <w:p>
      <w:pPr>
        <w:pStyle w:val="195"/>
        <w:keepNext w:val="0"/>
        <w:keepLines w:val="0"/>
        <w:pageBreakBefore w:val="0"/>
        <w:widowControl/>
        <w:suppressLineNumbers w:val="0"/>
        <w:spacing w:line="576" w:lineRule="exact"/>
        <w:jc w:val="center"/>
      </w:pPr>
      <w:r>
        <w:t> </w:t>
      </w:r>
    </w:p>
    <w:p>
      <w:pPr>
        <w:pStyle w:val="195"/>
        <w:keepNext w:val="0"/>
        <w:keepLines w:val="0"/>
        <w:pageBreakBefore w:val="0"/>
        <w:widowControl/>
        <w:suppressLineNumbers w:val="0"/>
        <w:spacing w:line="576" w:lineRule="exact"/>
        <w:jc w:val="center"/>
      </w:pPr>
      <w:r>
        <w:t> </w:t>
      </w:r>
    </w:p>
    <w:p>
      <w:pPr>
        <w:pStyle w:val="195"/>
        <w:keepNext w:val="0"/>
        <w:keepLines w:val="0"/>
        <w:pageBreakBefore w:val="0"/>
        <w:widowControl/>
        <w:suppressLineNumbers w:val="0"/>
        <w:spacing w:line="576" w:lineRule="exact"/>
        <w:jc w:val="center"/>
      </w:pPr>
      <w:r>
        <w:t> </w:t>
      </w:r>
    </w:p>
    <w:p>
      <w:pPr>
        <w:pStyle w:val="195"/>
        <w:keepNext w:val="0"/>
        <w:keepLines w:val="0"/>
        <w:pageBreakBefore w:val="0"/>
        <w:widowControl/>
        <w:suppressLineNumbers w:val="0"/>
        <w:spacing w:line="576" w:lineRule="exact"/>
        <w:jc w:val="center"/>
      </w:pPr>
      <w:r>
        <w:t> </w:t>
      </w:r>
    </w:p>
    <w:p>
      <w:pPr>
        <w:pageBreakBefore w:val="0"/>
        <w:spacing w:line="576" w:lineRule="exact"/>
        <w:ind w:left="420"/>
        <w:jc w:val="left"/>
        <w:rPr>
          <w:rFonts w:hint="eastAsia" w:ascii="宋体" w:hAnsi="Times New Roman" w:eastAsia="宋体" w:cs="仿宋_GB2312"/>
          <w:sz w:val="32"/>
          <w:szCs w:val="32"/>
        </w:rPr>
      </w:pPr>
      <w:r>
        <w:rPr>
          <w:rFonts w:hint="eastAsia" w:ascii="宋体" w:hAnsi="Times New Roman" w:eastAsia="宋体" w:cs="仿宋_GB2312"/>
          <w:sz w:val="32"/>
          <w:szCs w:val="32"/>
        </w:rPr>
        <w:t> </w:t>
      </w:r>
    </w:p>
    <w:p>
      <w:pPr>
        <w:pageBreakBefore w:val="0"/>
        <w:spacing w:line="576" w:lineRule="exact"/>
        <w:ind w:left="420"/>
        <w:jc w:val="left"/>
        <w:rPr>
          <w:rFonts w:hint="eastAsia" w:ascii="宋体" w:hAnsi="Times New Roman" w:eastAsia="宋体" w:cs="仿宋_GB2312"/>
          <w:sz w:val="32"/>
          <w:szCs w:val="32"/>
        </w:rPr>
      </w:pPr>
    </w:p>
    <w:p>
      <w:pPr>
        <w:pageBreakBefore w:val="0"/>
        <w:spacing w:line="576" w:lineRule="exact"/>
        <w:ind w:left="420"/>
        <w:jc w:val="left"/>
        <w:rPr>
          <w:rFonts w:hint="eastAsia" w:ascii="宋体" w:hAnsi="Times New Roman" w:eastAsia="宋体" w:cs="仿宋_GB2312"/>
          <w:sz w:val="32"/>
          <w:szCs w:val="32"/>
        </w:rPr>
      </w:pPr>
    </w:p>
    <w:p>
      <w:pPr>
        <w:pageBreakBefore w:val="0"/>
        <w:spacing w:line="576" w:lineRule="exact"/>
        <w:ind w:left="420"/>
        <w:jc w:val="left"/>
        <w:rPr>
          <w:rFonts w:hint="eastAsia" w:ascii="宋体" w:hAnsi="Times New Roman" w:eastAsia="宋体" w:cs="仿宋_GB2312"/>
          <w:sz w:val="32"/>
          <w:szCs w:val="32"/>
        </w:rPr>
      </w:pPr>
    </w:p>
    <w:p>
      <w:pPr>
        <w:pageBreakBefore w:val="0"/>
        <w:spacing w:line="576" w:lineRule="exact"/>
        <w:ind w:left="420"/>
        <w:jc w:val="left"/>
        <w:rPr>
          <w:rFonts w:hint="eastAsia" w:ascii="宋体" w:hAnsi="Times New Roman" w:eastAsia="宋体" w:cs="仿宋_GB2312"/>
          <w:sz w:val="32"/>
          <w:szCs w:val="32"/>
        </w:rPr>
      </w:pPr>
    </w:p>
    <w:p>
      <w:pPr>
        <w:pageBreakBefore w:val="0"/>
        <w:spacing w:line="576" w:lineRule="exact"/>
        <w:ind w:left="420"/>
        <w:jc w:val="left"/>
        <w:rPr>
          <w:rFonts w:hint="eastAsia" w:ascii="宋体" w:hAnsi="Times New Roman" w:eastAsia="宋体" w:cs="仿宋_GB2312"/>
          <w:sz w:val="32"/>
          <w:szCs w:val="32"/>
        </w:rPr>
      </w:pPr>
    </w:p>
    <w:p>
      <w:pPr>
        <w:pageBreakBefore w:val="0"/>
        <w:spacing w:line="576" w:lineRule="exact"/>
        <w:ind w:left="420"/>
        <w:jc w:val="left"/>
        <w:rPr>
          <w:rFonts w:hint="eastAsia" w:ascii="宋体" w:hAnsi="Times New Roman" w:eastAsia="宋体" w:cs="仿宋_GB2312"/>
          <w:sz w:val="32"/>
          <w:szCs w:val="32"/>
        </w:rPr>
      </w:pPr>
    </w:p>
    <w:p>
      <w:pPr>
        <w:pageBreakBefore w:val="0"/>
        <w:spacing w:line="576" w:lineRule="exact"/>
        <w:ind w:left="420"/>
        <w:jc w:val="left"/>
        <w:rPr>
          <w:rFonts w:hint="eastAsia" w:ascii="宋体" w:hAnsi="Times New Roman" w:eastAsia="宋体" w:cs="仿宋_GB2312"/>
          <w:sz w:val="32"/>
          <w:szCs w:val="32"/>
        </w:rPr>
      </w:pPr>
    </w:p>
    <w:p>
      <w:pPr>
        <w:pageBreakBefore w:val="0"/>
        <w:spacing w:line="576" w:lineRule="exact"/>
        <w:ind w:left="420"/>
        <w:jc w:val="left"/>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pPr>
        <w:pStyle w:val="195"/>
        <w:keepNext w:val="0"/>
        <w:keepLines w:val="0"/>
        <w:pageBreakBefore w:val="0"/>
        <w:widowControl/>
        <w:suppressLineNumbers w:val="0"/>
        <w:spacing w:line="576" w:lineRule="exact"/>
        <w:jc w:val="center"/>
        <w:rPr>
          <w:rFonts w:ascii="黑体" w:eastAsia="黑体"/>
          <w:color w:val="000000"/>
          <w:sz w:val="48"/>
          <w:szCs w:val="48"/>
        </w:rPr>
      </w:pPr>
      <w:r>
        <w:t> </w:t>
      </w:r>
      <w:r>
        <w:rPr>
          <w:rFonts w:hint="eastAsia" w:ascii="黑体" w:eastAsia="黑体"/>
          <w:color w:val="000000"/>
          <w:sz w:val="48"/>
          <w:szCs w:val="48"/>
        </w:rPr>
        <w:t>目录</w:t>
      </w:r>
    </w:p>
    <w:p>
      <w:pPr>
        <w:pStyle w:val="193"/>
        <w:pageBreakBefore w:val="0"/>
        <w:spacing w:line="576" w:lineRule="exact"/>
        <w:jc w:val="center"/>
      </w:pPr>
      <w:r>
        <w:rPr>
          <w:rFonts w:hint="eastAsia"/>
          <w:b w:val="0"/>
          <w:bCs w:val="0"/>
          <w:sz w:val="24"/>
          <w:szCs w:val="24"/>
        </w:rPr>
        <w:t>公开时间：202</w:t>
      </w:r>
      <w:r>
        <w:rPr>
          <w:b w:val="0"/>
          <w:bCs w:val="0"/>
          <w:sz w:val="24"/>
          <w:szCs w:val="24"/>
        </w:rPr>
        <w:t>3</w:t>
      </w:r>
      <w:r>
        <w:rPr>
          <w:rFonts w:hint="eastAsia"/>
          <w:b w:val="0"/>
          <w:bCs w:val="0"/>
          <w:sz w:val="24"/>
          <w:szCs w:val="24"/>
        </w:rPr>
        <w:t xml:space="preserve">年 </w:t>
      </w:r>
      <w:r>
        <w:rPr>
          <w:rFonts w:hint="eastAsia"/>
          <w:b w:val="0"/>
          <w:bCs w:val="0"/>
          <w:sz w:val="24"/>
          <w:szCs w:val="24"/>
          <w:lang w:val="en-US" w:eastAsia="zh-CN"/>
        </w:rPr>
        <w:t>9</w:t>
      </w:r>
      <w:r>
        <w:rPr>
          <w:rFonts w:hint="eastAsia"/>
          <w:b w:val="0"/>
          <w:bCs w:val="0"/>
          <w:sz w:val="24"/>
          <w:szCs w:val="24"/>
        </w:rPr>
        <w:t xml:space="preserve">月 </w:t>
      </w:r>
      <w:r>
        <w:rPr>
          <w:rFonts w:hint="eastAsia"/>
          <w:b w:val="0"/>
          <w:bCs w:val="0"/>
          <w:sz w:val="24"/>
          <w:szCs w:val="24"/>
          <w:lang w:val="en-US" w:eastAsia="zh-CN"/>
        </w:rPr>
        <w:t>12</w:t>
      </w:r>
      <w:r>
        <w:rPr>
          <w:rFonts w:hint="eastAsia"/>
          <w:b w:val="0"/>
          <w:bCs w:val="0"/>
          <w:sz w:val="24"/>
          <w:szCs w:val="24"/>
        </w:rPr>
        <w:t>日</w:t>
      </w:r>
    </w:p>
    <w:p>
      <w:pPr>
        <w:pStyle w:val="198"/>
        <w:pageBreakBefore w:val="0"/>
        <w:tabs>
          <w:tab w:val="right" w:leader="dot" w:pos="8306"/>
        </w:tabs>
        <w:spacing w:line="576" w:lineRule="exact"/>
      </w:pPr>
      <w:r>
        <w:fldChar w:fldCharType="begin"/>
      </w:r>
      <w:r>
        <w:instrText xml:space="preserve">TOC \o "1-3" \h \u </w:instrText>
      </w:r>
      <w:r>
        <w:fldChar w:fldCharType="separate"/>
      </w:r>
      <w:r>
        <w:fldChar w:fldCharType="begin"/>
      </w:r>
      <w:r>
        <w:instrText xml:space="preserve"> HYPERLINK \l _Toc23324 </w:instrText>
      </w:r>
      <w:r>
        <w:fldChar w:fldCharType="separate"/>
      </w:r>
      <w:r>
        <w:rPr>
          <w:rFonts w:hint="eastAsia" w:ascii="黑体" w:hAnsi="Times New Roman" w:eastAsia="黑体" w:cs="Times New Roman"/>
          <w:szCs w:val="44"/>
          <w:lang w:bidi="ar-SA"/>
        </w:rPr>
        <w:t>第一部分 单位概况</w:t>
      </w:r>
      <w:r>
        <w:tab/>
      </w:r>
      <w:r>
        <w:fldChar w:fldCharType="begin"/>
      </w:r>
      <w:r>
        <w:instrText xml:space="preserve"> PAGEREF _Toc23324 \h </w:instrText>
      </w:r>
      <w:r>
        <w:fldChar w:fldCharType="separate"/>
      </w:r>
      <w:r>
        <w:t>4</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_Toc14656 </w:instrText>
      </w:r>
      <w:r>
        <w:fldChar w:fldCharType="separate"/>
      </w:r>
      <w:r>
        <w:rPr>
          <w:rFonts w:hint="eastAsia" w:ascii="黑体" w:hAnsi="Cambria" w:eastAsia="黑体" w:cs="Times New Roman"/>
          <w:szCs w:val="32"/>
          <w:lang w:bidi="ar-SA"/>
        </w:rPr>
        <w:t>一、主要职责</w:t>
      </w:r>
      <w:r>
        <w:tab/>
      </w:r>
      <w:r>
        <w:fldChar w:fldCharType="begin"/>
      </w:r>
      <w:r>
        <w:instrText xml:space="preserve"> PAGEREF _Toc14656 \h </w:instrText>
      </w:r>
      <w:r>
        <w:fldChar w:fldCharType="separate"/>
      </w:r>
      <w:r>
        <w:t>4</w:t>
      </w:r>
      <w:r>
        <w:fldChar w:fldCharType="end"/>
      </w:r>
      <w:r>
        <w:fldChar w:fldCharType="end"/>
      </w:r>
    </w:p>
    <w:p>
      <w:pPr>
        <w:pStyle w:val="200"/>
        <w:pageBreakBefore w:val="0"/>
        <w:tabs>
          <w:tab w:val="right" w:leader="dot" w:pos="8306"/>
        </w:tabs>
        <w:spacing w:line="576" w:lineRule="exact"/>
      </w:pPr>
      <w:r>
        <w:fldChar w:fldCharType="begin"/>
      </w:r>
      <w:r>
        <w:instrText xml:space="preserve"> HYPERLINK \l _Toc30733 </w:instrText>
      </w:r>
      <w:r>
        <w:fldChar w:fldCharType="separate"/>
      </w:r>
      <w:r>
        <w:rPr>
          <w:rFonts w:hint="eastAsia" w:ascii="仿宋" w:hAnsi="Times New Roman" w:eastAsia="仿宋" w:cs="Times New Roman"/>
          <w:bCs/>
          <w:szCs w:val="32"/>
        </w:rPr>
        <w:t>（一）主要职能。</w:t>
      </w:r>
      <w:r>
        <w:tab/>
      </w:r>
      <w:r>
        <w:fldChar w:fldCharType="begin"/>
      </w:r>
      <w:r>
        <w:instrText xml:space="preserve"> PAGEREF _Toc30733 \h </w:instrText>
      </w:r>
      <w:r>
        <w:fldChar w:fldCharType="separate"/>
      </w:r>
      <w:r>
        <w:t>4</w:t>
      </w:r>
      <w:r>
        <w:fldChar w:fldCharType="end"/>
      </w:r>
      <w:r>
        <w:fldChar w:fldCharType="end"/>
      </w:r>
    </w:p>
    <w:p>
      <w:pPr>
        <w:pStyle w:val="200"/>
        <w:pageBreakBefore w:val="0"/>
        <w:tabs>
          <w:tab w:val="right" w:leader="dot" w:pos="8306"/>
        </w:tabs>
        <w:spacing w:line="576" w:lineRule="exact"/>
      </w:pPr>
      <w:r>
        <w:fldChar w:fldCharType="begin"/>
      </w:r>
      <w:r>
        <w:instrText xml:space="preserve"> HYPERLINK \l _Toc2091 </w:instrText>
      </w:r>
      <w:r>
        <w:fldChar w:fldCharType="separate"/>
      </w:r>
      <w:r>
        <w:rPr>
          <w:rFonts w:hint="eastAsia" w:ascii="仿宋" w:hAnsi="Times New Roman" w:eastAsia="仿宋" w:cs="Times New Roman"/>
          <w:bCs/>
          <w:szCs w:val="32"/>
        </w:rPr>
        <w:t>（二）2022年重点工作完成情况。</w:t>
      </w:r>
      <w:r>
        <w:tab/>
      </w:r>
      <w:r>
        <w:fldChar w:fldCharType="begin"/>
      </w:r>
      <w:r>
        <w:instrText xml:space="preserve"> PAGEREF _Toc2091 \h </w:instrText>
      </w:r>
      <w:r>
        <w:fldChar w:fldCharType="separate"/>
      </w:r>
      <w:r>
        <w:t>4</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_Toc10669 </w:instrText>
      </w:r>
      <w:r>
        <w:fldChar w:fldCharType="separate"/>
      </w:r>
      <w:r>
        <w:rPr>
          <w:rFonts w:hint="eastAsia" w:ascii="黑体" w:hAnsi="Cambria" w:eastAsia="黑体" w:cs="Times New Roman"/>
          <w:szCs w:val="32"/>
          <w:lang w:bidi="ar-SA"/>
        </w:rPr>
        <w:t>二、机构设置</w:t>
      </w:r>
      <w:r>
        <w:tab/>
      </w:r>
      <w:r>
        <w:fldChar w:fldCharType="begin"/>
      </w:r>
      <w:r>
        <w:instrText xml:space="preserve"> PAGEREF _Toc10669 \h </w:instrText>
      </w:r>
      <w:r>
        <w:fldChar w:fldCharType="separate"/>
      </w:r>
      <w:r>
        <w:t>6</w:t>
      </w:r>
      <w:r>
        <w:fldChar w:fldCharType="end"/>
      </w:r>
      <w:r>
        <w:fldChar w:fldCharType="end"/>
      </w:r>
    </w:p>
    <w:p>
      <w:pPr>
        <w:pStyle w:val="198"/>
        <w:pageBreakBefore w:val="0"/>
        <w:tabs>
          <w:tab w:val="right" w:leader="dot" w:pos="8306"/>
        </w:tabs>
        <w:spacing w:line="576" w:lineRule="exact"/>
      </w:pPr>
      <w:r>
        <w:fldChar w:fldCharType="begin"/>
      </w:r>
      <w:r>
        <w:instrText xml:space="preserve"> HYPERLINK \l _Toc26951 </w:instrText>
      </w:r>
      <w:r>
        <w:fldChar w:fldCharType="separate"/>
      </w:r>
      <w:r>
        <w:rPr>
          <w:rFonts w:hint="eastAsia" w:ascii="黑体" w:hAnsi="Times New Roman" w:eastAsia="黑体" w:cs="Times New Roman"/>
          <w:szCs w:val="44"/>
          <w:lang w:bidi="ar-SA"/>
        </w:rPr>
        <w:t>第二部分 2022年度单位决算情况说明</w:t>
      </w:r>
      <w:r>
        <w:tab/>
      </w:r>
      <w:r>
        <w:fldChar w:fldCharType="begin"/>
      </w:r>
      <w:r>
        <w:instrText xml:space="preserve"> PAGEREF _Toc26951 \h </w:instrText>
      </w:r>
      <w:r>
        <w:fldChar w:fldCharType="separate"/>
      </w:r>
      <w:r>
        <w:t>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_Toc12554 </w:instrText>
      </w:r>
      <w:r>
        <w:fldChar w:fldCharType="separate"/>
      </w:r>
      <w:r>
        <w:rPr>
          <w:rFonts w:ascii="黑体" w:hAnsi="Times New Roman" w:eastAsia="黑体" w:cs="Times New Roman"/>
          <w:szCs w:val="32"/>
        </w:rPr>
        <w:t xml:space="preserve">一、 </w:t>
      </w:r>
      <w:r>
        <w:rPr>
          <w:rFonts w:hint="eastAsia" w:ascii="黑体" w:hAnsi="Times New Roman" w:eastAsia="黑体" w:cs="Times New Roman"/>
          <w:szCs w:val="32"/>
        </w:rPr>
        <w:t>收入支出决算总体情况说明</w:t>
      </w:r>
      <w:r>
        <w:tab/>
      </w:r>
      <w:r>
        <w:fldChar w:fldCharType="begin"/>
      </w:r>
      <w:r>
        <w:instrText xml:space="preserve"> PAGEREF _Toc12554 \h </w:instrText>
      </w:r>
      <w:r>
        <w:fldChar w:fldCharType="separate"/>
      </w:r>
      <w:r>
        <w:t>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_Toc11583 </w:instrText>
      </w:r>
      <w:r>
        <w:fldChar w:fldCharType="separate"/>
      </w:r>
      <w:r>
        <w:rPr>
          <w:rFonts w:ascii="黑体" w:hAnsi="Times New Roman" w:eastAsia="黑体" w:cs="Times New Roman"/>
          <w:szCs w:val="32"/>
        </w:rPr>
        <w:t xml:space="preserve">二、 </w:t>
      </w:r>
      <w:r>
        <w:rPr>
          <w:rFonts w:hint="eastAsia" w:ascii="黑体" w:hAnsi="Times New Roman" w:eastAsia="黑体" w:cs="Times New Roman"/>
          <w:szCs w:val="32"/>
        </w:rPr>
        <w:t>收入决算情况说明</w:t>
      </w:r>
      <w:r>
        <w:tab/>
      </w:r>
      <w:r>
        <w:fldChar w:fldCharType="begin"/>
      </w:r>
      <w:r>
        <w:instrText xml:space="preserve"> PAGEREF _Toc11583 \h </w:instrText>
      </w:r>
      <w:r>
        <w:fldChar w:fldCharType="separate"/>
      </w:r>
      <w:r>
        <w:t>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_Toc18578 </w:instrText>
      </w:r>
      <w:r>
        <w:fldChar w:fldCharType="separate"/>
      </w:r>
      <w:r>
        <w:rPr>
          <w:rFonts w:ascii="黑体" w:hAnsi="Times New Roman" w:eastAsia="黑体" w:cs="Times New Roman"/>
          <w:szCs w:val="32"/>
        </w:rPr>
        <w:t xml:space="preserve">三、 </w:t>
      </w:r>
      <w:r>
        <w:rPr>
          <w:rFonts w:hint="eastAsia" w:ascii="黑体" w:hAnsi="Times New Roman" w:eastAsia="黑体" w:cs="Times New Roman"/>
          <w:szCs w:val="32"/>
        </w:rPr>
        <w:t>支出决算情况说明</w:t>
      </w:r>
      <w:r>
        <w:tab/>
      </w:r>
      <w:r>
        <w:fldChar w:fldCharType="begin"/>
      </w:r>
      <w:r>
        <w:instrText xml:space="preserve"> PAGEREF _Toc18578 \h </w:instrText>
      </w:r>
      <w:r>
        <w:fldChar w:fldCharType="separate"/>
      </w:r>
      <w:r>
        <w:t>7</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_Toc26488 </w:instrText>
      </w:r>
      <w:r>
        <w:fldChar w:fldCharType="separate"/>
      </w:r>
      <w:r>
        <w:rPr>
          <w:rFonts w:ascii="黑体" w:hAnsi="Times New Roman" w:eastAsia="黑体" w:cs="Times New Roman"/>
          <w:szCs w:val="32"/>
        </w:rPr>
        <w:t xml:space="preserve">四、 </w:t>
      </w:r>
      <w:r>
        <w:rPr>
          <w:rFonts w:hint="eastAsia" w:ascii="黑体" w:hAnsi="Times New Roman" w:eastAsia="黑体" w:cs="Times New Roman"/>
          <w:szCs w:val="32"/>
        </w:rPr>
        <w:t>财政拨款收入支出决算总体情况说明</w:t>
      </w:r>
      <w:r>
        <w:tab/>
      </w:r>
      <w:r>
        <w:fldChar w:fldCharType="begin"/>
      </w:r>
      <w:r>
        <w:instrText xml:space="preserve"> PAGEREF _Toc26488 \h </w:instrText>
      </w:r>
      <w:r>
        <w:fldChar w:fldCharType="separate"/>
      </w:r>
      <w:r>
        <w:t>7</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_Toc5657 </w:instrText>
      </w:r>
      <w:r>
        <w:fldChar w:fldCharType="separate"/>
      </w:r>
      <w:r>
        <w:rPr>
          <w:rFonts w:ascii="黑体" w:hAnsi="Times New Roman" w:eastAsia="黑体" w:cs="Times New Roman"/>
          <w:szCs w:val="32"/>
        </w:rPr>
        <w:t xml:space="preserve">五、 </w:t>
      </w:r>
      <w:r>
        <w:rPr>
          <w:rFonts w:hint="eastAsia" w:ascii="黑体" w:hAnsi="Times New Roman" w:eastAsia="黑体" w:cs="Times New Roman"/>
          <w:szCs w:val="32"/>
        </w:rPr>
        <w:t>一般公共预算财政拨款支出决算情况说明</w:t>
      </w:r>
      <w:r>
        <w:tab/>
      </w:r>
      <w:r>
        <w:fldChar w:fldCharType="begin"/>
      </w:r>
      <w:r>
        <w:instrText xml:space="preserve"> PAGEREF _Toc5657 \h </w:instrText>
      </w:r>
      <w:r>
        <w:fldChar w:fldCharType="separate"/>
      </w:r>
      <w:r>
        <w:t>8</w:t>
      </w:r>
      <w:r>
        <w:fldChar w:fldCharType="end"/>
      </w:r>
      <w:r>
        <w:fldChar w:fldCharType="end"/>
      </w:r>
    </w:p>
    <w:p>
      <w:pPr>
        <w:pStyle w:val="200"/>
        <w:pageBreakBefore w:val="0"/>
        <w:tabs>
          <w:tab w:val="right" w:leader="dot" w:pos="8306"/>
        </w:tabs>
        <w:spacing w:line="576" w:lineRule="exact"/>
      </w:pPr>
      <w:r>
        <w:fldChar w:fldCharType="begin"/>
      </w:r>
      <w:r>
        <w:instrText xml:space="preserve"> HYPERLINK \l _Toc3691 </w:instrText>
      </w:r>
      <w:r>
        <w:fldChar w:fldCharType="separate"/>
      </w:r>
      <w:r>
        <w:rPr>
          <w:rFonts w:hint="eastAsia" w:ascii="仿宋" w:hAnsi="Times New Roman" w:eastAsia="仿宋" w:cs="Times New Roman"/>
          <w:szCs w:val="32"/>
        </w:rPr>
        <w:t>（一）一般公共预算财政拨款支出决算总体情况</w:t>
      </w:r>
      <w:r>
        <w:tab/>
      </w:r>
      <w:r>
        <w:fldChar w:fldCharType="begin"/>
      </w:r>
      <w:r>
        <w:instrText xml:space="preserve"> PAGEREF _Toc3691 \h </w:instrText>
      </w:r>
      <w:r>
        <w:fldChar w:fldCharType="separate"/>
      </w:r>
      <w:r>
        <w:t>8</w:t>
      </w:r>
      <w:r>
        <w:fldChar w:fldCharType="end"/>
      </w:r>
      <w:r>
        <w:fldChar w:fldCharType="end"/>
      </w:r>
    </w:p>
    <w:p>
      <w:pPr>
        <w:pStyle w:val="200"/>
        <w:pageBreakBefore w:val="0"/>
        <w:tabs>
          <w:tab w:val="right" w:leader="dot" w:pos="8306"/>
        </w:tabs>
        <w:spacing w:line="576" w:lineRule="exact"/>
      </w:pPr>
      <w:r>
        <w:fldChar w:fldCharType="begin"/>
      </w:r>
      <w:r>
        <w:instrText xml:space="preserve"> HYPERLINK \l _Toc26183 </w:instrText>
      </w:r>
      <w:r>
        <w:fldChar w:fldCharType="separate"/>
      </w:r>
      <w:r>
        <w:rPr>
          <w:rFonts w:hint="eastAsia" w:ascii="仿宋" w:hAnsi="Times New Roman" w:eastAsia="仿宋" w:cs="Times New Roman"/>
          <w:szCs w:val="32"/>
        </w:rPr>
        <w:t>（二）一般公共预算财政拨款支出决算结构情况</w:t>
      </w:r>
      <w:r>
        <w:tab/>
      </w:r>
      <w:r>
        <w:fldChar w:fldCharType="begin"/>
      </w:r>
      <w:r>
        <w:instrText xml:space="preserve"> PAGEREF _Toc26183 \h </w:instrText>
      </w:r>
      <w:r>
        <w:fldChar w:fldCharType="separate"/>
      </w:r>
      <w:r>
        <w:t>8</w:t>
      </w:r>
      <w:r>
        <w:fldChar w:fldCharType="end"/>
      </w:r>
      <w:r>
        <w:fldChar w:fldCharType="end"/>
      </w:r>
    </w:p>
    <w:p>
      <w:pPr>
        <w:pStyle w:val="200"/>
        <w:pageBreakBefore w:val="0"/>
        <w:tabs>
          <w:tab w:val="right" w:leader="dot" w:pos="8306"/>
        </w:tabs>
        <w:spacing w:line="576" w:lineRule="exact"/>
      </w:pPr>
      <w:r>
        <w:fldChar w:fldCharType="begin"/>
      </w:r>
      <w:r>
        <w:instrText xml:space="preserve"> HYPERLINK \l _Toc29675 </w:instrText>
      </w:r>
      <w:r>
        <w:fldChar w:fldCharType="separate"/>
      </w:r>
      <w:r>
        <w:rPr>
          <w:rFonts w:hint="eastAsia" w:ascii="仿宋" w:hAnsi="Times New Roman" w:eastAsia="仿宋" w:cs="Times New Roman"/>
          <w:szCs w:val="32"/>
        </w:rPr>
        <w:t>（三）一般公共预算财政拨款支出决算具体情况</w:t>
      </w:r>
      <w:r>
        <w:tab/>
      </w:r>
      <w:r>
        <w:fldChar w:fldCharType="begin"/>
      </w:r>
      <w:r>
        <w:instrText xml:space="preserve"> PAGEREF _Toc29675 \h </w:instrText>
      </w:r>
      <w:r>
        <w:fldChar w:fldCharType="separate"/>
      </w:r>
      <w:r>
        <w:t>9</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_Toc17476 </w:instrText>
      </w:r>
      <w:r>
        <w:fldChar w:fldCharType="separate"/>
      </w:r>
      <w:r>
        <w:rPr>
          <w:rFonts w:hint="eastAsia" w:ascii="黑体" w:hAnsi="Times New Roman" w:eastAsia="黑体" w:cs="Times New Roman"/>
          <w:szCs w:val="32"/>
        </w:rPr>
        <w:t>六、一般公共预算财政拨款基本支出决算情况说明   </w:t>
      </w:r>
      <w:r>
        <w:tab/>
      </w:r>
      <w:r>
        <w:fldChar w:fldCharType="begin"/>
      </w:r>
      <w:r>
        <w:instrText xml:space="preserve"> PAGEREF _Toc17476 \h </w:instrText>
      </w:r>
      <w:r>
        <w:fldChar w:fldCharType="separate"/>
      </w:r>
      <w:r>
        <w:t>9</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_Toc31902 </w:instrText>
      </w:r>
      <w:r>
        <w:fldChar w:fldCharType="separate"/>
      </w:r>
      <w:r>
        <w:rPr>
          <w:rFonts w:hint="eastAsia" w:ascii="黑体" w:hAnsi="Times New Roman" w:eastAsia="黑体" w:cs="Times New Roman"/>
          <w:szCs w:val="32"/>
        </w:rPr>
        <w:t>七、“三公”经费财政拨款支出决算情况说明</w:t>
      </w:r>
      <w:r>
        <w:tab/>
      </w:r>
      <w:r>
        <w:fldChar w:fldCharType="begin"/>
      </w:r>
      <w:r>
        <w:instrText xml:space="preserve"> PAGEREF _Toc31902 \h </w:instrText>
      </w:r>
      <w:r>
        <w:fldChar w:fldCharType="separate"/>
      </w:r>
      <w:r>
        <w:t>10</w:t>
      </w:r>
      <w:r>
        <w:fldChar w:fldCharType="end"/>
      </w:r>
      <w:r>
        <w:fldChar w:fldCharType="end"/>
      </w:r>
    </w:p>
    <w:p>
      <w:pPr>
        <w:pStyle w:val="200"/>
        <w:pageBreakBefore w:val="0"/>
        <w:tabs>
          <w:tab w:val="right" w:leader="dot" w:pos="8306"/>
        </w:tabs>
        <w:spacing w:line="576" w:lineRule="exact"/>
      </w:pPr>
      <w:r>
        <w:fldChar w:fldCharType="begin"/>
      </w:r>
      <w:r>
        <w:instrText xml:space="preserve"> HYPERLINK \l _Toc22479 </w:instrText>
      </w:r>
      <w:r>
        <w:fldChar w:fldCharType="separate"/>
      </w:r>
      <w:r>
        <w:rPr>
          <w:rFonts w:hint="eastAsia" w:ascii="仿宋" w:hAnsi="Times New Roman" w:eastAsia="仿宋" w:cs="Times New Roman"/>
          <w:szCs w:val="32"/>
        </w:rPr>
        <w:t>（一）“三公”经费财政拨款支出决算总体情况说明</w:t>
      </w:r>
      <w:r>
        <w:tab/>
      </w:r>
      <w:r>
        <w:fldChar w:fldCharType="begin"/>
      </w:r>
      <w:r>
        <w:instrText xml:space="preserve"> PAGEREF _Toc22479 \h </w:instrText>
      </w:r>
      <w:r>
        <w:fldChar w:fldCharType="separate"/>
      </w:r>
      <w:r>
        <w:t>10</w:t>
      </w:r>
      <w:r>
        <w:fldChar w:fldCharType="end"/>
      </w:r>
      <w:r>
        <w:fldChar w:fldCharType="end"/>
      </w:r>
    </w:p>
    <w:p>
      <w:pPr>
        <w:pStyle w:val="200"/>
        <w:pageBreakBefore w:val="0"/>
        <w:tabs>
          <w:tab w:val="right" w:leader="dot" w:pos="8306"/>
        </w:tabs>
        <w:spacing w:line="576" w:lineRule="exact"/>
      </w:pPr>
      <w:r>
        <w:fldChar w:fldCharType="begin"/>
      </w:r>
      <w:r>
        <w:instrText xml:space="preserve"> HYPERLINK \l _Toc30765 </w:instrText>
      </w:r>
      <w:r>
        <w:fldChar w:fldCharType="separate"/>
      </w:r>
      <w:r>
        <w:rPr>
          <w:rFonts w:hint="eastAsia" w:ascii="仿宋" w:hAnsi="Times New Roman" w:eastAsia="仿宋" w:cs="Times New Roman"/>
          <w:szCs w:val="32"/>
        </w:rPr>
        <w:t>（二）“三公”经费财政拨款支出决算具体情况说明</w:t>
      </w:r>
      <w:r>
        <w:tab/>
      </w:r>
      <w:r>
        <w:fldChar w:fldCharType="begin"/>
      </w:r>
      <w:r>
        <w:instrText xml:space="preserve"> PAGEREF _Toc30765 \h </w:instrText>
      </w:r>
      <w:r>
        <w:fldChar w:fldCharType="separate"/>
      </w:r>
      <w:r>
        <w:t>10</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_Toc1331 </w:instrText>
      </w:r>
      <w:r>
        <w:fldChar w:fldCharType="separate"/>
      </w:r>
      <w:r>
        <w:rPr>
          <w:rFonts w:hint="eastAsia" w:ascii="黑体" w:hAnsi="Times New Roman" w:eastAsia="黑体" w:cs="Times New Roman"/>
          <w:szCs w:val="32"/>
        </w:rPr>
        <w:t>八、政府性基金预算支出决算情况说明</w:t>
      </w:r>
      <w:r>
        <w:tab/>
      </w:r>
      <w:r>
        <w:fldChar w:fldCharType="begin"/>
      </w:r>
      <w:r>
        <w:instrText xml:space="preserve"> PAGEREF _Toc1331 \h </w:instrText>
      </w:r>
      <w:r>
        <w:fldChar w:fldCharType="separate"/>
      </w:r>
      <w:r>
        <w:t>11</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_Toc18417 </w:instrText>
      </w:r>
      <w:r>
        <w:fldChar w:fldCharType="separate"/>
      </w:r>
      <w:r>
        <w:rPr>
          <w:rFonts w:hint="eastAsia" w:ascii="黑体" w:hAnsi="Times New Roman" w:eastAsia="黑体" w:cs="Times New Roman"/>
          <w:szCs w:val="32"/>
        </w:rPr>
        <w:t>九、国有资本经营预算支出决算情况说明</w:t>
      </w:r>
      <w:r>
        <w:tab/>
      </w:r>
      <w:r>
        <w:fldChar w:fldCharType="begin"/>
      </w:r>
      <w:r>
        <w:instrText xml:space="preserve"> PAGEREF _Toc18417 \h </w:instrText>
      </w:r>
      <w:r>
        <w:fldChar w:fldCharType="separate"/>
      </w:r>
      <w:r>
        <w:t>11</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_Toc26033 </w:instrText>
      </w:r>
      <w:r>
        <w:fldChar w:fldCharType="separate"/>
      </w:r>
      <w:r>
        <w:rPr>
          <w:rFonts w:hint="eastAsia" w:ascii="黑体" w:hAnsi="Times New Roman" w:eastAsia="黑体" w:cs="Times New Roman"/>
          <w:szCs w:val="32"/>
          <w:lang w:val="en-US" w:eastAsia="zh-CN" w:bidi="ar-SA"/>
        </w:rPr>
        <w:t>十、其他重要事项的情况说明</w:t>
      </w:r>
      <w:r>
        <w:tab/>
      </w:r>
      <w:r>
        <w:fldChar w:fldCharType="begin"/>
      </w:r>
      <w:r>
        <w:instrText xml:space="preserve"> PAGEREF _Toc26033 \h </w:instrText>
      </w:r>
      <w:r>
        <w:fldChar w:fldCharType="separate"/>
      </w:r>
      <w:r>
        <w:t>11</w:t>
      </w:r>
      <w:r>
        <w:fldChar w:fldCharType="end"/>
      </w:r>
      <w:r>
        <w:fldChar w:fldCharType="end"/>
      </w:r>
    </w:p>
    <w:p>
      <w:pPr>
        <w:pStyle w:val="200"/>
        <w:pageBreakBefore w:val="0"/>
        <w:tabs>
          <w:tab w:val="right" w:leader="dot" w:pos="8306"/>
        </w:tabs>
        <w:spacing w:line="576" w:lineRule="exact"/>
      </w:pPr>
      <w:r>
        <w:fldChar w:fldCharType="begin"/>
      </w:r>
      <w:r>
        <w:instrText xml:space="preserve"> HYPERLINK \l _Toc12341 </w:instrText>
      </w:r>
      <w:r>
        <w:fldChar w:fldCharType="separate"/>
      </w:r>
      <w:r>
        <w:rPr>
          <w:rFonts w:hint="eastAsia" w:ascii="仿宋" w:hAnsi="Times New Roman" w:eastAsia="仿宋" w:cs="Times New Roman"/>
          <w:szCs w:val="32"/>
        </w:rPr>
        <w:t>（一）机关运行经费支出情况</w:t>
      </w:r>
      <w:r>
        <w:tab/>
      </w:r>
      <w:r>
        <w:fldChar w:fldCharType="begin"/>
      </w:r>
      <w:r>
        <w:instrText xml:space="preserve"> PAGEREF _Toc12341 \h </w:instrText>
      </w:r>
      <w:r>
        <w:fldChar w:fldCharType="separate"/>
      </w:r>
      <w:r>
        <w:t>11</w:t>
      </w:r>
      <w:r>
        <w:fldChar w:fldCharType="end"/>
      </w:r>
      <w:r>
        <w:fldChar w:fldCharType="end"/>
      </w:r>
    </w:p>
    <w:p>
      <w:pPr>
        <w:pStyle w:val="200"/>
        <w:pageBreakBefore w:val="0"/>
        <w:tabs>
          <w:tab w:val="right" w:leader="dot" w:pos="8306"/>
        </w:tabs>
        <w:spacing w:line="576" w:lineRule="exact"/>
      </w:pPr>
      <w:r>
        <w:fldChar w:fldCharType="begin"/>
      </w:r>
      <w:r>
        <w:instrText xml:space="preserve"> HYPERLINK \l _Toc9297 </w:instrText>
      </w:r>
      <w:r>
        <w:fldChar w:fldCharType="separate"/>
      </w:r>
      <w:r>
        <w:rPr>
          <w:rFonts w:hint="eastAsia" w:ascii="仿宋" w:hAnsi="Times New Roman" w:eastAsia="仿宋" w:cs="Times New Roman"/>
          <w:szCs w:val="32"/>
        </w:rPr>
        <w:t>（二）政府采购支出情况</w:t>
      </w:r>
      <w:r>
        <w:tab/>
      </w:r>
      <w:r>
        <w:fldChar w:fldCharType="begin"/>
      </w:r>
      <w:r>
        <w:instrText xml:space="preserve"> PAGEREF _Toc9297 \h </w:instrText>
      </w:r>
      <w:r>
        <w:fldChar w:fldCharType="separate"/>
      </w:r>
      <w:r>
        <w:t>11</w:t>
      </w:r>
      <w:r>
        <w:fldChar w:fldCharType="end"/>
      </w:r>
      <w:r>
        <w:fldChar w:fldCharType="end"/>
      </w:r>
    </w:p>
    <w:p>
      <w:pPr>
        <w:pStyle w:val="200"/>
        <w:pageBreakBefore w:val="0"/>
        <w:tabs>
          <w:tab w:val="right" w:leader="dot" w:pos="8306"/>
        </w:tabs>
        <w:spacing w:line="576" w:lineRule="exact"/>
      </w:pPr>
      <w:r>
        <w:fldChar w:fldCharType="begin"/>
      </w:r>
      <w:r>
        <w:instrText xml:space="preserve"> HYPERLINK \l _Toc20536 </w:instrText>
      </w:r>
      <w:r>
        <w:fldChar w:fldCharType="separate"/>
      </w:r>
      <w:r>
        <w:rPr>
          <w:rFonts w:hint="eastAsia" w:ascii="仿宋" w:hAnsi="Times New Roman" w:eastAsia="仿宋" w:cs="Times New Roman"/>
          <w:szCs w:val="32"/>
        </w:rPr>
        <w:t>（三）国有资产占有使用情况</w:t>
      </w:r>
      <w:r>
        <w:tab/>
      </w:r>
      <w:r>
        <w:fldChar w:fldCharType="begin"/>
      </w:r>
      <w:r>
        <w:instrText xml:space="preserve"> PAGEREF _Toc20536 \h </w:instrText>
      </w:r>
      <w:r>
        <w:fldChar w:fldCharType="separate"/>
      </w:r>
      <w:r>
        <w:t>11</w:t>
      </w:r>
      <w:r>
        <w:fldChar w:fldCharType="end"/>
      </w:r>
      <w:r>
        <w:fldChar w:fldCharType="end"/>
      </w:r>
    </w:p>
    <w:p>
      <w:pPr>
        <w:pStyle w:val="200"/>
        <w:pageBreakBefore w:val="0"/>
        <w:tabs>
          <w:tab w:val="right" w:leader="dot" w:pos="8306"/>
        </w:tabs>
        <w:spacing w:line="576" w:lineRule="exact"/>
      </w:pPr>
      <w:r>
        <w:fldChar w:fldCharType="begin"/>
      </w:r>
      <w:r>
        <w:instrText xml:space="preserve"> HYPERLINK \l _Toc27201 </w:instrText>
      </w:r>
      <w:r>
        <w:fldChar w:fldCharType="separate"/>
      </w:r>
      <w:r>
        <w:rPr>
          <w:rFonts w:hint="eastAsia" w:ascii="仿宋" w:hAnsi="Times New Roman" w:eastAsia="仿宋" w:cs="Times New Roman"/>
          <w:szCs w:val="32"/>
        </w:rPr>
        <w:t>（四）预算绩效管理情况</w:t>
      </w:r>
      <w:r>
        <w:tab/>
      </w:r>
      <w:r>
        <w:fldChar w:fldCharType="begin"/>
      </w:r>
      <w:r>
        <w:instrText xml:space="preserve"> PAGEREF _Toc27201 \h </w:instrText>
      </w:r>
      <w:r>
        <w:fldChar w:fldCharType="separate"/>
      </w:r>
      <w:r>
        <w:t>11</w:t>
      </w:r>
      <w:r>
        <w:fldChar w:fldCharType="end"/>
      </w:r>
      <w:r>
        <w:fldChar w:fldCharType="end"/>
      </w:r>
    </w:p>
    <w:p>
      <w:pPr>
        <w:pStyle w:val="198"/>
        <w:pageBreakBefore w:val="0"/>
        <w:tabs>
          <w:tab w:val="right" w:leader="dot" w:pos="8306"/>
        </w:tabs>
        <w:spacing w:line="576" w:lineRule="exact"/>
      </w:pPr>
      <w:r>
        <w:fldChar w:fldCharType="begin"/>
      </w:r>
      <w:r>
        <w:instrText xml:space="preserve"> HYPERLINK \l _Toc24473 </w:instrText>
      </w:r>
      <w:r>
        <w:fldChar w:fldCharType="separate"/>
      </w:r>
      <w:r>
        <w:rPr>
          <w:rFonts w:hint="eastAsia" w:ascii="黑体" w:hAnsi="Times New Roman" w:eastAsia="黑体" w:cs="Times New Roman"/>
          <w:szCs w:val="44"/>
        </w:rPr>
        <w:t>第三部分 名词解释</w:t>
      </w:r>
      <w:r>
        <w:tab/>
      </w:r>
      <w:r>
        <w:fldChar w:fldCharType="begin"/>
      </w:r>
      <w:r>
        <w:instrText xml:space="preserve"> PAGEREF _Toc24473 \h </w:instrText>
      </w:r>
      <w:r>
        <w:fldChar w:fldCharType="separate"/>
      </w:r>
      <w:r>
        <w:t>12</w:t>
      </w:r>
      <w:r>
        <w:fldChar w:fldCharType="end"/>
      </w:r>
      <w:r>
        <w:fldChar w:fldCharType="end"/>
      </w:r>
    </w:p>
    <w:p>
      <w:pPr>
        <w:pStyle w:val="198"/>
        <w:pageBreakBefore w:val="0"/>
        <w:tabs>
          <w:tab w:val="right" w:leader="dot" w:pos="8306"/>
        </w:tabs>
        <w:spacing w:line="576" w:lineRule="exact"/>
      </w:pPr>
      <w:r>
        <w:fldChar w:fldCharType="begin"/>
      </w:r>
      <w:r>
        <w:instrText xml:space="preserve"> HYPERLINK \l _Toc7978 </w:instrText>
      </w:r>
      <w:r>
        <w:fldChar w:fldCharType="separate"/>
      </w:r>
      <w:r>
        <w:rPr>
          <w:rFonts w:hint="eastAsia" w:ascii="黑体" w:hAnsi="Times New Roman" w:eastAsia="黑体" w:cs="Times New Roman"/>
          <w:szCs w:val="44"/>
          <w:lang w:val="en-US" w:eastAsia="zh-CN" w:bidi="ar-SA"/>
        </w:rPr>
        <w:t>第四部分 附件</w:t>
      </w:r>
      <w:r>
        <w:tab/>
      </w:r>
      <w:r>
        <w:fldChar w:fldCharType="begin"/>
      </w:r>
      <w:r>
        <w:instrText xml:space="preserve"> PAGEREF _Toc7978 \h </w:instrText>
      </w:r>
      <w:r>
        <w:fldChar w:fldCharType="separate"/>
      </w:r>
      <w:r>
        <w:t>14</w:t>
      </w:r>
      <w:r>
        <w:fldChar w:fldCharType="end"/>
      </w:r>
      <w:r>
        <w:fldChar w:fldCharType="end"/>
      </w:r>
    </w:p>
    <w:p>
      <w:pPr>
        <w:pStyle w:val="198"/>
        <w:pageBreakBefore w:val="0"/>
        <w:tabs>
          <w:tab w:val="right" w:leader="dot" w:pos="8306"/>
        </w:tabs>
        <w:spacing w:line="576" w:lineRule="exact"/>
      </w:pPr>
      <w:r>
        <w:fldChar w:fldCharType="begin"/>
      </w:r>
      <w:r>
        <w:instrText xml:space="preserve"> HYPERLINK \l _Toc983 </w:instrText>
      </w:r>
      <w:r>
        <w:fldChar w:fldCharType="separate"/>
      </w:r>
      <w:r>
        <w:rPr>
          <w:rFonts w:ascii="方正小标宋简体" w:hAnsi="Times New Roman" w:eastAsia="方正小标宋简体" w:cs="黑体"/>
          <w:szCs w:val="44"/>
        </w:rPr>
        <w:t>部门预算项目支出绩效自评表（2022年度）</w:t>
      </w:r>
      <w:r>
        <w:tab/>
      </w:r>
      <w:r>
        <w:fldChar w:fldCharType="begin"/>
      </w:r>
      <w:r>
        <w:instrText xml:space="preserve"> PAGEREF _Toc983 \h </w:instrText>
      </w:r>
      <w:r>
        <w:fldChar w:fldCharType="separate"/>
      </w:r>
      <w:r>
        <w:t>14</w:t>
      </w:r>
      <w:r>
        <w:fldChar w:fldCharType="end"/>
      </w:r>
      <w:r>
        <w:fldChar w:fldCharType="end"/>
      </w:r>
    </w:p>
    <w:p>
      <w:pPr>
        <w:pStyle w:val="198"/>
        <w:pageBreakBefore w:val="0"/>
        <w:tabs>
          <w:tab w:val="right" w:leader="dot" w:pos="8306"/>
        </w:tabs>
        <w:spacing w:line="576" w:lineRule="exact"/>
      </w:pPr>
      <w:r>
        <w:fldChar w:fldCharType="begin"/>
      </w:r>
      <w:r>
        <w:instrText xml:space="preserve"> HYPERLINK \l _Toc9504 </w:instrText>
      </w:r>
      <w:r>
        <w:fldChar w:fldCharType="separate"/>
      </w:r>
      <w:r>
        <w:rPr>
          <w:rFonts w:hint="eastAsia" w:ascii="黑体" w:hAnsi="Times New Roman" w:eastAsia="黑体" w:cs="Times New Roman"/>
          <w:szCs w:val="44"/>
        </w:rPr>
        <w:t>第五部分 附表</w:t>
      </w:r>
      <w:r>
        <w:tab/>
      </w:r>
      <w:r>
        <w:fldChar w:fldCharType="begin"/>
      </w:r>
      <w:r>
        <w:instrText xml:space="preserve"> PAGEREF _Toc9504 \h </w:instrText>
      </w:r>
      <w:r>
        <w:fldChar w:fldCharType="separate"/>
      </w:r>
      <w:r>
        <w:t>15</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_Toc26370 </w:instrText>
      </w:r>
      <w:r>
        <w:fldChar w:fldCharType="separate"/>
      </w:r>
      <w:r>
        <w:rPr>
          <w:rFonts w:hint="eastAsia" w:ascii="仿宋" w:hAnsi="Cambria" w:eastAsia="仿宋" w:cs="Times New Roman"/>
          <w:szCs w:val="32"/>
          <w:lang w:bidi="ar-SA"/>
        </w:rPr>
        <w:t>一、收入支出决算总表</w:t>
      </w:r>
      <w:r>
        <w:tab/>
      </w:r>
      <w:r>
        <w:fldChar w:fldCharType="begin"/>
      </w:r>
      <w:r>
        <w:instrText xml:space="preserve"> PAGEREF _Toc26370 \h </w:instrText>
      </w:r>
      <w:r>
        <w:fldChar w:fldCharType="separate"/>
      </w:r>
      <w:r>
        <w:t>16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_Toc13591 </w:instrText>
      </w:r>
      <w:r>
        <w:fldChar w:fldCharType="separate"/>
      </w:r>
      <w:r>
        <w:rPr>
          <w:rFonts w:hint="eastAsia" w:ascii="仿宋" w:hAnsi="Cambria" w:eastAsia="仿宋" w:cs="Times New Roman"/>
          <w:szCs w:val="32"/>
          <w:lang w:bidi="ar-SA"/>
        </w:rPr>
        <w:t>二、收入决算表</w:t>
      </w:r>
      <w:r>
        <w:tab/>
      </w:r>
      <w:r>
        <w:fldChar w:fldCharType="begin"/>
      </w:r>
      <w:r>
        <w:instrText xml:space="preserve"> PAGEREF _Toc13591 \h </w:instrText>
      </w:r>
      <w:r>
        <w:fldChar w:fldCharType="separate"/>
      </w:r>
      <w:r>
        <w:t>16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_Toc16600 </w:instrText>
      </w:r>
      <w:r>
        <w:fldChar w:fldCharType="separate"/>
      </w:r>
      <w:r>
        <w:rPr>
          <w:rFonts w:hint="eastAsia" w:ascii="仿宋" w:hAnsi="Cambria" w:eastAsia="仿宋" w:cs="Times New Roman"/>
          <w:szCs w:val="32"/>
          <w:lang w:bidi="ar-SA"/>
        </w:rPr>
        <w:t>三、支出决算表</w:t>
      </w:r>
      <w:r>
        <w:tab/>
      </w:r>
      <w:r>
        <w:fldChar w:fldCharType="begin"/>
      </w:r>
      <w:r>
        <w:instrText xml:space="preserve"> PAGEREF _Toc16600 \h </w:instrText>
      </w:r>
      <w:r>
        <w:fldChar w:fldCharType="separate"/>
      </w:r>
      <w:r>
        <w:t>16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_Toc26630 </w:instrText>
      </w:r>
      <w:r>
        <w:fldChar w:fldCharType="separate"/>
      </w:r>
      <w:r>
        <w:rPr>
          <w:rFonts w:hint="eastAsia" w:ascii="仿宋" w:hAnsi="Cambria" w:eastAsia="仿宋" w:cs="Times New Roman"/>
          <w:szCs w:val="32"/>
          <w:lang w:bidi="ar-SA"/>
        </w:rPr>
        <w:t>四、财政拨款收入支出决算总表</w:t>
      </w:r>
      <w:r>
        <w:tab/>
      </w:r>
      <w:r>
        <w:fldChar w:fldCharType="begin"/>
      </w:r>
      <w:r>
        <w:instrText xml:space="preserve"> PAGEREF _Toc26630 \h </w:instrText>
      </w:r>
      <w:r>
        <w:fldChar w:fldCharType="separate"/>
      </w:r>
      <w:r>
        <w:t>16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_Toc19934 </w:instrText>
      </w:r>
      <w:r>
        <w:fldChar w:fldCharType="separate"/>
      </w:r>
      <w:r>
        <w:rPr>
          <w:rFonts w:hint="eastAsia" w:ascii="仿宋" w:hAnsi="Cambria" w:eastAsia="仿宋" w:cs="Times New Roman"/>
          <w:szCs w:val="32"/>
          <w:lang w:bidi="ar-SA"/>
        </w:rPr>
        <w:t>五、财政拨款支出决算明细表</w:t>
      </w:r>
      <w:r>
        <w:tab/>
      </w:r>
      <w:r>
        <w:fldChar w:fldCharType="begin"/>
      </w:r>
      <w:r>
        <w:instrText xml:space="preserve"> PAGEREF _Toc19934 \h </w:instrText>
      </w:r>
      <w:r>
        <w:fldChar w:fldCharType="separate"/>
      </w:r>
      <w:r>
        <w:t>16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_Toc6686 </w:instrText>
      </w:r>
      <w:r>
        <w:fldChar w:fldCharType="separate"/>
      </w:r>
      <w:r>
        <w:rPr>
          <w:rFonts w:hint="eastAsia" w:ascii="仿宋" w:hAnsi="Cambria" w:eastAsia="仿宋" w:cs="Times New Roman"/>
          <w:szCs w:val="32"/>
          <w:lang w:bidi="ar-SA"/>
        </w:rPr>
        <w:t>六、一般公共预算财政拨款支出决算表</w:t>
      </w:r>
      <w:r>
        <w:tab/>
      </w:r>
      <w:r>
        <w:fldChar w:fldCharType="begin"/>
      </w:r>
      <w:r>
        <w:instrText xml:space="preserve"> PAGEREF _Toc6686 \h </w:instrText>
      </w:r>
      <w:r>
        <w:fldChar w:fldCharType="separate"/>
      </w:r>
      <w:r>
        <w:t>16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_Toc19514 </w:instrText>
      </w:r>
      <w:r>
        <w:fldChar w:fldCharType="separate"/>
      </w:r>
      <w:r>
        <w:rPr>
          <w:rFonts w:hint="eastAsia" w:ascii="仿宋" w:hAnsi="Cambria" w:eastAsia="仿宋" w:cs="Times New Roman"/>
          <w:szCs w:val="32"/>
          <w:lang w:bidi="ar-SA"/>
        </w:rPr>
        <w:t>七、一般公共预算财政拨款支出决算明细表</w:t>
      </w:r>
      <w:r>
        <w:tab/>
      </w:r>
      <w:r>
        <w:fldChar w:fldCharType="begin"/>
      </w:r>
      <w:r>
        <w:instrText xml:space="preserve"> PAGEREF _Toc19514 \h </w:instrText>
      </w:r>
      <w:r>
        <w:fldChar w:fldCharType="separate"/>
      </w:r>
      <w:r>
        <w:t>16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_Toc191 </w:instrText>
      </w:r>
      <w:r>
        <w:fldChar w:fldCharType="separate"/>
      </w:r>
      <w:r>
        <w:rPr>
          <w:rFonts w:hint="eastAsia" w:ascii="仿宋" w:hAnsi="Cambria" w:eastAsia="仿宋" w:cs="Times New Roman"/>
          <w:szCs w:val="32"/>
          <w:lang w:bidi="ar-SA"/>
        </w:rPr>
        <w:t>八、一般公共预算财政拨款基本支出决算表</w:t>
      </w:r>
      <w:r>
        <w:tab/>
      </w:r>
      <w:r>
        <w:fldChar w:fldCharType="begin"/>
      </w:r>
      <w:r>
        <w:instrText xml:space="preserve"> PAGEREF _Toc191 \h </w:instrText>
      </w:r>
      <w:r>
        <w:fldChar w:fldCharType="separate"/>
      </w:r>
      <w:r>
        <w:t>16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_Toc5204 </w:instrText>
      </w:r>
      <w:r>
        <w:fldChar w:fldCharType="separate"/>
      </w:r>
      <w:r>
        <w:rPr>
          <w:rFonts w:hint="eastAsia" w:ascii="仿宋" w:hAnsi="Cambria" w:eastAsia="仿宋" w:cs="Times New Roman"/>
          <w:szCs w:val="32"/>
          <w:lang w:bidi="ar-SA"/>
        </w:rPr>
        <w:t>九、一般公共预算财政拨款项目支出决算表</w:t>
      </w:r>
      <w:r>
        <w:tab/>
      </w:r>
      <w:r>
        <w:fldChar w:fldCharType="begin"/>
      </w:r>
      <w:r>
        <w:instrText xml:space="preserve"> PAGEREF _Toc5204 \h </w:instrText>
      </w:r>
      <w:r>
        <w:fldChar w:fldCharType="separate"/>
      </w:r>
      <w:r>
        <w:t>16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_Toc20756 </w:instrText>
      </w:r>
      <w:r>
        <w:fldChar w:fldCharType="separate"/>
      </w:r>
      <w:r>
        <w:rPr>
          <w:rFonts w:hint="eastAsia" w:ascii="仿宋" w:hAnsi="Cambria" w:eastAsia="仿宋" w:cs="Times New Roman"/>
          <w:szCs w:val="32"/>
          <w:lang w:bidi="ar-SA"/>
        </w:rPr>
        <w:t>十、政府性基金预算财政拨款收入支出决算表</w:t>
      </w:r>
      <w:r>
        <w:tab/>
      </w:r>
      <w:r>
        <w:fldChar w:fldCharType="begin"/>
      </w:r>
      <w:r>
        <w:instrText xml:space="preserve"> PAGEREF _Toc20756 \h </w:instrText>
      </w:r>
      <w:r>
        <w:fldChar w:fldCharType="separate"/>
      </w:r>
      <w:r>
        <w:t>16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_Toc21387 </w:instrText>
      </w:r>
      <w:r>
        <w:fldChar w:fldCharType="separate"/>
      </w:r>
      <w:r>
        <w:rPr>
          <w:rFonts w:hint="eastAsia" w:ascii="仿宋" w:hAnsi="Cambria" w:eastAsia="仿宋" w:cs="Times New Roman"/>
          <w:szCs w:val="32"/>
          <w:lang w:bidi="ar-SA"/>
        </w:rPr>
        <w:t>十一、国有资本经营预算财政拨款收入支出决算表</w:t>
      </w:r>
      <w:r>
        <w:tab/>
      </w:r>
      <w:r>
        <w:fldChar w:fldCharType="begin"/>
      </w:r>
      <w:r>
        <w:instrText xml:space="preserve"> PAGEREF _Toc21387 \h </w:instrText>
      </w:r>
      <w:r>
        <w:fldChar w:fldCharType="separate"/>
      </w:r>
      <w:r>
        <w:t>16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_Toc1140 </w:instrText>
      </w:r>
      <w:r>
        <w:fldChar w:fldCharType="separate"/>
      </w:r>
      <w:r>
        <w:rPr>
          <w:rFonts w:hint="eastAsia" w:ascii="仿宋" w:hAnsi="Cambria" w:eastAsia="仿宋" w:cs="Times New Roman"/>
          <w:szCs w:val="32"/>
          <w:lang w:bidi="ar-SA"/>
        </w:rPr>
        <w:t>十二、国有资本经营预算财政拨款支出决算表</w:t>
      </w:r>
      <w:r>
        <w:tab/>
      </w:r>
      <w:r>
        <w:fldChar w:fldCharType="begin"/>
      </w:r>
      <w:r>
        <w:instrText xml:space="preserve"> PAGEREF _Toc1140 \h </w:instrText>
      </w:r>
      <w:r>
        <w:fldChar w:fldCharType="separate"/>
      </w:r>
      <w:r>
        <w:t>16</w:t>
      </w:r>
      <w:r>
        <w:fldChar w:fldCharType="end"/>
      </w:r>
      <w:r>
        <w:fldChar w:fldCharType="end"/>
      </w:r>
    </w:p>
    <w:p>
      <w:pPr>
        <w:pStyle w:val="199"/>
        <w:pageBreakBefore w:val="0"/>
        <w:tabs>
          <w:tab w:val="right" w:leader="dot" w:pos="8306"/>
        </w:tabs>
        <w:spacing w:line="576" w:lineRule="exact"/>
      </w:pPr>
      <w:r>
        <w:fldChar w:fldCharType="begin"/>
      </w:r>
      <w:r>
        <w:instrText xml:space="preserve"> HYPERLINK \l _Toc24957 </w:instrText>
      </w:r>
      <w:r>
        <w:fldChar w:fldCharType="separate"/>
      </w:r>
      <w:r>
        <w:rPr>
          <w:rFonts w:hint="eastAsia" w:ascii="仿宋" w:hAnsi="Cambria" w:eastAsia="仿宋" w:cs="Times New Roman"/>
          <w:szCs w:val="32"/>
          <w:lang w:bidi="ar-SA"/>
        </w:rPr>
        <w:t>十三、财政拨款“三公”经费支出决算表</w:t>
      </w:r>
      <w:r>
        <w:tab/>
      </w:r>
      <w:r>
        <w:fldChar w:fldCharType="begin"/>
      </w:r>
      <w:r>
        <w:instrText xml:space="preserve"> PAGEREF _Toc24957 \h </w:instrText>
      </w:r>
      <w:r>
        <w:fldChar w:fldCharType="separate"/>
      </w:r>
      <w:r>
        <w:t>16</w:t>
      </w:r>
      <w:r>
        <w:fldChar w:fldCharType="end"/>
      </w:r>
      <w:r>
        <w:fldChar w:fldCharType="end"/>
      </w:r>
    </w:p>
    <w:p>
      <w:pPr>
        <w:pageBreakBefore w:val="0"/>
        <w:spacing w:line="576" w:lineRule="exact"/>
      </w:pPr>
      <w:r>
        <w:fldChar w:fldCharType="end"/>
      </w:r>
    </w:p>
    <w:p>
      <w:pPr>
        <w:pageBreakBefore w:val="0"/>
        <w:widowControl/>
        <w:spacing w:line="576" w:lineRule="exact"/>
        <w:ind w:firstLine="1155"/>
        <w:jc w:val="left"/>
      </w:pPr>
      <w:r>
        <w:t> </w:t>
      </w:r>
    </w:p>
    <w:p>
      <w:pPr>
        <w:pStyle w:val="183"/>
        <w:keepNext/>
        <w:keepLines/>
        <w:pageBreakBefore w:val="0"/>
        <w:spacing w:before="340" w:beforeAutospacing="0" w:after="330" w:afterAutospacing="0" w:line="576" w:lineRule="exact"/>
        <w:jc w:val="center"/>
        <w:outlineLvl w:val="0"/>
        <w:rPr>
          <w:rFonts w:hint="eastAsia" w:ascii="黑体" w:hAnsi="Times New Roman" w:eastAsia="黑体" w:cs="Times New Roman"/>
          <w:b w:val="0"/>
          <w:sz w:val="44"/>
          <w:szCs w:val="44"/>
          <w:lang w:bidi="ar-SA"/>
        </w:rPr>
      </w:pPr>
      <w:bookmarkStart w:id="0" w:name="_Toc2419"/>
      <w:bookmarkStart w:id="1" w:name="_Toc23324"/>
      <w:r>
        <w:rPr>
          <w:rFonts w:hint="eastAsia" w:ascii="黑体" w:hAnsi="Times New Roman" w:eastAsia="黑体" w:cs="Times New Roman"/>
          <w:b w:val="0"/>
          <w:sz w:val="44"/>
          <w:szCs w:val="44"/>
          <w:lang w:bidi="ar-SA"/>
        </w:rPr>
        <w:t>第一部分 单位概况</w:t>
      </w:r>
      <w:bookmarkEnd w:id="0"/>
      <w:bookmarkEnd w:id="1"/>
    </w:p>
    <w:p>
      <w:pPr>
        <w:pStyle w:val="195"/>
        <w:keepNext w:val="0"/>
        <w:keepLines w:val="0"/>
        <w:pageBreakBefore w:val="0"/>
        <w:widowControl/>
        <w:suppressLineNumbers w:val="0"/>
        <w:spacing w:line="576" w:lineRule="exact"/>
        <w:jc w:val="left"/>
      </w:pPr>
      <w:r>
        <w:t> </w:t>
      </w:r>
    </w:p>
    <w:p>
      <w:pPr>
        <w:pStyle w:val="184"/>
        <w:keepNext/>
        <w:keepLines/>
        <w:pageBreakBefore w:val="0"/>
        <w:spacing w:before="260" w:beforeAutospacing="0" w:after="260" w:afterAutospacing="0" w:line="576" w:lineRule="exact"/>
        <w:jc w:val="both"/>
        <w:outlineLvl w:val="1"/>
        <w:rPr>
          <w:rFonts w:hint="eastAsia" w:ascii="黑体" w:hAnsi="Cambria" w:eastAsia="黑体" w:cs="Times New Roman"/>
          <w:b w:val="0"/>
          <w:color w:val="000000"/>
          <w:sz w:val="32"/>
          <w:szCs w:val="32"/>
          <w:lang w:bidi="ar-SA"/>
        </w:rPr>
      </w:pPr>
      <w:bookmarkStart w:id="2" w:name="_Toc15510"/>
      <w:bookmarkStart w:id="3" w:name="_Toc14656"/>
      <w:r>
        <w:rPr>
          <w:rFonts w:hint="eastAsia" w:ascii="黑体" w:hAnsi="Cambria" w:eastAsia="黑体" w:cs="Times New Roman"/>
          <w:b w:val="0"/>
          <w:color w:val="000000"/>
          <w:sz w:val="32"/>
          <w:szCs w:val="32"/>
          <w:lang w:bidi="ar-SA"/>
        </w:rPr>
        <w:t>一、主要职责</w:t>
      </w:r>
      <w:bookmarkEnd w:id="2"/>
      <w:bookmarkEnd w:id="3"/>
    </w:p>
    <w:p>
      <w:pPr>
        <w:pStyle w:val="188"/>
        <w:pageBreakBefore w:val="0"/>
        <w:spacing w:before="93" w:line="576" w:lineRule="exact"/>
        <w:ind w:firstLine="668"/>
        <w:outlineLvl w:val="2"/>
        <w:rPr>
          <w:rFonts w:hint="eastAsia" w:ascii="楷体" w:hAnsi="楷体" w:eastAsia="楷体" w:cs="楷体"/>
          <w:b/>
          <w:bCs w:val="0"/>
          <w:color w:val="000000"/>
          <w:sz w:val="32"/>
          <w:szCs w:val="32"/>
        </w:rPr>
      </w:pPr>
      <w:bookmarkStart w:id="4" w:name="_Toc30733"/>
      <w:r>
        <w:rPr>
          <w:rFonts w:hint="eastAsia" w:ascii="楷体" w:hAnsi="楷体" w:eastAsia="楷体" w:cs="楷体"/>
          <w:b/>
          <w:bCs w:val="0"/>
          <w:color w:val="000000"/>
          <w:sz w:val="32"/>
          <w:szCs w:val="32"/>
        </w:rPr>
        <w:t>（一）主要职能</w:t>
      </w:r>
      <w:bookmarkEnd w:id="4"/>
    </w:p>
    <w:p>
      <w:pPr>
        <w:pStyle w:val="188"/>
        <w:pageBreakBefore w:val="0"/>
        <w:spacing w:before="93" w:line="576" w:lineRule="exact"/>
        <w:ind w:firstLine="665"/>
        <w:outlineLvl w:val="2"/>
        <w:rPr>
          <w:rFonts w:hint="eastAsia" w:ascii="仿宋" w:eastAsia="仿宋"/>
          <w:bCs/>
          <w:color w:val="000000"/>
          <w:sz w:val="32"/>
          <w:szCs w:val="32"/>
        </w:rPr>
      </w:pPr>
      <w:bookmarkStart w:id="5" w:name="_Toc2091"/>
      <w:r>
        <w:rPr>
          <w:rFonts w:hint="eastAsia" w:ascii="仿宋" w:eastAsia="仿宋"/>
          <w:bCs/>
          <w:color w:val="000000"/>
          <w:sz w:val="32"/>
          <w:szCs w:val="32"/>
        </w:rPr>
        <w:t>负责组织、协调、督促、检查和考核综合防治大骨节病试点工作;负责组织项目的审查、申报、实施方案编制等工作;协调争取项目资金和督促检查项目实施情况;负责试点工作经验推广、宣传、总结。</w:t>
      </w:r>
    </w:p>
    <w:p>
      <w:pPr>
        <w:pStyle w:val="188"/>
        <w:pageBreakBefore w:val="0"/>
        <w:spacing w:before="93" w:line="576" w:lineRule="exact"/>
        <w:ind w:firstLine="668"/>
        <w:outlineLvl w:val="2"/>
        <w:rPr>
          <w:rFonts w:hint="eastAsia" w:ascii="仿宋" w:hAnsi="Times New Roman" w:eastAsia="仿宋" w:cs="Times New Roman"/>
          <w:bCs/>
          <w:color w:val="000000"/>
          <w:sz w:val="32"/>
          <w:szCs w:val="32"/>
        </w:rPr>
      </w:pPr>
      <w:r>
        <w:rPr>
          <w:rFonts w:hint="eastAsia" w:ascii="楷体" w:hAnsi="楷体" w:eastAsia="楷体" w:cs="楷体"/>
          <w:b/>
          <w:bCs w:val="0"/>
          <w:color w:val="000000"/>
          <w:sz w:val="32"/>
          <w:szCs w:val="32"/>
        </w:rPr>
        <w:t>（二）2022年重点工作完成情况</w:t>
      </w:r>
      <w:bookmarkEnd w:id="5"/>
    </w:p>
    <w:p>
      <w:pPr>
        <w:keepNext w:val="0"/>
        <w:keepLines w:val="0"/>
        <w:pageBreakBefore w:val="0"/>
        <w:widowControl w:val="0"/>
        <w:numPr>
          <w:ilvl w:val="0"/>
          <w:numId w:val="0"/>
        </w:numPr>
        <w:spacing w:line="576"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筑牢防返贫底线</w:t>
      </w:r>
      <w:r>
        <w:rPr>
          <w:rFonts w:hint="eastAsia" w:ascii="仿宋_GB2312" w:hAnsi="仿宋_GB2312" w:eastAsia="仿宋_GB2312" w:cs="仿宋_GB2312"/>
          <w:sz w:val="32"/>
          <w:szCs w:val="32"/>
        </w:rPr>
        <w:t>，健全动态监测。严守防止规模性返贫的底线，坚持应纳尽纳、应帮尽帮。</w:t>
      </w:r>
      <w:r>
        <w:rPr>
          <w:rFonts w:ascii="仿宋_GB2312" w:hAnsi="仿宋_GB2312" w:eastAsia="仿宋_GB2312" w:cs="仿宋_GB2312"/>
          <w:sz w:val="32"/>
          <w:szCs w:val="32"/>
          <w:lang w:val="en-US" w:eastAsia="zh-CN"/>
        </w:rPr>
        <w:t>制发《茂县健全防止返贫动态监测和帮扶机制的管理办法》《茂县2022年度巩固拓展脱贫攻坚成果“回头看”工作实施方案》，印发《防止返贫动态监测帮扶政策明白卡》2.4万份，组织1014名干部开展3轮专项排查，累计核定监测对象119户</w:t>
      </w:r>
      <w:r>
        <w:rPr>
          <w:rFonts w:hint="eastAsia" w:ascii="仿宋_GB2312" w:hAnsi="仿宋_GB2312" w:eastAsia="仿宋_GB2312" w:cs="仿宋_GB2312"/>
          <w:sz w:val="32"/>
          <w:szCs w:val="32"/>
          <w:lang w:val="en-US" w:eastAsia="zh-CN"/>
        </w:rPr>
        <w:t>440</w:t>
      </w:r>
      <w:r>
        <w:rPr>
          <w:rFonts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。落实《茂县防止返贫动态监测新增监测户帮扶方案》，设立“茂县防返</w:t>
      </w:r>
      <w:r>
        <w:rPr>
          <w:rFonts w:hint="eastAsia" w:ascii="仿宋_GB2312" w:hAnsi="仿宋_GB2312" w:eastAsia="仿宋_GB2312" w:cs="仿宋_GB2312"/>
          <w:sz w:val="32"/>
          <w:szCs w:val="32"/>
        </w:rPr>
        <w:t>贫致贫风险救助基金”专户，全面开展脱贫户、监测户202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年收入统计，掌握脱贫户、监测户收支情况</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spacing w:line="576"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围绕重点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全面落实保障</w:t>
      </w:r>
      <w:r>
        <w:rPr>
          <w:rFonts w:hint="eastAsia" w:ascii="仿宋_GB2312" w:hAnsi="仿宋_GB2312" w:eastAsia="仿宋_GB2312" w:cs="仿宋_GB2312"/>
          <w:sz w:val="32"/>
          <w:szCs w:val="32"/>
        </w:rPr>
        <w:t>。全面落实教育、医疗、住房、饮水、低保等惠民政策，积极整合资源，不断提升教育、医疗保障服务水平。</w:t>
      </w:r>
      <w:r>
        <w:rPr>
          <w:rFonts w:ascii="仿宋_GB2312" w:hAnsi="仿宋_GB2312" w:eastAsia="仿宋_GB2312" w:cs="仿宋_GB2312"/>
          <w:sz w:val="32"/>
          <w:szCs w:val="32"/>
          <w:lang w:val="en-US" w:eastAsia="zh-CN"/>
        </w:rPr>
        <w:t>建立家庭经济困难学生资助体系，</w:t>
      </w:r>
      <w:r>
        <w:rPr>
          <w:rFonts w:ascii="仿宋_GB2312" w:hAnsi="仿宋_GB2312" w:eastAsia="仿宋_GB2312" w:cs="仿宋_GB2312"/>
          <w:sz w:val="32"/>
          <w:szCs w:val="32"/>
        </w:rPr>
        <w:t>发放教育救助基金</w:t>
      </w:r>
      <w:r>
        <w:rPr>
          <w:rFonts w:ascii="仿宋_GB2312" w:hAnsi="仿宋_GB2312" w:eastAsia="仿宋_GB2312" w:cs="仿宋_GB2312"/>
          <w:sz w:val="32"/>
          <w:szCs w:val="32"/>
          <w:lang w:eastAsia="zh-CN"/>
        </w:rPr>
        <w:t>。坚持把</w:t>
      </w:r>
      <w:r>
        <w:rPr>
          <w:rFonts w:ascii="仿宋_GB2312" w:hAnsi="仿宋_GB2312" w:eastAsia="仿宋_GB2312" w:cs="仿宋_GB2312"/>
          <w:sz w:val="32"/>
          <w:szCs w:val="32"/>
        </w:rPr>
        <w:t>脱贫稳定人口</w:t>
      </w:r>
      <w:r>
        <w:rPr>
          <w:rFonts w:ascii="仿宋_GB2312" w:hAnsi="仿宋_GB2312" w:eastAsia="仿宋_GB2312" w:cs="仿宋_GB2312"/>
          <w:sz w:val="32"/>
          <w:szCs w:val="32"/>
          <w:lang w:eastAsia="zh-CN"/>
        </w:rPr>
        <w:t>和</w:t>
      </w:r>
      <w:r>
        <w:rPr>
          <w:rFonts w:ascii="仿宋_GB2312" w:hAnsi="仿宋_GB2312" w:eastAsia="仿宋_GB2312" w:cs="仿宋_GB2312"/>
          <w:sz w:val="32"/>
          <w:szCs w:val="32"/>
        </w:rPr>
        <w:t>监测户100%纳入基本医保、大病保险、医疗救助“三重制度保障”范围。</w:t>
      </w:r>
      <w:r>
        <w:rPr>
          <w:rFonts w:ascii="仿宋_GB2312" w:hAnsi="仿宋_GB2312" w:eastAsia="仿宋_GB2312" w:cs="仿宋_GB2312"/>
          <w:sz w:val="32"/>
          <w:szCs w:val="32"/>
          <w:lang w:val="en-US" w:eastAsia="zh-CN"/>
        </w:rPr>
        <w:t>实施7镇16村安全饮水提升改造和8处维修养护项目。出台《关于做好农村低收入群体等重点对象住房安全保障工作的实施方案》，</w:t>
      </w:r>
      <w:r>
        <w:rPr>
          <w:rFonts w:ascii="仿宋_GB2312" w:hAnsi="仿宋_GB2312" w:eastAsia="仿宋_GB2312" w:cs="仿宋_GB2312"/>
          <w:sz w:val="32"/>
          <w:szCs w:val="32"/>
          <w:lang w:eastAsia="zh-CN"/>
        </w:rPr>
        <w:t>坚决防止</w:t>
      </w:r>
      <w:r>
        <w:rPr>
          <w:rFonts w:ascii="仿宋_GB2312" w:hAnsi="仿宋_GB2312" w:eastAsia="仿宋_GB2312" w:cs="仿宋_GB2312"/>
          <w:sz w:val="32"/>
          <w:szCs w:val="32"/>
        </w:rPr>
        <w:t>因住房保障问题致贫</w:t>
      </w:r>
      <w:r>
        <w:rPr>
          <w:rFonts w:ascii="仿宋_GB2312" w:hAnsi="仿宋_GB2312" w:eastAsia="仿宋_GB2312" w:cs="仿宋_GB2312"/>
          <w:sz w:val="32"/>
          <w:szCs w:val="32"/>
          <w:lang w:eastAsia="zh-CN"/>
        </w:rPr>
        <w:t>或</w:t>
      </w:r>
      <w:r>
        <w:rPr>
          <w:rFonts w:ascii="仿宋_GB2312" w:hAnsi="仿宋_GB2312" w:eastAsia="仿宋_GB2312" w:cs="仿宋_GB2312"/>
          <w:sz w:val="32"/>
          <w:szCs w:val="32"/>
        </w:rPr>
        <w:t>返贫</w:t>
      </w:r>
      <w:r>
        <w:rPr>
          <w:rFonts w:ascii="仿宋_GB2312" w:hAnsi="仿宋_GB2312" w:eastAsia="仿宋_GB2312" w:cs="仿宋_GB2312"/>
          <w:sz w:val="32"/>
          <w:szCs w:val="32"/>
          <w:lang w:eastAsia="zh-CN"/>
        </w:rPr>
        <w:t>情况发生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严格落实过渡期脱贫人口小额信贷政策要求，切实满足脱贫人口小额信贷需求</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强化衔接资金项目管理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确保持续发挥效益</w:t>
      </w:r>
      <w:r>
        <w:rPr>
          <w:rFonts w:hint="eastAsia" w:ascii="仿宋_GB2312" w:hAnsi="仿宋_GB2312" w:eastAsia="仿宋_GB2312" w:cs="仿宋_GB2312"/>
          <w:sz w:val="32"/>
          <w:szCs w:val="32"/>
        </w:rPr>
        <w:t>。抓好项目库建设。对县级巩固拓展脱贫攻坚成果和乡村振兴项目库进行调整优化和充实，加强入库项目评审和论证，提高入库项目质量和可操作性，严格实行项目库动态管理机制，加强项目库全过程管理。</w:t>
      </w:r>
      <w:r>
        <w:rPr>
          <w:rFonts w:hint="eastAsia" w:ascii="仿宋_GB2312" w:hAnsi="仿宋_GB2312" w:eastAsia="仿宋_GB2312" w:cs="仿宋_GB2312"/>
          <w:sz w:val="32"/>
          <w:szCs w:val="32"/>
          <w:lang w:val="en-US" w:eastAsia="zh-CN"/>
        </w:rPr>
        <w:t>扎实推进2镇22村乡村振兴示范镇村建设和3个“三家园”抓点示范村建设，实施农村基础设施、乡风文明建设、人居环境整治、农文旅融合等项目。</w:t>
      </w:r>
    </w:p>
    <w:p>
      <w:pPr>
        <w:keepNext w:val="0"/>
        <w:keepLines w:val="0"/>
        <w:pageBreakBefore w:val="0"/>
        <w:widowControl w:val="0"/>
        <w:numPr>
          <w:ilvl w:val="0"/>
          <w:numId w:val="0"/>
        </w:numPr>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凝聚各方力量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社会扶贫</w:t>
      </w:r>
      <w:r>
        <w:rPr>
          <w:rFonts w:hint="eastAsia" w:ascii="仿宋_GB2312" w:hAnsi="仿宋_GB2312" w:eastAsia="仿宋_GB2312" w:cs="仿宋_GB2312"/>
          <w:sz w:val="32"/>
          <w:szCs w:val="32"/>
          <w:lang w:eastAsia="zh-CN"/>
        </w:rPr>
        <w:t>格局</w:t>
      </w:r>
      <w:r>
        <w:rPr>
          <w:rFonts w:hint="eastAsia" w:ascii="仿宋_GB2312" w:hAnsi="仿宋_GB2312" w:eastAsia="仿宋_GB2312" w:cs="仿宋_GB2312"/>
          <w:sz w:val="32"/>
          <w:szCs w:val="32"/>
        </w:rPr>
        <w:t>。一是省州定点</w:t>
      </w:r>
      <w:r>
        <w:rPr>
          <w:rFonts w:hint="eastAsia" w:ascii="仿宋_GB2312" w:hAnsi="仿宋_GB2312" w:eastAsia="仿宋_GB2312" w:cs="仿宋_GB2312"/>
          <w:sz w:val="32"/>
          <w:szCs w:val="32"/>
          <w:lang w:eastAsia="zh-CN"/>
        </w:rPr>
        <w:t>帮扶</w:t>
      </w:r>
      <w:r>
        <w:rPr>
          <w:rFonts w:hint="eastAsia" w:ascii="仿宋_GB2312" w:hAnsi="仿宋_GB2312" w:eastAsia="仿宋_GB2312" w:cs="仿宋_GB2312"/>
          <w:sz w:val="32"/>
          <w:szCs w:val="32"/>
        </w:rPr>
        <w:t>工作有序推进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省委省政府关于新一轮帮扶力量调整的要求，省发改委、内江师范学院、省对外友协、眉山人民医院、中国电建成都勘测院五家省直单位帮扶茂县5镇9村，已开展领导考察互访、召开联席会议、明确帮扶计划等帮扶工作。二利</w:t>
      </w:r>
      <w:r>
        <w:rPr>
          <w:rFonts w:hint="eastAsia" w:ascii="仿宋_GB2312" w:hAnsi="仿宋_GB2312" w:eastAsia="仿宋_GB2312" w:cs="仿宋_GB2312"/>
          <w:sz w:val="32"/>
          <w:szCs w:val="32"/>
        </w:rPr>
        <w:t>用好东西部协作资源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推动人才交流和就业增收。三是东坡区对口帮扶升级加码，</w:t>
      </w:r>
      <w:r>
        <w:rPr>
          <w:rFonts w:hint="eastAsia" w:ascii="仿宋_GB2312" w:hAnsi="仿宋_GB2312" w:eastAsia="仿宋_GB2312" w:cs="仿宋_GB2312"/>
          <w:sz w:val="32"/>
          <w:szCs w:val="32"/>
          <w:lang w:eastAsia="zh-CN"/>
        </w:rPr>
        <w:t>继续</w:t>
      </w:r>
      <w:r>
        <w:rPr>
          <w:rFonts w:hint="eastAsia" w:ascii="仿宋_GB2312" w:hAnsi="仿宋_GB2312" w:eastAsia="仿宋_GB2312" w:cs="仿宋_GB2312"/>
          <w:sz w:val="32"/>
          <w:szCs w:val="32"/>
        </w:rPr>
        <w:t>投入对口帮扶资金，实施帮扶项目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落实乡村振兴示范村建设项目，从产业提升、人居环境整治、基础设施、社会治理四方面着手，形成可看、可学、可借鉴的示范点。</w:t>
      </w:r>
    </w:p>
    <w:p>
      <w:pPr>
        <w:pStyle w:val="188"/>
        <w:pageBreakBefore w:val="0"/>
        <w:spacing w:before="93" w:line="576" w:lineRule="exact"/>
        <w:ind w:firstLine="665"/>
        <w:outlineLvl w:val="2"/>
        <w:rPr>
          <w:rFonts w:hint="eastAsia" w:ascii="仿宋" w:hAnsi="Times New Roman" w:eastAsia="仿宋" w:cs="Times New Roman"/>
          <w:bCs/>
          <w:color w:val="000000"/>
          <w:sz w:val="32"/>
          <w:szCs w:val="32"/>
        </w:rPr>
      </w:pPr>
    </w:p>
    <w:p>
      <w:pPr>
        <w:pStyle w:val="184"/>
        <w:keepNext/>
        <w:keepLines/>
        <w:pageBreakBefore w:val="0"/>
        <w:spacing w:before="260" w:beforeAutospacing="0" w:after="260" w:afterAutospacing="0" w:line="576" w:lineRule="exact"/>
        <w:jc w:val="both"/>
        <w:outlineLvl w:val="1"/>
        <w:rPr>
          <w:rFonts w:hint="eastAsia" w:ascii="黑体" w:hAnsi="Cambria" w:eastAsia="黑体" w:cs="Times New Roman"/>
          <w:b w:val="0"/>
          <w:color w:val="000000"/>
          <w:sz w:val="32"/>
          <w:szCs w:val="32"/>
          <w:lang w:bidi="ar-SA"/>
        </w:rPr>
      </w:pPr>
      <w:bookmarkStart w:id="6" w:name="_Toc19708"/>
      <w:bookmarkStart w:id="7" w:name="_Toc10669"/>
      <w:r>
        <w:rPr>
          <w:rFonts w:hint="eastAsia" w:ascii="黑体" w:hAnsi="Cambria" w:eastAsia="黑体" w:cs="Times New Roman"/>
          <w:b w:val="0"/>
          <w:color w:val="000000"/>
          <w:sz w:val="32"/>
          <w:szCs w:val="32"/>
          <w:lang w:bidi="ar-SA"/>
        </w:rPr>
        <w:t>二、机构设置</w:t>
      </w:r>
      <w:bookmarkEnd w:id="6"/>
      <w:bookmarkEnd w:id="7"/>
    </w:p>
    <w:p>
      <w:pPr>
        <w:pStyle w:val="184"/>
        <w:pageBreakBefore w:val="0"/>
        <w:numPr>
          <w:ilvl w:val="0"/>
          <w:numId w:val="0"/>
        </w:numPr>
        <w:spacing w:line="560" w:lineRule="exact"/>
        <w:ind w:firstLine="723"/>
      </w:pPr>
      <w:r>
        <w:t> </w:t>
      </w:r>
      <w:r>
        <w:rPr>
          <w:rFonts w:hint="eastAsia" w:ascii="仿宋_GB2312" w:hAnsi="Times New Roman" w:eastAsia="仿宋_GB2312" w:cs="Times New Roman"/>
          <w:b w:val="0"/>
          <w:bCs/>
          <w:sz w:val="32"/>
          <w:szCs w:val="32"/>
          <w:lang w:val="en-US" w:eastAsia="zh-CN" w:bidi="ar-SA"/>
        </w:rPr>
        <w:t>县乡村振兴局（行政）下设办公室、内审股、财务审计稽查股、扶贫开发股、社会扶贫股、精准扶贫股、乡村振兴促进中心、综合防治大骨病办公室（事业）八个股室。</w:t>
      </w:r>
    </w:p>
    <w:p>
      <w:pPr>
        <w:pStyle w:val="183"/>
        <w:keepNext/>
        <w:keepLines/>
        <w:pageBreakBefore w:val="0"/>
        <w:spacing w:before="340" w:beforeAutospacing="0" w:after="330" w:afterAutospacing="0" w:line="576" w:lineRule="exact"/>
        <w:ind w:right="440"/>
        <w:jc w:val="right"/>
        <w:outlineLvl w:val="0"/>
        <w:rPr>
          <w:rFonts w:hint="eastAsia" w:ascii="黑体" w:hAnsi="Times New Roman" w:eastAsia="黑体" w:cs="Times New Roman"/>
          <w:b w:val="0"/>
          <w:color w:val="000000"/>
          <w:sz w:val="44"/>
          <w:szCs w:val="44"/>
          <w:lang w:bidi="ar-SA"/>
        </w:rPr>
      </w:pPr>
      <w:bookmarkStart w:id="8" w:name="_Toc26951"/>
      <w:bookmarkStart w:id="9" w:name="_Toc20110"/>
      <w:r>
        <w:rPr>
          <w:rFonts w:hint="eastAsia" w:ascii="黑体" w:hAnsi="Times New Roman" w:eastAsia="黑体" w:cs="Times New Roman"/>
          <w:b w:val="0"/>
          <w:color w:val="000000"/>
          <w:sz w:val="44"/>
          <w:szCs w:val="44"/>
          <w:lang w:bidi="ar-SA"/>
        </w:rPr>
        <w:t>第二部分 2022年度单位决算情况说明</w:t>
      </w:r>
      <w:bookmarkEnd w:id="8"/>
      <w:bookmarkEnd w:id="9"/>
    </w:p>
    <w:p>
      <w:pPr>
        <w:pStyle w:val="195"/>
        <w:keepNext w:val="0"/>
        <w:keepLines w:val="0"/>
        <w:pageBreakBefore w:val="0"/>
        <w:widowControl/>
        <w:suppressLineNumbers w:val="0"/>
        <w:spacing w:line="576" w:lineRule="exact"/>
      </w:pPr>
      <w:r>
        <w:t> </w:t>
      </w:r>
    </w:p>
    <w:p>
      <w:pPr>
        <w:pStyle w:val="201"/>
        <w:pageBreakBefore w:val="0"/>
        <w:numPr>
          <w:ilvl w:val="0"/>
          <w:numId w:val="1"/>
        </w:numPr>
        <w:spacing w:line="576" w:lineRule="exact"/>
        <w:outlineLvl w:val="1"/>
        <w:rPr>
          <w:rFonts w:hint="eastAsia" w:ascii="黑体" w:hAnsi="Times New Roman" w:eastAsia="黑体" w:cs="Times New Roman"/>
          <w:color w:val="000000"/>
          <w:sz w:val="32"/>
          <w:szCs w:val="32"/>
        </w:rPr>
      </w:pPr>
      <w:bookmarkStart w:id="10" w:name="_Toc12554"/>
      <w:bookmarkStart w:id="11" w:name="_Toc24824"/>
      <w:r>
        <w:rPr>
          <w:rFonts w:hint="eastAsia" w:ascii="黑体" w:hAnsi="Times New Roman" w:eastAsia="黑体" w:cs="Times New Roman"/>
          <w:color w:val="000000"/>
          <w:sz w:val="32"/>
          <w:szCs w:val="32"/>
        </w:rPr>
        <w:t>收入支出决算总体情况说明</w:t>
      </w:r>
      <w:bookmarkEnd w:id="10"/>
      <w:bookmarkEnd w:id="11"/>
    </w:p>
    <w:p>
      <w:pPr>
        <w:pageBreakBefore w:val="0"/>
        <w:spacing w:line="576" w:lineRule="exact"/>
        <w:ind w:firstLine="640"/>
        <w:rPr>
          <w:rFonts w:hint="eastAsia" w:ascii="仿宋" w:hAnsi="Times New Roman" w:eastAsia="仿宋" w:cs="Times New Roman"/>
          <w:color w:val="000000"/>
          <w:sz w:val="32"/>
          <w:szCs w:val="32"/>
          <w:lang w:eastAsia="zh-CN"/>
        </w:rPr>
      </w:pPr>
      <w:r>
        <w:rPr>
          <w:rFonts w:ascii="仿宋" w:hAnsi="Times New Roman" w:eastAsia="仿宋" w:cs="Times New Roman"/>
          <w:color w:val="000000"/>
          <w:sz w:val="32"/>
          <w:szCs w:val="32"/>
        </w:rPr>
        <w:t>2022年度收、支总计</w:t>
      </w:r>
      <w:r>
        <w:rPr>
          <w:rFonts w:hint="eastAsia" w:ascii="仿宋" w:eastAsia="仿宋"/>
          <w:sz w:val="32"/>
          <w:szCs w:val="32"/>
          <w:lang w:val="en-US" w:eastAsia="zh-CN"/>
        </w:rPr>
        <w:t>201.05</w:t>
      </w:r>
      <w:r>
        <w:rPr>
          <w:rFonts w:ascii="仿宋" w:hAnsi="Times New Roman" w:eastAsia="仿宋" w:cs="Times New Roman"/>
          <w:color w:val="000000"/>
          <w:sz w:val="32"/>
          <w:szCs w:val="32"/>
        </w:rPr>
        <w:t>万元。与2021年相比，收、支总计各</w:t>
      </w:r>
      <w:r>
        <w:rPr>
          <w:rFonts w:hint="eastAsia" w:ascii="仿宋" w:hAnsi="Times New Roman" w:eastAsia="仿宋" w:cs="Times New Roman"/>
          <w:color w:val="000000"/>
          <w:sz w:val="32"/>
          <w:szCs w:val="32"/>
          <w:lang w:eastAsia="zh-CN"/>
        </w:rPr>
        <w:t>减少</w:t>
      </w:r>
      <w:r>
        <w:rPr>
          <w:rFonts w:hint="eastAsia" w:ascii="仿宋" w:eastAsia="仿宋"/>
          <w:sz w:val="32"/>
          <w:szCs w:val="32"/>
          <w:lang w:val="en-US" w:eastAsia="zh-CN"/>
        </w:rPr>
        <w:t>6.65</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eastAsia="仿宋"/>
          <w:sz w:val="32"/>
          <w:szCs w:val="32"/>
          <w:lang w:val="en-US" w:eastAsia="zh-CN"/>
        </w:rPr>
        <w:t>3.31</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项目资金减少。</w:t>
      </w:r>
    </w:p>
    <w:p>
      <w:pPr>
        <w:pStyle w:val="196"/>
        <w:ind w:firstLine="960"/>
        <w:rPr>
          <w:rFonts w:hint="eastAsia" w:eastAsia="仿宋"/>
          <w:color w:val="FF0000"/>
          <w:lang w:eastAsia="zh-CN"/>
        </w:rPr>
      </w:pPr>
      <w:r>
        <w:drawing>
          <wp:anchor distT="0" distB="0" distL="114300" distR="114300" simplePos="0" relativeHeight="251659264" behindDoc="0" locked="0" layoutInCell="1" allowOverlap="1">
            <wp:simplePos x="0" y="0"/>
            <wp:positionH relativeFrom="column">
              <wp:posOffset>925195</wp:posOffset>
            </wp:positionH>
            <wp:positionV relativeFrom="paragraph">
              <wp:posOffset>33020</wp:posOffset>
            </wp:positionV>
            <wp:extent cx="3532505" cy="1978660"/>
            <wp:effectExtent l="0" t="0" r="0" b="0"/>
            <wp:wrapTopAndBottom/>
            <wp:docPr id="2" name="_x0000_s1026"/>
            <wp:cNvGraphicFramePr/>
            <a:graphic xmlns:a="http://schemas.openxmlformats.org/drawingml/2006/main">
              <a:graphicData uri="http://schemas.openxmlformats.org/drawingml/2006/picture">
                <pic:pic xmlns:pic="http://schemas.openxmlformats.org/drawingml/2006/picture">
                  <pic:nvPicPr>
                    <pic:cNvPr id="2" name="_x0000_s1026"/>
                    <pic:cNvPicPr/>
                  </pic:nvPicPr>
                  <pic:blipFill>
                    <a:blip r:embed="rId5"/>
                    <a:stretch>
                      <a:fillRect/>
                    </a:stretch>
                  </pic:blipFill>
                  <pic:spPr>
                    <a:xfrm>
                      <a:off x="0" y="0"/>
                      <a:ext cx="3532505" cy="1978660"/>
                    </a:xfrm>
                    <a:prstGeom prst="rect">
                      <a:avLst/>
                    </a:prstGeom>
                    <a:noFill/>
                    <a:ln>
                      <a:noFill/>
                    </a:ln>
                  </pic:spPr>
                </pic:pic>
              </a:graphicData>
            </a:graphic>
          </wp:anchor>
        </w:drawing>
      </w:r>
      <w:r>
        <w:rPr>
          <w:rFonts w:ascii="仿宋" w:hAnsi="Times New Roman" w:eastAsia="仿宋" w:cs="Times New Roman"/>
          <w:color w:val="000000"/>
          <w:sz w:val="32"/>
          <w:szCs w:val="32"/>
        </w:rPr>
        <w:t>（图1：收、支决算总计变动情况图）</w:t>
      </w:r>
      <w:r>
        <w:rPr>
          <w:rFonts w:hint="eastAsia" w:ascii="仿宋" w:hAnsi="Times New Roman" w:eastAsia="仿宋" w:cs="Times New Roman"/>
          <w:color w:val="000000"/>
          <w:sz w:val="32"/>
          <w:szCs w:val="32"/>
          <w:lang w:eastAsia="zh-CN"/>
        </w:rPr>
        <w:t>（万元）</w:t>
      </w:r>
    </w:p>
    <w:p>
      <w:pPr>
        <w:pStyle w:val="201"/>
        <w:pageBreakBefore w:val="0"/>
        <w:numPr>
          <w:ilvl w:val="0"/>
          <w:numId w:val="1"/>
        </w:numPr>
        <w:spacing w:line="576" w:lineRule="exact"/>
        <w:outlineLvl w:val="1"/>
        <w:rPr>
          <w:rFonts w:hint="eastAsia" w:ascii="黑体" w:hAnsi="Times New Roman" w:eastAsia="黑体" w:cs="Times New Roman"/>
          <w:color w:val="000000"/>
          <w:sz w:val="32"/>
          <w:szCs w:val="32"/>
        </w:rPr>
      </w:pPr>
      <w:bookmarkStart w:id="12" w:name="_Toc11583"/>
      <w:bookmarkStart w:id="13" w:name="_Toc5639"/>
      <w:r>
        <w:rPr>
          <w:rFonts w:hint="eastAsia" w:ascii="黑体" w:hAnsi="Times New Roman" w:eastAsia="黑体" w:cs="Times New Roman"/>
          <w:color w:val="000000"/>
          <w:sz w:val="32"/>
          <w:szCs w:val="32"/>
        </w:rPr>
        <w:t>收入决算情况说明</w:t>
      </w:r>
      <w:bookmarkEnd w:id="12"/>
      <w:bookmarkEnd w:id="13"/>
    </w:p>
    <w:p>
      <w:pPr>
        <w:pageBreakBefore w:val="0"/>
        <w:spacing w:line="576" w:lineRule="exact"/>
        <w:ind w:firstLine="640"/>
        <w:rPr>
          <w:rFonts w:ascii="仿宋" w:hAnsi="Times New Roman" w:eastAsia="仿宋" w:cs="Times New Roman"/>
          <w:color w:val="000000"/>
          <w:sz w:val="32"/>
          <w:szCs w:val="32"/>
          <w:lang w:val="en-US" w:eastAsia="zh-CN" w:bidi="ar-SA"/>
        </w:rPr>
      </w:pPr>
      <w:r>
        <w:rPr>
          <w:rFonts w:ascii="仿宋" w:hAnsi="Times New Roman" w:eastAsia="仿宋" w:cs="Times New Roman"/>
          <w:color w:val="000000"/>
          <w:sz w:val="32"/>
          <w:szCs w:val="32"/>
          <w:lang w:val="en-US" w:eastAsia="zh-CN"/>
        </w:rPr>
        <w:t>2022年本年收入合计</w:t>
      </w:r>
      <w:r>
        <w:rPr>
          <w:rFonts w:hint="eastAsia" w:ascii="仿宋" w:eastAsia="仿宋"/>
          <w:sz w:val="32"/>
          <w:szCs w:val="32"/>
          <w:lang w:val="en-US" w:eastAsia="zh-CN"/>
        </w:rPr>
        <w:t>201.05</w:t>
      </w:r>
      <w:r>
        <w:rPr>
          <w:rFonts w:ascii="仿宋" w:hAnsi="Times New Roman" w:eastAsia="仿宋" w:cs="Times New Roman"/>
          <w:color w:val="000000"/>
          <w:sz w:val="32"/>
          <w:szCs w:val="32"/>
          <w:lang w:val="en-US" w:eastAsia="zh-CN"/>
        </w:rPr>
        <w:t>万元，</w:t>
      </w:r>
      <w:r>
        <w:rPr>
          <w:rFonts w:ascii="仿宋" w:hAnsi="Times New Roman" w:eastAsia="仿宋" w:cs="Times New Roman"/>
          <w:color w:val="000000"/>
          <w:sz w:val="32"/>
          <w:szCs w:val="32"/>
        </w:rPr>
        <w:t>与2021年相比，</w:t>
      </w:r>
      <w:r>
        <w:drawing>
          <wp:anchor distT="0" distB="0" distL="114300" distR="114300" simplePos="0" relativeHeight="251660288" behindDoc="0" locked="0" layoutInCell="1" allowOverlap="1">
            <wp:simplePos x="0" y="0"/>
            <wp:positionH relativeFrom="column">
              <wp:posOffset>835025</wp:posOffset>
            </wp:positionH>
            <wp:positionV relativeFrom="paragraph">
              <wp:posOffset>1236345</wp:posOffset>
            </wp:positionV>
            <wp:extent cx="3260090" cy="1868170"/>
            <wp:effectExtent l="0" t="0" r="0" b="0"/>
            <wp:wrapTopAndBottom/>
            <wp:docPr id="3" name="_x0000_s1027"/>
            <wp:cNvGraphicFramePr/>
            <a:graphic xmlns:a="http://schemas.openxmlformats.org/drawingml/2006/main">
              <a:graphicData uri="http://schemas.openxmlformats.org/drawingml/2006/picture">
                <pic:pic xmlns:pic="http://schemas.openxmlformats.org/drawingml/2006/picture">
                  <pic:nvPicPr>
                    <pic:cNvPr id="3" name="_x0000_s1027"/>
                    <pic:cNvPicPr/>
                  </pic:nvPicPr>
                  <pic:blipFill>
                    <a:blip r:embed="rId6"/>
                    <a:stretch>
                      <a:fillRect/>
                    </a:stretch>
                  </pic:blipFill>
                  <pic:spPr>
                    <a:xfrm>
                      <a:off x="0" y="0"/>
                      <a:ext cx="3260090" cy="1868170"/>
                    </a:xfrm>
                    <a:prstGeom prst="rect">
                      <a:avLst/>
                    </a:prstGeom>
                    <a:noFill/>
                    <a:ln>
                      <a:noFill/>
                    </a:ln>
                  </pic:spPr>
                </pic:pic>
              </a:graphicData>
            </a:graphic>
          </wp:anchor>
        </w:drawing>
      </w:r>
      <w:r>
        <w:rPr>
          <w:rFonts w:ascii="仿宋" w:hAnsi="Times New Roman" w:eastAsia="仿宋" w:cs="Times New Roman"/>
          <w:color w:val="000000"/>
          <w:sz w:val="32"/>
          <w:szCs w:val="32"/>
        </w:rPr>
        <w:t>收入</w:t>
      </w:r>
      <w:r>
        <w:rPr>
          <w:rFonts w:hint="eastAsia" w:ascii="仿宋" w:hAnsi="Times New Roman" w:eastAsia="仿宋" w:cs="Times New Roman"/>
          <w:color w:val="000000"/>
          <w:sz w:val="32"/>
          <w:szCs w:val="32"/>
          <w:lang w:eastAsia="zh-CN"/>
        </w:rPr>
        <w:t>减少</w:t>
      </w:r>
      <w:r>
        <w:rPr>
          <w:rFonts w:hint="eastAsia" w:ascii="仿宋" w:eastAsia="仿宋"/>
          <w:sz w:val="32"/>
          <w:szCs w:val="32"/>
          <w:lang w:val="en-US" w:eastAsia="zh-CN"/>
        </w:rPr>
        <w:t>6.65</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eastAsia="仿宋"/>
          <w:sz w:val="32"/>
          <w:szCs w:val="32"/>
          <w:lang w:val="en-US" w:eastAsia="zh-CN"/>
        </w:rPr>
        <w:t>3.31</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项目资金减少。</w:t>
      </w:r>
      <w:r>
        <w:rPr>
          <w:rFonts w:ascii="仿宋" w:hAnsi="Times New Roman" w:eastAsia="仿宋" w:cs="Times New Roman"/>
          <w:color w:val="000000"/>
          <w:sz w:val="32"/>
          <w:szCs w:val="32"/>
          <w:lang w:val="en-US" w:eastAsia="zh-CN"/>
        </w:rPr>
        <w:t>其中：一般公共预算财政拨款收入</w:t>
      </w:r>
      <w:r>
        <w:rPr>
          <w:rFonts w:hint="eastAsia" w:ascii="仿宋" w:eastAsia="仿宋"/>
          <w:sz w:val="32"/>
          <w:szCs w:val="32"/>
          <w:lang w:val="en-US" w:eastAsia="zh-CN"/>
        </w:rPr>
        <w:t>201.05</w:t>
      </w:r>
      <w:r>
        <w:rPr>
          <w:rFonts w:ascii="仿宋" w:hAnsi="Times New Roman" w:eastAsia="仿宋" w:cs="Times New Roman"/>
          <w:color w:val="000000"/>
          <w:sz w:val="32"/>
          <w:szCs w:val="32"/>
          <w:lang w:val="en-US" w:eastAsia="zh-CN"/>
        </w:rPr>
        <w:t xml:space="preserve">万元，占 </w:t>
      </w:r>
      <w:r>
        <w:rPr>
          <w:rFonts w:hint="eastAsia" w:ascii="仿宋" w:eastAsia="仿宋"/>
          <w:sz w:val="32"/>
          <w:szCs w:val="32"/>
          <w:lang w:val="en-US" w:eastAsia="zh-CN"/>
        </w:rPr>
        <w:t>100</w:t>
      </w:r>
      <w:r>
        <w:rPr>
          <w:rFonts w:ascii="仿宋" w:hAnsi="Times New Roman" w:eastAsia="仿宋" w:cs="Times New Roman"/>
          <w:color w:val="000000"/>
          <w:sz w:val="32"/>
          <w:szCs w:val="32"/>
          <w:lang w:val="en-US" w:eastAsia="zh-CN"/>
        </w:rPr>
        <w:t>%。</w:t>
      </w:r>
    </w:p>
    <w:p>
      <w:pPr>
        <w:pStyle w:val="195"/>
        <w:keepNext w:val="0"/>
        <w:keepLines w:val="0"/>
        <w:pageBreakBefore w:val="0"/>
        <w:widowControl/>
        <w:suppressLineNumbers w:val="0"/>
        <w:spacing w:line="576" w:lineRule="exact"/>
        <w:ind w:firstLine="1680"/>
        <w:jc w:val="left"/>
        <w:rPr>
          <w:rFonts w:ascii="仿宋" w:hAnsi="Times New Roman" w:eastAsia="仿宋" w:cs="Times New Roman"/>
          <w:color w:val="000000"/>
          <w:sz w:val="32"/>
          <w:szCs w:val="32"/>
          <w:lang w:val="en-US" w:eastAsia="zh-CN" w:bidi="ar-SA"/>
        </w:rPr>
      </w:pPr>
      <w:r>
        <w:rPr>
          <w:rFonts w:ascii="仿宋" w:hAnsi="Times New Roman" w:eastAsia="仿宋" w:cs="Times New Roman"/>
          <w:color w:val="000000"/>
          <w:sz w:val="32"/>
          <w:szCs w:val="32"/>
          <w:lang w:val="en-US" w:eastAsia="zh-CN" w:bidi="ar-SA"/>
        </w:rPr>
        <w:t>（图2：收入决算结构图）</w:t>
      </w:r>
    </w:p>
    <w:p>
      <w:pPr>
        <w:pStyle w:val="201"/>
        <w:pageBreakBefore w:val="0"/>
        <w:numPr>
          <w:ilvl w:val="0"/>
          <w:numId w:val="1"/>
        </w:numPr>
        <w:spacing w:line="576" w:lineRule="exact"/>
        <w:outlineLvl w:val="1"/>
        <w:rPr>
          <w:rFonts w:hint="eastAsia" w:ascii="黑体" w:hAnsi="Times New Roman" w:eastAsia="黑体" w:cs="Times New Roman"/>
          <w:color w:val="000000"/>
          <w:sz w:val="32"/>
          <w:szCs w:val="32"/>
        </w:rPr>
      </w:pPr>
      <w:bookmarkStart w:id="14" w:name="_Toc23777"/>
      <w:bookmarkStart w:id="15" w:name="_Toc18578"/>
      <w:r>
        <w:rPr>
          <w:rFonts w:hint="eastAsia" w:ascii="黑体" w:hAnsi="Times New Roman" w:eastAsia="黑体" w:cs="Times New Roman"/>
          <w:color w:val="000000"/>
          <w:sz w:val="32"/>
          <w:szCs w:val="32"/>
        </w:rPr>
        <w:t>支出决算情况说明</w:t>
      </w:r>
      <w:bookmarkEnd w:id="14"/>
      <w:bookmarkEnd w:id="15"/>
    </w:p>
    <w:p>
      <w:pPr>
        <w:pageBreakBefore w:val="0"/>
        <w:spacing w:line="576" w:lineRule="exact"/>
        <w:ind w:firstLine="640"/>
        <w:rPr>
          <w:rFonts w:ascii="仿宋" w:hAnsi="Times New Roman" w:eastAsia="仿宋" w:cs="Times New Roman"/>
          <w:color w:val="000000"/>
          <w:sz w:val="32"/>
          <w:szCs w:val="32"/>
          <w:lang w:val="en-US" w:eastAsia="zh-CN"/>
        </w:rPr>
      </w:pPr>
      <w:r>
        <w:rPr>
          <w:rFonts w:ascii="仿宋" w:hAnsi="Times New Roman" w:eastAsia="仿宋" w:cs="Times New Roman"/>
          <w:color w:val="000000"/>
          <w:sz w:val="32"/>
          <w:szCs w:val="32"/>
          <w:lang w:val="en-US" w:eastAsia="zh-CN"/>
        </w:rPr>
        <w:t>2022年本年支出合计</w:t>
      </w:r>
      <w:r>
        <w:rPr>
          <w:rFonts w:hint="eastAsia" w:ascii="仿宋" w:eastAsia="仿宋"/>
          <w:sz w:val="32"/>
          <w:szCs w:val="32"/>
          <w:lang w:val="en-US" w:eastAsia="zh-CN"/>
        </w:rPr>
        <w:t>201.05</w:t>
      </w:r>
      <w:r>
        <w:rPr>
          <w:rFonts w:ascii="仿宋" w:hAnsi="Times New Roman" w:eastAsia="仿宋" w:cs="Times New Roman"/>
          <w:color w:val="000000"/>
          <w:sz w:val="32"/>
          <w:szCs w:val="32"/>
          <w:lang w:val="en-US" w:eastAsia="zh-CN"/>
        </w:rPr>
        <w:t>万元，</w:t>
      </w:r>
      <w:r>
        <w:rPr>
          <w:rFonts w:ascii="仿宋" w:hAnsi="Times New Roman" w:eastAsia="仿宋" w:cs="Times New Roman"/>
          <w:color w:val="000000"/>
          <w:sz w:val="32"/>
          <w:szCs w:val="32"/>
        </w:rPr>
        <w:t>与2021年相比，支出</w:t>
      </w:r>
      <w:r>
        <w:rPr>
          <w:rFonts w:hint="eastAsia" w:ascii="仿宋" w:hAnsi="Times New Roman" w:eastAsia="仿宋" w:cs="Times New Roman"/>
          <w:color w:val="000000"/>
          <w:sz w:val="32"/>
          <w:szCs w:val="32"/>
          <w:lang w:eastAsia="zh-CN"/>
        </w:rPr>
        <w:t>减少</w:t>
      </w:r>
      <w:r>
        <w:rPr>
          <w:rFonts w:hint="eastAsia" w:ascii="仿宋" w:eastAsia="仿宋"/>
          <w:sz w:val="32"/>
          <w:szCs w:val="32"/>
          <w:lang w:val="en-US" w:eastAsia="zh-CN"/>
        </w:rPr>
        <w:t>6.65</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eastAsia="仿宋"/>
          <w:sz w:val="32"/>
          <w:szCs w:val="32"/>
          <w:lang w:val="en-US" w:eastAsia="zh-CN"/>
        </w:rPr>
        <w:t>3.31</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项目资金减少。</w:t>
      </w:r>
      <w:r>
        <w:rPr>
          <w:rFonts w:ascii="仿宋" w:hAnsi="Times New Roman" w:eastAsia="仿宋" w:cs="Times New Roman"/>
          <w:color w:val="000000"/>
          <w:sz w:val="32"/>
          <w:szCs w:val="32"/>
          <w:lang w:val="en-US" w:eastAsia="zh-CN"/>
        </w:rPr>
        <w:t>其中：基本支出</w:t>
      </w:r>
      <w:r>
        <w:rPr>
          <w:rFonts w:hint="eastAsia" w:ascii="仿宋" w:eastAsia="仿宋"/>
          <w:sz w:val="32"/>
          <w:szCs w:val="32"/>
          <w:lang w:val="en-US" w:eastAsia="zh-CN"/>
        </w:rPr>
        <w:t>201.05</w:t>
      </w:r>
      <w:r>
        <w:rPr>
          <w:rFonts w:ascii="仿宋" w:hAnsi="Times New Roman" w:eastAsia="仿宋" w:cs="Times New Roman"/>
          <w:color w:val="000000"/>
          <w:sz w:val="32"/>
          <w:szCs w:val="32"/>
          <w:lang w:val="en-US" w:eastAsia="zh-CN"/>
        </w:rPr>
        <w:t>万元，占</w:t>
      </w:r>
      <w:r>
        <w:rPr>
          <w:rFonts w:hint="eastAsia" w:ascii="仿宋" w:eastAsia="仿宋"/>
          <w:sz w:val="32"/>
          <w:szCs w:val="32"/>
          <w:lang w:val="en-US" w:eastAsia="zh-CN"/>
        </w:rPr>
        <w:t>100</w:t>
      </w:r>
      <w:r>
        <w:rPr>
          <w:rFonts w:ascii="仿宋" w:hAnsi="Times New Roman" w:eastAsia="仿宋" w:cs="Times New Roman"/>
          <w:color w:val="000000"/>
          <w:sz w:val="32"/>
          <w:szCs w:val="32"/>
          <w:lang w:val="en-US" w:eastAsia="zh-CN"/>
        </w:rPr>
        <w:t>%。</w:t>
      </w:r>
    </w:p>
    <w:p>
      <w:pPr>
        <w:pageBreakBefore w:val="0"/>
        <w:spacing w:line="576" w:lineRule="exact"/>
        <w:ind w:firstLine="2100"/>
      </w:pPr>
      <w:r>
        <w:drawing>
          <wp:anchor distT="0" distB="0" distL="114300" distR="114300" simplePos="0" relativeHeight="251660288" behindDoc="0" locked="0" layoutInCell="1" allowOverlap="1">
            <wp:simplePos x="0" y="0"/>
            <wp:positionH relativeFrom="column">
              <wp:posOffset>863600</wp:posOffset>
            </wp:positionH>
            <wp:positionV relativeFrom="paragraph">
              <wp:posOffset>5080</wp:posOffset>
            </wp:positionV>
            <wp:extent cx="3268980" cy="1920875"/>
            <wp:effectExtent l="0" t="0" r="0" b="0"/>
            <wp:wrapTopAndBottom/>
            <wp:docPr id="4" name="_x0000_s1031"/>
            <wp:cNvGraphicFramePr/>
            <a:graphic xmlns:a="http://schemas.openxmlformats.org/drawingml/2006/main">
              <a:graphicData uri="http://schemas.openxmlformats.org/drawingml/2006/picture">
                <pic:pic xmlns:pic="http://schemas.openxmlformats.org/drawingml/2006/picture">
                  <pic:nvPicPr>
                    <pic:cNvPr id="4" name="_x0000_s1031"/>
                    <pic:cNvPicPr/>
                  </pic:nvPicPr>
                  <pic:blipFill>
                    <a:blip r:embed="rId7"/>
                    <a:stretch>
                      <a:fillRect/>
                    </a:stretch>
                  </pic:blipFill>
                  <pic:spPr>
                    <a:xfrm>
                      <a:off x="0" y="0"/>
                      <a:ext cx="3268980" cy="1920875"/>
                    </a:xfrm>
                    <a:prstGeom prst="rect">
                      <a:avLst/>
                    </a:prstGeom>
                    <a:noFill/>
                    <a:ln>
                      <a:noFill/>
                    </a:ln>
                  </pic:spPr>
                </pic:pic>
              </a:graphicData>
            </a:graphic>
          </wp:anchor>
        </w:drawing>
      </w:r>
      <w:r>
        <w:rPr>
          <w:rFonts w:ascii="仿宋" w:hAnsi="Times New Roman" w:eastAsia="仿宋" w:cs="Times New Roman"/>
          <w:color w:val="000000"/>
          <w:sz w:val="32"/>
          <w:szCs w:val="32"/>
          <w:lang w:val="en-US" w:eastAsia="zh-CN" w:bidi="ar-SA"/>
        </w:rPr>
        <w:t>（图3：支出决算结构图）</w:t>
      </w:r>
    </w:p>
    <w:p>
      <w:pPr>
        <w:pStyle w:val="201"/>
        <w:pageBreakBefore w:val="0"/>
        <w:numPr>
          <w:ilvl w:val="0"/>
          <w:numId w:val="1"/>
        </w:numPr>
        <w:spacing w:line="576" w:lineRule="exact"/>
        <w:outlineLvl w:val="1"/>
        <w:rPr>
          <w:rFonts w:hint="eastAsia" w:ascii="黑体" w:hAnsi="Times New Roman" w:eastAsia="黑体" w:cs="Times New Roman"/>
          <w:color w:val="000000"/>
          <w:sz w:val="32"/>
          <w:szCs w:val="32"/>
        </w:rPr>
      </w:pPr>
      <w:bookmarkStart w:id="16" w:name="_Toc26488"/>
      <w:bookmarkStart w:id="17" w:name="_Toc5490"/>
      <w:r>
        <w:rPr>
          <w:rFonts w:hint="eastAsia" w:ascii="黑体" w:hAnsi="Times New Roman" w:eastAsia="黑体" w:cs="Times New Roman"/>
          <w:color w:val="000000"/>
          <w:sz w:val="32"/>
          <w:szCs w:val="32"/>
        </w:rPr>
        <w:t>财政拨款收入支出决算总体情况说明</w:t>
      </w:r>
      <w:bookmarkEnd w:id="16"/>
      <w:bookmarkEnd w:id="17"/>
    </w:p>
    <w:p>
      <w:pPr>
        <w:pageBreakBefore w:val="0"/>
        <w:spacing w:line="576" w:lineRule="exact"/>
        <w:ind w:firstLine="420"/>
        <w:rPr>
          <w:rFonts w:hint="eastAsia" w:ascii="仿宋" w:hAnsi="Times New Roman" w:eastAsia="仿宋" w:cs="Times New Roman"/>
          <w:color w:val="000000"/>
          <w:sz w:val="32"/>
          <w:szCs w:val="32"/>
          <w:lang w:eastAsia="zh-CN"/>
        </w:rPr>
      </w:pPr>
      <w:r>
        <w:drawing>
          <wp:anchor distT="0" distB="0" distL="114300" distR="114300" simplePos="0" relativeHeight="251660288" behindDoc="0" locked="0" layoutInCell="1" allowOverlap="1">
            <wp:simplePos x="0" y="0"/>
            <wp:positionH relativeFrom="column">
              <wp:posOffset>1116330</wp:posOffset>
            </wp:positionH>
            <wp:positionV relativeFrom="paragraph">
              <wp:posOffset>1252220</wp:posOffset>
            </wp:positionV>
            <wp:extent cx="2967355" cy="1700530"/>
            <wp:effectExtent l="0" t="0" r="0" b="0"/>
            <wp:wrapTopAndBottom/>
            <wp:docPr id="5" name="_x0000_s1029"/>
            <wp:cNvGraphicFramePr/>
            <a:graphic xmlns:a="http://schemas.openxmlformats.org/drawingml/2006/main">
              <a:graphicData uri="http://schemas.openxmlformats.org/drawingml/2006/picture">
                <pic:pic xmlns:pic="http://schemas.openxmlformats.org/drawingml/2006/picture">
                  <pic:nvPicPr>
                    <pic:cNvPr id="5" name="_x0000_s1029"/>
                    <pic:cNvPicPr/>
                  </pic:nvPicPr>
                  <pic:blipFill>
                    <a:blip r:embed="rId8"/>
                    <a:stretch>
                      <a:fillRect/>
                    </a:stretch>
                  </pic:blipFill>
                  <pic:spPr>
                    <a:xfrm>
                      <a:off x="0" y="0"/>
                      <a:ext cx="2967355" cy="1700530"/>
                    </a:xfrm>
                    <a:prstGeom prst="rect">
                      <a:avLst/>
                    </a:prstGeom>
                    <a:noFill/>
                    <a:ln>
                      <a:noFill/>
                    </a:ln>
                  </pic:spPr>
                </pic:pic>
              </a:graphicData>
            </a:graphic>
          </wp:anchor>
        </w:drawing>
      </w:r>
      <w:r>
        <w:rPr>
          <w:rFonts w:ascii="仿宋" w:hAnsi="Times New Roman" w:eastAsia="仿宋" w:cs="Times New Roman"/>
          <w:color w:val="000000"/>
          <w:sz w:val="32"/>
          <w:szCs w:val="32"/>
          <w:lang w:val="en-US" w:eastAsia="zh-CN"/>
        </w:rPr>
        <w:t>2022年财政拨款收、支总计</w:t>
      </w:r>
      <w:r>
        <w:rPr>
          <w:rFonts w:hint="eastAsia" w:ascii="仿宋" w:eastAsia="仿宋"/>
          <w:sz w:val="32"/>
          <w:szCs w:val="32"/>
          <w:lang w:val="en-US" w:eastAsia="zh-CN"/>
        </w:rPr>
        <w:t>201.05</w:t>
      </w:r>
      <w:r>
        <w:rPr>
          <w:rFonts w:ascii="仿宋" w:hAnsi="Times New Roman" w:eastAsia="仿宋" w:cs="Times New Roman"/>
          <w:color w:val="000000"/>
          <w:sz w:val="32"/>
          <w:szCs w:val="32"/>
          <w:lang w:val="en-US" w:eastAsia="zh-CN"/>
        </w:rPr>
        <w:t>万元。与2021年相比，财政拨款收、支总计各减少</w:t>
      </w:r>
      <w:r>
        <w:rPr>
          <w:rFonts w:hint="eastAsia" w:ascii="仿宋" w:eastAsia="仿宋"/>
          <w:sz w:val="32"/>
          <w:szCs w:val="32"/>
          <w:lang w:val="en-US" w:eastAsia="zh-CN"/>
        </w:rPr>
        <w:t>6.65</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eastAsia="仿宋"/>
          <w:sz w:val="32"/>
          <w:szCs w:val="32"/>
          <w:lang w:val="en-US" w:eastAsia="zh-CN"/>
        </w:rPr>
        <w:t>3.31</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项目资金减少。</w:t>
      </w:r>
    </w:p>
    <w:p>
      <w:pPr>
        <w:pageBreakBefore w:val="0"/>
        <w:spacing w:line="576" w:lineRule="exact"/>
        <w:ind w:firstLine="420"/>
      </w:pPr>
    </w:p>
    <w:p>
      <w:pPr>
        <w:pageBreakBefore w:val="0"/>
        <w:spacing w:line="576" w:lineRule="exact"/>
        <w:ind w:firstLine="640"/>
        <w:rPr>
          <w:rFonts w:ascii="仿宋" w:hAnsi="Times New Roman" w:eastAsia="仿宋" w:cs="Times New Roman"/>
          <w:color w:val="000000"/>
          <w:sz w:val="32"/>
          <w:szCs w:val="32"/>
          <w:lang w:val="en-US" w:eastAsia="zh-CN" w:bidi="ar-SA"/>
        </w:rPr>
      </w:pPr>
      <w:r>
        <w:rPr>
          <w:rFonts w:ascii="仿宋" w:hAnsi="Times New Roman" w:eastAsia="仿宋" w:cs="Times New Roman"/>
          <w:color w:val="000000"/>
          <w:sz w:val="32"/>
          <w:szCs w:val="32"/>
          <w:lang w:val="en-US" w:eastAsia="zh-CN" w:bidi="ar-SA"/>
        </w:rPr>
        <w:t>（图4：财政拨款收、支决算总计变动情况）</w:t>
      </w:r>
      <w:r>
        <w:rPr>
          <w:rFonts w:hint="eastAsia" w:ascii="仿宋" w:hAnsi="Times New Roman" w:eastAsia="仿宋" w:cs="Times New Roman"/>
          <w:color w:val="000000"/>
          <w:sz w:val="32"/>
          <w:szCs w:val="32"/>
          <w:lang w:val="en-US" w:eastAsia="zh-CN" w:bidi="ar-SA"/>
        </w:rPr>
        <w:t>（万元）</w:t>
      </w:r>
    </w:p>
    <w:p>
      <w:pPr>
        <w:pStyle w:val="201"/>
        <w:pageBreakBefore w:val="0"/>
        <w:numPr>
          <w:ilvl w:val="0"/>
          <w:numId w:val="1"/>
        </w:numPr>
        <w:spacing w:line="576" w:lineRule="exact"/>
        <w:outlineLvl w:val="1"/>
        <w:rPr>
          <w:rFonts w:hint="eastAsia" w:ascii="黑体" w:hAnsi="Times New Roman" w:eastAsia="黑体" w:cs="Times New Roman"/>
          <w:color w:val="000000"/>
          <w:sz w:val="32"/>
          <w:szCs w:val="32"/>
        </w:rPr>
      </w:pPr>
      <w:bookmarkStart w:id="18" w:name="_Toc5657"/>
      <w:bookmarkStart w:id="19" w:name="_Toc18133"/>
      <w:r>
        <w:rPr>
          <w:rFonts w:hint="eastAsia" w:ascii="黑体" w:hAnsi="Times New Roman" w:eastAsia="黑体" w:cs="Times New Roman"/>
          <w:color w:val="000000"/>
          <w:sz w:val="32"/>
          <w:szCs w:val="32"/>
        </w:rPr>
        <w:t>一般公共预算财政拨款支出决算情况说明</w:t>
      </w:r>
      <w:bookmarkEnd w:id="18"/>
      <w:bookmarkEnd w:id="19"/>
    </w:p>
    <w:p>
      <w:pPr>
        <w:pageBreakBefore w:val="0"/>
        <w:spacing w:line="576" w:lineRule="exact"/>
        <w:ind w:firstLine="643"/>
        <w:outlineLvl w:val="2"/>
        <w:rPr>
          <w:rFonts w:hint="eastAsia" w:ascii="仿宋" w:hAnsi="Times New Roman" w:eastAsia="仿宋" w:cs="Times New Roman"/>
          <w:b/>
          <w:color w:val="000000"/>
          <w:sz w:val="32"/>
          <w:szCs w:val="32"/>
        </w:rPr>
      </w:pPr>
      <w:bookmarkStart w:id="20" w:name="_Toc23064"/>
      <w:bookmarkStart w:id="21" w:name="_Toc3691"/>
      <w:r>
        <w:rPr>
          <w:rFonts w:hint="eastAsia" w:ascii="仿宋" w:hAnsi="Times New Roman" w:eastAsia="仿宋" w:cs="Times New Roman"/>
          <w:b/>
          <w:color w:val="000000"/>
          <w:sz w:val="32"/>
          <w:szCs w:val="32"/>
        </w:rPr>
        <w:t>（一）一般公共预算财政拨款支出决算总体情况</w:t>
      </w:r>
      <w:bookmarkEnd w:id="20"/>
      <w:bookmarkEnd w:id="21"/>
    </w:p>
    <w:p>
      <w:pPr>
        <w:pageBreakBefore w:val="0"/>
        <w:spacing w:line="576" w:lineRule="exact"/>
        <w:ind w:firstLine="640"/>
        <w:rPr>
          <w:rFonts w:hint="eastAsia" w:ascii="仿宋" w:hAnsi="Times New Roman" w:eastAsia="仿宋" w:cs="Times New Roman"/>
          <w:color w:val="000000"/>
          <w:sz w:val="32"/>
          <w:szCs w:val="32"/>
          <w:lang w:eastAsia="zh-CN"/>
        </w:rPr>
      </w:pPr>
      <w:r>
        <w:rPr>
          <w:rFonts w:ascii="仿宋" w:hAnsi="Times New Roman" w:eastAsia="仿宋" w:cs="Times New Roman"/>
          <w:color w:val="000000"/>
          <w:sz w:val="32"/>
          <w:szCs w:val="32"/>
        </w:rPr>
        <w:t>2022年一般公共预算财政拨款支出</w:t>
      </w:r>
      <w:r>
        <w:rPr>
          <w:rFonts w:hint="eastAsia" w:ascii="仿宋" w:eastAsia="仿宋"/>
          <w:sz w:val="32"/>
          <w:szCs w:val="32"/>
          <w:lang w:val="en-US" w:eastAsia="zh-CN"/>
        </w:rPr>
        <w:t>201.05</w:t>
      </w:r>
      <w:r>
        <w:rPr>
          <w:rFonts w:ascii="仿宋" w:hAnsi="Times New Roman" w:eastAsia="仿宋" w:cs="Times New Roman"/>
          <w:color w:val="000000"/>
          <w:sz w:val="32"/>
          <w:szCs w:val="32"/>
        </w:rPr>
        <w:t>万元，占本年支出合计的</w:t>
      </w:r>
      <w:r>
        <w:rPr>
          <w:rFonts w:hint="eastAsia" w:ascii="仿宋" w:eastAsia="仿宋"/>
          <w:sz w:val="32"/>
          <w:szCs w:val="32"/>
          <w:lang w:val="en-US" w:eastAsia="zh-CN"/>
        </w:rPr>
        <w:t>100</w:t>
      </w:r>
      <w:r>
        <w:rPr>
          <w:rFonts w:ascii="仿宋" w:hAnsi="Times New Roman" w:eastAsia="仿宋" w:cs="Times New Roman"/>
          <w:color w:val="000000"/>
          <w:sz w:val="32"/>
          <w:szCs w:val="32"/>
        </w:rPr>
        <w:t>%。与2021年相比，一般公共预算财政拨款支出</w:t>
      </w:r>
      <w:r>
        <w:rPr>
          <w:rFonts w:hint="eastAsia" w:ascii="仿宋" w:hAnsi="Times New Roman" w:eastAsia="仿宋" w:cs="Times New Roman"/>
          <w:color w:val="000000"/>
          <w:sz w:val="32"/>
          <w:szCs w:val="32"/>
          <w:lang w:eastAsia="zh-CN"/>
        </w:rPr>
        <w:t>减少</w:t>
      </w:r>
      <w:r>
        <w:rPr>
          <w:rFonts w:hint="eastAsia" w:ascii="仿宋" w:eastAsia="仿宋"/>
          <w:sz w:val="32"/>
          <w:szCs w:val="32"/>
          <w:lang w:val="en-US" w:eastAsia="zh-CN"/>
        </w:rPr>
        <w:t>6.65</w:t>
      </w:r>
      <w:r>
        <w:rPr>
          <w:rFonts w:ascii="仿宋" w:hAnsi="Times New Roman" w:eastAsia="仿宋" w:cs="Times New Roman"/>
          <w:color w:val="000000"/>
          <w:sz w:val="32"/>
          <w:szCs w:val="32"/>
        </w:rPr>
        <w:t>万元，</w:t>
      </w:r>
      <w:r>
        <w:rPr>
          <w:rFonts w:hint="eastAsia" w:ascii="仿宋" w:hAnsi="Times New Roman" w:eastAsia="仿宋" w:cs="Times New Roman"/>
          <w:color w:val="000000"/>
          <w:sz w:val="32"/>
          <w:szCs w:val="32"/>
          <w:lang w:eastAsia="zh-CN"/>
        </w:rPr>
        <w:t>下降</w:t>
      </w:r>
      <w:r>
        <w:rPr>
          <w:rFonts w:hint="eastAsia" w:ascii="仿宋" w:eastAsia="仿宋"/>
          <w:sz w:val="32"/>
          <w:szCs w:val="32"/>
          <w:lang w:val="en-US" w:eastAsia="zh-CN"/>
        </w:rPr>
        <w:t>3.31</w:t>
      </w:r>
      <w:r>
        <w:rPr>
          <w:rFonts w:ascii="仿宋" w:hAnsi="Times New Roman" w:eastAsia="仿宋" w:cs="Times New Roman"/>
          <w:color w:val="000000"/>
          <w:sz w:val="32"/>
          <w:szCs w:val="32"/>
        </w:rPr>
        <w:t>%。主要变动原因是</w:t>
      </w:r>
      <w:r>
        <w:rPr>
          <w:rFonts w:hint="eastAsia" w:ascii="仿宋" w:hAnsi="Times New Roman" w:eastAsia="仿宋" w:cs="Times New Roman"/>
          <w:color w:val="000000"/>
          <w:sz w:val="32"/>
          <w:szCs w:val="32"/>
          <w:lang w:eastAsia="zh-CN"/>
        </w:rPr>
        <w:t>项目资金减少。</w:t>
      </w:r>
    </w:p>
    <w:p>
      <w:pPr>
        <w:pageBreakBefore w:val="0"/>
        <w:spacing w:line="576" w:lineRule="exact"/>
      </w:pPr>
      <w:r>
        <w:drawing>
          <wp:anchor distT="0" distB="0" distL="114300" distR="114300" simplePos="0" relativeHeight="251660288" behindDoc="0" locked="0" layoutInCell="1" allowOverlap="1">
            <wp:simplePos x="0" y="0"/>
            <wp:positionH relativeFrom="column">
              <wp:posOffset>1003300</wp:posOffset>
            </wp:positionH>
            <wp:positionV relativeFrom="paragraph">
              <wp:posOffset>36195</wp:posOffset>
            </wp:positionV>
            <wp:extent cx="3422015" cy="2102485"/>
            <wp:effectExtent l="0" t="0" r="0" b="0"/>
            <wp:wrapTopAndBottom/>
            <wp:docPr id="6" name="_x0000_s1030"/>
            <wp:cNvGraphicFramePr/>
            <a:graphic xmlns:a="http://schemas.openxmlformats.org/drawingml/2006/main">
              <a:graphicData uri="http://schemas.openxmlformats.org/drawingml/2006/picture">
                <pic:pic xmlns:pic="http://schemas.openxmlformats.org/drawingml/2006/picture">
                  <pic:nvPicPr>
                    <pic:cNvPr id="6" name="_x0000_s1030"/>
                    <pic:cNvPicPr/>
                  </pic:nvPicPr>
                  <pic:blipFill>
                    <a:blip r:embed="rId9"/>
                    <a:stretch>
                      <a:fillRect/>
                    </a:stretch>
                  </pic:blipFill>
                  <pic:spPr>
                    <a:xfrm>
                      <a:off x="0" y="0"/>
                      <a:ext cx="3422015" cy="2102485"/>
                    </a:xfrm>
                    <a:prstGeom prst="rect">
                      <a:avLst/>
                    </a:prstGeom>
                    <a:noFill/>
                    <a:ln>
                      <a:noFill/>
                    </a:ln>
                  </pic:spPr>
                </pic:pic>
              </a:graphicData>
            </a:graphic>
          </wp:anchor>
        </w:drawing>
      </w:r>
      <w:r>
        <w:rPr>
          <w:rFonts w:ascii="仿宋" w:hAnsi="Times New Roman" w:eastAsia="仿宋" w:cs="Times New Roman"/>
          <w:color w:val="000000"/>
          <w:sz w:val="32"/>
          <w:szCs w:val="32"/>
          <w:lang w:val="en-US" w:eastAsia="zh-CN"/>
        </w:rPr>
        <w:t>（图5：一般公共预算财政拨款支出决算变动情况）</w:t>
      </w:r>
      <w:r>
        <w:rPr>
          <w:rFonts w:hint="eastAsia" w:ascii="仿宋" w:hAnsi="Times New Roman" w:eastAsia="仿宋" w:cs="Times New Roman"/>
          <w:color w:val="000000"/>
          <w:sz w:val="32"/>
          <w:szCs w:val="32"/>
          <w:lang w:val="en-US" w:eastAsia="zh-CN"/>
        </w:rPr>
        <w:t>（万元）</w:t>
      </w:r>
    </w:p>
    <w:p>
      <w:pPr>
        <w:pageBreakBefore w:val="0"/>
        <w:spacing w:line="576" w:lineRule="exact"/>
        <w:ind w:firstLine="643"/>
        <w:outlineLvl w:val="2"/>
        <w:rPr>
          <w:rFonts w:hint="eastAsia" w:ascii="仿宋" w:hAnsi="Times New Roman" w:eastAsia="仿宋" w:cs="Times New Roman"/>
          <w:b/>
          <w:color w:val="000000"/>
          <w:sz w:val="32"/>
          <w:szCs w:val="32"/>
        </w:rPr>
      </w:pPr>
      <w:bookmarkStart w:id="22" w:name="_Toc16376"/>
      <w:bookmarkStart w:id="23" w:name="_Toc26183"/>
      <w:r>
        <w:rPr>
          <w:rFonts w:hint="eastAsia" w:ascii="仿宋" w:hAnsi="Times New Roman" w:eastAsia="仿宋" w:cs="Times New Roman"/>
          <w:b/>
          <w:color w:val="000000"/>
          <w:sz w:val="32"/>
          <w:szCs w:val="32"/>
        </w:rPr>
        <w:t>（二）一般公共预算财政拨款支出决算结构情况</w:t>
      </w:r>
      <w:bookmarkEnd w:id="22"/>
      <w:bookmarkEnd w:id="23"/>
    </w:p>
    <w:p>
      <w:pPr>
        <w:pageBreakBefore w:val="0"/>
        <w:spacing w:line="560" w:lineRule="exact"/>
        <w:ind w:firstLine="640"/>
        <w:rPr>
          <w:rFonts w:ascii="仿宋" w:hAnsi="Times New Roman" w:eastAsia="仿宋" w:cs="Times New Roman"/>
          <w:color w:val="000000"/>
          <w:sz w:val="32"/>
          <w:szCs w:val="32"/>
          <w:lang w:val="en-US" w:eastAsia="zh-CN" w:bidi="ar-SA"/>
        </w:rPr>
      </w:pPr>
      <w:r>
        <w:rPr>
          <w:rFonts w:ascii="仿宋" w:hAnsi="Times New Roman" w:eastAsia="仿宋" w:cs="Times New Roman"/>
          <w:color w:val="000000"/>
          <w:sz w:val="32"/>
          <w:szCs w:val="32"/>
          <w:lang w:val="en-US" w:eastAsia="zh-CN" w:bidi="ar-SA"/>
        </w:rPr>
        <w:t>2022年一般公共预算财政拨款支出</w:t>
      </w:r>
      <w:r>
        <w:rPr>
          <w:rFonts w:hint="eastAsia" w:ascii="仿宋" w:eastAsia="仿宋"/>
          <w:sz w:val="32"/>
          <w:szCs w:val="32"/>
          <w:lang w:val="en-US" w:eastAsia="zh-CN"/>
        </w:rPr>
        <w:t>201.05</w:t>
      </w:r>
      <w:r>
        <w:rPr>
          <w:rFonts w:ascii="仿宋" w:hAnsi="Times New Roman" w:eastAsia="仿宋" w:cs="Times New Roman"/>
          <w:color w:val="000000"/>
          <w:sz w:val="32"/>
          <w:szCs w:val="32"/>
          <w:lang w:val="en-US" w:eastAsia="zh-CN" w:bidi="ar-SA"/>
        </w:rPr>
        <w:t>万元，主要用于以下方面:</w:t>
      </w:r>
      <w:r>
        <w:rPr>
          <w:rFonts w:hint="eastAsia" w:ascii="仿宋" w:eastAsia="仿宋"/>
          <w:b w:val="0"/>
          <w:bCs/>
          <w:color w:val="000000"/>
          <w:sz w:val="32"/>
          <w:szCs w:val="32"/>
        </w:rPr>
        <w:t>社会保障和就业（类）支出</w:t>
      </w:r>
      <w:r>
        <w:rPr>
          <w:rFonts w:hint="eastAsia" w:ascii="仿宋" w:eastAsia="仿宋"/>
          <w:b w:val="0"/>
          <w:bCs/>
          <w:color w:val="000000"/>
          <w:sz w:val="32"/>
          <w:szCs w:val="32"/>
          <w:lang w:val="en-US" w:eastAsia="zh-CN"/>
        </w:rPr>
        <w:t>18.83</w:t>
      </w:r>
      <w:r>
        <w:rPr>
          <w:rFonts w:hint="eastAsia" w:ascii="仿宋" w:eastAsia="仿宋"/>
          <w:b w:val="0"/>
          <w:bCs/>
          <w:color w:val="000000"/>
          <w:sz w:val="32"/>
          <w:szCs w:val="32"/>
        </w:rPr>
        <w:t>万元，占</w:t>
      </w:r>
      <w:r>
        <w:rPr>
          <w:rFonts w:hint="eastAsia" w:ascii="仿宋" w:eastAsia="仿宋"/>
          <w:b w:val="0"/>
          <w:bCs/>
          <w:color w:val="000000"/>
          <w:sz w:val="32"/>
          <w:szCs w:val="32"/>
          <w:lang w:val="en-US" w:eastAsia="zh-CN"/>
        </w:rPr>
        <w:t>9.37</w:t>
      </w:r>
      <w:r>
        <w:rPr>
          <w:rFonts w:ascii="仿宋" w:eastAsia="仿宋"/>
          <w:b w:val="0"/>
          <w:bCs/>
          <w:color w:val="000000"/>
          <w:sz w:val="32"/>
          <w:szCs w:val="32"/>
        </w:rPr>
        <w:t>%</w:t>
      </w:r>
      <w:r>
        <w:rPr>
          <w:rFonts w:hint="eastAsia" w:ascii="仿宋" w:eastAsia="仿宋"/>
          <w:b w:val="0"/>
          <w:bCs/>
          <w:color w:val="000000"/>
          <w:sz w:val="32"/>
          <w:szCs w:val="32"/>
        </w:rPr>
        <w:t>；卫生健康（类）支出</w:t>
      </w:r>
      <w:r>
        <w:rPr>
          <w:rFonts w:hint="eastAsia" w:ascii="仿宋" w:eastAsia="仿宋"/>
          <w:b w:val="0"/>
          <w:bCs/>
          <w:color w:val="000000"/>
          <w:sz w:val="32"/>
          <w:szCs w:val="32"/>
          <w:lang w:val="en-US" w:eastAsia="zh-CN"/>
        </w:rPr>
        <w:t>7.41</w:t>
      </w:r>
      <w:r>
        <w:rPr>
          <w:rFonts w:hint="eastAsia" w:ascii="仿宋" w:eastAsia="仿宋"/>
          <w:b w:val="0"/>
          <w:bCs/>
          <w:color w:val="000000"/>
          <w:sz w:val="32"/>
          <w:szCs w:val="32"/>
        </w:rPr>
        <w:t>万元，占</w:t>
      </w:r>
      <w:r>
        <w:rPr>
          <w:rFonts w:hint="eastAsia" w:ascii="仿宋" w:eastAsia="仿宋"/>
          <w:b w:val="0"/>
          <w:bCs/>
          <w:color w:val="000000"/>
          <w:sz w:val="32"/>
          <w:szCs w:val="32"/>
          <w:lang w:val="en-US" w:eastAsia="zh-CN"/>
        </w:rPr>
        <w:t>3.69</w:t>
      </w:r>
      <w:r>
        <w:rPr>
          <w:rFonts w:ascii="仿宋" w:eastAsia="仿宋"/>
          <w:b w:val="0"/>
          <w:bCs/>
          <w:color w:val="000000"/>
          <w:sz w:val="32"/>
          <w:szCs w:val="32"/>
        </w:rPr>
        <w:t>%</w:t>
      </w:r>
      <w:r>
        <w:rPr>
          <w:rFonts w:hint="eastAsia" w:ascii="仿宋" w:eastAsia="仿宋"/>
          <w:b w:val="0"/>
          <w:bCs/>
          <w:color w:val="000000"/>
          <w:sz w:val="32"/>
          <w:szCs w:val="32"/>
        </w:rPr>
        <w:t>；住房保障（类）支出</w:t>
      </w:r>
      <w:r>
        <w:rPr>
          <w:rFonts w:hint="eastAsia" w:ascii="仿宋" w:eastAsia="仿宋"/>
          <w:b w:val="0"/>
          <w:bCs/>
          <w:color w:val="000000"/>
          <w:sz w:val="32"/>
          <w:szCs w:val="32"/>
          <w:lang w:val="en-US" w:eastAsia="zh-CN"/>
        </w:rPr>
        <w:t>10.83</w:t>
      </w:r>
      <w:r>
        <w:rPr>
          <w:rFonts w:hint="eastAsia" w:ascii="仿宋" w:eastAsia="仿宋"/>
          <w:b w:val="0"/>
          <w:bCs/>
          <w:color w:val="000000"/>
          <w:sz w:val="32"/>
          <w:szCs w:val="32"/>
        </w:rPr>
        <w:t>万元，占</w:t>
      </w:r>
      <w:r>
        <w:rPr>
          <w:rFonts w:hint="eastAsia" w:ascii="仿宋" w:eastAsia="仿宋"/>
          <w:b w:val="0"/>
          <w:bCs/>
          <w:color w:val="000000"/>
          <w:sz w:val="32"/>
          <w:szCs w:val="32"/>
          <w:lang w:val="en-US" w:eastAsia="zh-CN"/>
        </w:rPr>
        <w:t>5.39</w:t>
      </w:r>
      <w:r>
        <w:rPr>
          <w:rFonts w:ascii="仿宋" w:eastAsia="仿宋"/>
          <w:b w:val="0"/>
          <w:bCs/>
          <w:color w:val="000000"/>
          <w:sz w:val="32"/>
          <w:szCs w:val="32"/>
        </w:rPr>
        <w:t>%</w:t>
      </w:r>
      <w:r>
        <w:rPr>
          <w:rFonts w:hint="eastAsia" w:ascii="仿宋" w:eastAsia="仿宋"/>
          <w:b w:val="0"/>
          <w:bCs/>
          <w:color w:val="000000"/>
          <w:sz w:val="32"/>
          <w:szCs w:val="32"/>
        </w:rPr>
        <w:t>；</w:t>
      </w:r>
      <w:r>
        <w:rPr>
          <w:rFonts w:hint="eastAsia" w:ascii="仿宋" w:eastAsia="仿宋"/>
          <w:b w:val="0"/>
          <w:bCs/>
          <w:color w:val="000000"/>
          <w:sz w:val="32"/>
          <w:szCs w:val="32"/>
          <w:lang w:eastAsia="zh-CN"/>
        </w:rPr>
        <w:t>农林水</w:t>
      </w:r>
      <w:r>
        <w:rPr>
          <w:rFonts w:hint="eastAsia" w:ascii="仿宋" w:eastAsia="仿宋"/>
          <w:b w:val="0"/>
          <w:bCs/>
          <w:color w:val="000000"/>
          <w:sz w:val="32"/>
          <w:szCs w:val="32"/>
        </w:rPr>
        <w:t>（类）</w:t>
      </w:r>
      <w:r>
        <w:rPr>
          <w:rFonts w:hint="eastAsia" w:ascii="仿宋" w:eastAsia="仿宋"/>
          <w:b w:val="0"/>
          <w:bCs/>
          <w:color w:val="000000"/>
          <w:sz w:val="32"/>
          <w:szCs w:val="32"/>
          <w:lang w:eastAsia="zh-CN"/>
        </w:rPr>
        <w:t>支出</w:t>
      </w:r>
      <w:r>
        <w:rPr>
          <w:rFonts w:hint="eastAsia" w:ascii="仿宋" w:eastAsia="仿宋"/>
          <w:b w:val="0"/>
          <w:bCs/>
          <w:color w:val="000000"/>
          <w:sz w:val="32"/>
          <w:szCs w:val="32"/>
          <w:lang w:val="en-US" w:eastAsia="zh-CN"/>
        </w:rPr>
        <w:t>163.98万元，占81.55%</w:t>
      </w:r>
      <w:r>
        <w:rPr>
          <w:rFonts w:hint="eastAsia" w:ascii="仿宋" w:eastAsia="仿宋"/>
          <w:b w:val="0"/>
          <w:bCs/>
          <w:color w:val="000000"/>
          <w:sz w:val="32"/>
          <w:szCs w:val="32"/>
        </w:rPr>
        <w:t>。</w:t>
      </w:r>
    </w:p>
    <w:p>
      <w:pPr>
        <w:pStyle w:val="195"/>
        <w:keepNext w:val="0"/>
        <w:keepLines w:val="0"/>
        <w:pageBreakBefore w:val="0"/>
        <w:widowControl/>
        <w:suppressLineNumbers w:val="0"/>
        <w:spacing w:line="576" w:lineRule="exact"/>
        <w:ind w:firstLine="480"/>
        <w:jc w:val="left"/>
      </w:pPr>
      <w:r>
        <w:drawing>
          <wp:anchor distT="0" distB="0" distL="114300" distR="114300" simplePos="0" relativeHeight="251660288" behindDoc="0" locked="0" layoutInCell="1" allowOverlap="1">
            <wp:simplePos x="0" y="0"/>
            <wp:positionH relativeFrom="column">
              <wp:posOffset>1228090</wp:posOffset>
            </wp:positionH>
            <wp:positionV relativeFrom="paragraph">
              <wp:posOffset>-7183120</wp:posOffset>
            </wp:positionV>
            <wp:extent cx="2854960" cy="1795780"/>
            <wp:effectExtent l="0" t="0" r="0" b="0"/>
            <wp:wrapTopAndBottom/>
            <wp:docPr id="7" name="_x0000_s1034"/>
            <wp:cNvGraphicFramePr/>
            <a:graphic xmlns:a="http://schemas.openxmlformats.org/drawingml/2006/main">
              <a:graphicData uri="http://schemas.openxmlformats.org/drawingml/2006/picture">
                <pic:pic xmlns:pic="http://schemas.openxmlformats.org/drawingml/2006/picture">
                  <pic:nvPicPr>
                    <pic:cNvPr id="7" name="_x0000_s1034"/>
                    <pic:cNvPicPr/>
                  </pic:nvPicPr>
                  <pic:blipFill>
                    <a:blip r:embed="rId10"/>
                    <a:stretch>
                      <a:fillRect/>
                    </a:stretch>
                  </pic:blipFill>
                  <pic:spPr>
                    <a:xfrm>
                      <a:off x="0" y="0"/>
                      <a:ext cx="2854960" cy="1795780"/>
                    </a:xfrm>
                    <a:prstGeom prst="rect">
                      <a:avLst/>
                    </a:prstGeom>
                    <a:noFill/>
                    <a:ln>
                      <a:noFill/>
                    </a:ln>
                  </pic:spPr>
                </pic:pic>
              </a:graphicData>
            </a:graphic>
          </wp:anchor>
        </w:drawing>
      </w:r>
      <w:r>
        <w:rPr>
          <w:rFonts w:ascii="仿宋" w:hAnsi="Times New Roman" w:eastAsia="仿宋" w:cs="Times New Roman"/>
          <w:color w:val="000000"/>
          <w:sz w:val="32"/>
          <w:szCs w:val="32"/>
          <w:lang w:val="en-US" w:eastAsia="zh-CN" w:bidi="ar-SA"/>
        </w:rPr>
        <w:t>（图6：一般公共预算财政拨款支出决算结构）</w:t>
      </w:r>
    </w:p>
    <w:p>
      <w:pPr>
        <w:pageBreakBefore w:val="0"/>
        <w:spacing w:line="576" w:lineRule="exact"/>
        <w:ind w:firstLine="643"/>
        <w:outlineLvl w:val="2"/>
        <w:rPr>
          <w:rFonts w:hint="eastAsia" w:ascii="仿宋" w:hAnsi="Times New Roman" w:eastAsia="仿宋" w:cs="Times New Roman"/>
          <w:b/>
          <w:color w:val="000000"/>
          <w:sz w:val="32"/>
          <w:szCs w:val="32"/>
        </w:rPr>
      </w:pPr>
      <w:bookmarkStart w:id="24" w:name="_Toc11660"/>
      <w:bookmarkStart w:id="25" w:name="_Toc29675"/>
      <w:r>
        <w:rPr>
          <w:rFonts w:hint="eastAsia" w:ascii="仿宋" w:hAnsi="Times New Roman" w:eastAsia="仿宋" w:cs="Times New Roman"/>
          <w:b/>
          <w:color w:val="000000"/>
          <w:sz w:val="32"/>
          <w:szCs w:val="32"/>
        </w:rPr>
        <w:t>（三）一般公共预算财政拨款支出决算具体情况</w:t>
      </w:r>
      <w:bookmarkEnd w:id="24"/>
      <w:bookmarkEnd w:id="25"/>
    </w:p>
    <w:p>
      <w:pPr>
        <w:pageBreakBefore w:val="0"/>
        <w:spacing w:line="576" w:lineRule="exact"/>
        <w:ind w:firstLine="643"/>
        <w:rPr>
          <w:rFonts w:ascii="仿宋_GB2312" w:hAnsi="Times New Roman" w:eastAsia="仿宋_GB2312" w:cs="Times New Roman"/>
          <w:b/>
          <w:bCs/>
          <w:sz w:val="32"/>
          <w:szCs w:val="32"/>
        </w:rPr>
      </w:pPr>
      <w:r>
        <w:rPr>
          <w:rFonts w:ascii="仿宋_GB2312" w:hAnsi="Times New Roman" w:eastAsia="仿宋_GB2312" w:cs="Times New Roman"/>
          <w:b/>
          <w:bCs/>
          <w:sz w:val="32"/>
          <w:szCs w:val="32"/>
        </w:rPr>
        <w:t>2022年一般公共预算支出决算数为</w:t>
      </w:r>
      <w:r>
        <w:rPr>
          <w:rFonts w:hint="eastAsia" w:ascii="仿宋" w:eastAsia="仿宋"/>
          <w:sz w:val="32"/>
          <w:szCs w:val="32"/>
          <w:lang w:val="en-US" w:eastAsia="zh-CN"/>
        </w:rPr>
        <w:t>201.05</w:t>
      </w:r>
      <w:r>
        <w:rPr>
          <w:rFonts w:hint="eastAsia" w:ascii="仿宋" w:eastAsia="仿宋"/>
          <w:sz w:val="32"/>
          <w:szCs w:val="32"/>
          <w:lang w:eastAsia="zh-CN"/>
        </w:rPr>
        <w:t>万元</w:t>
      </w:r>
      <w:r>
        <w:rPr>
          <w:rFonts w:ascii="仿宋_GB2312" w:hAnsi="Times New Roman" w:eastAsia="仿宋_GB2312" w:cs="Times New Roman"/>
          <w:b/>
          <w:bCs/>
          <w:sz w:val="32"/>
          <w:szCs w:val="32"/>
        </w:rPr>
        <w:t>，完成预算</w:t>
      </w:r>
      <w:r>
        <w:rPr>
          <w:rFonts w:hint="eastAsia" w:ascii="仿宋" w:eastAsia="仿宋"/>
          <w:sz w:val="32"/>
          <w:szCs w:val="32"/>
          <w:lang w:val="en-US" w:eastAsia="zh-CN"/>
        </w:rPr>
        <w:t>100</w:t>
      </w:r>
      <w:r>
        <w:rPr>
          <w:rFonts w:ascii="仿宋_GB2312" w:hAnsi="Times New Roman" w:eastAsia="仿宋_GB2312" w:cs="Times New Roman"/>
          <w:b/>
          <w:bCs/>
          <w:sz w:val="32"/>
          <w:szCs w:val="32"/>
        </w:rPr>
        <w:t>%。其中：</w:t>
      </w:r>
    </w:p>
    <w:p>
      <w:pPr>
        <w:pStyle w:val="195"/>
        <w:keepNext w:val="0"/>
        <w:keepLines w:val="0"/>
        <w:pageBreakBefore w:val="0"/>
        <w:widowControl/>
        <w:suppressLineNumbers w:val="0"/>
        <w:spacing w:line="576" w:lineRule="exact"/>
        <w:ind w:firstLine="643"/>
        <w:jc w:val="left"/>
        <w:rPr>
          <w:rStyle w:val="197"/>
          <w:rFonts w:hint="eastAsia" w:ascii="仿宋" w:hAnsi="Times New Roman" w:eastAsia="仿宋" w:cs="Times New Roman"/>
          <w:b w:val="0"/>
          <w:bCs/>
          <w:color w:val="000000"/>
          <w:sz w:val="32"/>
          <w:szCs w:val="32"/>
          <w:lang w:val="en-US" w:eastAsia="zh-CN" w:bidi="ar-SA"/>
        </w:rPr>
      </w:pPr>
      <w:bookmarkStart w:id="26" w:name="_Toc17476"/>
      <w:bookmarkStart w:id="27" w:name="_Toc19624"/>
      <w:r>
        <w:rPr>
          <w:rStyle w:val="197"/>
          <w:rFonts w:ascii="仿宋" w:hAnsi="Times New Roman" w:eastAsia="仿宋" w:cs="Times New Roman"/>
          <w:bCs/>
          <w:color w:val="000000"/>
          <w:sz w:val="32"/>
          <w:szCs w:val="32"/>
          <w:lang w:val="en-US" w:eastAsia="zh-CN" w:bidi="ar-SA"/>
        </w:rPr>
        <w:t>1.</w:t>
      </w:r>
      <w:r>
        <w:rPr>
          <w:rStyle w:val="197"/>
          <w:rFonts w:hint="eastAsia" w:ascii="仿宋_GB2312" w:hAnsi="仿宋" w:eastAsia="仿宋_GB2312"/>
          <w:bCs/>
          <w:color w:val="000000"/>
          <w:sz w:val="32"/>
          <w:szCs w:val="32"/>
          <w:highlight w:val="none"/>
        </w:rPr>
        <w:t>社会保障和就业（</w:t>
      </w:r>
      <w:r>
        <w:rPr>
          <w:rStyle w:val="197"/>
          <w:rFonts w:hint="eastAsia" w:ascii="仿宋_GB2312" w:hAnsi="仿宋" w:eastAsia="仿宋_GB2312"/>
          <w:bCs/>
          <w:color w:val="000000"/>
          <w:sz w:val="32"/>
          <w:szCs w:val="32"/>
          <w:highlight w:val="none"/>
          <w:lang w:val="en-US" w:eastAsia="zh-CN"/>
        </w:rPr>
        <w:t>208</w:t>
      </w:r>
      <w:r>
        <w:rPr>
          <w:rStyle w:val="197"/>
          <w:rFonts w:hint="eastAsia" w:ascii="仿宋_GB2312" w:hAnsi="仿宋" w:eastAsia="仿宋_GB2312"/>
          <w:bCs/>
          <w:color w:val="000000"/>
          <w:sz w:val="32"/>
          <w:szCs w:val="32"/>
          <w:highlight w:val="none"/>
        </w:rPr>
        <w:t>）行政事业单位养老支出（</w:t>
      </w:r>
      <w:r>
        <w:rPr>
          <w:rStyle w:val="197"/>
          <w:rFonts w:hint="eastAsia" w:ascii="仿宋_GB2312" w:hAnsi="仿宋" w:eastAsia="仿宋_GB2312"/>
          <w:bCs/>
          <w:color w:val="000000"/>
          <w:sz w:val="32"/>
          <w:szCs w:val="32"/>
          <w:highlight w:val="none"/>
          <w:lang w:val="en-US" w:eastAsia="zh-CN"/>
        </w:rPr>
        <w:t>05</w:t>
      </w:r>
      <w:r>
        <w:rPr>
          <w:rStyle w:val="197"/>
          <w:rFonts w:hint="eastAsia" w:ascii="仿宋_GB2312" w:hAnsi="仿宋" w:eastAsia="仿宋_GB2312"/>
          <w:bCs/>
          <w:color w:val="000000"/>
          <w:sz w:val="32"/>
          <w:szCs w:val="32"/>
          <w:highlight w:val="none"/>
        </w:rPr>
        <w:t>）机关事业单位基本养老保险缴费支出（</w:t>
      </w:r>
      <w:r>
        <w:rPr>
          <w:rStyle w:val="197"/>
          <w:rFonts w:hint="eastAsia" w:ascii="仿宋_GB2312" w:hAnsi="仿宋" w:eastAsia="仿宋_GB2312"/>
          <w:bCs/>
          <w:color w:val="000000"/>
          <w:sz w:val="32"/>
          <w:szCs w:val="32"/>
          <w:highlight w:val="none"/>
          <w:lang w:val="en-US" w:eastAsia="zh-CN"/>
        </w:rPr>
        <w:t>05</w:t>
      </w:r>
      <w:r>
        <w:rPr>
          <w:rStyle w:val="197"/>
          <w:rFonts w:hint="eastAsia" w:ascii="仿宋_GB2312" w:hAnsi="仿宋" w:eastAsia="仿宋_GB2312"/>
          <w:bCs/>
          <w:color w:val="000000"/>
          <w:sz w:val="32"/>
          <w:szCs w:val="32"/>
          <w:highlight w:val="none"/>
        </w:rPr>
        <w:t>）</w:t>
      </w:r>
      <w:r>
        <w:rPr>
          <w:rStyle w:val="197"/>
          <w:rFonts w:ascii="仿宋" w:eastAsia="仿宋"/>
          <w:bCs/>
          <w:color w:val="000000"/>
          <w:sz w:val="32"/>
          <w:szCs w:val="32"/>
        </w:rPr>
        <w:t>:</w:t>
      </w:r>
      <w:r>
        <w:rPr>
          <w:rStyle w:val="197"/>
          <w:rFonts w:hint="eastAsia" w:ascii="仿宋" w:hAnsi="Times New Roman" w:eastAsia="仿宋" w:cs="Times New Roman"/>
          <w:b w:val="0"/>
          <w:bCs/>
          <w:color w:val="000000"/>
          <w:sz w:val="32"/>
          <w:szCs w:val="32"/>
          <w:lang w:val="en-US" w:eastAsia="zh-CN" w:bidi="ar-SA"/>
        </w:rPr>
        <w:t>支出决算为12.55万元，完成预算100%。</w:t>
      </w:r>
    </w:p>
    <w:p>
      <w:pPr>
        <w:pStyle w:val="195"/>
        <w:keepNext w:val="0"/>
        <w:keepLines w:val="0"/>
        <w:pageBreakBefore w:val="0"/>
        <w:widowControl/>
        <w:suppressLineNumbers w:val="0"/>
        <w:spacing w:line="576" w:lineRule="exact"/>
        <w:ind w:firstLine="643"/>
        <w:jc w:val="left"/>
        <w:rPr>
          <w:rStyle w:val="197"/>
          <w:rFonts w:hint="eastAsia" w:ascii="仿宋_GB2312" w:hAnsi="仿宋" w:eastAsia="仿宋_GB2312"/>
          <w:b w:val="0"/>
          <w:bCs/>
          <w:color w:val="000000"/>
          <w:sz w:val="32"/>
          <w:szCs w:val="32"/>
          <w:highlight w:val="none"/>
        </w:rPr>
      </w:pPr>
      <w:r>
        <w:rPr>
          <w:rStyle w:val="197"/>
          <w:rFonts w:ascii="仿宋" w:hAnsi="Times New Roman" w:eastAsia="仿宋" w:cs="Times New Roman"/>
          <w:bCs/>
          <w:color w:val="000000"/>
          <w:sz w:val="32"/>
          <w:szCs w:val="32"/>
          <w:lang w:val="en-US" w:eastAsia="zh-CN" w:bidi="ar-SA"/>
        </w:rPr>
        <w:t>2.</w:t>
      </w:r>
      <w:r>
        <w:rPr>
          <w:rStyle w:val="197"/>
          <w:rFonts w:hint="eastAsia" w:ascii="仿宋_GB2312" w:hAnsi="仿宋" w:eastAsia="仿宋_GB2312"/>
          <w:bCs/>
          <w:color w:val="000000"/>
          <w:sz w:val="32"/>
          <w:szCs w:val="32"/>
          <w:highlight w:val="none"/>
        </w:rPr>
        <w:t>社会保障和就业（</w:t>
      </w:r>
      <w:r>
        <w:rPr>
          <w:rStyle w:val="197"/>
          <w:rFonts w:hint="eastAsia" w:ascii="仿宋_GB2312" w:hAnsi="仿宋" w:eastAsia="仿宋_GB2312"/>
          <w:bCs/>
          <w:color w:val="000000"/>
          <w:sz w:val="32"/>
          <w:szCs w:val="32"/>
          <w:highlight w:val="none"/>
          <w:lang w:val="en-US" w:eastAsia="zh-CN"/>
        </w:rPr>
        <w:t>208</w:t>
      </w:r>
      <w:r>
        <w:rPr>
          <w:rStyle w:val="197"/>
          <w:rFonts w:hint="eastAsia" w:ascii="仿宋_GB2312" w:hAnsi="仿宋" w:eastAsia="仿宋_GB2312"/>
          <w:bCs/>
          <w:color w:val="000000"/>
          <w:sz w:val="32"/>
          <w:szCs w:val="32"/>
          <w:highlight w:val="none"/>
        </w:rPr>
        <w:t>）行政事业单位养老支出（</w:t>
      </w:r>
      <w:r>
        <w:rPr>
          <w:rStyle w:val="197"/>
          <w:rFonts w:hint="eastAsia" w:ascii="仿宋_GB2312" w:hAnsi="仿宋" w:eastAsia="仿宋_GB2312"/>
          <w:bCs/>
          <w:color w:val="000000"/>
          <w:sz w:val="32"/>
          <w:szCs w:val="32"/>
          <w:highlight w:val="none"/>
          <w:lang w:val="en-US" w:eastAsia="zh-CN"/>
        </w:rPr>
        <w:t>05</w:t>
      </w:r>
      <w:r>
        <w:rPr>
          <w:rStyle w:val="197"/>
          <w:rFonts w:hint="eastAsia" w:ascii="仿宋_GB2312" w:hAnsi="仿宋" w:eastAsia="仿宋_GB2312"/>
          <w:bCs/>
          <w:color w:val="000000"/>
          <w:sz w:val="32"/>
          <w:szCs w:val="32"/>
          <w:highlight w:val="none"/>
        </w:rPr>
        <w:t>）机关事业单位职业年金缴费支出（</w:t>
      </w:r>
      <w:r>
        <w:rPr>
          <w:rStyle w:val="197"/>
          <w:rFonts w:hint="eastAsia" w:ascii="仿宋_GB2312" w:hAnsi="仿宋" w:eastAsia="仿宋_GB2312"/>
          <w:bCs/>
          <w:color w:val="000000"/>
          <w:sz w:val="32"/>
          <w:szCs w:val="32"/>
          <w:highlight w:val="none"/>
          <w:lang w:val="en-US" w:eastAsia="zh-CN"/>
        </w:rPr>
        <w:t>06</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 w:val="0"/>
          <w:bCs/>
          <w:color w:val="000000"/>
          <w:sz w:val="32"/>
          <w:szCs w:val="32"/>
          <w:highlight w:val="none"/>
        </w:rPr>
        <w:t>支出决算为</w:t>
      </w:r>
      <w:r>
        <w:rPr>
          <w:rStyle w:val="197"/>
          <w:rFonts w:hint="eastAsia" w:ascii="仿宋_GB2312" w:hAnsi="仿宋" w:eastAsia="仿宋_GB2312"/>
          <w:b w:val="0"/>
          <w:bCs/>
          <w:color w:val="000000"/>
          <w:sz w:val="32"/>
          <w:szCs w:val="32"/>
          <w:highlight w:val="none"/>
          <w:lang w:val="en-US" w:eastAsia="zh-CN"/>
        </w:rPr>
        <w:t>6.28</w:t>
      </w:r>
      <w:r>
        <w:rPr>
          <w:rStyle w:val="197"/>
          <w:rFonts w:hint="eastAsia" w:ascii="仿宋_GB2312" w:hAnsi="仿宋" w:eastAsia="仿宋_GB2312"/>
          <w:b w:val="0"/>
          <w:bCs/>
          <w:color w:val="000000"/>
          <w:sz w:val="32"/>
          <w:szCs w:val="32"/>
          <w:highlight w:val="none"/>
        </w:rPr>
        <w:t>万元，完成预算100%。</w:t>
      </w:r>
    </w:p>
    <w:p>
      <w:pPr>
        <w:pStyle w:val="195"/>
        <w:keepNext w:val="0"/>
        <w:keepLines w:val="0"/>
        <w:pageBreakBefore w:val="0"/>
        <w:widowControl/>
        <w:suppressLineNumbers w:val="0"/>
        <w:spacing w:line="576" w:lineRule="exact"/>
        <w:ind w:firstLine="643"/>
        <w:jc w:val="left"/>
        <w:rPr>
          <w:rStyle w:val="197"/>
          <w:rFonts w:hint="eastAsia" w:ascii="仿宋" w:hAnsi="Times New Roman" w:eastAsia="仿宋" w:cs="Times New Roman"/>
          <w:b w:val="0"/>
          <w:bCs/>
          <w:color w:val="000000"/>
          <w:sz w:val="32"/>
          <w:szCs w:val="32"/>
          <w:lang w:val="en-US" w:eastAsia="zh-CN" w:bidi="ar-SA"/>
        </w:rPr>
      </w:pPr>
      <w:r>
        <w:rPr>
          <w:rStyle w:val="197"/>
          <w:rFonts w:hint="eastAsia" w:ascii="仿宋" w:hAnsi="Times New Roman" w:eastAsia="仿宋" w:cs="Times New Roman"/>
          <w:bCs/>
          <w:color w:val="000000"/>
          <w:sz w:val="32"/>
          <w:szCs w:val="32"/>
          <w:lang w:val="en-US" w:eastAsia="zh-CN" w:bidi="ar-SA"/>
        </w:rPr>
        <w:t>3</w:t>
      </w:r>
      <w:r>
        <w:rPr>
          <w:rStyle w:val="197"/>
          <w:rFonts w:ascii="仿宋" w:hAnsi="Times New Roman" w:eastAsia="仿宋" w:cs="Times New Roman"/>
          <w:bCs/>
          <w:color w:val="000000"/>
          <w:sz w:val="32"/>
          <w:szCs w:val="32"/>
          <w:lang w:val="en-US" w:eastAsia="zh-CN" w:bidi="ar-SA"/>
        </w:rPr>
        <w:t>.</w:t>
      </w:r>
      <w:r>
        <w:rPr>
          <w:rStyle w:val="197"/>
          <w:rFonts w:hint="eastAsia" w:ascii="仿宋_GB2312" w:hAnsi="仿宋" w:eastAsia="仿宋_GB2312"/>
          <w:bCs/>
          <w:color w:val="000000"/>
          <w:sz w:val="32"/>
          <w:szCs w:val="32"/>
          <w:highlight w:val="none"/>
        </w:rPr>
        <w:t>医疗卫生与计划生育（</w:t>
      </w:r>
      <w:r>
        <w:rPr>
          <w:rStyle w:val="197"/>
          <w:rFonts w:hint="eastAsia" w:ascii="仿宋_GB2312" w:hAnsi="仿宋" w:eastAsia="仿宋_GB2312"/>
          <w:bCs/>
          <w:color w:val="000000"/>
          <w:sz w:val="32"/>
          <w:szCs w:val="32"/>
          <w:highlight w:val="none"/>
          <w:lang w:val="en-US" w:eastAsia="zh-CN"/>
        </w:rPr>
        <w:t>210</w:t>
      </w:r>
      <w:r>
        <w:rPr>
          <w:rStyle w:val="197"/>
          <w:rFonts w:hint="eastAsia" w:ascii="仿宋_GB2312" w:hAnsi="仿宋" w:eastAsia="仿宋_GB2312"/>
          <w:bCs/>
          <w:color w:val="000000"/>
          <w:sz w:val="32"/>
          <w:szCs w:val="32"/>
          <w:highlight w:val="none"/>
        </w:rPr>
        <w:t>）行政事业单位医疗（</w:t>
      </w:r>
      <w:r>
        <w:rPr>
          <w:rStyle w:val="197"/>
          <w:rFonts w:hint="eastAsia" w:ascii="仿宋_GB2312" w:hAnsi="仿宋" w:eastAsia="仿宋_GB2312"/>
          <w:bCs/>
          <w:color w:val="000000"/>
          <w:sz w:val="32"/>
          <w:szCs w:val="32"/>
          <w:highlight w:val="none"/>
          <w:lang w:val="en-US" w:eastAsia="zh-CN"/>
        </w:rPr>
        <w:t>11</w:t>
      </w:r>
      <w:r>
        <w:rPr>
          <w:rStyle w:val="197"/>
          <w:rFonts w:hint="eastAsia" w:ascii="仿宋_GB2312" w:hAnsi="仿宋" w:eastAsia="仿宋_GB2312"/>
          <w:bCs/>
          <w:color w:val="000000"/>
          <w:sz w:val="32"/>
          <w:szCs w:val="32"/>
          <w:highlight w:val="none"/>
        </w:rPr>
        <w:t>）事业单位医疗（</w:t>
      </w:r>
      <w:r>
        <w:rPr>
          <w:rStyle w:val="197"/>
          <w:rFonts w:hint="eastAsia" w:ascii="仿宋_GB2312" w:hAnsi="仿宋" w:eastAsia="仿宋_GB2312"/>
          <w:bCs/>
          <w:color w:val="000000"/>
          <w:sz w:val="32"/>
          <w:szCs w:val="32"/>
          <w:highlight w:val="none"/>
          <w:lang w:val="en-US" w:eastAsia="zh-CN"/>
        </w:rPr>
        <w:t>02</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 w:val="0"/>
          <w:bCs/>
          <w:color w:val="000000"/>
          <w:sz w:val="32"/>
          <w:szCs w:val="32"/>
          <w:highlight w:val="none"/>
        </w:rPr>
        <w:t>支出决算为</w:t>
      </w:r>
      <w:r>
        <w:rPr>
          <w:rStyle w:val="197"/>
          <w:rFonts w:hint="eastAsia" w:ascii="仿宋_GB2312" w:hAnsi="仿宋" w:eastAsia="仿宋_GB2312"/>
          <w:b w:val="0"/>
          <w:bCs/>
          <w:color w:val="000000"/>
          <w:sz w:val="32"/>
          <w:szCs w:val="32"/>
          <w:highlight w:val="none"/>
          <w:lang w:val="en-US" w:eastAsia="zh-CN"/>
        </w:rPr>
        <w:t>7.41</w:t>
      </w:r>
      <w:r>
        <w:rPr>
          <w:rStyle w:val="197"/>
          <w:rFonts w:hint="eastAsia" w:ascii="仿宋_GB2312" w:hAnsi="仿宋" w:eastAsia="仿宋_GB2312"/>
          <w:b w:val="0"/>
          <w:bCs/>
          <w:color w:val="000000"/>
          <w:sz w:val="32"/>
          <w:szCs w:val="32"/>
          <w:highlight w:val="none"/>
        </w:rPr>
        <w:t>万元，完成预算100%</w:t>
      </w:r>
      <w:r>
        <w:rPr>
          <w:rStyle w:val="197"/>
          <w:rFonts w:hint="eastAsia" w:ascii="仿宋" w:hAnsi="Times New Roman" w:eastAsia="仿宋" w:cs="Times New Roman"/>
          <w:b w:val="0"/>
          <w:bCs/>
          <w:color w:val="000000"/>
          <w:sz w:val="32"/>
          <w:szCs w:val="32"/>
          <w:lang w:val="en-US" w:eastAsia="zh-CN" w:bidi="ar-SA"/>
        </w:rPr>
        <w:t>。</w:t>
      </w:r>
    </w:p>
    <w:p>
      <w:pPr>
        <w:pStyle w:val="195"/>
        <w:keepNext w:val="0"/>
        <w:keepLines w:val="0"/>
        <w:pageBreakBefore w:val="0"/>
        <w:widowControl/>
        <w:suppressLineNumbers w:val="0"/>
        <w:spacing w:line="576" w:lineRule="exact"/>
        <w:ind w:firstLine="643"/>
        <w:jc w:val="left"/>
        <w:rPr>
          <w:rStyle w:val="197"/>
          <w:rFonts w:hint="eastAsia" w:ascii="仿宋" w:hAnsi="Times New Roman" w:eastAsia="仿宋" w:cs="Times New Roman"/>
          <w:b w:val="0"/>
          <w:bCs/>
          <w:color w:val="000000"/>
          <w:sz w:val="32"/>
          <w:szCs w:val="32"/>
          <w:lang w:val="en-US" w:eastAsia="zh-CN" w:bidi="ar-SA"/>
        </w:rPr>
      </w:pPr>
      <w:r>
        <w:rPr>
          <w:rStyle w:val="197"/>
          <w:rFonts w:hint="eastAsia" w:ascii="仿宋" w:hAnsi="Times New Roman" w:eastAsia="仿宋" w:cs="Times New Roman"/>
          <w:bCs/>
          <w:color w:val="000000"/>
          <w:sz w:val="32"/>
          <w:szCs w:val="32"/>
          <w:lang w:val="en-US" w:eastAsia="zh-CN" w:bidi="ar-SA"/>
        </w:rPr>
        <w:t>7</w:t>
      </w:r>
      <w:r>
        <w:rPr>
          <w:rStyle w:val="197"/>
          <w:rFonts w:ascii="仿宋" w:hAnsi="Times New Roman" w:eastAsia="仿宋" w:cs="Times New Roman"/>
          <w:bCs/>
          <w:color w:val="000000"/>
          <w:sz w:val="32"/>
          <w:szCs w:val="32"/>
          <w:lang w:val="en-US" w:eastAsia="zh-CN" w:bidi="ar-SA"/>
        </w:rPr>
        <w:t>.</w:t>
      </w:r>
      <w:r>
        <w:rPr>
          <w:rStyle w:val="197"/>
          <w:rFonts w:hint="eastAsia" w:ascii="仿宋_GB2312" w:hAnsi="仿宋" w:eastAsia="仿宋_GB2312"/>
          <w:bCs/>
          <w:color w:val="000000"/>
          <w:sz w:val="32"/>
          <w:szCs w:val="32"/>
          <w:highlight w:val="none"/>
        </w:rPr>
        <w:t>农林水（</w:t>
      </w:r>
      <w:r>
        <w:rPr>
          <w:rStyle w:val="197"/>
          <w:rFonts w:hint="eastAsia" w:ascii="仿宋_GB2312" w:hAnsi="仿宋" w:eastAsia="仿宋_GB2312"/>
          <w:bCs/>
          <w:color w:val="000000"/>
          <w:sz w:val="32"/>
          <w:szCs w:val="32"/>
          <w:highlight w:val="none"/>
          <w:lang w:val="en-US" w:eastAsia="zh-CN"/>
        </w:rPr>
        <w:t>213</w:t>
      </w:r>
      <w:r>
        <w:rPr>
          <w:rStyle w:val="197"/>
          <w:rFonts w:hint="eastAsia" w:ascii="仿宋_GB2312" w:hAnsi="仿宋" w:eastAsia="仿宋_GB2312"/>
          <w:bCs/>
          <w:color w:val="000000"/>
          <w:sz w:val="32"/>
          <w:szCs w:val="32"/>
          <w:highlight w:val="none"/>
        </w:rPr>
        <w:t>）巩固脱贫衔接乡村振兴（</w:t>
      </w:r>
      <w:r>
        <w:rPr>
          <w:rStyle w:val="197"/>
          <w:rFonts w:hint="eastAsia" w:ascii="仿宋_GB2312" w:hAnsi="仿宋" w:eastAsia="仿宋_GB2312"/>
          <w:bCs/>
          <w:color w:val="000000"/>
          <w:sz w:val="32"/>
          <w:szCs w:val="32"/>
          <w:highlight w:val="none"/>
          <w:lang w:val="en-US" w:eastAsia="zh-CN"/>
        </w:rPr>
        <w:t>05</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Cs/>
          <w:color w:val="000000"/>
          <w:sz w:val="32"/>
          <w:szCs w:val="32"/>
          <w:highlight w:val="none"/>
          <w:lang w:eastAsia="zh-CN"/>
        </w:rPr>
        <w:t>事业运行</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Cs/>
          <w:color w:val="000000"/>
          <w:sz w:val="32"/>
          <w:szCs w:val="32"/>
          <w:highlight w:val="none"/>
          <w:lang w:val="en-US" w:eastAsia="zh-CN"/>
        </w:rPr>
        <w:t>50</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 w:val="0"/>
          <w:bCs/>
          <w:color w:val="000000"/>
          <w:sz w:val="32"/>
          <w:szCs w:val="32"/>
          <w:highlight w:val="none"/>
        </w:rPr>
        <w:t>支出决算为</w:t>
      </w:r>
      <w:r>
        <w:rPr>
          <w:rStyle w:val="197"/>
          <w:rFonts w:hint="eastAsia" w:ascii="仿宋_GB2312" w:hAnsi="仿宋" w:eastAsia="仿宋_GB2312"/>
          <w:b w:val="0"/>
          <w:bCs/>
          <w:color w:val="000000"/>
          <w:sz w:val="32"/>
          <w:szCs w:val="32"/>
          <w:highlight w:val="none"/>
          <w:lang w:val="en-US" w:eastAsia="zh-CN"/>
        </w:rPr>
        <w:t>163.98</w:t>
      </w:r>
      <w:r>
        <w:rPr>
          <w:rStyle w:val="197"/>
          <w:rFonts w:hint="eastAsia" w:ascii="仿宋_GB2312" w:hAnsi="仿宋" w:eastAsia="仿宋_GB2312"/>
          <w:b w:val="0"/>
          <w:bCs/>
          <w:color w:val="000000"/>
          <w:sz w:val="32"/>
          <w:szCs w:val="32"/>
          <w:highlight w:val="none"/>
        </w:rPr>
        <w:t>万元，完成预算100%</w:t>
      </w:r>
      <w:r>
        <w:rPr>
          <w:rStyle w:val="197"/>
          <w:rFonts w:hint="eastAsia" w:ascii="仿宋" w:hAnsi="Times New Roman" w:eastAsia="仿宋" w:cs="Times New Roman"/>
          <w:b w:val="0"/>
          <w:bCs/>
          <w:color w:val="000000"/>
          <w:sz w:val="32"/>
          <w:szCs w:val="32"/>
          <w:lang w:val="en-US" w:eastAsia="zh-CN" w:bidi="ar-SA"/>
        </w:rPr>
        <w:t>。</w:t>
      </w:r>
    </w:p>
    <w:p>
      <w:pPr>
        <w:pStyle w:val="195"/>
        <w:keepNext w:val="0"/>
        <w:keepLines w:val="0"/>
        <w:pageBreakBefore w:val="0"/>
        <w:widowControl/>
        <w:suppressLineNumbers w:val="0"/>
        <w:spacing w:line="576" w:lineRule="exact"/>
        <w:ind w:firstLine="643"/>
        <w:jc w:val="left"/>
        <w:rPr>
          <w:rStyle w:val="197"/>
          <w:rFonts w:hint="eastAsia" w:ascii="仿宋" w:hAnsi="Times New Roman" w:eastAsia="仿宋" w:cs="Times New Roman"/>
          <w:b w:val="0"/>
          <w:bCs/>
          <w:color w:val="000000"/>
          <w:sz w:val="32"/>
          <w:szCs w:val="32"/>
          <w:lang w:val="en-US" w:eastAsia="zh-CN" w:bidi="ar-SA"/>
        </w:rPr>
      </w:pPr>
      <w:r>
        <w:rPr>
          <w:rStyle w:val="197"/>
          <w:rFonts w:hint="eastAsia" w:ascii="仿宋" w:hAnsi="Times New Roman" w:eastAsia="仿宋" w:cs="Times New Roman"/>
          <w:bCs/>
          <w:color w:val="000000"/>
          <w:sz w:val="32"/>
          <w:szCs w:val="32"/>
          <w:lang w:val="en-US" w:eastAsia="zh-CN" w:bidi="ar-SA"/>
        </w:rPr>
        <w:t>9</w:t>
      </w:r>
      <w:r>
        <w:rPr>
          <w:rStyle w:val="197"/>
          <w:rFonts w:ascii="仿宋" w:hAnsi="Times New Roman" w:eastAsia="仿宋" w:cs="Times New Roman"/>
          <w:bCs/>
          <w:color w:val="000000"/>
          <w:sz w:val="32"/>
          <w:szCs w:val="32"/>
          <w:lang w:val="en-US" w:eastAsia="zh-CN" w:bidi="ar-SA"/>
        </w:rPr>
        <w:t>.</w:t>
      </w:r>
      <w:r>
        <w:rPr>
          <w:rStyle w:val="197"/>
          <w:rFonts w:hint="eastAsia" w:ascii="仿宋_GB2312" w:hAnsi="仿宋" w:eastAsia="仿宋_GB2312"/>
          <w:bCs/>
          <w:color w:val="000000"/>
          <w:sz w:val="32"/>
          <w:szCs w:val="32"/>
          <w:highlight w:val="none"/>
        </w:rPr>
        <w:t>住房保障（</w:t>
      </w:r>
      <w:r>
        <w:rPr>
          <w:rStyle w:val="197"/>
          <w:rFonts w:hint="eastAsia" w:ascii="仿宋_GB2312" w:hAnsi="仿宋" w:eastAsia="仿宋_GB2312"/>
          <w:bCs/>
          <w:color w:val="000000"/>
          <w:sz w:val="32"/>
          <w:szCs w:val="32"/>
          <w:highlight w:val="none"/>
          <w:lang w:val="en-US" w:eastAsia="zh-CN"/>
        </w:rPr>
        <w:t>221</w:t>
      </w:r>
      <w:r>
        <w:rPr>
          <w:rStyle w:val="197"/>
          <w:rFonts w:hint="eastAsia" w:ascii="仿宋_GB2312" w:hAnsi="仿宋" w:eastAsia="仿宋_GB2312"/>
          <w:bCs/>
          <w:color w:val="000000"/>
          <w:sz w:val="32"/>
          <w:szCs w:val="32"/>
          <w:highlight w:val="none"/>
        </w:rPr>
        <w:t>）住房改革支出（</w:t>
      </w:r>
      <w:r>
        <w:rPr>
          <w:rStyle w:val="197"/>
          <w:rFonts w:hint="eastAsia" w:ascii="仿宋_GB2312" w:hAnsi="仿宋" w:eastAsia="仿宋_GB2312"/>
          <w:bCs/>
          <w:color w:val="000000"/>
          <w:sz w:val="32"/>
          <w:szCs w:val="32"/>
          <w:highlight w:val="none"/>
          <w:lang w:val="en-US" w:eastAsia="zh-CN"/>
        </w:rPr>
        <w:t>02</w:t>
      </w:r>
      <w:r>
        <w:rPr>
          <w:rStyle w:val="197"/>
          <w:rFonts w:hint="eastAsia" w:ascii="仿宋_GB2312" w:hAnsi="仿宋" w:eastAsia="仿宋_GB2312"/>
          <w:bCs/>
          <w:color w:val="000000"/>
          <w:sz w:val="32"/>
          <w:szCs w:val="32"/>
          <w:highlight w:val="none"/>
        </w:rPr>
        <w:t>）住房公积金（</w:t>
      </w:r>
      <w:r>
        <w:rPr>
          <w:rStyle w:val="197"/>
          <w:rFonts w:hint="eastAsia" w:ascii="仿宋_GB2312" w:hAnsi="仿宋" w:eastAsia="仿宋_GB2312"/>
          <w:bCs/>
          <w:color w:val="000000"/>
          <w:sz w:val="32"/>
          <w:szCs w:val="32"/>
          <w:highlight w:val="none"/>
          <w:lang w:val="en-US" w:eastAsia="zh-CN"/>
        </w:rPr>
        <w:t>01</w:t>
      </w:r>
      <w:r>
        <w:rPr>
          <w:rStyle w:val="197"/>
          <w:rFonts w:hint="eastAsia" w:ascii="仿宋_GB2312" w:hAnsi="仿宋" w:eastAsia="仿宋_GB2312"/>
          <w:bCs/>
          <w:color w:val="000000"/>
          <w:sz w:val="32"/>
          <w:szCs w:val="32"/>
          <w:highlight w:val="none"/>
        </w:rPr>
        <w:t>）:</w:t>
      </w:r>
      <w:r>
        <w:rPr>
          <w:rStyle w:val="197"/>
          <w:rFonts w:hint="eastAsia" w:ascii="仿宋_GB2312" w:hAnsi="仿宋" w:eastAsia="仿宋_GB2312"/>
          <w:b w:val="0"/>
          <w:bCs/>
          <w:color w:val="000000"/>
          <w:sz w:val="32"/>
          <w:szCs w:val="32"/>
          <w:highlight w:val="none"/>
        </w:rPr>
        <w:t>支出决算为</w:t>
      </w:r>
      <w:r>
        <w:rPr>
          <w:rStyle w:val="197"/>
          <w:rFonts w:hint="eastAsia" w:ascii="仿宋_GB2312" w:hAnsi="仿宋" w:eastAsia="仿宋_GB2312"/>
          <w:b w:val="0"/>
          <w:bCs/>
          <w:color w:val="000000"/>
          <w:sz w:val="32"/>
          <w:szCs w:val="32"/>
          <w:highlight w:val="none"/>
          <w:lang w:val="en-US" w:eastAsia="zh-CN"/>
        </w:rPr>
        <w:t>10.83</w:t>
      </w:r>
      <w:r>
        <w:rPr>
          <w:rStyle w:val="197"/>
          <w:rFonts w:hint="eastAsia" w:ascii="仿宋_GB2312" w:hAnsi="仿宋" w:eastAsia="仿宋_GB2312"/>
          <w:b w:val="0"/>
          <w:bCs/>
          <w:color w:val="000000"/>
          <w:sz w:val="32"/>
          <w:szCs w:val="32"/>
          <w:highlight w:val="none"/>
        </w:rPr>
        <w:t>万元，完成预算100%。</w:t>
      </w:r>
    </w:p>
    <w:p>
      <w:pPr>
        <w:pageBreakBefore w:val="0"/>
        <w:tabs>
          <w:tab w:val="right" w:pos="8306"/>
        </w:tabs>
        <w:spacing w:line="576" w:lineRule="exact"/>
        <w:ind w:firstLine="640"/>
        <w:outlineLvl w:val="1"/>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rPr>
        <w:t>六、一般公共预算财政拨款基本支出决算情况说明   </w:t>
      </w:r>
      <w:bookmarkEnd w:id="26"/>
      <w:bookmarkEnd w:id="27"/>
    </w:p>
    <w:p>
      <w:pPr>
        <w:pStyle w:val="195"/>
        <w:keepNext w:val="0"/>
        <w:keepLines w:val="0"/>
        <w:pageBreakBefore w:val="0"/>
        <w:widowControl/>
        <w:suppressLineNumbers w:val="0"/>
        <w:spacing w:line="576" w:lineRule="exact"/>
        <w:ind w:firstLine="640"/>
        <w:rPr>
          <w:rFonts w:ascii="仿宋" w:hAnsi="Times New Roman" w:eastAsia="仿宋" w:cs="Times New Roman"/>
          <w:color w:val="000000"/>
          <w:sz w:val="32"/>
          <w:szCs w:val="32"/>
          <w:lang w:val="en-US" w:eastAsia="zh-CN" w:bidi="ar-SA"/>
        </w:rPr>
      </w:pPr>
      <w:r>
        <w:rPr>
          <w:rFonts w:ascii="仿宋" w:hAnsi="Times New Roman" w:eastAsia="仿宋" w:cs="Times New Roman"/>
          <w:color w:val="000000"/>
          <w:sz w:val="32"/>
          <w:szCs w:val="32"/>
          <w:lang w:val="en-US" w:eastAsia="zh-CN" w:bidi="ar-SA"/>
        </w:rPr>
        <w:t>2022年一般公共预算财政拨款基本支出</w:t>
      </w:r>
      <w:r>
        <w:rPr>
          <w:rFonts w:hint="eastAsia" w:ascii="仿宋" w:eastAsia="仿宋"/>
          <w:sz w:val="32"/>
          <w:szCs w:val="32"/>
          <w:lang w:val="en-US" w:eastAsia="zh-CN"/>
        </w:rPr>
        <w:t>201.05</w:t>
      </w:r>
      <w:r>
        <w:rPr>
          <w:rFonts w:ascii="仿宋" w:hAnsi="Times New Roman" w:eastAsia="仿宋" w:cs="Times New Roman"/>
          <w:color w:val="000000"/>
          <w:sz w:val="32"/>
          <w:szCs w:val="32"/>
          <w:lang w:val="en-US" w:eastAsia="zh-CN" w:bidi="ar-SA"/>
        </w:rPr>
        <w:t>万元，其中：</w:t>
      </w:r>
    </w:p>
    <w:p>
      <w:pPr>
        <w:pStyle w:val="195"/>
        <w:keepNext w:val="0"/>
        <w:keepLines w:val="0"/>
        <w:pageBreakBefore w:val="0"/>
        <w:widowControl/>
        <w:suppressLineNumbers w:val="0"/>
        <w:spacing w:line="576" w:lineRule="exact"/>
        <w:ind w:firstLine="640"/>
        <w:rPr>
          <w:rFonts w:ascii="仿宋" w:hAnsi="Times New Roman" w:eastAsia="仿宋" w:cs="Times New Roman"/>
          <w:color w:val="000000"/>
          <w:sz w:val="32"/>
          <w:szCs w:val="32"/>
          <w:lang w:val="en-US" w:eastAsia="zh-CN" w:bidi="ar-SA"/>
        </w:rPr>
      </w:pPr>
      <w:r>
        <w:rPr>
          <w:rFonts w:ascii="仿宋" w:hAnsi="Times New Roman" w:eastAsia="仿宋" w:cs="Times New Roman"/>
          <w:color w:val="000000"/>
          <w:sz w:val="32"/>
          <w:szCs w:val="32"/>
          <w:lang w:val="en-US" w:eastAsia="zh-CN" w:bidi="ar-SA"/>
        </w:rPr>
        <w:t>人员经费</w:t>
      </w:r>
      <w:r>
        <w:rPr>
          <w:rFonts w:hint="eastAsia" w:ascii="仿宋" w:eastAsia="仿宋"/>
          <w:sz w:val="32"/>
          <w:szCs w:val="32"/>
          <w:lang w:val="en-US" w:eastAsia="zh-CN"/>
        </w:rPr>
        <w:t>193.84</w:t>
      </w:r>
      <w:r>
        <w:rPr>
          <w:rFonts w:ascii="仿宋" w:hAnsi="Times New Roman" w:eastAsia="仿宋" w:cs="Times New Roman"/>
          <w:color w:val="000000"/>
          <w:sz w:val="32"/>
          <w:szCs w:val="32"/>
          <w:lang w:val="en-US" w:eastAsia="zh-CN" w:bidi="ar-SA"/>
        </w:rPr>
        <w:t>万元，主要包括：基本工资、津贴补贴、绩效工资、机关事业单位基本养老保险缴费、职业年金缴费、其他社会保障缴费、其他工资福利支出、生活补助、医疗费补助、奖励金、住房公积金、其他对个人和家庭的补助支出等。</w:t>
      </w:r>
    </w:p>
    <w:p>
      <w:pPr>
        <w:pStyle w:val="195"/>
        <w:keepNext w:val="0"/>
        <w:keepLines w:val="0"/>
        <w:pageBreakBefore w:val="0"/>
        <w:widowControl/>
        <w:suppressLineNumbers w:val="0"/>
        <w:spacing w:line="576" w:lineRule="exact"/>
        <w:rPr>
          <w:rFonts w:ascii="仿宋" w:hAnsi="Times New Roman" w:eastAsia="仿宋" w:cs="Times New Roman"/>
          <w:color w:val="000000"/>
          <w:sz w:val="32"/>
          <w:szCs w:val="32"/>
          <w:lang w:val="en-US" w:eastAsia="zh-CN" w:bidi="ar-SA"/>
        </w:rPr>
      </w:pPr>
      <w:r>
        <w:rPr>
          <w:rFonts w:ascii="仿宋" w:hAnsi="Times New Roman" w:eastAsia="仿宋" w:cs="Times New Roman"/>
          <w:color w:val="000000"/>
          <w:sz w:val="32"/>
          <w:szCs w:val="32"/>
          <w:lang w:val="en-US" w:eastAsia="zh-CN" w:bidi="ar-SA"/>
        </w:rPr>
        <w:t>　　公用经费</w:t>
      </w:r>
      <w:r>
        <w:rPr>
          <w:rFonts w:hint="eastAsia" w:ascii="仿宋" w:eastAsia="仿宋"/>
          <w:sz w:val="32"/>
          <w:szCs w:val="32"/>
          <w:lang w:val="en-US" w:eastAsia="zh-CN"/>
        </w:rPr>
        <w:t>7.21</w:t>
      </w:r>
      <w:r>
        <w:rPr>
          <w:rFonts w:ascii="仿宋" w:hAnsi="Times New Roman" w:eastAsia="仿宋" w:cs="Times New Roman"/>
          <w:color w:val="000000"/>
          <w:sz w:val="32"/>
          <w:szCs w:val="32"/>
          <w:lang w:val="en-US" w:eastAsia="zh-CN" w:bidi="ar-SA"/>
        </w:rPr>
        <w:t>万元，主要包括：办公费、印刷费、邮电费、差旅费、租赁费、会议费、培训费、公务接待费、劳务费、委托业务费、其他商品和服务支出、办公设备购置、其他资本性支出等。</w:t>
      </w:r>
    </w:p>
    <w:p>
      <w:pPr>
        <w:pageBreakBefore w:val="0"/>
        <w:spacing w:line="576" w:lineRule="exact"/>
        <w:ind w:firstLine="640"/>
        <w:outlineLvl w:val="1"/>
        <w:rPr>
          <w:rFonts w:hint="eastAsia" w:ascii="黑体" w:hAnsi="Times New Roman" w:eastAsia="黑体" w:cs="Times New Roman"/>
          <w:color w:val="000000"/>
          <w:sz w:val="32"/>
          <w:szCs w:val="32"/>
        </w:rPr>
      </w:pPr>
      <w:bookmarkStart w:id="28" w:name="_Toc10106"/>
      <w:bookmarkStart w:id="29" w:name="_Toc31902"/>
      <w:r>
        <w:rPr>
          <w:rFonts w:hint="eastAsia" w:ascii="黑体" w:hAnsi="Times New Roman" w:eastAsia="黑体" w:cs="Times New Roman"/>
          <w:color w:val="000000"/>
          <w:sz w:val="32"/>
          <w:szCs w:val="32"/>
        </w:rPr>
        <w:t>七、“三公”经费财政拨款支出决算情况说明</w:t>
      </w:r>
      <w:bookmarkEnd w:id="28"/>
      <w:bookmarkEnd w:id="29"/>
    </w:p>
    <w:p>
      <w:pPr>
        <w:pageBreakBefore w:val="0"/>
        <w:spacing w:line="576" w:lineRule="exact"/>
        <w:ind w:firstLine="640"/>
        <w:outlineLvl w:val="2"/>
        <w:rPr>
          <w:rFonts w:hint="eastAsia" w:ascii="仿宋" w:hAnsi="Times New Roman" w:eastAsia="仿宋" w:cs="Times New Roman"/>
          <w:b/>
          <w:color w:val="000000"/>
          <w:sz w:val="32"/>
          <w:szCs w:val="32"/>
        </w:rPr>
      </w:pPr>
      <w:bookmarkStart w:id="30" w:name="_Toc24446"/>
      <w:bookmarkStart w:id="31" w:name="_Toc22479"/>
      <w:r>
        <w:rPr>
          <w:rFonts w:hint="eastAsia" w:ascii="仿宋" w:hAnsi="Times New Roman" w:eastAsia="仿宋" w:cs="Times New Roman"/>
          <w:b/>
          <w:color w:val="000000"/>
          <w:sz w:val="32"/>
          <w:szCs w:val="32"/>
        </w:rPr>
        <w:t>（一）“三公”经费财政拨款支出决算总体情况说明</w:t>
      </w:r>
      <w:bookmarkEnd w:id="30"/>
      <w:bookmarkEnd w:id="31"/>
    </w:p>
    <w:p>
      <w:pPr>
        <w:pageBreakBefore w:val="0"/>
        <w:spacing w:line="576" w:lineRule="exact"/>
        <w:ind w:firstLine="640"/>
        <w:rPr>
          <w:rFonts w:ascii="仿宋" w:hAnsi="Times New Roman" w:eastAsia="仿宋" w:cs="Times New Roman"/>
          <w:color w:val="000000"/>
          <w:sz w:val="32"/>
          <w:szCs w:val="32"/>
        </w:rPr>
      </w:pPr>
      <w:r>
        <w:rPr>
          <w:rFonts w:ascii="仿宋" w:hAnsi="Times New Roman" w:eastAsia="仿宋" w:cs="Times New Roman"/>
          <w:color w:val="000000"/>
          <w:sz w:val="32"/>
          <w:szCs w:val="32"/>
        </w:rPr>
        <w:t>2022年“三公”经费财政拨款支出决算为</w:t>
      </w:r>
      <w:r>
        <w:rPr>
          <w:rFonts w:hint="eastAsia" w:ascii="仿宋" w:eastAsia="仿宋"/>
          <w:sz w:val="32"/>
          <w:szCs w:val="32"/>
          <w:lang w:val="en-US" w:eastAsia="zh-CN"/>
        </w:rPr>
        <w:t>0.16</w:t>
      </w:r>
      <w:r>
        <w:rPr>
          <w:rFonts w:ascii="仿宋" w:hAnsi="Times New Roman" w:eastAsia="仿宋" w:cs="Times New Roman"/>
          <w:color w:val="000000"/>
          <w:sz w:val="32"/>
          <w:szCs w:val="32"/>
        </w:rPr>
        <w:t>万元，完成预算</w:t>
      </w:r>
      <w:r>
        <w:rPr>
          <w:rFonts w:hint="eastAsia" w:ascii="仿宋" w:eastAsia="仿宋"/>
          <w:sz w:val="32"/>
          <w:szCs w:val="32"/>
          <w:lang w:val="en-US" w:eastAsia="zh-CN"/>
        </w:rPr>
        <w:t>100</w:t>
      </w:r>
      <w:r>
        <w:rPr>
          <w:rFonts w:ascii="仿宋" w:hAnsi="Times New Roman" w:eastAsia="仿宋" w:cs="Times New Roman"/>
          <w:color w:val="000000"/>
          <w:sz w:val="32"/>
          <w:szCs w:val="32"/>
        </w:rPr>
        <w:t>%，决算数与预算数持平。</w:t>
      </w:r>
    </w:p>
    <w:p>
      <w:pPr>
        <w:pageBreakBefore w:val="0"/>
        <w:spacing w:line="576" w:lineRule="exact"/>
        <w:ind w:firstLine="640"/>
        <w:outlineLvl w:val="2"/>
        <w:rPr>
          <w:rFonts w:hint="eastAsia" w:ascii="仿宋" w:hAnsi="Times New Roman" w:eastAsia="仿宋" w:cs="Times New Roman"/>
          <w:b/>
          <w:color w:val="000000"/>
          <w:sz w:val="32"/>
          <w:szCs w:val="32"/>
        </w:rPr>
      </w:pPr>
      <w:bookmarkStart w:id="32" w:name="_Toc30765"/>
      <w:bookmarkStart w:id="33" w:name="_Toc19254"/>
      <w:r>
        <w:rPr>
          <w:rFonts w:hint="eastAsia" w:ascii="仿宋" w:hAnsi="Times New Roman" w:eastAsia="仿宋" w:cs="Times New Roman"/>
          <w:b/>
          <w:color w:val="000000"/>
          <w:sz w:val="32"/>
          <w:szCs w:val="32"/>
        </w:rPr>
        <w:t>（二）“三公”经费财政拨款支出决算具体情况说明</w:t>
      </w:r>
      <w:bookmarkEnd w:id="32"/>
      <w:bookmarkEnd w:id="33"/>
    </w:p>
    <w:p>
      <w:pPr>
        <w:pageBreakBefore w:val="0"/>
        <w:spacing w:line="576" w:lineRule="exact"/>
        <w:ind w:firstLine="640"/>
        <w:rPr>
          <w:rFonts w:ascii="仿宋" w:hAnsi="Times New Roman" w:eastAsia="仿宋" w:cs="Times New Roman"/>
          <w:color w:val="000000"/>
          <w:sz w:val="32"/>
          <w:szCs w:val="32"/>
        </w:rPr>
      </w:pPr>
      <w:r>
        <w:pict>
          <v:shape id="_x0000_s1033" o:spid="_x0000_s1026" o:spt="75" type="#_x0000_t75" style="position:absolute;left:0pt;margin-left:14.55pt;margin-top:59.45pt;height:217.5pt;width:361.5pt;mso-wrap-distance-bottom:0pt;mso-wrap-distance-top:0pt;z-index:251661312;mso-width-relative:page;mso-height-relative:page;" filled="f" o:preferrelative="t" stroked="f" coordsize="21600,21600">
            <v:path/>
            <v:fill on="f" focussize="0,0"/>
            <v:stroke on="f"/>
            <v:imagedata r:id="rId11" o:title=""/>
            <o:lock v:ext="edit" aspectratio="f"/>
            <w10:wrap type="topAndBottom"/>
          </v:shape>
        </w:pict>
      </w:r>
      <w:r>
        <w:rPr>
          <w:rFonts w:ascii="仿宋" w:hAnsi="Times New Roman" w:eastAsia="仿宋" w:cs="Times New Roman"/>
          <w:color w:val="000000"/>
          <w:sz w:val="32"/>
          <w:szCs w:val="32"/>
        </w:rPr>
        <w:t>2022年“三公”经费财政拨款支出决算中，公务接待费支出决算</w:t>
      </w:r>
      <w:r>
        <w:rPr>
          <w:rFonts w:hint="eastAsia" w:ascii="仿宋" w:eastAsia="仿宋"/>
          <w:sz w:val="32"/>
          <w:szCs w:val="32"/>
          <w:lang w:val="en-US" w:eastAsia="zh-CN"/>
        </w:rPr>
        <w:t>0.16</w:t>
      </w:r>
      <w:r>
        <w:rPr>
          <w:rFonts w:ascii="仿宋" w:hAnsi="Times New Roman" w:eastAsia="仿宋" w:cs="Times New Roman"/>
          <w:color w:val="000000"/>
          <w:sz w:val="32"/>
          <w:szCs w:val="32"/>
        </w:rPr>
        <w:t>万元，占</w:t>
      </w:r>
      <w:r>
        <w:rPr>
          <w:rFonts w:hint="eastAsia" w:ascii="仿宋" w:eastAsia="仿宋"/>
          <w:sz w:val="32"/>
          <w:szCs w:val="32"/>
          <w:lang w:val="en-US" w:eastAsia="zh-CN"/>
        </w:rPr>
        <w:t>100</w:t>
      </w:r>
      <w:r>
        <w:rPr>
          <w:rFonts w:ascii="仿宋" w:hAnsi="Times New Roman" w:eastAsia="仿宋" w:cs="Times New Roman"/>
          <w:color w:val="000000"/>
          <w:sz w:val="32"/>
          <w:szCs w:val="32"/>
        </w:rPr>
        <w:t>%。具体情况如下：</w:t>
      </w:r>
    </w:p>
    <w:p>
      <w:pPr>
        <w:pageBreakBefore w:val="0"/>
        <w:spacing w:line="576" w:lineRule="exact"/>
        <w:ind w:firstLine="1292"/>
        <w:rPr>
          <w:rFonts w:ascii="仿宋" w:hAnsi="Times New Roman" w:eastAsia="仿宋" w:cs="Times New Roman"/>
          <w:color w:val="000000"/>
          <w:sz w:val="32"/>
          <w:szCs w:val="32"/>
        </w:rPr>
      </w:pPr>
      <w:r>
        <w:rPr>
          <w:rFonts w:ascii="仿宋" w:hAnsi="Times New Roman" w:eastAsia="仿宋" w:cs="Times New Roman"/>
          <w:color w:val="000000"/>
          <w:sz w:val="32"/>
          <w:szCs w:val="32"/>
        </w:rPr>
        <w:t>（图7：“三公”经费财政拨款支出结构）</w:t>
      </w:r>
    </w:p>
    <w:p>
      <w:pPr>
        <w:pageBreakBefore w:val="0"/>
        <w:numPr>
          <w:numId w:val="0"/>
        </w:numPr>
        <w:tabs>
          <w:tab w:val="left" w:pos="312"/>
        </w:tabs>
        <w:spacing w:line="576" w:lineRule="exact"/>
        <w:ind w:firstLine="643" w:firstLineChars="200"/>
        <w:rPr>
          <w:rFonts w:hint="eastAsia" w:ascii="仿宋" w:hAnsi="Times New Roman" w:eastAsia="仿宋" w:cs="Times New Roman"/>
          <w:color w:val="000000"/>
          <w:sz w:val="32"/>
          <w:szCs w:val="32"/>
          <w:lang w:val="en-US" w:eastAsia="zh-CN"/>
        </w:rPr>
      </w:pPr>
      <w:r>
        <w:rPr>
          <w:rFonts w:hint="eastAsia" w:ascii="仿宋_GB2312" w:hAnsi="Times New Roman" w:eastAsia="仿宋_GB2312" w:cs="Times New Roman"/>
          <w:b/>
          <w:color w:val="000000"/>
          <w:sz w:val="32"/>
          <w:szCs w:val="32"/>
          <w:lang w:val="en-US" w:eastAsia="zh-CN" w:bidi="ar-SA"/>
        </w:rPr>
        <w:t>1.公务</w:t>
      </w:r>
      <w:r>
        <w:rPr>
          <w:rFonts w:ascii="仿宋" w:hAnsi="Times New Roman" w:eastAsia="仿宋" w:cs="Times New Roman"/>
          <w:b/>
          <w:bCs/>
          <w:color w:val="000000"/>
          <w:sz w:val="32"/>
          <w:szCs w:val="32"/>
        </w:rPr>
        <w:t>接待费支出</w:t>
      </w:r>
      <w:r>
        <w:rPr>
          <w:rFonts w:hint="eastAsia" w:ascii="仿宋" w:eastAsia="仿宋"/>
          <w:sz w:val="32"/>
          <w:szCs w:val="32"/>
          <w:lang w:val="en-US" w:eastAsia="zh-CN"/>
        </w:rPr>
        <w:t>0.16</w:t>
      </w:r>
      <w:r>
        <w:rPr>
          <w:rFonts w:ascii="仿宋" w:hAnsi="Times New Roman" w:eastAsia="仿宋" w:cs="Times New Roman"/>
          <w:color w:val="000000"/>
          <w:sz w:val="32"/>
          <w:szCs w:val="32"/>
        </w:rPr>
        <w:t>万元，完成预算</w:t>
      </w:r>
      <w:r>
        <w:rPr>
          <w:rFonts w:hint="eastAsia" w:ascii="仿宋" w:eastAsia="仿宋"/>
          <w:sz w:val="32"/>
          <w:szCs w:val="32"/>
          <w:lang w:val="en-US" w:eastAsia="zh-CN"/>
        </w:rPr>
        <w:t>100</w:t>
      </w:r>
      <w:r>
        <w:rPr>
          <w:rFonts w:ascii="仿宋" w:hAnsi="Times New Roman" w:eastAsia="仿宋" w:cs="Times New Roman"/>
          <w:color w:val="000000"/>
          <w:sz w:val="32"/>
          <w:szCs w:val="32"/>
        </w:rPr>
        <w:t>%。公务接待费支出决算</w:t>
      </w:r>
      <w:r>
        <w:rPr>
          <w:rFonts w:hint="eastAsia" w:ascii="仿宋" w:hAnsi="Times New Roman" w:eastAsia="仿宋" w:cs="Times New Roman"/>
          <w:color w:val="000000"/>
          <w:sz w:val="32"/>
          <w:szCs w:val="32"/>
          <w:lang w:eastAsia="zh-CN"/>
        </w:rPr>
        <w:t>与</w:t>
      </w:r>
      <w:r>
        <w:rPr>
          <w:rFonts w:ascii="仿宋" w:hAnsi="Times New Roman" w:eastAsia="仿宋" w:cs="Times New Roman"/>
          <w:color w:val="000000"/>
          <w:sz w:val="32"/>
          <w:szCs w:val="32"/>
        </w:rPr>
        <w:t>2021年</w:t>
      </w:r>
      <w:r>
        <w:rPr>
          <w:rFonts w:hint="eastAsia" w:ascii="仿宋" w:hAnsi="Times New Roman" w:eastAsia="仿宋" w:cs="Times New Roman"/>
          <w:color w:val="000000"/>
          <w:sz w:val="32"/>
          <w:szCs w:val="32"/>
          <w:lang w:eastAsia="zh-CN"/>
        </w:rPr>
        <w:t>持平</w:t>
      </w:r>
      <w:r>
        <w:rPr>
          <w:rFonts w:ascii="仿宋" w:hAnsi="Times New Roman" w:eastAsia="仿宋" w:cs="Times New Roman"/>
          <w:color w:val="000000"/>
          <w:sz w:val="32"/>
          <w:szCs w:val="32"/>
        </w:rPr>
        <w:t>。</w:t>
      </w:r>
    </w:p>
    <w:p>
      <w:pPr>
        <w:spacing w:line="600" w:lineRule="exact"/>
        <w:ind w:firstLine="640"/>
        <w:rPr>
          <w:rFonts w:ascii="仿宋" w:hAnsi="Times New Roman" w:eastAsia="仿宋" w:cs="Times New Roman"/>
          <w:color w:val="000000"/>
          <w:sz w:val="32"/>
          <w:szCs w:val="32"/>
        </w:rPr>
      </w:pPr>
      <w:r>
        <w:rPr>
          <w:rFonts w:ascii="仿宋" w:hAnsi="Times New Roman" w:eastAsia="仿宋" w:cs="Times New Roman"/>
          <w:color w:val="000000"/>
          <w:sz w:val="32"/>
          <w:szCs w:val="32"/>
        </w:rPr>
        <w:t>国内公务接待支出</w:t>
      </w:r>
      <w:r>
        <w:rPr>
          <w:rFonts w:hint="eastAsia" w:ascii="仿宋" w:eastAsia="仿宋"/>
          <w:sz w:val="32"/>
          <w:szCs w:val="32"/>
          <w:lang w:val="en-US" w:eastAsia="zh-CN"/>
        </w:rPr>
        <w:t>0.16</w:t>
      </w:r>
      <w:r>
        <w:rPr>
          <w:rFonts w:ascii="仿宋" w:hAnsi="Times New Roman" w:eastAsia="仿宋" w:cs="Times New Roman"/>
          <w:color w:val="000000"/>
          <w:sz w:val="32"/>
          <w:szCs w:val="32"/>
        </w:rPr>
        <w:t>万元，主要用于</w:t>
      </w:r>
      <w:r>
        <w:rPr>
          <w:rFonts w:hint="eastAsia" w:ascii="仿宋_GB2312" w:eastAsia="仿宋_GB2312"/>
          <w:color w:val="000000"/>
          <w:sz w:val="32"/>
          <w:szCs w:val="32"/>
          <w:highlight w:val="none"/>
        </w:rPr>
        <w:t>相关单位交流工作情况及接受相关部门检查指导工作发生的用餐费等接待支出</w:t>
      </w:r>
      <w:r>
        <w:rPr>
          <w:rFonts w:ascii="仿宋" w:hAnsi="Times New Roman" w:eastAsia="仿宋" w:cs="Times New Roman"/>
          <w:color w:val="000000"/>
          <w:sz w:val="32"/>
          <w:szCs w:val="32"/>
        </w:rPr>
        <w:t>。国内公务接待</w:t>
      </w:r>
      <w:r>
        <w:rPr>
          <w:rFonts w:hint="eastAsia" w:ascii="仿宋" w:eastAsia="仿宋"/>
          <w:sz w:val="32"/>
          <w:szCs w:val="32"/>
          <w:lang w:val="en-US" w:eastAsia="zh-CN"/>
        </w:rPr>
        <w:t>3</w:t>
      </w:r>
      <w:r>
        <w:rPr>
          <w:rFonts w:ascii="仿宋" w:hAnsi="Times New Roman" w:eastAsia="仿宋" w:cs="Times New Roman"/>
          <w:color w:val="000000"/>
          <w:sz w:val="32"/>
          <w:szCs w:val="32"/>
        </w:rPr>
        <w:t>批次，</w:t>
      </w:r>
      <w:r>
        <w:rPr>
          <w:rFonts w:hint="eastAsia" w:ascii="仿宋" w:eastAsia="仿宋"/>
          <w:sz w:val="32"/>
          <w:szCs w:val="32"/>
          <w:lang w:val="en-US" w:eastAsia="zh-CN"/>
        </w:rPr>
        <w:t>25</w:t>
      </w:r>
      <w:r>
        <w:rPr>
          <w:rFonts w:ascii="仿宋" w:hAnsi="Times New Roman" w:eastAsia="仿宋" w:cs="Times New Roman"/>
          <w:color w:val="000000"/>
          <w:sz w:val="32"/>
          <w:szCs w:val="32"/>
        </w:rPr>
        <w:t>人次（不包括陪同人员），共计支出</w:t>
      </w:r>
      <w:r>
        <w:rPr>
          <w:rFonts w:hint="eastAsia" w:ascii="仿宋" w:eastAsia="仿宋"/>
          <w:sz w:val="32"/>
          <w:szCs w:val="32"/>
          <w:lang w:val="en-US" w:eastAsia="zh-CN"/>
        </w:rPr>
        <w:t>0.16</w:t>
      </w:r>
      <w:r>
        <w:rPr>
          <w:rFonts w:ascii="仿宋" w:hAnsi="Times New Roman" w:eastAsia="仿宋" w:cs="Times New Roman"/>
          <w:color w:val="000000"/>
          <w:sz w:val="32"/>
          <w:szCs w:val="32"/>
        </w:rPr>
        <w:t>万元，具体内容包括：</w:t>
      </w:r>
      <w:r>
        <w:rPr>
          <w:rFonts w:hint="eastAsia" w:ascii="仿宋_GB2312" w:hAnsi="Times New Roman" w:eastAsia="仿宋_GB2312" w:cs="Times New Roman"/>
          <w:color w:val="000000"/>
          <w:sz w:val="32"/>
          <w:szCs w:val="32"/>
          <w:lang w:val="en-US" w:eastAsia="zh-CN" w:bidi="ar-SA"/>
        </w:rPr>
        <w:t>州局衔接工作督导调研3次</w:t>
      </w:r>
      <w:r>
        <w:rPr>
          <w:rFonts w:ascii="仿宋" w:hAnsi="Times New Roman" w:eastAsia="仿宋" w:cs="Times New Roman"/>
          <w:color w:val="000000"/>
          <w:sz w:val="32"/>
          <w:szCs w:val="32"/>
        </w:rPr>
        <w:t>。</w:t>
      </w:r>
    </w:p>
    <w:p>
      <w:pPr>
        <w:spacing w:line="600" w:lineRule="exact"/>
        <w:ind w:firstLine="640"/>
        <w:rPr>
          <w:rFonts w:hint="eastAsia" w:ascii="仿宋" w:eastAsia="仿宋"/>
          <w:color w:val="000000"/>
          <w:sz w:val="32"/>
          <w:szCs w:val="32"/>
        </w:rPr>
      </w:pPr>
      <w:r>
        <w:rPr>
          <w:rFonts w:hint="eastAsia" w:ascii="仿宋_GB2312" w:hAnsi="Times New Roman" w:eastAsia="仿宋_GB2312" w:cs="Times New Roman"/>
          <w:b/>
          <w:color w:val="000000"/>
          <w:sz w:val="32"/>
          <w:szCs w:val="32"/>
          <w:lang w:val="en-US" w:eastAsia="zh-CN" w:bidi="ar-SA"/>
        </w:rPr>
        <w:t>2.因公出国（境）经费</w:t>
      </w:r>
      <w:r>
        <w:rPr>
          <w:rFonts w:hint="eastAsia" w:ascii="仿宋" w:eastAsia="仿宋"/>
          <w:color w:val="000000"/>
          <w:sz w:val="32"/>
          <w:szCs w:val="32"/>
        </w:rPr>
        <w:t>支出</w:t>
      </w:r>
      <w:r>
        <w:rPr>
          <w:rFonts w:hint="eastAsia" w:ascii="仿宋" w:eastAsia="仿宋"/>
          <w:color w:val="000000"/>
          <w:sz w:val="32"/>
        </w:rPr>
        <w:t>0</w:t>
      </w:r>
      <w:r>
        <w:rPr>
          <w:rFonts w:hint="eastAsia" w:ascii="仿宋" w:eastAsia="仿宋"/>
          <w:color w:val="000000"/>
          <w:sz w:val="32"/>
          <w:szCs w:val="32"/>
        </w:rPr>
        <w:t>万元。</w:t>
      </w:r>
      <w:r>
        <w:rPr>
          <w:rFonts w:hint="eastAsia" w:ascii="仿宋" w:eastAsia="仿宋"/>
          <w:color w:val="000000"/>
          <w:sz w:val="32"/>
        </w:rPr>
        <w:t xml:space="preserve"> </w:t>
      </w:r>
    </w:p>
    <w:p>
      <w:pPr>
        <w:spacing w:line="600" w:lineRule="exact"/>
        <w:ind w:firstLine="640"/>
        <w:rPr>
          <w:rFonts w:ascii="仿宋" w:hAnsi="Times New Roman" w:eastAsia="仿宋" w:cs="Times New Roman"/>
          <w:color w:val="000000"/>
          <w:sz w:val="32"/>
          <w:szCs w:val="32"/>
        </w:rPr>
      </w:pPr>
      <w:r>
        <w:rPr>
          <w:rFonts w:hint="eastAsia" w:ascii="仿宋_GB2312" w:hAnsi="Times New Roman" w:eastAsia="仿宋_GB2312" w:cs="Times New Roman"/>
          <w:b/>
          <w:color w:val="000000"/>
          <w:sz w:val="32"/>
          <w:szCs w:val="32"/>
          <w:lang w:val="en-US" w:eastAsia="zh-CN" w:bidi="ar-SA"/>
        </w:rPr>
        <w:t>3.公务用车购置及运行维护费</w:t>
      </w:r>
      <w:r>
        <w:rPr>
          <w:rFonts w:hint="eastAsia" w:ascii="仿宋" w:eastAsia="仿宋"/>
          <w:color w:val="000000"/>
          <w:sz w:val="32"/>
          <w:szCs w:val="32"/>
        </w:rPr>
        <w:t>支出</w:t>
      </w:r>
      <w:r>
        <w:rPr>
          <w:rFonts w:hint="eastAsia" w:ascii="仿宋" w:eastAsia="仿宋"/>
          <w:color w:val="000000"/>
          <w:sz w:val="32"/>
        </w:rPr>
        <w:t>0</w:t>
      </w:r>
      <w:r>
        <w:rPr>
          <w:rFonts w:hint="eastAsia" w:ascii="仿宋" w:eastAsia="仿宋"/>
          <w:color w:val="000000"/>
          <w:sz w:val="32"/>
          <w:szCs w:val="32"/>
        </w:rPr>
        <w:t>万元。</w:t>
      </w:r>
      <w:r>
        <w:rPr>
          <w:rFonts w:hint="eastAsia" w:ascii="仿宋" w:eastAsia="仿宋"/>
          <w:color w:val="000000"/>
          <w:sz w:val="32"/>
        </w:rPr>
        <w:t xml:space="preserve"> </w:t>
      </w:r>
    </w:p>
    <w:p>
      <w:pPr>
        <w:pageBreakBefore w:val="0"/>
        <w:spacing w:line="576" w:lineRule="exact"/>
        <w:ind w:firstLine="640"/>
        <w:outlineLvl w:val="1"/>
        <w:rPr>
          <w:rFonts w:hint="eastAsia" w:ascii="黑体" w:hAnsi="Times New Roman" w:eastAsia="黑体" w:cs="Times New Roman"/>
          <w:color w:val="000000"/>
          <w:sz w:val="32"/>
          <w:szCs w:val="32"/>
        </w:rPr>
      </w:pPr>
      <w:bookmarkStart w:id="34" w:name="_Toc1331"/>
      <w:bookmarkStart w:id="35" w:name="_Toc17717"/>
      <w:r>
        <w:rPr>
          <w:rFonts w:hint="eastAsia" w:ascii="黑体" w:hAnsi="Times New Roman" w:eastAsia="黑体" w:cs="Times New Roman"/>
          <w:color w:val="000000"/>
          <w:sz w:val="32"/>
          <w:szCs w:val="32"/>
        </w:rPr>
        <w:t>八、政府性基金预算支出决算情况说明</w:t>
      </w:r>
      <w:bookmarkEnd w:id="34"/>
      <w:bookmarkEnd w:id="35"/>
    </w:p>
    <w:p>
      <w:pPr>
        <w:pageBreakBefore w:val="0"/>
        <w:spacing w:line="576" w:lineRule="exact"/>
        <w:ind w:firstLine="640"/>
        <w:rPr>
          <w:rFonts w:hint="eastAsia" w:ascii="仿宋_GB2312" w:hAnsi="Times New Roman" w:eastAsia="仿宋_GB2312" w:cs="Times New Roman"/>
          <w:color w:val="000000"/>
          <w:sz w:val="32"/>
          <w:szCs w:val="32"/>
          <w:lang w:eastAsia="zh-CN"/>
        </w:rPr>
      </w:pPr>
      <w:r>
        <w:rPr>
          <w:rFonts w:ascii="仿宋_GB2312" w:hAnsi="Times New Roman" w:eastAsia="仿宋_GB2312" w:cs="Times New Roman"/>
          <w:color w:val="000000"/>
          <w:sz w:val="32"/>
          <w:szCs w:val="32"/>
        </w:rPr>
        <w:t>2022年政府性基金预算财政拨款支出</w:t>
      </w:r>
      <w:r>
        <w:rPr>
          <w:rFonts w:hint="eastAsia" w:ascii="仿宋_GB2312" w:hAnsi="Times New Roman" w:eastAsia="仿宋_GB2312" w:cs="Times New Roman"/>
          <w:color w:val="000000"/>
          <w:sz w:val="32"/>
          <w:szCs w:val="32"/>
          <w:lang w:val="en-US" w:eastAsia="zh-CN"/>
        </w:rPr>
        <w:t>0</w:t>
      </w:r>
      <w:r>
        <w:rPr>
          <w:rFonts w:ascii="仿宋_GB2312" w:hAnsi="Times New Roman" w:eastAsia="仿宋_GB2312" w:cs="Times New Roman"/>
          <w:color w:val="000000"/>
          <w:sz w:val="32"/>
          <w:szCs w:val="32"/>
        </w:rPr>
        <w:t>万元。</w:t>
      </w:r>
      <w:r>
        <w:rPr>
          <w:rFonts w:hint="eastAsia" w:ascii="仿宋_GB2312" w:hAnsi="Times New Roman" w:eastAsia="仿宋_GB2312" w:cs="Times New Roman"/>
          <w:color w:val="000000"/>
          <w:sz w:val="32"/>
          <w:szCs w:val="32"/>
          <w:lang w:eastAsia="zh-CN"/>
        </w:rPr>
        <w:t>因此表格为空。</w:t>
      </w:r>
    </w:p>
    <w:p>
      <w:pPr>
        <w:pageBreakBefore w:val="0"/>
        <w:spacing w:line="576" w:lineRule="exact"/>
        <w:ind w:firstLine="640"/>
        <w:outlineLvl w:val="1"/>
        <w:rPr>
          <w:rFonts w:hint="eastAsia" w:ascii="黑体" w:hAnsi="Times New Roman" w:eastAsia="黑体" w:cs="Times New Roman"/>
          <w:color w:val="000000"/>
          <w:sz w:val="32"/>
          <w:szCs w:val="32"/>
        </w:rPr>
      </w:pPr>
      <w:bookmarkStart w:id="36" w:name="_Toc30324"/>
      <w:bookmarkStart w:id="37" w:name="_Toc18417"/>
      <w:r>
        <w:rPr>
          <w:rFonts w:hint="eastAsia" w:ascii="黑体" w:hAnsi="Times New Roman" w:eastAsia="黑体" w:cs="Times New Roman"/>
          <w:color w:val="000000"/>
          <w:sz w:val="32"/>
          <w:szCs w:val="32"/>
        </w:rPr>
        <w:t>九、国有资本经营预算支出决算情况说明</w:t>
      </w:r>
      <w:bookmarkEnd w:id="36"/>
      <w:bookmarkEnd w:id="37"/>
    </w:p>
    <w:p>
      <w:pPr>
        <w:pageBreakBefore w:val="0"/>
        <w:spacing w:line="576" w:lineRule="exact"/>
        <w:ind w:firstLine="640"/>
      </w:pPr>
      <w:r>
        <w:rPr>
          <w:rFonts w:ascii="仿宋_GB2312" w:hAnsi="Times New Roman" w:eastAsia="仿宋_GB2312" w:cs="Times New Roman"/>
          <w:color w:val="000000"/>
          <w:sz w:val="32"/>
          <w:szCs w:val="32"/>
          <w:lang w:val="en-US" w:eastAsia="zh-CN" w:bidi="ar-SA"/>
        </w:rPr>
        <w:t>2022年国有资本经营预算财政拨款支出</w:t>
      </w:r>
      <w:r>
        <w:rPr>
          <w:rFonts w:hint="eastAsia" w:ascii="仿宋" w:eastAsia="仿宋"/>
          <w:sz w:val="32"/>
          <w:szCs w:val="32"/>
          <w:lang w:val="en-US" w:eastAsia="zh-CN"/>
        </w:rPr>
        <w:t>0</w:t>
      </w:r>
      <w:r>
        <w:rPr>
          <w:rFonts w:ascii="仿宋_GB2312" w:hAnsi="Times New Roman" w:eastAsia="仿宋_GB2312" w:cs="Times New Roman"/>
          <w:color w:val="000000"/>
          <w:sz w:val="32"/>
          <w:szCs w:val="32"/>
          <w:lang w:val="en-US" w:eastAsia="zh-CN" w:bidi="ar-SA"/>
        </w:rPr>
        <w:t>万元。</w:t>
      </w:r>
      <w:r>
        <w:rPr>
          <w:rFonts w:hint="eastAsia" w:ascii="仿宋_GB2312" w:hAnsi="Times New Roman" w:eastAsia="仿宋_GB2312" w:cs="Times New Roman"/>
          <w:color w:val="000000"/>
          <w:sz w:val="32"/>
          <w:szCs w:val="32"/>
          <w:lang w:eastAsia="zh-CN"/>
        </w:rPr>
        <w:t>因此表格为空。</w:t>
      </w:r>
      <w:r>
        <w:t> </w:t>
      </w:r>
    </w:p>
    <w:p>
      <w:pPr>
        <w:pStyle w:val="195"/>
        <w:keepNext w:val="0"/>
        <w:keepLines w:val="0"/>
        <w:pageBreakBefore w:val="0"/>
        <w:widowControl/>
        <w:suppressLineNumbers w:val="0"/>
        <w:spacing w:line="576" w:lineRule="exact"/>
        <w:ind w:firstLine="640"/>
        <w:outlineLvl w:val="1"/>
        <w:rPr>
          <w:rFonts w:hint="eastAsia" w:ascii="黑体" w:hAnsi="Times New Roman" w:eastAsia="黑体" w:cs="Times New Roman"/>
          <w:color w:val="000000"/>
          <w:sz w:val="32"/>
          <w:szCs w:val="32"/>
          <w:lang w:val="en-US" w:eastAsia="zh-CN" w:bidi="ar-SA"/>
        </w:rPr>
      </w:pPr>
      <w:bookmarkStart w:id="38" w:name="_Toc16622"/>
      <w:bookmarkStart w:id="39" w:name="_Toc26033"/>
      <w:r>
        <w:rPr>
          <w:rFonts w:hint="eastAsia" w:ascii="黑体" w:hAnsi="Times New Roman" w:eastAsia="黑体" w:cs="Times New Roman"/>
          <w:color w:val="000000"/>
          <w:sz w:val="32"/>
          <w:szCs w:val="32"/>
          <w:lang w:val="en-US" w:eastAsia="zh-CN" w:bidi="ar-SA"/>
        </w:rPr>
        <w:t>十、其他重要事项的情况说明</w:t>
      </w:r>
      <w:bookmarkEnd w:id="38"/>
      <w:bookmarkEnd w:id="39"/>
    </w:p>
    <w:p>
      <w:pPr>
        <w:pageBreakBefore w:val="0"/>
        <w:spacing w:line="576" w:lineRule="exact"/>
        <w:ind w:firstLine="643"/>
        <w:outlineLvl w:val="2"/>
        <w:rPr>
          <w:rFonts w:hint="eastAsia" w:ascii="仿宋" w:hAnsi="Times New Roman" w:eastAsia="仿宋" w:cs="Times New Roman"/>
          <w:b/>
          <w:color w:val="000000"/>
          <w:sz w:val="32"/>
          <w:szCs w:val="32"/>
        </w:rPr>
      </w:pPr>
      <w:bookmarkStart w:id="40" w:name="_Toc12341"/>
      <w:bookmarkStart w:id="41" w:name="_Toc21265"/>
      <w:r>
        <w:rPr>
          <w:rFonts w:hint="eastAsia" w:ascii="仿宋" w:hAnsi="Times New Roman" w:eastAsia="仿宋" w:cs="Times New Roman"/>
          <w:b/>
          <w:color w:val="000000"/>
          <w:sz w:val="32"/>
          <w:szCs w:val="32"/>
        </w:rPr>
        <w:t>（一）机关运行经费支出情况</w:t>
      </w:r>
      <w:bookmarkEnd w:id="40"/>
      <w:bookmarkEnd w:id="41"/>
    </w:p>
    <w:p>
      <w:pPr>
        <w:pageBreakBefore w:val="0"/>
        <w:spacing w:line="576" w:lineRule="exact"/>
        <w:ind w:firstLine="640"/>
        <w:rPr>
          <w:rFonts w:ascii="仿宋_GB2312" w:hAnsi="Times New Roman" w:eastAsia="仿宋_GB2312" w:cs="Times New Roman"/>
          <w:color w:val="FF0000"/>
          <w:sz w:val="32"/>
          <w:szCs w:val="32"/>
        </w:rPr>
      </w:pPr>
      <w:r>
        <w:rPr>
          <w:rFonts w:ascii="仿宋_GB2312" w:hAnsi="Times New Roman" w:eastAsia="仿宋_GB2312" w:cs="Times New Roman"/>
          <w:color w:val="000000"/>
          <w:sz w:val="32"/>
          <w:szCs w:val="32"/>
        </w:rPr>
        <w:t>2022年，四川省阿坝州茂县2022年度部门决算汇总机关运行经费支出</w:t>
      </w:r>
      <w:r>
        <w:rPr>
          <w:rFonts w:hint="eastAsia" w:ascii="仿宋" w:eastAsia="仿宋"/>
          <w:sz w:val="32"/>
          <w:szCs w:val="32"/>
          <w:lang w:val="en-US" w:eastAsia="zh-CN"/>
        </w:rPr>
        <w:t>7.21</w:t>
      </w:r>
      <w:r>
        <w:rPr>
          <w:rFonts w:ascii="仿宋_GB2312" w:hAnsi="Times New Roman" w:eastAsia="仿宋_GB2312" w:cs="Times New Roman"/>
          <w:color w:val="000000"/>
          <w:sz w:val="32"/>
          <w:szCs w:val="32"/>
        </w:rPr>
        <w:t>万元，与2021年决算数持平</w:t>
      </w:r>
      <w:r>
        <w:rPr>
          <w:rFonts w:hint="eastAsia" w:ascii="仿宋_GB2312" w:hAnsi="Times New Roman" w:eastAsia="仿宋_GB2312" w:cs="Times New Roman"/>
          <w:color w:val="000000"/>
          <w:sz w:val="32"/>
          <w:szCs w:val="32"/>
          <w:lang w:eastAsia="zh-CN"/>
        </w:rPr>
        <w:t>。</w:t>
      </w:r>
    </w:p>
    <w:p>
      <w:pPr>
        <w:pageBreakBefore w:val="0"/>
        <w:spacing w:line="576" w:lineRule="exact"/>
        <w:ind w:firstLine="643"/>
        <w:outlineLvl w:val="2"/>
        <w:rPr>
          <w:rFonts w:hint="eastAsia" w:ascii="仿宋" w:hAnsi="Times New Roman" w:eastAsia="仿宋" w:cs="Times New Roman"/>
          <w:b/>
          <w:color w:val="000000"/>
          <w:sz w:val="32"/>
          <w:szCs w:val="32"/>
        </w:rPr>
      </w:pPr>
      <w:bookmarkStart w:id="42" w:name="_Toc9297"/>
      <w:bookmarkStart w:id="43" w:name="_Toc25446"/>
      <w:r>
        <w:rPr>
          <w:rFonts w:hint="eastAsia" w:ascii="仿宋" w:hAnsi="Times New Roman" w:eastAsia="仿宋" w:cs="Times New Roman"/>
          <w:b/>
          <w:color w:val="000000"/>
          <w:sz w:val="32"/>
          <w:szCs w:val="32"/>
        </w:rPr>
        <w:t>（二）政府采购支出情况</w:t>
      </w:r>
      <w:bookmarkEnd w:id="42"/>
      <w:bookmarkEnd w:id="43"/>
    </w:p>
    <w:p>
      <w:pPr>
        <w:spacing w:line="600" w:lineRule="exact"/>
        <w:ind w:firstLine="640"/>
        <w:rPr>
          <w:rFonts w:hint="eastAsia" w:ascii="仿宋_GB2312" w:hAnsi="Times New Roman" w:eastAsia="仿宋_GB2312" w:cs="Times New Roman"/>
          <w:color w:val="000000"/>
          <w:sz w:val="32"/>
          <w:szCs w:val="32"/>
          <w:lang w:eastAsia="zh-CN"/>
        </w:rPr>
      </w:pPr>
      <w:bookmarkStart w:id="44" w:name="_Toc19415"/>
      <w:bookmarkStart w:id="45" w:name="_Toc20536"/>
      <w:r>
        <w:rPr>
          <w:rFonts w:hint="eastAsia" w:ascii="仿宋_GB2312" w:eastAsia="仿宋_GB2312"/>
          <w:color w:val="000000"/>
          <w:sz w:val="32"/>
          <w:szCs w:val="32"/>
          <w:highlight w:val="none"/>
        </w:rPr>
        <w:t>我单位不涉及政府采购支出。</w:t>
      </w:r>
      <w:r>
        <w:rPr>
          <w:rFonts w:hint="eastAsia" w:ascii="仿宋" w:eastAsia="仿宋"/>
          <w:color w:val="000000"/>
          <w:sz w:val="32"/>
          <w:szCs w:val="32"/>
        </w:rPr>
        <w:t>其中：政府采购货物支出</w:t>
      </w:r>
      <w:r>
        <w:rPr>
          <w:rFonts w:hint="eastAsia" w:ascii="仿宋" w:eastAsia="仿宋"/>
          <w:color w:val="000000"/>
          <w:sz w:val="32"/>
        </w:rPr>
        <w:t>0</w:t>
      </w:r>
      <w:r>
        <w:rPr>
          <w:rFonts w:hint="eastAsia" w:ascii="仿宋" w:eastAsia="仿宋"/>
          <w:color w:val="000000"/>
          <w:sz w:val="32"/>
          <w:szCs w:val="32"/>
        </w:rPr>
        <w:t>万元、政府采购工程支出</w:t>
      </w:r>
      <w:r>
        <w:rPr>
          <w:rFonts w:hint="eastAsia" w:ascii="仿宋" w:eastAsia="仿宋"/>
          <w:color w:val="000000"/>
          <w:sz w:val="32"/>
        </w:rPr>
        <w:t>0</w:t>
      </w:r>
      <w:r>
        <w:rPr>
          <w:rFonts w:hint="eastAsia" w:ascii="仿宋" w:eastAsia="仿宋"/>
          <w:color w:val="000000"/>
          <w:sz w:val="32"/>
          <w:szCs w:val="32"/>
        </w:rPr>
        <w:t>万元、政府采购服务支出</w:t>
      </w:r>
      <w:r>
        <w:rPr>
          <w:rFonts w:hint="eastAsia" w:ascii="仿宋" w:eastAsia="仿宋"/>
          <w:color w:val="000000"/>
          <w:sz w:val="32"/>
        </w:rPr>
        <w:t>0</w:t>
      </w:r>
      <w:r>
        <w:rPr>
          <w:rFonts w:hint="eastAsia" w:ascii="仿宋" w:eastAsia="仿宋"/>
          <w:color w:val="000000"/>
          <w:sz w:val="32"/>
          <w:szCs w:val="32"/>
        </w:rPr>
        <w:t>万元。授予中小企业合同金额</w:t>
      </w:r>
      <w:r>
        <w:rPr>
          <w:rFonts w:hint="eastAsia" w:ascii="仿宋" w:eastAsia="仿宋"/>
          <w:color w:val="000000"/>
          <w:sz w:val="32"/>
        </w:rPr>
        <w:t>0</w:t>
      </w:r>
      <w:r>
        <w:rPr>
          <w:rFonts w:hint="eastAsia" w:ascii="仿宋" w:eastAsia="仿宋"/>
          <w:color w:val="000000"/>
          <w:sz w:val="32"/>
          <w:szCs w:val="32"/>
        </w:rPr>
        <w:t>万元，其中：授予小微企业合同金额</w:t>
      </w:r>
      <w:r>
        <w:rPr>
          <w:rFonts w:hint="eastAsia" w:ascii="仿宋" w:eastAsia="仿宋"/>
          <w:color w:val="000000"/>
          <w:sz w:val="32"/>
        </w:rPr>
        <w:t>0</w:t>
      </w:r>
      <w:r>
        <w:rPr>
          <w:rFonts w:hint="eastAsia" w:ascii="仿宋" w:eastAsia="仿宋"/>
          <w:color w:val="000000"/>
          <w:sz w:val="32"/>
          <w:szCs w:val="32"/>
        </w:rPr>
        <w:t>万元。</w:t>
      </w:r>
    </w:p>
    <w:p>
      <w:pPr>
        <w:pageBreakBefore w:val="0"/>
        <w:spacing w:line="576" w:lineRule="exact"/>
        <w:ind w:firstLine="643"/>
        <w:outlineLvl w:val="2"/>
        <w:rPr>
          <w:rFonts w:hint="eastAsia" w:ascii="仿宋" w:hAnsi="Times New Roman" w:eastAsia="仿宋" w:cs="Times New Roman"/>
          <w:b/>
          <w:color w:val="000000"/>
          <w:sz w:val="32"/>
          <w:szCs w:val="32"/>
        </w:rPr>
      </w:pPr>
      <w:r>
        <w:rPr>
          <w:rFonts w:hint="eastAsia" w:ascii="仿宋" w:hAnsi="Times New Roman" w:eastAsia="仿宋" w:cs="Times New Roman"/>
          <w:b/>
          <w:color w:val="000000"/>
          <w:sz w:val="32"/>
          <w:szCs w:val="32"/>
        </w:rPr>
        <w:t>（三）国有资产占有使用情况</w:t>
      </w:r>
      <w:bookmarkEnd w:id="44"/>
      <w:bookmarkEnd w:id="45"/>
    </w:p>
    <w:p>
      <w:pPr>
        <w:pageBreakBefore w:val="0"/>
        <w:spacing w:line="576" w:lineRule="exact"/>
        <w:ind w:firstLine="640"/>
        <w:rPr>
          <w:rFonts w:ascii="仿宋_GB2312" w:hAnsi="Times New Roman" w:eastAsia="仿宋_GB2312" w:cs="Times New Roman"/>
          <w:color w:val="000000"/>
          <w:sz w:val="32"/>
          <w:szCs w:val="32"/>
        </w:rPr>
      </w:pPr>
      <w:r>
        <w:rPr>
          <w:rFonts w:ascii="仿宋_GB2312" w:hAnsi="Times New Roman" w:eastAsia="仿宋_GB2312" w:cs="Times New Roman"/>
          <w:color w:val="000000"/>
          <w:sz w:val="32"/>
          <w:szCs w:val="32"/>
        </w:rPr>
        <w:t>截至2022年12月31日，四川省阿坝州茂县2022年度部门决算汇总共有车辆</w:t>
      </w:r>
      <w:r>
        <w:rPr>
          <w:rFonts w:hint="eastAsia" w:ascii="仿宋" w:eastAsia="仿宋"/>
          <w:sz w:val="32"/>
          <w:szCs w:val="32"/>
          <w:lang w:val="en-US" w:eastAsia="zh-CN"/>
        </w:rPr>
        <w:t>0</w:t>
      </w:r>
      <w:r>
        <w:rPr>
          <w:rFonts w:ascii="仿宋_GB2312" w:hAnsi="Times New Roman" w:eastAsia="仿宋_GB2312" w:cs="Times New Roman"/>
          <w:color w:val="000000"/>
          <w:sz w:val="32"/>
          <w:szCs w:val="32"/>
        </w:rPr>
        <w:t>辆，其中：主要领导干部用车</w:t>
      </w:r>
      <w:r>
        <w:rPr>
          <w:rFonts w:hint="eastAsia" w:ascii="仿宋" w:eastAsia="仿宋"/>
          <w:sz w:val="32"/>
          <w:szCs w:val="32"/>
          <w:lang w:val="en-US" w:eastAsia="zh-CN"/>
        </w:rPr>
        <w:t>0</w:t>
      </w:r>
      <w:r>
        <w:rPr>
          <w:rFonts w:ascii="仿宋_GB2312" w:hAnsi="Times New Roman" w:eastAsia="仿宋_GB2312" w:cs="Times New Roman"/>
          <w:color w:val="000000"/>
          <w:sz w:val="32"/>
          <w:szCs w:val="32"/>
        </w:rPr>
        <w:t>辆、机要通信用车</w:t>
      </w:r>
      <w:r>
        <w:rPr>
          <w:rFonts w:hint="eastAsia" w:ascii="仿宋" w:eastAsia="仿宋"/>
          <w:sz w:val="32"/>
          <w:szCs w:val="32"/>
          <w:lang w:val="en-US" w:eastAsia="zh-CN"/>
        </w:rPr>
        <w:t>0</w:t>
      </w:r>
      <w:r>
        <w:rPr>
          <w:rFonts w:ascii="仿宋_GB2312" w:hAnsi="Times New Roman" w:eastAsia="仿宋_GB2312" w:cs="Times New Roman"/>
          <w:color w:val="000000"/>
          <w:sz w:val="32"/>
          <w:szCs w:val="32"/>
        </w:rPr>
        <w:t>辆、应急保障用车</w:t>
      </w:r>
      <w:r>
        <w:rPr>
          <w:rFonts w:hint="eastAsia" w:ascii="仿宋" w:eastAsia="仿宋"/>
          <w:sz w:val="32"/>
          <w:szCs w:val="32"/>
          <w:lang w:val="en-US" w:eastAsia="zh-CN"/>
        </w:rPr>
        <w:t>0</w:t>
      </w:r>
      <w:r>
        <w:rPr>
          <w:rFonts w:ascii="仿宋_GB2312" w:hAnsi="Times New Roman" w:eastAsia="仿宋_GB2312" w:cs="Times New Roman"/>
          <w:color w:val="000000"/>
          <w:sz w:val="32"/>
          <w:szCs w:val="32"/>
        </w:rPr>
        <w:t>辆、其他用车</w:t>
      </w:r>
      <w:r>
        <w:rPr>
          <w:rFonts w:hint="eastAsia" w:ascii="仿宋" w:eastAsia="仿宋"/>
          <w:sz w:val="32"/>
          <w:szCs w:val="32"/>
          <w:lang w:val="en-US" w:eastAsia="zh-CN"/>
        </w:rPr>
        <w:t>0</w:t>
      </w:r>
      <w:r>
        <w:rPr>
          <w:rFonts w:ascii="仿宋_GB2312" w:hAnsi="Times New Roman" w:eastAsia="仿宋_GB2312" w:cs="Times New Roman"/>
          <w:color w:val="000000"/>
          <w:sz w:val="32"/>
          <w:szCs w:val="32"/>
        </w:rPr>
        <w:t>辆</w:t>
      </w:r>
      <w:r>
        <w:rPr>
          <w:rFonts w:hint="eastAsia" w:ascii="仿宋_GB2312" w:hAnsi="Times New Roman" w:eastAsia="仿宋_GB2312" w:cs="Times New Roman"/>
          <w:color w:val="000000"/>
          <w:sz w:val="32"/>
          <w:szCs w:val="32"/>
          <w:lang w:eastAsia="zh-CN"/>
        </w:rPr>
        <w:t>，</w:t>
      </w:r>
      <w:r>
        <w:rPr>
          <w:rFonts w:ascii="仿宋_GB2312" w:hAnsi="Times New Roman" w:eastAsia="仿宋_GB2312" w:cs="Times New Roman"/>
          <w:color w:val="000000"/>
          <w:sz w:val="32"/>
          <w:szCs w:val="32"/>
        </w:rPr>
        <w:t>单价100万元（含）以上设备（不含车辆）</w:t>
      </w:r>
      <w:r>
        <w:rPr>
          <w:rFonts w:hint="eastAsia" w:ascii="仿宋_GB2312" w:hAnsi="Times New Roman" w:eastAsia="仿宋_GB2312" w:cs="Times New Roman"/>
          <w:color w:val="000000"/>
          <w:sz w:val="32"/>
          <w:szCs w:val="32"/>
          <w:lang w:val="en-US" w:eastAsia="zh-CN"/>
        </w:rPr>
        <w:t>,0</w:t>
      </w:r>
      <w:r>
        <w:rPr>
          <w:rFonts w:ascii="仿宋_GB2312" w:hAnsi="Times New Roman" w:eastAsia="仿宋_GB2312" w:cs="Times New Roman"/>
          <w:color w:val="000000"/>
          <w:sz w:val="32"/>
          <w:szCs w:val="32"/>
        </w:rPr>
        <w:t>台（套）。</w:t>
      </w:r>
    </w:p>
    <w:p>
      <w:pPr>
        <w:pageBreakBefore w:val="0"/>
        <w:spacing w:line="576" w:lineRule="exact"/>
        <w:ind w:firstLine="643"/>
        <w:outlineLvl w:val="2"/>
        <w:rPr>
          <w:rFonts w:hint="eastAsia" w:ascii="仿宋" w:hAnsi="Times New Roman" w:eastAsia="仿宋" w:cs="Times New Roman"/>
          <w:b/>
          <w:color w:val="000000"/>
          <w:sz w:val="32"/>
          <w:szCs w:val="32"/>
        </w:rPr>
      </w:pPr>
      <w:bookmarkStart w:id="46" w:name="_Toc15649"/>
      <w:bookmarkStart w:id="47" w:name="_Toc27201"/>
      <w:r>
        <w:rPr>
          <w:rFonts w:hint="eastAsia" w:ascii="仿宋" w:hAnsi="Times New Roman" w:eastAsia="仿宋" w:cs="Times New Roman"/>
          <w:b/>
          <w:color w:val="000000"/>
          <w:sz w:val="32"/>
          <w:szCs w:val="32"/>
        </w:rPr>
        <w:t>（四）预算绩效管理情况</w:t>
      </w:r>
      <w:bookmarkEnd w:id="46"/>
      <w:bookmarkEnd w:id="47"/>
    </w:p>
    <w:p>
      <w:pPr>
        <w:pStyle w:val="195"/>
        <w:keepNext w:val="0"/>
        <w:keepLines w:val="0"/>
        <w:pageBreakBefore w:val="0"/>
        <w:widowControl/>
        <w:suppressLineNumbers w:val="0"/>
        <w:spacing w:line="576" w:lineRule="exact"/>
        <w:ind w:firstLine="960"/>
        <w:jc w:val="left"/>
      </w:pPr>
      <w:r>
        <w:rPr>
          <w:rFonts w:hint="eastAsia" w:ascii="仿宋_GB2312" w:hAnsi="Times New Roman" w:eastAsia="仿宋_GB2312" w:cs="Times New Roman"/>
          <w:color w:val="000000"/>
          <w:sz w:val="32"/>
          <w:szCs w:val="32"/>
          <w:lang w:eastAsia="zh-CN"/>
        </w:rPr>
        <w:t>我单位事</w:t>
      </w:r>
      <w:r>
        <w:rPr>
          <w:rFonts w:hint="eastAsia" w:ascii="仿宋_GB2312" w:hAnsi="Times New Roman" w:eastAsia="仿宋_GB2312" w:cs="Times New Roman"/>
          <w:b w:val="0"/>
          <w:bCs w:val="0"/>
          <w:color w:val="000000"/>
          <w:sz w:val="32"/>
          <w:szCs w:val="32"/>
          <w:lang w:eastAsia="zh-CN"/>
        </w:rPr>
        <w:t>业无项目</w:t>
      </w:r>
      <w:r>
        <w:rPr>
          <w:rFonts w:hint="eastAsia" w:ascii="仿宋_GB2312" w:hAnsi="Times New Roman" w:eastAsia="仿宋_GB2312" w:cs="Times New Roman"/>
          <w:color w:val="000000"/>
          <w:sz w:val="32"/>
          <w:szCs w:val="32"/>
          <w:lang w:eastAsia="zh-CN"/>
        </w:rPr>
        <w:t>，绩效评价在行政。</w:t>
      </w:r>
      <w:r>
        <w:t> </w:t>
      </w:r>
    </w:p>
    <w:p>
      <w:pPr>
        <w:pStyle w:val="195"/>
        <w:keepNext w:val="0"/>
        <w:keepLines w:val="0"/>
        <w:pageBreakBefore w:val="0"/>
        <w:widowControl/>
        <w:suppressLineNumbers w:val="0"/>
        <w:spacing w:line="576" w:lineRule="exact"/>
        <w:jc w:val="left"/>
      </w:pPr>
    </w:p>
    <w:p>
      <w:pPr>
        <w:pStyle w:val="195"/>
        <w:keepNext w:val="0"/>
        <w:keepLines w:val="0"/>
        <w:pageBreakBefore w:val="0"/>
        <w:widowControl/>
        <w:suppressLineNumbers w:val="0"/>
        <w:spacing w:line="576" w:lineRule="exact"/>
        <w:jc w:val="left"/>
      </w:pPr>
    </w:p>
    <w:p>
      <w:pPr>
        <w:pageBreakBefore w:val="0"/>
        <w:numPr>
          <w:ilvl w:val="0"/>
          <w:numId w:val="2"/>
        </w:numPr>
        <w:spacing w:line="576" w:lineRule="exact"/>
        <w:ind w:left="0" w:firstLine="660"/>
        <w:jc w:val="center"/>
        <w:outlineLvl w:val="0"/>
        <w:rPr>
          <w:rFonts w:hint="eastAsia" w:ascii="黑体" w:hAnsi="Times New Roman" w:eastAsia="黑体" w:cs="Times New Roman"/>
          <w:color w:val="000000"/>
          <w:sz w:val="44"/>
          <w:szCs w:val="44"/>
        </w:rPr>
      </w:pPr>
      <w:bookmarkStart w:id="48" w:name="_Toc17564"/>
      <w:bookmarkStart w:id="49" w:name="_Toc24473"/>
      <w:r>
        <w:rPr>
          <w:rFonts w:hint="eastAsia" w:ascii="黑体" w:hAnsi="Times New Roman" w:eastAsia="黑体" w:cs="Times New Roman"/>
          <w:color w:val="000000"/>
          <w:sz w:val="44"/>
          <w:szCs w:val="44"/>
        </w:rPr>
        <w:t>名词解释</w:t>
      </w:r>
      <w:bookmarkEnd w:id="48"/>
      <w:bookmarkEnd w:id="49"/>
    </w:p>
    <w:p>
      <w:pPr>
        <w:pStyle w:val="195"/>
        <w:keepNext w:val="0"/>
        <w:keepLines w:val="0"/>
        <w:pageBreakBefore w:val="0"/>
        <w:widowControl/>
        <w:suppressLineNumbers w:val="0"/>
        <w:spacing w:line="576" w:lineRule="exact"/>
        <w:jc w:val="left"/>
      </w:pPr>
      <w:r>
        <w:t> </w:t>
      </w:r>
      <w:bookmarkStart w:id="64" w:name="_GoBack"/>
      <w:bookmarkEnd w:id="64"/>
    </w:p>
    <w:p>
      <w:pPr>
        <w:pStyle w:val="202"/>
        <w:pageBreakBefore w:val="0"/>
        <w:spacing w:line="56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02"/>
        <w:pageBreakBefore w:val="0"/>
        <w:spacing w:line="560" w:lineRule="exact"/>
        <w:ind w:firstLine="640"/>
        <w:rPr>
          <w:rFonts w:ascii="仿宋_GB2312" w:eastAsia="仿宋_GB2312"/>
          <w:color w:val="000000"/>
          <w:sz w:val="32"/>
          <w:szCs w:val="32"/>
          <w:highlight w:val="none"/>
        </w:rPr>
      </w:pPr>
      <w:r>
        <w:rPr>
          <w:rFonts w:ascii="仿宋_GB2312" w:eastAsia="仿宋_GB2312"/>
          <w:sz w:val="32"/>
          <w:szCs w:val="32"/>
        </w:rPr>
        <w:t xml:space="preserve"> </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.社会保障和就业（</w:t>
      </w:r>
      <w:r>
        <w:rPr>
          <w:rFonts w:hint="eastAsia" w:ascii="仿宋_GB2312" w:eastAsia="仿宋_GB2312"/>
          <w:color w:val="000000"/>
          <w:sz w:val="32"/>
          <w:szCs w:val="32"/>
          <w:highlight w:val="none"/>
          <w:lang w:val="en-US" w:eastAsia="zh-CN"/>
        </w:rPr>
        <w:t>208</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行政事业单位养老支出</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05</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机关事业单位基本养老保险缴费支出</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05</w:t>
      </w:r>
      <w:r>
        <w:rPr>
          <w:rFonts w:hint="eastAsia" w:ascii="仿宋_GB2312" w:eastAsia="仿宋_GB2312"/>
          <w:color w:val="000000"/>
          <w:sz w:val="32"/>
          <w:szCs w:val="32"/>
          <w:highlight w:val="none"/>
        </w:rPr>
        <w:t>）：反映机关事业单位实施养老保险制度由单位缴纳的基本养老保险费支出；</w:t>
      </w:r>
    </w:p>
    <w:p>
      <w:pPr>
        <w:pageBreakBefore w:val="0"/>
        <w:spacing w:line="560" w:lineRule="exact"/>
        <w:ind w:firstLine="640"/>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社会保障和就业</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208</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行政事业单位养老支出</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05</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机关事业单位职业年金缴费支出</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06</w:t>
      </w:r>
      <w:r>
        <w:rPr>
          <w:rFonts w:hint="eastAsia" w:ascii="仿宋_GB2312" w:eastAsia="仿宋_GB2312"/>
          <w:color w:val="000000"/>
          <w:sz w:val="32"/>
          <w:szCs w:val="32"/>
          <w:highlight w:val="none"/>
        </w:rPr>
        <w:t>）：反映机关事业单位职业年金缴费支出</w:t>
      </w:r>
      <w:r>
        <w:rPr>
          <w:rFonts w:hint="eastAsia" w:ascii="仿宋_GB2312" w:eastAsia="仿宋_GB2312"/>
          <w:color w:val="000000"/>
          <w:sz w:val="32"/>
          <w:szCs w:val="32"/>
          <w:highlight w:val="none"/>
          <w:lang w:eastAsia="zh-CN"/>
        </w:rPr>
        <w:t>。</w:t>
      </w:r>
    </w:p>
    <w:p>
      <w:pPr>
        <w:pageBreakBefore w:val="0"/>
        <w:spacing w:line="560" w:lineRule="exact"/>
        <w:ind w:firstLine="64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.卫生健康（</w:t>
      </w:r>
      <w:r>
        <w:rPr>
          <w:rFonts w:hint="eastAsia" w:ascii="仿宋_GB2312" w:eastAsia="仿宋_GB2312"/>
          <w:color w:val="000000"/>
          <w:sz w:val="32"/>
          <w:szCs w:val="32"/>
          <w:highlight w:val="none"/>
          <w:lang w:val="en-US" w:eastAsia="zh-CN"/>
        </w:rPr>
        <w:t>210</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行政事业单位医疗</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11</w:t>
      </w:r>
      <w:r>
        <w:rPr>
          <w:rFonts w:hint="eastAsia" w:ascii="仿宋_GB2312" w:eastAsia="仿宋_GB2312"/>
          <w:color w:val="000000"/>
          <w:sz w:val="32"/>
          <w:szCs w:val="32"/>
          <w:highlight w:val="none"/>
        </w:rPr>
        <w:t>）行政单位医疗（</w:t>
      </w:r>
      <w:r>
        <w:rPr>
          <w:rFonts w:hint="eastAsia" w:ascii="仿宋_GB2312" w:eastAsia="仿宋_GB2312"/>
          <w:color w:val="000000"/>
          <w:sz w:val="32"/>
          <w:szCs w:val="32"/>
          <w:highlight w:val="none"/>
          <w:lang w:val="en-US" w:eastAsia="zh-CN"/>
        </w:rPr>
        <w:t>01</w:t>
      </w:r>
      <w:r>
        <w:rPr>
          <w:rFonts w:hint="eastAsia" w:ascii="仿宋_GB2312" w:eastAsia="仿宋_GB2312"/>
          <w:color w:val="000000"/>
          <w:sz w:val="32"/>
          <w:szCs w:val="32"/>
          <w:highlight w:val="none"/>
        </w:rPr>
        <w:t>）：反映财政部门集中安排的行政单位基本医疗保险缴费经费。</w:t>
      </w:r>
    </w:p>
    <w:p>
      <w:pPr>
        <w:pageBreakBefore w:val="0"/>
        <w:spacing w:line="560" w:lineRule="exact"/>
        <w:ind w:firstLine="640"/>
        <w:rPr>
          <w:rFonts w:ascii="仿宋_GB2312" w:eastAsia="仿宋_GB2312"/>
          <w:color w:val="000000"/>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w:t>
      </w:r>
      <w:r>
        <w:rPr>
          <w:rFonts w:hint="eastAsia" w:ascii="仿宋_GB2312" w:eastAsia="仿宋_GB2312"/>
          <w:color w:val="000000"/>
          <w:sz w:val="32"/>
          <w:szCs w:val="32"/>
          <w:highlight w:val="none"/>
        </w:rPr>
        <w:t>卫生健康</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210</w:t>
      </w:r>
      <w:r>
        <w:rPr>
          <w:rFonts w:hint="eastAsia" w:ascii="仿宋_GB2312" w:eastAsia="仿宋_GB2312"/>
          <w:sz w:val="32"/>
          <w:szCs w:val="32"/>
          <w:highlight w:val="none"/>
        </w:rPr>
        <w:t>）行政事业单位医疗（</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）事业单位医疗（</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w:t>
      </w:r>
      <w:r>
        <w:rPr>
          <w:rFonts w:hint="eastAsia" w:ascii="仿宋_GB2312" w:eastAsia="仿宋_GB2312"/>
          <w:color w:val="000000"/>
          <w:sz w:val="32"/>
          <w:szCs w:val="32"/>
          <w:highlight w:val="none"/>
        </w:rPr>
        <w:t xml:space="preserve"> 反映财政部门集中安排的事业单位基本医疗保险缴费经费。</w:t>
      </w:r>
    </w:p>
    <w:p>
      <w:pPr>
        <w:pageBreakBefore w:val="0"/>
        <w:spacing w:line="560" w:lineRule="exac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6</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农林水（</w:t>
      </w:r>
      <w:r>
        <w:rPr>
          <w:rStyle w:val="197"/>
          <w:rFonts w:hint="eastAsia" w:ascii="仿宋_GB2312" w:hAnsi="仿宋" w:eastAsia="仿宋_GB2312"/>
          <w:b w:val="0"/>
          <w:bCs/>
          <w:color w:val="000000"/>
          <w:sz w:val="32"/>
          <w:szCs w:val="32"/>
          <w:highlight w:val="none"/>
          <w:lang w:val="en-US" w:eastAsia="zh-CN"/>
        </w:rPr>
        <w:t>213</w:t>
      </w:r>
      <w:r>
        <w:rPr>
          <w:rStyle w:val="197"/>
          <w:rFonts w:hint="eastAsia" w:ascii="仿宋_GB2312" w:hAnsi="仿宋" w:eastAsia="仿宋_GB2312"/>
          <w:b w:val="0"/>
          <w:bCs/>
          <w:color w:val="000000"/>
          <w:sz w:val="32"/>
          <w:szCs w:val="32"/>
          <w:highlight w:val="none"/>
        </w:rPr>
        <w:t>）巩固脱贫衔接乡村振兴（</w:t>
      </w:r>
      <w:r>
        <w:rPr>
          <w:rStyle w:val="197"/>
          <w:rFonts w:hint="eastAsia" w:ascii="仿宋_GB2312" w:hAnsi="仿宋" w:eastAsia="仿宋_GB2312"/>
          <w:b w:val="0"/>
          <w:bCs/>
          <w:color w:val="000000"/>
          <w:sz w:val="32"/>
          <w:szCs w:val="32"/>
          <w:highlight w:val="none"/>
          <w:lang w:val="en-US" w:eastAsia="zh-CN"/>
        </w:rPr>
        <w:t>05</w:t>
      </w:r>
      <w:r>
        <w:rPr>
          <w:rStyle w:val="197"/>
          <w:rFonts w:hint="eastAsia" w:ascii="仿宋_GB2312" w:hAnsi="仿宋" w:eastAsia="仿宋_GB2312"/>
          <w:b w:val="0"/>
          <w:bCs/>
          <w:color w:val="000000"/>
          <w:sz w:val="32"/>
          <w:szCs w:val="32"/>
          <w:highlight w:val="none"/>
        </w:rPr>
        <w:t>）行政运行（</w:t>
      </w:r>
      <w:r>
        <w:rPr>
          <w:rStyle w:val="197"/>
          <w:rFonts w:hint="eastAsia" w:ascii="仿宋_GB2312" w:hAnsi="仿宋" w:eastAsia="仿宋_GB2312"/>
          <w:b w:val="0"/>
          <w:bCs/>
          <w:color w:val="000000"/>
          <w:sz w:val="32"/>
          <w:szCs w:val="32"/>
          <w:highlight w:val="none"/>
          <w:lang w:val="en-US" w:eastAsia="zh-CN"/>
        </w:rPr>
        <w:t>01</w:t>
      </w:r>
      <w:r>
        <w:rPr>
          <w:rStyle w:val="197"/>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指行政单位的基本支出。</w:t>
      </w:r>
    </w:p>
    <w:p>
      <w:pPr>
        <w:pageBreakBefore w:val="0"/>
        <w:spacing w:line="560" w:lineRule="exac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7</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农林水（</w:t>
      </w:r>
      <w:r>
        <w:rPr>
          <w:rStyle w:val="197"/>
          <w:rFonts w:hint="eastAsia" w:ascii="仿宋_GB2312" w:hAnsi="仿宋" w:eastAsia="仿宋_GB2312"/>
          <w:b w:val="0"/>
          <w:bCs/>
          <w:color w:val="000000"/>
          <w:sz w:val="32"/>
          <w:szCs w:val="32"/>
          <w:highlight w:val="none"/>
          <w:lang w:val="en-US" w:eastAsia="zh-CN"/>
        </w:rPr>
        <w:t>213</w:t>
      </w:r>
      <w:r>
        <w:rPr>
          <w:rStyle w:val="197"/>
          <w:rFonts w:hint="eastAsia" w:ascii="仿宋_GB2312" w:hAnsi="仿宋" w:eastAsia="仿宋_GB2312"/>
          <w:b w:val="0"/>
          <w:bCs/>
          <w:color w:val="000000"/>
          <w:sz w:val="32"/>
          <w:szCs w:val="32"/>
          <w:highlight w:val="none"/>
        </w:rPr>
        <w:t>）巩固脱贫衔接乡村振兴（</w:t>
      </w:r>
      <w:r>
        <w:rPr>
          <w:rStyle w:val="197"/>
          <w:rFonts w:hint="eastAsia" w:ascii="仿宋_GB2312" w:hAnsi="仿宋" w:eastAsia="仿宋_GB2312"/>
          <w:b w:val="0"/>
          <w:bCs/>
          <w:color w:val="000000"/>
          <w:sz w:val="32"/>
          <w:szCs w:val="32"/>
          <w:highlight w:val="none"/>
          <w:lang w:val="en-US" w:eastAsia="zh-CN"/>
        </w:rPr>
        <w:t>05</w:t>
      </w:r>
      <w:r>
        <w:rPr>
          <w:rStyle w:val="197"/>
          <w:rFonts w:hint="eastAsia" w:ascii="仿宋_GB2312" w:hAnsi="仿宋" w:eastAsia="仿宋_GB2312"/>
          <w:b w:val="0"/>
          <w:bCs/>
          <w:color w:val="000000"/>
          <w:sz w:val="32"/>
          <w:szCs w:val="32"/>
          <w:highlight w:val="none"/>
        </w:rPr>
        <w:t>）</w:t>
      </w:r>
      <w:r>
        <w:rPr>
          <w:rStyle w:val="197"/>
          <w:rFonts w:hint="eastAsia" w:ascii="仿宋_GB2312" w:hAnsi="仿宋" w:eastAsia="仿宋_GB2312"/>
          <w:b w:val="0"/>
          <w:bCs/>
          <w:color w:val="000000"/>
          <w:sz w:val="32"/>
          <w:szCs w:val="32"/>
          <w:highlight w:val="none"/>
          <w:lang w:eastAsia="zh-CN"/>
        </w:rPr>
        <w:t>事业</w:t>
      </w:r>
      <w:r>
        <w:rPr>
          <w:rStyle w:val="197"/>
          <w:rFonts w:hint="eastAsia" w:ascii="仿宋_GB2312" w:hAnsi="仿宋" w:eastAsia="仿宋_GB2312"/>
          <w:b w:val="0"/>
          <w:bCs/>
          <w:color w:val="000000"/>
          <w:sz w:val="32"/>
          <w:szCs w:val="32"/>
          <w:highlight w:val="none"/>
        </w:rPr>
        <w:t>运行（</w:t>
      </w:r>
      <w:r>
        <w:rPr>
          <w:rStyle w:val="197"/>
          <w:rFonts w:hint="eastAsia" w:ascii="仿宋_GB2312" w:hAnsi="仿宋" w:eastAsia="仿宋_GB2312"/>
          <w:b w:val="0"/>
          <w:bCs/>
          <w:color w:val="000000"/>
          <w:sz w:val="32"/>
          <w:szCs w:val="32"/>
          <w:highlight w:val="none"/>
          <w:lang w:val="en-US" w:eastAsia="zh-CN"/>
        </w:rPr>
        <w:t>50</w:t>
      </w:r>
      <w:r>
        <w:rPr>
          <w:rStyle w:val="197"/>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指</w:t>
      </w:r>
      <w:r>
        <w:rPr>
          <w:rFonts w:hint="eastAsia" w:ascii="仿宋_GB2312" w:eastAsia="仿宋_GB2312"/>
          <w:color w:val="000000"/>
          <w:sz w:val="32"/>
          <w:szCs w:val="32"/>
          <w:highlight w:val="none"/>
          <w:lang w:eastAsia="zh-CN"/>
        </w:rPr>
        <w:t>事业</w:t>
      </w:r>
      <w:r>
        <w:rPr>
          <w:rFonts w:hint="eastAsia" w:ascii="仿宋_GB2312" w:eastAsia="仿宋_GB2312"/>
          <w:color w:val="000000"/>
          <w:sz w:val="32"/>
          <w:szCs w:val="32"/>
          <w:highlight w:val="none"/>
        </w:rPr>
        <w:t>单位的基本支出。</w:t>
      </w:r>
    </w:p>
    <w:p>
      <w:pPr>
        <w:pageBreakBefore w:val="0"/>
        <w:spacing w:line="560" w:lineRule="exact"/>
        <w:ind w:firstLine="640"/>
        <w:rPr>
          <w:rFonts w:hint="eastAsia"/>
          <w:lang w:eastAsia="zh-CN"/>
        </w:rPr>
      </w:pPr>
      <w:r>
        <w:rPr>
          <w:rFonts w:hint="eastAsia" w:ascii="仿宋_GB2312" w:eastAsia="仿宋_GB2312"/>
          <w:color w:val="000000"/>
          <w:sz w:val="32"/>
          <w:szCs w:val="32"/>
          <w:highlight w:val="none"/>
          <w:lang w:val="en-US" w:eastAsia="zh-CN"/>
        </w:rPr>
        <w:t>8</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农林水（</w:t>
      </w:r>
      <w:r>
        <w:rPr>
          <w:rStyle w:val="197"/>
          <w:rFonts w:hint="eastAsia" w:ascii="仿宋_GB2312" w:hAnsi="仿宋" w:eastAsia="仿宋_GB2312"/>
          <w:b w:val="0"/>
          <w:bCs/>
          <w:color w:val="000000"/>
          <w:sz w:val="32"/>
          <w:szCs w:val="32"/>
          <w:highlight w:val="none"/>
          <w:lang w:val="en-US" w:eastAsia="zh-CN"/>
        </w:rPr>
        <w:t>213</w:t>
      </w:r>
      <w:r>
        <w:rPr>
          <w:rStyle w:val="197"/>
          <w:rFonts w:hint="eastAsia" w:ascii="仿宋_GB2312" w:hAnsi="仿宋" w:eastAsia="仿宋_GB2312"/>
          <w:b w:val="0"/>
          <w:bCs/>
          <w:color w:val="000000"/>
          <w:sz w:val="32"/>
          <w:szCs w:val="32"/>
          <w:highlight w:val="none"/>
        </w:rPr>
        <w:t>）巩固脱贫衔接乡村振兴（</w:t>
      </w:r>
      <w:r>
        <w:rPr>
          <w:rStyle w:val="197"/>
          <w:rFonts w:hint="eastAsia" w:ascii="仿宋_GB2312" w:hAnsi="仿宋" w:eastAsia="仿宋_GB2312"/>
          <w:b w:val="0"/>
          <w:bCs/>
          <w:color w:val="000000"/>
          <w:sz w:val="32"/>
          <w:szCs w:val="32"/>
          <w:highlight w:val="none"/>
          <w:lang w:val="en-US" w:eastAsia="zh-CN"/>
        </w:rPr>
        <w:t>05</w:t>
      </w:r>
      <w:r>
        <w:rPr>
          <w:rStyle w:val="197"/>
          <w:rFonts w:hint="eastAsia" w:ascii="仿宋_GB2312" w:hAnsi="仿宋" w:eastAsia="仿宋_GB2312"/>
          <w:b w:val="0"/>
          <w:bCs/>
          <w:color w:val="000000"/>
          <w:sz w:val="32"/>
          <w:szCs w:val="32"/>
          <w:highlight w:val="none"/>
        </w:rPr>
        <w:t>）</w:t>
      </w:r>
      <w:r>
        <w:rPr>
          <w:rStyle w:val="197"/>
          <w:rFonts w:hint="eastAsia" w:ascii="仿宋_GB2312" w:hAnsi="仿宋" w:eastAsia="仿宋_GB2312"/>
          <w:b w:val="0"/>
          <w:bCs/>
          <w:color w:val="000000"/>
          <w:sz w:val="32"/>
          <w:szCs w:val="32"/>
          <w:highlight w:val="none"/>
          <w:lang w:eastAsia="zh-CN"/>
        </w:rPr>
        <w:t>生产发展</w:t>
      </w:r>
      <w:r>
        <w:rPr>
          <w:rStyle w:val="197"/>
          <w:rFonts w:hint="eastAsia" w:ascii="仿宋_GB2312" w:hAnsi="仿宋" w:eastAsia="仿宋_GB2312"/>
          <w:b w:val="0"/>
          <w:bCs/>
          <w:color w:val="000000"/>
          <w:sz w:val="32"/>
          <w:szCs w:val="32"/>
          <w:highlight w:val="none"/>
        </w:rPr>
        <w:t>（</w:t>
      </w:r>
      <w:r>
        <w:rPr>
          <w:rStyle w:val="197"/>
          <w:rFonts w:hint="eastAsia" w:ascii="仿宋_GB2312" w:hAnsi="仿宋" w:eastAsia="仿宋_GB2312"/>
          <w:b w:val="0"/>
          <w:bCs/>
          <w:color w:val="000000"/>
          <w:sz w:val="32"/>
          <w:szCs w:val="32"/>
          <w:highlight w:val="none"/>
          <w:lang w:val="en-US" w:eastAsia="zh-CN"/>
        </w:rPr>
        <w:t>50</w:t>
      </w:r>
      <w:r>
        <w:rPr>
          <w:rStyle w:val="197"/>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指</w:t>
      </w:r>
      <w:r>
        <w:rPr>
          <w:rStyle w:val="197"/>
          <w:rFonts w:hint="eastAsia" w:ascii="仿宋_GB2312" w:hAnsi="仿宋" w:eastAsia="仿宋_GB2312"/>
          <w:b w:val="0"/>
          <w:bCs/>
          <w:color w:val="000000"/>
          <w:sz w:val="32"/>
          <w:szCs w:val="32"/>
          <w:highlight w:val="none"/>
        </w:rPr>
        <w:t>巩固脱贫衔接乡村振兴</w:t>
      </w:r>
      <w:r>
        <w:rPr>
          <w:rStyle w:val="197"/>
          <w:rFonts w:hint="eastAsia" w:ascii="仿宋_GB2312" w:hAnsi="仿宋" w:eastAsia="仿宋_GB2312"/>
          <w:b w:val="0"/>
          <w:bCs/>
          <w:color w:val="000000"/>
          <w:sz w:val="32"/>
          <w:szCs w:val="32"/>
          <w:highlight w:val="none"/>
          <w:lang w:eastAsia="zh-CN"/>
        </w:rPr>
        <w:t>相关</w:t>
      </w:r>
      <w:r>
        <w:rPr>
          <w:rFonts w:hint="eastAsia" w:ascii="仿宋_GB2312" w:eastAsia="仿宋_GB2312"/>
          <w:color w:val="000000"/>
          <w:sz w:val="32"/>
          <w:szCs w:val="32"/>
          <w:highlight w:val="none"/>
        </w:rPr>
        <w:t>的</w:t>
      </w:r>
      <w:r>
        <w:rPr>
          <w:rFonts w:hint="eastAsia" w:ascii="仿宋_GB2312" w:eastAsia="仿宋_GB2312"/>
          <w:color w:val="000000"/>
          <w:sz w:val="32"/>
          <w:szCs w:val="32"/>
          <w:highlight w:val="none"/>
          <w:lang w:eastAsia="zh-CN"/>
        </w:rPr>
        <w:t>生产发展项目</w:t>
      </w:r>
      <w:r>
        <w:rPr>
          <w:rFonts w:hint="eastAsia" w:ascii="仿宋_GB2312" w:eastAsia="仿宋_GB2312"/>
          <w:color w:val="000000"/>
          <w:sz w:val="32"/>
          <w:szCs w:val="32"/>
          <w:highlight w:val="none"/>
        </w:rPr>
        <w:t>支出。</w:t>
      </w:r>
    </w:p>
    <w:p>
      <w:pPr>
        <w:pageBreakBefore w:val="0"/>
        <w:spacing w:line="560" w:lineRule="exact"/>
        <w:ind w:firstLine="64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9</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农林水（</w:t>
      </w:r>
      <w:r>
        <w:rPr>
          <w:rStyle w:val="197"/>
          <w:rFonts w:hint="eastAsia" w:ascii="仿宋_GB2312" w:hAnsi="仿宋" w:eastAsia="仿宋_GB2312"/>
          <w:b w:val="0"/>
          <w:bCs/>
          <w:color w:val="000000"/>
          <w:sz w:val="32"/>
          <w:szCs w:val="32"/>
          <w:highlight w:val="none"/>
          <w:lang w:val="en-US" w:eastAsia="zh-CN"/>
        </w:rPr>
        <w:t>213</w:t>
      </w:r>
      <w:r>
        <w:rPr>
          <w:rStyle w:val="197"/>
          <w:rFonts w:hint="eastAsia" w:ascii="仿宋_GB2312" w:hAnsi="仿宋" w:eastAsia="仿宋_GB2312"/>
          <w:b w:val="0"/>
          <w:bCs/>
          <w:color w:val="000000"/>
          <w:sz w:val="32"/>
          <w:szCs w:val="32"/>
          <w:highlight w:val="none"/>
        </w:rPr>
        <w:t>）巩固脱贫衔接乡村振兴（</w:t>
      </w:r>
      <w:r>
        <w:rPr>
          <w:rStyle w:val="197"/>
          <w:rFonts w:hint="eastAsia" w:ascii="仿宋_GB2312" w:hAnsi="仿宋" w:eastAsia="仿宋_GB2312"/>
          <w:b w:val="0"/>
          <w:bCs/>
          <w:color w:val="000000"/>
          <w:sz w:val="32"/>
          <w:szCs w:val="32"/>
          <w:highlight w:val="none"/>
          <w:lang w:val="en-US" w:eastAsia="zh-CN"/>
        </w:rPr>
        <w:t>05</w:t>
      </w:r>
      <w:r>
        <w:rPr>
          <w:rStyle w:val="197"/>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其他巩固脱贫衔接乡村振兴支出</w:t>
      </w:r>
      <w:r>
        <w:rPr>
          <w:rStyle w:val="197"/>
          <w:rFonts w:hint="eastAsia" w:ascii="仿宋_GB2312" w:hAnsi="仿宋" w:eastAsia="仿宋_GB2312"/>
          <w:b w:val="0"/>
          <w:bCs/>
          <w:color w:val="000000"/>
          <w:sz w:val="32"/>
          <w:szCs w:val="32"/>
          <w:highlight w:val="none"/>
        </w:rPr>
        <w:t>（</w:t>
      </w:r>
      <w:r>
        <w:rPr>
          <w:rStyle w:val="197"/>
          <w:rFonts w:hint="eastAsia" w:ascii="仿宋_GB2312" w:hAnsi="仿宋" w:eastAsia="仿宋_GB2312"/>
          <w:b w:val="0"/>
          <w:bCs/>
          <w:color w:val="000000"/>
          <w:sz w:val="32"/>
          <w:szCs w:val="32"/>
          <w:highlight w:val="none"/>
          <w:lang w:val="en-US" w:eastAsia="zh-CN"/>
        </w:rPr>
        <w:t>99</w:t>
      </w:r>
      <w:r>
        <w:rPr>
          <w:rStyle w:val="197"/>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：指反映上述项目以外其他用于巩固脱贫衔接乡村振兴方面的支出。</w:t>
      </w:r>
    </w:p>
    <w:p>
      <w:pPr>
        <w:pageBreakBefore w:val="0"/>
        <w:spacing w:line="560" w:lineRule="exact"/>
        <w:ind w:firstLine="64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10</w:t>
      </w:r>
      <w:r>
        <w:rPr>
          <w:rFonts w:hint="eastAsia" w:ascii="仿宋_GB2312" w:eastAsia="仿宋_GB2312"/>
          <w:color w:val="000000"/>
          <w:sz w:val="32"/>
          <w:szCs w:val="32"/>
          <w:highlight w:val="none"/>
        </w:rPr>
        <w:t>.</w:t>
      </w:r>
      <w:r>
        <w:rPr>
          <w:rStyle w:val="197"/>
          <w:rFonts w:hint="eastAsia" w:ascii="仿宋_GB2312" w:hAnsi="仿宋" w:eastAsia="仿宋_GB2312"/>
          <w:b w:val="0"/>
          <w:bCs/>
          <w:color w:val="000000"/>
          <w:sz w:val="32"/>
          <w:szCs w:val="32"/>
          <w:highlight w:val="none"/>
        </w:rPr>
        <w:t>住房保障（</w:t>
      </w:r>
      <w:r>
        <w:rPr>
          <w:rStyle w:val="197"/>
          <w:rFonts w:hint="eastAsia" w:ascii="仿宋_GB2312" w:hAnsi="仿宋" w:eastAsia="仿宋_GB2312"/>
          <w:b w:val="0"/>
          <w:bCs/>
          <w:color w:val="000000"/>
          <w:sz w:val="32"/>
          <w:szCs w:val="32"/>
          <w:highlight w:val="none"/>
          <w:lang w:val="en-US" w:eastAsia="zh-CN"/>
        </w:rPr>
        <w:t>221</w:t>
      </w:r>
      <w:r>
        <w:rPr>
          <w:rStyle w:val="197"/>
          <w:rFonts w:hint="eastAsia" w:ascii="仿宋_GB2312" w:hAnsi="仿宋" w:eastAsia="仿宋_GB2312"/>
          <w:b w:val="0"/>
          <w:bCs/>
          <w:color w:val="000000"/>
          <w:sz w:val="32"/>
          <w:szCs w:val="32"/>
          <w:highlight w:val="none"/>
        </w:rPr>
        <w:t>）住房改革支出（</w:t>
      </w:r>
      <w:r>
        <w:rPr>
          <w:rStyle w:val="197"/>
          <w:rFonts w:hint="eastAsia" w:ascii="仿宋_GB2312" w:hAnsi="仿宋" w:eastAsia="仿宋_GB2312"/>
          <w:b w:val="0"/>
          <w:bCs/>
          <w:color w:val="000000"/>
          <w:sz w:val="32"/>
          <w:szCs w:val="32"/>
          <w:highlight w:val="none"/>
          <w:lang w:val="en-US" w:eastAsia="zh-CN"/>
        </w:rPr>
        <w:t>02</w:t>
      </w:r>
      <w:r>
        <w:rPr>
          <w:rStyle w:val="197"/>
          <w:rFonts w:hint="eastAsia" w:ascii="仿宋_GB2312" w:hAnsi="仿宋" w:eastAsia="仿宋_GB2312"/>
          <w:b w:val="0"/>
          <w:bCs/>
          <w:color w:val="000000"/>
          <w:sz w:val="32"/>
          <w:szCs w:val="32"/>
          <w:highlight w:val="none"/>
        </w:rPr>
        <w:t>）住房公积金（</w:t>
      </w:r>
      <w:r>
        <w:rPr>
          <w:rStyle w:val="197"/>
          <w:rFonts w:hint="eastAsia" w:ascii="仿宋_GB2312" w:hAnsi="仿宋" w:eastAsia="仿宋_GB2312"/>
          <w:b w:val="0"/>
          <w:bCs/>
          <w:color w:val="000000"/>
          <w:sz w:val="32"/>
          <w:szCs w:val="32"/>
          <w:highlight w:val="none"/>
          <w:lang w:val="en-US" w:eastAsia="zh-CN"/>
        </w:rPr>
        <w:t>01</w:t>
      </w:r>
      <w:r>
        <w:rPr>
          <w:rStyle w:val="197"/>
          <w:rFonts w:hint="eastAsia" w:ascii="仿宋_GB2312" w:hAnsi="仿宋" w:eastAsia="仿宋_GB2312"/>
          <w:b w:val="0"/>
          <w:bCs/>
          <w:color w:val="000000"/>
          <w:sz w:val="32"/>
          <w:szCs w:val="32"/>
          <w:highlight w:val="none"/>
        </w:rPr>
        <w:t>）</w:t>
      </w:r>
      <w:r>
        <w:rPr>
          <w:rFonts w:hint="eastAsia" w:ascii="仿宋_GB2312" w:eastAsia="仿宋_GB2312"/>
          <w:color w:val="000000"/>
          <w:sz w:val="32"/>
          <w:szCs w:val="32"/>
          <w:highlight w:val="none"/>
        </w:rPr>
        <w:t>：反映行政事业单位按人力资源和社会保障部、财政部规定的基本工资和津贴补贴以及规定比例为职工缴纳的住房公积金。</w:t>
      </w:r>
    </w:p>
    <w:p>
      <w:pPr>
        <w:pageBreakBefore w:val="0"/>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ageBreakBefore w:val="0"/>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02"/>
        <w:pageBreakBefore w:val="0"/>
        <w:spacing w:line="560" w:lineRule="exact"/>
        <w:ind w:firstLine="64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2"/>
        <w:pageBreakBefore w:val="0"/>
        <w:spacing w:line="560" w:lineRule="exact"/>
        <w:ind w:firstLine="640"/>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t> </w:t>
      </w:r>
    </w:p>
    <w:p>
      <w:pPr>
        <w:pStyle w:val="195"/>
        <w:keepNext w:val="0"/>
        <w:keepLines w:val="0"/>
        <w:pageBreakBefore w:val="0"/>
        <w:widowControl/>
        <w:suppressLineNumbers w:val="0"/>
        <w:spacing w:line="576" w:lineRule="exact"/>
      </w:pPr>
    </w:p>
    <w:p>
      <w:pPr>
        <w:pStyle w:val="195"/>
        <w:keepNext w:val="0"/>
        <w:keepLines w:val="0"/>
        <w:pageBreakBefore w:val="0"/>
        <w:widowControl/>
        <w:suppressLineNumbers w:val="0"/>
        <w:spacing w:line="576" w:lineRule="exact"/>
        <w:jc w:val="center"/>
        <w:outlineLvl w:val="0"/>
        <w:rPr>
          <w:rFonts w:hint="eastAsia" w:ascii="黑体" w:hAnsi="Times New Roman" w:eastAsia="黑体" w:cs="Times New Roman"/>
          <w:color w:val="000000"/>
          <w:sz w:val="44"/>
          <w:szCs w:val="44"/>
          <w:lang w:val="en-US" w:eastAsia="zh-CN" w:bidi="ar-SA"/>
        </w:rPr>
      </w:pPr>
      <w:bookmarkStart w:id="50" w:name="_Toc19088"/>
      <w:bookmarkStart w:id="51" w:name="_Toc7978"/>
      <w:r>
        <w:rPr>
          <w:rFonts w:hint="eastAsia" w:ascii="黑体" w:hAnsi="Times New Roman" w:eastAsia="黑体" w:cs="Times New Roman"/>
          <w:color w:val="000000"/>
          <w:sz w:val="44"/>
          <w:szCs w:val="44"/>
          <w:lang w:val="en-US" w:eastAsia="zh-CN" w:bidi="ar-SA"/>
        </w:rPr>
        <w:t>第四部分 附件</w:t>
      </w:r>
      <w:bookmarkEnd w:id="50"/>
      <w:bookmarkEnd w:id="51"/>
    </w:p>
    <w:p>
      <w:pPr>
        <w:pageBreakBefore w:val="0"/>
        <w:spacing w:line="576" w:lineRule="exact"/>
        <w:jc w:val="center"/>
        <w:outlineLvl w:val="9"/>
        <w:rPr>
          <w:rFonts w:ascii="方正小标宋简体" w:hAnsi="Times New Roman" w:eastAsia="方正小标宋简体" w:cs="黑体"/>
          <w:sz w:val="44"/>
          <w:szCs w:val="44"/>
        </w:rPr>
      </w:pPr>
      <w:r>
        <w:t> </w:t>
      </w:r>
    </w:p>
    <w:p>
      <w:pPr>
        <w:pageBreakBefore w:val="0"/>
        <w:spacing w:line="576" w:lineRule="exact"/>
        <w:jc w:val="center"/>
        <w:outlineLvl w:val="0"/>
        <w:rPr>
          <w:rFonts w:ascii="方正小标宋简体" w:hAnsi="Times New Roman" w:eastAsia="方正小标宋简体" w:cs="黑体"/>
          <w:sz w:val="44"/>
          <w:szCs w:val="44"/>
        </w:rPr>
      </w:pPr>
      <w:bookmarkStart w:id="52" w:name="_Toc983"/>
      <w:r>
        <w:rPr>
          <w:rFonts w:ascii="方正小标宋简体" w:hAnsi="Times New Roman" w:eastAsia="方正小标宋简体" w:cs="黑体"/>
          <w:sz w:val="44"/>
          <w:szCs w:val="44"/>
        </w:rPr>
        <w:t>部门预算项目支出绩效自评表（2022年度）</w:t>
      </w:r>
      <w:bookmarkEnd w:id="52"/>
    </w:p>
    <w:p>
      <w:pPr>
        <w:pStyle w:val="195"/>
        <w:keepNext w:val="0"/>
        <w:keepLines w:val="0"/>
        <w:pageBreakBefore w:val="0"/>
        <w:widowControl/>
        <w:suppressLineNumbers w:val="0"/>
        <w:spacing w:line="576" w:lineRule="exact"/>
        <w:ind w:firstLine="480"/>
        <w:jc w:val="both"/>
      </w:pPr>
      <w:r>
        <w:rPr>
          <w:rFonts w:hint="eastAsia"/>
          <w:lang w:eastAsia="zh-CN"/>
        </w:rPr>
        <w:t>我单位事业无项目，绩效评价在行政。</w:t>
      </w:r>
      <w:r>
        <w:t>  </w:t>
      </w:r>
    </w:p>
    <w:p>
      <w:pPr>
        <w:pStyle w:val="195"/>
        <w:keepNext w:val="0"/>
        <w:keepLines w:val="0"/>
        <w:pageBreakBefore w:val="0"/>
        <w:widowControl/>
        <w:suppressLineNumbers w:val="0"/>
        <w:spacing w:line="576" w:lineRule="exact"/>
      </w:pPr>
      <w:r>
        <w:t>附表</w:t>
      </w:r>
    </w:p>
    <w:tbl>
      <w:tblPr>
        <w:tblStyle w:val="29"/>
        <w:tblW w:w="0" w:type="dxa"/>
        <w:tblCellSpacing w:w="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715"/>
        <w:gridCol w:w="1000"/>
        <w:gridCol w:w="1421"/>
        <w:gridCol w:w="1038"/>
        <w:gridCol w:w="1077"/>
        <w:gridCol w:w="20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blCellSpacing w:w="0" w:type="dxa"/>
        </w:trPr>
        <w:tc>
          <w:tcPr>
            <w:tcW w:w="9570" w:type="dxa"/>
            <w:gridSpan w:val="6"/>
            <w:noWrap/>
            <w:vAlign w:val="center"/>
          </w:tcPr>
          <w:p>
            <w:pPr>
              <w:pStyle w:val="195"/>
              <w:keepNext w:val="0"/>
              <w:keepLines w:val="0"/>
              <w:pageBreakBefore w:val="0"/>
              <w:widowControl/>
              <w:suppressLineNumbers w:val="0"/>
              <w:spacing w:line="576" w:lineRule="exact"/>
              <w:jc w:val="center"/>
            </w:pPr>
            <w:r>
              <w:rPr>
                <w:rStyle w:val="197"/>
              </w:rPr>
              <w:t>2022年100万元以上（含）特定目标类部门预算项目绩效目标自评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blCellSpacing w:w="0" w:type="dxa"/>
        </w:trPr>
        <w:tc>
          <w:tcPr>
            <w:tcW w:w="3120" w:type="dxa"/>
            <w:gridSpan w:val="2"/>
            <w:noWrap/>
            <w:vAlign w:val="center"/>
          </w:tcPr>
          <w:p>
            <w:pPr>
              <w:pStyle w:val="195"/>
              <w:keepNext w:val="0"/>
              <w:keepLines w:val="0"/>
              <w:pageBreakBefore w:val="0"/>
              <w:widowControl/>
              <w:suppressLineNumbers w:val="0"/>
              <w:spacing w:line="576" w:lineRule="exact"/>
              <w:jc w:val="center"/>
            </w:pPr>
            <w:r>
              <w:t>主管部门及代码</w:t>
            </w:r>
          </w:p>
        </w:tc>
        <w:tc>
          <w:tcPr>
            <w:tcW w:w="2820" w:type="dxa"/>
            <w:gridSpan w:val="2"/>
            <w:noWrap/>
            <w:vAlign w:val="center"/>
          </w:tcPr>
          <w:p>
            <w:pPr>
              <w:pStyle w:val="195"/>
              <w:keepNext w:val="0"/>
              <w:keepLines w:val="0"/>
              <w:pageBreakBefore w:val="0"/>
              <w:widowControl/>
              <w:suppressLineNumbers w:val="0"/>
              <w:spacing w:line="576" w:lineRule="exact"/>
              <w:jc w:val="center"/>
            </w:pPr>
            <w:r>
              <w:t> </w:t>
            </w:r>
          </w:p>
        </w:tc>
        <w:tc>
          <w:tcPr>
            <w:tcW w:w="1230" w:type="dxa"/>
            <w:noWrap/>
            <w:vAlign w:val="center"/>
          </w:tcPr>
          <w:p>
            <w:pPr>
              <w:pStyle w:val="195"/>
              <w:keepNext w:val="0"/>
              <w:keepLines w:val="0"/>
              <w:pageBreakBefore w:val="0"/>
              <w:widowControl/>
              <w:suppressLineNumbers w:val="0"/>
              <w:spacing w:line="576" w:lineRule="exact"/>
              <w:jc w:val="center"/>
            </w:pPr>
            <w:r>
              <w:t>实施单位</w:t>
            </w:r>
          </w:p>
        </w:tc>
        <w:tc>
          <w:tcPr>
            <w:tcW w:w="2415" w:type="dxa"/>
            <w:noWrap/>
            <w:vAlign w:val="center"/>
          </w:tcPr>
          <w:p>
            <w:pPr>
              <w:pStyle w:val="195"/>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3120" w:type="dxa"/>
            <w:gridSpan w:val="2"/>
            <w:vMerge w:val="restart"/>
            <w:noWrap/>
            <w:vAlign w:val="center"/>
          </w:tcPr>
          <w:p>
            <w:pPr>
              <w:pStyle w:val="195"/>
              <w:keepNext w:val="0"/>
              <w:keepLines w:val="0"/>
              <w:pageBreakBefore w:val="0"/>
              <w:widowControl/>
              <w:suppressLineNumbers w:val="0"/>
              <w:spacing w:line="576" w:lineRule="exact"/>
              <w:jc w:val="center"/>
            </w:pPr>
            <w:r>
              <w:t>项目预算</w:t>
            </w:r>
          </w:p>
          <w:p>
            <w:pPr>
              <w:pStyle w:val="195"/>
              <w:keepNext w:val="0"/>
              <w:keepLines w:val="0"/>
              <w:pageBreakBefore w:val="0"/>
              <w:widowControl/>
              <w:suppressLineNumbers w:val="0"/>
              <w:spacing w:line="576" w:lineRule="exact"/>
              <w:jc w:val="center"/>
            </w:pPr>
            <w:r>
              <w:t>执行情况</w:t>
            </w:r>
          </w:p>
          <w:p>
            <w:pPr>
              <w:pStyle w:val="195"/>
              <w:keepNext w:val="0"/>
              <w:keepLines w:val="0"/>
              <w:pageBreakBefore w:val="0"/>
              <w:widowControl/>
              <w:suppressLineNumbers w:val="0"/>
              <w:spacing w:line="576" w:lineRule="exact"/>
              <w:jc w:val="center"/>
            </w:pPr>
            <w:r>
              <w:t>（万元）</w:t>
            </w:r>
          </w:p>
        </w:tc>
        <w:tc>
          <w:tcPr>
            <w:tcW w:w="1635" w:type="dxa"/>
            <w:noWrap/>
            <w:vAlign w:val="center"/>
          </w:tcPr>
          <w:p>
            <w:pPr>
              <w:pStyle w:val="195"/>
              <w:keepNext w:val="0"/>
              <w:keepLines w:val="0"/>
              <w:pageBreakBefore w:val="0"/>
              <w:widowControl/>
              <w:suppressLineNumbers w:val="0"/>
              <w:spacing w:line="576" w:lineRule="exact"/>
              <w:jc w:val="center"/>
            </w:pPr>
            <w:r>
              <w:t> 预算数：</w:t>
            </w:r>
          </w:p>
        </w:tc>
        <w:tc>
          <w:tcPr>
            <w:tcW w:w="1185" w:type="dxa"/>
            <w:noWrap/>
            <w:vAlign w:val="center"/>
          </w:tcPr>
          <w:p>
            <w:pPr>
              <w:pStyle w:val="195"/>
              <w:keepNext w:val="0"/>
              <w:keepLines w:val="0"/>
              <w:pageBreakBefore w:val="0"/>
              <w:widowControl/>
              <w:suppressLineNumbers w:val="0"/>
              <w:spacing w:line="576" w:lineRule="exact"/>
              <w:jc w:val="center"/>
            </w:pPr>
            <w:r>
              <w:t> </w:t>
            </w:r>
          </w:p>
        </w:tc>
        <w:tc>
          <w:tcPr>
            <w:tcW w:w="1230" w:type="dxa"/>
            <w:noWrap/>
            <w:vAlign w:val="center"/>
          </w:tcPr>
          <w:p>
            <w:pPr>
              <w:pStyle w:val="195"/>
              <w:keepNext w:val="0"/>
              <w:keepLines w:val="0"/>
              <w:pageBreakBefore w:val="0"/>
              <w:widowControl/>
              <w:suppressLineNumbers w:val="0"/>
              <w:spacing w:line="576" w:lineRule="exact"/>
              <w:jc w:val="center"/>
            </w:pPr>
            <w:r>
              <w:t> 执行数：</w:t>
            </w:r>
          </w:p>
        </w:tc>
        <w:tc>
          <w:tcPr>
            <w:tcW w:w="2415" w:type="dxa"/>
            <w:noWrap/>
            <w:vAlign w:val="center"/>
          </w:tcPr>
          <w:p>
            <w:pPr>
              <w:pStyle w:val="195"/>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blCellSpacing w:w="0" w:type="dxa"/>
        </w:trPr>
        <w:tc>
          <w:tcPr>
            <w:tcW w:w="3120" w:type="dxa"/>
            <w:gridSpan w:val="2"/>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195"/>
              <w:keepNext w:val="0"/>
              <w:keepLines w:val="0"/>
              <w:pageBreakBefore w:val="0"/>
              <w:widowControl/>
              <w:suppressLineNumbers w:val="0"/>
              <w:spacing w:line="576" w:lineRule="exact"/>
              <w:jc w:val="center"/>
            </w:pPr>
            <w:r>
              <w:t>其中：</w:t>
            </w:r>
          </w:p>
          <w:p>
            <w:pPr>
              <w:pStyle w:val="195"/>
              <w:keepNext w:val="0"/>
              <w:keepLines w:val="0"/>
              <w:pageBreakBefore w:val="0"/>
              <w:widowControl/>
              <w:suppressLineNumbers w:val="0"/>
              <w:spacing w:line="576" w:lineRule="exact"/>
              <w:jc w:val="center"/>
            </w:pPr>
            <w:r>
              <w:t>财政拨款</w:t>
            </w:r>
          </w:p>
        </w:tc>
        <w:tc>
          <w:tcPr>
            <w:tcW w:w="1185" w:type="dxa"/>
            <w:noWrap/>
            <w:vAlign w:val="center"/>
          </w:tcPr>
          <w:p>
            <w:pPr>
              <w:pStyle w:val="195"/>
              <w:keepNext w:val="0"/>
              <w:keepLines w:val="0"/>
              <w:pageBreakBefore w:val="0"/>
              <w:widowControl/>
              <w:suppressLineNumbers w:val="0"/>
              <w:spacing w:line="576" w:lineRule="exact"/>
              <w:jc w:val="center"/>
            </w:pPr>
            <w:r>
              <w:t> </w:t>
            </w:r>
          </w:p>
        </w:tc>
        <w:tc>
          <w:tcPr>
            <w:tcW w:w="1230" w:type="dxa"/>
            <w:noWrap/>
            <w:vAlign w:val="center"/>
          </w:tcPr>
          <w:p>
            <w:pPr>
              <w:pStyle w:val="195"/>
              <w:keepNext w:val="0"/>
              <w:keepLines w:val="0"/>
              <w:pageBreakBefore w:val="0"/>
              <w:widowControl/>
              <w:suppressLineNumbers w:val="0"/>
              <w:spacing w:line="576" w:lineRule="exact"/>
              <w:jc w:val="center"/>
            </w:pPr>
            <w:r>
              <w:t>其中：</w:t>
            </w:r>
          </w:p>
          <w:p>
            <w:pPr>
              <w:pStyle w:val="195"/>
              <w:keepNext w:val="0"/>
              <w:keepLines w:val="0"/>
              <w:pageBreakBefore w:val="0"/>
              <w:widowControl/>
              <w:suppressLineNumbers w:val="0"/>
              <w:spacing w:line="576" w:lineRule="exact"/>
              <w:jc w:val="center"/>
            </w:pPr>
            <w:r>
              <w:t>财政拨款</w:t>
            </w:r>
          </w:p>
        </w:tc>
        <w:tc>
          <w:tcPr>
            <w:tcW w:w="2415" w:type="dxa"/>
            <w:noWrap/>
            <w:vAlign w:val="center"/>
          </w:tcPr>
          <w:p>
            <w:pPr>
              <w:pStyle w:val="195"/>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blCellSpacing w:w="0" w:type="dxa"/>
        </w:trPr>
        <w:tc>
          <w:tcPr>
            <w:tcW w:w="3120" w:type="dxa"/>
            <w:gridSpan w:val="2"/>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195"/>
              <w:keepNext w:val="0"/>
              <w:keepLines w:val="0"/>
              <w:pageBreakBefore w:val="0"/>
              <w:widowControl/>
              <w:suppressLineNumbers w:val="0"/>
              <w:spacing w:line="576" w:lineRule="exact"/>
              <w:jc w:val="center"/>
            </w:pPr>
            <w:r>
              <w:t>其他资金</w:t>
            </w:r>
          </w:p>
        </w:tc>
        <w:tc>
          <w:tcPr>
            <w:tcW w:w="1185" w:type="dxa"/>
            <w:noWrap/>
            <w:vAlign w:val="center"/>
          </w:tcPr>
          <w:p>
            <w:pPr>
              <w:pStyle w:val="195"/>
              <w:keepNext w:val="0"/>
              <w:keepLines w:val="0"/>
              <w:pageBreakBefore w:val="0"/>
              <w:widowControl/>
              <w:suppressLineNumbers w:val="0"/>
              <w:spacing w:line="576" w:lineRule="exact"/>
              <w:jc w:val="center"/>
            </w:pPr>
            <w:r>
              <w:t> </w:t>
            </w:r>
          </w:p>
        </w:tc>
        <w:tc>
          <w:tcPr>
            <w:tcW w:w="1230" w:type="dxa"/>
            <w:noWrap/>
            <w:vAlign w:val="center"/>
          </w:tcPr>
          <w:p>
            <w:pPr>
              <w:pStyle w:val="195"/>
              <w:keepNext w:val="0"/>
              <w:keepLines w:val="0"/>
              <w:pageBreakBefore w:val="0"/>
              <w:widowControl/>
              <w:suppressLineNumbers w:val="0"/>
              <w:spacing w:line="576" w:lineRule="exact"/>
              <w:jc w:val="center"/>
            </w:pPr>
            <w:r>
              <w:t>其他资金</w:t>
            </w:r>
          </w:p>
        </w:tc>
        <w:tc>
          <w:tcPr>
            <w:tcW w:w="2415" w:type="dxa"/>
            <w:noWrap/>
            <w:vAlign w:val="center"/>
          </w:tcPr>
          <w:p>
            <w:pPr>
              <w:pStyle w:val="195"/>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blCellSpacing w:w="0" w:type="dxa"/>
        </w:trPr>
        <w:tc>
          <w:tcPr>
            <w:tcW w:w="1980" w:type="dxa"/>
            <w:vMerge w:val="restart"/>
            <w:noWrap/>
            <w:vAlign w:val="center"/>
          </w:tcPr>
          <w:p>
            <w:pPr>
              <w:pStyle w:val="195"/>
              <w:keepNext w:val="0"/>
              <w:keepLines w:val="0"/>
              <w:pageBreakBefore w:val="0"/>
              <w:widowControl/>
              <w:suppressLineNumbers w:val="0"/>
              <w:spacing w:line="576" w:lineRule="exact"/>
              <w:jc w:val="center"/>
            </w:pPr>
            <w:r>
              <w:t>年度总体目标</w:t>
            </w:r>
          </w:p>
          <w:p>
            <w:pPr>
              <w:pStyle w:val="195"/>
              <w:keepNext w:val="0"/>
              <w:keepLines w:val="0"/>
              <w:pageBreakBefore w:val="0"/>
              <w:widowControl/>
              <w:suppressLineNumbers w:val="0"/>
              <w:spacing w:line="576" w:lineRule="exact"/>
              <w:jc w:val="center"/>
            </w:pPr>
            <w:r>
              <w:t>完成情况</w:t>
            </w:r>
          </w:p>
        </w:tc>
        <w:tc>
          <w:tcPr>
            <w:tcW w:w="3960" w:type="dxa"/>
            <w:gridSpan w:val="3"/>
            <w:noWrap/>
            <w:vAlign w:val="center"/>
          </w:tcPr>
          <w:p>
            <w:pPr>
              <w:pStyle w:val="195"/>
              <w:keepNext w:val="0"/>
              <w:keepLines w:val="0"/>
              <w:pageBreakBefore w:val="0"/>
              <w:widowControl/>
              <w:suppressLineNumbers w:val="0"/>
              <w:spacing w:line="576" w:lineRule="exact"/>
              <w:jc w:val="center"/>
            </w:pPr>
            <w:r>
              <w:t>预期目标</w:t>
            </w:r>
          </w:p>
        </w:tc>
        <w:tc>
          <w:tcPr>
            <w:tcW w:w="3630" w:type="dxa"/>
            <w:gridSpan w:val="2"/>
            <w:noWrap/>
            <w:vAlign w:val="center"/>
          </w:tcPr>
          <w:p>
            <w:pPr>
              <w:pStyle w:val="195"/>
              <w:keepNext w:val="0"/>
              <w:keepLines w:val="0"/>
              <w:pageBreakBefore w:val="0"/>
              <w:widowControl/>
              <w:suppressLineNumbers w:val="0"/>
              <w:spacing w:line="576" w:lineRule="exact"/>
              <w:jc w:val="center"/>
            </w:pPr>
            <w:r>
              <w:t>目标实际完成情况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3960" w:type="dxa"/>
            <w:gridSpan w:val="3"/>
            <w:noWrap/>
            <w:vAlign w:val="center"/>
          </w:tcPr>
          <w:p>
            <w:pPr>
              <w:pStyle w:val="195"/>
              <w:keepNext w:val="0"/>
              <w:keepLines w:val="0"/>
              <w:pageBreakBefore w:val="0"/>
              <w:widowControl/>
              <w:suppressLineNumbers w:val="0"/>
              <w:spacing w:line="576" w:lineRule="exact"/>
              <w:jc w:val="center"/>
            </w:pPr>
            <w:r>
              <w:t> </w:t>
            </w:r>
          </w:p>
        </w:tc>
        <w:tc>
          <w:tcPr>
            <w:tcW w:w="3630" w:type="dxa"/>
            <w:gridSpan w:val="2"/>
            <w:noWrap/>
            <w:vAlign w:val="center"/>
          </w:tcPr>
          <w:p>
            <w:pPr>
              <w:pStyle w:val="195"/>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blCellSpacing w:w="0" w:type="dxa"/>
        </w:trPr>
        <w:tc>
          <w:tcPr>
            <w:tcW w:w="1980" w:type="dxa"/>
            <w:vMerge w:val="restart"/>
            <w:noWrap/>
            <w:vAlign w:val="center"/>
          </w:tcPr>
          <w:p>
            <w:pPr>
              <w:pStyle w:val="195"/>
              <w:keepNext w:val="0"/>
              <w:keepLines w:val="0"/>
              <w:pageBreakBefore w:val="0"/>
              <w:widowControl/>
              <w:suppressLineNumbers w:val="0"/>
              <w:spacing w:line="576" w:lineRule="exact"/>
              <w:jc w:val="center"/>
            </w:pPr>
            <w:r>
              <w:t>年度绩效指标完成情况</w:t>
            </w:r>
          </w:p>
        </w:tc>
        <w:tc>
          <w:tcPr>
            <w:tcW w:w="1140" w:type="dxa"/>
            <w:noWrap/>
            <w:vAlign w:val="center"/>
          </w:tcPr>
          <w:p>
            <w:pPr>
              <w:pStyle w:val="195"/>
              <w:keepNext w:val="0"/>
              <w:keepLines w:val="0"/>
              <w:pageBreakBefore w:val="0"/>
              <w:widowControl/>
              <w:suppressLineNumbers w:val="0"/>
              <w:spacing w:line="576" w:lineRule="exact"/>
              <w:jc w:val="center"/>
            </w:pPr>
            <w:r>
              <w:t>一级</w:t>
            </w:r>
          </w:p>
          <w:p>
            <w:pPr>
              <w:pStyle w:val="195"/>
              <w:keepNext w:val="0"/>
              <w:keepLines w:val="0"/>
              <w:pageBreakBefore w:val="0"/>
              <w:widowControl/>
              <w:suppressLineNumbers w:val="0"/>
              <w:spacing w:line="576" w:lineRule="exact"/>
              <w:jc w:val="center"/>
            </w:pPr>
            <w:r>
              <w:t>指标</w:t>
            </w:r>
          </w:p>
        </w:tc>
        <w:tc>
          <w:tcPr>
            <w:tcW w:w="1635" w:type="dxa"/>
            <w:noWrap/>
            <w:vAlign w:val="center"/>
          </w:tcPr>
          <w:p>
            <w:pPr>
              <w:pStyle w:val="195"/>
              <w:keepNext w:val="0"/>
              <w:keepLines w:val="0"/>
              <w:pageBreakBefore w:val="0"/>
              <w:widowControl/>
              <w:suppressLineNumbers w:val="0"/>
              <w:spacing w:line="576" w:lineRule="exact"/>
              <w:jc w:val="center"/>
            </w:pPr>
            <w:r>
              <w:t>二级</w:t>
            </w:r>
          </w:p>
          <w:p>
            <w:pPr>
              <w:pStyle w:val="195"/>
              <w:keepNext w:val="0"/>
              <w:keepLines w:val="0"/>
              <w:pageBreakBefore w:val="0"/>
              <w:widowControl/>
              <w:suppressLineNumbers w:val="0"/>
              <w:spacing w:line="576" w:lineRule="exact"/>
              <w:jc w:val="center"/>
            </w:pPr>
            <w:r>
              <w:t>指标</w:t>
            </w:r>
          </w:p>
        </w:tc>
        <w:tc>
          <w:tcPr>
            <w:tcW w:w="1185" w:type="dxa"/>
            <w:noWrap/>
            <w:vAlign w:val="center"/>
          </w:tcPr>
          <w:p>
            <w:pPr>
              <w:pStyle w:val="195"/>
              <w:keepNext w:val="0"/>
              <w:keepLines w:val="0"/>
              <w:pageBreakBefore w:val="0"/>
              <w:widowControl/>
              <w:suppressLineNumbers w:val="0"/>
              <w:spacing w:line="576" w:lineRule="exact"/>
              <w:jc w:val="center"/>
            </w:pPr>
            <w:r>
              <w:t>三级</w:t>
            </w:r>
          </w:p>
          <w:p>
            <w:pPr>
              <w:pStyle w:val="195"/>
              <w:keepNext w:val="0"/>
              <w:keepLines w:val="0"/>
              <w:pageBreakBefore w:val="0"/>
              <w:widowControl/>
              <w:suppressLineNumbers w:val="0"/>
              <w:spacing w:line="576" w:lineRule="exact"/>
              <w:jc w:val="center"/>
            </w:pPr>
            <w:r>
              <w:t>指标</w:t>
            </w:r>
          </w:p>
        </w:tc>
        <w:tc>
          <w:tcPr>
            <w:tcW w:w="1230" w:type="dxa"/>
            <w:noWrap/>
            <w:vAlign w:val="center"/>
          </w:tcPr>
          <w:p>
            <w:pPr>
              <w:pStyle w:val="195"/>
              <w:keepNext w:val="0"/>
              <w:keepLines w:val="0"/>
              <w:pageBreakBefore w:val="0"/>
              <w:widowControl/>
              <w:suppressLineNumbers w:val="0"/>
              <w:spacing w:line="576" w:lineRule="exact"/>
              <w:jc w:val="center"/>
            </w:pPr>
            <w:r>
              <w:t>预期指标值</w:t>
            </w:r>
          </w:p>
        </w:tc>
        <w:tc>
          <w:tcPr>
            <w:tcW w:w="2415" w:type="dxa"/>
            <w:noWrap/>
            <w:vAlign w:val="center"/>
          </w:tcPr>
          <w:p>
            <w:pPr>
              <w:pStyle w:val="195"/>
              <w:keepNext w:val="0"/>
              <w:keepLines w:val="0"/>
              <w:pageBreakBefore w:val="0"/>
              <w:widowControl/>
              <w:suppressLineNumbers w:val="0"/>
              <w:spacing w:line="576" w:lineRule="exact"/>
              <w:jc w:val="center"/>
            </w:pPr>
            <w:r>
              <w:t>实际完成指标值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restart"/>
            <w:noWrap/>
            <w:vAlign w:val="center"/>
          </w:tcPr>
          <w:p>
            <w:pPr>
              <w:pStyle w:val="195"/>
              <w:keepNext w:val="0"/>
              <w:keepLines w:val="0"/>
              <w:pageBreakBefore w:val="0"/>
              <w:widowControl/>
              <w:suppressLineNumbers w:val="0"/>
              <w:spacing w:line="576" w:lineRule="exact"/>
              <w:jc w:val="center"/>
            </w:pPr>
            <w:r>
              <w:t>完成</w:t>
            </w:r>
          </w:p>
          <w:p>
            <w:pPr>
              <w:pStyle w:val="195"/>
              <w:keepNext w:val="0"/>
              <w:keepLines w:val="0"/>
              <w:pageBreakBefore w:val="0"/>
              <w:widowControl/>
              <w:suppressLineNumbers w:val="0"/>
              <w:spacing w:line="576" w:lineRule="exact"/>
              <w:jc w:val="center"/>
            </w:pPr>
            <w:r>
              <w:t>指标</w:t>
            </w:r>
          </w:p>
        </w:tc>
        <w:tc>
          <w:tcPr>
            <w:tcW w:w="1635" w:type="dxa"/>
            <w:noWrap/>
            <w:vAlign w:val="center"/>
          </w:tcPr>
          <w:p>
            <w:pPr>
              <w:pStyle w:val="195"/>
              <w:keepNext w:val="0"/>
              <w:keepLines w:val="0"/>
              <w:pageBreakBefore w:val="0"/>
              <w:widowControl/>
              <w:suppressLineNumbers w:val="0"/>
              <w:spacing w:line="576" w:lineRule="exact"/>
              <w:jc w:val="center"/>
            </w:pPr>
            <w:r>
              <w:t>数量指标</w:t>
            </w:r>
          </w:p>
        </w:tc>
        <w:tc>
          <w:tcPr>
            <w:tcW w:w="1185" w:type="dxa"/>
            <w:noWrap/>
            <w:vAlign w:val="center"/>
          </w:tcPr>
          <w:p>
            <w:pPr>
              <w:pStyle w:val="195"/>
              <w:keepNext w:val="0"/>
              <w:keepLines w:val="0"/>
              <w:pageBreakBefore w:val="0"/>
              <w:widowControl/>
              <w:suppressLineNumbers w:val="0"/>
              <w:spacing w:line="576" w:lineRule="exact"/>
              <w:jc w:val="center"/>
            </w:pPr>
            <w:r>
              <w:t> </w:t>
            </w:r>
          </w:p>
        </w:tc>
        <w:tc>
          <w:tcPr>
            <w:tcW w:w="1230" w:type="dxa"/>
            <w:noWrap/>
            <w:vAlign w:val="center"/>
          </w:tcPr>
          <w:p>
            <w:pPr>
              <w:pStyle w:val="195"/>
              <w:keepNext w:val="0"/>
              <w:keepLines w:val="0"/>
              <w:pageBreakBefore w:val="0"/>
              <w:widowControl/>
              <w:suppressLineNumbers w:val="0"/>
              <w:spacing w:line="576" w:lineRule="exact"/>
              <w:jc w:val="center"/>
            </w:pPr>
            <w:r>
              <w:t> </w:t>
            </w:r>
          </w:p>
        </w:tc>
        <w:tc>
          <w:tcPr>
            <w:tcW w:w="2415" w:type="dxa"/>
            <w:noWrap/>
            <w:vAlign w:val="center"/>
          </w:tcPr>
          <w:p>
            <w:pPr>
              <w:pStyle w:val="195"/>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195"/>
              <w:keepNext w:val="0"/>
              <w:keepLines w:val="0"/>
              <w:pageBreakBefore w:val="0"/>
              <w:widowControl/>
              <w:suppressLineNumbers w:val="0"/>
              <w:spacing w:line="576" w:lineRule="exact"/>
              <w:jc w:val="center"/>
            </w:pPr>
            <w:r>
              <w:t>质量指标</w:t>
            </w:r>
          </w:p>
        </w:tc>
        <w:tc>
          <w:tcPr>
            <w:tcW w:w="1185" w:type="dxa"/>
            <w:noWrap/>
            <w:vAlign w:val="center"/>
          </w:tcPr>
          <w:p>
            <w:pPr>
              <w:pStyle w:val="195"/>
              <w:keepNext w:val="0"/>
              <w:keepLines w:val="0"/>
              <w:pageBreakBefore w:val="0"/>
              <w:widowControl/>
              <w:suppressLineNumbers w:val="0"/>
              <w:spacing w:line="576" w:lineRule="exact"/>
              <w:jc w:val="center"/>
            </w:pPr>
            <w:r>
              <w:t> </w:t>
            </w:r>
          </w:p>
        </w:tc>
        <w:tc>
          <w:tcPr>
            <w:tcW w:w="1230" w:type="dxa"/>
            <w:noWrap/>
            <w:vAlign w:val="center"/>
          </w:tcPr>
          <w:p>
            <w:pPr>
              <w:pStyle w:val="195"/>
              <w:keepNext w:val="0"/>
              <w:keepLines w:val="0"/>
              <w:pageBreakBefore w:val="0"/>
              <w:widowControl/>
              <w:suppressLineNumbers w:val="0"/>
              <w:spacing w:line="576" w:lineRule="exact"/>
              <w:jc w:val="center"/>
            </w:pPr>
            <w:r>
              <w:t> </w:t>
            </w:r>
          </w:p>
        </w:tc>
        <w:tc>
          <w:tcPr>
            <w:tcW w:w="2415" w:type="dxa"/>
            <w:noWrap/>
            <w:vAlign w:val="center"/>
          </w:tcPr>
          <w:p>
            <w:pPr>
              <w:pStyle w:val="195"/>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195"/>
              <w:keepNext w:val="0"/>
              <w:keepLines w:val="0"/>
              <w:pageBreakBefore w:val="0"/>
              <w:widowControl/>
              <w:suppressLineNumbers w:val="0"/>
              <w:spacing w:line="576" w:lineRule="exact"/>
              <w:jc w:val="center"/>
            </w:pPr>
            <w:r>
              <w:t>时效指标</w:t>
            </w:r>
          </w:p>
        </w:tc>
        <w:tc>
          <w:tcPr>
            <w:tcW w:w="1185" w:type="dxa"/>
            <w:noWrap/>
            <w:vAlign w:val="center"/>
          </w:tcPr>
          <w:p>
            <w:pPr>
              <w:pStyle w:val="195"/>
              <w:keepNext w:val="0"/>
              <w:keepLines w:val="0"/>
              <w:pageBreakBefore w:val="0"/>
              <w:widowControl/>
              <w:suppressLineNumbers w:val="0"/>
              <w:spacing w:line="576" w:lineRule="exact"/>
              <w:jc w:val="center"/>
            </w:pPr>
            <w:r>
              <w:t> </w:t>
            </w:r>
          </w:p>
        </w:tc>
        <w:tc>
          <w:tcPr>
            <w:tcW w:w="1230" w:type="dxa"/>
            <w:noWrap/>
            <w:vAlign w:val="center"/>
          </w:tcPr>
          <w:p>
            <w:pPr>
              <w:pStyle w:val="195"/>
              <w:keepNext w:val="0"/>
              <w:keepLines w:val="0"/>
              <w:pageBreakBefore w:val="0"/>
              <w:widowControl/>
              <w:suppressLineNumbers w:val="0"/>
              <w:spacing w:line="576" w:lineRule="exact"/>
              <w:jc w:val="center"/>
            </w:pPr>
            <w:r>
              <w:t> </w:t>
            </w:r>
          </w:p>
        </w:tc>
        <w:tc>
          <w:tcPr>
            <w:tcW w:w="2415" w:type="dxa"/>
            <w:noWrap/>
            <w:vAlign w:val="center"/>
          </w:tcPr>
          <w:p>
            <w:pPr>
              <w:pStyle w:val="195"/>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195"/>
              <w:keepNext w:val="0"/>
              <w:keepLines w:val="0"/>
              <w:pageBreakBefore w:val="0"/>
              <w:widowControl/>
              <w:suppressLineNumbers w:val="0"/>
              <w:spacing w:line="576" w:lineRule="exact"/>
              <w:jc w:val="center"/>
            </w:pPr>
            <w:r>
              <w:t>成本指标</w:t>
            </w:r>
          </w:p>
        </w:tc>
        <w:tc>
          <w:tcPr>
            <w:tcW w:w="1185" w:type="dxa"/>
            <w:noWrap/>
            <w:vAlign w:val="center"/>
          </w:tcPr>
          <w:p>
            <w:pPr>
              <w:pStyle w:val="195"/>
              <w:keepNext w:val="0"/>
              <w:keepLines w:val="0"/>
              <w:pageBreakBefore w:val="0"/>
              <w:widowControl/>
              <w:suppressLineNumbers w:val="0"/>
              <w:spacing w:line="576" w:lineRule="exact"/>
              <w:jc w:val="center"/>
            </w:pPr>
            <w:r>
              <w:t> </w:t>
            </w:r>
          </w:p>
        </w:tc>
        <w:tc>
          <w:tcPr>
            <w:tcW w:w="1230" w:type="dxa"/>
            <w:noWrap/>
            <w:vAlign w:val="center"/>
          </w:tcPr>
          <w:p>
            <w:pPr>
              <w:pStyle w:val="195"/>
              <w:keepNext w:val="0"/>
              <w:keepLines w:val="0"/>
              <w:pageBreakBefore w:val="0"/>
              <w:widowControl/>
              <w:suppressLineNumbers w:val="0"/>
              <w:spacing w:line="576" w:lineRule="exact"/>
              <w:jc w:val="center"/>
            </w:pPr>
            <w:r>
              <w:t> </w:t>
            </w:r>
          </w:p>
        </w:tc>
        <w:tc>
          <w:tcPr>
            <w:tcW w:w="2415" w:type="dxa"/>
            <w:noWrap/>
            <w:vAlign w:val="center"/>
          </w:tcPr>
          <w:p>
            <w:pPr>
              <w:pStyle w:val="195"/>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restart"/>
            <w:noWrap/>
            <w:vAlign w:val="center"/>
          </w:tcPr>
          <w:p>
            <w:pPr>
              <w:pStyle w:val="195"/>
              <w:keepNext w:val="0"/>
              <w:keepLines w:val="0"/>
              <w:pageBreakBefore w:val="0"/>
              <w:widowControl/>
              <w:suppressLineNumbers w:val="0"/>
              <w:spacing w:line="576" w:lineRule="exact"/>
              <w:jc w:val="center"/>
            </w:pPr>
            <w:r>
              <w:t>效益</w:t>
            </w:r>
          </w:p>
          <w:p>
            <w:pPr>
              <w:pStyle w:val="195"/>
              <w:keepNext w:val="0"/>
              <w:keepLines w:val="0"/>
              <w:pageBreakBefore w:val="0"/>
              <w:widowControl/>
              <w:suppressLineNumbers w:val="0"/>
              <w:spacing w:line="576" w:lineRule="exact"/>
              <w:jc w:val="center"/>
            </w:pPr>
            <w:r>
              <w:t>指标</w:t>
            </w:r>
          </w:p>
        </w:tc>
        <w:tc>
          <w:tcPr>
            <w:tcW w:w="1635" w:type="dxa"/>
            <w:noWrap/>
            <w:vAlign w:val="center"/>
          </w:tcPr>
          <w:p>
            <w:pPr>
              <w:pStyle w:val="195"/>
              <w:keepNext w:val="0"/>
              <w:keepLines w:val="0"/>
              <w:pageBreakBefore w:val="0"/>
              <w:widowControl/>
              <w:suppressLineNumbers w:val="0"/>
              <w:spacing w:line="576" w:lineRule="exact"/>
              <w:jc w:val="center"/>
            </w:pPr>
            <w:r>
              <w:t>经济效益指标</w:t>
            </w:r>
          </w:p>
        </w:tc>
        <w:tc>
          <w:tcPr>
            <w:tcW w:w="1185" w:type="dxa"/>
            <w:noWrap/>
            <w:vAlign w:val="center"/>
          </w:tcPr>
          <w:p>
            <w:pPr>
              <w:pStyle w:val="195"/>
              <w:keepNext w:val="0"/>
              <w:keepLines w:val="0"/>
              <w:pageBreakBefore w:val="0"/>
              <w:widowControl/>
              <w:suppressLineNumbers w:val="0"/>
              <w:spacing w:line="576" w:lineRule="exact"/>
              <w:jc w:val="center"/>
            </w:pPr>
            <w:r>
              <w:t> </w:t>
            </w:r>
          </w:p>
        </w:tc>
        <w:tc>
          <w:tcPr>
            <w:tcW w:w="1230" w:type="dxa"/>
            <w:noWrap/>
            <w:vAlign w:val="center"/>
          </w:tcPr>
          <w:p>
            <w:pPr>
              <w:pStyle w:val="195"/>
              <w:keepNext w:val="0"/>
              <w:keepLines w:val="0"/>
              <w:pageBreakBefore w:val="0"/>
              <w:widowControl/>
              <w:suppressLineNumbers w:val="0"/>
              <w:spacing w:line="576" w:lineRule="exact"/>
              <w:jc w:val="center"/>
            </w:pPr>
            <w:r>
              <w:t> </w:t>
            </w:r>
          </w:p>
        </w:tc>
        <w:tc>
          <w:tcPr>
            <w:tcW w:w="2415" w:type="dxa"/>
            <w:noWrap/>
            <w:vAlign w:val="center"/>
          </w:tcPr>
          <w:p>
            <w:pPr>
              <w:pStyle w:val="195"/>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195"/>
              <w:keepNext w:val="0"/>
              <w:keepLines w:val="0"/>
              <w:pageBreakBefore w:val="0"/>
              <w:widowControl/>
              <w:suppressLineNumbers w:val="0"/>
              <w:spacing w:line="576" w:lineRule="exact"/>
              <w:jc w:val="center"/>
            </w:pPr>
            <w:r>
              <w:t>社会效益指标</w:t>
            </w:r>
          </w:p>
        </w:tc>
        <w:tc>
          <w:tcPr>
            <w:tcW w:w="1185" w:type="dxa"/>
            <w:noWrap/>
            <w:vAlign w:val="center"/>
          </w:tcPr>
          <w:p>
            <w:pPr>
              <w:pStyle w:val="195"/>
              <w:keepNext w:val="0"/>
              <w:keepLines w:val="0"/>
              <w:pageBreakBefore w:val="0"/>
              <w:widowControl/>
              <w:suppressLineNumbers w:val="0"/>
              <w:spacing w:line="576" w:lineRule="exact"/>
              <w:jc w:val="center"/>
            </w:pPr>
            <w:r>
              <w:t> </w:t>
            </w:r>
          </w:p>
        </w:tc>
        <w:tc>
          <w:tcPr>
            <w:tcW w:w="1230" w:type="dxa"/>
            <w:noWrap/>
            <w:vAlign w:val="center"/>
          </w:tcPr>
          <w:p>
            <w:pPr>
              <w:pStyle w:val="195"/>
              <w:keepNext w:val="0"/>
              <w:keepLines w:val="0"/>
              <w:pageBreakBefore w:val="0"/>
              <w:widowControl/>
              <w:suppressLineNumbers w:val="0"/>
              <w:spacing w:line="576" w:lineRule="exact"/>
              <w:jc w:val="center"/>
            </w:pPr>
            <w:r>
              <w:t> </w:t>
            </w:r>
          </w:p>
        </w:tc>
        <w:tc>
          <w:tcPr>
            <w:tcW w:w="2415" w:type="dxa"/>
            <w:noWrap/>
            <w:vAlign w:val="center"/>
          </w:tcPr>
          <w:p>
            <w:pPr>
              <w:pStyle w:val="195"/>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195"/>
              <w:keepNext w:val="0"/>
              <w:keepLines w:val="0"/>
              <w:pageBreakBefore w:val="0"/>
              <w:widowControl/>
              <w:suppressLineNumbers w:val="0"/>
              <w:spacing w:line="576" w:lineRule="exact"/>
              <w:ind w:left="423"/>
              <w:jc w:val="both"/>
            </w:pPr>
            <w:r>
              <w:t>生态效益指标</w:t>
            </w:r>
          </w:p>
        </w:tc>
        <w:tc>
          <w:tcPr>
            <w:tcW w:w="1185" w:type="dxa"/>
            <w:noWrap/>
            <w:vAlign w:val="center"/>
          </w:tcPr>
          <w:p>
            <w:pPr>
              <w:pStyle w:val="195"/>
              <w:keepNext w:val="0"/>
              <w:keepLines w:val="0"/>
              <w:pageBreakBefore w:val="0"/>
              <w:widowControl/>
              <w:suppressLineNumbers w:val="0"/>
              <w:spacing w:line="576" w:lineRule="exact"/>
              <w:jc w:val="center"/>
            </w:pPr>
            <w:r>
              <w:t> </w:t>
            </w:r>
          </w:p>
        </w:tc>
        <w:tc>
          <w:tcPr>
            <w:tcW w:w="1230" w:type="dxa"/>
            <w:noWrap/>
            <w:vAlign w:val="center"/>
          </w:tcPr>
          <w:p>
            <w:pPr>
              <w:pStyle w:val="195"/>
              <w:keepNext w:val="0"/>
              <w:keepLines w:val="0"/>
              <w:pageBreakBefore w:val="0"/>
              <w:widowControl/>
              <w:suppressLineNumbers w:val="0"/>
              <w:spacing w:line="576" w:lineRule="exact"/>
              <w:jc w:val="center"/>
            </w:pPr>
            <w:r>
              <w:t> </w:t>
            </w:r>
          </w:p>
        </w:tc>
        <w:tc>
          <w:tcPr>
            <w:tcW w:w="2415" w:type="dxa"/>
            <w:noWrap/>
            <w:vAlign w:val="center"/>
          </w:tcPr>
          <w:p>
            <w:pPr>
              <w:pStyle w:val="195"/>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vMerge w:val="continue"/>
            <w:noWrap/>
            <w:vAlign w:val="center"/>
          </w:tcPr>
          <w:p>
            <w:pPr>
              <w:pageBreakBefore w:val="0"/>
              <w:spacing w:line="576" w:lineRule="exact"/>
              <w:rPr>
                <w:rFonts w:hint="eastAsia" w:ascii="宋体"/>
                <w:sz w:val="24"/>
                <w:szCs w:val="24"/>
              </w:rPr>
            </w:pPr>
          </w:p>
        </w:tc>
        <w:tc>
          <w:tcPr>
            <w:tcW w:w="1635" w:type="dxa"/>
            <w:noWrap/>
            <w:vAlign w:val="center"/>
          </w:tcPr>
          <w:p>
            <w:pPr>
              <w:pStyle w:val="195"/>
              <w:keepNext w:val="0"/>
              <w:keepLines w:val="0"/>
              <w:pageBreakBefore w:val="0"/>
              <w:widowControl/>
              <w:suppressLineNumbers w:val="0"/>
              <w:spacing w:line="576" w:lineRule="exact"/>
              <w:jc w:val="center"/>
            </w:pPr>
            <w:r>
              <w:t>可持续影响指标</w:t>
            </w:r>
          </w:p>
        </w:tc>
        <w:tc>
          <w:tcPr>
            <w:tcW w:w="1185" w:type="dxa"/>
            <w:noWrap/>
            <w:vAlign w:val="center"/>
          </w:tcPr>
          <w:p>
            <w:pPr>
              <w:pStyle w:val="195"/>
              <w:keepNext w:val="0"/>
              <w:keepLines w:val="0"/>
              <w:pageBreakBefore w:val="0"/>
              <w:widowControl/>
              <w:suppressLineNumbers w:val="0"/>
              <w:spacing w:line="576" w:lineRule="exact"/>
              <w:jc w:val="center"/>
            </w:pPr>
            <w:r>
              <w:t> </w:t>
            </w:r>
          </w:p>
        </w:tc>
        <w:tc>
          <w:tcPr>
            <w:tcW w:w="1230" w:type="dxa"/>
            <w:noWrap/>
            <w:vAlign w:val="center"/>
          </w:tcPr>
          <w:p>
            <w:pPr>
              <w:pStyle w:val="195"/>
              <w:keepNext w:val="0"/>
              <w:keepLines w:val="0"/>
              <w:pageBreakBefore w:val="0"/>
              <w:widowControl/>
              <w:suppressLineNumbers w:val="0"/>
              <w:spacing w:line="576" w:lineRule="exact"/>
              <w:jc w:val="center"/>
            </w:pPr>
            <w:r>
              <w:t> </w:t>
            </w:r>
          </w:p>
        </w:tc>
        <w:tc>
          <w:tcPr>
            <w:tcW w:w="2415" w:type="dxa"/>
            <w:noWrap/>
            <w:vAlign w:val="center"/>
          </w:tcPr>
          <w:p>
            <w:pPr>
              <w:pStyle w:val="195"/>
              <w:keepNext w:val="0"/>
              <w:keepLines w:val="0"/>
              <w:pageBreakBefore w:val="0"/>
              <w:widowControl/>
              <w:suppressLineNumbers w:val="0"/>
              <w:spacing w:line="576" w:lineRule="exact"/>
              <w:jc w:val="center"/>
            </w:pPr>
            <w: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blCellSpacing w:w="0" w:type="dxa"/>
        </w:trPr>
        <w:tc>
          <w:tcPr>
            <w:tcW w:w="1980" w:type="dxa"/>
            <w:vMerge w:val="continue"/>
            <w:noWrap/>
            <w:vAlign w:val="center"/>
          </w:tcPr>
          <w:p>
            <w:pPr>
              <w:pageBreakBefore w:val="0"/>
              <w:spacing w:line="576" w:lineRule="exact"/>
              <w:rPr>
                <w:rFonts w:hint="eastAsia" w:ascii="宋体"/>
                <w:sz w:val="24"/>
                <w:szCs w:val="24"/>
              </w:rPr>
            </w:pPr>
          </w:p>
        </w:tc>
        <w:tc>
          <w:tcPr>
            <w:tcW w:w="1140" w:type="dxa"/>
            <w:noWrap/>
            <w:vAlign w:val="center"/>
          </w:tcPr>
          <w:p>
            <w:pPr>
              <w:pStyle w:val="195"/>
              <w:keepNext w:val="0"/>
              <w:keepLines w:val="0"/>
              <w:pageBreakBefore w:val="0"/>
              <w:widowControl/>
              <w:suppressLineNumbers w:val="0"/>
              <w:spacing w:line="576" w:lineRule="exact"/>
              <w:jc w:val="center"/>
            </w:pPr>
            <w:r>
              <w:t>满意</w:t>
            </w:r>
          </w:p>
          <w:p>
            <w:pPr>
              <w:pStyle w:val="195"/>
              <w:keepNext w:val="0"/>
              <w:keepLines w:val="0"/>
              <w:pageBreakBefore w:val="0"/>
              <w:widowControl/>
              <w:suppressLineNumbers w:val="0"/>
              <w:spacing w:line="576" w:lineRule="exact"/>
              <w:jc w:val="center"/>
            </w:pPr>
            <w:r>
              <w:t>度指标</w:t>
            </w:r>
          </w:p>
        </w:tc>
        <w:tc>
          <w:tcPr>
            <w:tcW w:w="1635" w:type="dxa"/>
            <w:noWrap/>
            <w:vAlign w:val="center"/>
          </w:tcPr>
          <w:p>
            <w:pPr>
              <w:pStyle w:val="195"/>
              <w:keepNext w:val="0"/>
              <w:keepLines w:val="0"/>
              <w:pageBreakBefore w:val="0"/>
              <w:widowControl/>
              <w:suppressLineNumbers w:val="0"/>
              <w:spacing w:line="576" w:lineRule="exact"/>
              <w:jc w:val="center"/>
            </w:pPr>
            <w:r>
              <w:t>满意度</w:t>
            </w:r>
          </w:p>
          <w:p>
            <w:pPr>
              <w:pStyle w:val="195"/>
              <w:keepNext w:val="0"/>
              <w:keepLines w:val="0"/>
              <w:pageBreakBefore w:val="0"/>
              <w:widowControl/>
              <w:suppressLineNumbers w:val="0"/>
              <w:spacing w:line="576" w:lineRule="exact"/>
              <w:jc w:val="center"/>
            </w:pPr>
            <w:r>
              <w:t>指标</w:t>
            </w:r>
          </w:p>
        </w:tc>
        <w:tc>
          <w:tcPr>
            <w:tcW w:w="1185" w:type="dxa"/>
            <w:noWrap/>
            <w:vAlign w:val="center"/>
          </w:tcPr>
          <w:p>
            <w:pPr>
              <w:pStyle w:val="195"/>
              <w:keepNext w:val="0"/>
              <w:keepLines w:val="0"/>
              <w:pageBreakBefore w:val="0"/>
              <w:widowControl/>
              <w:suppressLineNumbers w:val="0"/>
              <w:spacing w:line="576" w:lineRule="exact"/>
              <w:jc w:val="center"/>
            </w:pPr>
            <w:r>
              <w:t> </w:t>
            </w:r>
          </w:p>
        </w:tc>
        <w:tc>
          <w:tcPr>
            <w:tcW w:w="1230" w:type="dxa"/>
            <w:noWrap/>
            <w:vAlign w:val="center"/>
          </w:tcPr>
          <w:p>
            <w:pPr>
              <w:pStyle w:val="195"/>
              <w:keepNext w:val="0"/>
              <w:keepLines w:val="0"/>
              <w:pageBreakBefore w:val="0"/>
              <w:widowControl/>
              <w:suppressLineNumbers w:val="0"/>
              <w:spacing w:line="576" w:lineRule="exact"/>
              <w:jc w:val="center"/>
            </w:pPr>
            <w:r>
              <w:t> </w:t>
            </w:r>
          </w:p>
        </w:tc>
        <w:tc>
          <w:tcPr>
            <w:tcW w:w="2415" w:type="dxa"/>
            <w:noWrap/>
            <w:vAlign w:val="center"/>
          </w:tcPr>
          <w:p>
            <w:pPr>
              <w:pStyle w:val="195"/>
              <w:keepNext w:val="0"/>
              <w:keepLines w:val="0"/>
              <w:pageBreakBefore w:val="0"/>
              <w:widowControl/>
              <w:suppressLineNumbers w:val="0"/>
              <w:spacing w:line="576" w:lineRule="exact"/>
              <w:jc w:val="center"/>
            </w:pPr>
            <w:r>
              <w:t> </w:t>
            </w:r>
          </w:p>
        </w:tc>
      </w:tr>
    </w:tbl>
    <w:p>
      <w:pPr>
        <w:pStyle w:val="195"/>
        <w:keepNext w:val="0"/>
        <w:keepLines w:val="0"/>
        <w:pageBreakBefore w:val="0"/>
        <w:widowControl/>
        <w:suppressLineNumbers w:val="0"/>
        <w:spacing w:line="576" w:lineRule="exact"/>
        <w:jc w:val="left"/>
      </w:pPr>
      <w:r>
        <w:t>（注：有两个及以上100万元以上（含）特定目标类部门预算项目的，需分别开展绩效目标自评并填写附表）</w:t>
      </w:r>
    </w:p>
    <w:p>
      <w:pPr>
        <w:pStyle w:val="195"/>
        <w:keepNext w:val="0"/>
        <w:keepLines w:val="0"/>
        <w:pageBreakBefore w:val="0"/>
        <w:widowControl/>
        <w:suppressLineNumbers w:val="0"/>
        <w:spacing w:line="576" w:lineRule="exact"/>
      </w:pPr>
      <w:r>
        <w:t> </w:t>
      </w:r>
    </w:p>
    <w:p>
      <w:pPr>
        <w:pStyle w:val="195"/>
        <w:keepNext w:val="0"/>
        <w:keepLines w:val="0"/>
        <w:pageBreakBefore w:val="0"/>
        <w:widowControl/>
        <w:suppressLineNumbers w:val="0"/>
        <w:spacing w:line="576" w:lineRule="exact"/>
      </w:pPr>
      <w:r>
        <w:t> </w:t>
      </w:r>
    </w:p>
    <w:p>
      <w:pPr>
        <w:pStyle w:val="195"/>
        <w:keepNext w:val="0"/>
        <w:keepLines w:val="0"/>
        <w:pageBreakBefore w:val="0"/>
        <w:widowControl/>
        <w:suppressLineNumbers w:val="0"/>
        <w:spacing w:line="576" w:lineRule="exact"/>
        <w:jc w:val="left"/>
      </w:pPr>
      <w:r>
        <w:t> </w:t>
      </w:r>
    </w:p>
    <w:p>
      <w:pPr>
        <w:pageBreakBefore w:val="0"/>
        <w:spacing w:line="576" w:lineRule="exact"/>
        <w:jc w:val="center"/>
        <w:outlineLvl w:val="0"/>
        <w:rPr>
          <w:rFonts w:hint="eastAsia" w:ascii="黑体" w:hAnsi="Times New Roman" w:eastAsia="黑体" w:cs="Times New Roman"/>
          <w:color w:val="000000"/>
          <w:sz w:val="44"/>
          <w:szCs w:val="44"/>
        </w:rPr>
      </w:pPr>
      <w:bookmarkStart w:id="53" w:name="_Toc6196"/>
      <w:bookmarkStart w:id="54" w:name="_Toc9504"/>
      <w:r>
        <w:rPr>
          <w:rFonts w:hint="eastAsia" w:ascii="黑体" w:hAnsi="Times New Roman" w:eastAsia="黑体" w:cs="Times New Roman"/>
          <w:color w:val="000000"/>
          <w:sz w:val="44"/>
          <w:szCs w:val="44"/>
        </w:rPr>
        <w:t>第五部分 附表</w:t>
      </w:r>
      <w:bookmarkEnd w:id="53"/>
      <w:bookmarkEnd w:id="54"/>
    </w:p>
    <w:p>
      <w:pPr>
        <w:pStyle w:val="184"/>
        <w:keepNext/>
        <w:keepLines/>
        <w:pageBreakBefore w:val="0"/>
        <w:spacing w:before="260" w:beforeAutospacing="0" w:after="260" w:afterAutospacing="0" w:line="576" w:lineRule="exact"/>
        <w:jc w:val="both"/>
        <w:outlineLvl w:val="1"/>
        <w:rPr>
          <w:rFonts w:hint="eastAsia" w:ascii="仿宋" w:hAnsi="Cambria" w:eastAsia="仿宋" w:cs="Times New Roman"/>
          <w:b w:val="0"/>
          <w:color w:val="000000"/>
          <w:sz w:val="32"/>
          <w:szCs w:val="32"/>
          <w:lang w:bidi="ar-SA"/>
        </w:rPr>
      </w:pPr>
      <w:bookmarkStart w:id="55" w:name="_Toc12986"/>
      <w:bookmarkStart w:id="56" w:name="_Toc26370"/>
      <w:r>
        <w:rPr>
          <w:rFonts w:hint="eastAsia" w:ascii="仿宋" w:hAnsi="Cambria" w:eastAsia="仿宋" w:cs="Times New Roman"/>
          <w:b w:val="0"/>
          <w:color w:val="000000"/>
          <w:sz w:val="32"/>
          <w:szCs w:val="32"/>
          <w:lang w:bidi="ar-SA"/>
        </w:rPr>
        <w:t>一、收入支出决算总表</w:t>
      </w:r>
      <w:bookmarkEnd w:id="55"/>
      <w:bookmarkEnd w:id="56"/>
    </w:p>
    <w:p>
      <w:pPr>
        <w:pStyle w:val="184"/>
        <w:keepNext/>
        <w:keepLines/>
        <w:pageBreakBefore w:val="0"/>
        <w:spacing w:before="260" w:beforeAutospacing="0" w:after="260" w:afterAutospacing="0" w:line="576" w:lineRule="exact"/>
        <w:jc w:val="both"/>
        <w:outlineLvl w:val="1"/>
        <w:rPr>
          <w:rFonts w:hint="eastAsia" w:ascii="仿宋" w:hAnsi="Cambria" w:eastAsia="仿宋" w:cs="Times New Roman"/>
          <w:b w:val="0"/>
          <w:color w:val="000000"/>
          <w:sz w:val="32"/>
          <w:szCs w:val="32"/>
          <w:lang w:bidi="ar-SA"/>
        </w:rPr>
      </w:pPr>
      <w:bookmarkStart w:id="57" w:name="_Toc13062"/>
      <w:bookmarkStart w:id="58" w:name="_Toc13591"/>
      <w:r>
        <w:rPr>
          <w:rFonts w:hint="eastAsia" w:ascii="仿宋" w:hAnsi="Cambria" w:eastAsia="仿宋" w:cs="Times New Roman"/>
          <w:b w:val="0"/>
          <w:color w:val="000000"/>
          <w:sz w:val="32"/>
          <w:szCs w:val="32"/>
          <w:lang w:bidi="ar-SA"/>
        </w:rPr>
        <w:t>二、收入决算表</w:t>
      </w:r>
      <w:bookmarkEnd w:id="57"/>
      <w:bookmarkEnd w:id="58"/>
    </w:p>
    <w:p>
      <w:pPr>
        <w:pStyle w:val="184"/>
        <w:keepNext/>
        <w:keepLines/>
        <w:pageBreakBefore w:val="0"/>
        <w:spacing w:before="260" w:beforeAutospacing="0" w:after="260" w:afterAutospacing="0" w:line="576" w:lineRule="exact"/>
        <w:jc w:val="both"/>
        <w:outlineLvl w:val="1"/>
        <w:rPr>
          <w:rFonts w:hint="eastAsia" w:ascii="仿宋" w:hAnsi="Cambria" w:eastAsia="仿宋" w:cs="Times New Roman"/>
          <w:b w:val="0"/>
          <w:color w:val="000000"/>
          <w:sz w:val="32"/>
          <w:szCs w:val="32"/>
          <w:lang w:bidi="ar-SA"/>
        </w:rPr>
      </w:pPr>
      <w:bookmarkStart w:id="59" w:name="_Toc29688"/>
      <w:bookmarkStart w:id="60" w:name="_Toc16600"/>
      <w:r>
        <w:rPr>
          <w:rFonts w:hint="eastAsia" w:ascii="仿宋" w:hAnsi="Cambria" w:eastAsia="仿宋" w:cs="Times New Roman"/>
          <w:b w:val="0"/>
          <w:color w:val="000000"/>
          <w:sz w:val="32"/>
          <w:szCs w:val="32"/>
          <w:lang w:bidi="ar-SA"/>
        </w:rPr>
        <w:t>三、支出决算表</w:t>
      </w:r>
      <w:bookmarkEnd w:id="59"/>
      <w:bookmarkEnd w:id="60"/>
    </w:p>
    <w:p>
      <w:pPr>
        <w:pStyle w:val="184"/>
        <w:keepNext/>
        <w:keepLines/>
        <w:pageBreakBefore w:val="0"/>
        <w:spacing w:before="260" w:beforeAutospacing="0" w:after="260" w:afterAutospacing="0" w:line="576" w:lineRule="exact"/>
        <w:jc w:val="both"/>
        <w:outlineLvl w:val="1"/>
        <w:rPr>
          <w:rFonts w:hint="eastAsia" w:ascii="仿宋" w:hAnsi="Cambria" w:eastAsia="仿宋" w:cs="Times New Roman"/>
          <w:b w:val="0"/>
          <w:color w:val="000000"/>
          <w:sz w:val="32"/>
          <w:szCs w:val="32"/>
          <w:lang w:bidi="ar-SA"/>
        </w:rPr>
      </w:pPr>
      <w:bookmarkStart w:id="61" w:name="_Toc26630"/>
      <w:bookmarkStart w:id="62" w:name="_Toc5964"/>
      <w:r>
        <w:rPr>
          <w:rFonts w:hint="eastAsia" w:ascii="仿宋" w:hAnsi="Cambria" w:eastAsia="仿宋" w:cs="Times New Roman"/>
          <w:b w:val="0"/>
          <w:color w:val="000000"/>
          <w:sz w:val="32"/>
          <w:szCs w:val="32"/>
          <w:lang w:bidi="ar-SA"/>
        </w:rPr>
        <w:t>四、财政拨款收入支出决算总表</w:t>
      </w:r>
      <w:bookmarkEnd w:id="61"/>
      <w:bookmarkEnd w:id="62"/>
    </w:p>
    <w:p>
      <w:pPr>
        <w:pStyle w:val="184"/>
        <w:keepNext/>
        <w:keepLines/>
        <w:pageBreakBefore w:val="0"/>
        <w:spacing w:before="260" w:beforeAutospacing="0" w:after="260" w:afterAutospacing="0" w:line="576" w:lineRule="exact"/>
        <w:jc w:val="both"/>
        <w:outlineLvl w:val="1"/>
        <w:rPr>
          <w:rFonts w:hint="eastAsia" w:ascii="仿宋" w:hAnsi="Cambria" w:eastAsia="仿宋" w:cs="Times New Roman"/>
          <w:b w:val="0"/>
          <w:color w:val="000000"/>
          <w:sz w:val="32"/>
          <w:szCs w:val="32"/>
          <w:lang w:bidi="ar-SA"/>
        </w:rPr>
      </w:pPr>
      <w:bookmarkStart w:id="63" w:name="_Toc19934"/>
      <w:r>
        <w:rPr>
          <w:rFonts w:hint="eastAsia" w:ascii="仿宋" w:hAnsi="Cambria" w:eastAsia="仿宋" w:cs="Times New Roman"/>
          <w:b w:val="0"/>
          <w:color w:val="000000"/>
          <w:sz w:val="32"/>
          <w:szCs w:val="32"/>
          <w:lang w:bidi="ar-SA"/>
        </w:rPr>
        <w:t>五、财政拨款支出决算明细表</w:t>
      </w:r>
      <w:bookmarkEnd w:id="63"/>
    </w:p>
    <w:p>
      <w:pPr>
        <w:pStyle w:val="184"/>
        <w:keepNext/>
        <w:keepLines/>
        <w:pageBreakBefore w:val="0"/>
        <w:spacing w:before="260" w:beforeAutospacing="0" w:after="260" w:afterAutospacing="0" w:line="576"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六、一般公共预算财政拨款支出决算表</w:t>
      </w:r>
    </w:p>
    <w:p>
      <w:pPr>
        <w:pStyle w:val="184"/>
        <w:keepNext/>
        <w:keepLines/>
        <w:pageBreakBefore w:val="0"/>
        <w:spacing w:before="260" w:beforeAutospacing="0" w:after="260" w:afterAutospacing="0" w:line="576"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七、一般公共预算财政拨款支出决算明细表</w:t>
      </w:r>
    </w:p>
    <w:p>
      <w:pPr>
        <w:pStyle w:val="184"/>
        <w:keepNext/>
        <w:keepLines/>
        <w:pageBreakBefore w:val="0"/>
        <w:spacing w:before="260" w:beforeAutospacing="0" w:after="260" w:afterAutospacing="0" w:line="576"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八、一般公共预算财政拨款基本支出决算表</w:t>
      </w:r>
    </w:p>
    <w:p>
      <w:pPr>
        <w:pStyle w:val="184"/>
        <w:keepNext/>
        <w:keepLines/>
        <w:pageBreakBefore w:val="0"/>
        <w:spacing w:before="260" w:beforeAutospacing="0" w:after="260" w:afterAutospacing="0" w:line="576"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九、一般公共预算财政拨款项目支出决算表</w:t>
      </w:r>
    </w:p>
    <w:p>
      <w:pPr>
        <w:pStyle w:val="184"/>
        <w:keepNext/>
        <w:keepLines/>
        <w:pageBreakBefore w:val="0"/>
        <w:spacing w:before="260" w:beforeAutospacing="0" w:after="260" w:afterAutospacing="0" w:line="576"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十、政府性基金预算财政拨款收入支出决算表</w:t>
      </w:r>
    </w:p>
    <w:p>
      <w:pPr>
        <w:pStyle w:val="184"/>
        <w:keepNext/>
        <w:keepLines/>
        <w:pageBreakBefore w:val="0"/>
        <w:spacing w:before="260" w:beforeAutospacing="0" w:after="260" w:afterAutospacing="0" w:line="576"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十一、国有资本经营预算财政拨款收入支出决算表</w:t>
      </w:r>
    </w:p>
    <w:p>
      <w:pPr>
        <w:pStyle w:val="184"/>
        <w:keepNext/>
        <w:keepLines/>
        <w:pageBreakBefore w:val="0"/>
        <w:spacing w:before="260" w:beforeAutospacing="0" w:after="260" w:afterAutospacing="0" w:line="576"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十二、国有资本经营预算财政拨款支出决算表</w:t>
      </w:r>
    </w:p>
    <w:p>
      <w:pPr>
        <w:pStyle w:val="184"/>
        <w:keepNext/>
        <w:keepLines/>
        <w:pageBreakBefore w:val="0"/>
        <w:spacing w:before="260" w:beforeAutospacing="0" w:after="260" w:afterAutospacing="0" w:line="576" w:lineRule="exact"/>
        <w:jc w:val="both"/>
        <w:outlineLvl w:val="1"/>
        <w:rPr>
          <w:rFonts w:hint="eastAsia" w:ascii="仿宋" w:hAnsi="Cambria" w:eastAsia="仿宋" w:cs="Times New Roman"/>
          <w:b w:val="0"/>
          <w:color w:val="000000"/>
          <w:sz w:val="32"/>
          <w:szCs w:val="32"/>
          <w:lang w:bidi="ar-SA"/>
        </w:rPr>
      </w:pPr>
      <w:r>
        <w:rPr>
          <w:rFonts w:hint="eastAsia" w:ascii="仿宋" w:hAnsi="Cambria" w:eastAsia="仿宋" w:cs="Times New Roman"/>
          <w:b w:val="0"/>
          <w:color w:val="000000"/>
          <w:sz w:val="32"/>
          <w:szCs w:val="32"/>
          <w:lang w:bidi="ar-SA"/>
        </w:rPr>
        <w:t>十三、财政拨款“三公”经费支出决算表</w:t>
      </w:r>
    </w:p>
    <w:sectPr>
      <w:footerReference r:id="rId3" w:type="default"/>
      <w:pgSz w:w="11906" w:h="16838" w:orient="landscape"/>
      <w:pgMar w:top="1440" w:right="1800" w:bottom="1440" w:left="1800"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pPr>
                            <w:pStyle w:val="191"/>
                          </w:pPr>
                          <w:r>
                            <w:fldChar w:fldCharType="begin"/>
                          </w:r>
                          <w:r>
                            <w:instrText xml:space="preserve"> PAGE  \* MERGEFORMAT </w:instrText>
                          </w:r>
                          <w:r>
                            <w:fldChar w:fldCharType="separate"/>
                          </w:r>
                          <w:r>
                            <w:t>1</w:t>
                          </w:r>
                          <w:r>
                            <w:fldChar w:fldCharType="end"/>
                          </w:r>
                        </w:p>
                        <w:p/>
                      </w:txbxContent>
                    </wps:txbx>
                    <wps:bodyPr wrap="none" lIns="0" tIns="0" rIns="0" bIns="0" upright="1">
                      <a:spAutoFit/>
                    </wps:bodyPr>
                  </wps:wsp>
                </a:graphicData>
              </a:graphic>
            </wp:anchor>
          </w:drawing>
        </mc:Choice>
        <mc:Fallback>
          <w:pict>
            <v:shape id="_x0000_s205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on9ODcwBAACxAwAADgAAAAAAAAABACAAAAAfAQAAZHJzL2Uy&#10;b0RvYy54bWxQSwUGAAAAAAYABgBZAQAAXQUAAAAA&#10;">
              <v:fill on="f" focussize="0,0"/>
              <v:stroke on="f" weight="0.5pt"/>
              <v:imagedata o:title=""/>
              <o:lock v:ext="edit" aspectratio="f"/>
              <v:textbox inset="0mm,0mm,0mm,0mm" style="mso-fit-shape-to-text:t;">
                <w:txbxContent>
                  <w:p>
                    <w:pPr>
                      <w:pStyle w:val="191"/>
                    </w:pPr>
                    <w:r>
                      <w:fldChar w:fldCharType="begin"/>
                    </w:r>
                    <w:r>
                      <w:instrText xml:space="preserve"> PAGE  \* MERGEFORMAT </w:instrText>
                    </w:r>
                    <w:r>
                      <w:fldChar w:fldCharType="separate"/>
                    </w:r>
                    <w:r>
                      <w:t>1</w:t>
                    </w:r>
                    <w:r>
                      <w:fldChar w:fldCharType="end"/>
                    </w:r>
                  </w:p>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japaneseCounting"/>
      <w:suff w:val="space"/>
      <w:lvlText w:val="%1、"/>
      <w:lvlJc w:val="left"/>
      <w:pPr>
        <w:ind w:left="1360" w:hanging="720"/>
      </w:pPr>
      <w:rPr>
        <w:rFonts w:cs="Times New Roman"/>
        <w:b w:val="0"/>
      </w:rPr>
    </w:lvl>
    <w:lvl w:ilvl="1" w:tentative="0">
      <w:start w:val="1"/>
      <w:numFmt w:val="lowerLetter"/>
      <w:suff w:val="space"/>
      <w:lvlText w:val="%2)"/>
      <w:lvlJc w:val="left"/>
      <w:pPr>
        <w:ind w:left="1480" w:hanging="420"/>
      </w:pPr>
      <w:rPr>
        <w:rFonts w:cs="Times New Roman"/>
      </w:rPr>
    </w:lvl>
    <w:lvl w:ilvl="2" w:tentative="0">
      <w:start w:val="1"/>
      <w:numFmt w:val="lowerRoman"/>
      <w:suff w:val="space"/>
      <w:lvlText w:val="%3."/>
      <w:lvlJc w:val="right"/>
      <w:pPr>
        <w:ind w:left="1900" w:hanging="420"/>
      </w:pPr>
      <w:rPr>
        <w:rFonts w:cs="Times New Roman"/>
      </w:rPr>
    </w:lvl>
    <w:lvl w:ilvl="3" w:tentative="0">
      <w:start w:val="1"/>
      <w:numFmt w:val="decimal"/>
      <w:suff w:val="space"/>
      <w:lvlText w:val="%4."/>
      <w:lvlJc w:val="left"/>
      <w:pPr>
        <w:ind w:left="2320" w:hanging="420"/>
      </w:pPr>
      <w:rPr>
        <w:rFonts w:cs="Times New Roman"/>
      </w:rPr>
    </w:lvl>
    <w:lvl w:ilvl="4" w:tentative="0">
      <w:start w:val="1"/>
      <w:numFmt w:val="lowerLetter"/>
      <w:suff w:val="space"/>
      <w:lvlText w:val="%5)"/>
      <w:lvlJc w:val="left"/>
      <w:pPr>
        <w:ind w:left="2740" w:hanging="420"/>
      </w:pPr>
      <w:rPr>
        <w:rFonts w:cs="Times New Roman"/>
      </w:rPr>
    </w:lvl>
    <w:lvl w:ilvl="5" w:tentative="0">
      <w:start w:val="1"/>
      <w:numFmt w:val="lowerRoman"/>
      <w:suff w:val="space"/>
      <w:lvlText w:val="%6."/>
      <w:lvlJc w:val="right"/>
      <w:pPr>
        <w:ind w:left="3160" w:hanging="420"/>
      </w:pPr>
      <w:rPr>
        <w:rFonts w:cs="Times New Roman"/>
      </w:rPr>
    </w:lvl>
    <w:lvl w:ilvl="6" w:tentative="0">
      <w:start w:val="1"/>
      <w:numFmt w:val="decimal"/>
      <w:suff w:val="space"/>
      <w:lvlText w:val="%7."/>
      <w:lvlJc w:val="left"/>
      <w:pPr>
        <w:ind w:left="3580" w:hanging="420"/>
      </w:pPr>
      <w:rPr>
        <w:rFonts w:cs="Times New Roman"/>
      </w:rPr>
    </w:lvl>
    <w:lvl w:ilvl="7" w:tentative="0">
      <w:start w:val="1"/>
      <w:numFmt w:val="lowerLetter"/>
      <w:suff w:val="space"/>
      <w:lvlText w:val="%8)"/>
      <w:lvlJc w:val="left"/>
      <w:pPr>
        <w:ind w:left="4000" w:hanging="420"/>
      </w:pPr>
      <w:rPr>
        <w:rFonts w:cs="Times New Roman"/>
      </w:rPr>
    </w:lvl>
    <w:lvl w:ilvl="8" w:tentative="0">
      <w:start w:val="1"/>
      <w:numFmt w:val="lowerRoman"/>
      <w:suff w:val="space"/>
      <w:lvlText w:val="%9."/>
      <w:lvlJc w:val="right"/>
      <w:pPr>
        <w:ind w:left="4420" w:hanging="420"/>
      </w:pPr>
      <w:rPr>
        <w:rFonts w:cs="Times New Roman"/>
      </w:rPr>
    </w:lvl>
  </w:abstractNum>
  <w:abstractNum w:abstractNumId="1">
    <w:nsid w:val="25B654F3"/>
    <w:multiLevelType w:val="multilevel"/>
    <w:tmpl w:val="25B654F3"/>
    <w:lvl w:ilvl="0" w:tentative="0">
      <w:start w:val="3"/>
      <w:numFmt w:val="chineseCounting"/>
      <w:lvlText w:val="第%1部分"/>
      <w:lvlJc w:val="left"/>
      <w:pPr>
        <w:ind w:left="0" w:firstLine="0"/>
      </w:pPr>
      <w:rPr>
        <w:rFonts w:hint="eastAsia" w:cs="Times New Roman"/>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83A78"/>
    <w:rsid w:val="4B7266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7"/>
    <w:qFormat/>
    <w:uiPriority w:val="0"/>
    <w:pPr>
      <w:widowControl w:val="0"/>
      <w:jc w:val="both"/>
    </w:pPr>
    <w:rPr>
      <w:rFonts w:hint="default" w:ascii="Calibri" w:hAnsi="Calibri" w:eastAsia="宋体" w:cs="Times New Roman"/>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
    <w:name w:val="正文缩进1"/>
    <w:basedOn w:val="1"/>
    <w:qFormat/>
    <w:uiPriority w:val="0"/>
    <w:pPr>
      <w:ind w:firstLine="20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54"/>
    <w:unhideWhenUsed/>
    <w:qFormat/>
    <w:uiPriority w:val="99"/>
    <w:pPr>
      <w:tabs>
        <w:tab w:val="center" w:pos="7143"/>
        <w:tab w:val="right" w:pos="14287"/>
      </w:tabs>
      <w:spacing w:after="0" w:line="240" w:lineRule="auto"/>
    </w:pPr>
  </w:style>
  <w:style w:type="paragraph" w:styleId="19">
    <w:name w:val="header"/>
    <w:basedOn w:val="1"/>
    <w:link w:val="52"/>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rPr>
  </w:style>
  <w:style w:type="character" w:styleId="34">
    <w:name w:val="footnote reference"/>
    <w:unhideWhenUsed/>
    <w:qFormat/>
    <w:uiPriority w:val="99"/>
    <w:rPr>
      <w:vertAlign w:val="superscript"/>
    </w:rPr>
  </w:style>
  <w:style w:type="character" w:customStyle="1" w:styleId="35">
    <w:name w:val="Heading 1 Char"/>
    <w:link w:val="3"/>
    <w:qFormat/>
    <w:uiPriority w:val="9"/>
    <w:rPr>
      <w:rFonts w:ascii="等线" w:hAnsi="等线" w:eastAsia="等线" w:cs="等线"/>
      <w:sz w:val="40"/>
      <w:szCs w:val="40"/>
    </w:rPr>
  </w:style>
  <w:style w:type="character" w:customStyle="1" w:styleId="36">
    <w:name w:val="Heading 2 Char"/>
    <w:link w:val="4"/>
    <w:qFormat/>
    <w:uiPriority w:val="9"/>
    <w:rPr>
      <w:rFonts w:ascii="等线" w:hAnsi="等线" w:eastAsia="等线" w:cs="等线"/>
      <w:sz w:val="34"/>
    </w:rPr>
  </w:style>
  <w:style w:type="character" w:customStyle="1" w:styleId="37">
    <w:name w:val="Heading 3 Char"/>
    <w:link w:val="5"/>
    <w:qFormat/>
    <w:uiPriority w:val="9"/>
    <w:rPr>
      <w:rFonts w:ascii="等线" w:hAnsi="等线" w:eastAsia="等线" w:cs="等线"/>
      <w:sz w:val="30"/>
      <w:szCs w:val="30"/>
    </w:rPr>
  </w:style>
  <w:style w:type="character" w:customStyle="1" w:styleId="38">
    <w:name w:val="Heading 4 Char"/>
    <w:link w:val="6"/>
    <w:uiPriority w:val="9"/>
    <w:rPr>
      <w:rFonts w:ascii="等线" w:hAnsi="等线" w:eastAsia="等线" w:cs="等线"/>
      <w:b/>
      <w:bCs/>
      <w:sz w:val="26"/>
      <w:szCs w:val="26"/>
    </w:rPr>
  </w:style>
  <w:style w:type="character" w:customStyle="1" w:styleId="39">
    <w:name w:val="Heading 5 Char"/>
    <w:link w:val="7"/>
    <w:qFormat/>
    <w:uiPriority w:val="9"/>
    <w:rPr>
      <w:rFonts w:ascii="等线" w:hAnsi="等线" w:eastAsia="等线" w:cs="等线"/>
      <w:b/>
      <w:bCs/>
      <w:sz w:val="24"/>
      <w:szCs w:val="24"/>
    </w:rPr>
  </w:style>
  <w:style w:type="character" w:customStyle="1" w:styleId="40">
    <w:name w:val="Heading 6 Char"/>
    <w:link w:val="8"/>
    <w:qFormat/>
    <w:uiPriority w:val="9"/>
    <w:rPr>
      <w:rFonts w:ascii="等线" w:hAnsi="等线" w:eastAsia="等线" w:cs="等线"/>
      <w:b/>
      <w:bCs/>
      <w:sz w:val="22"/>
      <w:szCs w:val="22"/>
    </w:rPr>
  </w:style>
  <w:style w:type="character" w:customStyle="1" w:styleId="41">
    <w:name w:val="Heading 7 Char"/>
    <w:link w:val="9"/>
    <w:qFormat/>
    <w:uiPriority w:val="9"/>
    <w:rPr>
      <w:rFonts w:ascii="等线" w:hAnsi="等线" w:eastAsia="等线" w:cs="等线"/>
      <w:b/>
      <w:bCs/>
      <w:i/>
      <w:iCs/>
      <w:sz w:val="22"/>
      <w:szCs w:val="22"/>
    </w:rPr>
  </w:style>
  <w:style w:type="character" w:customStyle="1" w:styleId="42">
    <w:name w:val="Heading 8 Char"/>
    <w:link w:val="10"/>
    <w:qFormat/>
    <w:uiPriority w:val="9"/>
    <w:rPr>
      <w:rFonts w:ascii="等线" w:hAnsi="等线" w:eastAsia="等线" w:cs="等线"/>
      <w:i/>
      <w:iCs/>
      <w:sz w:val="22"/>
      <w:szCs w:val="22"/>
    </w:rPr>
  </w:style>
  <w:style w:type="character" w:customStyle="1" w:styleId="43">
    <w:name w:val="Heading 9 Char"/>
    <w:link w:val="11"/>
    <w:qFormat/>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link w:val="28"/>
    <w:qFormat/>
    <w:uiPriority w:val="10"/>
    <w:rPr>
      <w:sz w:val="48"/>
      <w:szCs w:val="48"/>
    </w:rPr>
  </w:style>
  <w:style w:type="character" w:customStyle="1" w:styleId="47">
    <w:name w:val="Subtitle Char"/>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link w:val="19"/>
    <w:qFormat/>
    <w:uiPriority w:val="99"/>
  </w:style>
  <w:style w:type="character" w:customStyle="1" w:styleId="53">
    <w:name w:val="Footer Char"/>
    <w:link w:val="18"/>
    <w:qFormat/>
    <w:uiPriority w:val="99"/>
  </w:style>
  <w:style w:type="character" w:customStyle="1" w:styleId="54">
    <w:name w:val="Caption Char"/>
    <w:link w:val="18"/>
    <w:uiPriority w:val="99"/>
  </w:style>
  <w:style w:type="table" w:customStyle="1" w:styleId="55">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10">
    <w:name w:val="List Table 1 Light"/>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1"/>
    <w:qFormat/>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2"/>
    <w:qFormat/>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3"/>
    <w:qFormat/>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4"/>
    <w:qFormat/>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5"/>
    <w:qFormat/>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6"/>
    <w:qFormat/>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9">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40">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1">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2">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5">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9">
    <w:name w:val="Lined - Accent"/>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0">
    <w:name w:val="Lined - Accent 1"/>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1">
    <w:name w:val="Lined - Accent 2"/>
    <w:qFormat/>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2">
    <w:name w:val="Lined - Accent 3"/>
    <w:qFormat/>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4"/>
    <w:qFormat/>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5"/>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6"/>
    <w:qFormat/>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6">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7">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8">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9">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3">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imes New Roman" w:hAnsi="Times New Roman" w:eastAsia="宋体" w:cs="Times New Roman"/>
    </w:rPr>
  </w:style>
  <w:style w:type="paragraph" w:customStyle="1" w:styleId="183">
    <w:name w:val="标题 11"/>
    <w:basedOn w:val="1"/>
    <w:next w:val="1"/>
    <w:qFormat/>
    <w:uiPriority w:val="0"/>
    <w:pPr>
      <w:spacing w:before="100" w:beforeAutospacing="1" w:after="100" w:afterAutospacing="1"/>
      <w:jc w:val="left"/>
      <w:outlineLvl w:val="0"/>
    </w:pPr>
    <w:rPr>
      <w:rFonts w:hint="eastAsia" w:ascii="宋体" w:hAnsi="宋体" w:eastAsia="宋体" w:cs="宋体"/>
      <w:b/>
      <w:bCs/>
      <w:sz w:val="48"/>
      <w:szCs w:val="48"/>
      <w:lang w:val="en-US" w:eastAsia="zh-CN" w:bidi="ar"/>
    </w:rPr>
  </w:style>
  <w:style w:type="paragraph" w:customStyle="1" w:styleId="184">
    <w:name w:val="标题 21"/>
    <w:basedOn w:val="1"/>
    <w:next w:val="1"/>
    <w:unhideWhenUsed/>
    <w:qFormat/>
    <w:uiPriority w:val="0"/>
    <w:pPr>
      <w:spacing w:before="100" w:beforeAutospacing="1" w:after="100" w:afterAutospacing="1"/>
      <w:jc w:val="left"/>
      <w:outlineLvl w:val="1"/>
    </w:pPr>
    <w:rPr>
      <w:rFonts w:hint="eastAsia" w:ascii="宋体" w:hAnsi="宋体" w:eastAsia="宋体" w:cs="宋体"/>
      <w:b/>
      <w:bCs/>
      <w:sz w:val="36"/>
      <w:szCs w:val="36"/>
      <w:lang w:val="en-US" w:eastAsia="zh-CN" w:bidi="ar"/>
    </w:rPr>
  </w:style>
  <w:style w:type="character" w:customStyle="1" w:styleId="185">
    <w:name w:val="默认段落字体1"/>
    <w:link w:val="1"/>
    <w:semiHidden/>
    <w:qFormat/>
    <w:uiPriority w:val="0"/>
  </w:style>
  <w:style w:type="table" w:customStyle="1" w:styleId="186">
    <w:name w:val="普通表格1"/>
    <w:semiHidden/>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7">
    <w:name w:val="正文文本缩进 21"/>
    <w:basedOn w:val="1"/>
    <w:qFormat/>
    <w:uiPriority w:val="0"/>
    <w:pPr>
      <w:spacing w:after="120" w:line="480" w:lineRule="auto"/>
      <w:ind w:left="420"/>
    </w:pPr>
    <w:rPr>
      <w:szCs w:val="20"/>
    </w:rPr>
  </w:style>
  <w:style w:type="paragraph" w:customStyle="1" w:styleId="188">
    <w:name w:val="正文文本1"/>
    <w:basedOn w:val="1"/>
    <w:qFormat/>
    <w:uiPriority w:val="0"/>
    <w:pPr>
      <w:spacing w:before="30"/>
    </w:pPr>
    <w:rPr>
      <w:rFonts w:ascii="仿宋_GB2312" w:eastAsia="仿宋_GB2312"/>
      <w:sz w:val="24"/>
      <w:szCs w:val="20"/>
    </w:rPr>
  </w:style>
  <w:style w:type="paragraph" w:customStyle="1" w:styleId="189">
    <w:name w:val="正文文本缩进1"/>
    <w:basedOn w:val="1"/>
    <w:qFormat/>
    <w:uiPriority w:val="0"/>
    <w:pPr>
      <w:spacing w:after="120"/>
      <w:ind w:left="200"/>
    </w:pPr>
  </w:style>
  <w:style w:type="paragraph" w:customStyle="1" w:styleId="190">
    <w:name w:val="目录 31"/>
    <w:basedOn w:val="1"/>
    <w:next w:val="1"/>
    <w:qFormat/>
    <w:uiPriority w:val="0"/>
    <w:pPr>
      <w:ind w:left="840"/>
    </w:pPr>
  </w:style>
  <w:style w:type="paragraph" w:customStyle="1" w:styleId="191">
    <w:name w:val="页脚1"/>
    <w:basedOn w:val="1"/>
    <w:qFormat/>
    <w:uiPriority w:val="0"/>
    <w:pPr>
      <w:tabs>
        <w:tab w:val="center" w:pos="4153"/>
        <w:tab w:val="right" w:pos="8306"/>
      </w:tabs>
      <w:jc w:val="left"/>
    </w:pPr>
    <w:rPr>
      <w:sz w:val="18"/>
    </w:rPr>
  </w:style>
  <w:style w:type="paragraph" w:customStyle="1" w:styleId="192">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customStyle="1" w:styleId="193">
    <w:name w:val="目录 11"/>
    <w:basedOn w:val="1"/>
    <w:next w:val="1"/>
    <w:qFormat/>
    <w:uiPriority w:val="0"/>
    <w:pPr>
      <w:spacing w:before="120" w:after="120"/>
      <w:jc w:val="left"/>
    </w:pPr>
    <w:rPr>
      <w:rFonts w:ascii="等线" w:eastAsia="等线"/>
      <w:b/>
      <w:bCs/>
      <w:caps/>
      <w:sz w:val="20"/>
      <w:szCs w:val="20"/>
    </w:rPr>
  </w:style>
  <w:style w:type="paragraph" w:customStyle="1" w:styleId="194">
    <w:name w:val="目录 21"/>
    <w:basedOn w:val="1"/>
    <w:next w:val="1"/>
    <w:qFormat/>
    <w:uiPriority w:val="0"/>
    <w:pPr>
      <w:ind w:left="420"/>
    </w:pPr>
  </w:style>
  <w:style w:type="paragraph" w:customStyle="1" w:styleId="195">
    <w:name w:val="普通(网站)1"/>
    <w:basedOn w:val="1"/>
    <w:qFormat/>
    <w:uiPriority w:val="0"/>
    <w:pPr>
      <w:spacing w:before="100" w:beforeAutospacing="1" w:after="100" w:afterAutospacing="1"/>
      <w:ind w:left="0" w:right="0"/>
      <w:jc w:val="left"/>
    </w:pPr>
    <w:rPr>
      <w:sz w:val="24"/>
      <w:lang w:val="en-US" w:eastAsia="zh-CN" w:bidi="ar"/>
    </w:rPr>
  </w:style>
  <w:style w:type="paragraph" w:customStyle="1" w:styleId="196">
    <w:name w:val="正文首行缩进 21"/>
    <w:basedOn w:val="189"/>
    <w:qFormat/>
    <w:uiPriority w:val="0"/>
    <w:pPr>
      <w:widowControl/>
      <w:spacing w:after="0" w:line="540" w:lineRule="exact"/>
      <w:ind w:left="0" w:firstLine="200"/>
    </w:pPr>
    <w:rPr>
      <w:color w:val="000000"/>
      <w:sz w:val="32"/>
      <w:szCs w:val="32"/>
    </w:rPr>
  </w:style>
  <w:style w:type="character" w:customStyle="1" w:styleId="197">
    <w:name w:val="要点1"/>
    <w:basedOn w:val="185"/>
    <w:link w:val="1"/>
    <w:qFormat/>
    <w:uiPriority w:val="0"/>
    <w:rPr>
      <w:b/>
    </w:rPr>
  </w:style>
  <w:style w:type="paragraph" w:customStyle="1" w:styleId="198">
    <w:name w:val="WPSOffice手动目录 1"/>
    <w:qFormat/>
    <w:uiPriority w:val="0"/>
    <w:rPr>
      <w:rFonts w:hint="default" w:ascii="Times New Roman" w:hAnsi="Times New Roman" w:eastAsia="宋体" w:cs="Times New Roman"/>
      <w:sz w:val="20"/>
      <w:szCs w:val="20"/>
    </w:rPr>
  </w:style>
  <w:style w:type="paragraph" w:customStyle="1" w:styleId="199">
    <w:name w:val="WPSOffice手动目录 2"/>
    <w:qFormat/>
    <w:uiPriority w:val="0"/>
    <w:rPr>
      <w:rFonts w:hint="default" w:ascii="Times New Roman" w:hAnsi="Times New Roman" w:eastAsia="宋体" w:cs="Times New Roman"/>
      <w:sz w:val="20"/>
      <w:szCs w:val="20"/>
    </w:rPr>
  </w:style>
  <w:style w:type="paragraph" w:customStyle="1" w:styleId="200">
    <w:name w:val="WPSOffice手动目录 3"/>
    <w:uiPriority w:val="0"/>
    <w:rPr>
      <w:rFonts w:hint="default" w:ascii="Times New Roman" w:hAnsi="Times New Roman" w:eastAsia="宋体" w:cs="Times New Roman"/>
      <w:sz w:val="20"/>
      <w:szCs w:val="20"/>
    </w:rPr>
  </w:style>
  <w:style w:type="paragraph" w:customStyle="1" w:styleId="201">
    <w:name w:val="列表段落1"/>
    <w:basedOn w:val="1"/>
    <w:qFormat/>
    <w:uiPriority w:val="0"/>
    <w:pPr>
      <w:ind w:firstLine="200"/>
    </w:pPr>
  </w:style>
  <w:style w:type="paragraph" w:customStyle="1" w:styleId="202">
    <w:name w:val="Default"/>
    <w:qFormat/>
    <w:uiPriority w:val="0"/>
    <w:pPr>
      <w:widowControl w:val="0"/>
    </w:pPr>
    <w:rPr>
      <w:rFonts w:hint="default"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2023-08-28T03:23:00Z</dcterms:created>
  <dc:creator>Adminis</dc:creator>
  <cp:lastModifiedBy>明戈</cp:lastModifiedBy>
  <dcterms:modified xsi:type="dcterms:W3CDTF">2024-08-14T01:17:10Z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7ACAB16C744546B187D6D777EB72C573</vt:lpwstr>
  </property>
</Properties>
</file>