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A24B">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bookmarkStart w:id="278" w:name="_GoBack"/>
      <w:bookmarkEnd w:id="278"/>
    </w:p>
    <w:p w14:paraId="487CFFF2">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p>
    <w:p w14:paraId="75BCBA17">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p>
    <w:p w14:paraId="7EABBD3A">
      <w:pPr>
        <w:pageBreakBefore w:val="0"/>
        <w:widowControl w:val="0"/>
        <w:kinsoku/>
        <w:wordWrap/>
        <w:overflowPunct/>
        <w:topLinePunct w:val="0"/>
        <w:bidi w:val="0"/>
        <w:spacing w:line="576" w:lineRule="exact"/>
        <w:jc w:val="center"/>
        <w:textAlignment w:val="auto"/>
        <w:outlineLvl w:val="9"/>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rPr>
        <w:t>202</w:t>
      </w:r>
      <w:r>
        <w:rPr>
          <w:rFonts w:hint="eastAsia" w:ascii="方正小标宋简体" w:eastAsia="方正小标宋简体" w:cs="方正小标宋简体"/>
          <w:sz w:val="48"/>
          <w:szCs w:val="48"/>
          <w:lang w:val="en-US" w:eastAsia="zh-CN"/>
        </w:rPr>
        <w:t>3</w:t>
      </w:r>
      <w:r>
        <w:rPr>
          <w:rFonts w:hint="eastAsia" w:ascii="方正小标宋简体" w:eastAsia="方正小标宋简体" w:cs="方正小标宋简体"/>
          <w:sz w:val="48"/>
          <w:szCs w:val="48"/>
        </w:rPr>
        <w:t>年度四川省</w:t>
      </w:r>
    </w:p>
    <w:p w14:paraId="4774003F">
      <w:pPr>
        <w:pageBreakBefore w:val="0"/>
        <w:widowControl w:val="0"/>
        <w:kinsoku/>
        <w:wordWrap/>
        <w:overflowPunct/>
        <w:topLinePunct w:val="0"/>
        <w:bidi w:val="0"/>
        <w:spacing w:line="576" w:lineRule="exact"/>
        <w:jc w:val="center"/>
        <w:textAlignment w:val="auto"/>
        <w:rPr>
          <w:rFonts w:hint="eastAsia" w:ascii="方正小标宋简体" w:eastAsia="方正小标宋简体" w:cs="方正小标宋简体"/>
          <w:sz w:val="48"/>
          <w:szCs w:val="48"/>
        </w:rPr>
      </w:pPr>
      <w:r>
        <w:rPr>
          <w:rFonts w:hint="eastAsia" w:ascii="方正小标宋简体" w:eastAsia="方正小标宋简体" w:cs="方正小标宋简体"/>
          <w:sz w:val="48"/>
          <w:szCs w:val="48"/>
        </w:rPr>
        <w:t>阿坝州茂县科学技术和农业畜牧局</w:t>
      </w:r>
    </w:p>
    <w:p w14:paraId="1D68D0AA">
      <w:pPr>
        <w:pageBreakBefore w:val="0"/>
        <w:widowControl w:val="0"/>
        <w:kinsoku/>
        <w:wordWrap/>
        <w:overflowPunct/>
        <w:topLinePunct w:val="0"/>
        <w:bidi w:val="0"/>
        <w:spacing w:line="576" w:lineRule="exact"/>
        <w:jc w:val="center"/>
        <w:textAlignment w:val="auto"/>
        <w:outlineLvl w:val="9"/>
        <w:rPr>
          <w:rFonts w:hint="eastAsia" w:ascii="方正小标宋简体" w:eastAsia="方正小标宋简体" w:cs="方正小标宋简体"/>
          <w:sz w:val="48"/>
          <w:szCs w:val="48"/>
          <w:lang w:val="en-US" w:eastAsia="zh-CN"/>
        </w:rPr>
      </w:pPr>
      <w:r>
        <w:rPr>
          <w:rFonts w:hint="eastAsia" w:ascii="方正小标宋简体" w:eastAsia="方正小标宋简体" w:cs="方正小标宋简体"/>
          <w:sz w:val="48"/>
          <w:szCs w:val="48"/>
        </w:rPr>
        <w:t>汇总部门决算</w:t>
      </w:r>
      <w:r>
        <w:rPr>
          <w:rFonts w:hint="eastAsia" w:ascii="方正小标宋简体" w:eastAsia="方正小标宋简体" w:cs="方正小标宋简体"/>
          <w:sz w:val="48"/>
          <w:szCs w:val="48"/>
          <w:lang w:val="en-US" w:eastAsia="zh-CN"/>
        </w:rPr>
        <w:t>公开</w:t>
      </w:r>
    </w:p>
    <w:p w14:paraId="70ED60D0">
      <w:pPr>
        <w:pStyle w:val="9"/>
        <w:rPr>
          <w:rFonts w:hint="eastAsia"/>
        </w:rPr>
      </w:pPr>
    </w:p>
    <w:p w14:paraId="1F5E1DF1">
      <w:pPr>
        <w:pStyle w:val="9"/>
        <w:rPr>
          <w:rFonts w:hint="eastAsia" w:eastAsia="宋体" w:cs="Times New Roman"/>
        </w:rPr>
      </w:pPr>
      <w:r>
        <w:rPr>
          <w:rFonts w:hint="eastAsia" w:eastAsia="宋体" w:cs="Times New Roman"/>
        </w:rPr>
        <w:t> </w:t>
      </w:r>
    </w:p>
    <w:p w14:paraId="3F35763D">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20B95EAE">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2E887264">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25BCBE97">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5205E76D">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4ECF49F6">
      <w:pPr>
        <w:pageBreakBefore w:val="0"/>
        <w:widowControl w:val="0"/>
        <w:kinsoku/>
        <w:wordWrap/>
        <w:overflowPunct/>
        <w:topLinePunct w:val="0"/>
        <w:bidi w:val="0"/>
        <w:spacing w:line="576" w:lineRule="exact"/>
        <w:jc w:val="center"/>
        <w:textAlignment w:val="auto"/>
        <w:rPr>
          <w:rFonts w:ascii="黑体" w:eastAsia="黑体" w:cs="Times New Roman"/>
          <w:sz w:val="72"/>
          <w:szCs w:val="72"/>
        </w:rPr>
      </w:pPr>
      <w:r>
        <w:rPr>
          <w:rFonts w:ascii="黑体" w:eastAsia="黑体" w:cs="Times New Roman"/>
          <w:sz w:val="72"/>
          <w:szCs w:val="72"/>
        </w:rPr>
        <w:t> </w:t>
      </w:r>
    </w:p>
    <w:p w14:paraId="61E4D495">
      <w:pPr>
        <w:pageBreakBefore w:val="0"/>
        <w:widowControl w:val="0"/>
        <w:kinsoku/>
        <w:wordWrap/>
        <w:overflowPunct/>
        <w:topLinePunct w:val="0"/>
        <w:autoSpaceDE w:val="0"/>
        <w:autoSpaceDN w:val="0"/>
        <w:bidi w:val="0"/>
        <w:adjustRightInd w:val="0"/>
        <w:spacing w:line="576" w:lineRule="exact"/>
        <w:ind w:left="420" w:leftChars="200"/>
        <w:jc w:val="left"/>
        <w:textAlignment w:val="auto"/>
        <w:rPr>
          <w:rFonts w:hint="eastAsia" w:ascii="宋体" w:eastAsia="宋体" w:cs="仿宋_GB2312"/>
          <w:sz w:val="32"/>
          <w:szCs w:val="32"/>
        </w:rPr>
      </w:pPr>
      <w:r>
        <w:rPr>
          <w:rFonts w:hint="eastAsia" w:ascii="宋体" w:eastAsia="宋体" w:cs="仿宋_GB2312"/>
          <w:sz w:val="32"/>
          <w:szCs w:val="32"/>
        </w:rPr>
        <w:t>已经保密审查、内容审定，同意对外公开</w:t>
      </w:r>
    </w:p>
    <w:p w14:paraId="3281E0C3">
      <w:pPr>
        <w:pStyle w:val="15"/>
        <w:keepNext w:val="0"/>
        <w:keepLines w:val="0"/>
        <w:pageBreakBefore w:val="0"/>
        <w:widowControl/>
        <w:suppressLineNumbers w:val="0"/>
        <w:kinsoku/>
        <w:wordWrap/>
        <w:overflowPunct/>
        <w:topLinePunct w:val="0"/>
        <w:bidi w:val="0"/>
        <w:spacing w:line="576" w:lineRule="exact"/>
        <w:textAlignment w:val="auto"/>
      </w:pPr>
      <w:r>
        <w:t> </w:t>
      </w:r>
    </w:p>
    <w:p w14:paraId="1B5844C4">
      <w:pPr>
        <w:pStyle w:val="15"/>
        <w:keepNext w:val="0"/>
        <w:keepLines w:val="0"/>
        <w:pageBreakBefore w:val="0"/>
        <w:widowControl/>
        <w:suppressLineNumbers w:val="0"/>
        <w:kinsoku/>
        <w:wordWrap/>
        <w:overflowPunct/>
        <w:topLinePunct w:val="0"/>
        <w:bidi w:val="0"/>
        <w:spacing w:line="576" w:lineRule="exact"/>
        <w:textAlignment w:val="auto"/>
      </w:pPr>
      <w:r>
        <w:t> </w:t>
      </w:r>
    </w:p>
    <w:p w14:paraId="682D4AC7">
      <w:pPr>
        <w:pStyle w:val="15"/>
        <w:keepNext w:val="0"/>
        <w:keepLines w:val="0"/>
        <w:pageBreakBefore w:val="0"/>
        <w:widowControl/>
        <w:suppressLineNumbers w:val="0"/>
        <w:kinsoku/>
        <w:wordWrap/>
        <w:overflowPunct/>
        <w:topLinePunct w:val="0"/>
        <w:bidi w:val="0"/>
        <w:spacing w:line="576" w:lineRule="exact"/>
        <w:textAlignment w:val="auto"/>
        <w:rPr>
          <w:rFonts w:hint="eastAsia" w:ascii="黑体" w:eastAsia="黑体" w:cs="Times New Roman"/>
          <w:color w:val="000000"/>
          <w:sz w:val="48"/>
          <w:szCs w:val="48"/>
        </w:rPr>
      </w:pPr>
    </w:p>
    <w:p w14:paraId="5B58A42D">
      <w:pPr>
        <w:pStyle w:val="15"/>
        <w:keepNext w:val="0"/>
        <w:keepLines w:val="0"/>
        <w:pageBreakBefore w:val="0"/>
        <w:widowControl/>
        <w:suppressLineNumbers w:val="0"/>
        <w:kinsoku/>
        <w:wordWrap/>
        <w:overflowPunct/>
        <w:topLinePunct w:val="0"/>
        <w:bidi w:val="0"/>
        <w:spacing w:line="576" w:lineRule="exact"/>
        <w:textAlignment w:val="auto"/>
        <w:rPr>
          <w:rFonts w:hint="eastAsia" w:ascii="黑体" w:eastAsia="黑体" w:cs="Times New Roman"/>
          <w:color w:val="000000"/>
          <w:sz w:val="48"/>
          <w:szCs w:val="48"/>
        </w:rPr>
      </w:pPr>
    </w:p>
    <w:p w14:paraId="5FD824B4">
      <w:pPr>
        <w:autoSpaceDE w:val="0"/>
        <w:autoSpaceDN w:val="0"/>
        <w:adjustRightInd w:val="0"/>
        <w:ind w:firstLine="1276"/>
        <w:jc w:val="left"/>
        <w:rPr>
          <w:rFonts w:hint="eastAsia" w:ascii="仿宋_GB2312" w:eastAsia="仿宋_GB2312" w:cs="仿宋_GB2312"/>
          <w:sz w:val="32"/>
          <w:szCs w:val="32"/>
        </w:rPr>
      </w:pPr>
      <w:r>
        <w:rPr>
          <w:rFonts w:hint="eastAsia" w:ascii="仿宋_GB2312" w:eastAsia="仿宋_GB2312" w:cs="仿宋_GB2312"/>
          <w:sz w:val="32"/>
          <w:szCs w:val="32"/>
        </w:rPr>
        <w:t>保密审查情况：</w:t>
      </w:r>
    </w:p>
    <w:p w14:paraId="6BFE54CA">
      <w:pPr>
        <w:autoSpaceDE w:val="0"/>
        <w:autoSpaceDN w:val="0"/>
        <w:adjustRightInd w:val="0"/>
        <w:ind w:firstLine="1276"/>
        <w:jc w:val="left"/>
        <w:rPr>
          <w:rFonts w:hint="eastAsia" w:ascii="黑体" w:eastAsia="黑体" w:cs="Times New Roman"/>
          <w:color w:val="000000"/>
          <w:sz w:val="48"/>
          <w:szCs w:val="48"/>
        </w:rPr>
      </w:pPr>
      <w:r>
        <w:rPr>
          <w:rFonts w:hint="eastAsia" w:ascii="仿宋_GB2312" w:eastAsia="仿宋_GB2312" w:cs="仿宋_GB2312"/>
          <w:sz w:val="32"/>
          <w:szCs w:val="32"/>
        </w:rPr>
        <w:t>部门主要负责人审签情况：</w:t>
      </w:r>
    </w:p>
    <w:p w14:paraId="6E02DBB4">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14:paraId="565F6BF6">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24"/>
          <w:szCs w:val="24"/>
          <w:lang w:val="en-US" w:eastAsia="zh-CN"/>
        </w:rPr>
      </w:pPr>
      <w:r>
        <w:rPr>
          <w:rFonts w:hint="eastAsia" w:ascii="黑体" w:hAnsi="黑体" w:eastAsia="黑体" w:cs="黑体"/>
          <w:b/>
          <w:bCs/>
          <w:color w:val="000000"/>
          <w:sz w:val="24"/>
          <w:szCs w:val="24"/>
          <w:lang w:val="en-US" w:eastAsia="zh-CN"/>
        </w:rPr>
        <w:t>目录</w:t>
      </w:r>
    </w:p>
    <w:p w14:paraId="39D3695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24"/>
          <w:szCs w:val="24"/>
          <w:lang w:val="en-US" w:eastAsia="zh-CN"/>
        </w:rPr>
      </w:pPr>
      <w:r>
        <w:rPr>
          <w:rFonts w:hint="eastAsia" w:ascii="黑体" w:hAnsi="黑体" w:eastAsia="黑体" w:cs="黑体"/>
          <w:b/>
          <w:bCs/>
          <w:sz w:val="24"/>
          <w:szCs w:val="24"/>
        </w:rPr>
        <w:t>公开时间：202</w:t>
      </w:r>
      <w:r>
        <w:rPr>
          <w:rFonts w:hint="eastAsia" w:ascii="黑体" w:hAnsi="黑体" w:eastAsia="黑体" w:cs="黑体"/>
          <w:b/>
          <w:bCs/>
          <w:sz w:val="24"/>
          <w:szCs w:val="24"/>
          <w:lang w:val="en-US" w:eastAsia="zh-CN"/>
        </w:rPr>
        <w:t>4</w:t>
      </w:r>
      <w:r>
        <w:rPr>
          <w:rFonts w:hint="eastAsia" w:ascii="黑体" w:hAnsi="黑体" w:eastAsia="黑体" w:cs="黑体"/>
          <w:b/>
          <w:bCs/>
          <w:sz w:val="24"/>
          <w:szCs w:val="24"/>
        </w:rPr>
        <w:t>年</w:t>
      </w:r>
      <w:r>
        <w:rPr>
          <w:rFonts w:hint="eastAsia" w:ascii="黑体" w:hAnsi="黑体" w:eastAsia="黑体" w:cs="黑体"/>
          <w:b/>
          <w:bCs/>
          <w:sz w:val="24"/>
          <w:szCs w:val="24"/>
          <w:lang w:val="en-US" w:eastAsia="zh-CN"/>
        </w:rPr>
        <w:t>9</w:t>
      </w:r>
      <w:r>
        <w:rPr>
          <w:rFonts w:hint="eastAsia" w:ascii="黑体" w:hAnsi="黑体" w:eastAsia="黑体" w:cs="黑体"/>
          <w:b/>
          <w:bCs/>
          <w:sz w:val="24"/>
          <w:szCs w:val="24"/>
        </w:rPr>
        <w:t>月</w:t>
      </w:r>
      <w:r>
        <w:rPr>
          <w:rFonts w:hint="eastAsia" w:ascii="黑体" w:hAnsi="黑体" w:eastAsia="黑体" w:cs="黑体"/>
          <w:b/>
          <w:bCs/>
          <w:sz w:val="24"/>
          <w:szCs w:val="24"/>
          <w:lang w:val="en-US" w:eastAsia="zh-CN"/>
        </w:rPr>
        <w:t>25</w:t>
      </w:r>
      <w:r>
        <w:rPr>
          <w:rFonts w:hint="eastAsia" w:ascii="黑体" w:hAnsi="黑体" w:eastAsia="黑体" w:cs="黑体"/>
          <w:b/>
          <w:bCs/>
          <w:sz w:val="24"/>
          <w:szCs w:val="24"/>
        </w:rPr>
        <w:t>日</w:t>
      </w:r>
    </w:p>
    <w:p w14:paraId="16DA0C34">
      <w:pPr>
        <w:pStyle w:val="12"/>
        <w:tabs>
          <w:tab w:val="right" w:leader="dot" w:pos="8306"/>
        </w:tabs>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TOC \o "1-2" \h \u </w:instrText>
      </w:r>
      <w:r>
        <w:rPr>
          <w:rFonts w:hint="eastAsia" w:ascii="黑体" w:hAnsi="黑体" w:eastAsia="黑体" w:cs="黑体"/>
          <w:b w:val="0"/>
          <w:bCs w:val="0"/>
          <w:sz w:val="21"/>
          <w:szCs w:val="21"/>
        </w:rPr>
        <w:fldChar w:fldCharType="separate"/>
      </w: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_Toc9967 </w:instrText>
      </w:r>
      <w:r>
        <w:rPr>
          <w:rFonts w:hint="eastAsia" w:ascii="黑体" w:hAnsi="黑体" w:eastAsia="黑体" w:cs="黑体"/>
          <w:bCs w:val="0"/>
          <w:szCs w:val="21"/>
        </w:rPr>
        <w:fldChar w:fldCharType="separate"/>
      </w:r>
      <w:r>
        <w:rPr>
          <w:rFonts w:hint="eastAsia" w:ascii="黑体" w:eastAsia="黑体" w:cs="Times New Roman"/>
          <w:szCs w:val="44"/>
          <w:lang w:bidi="ar-SA"/>
        </w:rPr>
        <w:t>第一部分</w:t>
      </w:r>
      <w:r>
        <w:rPr>
          <w:rFonts w:hint="eastAsia" w:ascii="黑体" w:eastAsia="黑体" w:cs="Times New Roman"/>
          <w:szCs w:val="44"/>
          <w:lang w:val="en-US" w:eastAsia="zh-CN" w:bidi="ar-SA"/>
        </w:rPr>
        <w:t xml:space="preserve"> </w:t>
      </w:r>
      <w:r>
        <w:rPr>
          <w:rFonts w:hint="eastAsia" w:ascii="黑体" w:eastAsia="黑体" w:cs="Times New Roman"/>
          <w:szCs w:val="44"/>
          <w:lang w:bidi="ar-SA"/>
        </w:rPr>
        <w:t xml:space="preserve"> 部门概况</w:t>
      </w:r>
      <w:r>
        <w:tab/>
      </w:r>
      <w:r>
        <w:fldChar w:fldCharType="begin"/>
      </w:r>
      <w:r>
        <w:instrText xml:space="preserve"> PAGEREF _Toc9967 \h </w:instrText>
      </w:r>
      <w:r>
        <w:fldChar w:fldCharType="separate"/>
      </w:r>
      <w:r>
        <w:t>1</w:t>
      </w:r>
      <w:r>
        <w:fldChar w:fldCharType="end"/>
      </w:r>
      <w:r>
        <w:rPr>
          <w:rFonts w:hint="eastAsia" w:ascii="黑体" w:hAnsi="黑体" w:eastAsia="黑体" w:cs="黑体"/>
          <w:bCs w:val="0"/>
          <w:szCs w:val="21"/>
        </w:rPr>
        <w:fldChar w:fldCharType="end"/>
      </w:r>
    </w:p>
    <w:p w14:paraId="767273F2">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_Toc24539 </w:instrText>
      </w:r>
      <w:r>
        <w:rPr>
          <w:rFonts w:hint="eastAsia" w:ascii="黑体" w:hAnsi="黑体" w:eastAsia="黑体" w:cs="黑体"/>
          <w:bCs w:val="0"/>
          <w:szCs w:val="21"/>
        </w:rPr>
        <w:fldChar w:fldCharType="separate"/>
      </w:r>
      <w:r>
        <w:rPr>
          <w:rFonts w:hint="eastAsia" w:ascii="黑体" w:eastAsia="黑体" w:cs="黑体"/>
          <w:bCs w:val="0"/>
          <w:kern w:val="0"/>
          <w:szCs w:val="32"/>
          <w:lang w:val="en-US" w:eastAsia="zh-CN"/>
        </w:rPr>
        <w:t>一、部门职责</w:t>
      </w:r>
      <w:r>
        <w:tab/>
      </w:r>
      <w:r>
        <w:fldChar w:fldCharType="begin"/>
      </w:r>
      <w:r>
        <w:instrText xml:space="preserve"> PAGEREF _Toc24539 \h </w:instrText>
      </w:r>
      <w:r>
        <w:fldChar w:fldCharType="separate"/>
      </w:r>
      <w:r>
        <w:t>1</w:t>
      </w:r>
      <w:r>
        <w:fldChar w:fldCharType="end"/>
      </w:r>
      <w:r>
        <w:rPr>
          <w:rFonts w:hint="eastAsia" w:ascii="黑体" w:hAnsi="黑体" w:eastAsia="黑体" w:cs="黑体"/>
          <w:bCs w:val="0"/>
          <w:szCs w:val="21"/>
        </w:rPr>
        <w:fldChar w:fldCharType="end"/>
      </w:r>
    </w:p>
    <w:p w14:paraId="317CCFB1">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_Toc28529 </w:instrText>
      </w:r>
      <w:r>
        <w:rPr>
          <w:rFonts w:hint="eastAsia" w:ascii="黑体" w:hAnsi="黑体" w:eastAsia="黑体" w:cs="黑体"/>
          <w:bCs w:val="0"/>
          <w:szCs w:val="21"/>
        </w:rPr>
        <w:fldChar w:fldCharType="separate"/>
      </w:r>
      <w:r>
        <w:rPr>
          <w:rFonts w:hint="eastAsia" w:ascii="黑体" w:eastAsia="黑体" w:cs="黑体"/>
          <w:bCs w:val="0"/>
          <w:kern w:val="0"/>
          <w:szCs w:val="32"/>
          <w:lang w:val="en-US" w:eastAsia="zh-CN"/>
        </w:rPr>
        <w:t>二、机构设置</w:t>
      </w:r>
      <w:r>
        <w:tab/>
      </w:r>
      <w:r>
        <w:fldChar w:fldCharType="begin"/>
      </w:r>
      <w:r>
        <w:instrText xml:space="preserve"> PAGEREF _Toc28529 \h </w:instrText>
      </w:r>
      <w:r>
        <w:fldChar w:fldCharType="separate"/>
      </w:r>
      <w:r>
        <w:t>3</w:t>
      </w:r>
      <w:r>
        <w:fldChar w:fldCharType="end"/>
      </w:r>
      <w:r>
        <w:rPr>
          <w:rFonts w:hint="eastAsia" w:ascii="黑体" w:hAnsi="黑体" w:eastAsia="黑体" w:cs="黑体"/>
          <w:bCs w:val="0"/>
          <w:szCs w:val="21"/>
        </w:rPr>
        <w:fldChar w:fldCharType="end"/>
      </w:r>
    </w:p>
    <w:p w14:paraId="69C7C09F">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_Toc1040 </w:instrText>
      </w:r>
      <w:r>
        <w:rPr>
          <w:rFonts w:hint="eastAsia" w:ascii="黑体" w:hAnsi="黑体" w:eastAsia="黑体" w:cs="黑体"/>
          <w:bCs w:val="0"/>
          <w:szCs w:val="21"/>
        </w:rPr>
        <w:fldChar w:fldCharType="separate"/>
      </w:r>
      <w:r>
        <w:rPr>
          <w:rFonts w:hint="eastAsia" w:ascii="黑体" w:eastAsia="黑体" w:cs="Times New Roman"/>
          <w:szCs w:val="44"/>
          <w:lang w:bidi="ar-SA"/>
        </w:rPr>
        <w:t>第二部分 202</w:t>
      </w:r>
      <w:r>
        <w:rPr>
          <w:rFonts w:hint="eastAsia" w:ascii="黑体" w:eastAsia="黑体" w:cs="Times New Roman"/>
          <w:szCs w:val="44"/>
          <w:lang w:val="en-US" w:eastAsia="zh-CN" w:bidi="ar-SA"/>
        </w:rPr>
        <w:t>3</w:t>
      </w:r>
      <w:r>
        <w:rPr>
          <w:rFonts w:hint="eastAsia" w:ascii="黑体" w:eastAsia="黑体" w:cs="Times New Roman"/>
          <w:szCs w:val="44"/>
          <w:lang w:bidi="ar-SA"/>
        </w:rPr>
        <w:t>年度部门决算情况说明</w:t>
      </w:r>
      <w:r>
        <w:tab/>
      </w:r>
      <w:r>
        <w:fldChar w:fldCharType="begin"/>
      </w:r>
      <w:r>
        <w:instrText xml:space="preserve"> PAGEREF _Toc1040 \h </w:instrText>
      </w:r>
      <w:r>
        <w:fldChar w:fldCharType="separate"/>
      </w:r>
      <w:r>
        <w:t>4</w:t>
      </w:r>
      <w:r>
        <w:fldChar w:fldCharType="end"/>
      </w:r>
      <w:r>
        <w:rPr>
          <w:rFonts w:hint="eastAsia" w:ascii="黑体" w:hAnsi="黑体" w:eastAsia="黑体" w:cs="黑体"/>
          <w:bCs w:val="0"/>
          <w:szCs w:val="21"/>
        </w:rPr>
        <w:fldChar w:fldCharType="end"/>
      </w:r>
    </w:p>
    <w:p w14:paraId="6F7B7F3C">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_Toc25790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一、</w:t>
      </w:r>
      <w:r>
        <w:rPr>
          <w:rFonts w:hint="eastAsia" w:ascii="黑体" w:eastAsia="黑体" w:cs="Times New Roman"/>
          <w:szCs w:val="32"/>
        </w:rPr>
        <w:t>收入支出决算总体情况说明</w:t>
      </w:r>
      <w:r>
        <w:tab/>
      </w:r>
      <w:r>
        <w:fldChar w:fldCharType="begin"/>
      </w:r>
      <w:r>
        <w:instrText xml:space="preserve"> PAGEREF _Toc25790 \h </w:instrText>
      </w:r>
      <w:r>
        <w:fldChar w:fldCharType="separate"/>
      </w:r>
      <w:r>
        <w:t>4</w:t>
      </w:r>
      <w:r>
        <w:fldChar w:fldCharType="end"/>
      </w:r>
      <w:r>
        <w:rPr>
          <w:rFonts w:hint="eastAsia" w:ascii="黑体" w:hAnsi="黑体" w:eastAsia="黑体" w:cs="黑体"/>
          <w:bCs w:val="0"/>
          <w:szCs w:val="21"/>
        </w:rPr>
        <w:fldChar w:fldCharType="end"/>
      </w:r>
    </w:p>
    <w:p w14:paraId="5245538F">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_Toc27913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二、</w:t>
      </w:r>
      <w:r>
        <w:rPr>
          <w:rFonts w:hint="eastAsia" w:ascii="黑体" w:eastAsia="黑体" w:cs="Times New Roman"/>
          <w:szCs w:val="32"/>
        </w:rPr>
        <w:t>收入决算情况说明</w:t>
      </w:r>
      <w:r>
        <w:tab/>
      </w:r>
      <w:r>
        <w:fldChar w:fldCharType="begin"/>
      </w:r>
      <w:r>
        <w:instrText xml:space="preserve"> PAGEREF _Toc27913 \h </w:instrText>
      </w:r>
      <w:r>
        <w:fldChar w:fldCharType="separate"/>
      </w:r>
      <w:r>
        <w:t>4</w:t>
      </w:r>
      <w:r>
        <w:fldChar w:fldCharType="end"/>
      </w:r>
      <w:r>
        <w:rPr>
          <w:rFonts w:hint="eastAsia" w:ascii="黑体" w:hAnsi="黑体" w:eastAsia="黑体" w:cs="黑体"/>
          <w:bCs w:val="0"/>
          <w:szCs w:val="21"/>
        </w:rPr>
        <w:fldChar w:fldCharType="end"/>
      </w:r>
    </w:p>
    <w:p w14:paraId="0C6516B9">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_Toc854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三、支出决算情况说明</w:t>
      </w:r>
      <w:r>
        <w:tab/>
      </w:r>
      <w:r>
        <w:fldChar w:fldCharType="begin"/>
      </w:r>
      <w:r>
        <w:instrText xml:space="preserve"> PAGEREF _Toc854 \h </w:instrText>
      </w:r>
      <w:r>
        <w:fldChar w:fldCharType="separate"/>
      </w:r>
      <w:r>
        <w:t>5</w:t>
      </w:r>
      <w:r>
        <w:fldChar w:fldCharType="end"/>
      </w:r>
      <w:r>
        <w:rPr>
          <w:rFonts w:hint="eastAsia" w:ascii="黑体" w:hAnsi="黑体" w:eastAsia="黑体" w:cs="黑体"/>
          <w:bCs w:val="0"/>
          <w:szCs w:val="21"/>
        </w:rPr>
        <w:fldChar w:fldCharType="end"/>
      </w:r>
    </w:p>
    <w:p w14:paraId="4B746735">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_Toc26708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四、财政拨款收入支出决算总体情况说明</w:t>
      </w:r>
      <w:r>
        <w:tab/>
      </w:r>
      <w:r>
        <w:fldChar w:fldCharType="begin"/>
      </w:r>
      <w:r>
        <w:instrText xml:space="preserve"> PAGEREF _Toc26708 \h </w:instrText>
      </w:r>
      <w:r>
        <w:fldChar w:fldCharType="separate"/>
      </w:r>
      <w:r>
        <w:t>5</w:t>
      </w:r>
      <w:r>
        <w:fldChar w:fldCharType="end"/>
      </w:r>
      <w:r>
        <w:rPr>
          <w:rFonts w:hint="eastAsia" w:ascii="黑体" w:hAnsi="黑体" w:eastAsia="黑体" w:cs="黑体"/>
          <w:bCs w:val="0"/>
          <w:szCs w:val="21"/>
        </w:rPr>
        <w:fldChar w:fldCharType="end"/>
      </w:r>
    </w:p>
    <w:p w14:paraId="23ADB06B">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_Toc24923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五、一般公共预算财政拨款支出决算情况说明</w:t>
      </w:r>
      <w:r>
        <w:tab/>
      </w:r>
      <w:r>
        <w:fldChar w:fldCharType="begin"/>
      </w:r>
      <w:r>
        <w:instrText xml:space="preserve"> PAGEREF _Toc24923 \h </w:instrText>
      </w:r>
      <w:r>
        <w:fldChar w:fldCharType="separate"/>
      </w:r>
      <w:r>
        <w:t>6</w:t>
      </w:r>
      <w:r>
        <w:fldChar w:fldCharType="end"/>
      </w:r>
      <w:r>
        <w:rPr>
          <w:rFonts w:hint="eastAsia" w:ascii="黑体" w:hAnsi="黑体" w:eastAsia="黑体" w:cs="黑体"/>
          <w:bCs w:val="0"/>
          <w:szCs w:val="21"/>
        </w:rPr>
        <w:fldChar w:fldCharType="end"/>
      </w:r>
    </w:p>
    <w:p w14:paraId="36E999BF">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_Toc24364 </w:instrText>
      </w:r>
      <w:r>
        <w:rPr>
          <w:rFonts w:hint="eastAsia" w:ascii="黑体" w:hAnsi="黑体" w:eastAsia="黑体" w:cs="黑体"/>
          <w:bCs w:val="0"/>
          <w:szCs w:val="21"/>
        </w:rPr>
        <w:fldChar w:fldCharType="separate"/>
      </w:r>
      <w:r>
        <w:rPr>
          <w:rFonts w:hint="eastAsia" w:ascii="黑体" w:hAnsi="Calibri" w:eastAsia="黑体" w:cs="Times New Roman"/>
          <w:kern w:val="2"/>
          <w:szCs w:val="32"/>
          <w:lang w:val="en-US" w:eastAsia="zh-CN" w:bidi="ar-SA"/>
        </w:rPr>
        <w:t>六、一般公共预算财政拨款基本支出决算情况说明  </w:t>
      </w:r>
      <w:r>
        <w:rPr>
          <w:rFonts w:hint="eastAsia" w:ascii="仿宋_GB2312" w:eastAsia="仿宋_GB2312" w:cs="仿宋_GB2312"/>
          <w:bCs/>
          <w:kern w:val="2"/>
          <w:szCs w:val="32"/>
          <w:lang w:val="en-US" w:eastAsia="zh-CN" w:bidi="ar-SA"/>
        </w:rPr>
        <w:t> </w:t>
      </w:r>
      <w:r>
        <w:tab/>
      </w:r>
      <w:r>
        <w:fldChar w:fldCharType="begin"/>
      </w:r>
      <w:r>
        <w:instrText xml:space="preserve"> PAGEREF _Toc24364 \h </w:instrText>
      </w:r>
      <w:r>
        <w:fldChar w:fldCharType="separate"/>
      </w:r>
      <w:r>
        <w:t>9</w:t>
      </w:r>
      <w:r>
        <w:fldChar w:fldCharType="end"/>
      </w:r>
      <w:r>
        <w:rPr>
          <w:rFonts w:hint="eastAsia" w:ascii="黑体" w:hAnsi="黑体" w:eastAsia="黑体" w:cs="黑体"/>
          <w:bCs w:val="0"/>
          <w:szCs w:val="21"/>
        </w:rPr>
        <w:fldChar w:fldCharType="end"/>
      </w:r>
    </w:p>
    <w:p w14:paraId="12C2FDC8">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_Toc18490 </w:instrText>
      </w:r>
      <w:r>
        <w:rPr>
          <w:rFonts w:hint="eastAsia" w:ascii="黑体" w:hAnsi="黑体" w:eastAsia="黑体" w:cs="黑体"/>
          <w:bCs w:val="0"/>
          <w:szCs w:val="21"/>
        </w:rPr>
        <w:fldChar w:fldCharType="separate"/>
      </w:r>
      <w:r>
        <w:rPr>
          <w:rFonts w:hint="eastAsia" w:ascii="黑体" w:eastAsia="黑体" w:cs="Times New Roman"/>
          <w:szCs w:val="32"/>
        </w:rPr>
        <w:t>七、“三公”经费财政拨款支出决算情况说明</w:t>
      </w:r>
      <w:r>
        <w:tab/>
      </w:r>
      <w:r>
        <w:fldChar w:fldCharType="begin"/>
      </w:r>
      <w:r>
        <w:instrText xml:space="preserve"> PAGEREF _Toc18490 \h </w:instrText>
      </w:r>
      <w:r>
        <w:fldChar w:fldCharType="separate"/>
      </w:r>
      <w:r>
        <w:t>10</w:t>
      </w:r>
      <w:r>
        <w:fldChar w:fldCharType="end"/>
      </w:r>
      <w:r>
        <w:rPr>
          <w:rFonts w:hint="eastAsia" w:ascii="黑体" w:hAnsi="黑体" w:eastAsia="黑体" w:cs="黑体"/>
          <w:bCs w:val="0"/>
          <w:szCs w:val="21"/>
        </w:rPr>
        <w:fldChar w:fldCharType="end"/>
      </w:r>
    </w:p>
    <w:p w14:paraId="308B6B8E">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_Toc19970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八、政府性基金预算支出决算情况说明</w:t>
      </w:r>
      <w:r>
        <w:tab/>
      </w:r>
      <w:r>
        <w:fldChar w:fldCharType="begin"/>
      </w:r>
      <w:r>
        <w:instrText xml:space="preserve"> PAGEREF _Toc19970 \h </w:instrText>
      </w:r>
      <w:r>
        <w:fldChar w:fldCharType="separate"/>
      </w:r>
      <w:r>
        <w:t>12</w:t>
      </w:r>
      <w:r>
        <w:fldChar w:fldCharType="end"/>
      </w:r>
      <w:r>
        <w:rPr>
          <w:rFonts w:hint="eastAsia" w:ascii="黑体" w:hAnsi="黑体" w:eastAsia="黑体" w:cs="黑体"/>
          <w:bCs w:val="0"/>
          <w:szCs w:val="21"/>
        </w:rPr>
        <w:fldChar w:fldCharType="end"/>
      </w:r>
    </w:p>
    <w:p w14:paraId="753C995F">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_Toc131 </w:instrText>
      </w:r>
      <w:r>
        <w:rPr>
          <w:rFonts w:hint="eastAsia" w:ascii="黑体" w:hAnsi="黑体" w:eastAsia="黑体" w:cs="黑体"/>
          <w:bCs w:val="0"/>
          <w:szCs w:val="21"/>
        </w:rPr>
        <w:fldChar w:fldCharType="separate"/>
      </w:r>
      <w:r>
        <w:rPr>
          <w:rFonts w:hint="eastAsia" w:ascii="黑体" w:eastAsia="黑体" w:cs="Times New Roman"/>
          <w:szCs w:val="32"/>
          <w:lang w:val="en-US" w:eastAsia="zh-CN"/>
        </w:rPr>
        <w:t>九、国有资本经营预算支出决算情况说明</w:t>
      </w:r>
      <w:r>
        <w:tab/>
      </w:r>
      <w:r>
        <w:fldChar w:fldCharType="begin"/>
      </w:r>
      <w:r>
        <w:instrText xml:space="preserve"> PAGEREF _Toc131 \h </w:instrText>
      </w:r>
      <w:r>
        <w:fldChar w:fldCharType="separate"/>
      </w:r>
      <w:r>
        <w:t>12</w:t>
      </w:r>
      <w:r>
        <w:fldChar w:fldCharType="end"/>
      </w:r>
      <w:r>
        <w:rPr>
          <w:rFonts w:hint="eastAsia" w:ascii="黑体" w:hAnsi="黑体" w:eastAsia="黑体" w:cs="黑体"/>
          <w:bCs w:val="0"/>
          <w:szCs w:val="21"/>
        </w:rPr>
        <w:fldChar w:fldCharType="end"/>
      </w:r>
    </w:p>
    <w:p w14:paraId="38038E65">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_Toc18785 </w:instrText>
      </w:r>
      <w:r>
        <w:rPr>
          <w:rFonts w:hint="eastAsia" w:ascii="黑体" w:hAnsi="黑体" w:eastAsia="黑体" w:cs="黑体"/>
          <w:bCs w:val="0"/>
          <w:szCs w:val="21"/>
        </w:rPr>
        <w:fldChar w:fldCharType="separate"/>
      </w:r>
      <w:r>
        <w:rPr>
          <w:rFonts w:hint="eastAsia" w:ascii="黑体" w:eastAsia="黑体" w:cs="Times New Roman"/>
          <w:szCs w:val="32"/>
        </w:rPr>
        <w:t>十、其他重要事项的情况说明</w:t>
      </w:r>
      <w:r>
        <w:tab/>
      </w:r>
      <w:r>
        <w:fldChar w:fldCharType="begin"/>
      </w:r>
      <w:r>
        <w:instrText xml:space="preserve"> PAGEREF _Toc18785 \h </w:instrText>
      </w:r>
      <w:r>
        <w:fldChar w:fldCharType="separate"/>
      </w:r>
      <w:r>
        <w:t>12</w:t>
      </w:r>
      <w:r>
        <w:fldChar w:fldCharType="end"/>
      </w:r>
      <w:r>
        <w:rPr>
          <w:rFonts w:hint="eastAsia" w:ascii="黑体" w:hAnsi="黑体" w:eastAsia="黑体" w:cs="黑体"/>
          <w:bCs w:val="0"/>
          <w:szCs w:val="21"/>
        </w:rPr>
        <w:fldChar w:fldCharType="end"/>
      </w:r>
    </w:p>
    <w:p w14:paraId="2C1B749C">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_Toc2516 </w:instrText>
      </w:r>
      <w:r>
        <w:rPr>
          <w:rFonts w:hint="eastAsia" w:ascii="黑体" w:hAnsi="黑体" w:eastAsia="黑体" w:cs="黑体"/>
          <w:bCs w:val="0"/>
          <w:szCs w:val="21"/>
        </w:rPr>
        <w:fldChar w:fldCharType="separate"/>
      </w:r>
      <w:r>
        <w:rPr>
          <w:rFonts w:hint="eastAsia" w:ascii="黑体" w:eastAsia="黑体" w:cs="Times New Roman"/>
          <w:szCs w:val="44"/>
          <w:lang w:val="en-US" w:eastAsia="zh-CN"/>
        </w:rPr>
        <w:t xml:space="preserve">第三部分  </w:t>
      </w:r>
      <w:r>
        <w:rPr>
          <w:rFonts w:hint="eastAsia" w:ascii="黑体" w:eastAsia="黑体" w:cs="Times New Roman"/>
          <w:szCs w:val="44"/>
        </w:rPr>
        <w:t>名词解释</w:t>
      </w:r>
      <w:r>
        <w:tab/>
      </w:r>
      <w:r>
        <w:fldChar w:fldCharType="begin"/>
      </w:r>
      <w:r>
        <w:instrText xml:space="preserve"> PAGEREF _Toc2516 \h </w:instrText>
      </w:r>
      <w:r>
        <w:fldChar w:fldCharType="separate"/>
      </w:r>
      <w:r>
        <w:t>17</w:t>
      </w:r>
      <w:r>
        <w:fldChar w:fldCharType="end"/>
      </w:r>
      <w:r>
        <w:rPr>
          <w:rFonts w:hint="eastAsia" w:ascii="黑体" w:hAnsi="黑体" w:eastAsia="黑体" w:cs="黑体"/>
          <w:bCs w:val="0"/>
          <w:szCs w:val="21"/>
        </w:rPr>
        <w:fldChar w:fldCharType="end"/>
      </w:r>
    </w:p>
    <w:p w14:paraId="4D0D87D2">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_Toc711 </w:instrText>
      </w:r>
      <w:r>
        <w:rPr>
          <w:rFonts w:hint="eastAsia" w:ascii="黑体" w:hAnsi="黑体" w:eastAsia="黑体" w:cs="黑体"/>
          <w:bCs w:val="0"/>
          <w:szCs w:val="21"/>
        </w:rPr>
        <w:fldChar w:fldCharType="separate"/>
      </w:r>
      <w:r>
        <w:rPr>
          <w:rFonts w:hint="eastAsia" w:ascii="黑体" w:hAnsi="黑体" w:eastAsia="黑体"/>
          <w:szCs w:val="44"/>
          <w:highlight w:val="none"/>
        </w:rPr>
        <w:t>第四部分 附件</w:t>
      </w:r>
      <w:r>
        <w:tab/>
      </w:r>
      <w:r>
        <w:fldChar w:fldCharType="begin"/>
      </w:r>
      <w:r>
        <w:instrText xml:space="preserve"> PAGEREF _Toc711 \h </w:instrText>
      </w:r>
      <w:r>
        <w:fldChar w:fldCharType="separate"/>
      </w:r>
      <w:r>
        <w:t>21</w:t>
      </w:r>
      <w:r>
        <w:fldChar w:fldCharType="end"/>
      </w:r>
      <w:r>
        <w:rPr>
          <w:rFonts w:hint="eastAsia" w:ascii="黑体" w:hAnsi="黑体" w:eastAsia="黑体" w:cs="黑体"/>
          <w:bCs w:val="0"/>
          <w:szCs w:val="21"/>
        </w:rPr>
        <w:fldChar w:fldCharType="end"/>
      </w:r>
    </w:p>
    <w:p w14:paraId="30B810F8">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_Toc1723 </w:instrText>
      </w:r>
      <w:r>
        <w:rPr>
          <w:rFonts w:hint="eastAsia" w:ascii="黑体" w:hAnsi="黑体" w:eastAsia="黑体" w:cs="黑体"/>
          <w:bCs w:val="0"/>
          <w:szCs w:val="21"/>
        </w:rPr>
        <w:fldChar w:fldCharType="separate"/>
      </w:r>
      <w:r>
        <w:rPr>
          <w:rFonts w:hint="eastAsia" w:ascii="方正小标宋_GBK" w:hAnsi="仿宋" w:eastAsia="方正小标宋_GBK" w:cs="宋体"/>
          <w:bCs/>
          <w:kern w:val="0"/>
          <w:szCs w:val="44"/>
        </w:rPr>
        <w:t>附件1茂县科学技术和农业畜牧局</w:t>
      </w:r>
      <w:r>
        <w:rPr>
          <w:rFonts w:hint="eastAsia" w:ascii="方正小标宋_GBK" w:hAnsi="仿宋" w:eastAsia="方正小标宋_GBK" w:cs="Times New Roman"/>
          <w:bCs/>
          <w:kern w:val="2"/>
          <w:szCs w:val="44"/>
          <w:shd w:val="clear" w:color="auto" w:fill="FFFFFF"/>
        </w:rPr>
        <w:t>202</w:t>
      </w:r>
      <w:r>
        <w:rPr>
          <w:rFonts w:hint="eastAsia" w:ascii="方正小标宋_GBK" w:hAnsi="仿宋" w:eastAsia="方正小标宋_GBK" w:cs="Times New Roman"/>
          <w:bCs/>
          <w:kern w:val="2"/>
          <w:szCs w:val="44"/>
          <w:shd w:val="clear" w:color="auto" w:fill="FFFFFF"/>
          <w:lang w:val="en-US" w:eastAsia="zh-CN"/>
        </w:rPr>
        <w:t>3</w:t>
      </w:r>
      <w:r>
        <w:rPr>
          <w:rFonts w:hint="eastAsia" w:ascii="方正小标宋_GBK" w:hAnsi="仿宋" w:eastAsia="方正小标宋_GBK" w:cs="Times New Roman"/>
          <w:bCs/>
          <w:kern w:val="2"/>
          <w:szCs w:val="44"/>
          <w:shd w:val="clear" w:color="auto" w:fill="FFFFFF"/>
        </w:rPr>
        <w:t>年</w:t>
      </w:r>
      <w:r>
        <w:rPr>
          <w:rFonts w:hint="eastAsia" w:ascii="方正小标宋_GBK" w:hAnsi="仿宋" w:eastAsia="方正小标宋_GBK" w:cs="Times New Roman"/>
          <w:bCs/>
          <w:kern w:val="2"/>
          <w:szCs w:val="44"/>
          <w:shd w:val="clear" w:color="auto" w:fill="FFFFFF"/>
          <w:lang w:val="en-US" w:eastAsia="zh-CN"/>
        </w:rPr>
        <w:t>部门</w:t>
      </w:r>
      <w:r>
        <w:rPr>
          <w:rFonts w:hint="eastAsia" w:ascii="方正小标宋_GBK" w:hAnsi="仿宋" w:eastAsia="方正小标宋_GBK" w:cs="Times New Roman"/>
          <w:bCs/>
          <w:kern w:val="2"/>
          <w:szCs w:val="44"/>
          <w:shd w:val="clear" w:color="auto" w:fill="FFFFFF"/>
        </w:rPr>
        <w:t>整体支出绩效</w:t>
      </w:r>
      <w:r>
        <w:rPr>
          <w:rFonts w:hint="eastAsia" w:ascii="方正小标宋_GBK" w:hAnsi="仿宋" w:eastAsia="方正小标宋_GBK" w:cs="Times New Roman"/>
          <w:bCs/>
          <w:kern w:val="2"/>
          <w:szCs w:val="44"/>
          <w:shd w:val="clear" w:color="auto" w:fill="FFFFFF"/>
          <w:lang w:val="en-US" w:eastAsia="zh-CN"/>
        </w:rPr>
        <w:t>评价</w:t>
      </w:r>
      <w:r>
        <w:rPr>
          <w:rFonts w:hint="eastAsia" w:ascii="方正小标宋_GBK" w:hAnsi="仿宋" w:eastAsia="方正小标宋_GBK" w:cs="Times New Roman"/>
          <w:bCs/>
          <w:kern w:val="2"/>
          <w:szCs w:val="44"/>
          <w:shd w:val="clear" w:color="auto" w:fill="FFFFFF"/>
        </w:rPr>
        <w:t>报告</w:t>
      </w:r>
      <w:r>
        <w:tab/>
      </w:r>
      <w:r>
        <w:fldChar w:fldCharType="begin"/>
      </w:r>
      <w:r>
        <w:instrText xml:space="preserve"> PAGEREF _Toc1723 \h </w:instrText>
      </w:r>
      <w:r>
        <w:fldChar w:fldCharType="separate"/>
      </w:r>
      <w:r>
        <w:t>21</w:t>
      </w:r>
      <w:r>
        <w:fldChar w:fldCharType="end"/>
      </w:r>
      <w:r>
        <w:rPr>
          <w:rFonts w:hint="eastAsia" w:ascii="黑体" w:hAnsi="黑体" w:eastAsia="黑体" w:cs="黑体"/>
          <w:bCs w:val="0"/>
          <w:szCs w:val="21"/>
        </w:rPr>
        <w:fldChar w:fldCharType="end"/>
      </w:r>
    </w:p>
    <w:p w14:paraId="72B8A1D6">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_Toc5480 </w:instrText>
      </w:r>
      <w:r>
        <w:rPr>
          <w:rFonts w:hint="eastAsia" w:ascii="黑体" w:hAnsi="黑体" w:eastAsia="黑体" w:cs="黑体"/>
          <w:bCs w:val="0"/>
          <w:szCs w:val="21"/>
        </w:rPr>
        <w:fldChar w:fldCharType="separate"/>
      </w:r>
      <w:r>
        <w:rPr>
          <w:rFonts w:hint="eastAsia" w:ascii="Times New Roman" w:hAnsi="Times New Roman" w:eastAsia="黑体" w:cs="Times New Roman"/>
          <w:kern w:val="0"/>
          <w:szCs w:val="32"/>
          <w:shd w:val="clear" w:color="auto" w:fill="FFFFFF"/>
          <w:lang w:val="zh-CN"/>
        </w:rPr>
        <w:t>一、</w:t>
      </w:r>
      <w:r>
        <w:rPr>
          <w:rFonts w:ascii="Times New Roman" w:hAnsi="Times New Roman" w:eastAsia="黑体" w:cs="Times New Roman"/>
          <w:kern w:val="0"/>
          <w:szCs w:val="32"/>
          <w:shd w:val="clear" w:color="auto" w:fill="FFFFFF"/>
          <w:lang w:val="zh-CN"/>
        </w:rPr>
        <w:t>部门基本情况</w:t>
      </w:r>
      <w:r>
        <w:tab/>
      </w:r>
      <w:r>
        <w:fldChar w:fldCharType="begin"/>
      </w:r>
      <w:r>
        <w:instrText xml:space="preserve"> PAGEREF _Toc5480 \h </w:instrText>
      </w:r>
      <w:r>
        <w:fldChar w:fldCharType="separate"/>
      </w:r>
      <w:r>
        <w:t>21</w:t>
      </w:r>
      <w:r>
        <w:fldChar w:fldCharType="end"/>
      </w:r>
      <w:r>
        <w:rPr>
          <w:rFonts w:hint="eastAsia" w:ascii="黑体" w:hAnsi="黑体" w:eastAsia="黑体" w:cs="黑体"/>
          <w:bCs w:val="0"/>
          <w:szCs w:val="21"/>
        </w:rPr>
        <w:fldChar w:fldCharType="end"/>
      </w:r>
    </w:p>
    <w:p w14:paraId="04F1C26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_Toc9462 </w:instrText>
      </w:r>
      <w:r>
        <w:rPr>
          <w:rFonts w:hint="eastAsia" w:ascii="黑体" w:hAnsi="黑体" w:eastAsia="黑体" w:cs="黑体"/>
          <w:bCs w:val="0"/>
          <w:szCs w:val="21"/>
        </w:rPr>
        <w:fldChar w:fldCharType="separate"/>
      </w:r>
      <w:r>
        <w:rPr>
          <w:rFonts w:hint="eastAsia" w:ascii="Times New Roman" w:hAnsi="Times New Roman" w:eastAsia="黑体" w:cs="Times New Roman"/>
          <w:kern w:val="0"/>
          <w:szCs w:val="32"/>
          <w:shd w:val="clear" w:color="auto" w:fill="FFFFFF"/>
          <w:lang w:val="zh-CN"/>
        </w:rPr>
        <w:t>二、部门资金收支情况</w:t>
      </w:r>
      <w:r>
        <w:tab/>
      </w:r>
      <w:r>
        <w:fldChar w:fldCharType="begin"/>
      </w:r>
      <w:r>
        <w:instrText xml:space="preserve"> PAGEREF _Toc9462 \h </w:instrText>
      </w:r>
      <w:r>
        <w:fldChar w:fldCharType="separate"/>
      </w:r>
      <w:r>
        <w:t>23</w:t>
      </w:r>
      <w:r>
        <w:fldChar w:fldCharType="end"/>
      </w:r>
      <w:r>
        <w:rPr>
          <w:rFonts w:hint="eastAsia" w:ascii="黑体" w:hAnsi="黑体" w:eastAsia="黑体" w:cs="黑体"/>
          <w:bCs w:val="0"/>
          <w:szCs w:val="21"/>
        </w:rPr>
        <w:fldChar w:fldCharType="end"/>
      </w:r>
    </w:p>
    <w:p w14:paraId="34ADD75E">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_Toc25084 </w:instrText>
      </w:r>
      <w:r>
        <w:rPr>
          <w:rFonts w:hint="eastAsia" w:ascii="黑体" w:hAnsi="黑体" w:eastAsia="黑体" w:cs="黑体"/>
          <w:bCs w:val="0"/>
          <w:szCs w:val="21"/>
        </w:rPr>
        <w:fldChar w:fldCharType="separate"/>
      </w:r>
      <w:r>
        <w:rPr>
          <w:rFonts w:ascii="Times New Roman" w:hAnsi="Times New Roman" w:eastAsia="黑体" w:cs="Times New Roman"/>
          <w:kern w:val="0"/>
          <w:szCs w:val="32"/>
          <w:highlight w:val="none"/>
          <w:shd w:val="clear" w:color="auto" w:fill="FFFFFF"/>
        </w:rPr>
        <w:t>三、部门预算绩效分析</w:t>
      </w:r>
      <w:r>
        <w:tab/>
      </w:r>
      <w:r>
        <w:fldChar w:fldCharType="begin"/>
      </w:r>
      <w:r>
        <w:instrText xml:space="preserve"> PAGEREF _Toc25084 \h </w:instrText>
      </w:r>
      <w:r>
        <w:fldChar w:fldCharType="separate"/>
      </w:r>
      <w:r>
        <w:t>24</w:t>
      </w:r>
      <w:r>
        <w:fldChar w:fldCharType="end"/>
      </w:r>
      <w:r>
        <w:rPr>
          <w:rFonts w:hint="eastAsia" w:ascii="黑体" w:hAnsi="黑体" w:eastAsia="黑体" w:cs="黑体"/>
          <w:bCs w:val="0"/>
          <w:szCs w:val="21"/>
        </w:rPr>
        <w:fldChar w:fldCharType="end"/>
      </w:r>
    </w:p>
    <w:p w14:paraId="70BF07B6">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_Toc19590 </w:instrText>
      </w:r>
      <w:r>
        <w:rPr>
          <w:rFonts w:hint="eastAsia" w:ascii="黑体" w:hAnsi="黑体" w:eastAsia="黑体" w:cs="黑体"/>
          <w:bCs w:val="0"/>
          <w:szCs w:val="21"/>
        </w:rPr>
        <w:fldChar w:fldCharType="separate"/>
      </w:r>
      <w:r>
        <w:rPr>
          <w:rFonts w:ascii="Times New Roman" w:hAnsi="Times New Roman" w:eastAsia="黑体" w:cs="Times New Roman"/>
          <w:kern w:val="0"/>
          <w:szCs w:val="32"/>
          <w:shd w:val="clear" w:color="auto" w:fill="FFFFFF"/>
        </w:rPr>
        <w:t>四、评价结论及建议</w:t>
      </w:r>
      <w:r>
        <w:tab/>
      </w:r>
      <w:r>
        <w:fldChar w:fldCharType="begin"/>
      </w:r>
      <w:r>
        <w:instrText xml:space="preserve"> PAGEREF _Toc19590 \h </w:instrText>
      </w:r>
      <w:r>
        <w:fldChar w:fldCharType="separate"/>
      </w:r>
      <w:r>
        <w:t>28</w:t>
      </w:r>
      <w:r>
        <w:fldChar w:fldCharType="end"/>
      </w:r>
      <w:r>
        <w:rPr>
          <w:rFonts w:hint="eastAsia" w:ascii="黑体" w:hAnsi="黑体" w:eastAsia="黑体" w:cs="黑体"/>
          <w:bCs w:val="0"/>
          <w:szCs w:val="21"/>
        </w:rPr>
        <w:fldChar w:fldCharType="end"/>
      </w:r>
    </w:p>
    <w:p w14:paraId="786F2024">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_Toc14853 </w:instrText>
      </w:r>
      <w:r>
        <w:rPr>
          <w:rFonts w:hint="eastAsia" w:ascii="黑体" w:hAnsi="黑体" w:eastAsia="黑体" w:cs="黑体"/>
          <w:bCs w:val="0"/>
          <w:szCs w:val="21"/>
        </w:rPr>
        <w:fldChar w:fldCharType="separate"/>
      </w:r>
      <w:r>
        <w:rPr>
          <w:rFonts w:hint="eastAsia" w:ascii="方正小标宋简体" w:hAnsi="Times New Roman" w:eastAsia="方正小标宋简体" w:cs="方正小标宋简体"/>
          <w:kern w:val="0"/>
          <w:szCs w:val="44"/>
        </w:rPr>
        <w:t>附件2</w:t>
      </w:r>
      <w:r>
        <w:rPr>
          <w:rFonts w:hint="eastAsia" w:ascii="方正小标宋简体" w:hAnsi="Times New Roman" w:eastAsia="方正小标宋简体" w:cs="方正小标宋简体"/>
          <w:kern w:val="0"/>
          <w:szCs w:val="44"/>
          <w:lang w:val="en-US" w:eastAsia="zh-CN"/>
        </w:rPr>
        <w:t>专项预算项目绩效自评报告</w:t>
      </w:r>
      <w:r>
        <w:tab/>
      </w:r>
      <w:r>
        <w:fldChar w:fldCharType="begin"/>
      </w:r>
      <w:r>
        <w:instrText xml:space="preserve"> PAGEREF _Toc14853 \h </w:instrText>
      </w:r>
      <w:r>
        <w:fldChar w:fldCharType="separate"/>
      </w:r>
      <w:r>
        <w:t>30</w:t>
      </w:r>
      <w:r>
        <w:fldChar w:fldCharType="end"/>
      </w:r>
      <w:r>
        <w:rPr>
          <w:rFonts w:hint="eastAsia" w:ascii="黑体" w:hAnsi="黑体" w:eastAsia="黑体" w:cs="黑体"/>
          <w:bCs w:val="0"/>
          <w:szCs w:val="21"/>
        </w:rPr>
        <w:fldChar w:fldCharType="end"/>
      </w:r>
    </w:p>
    <w:p w14:paraId="4A944F58">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_Toc29795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2023年茂县高素质农民培育项目</w:t>
      </w:r>
      <w:r>
        <w:tab/>
      </w:r>
      <w:r>
        <w:fldChar w:fldCharType="begin"/>
      </w:r>
      <w:r>
        <w:instrText xml:space="preserve"> PAGEREF _Toc29795 \h </w:instrText>
      </w:r>
      <w:r>
        <w:fldChar w:fldCharType="separate"/>
      </w:r>
      <w:r>
        <w:t>30</w:t>
      </w:r>
      <w:r>
        <w:fldChar w:fldCharType="end"/>
      </w:r>
      <w:r>
        <w:rPr>
          <w:rFonts w:hint="eastAsia" w:ascii="黑体" w:hAnsi="黑体" w:eastAsia="黑体" w:cs="黑体"/>
          <w:bCs w:val="0"/>
          <w:szCs w:val="21"/>
        </w:rPr>
        <w:fldChar w:fldCharType="end"/>
      </w:r>
    </w:p>
    <w:p w14:paraId="6D1E0044">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_Toc24106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绩效评价报告</w:t>
      </w:r>
      <w:r>
        <w:tab/>
      </w:r>
      <w:r>
        <w:fldChar w:fldCharType="begin"/>
      </w:r>
      <w:r>
        <w:instrText xml:space="preserve"> PAGEREF _Toc24106 \h </w:instrText>
      </w:r>
      <w:r>
        <w:fldChar w:fldCharType="separate"/>
      </w:r>
      <w:r>
        <w:t>30</w:t>
      </w:r>
      <w:r>
        <w:fldChar w:fldCharType="end"/>
      </w:r>
      <w:r>
        <w:rPr>
          <w:rFonts w:hint="eastAsia" w:ascii="黑体" w:hAnsi="黑体" w:eastAsia="黑体" w:cs="黑体"/>
          <w:bCs w:val="0"/>
          <w:szCs w:val="21"/>
        </w:rPr>
        <w:fldChar w:fldCharType="end"/>
      </w:r>
    </w:p>
    <w:p w14:paraId="4581EE23">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_Toc12763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一、</w:t>
      </w:r>
      <w:r>
        <w:rPr>
          <w:rFonts w:hint="eastAsia" w:ascii="黑体" w:hAnsi="宋体" w:eastAsia="黑体" w:cs="Times New Roman"/>
          <w:kern w:val="2"/>
          <w:szCs w:val="32"/>
          <w:lang w:val="zh-CN"/>
        </w:rPr>
        <w:t>项目概况</w:t>
      </w:r>
      <w:r>
        <w:tab/>
      </w:r>
      <w:r>
        <w:fldChar w:fldCharType="begin"/>
      </w:r>
      <w:r>
        <w:instrText xml:space="preserve"> PAGEREF _Toc12763 \h </w:instrText>
      </w:r>
      <w:r>
        <w:fldChar w:fldCharType="separate"/>
      </w:r>
      <w:r>
        <w:t>30</w:t>
      </w:r>
      <w:r>
        <w:fldChar w:fldCharType="end"/>
      </w:r>
      <w:r>
        <w:rPr>
          <w:rFonts w:hint="eastAsia" w:ascii="黑体" w:hAnsi="黑体" w:eastAsia="黑体" w:cs="黑体"/>
          <w:bCs w:val="0"/>
          <w:szCs w:val="21"/>
        </w:rPr>
        <w:fldChar w:fldCharType="end"/>
      </w:r>
    </w:p>
    <w:p w14:paraId="2C13762B">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_Toc12453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二、评价实施</w:t>
      </w:r>
      <w:r>
        <w:tab/>
      </w:r>
      <w:r>
        <w:fldChar w:fldCharType="begin"/>
      </w:r>
      <w:r>
        <w:instrText xml:space="preserve"> PAGEREF _Toc12453 \h </w:instrText>
      </w:r>
      <w:r>
        <w:fldChar w:fldCharType="separate"/>
      </w:r>
      <w:r>
        <w:t>31</w:t>
      </w:r>
      <w:r>
        <w:fldChar w:fldCharType="end"/>
      </w:r>
      <w:r>
        <w:rPr>
          <w:rFonts w:hint="eastAsia" w:ascii="黑体" w:hAnsi="黑体" w:eastAsia="黑体" w:cs="黑体"/>
          <w:bCs w:val="0"/>
          <w:szCs w:val="21"/>
        </w:rPr>
        <w:fldChar w:fldCharType="end"/>
      </w:r>
    </w:p>
    <w:p w14:paraId="36F5DB8C">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_Toc32738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三、绩效分析</w:t>
      </w:r>
      <w:r>
        <w:tab/>
      </w:r>
      <w:r>
        <w:fldChar w:fldCharType="begin"/>
      </w:r>
      <w:r>
        <w:instrText xml:space="preserve"> PAGEREF _Toc32738 \h </w:instrText>
      </w:r>
      <w:r>
        <w:fldChar w:fldCharType="separate"/>
      </w:r>
      <w:r>
        <w:t>32</w:t>
      </w:r>
      <w:r>
        <w:fldChar w:fldCharType="end"/>
      </w:r>
      <w:r>
        <w:rPr>
          <w:rFonts w:hint="eastAsia" w:ascii="黑体" w:hAnsi="黑体" w:eastAsia="黑体" w:cs="黑体"/>
          <w:bCs w:val="0"/>
          <w:szCs w:val="21"/>
        </w:rPr>
        <w:fldChar w:fldCharType="end"/>
      </w:r>
    </w:p>
    <w:p w14:paraId="5B045759">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_Toc17358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四、评价结论</w:t>
      </w:r>
      <w:r>
        <w:tab/>
      </w:r>
      <w:r>
        <w:fldChar w:fldCharType="begin"/>
      </w:r>
      <w:r>
        <w:instrText xml:space="preserve"> PAGEREF _Toc17358 \h </w:instrText>
      </w:r>
      <w:r>
        <w:fldChar w:fldCharType="separate"/>
      </w:r>
      <w:r>
        <w:t>33</w:t>
      </w:r>
      <w:r>
        <w:fldChar w:fldCharType="end"/>
      </w:r>
      <w:r>
        <w:rPr>
          <w:rFonts w:hint="eastAsia" w:ascii="黑体" w:hAnsi="黑体" w:eastAsia="黑体" w:cs="黑体"/>
          <w:bCs w:val="0"/>
          <w:szCs w:val="21"/>
        </w:rPr>
        <w:fldChar w:fldCharType="end"/>
      </w:r>
    </w:p>
    <w:p w14:paraId="23782908">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_Toc26070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五、存在主要问题</w:t>
      </w:r>
      <w:r>
        <w:tab/>
      </w:r>
      <w:r>
        <w:fldChar w:fldCharType="begin"/>
      </w:r>
      <w:r>
        <w:instrText xml:space="preserve"> PAGEREF _Toc26070 \h </w:instrText>
      </w:r>
      <w:r>
        <w:fldChar w:fldCharType="separate"/>
      </w:r>
      <w:r>
        <w:t>33</w:t>
      </w:r>
      <w:r>
        <w:fldChar w:fldCharType="end"/>
      </w:r>
      <w:r>
        <w:rPr>
          <w:rFonts w:hint="eastAsia" w:ascii="黑体" w:hAnsi="黑体" w:eastAsia="黑体" w:cs="黑体"/>
          <w:bCs w:val="0"/>
          <w:szCs w:val="21"/>
        </w:rPr>
        <w:fldChar w:fldCharType="end"/>
      </w:r>
    </w:p>
    <w:p w14:paraId="721A0CC8">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_Toc28229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zh-CN" w:eastAsia="zh-CN" w:bidi="ar-SA"/>
        </w:rPr>
        <w:t>六、改进建议</w:t>
      </w:r>
      <w:r>
        <w:tab/>
      </w:r>
      <w:r>
        <w:fldChar w:fldCharType="begin"/>
      </w:r>
      <w:r>
        <w:instrText xml:space="preserve"> PAGEREF _Toc28229 \h </w:instrText>
      </w:r>
      <w:r>
        <w:fldChar w:fldCharType="separate"/>
      </w:r>
      <w:r>
        <w:t>33</w:t>
      </w:r>
      <w:r>
        <w:fldChar w:fldCharType="end"/>
      </w:r>
      <w:r>
        <w:rPr>
          <w:rFonts w:hint="eastAsia" w:ascii="黑体" w:hAnsi="黑体" w:eastAsia="黑体" w:cs="黑体"/>
          <w:bCs w:val="0"/>
          <w:szCs w:val="21"/>
        </w:rPr>
        <w:fldChar w:fldCharType="end"/>
      </w:r>
    </w:p>
    <w:p w14:paraId="27478A13">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_Toc8592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2023年茂县厕所革命示范建设项目</w:t>
      </w:r>
      <w:r>
        <w:tab/>
      </w:r>
      <w:r>
        <w:fldChar w:fldCharType="begin"/>
      </w:r>
      <w:r>
        <w:instrText xml:space="preserve"> PAGEREF _Toc8592 \h </w:instrText>
      </w:r>
      <w:r>
        <w:fldChar w:fldCharType="separate"/>
      </w:r>
      <w:r>
        <w:t>35</w:t>
      </w:r>
      <w:r>
        <w:fldChar w:fldCharType="end"/>
      </w:r>
      <w:r>
        <w:rPr>
          <w:rFonts w:hint="eastAsia" w:ascii="黑体" w:hAnsi="黑体" w:eastAsia="黑体" w:cs="黑体"/>
          <w:bCs w:val="0"/>
          <w:szCs w:val="21"/>
        </w:rPr>
        <w:fldChar w:fldCharType="end"/>
      </w:r>
    </w:p>
    <w:p w14:paraId="2268DBAA">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_Toc6489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绩效评价报告</w:t>
      </w:r>
      <w:r>
        <w:tab/>
      </w:r>
      <w:r>
        <w:fldChar w:fldCharType="begin"/>
      </w:r>
      <w:r>
        <w:instrText xml:space="preserve"> PAGEREF _Toc6489 \h </w:instrText>
      </w:r>
      <w:r>
        <w:fldChar w:fldCharType="separate"/>
      </w:r>
      <w:r>
        <w:t>35</w:t>
      </w:r>
      <w:r>
        <w:fldChar w:fldCharType="end"/>
      </w:r>
      <w:r>
        <w:rPr>
          <w:rFonts w:hint="eastAsia" w:ascii="黑体" w:hAnsi="黑体" w:eastAsia="黑体" w:cs="黑体"/>
          <w:bCs w:val="0"/>
          <w:szCs w:val="21"/>
        </w:rPr>
        <w:fldChar w:fldCharType="end"/>
      </w:r>
    </w:p>
    <w:p w14:paraId="5639BC01">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_Toc22190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一、</w:t>
      </w:r>
      <w:r>
        <w:rPr>
          <w:rFonts w:hint="eastAsia" w:ascii="黑体" w:hAnsi="宋体" w:eastAsia="黑体" w:cs="Times New Roman"/>
          <w:kern w:val="2"/>
          <w:szCs w:val="32"/>
          <w:lang w:val="zh-CN"/>
        </w:rPr>
        <w:t>项目概况</w:t>
      </w:r>
      <w:r>
        <w:tab/>
      </w:r>
      <w:r>
        <w:fldChar w:fldCharType="begin"/>
      </w:r>
      <w:r>
        <w:instrText xml:space="preserve"> PAGEREF _Toc22190 \h </w:instrText>
      </w:r>
      <w:r>
        <w:fldChar w:fldCharType="separate"/>
      </w:r>
      <w:r>
        <w:t>35</w:t>
      </w:r>
      <w:r>
        <w:fldChar w:fldCharType="end"/>
      </w:r>
      <w:r>
        <w:rPr>
          <w:rFonts w:hint="eastAsia" w:ascii="黑体" w:hAnsi="黑体" w:eastAsia="黑体" w:cs="黑体"/>
          <w:bCs w:val="0"/>
          <w:szCs w:val="21"/>
        </w:rPr>
        <w:fldChar w:fldCharType="end"/>
      </w:r>
    </w:p>
    <w:p w14:paraId="17E35E1F">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_Toc25488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二、评价实施</w:t>
      </w:r>
      <w:r>
        <w:tab/>
      </w:r>
      <w:r>
        <w:fldChar w:fldCharType="begin"/>
      </w:r>
      <w:r>
        <w:instrText xml:space="preserve"> PAGEREF _Toc25488 \h </w:instrText>
      </w:r>
      <w:r>
        <w:fldChar w:fldCharType="separate"/>
      </w:r>
      <w:r>
        <w:t>36</w:t>
      </w:r>
      <w:r>
        <w:fldChar w:fldCharType="end"/>
      </w:r>
      <w:r>
        <w:rPr>
          <w:rFonts w:hint="eastAsia" w:ascii="黑体" w:hAnsi="黑体" w:eastAsia="黑体" w:cs="黑体"/>
          <w:bCs w:val="0"/>
          <w:szCs w:val="21"/>
        </w:rPr>
        <w:fldChar w:fldCharType="end"/>
      </w:r>
    </w:p>
    <w:p w14:paraId="121CDC3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_Toc5498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三、绩效分析</w:t>
      </w:r>
      <w:r>
        <w:tab/>
      </w:r>
      <w:r>
        <w:fldChar w:fldCharType="begin"/>
      </w:r>
      <w:r>
        <w:instrText xml:space="preserve"> PAGEREF _Toc5498 \h </w:instrText>
      </w:r>
      <w:r>
        <w:fldChar w:fldCharType="separate"/>
      </w:r>
      <w:r>
        <w:t>37</w:t>
      </w:r>
      <w:r>
        <w:fldChar w:fldCharType="end"/>
      </w:r>
      <w:r>
        <w:rPr>
          <w:rFonts w:hint="eastAsia" w:ascii="黑体" w:hAnsi="黑体" w:eastAsia="黑体" w:cs="黑体"/>
          <w:bCs w:val="0"/>
          <w:szCs w:val="21"/>
        </w:rPr>
        <w:fldChar w:fldCharType="end"/>
      </w:r>
    </w:p>
    <w:p w14:paraId="2B37A56C">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_Toc16507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四、评价结论</w:t>
      </w:r>
      <w:r>
        <w:tab/>
      </w:r>
      <w:r>
        <w:fldChar w:fldCharType="begin"/>
      </w:r>
      <w:r>
        <w:instrText xml:space="preserve"> PAGEREF _Toc16507 \h </w:instrText>
      </w:r>
      <w:r>
        <w:fldChar w:fldCharType="separate"/>
      </w:r>
      <w:r>
        <w:t>38</w:t>
      </w:r>
      <w:r>
        <w:fldChar w:fldCharType="end"/>
      </w:r>
      <w:r>
        <w:rPr>
          <w:rFonts w:hint="eastAsia" w:ascii="黑体" w:hAnsi="黑体" w:eastAsia="黑体" w:cs="黑体"/>
          <w:bCs w:val="0"/>
          <w:szCs w:val="21"/>
        </w:rPr>
        <w:fldChar w:fldCharType="end"/>
      </w:r>
    </w:p>
    <w:p w14:paraId="5E48768F">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_Toc24039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五、存在主要问题</w:t>
      </w:r>
      <w:r>
        <w:tab/>
      </w:r>
      <w:r>
        <w:fldChar w:fldCharType="begin"/>
      </w:r>
      <w:r>
        <w:instrText xml:space="preserve"> PAGEREF _Toc24039 \h </w:instrText>
      </w:r>
      <w:r>
        <w:fldChar w:fldCharType="separate"/>
      </w:r>
      <w:r>
        <w:t>38</w:t>
      </w:r>
      <w:r>
        <w:fldChar w:fldCharType="end"/>
      </w:r>
      <w:r>
        <w:rPr>
          <w:rFonts w:hint="eastAsia" w:ascii="黑体" w:hAnsi="黑体" w:eastAsia="黑体" w:cs="黑体"/>
          <w:bCs w:val="0"/>
          <w:szCs w:val="21"/>
        </w:rPr>
        <w:fldChar w:fldCharType="end"/>
      </w:r>
    </w:p>
    <w:p w14:paraId="1F14793D">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_Toc18503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zh-CN" w:eastAsia="zh-CN" w:bidi="ar-SA"/>
        </w:rPr>
        <w:t>六、改进建议</w:t>
      </w:r>
      <w:r>
        <w:tab/>
      </w:r>
      <w:r>
        <w:fldChar w:fldCharType="begin"/>
      </w:r>
      <w:r>
        <w:instrText xml:space="preserve"> PAGEREF _Toc18503 \h </w:instrText>
      </w:r>
      <w:r>
        <w:fldChar w:fldCharType="separate"/>
      </w:r>
      <w:r>
        <w:t>38</w:t>
      </w:r>
      <w:r>
        <w:fldChar w:fldCharType="end"/>
      </w:r>
      <w:r>
        <w:rPr>
          <w:rFonts w:hint="eastAsia" w:ascii="黑体" w:hAnsi="黑体" w:eastAsia="黑体" w:cs="黑体"/>
          <w:bCs w:val="0"/>
          <w:szCs w:val="21"/>
        </w:rPr>
        <w:fldChar w:fldCharType="end"/>
      </w:r>
    </w:p>
    <w:p w14:paraId="54B194AB">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_Toc10091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highlight w:val="none"/>
          <w:lang w:val="en-US" w:eastAsia="zh-CN" w:bidi="ar-SA"/>
        </w:rPr>
        <w:t>2023年沙坝镇三龙富锶特色果蔬现代农业园区建设项目绩效评价报告</w:t>
      </w:r>
      <w:r>
        <w:tab/>
      </w:r>
      <w:r>
        <w:fldChar w:fldCharType="begin"/>
      </w:r>
      <w:r>
        <w:instrText xml:space="preserve"> PAGEREF _Toc10091 \h </w:instrText>
      </w:r>
      <w:r>
        <w:fldChar w:fldCharType="separate"/>
      </w:r>
      <w:r>
        <w:t>40</w:t>
      </w:r>
      <w:r>
        <w:fldChar w:fldCharType="end"/>
      </w:r>
      <w:r>
        <w:rPr>
          <w:rFonts w:hint="eastAsia" w:ascii="黑体" w:hAnsi="黑体" w:eastAsia="黑体" w:cs="黑体"/>
          <w:bCs w:val="0"/>
          <w:szCs w:val="21"/>
        </w:rPr>
        <w:fldChar w:fldCharType="end"/>
      </w:r>
    </w:p>
    <w:p w14:paraId="1454128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_Toc15521 </w:instrText>
      </w:r>
      <w:r>
        <w:rPr>
          <w:rFonts w:hint="eastAsia" w:ascii="黑体" w:hAnsi="黑体" w:eastAsia="黑体" w:cs="黑体"/>
          <w:bCs w:val="0"/>
          <w:szCs w:val="21"/>
        </w:rPr>
        <w:fldChar w:fldCharType="separate"/>
      </w:r>
      <w:r>
        <w:rPr>
          <w:rFonts w:hint="eastAsia" w:ascii="黑体" w:hAnsi="宋体" w:eastAsia="黑体" w:cs="Times New Roman"/>
          <w:kern w:val="2"/>
          <w:szCs w:val="32"/>
          <w:highlight w:val="none"/>
        </w:rPr>
        <w:t>一、</w:t>
      </w:r>
      <w:r>
        <w:rPr>
          <w:rFonts w:hint="eastAsia" w:ascii="黑体" w:hAnsi="宋体" w:eastAsia="黑体" w:cs="Times New Roman"/>
          <w:kern w:val="2"/>
          <w:szCs w:val="32"/>
          <w:highlight w:val="none"/>
          <w:lang w:val="zh-CN"/>
        </w:rPr>
        <w:t>项目概况</w:t>
      </w:r>
      <w:r>
        <w:tab/>
      </w:r>
      <w:r>
        <w:fldChar w:fldCharType="begin"/>
      </w:r>
      <w:r>
        <w:instrText xml:space="preserve"> PAGEREF _Toc15521 \h </w:instrText>
      </w:r>
      <w:r>
        <w:fldChar w:fldCharType="separate"/>
      </w:r>
      <w:r>
        <w:t>40</w:t>
      </w:r>
      <w:r>
        <w:fldChar w:fldCharType="end"/>
      </w:r>
      <w:r>
        <w:rPr>
          <w:rFonts w:hint="eastAsia" w:ascii="黑体" w:hAnsi="黑体" w:eastAsia="黑体" w:cs="黑体"/>
          <w:bCs w:val="0"/>
          <w:szCs w:val="21"/>
        </w:rPr>
        <w:fldChar w:fldCharType="end"/>
      </w:r>
    </w:p>
    <w:p w14:paraId="3D316FC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_Toc31945 </w:instrText>
      </w:r>
      <w:r>
        <w:rPr>
          <w:rFonts w:hint="eastAsia" w:ascii="黑体" w:hAnsi="黑体" w:eastAsia="黑体" w:cs="黑体"/>
          <w:bCs w:val="0"/>
          <w:szCs w:val="21"/>
        </w:rPr>
        <w:fldChar w:fldCharType="separate"/>
      </w:r>
      <w:r>
        <w:rPr>
          <w:rFonts w:hint="eastAsia" w:ascii="黑体" w:hAnsi="宋体" w:eastAsia="黑体" w:cs="Times New Roman"/>
          <w:kern w:val="2"/>
          <w:szCs w:val="32"/>
          <w:highlight w:val="none"/>
        </w:rPr>
        <w:t>二、</w:t>
      </w:r>
      <w:r>
        <w:rPr>
          <w:rFonts w:hint="eastAsia" w:ascii="黑体" w:hAnsi="宋体" w:eastAsia="黑体" w:cs="Times New Roman"/>
          <w:kern w:val="2"/>
          <w:szCs w:val="32"/>
          <w:highlight w:val="none"/>
          <w:lang w:eastAsia="zh-CN"/>
        </w:rPr>
        <w:t>评价实施</w:t>
      </w:r>
      <w:r>
        <w:tab/>
      </w:r>
      <w:r>
        <w:fldChar w:fldCharType="begin"/>
      </w:r>
      <w:r>
        <w:instrText xml:space="preserve"> PAGEREF _Toc31945 \h </w:instrText>
      </w:r>
      <w:r>
        <w:fldChar w:fldCharType="separate"/>
      </w:r>
      <w:r>
        <w:t>43</w:t>
      </w:r>
      <w:r>
        <w:fldChar w:fldCharType="end"/>
      </w:r>
      <w:r>
        <w:rPr>
          <w:rFonts w:hint="eastAsia" w:ascii="黑体" w:hAnsi="黑体" w:eastAsia="黑体" w:cs="黑体"/>
          <w:bCs w:val="0"/>
          <w:szCs w:val="21"/>
        </w:rPr>
        <w:fldChar w:fldCharType="end"/>
      </w:r>
    </w:p>
    <w:p w14:paraId="2951FA84">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_Toc13798 </w:instrText>
      </w:r>
      <w:r>
        <w:rPr>
          <w:rFonts w:hint="eastAsia" w:ascii="黑体" w:hAnsi="黑体" w:eastAsia="黑体" w:cs="黑体"/>
          <w:bCs w:val="0"/>
          <w:szCs w:val="21"/>
        </w:rPr>
        <w:fldChar w:fldCharType="separate"/>
      </w:r>
      <w:r>
        <w:rPr>
          <w:rFonts w:hint="eastAsia" w:ascii="黑体" w:hAnsi="宋体" w:eastAsia="黑体" w:cs="Times New Roman"/>
          <w:kern w:val="2"/>
          <w:szCs w:val="32"/>
          <w:highlight w:val="none"/>
        </w:rPr>
        <w:t>三、</w:t>
      </w:r>
      <w:r>
        <w:rPr>
          <w:rFonts w:hint="eastAsia" w:ascii="黑体" w:hAnsi="宋体" w:eastAsia="黑体" w:cs="Times New Roman"/>
          <w:kern w:val="2"/>
          <w:szCs w:val="32"/>
          <w:highlight w:val="none"/>
          <w:lang w:eastAsia="zh-CN"/>
        </w:rPr>
        <w:t>绩效分析</w:t>
      </w:r>
      <w:r>
        <w:tab/>
      </w:r>
      <w:r>
        <w:fldChar w:fldCharType="begin"/>
      </w:r>
      <w:r>
        <w:instrText xml:space="preserve"> PAGEREF _Toc13798 \h </w:instrText>
      </w:r>
      <w:r>
        <w:fldChar w:fldCharType="separate"/>
      </w:r>
      <w:r>
        <w:t>44</w:t>
      </w:r>
      <w:r>
        <w:fldChar w:fldCharType="end"/>
      </w:r>
      <w:r>
        <w:rPr>
          <w:rFonts w:hint="eastAsia" w:ascii="黑体" w:hAnsi="黑体" w:eastAsia="黑体" w:cs="黑体"/>
          <w:bCs w:val="0"/>
          <w:szCs w:val="21"/>
        </w:rPr>
        <w:fldChar w:fldCharType="end"/>
      </w:r>
    </w:p>
    <w:p w14:paraId="0109C114">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_Toc29443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highlight w:val="none"/>
          <w:lang w:val="en-US" w:eastAsia="zh-CN" w:bidi="ar-SA"/>
        </w:rPr>
        <w:t>四</w:t>
      </w:r>
      <w:r>
        <w:rPr>
          <w:rFonts w:hint="eastAsia" w:ascii="黑体" w:hAnsi="宋体" w:eastAsia="黑体" w:cs="Times New Roman"/>
          <w:kern w:val="0"/>
          <w:position w:val="3"/>
          <w:szCs w:val="32"/>
          <w:highlight w:val="none"/>
          <w:lang w:val="en-US" w:eastAsia="en-US" w:bidi="ar-SA"/>
        </w:rPr>
        <w:t>、评价结论</w:t>
      </w:r>
      <w:r>
        <w:tab/>
      </w:r>
      <w:r>
        <w:fldChar w:fldCharType="begin"/>
      </w:r>
      <w:r>
        <w:instrText xml:space="preserve"> PAGEREF _Toc29443 \h </w:instrText>
      </w:r>
      <w:r>
        <w:fldChar w:fldCharType="separate"/>
      </w:r>
      <w:r>
        <w:t>46</w:t>
      </w:r>
      <w:r>
        <w:fldChar w:fldCharType="end"/>
      </w:r>
      <w:r>
        <w:rPr>
          <w:rFonts w:hint="eastAsia" w:ascii="黑体" w:hAnsi="黑体" w:eastAsia="黑体" w:cs="黑体"/>
          <w:bCs w:val="0"/>
          <w:szCs w:val="21"/>
        </w:rPr>
        <w:fldChar w:fldCharType="end"/>
      </w:r>
    </w:p>
    <w:p w14:paraId="34200757">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_Toc17085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highlight w:val="none"/>
          <w:lang w:val="en-US" w:eastAsia="zh-CN" w:bidi="ar-SA"/>
        </w:rPr>
        <w:t>五、存在主要问题</w:t>
      </w:r>
      <w:r>
        <w:tab/>
      </w:r>
      <w:r>
        <w:fldChar w:fldCharType="begin"/>
      </w:r>
      <w:r>
        <w:instrText xml:space="preserve"> PAGEREF _Toc17085 \h </w:instrText>
      </w:r>
      <w:r>
        <w:fldChar w:fldCharType="separate"/>
      </w:r>
      <w:r>
        <w:t>47</w:t>
      </w:r>
      <w:r>
        <w:fldChar w:fldCharType="end"/>
      </w:r>
      <w:r>
        <w:rPr>
          <w:rFonts w:hint="eastAsia" w:ascii="黑体" w:hAnsi="黑体" w:eastAsia="黑体" w:cs="黑体"/>
          <w:bCs w:val="0"/>
          <w:szCs w:val="21"/>
        </w:rPr>
        <w:fldChar w:fldCharType="end"/>
      </w:r>
    </w:p>
    <w:p w14:paraId="2DA4A5B1">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_Toc15632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highlight w:val="none"/>
          <w:lang w:val="zh-CN" w:eastAsia="zh-CN" w:bidi="ar-SA"/>
        </w:rPr>
        <w:t>六、改进建议</w:t>
      </w:r>
      <w:r>
        <w:tab/>
      </w:r>
      <w:r>
        <w:fldChar w:fldCharType="begin"/>
      </w:r>
      <w:r>
        <w:instrText xml:space="preserve"> PAGEREF _Toc15632 \h </w:instrText>
      </w:r>
      <w:r>
        <w:fldChar w:fldCharType="separate"/>
      </w:r>
      <w:r>
        <w:t>47</w:t>
      </w:r>
      <w:r>
        <w:fldChar w:fldCharType="end"/>
      </w:r>
      <w:r>
        <w:rPr>
          <w:rFonts w:hint="eastAsia" w:ascii="黑体" w:hAnsi="黑体" w:eastAsia="黑体" w:cs="黑体"/>
          <w:bCs w:val="0"/>
          <w:szCs w:val="21"/>
        </w:rPr>
        <w:fldChar w:fldCharType="end"/>
      </w:r>
    </w:p>
    <w:p w14:paraId="266D309D">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_Toc21893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2023年叠溪镇特色果蔬现代农业园区建设</w:t>
      </w:r>
      <w:r>
        <w:tab/>
      </w:r>
      <w:r>
        <w:fldChar w:fldCharType="begin"/>
      </w:r>
      <w:r>
        <w:instrText xml:space="preserve"> PAGEREF _Toc21893 \h </w:instrText>
      </w:r>
      <w:r>
        <w:fldChar w:fldCharType="separate"/>
      </w:r>
      <w:r>
        <w:t>50</w:t>
      </w:r>
      <w:r>
        <w:fldChar w:fldCharType="end"/>
      </w:r>
      <w:r>
        <w:rPr>
          <w:rFonts w:hint="eastAsia" w:ascii="黑体" w:hAnsi="黑体" w:eastAsia="黑体" w:cs="黑体"/>
          <w:bCs w:val="0"/>
          <w:szCs w:val="21"/>
        </w:rPr>
        <w:fldChar w:fldCharType="end"/>
      </w:r>
    </w:p>
    <w:p w14:paraId="57C8C092">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_Toc27145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项目绩效评价报告</w:t>
      </w:r>
      <w:r>
        <w:tab/>
      </w:r>
      <w:r>
        <w:fldChar w:fldCharType="begin"/>
      </w:r>
      <w:r>
        <w:instrText xml:space="preserve"> PAGEREF _Toc27145 \h </w:instrText>
      </w:r>
      <w:r>
        <w:fldChar w:fldCharType="separate"/>
      </w:r>
      <w:r>
        <w:t>50</w:t>
      </w:r>
      <w:r>
        <w:fldChar w:fldCharType="end"/>
      </w:r>
      <w:r>
        <w:rPr>
          <w:rFonts w:hint="eastAsia" w:ascii="黑体" w:hAnsi="黑体" w:eastAsia="黑体" w:cs="黑体"/>
          <w:bCs w:val="0"/>
          <w:szCs w:val="21"/>
        </w:rPr>
        <w:fldChar w:fldCharType="end"/>
      </w:r>
    </w:p>
    <w:p w14:paraId="0485D29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_Toc30277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一、</w:t>
      </w:r>
      <w:r>
        <w:rPr>
          <w:rFonts w:hint="eastAsia" w:ascii="黑体" w:hAnsi="宋体" w:eastAsia="黑体" w:cs="Times New Roman"/>
          <w:kern w:val="2"/>
          <w:szCs w:val="32"/>
          <w:lang w:val="zh-CN"/>
        </w:rPr>
        <w:t>项目概况</w:t>
      </w:r>
      <w:r>
        <w:tab/>
      </w:r>
      <w:r>
        <w:fldChar w:fldCharType="begin"/>
      </w:r>
      <w:r>
        <w:instrText xml:space="preserve"> PAGEREF _Toc30277 \h </w:instrText>
      </w:r>
      <w:r>
        <w:fldChar w:fldCharType="separate"/>
      </w:r>
      <w:r>
        <w:t>50</w:t>
      </w:r>
      <w:r>
        <w:fldChar w:fldCharType="end"/>
      </w:r>
      <w:r>
        <w:rPr>
          <w:rFonts w:hint="eastAsia" w:ascii="黑体" w:hAnsi="黑体" w:eastAsia="黑体" w:cs="黑体"/>
          <w:bCs w:val="0"/>
          <w:szCs w:val="21"/>
        </w:rPr>
        <w:fldChar w:fldCharType="end"/>
      </w:r>
    </w:p>
    <w:p w14:paraId="0622919C">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_Toc2533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二、评价实施</w:t>
      </w:r>
      <w:r>
        <w:tab/>
      </w:r>
      <w:r>
        <w:fldChar w:fldCharType="begin"/>
      </w:r>
      <w:r>
        <w:instrText xml:space="preserve"> PAGEREF _Toc2533 \h </w:instrText>
      </w:r>
      <w:r>
        <w:fldChar w:fldCharType="separate"/>
      </w:r>
      <w:r>
        <w:t>52</w:t>
      </w:r>
      <w:r>
        <w:fldChar w:fldCharType="end"/>
      </w:r>
      <w:r>
        <w:rPr>
          <w:rFonts w:hint="eastAsia" w:ascii="黑体" w:hAnsi="黑体" w:eastAsia="黑体" w:cs="黑体"/>
          <w:bCs w:val="0"/>
          <w:szCs w:val="21"/>
        </w:rPr>
        <w:fldChar w:fldCharType="end"/>
      </w:r>
    </w:p>
    <w:p w14:paraId="2DCB79E9">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_Toc9468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三、绩效分析</w:t>
      </w:r>
      <w:r>
        <w:tab/>
      </w:r>
      <w:r>
        <w:fldChar w:fldCharType="begin"/>
      </w:r>
      <w:r>
        <w:instrText xml:space="preserve"> PAGEREF _Toc9468 \h </w:instrText>
      </w:r>
      <w:r>
        <w:fldChar w:fldCharType="separate"/>
      </w:r>
      <w:r>
        <w:t>53</w:t>
      </w:r>
      <w:r>
        <w:fldChar w:fldCharType="end"/>
      </w:r>
      <w:r>
        <w:rPr>
          <w:rFonts w:hint="eastAsia" w:ascii="黑体" w:hAnsi="黑体" w:eastAsia="黑体" w:cs="黑体"/>
          <w:bCs w:val="0"/>
          <w:szCs w:val="21"/>
        </w:rPr>
        <w:fldChar w:fldCharType="end"/>
      </w:r>
    </w:p>
    <w:p w14:paraId="04917E1C">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_Toc5378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四、评价结论</w:t>
      </w:r>
      <w:r>
        <w:tab/>
      </w:r>
      <w:r>
        <w:fldChar w:fldCharType="begin"/>
      </w:r>
      <w:r>
        <w:instrText xml:space="preserve"> PAGEREF _Toc5378 \h </w:instrText>
      </w:r>
      <w:r>
        <w:fldChar w:fldCharType="separate"/>
      </w:r>
      <w:r>
        <w:t>55</w:t>
      </w:r>
      <w:r>
        <w:fldChar w:fldCharType="end"/>
      </w:r>
      <w:r>
        <w:rPr>
          <w:rFonts w:hint="eastAsia" w:ascii="黑体" w:hAnsi="黑体" w:eastAsia="黑体" w:cs="黑体"/>
          <w:bCs w:val="0"/>
          <w:szCs w:val="21"/>
        </w:rPr>
        <w:fldChar w:fldCharType="end"/>
      </w:r>
    </w:p>
    <w:p w14:paraId="069ADCB9">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_Toc30590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五、存在主要问题</w:t>
      </w:r>
      <w:r>
        <w:tab/>
      </w:r>
      <w:r>
        <w:fldChar w:fldCharType="begin"/>
      </w:r>
      <w:r>
        <w:instrText xml:space="preserve"> PAGEREF _Toc30590 \h </w:instrText>
      </w:r>
      <w:r>
        <w:fldChar w:fldCharType="separate"/>
      </w:r>
      <w:r>
        <w:t>55</w:t>
      </w:r>
      <w:r>
        <w:fldChar w:fldCharType="end"/>
      </w:r>
      <w:r>
        <w:rPr>
          <w:rFonts w:hint="eastAsia" w:ascii="黑体" w:hAnsi="黑体" w:eastAsia="黑体" w:cs="黑体"/>
          <w:bCs w:val="0"/>
          <w:szCs w:val="21"/>
        </w:rPr>
        <w:fldChar w:fldCharType="end"/>
      </w:r>
    </w:p>
    <w:p w14:paraId="2EFC8F83">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_Toc5389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zh-CN" w:eastAsia="zh-CN" w:bidi="ar-SA"/>
        </w:rPr>
        <w:t>六、改进建议</w:t>
      </w:r>
      <w:r>
        <w:tab/>
      </w:r>
      <w:r>
        <w:fldChar w:fldCharType="begin"/>
      </w:r>
      <w:r>
        <w:instrText xml:space="preserve"> PAGEREF _Toc5389 \h </w:instrText>
      </w:r>
      <w:r>
        <w:fldChar w:fldCharType="separate"/>
      </w:r>
      <w:r>
        <w:t>56</w:t>
      </w:r>
      <w:r>
        <w:fldChar w:fldCharType="end"/>
      </w:r>
      <w:r>
        <w:rPr>
          <w:rFonts w:hint="eastAsia" w:ascii="黑体" w:hAnsi="黑体" w:eastAsia="黑体" w:cs="黑体"/>
          <w:bCs w:val="0"/>
          <w:szCs w:val="21"/>
        </w:rPr>
        <w:fldChar w:fldCharType="end"/>
      </w:r>
    </w:p>
    <w:p w14:paraId="187EB02A">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_Toc5962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2023年南新镇李子+苹果现代农业园区建设</w:t>
      </w:r>
      <w:r>
        <w:tab/>
      </w:r>
      <w:r>
        <w:fldChar w:fldCharType="begin"/>
      </w:r>
      <w:r>
        <w:instrText xml:space="preserve"> PAGEREF _Toc5962 \h </w:instrText>
      </w:r>
      <w:r>
        <w:fldChar w:fldCharType="separate"/>
      </w:r>
      <w:r>
        <w:t>57</w:t>
      </w:r>
      <w:r>
        <w:fldChar w:fldCharType="end"/>
      </w:r>
      <w:r>
        <w:rPr>
          <w:rFonts w:hint="eastAsia" w:ascii="黑体" w:hAnsi="黑体" w:eastAsia="黑体" w:cs="黑体"/>
          <w:bCs w:val="0"/>
          <w:szCs w:val="21"/>
        </w:rPr>
        <w:fldChar w:fldCharType="end"/>
      </w:r>
    </w:p>
    <w:p w14:paraId="2534471E">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_Toc16899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项目绩效评价报告</w:t>
      </w:r>
      <w:r>
        <w:tab/>
      </w:r>
      <w:r>
        <w:fldChar w:fldCharType="begin"/>
      </w:r>
      <w:r>
        <w:instrText xml:space="preserve"> PAGEREF _Toc16899 \h </w:instrText>
      </w:r>
      <w:r>
        <w:fldChar w:fldCharType="separate"/>
      </w:r>
      <w:r>
        <w:t>57</w:t>
      </w:r>
      <w:r>
        <w:fldChar w:fldCharType="end"/>
      </w:r>
      <w:r>
        <w:rPr>
          <w:rFonts w:hint="eastAsia" w:ascii="黑体" w:hAnsi="黑体" w:eastAsia="黑体" w:cs="黑体"/>
          <w:bCs w:val="0"/>
          <w:szCs w:val="21"/>
        </w:rPr>
        <w:fldChar w:fldCharType="end"/>
      </w:r>
    </w:p>
    <w:p w14:paraId="09158201">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_Toc9978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一、</w:t>
      </w:r>
      <w:r>
        <w:rPr>
          <w:rFonts w:hint="eastAsia" w:ascii="黑体" w:hAnsi="宋体" w:eastAsia="黑体" w:cs="Times New Roman"/>
          <w:kern w:val="2"/>
          <w:szCs w:val="32"/>
          <w:lang w:val="zh-CN"/>
        </w:rPr>
        <w:t>项目概况</w:t>
      </w:r>
      <w:r>
        <w:tab/>
      </w:r>
      <w:r>
        <w:fldChar w:fldCharType="begin"/>
      </w:r>
      <w:r>
        <w:instrText xml:space="preserve"> PAGEREF _Toc9978 \h </w:instrText>
      </w:r>
      <w:r>
        <w:fldChar w:fldCharType="separate"/>
      </w:r>
      <w:r>
        <w:t>58</w:t>
      </w:r>
      <w:r>
        <w:fldChar w:fldCharType="end"/>
      </w:r>
      <w:r>
        <w:rPr>
          <w:rFonts w:hint="eastAsia" w:ascii="黑体" w:hAnsi="黑体" w:eastAsia="黑体" w:cs="黑体"/>
          <w:bCs w:val="0"/>
          <w:szCs w:val="21"/>
        </w:rPr>
        <w:fldChar w:fldCharType="end"/>
      </w:r>
    </w:p>
    <w:p w14:paraId="71E05804">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_Toc7265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二、评价实施</w:t>
      </w:r>
      <w:r>
        <w:tab/>
      </w:r>
      <w:r>
        <w:fldChar w:fldCharType="begin"/>
      </w:r>
      <w:r>
        <w:instrText xml:space="preserve"> PAGEREF _Toc7265 \h </w:instrText>
      </w:r>
      <w:r>
        <w:fldChar w:fldCharType="separate"/>
      </w:r>
      <w:r>
        <w:t>60</w:t>
      </w:r>
      <w:r>
        <w:fldChar w:fldCharType="end"/>
      </w:r>
      <w:r>
        <w:rPr>
          <w:rFonts w:hint="eastAsia" w:ascii="黑体" w:hAnsi="黑体" w:eastAsia="黑体" w:cs="黑体"/>
          <w:bCs w:val="0"/>
          <w:szCs w:val="21"/>
        </w:rPr>
        <w:fldChar w:fldCharType="end"/>
      </w:r>
    </w:p>
    <w:p w14:paraId="5ADA70E0">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_Toc5176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三、绩效分析</w:t>
      </w:r>
      <w:r>
        <w:tab/>
      </w:r>
      <w:r>
        <w:fldChar w:fldCharType="begin"/>
      </w:r>
      <w:r>
        <w:instrText xml:space="preserve"> PAGEREF _Toc5176 \h </w:instrText>
      </w:r>
      <w:r>
        <w:fldChar w:fldCharType="separate"/>
      </w:r>
      <w:r>
        <w:t>61</w:t>
      </w:r>
      <w:r>
        <w:fldChar w:fldCharType="end"/>
      </w:r>
      <w:r>
        <w:rPr>
          <w:rFonts w:hint="eastAsia" w:ascii="黑体" w:hAnsi="黑体" w:eastAsia="黑体" w:cs="黑体"/>
          <w:bCs w:val="0"/>
          <w:szCs w:val="21"/>
        </w:rPr>
        <w:fldChar w:fldCharType="end"/>
      </w:r>
    </w:p>
    <w:p w14:paraId="6E51519D">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_Toc5571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四、评价结论</w:t>
      </w:r>
      <w:r>
        <w:tab/>
      </w:r>
      <w:r>
        <w:fldChar w:fldCharType="begin"/>
      </w:r>
      <w:r>
        <w:instrText xml:space="preserve"> PAGEREF _Toc5571 \h </w:instrText>
      </w:r>
      <w:r>
        <w:fldChar w:fldCharType="separate"/>
      </w:r>
      <w:r>
        <w:t>62</w:t>
      </w:r>
      <w:r>
        <w:fldChar w:fldCharType="end"/>
      </w:r>
      <w:r>
        <w:rPr>
          <w:rFonts w:hint="eastAsia" w:ascii="黑体" w:hAnsi="黑体" w:eastAsia="黑体" w:cs="黑体"/>
          <w:bCs w:val="0"/>
          <w:szCs w:val="21"/>
        </w:rPr>
        <w:fldChar w:fldCharType="end"/>
      </w:r>
    </w:p>
    <w:p w14:paraId="2E2E517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_Toc16991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五、存在主要问题</w:t>
      </w:r>
      <w:r>
        <w:tab/>
      </w:r>
      <w:r>
        <w:fldChar w:fldCharType="begin"/>
      </w:r>
      <w:r>
        <w:instrText xml:space="preserve"> PAGEREF _Toc16991 \h </w:instrText>
      </w:r>
      <w:r>
        <w:fldChar w:fldCharType="separate"/>
      </w:r>
      <w:r>
        <w:t>63</w:t>
      </w:r>
      <w:r>
        <w:fldChar w:fldCharType="end"/>
      </w:r>
      <w:r>
        <w:rPr>
          <w:rFonts w:hint="eastAsia" w:ascii="黑体" w:hAnsi="黑体" w:eastAsia="黑体" w:cs="黑体"/>
          <w:bCs w:val="0"/>
          <w:szCs w:val="21"/>
        </w:rPr>
        <w:fldChar w:fldCharType="end"/>
      </w:r>
    </w:p>
    <w:p w14:paraId="42FE4FDA">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_Toc9086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zh-CN" w:eastAsia="zh-CN" w:bidi="ar-SA"/>
        </w:rPr>
        <w:t>六、改进建议</w:t>
      </w:r>
      <w:r>
        <w:tab/>
      </w:r>
      <w:r>
        <w:fldChar w:fldCharType="begin"/>
      </w:r>
      <w:r>
        <w:instrText xml:space="preserve"> PAGEREF _Toc9086 \h </w:instrText>
      </w:r>
      <w:r>
        <w:fldChar w:fldCharType="separate"/>
      </w:r>
      <w:r>
        <w:t>63</w:t>
      </w:r>
      <w:r>
        <w:fldChar w:fldCharType="end"/>
      </w:r>
      <w:r>
        <w:rPr>
          <w:rFonts w:hint="eastAsia" w:ascii="黑体" w:hAnsi="黑体" w:eastAsia="黑体" w:cs="黑体"/>
          <w:bCs w:val="0"/>
          <w:szCs w:val="21"/>
        </w:rPr>
        <w:fldChar w:fldCharType="end"/>
      </w:r>
    </w:p>
    <w:p w14:paraId="7512EF31">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_Toc6969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2023年茂县乡村振兴示范村建设</w:t>
      </w:r>
      <w:r>
        <w:tab/>
      </w:r>
      <w:r>
        <w:fldChar w:fldCharType="begin"/>
      </w:r>
      <w:r>
        <w:instrText xml:space="preserve"> PAGEREF _Toc6969 \h </w:instrText>
      </w:r>
      <w:r>
        <w:fldChar w:fldCharType="separate"/>
      </w:r>
      <w:r>
        <w:t>65</w:t>
      </w:r>
      <w:r>
        <w:fldChar w:fldCharType="end"/>
      </w:r>
      <w:r>
        <w:rPr>
          <w:rFonts w:hint="eastAsia" w:ascii="黑体" w:hAnsi="黑体" w:eastAsia="黑体" w:cs="黑体"/>
          <w:bCs w:val="0"/>
          <w:szCs w:val="21"/>
        </w:rPr>
        <w:fldChar w:fldCharType="end"/>
      </w:r>
    </w:p>
    <w:p w14:paraId="60B7E038">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_Toc13044 </w:instrText>
      </w:r>
      <w:r>
        <w:rPr>
          <w:rFonts w:hint="eastAsia" w:ascii="黑体" w:hAnsi="黑体" w:eastAsia="黑体" w:cs="黑体"/>
          <w:bCs w:val="0"/>
          <w:szCs w:val="21"/>
        </w:rPr>
        <w:fldChar w:fldCharType="separate"/>
      </w:r>
      <w:r>
        <w:rPr>
          <w:rFonts w:hint="eastAsia" w:ascii="方正小标宋简体" w:hAnsi="方正小标宋简体" w:eastAsia="方正小标宋简体" w:cs="方正小标宋简体"/>
          <w:kern w:val="2"/>
          <w:szCs w:val="44"/>
          <w:lang w:val="en-US" w:eastAsia="zh-CN" w:bidi="ar-SA"/>
        </w:rPr>
        <w:t>项目绩效评价报告</w:t>
      </w:r>
      <w:r>
        <w:tab/>
      </w:r>
      <w:r>
        <w:fldChar w:fldCharType="begin"/>
      </w:r>
      <w:r>
        <w:instrText xml:space="preserve"> PAGEREF _Toc13044 \h </w:instrText>
      </w:r>
      <w:r>
        <w:fldChar w:fldCharType="separate"/>
      </w:r>
      <w:r>
        <w:t>65</w:t>
      </w:r>
      <w:r>
        <w:fldChar w:fldCharType="end"/>
      </w:r>
      <w:r>
        <w:rPr>
          <w:rFonts w:hint="eastAsia" w:ascii="黑体" w:hAnsi="黑体" w:eastAsia="黑体" w:cs="黑体"/>
          <w:bCs w:val="0"/>
          <w:szCs w:val="21"/>
        </w:rPr>
        <w:fldChar w:fldCharType="end"/>
      </w:r>
    </w:p>
    <w:p w14:paraId="0092F223">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_Toc15979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一、</w:t>
      </w:r>
      <w:r>
        <w:rPr>
          <w:rFonts w:hint="eastAsia" w:ascii="黑体" w:hAnsi="宋体" w:eastAsia="黑体" w:cs="Times New Roman"/>
          <w:kern w:val="2"/>
          <w:szCs w:val="32"/>
          <w:lang w:val="zh-CN"/>
        </w:rPr>
        <w:t>项目概况</w:t>
      </w:r>
      <w:r>
        <w:tab/>
      </w:r>
      <w:r>
        <w:fldChar w:fldCharType="begin"/>
      </w:r>
      <w:r>
        <w:instrText xml:space="preserve"> PAGEREF _Toc15979 \h </w:instrText>
      </w:r>
      <w:r>
        <w:fldChar w:fldCharType="separate"/>
      </w:r>
      <w:r>
        <w:t>65</w:t>
      </w:r>
      <w:r>
        <w:fldChar w:fldCharType="end"/>
      </w:r>
      <w:r>
        <w:rPr>
          <w:rFonts w:hint="eastAsia" w:ascii="黑体" w:hAnsi="黑体" w:eastAsia="黑体" w:cs="黑体"/>
          <w:bCs w:val="0"/>
          <w:szCs w:val="21"/>
        </w:rPr>
        <w:fldChar w:fldCharType="end"/>
      </w:r>
    </w:p>
    <w:p w14:paraId="4813CEC7">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_Toc30141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二、评价实施</w:t>
      </w:r>
      <w:r>
        <w:tab/>
      </w:r>
      <w:r>
        <w:fldChar w:fldCharType="begin"/>
      </w:r>
      <w:r>
        <w:instrText xml:space="preserve"> PAGEREF _Toc30141 \h </w:instrText>
      </w:r>
      <w:r>
        <w:fldChar w:fldCharType="separate"/>
      </w:r>
      <w:r>
        <w:t>68</w:t>
      </w:r>
      <w:r>
        <w:fldChar w:fldCharType="end"/>
      </w:r>
      <w:r>
        <w:rPr>
          <w:rFonts w:hint="eastAsia" w:ascii="黑体" w:hAnsi="黑体" w:eastAsia="黑体" w:cs="黑体"/>
          <w:bCs w:val="0"/>
          <w:szCs w:val="21"/>
        </w:rPr>
        <w:fldChar w:fldCharType="end"/>
      </w:r>
    </w:p>
    <w:p w14:paraId="2F20015B">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_Toc3477 </w:instrText>
      </w:r>
      <w:r>
        <w:rPr>
          <w:rFonts w:hint="eastAsia" w:ascii="黑体" w:hAnsi="黑体" w:eastAsia="黑体" w:cs="黑体"/>
          <w:bCs w:val="0"/>
          <w:szCs w:val="21"/>
        </w:rPr>
        <w:fldChar w:fldCharType="separate"/>
      </w:r>
      <w:r>
        <w:rPr>
          <w:rFonts w:hint="eastAsia" w:ascii="黑体" w:hAnsi="宋体" w:eastAsia="黑体" w:cs="Times New Roman"/>
          <w:kern w:val="2"/>
          <w:szCs w:val="32"/>
        </w:rPr>
        <w:t>三、绩效分析</w:t>
      </w:r>
      <w:r>
        <w:tab/>
      </w:r>
      <w:r>
        <w:fldChar w:fldCharType="begin"/>
      </w:r>
      <w:r>
        <w:instrText xml:space="preserve"> PAGEREF _Toc3477 \h </w:instrText>
      </w:r>
      <w:r>
        <w:fldChar w:fldCharType="separate"/>
      </w:r>
      <w:r>
        <w:t>69</w:t>
      </w:r>
      <w:r>
        <w:fldChar w:fldCharType="end"/>
      </w:r>
      <w:r>
        <w:rPr>
          <w:rFonts w:hint="eastAsia" w:ascii="黑体" w:hAnsi="黑体" w:eastAsia="黑体" w:cs="黑体"/>
          <w:bCs w:val="0"/>
          <w:szCs w:val="21"/>
        </w:rPr>
        <w:fldChar w:fldCharType="end"/>
      </w:r>
    </w:p>
    <w:p w14:paraId="4C528A28">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_Toc27604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四、评价结论</w:t>
      </w:r>
      <w:r>
        <w:tab/>
      </w:r>
      <w:r>
        <w:fldChar w:fldCharType="begin"/>
      </w:r>
      <w:r>
        <w:instrText xml:space="preserve"> PAGEREF _Toc27604 \h </w:instrText>
      </w:r>
      <w:r>
        <w:fldChar w:fldCharType="separate"/>
      </w:r>
      <w:r>
        <w:t>70</w:t>
      </w:r>
      <w:r>
        <w:fldChar w:fldCharType="end"/>
      </w:r>
      <w:r>
        <w:rPr>
          <w:rFonts w:hint="eastAsia" w:ascii="黑体" w:hAnsi="黑体" w:eastAsia="黑体" w:cs="黑体"/>
          <w:bCs w:val="0"/>
          <w:szCs w:val="21"/>
        </w:rPr>
        <w:fldChar w:fldCharType="end"/>
      </w:r>
    </w:p>
    <w:p w14:paraId="00DD1FDE">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_Toc565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en-US" w:eastAsia="zh-CN" w:bidi="ar-SA"/>
        </w:rPr>
        <w:t>五、存在主要问题</w:t>
      </w:r>
      <w:r>
        <w:tab/>
      </w:r>
      <w:r>
        <w:fldChar w:fldCharType="begin"/>
      </w:r>
      <w:r>
        <w:instrText xml:space="preserve"> PAGEREF _Toc565 \h </w:instrText>
      </w:r>
      <w:r>
        <w:fldChar w:fldCharType="separate"/>
      </w:r>
      <w:r>
        <w:t>70</w:t>
      </w:r>
      <w:r>
        <w:fldChar w:fldCharType="end"/>
      </w:r>
      <w:r>
        <w:rPr>
          <w:rFonts w:hint="eastAsia" w:ascii="黑体" w:hAnsi="黑体" w:eastAsia="黑体" w:cs="黑体"/>
          <w:bCs w:val="0"/>
          <w:szCs w:val="21"/>
        </w:rPr>
        <w:fldChar w:fldCharType="end"/>
      </w:r>
    </w:p>
    <w:p w14:paraId="1DCC72B8">
      <w:pPr>
        <w:pStyle w:val="14"/>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_Toc1126 </w:instrText>
      </w:r>
      <w:r>
        <w:rPr>
          <w:rFonts w:hint="eastAsia" w:ascii="黑体" w:hAnsi="黑体" w:eastAsia="黑体" w:cs="黑体"/>
          <w:bCs w:val="0"/>
          <w:szCs w:val="21"/>
        </w:rPr>
        <w:fldChar w:fldCharType="separate"/>
      </w:r>
      <w:r>
        <w:rPr>
          <w:rFonts w:hint="eastAsia" w:ascii="黑体" w:hAnsi="宋体" w:eastAsia="黑体" w:cs="Times New Roman"/>
          <w:kern w:val="0"/>
          <w:position w:val="3"/>
          <w:szCs w:val="32"/>
          <w:lang w:val="zh-CN" w:eastAsia="zh-CN" w:bidi="ar-SA"/>
        </w:rPr>
        <w:t>六、改进建议</w:t>
      </w:r>
      <w:r>
        <w:tab/>
      </w:r>
      <w:r>
        <w:fldChar w:fldCharType="begin"/>
      </w:r>
      <w:r>
        <w:instrText xml:space="preserve"> PAGEREF _Toc1126 \h </w:instrText>
      </w:r>
      <w:r>
        <w:fldChar w:fldCharType="separate"/>
      </w:r>
      <w:r>
        <w:t>70</w:t>
      </w:r>
      <w:r>
        <w:fldChar w:fldCharType="end"/>
      </w:r>
      <w:r>
        <w:rPr>
          <w:rFonts w:hint="eastAsia" w:ascii="黑体" w:hAnsi="黑体" w:eastAsia="黑体" w:cs="黑体"/>
          <w:bCs w:val="0"/>
          <w:szCs w:val="21"/>
        </w:rPr>
        <w:fldChar w:fldCharType="end"/>
      </w:r>
    </w:p>
    <w:p w14:paraId="6C91869C">
      <w:pPr>
        <w:pStyle w:val="12"/>
        <w:tabs>
          <w:tab w:val="right" w:leader="dot" w:pos="8306"/>
        </w:tabs>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_Toc25542 </w:instrText>
      </w:r>
      <w:r>
        <w:rPr>
          <w:rFonts w:hint="eastAsia" w:ascii="黑体" w:hAnsi="黑体" w:eastAsia="黑体" w:cs="黑体"/>
          <w:bCs w:val="0"/>
          <w:szCs w:val="21"/>
        </w:rPr>
        <w:fldChar w:fldCharType="separate"/>
      </w:r>
      <w:r>
        <w:rPr>
          <w:rFonts w:hint="eastAsia" w:ascii="黑体" w:eastAsia="黑体" w:cs="Times New Roman"/>
          <w:szCs w:val="44"/>
        </w:rPr>
        <w:t>第五部分 附表</w:t>
      </w:r>
      <w:r>
        <w:tab/>
      </w:r>
      <w:r>
        <w:fldChar w:fldCharType="begin"/>
      </w:r>
      <w:r>
        <w:instrText xml:space="preserve"> PAGEREF _Toc25542 \h </w:instrText>
      </w:r>
      <w:r>
        <w:fldChar w:fldCharType="separate"/>
      </w:r>
      <w:r>
        <w:t>73</w:t>
      </w:r>
      <w:r>
        <w:fldChar w:fldCharType="end"/>
      </w:r>
      <w:r>
        <w:rPr>
          <w:rFonts w:hint="eastAsia" w:ascii="黑体" w:hAnsi="黑体" w:eastAsia="黑体" w:cs="黑体"/>
          <w:bCs w:val="0"/>
          <w:szCs w:val="21"/>
        </w:rPr>
        <w:fldChar w:fldCharType="end"/>
      </w:r>
    </w:p>
    <w:p w14:paraId="33D1876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_Toc12799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一、收入支出决算总表</w:t>
      </w:r>
      <w:r>
        <w:rPr>
          <w:rFonts w:hint="eastAsia" w:ascii="黑体" w:hAnsi="黑体" w:eastAsia="黑体" w:cs="黑体"/>
          <w:bCs w:val="0"/>
          <w:szCs w:val="21"/>
        </w:rPr>
        <w:fldChar w:fldCharType="end"/>
      </w:r>
    </w:p>
    <w:p w14:paraId="201A14C5">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_Toc26550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二、收入决算表</w:t>
      </w:r>
      <w:r>
        <w:rPr>
          <w:rFonts w:hint="eastAsia" w:ascii="黑体" w:hAnsi="黑体" w:eastAsia="黑体" w:cs="黑体"/>
          <w:bCs w:val="0"/>
          <w:szCs w:val="21"/>
        </w:rPr>
        <w:fldChar w:fldCharType="end"/>
      </w:r>
    </w:p>
    <w:p w14:paraId="73D7BEBE">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_Toc29984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三、支出决算表</w:t>
      </w:r>
      <w:r>
        <w:rPr>
          <w:rFonts w:hint="eastAsia" w:ascii="黑体" w:hAnsi="黑体" w:eastAsia="黑体" w:cs="黑体"/>
          <w:bCs w:val="0"/>
          <w:szCs w:val="21"/>
        </w:rPr>
        <w:fldChar w:fldCharType="end"/>
      </w:r>
    </w:p>
    <w:p w14:paraId="4A53B41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_Toc21026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四、财政拨款收入支出决算总表</w:t>
      </w:r>
      <w:r>
        <w:rPr>
          <w:rFonts w:hint="eastAsia" w:ascii="黑体" w:hAnsi="黑体" w:eastAsia="黑体" w:cs="黑体"/>
          <w:bCs w:val="0"/>
          <w:szCs w:val="21"/>
        </w:rPr>
        <w:fldChar w:fldCharType="end"/>
      </w:r>
    </w:p>
    <w:p w14:paraId="7F78017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_Toc14471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五、财政拨款支出决算明细表</w:t>
      </w:r>
      <w:r>
        <w:rPr>
          <w:rFonts w:hint="eastAsia" w:ascii="黑体" w:hAnsi="黑体" w:eastAsia="黑体" w:cs="黑体"/>
          <w:bCs w:val="0"/>
          <w:szCs w:val="21"/>
        </w:rPr>
        <w:fldChar w:fldCharType="end"/>
      </w:r>
    </w:p>
    <w:p w14:paraId="404FF5C8">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_Toc9607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六、一般公共预算财政拨款支出决算表</w:t>
      </w:r>
      <w:r>
        <w:rPr>
          <w:rFonts w:hint="eastAsia" w:ascii="黑体" w:hAnsi="黑体" w:eastAsia="黑体" w:cs="黑体"/>
          <w:bCs w:val="0"/>
          <w:szCs w:val="21"/>
        </w:rPr>
        <w:fldChar w:fldCharType="end"/>
      </w:r>
    </w:p>
    <w:p w14:paraId="79AF8E2D">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_Toc29868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七、一般公共预算财政拨款支出决算明细表</w:t>
      </w:r>
      <w:r>
        <w:rPr>
          <w:rFonts w:hint="eastAsia" w:ascii="黑体" w:hAnsi="黑体" w:eastAsia="黑体" w:cs="黑体"/>
          <w:bCs w:val="0"/>
          <w:szCs w:val="21"/>
        </w:rPr>
        <w:fldChar w:fldCharType="end"/>
      </w:r>
    </w:p>
    <w:p w14:paraId="39C39436">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_Toc8379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八、一般公共预算财政拨款基本支出决算表</w:t>
      </w:r>
      <w:r>
        <w:rPr>
          <w:rFonts w:hint="eastAsia" w:ascii="黑体" w:hAnsi="黑体" w:eastAsia="黑体" w:cs="黑体"/>
          <w:bCs w:val="0"/>
          <w:szCs w:val="21"/>
        </w:rPr>
        <w:fldChar w:fldCharType="end"/>
      </w:r>
    </w:p>
    <w:p w14:paraId="0E6906D1">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_Toc31814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九、一般公共预算财政拨款项目支出决算表</w:t>
      </w:r>
      <w:r>
        <w:rPr>
          <w:rFonts w:hint="eastAsia" w:ascii="黑体" w:hAnsi="黑体" w:eastAsia="黑体" w:cs="黑体"/>
          <w:bCs w:val="0"/>
          <w:szCs w:val="21"/>
        </w:rPr>
        <w:fldChar w:fldCharType="end"/>
      </w:r>
    </w:p>
    <w:p w14:paraId="19C4BB5F">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_Toc1516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十、政府性基金预算财政拨款收入支出决算表</w:t>
      </w:r>
      <w:r>
        <w:rPr>
          <w:rFonts w:hint="eastAsia" w:ascii="黑体" w:hAnsi="黑体" w:eastAsia="黑体" w:cs="黑体"/>
          <w:bCs w:val="0"/>
          <w:szCs w:val="21"/>
        </w:rPr>
        <w:fldChar w:fldCharType="end"/>
      </w:r>
    </w:p>
    <w:p w14:paraId="253244D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_Toc8659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十一、国有资本经营预算财政拨款收入支出决算表</w:t>
      </w:r>
      <w:r>
        <w:rPr>
          <w:rFonts w:hint="eastAsia" w:ascii="黑体" w:hAnsi="黑体" w:eastAsia="黑体" w:cs="黑体"/>
          <w:bCs w:val="0"/>
          <w:szCs w:val="21"/>
        </w:rPr>
        <w:fldChar w:fldCharType="end"/>
      </w:r>
    </w:p>
    <w:p w14:paraId="3B649220">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黑体" w:hAnsi="黑体" w:eastAsia="黑体" w:cs="黑体"/>
        </w:rPr>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_Toc14980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十二、国有资本经营预算财政拨款支出决算表</w:t>
      </w:r>
      <w:r>
        <w:rPr>
          <w:rFonts w:hint="eastAsia" w:ascii="黑体" w:hAnsi="黑体" w:eastAsia="黑体" w:cs="黑体"/>
          <w:bCs w:val="0"/>
          <w:szCs w:val="21"/>
        </w:rPr>
        <w:fldChar w:fldCharType="end"/>
      </w:r>
    </w:p>
    <w:p w14:paraId="700923AA">
      <w:pPr>
        <w:pStyle w:val="1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黑体" w:hAnsi="黑体" w:eastAsia="黑体" w:cs="黑体"/>
          <w:bCs w:val="0"/>
          <w:szCs w:val="21"/>
        </w:rPr>
        <w:fldChar w:fldCharType="begin"/>
      </w:r>
      <w:r>
        <w:rPr>
          <w:rFonts w:hint="eastAsia" w:ascii="黑体" w:hAnsi="黑体" w:eastAsia="黑体" w:cs="黑体"/>
          <w:bCs w:val="0"/>
          <w:szCs w:val="21"/>
        </w:rPr>
        <w:instrText xml:space="preserve"> HYPERLINK \l _Toc9843 </w:instrText>
      </w:r>
      <w:r>
        <w:rPr>
          <w:rFonts w:hint="eastAsia" w:ascii="黑体" w:hAnsi="黑体" w:eastAsia="黑体" w:cs="黑体"/>
          <w:bCs w:val="0"/>
          <w:szCs w:val="21"/>
        </w:rPr>
        <w:fldChar w:fldCharType="separate"/>
      </w:r>
      <w:r>
        <w:rPr>
          <w:rFonts w:hint="eastAsia" w:ascii="黑体" w:hAnsi="黑体" w:eastAsia="黑体" w:cs="黑体"/>
          <w:kern w:val="2"/>
          <w:szCs w:val="32"/>
          <w:lang w:bidi="ar-SA"/>
        </w:rPr>
        <w:t>十三、财政拨款“三公”经费支出决算表</w:t>
      </w:r>
      <w:r>
        <w:rPr>
          <w:rFonts w:hint="eastAsia" w:ascii="黑体" w:hAnsi="黑体" w:eastAsia="黑体" w:cs="黑体"/>
          <w:bCs w:val="0"/>
          <w:szCs w:val="21"/>
        </w:rPr>
        <w:fldChar w:fldCharType="end"/>
      </w:r>
    </w:p>
    <w:p w14:paraId="7B3D4153">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r>
        <w:rPr>
          <w:rFonts w:hint="eastAsia" w:ascii="黑体" w:hAnsi="黑体" w:eastAsia="黑体" w:cs="黑体"/>
          <w:bCs w:val="0"/>
          <w:szCs w:val="21"/>
        </w:rPr>
        <w:fldChar w:fldCharType="end"/>
      </w:r>
      <w:bookmarkStart w:id="0" w:name="_Toc7333"/>
      <w:bookmarkStart w:id="1" w:name="_Toc18791"/>
      <w:bookmarkStart w:id="2" w:name="_Toc11096"/>
    </w:p>
    <w:p w14:paraId="0B966A34">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658932B7">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2737B6A5">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7895E921">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4483CBE2">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1B432858">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7743800B">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Cs w:val="0"/>
          <w:szCs w:val="24"/>
        </w:rPr>
      </w:pPr>
    </w:p>
    <w:p w14:paraId="22E4905E">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eastAsia="黑体" w:cs="Times New Roman"/>
          <w:b w:val="0"/>
          <w:sz w:val="44"/>
          <w:szCs w:val="44"/>
          <w:lang w:bidi="ar-SA"/>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18F1FAD0">
      <w:pPr>
        <w:pStyle w:val="15"/>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0"/>
        <w:rPr>
          <w:rFonts w:hint="eastAsia" w:ascii="黑体" w:eastAsia="黑体" w:cs="Times New Roman"/>
          <w:b w:val="0"/>
          <w:sz w:val="44"/>
          <w:szCs w:val="44"/>
          <w:lang w:bidi="ar-SA"/>
        </w:rPr>
      </w:pPr>
      <w:bookmarkStart w:id="3" w:name="_Toc9967"/>
      <w:r>
        <w:rPr>
          <w:rFonts w:hint="eastAsia" w:ascii="黑体" w:eastAsia="黑体" w:cs="Times New Roman"/>
          <w:b w:val="0"/>
          <w:sz w:val="44"/>
          <w:szCs w:val="44"/>
          <w:lang w:bidi="ar-SA"/>
        </w:rPr>
        <w:t>第一部分</w:t>
      </w:r>
      <w:r>
        <w:rPr>
          <w:rFonts w:hint="eastAsia" w:ascii="黑体" w:eastAsia="黑体" w:cs="Times New Roman"/>
          <w:b w:val="0"/>
          <w:sz w:val="44"/>
          <w:szCs w:val="44"/>
          <w:lang w:val="en-US" w:eastAsia="zh-CN" w:bidi="ar-SA"/>
        </w:rPr>
        <w:t xml:space="preserve"> </w:t>
      </w:r>
      <w:r>
        <w:rPr>
          <w:rFonts w:hint="eastAsia" w:ascii="黑体" w:eastAsia="黑体" w:cs="Times New Roman"/>
          <w:b w:val="0"/>
          <w:sz w:val="44"/>
          <w:szCs w:val="44"/>
          <w:lang w:bidi="ar-SA"/>
        </w:rPr>
        <w:t xml:space="preserve"> 部门概况</w:t>
      </w:r>
      <w:bookmarkEnd w:id="0"/>
      <w:bookmarkEnd w:id="1"/>
      <w:bookmarkEnd w:id="2"/>
      <w:bookmarkEnd w:id="3"/>
    </w:p>
    <w:p w14:paraId="5CD94A09">
      <w:pPr>
        <w:pStyle w:val="4"/>
        <w:keepNext/>
        <w:keepLines/>
        <w:pageBreakBefore w:val="0"/>
        <w:widowControl w:val="0"/>
        <w:numPr>
          <w:ilvl w:val="0"/>
          <w:numId w:val="0"/>
        </w:numPr>
        <w:kinsoku/>
        <w:wordWrap/>
        <w:overflowPunct/>
        <w:topLinePunct w:val="0"/>
        <w:autoSpaceDE/>
        <w:autoSpaceDN/>
        <w:bidi w:val="0"/>
        <w:adjustRightInd/>
        <w:snapToGrid/>
        <w:spacing w:before="260" w:beforeAutospacing="0" w:after="260" w:afterAutospacing="0" w:line="560" w:lineRule="exact"/>
        <w:ind w:firstLine="640" w:firstLineChars="200"/>
        <w:jc w:val="both"/>
        <w:textAlignment w:val="auto"/>
        <w:outlineLvl w:val="1"/>
        <w:rPr>
          <w:rFonts w:hint="eastAsia" w:ascii="黑体" w:eastAsia="黑体" w:cs="黑体"/>
          <w:b w:val="0"/>
          <w:bCs w:val="0"/>
          <w:kern w:val="0"/>
          <w:sz w:val="32"/>
          <w:szCs w:val="32"/>
          <w:lang w:val="en-US" w:eastAsia="zh-CN"/>
        </w:rPr>
      </w:pPr>
      <w:bookmarkStart w:id="4" w:name="_Toc24539"/>
      <w:bookmarkStart w:id="5" w:name="_Toc208"/>
      <w:bookmarkStart w:id="6" w:name="_Toc20800"/>
      <w:r>
        <w:rPr>
          <w:rFonts w:hint="eastAsia" w:ascii="黑体" w:eastAsia="黑体" w:cs="黑体"/>
          <w:b w:val="0"/>
          <w:bCs w:val="0"/>
          <w:kern w:val="0"/>
          <w:sz w:val="32"/>
          <w:szCs w:val="32"/>
          <w:lang w:val="en-US" w:eastAsia="zh-CN"/>
        </w:rPr>
        <w:t>一、部门职责</w:t>
      </w:r>
      <w:bookmarkEnd w:id="4"/>
      <w:bookmarkEnd w:id="5"/>
      <w:bookmarkEnd w:id="6"/>
      <w:bookmarkStart w:id="7" w:name="_Toc27980"/>
      <w:bookmarkStart w:id="8" w:name="_Toc15377198"/>
      <w:bookmarkStart w:id="9" w:name="_Toc79163603"/>
      <w:bookmarkStart w:id="10" w:name="_Toc15378445"/>
      <w:bookmarkStart w:id="11" w:name="_Toc79163853"/>
      <w:bookmarkStart w:id="12" w:name="_Toc6001"/>
      <w:bookmarkStart w:id="13" w:name="_Toc17469"/>
    </w:p>
    <w:bookmarkEnd w:id="7"/>
    <w:bookmarkEnd w:id="8"/>
    <w:bookmarkEnd w:id="9"/>
    <w:bookmarkEnd w:id="10"/>
    <w:bookmarkEnd w:id="11"/>
    <w:bookmarkEnd w:id="12"/>
    <w:bookmarkEnd w:id="13"/>
    <w:p w14:paraId="35824856">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ascii="仿宋_GB2312" w:eastAsia="仿宋_GB2312" w:cs="仿宋_GB2312"/>
          <w:sz w:val="32"/>
          <w:szCs w:val="32"/>
        </w:rPr>
      </w:pPr>
      <w:bookmarkStart w:id="14" w:name="_Toc79163854"/>
      <w:bookmarkStart w:id="15" w:name="_Toc16142"/>
      <w:bookmarkStart w:id="16" w:name="_Toc79163604"/>
      <w:bookmarkStart w:id="17" w:name="_Toc15378446"/>
      <w:bookmarkStart w:id="18" w:name="_Toc15377199"/>
      <w:r>
        <w:rPr>
          <w:rFonts w:ascii="仿宋_GB2312" w:eastAsia="仿宋_GB2312" w:cs="仿宋_GB2312"/>
          <w:sz w:val="32"/>
          <w:szCs w:val="32"/>
        </w:rPr>
        <w:t>1.</w:t>
      </w:r>
      <w:r>
        <w:rPr>
          <w:rFonts w:hint="eastAsia" w:ascii="仿宋_GB2312" w:eastAsia="仿宋_GB2312" w:cs="仿宋_GB2312"/>
          <w:sz w:val="32"/>
          <w:szCs w:val="32"/>
        </w:rPr>
        <w:t>组织实施全县重大科技专项，组织参与国家、省州重大科技专项。统筹关键共性技术、前沿引领技术、现代工程技术、颠覆性技术研发和创新，牵头组织重大技术攻关和科技成果应用示范。</w:t>
      </w:r>
    </w:p>
    <w:p w14:paraId="385DCDED">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会同有关部门制定科技人才队伍建设规划，建立健全科技人才评价和激励机制，组织实施科技人才计划，推动科技创新人才队伍建设。</w:t>
      </w:r>
    </w:p>
    <w:p w14:paraId="7A5CDD71">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统筹研究和组织实施全县“三农”工作的发展战略、中长期规划、重大政策。贯彻执行国家有关种植业、畜牧业（草原牧业）、渔业、农业机械化、农垦等农业领域工作的法律法规、政策以及省、州、县关于“三农”工作方面的决策部署。</w:t>
      </w:r>
    </w:p>
    <w:p w14:paraId="4B0D988B">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1FE16E64">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19" w:name="_Toc30134"/>
      <w:bookmarkStart w:id="20" w:name="_Toc6019"/>
      <w:bookmarkStart w:id="21" w:name="_Toc25818"/>
      <w:bookmarkStart w:id="22" w:name="_Toc23906"/>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bookmarkEnd w:id="19"/>
      <w:bookmarkEnd w:id="20"/>
      <w:bookmarkEnd w:id="21"/>
      <w:bookmarkEnd w:id="22"/>
    </w:p>
    <w:p w14:paraId="47DFE14D">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23" w:name="_Toc11894"/>
      <w:bookmarkStart w:id="24" w:name="_Toc12359"/>
      <w:bookmarkStart w:id="25" w:name="_Toc21064"/>
      <w:r>
        <w:rPr>
          <w:rFonts w:hint="eastAsia" w:ascii="仿宋_GB2312" w:eastAsia="仿宋_GB2312" w:cs="仿宋_GB2312"/>
          <w:sz w:val="32"/>
          <w:szCs w:val="32"/>
        </w:rPr>
        <w:t>6.负责全县农产品质量安全监督管理。组织开展农产品质量安全监测、追溯、风险评估。发布有关农产品质量安全状况信息,指导农业检验检测体系建设。依法组织实施符合安全标准的农产品生产基地认定、产品认证、农产品地理标志登记保护和监督管理。</w:t>
      </w:r>
      <w:bookmarkEnd w:id="23"/>
      <w:bookmarkEnd w:id="24"/>
      <w:bookmarkEnd w:id="25"/>
    </w:p>
    <w:p w14:paraId="081C2DE3">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26" w:name="_Toc18861"/>
      <w:bookmarkStart w:id="27" w:name="_Toc9693"/>
      <w:bookmarkStart w:id="28" w:name="_Toc11357"/>
      <w:r>
        <w:rPr>
          <w:rFonts w:hint="eastAsia" w:ascii="仿宋_GB2312" w:eastAsia="仿宋_GB2312" w:cs="仿宋_GB2312"/>
          <w:sz w:val="32"/>
          <w:szCs w:val="32"/>
        </w:rPr>
        <w:t>7.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bookmarkEnd w:id="26"/>
      <w:bookmarkEnd w:id="27"/>
      <w:bookmarkEnd w:id="28"/>
    </w:p>
    <w:p w14:paraId="39E25FEA">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29" w:name="_Toc16014"/>
      <w:bookmarkStart w:id="30" w:name="_Toc18038"/>
      <w:bookmarkStart w:id="31" w:name="_Toc24760"/>
      <w:r>
        <w:rPr>
          <w:rFonts w:hint="eastAsia" w:ascii="仿宋_GB2312" w:eastAsia="仿宋_GB2312" w:cs="仿宋_GB2312"/>
          <w:sz w:val="32"/>
          <w:szCs w:val="32"/>
        </w:rPr>
        <w:t>8.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bookmarkEnd w:id="29"/>
      <w:bookmarkEnd w:id="30"/>
      <w:bookmarkEnd w:id="31"/>
    </w:p>
    <w:p w14:paraId="69236BE3">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32" w:name="_Toc4303"/>
      <w:bookmarkStart w:id="33" w:name="_Toc27141"/>
      <w:bookmarkStart w:id="34" w:name="_Toc1933"/>
      <w:r>
        <w:rPr>
          <w:rFonts w:hint="eastAsia" w:ascii="仿宋_GB2312" w:eastAsia="仿宋_GB2312" w:cs="仿宋_GB2312"/>
          <w:sz w:val="32"/>
          <w:szCs w:val="32"/>
        </w:rPr>
        <w:t>9.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bookmarkEnd w:id="32"/>
      <w:bookmarkEnd w:id="33"/>
      <w:bookmarkEnd w:id="34"/>
    </w:p>
    <w:p w14:paraId="2ECA5750">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35" w:name="_Toc29378"/>
      <w:bookmarkStart w:id="36" w:name="_Toc14965"/>
      <w:bookmarkStart w:id="37" w:name="_Toc1051"/>
      <w:r>
        <w:rPr>
          <w:rFonts w:hint="eastAsia" w:ascii="仿宋_GB2312" w:eastAsia="仿宋_GB2312" w:cs="仿宋_GB2312"/>
          <w:sz w:val="32"/>
          <w:szCs w:val="32"/>
        </w:rPr>
        <w:t>10.负责职责范围内的安全生产、生态环境保护、审批服务便民化等工作。</w:t>
      </w:r>
      <w:bookmarkEnd w:id="35"/>
      <w:bookmarkEnd w:id="36"/>
      <w:bookmarkEnd w:id="37"/>
    </w:p>
    <w:p w14:paraId="318D6B26">
      <w:pPr>
        <w:pStyle w:val="15"/>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仿宋_GB2312" w:eastAsia="仿宋_GB2312" w:cs="仿宋_GB2312"/>
          <w:sz w:val="32"/>
          <w:szCs w:val="32"/>
        </w:rPr>
      </w:pPr>
      <w:bookmarkStart w:id="38" w:name="_Toc30287"/>
      <w:bookmarkStart w:id="39" w:name="_Toc10528"/>
      <w:bookmarkStart w:id="40" w:name="_Toc23673"/>
      <w:r>
        <w:rPr>
          <w:rFonts w:hint="eastAsia" w:ascii="仿宋_GB2312" w:eastAsia="仿宋_GB2312" w:cs="仿宋_GB2312"/>
          <w:sz w:val="32"/>
          <w:szCs w:val="32"/>
        </w:rPr>
        <w:t>11.完成县委、县人民政府交办的其他任务。</w:t>
      </w:r>
      <w:bookmarkEnd w:id="38"/>
      <w:bookmarkEnd w:id="39"/>
      <w:bookmarkEnd w:id="40"/>
      <w:bookmarkStart w:id="41" w:name="_Toc21460"/>
    </w:p>
    <w:bookmarkEnd w:id="14"/>
    <w:bookmarkEnd w:id="15"/>
    <w:bookmarkEnd w:id="16"/>
    <w:bookmarkEnd w:id="17"/>
    <w:bookmarkEnd w:id="18"/>
    <w:bookmarkEnd w:id="41"/>
    <w:p w14:paraId="67E5E11B">
      <w:pPr>
        <w:pStyle w:val="15"/>
        <w:shd w:val="clear" w:color="auto" w:fill="FFFFFF"/>
        <w:spacing w:beforeAutospacing="0" w:afterAutospacing="0" w:line="560" w:lineRule="exact"/>
        <w:ind w:firstLine="640" w:firstLineChars="200"/>
        <w:outlineLvl w:val="1"/>
        <w:rPr>
          <w:rFonts w:hint="eastAsia" w:ascii="黑体" w:eastAsia="黑体" w:cs="黑体"/>
          <w:b w:val="0"/>
          <w:bCs w:val="0"/>
          <w:kern w:val="0"/>
          <w:sz w:val="32"/>
          <w:szCs w:val="32"/>
          <w:lang w:val="en-US" w:eastAsia="zh-CN"/>
        </w:rPr>
      </w:pPr>
      <w:bookmarkStart w:id="42" w:name="_Toc23373"/>
      <w:bookmarkStart w:id="43" w:name="_Toc22021"/>
      <w:bookmarkStart w:id="44" w:name="_Toc28529"/>
      <w:r>
        <w:rPr>
          <w:rFonts w:hint="eastAsia" w:ascii="黑体" w:eastAsia="黑体" w:cs="黑体"/>
          <w:b w:val="0"/>
          <w:bCs w:val="0"/>
          <w:kern w:val="0"/>
          <w:sz w:val="32"/>
          <w:szCs w:val="32"/>
          <w:lang w:val="en-US" w:eastAsia="zh-CN"/>
        </w:rPr>
        <w:t>二、机构设置</w:t>
      </w:r>
      <w:bookmarkEnd w:id="42"/>
      <w:bookmarkEnd w:id="43"/>
      <w:bookmarkEnd w:id="44"/>
    </w:p>
    <w:p w14:paraId="124AF30D">
      <w:pPr>
        <w:pStyle w:val="15"/>
        <w:shd w:val="clear" w:color="auto" w:fill="FFFFFF"/>
        <w:spacing w:beforeAutospacing="0" w:afterAutospacing="0" w:line="560" w:lineRule="exact"/>
        <w:ind w:firstLine="640" w:firstLineChars="200"/>
        <w:outlineLvl w:val="2"/>
        <w:rPr>
          <w:rFonts w:hint="eastAsia" w:ascii="仿宋_GB2312" w:eastAsia="仿宋" w:cs="仿宋_GB2312"/>
          <w:sz w:val="32"/>
          <w:szCs w:val="32"/>
          <w:lang w:val="en-US" w:eastAsia="zh-CN"/>
        </w:rPr>
      </w:pPr>
      <w:r>
        <w:rPr>
          <w:rFonts w:hint="eastAsia" w:ascii="仿宋_GB2312" w:eastAsia="仿宋_GB2312" w:cs="仿宋_GB2312"/>
          <w:sz w:val="32"/>
          <w:szCs w:val="32"/>
          <w:lang w:val="en-US" w:eastAsia="zh-CN"/>
        </w:rPr>
        <w:t>阿坝州茂县科学技术和农业畜牧局属一级决算单位</w:t>
      </w:r>
      <w:r>
        <w:rPr>
          <w:rFonts w:hint="eastAsia" w:ascii="仿宋" w:hAnsi="仿宋" w:eastAsia="仿宋"/>
          <w:color w:val="auto"/>
          <w:sz w:val="32"/>
          <w:szCs w:val="32"/>
          <w:highlight w:val="none"/>
          <w:lang w:eastAsia="zh-CN"/>
        </w:rPr>
        <w:t>。</w:t>
      </w:r>
    </w:p>
    <w:p w14:paraId="66875B2C">
      <w:pPr>
        <w:pStyle w:val="7"/>
        <w:adjustRightInd w:val="0"/>
        <w:snapToGrid w:val="0"/>
        <w:spacing w:before="93" w:line="600" w:lineRule="exact"/>
        <w:ind w:firstLine="672" w:firstLineChars="210"/>
        <w:rPr>
          <w:rFonts w:hint="eastAsia" w:cs="仿宋_GB2312"/>
          <w:sz w:val="32"/>
          <w:szCs w:val="32"/>
          <w:lang w:val="en-US" w:eastAsia="zh-CN"/>
        </w:rPr>
      </w:pPr>
      <w:r>
        <w:rPr>
          <w:rFonts w:hint="eastAsia" w:ascii="仿宋" w:hAnsi="仿宋" w:eastAsia="仿宋"/>
          <w:color w:val="auto"/>
          <w:sz w:val="32"/>
          <w:szCs w:val="32"/>
          <w:highlight w:val="none"/>
        </w:rPr>
        <w:t>纳入</w:t>
      </w:r>
      <w:r>
        <w:rPr>
          <w:rFonts w:hint="eastAsia" w:ascii="仿宋_GB2312" w:eastAsia="仿宋_GB2312" w:cs="仿宋_GB2312"/>
          <w:sz w:val="32"/>
          <w:szCs w:val="32"/>
          <w:lang w:val="en-US" w:eastAsia="zh-CN"/>
        </w:rPr>
        <w:t>阿坝州茂县科学技术和农业畜牧局</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年度部门决算编制范围的二级预算单位包括：</w:t>
      </w:r>
      <w:r>
        <w:rPr>
          <w:rFonts w:hint="eastAsia" w:ascii="仿宋_GB2312" w:eastAsia="仿宋_GB2312" w:cs="仿宋_GB2312"/>
          <w:sz w:val="32"/>
          <w:szCs w:val="32"/>
          <w:lang w:val="en-US" w:eastAsia="zh-CN"/>
        </w:rPr>
        <w:t>茂县科学技术和农业畜牧局</w:t>
      </w:r>
      <w:r>
        <w:rPr>
          <w:rFonts w:hint="eastAsia" w:cs="仿宋_GB2312"/>
          <w:sz w:val="32"/>
          <w:szCs w:val="32"/>
          <w:lang w:val="en-US" w:eastAsia="zh-CN"/>
        </w:rPr>
        <w:t>（本级）、茂县科教站、茂县生产力促进中心。</w:t>
      </w:r>
    </w:p>
    <w:p w14:paraId="1088DFBC">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2A599F76">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77996484">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54F38D83">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00C6D27A">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5F54F963">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0DB5AFA4">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7702EDA8">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248421C3">
      <w:pPr>
        <w:pStyle w:val="15"/>
        <w:shd w:val="clear" w:color="auto" w:fill="FFFFFF"/>
        <w:spacing w:beforeAutospacing="0" w:afterAutospacing="0" w:line="560" w:lineRule="exact"/>
        <w:ind w:firstLine="640" w:firstLineChars="200"/>
        <w:outlineLvl w:val="2"/>
        <w:rPr>
          <w:rFonts w:hint="eastAsia" w:ascii="仿宋_GB2312" w:eastAsia="仿宋_GB2312" w:cs="仿宋_GB2312"/>
          <w:sz w:val="32"/>
          <w:szCs w:val="32"/>
          <w:lang w:val="en-US" w:eastAsia="zh-CN"/>
        </w:rPr>
      </w:pPr>
    </w:p>
    <w:p w14:paraId="18438712">
      <w:pPr>
        <w:pStyle w:val="15"/>
        <w:shd w:val="clear" w:color="auto" w:fill="FFFFFF"/>
        <w:spacing w:beforeAutospacing="0" w:afterAutospacing="0" w:line="560" w:lineRule="exact"/>
        <w:outlineLvl w:val="2"/>
        <w:rPr>
          <w:rFonts w:hint="eastAsia" w:ascii="仿宋_GB2312" w:eastAsia="仿宋_GB2312" w:cs="仿宋_GB2312"/>
          <w:sz w:val="32"/>
          <w:szCs w:val="32"/>
          <w:lang w:val="en-US" w:eastAsia="zh-CN"/>
        </w:rPr>
      </w:pPr>
    </w:p>
    <w:p w14:paraId="4D479564">
      <w:pPr>
        <w:pStyle w:val="3"/>
        <w:keepNext/>
        <w:keepLines/>
        <w:pageBreakBefore w:val="0"/>
        <w:widowControl w:val="0"/>
        <w:kinsoku/>
        <w:wordWrap/>
        <w:overflowPunct/>
        <w:topLinePunct w:val="0"/>
        <w:bidi w:val="0"/>
        <w:spacing w:before="340" w:beforeAutospacing="0" w:after="330" w:afterAutospacing="0" w:line="576" w:lineRule="exact"/>
        <w:jc w:val="center"/>
        <w:textAlignment w:val="auto"/>
        <w:outlineLvl w:val="0"/>
        <w:rPr>
          <w:rFonts w:hint="eastAsia" w:ascii="黑体" w:eastAsia="黑体" w:cs="Times New Roman"/>
          <w:b w:val="0"/>
          <w:sz w:val="44"/>
          <w:szCs w:val="44"/>
          <w:lang w:bidi="ar-SA"/>
        </w:rPr>
      </w:pPr>
      <w:bookmarkStart w:id="45" w:name="_Toc23191"/>
      <w:bookmarkStart w:id="46" w:name="_Toc29163"/>
      <w:bookmarkStart w:id="47" w:name="_Toc12955"/>
      <w:bookmarkStart w:id="48" w:name="_Toc1040"/>
      <w:r>
        <w:rPr>
          <w:rFonts w:hint="eastAsia" w:ascii="黑体" w:eastAsia="黑体" w:cs="Times New Roman"/>
          <w:b w:val="0"/>
          <w:sz w:val="44"/>
          <w:szCs w:val="44"/>
          <w:lang w:bidi="ar-SA"/>
        </w:rPr>
        <w:t>第二部分 202</w:t>
      </w:r>
      <w:r>
        <w:rPr>
          <w:rFonts w:hint="eastAsia" w:ascii="黑体" w:eastAsia="黑体" w:cs="Times New Roman"/>
          <w:b w:val="0"/>
          <w:sz w:val="44"/>
          <w:szCs w:val="44"/>
          <w:lang w:val="en-US" w:eastAsia="zh-CN" w:bidi="ar-SA"/>
        </w:rPr>
        <w:t>3</w:t>
      </w:r>
      <w:r>
        <w:rPr>
          <w:rFonts w:hint="eastAsia" w:ascii="黑体" w:eastAsia="黑体" w:cs="Times New Roman"/>
          <w:b w:val="0"/>
          <w:sz w:val="44"/>
          <w:szCs w:val="44"/>
          <w:lang w:bidi="ar-SA"/>
        </w:rPr>
        <w:t>年度部门决算情况说明</w:t>
      </w:r>
      <w:bookmarkEnd w:id="45"/>
      <w:bookmarkEnd w:id="46"/>
      <w:bookmarkEnd w:id="47"/>
      <w:bookmarkEnd w:id="48"/>
    </w:p>
    <w:p w14:paraId="776BCF7C">
      <w:pPr>
        <w:pStyle w:val="2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黑体" w:eastAsia="黑体" w:cs="Times New Roman"/>
          <w:color w:val="000000"/>
          <w:sz w:val="32"/>
          <w:szCs w:val="32"/>
        </w:rPr>
      </w:pPr>
      <w:bookmarkStart w:id="49" w:name="_Toc9684"/>
      <w:bookmarkStart w:id="50" w:name="_Toc29487"/>
      <w:bookmarkStart w:id="51" w:name="_Toc25790"/>
      <w:r>
        <w:rPr>
          <w:rFonts w:hint="eastAsia" w:ascii="黑体" w:eastAsia="黑体" w:cs="Times New Roman"/>
          <w:color w:val="000000"/>
          <w:sz w:val="32"/>
          <w:szCs w:val="32"/>
          <w:lang w:val="en-US" w:eastAsia="zh-CN"/>
        </w:rPr>
        <w:t>一、</w:t>
      </w:r>
      <w:r>
        <w:rPr>
          <w:rFonts w:hint="eastAsia" w:ascii="黑体" w:eastAsia="黑体" w:cs="Times New Roman"/>
          <w:color w:val="000000"/>
          <w:sz w:val="32"/>
          <w:szCs w:val="32"/>
        </w:rPr>
        <w:t>收入支出决算总体情况说明</w:t>
      </w:r>
      <w:bookmarkEnd w:id="49"/>
      <w:bookmarkEnd w:id="50"/>
      <w:bookmarkEnd w:id="51"/>
    </w:p>
    <w:p w14:paraId="010F9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年度财政拨款收、支总决算</w:t>
      </w:r>
      <w:r>
        <w:rPr>
          <w:rFonts w:hint="eastAsia" w:ascii="仿宋_GB2312" w:eastAsia="仿宋_GB2312" w:cs="仿宋_GB2312"/>
          <w:sz w:val="32"/>
          <w:szCs w:val="32"/>
          <w:lang w:val="en-US" w:eastAsia="zh-CN"/>
        </w:rPr>
        <w:t>均为11913.35</w:t>
      </w:r>
      <w:r>
        <w:rPr>
          <w:rFonts w:hint="eastAsia" w:ascii="仿宋_GB2312" w:eastAsia="仿宋_GB2312" w:cs="仿宋_GB2312"/>
          <w:sz w:val="32"/>
          <w:szCs w:val="32"/>
        </w:rPr>
        <w:t>万元。与</w:t>
      </w:r>
      <w:r>
        <w:rPr>
          <w:rFonts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年相比，财政拨款收、支总计</w:t>
      </w:r>
      <w:r>
        <w:rPr>
          <w:rFonts w:hint="eastAsia" w:ascii="仿宋_GB2312" w:eastAsia="仿宋_GB2312" w:cs="仿宋_GB2312"/>
          <w:sz w:val="32"/>
          <w:szCs w:val="32"/>
          <w:lang w:val="en-US" w:eastAsia="zh-CN"/>
        </w:rPr>
        <w:t>增加1533.18</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增加14.77</w:t>
      </w:r>
      <w:r>
        <w:rPr>
          <w:rFonts w:ascii="仿宋_GB2312" w:eastAsia="仿宋_GB2312" w:cs="仿宋_GB2312"/>
          <w:sz w:val="32"/>
          <w:szCs w:val="32"/>
        </w:rPr>
        <w:t>%</w:t>
      </w:r>
      <w:r>
        <w:rPr>
          <w:rFonts w:hint="eastAsia" w:ascii="仿宋_GB2312" w:eastAsia="仿宋_GB2312" w:cs="仿宋_GB2312"/>
          <w:sz w:val="32"/>
          <w:szCs w:val="32"/>
        </w:rPr>
        <w:t>，财政拨款主要变动原因是农林水支出</w:t>
      </w:r>
      <w:r>
        <w:rPr>
          <w:rFonts w:hint="eastAsia" w:ascii="仿宋_GB2312" w:eastAsia="仿宋_GB2312" w:cs="仿宋_GB2312"/>
          <w:sz w:val="32"/>
          <w:szCs w:val="32"/>
          <w:lang w:val="en-US" w:eastAsia="zh-CN"/>
        </w:rPr>
        <w:t>增加，2023年无年初结转和结余资金</w:t>
      </w:r>
      <w:r>
        <w:rPr>
          <w:rFonts w:hint="eastAsia" w:ascii="仿宋_GB2312" w:eastAsia="仿宋_GB2312" w:cs="仿宋_GB2312"/>
          <w:sz w:val="32"/>
          <w:szCs w:val="32"/>
        </w:rPr>
        <w:t>。</w:t>
      </w:r>
    </w:p>
    <w:p w14:paraId="296E16D7">
      <w:pPr>
        <w:pStyle w:val="9"/>
      </w:pPr>
      <w:r>
        <w:drawing>
          <wp:inline distT="0" distB="0" distL="114300" distR="114300">
            <wp:extent cx="4572000" cy="3124200"/>
            <wp:effectExtent l="4445" t="4445" r="14605" b="14605"/>
            <wp:docPr id="1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D1B291">
      <w:pPr>
        <w:pStyle w:val="2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黑体" w:eastAsia="黑体" w:cs="Times New Roman"/>
          <w:color w:val="000000"/>
          <w:sz w:val="32"/>
          <w:szCs w:val="32"/>
        </w:rPr>
      </w:pPr>
      <w:bookmarkStart w:id="52" w:name="_Toc13500"/>
      <w:bookmarkStart w:id="53" w:name="_Toc27913"/>
      <w:bookmarkStart w:id="54" w:name="_Toc10475"/>
      <w:r>
        <w:rPr>
          <w:rFonts w:hint="eastAsia" w:ascii="黑体" w:eastAsia="黑体" w:cs="Times New Roman"/>
          <w:color w:val="000000"/>
          <w:sz w:val="32"/>
          <w:szCs w:val="32"/>
          <w:lang w:val="en-US" w:eastAsia="zh-CN"/>
        </w:rPr>
        <w:t>二、</w:t>
      </w:r>
      <w:r>
        <w:rPr>
          <w:rFonts w:hint="eastAsia" w:ascii="黑体" w:eastAsia="黑体" w:cs="Times New Roman"/>
          <w:color w:val="000000"/>
          <w:sz w:val="32"/>
          <w:szCs w:val="32"/>
        </w:rPr>
        <w:t>收入决算情况说明</w:t>
      </w:r>
      <w:bookmarkEnd w:id="52"/>
      <w:bookmarkEnd w:id="53"/>
      <w:bookmarkEnd w:id="54"/>
    </w:p>
    <w:p w14:paraId="22A34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eastAsia="仿宋" w:cs="Times New Roman"/>
          <w:color w:val="000000"/>
          <w:sz w:val="32"/>
          <w:szCs w:val="32"/>
        </w:rPr>
      </w:pP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年本年收入合计</w:t>
      </w:r>
      <w:r>
        <w:rPr>
          <w:rFonts w:hint="eastAsia" w:ascii="仿宋_GB2312" w:eastAsia="仿宋_GB2312" w:cs="仿宋_GB2312"/>
          <w:sz w:val="32"/>
          <w:szCs w:val="32"/>
          <w:lang w:val="en-US" w:eastAsia="zh-CN"/>
        </w:rPr>
        <w:t>11913.35</w:t>
      </w:r>
      <w:r>
        <w:rPr>
          <w:rFonts w:hint="eastAsia" w:ascii="仿宋_GB2312" w:eastAsia="仿宋_GB2312" w:cs="仿宋_GB2312"/>
          <w:sz w:val="32"/>
          <w:szCs w:val="32"/>
        </w:rPr>
        <w:t>万元，其中：一般公共预算财政拨款收入</w:t>
      </w:r>
      <w:r>
        <w:rPr>
          <w:rFonts w:hint="eastAsia" w:ascii="仿宋_GB2312" w:eastAsia="仿宋_GB2312" w:cs="仿宋_GB2312"/>
          <w:sz w:val="32"/>
          <w:szCs w:val="32"/>
          <w:lang w:val="en-US" w:eastAsia="zh-CN"/>
        </w:rPr>
        <w:t>11913.34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；政府性基金预算财政拨款收入</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w:t>
      </w:r>
      <w:r>
        <w:rPr>
          <w:rFonts w:ascii="仿宋_GB2312" w:eastAsia="仿宋_GB2312" w:cs="仿宋_GB2312"/>
          <w:sz w:val="32"/>
          <w:szCs w:val="32"/>
        </w:rPr>
        <w:t>%</w:t>
      </w:r>
      <w:r>
        <w:rPr>
          <w:rFonts w:hint="eastAsia" w:ascii="仿宋_GB2312" w:eastAsia="仿宋_GB2312" w:cs="仿宋_GB2312"/>
          <w:sz w:val="32"/>
          <w:szCs w:val="32"/>
        </w:rPr>
        <w:t>；国有资本经营预算财政拨款收入</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；事业收入</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；经营收入</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；附属单位上缴收入</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ascii="仿宋" w:eastAsia="仿宋" w:cs="Times New Roman"/>
          <w:color w:val="000000"/>
          <w:sz w:val="32"/>
          <w:szCs w:val="32"/>
        </w:rPr>
        <w:t>。</w:t>
      </w:r>
    </w:p>
    <w:p w14:paraId="1A8C29FD">
      <w:pPr>
        <w:pStyle w:val="9"/>
      </w:pPr>
      <w:bookmarkStart w:id="55" w:name="_Toc25170"/>
      <w:bookmarkStart w:id="56" w:name="_Toc8702"/>
      <w:r>
        <w:drawing>
          <wp:inline distT="0" distB="0" distL="114300" distR="114300">
            <wp:extent cx="4572000" cy="2428875"/>
            <wp:effectExtent l="4445" t="4445" r="14605" b="5080"/>
            <wp:docPr id="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D5B71D">
      <w:pPr>
        <w:pStyle w:val="2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黑体" w:eastAsia="黑体" w:cs="Times New Roman"/>
          <w:color w:val="000000"/>
          <w:sz w:val="32"/>
          <w:szCs w:val="32"/>
          <w:lang w:val="en-US" w:eastAsia="zh-CN"/>
        </w:rPr>
      </w:pPr>
      <w:bookmarkStart w:id="57" w:name="_Toc854"/>
      <w:r>
        <w:rPr>
          <w:rFonts w:hint="eastAsia" w:ascii="黑体" w:eastAsia="黑体" w:cs="Times New Roman"/>
          <w:color w:val="000000"/>
          <w:sz w:val="32"/>
          <w:szCs w:val="32"/>
          <w:lang w:val="en-US" w:eastAsia="zh-CN"/>
        </w:rPr>
        <w:t>三、支出决算情况说明</w:t>
      </w:r>
      <w:bookmarkEnd w:id="55"/>
      <w:bookmarkEnd w:id="56"/>
      <w:bookmarkEnd w:id="57"/>
    </w:p>
    <w:p w14:paraId="2664242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bCs/>
          <w:kern w:val="2"/>
          <w:sz w:val="32"/>
          <w:szCs w:val="32"/>
          <w:lang w:val="en-US" w:eastAsia="zh-CN" w:bidi="ar-SA"/>
        </w:rPr>
        <w:t>2023年本年支出合计11913.35万元，其中：基本支出1654.2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13.89</w:t>
      </w:r>
      <w:r>
        <w:rPr>
          <w:rFonts w:ascii="仿宋_GB2312" w:eastAsia="仿宋_GB2312" w:cs="仿宋_GB2312"/>
          <w:sz w:val="32"/>
          <w:szCs w:val="32"/>
        </w:rPr>
        <w:t>%</w:t>
      </w:r>
      <w:r>
        <w:rPr>
          <w:rFonts w:hint="eastAsia" w:ascii="仿宋_GB2312" w:eastAsia="仿宋_GB2312" w:cs="仿宋_GB2312"/>
          <w:sz w:val="32"/>
          <w:szCs w:val="32"/>
        </w:rPr>
        <w:t>；项目支出</w:t>
      </w:r>
      <w:r>
        <w:rPr>
          <w:rFonts w:hint="eastAsia" w:ascii="仿宋_GB2312" w:eastAsia="仿宋_GB2312" w:cs="仿宋_GB2312"/>
          <w:sz w:val="32"/>
          <w:szCs w:val="32"/>
          <w:lang w:val="en-US" w:eastAsia="zh-CN"/>
        </w:rPr>
        <w:t>10259.12</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86.11</w:t>
      </w:r>
      <w:r>
        <w:rPr>
          <w:rFonts w:ascii="仿宋_GB2312" w:eastAsia="仿宋_GB2312" w:cs="仿宋_GB2312"/>
          <w:sz w:val="32"/>
          <w:szCs w:val="32"/>
        </w:rPr>
        <w:t>%</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；经营支出</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；对附属单位补助支出</w:t>
      </w:r>
      <w:r>
        <w:rPr>
          <w:rFonts w:ascii="仿宋_GB2312" w:eastAsia="仿宋_GB2312" w:cs="仿宋_GB2312"/>
          <w:sz w:val="32"/>
          <w:szCs w:val="32"/>
        </w:rPr>
        <w:t>0</w:t>
      </w:r>
      <w:r>
        <w:rPr>
          <w:rFonts w:hint="eastAsia" w:ascii="仿宋_GB2312" w:eastAsia="仿宋_GB2312" w:cs="仿宋_GB2312"/>
          <w:sz w:val="32"/>
          <w:szCs w:val="32"/>
        </w:rPr>
        <w:t>万元，占</w:t>
      </w:r>
      <w:r>
        <w:rPr>
          <w:rFonts w:ascii="仿宋_GB2312" w:eastAsia="仿宋_GB2312" w:cs="仿宋_GB2312"/>
          <w:sz w:val="32"/>
          <w:szCs w:val="32"/>
        </w:rPr>
        <w:t>0%</w:t>
      </w:r>
      <w:r>
        <w:rPr>
          <w:rFonts w:hint="eastAsia" w:ascii="仿宋_GB2312" w:eastAsia="仿宋_GB2312" w:cs="仿宋_GB2312"/>
          <w:sz w:val="32"/>
          <w:szCs w:val="32"/>
        </w:rPr>
        <w:t>。</w:t>
      </w:r>
    </w:p>
    <w:p w14:paraId="225F7269">
      <w:pPr>
        <w:pStyle w:val="9"/>
        <w:rPr>
          <w:rFonts w:hint="eastAsia"/>
        </w:rPr>
      </w:pPr>
      <w:r>
        <w:drawing>
          <wp:inline distT="0" distB="0" distL="114300" distR="114300">
            <wp:extent cx="4572000" cy="2667000"/>
            <wp:effectExtent l="4445" t="4445" r="1460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F87773">
      <w:pPr>
        <w:pStyle w:val="2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黑体" w:eastAsia="黑体" w:cs="Times New Roman"/>
          <w:color w:val="000000"/>
          <w:sz w:val="32"/>
          <w:szCs w:val="32"/>
          <w:lang w:val="en-US" w:eastAsia="zh-CN"/>
        </w:rPr>
      </w:pPr>
      <w:bookmarkStart w:id="58" w:name="_Toc9033"/>
      <w:bookmarkStart w:id="59" w:name="_Toc26708"/>
      <w:bookmarkStart w:id="60" w:name="_Toc32429"/>
      <w:r>
        <w:rPr>
          <w:rFonts w:hint="eastAsia" w:ascii="黑体" w:eastAsia="黑体" w:cs="Times New Roman"/>
          <w:color w:val="000000"/>
          <w:sz w:val="32"/>
          <w:szCs w:val="32"/>
          <w:lang w:val="en-US" w:eastAsia="zh-CN"/>
        </w:rPr>
        <w:t>四、财政拨款收入支出决算总体情况说明</w:t>
      </w:r>
      <w:bookmarkEnd w:id="58"/>
      <w:bookmarkEnd w:id="59"/>
      <w:bookmarkEnd w:id="60"/>
    </w:p>
    <w:p w14:paraId="6EC4281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rPr>
      </w:pPr>
      <w:r>
        <w:rPr>
          <w:rFonts w:hint="eastAsia" w:ascii="仿宋_GB2312" w:eastAsia="仿宋_GB2312" w:cs="仿宋_GB2312"/>
          <w:bCs/>
          <w:kern w:val="2"/>
          <w:sz w:val="32"/>
          <w:szCs w:val="32"/>
          <w:lang w:val="en-US" w:eastAsia="zh-CN" w:bidi="ar-SA"/>
        </w:rPr>
        <w:t>2023年度财政拨款收、支总决算均为11913.35万元。与2022年相比，财</w:t>
      </w:r>
      <w:r>
        <w:rPr>
          <w:rFonts w:hint="eastAsia" w:ascii="仿宋_GB2312" w:eastAsia="仿宋_GB2312" w:cs="仿宋_GB2312"/>
          <w:sz w:val="32"/>
          <w:szCs w:val="32"/>
        </w:rPr>
        <w:t>政拨款收、支总计</w:t>
      </w:r>
      <w:r>
        <w:rPr>
          <w:rFonts w:hint="eastAsia" w:ascii="仿宋_GB2312" w:eastAsia="仿宋_GB2312" w:cs="仿宋_GB2312"/>
          <w:sz w:val="32"/>
          <w:szCs w:val="32"/>
          <w:lang w:val="en-US" w:eastAsia="zh-CN"/>
        </w:rPr>
        <w:t>增加1533.18</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增加14.77</w:t>
      </w:r>
      <w:r>
        <w:rPr>
          <w:rFonts w:ascii="仿宋_GB2312" w:eastAsia="仿宋_GB2312" w:cs="仿宋_GB2312"/>
          <w:sz w:val="32"/>
          <w:szCs w:val="32"/>
        </w:rPr>
        <w:t>%</w:t>
      </w:r>
      <w:r>
        <w:rPr>
          <w:rFonts w:hint="eastAsia" w:ascii="仿宋_GB2312" w:eastAsia="仿宋_GB2312" w:cs="仿宋_GB2312"/>
          <w:sz w:val="32"/>
          <w:szCs w:val="32"/>
        </w:rPr>
        <w:t>，财政拨款主要变动原因是农林水支出</w:t>
      </w:r>
      <w:r>
        <w:rPr>
          <w:rFonts w:hint="eastAsia" w:ascii="仿宋_GB2312" w:eastAsia="仿宋_GB2312" w:cs="仿宋_GB2312"/>
          <w:sz w:val="32"/>
          <w:szCs w:val="32"/>
          <w:lang w:val="en-US" w:eastAsia="zh-CN"/>
        </w:rPr>
        <w:t>增加，2023年无年初结转和结余资金</w:t>
      </w:r>
      <w:r>
        <w:rPr>
          <w:rFonts w:hint="eastAsia" w:ascii="仿宋_GB2312" w:eastAsia="仿宋_GB2312" w:cs="仿宋_GB2312"/>
          <w:sz w:val="32"/>
          <w:szCs w:val="32"/>
        </w:rPr>
        <w:t>。</w:t>
      </w:r>
    </w:p>
    <w:p w14:paraId="1027A419">
      <w:pPr>
        <w:pStyle w:val="9"/>
        <w:ind w:left="840" w:leftChars="400" w:firstLine="0" w:firstLineChars="0"/>
        <w:rPr>
          <w:rFonts w:hint="eastAsia" w:asciiTheme="minorEastAsia" w:hAnsiTheme="minorEastAsia" w:eastAsiaTheme="minorEastAsia" w:cstheme="minorEastAsia"/>
        </w:rPr>
      </w:pPr>
      <w:bookmarkStart w:id="61" w:name="_Toc14667"/>
      <w:r>
        <w:drawing>
          <wp:inline distT="0" distB="0" distL="114300" distR="114300">
            <wp:extent cx="4619625" cy="2934335"/>
            <wp:effectExtent l="4445" t="4445" r="5080" b="1397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9681C3">
      <w:pPr>
        <w:pStyle w:val="2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1"/>
        <w:rPr>
          <w:rFonts w:hint="eastAsia" w:ascii="黑体" w:eastAsia="黑体" w:cs="Times New Roman"/>
          <w:color w:val="000000"/>
          <w:sz w:val="32"/>
          <w:szCs w:val="32"/>
          <w:lang w:val="en-US" w:eastAsia="zh-CN"/>
        </w:rPr>
      </w:pPr>
      <w:bookmarkStart w:id="62" w:name="_Toc24923"/>
      <w:r>
        <w:rPr>
          <w:rFonts w:hint="eastAsia" w:ascii="黑体" w:eastAsia="黑体" w:cs="Times New Roman"/>
          <w:color w:val="000000"/>
          <w:sz w:val="32"/>
          <w:szCs w:val="32"/>
          <w:lang w:val="en-US" w:eastAsia="zh-CN"/>
        </w:rPr>
        <w:t>五、一般公共预算财政拨款支出决算情况说明</w:t>
      </w:r>
      <w:bookmarkEnd w:id="61"/>
      <w:bookmarkEnd w:id="62"/>
    </w:p>
    <w:p w14:paraId="7A8E9A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 w:eastAsia="楷体" w:cs="楷体"/>
          <w:b/>
          <w:color w:val="000000"/>
          <w:sz w:val="32"/>
          <w:szCs w:val="32"/>
          <w:lang w:val="en-US" w:eastAsia="zh-CN"/>
        </w:rPr>
      </w:pPr>
      <w:bookmarkStart w:id="63" w:name="_Toc19262"/>
      <w:bookmarkStart w:id="64" w:name="_Toc3246"/>
      <w:r>
        <w:rPr>
          <w:rFonts w:hint="eastAsia" w:ascii="楷体" w:eastAsia="楷体" w:cs="楷体"/>
          <w:b/>
          <w:color w:val="000000"/>
          <w:sz w:val="32"/>
          <w:szCs w:val="32"/>
          <w:lang w:val="en-US" w:eastAsia="zh-CN"/>
        </w:rPr>
        <w:t>（一）一般公共预算财政拨款支出决算总体情况</w:t>
      </w:r>
      <w:bookmarkEnd w:id="63"/>
      <w:bookmarkEnd w:id="64"/>
    </w:p>
    <w:p w14:paraId="11F92F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sz w:val="32"/>
          <w:szCs w:val="32"/>
          <w:lang w:val="en-US" w:eastAsia="zh-CN"/>
        </w:rPr>
      </w:pPr>
      <w:r>
        <w:rPr>
          <w:rFonts w:hint="eastAsia" w:ascii="仿宋_GB2312" w:eastAsia="仿宋_GB2312" w:cs="仿宋_GB2312"/>
          <w:bCs/>
          <w:kern w:val="2"/>
          <w:sz w:val="32"/>
          <w:szCs w:val="32"/>
          <w:lang w:val="en-US" w:eastAsia="zh-CN" w:bidi="ar-SA"/>
        </w:rPr>
        <w:t>2023年一般公共预算财政拨款支出11913.35万元，占本年支出合</w:t>
      </w:r>
      <w:r>
        <w:rPr>
          <w:rFonts w:hint="eastAsia" w:ascii="仿宋_GB2312" w:eastAsia="仿宋_GB2312" w:cs="仿宋_GB2312"/>
          <w:sz w:val="32"/>
          <w:szCs w:val="32"/>
        </w:rPr>
        <w:t>计的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。与</w:t>
      </w:r>
      <w:r>
        <w:rPr>
          <w:rFonts w:ascii="仿宋_GB2312" w:eastAsia="仿宋_GB2312" w:cs="仿宋_GB2312"/>
          <w:sz w:val="32"/>
          <w:szCs w:val="32"/>
        </w:rPr>
        <w:t>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val="en-US" w:eastAsia="zh-CN"/>
        </w:rPr>
        <w:t>增加1533.18</w:t>
      </w:r>
      <w:r>
        <w:rPr>
          <w:rFonts w:hint="eastAsia" w:ascii="仿宋_GB2312" w:eastAsia="仿宋_GB2312" w:cs="仿宋_GB2312"/>
          <w:sz w:val="32"/>
          <w:szCs w:val="32"/>
        </w:rPr>
        <w:t>万元，</w:t>
      </w:r>
      <w:r>
        <w:rPr>
          <w:rFonts w:hint="eastAsia" w:ascii="仿宋_GB2312" w:eastAsia="仿宋_GB2312" w:cs="仿宋_GB2312"/>
          <w:sz w:val="32"/>
          <w:szCs w:val="32"/>
          <w:lang w:val="en-US" w:eastAsia="zh-CN"/>
        </w:rPr>
        <w:t>增加14.77</w:t>
      </w:r>
      <w:r>
        <w:rPr>
          <w:rFonts w:ascii="仿宋_GB2312" w:eastAsia="仿宋_GB2312" w:cs="仿宋_GB2312"/>
          <w:sz w:val="32"/>
          <w:szCs w:val="32"/>
        </w:rPr>
        <w:t>%</w:t>
      </w:r>
      <w:r>
        <w:rPr>
          <w:rFonts w:hint="eastAsia" w:ascii="仿宋_GB2312" w:eastAsia="仿宋_GB2312" w:cs="仿宋_GB2312"/>
          <w:sz w:val="32"/>
          <w:szCs w:val="32"/>
        </w:rPr>
        <w:t>。主要变动原因财政拨款农林水支出</w:t>
      </w:r>
      <w:r>
        <w:rPr>
          <w:rFonts w:hint="eastAsia" w:ascii="仿宋_GB2312" w:eastAsia="仿宋_GB2312" w:cs="仿宋_GB2312"/>
          <w:sz w:val="32"/>
          <w:szCs w:val="32"/>
          <w:lang w:val="en-US" w:eastAsia="zh-CN"/>
        </w:rPr>
        <w:t>增加。</w:t>
      </w:r>
    </w:p>
    <w:p w14:paraId="1553B7B6">
      <w:pPr>
        <w:pStyle w:val="9"/>
        <w:rPr>
          <w:rFonts w:hint="eastAsia" w:ascii="仿宋_GB2312" w:eastAsia="仿宋_GB2312" w:cs="仿宋_GB2312"/>
          <w:sz w:val="32"/>
          <w:szCs w:val="32"/>
          <w:lang w:val="en-US" w:eastAsia="zh-CN"/>
        </w:rPr>
      </w:pPr>
      <w:r>
        <w:drawing>
          <wp:inline distT="0" distB="0" distL="114300" distR="114300">
            <wp:extent cx="4693285" cy="3133090"/>
            <wp:effectExtent l="4445" t="4445" r="7620" b="5715"/>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77FA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 w:eastAsia="楷体" w:cs="楷体"/>
          <w:b/>
          <w:color w:val="000000"/>
          <w:sz w:val="32"/>
          <w:szCs w:val="32"/>
        </w:rPr>
      </w:pPr>
      <w:bookmarkStart w:id="65" w:name="_Toc15725"/>
      <w:bookmarkStart w:id="66" w:name="_Toc558"/>
      <w:r>
        <w:rPr>
          <w:rFonts w:hint="eastAsia" w:ascii="楷体" w:eastAsia="楷体" w:cs="楷体"/>
          <w:b/>
          <w:color w:val="000000"/>
          <w:sz w:val="32"/>
          <w:szCs w:val="32"/>
        </w:rPr>
        <w:t>（二）一般公共预算财政拨款支出决算结构情况</w:t>
      </w:r>
      <w:bookmarkEnd w:id="65"/>
      <w:bookmarkEnd w:id="66"/>
    </w:p>
    <w:p w14:paraId="2A4B3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11913.35</w:t>
      </w:r>
      <w:r>
        <w:rPr>
          <w:rFonts w:hint="eastAsia" w:ascii="仿宋_GB2312" w:eastAsia="仿宋_GB2312" w:cs="仿宋_GB2312"/>
          <w:sz w:val="32"/>
          <w:szCs w:val="32"/>
        </w:rPr>
        <w:t>万元，主要用于以下方面:</w:t>
      </w:r>
      <w:r>
        <w:rPr>
          <w:rFonts w:hint="eastAsia" w:ascii="仿宋_GB2312" w:eastAsia="仿宋_GB2312" w:cs="仿宋_GB2312"/>
          <w:sz w:val="32"/>
          <w:szCs w:val="32"/>
          <w:lang w:val="en-US" w:eastAsia="zh-CN"/>
        </w:rPr>
        <w:t>教育支出（205）15.00万，</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0.13</w:t>
      </w:r>
      <w:r>
        <w:rPr>
          <w:rFonts w:hint="eastAsia" w:ascii="仿宋_GB2312" w:eastAsia="仿宋_GB2312" w:cs="仿宋_GB2312"/>
          <w:sz w:val="32"/>
          <w:szCs w:val="32"/>
        </w:rPr>
        <w:t>%；科学技术支出（206）</w:t>
      </w:r>
      <w:r>
        <w:rPr>
          <w:rFonts w:hint="eastAsia" w:ascii="仿宋_GB2312" w:eastAsia="仿宋_GB2312" w:cs="仿宋_GB2312"/>
          <w:sz w:val="32"/>
          <w:szCs w:val="32"/>
          <w:lang w:val="en-US" w:eastAsia="zh-CN"/>
        </w:rPr>
        <w:t>520.04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4.37</w:t>
      </w:r>
      <w:r>
        <w:rPr>
          <w:rFonts w:hint="eastAsia" w:ascii="仿宋_GB2312" w:eastAsia="仿宋_GB2312" w:cs="仿宋_GB2312"/>
          <w:sz w:val="32"/>
          <w:szCs w:val="32"/>
        </w:rPr>
        <w:t>%；社会保障和就业支出（208）</w:t>
      </w:r>
      <w:r>
        <w:rPr>
          <w:rFonts w:hint="eastAsia" w:ascii="仿宋_GB2312" w:eastAsia="仿宋_GB2312" w:cs="仿宋_GB2312"/>
          <w:sz w:val="32"/>
          <w:szCs w:val="32"/>
          <w:lang w:val="en-US" w:eastAsia="zh-CN"/>
        </w:rPr>
        <w:t>216.17</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1.81</w:t>
      </w:r>
      <w:r>
        <w:rPr>
          <w:rFonts w:hint="eastAsia" w:ascii="仿宋_GB2312" w:eastAsia="仿宋_GB2312" w:cs="仿宋_GB2312"/>
          <w:sz w:val="32"/>
          <w:szCs w:val="32"/>
        </w:rPr>
        <w:t>%；卫生健康支出（210）</w:t>
      </w:r>
      <w:r>
        <w:rPr>
          <w:rFonts w:hint="eastAsia" w:ascii="仿宋_GB2312" w:eastAsia="仿宋_GB2312" w:cs="仿宋_GB2312"/>
          <w:sz w:val="32"/>
          <w:szCs w:val="32"/>
          <w:lang w:val="en-US" w:eastAsia="zh-CN"/>
        </w:rPr>
        <w:t>95.65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0.80</w:t>
      </w:r>
      <w:r>
        <w:rPr>
          <w:rFonts w:hint="eastAsia" w:ascii="仿宋_GB2312" w:eastAsia="仿宋_GB2312" w:cs="仿宋_GB2312"/>
          <w:sz w:val="32"/>
          <w:szCs w:val="32"/>
        </w:rPr>
        <w:t>%；节能环保支出（211）</w:t>
      </w:r>
      <w:r>
        <w:rPr>
          <w:rFonts w:hint="eastAsia" w:ascii="仿宋_GB2312" w:eastAsia="仿宋_GB2312" w:cs="仿宋_GB2312"/>
          <w:sz w:val="32"/>
          <w:szCs w:val="32"/>
          <w:lang w:val="en-US" w:eastAsia="zh-CN"/>
        </w:rPr>
        <w:t>55.00</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0.46</w:t>
      </w:r>
      <w:r>
        <w:rPr>
          <w:rFonts w:hint="eastAsia" w:ascii="仿宋_GB2312" w:eastAsia="仿宋_GB2312" w:cs="仿宋_GB2312"/>
          <w:sz w:val="32"/>
          <w:szCs w:val="32"/>
        </w:rPr>
        <w:t>%；农林水支出（213）</w:t>
      </w:r>
      <w:r>
        <w:rPr>
          <w:rFonts w:hint="eastAsia" w:ascii="仿宋_GB2312" w:eastAsia="仿宋_GB2312" w:cs="仿宋_GB2312"/>
          <w:sz w:val="32"/>
          <w:szCs w:val="32"/>
          <w:lang w:val="en-US" w:eastAsia="zh-CN"/>
        </w:rPr>
        <w:t>10900.74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91.50</w:t>
      </w:r>
      <w:r>
        <w:rPr>
          <w:rFonts w:hint="eastAsia" w:ascii="仿宋_GB2312" w:eastAsia="仿宋_GB2312" w:cs="仿宋_GB2312"/>
          <w:sz w:val="32"/>
          <w:szCs w:val="32"/>
        </w:rPr>
        <w:t>%；住房保障支出（221）</w:t>
      </w:r>
      <w:r>
        <w:rPr>
          <w:rFonts w:hint="eastAsia" w:ascii="仿宋_GB2312" w:eastAsia="仿宋_GB2312" w:cs="仿宋_GB2312"/>
          <w:sz w:val="32"/>
          <w:szCs w:val="32"/>
          <w:lang w:val="en-US" w:eastAsia="zh-CN"/>
        </w:rPr>
        <w:t>110.75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0.93</w:t>
      </w:r>
      <w:r>
        <w:rPr>
          <w:rFonts w:hint="eastAsia" w:ascii="仿宋_GB2312" w:eastAsia="仿宋_GB2312" w:cs="仿宋_GB2312"/>
          <w:sz w:val="32"/>
          <w:szCs w:val="32"/>
        </w:rPr>
        <w:t>%。</w:t>
      </w:r>
    </w:p>
    <w:p w14:paraId="66300D04">
      <w:pPr>
        <w:pStyle w:val="21"/>
        <w:rPr>
          <w:rFonts w:hint="default" w:eastAsia="仿宋_GB2312"/>
          <w:lang w:val="en-US" w:eastAsia="zh-CN"/>
        </w:rPr>
      </w:pPr>
      <w:r>
        <w:rPr>
          <w:rFonts w:hint="eastAsia" w:ascii="仿宋_GB2312" w:eastAsia="仿宋_GB2312" w:cs="仿宋_GB2312"/>
          <w:sz w:val="32"/>
          <w:szCs w:val="32"/>
          <w:lang w:val="en-US" w:eastAsia="zh-CN"/>
        </w:rPr>
        <w:t xml:space="preserve">     </w:t>
      </w:r>
      <w:r>
        <w:drawing>
          <wp:inline distT="0" distB="0" distL="114300" distR="114300">
            <wp:extent cx="4572000" cy="3895725"/>
            <wp:effectExtent l="4445" t="4445" r="14605" b="508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10B9F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67" w:name="_Toc17147"/>
      <w:bookmarkStart w:id="68" w:name="_Toc24597"/>
      <w:r>
        <w:rPr>
          <w:rFonts w:hint="eastAsia" w:ascii="楷体" w:eastAsia="楷体" w:cs="楷体"/>
          <w:b/>
          <w:color w:val="000000"/>
          <w:kern w:val="2"/>
          <w:sz w:val="32"/>
          <w:szCs w:val="32"/>
          <w:lang w:val="en-US" w:eastAsia="zh-CN" w:bidi="ar-SA"/>
        </w:rPr>
        <w:t>（三）一般公共预算财政拨款支出决算具体情况</w:t>
      </w:r>
      <w:bookmarkEnd w:id="67"/>
      <w:bookmarkEnd w:id="68"/>
    </w:p>
    <w:p w14:paraId="07F61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年一般公共预算财政拨款支出决算数为</w:t>
      </w:r>
      <w:r>
        <w:rPr>
          <w:rFonts w:hint="eastAsia" w:ascii="仿宋_GB2312" w:eastAsia="仿宋_GB2312" w:cs="仿宋_GB2312"/>
          <w:sz w:val="32"/>
          <w:szCs w:val="32"/>
          <w:lang w:val="en-US" w:eastAsia="zh-CN"/>
        </w:rPr>
        <w:t>11913.35</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。其中：</w:t>
      </w:r>
    </w:p>
    <w:p w14:paraId="0EE58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s="仿宋_GB2312"/>
          <w:bCs/>
          <w:color w:val="000000"/>
          <w:sz w:val="32"/>
          <w:szCs w:val="32"/>
          <w:lang w:val="en-US" w:eastAsia="zh-CN"/>
        </w:rPr>
        <w:t>1</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教育</w:t>
      </w:r>
      <w:r>
        <w:rPr>
          <w:rFonts w:hint="eastAsia" w:ascii="仿宋_GB2312" w:eastAsia="仿宋_GB2312" w:cs="仿宋_GB2312"/>
          <w:bCs/>
          <w:color w:val="000000"/>
          <w:sz w:val="32"/>
          <w:szCs w:val="32"/>
        </w:rPr>
        <w:t>支出（20</w:t>
      </w:r>
      <w:r>
        <w:rPr>
          <w:rFonts w:hint="eastAsia" w:ascii="仿宋_GB2312" w:eastAsia="仿宋_GB2312" w:cs="仿宋_GB2312"/>
          <w:bCs/>
          <w:color w:val="000000"/>
          <w:sz w:val="32"/>
          <w:szCs w:val="32"/>
          <w:lang w:val="en-US" w:eastAsia="zh-CN"/>
        </w:rPr>
        <w:t>5</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其他教育支出</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99</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其他教育支出</w:t>
      </w:r>
      <w:r>
        <w:rPr>
          <w:rFonts w:hint="eastAsia" w:ascii="仿宋_GB2312" w:eastAsia="仿宋_GB2312" w:cs="仿宋_GB2312"/>
          <w:bCs/>
          <w:color w:val="000000"/>
          <w:sz w:val="32"/>
          <w:szCs w:val="32"/>
        </w:rPr>
        <w:t>（99）支出决算为</w:t>
      </w:r>
      <w:r>
        <w:rPr>
          <w:rFonts w:hint="eastAsia" w:ascii="仿宋_GB2312" w:eastAsia="仿宋_GB2312" w:cs="仿宋_GB2312"/>
          <w:bCs/>
          <w:color w:val="000000"/>
          <w:sz w:val="32"/>
          <w:szCs w:val="32"/>
          <w:lang w:val="en-US" w:eastAsia="zh-CN"/>
        </w:rPr>
        <w:t>15.00</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26C39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s="仿宋_GB2312"/>
          <w:bCs/>
          <w:color w:val="000000"/>
          <w:sz w:val="32"/>
          <w:szCs w:val="32"/>
          <w:lang w:val="en-US" w:eastAsia="zh-CN"/>
        </w:rPr>
        <w:t>2</w:t>
      </w:r>
      <w:r>
        <w:rPr>
          <w:rFonts w:hint="eastAsia" w:ascii="仿宋_GB2312" w:eastAsia="仿宋_GB2312" w:cs="仿宋_GB2312"/>
          <w:bCs/>
          <w:color w:val="000000"/>
          <w:sz w:val="32"/>
          <w:szCs w:val="32"/>
        </w:rPr>
        <w:t>.科学技术支出（206）科学技术管理事</w:t>
      </w:r>
      <w:r>
        <w:rPr>
          <w:rFonts w:hint="eastAsia" w:ascii="仿宋_GB2312" w:eastAsia="仿宋_GB2312" w:cs="仿宋_GB2312"/>
          <w:bCs/>
          <w:color w:val="000000"/>
          <w:sz w:val="32"/>
          <w:szCs w:val="32"/>
          <w:lang w:val="en-US" w:eastAsia="zh-CN"/>
        </w:rPr>
        <w:t>务</w:t>
      </w:r>
      <w:r>
        <w:rPr>
          <w:rFonts w:hint="eastAsia" w:ascii="仿宋_GB2312" w:eastAsia="仿宋_GB2312" w:cs="仿宋_GB2312"/>
          <w:bCs/>
          <w:color w:val="000000"/>
          <w:sz w:val="32"/>
          <w:szCs w:val="32"/>
        </w:rPr>
        <w:t>（01）其他科学技术管理事</w:t>
      </w:r>
      <w:r>
        <w:rPr>
          <w:rFonts w:hint="eastAsia" w:ascii="仿宋_GB2312" w:eastAsia="仿宋_GB2312" w:cs="仿宋_GB2312"/>
          <w:bCs/>
          <w:color w:val="000000"/>
          <w:sz w:val="32"/>
          <w:szCs w:val="32"/>
          <w:lang w:val="en-US" w:eastAsia="zh-CN"/>
        </w:rPr>
        <w:t>务</w:t>
      </w:r>
      <w:r>
        <w:rPr>
          <w:rFonts w:hint="eastAsia" w:ascii="仿宋_GB2312" w:eastAsia="仿宋_GB2312" w:cs="仿宋_GB2312"/>
          <w:bCs/>
          <w:color w:val="000000"/>
          <w:sz w:val="32"/>
          <w:szCs w:val="32"/>
        </w:rPr>
        <w:t>支出（99）支出决算为</w:t>
      </w:r>
      <w:r>
        <w:rPr>
          <w:rFonts w:hint="eastAsia" w:ascii="仿宋_GB2312" w:eastAsia="仿宋_GB2312" w:cs="仿宋_GB2312"/>
          <w:bCs/>
          <w:color w:val="000000"/>
          <w:sz w:val="32"/>
          <w:szCs w:val="32"/>
          <w:lang w:val="en-US" w:eastAsia="zh-CN"/>
        </w:rPr>
        <w:t>29.20</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4D998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color w:val="000000"/>
          <w:sz w:val="32"/>
          <w:szCs w:val="32"/>
          <w:lang w:val="en-US" w:eastAsia="zh-CN"/>
        </w:rPr>
      </w:pPr>
      <w:r>
        <w:rPr>
          <w:rFonts w:hint="eastAsia" w:ascii="仿宋_GB2312" w:eastAsia="仿宋_GB2312" w:cs="仿宋_GB2312"/>
          <w:bCs/>
          <w:color w:val="000000"/>
          <w:sz w:val="32"/>
          <w:szCs w:val="32"/>
          <w:lang w:val="en-US" w:eastAsia="zh-CN"/>
        </w:rPr>
        <w:t>3.科学技术支出（206）技术研究与开发（04）科技成果转化与扩散（04）：支出决算为39.99万元，完成预算100%。</w:t>
      </w:r>
    </w:p>
    <w:p w14:paraId="36B75A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color w:val="000000"/>
          <w:sz w:val="32"/>
          <w:szCs w:val="32"/>
        </w:rPr>
      </w:pPr>
      <w:r>
        <w:rPr>
          <w:rFonts w:hint="eastAsia" w:ascii="仿宋_GB2312" w:eastAsia="仿宋_GB2312" w:cs="仿宋_GB2312"/>
          <w:bCs/>
          <w:color w:val="000000"/>
          <w:sz w:val="32"/>
          <w:szCs w:val="32"/>
          <w:lang w:val="en-US" w:eastAsia="zh-CN"/>
        </w:rPr>
        <w:t>4</w:t>
      </w:r>
      <w:r>
        <w:rPr>
          <w:rFonts w:hint="eastAsia" w:ascii="仿宋_GB2312" w:eastAsia="仿宋_GB2312" w:cs="仿宋_GB2312"/>
          <w:bCs/>
          <w:color w:val="000000"/>
          <w:sz w:val="32"/>
          <w:szCs w:val="32"/>
        </w:rPr>
        <w:t>.科学技术支出（206）技术研究与开发（04）</w:t>
      </w:r>
      <w:r>
        <w:rPr>
          <w:rFonts w:hint="eastAsia" w:ascii="仿宋_GB2312" w:eastAsia="仿宋_GB2312" w:cs="仿宋_GB2312"/>
          <w:bCs/>
          <w:color w:val="000000"/>
          <w:sz w:val="32"/>
          <w:szCs w:val="32"/>
          <w:lang w:val="en-US" w:eastAsia="zh-CN"/>
        </w:rPr>
        <w:t>其他技术研发与开发支出</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99</w:t>
      </w:r>
      <w:r>
        <w:rPr>
          <w:rFonts w:hint="eastAsia" w:ascii="仿宋_GB2312" w:eastAsia="仿宋_GB2312" w:cs="仿宋_GB2312"/>
          <w:bCs/>
          <w:color w:val="000000"/>
          <w:sz w:val="32"/>
          <w:szCs w:val="32"/>
        </w:rPr>
        <w:t>）：支出决算为</w:t>
      </w:r>
      <w:r>
        <w:rPr>
          <w:rFonts w:hint="eastAsia" w:ascii="仿宋_GB2312" w:eastAsia="仿宋_GB2312" w:cs="仿宋_GB2312"/>
          <w:bCs/>
          <w:color w:val="000000"/>
          <w:sz w:val="32"/>
          <w:szCs w:val="32"/>
          <w:lang w:val="en-US" w:eastAsia="zh-CN"/>
        </w:rPr>
        <w:t>175.00</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5F59A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w:t>
      </w:r>
      <w:r>
        <w:rPr>
          <w:rFonts w:hint="eastAsia" w:ascii="仿宋_GB2312" w:eastAsia="仿宋_GB2312" w:cs="仿宋_GB2312"/>
          <w:bCs/>
          <w:color w:val="000000"/>
          <w:sz w:val="32"/>
          <w:szCs w:val="32"/>
        </w:rPr>
        <w:t>科学技术支出（206）其他科学技术支出（99）其他科学技术支出（99）：支出决算为</w:t>
      </w:r>
      <w:r>
        <w:rPr>
          <w:rFonts w:hint="eastAsia" w:ascii="仿宋_GB2312" w:eastAsia="仿宋_GB2312" w:cs="仿宋_GB2312"/>
          <w:bCs/>
          <w:color w:val="000000"/>
          <w:sz w:val="32"/>
          <w:szCs w:val="32"/>
          <w:lang w:val="en-US" w:eastAsia="zh-CN"/>
        </w:rPr>
        <w:t>275.86</w:t>
      </w:r>
      <w:r>
        <w:rPr>
          <w:rFonts w:hint="eastAsia" w:ascii="仿宋_GB2312" w:eastAsia="仿宋_GB2312" w:cs="仿宋_GB2312"/>
          <w:bCs/>
          <w:color w:val="000000"/>
          <w:sz w:val="32"/>
          <w:szCs w:val="32"/>
        </w:rPr>
        <w:t>万元，完成预算</w:t>
      </w:r>
      <w:r>
        <w:rPr>
          <w:rFonts w:hint="eastAsia" w:ascii="仿宋_GB2312" w:eastAsia="仿宋_GB2312" w:cs="仿宋_GB2312"/>
          <w:bCs/>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7620528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仿宋_GB2312"/>
          <w:bCs/>
          <w:sz w:val="32"/>
          <w:szCs w:val="32"/>
        </w:rPr>
      </w:pPr>
      <w:r>
        <w:rPr>
          <w:rFonts w:hint="eastAsia" w:ascii="仿宋_GB2312" w:eastAsia="仿宋_GB2312" w:cs="仿宋_GB2312"/>
          <w:bCs/>
          <w:sz w:val="32"/>
          <w:szCs w:val="32"/>
        </w:rPr>
        <w:t xml:space="preserve">  </w:t>
      </w:r>
      <w:r>
        <w:rPr>
          <w:rFonts w:hint="eastAsia" w:ascii="仿宋_GB2312" w:eastAsia="仿宋_GB2312" w:cs="仿宋_GB2312"/>
          <w:bCs/>
          <w:sz w:val="32"/>
          <w:szCs w:val="32"/>
          <w:highlight w:val="none"/>
        </w:rPr>
        <w:t xml:space="preserve">  </w:t>
      </w:r>
      <w:r>
        <w:rPr>
          <w:rFonts w:hint="eastAsia" w:ascii="仿宋_GB2312" w:eastAsia="仿宋_GB2312" w:cs="仿宋_GB2312"/>
          <w:bCs/>
          <w:sz w:val="32"/>
          <w:szCs w:val="32"/>
          <w:highlight w:val="none"/>
          <w:lang w:val="en-US" w:eastAsia="zh-CN"/>
        </w:rPr>
        <w:t>6</w:t>
      </w:r>
      <w:r>
        <w:rPr>
          <w:rFonts w:hint="eastAsia" w:ascii="仿宋_GB2312" w:eastAsia="仿宋_GB2312" w:cs="仿宋_GB2312"/>
          <w:bCs/>
          <w:sz w:val="32"/>
          <w:szCs w:val="32"/>
          <w:highlight w:val="none"/>
        </w:rPr>
        <w:t>.社会保障和就业支出（208）行政事业单位</w:t>
      </w:r>
      <w:r>
        <w:rPr>
          <w:rFonts w:hint="eastAsia" w:ascii="仿宋_GB2312" w:eastAsia="仿宋_GB2312" w:cs="仿宋_GB2312"/>
          <w:bCs/>
          <w:sz w:val="32"/>
          <w:szCs w:val="32"/>
          <w:highlight w:val="none"/>
          <w:lang w:val="en-US" w:eastAsia="zh-CN"/>
        </w:rPr>
        <w:t>养老支出</w:t>
      </w:r>
      <w:r>
        <w:rPr>
          <w:rFonts w:hint="eastAsia" w:ascii="仿宋_GB2312" w:eastAsia="仿宋_GB2312" w:cs="仿宋_GB2312"/>
          <w:bCs/>
          <w:sz w:val="32"/>
          <w:szCs w:val="32"/>
          <w:highlight w:val="none"/>
        </w:rPr>
        <w:t>（05）</w:t>
      </w:r>
      <w:r>
        <w:rPr>
          <w:rFonts w:hint="eastAsia" w:ascii="仿宋_GB2312" w:eastAsia="仿宋_GB2312" w:cs="仿宋_GB2312"/>
          <w:bCs/>
          <w:sz w:val="32"/>
          <w:szCs w:val="32"/>
        </w:rPr>
        <w:t>机关事业单位基本养老保险缴费支出（05）</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144.11</w:t>
      </w:r>
      <w:r>
        <w:rPr>
          <w:rFonts w:hint="eastAsia" w:ascii="仿宋_GB2312" w:eastAsia="仿宋_GB2312" w:cs="仿宋_GB2312"/>
          <w:sz w:val="32"/>
          <w:szCs w:val="32"/>
        </w:rPr>
        <w:t>万元，完成预算100</w:t>
      </w:r>
      <w:r>
        <w:rPr>
          <w:rFonts w:ascii="仿宋_GB2312" w:eastAsia="仿宋_GB2312" w:cs="仿宋_GB2312"/>
          <w:sz w:val="32"/>
          <w:szCs w:val="32"/>
        </w:rPr>
        <w:t>%</w:t>
      </w:r>
      <w:r>
        <w:rPr>
          <w:rFonts w:hint="eastAsia" w:ascii="仿宋_GB2312" w:eastAsia="仿宋_GB2312" w:cs="仿宋_GB2312"/>
          <w:sz w:val="32"/>
          <w:szCs w:val="32"/>
        </w:rPr>
        <w:t>。</w:t>
      </w:r>
    </w:p>
    <w:p w14:paraId="0AE7F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bCs/>
          <w:sz w:val="32"/>
          <w:szCs w:val="32"/>
          <w:lang w:val="en-US" w:eastAsia="zh-CN"/>
        </w:rPr>
        <w:t>7</w:t>
      </w:r>
      <w:r>
        <w:rPr>
          <w:rFonts w:ascii="仿宋_GB2312" w:eastAsia="仿宋_GB2312" w:cs="仿宋_GB2312"/>
          <w:bCs/>
          <w:sz w:val="32"/>
          <w:szCs w:val="32"/>
        </w:rPr>
        <w:t>.</w:t>
      </w:r>
      <w:r>
        <w:rPr>
          <w:rFonts w:hint="eastAsia" w:ascii="仿宋_GB2312" w:eastAsia="仿宋_GB2312" w:cs="仿宋_GB2312"/>
          <w:bCs/>
          <w:sz w:val="32"/>
          <w:szCs w:val="32"/>
        </w:rPr>
        <w:t>社会保障和就业支出（208）</w:t>
      </w:r>
      <w:r>
        <w:rPr>
          <w:rFonts w:hint="eastAsia" w:ascii="仿宋_GB2312" w:eastAsia="仿宋_GB2312" w:cs="仿宋_GB2312"/>
          <w:bCs/>
          <w:sz w:val="32"/>
          <w:szCs w:val="32"/>
          <w:highlight w:val="none"/>
        </w:rPr>
        <w:t>行政事业单位</w:t>
      </w:r>
      <w:r>
        <w:rPr>
          <w:rFonts w:hint="eastAsia" w:ascii="仿宋_GB2312" w:eastAsia="仿宋_GB2312" w:cs="仿宋_GB2312"/>
          <w:bCs/>
          <w:sz w:val="32"/>
          <w:szCs w:val="32"/>
          <w:highlight w:val="none"/>
          <w:lang w:val="en-US" w:eastAsia="zh-CN"/>
        </w:rPr>
        <w:t>养老支出</w:t>
      </w:r>
      <w:r>
        <w:rPr>
          <w:rFonts w:hint="eastAsia" w:ascii="仿宋_GB2312" w:eastAsia="仿宋_GB2312" w:cs="仿宋_GB2312"/>
          <w:bCs/>
          <w:sz w:val="32"/>
          <w:szCs w:val="32"/>
        </w:rPr>
        <w:t>（05）机关事业单位职业年金缴费支出（06）</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72.06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14:paraId="337DE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bCs/>
          <w:sz w:val="32"/>
          <w:szCs w:val="32"/>
          <w:lang w:val="en-US" w:eastAsia="zh-CN"/>
        </w:rPr>
        <w:t>8</w:t>
      </w:r>
      <w:r>
        <w:rPr>
          <w:rFonts w:ascii="仿宋_GB2312" w:eastAsia="仿宋_GB2312" w:cs="仿宋_GB2312"/>
          <w:bCs/>
          <w:sz w:val="32"/>
          <w:szCs w:val="32"/>
        </w:rPr>
        <w:t>.</w:t>
      </w:r>
      <w:r>
        <w:rPr>
          <w:rFonts w:hint="eastAsia" w:ascii="仿宋_GB2312" w:eastAsia="仿宋_GB2312" w:cs="仿宋_GB2312"/>
          <w:bCs/>
          <w:sz w:val="32"/>
          <w:szCs w:val="32"/>
        </w:rPr>
        <w:t>卫生健康支出（210）行政事业单位医疗（11）行政单位医疗（01）：</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32.56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14:paraId="1A35B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bCs/>
          <w:sz w:val="32"/>
          <w:szCs w:val="32"/>
          <w:lang w:val="en-US" w:eastAsia="zh-CN"/>
        </w:rPr>
        <w:t>9</w:t>
      </w:r>
      <w:r>
        <w:rPr>
          <w:rFonts w:ascii="仿宋_GB2312" w:eastAsia="仿宋_GB2312" w:cs="仿宋_GB2312"/>
          <w:bCs/>
          <w:sz w:val="32"/>
          <w:szCs w:val="32"/>
        </w:rPr>
        <w:t>.</w:t>
      </w:r>
      <w:r>
        <w:rPr>
          <w:rFonts w:hint="eastAsia" w:ascii="仿宋_GB2312" w:eastAsia="仿宋_GB2312" w:cs="仿宋_GB2312"/>
          <w:bCs/>
          <w:sz w:val="32"/>
          <w:szCs w:val="32"/>
        </w:rPr>
        <w:t>卫生健康支出（210）行政事业单位医疗（11）事业单位医疗（02）</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63.09</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14:paraId="303759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FF0000"/>
          <w:sz w:val="32"/>
          <w:szCs w:val="32"/>
        </w:rPr>
      </w:pPr>
      <w:r>
        <w:rPr>
          <w:rFonts w:hint="eastAsia" w:ascii="仿宋_GB2312" w:eastAsia="仿宋_GB2312" w:cs="仿宋_GB2312"/>
          <w:bCs/>
          <w:color w:val="000000"/>
          <w:sz w:val="32"/>
          <w:szCs w:val="32"/>
          <w:lang w:val="en-US" w:eastAsia="zh-CN"/>
        </w:rPr>
        <w:t>10</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节能环保</w:t>
      </w:r>
      <w:r>
        <w:rPr>
          <w:rFonts w:hint="eastAsia" w:ascii="仿宋_GB2312" w:eastAsia="仿宋_GB2312" w:cs="仿宋_GB2312"/>
          <w:bCs/>
          <w:color w:val="000000"/>
          <w:sz w:val="32"/>
          <w:szCs w:val="32"/>
        </w:rPr>
        <w:t>支出（21</w:t>
      </w:r>
      <w:r>
        <w:rPr>
          <w:rFonts w:hint="eastAsia" w:ascii="仿宋_GB2312" w:eastAsia="仿宋_GB2312" w:cs="仿宋_GB2312"/>
          <w:bCs/>
          <w:color w:val="000000"/>
          <w:sz w:val="32"/>
          <w:szCs w:val="32"/>
          <w:lang w:val="en-US" w:eastAsia="zh-CN"/>
        </w:rPr>
        <w:t>1</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自然生态保护</w:t>
      </w:r>
      <w:r>
        <w:rPr>
          <w:rFonts w:hint="eastAsia" w:ascii="仿宋_GB2312" w:eastAsia="仿宋_GB2312" w:cs="仿宋_GB2312"/>
          <w:bCs/>
          <w:color w:val="000000"/>
          <w:sz w:val="32"/>
          <w:szCs w:val="32"/>
        </w:rPr>
        <w:t>（0</w:t>
      </w:r>
      <w:r>
        <w:rPr>
          <w:rFonts w:hint="eastAsia" w:ascii="仿宋_GB2312" w:eastAsia="仿宋_GB2312" w:cs="仿宋_GB2312"/>
          <w:bCs/>
          <w:color w:val="000000"/>
          <w:sz w:val="32"/>
          <w:szCs w:val="32"/>
          <w:lang w:val="en-US" w:eastAsia="zh-CN"/>
        </w:rPr>
        <w:t>4</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生态保护</w:t>
      </w:r>
      <w:r>
        <w:rPr>
          <w:rFonts w:hint="eastAsia" w:ascii="仿宋_GB2312" w:eastAsia="仿宋_GB2312" w:cs="仿宋_GB2312"/>
          <w:bCs/>
          <w:color w:val="000000"/>
          <w:sz w:val="32"/>
          <w:szCs w:val="32"/>
        </w:rPr>
        <w:t>（01）：</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55.00</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1DA8D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FF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1</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（01）行政运行（01）：</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379.00</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1E376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2</w:t>
      </w:r>
      <w:r>
        <w:rPr>
          <w:rFonts w:ascii="仿宋_GB2312" w:eastAsia="仿宋_GB2312" w:cs="仿宋_GB2312"/>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（01）事业运行（04）</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823.47</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79C08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3</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w:t>
      </w:r>
      <w:r>
        <w:rPr>
          <w:rFonts w:hint="eastAsia" w:ascii="仿宋_GB2312" w:eastAsia="仿宋_GB2312" w:cs="仿宋_GB2312"/>
          <w:bCs/>
          <w:color w:val="000000"/>
          <w:sz w:val="32"/>
          <w:szCs w:val="32"/>
          <w:lang w:val="en-US" w:eastAsia="zh-CN"/>
        </w:rPr>
        <w:t>农产品质量安全</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09</w:t>
      </w:r>
      <w:r>
        <w:rPr>
          <w:rFonts w:hint="eastAsia" w:ascii="仿宋_GB2312" w:eastAsia="仿宋_GB2312" w:cs="仿宋_GB2312"/>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27.86</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0D9E4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4</w:t>
      </w:r>
      <w:r>
        <w:rPr>
          <w:rFonts w:ascii="仿宋_GB2312" w:eastAsia="仿宋_GB2312" w:cs="仿宋_GB2312"/>
          <w:bCs/>
          <w:sz w:val="32"/>
          <w:szCs w:val="32"/>
        </w:rPr>
        <w:t>.</w:t>
      </w:r>
      <w:r>
        <w:rPr>
          <w:rFonts w:hint="eastAsia" w:ascii="仿宋_GB2312" w:eastAsia="仿宋_GB2312" w:cs="仿宋_GB2312"/>
          <w:bCs/>
          <w:sz w:val="32"/>
          <w:szCs w:val="32"/>
        </w:rPr>
        <w:t>农林水支出（213）农业</w:t>
      </w:r>
      <w:r>
        <w:rPr>
          <w:rFonts w:hint="eastAsia" w:ascii="仿宋_GB2312" w:eastAsia="仿宋_GB2312" w:cs="仿宋_GB2312"/>
          <w:bCs/>
          <w:sz w:val="32"/>
          <w:szCs w:val="32"/>
          <w:lang w:val="en-US" w:eastAsia="zh-CN"/>
        </w:rPr>
        <w:t>农村</w:t>
      </w:r>
      <w:r>
        <w:rPr>
          <w:rFonts w:hint="eastAsia" w:ascii="仿宋_GB2312" w:eastAsia="仿宋_GB2312" w:cs="仿宋_GB2312"/>
          <w:bCs/>
          <w:sz w:val="32"/>
          <w:szCs w:val="32"/>
        </w:rPr>
        <w:t>（01）</w:t>
      </w:r>
      <w:r>
        <w:rPr>
          <w:rFonts w:hint="eastAsia" w:ascii="仿宋_GB2312" w:eastAsia="仿宋_GB2312" w:cs="仿宋_GB2312"/>
          <w:bCs/>
          <w:sz w:val="32"/>
          <w:szCs w:val="32"/>
          <w:lang w:val="en-US" w:eastAsia="zh-CN"/>
        </w:rPr>
        <w:t>农业生产发展</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22</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648.55</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14:paraId="70397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bCs/>
          <w:color w:val="000000"/>
          <w:sz w:val="32"/>
          <w:szCs w:val="32"/>
        </w:rPr>
        <w:t>1</w:t>
      </w:r>
      <w:r>
        <w:rPr>
          <w:rFonts w:hint="eastAsia" w:ascii="仿宋_GB2312" w:eastAsia="仿宋_GB2312" w:cs="仿宋_GB2312"/>
          <w:bCs/>
          <w:color w:val="000000"/>
          <w:sz w:val="32"/>
          <w:szCs w:val="32"/>
          <w:lang w:val="en-US" w:eastAsia="zh-CN"/>
        </w:rPr>
        <w:t>5</w:t>
      </w:r>
      <w:r>
        <w:rPr>
          <w:rFonts w:ascii="仿宋_GB2312" w:eastAsia="仿宋_GB2312" w:cs="仿宋_GB2312"/>
          <w:bCs/>
          <w:color w:val="000000"/>
          <w:sz w:val="32"/>
          <w:szCs w:val="32"/>
        </w:rPr>
        <w:t>.</w:t>
      </w:r>
      <w:r>
        <w:rPr>
          <w:rFonts w:hint="eastAsia" w:ascii="仿宋_GB2312" w:eastAsia="仿宋_GB2312" w:cs="仿宋_GB2312"/>
          <w:bCs/>
          <w:color w:val="000000"/>
          <w:sz w:val="32"/>
          <w:szCs w:val="32"/>
        </w:rPr>
        <w:t>农林水支出（213）农业</w:t>
      </w:r>
      <w:r>
        <w:rPr>
          <w:rFonts w:hint="eastAsia" w:ascii="仿宋_GB2312" w:eastAsia="仿宋_GB2312" w:cs="仿宋_GB2312"/>
          <w:bCs/>
          <w:color w:val="000000"/>
          <w:sz w:val="32"/>
          <w:szCs w:val="32"/>
          <w:lang w:val="en-US" w:eastAsia="zh-CN"/>
        </w:rPr>
        <w:t>农村</w:t>
      </w:r>
      <w:r>
        <w:rPr>
          <w:rFonts w:hint="eastAsia" w:ascii="仿宋_GB2312" w:eastAsia="仿宋_GB2312" w:cs="仿宋_GB2312"/>
          <w:bCs/>
          <w:color w:val="000000"/>
          <w:sz w:val="32"/>
          <w:szCs w:val="32"/>
        </w:rPr>
        <w:t>（01）</w:t>
      </w:r>
      <w:r>
        <w:rPr>
          <w:rFonts w:hint="eastAsia" w:ascii="仿宋_GB2312" w:eastAsia="仿宋_GB2312" w:cs="仿宋_GB2312"/>
          <w:bCs/>
          <w:color w:val="000000"/>
          <w:sz w:val="32"/>
          <w:szCs w:val="32"/>
          <w:lang w:val="en-US" w:eastAsia="zh-CN"/>
        </w:rPr>
        <w:t>农田建设</w:t>
      </w:r>
      <w:r>
        <w:rPr>
          <w:rFonts w:hint="eastAsia" w:ascii="仿宋_GB2312" w:eastAsia="仿宋_GB2312" w:cs="仿宋_GB2312"/>
          <w:bCs/>
          <w:color w:val="000000"/>
          <w:sz w:val="32"/>
          <w:szCs w:val="32"/>
        </w:rPr>
        <w:t>（</w:t>
      </w:r>
      <w:r>
        <w:rPr>
          <w:rFonts w:hint="eastAsia" w:ascii="仿宋_GB2312" w:eastAsia="仿宋_GB2312" w:cs="仿宋_GB2312"/>
          <w:bCs/>
          <w:color w:val="000000"/>
          <w:sz w:val="32"/>
          <w:szCs w:val="32"/>
          <w:lang w:val="en-US" w:eastAsia="zh-CN"/>
        </w:rPr>
        <w:t>53</w:t>
      </w:r>
      <w:r>
        <w:rPr>
          <w:rFonts w:hint="eastAsia" w:ascii="仿宋_GB2312" w:eastAsia="仿宋_GB2312" w:cs="仿宋_GB2312"/>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91.08</w:t>
      </w:r>
      <w:r>
        <w:rPr>
          <w:rFonts w:hint="eastAsia" w:ascii="仿宋_GB2312" w:eastAsia="仿宋_GB2312" w:cs="仿宋_GB2312"/>
          <w:color w:val="000000"/>
          <w:sz w:val="32"/>
          <w:szCs w:val="32"/>
        </w:rPr>
        <w:t>万元，完成预算</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14:paraId="69C37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6</w:t>
      </w:r>
      <w:r>
        <w:rPr>
          <w:rFonts w:ascii="仿宋_GB2312" w:eastAsia="仿宋_GB2312" w:cs="仿宋_GB2312"/>
          <w:bCs/>
          <w:sz w:val="32"/>
          <w:szCs w:val="32"/>
        </w:rPr>
        <w:t>.</w:t>
      </w:r>
      <w:r>
        <w:rPr>
          <w:rFonts w:hint="eastAsia" w:ascii="仿宋_GB2312" w:eastAsia="仿宋_GB2312" w:cs="仿宋_GB2312"/>
          <w:bCs/>
          <w:sz w:val="32"/>
          <w:szCs w:val="32"/>
        </w:rPr>
        <w:t>农林水支出（213）农业</w:t>
      </w:r>
      <w:r>
        <w:rPr>
          <w:rFonts w:hint="eastAsia" w:ascii="仿宋_GB2312" w:eastAsia="仿宋_GB2312" w:cs="仿宋_GB2312"/>
          <w:bCs/>
          <w:sz w:val="32"/>
          <w:szCs w:val="32"/>
          <w:lang w:val="en-US" w:eastAsia="zh-CN"/>
        </w:rPr>
        <w:t>农村</w:t>
      </w:r>
      <w:r>
        <w:rPr>
          <w:rFonts w:hint="eastAsia" w:ascii="仿宋_GB2312" w:eastAsia="仿宋_GB2312" w:cs="仿宋_GB2312"/>
          <w:bCs/>
          <w:sz w:val="32"/>
          <w:szCs w:val="32"/>
        </w:rPr>
        <w:t>（01）</w:t>
      </w:r>
      <w:r>
        <w:rPr>
          <w:rFonts w:hint="eastAsia" w:ascii="仿宋_GB2312" w:eastAsia="仿宋_GB2312" w:cs="仿宋_GB2312"/>
          <w:bCs/>
          <w:sz w:val="32"/>
          <w:szCs w:val="32"/>
          <w:lang w:val="en-US" w:eastAsia="zh-CN"/>
        </w:rPr>
        <w:t>其他农业农村支出</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99</w:t>
      </w:r>
      <w:r>
        <w:rPr>
          <w:rFonts w:hint="eastAsia" w:ascii="仿宋_GB2312" w:eastAsia="仿宋_GB2312" w:cs="仿宋_GB2312"/>
          <w:bCs/>
          <w:sz w:val="32"/>
          <w:szCs w:val="32"/>
        </w:rPr>
        <w:t>）：支出决算为</w:t>
      </w:r>
      <w:r>
        <w:rPr>
          <w:rFonts w:hint="eastAsia" w:ascii="仿宋_GB2312" w:eastAsia="仿宋_GB2312" w:cs="仿宋_GB2312"/>
          <w:sz w:val="32"/>
          <w:szCs w:val="32"/>
          <w:lang w:val="en-US" w:eastAsia="zh-CN"/>
        </w:rPr>
        <w:t>2433.67</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14:paraId="1B7FE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lang w:eastAsia="zh-CN"/>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7</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w:t>
      </w:r>
      <w:r>
        <w:rPr>
          <w:rFonts w:hint="eastAsia" w:ascii="仿宋_GB2312" w:eastAsia="仿宋_GB2312" w:cs="仿宋_GB2312"/>
          <w:bCs/>
          <w:sz w:val="32"/>
          <w:szCs w:val="32"/>
          <w:lang w:val="en-US" w:eastAsia="zh-CN"/>
        </w:rPr>
        <w:t>农村基础设施建设</w:t>
      </w:r>
      <w:r>
        <w:rPr>
          <w:rFonts w:hint="eastAsia" w:ascii="仿宋_GB2312" w:eastAsia="仿宋_GB2312" w:cs="仿宋_GB2312"/>
          <w:bCs/>
          <w:sz w:val="32"/>
          <w:szCs w:val="32"/>
        </w:rPr>
        <w:t>（0</w:t>
      </w:r>
      <w:r>
        <w:rPr>
          <w:rFonts w:hint="eastAsia" w:ascii="仿宋_GB2312" w:eastAsia="仿宋_GB2312" w:cs="仿宋_GB2312"/>
          <w:bCs/>
          <w:sz w:val="32"/>
          <w:szCs w:val="32"/>
          <w:lang w:val="en-US" w:eastAsia="zh-CN"/>
        </w:rPr>
        <w:t>4</w:t>
      </w:r>
      <w:r>
        <w:rPr>
          <w:rFonts w:hint="eastAsia" w:ascii="仿宋_GB2312" w:eastAsia="仿宋_GB2312" w:cs="仿宋_GB2312"/>
          <w:bCs/>
          <w:sz w:val="32"/>
          <w:szCs w:val="32"/>
        </w:rPr>
        <w:t>）</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47.42</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lang w:eastAsia="zh-CN"/>
        </w:rPr>
        <w:t>。</w:t>
      </w:r>
    </w:p>
    <w:p w14:paraId="313FA5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bCs/>
          <w:sz w:val="32"/>
          <w:szCs w:val="32"/>
        </w:rPr>
        <w:t>1</w:t>
      </w:r>
      <w:r>
        <w:rPr>
          <w:rFonts w:hint="eastAsia" w:ascii="仿宋_GB2312" w:eastAsia="仿宋_GB2312" w:cs="仿宋_GB2312"/>
          <w:bCs/>
          <w:sz w:val="32"/>
          <w:szCs w:val="32"/>
          <w:lang w:val="en-US" w:eastAsia="zh-CN"/>
        </w:rPr>
        <w:t>8</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（05）生产发展（05）</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513.91</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14:paraId="7506A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bCs/>
          <w:sz w:val="32"/>
          <w:szCs w:val="32"/>
          <w:lang w:val="en-US" w:eastAsia="zh-CN"/>
        </w:rPr>
        <w:t>19</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（05）其他</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支出（99）</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5872.41</w:t>
      </w:r>
      <w:r>
        <w:rPr>
          <w:rFonts w:hint="eastAsia" w:ascii="仿宋_GB2312" w:eastAsia="仿宋_GB2312" w:cs="仿宋_GB2312"/>
          <w:sz w:val="32"/>
          <w:szCs w:val="32"/>
        </w:rPr>
        <w:t>万元，完成预算</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w:t>
      </w:r>
    </w:p>
    <w:p w14:paraId="1E3EE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bCs/>
          <w:sz w:val="32"/>
          <w:szCs w:val="32"/>
        </w:rPr>
      </w:pPr>
      <w:r>
        <w:rPr>
          <w:rFonts w:hint="eastAsia" w:ascii="仿宋_GB2312" w:eastAsia="仿宋_GB2312" w:cs="仿宋_GB2312"/>
          <w:bCs/>
          <w:sz w:val="32"/>
          <w:szCs w:val="32"/>
          <w:lang w:val="en-US" w:eastAsia="zh-CN"/>
        </w:rPr>
        <w:t>20</w:t>
      </w:r>
      <w:r>
        <w:rPr>
          <w:rFonts w:ascii="仿宋_GB2312" w:eastAsia="仿宋_GB2312" w:cs="仿宋_GB2312"/>
          <w:bCs/>
          <w:sz w:val="32"/>
          <w:szCs w:val="32"/>
        </w:rPr>
        <w:t>.</w:t>
      </w:r>
      <w:r>
        <w:rPr>
          <w:rFonts w:hint="eastAsia" w:ascii="仿宋_GB2312" w:eastAsia="仿宋_GB2312" w:cs="仿宋_GB2312"/>
          <w:bCs/>
          <w:sz w:val="32"/>
          <w:szCs w:val="32"/>
        </w:rPr>
        <w:t>农林水支出（213）</w:t>
      </w:r>
      <w:r>
        <w:rPr>
          <w:rFonts w:hint="eastAsia" w:ascii="仿宋_GB2312" w:eastAsia="仿宋_GB2312" w:cs="仿宋_GB2312"/>
          <w:bCs/>
          <w:sz w:val="32"/>
          <w:szCs w:val="32"/>
          <w:lang w:val="en-US" w:eastAsia="zh-CN"/>
        </w:rPr>
        <w:t>普惠金融发展</w:t>
      </w:r>
      <w:r>
        <w:rPr>
          <w:rFonts w:hint="eastAsia" w:ascii="仿宋_GB2312" w:eastAsia="仿宋_GB2312" w:cs="仿宋_GB2312"/>
          <w:bCs/>
          <w:sz w:val="32"/>
          <w:szCs w:val="32"/>
        </w:rPr>
        <w:t>支出（</w:t>
      </w:r>
      <w:r>
        <w:rPr>
          <w:rFonts w:hint="eastAsia" w:ascii="仿宋_GB2312" w:eastAsia="仿宋_GB2312" w:cs="仿宋_GB2312"/>
          <w:bCs/>
          <w:sz w:val="32"/>
          <w:szCs w:val="32"/>
          <w:lang w:val="en-US" w:eastAsia="zh-CN"/>
        </w:rPr>
        <w:t>08</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农业保险保费补贴</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03</w:t>
      </w:r>
      <w:r>
        <w:rPr>
          <w:rFonts w:hint="eastAsia" w:ascii="仿宋_GB2312" w:eastAsia="仿宋_GB2312" w:cs="仿宋_GB2312"/>
          <w:bCs/>
          <w:sz w:val="32"/>
          <w:szCs w:val="32"/>
        </w:rPr>
        <w:t>）：支出决算为</w:t>
      </w:r>
      <w:r>
        <w:rPr>
          <w:rFonts w:hint="eastAsia" w:ascii="仿宋_GB2312" w:eastAsia="仿宋_GB2312" w:cs="仿宋_GB2312"/>
          <w:bCs/>
          <w:sz w:val="32"/>
          <w:szCs w:val="32"/>
          <w:lang w:val="en-US" w:eastAsia="zh-CN"/>
        </w:rPr>
        <w:t>63.37</w:t>
      </w:r>
      <w:r>
        <w:rPr>
          <w:rFonts w:hint="eastAsia" w:ascii="仿宋_GB2312" w:eastAsia="仿宋_GB2312" w:cs="仿宋_GB2312"/>
          <w:bCs/>
          <w:sz w:val="32"/>
          <w:szCs w:val="32"/>
        </w:rPr>
        <w:t>万元，完成预算</w:t>
      </w:r>
      <w:r>
        <w:rPr>
          <w:rFonts w:hint="eastAsia" w:ascii="仿宋_GB2312" w:eastAsia="仿宋_GB2312" w:cs="仿宋_GB2312"/>
          <w:bCs/>
          <w:sz w:val="32"/>
          <w:szCs w:val="32"/>
          <w:lang w:val="en-US" w:eastAsia="zh-CN"/>
        </w:rPr>
        <w:t>100</w:t>
      </w:r>
      <w:r>
        <w:rPr>
          <w:rFonts w:ascii="仿宋_GB2312" w:eastAsia="仿宋_GB2312" w:cs="仿宋_GB2312"/>
          <w:bCs/>
          <w:sz w:val="32"/>
          <w:szCs w:val="32"/>
        </w:rPr>
        <w:t>%</w:t>
      </w:r>
      <w:r>
        <w:rPr>
          <w:rFonts w:hint="eastAsia" w:ascii="仿宋_GB2312" w:eastAsia="仿宋_GB2312" w:cs="仿宋_GB2312"/>
          <w:bCs/>
          <w:sz w:val="32"/>
          <w:szCs w:val="32"/>
        </w:rPr>
        <w:t>。</w:t>
      </w:r>
    </w:p>
    <w:p w14:paraId="75AFD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lang w:val="en-US" w:eastAsia="zh-CN"/>
        </w:rPr>
        <w:t>21</w:t>
      </w:r>
      <w:r>
        <w:rPr>
          <w:rFonts w:hint="eastAsia" w:ascii="仿宋_GB2312" w:eastAsia="仿宋_GB2312" w:cs="仿宋_GB2312"/>
          <w:bCs/>
          <w:sz w:val="32"/>
          <w:szCs w:val="32"/>
        </w:rPr>
        <w:t>.住房保障支出（221）住房改革支出（02）住房公积金（01）：支出决算为</w:t>
      </w:r>
      <w:r>
        <w:rPr>
          <w:rFonts w:hint="eastAsia" w:ascii="仿宋_GB2312" w:eastAsia="仿宋_GB2312" w:cs="仿宋_GB2312"/>
          <w:bCs/>
          <w:sz w:val="32"/>
          <w:szCs w:val="32"/>
          <w:lang w:val="en-US" w:eastAsia="zh-CN"/>
        </w:rPr>
        <w:t>110.75</w:t>
      </w:r>
      <w:r>
        <w:rPr>
          <w:rFonts w:hint="eastAsia" w:ascii="仿宋_GB2312" w:eastAsia="仿宋_GB2312" w:cs="仿宋_GB2312"/>
          <w:bCs/>
          <w:sz w:val="32"/>
          <w:szCs w:val="32"/>
        </w:rPr>
        <w:t>万元，完成预算</w:t>
      </w:r>
      <w:r>
        <w:rPr>
          <w:rFonts w:ascii="仿宋_GB2312" w:eastAsia="仿宋_GB2312" w:cs="仿宋_GB2312"/>
          <w:bCs/>
          <w:sz w:val="32"/>
          <w:szCs w:val="32"/>
        </w:rPr>
        <w:t>100%</w:t>
      </w:r>
      <w:r>
        <w:rPr>
          <w:rFonts w:hint="eastAsia" w:ascii="仿宋_GB2312" w:eastAsia="仿宋_GB2312" w:cs="仿宋_GB2312"/>
          <w:bCs/>
          <w:sz w:val="32"/>
          <w:szCs w:val="32"/>
        </w:rPr>
        <w:t>。</w:t>
      </w:r>
    </w:p>
    <w:p w14:paraId="02413AD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仿宋_GB2312" w:eastAsia="仿宋_GB2312" w:cs="仿宋_GB2312"/>
          <w:bCs/>
          <w:kern w:val="2"/>
          <w:sz w:val="32"/>
          <w:szCs w:val="32"/>
          <w:lang w:val="en-US" w:eastAsia="zh-CN" w:bidi="ar-SA"/>
        </w:rPr>
      </w:pPr>
      <w:bookmarkStart w:id="69" w:name="_Toc24946"/>
      <w:bookmarkStart w:id="70" w:name="_Toc24364"/>
      <w:r>
        <w:rPr>
          <w:rFonts w:hint="eastAsia" w:ascii="黑体" w:hAnsi="Calibri" w:eastAsia="黑体" w:cs="Times New Roman"/>
          <w:color w:val="000000"/>
          <w:kern w:val="2"/>
          <w:sz w:val="32"/>
          <w:szCs w:val="32"/>
          <w:lang w:val="en-US" w:eastAsia="zh-CN" w:bidi="ar-SA"/>
        </w:rPr>
        <w:t>六、一般公共预算财政拨款基本支出决算情况说明  </w:t>
      </w:r>
      <w:r>
        <w:rPr>
          <w:rFonts w:hint="eastAsia" w:ascii="仿宋_GB2312" w:eastAsia="仿宋_GB2312" w:cs="仿宋_GB2312"/>
          <w:bCs/>
          <w:kern w:val="2"/>
          <w:sz w:val="32"/>
          <w:szCs w:val="32"/>
          <w:lang w:val="en-US" w:eastAsia="zh-CN" w:bidi="ar-SA"/>
        </w:rPr>
        <w:t> </w:t>
      </w:r>
      <w:bookmarkEnd w:id="69"/>
      <w:bookmarkEnd w:id="70"/>
    </w:p>
    <w:p w14:paraId="34046BA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sz w:val="32"/>
          <w:szCs w:val="32"/>
          <w:lang w:val="en-US" w:eastAsia="zh-CN"/>
        </w:rPr>
      </w:pPr>
      <w:r>
        <w:rPr>
          <w:rFonts w:hint="eastAsia" w:ascii="仿宋_GB2312" w:eastAsia="仿宋_GB2312" w:cs="仿宋_GB2312"/>
          <w:bCs/>
          <w:kern w:val="2"/>
          <w:sz w:val="32"/>
          <w:szCs w:val="32"/>
          <w:lang w:val="en-US" w:eastAsia="zh-CN" w:bidi="ar-SA"/>
        </w:rPr>
        <w:t>2023年一</w:t>
      </w:r>
      <w:r>
        <w:rPr>
          <w:rFonts w:hint="eastAsia" w:ascii="仿宋_GB2312" w:eastAsia="仿宋_GB2312" w:cs="仿宋_GB2312"/>
          <w:bCs/>
          <w:sz w:val="32"/>
          <w:szCs w:val="32"/>
          <w:lang w:val="en-US" w:eastAsia="zh-CN"/>
        </w:rPr>
        <w:t>般公共预算财政拨款基本支出1654.23万元，其中：人员经费1598.39万元，主要包括：基本工资、津贴补贴、奖金、伙食补助费、绩效工资、机关事业单位基本养老保险缴费、职业年金缴费、其他 社会保障缴费、其他工资福利支出、离休费、退休费、抚恤金、生活补助、医疗费补助、奖励金、住房公积金、其他对个人和家庭的补助支出等。</w:t>
      </w:r>
    </w:p>
    <w:p w14:paraId="058BD6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公用经费55.84万元，主要包括：办公费、印刷费、咨询费、手续费、水费、电费、邮电费、取暖费、物业管理费、差旅费、因公出国（境） 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9A8496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黑体" w:eastAsia="黑体" w:cs="Times New Roman"/>
          <w:color w:val="000000"/>
          <w:sz w:val="32"/>
          <w:szCs w:val="32"/>
        </w:rPr>
      </w:pPr>
      <w:bookmarkStart w:id="71" w:name="_Toc18490"/>
      <w:bookmarkStart w:id="72" w:name="_Toc28247"/>
      <w:bookmarkStart w:id="73" w:name="_Toc29783"/>
      <w:r>
        <w:rPr>
          <w:rFonts w:hint="eastAsia" w:ascii="黑体" w:eastAsia="黑体" w:cs="Times New Roman"/>
          <w:color w:val="000000"/>
          <w:sz w:val="32"/>
          <w:szCs w:val="32"/>
        </w:rPr>
        <w:t>七、“三公”经费财政拨款支出决算情况说明</w:t>
      </w:r>
      <w:bookmarkEnd w:id="71"/>
      <w:bookmarkEnd w:id="72"/>
      <w:bookmarkEnd w:id="73"/>
    </w:p>
    <w:p w14:paraId="59E08FB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74" w:name="_Toc28087"/>
      <w:bookmarkStart w:id="75" w:name="_Toc12831"/>
      <w:r>
        <w:rPr>
          <w:rFonts w:hint="eastAsia" w:ascii="楷体" w:eastAsia="楷体" w:cs="楷体"/>
          <w:b/>
          <w:color w:val="000000"/>
          <w:kern w:val="2"/>
          <w:sz w:val="32"/>
          <w:szCs w:val="32"/>
          <w:lang w:val="en-US" w:eastAsia="zh-CN" w:bidi="ar-SA"/>
        </w:rPr>
        <w:t>（一）“三公”经费财政拨款支出决算总体情况说明</w:t>
      </w:r>
      <w:bookmarkEnd w:id="74"/>
      <w:bookmarkEnd w:id="75"/>
    </w:p>
    <w:p w14:paraId="4F65C2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2023年“三公”经费财政拨款支出决算为5.05万元，完成预算100%，决算数与预算数持平的主要原因是：今年本部门严格控制公务接待次数与人数和公车运行维护次数、公车派出次数，厉行节约节俭原则。</w:t>
      </w:r>
    </w:p>
    <w:p w14:paraId="30ED0C5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76" w:name="_Toc15311"/>
      <w:bookmarkStart w:id="77" w:name="_Toc8348"/>
      <w:r>
        <w:rPr>
          <w:rFonts w:hint="eastAsia" w:ascii="楷体" w:eastAsia="楷体" w:cs="楷体"/>
          <w:b/>
          <w:color w:val="000000"/>
          <w:kern w:val="2"/>
          <w:sz w:val="32"/>
          <w:szCs w:val="32"/>
          <w:lang w:val="en-US" w:eastAsia="zh-CN" w:bidi="ar-SA"/>
        </w:rPr>
        <w:t>（二）“三公”经费财政拨款支出决算具体情况说明</w:t>
      </w:r>
      <w:bookmarkEnd w:id="76"/>
      <w:bookmarkEnd w:id="77"/>
    </w:p>
    <w:p w14:paraId="604CD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2023年“三公”经费财政拨款支出决算中，因公出国（境）费支出决算0万元，占0%；</w:t>
      </w:r>
      <w:r>
        <w:rPr>
          <w:rFonts w:ascii="仿宋_GB2312" w:eastAsia="仿宋_GB2312" w:cs="仿宋_GB2312"/>
          <w:bCs/>
          <w:kern w:val="0"/>
          <w:sz w:val="32"/>
          <w:szCs w:val="32"/>
          <w:lang w:val="en-US" w:eastAsia="zh-CN"/>
        </w:rPr>
        <w:t>公务用车购置</w:t>
      </w:r>
      <w:r>
        <w:rPr>
          <w:rFonts w:hint="eastAsia" w:ascii="仿宋_GB2312" w:eastAsia="仿宋_GB2312" w:cs="仿宋_GB2312"/>
          <w:bCs/>
          <w:kern w:val="0"/>
          <w:sz w:val="32"/>
          <w:szCs w:val="32"/>
          <w:lang w:val="en-US" w:eastAsia="zh-CN"/>
        </w:rPr>
        <w:t>费</w:t>
      </w:r>
      <w:r>
        <w:rPr>
          <w:rFonts w:ascii="仿宋_GB2312" w:eastAsia="仿宋_GB2312" w:cs="仿宋_GB2312"/>
          <w:bCs/>
          <w:kern w:val="0"/>
          <w:sz w:val="32"/>
          <w:szCs w:val="32"/>
          <w:lang w:val="en-US" w:eastAsia="zh-CN"/>
        </w:rPr>
        <w:t>支出决算</w:t>
      </w:r>
      <w:r>
        <w:rPr>
          <w:rFonts w:hint="eastAsia" w:ascii="仿宋_GB2312" w:eastAsia="仿宋_GB2312" w:cs="仿宋_GB2312"/>
          <w:bCs/>
          <w:kern w:val="0"/>
          <w:sz w:val="32"/>
          <w:szCs w:val="32"/>
          <w:lang w:val="en-US" w:eastAsia="zh-CN"/>
        </w:rPr>
        <w:t>0.00</w:t>
      </w:r>
      <w:r>
        <w:rPr>
          <w:rFonts w:ascii="仿宋_GB2312" w:eastAsia="仿宋_GB2312" w:cs="仿宋_GB2312"/>
          <w:bCs/>
          <w:kern w:val="0"/>
          <w:sz w:val="32"/>
          <w:szCs w:val="32"/>
          <w:lang w:val="en-US" w:eastAsia="zh-CN"/>
        </w:rPr>
        <w:t>万元，占</w:t>
      </w:r>
      <w:r>
        <w:rPr>
          <w:rFonts w:hint="eastAsia" w:ascii="仿宋_GB2312" w:eastAsia="仿宋_GB2312" w:cs="仿宋_GB2312"/>
          <w:bCs/>
          <w:kern w:val="0"/>
          <w:sz w:val="32"/>
          <w:szCs w:val="32"/>
          <w:lang w:val="en-US" w:eastAsia="zh-CN"/>
        </w:rPr>
        <w:t>0.00</w:t>
      </w:r>
      <w:r>
        <w:rPr>
          <w:rFonts w:ascii="仿宋_GB2312" w:eastAsia="仿宋_GB2312" w:cs="仿宋_GB2312"/>
          <w:bCs/>
          <w:kern w:val="0"/>
          <w:sz w:val="32"/>
          <w:szCs w:val="32"/>
        </w:rPr>
        <w:t>%；</w:t>
      </w:r>
      <w:r>
        <w:rPr>
          <w:rFonts w:ascii="仿宋_GB2312" w:eastAsia="仿宋_GB2312" w:cs="仿宋_GB2312"/>
          <w:bCs/>
          <w:kern w:val="0"/>
          <w:sz w:val="32"/>
          <w:szCs w:val="32"/>
          <w:lang w:val="en-US" w:eastAsia="zh-CN"/>
        </w:rPr>
        <w:t>公务用车运行维护费支出决算</w:t>
      </w:r>
      <w:r>
        <w:rPr>
          <w:rFonts w:hint="eastAsia" w:ascii="仿宋_GB2312" w:eastAsia="仿宋_GB2312" w:cs="仿宋_GB2312"/>
          <w:bCs/>
          <w:kern w:val="0"/>
          <w:sz w:val="32"/>
          <w:szCs w:val="32"/>
          <w:lang w:val="en-US" w:eastAsia="zh-CN"/>
        </w:rPr>
        <w:t>3.98</w:t>
      </w:r>
      <w:r>
        <w:rPr>
          <w:rFonts w:ascii="仿宋_GB2312" w:eastAsia="仿宋_GB2312" w:cs="仿宋_GB2312"/>
          <w:bCs/>
          <w:kern w:val="0"/>
          <w:sz w:val="32"/>
          <w:szCs w:val="32"/>
          <w:lang w:val="en-US" w:eastAsia="zh-CN"/>
        </w:rPr>
        <w:t>万元，占</w:t>
      </w:r>
      <w:r>
        <w:rPr>
          <w:rFonts w:hint="eastAsia" w:ascii="仿宋_GB2312" w:eastAsia="仿宋_GB2312" w:cs="仿宋_GB2312"/>
          <w:bCs/>
          <w:kern w:val="0"/>
          <w:sz w:val="32"/>
          <w:szCs w:val="32"/>
          <w:lang w:val="en-US" w:eastAsia="zh-CN"/>
        </w:rPr>
        <w:t>78.81</w:t>
      </w:r>
      <w:r>
        <w:rPr>
          <w:rFonts w:ascii="仿宋_GB2312" w:eastAsia="仿宋_GB2312" w:cs="仿宋_GB2312"/>
          <w:bCs/>
          <w:kern w:val="0"/>
          <w:sz w:val="32"/>
          <w:szCs w:val="32"/>
        </w:rPr>
        <w:t>%；</w:t>
      </w:r>
      <w:r>
        <w:rPr>
          <w:rFonts w:hint="eastAsia" w:ascii="仿宋_GB2312" w:eastAsia="仿宋_GB2312" w:cs="仿宋_GB2312"/>
          <w:bCs/>
          <w:sz w:val="32"/>
          <w:szCs w:val="32"/>
          <w:lang w:val="en-US" w:eastAsia="zh-CN"/>
        </w:rPr>
        <w:t>公务接待费支出决算1.07万元，占21.19%。具体情况如下：</w:t>
      </w:r>
    </w:p>
    <w:p w14:paraId="178F66EC">
      <w:pPr>
        <w:pStyle w:val="9"/>
      </w:pPr>
      <w:r>
        <w:drawing>
          <wp:inline distT="0" distB="0" distL="114300" distR="114300">
            <wp:extent cx="3867150" cy="2628900"/>
            <wp:effectExtent l="4445" t="4445" r="14605" b="14605"/>
            <wp:docPr id="1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BEC8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1.因公出国（境）经费支出：0万元，完成预算0%。全年安排因公出国（境）团组0次，出国（境）0人。</w:t>
      </w:r>
    </w:p>
    <w:p w14:paraId="419688F6">
      <w:pPr>
        <w:keepNext w:val="0"/>
        <w:keepLines w:val="0"/>
        <w:widowControl w:val="0"/>
        <w:suppressLineNumbers w:val="0"/>
        <w:spacing w:line="560" w:lineRule="exact"/>
        <w:ind w:left="0" w:firstLine="640"/>
        <w:jc w:val="both"/>
        <w:rPr>
          <w:rFonts w:ascii="仿宋_GB2312" w:eastAsia="仿宋_GB2312" w:cs="Times New Roman"/>
          <w:b w:val="0"/>
          <w:bCs/>
          <w:color w:val="000000"/>
          <w:kern w:val="2"/>
          <w:sz w:val="32"/>
          <w:szCs w:val="32"/>
        </w:rPr>
      </w:pPr>
      <w:r>
        <w:rPr>
          <w:rFonts w:hint="eastAsia" w:ascii="仿宋_GB2312" w:eastAsia="仿宋_GB2312" w:cs="仿宋_GB2312"/>
          <w:bCs/>
          <w:kern w:val="2"/>
          <w:sz w:val="32"/>
          <w:szCs w:val="32"/>
          <w:lang w:val="en-US" w:eastAsia="zh-CN" w:bidi="ar-SA"/>
        </w:rPr>
        <w:t>2.公务用车购置及运行维护费支出3.98万元,完成预算100%。</w:t>
      </w:r>
      <w:r>
        <w:rPr>
          <w:rFonts w:hint="eastAsia" w:ascii="仿宋_GB2312" w:eastAsia="仿宋_GB2312" w:cs="仿宋_GB2312"/>
          <w:bCs/>
          <w:sz w:val="32"/>
          <w:szCs w:val="32"/>
          <w:lang w:val="en-US" w:eastAsia="zh-CN"/>
        </w:rPr>
        <w:t>（其中：公务用车购置费0.00万元，同比增加（减少）0.00万元，增长（下降）0.00%，原因分析：无公务用车购置费；公车运行维护费3.98万元，同比增加（减少）0.02万元，增长（下降）0.50%，原因分析：</w:t>
      </w:r>
      <w:r>
        <w:rPr>
          <w:rFonts w:ascii="仿宋_GB2312" w:eastAsia="仿宋_GB2312" w:cs="仿宋_GB2312"/>
          <w:color w:val="000000"/>
          <w:kern w:val="0"/>
          <w:sz w:val="32"/>
          <w:szCs w:val="32"/>
        </w:rPr>
        <w:t>主要原因是今年</w:t>
      </w:r>
      <w:r>
        <w:rPr>
          <w:rFonts w:hint="eastAsia" w:ascii="仿宋_GB2312" w:eastAsia="仿宋_GB2312" w:cs="仿宋_GB2312"/>
          <w:color w:val="000000"/>
          <w:kern w:val="0"/>
          <w:sz w:val="32"/>
          <w:szCs w:val="32"/>
          <w:lang w:val="en-US" w:eastAsia="zh-CN"/>
        </w:rPr>
        <w:t>本部门</w:t>
      </w:r>
      <w:r>
        <w:rPr>
          <w:rFonts w:ascii="仿宋_GB2312" w:eastAsia="仿宋_GB2312" w:cs="仿宋_GB2312"/>
          <w:color w:val="000000"/>
          <w:kern w:val="0"/>
          <w:sz w:val="32"/>
          <w:szCs w:val="32"/>
        </w:rPr>
        <w:t>严格控制公车运行维护次数和公车派出次数，厉行节约节俭</w:t>
      </w:r>
      <w:r>
        <w:rPr>
          <w:rFonts w:ascii="仿宋_GB2312" w:eastAsia="仿宋_GB2312" w:cs="仿宋_GB2312"/>
          <w:b w:val="0"/>
          <w:bCs/>
          <w:color w:val="000000"/>
          <w:kern w:val="2"/>
          <w:sz w:val="32"/>
          <w:szCs w:val="32"/>
        </w:rPr>
        <w:t>原则。</w:t>
      </w:r>
      <w:r>
        <w:rPr>
          <w:rFonts w:hint="eastAsia" w:ascii="仿宋_GB2312" w:eastAsia="仿宋_GB2312" w:cs="仿宋_GB2312"/>
          <w:b w:val="0"/>
          <w:bCs/>
          <w:color w:val="000000"/>
          <w:kern w:val="2"/>
          <w:sz w:val="32"/>
          <w:szCs w:val="32"/>
          <w:lang w:eastAsia="zh-CN"/>
        </w:rPr>
        <w:t>）</w:t>
      </w:r>
      <w:r>
        <w:rPr>
          <w:rFonts w:hint="eastAsia" w:ascii="仿宋_GB2312" w:eastAsia="仿宋_GB2312" w:cs="仿宋_GB2312"/>
          <w:bCs/>
          <w:sz w:val="32"/>
          <w:szCs w:val="32"/>
          <w:lang w:val="en-US" w:eastAsia="zh-CN"/>
        </w:rPr>
        <w:t>无政府性基金预算安排“三公”经费。</w:t>
      </w:r>
    </w:p>
    <w:p w14:paraId="22998D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截至2023年12月31日底，茂县科学技术和农业畜牧局共有公务用车越野车1辆，公务用车运行维护费支出3.98万元。主要用于开展农业相关工作时所产生的公务用车燃料费、维修费、过路过桥费、保险费等支出。</w:t>
      </w:r>
    </w:p>
    <w:p w14:paraId="1CEF9BC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3.公务接待费支出1.07万元，完成预算100%。公务接待费支出决算比2022年增加0.06万元，增长5.94%。主要原因是：接待次数和人数增加。其中：国内公务接待支出1.07万元，主要用于执行公务、开展农业农村相关业务工作开支的用餐费。国内公务接待21批次，108人次（不包括陪同人员），共计支出1.07万元，具体内容包括：主要用于执行公务、开展农业农村相关业务工作开支的用餐费。</w:t>
      </w:r>
    </w:p>
    <w:p w14:paraId="24D7C0F2">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outlineLvl w:val="1"/>
        <w:rPr>
          <w:rFonts w:hint="eastAsia" w:ascii="黑体" w:eastAsia="黑体" w:cs="Times New Roman"/>
          <w:color w:val="000000"/>
          <w:sz w:val="32"/>
          <w:szCs w:val="32"/>
          <w:lang w:val="en-US" w:eastAsia="zh-CN"/>
        </w:rPr>
      </w:pPr>
      <w:bookmarkStart w:id="78" w:name="_Toc19284"/>
      <w:bookmarkStart w:id="79" w:name="_Toc19970"/>
      <w:r>
        <w:rPr>
          <w:rFonts w:hint="eastAsia" w:ascii="黑体" w:eastAsia="黑体" w:cs="Times New Roman"/>
          <w:color w:val="000000"/>
          <w:sz w:val="32"/>
          <w:szCs w:val="32"/>
          <w:lang w:val="en-US" w:eastAsia="zh-CN"/>
        </w:rPr>
        <w:t>八、政府性基金预算支出决算情况说明</w:t>
      </w:r>
      <w:bookmarkEnd w:id="78"/>
      <w:bookmarkEnd w:id="79"/>
    </w:p>
    <w:p w14:paraId="0A60DEE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2023年政府性基金预算财政拨款支出0万元。</w:t>
      </w:r>
      <w:bookmarkStart w:id="80" w:name="_Toc15780"/>
    </w:p>
    <w:p w14:paraId="26F68CB1">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outlineLvl w:val="1"/>
        <w:rPr>
          <w:rFonts w:hint="eastAsia" w:ascii="黑体" w:eastAsia="黑体" w:cs="Times New Roman"/>
          <w:color w:val="000000"/>
          <w:sz w:val="32"/>
          <w:szCs w:val="32"/>
          <w:lang w:val="en-US" w:eastAsia="zh-CN"/>
        </w:rPr>
      </w:pPr>
      <w:bookmarkStart w:id="81" w:name="_Toc131"/>
      <w:r>
        <w:rPr>
          <w:rFonts w:hint="eastAsia" w:ascii="黑体" w:eastAsia="黑体" w:cs="Times New Roman"/>
          <w:color w:val="000000"/>
          <w:sz w:val="32"/>
          <w:szCs w:val="32"/>
          <w:lang w:val="en-US" w:eastAsia="zh-CN"/>
        </w:rPr>
        <w:t>九、国有资本经营预算支出决算情况说明</w:t>
      </w:r>
      <w:bookmarkEnd w:id="80"/>
      <w:bookmarkEnd w:id="81"/>
    </w:p>
    <w:p w14:paraId="7FF9FD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2023年国有资本经营预算财政拨款支出0万元。 </w:t>
      </w:r>
    </w:p>
    <w:p w14:paraId="29799FBE">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outlineLvl w:val="1"/>
        <w:rPr>
          <w:rFonts w:hint="eastAsia" w:ascii="黑体" w:eastAsia="黑体" w:cs="Times New Roman"/>
          <w:color w:val="000000"/>
          <w:sz w:val="32"/>
          <w:szCs w:val="32"/>
        </w:rPr>
      </w:pPr>
      <w:bookmarkStart w:id="82" w:name="_Toc18785"/>
      <w:bookmarkStart w:id="83" w:name="_Toc6454"/>
      <w:bookmarkStart w:id="84" w:name="_Toc32147"/>
      <w:r>
        <w:rPr>
          <w:rFonts w:hint="eastAsia" w:ascii="黑体" w:eastAsia="黑体" w:cs="Times New Roman"/>
          <w:color w:val="000000"/>
          <w:sz w:val="32"/>
          <w:szCs w:val="32"/>
        </w:rPr>
        <w:t>十、其他重要事项的情况说明</w:t>
      </w:r>
      <w:bookmarkEnd w:id="82"/>
      <w:bookmarkEnd w:id="83"/>
      <w:bookmarkEnd w:id="84"/>
    </w:p>
    <w:p w14:paraId="65B69948">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85" w:name="_Toc25595"/>
      <w:bookmarkStart w:id="86" w:name="_Toc4392"/>
      <w:r>
        <w:rPr>
          <w:rFonts w:hint="eastAsia" w:ascii="楷体" w:eastAsia="楷体" w:cs="楷体"/>
          <w:b/>
          <w:color w:val="000000"/>
          <w:kern w:val="2"/>
          <w:sz w:val="32"/>
          <w:szCs w:val="32"/>
          <w:lang w:val="en-US" w:eastAsia="zh-CN" w:bidi="ar-SA"/>
        </w:rPr>
        <w:t>（一）机关运行经费支出情况</w:t>
      </w:r>
      <w:bookmarkEnd w:id="85"/>
      <w:bookmarkEnd w:id="86"/>
    </w:p>
    <w:p w14:paraId="5BA59D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2023年茂县科学技术和农业畜牧局机关运行经费支出19.04万元，比2022年增加1.14万元，增长6.37%。主要原因是：人员变动，相应机关运行经费增加。</w:t>
      </w:r>
    </w:p>
    <w:p w14:paraId="1EE46D3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87" w:name="_Toc5402"/>
      <w:bookmarkStart w:id="88" w:name="_Toc25292"/>
      <w:r>
        <w:rPr>
          <w:rFonts w:hint="eastAsia" w:ascii="楷体" w:eastAsia="楷体" w:cs="楷体"/>
          <w:b/>
          <w:color w:val="000000"/>
          <w:kern w:val="2"/>
          <w:sz w:val="32"/>
          <w:szCs w:val="32"/>
          <w:lang w:val="en-US" w:eastAsia="zh-CN" w:bidi="ar-SA"/>
        </w:rPr>
        <w:t>（二）政府采购支出情况</w:t>
      </w:r>
      <w:bookmarkEnd w:id="87"/>
      <w:bookmarkEnd w:id="88"/>
    </w:p>
    <w:p w14:paraId="16CD7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kern w:val="2"/>
          <w:sz w:val="32"/>
          <w:szCs w:val="32"/>
          <w:highlight w:val="none"/>
          <w:lang w:val="en-US" w:eastAsia="zh-CN" w:bidi="ar-SA"/>
        </w:rPr>
      </w:pPr>
      <w:r>
        <w:rPr>
          <w:rFonts w:hint="eastAsia" w:ascii="仿宋_GB2312" w:eastAsia="仿宋_GB2312" w:cs="仿宋_GB2312"/>
          <w:bCs/>
          <w:kern w:val="2"/>
          <w:sz w:val="32"/>
          <w:szCs w:val="32"/>
          <w:highlight w:val="none"/>
          <w:lang w:val="en-US" w:eastAsia="zh-CN" w:bidi="ar-SA"/>
        </w:rPr>
        <w:t>2023年茂县科学技术和农业畜牧局政府采购支出总额4167.87万元，其中：政府采购货物支出2835.24万元、政府采购工程支出541.17万元、政府采购服务支出791.46万元。主要用于采购增雨防雹炮、大棚及钢材、杀虫灯、轨道及钢材、绿植、实验器材、办公电脑等以及项目开展所需设施设备及培训、技术服务等。授予中小企业合同金额4167.87万元，占政府采购支出总额的100%。</w:t>
      </w:r>
    </w:p>
    <w:p w14:paraId="1C63770F">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bookmarkStart w:id="89" w:name="_Toc24169"/>
      <w:bookmarkStart w:id="90" w:name="_Toc29989"/>
      <w:r>
        <w:rPr>
          <w:rFonts w:hint="eastAsia" w:ascii="楷体" w:eastAsia="楷体" w:cs="楷体"/>
          <w:b/>
          <w:color w:val="000000"/>
          <w:kern w:val="2"/>
          <w:sz w:val="32"/>
          <w:szCs w:val="32"/>
          <w:lang w:val="en-US" w:eastAsia="zh-CN" w:bidi="ar-SA"/>
        </w:rPr>
        <w:t>（三）国有资产占有使用情况</w:t>
      </w:r>
      <w:bookmarkEnd w:id="89"/>
      <w:bookmarkEnd w:id="90"/>
    </w:p>
    <w:p w14:paraId="6F6369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截至2023年12月31日，茂县科学技术和农业畜牧局共有车辆3辆，其中：主要领导干部用车0辆、机要通信用车0辆、应急保障用车2辆、执法执勤用车1辆，主要是用于：出差、下基层开展农业农村和乡村振兴相关工作。单价50万元以上通用设备0台（套），单价100万元以上专用设备0台（套）。</w:t>
      </w:r>
      <w:bookmarkStart w:id="91" w:name="_Toc19772"/>
      <w:bookmarkStart w:id="92" w:name="_Toc3943"/>
    </w:p>
    <w:p w14:paraId="08E4853E">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 w:eastAsia="楷体" w:cs="楷体"/>
          <w:b/>
          <w:color w:val="000000"/>
          <w:kern w:val="2"/>
          <w:sz w:val="32"/>
          <w:szCs w:val="32"/>
          <w:lang w:val="en-US" w:eastAsia="zh-CN" w:bidi="ar-SA"/>
        </w:rPr>
      </w:pPr>
      <w:r>
        <w:rPr>
          <w:rFonts w:hint="eastAsia" w:ascii="楷体" w:eastAsia="楷体" w:cs="楷体"/>
          <w:b/>
          <w:color w:val="000000"/>
          <w:kern w:val="2"/>
          <w:sz w:val="32"/>
          <w:szCs w:val="32"/>
          <w:lang w:val="en-US" w:eastAsia="zh-CN" w:bidi="ar-SA"/>
        </w:rPr>
        <w:t>（四）预算绩效管理情况</w:t>
      </w:r>
      <w:bookmarkEnd w:id="91"/>
      <w:bookmarkEnd w:id="92"/>
    </w:p>
    <w:p w14:paraId="5ADCFD9D">
      <w:pPr>
        <w:keepNext w:val="0"/>
        <w:keepLines w:val="0"/>
        <w:pageBreakBefore w:val="0"/>
        <w:widowControl/>
        <w:kinsoku/>
        <w:wordWrap/>
        <w:overflowPunct/>
        <w:topLinePunct w:val="0"/>
        <w:autoSpaceDE/>
        <w:autoSpaceDN/>
        <w:bidi w:val="0"/>
        <w:adjustRightInd/>
        <w:snapToGrid/>
        <w:spacing w:afterAutospacing="0" w:line="360" w:lineRule="auto"/>
        <w:ind w:firstLine="640" w:firstLineChars="200"/>
        <w:textAlignment w:val="auto"/>
        <w:rPr>
          <w:rFonts w:hint="eastAsia" w:ascii="仿宋_GB2312" w:eastAsia="仿宋_GB2312" w:cs="仿宋_GB2312"/>
          <w:bCs/>
          <w:kern w:val="2"/>
          <w:sz w:val="32"/>
          <w:szCs w:val="32"/>
          <w:lang w:val="en-US" w:eastAsia="zh-CN" w:bidi="ar-SA"/>
        </w:rPr>
      </w:pPr>
      <w:r>
        <w:rPr>
          <w:rFonts w:hint="eastAsia" w:ascii="仿宋_GB2312" w:eastAsia="仿宋_GB2312" w:cs="仿宋_GB2312"/>
          <w:bCs/>
          <w:kern w:val="2"/>
          <w:sz w:val="32"/>
          <w:szCs w:val="32"/>
          <w:lang w:val="en-US" w:eastAsia="zh-CN" w:bidi="ar-SA"/>
        </w:rPr>
        <w:t>根据预算绩效管理要求，本部门在2023年度预算编制阶段，开展绩效目标管理的项目36个，涉及预算1434.06万元。其中：人员类项目32个，涉及预算1374.86万元；运转类项目4个，涉及预算59.2万元；特定目标类项目0个，涉及预算0.00万元。</w:t>
      </w:r>
    </w:p>
    <w:p w14:paraId="23DF38F5">
      <w:pPr>
        <w:keepNext w:val="0"/>
        <w:keepLines w:val="0"/>
        <w:widowControl/>
        <w:suppressLineNumbers w:val="0"/>
        <w:spacing w:line="560" w:lineRule="exact"/>
        <w:ind w:left="0"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仿宋_GB2312"/>
          <w:bCs/>
          <w:kern w:val="2"/>
          <w:sz w:val="32"/>
          <w:szCs w:val="32"/>
          <w:lang w:val="en-US" w:eastAsia="zh-CN" w:bidi="ar-SA"/>
        </w:rPr>
        <w:t>组织对中期预算项目：茂县2023年高素质农民培育项目、茂县2023年厕所革命示范建设项目、2023年沙坝镇三龙富锶特色果蔬现代农业园区建设项目、2023年叠溪镇特色果蔬现代农业园区建设项目、</w:t>
      </w:r>
      <w:r>
        <w:rPr>
          <w:rFonts w:hint="eastAsia" w:ascii="仿宋_GB2312" w:hAnsi="仿宋_GB2312" w:eastAsia="仿宋_GB2312" w:cs="仿宋_GB2312"/>
          <w:color w:val="auto"/>
          <w:sz w:val="32"/>
          <w:szCs w:val="32"/>
          <w:highlight w:val="none"/>
          <w:shd w:val="clear"/>
          <w:lang w:val="en-US" w:eastAsia="zh-CN"/>
        </w:rPr>
        <w:t>2023年南新镇李子+苹果现代农业园区建设项目、</w:t>
      </w:r>
      <w:r>
        <w:rPr>
          <w:rFonts w:hint="eastAsia" w:ascii="仿宋_GB2312" w:eastAsia="仿宋_GB2312" w:cs="仿宋_GB2312"/>
          <w:bCs/>
          <w:kern w:val="2"/>
          <w:sz w:val="32"/>
          <w:szCs w:val="32"/>
          <w:lang w:val="en-US" w:eastAsia="zh-CN" w:bidi="ar-SA"/>
        </w:rPr>
        <w:t>2023年茂县乡村振兴示范村建设项目等75个项目开展了预算事前绩效评估，对75个项目编制了绩效目标，预算执行过程中，选取7个项目开展绩效监控</w:t>
      </w: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cs="仿宋_GB2312"/>
          <w:bCs/>
          <w:kern w:val="2"/>
          <w:sz w:val="32"/>
          <w:szCs w:val="32"/>
          <w:lang w:val="en-US" w:eastAsia="zh-CN" w:bidi="ar-SA"/>
        </w:rPr>
        <w:t>对6个项目开展绩效自评。</w:t>
      </w:r>
    </w:p>
    <w:p w14:paraId="4BF488E9">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fill="FFFF00"/>
          <w:lang w:val="en-US" w:eastAsia="zh-CN"/>
        </w:rPr>
      </w:pPr>
      <w:r>
        <w:rPr>
          <w:rFonts w:ascii="仿宋_GB2312" w:eastAsia="仿宋_GB2312" w:cs="仿宋_GB2312"/>
          <w:color w:val="000000"/>
          <w:kern w:val="0"/>
          <w:sz w:val="32"/>
          <w:szCs w:val="32"/>
        </w:rPr>
        <w:t>组织对</w:t>
      </w:r>
      <w:r>
        <w:rPr>
          <w:rFonts w:hint="eastAsia" w:ascii="仿宋_GB2312" w:eastAsia="仿宋_GB2312" w:cs="Times New Roman"/>
          <w:color w:val="000000"/>
          <w:kern w:val="0"/>
          <w:sz w:val="32"/>
          <w:szCs w:val="32"/>
          <w:lang w:eastAsia="zh-CN"/>
        </w:rPr>
        <w:t>2023</w:t>
      </w:r>
      <w:r>
        <w:rPr>
          <w:rFonts w:ascii="仿宋_GB2312" w:eastAsia="仿宋_GB2312" w:cs="Times New Roman"/>
          <w:color w:val="000000"/>
          <w:kern w:val="0"/>
          <w:sz w:val="32"/>
          <w:szCs w:val="32"/>
        </w:rPr>
        <w:t>年度</w:t>
      </w:r>
      <w:r>
        <w:rPr>
          <w:rFonts w:hint="eastAsia" w:ascii="仿宋_GB2312" w:hAnsi="仿宋_GB2312" w:eastAsia="仿宋_GB2312" w:cs="仿宋_GB2312"/>
          <w:color w:val="auto"/>
          <w:sz w:val="32"/>
          <w:szCs w:val="32"/>
          <w:highlight w:val="none"/>
          <w:lang w:val="en-US" w:eastAsia="zh-CN"/>
        </w:rPr>
        <w:t>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w:t>
      </w:r>
      <w:r>
        <w:rPr>
          <w:rFonts w:hint="eastAsia" w:ascii="仿宋_GB2312" w:hAnsi="仿宋_GB2312" w:eastAsia="仿宋_GB2312" w:cs="仿宋_GB2312"/>
          <w:color w:val="auto"/>
          <w:sz w:val="32"/>
          <w:szCs w:val="32"/>
          <w:highlight w:val="none"/>
          <w:shd w:val="clear"/>
          <w:lang w:eastAsia="zh-CN"/>
        </w:rPr>
        <w:t>算以</w:t>
      </w:r>
      <w:r>
        <w:rPr>
          <w:rFonts w:hint="eastAsia" w:ascii="仿宋_GB2312" w:hAnsi="仿宋_GB2312" w:eastAsia="仿宋_GB2312" w:cs="仿宋_GB2312"/>
          <w:color w:val="auto"/>
          <w:sz w:val="32"/>
          <w:szCs w:val="32"/>
          <w:highlight w:val="none"/>
          <w:shd w:val="clear" w:color="auto"/>
          <w:lang w:eastAsia="zh-CN"/>
        </w:rPr>
        <w:t>及资本资产、</w:t>
      </w:r>
      <w:r>
        <w:rPr>
          <w:rFonts w:hint="eastAsia" w:ascii="仿宋_GB2312" w:hAnsi="仿宋_GB2312" w:eastAsia="仿宋_GB2312" w:cs="仿宋_GB2312"/>
          <w:color w:val="auto"/>
          <w:sz w:val="32"/>
          <w:szCs w:val="32"/>
          <w:highlight w:val="none"/>
          <w:shd w:val="clear"/>
          <w:lang w:eastAsia="zh-CN"/>
        </w:rPr>
        <w:t>债</w:t>
      </w:r>
      <w:r>
        <w:rPr>
          <w:rFonts w:hint="eastAsia" w:ascii="仿宋_GB2312" w:hAnsi="仿宋_GB2312" w:eastAsia="仿宋_GB2312" w:cs="仿宋_GB2312"/>
          <w:color w:val="auto"/>
          <w:sz w:val="32"/>
          <w:szCs w:val="32"/>
          <w:highlight w:val="none"/>
          <w:lang w:eastAsia="zh-CN"/>
        </w:rPr>
        <w:t>券资金</w:t>
      </w:r>
      <w:r>
        <w:rPr>
          <w:rFonts w:ascii="仿宋_GB2312" w:eastAsia="仿宋_GB2312" w:cs="Times New Roman"/>
          <w:color w:val="000000"/>
          <w:kern w:val="0"/>
          <w:sz w:val="32"/>
          <w:szCs w:val="32"/>
        </w:rPr>
        <w:t>等全面开展绩效自评，形成</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部门整体绩效自评报告、</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部门资产自评报告、</w:t>
      </w:r>
      <w:r>
        <w:rPr>
          <w:rFonts w:ascii="仿宋_GB2312" w:eastAsia="仿宋_GB2312" w:cs="仿宋_GB2312"/>
          <w:kern w:val="0"/>
          <w:sz w:val="32"/>
          <w:szCs w:val="32"/>
        </w:rPr>
        <w:t>茂县科学技术和农业畜牧局</w:t>
      </w:r>
      <w:r>
        <w:rPr>
          <w:rFonts w:ascii="仿宋_GB2312" w:eastAsia="仿宋_GB2312" w:cs="仿宋_GB2312"/>
          <w:color w:val="000000"/>
          <w:kern w:val="0"/>
          <w:sz w:val="32"/>
          <w:szCs w:val="32"/>
        </w:rPr>
        <w:t>专项预算项目绩效自评报告等</w:t>
      </w:r>
      <w:r>
        <w:rPr>
          <w:rFonts w:hint="eastAsia" w:ascii="仿宋_GB2312" w:eastAsia="仿宋_GB2312" w:cs="仿宋_GB2312"/>
          <w:color w:val="000000"/>
          <w:kern w:val="0"/>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根据本部门年初工作规划，围绕县委、县政府发展蓝图，积极履职，强化管理，较好的完成了上年度工作目标。通过加强预算收支管理，不断建立健全内部管理制度，梳理内部管理流程，部门整体支出管理情况得到提升</w:t>
      </w:r>
      <w:r>
        <w:rPr>
          <w:rFonts w:hint="eastAsia" w:ascii="仿宋_GB2312" w:hAnsi="仿宋_GB2312" w:eastAsia="仿宋_GB2312" w:cs="仿宋_GB2312"/>
          <w:color w:val="auto"/>
          <w:sz w:val="32"/>
          <w:szCs w:val="32"/>
          <w:highlight w:val="none"/>
          <w:shd w:val="clear"/>
          <w:lang w:val="en-US" w:eastAsia="zh-CN"/>
        </w:rPr>
        <w:t>。本部门</w:t>
      </w:r>
      <w:r>
        <w:rPr>
          <w:rFonts w:hint="eastAsia" w:ascii="仿宋_GB2312" w:eastAsia="仿宋_GB2312" w:cs="仿宋_GB2312"/>
          <w:bCs/>
          <w:kern w:val="2"/>
          <w:sz w:val="32"/>
          <w:szCs w:val="32"/>
          <w:lang w:val="en-US" w:eastAsia="zh-CN" w:bidi="ar-SA"/>
        </w:rPr>
        <w:t>2023年度财政拨款收、支总决算均为11913.35万元，</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2023年度预算绩效总体表现良好，自评得分为99.50分。专项预算项目：1.</w:t>
      </w:r>
      <w:r>
        <w:rPr>
          <w:rFonts w:hint="eastAsia" w:ascii="仿宋_GB2312" w:eastAsia="仿宋_GB2312" w:cs="仿宋_GB2312"/>
          <w:bCs/>
          <w:kern w:val="2"/>
          <w:sz w:val="32"/>
          <w:szCs w:val="32"/>
          <w:shd w:val="clear"/>
          <w:lang w:val="en-US" w:eastAsia="zh-CN" w:bidi="ar-SA"/>
        </w:rPr>
        <w:t>2023年茂县高素质农民培育项目</w:t>
      </w:r>
      <w:r>
        <w:rPr>
          <w:rFonts w:hint="eastAsia" w:ascii="仿宋_GB2312" w:hAnsi="仿宋_GB2312" w:eastAsia="仿宋_GB2312" w:cs="仿宋_GB2312"/>
          <w:color w:val="auto"/>
          <w:sz w:val="32"/>
          <w:szCs w:val="32"/>
          <w:highlight w:val="none"/>
          <w:shd w:val="clear"/>
          <w:lang w:val="en-US" w:eastAsia="zh-CN"/>
        </w:rPr>
        <w:t>的绩效自评综述：</w:t>
      </w:r>
      <w:r>
        <w:rPr>
          <w:rFonts w:hint="eastAsia" w:ascii="仿宋_GB2312" w:hAnsi="仿宋_GB2312" w:eastAsia="仿宋_GB2312" w:cs="仿宋_GB2312"/>
          <w:color w:val="auto"/>
          <w:sz w:val="32"/>
          <w:szCs w:val="32"/>
          <w:highlight w:val="none"/>
          <w:shd w:val="clear"/>
          <w:lang w:val="zh-CN" w:eastAsia="zh-CN"/>
        </w:rPr>
        <w:t>项目应实现的具体绩效目标为</w:t>
      </w:r>
      <w:r>
        <w:rPr>
          <w:rFonts w:hint="eastAsia" w:ascii="仿宋_GB2312" w:hAnsi="仿宋_GB2312" w:eastAsia="仿宋_GB2312" w:cs="仿宋_GB2312"/>
          <w:color w:val="auto"/>
          <w:sz w:val="32"/>
          <w:szCs w:val="32"/>
          <w:highlight w:val="none"/>
          <w:shd w:val="clear"/>
          <w:lang w:val="en-US" w:eastAsia="zh-CN"/>
        </w:rPr>
        <w:t>农业产业领军人才培训3人，经营管理型培训56人，项目实施进度计划在2023年11月30日前完成，培训农民满意度</w:t>
      </w:r>
      <w:r>
        <w:rPr>
          <w:rFonts w:hint="default" w:ascii="仿宋_GB2312" w:hAnsi="仿宋_GB2312" w:eastAsia="仿宋_GB2312" w:cs="仿宋_GB2312"/>
          <w:color w:val="auto"/>
          <w:sz w:val="32"/>
          <w:szCs w:val="32"/>
          <w:highlight w:val="none"/>
          <w:shd w:val="clear"/>
          <w:lang w:val="en-US" w:eastAsia="zh-CN"/>
        </w:rPr>
        <w:t>≥</w:t>
      </w:r>
      <w:r>
        <w:rPr>
          <w:rFonts w:hint="eastAsia" w:ascii="仿宋_GB2312" w:hAnsi="仿宋_GB2312" w:eastAsia="仿宋_GB2312" w:cs="仿宋_GB2312"/>
          <w:color w:val="auto"/>
          <w:sz w:val="32"/>
          <w:szCs w:val="32"/>
          <w:highlight w:val="none"/>
          <w:shd w:val="clear"/>
          <w:lang w:val="en-US" w:eastAsia="zh-CN"/>
        </w:rPr>
        <w:t xml:space="preserve"> 85%，项目申报内容符合乡村振兴人才培育要求，有利于提高农民生产技能和综合素质，</w:t>
      </w:r>
      <w:r>
        <w:rPr>
          <w:rFonts w:hint="eastAsia" w:ascii="仿宋_GB2312" w:hAnsi="仿宋_GB2312" w:eastAsia="仿宋_GB2312" w:cs="仿宋_GB2312"/>
          <w:color w:val="auto"/>
          <w:sz w:val="32"/>
          <w:szCs w:val="32"/>
          <w:highlight w:val="none"/>
          <w:shd w:val="clear"/>
          <w:lang w:val="zh-CN" w:eastAsia="zh-CN"/>
        </w:rPr>
        <w:t>项目申报内容与实际相符，申报目标合理可行。</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绩效自评得分为100分。2.2023年茂县厕所革命示范建设项目的绩效自评综述：主要内容是按照每户2000元定额的标准对275户农村户厕采取“因地制宜、农户自愿、自建、自管，先建后补，以奖代补”的原则进行改造提升进行补助，结合项目绩效自评项目设计目标超额实现。</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绩效自评得分为98分。3.2023年沙坝镇三龙富锶特色果蔬现代农业园区建设项目的绩效自评综述：项目资金用于水肥一体化设施、李树高换、矮种苹果改良示范、新建农业废弃物回收站，采购防雹炮、太阳能防虫灯、防虫黄板，改建56平米数字农业服务平台1套、配套建设农产品可追溯体系1套、数字农业控制中心1个，四、农业新业态建设。改建电商示范基、1个、补贴建设庭院经济8户，富锶特色果蔬品牌创建及宣传推广，改建人才培训基地1个，并开展培训，硬化园区产业道路，开展园区农村面源污染整治，</w:t>
      </w:r>
      <w:r>
        <w:rPr>
          <w:rFonts w:hint="eastAsia" w:ascii="Times New Roman" w:hAnsi="Times New Roman" w:eastAsia="仿宋_GB2312" w:cs="Times New Roman"/>
          <w:color w:val="auto"/>
          <w:kern w:val="2"/>
          <w:sz w:val="32"/>
          <w:szCs w:val="32"/>
          <w:shd w:val="clear"/>
          <w:lang w:val="en-US" w:eastAsia="zh-CN" w:bidi="ar-SA"/>
        </w:rPr>
        <w:t>资金财政拨付、单位执行和地方配套到位情况，资金使</w:t>
      </w:r>
      <w:r>
        <w:rPr>
          <w:rFonts w:hint="eastAsia" w:ascii="Times New Roman" w:hAnsi="Times New Roman" w:eastAsia="仿宋_GB2312" w:cs="Times New Roman"/>
          <w:color w:val="auto"/>
          <w:kern w:val="2"/>
          <w:sz w:val="32"/>
          <w:szCs w:val="32"/>
          <w:lang w:val="en-US" w:eastAsia="zh-CN" w:bidi="ar-SA"/>
        </w:rPr>
        <w:t>用拨付、项目实施符合规定。</w:t>
      </w:r>
      <w:r>
        <w:rPr>
          <w:rFonts w:hint="eastAsia" w:ascii="仿宋_GB2312" w:hAnsi="仿宋_GB2312" w:eastAsia="仿宋_GB2312" w:cs="仿宋_GB2312"/>
          <w:kern w:val="2"/>
          <w:sz w:val="32"/>
          <w:szCs w:val="32"/>
          <w:lang w:val="en-US" w:eastAsia="zh-CN" w:bidi="ar-SA"/>
        </w:rPr>
        <w:t>项目完成预期目标，实施结果与绩效目标相匹配，项目按照计划完成时间完成</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绩效自评得分为98分。4.2023年叠溪镇特色果蔬现代农业园区建设项目的绩效自评综述：主要工作任务是完成果蔬智能化大棚、防雹炮、数字平台建设、农产品溯源建设、防雹网、水肥一体化设施设备、“庭院经济”、采摘园建设、新品种苹果、羌脆大李高换、农业园区采摘路、面源污染等建设，项目支持方向为农业产业发展。项目资金使用、拨付符合国家财经法规、财务管理制度及有关专项资金管理制度办法规定和审批程序，不存在超范围、超标准、超进度使用专项资金，</w:t>
      </w:r>
      <w:r>
        <w:rPr>
          <w:rFonts w:hint="eastAsia" w:ascii="仿宋_GB2312" w:hAnsi="仿宋_GB2312" w:eastAsia="仿宋_GB2312" w:cs="仿宋_GB2312"/>
          <w:color w:val="auto"/>
          <w:sz w:val="32"/>
          <w:szCs w:val="32"/>
          <w:highlight w:val="none"/>
          <w:shd w:val="clear"/>
          <w:lang w:val="zh-CN" w:eastAsia="zh-CN"/>
        </w:rPr>
        <w:t>资金支付与预算相符，</w:t>
      </w:r>
      <w:r>
        <w:rPr>
          <w:rFonts w:hint="eastAsia" w:ascii="仿宋_GB2312" w:hAnsi="仿宋_GB2312" w:eastAsia="仿宋_GB2312" w:cs="仿宋_GB2312"/>
          <w:color w:val="auto"/>
          <w:sz w:val="32"/>
          <w:szCs w:val="32"/>
          <w:highlight w:val="none"/>
          <w:shd w:val="clear"/>
          <w:lang w:val="en-US" w:eastAsia="zh-CN"/>
        </w:rPr>
        <w:t>完成预算的100%，绩效自评得分为98分。5.2023年南新镇李子+苹果现代农业园区建设项目的绩效自评综述：项目实施目的是推进项目区域内产业发展、加强综合防灾减能力、提高农作物产量和促进农民增收，项目支持方向为农业产业发展。项目达到计划工程进度，项目达到预先确定的资金拨付进度，项目验收及时合格，项目实现了经济社会功能。资金实际补贴标准符合资金管理办法规定的补助标准，及时按标准兑现。项目相关方在项目实施过程中的人民群众满意值和获得感高。</w:t>
      </w:r>
      <w:r>
        <w:rPr>
          <w:rFonts w:hint="eastAsia" w:ascii="仿宋_GB2312" w:hAnsi="Times New Roman" w:eastAsia="仿宋_GB2312" w:cs="Times New Roman"/>
          <w:kern w:val="2"/>
          <w:sz w:val="32"/>
          <w:szCs w:val="32"/>
          <w:lang w:val="en-US" w:eastAsia="zh-CN" w:bidi="ar-SA"/>
        </w:rPr>
        <w:t>项目完成预期目标，实施结果与绩效目标相匹配，</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绩效自评得分为99分。6.2023年茂县乡村振兴示范村建设项目的绩效自评综述：项目的主要内容：产业发展与提升、基础设施建设、人居环境整治3个方面。项目实施后提升改善了凤仪镇静州村、沟口镇飞虹村两个村落的脏乱差，基本无较为成型的文化宣传设施，居民的交通环境，居住环境凌乱，建筑风格参差不齐，无专门的农业采摘线路，基础设施落后，无系统排水，垃圾无定点堆放处置区域，院落散乱等现状。</w:t>
      </w:r>
      <w:r>
        <w:rPr>
          <w:rFonts w:hint="eastAsia" w:ascii="仿宋_GB2312" w:hAnsi="Times New Roman" w:eastAsia="仿宋_GB2312" w:cs="Times New Roman"/>
          <w:kern w:val="2"/>
          <w:sz w:val="32"/>
          <w:szCs w:val="32"/>
          <w:lang w:val="en-US" w:eastAsia="zh-CN" w:bidi="ar-SA"/>
        </w:rPr>
        <w:t>项目完成预期目标，实施结果与绩效目标相匹配，</w:t>
      </w:r>
      <w:r>
        <w:rPr>
          <w:rFonts w:hint="eastAsia" w:ascii="仿宋_GB2312" w:hAnsi="仿宋_GB2312" w:eastAsia="仿宋_GB2312" w:cs="仿宋_GB2312"/>
          <w:sz w:val="32"/>
          <w:szCs w:val="32"/>
          <w:shd w:val="clear"/>
          <w:lang w:val="zh-CN"/>
        </w:rPr>
        <w:t>资金支付与预算相符，</w:t>
      </w:r>
      <w:r>
        <w:rPr>
          <w:rFonts w:hint="eastAsia" w:ascii="仿宋_GB2312" w:hAnsi="仿宋_GB2312" w:eastAsia="仿宋_GB2312" w:cs="仿宋_GB2312"/>
          <w:sz w:val="32"/>
          <w:szCs w:val="32"/>
          <w:shd w:val="clear"/>
          <w:lang w:val="en-US" w:eastAsia="zh-CN"/>
        </w:rPr>
        <w:t>完成预算的100%，</w:t>
      </w:r>
      <w:r>
        <w:rPr>
          <w:rFonts w:hint="eastAsia" w:ascii="仿宋_GB2312" w:hAnsi="仿宋_GB2312" w:eastAsia="仿宋_GB2312" w:cs="仿宋_GB2312"/>
          <w:color w:val="auto"/>
          <w:sz w:val="32"/>
          <w:szCs w:val="32"/>
          <w:highlight w:val="none"/>
          <w:shd w:val="clear"/>
          <w:lang w:val="en-US" w:eastAsia="zh-CN"/>
        </w:rPr>
        <w:t>绩效自评得分为98分。</w:t>
      </w:r>
    </w:p>
    <w:p w14:paraId="1A41E67E">
      <w:pPr>
        <w:keepNext w:val="0"/>
        <w:keepLines w:val="0"/>
        <w:widowControl/>
        <w:suppressLineNumbers w:val="0"/>
        <w:spacing w:line="560" w:lineRule="exact"/>
        <w:ind w:left="0" w:firstLine="640" w:firstLineChars="200"/>
        <w:rPr>
          <w:rFonts w:ascii="仿宋_GB2312" w:eastAsia="仿宋_GB2312" w:cs="仿宋_GB2312"/>
          <w:color w:val="000000"/>
          <w:kern w:val="0"/>
          <w:sz w:val="32"/>
          <w:szCs w:val="32"/>
          <w:shd w:val="clear"/>
        </w:rPr>
      </w:pPr>
      <w:r>
        <w:rPr>
          <w:rFonts w:hint="eastAsia" w:ascii="仿宋_GB2312" w:hAnsi="仿宋_GB2312" w:eastAsia="仿宋_GB2312" w:cs="仿宋_GB2312"/>
          <w:color w:val="auto"/>
          <w:sz w:val="32"/>
          <w:szCs w:val="32"/>
          <w:highlight w:val="none"/>
          <w:shd w:val="clear"/>
          <w:lang w:val="en-US" w:eastAsia="zh-CN"/>
        </w:rPr>
        <w:t>部</w:t>
      </w:r>
      <w:r>
        <w:rPr>
          <w:rFonts w:ascii="仿宋_GB2312" w:eastAsia="仿宋_GB2312" w:cs="仿宋_GB2312"/>
          <w:color w:val="000000"/>
          <w:kern w:val="0"/>
          <w:sz w:val="32"/>
          <w:szCs w:val="32"/>
          <w:shd w:val="clear"/>
        </w:rPr>
        <w:t>门整体</w:t>
      </w:r>
      <w:r>
        <w:rPr>
          <w:rFonts w:hint="eastAsia" w:ascii="仿宋_GB2312" w:eastAsia="仿宋_GB2312" w:cs="仿宋_GB2312"/>
          <w:color w:val="000000"/>
          <w:kern w:val="0"/>
          <w:sz w:val="32"/>
          <w:szCs w:val="32"/>
          <w:shd w:val="clear"/>
          <w:lang w:val="en-US" w:eastAsia="zh-CN"/>
        </w:rPr>
        <w:t>支出</w:t>
      </w:r>
      <w:r>
        <w:rPr>
          <w:rFonts w:ascii="仿宋_GB2312" w:eastAsia="仿宋_GB2312" w:cs="仿宋_GB2312"/>
          <w:color w:val="000000"/>
          <w:kern w:val="0"/>
          <w:sz w:val="32"/>
          <w:szCs w:val="32"/>
          <w:shd w:val="clear"/>
        </w:rPr>
        <w:t>绩效</w:t>
      </w:r>
      <w:r>
        <w:rPr>
          <w:rFonts w:hint="eastAsia" w:ascii="仿宋_GB2312" w:eastAsia="仿宋_GB2312" w:cs="仿宋_GB2312"/>
          <w:color w:val="000000"/>
          <w:kern w:val="0"/>
          <w:sz w:val="32"/>
          <w:szCs w:val="32"/>
          <w:shd w:val="clear"/>
          <w:lang w:val="en-US" w:eastAsia="zh-CN"/>
        </w:rPr>
        <w:t>评价</w:t>
      </w:r>
      <w:r>
        <w:rPr>
          <w:rFonts w:ascii="仿宋_GB2312" w:eastAsia="仿宋_GB2312" w:cs="仿宋_GB2312"/>
          <w:color w:val="000000"/>
          <w:kern w:val="0"/>
          <w:sz w:val="32"/>
          <w:szCs w:val="32"/>
          <w:shd w:val="clear"/>
        </w:rPr>
        <w:t>报告详见</w:t>
      </w:r>
      <w:r>
        <w:rPr>
          <w:rFonts w:hint="eastAsia" w:ascii="仿宋_GB2312" w:eastAsia="仿宋_GB2312" w:cs="仿宋_GB2312"/>
          <w:color w:val="000000"/>
          <w:kern w:val="0"/>
          <w:sz w:val="32"/>
          <w:szCs w:val="32"/>
          <w:shd w:val="clear"/>
          <w:lang w:val="en-US" w:eastAsia="zh-CN"/>
        </w:rPr>
        <w:t>第四部分附件的</w:t>
      </w:r>
      <w:r>
        <w:rPr>
          <w:rFonts w:ascii="仿宋_GB2312" w:eastAsia="仿宋_GB2312" w:cs="仿宋_GB2312"/>
          <w:color w:val="000000"/>
          <w:kern w:val="0"/>
          <w:sz w:val="32"/>
          <w:szCs w:val="32"/>
          <w:shd w:val="clear"/>
        </w:rPr>
        <w:t>附件1、专项预算项目绩效自评报告详见</w:t>
      </w:r>
      <w:r>
        <w:rPr>
          <w:rFonts w:hint="eastAsia" w:ascii="仿宋_GB2312" w:eastAsia="仿宋_GB2312" w:cs="仿宋_GB2312"/>
          <w:color w:val="000000"/>
          <w:kern w:val="0"/>
          <w:sz w:val="32"/>
          <w:szCs w:val="32"/>
          <w:shd w:val="clear"/>
          <w:lang w:val="en-US" w:eastAsia="zh-CN"/>
        </w:rPr>
        <w:t>第四部分附件的</w:t>
      </w:r>
      <w:r>
        <w:rPr>
          <w:rFonts w:ascii="仿宋_GB2312" w:eastAsia="仿宋_GB2312" w:cs="仿宋_GB2312"/>
          <w:color w:val="000000"/>
          <w:kern w:val="0"/>
          <w:sz w:val="32"/>
          <w:szCs w:val="32"/>
          <w:shd w:val="clear"/>
        </w:rPr>
        <w:t>附件2。</w:t>
      </w:r>
    </w:p>
    <w:p w14:paraId="4AD728A7">
      <w:pPr>
        <w:pStyle w:val="2"/>
        <w:rPr>
          <w:rFonts w:ascii="仿宋_GB2312" w:eastAsia="仿宋_GB2312" w:cs="仿宋_GB2312"/>
          <w:color w:val="000000"/>
          <w:kern w:val="0"/>
          <w:sz w:val="32"/>
          <w:szCs w:val="32"/>
          <w:shd w:val="clear"/>
        </w:rPr>
      </w:pPr>
    </w:p>
    <w:p w14:paraId="1B1C9EF0">
      <w:pPr>
        <w:rPr>
          <w:rFonts w:ascii="仿宋_GB2312" w:eastAsia="仿宋_GB2312" w:cs="仿宋_GB2312"/>
          <w:color w:val="000000"/>
          <w:kern w:val="0"/>
          <w:sz w:val="32"/>
          <w:szCs w:val="32"/>
          <w:shd w:val="clear"/>
        </w:rPr>
      </w:pPr>
    </w:p>
    <w:p w14:paraId="616FE129">
      <w:pPr>
        <w:pStyle w:val="2"/>
        <w:rPr>
          <w:rFonts w:ascii="仿宋_GB2312" w:eastAsia="仿宋_GB2312" w:cs="仿宋_GB2312"/>
          <w:color w:val="000000"/>
          <w:kern w:val="0"/>
          <w:sz w:val="32"/>
          <w:szCs w:val="32"/>
          <w:shd w:val="clear"/>
        </w:rPr>
      </w:pPr>
    </w:p>
    <w:p w14:paraId="65B2EC3F">
      <w:pPr>
        <w:pStyle w:val="2"/>
      </w:pPr>
    </w:p>
    <w:p w14:paraId="1CA48EEE">
      <w:pPr>
        <w:pStyle w:val="2"/>
      </w:pPr>
    </w:p>
    <w:p w14:paraId="6826BB99">
      <w:pPr>
        <w:pStyle w:val="2"/>
      </w:pPr>
    </w:p>
    <w:p w14:paraId="4C10A139">
      <w:pPr>
        <w:keepNext w:val="0"/>
        <w:keepLines w:val="0"/>
        <w:pageBreakBefore w:val="0"/>
        <w:widowControl w:val="0"/>
        <w:kinsoku/>
        <w:wordWrap/>
        <w:overflowPunct/>
        <w:topLinePunct w:val="0"/>
        <w:bidi w:val="0"/>
        <w:snapToGrid/>
        <w:spacing w:line="560" w:lineRule="exact"/>
        <w:jc w:val="center"/>
        <w:textAlignment w:val="auto"/>
        <w:outlineLvl w:val="0"/>
        <w:rPr>
          <w:sz w:val="44"/>
          <w:szCs w:val="44"/>
        </w:rPr>
      </w:pPr>
      <w:bookmarkStart w:id="93" w:name="_Toc2516"/>
      <w:bookmarkStart w:id="94" w:name="_Toc26817"/>
      <w:bookmarkStart w:id="95" w:name="_Toc11481"/>
      <w:bookmarkStart w:id="96" w:name="_Toc26290"/>
      <w:r>
        <w:rPr>
          <w:rFonts w:hint="eastAsia" w:ascii="黑体" w:eastAsia="黑体" w:cs="Times New Roman"/>
          <w:color w:val="000000"/>
          <w:sz w:val="44"/>
          <w:szCs w:val="44"/>
          <w:lang w:val="en-US" w:eastAsia="zh-CN"/>
        </w:rPr>
        <w:t xml:space="preserve">第三部分  </w:t>
      </w:r>
      <w:r>
        <w:rPr>
          <w:rFonts w:hint="eastAsia" w:ascii="黑体" w:eastAsia="黑体" w:cs="Times New Roman"/>
          <w:color w:val="000000"/>
          <w:sz w:val="44"/>
          <w:szCs w:val="44"/>
        </w:rPr>
        <w:t>名词解释</w:t>
      </w:r>
      <w:bookmarkEnd w:id="93"/>
      <w:bookmarkEnd w:id="94"/>
      <w:bookmarkEnd w:id="95"/>
      <w:bookmarkEnd w:id="96"/>
    </w:p>
    <w:p w14:paraId="3663C9C2">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1.财政拨款收入：指单位从同级财政部门取得的财政预算资金。</w:t>
      </w:r>
    </w:p>
    <w:p w14:paraId="59DD6D65">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2.事业收入：指事业单位开展专业业务活动及辅助活动取得的收入。</w:t>
      </w:r>
    </w:p>
    <w:p w14:paraId="0187C385">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eastAsia="zh-CN"/>
        </w:rPr>
      </w:pPr>
      <w:r>
        <w:rPr>
          <w:rFonts w:ascii="仿宋_GB2312" w:eastAsia="仿宋_GB2312"/>
          <w:sz w:val="32"/>
          <w:szCs w:val="32"/>
        </w:rPr>
        <w:t>3.经营收入：指事业单位在专业业务活动及其辅助活动之外开展非独立核算经营活动取得的收入</w:t>
      </w:r>
      <w:r>
        <w:rPr>
          <w:rFonts w:hint="eastAsia" w:ascii="仿宋_GB2312" w:eastAsia="仿宋_GB2312"/>
          <w:sz w:val="32"/>
          <w:szCs w:val="32"/>
          <w:lang w:eastAsia="zh-CN"/>
        </w:rPr>
        <w:t>。</w:t>
      </w:r>
    </w:p>
    <w:p w14:paraId="69DC8F53">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4.其他收入：指单位取得的除上述收入以外的各项收入。</w:t>
      </w:r>
    </w:p>
    <w:p w14:paraId="0F483B9C">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5.使用非财政拨款结余：指事业单位使用以前年度积累的非财政拨款结余弥补当年收支差额的金额。</w:t>
      </w:r>
    </w:p>
    <w:p w14:paraId="23F01337">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6.年初结转和结余：指以前年度尚未完成、结转到本年按有关规定继续使用的资金。</w:t>
      </w:r>
    </w:p>
    <w:p w14:paraId="07653C8C">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7.结余分配：指事业单位按照会计制度规定缴纳的所得税、提取的专用结余以及转入非财政拨款结余的金额等。</w:t>
      </w:r>
    </w:p>
    <w:p w14:paraId="258DF813">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val="en-US" w:eastAsia="zh-CN"/>
        </w:rPr>
        <w:t>.</w:t>
      </w:r>
      <w:r>
        <w:rPr>
          <w:rFonts w:ascii="仿宋_GB2312" w:eastAsia="仿宋_GB2312"/>
          <w:sz w:val="32"/>
          <w:szCs w:val="32"/>
        </w:rPr>
        <w:t>年末结转和结余：指单位按有关规定结转到下年或以后年度继续使用的资金。</w:t>
      </w:r>
    </w:p>
    <w:p w14:paraId="2FDE4230">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科学技术支出（206）科学技术管理事物（01）其他科学技术管理事物支出（99）：指反应其他用于科学技术管理事物方面的支出。</w:t>
      </w:r>
    </w:p>
    <w:p w14:paraId="09FDA2EA">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科学技术支出（206）技术研究与开发（04）科技成果转化与扩散（04）：指反映促进科技成果转化为实现生产力的应用、推广和引导性支出，以及基本建设支出中用于支持企业科技自主创新的支出。</w:t>
      </w:r>
    </w:p>
    <w:p w14:paraId="58F51786">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科学技术支出（206）其他科学技术支出（99）其他</w:t>
      </w:r>
      <w:r>
        <w:rPr>
          <w:rFonts w:hint="eastAsia" w:ascii="仿宋_GB2312" w:eastAsia="仿宋_GB2312"/>
          <w:sz w:val="32"/>
          <w:szCs w:val="32"/>
          <w:lang w:val="en-US" w:eastAsia="zh-CN"/>
        </w:rPr>
        <w:t>科学技术支出（99）：指反映其他科学技术方面的支出。</w:t>
      </w:r>
    </w:p>
    <w:p w14:paraId="7E391B8A">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12.社会保障和就业支出（206）行政事业单位退休（05）机关事业单位基本养老保险缴费支出（05）：指反映机关事业单位实施养老保险制度由单位缴纳的基本养老保险支出。</w:t>
      </w:r>
    </w:p>
    <w:p w14:paraId="1E335D50">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13.社会保障和就业支出（206）行政事业单位退休（05）机关事业单位职业年金缴费支出（06）：指反映机关事业单位实施养老保险制度由单位实际缴纳的职业年金支出。</w:t>
      </w:r>
    </w:p>
    <w:p w14:paraId="6901E05B">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14.卫生健康支出（210）行政事业单位医疗（11）行政单位医疗（01）：指反映财政部门集中安排的行政单位基本医疗保险缴费经费，未参加医疗保险的行政单位的公费医疗经费，按国家规定享受离休人员、红军老战士待遇人员的医疗经费。</w:t>
      </w:r>
    </w:p>
    <w:p w14:paraId="319A4868">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15.卫生健康支出（210）行政事业单位医疗（11）事业单位医疗（02）：指事业单位用于缴纳单位基本医疗保险支出。</w:t>
      </w:r>
    </w:p>
    <w:p w14:paraId="1278316B">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16.农林水支出（213）农业（01）行政运行（01）：指反映行政单位（包括实行公务员管理的事业单位）的基本支出。</w:t>
      </w:r>
    </w:p>
    <w:p w14:paraId="4D325A7D">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17.农林水支出（213）农业（01）事业运行（04）：反映用于农业事业单位基本支出，事业单位设施、系统运行与资产维护等方面的支出。</w:t>
      </w:r>
    </w:p>
    <w:p w14:paraId="3A776B1E">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18.农林水支出（213）农业（01）其他农业支出（99）：指反映除上述项目以外其他用于农业方面的支出。</w:t>
      </w:r>
    </w:p>
    <w:p w14:paraId="130586D1">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ascii="仿宋_GB2312" w:eastAsia="仿宋_GB2312" w:cs="仿宋_GB2312"/>
          <w:kern w:val="0"/>
          <w:sz w:val="32"/>
          <w:szCs w:val="32"/>
        </w:rPr>
      </w:pPr>
      <w:r>
        <w:rPr>
          <w:rFonts w:hint="eastAsia" w:ascii="仿宋_GB2312" w:eastAsia="仿宋_GB2312"/>
          <w:sz w:val="32"/>
          <w:szCs w:val="32"/>
          <w:lang w:val="en-US" w:eastAsia="zh-CN"/>
        </w:rPr>
        <w:t>19.</w:t>
      </w:r>
      <w:r>
        <w:rPr>
          <w:rFonts w:ascii="仿宋_GB2312" w:eastAsia="仿宋_GB2312" w:cs="仿宋_GB2312"/>
          <w:kern w:val="0"/>
          <w:sz w:val="32"/>
          <w:szCs w:val="32"/>
        </w:rPr>
        <w:t>农林水支出（213）</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（05）</w:t>
      </w:r>
      <w:r>
        <w:rPr>
          <w:rFonts w:ascii="仿宋_GB2312" w:eastAsia="仿宋_GB2312" w:cs="仿宋_GB2312"/>
          <w:kern w:val="0"/>
          <w:sz w:val="32"/>
          <w:szCs w:val="32"/>
        </w:rPr>
        <w:t>农村基础设施建设（04）：指反映用于农村贫困地区乡村道路、住房、基本农田、水利设施、人蓄饮水、生态环境保护等生产生活条件改善方面的支出。</w:t>
      </w:r>
    </w:p>
    <w:p w14:paraId="231206C1">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20.农林水支出（213）巩固脱贫攻坚成果衔接乡村振兴（05）生产发展（05）：指反映用于农村贫困地区发展种植业、养殖业、畜牧业、农副产品加工、林果地建设等生产发展项目以及相关技术推广等方面的项目支出。</w:t>
      </w:r>
    </w:p>
    <w:p w14:paraId="733F9D87">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21.农林水支出（213）巩固脱贫攻坚成果衔接乡村振兴（05）</w:t>
      </w:r>
      <w:r>
        <w:rPr>
          <w:rFonts w:hint="eastAsia" w:ascii="仿宋_GB2312" w:eastAsia="仿宋_GB2312" w:cs="仿宋_GB2312"/>
          <w:bCs/>
          <w:sz w:val="32"/>
          <w:szCs w:val="32"/>
        </w:rPr>
        <w:t>其他</w:t>
      </w:r>
      <w:r>
        <w:rPr>
          <w:rFonts w:hint="eastAsia" w:ascii="仿宋_GB2312" w:eastAsia="仿宋_GB2312" w:cs="仿宋_GB2312"/>
          <w:bCs/>
          <w:sz w:val="32"/>
          <w:szCs w:val="32"/>
          <w:lang w:val="en-US" w:eastAsia="zh-CN"/>
        </w:rPr>
        <w:t>巩固脱贫攻坚成果衔接乡村振兴</w:t>
      </w:r>
      <w:r>
        <w:rPr>
          <w:rFonts w:hint="eastAsia" w:ascii="仿宋_GB2312" w:eastAsia="仿宋_GB2312" w:cs="仿宋_GB2312"/>
          <w:bCs/>
          <w:sz w:val="32"/>
          <w:szCs w:val="32"/>
        </w:rPr>
        <w:t>支出</w:t>
      </w:r>
      <w:r>
        <w:rPr>
          <w:rFonts w:hint="eastAsia" w:ascii="仿宋_GB2312" w:eastAsia="仿宋_GB2312"/>
          <w:sz w:val="32"/>
          <w:szCs w:val="32"/>
          <w:lang w:val="en-US" w:eastAsia="zh-CN"/>
        </w:rPr>
        <w:t>（99）：指反映除上述项目以外其他用于乡村振兴方面的支出。</w:t>
      </w:r>
    </w:p>
    <w:p w14:paraId="33490B7A">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22.农林水支出（213）其他农林水支出（99）其他农林水支出（99）：指反映除化解债务支出以外其他用于农林水方面的支出。</w:t>
      </w:r>
    </w:p>
    <w:p w14:paraId="64EC3C99">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23.住房保障支出（221）住房改革支出（02）住房公积金（01）：指反映行政事业单位按人力资源和社会保障部、财政部规定的基本工资和津贴补贴以及规定比例为职工缴纳的住房公积金。</w:t>
      </w:r>
    </w:p>
    <w:p w14:paraId="58B9A2A3">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24.住房保障支出（221）住房改革支出（02）购房补贴（03）：指反映按房改政策规定，行政事业单位向符合条件职工（含离退休人员）、军队（含武警）向转役复原离退休人员发放的用于购买住房的补贴。</w:t>
      </w:r>
    </w:p>
    <w:p w14:paraId="249C08EB">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25.其他支出（229）其他支出（99）其他支出（99）：指反映上述项目以为其他不能划分到具体功能科目中的支出项目。</w:t>
      </w:r>
    </w:p>
    <w:p w14:paraId="6C2D2A98">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26.基本支出：指为保障机构正常运转、完成日常工作任务而发生的人员支出和公用支出。</w:t>
      </w:r>
    </w:p>
    <w:p w14:paraId="27022248">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27.项目支出：指在基本支出之外为完成特定行政任务和事业发展目标所发生的支出。</w:t>
      </w:r>
    </w:p>
    <w:p w14:paraId="10FBDE9F">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02BC009">
      <w:pPr>
        <w:pStyle w:val="23"/>
        <w:keepNext w:val="0"/>
        <w:keepLines w:val="0"/>
        <w:pageBreakBefore w:val="0"/>
        <w:widowControl w:val="0"/>
        <w:kinsoku/>
        <w:wordWrap/>
        <w:overflowPunct/>
        <w:topLinePunct w:val="0"/>
        <w:autoSpaceDE w:val="0"/>
        <w:autoSpaceDN w:val="0"/>
        <w:bidi w:val="0"/>
        <w:snapToGrid/>
        <w:spacing w:line="560" w:lineRule="exact"/>
        <w:ind w:firstLine="640" w:firstLineChars="200"/>
        <w:textAlignment w:val="auto"/>
        <w:outlineLvl w:val="2"/>
        <w:rPr>
          <w:rFonts w:hint="eastAsia" w:ascii="仿宋_GB2312" w:eastAsia="仿宋_GB2312"/>
          <w:sz w:val="32"/>
          <w:szCs w:val="32"/>
          <w:lang w:val="en-US" w:eastAsia="zh-CN"/>
        </w:rPr>
      </w:pPr>
      <w:r>
        <w:rPr>
          <w:rFonts w:hint="eastAsia" w:ascii="仿宋_GB2312" w:eastAsia="仿宋_GB2312"/>
          <w:sz w:val="32"/>
          <w:szCs w:val="32"/>
          <w:lang w:val="en-US" w:eastAsia="zh-CN"/>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26DAE1">
      <w:pPr>
        <w:pStyle w:val="23"/>
        <w:spacing w:line="576" w:lineRule="exact"/>
        <w:ind w:firstLine="640" w:firstLineChars="200"/>
        <w:rPr>
          <w:rFonts w:hint="eastAsia" w:ascii="仿宋_GB2312" w:eastAsia="仿宋_GB2312" w:cs="仿宋_GB2312"/>
          <w:color w:val="auto"/>
          <w:sz w:val="32"/>
          <w:szCs w:val="32"/>
        </w:rPr>
      </w:pPr>
    </w:p>
    <w:p w14:paraId="5C1B2FD7">
      <w:pPr>
        <w:pStyle w:val="15"/>
        <w:keepNext w:val="0"/>
        <w:keepLines w:val="0"/>
        <w:pageBreakBefore w:val="0"/>
        <w:widowControl/>
        <w:suppressLineNumbers w:val="0"/>
        <w:kinsoku/>
        <w:wordWrap/>
        <w:overflowPunct/>
        <w:topLinePunct w:val="0"/>
        <w:bidi w:val="0"/>
        <w:spacing w:line="576" w:lineRule="exact"/>
        <w:textAlignment w:val="auto"/>
      </w:pPr>
    </w:p>
    <w:p w14:paraId="1C9E7811">
      <w:pPr>
        <w:pStyle w:val="15"/>
        <w:keepNext w:val="0"/>
        <w:keepLines w:val="0"/>
        <w:pageBreakBefore w:val="0"/>
        <w:widowControl/>
        <w:suppressLineNumbers w:val="0"/>
        <w:kinsoku/>
        <w:wordWrap/>
        <w:overflowPunct/>
        <w:topLinePunct w:val="0"/>
        <w:bidi w:val="0"/>
        <w:spacing w:line="576" w:lineRule="exact"/>
        <w:textAlignment w:val="auto"/>
      </w:pPr>
    </w:p>
    <w:p w14:paraId="0645EF6A">
      <w:pPr>
        <w:pStyle w:val="15"/>
        <w:keepNext w:val="0"/>
        <w:keepLines w:val="0"/>
        <w:pageBreakBefore w:val="0"/>
        <w:widowControl/>
        <w:suppressLineNumbers w:val="0"/>
        <w:kinsoku/>
        <w:wordWrap/>
        <w:overflowPunct/>
        <w:topLinePunct w:val="0"/>
        <w:bidi w:val="0"/>
        <w:spacing w:line="576" w:lineRule="exact"/>
        <w:textAlignment w:val="auto"/>
        <w:rPr>
          <w:rFonts w:hint="eastAsia" w:ascii="黑体" w:hAnsi="黑体" w:eastAsia="黑体"/>
          <w:color w:val="auto"/>
          <w:sz w:val="44"/>
          <w:szCs w:val="44"/>
          <w:highlight w:val="none"/>
        </w:rPr>
      </w:pPr>
      <w:bookmarkStart w:id="97" w:name="_Toc15396614"/>
    </w:p>
    <w:p w14:paraId="055BB1F0">
      <w:pPr>
        <w:pStyle w:val="15"/>
        <w:keepNext w:val="0"/>
        <w:keepLines w:val="0"/>
        <w:pageBreakBefore w:val="0"/>
        <w:widowControl/>
        <w:suppressLineNumbers w:val="0"/>
        <w:kinsoku/>
        <w:wordWrap/>
        <w:overflowPunct/>
        <w:topLinePunct w:val="0"/>
        <w:bidi w:val="0"/>
        <w:spacing w:line="576" w:lineRule="exact"/>
        <w:jc w:val="center"/>
        <w:textAlignment w:val="auto"/>
        <w:outlineLvl w:val="0"/>
        <w:rPr>
          <w:sz w:val="44"/>
          <w:szCs w:val="44"/>
        </w:rPr>
      </w:pPr>
      <w:bookmarkStart w:id="98" w:name="_Toc711"/>
      <w:r>
        <w:rPr>
          <w:rFonts w:hint="eastAsia" w:ascii="黑体" w:hAnsi="黑体" w:eastAsia="黑体"/>
          <w:color w:val="auto"/>
          <w:sz w:val="44"/>
          <w:szCs w:val="44"/>
          <w:highlight w:val="none"/>
        </w:rPr>
        <w:t>第</w:t>
      </w:r>
      <w:r>
        <w:rPr>
          <w:rStyle w:val="27"/>
          <w:rFonts w:hint="eastAsia" w:ascii="黑体" w:hAnsi="黑体" w:eastAsia="黑体"/>
          <w:b w:val="0"/>
          <w:color w:val="auto"/>
          <w:sz w:val="44"/>
          <w:szCs w:val="44"/>
          <w:highlight w:val="none"/>
        </w:rPr>
        <w:t>四部分 附件</w:t>
      </w:r>
      <w:bookmarkEnd w:id="97"/>
      <w:bookmarkEnd w:id="98"/>
    </w:p>
    <w:p w14:paraId="56DCE778">
      <w:pPr>
        <w:keepNext w:val="0"/>
        <w:keepLines w:val="0"/>
        <w:widowControl/>
        <w:suppressLineNumbers w:val="0"/>
        <w:spacing w:before="0" w:beforeAutospacing="0" w:after="0" w:afterAutospacing="0" w:line="560" w:lineRule="exact"/>
        <w:ind w:left="0" w:right="0"/>
        <w:jc w:val="center"/>
        <w:outlineLvl w:val="0"/>
        <w:rPr>
          <w:rFonts w:hint="eastAsia" w:ascii="Times New Roman" w:hAnsi="Times New Roman" w:eastAsia="仿宋_GB2312" w:cs="Times New Roman"/>
          <w:kern w:val="2"/>
          <w:sz w:val="32"/>
          <w:szCs w:val="24"/>
          <w:lang w:val="en-US" w:eastAsia="zh-CN" w:bidi="ar-SA"/>
        </w:rPr>
      </w:pPr>
      <w:bookmarkStart w:id="99" w:name="_Toc15165"/>
      <w:bookmarkStart w:id="100" w:name="_Toc1723"/>
      <w:bookmarkStart w:id="101" w:name="_Toc7855"/>
      <w:bookmarkStart w:id="102" w:name="_Toc13039"/>
      <w:bookmarkStart w:id="103" w:name="_Toc9130"/>
      <w:bookmarkStart w:id="104" w:name="_Toc7045"/>
      <w:r>
        <w:rPr>
          <w:rFonts w:hint="eastAsia" w:ascii="方正小标宋_GBK" w:hAnsi="仿宋" w:eastAsia="方正小标宋_GBK" w:cs="宋体"/>
          <w:b w:val="0"/>
          <w:bCs/>
          <w:kern w:val="0"/>
          <w:sz w:val="44"/>
          <w:szCs w:val="44"/>
        </w:rPr>
        <w:t>附件</w:t>
      </w:r>
      <w:bookmarkEnd w:id="99"/>
      <w:r>
        <w:rPr>
          <w:rFonts w:hint="eastAsia" w:ascii="方正小标宋_GBK" w:hAnsi="仿宋" w:eastAsia="方正小标宋_GBK" w:cs="宋体"/>
          <w:b w:val="0"/>
          <w:bCs/>
          <w:kern w:val="0"/>
          <w:sz w:val="44"/>
          <w:szCs w:val="44"/>
        </w:rPr>
        <w:t>1</w:t>
      </w:r>
      <w:bookmarkStart w:id="105" w:name="_Toc13976"/>
      <w:bookmarkEnd w:id="105"/>
      <w:bookmarkStart w:id="106" w:name="_Toc18944"/>
      <w:bookmarkEnd w:id="106"/>
      <w:bookmarkStart w:id="107" w:name="_Toc466"/>
      <w:bookmarkEnd w:id="107"/>
      <w:bookmarkStart w:id="108" w:name="_Toc30096"/>
      <w:bookmarkEnd w:id="108"/>
      <w:bookmarkStart w:id="109" w:name="_Toc25579"/>
      <w:bookmarkEnd w:id="109"/>
      <w:bookmarkStart w:id="110" w:name="_Toc8470"/>
      <w:bookmarkEnd w:id="110"/>
      <w:bookmarkStart w:id="111" w:name="_Toc1751"/>
      <w:bookmarkEnd w:id="111"/>
      <w:bookmarkStart w:id="112" w:name="_Toc8605"/>
      <w:bookmarkEnd w:id="112"/>
      <w:bookmarkStart w:id="113" w:name="_Toc18543"/>
      <w:bookmarkEnd w:id="113"/>
      <w:bookmarkStart w:id="114" w:name="_Toc17067"/>
      <w:bookmarkEnd w:id="114"/>
      <w:bookmarkStart w:id="115" w:name="_Toc18564"/>
      <w:bookmarkEnd w:id="115"/>
      <w:bookmarkStart w:id="116" w:name="_Toc1439"/>
      <w:bookmarkEnd w:id="116"/>
      <w:r>
        <w:rPr>
          <w:rFonts w:hint="eastAsia" w:ascii="方正小标宋_GBK" w:hAnsi="仿宋" w:eastAsia="方正小标宋_GBK" w:cs="宋体"/>
          <w:b w:val="0"/>
          <w:bCs/>
          <w:kern w:val="0"/>
          <w:sz w:val="44"/>
          <w:szCs w:val="44"/>
        </w:rPr>
        <w:t>茂县科学技术和农业畜牧局</w:t>
      </w:r>
      <w:r>
        <w:rPr>
          <w:rFonts w:hint="eastAsia" w:ascii="方正小标宋_GBK" w:hAnsi="仿宋" w:eastAsia="方正小标宋_GBK" w:cs="Times New Roman"/>
          <w:b w:val="0"/>
          <w:bCs/>
          <w:kern w:val="2"/>
          <w:sz w:val="44"/>
          <w:szCs w:val="44"/>
          <w:shd w:val="clear" w:color="auto" w:fill="FFFFFF"/>
        </w:rPr>
        <w:t>202</w:t>
      </w:r>
      <w:r>
        <w:rPr>
          <w:rFonts w:hint="eastAsia" w:ascii="方正小标宋_GBK" w:hAnsi="仿宋" w:eastAsia="方正小标宋_GBK" w:cs="Times New Roman"/>
          <w:b w:val="0"/>
          <w:bCs/>
          <w:kern w:val="2"/>
          <w:sz w:val="44"/>
          <w:szCs w:val="44"/>
          <w:shd w:val="clear" w:color="auto" w:fill="FFFFFF"/>
          <w:lang w:val="en-US" w:eastAsia="zh-CN"/>
        </w:rPr>
        <w:t>3</w:t>
      </w:r>
      <w:r>
        <w:rPr>
          <w:rFonts w:hint="eastAsia" w:ascii="方正小标宋_GBK" w:hAnsi="仿宋" w:eastAsia="方正小标宋_GBK" w:cs="Times New Roman"/>
          <w:b w:val="0"/>
          <w:bCs/>
          <w:kern w:val="2"/>
          <w:sz w:val="44"/>
          <w:szCs w:val="44"/>
          <w:shd w:val="clear" w:color="auto" w:fill="FFFFFF"/>
        </w:rPr>
        <w:t>年</w:t>
      </w:r>
      <w:r>
        <w:rPr>
          <w:rFonts w:hint="eastAsia" w:ascii="方正小标宋_GBK" w:hAnsi="仿宋" w:eastAsia="方正小标宋_GBK" w:cs="Times New Roman"/>
          <w:b w:val="0"/>
          <w:bCs/>
          <w:kern w:val="2"/>
          <w:sz w:val="44"/>
          <w:szCs w:val="44"/>
          <w:shd w:val="clear" w:color="auto" w:fill="FFFFFF"/>
          <w:lang w:val="en-US" w:eastAsia="zh-CN"/>
        </w:rPr>
        <w:t>部门</w:t>
      </w:r>
      <w:r>
        <w:rPr>
          <w:rFonts w:hint="eastAsia" w:ascii="方正小标宋_GBK" w:hAnsi="仿宋" w:eastAsia="方正小标宋_GBK" w:cs="Times New Roman"/>
          <w:b w:val="0"/>
          <w:bCs/>
          <w:kern w:val="2"/>
          <w:sz w:val="44"/>
          <w:szCs w:val="44"/>
          <w:shd w:val="clear" w:color="auto" w:fill="FFFFFF"/>
        </w:rPr>
        <w:t>整体支出绩效</w:t>
      </w:r>
      <w:r>
        <w:rPr>
          <w:rFonts w:hint="eastAsia" w:ascii="方正小标宋_GBK" w:hAnsi="仿宋" w:eastAsia="方正小标宋_GBK" w:cs="Times New Roman"/>
          <w:b w:val="0"/>
          <w:bCs/>
          <w:kern w:val="2"/>
          <w:sz w:val="44"/>
          <w:szCs w:val="44"/>
          <w:shd w:val="clear" w:color="auto" w:fill="FFFFFF"/>
          <w:lang w:val="en-US" w:eastAsia="zh-CN"/>
        </w:rPr>
        <w:t>评价</w:t>
      </w:r>
      <w:r>
        <w:rPr>
          <w:rFonts w:hint="eastAsia" w:ascii="方正小标宋_GBK" w:hAnsi="仿宋" w:eastAsia="方正小标宋_GBK" w:cs="Times New Roman"/>
          <w:b w:val="0"/>
          <w:bCs/>
          <w:kern w:val="2"/>
          <w:sz w:val="44"/>
          <w:szCs w:val="44"/>
          <w:shd w:val="clear" w:color="auto" w:fill="FFFFFF"/>
        </w:rPr>
        <w:t>报告</w:t>
      </w:r>
      <w:bookmarkEnd w:id="100"/>
      <w:bookmarkEnd w:id="101"/>
    </w:p>
    <w:p w14:paraId="119DCD51">
      <w:pPr>
        <w:widowControl/>
        <w:adjustRightInd w:val="0"/>
        <w:snapToGrid w:val="0"/>
        <w:spacing w:before="0" w:beforeAutospacing="0" w:after="0" w:afterAutospacing="0" w:line="578" w:lineRule="exact"/>
        <w:ind w:left="0" w:right="0" w:firstLine="640" w:firstLineChars="200"/>
        <w:contextualSpacing/>
        <w:jc w:val="left"/>
        <w:outlineLvl w:val="1"/>
        <w:rPr>
          <w:rFonts w:ascii="Times New Roman" w:hAnsi="Times New Roman" w:eastAsia="仿宋_GB2312" w:cs="Times New Roman"/>
          <w:kern w:val="2"/>
          <w:sz w:val="32"/>
          <w:szCs w:val="32"/>
        </w:rPr>
      </w:pPr>
      <w:bookmarkStart w:id="117" w:name="_Toc23109"/>
      <w:bookmarkStart w:id="118" w:name="_Toc5480"/>
      <w:r>
        <w:rPr>
          <w:rFonts w:hint="eastAsia" w:ascii="Times New Roman" w:hAnsi="Times New Roman" w:eastAsia="黑体" w:cs="Times New Roman"/>
          <w:color w:val="000000"/>
          <w:kern w:val="0"/>
          <w:sz w:val="32"/>
          <w:szCs w:val="32"/>
          <w:shd w:val="clear" w:color="auto" w:fill="FFFFFF"/>
          <w:lang w:val="zh-CN"/>
        </w:rPr>
        <w:t>一、</w:t>
      </w:r>
      <w:r>
        <w:rPr>
          <w:rFonts w:ascii="Times New Roman" w:hAnsi="Times New Roman" w:eastAsia="黑体" w:cs="Times New Roman"/>
          <w:color w:val="000000"/>
          <w:kern w:val="0"/>
          <w:sz w:val="32"/>
          <w:szCs w:val="32"/>
          <w:shd w:val="clear" w:color="auto" w:fill="FFFFFF"/>
          <w:lang w:val="zh-CN"/>
        </w:rPr>
        <w:t>部门基本情况</w:t>
      </w:r>
      <w:bookmarkEnd w:id="117"/>
      <w:bookmarkEnd w:id="118"/>
    </w:p>
    <w:p w14:paraId="3E4C86B3">
      <w:pPr>
        <w:widowControl/>
        <w:adjustRightInd w:val="0"/>
        <w:snapToGrid w:val="0"/>
        <w:spacing w:before="0" w:beforeAutospacing="0" w:after="0" w:afterAutospacing="0" w:line="578" w:lineRule="exact"/>
        <w:ind w:left="0" w:right="0" w:firstLine="643" w:firstLineChars="200"/>
        <w:contextualSpacing/>
        <w:jc w:val="left"/>
        <w:outlineLvl w:val="2"/>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机构组成。</w:t>
      </w:r>
    </w:p>
    <w:p w14:paraId="74548B4D">
      <w:pPr>
        <w:widowControl/>
        <w:adjustRightInd w:val="0"/>
        <w:snapToGrid w:val="0"/>
        <w:spacing w:before="0" w:beforeAutospacing="0" w:after="0" w:afterAutospacing="0" w:line="578" w:lineRule="exact"/>
        <w:ind w:left="0" w:right="0" w:firstLine="640" w:firstLineChars="200"/>
        <w:contextualSpacing/>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茂县科学技术和农业畜牧局</w:t>
      </w:r>
      <w:r>
        <w:rPr>
          <w:rFonts w:hint="eastAsia" w:ascii="仿宋_GB2312" w:hAnsi="仿宋" w:eastAsia="仿宋_GB2312" w:cs="宋体"/>
          <w:kern w:val="0"/>
          <w:sz w:val="32"/>
          <w:szCs w:val="32"/>
          <w:lang w:val="en-US" w:eastAsia="zh-CN"/>
        </w:rPr>
        <w:t>属于一级决算部门有</w:t>
      </w:r>
      <w:r>
        <w:rPr>
          <w:rFonts w:hint="eastAsia" w:ascii="仿宋_GB2312" w:hAnsi="仿宋" w:eastAsia="仿宋_GB2312" w:cs="宋体"/>
          <w:kern w:val="0"/>
          <w:sz w:val="32"/>
          <w:szCs w:val="32"/>
        </w:rPr>
        <w:t>6个内设机构：办公室、农业生产股、畜牧兽医股、乡村振兴推进股、计划投资与财务股、科技和品牌创建股。</w:t>
      </w:r>
    </w:p>
    <w:p w14:paraId="36603083">
      <w:pPr>
        <w:widowControl w:val="0"/>
        <w:shd w:val="clear" w:color="auto" w:fill="FFFFFF"/>
        <w:spacing w:before="0" w:beforeAutospacing="0" w:after="0" w:afterAutospacing="0" w:line="540" w:lineRule="exact"/>
        <w:ind w:left="0" w:right="0" w:firstLine="643" w:firstLineChars="200"/>
        <w:jc w:val="both"/>
        <w:outlineLvl w:val="2"/>
        <w:rPr>
          <w:rFonts w:hint="eastAsia" w:ascii="Times New Roman" w:hAnsi="Times New Roman" w:eastAsia="楷体_GB2312" w:cs="Times New Roman"/>
          <w:b/>
          <w:bCs/>
          <w:color w:val="000000"/>
          <w:kern w:val="0"/>
          <w:sz w:val="32"/>
          <w:szCs w:val="32"/>
          <w:shd w:val="clear" w:color="auto" w:fill="FFFFFF"/>
          <w:lang w:val="zh-CN" w:eastAsia="zh-CN" w:bidi="ar-SA"/>
        </w:rPr>
      </w:pPr>
      <w:r>
        <w:rPr>
          <w:rFonts w:hint="eastAsia" w:ascii="Times New Roman" w:hAnsi="Times New Roman" w:eastAsia="楷体_GB2312" w:cs="Times New Roman"/>
          <w:b/>
          <w:bCs/>
          <w:color w:val="000000"/>
          <w:kern w:val="0"/>
          <w:sz w:val="32"/>
          <w:szCs w:val="32"/>
          <w:shd w:val="clear" w:color="auto" w:fill="FFFFFF"/>
          <w:lang w:val="zh-CN" w:eastAsia="zh-CN" w:bidi="ar-SA"/>
        </w:rPr>
        <w:t>（二）机构职能。</w:t>
      </w:r>
    </w:p>
    <w:p w14:paraId="132C88D7">
      <w:pPr>
        <w:widowControl w:val="0"/>
        <w:shd w:val="clear" w:color="auto" w:fill="FFFFFF"/>
        <w:spacing w:before="0" w:beforeAutospacing="0" w:after="0" w:afterAutospacing="0" w:line="540" w:lineRule="exact"/>
        <w:ind w:left="0" w:right="0" w:firstLine="643" w:firstLineChars="200"/>
        <w:jc w:val="both"/>
        <w:rPr>
          <w:rFonts w:ascii="仿宋_GB2312" w:hAnsi="仿宋" w:eastAsia="仿宋_GB2312" w:cs="Times New Roman"/>
          <w:kern w:val="2"/>
          <w:sz w:val="32"/>
          <w:szCs w:val="32"/>
          <w:u w:val="single"/>
          <w:lang w:val="en-US" w:eastAsia="zh-CN" w:bidi="ar-SA"/>
        </w:rPr>
      </w:pPr>
      <w:r>
        <w:rPr>
          <w:rFonts w:ascii="仿宋_GB2312" w:hAnsi="仿宋" w:eastAsia="仿宋_GB2312" w:cs="仿宋_GB2312"/>
          <w:b/>
          <w:bCs/>
          <w:kern w:val="2"/>
          <w:sz w:val="32"/>
          <w:szCs w:val="32"/>
          <w:lang w:val="en-US" w:eastAsia="zh-CN" w:bidi="ar-SA"/>
        </w:rPr>
        <w:t>1.</w:t>
      </w:r>
      <w:r>
        <w:rPr>
          <w:rFonts w:hint="eastAsia" w:ascii="仿宋_GB2312" w:hAnsi="仿宋" w:eastAsia="仿宋_GB2312" w:cs="仿宋_GB2312"/>
          <w:kern w:val="2"/>
          <w:sz w:val="32"/>
          <w:szCs w:val="32"/>
          <w:lang w:val="en-US" w:eastAsia="zh-CN" w:bidi="ar-SA"/>
        </w:rPr>
        <w:t>组织实施全县重大科技专项，组织参与国家、省州重大科技专项。统筹关键共性技术、前沿引领技术、现代工程技术、颠覆性技术研发和创新，牵头组织重大技术攻关和科技成果应用示范。</w:t>
      </w:r>
    </w:p>
    <w:p w14:paraId="79991847">
      <w:pPr>
        <w:widowControl w:val="0"/>
        <w:shd w:val="clear" w:color="auto" w:fill="FFFFFF"/>
        <w:spacing w:before="0" w:beforeAutospacing="0" w:after="0" w:afterAutospacing="0" w:line="540" w:lineRule="exact"/>
        <w:ind w:left="0" w:right="0" w:firstLine="643" w:firstLineChars="200"/>
        <w:jc w:val="both"/>
        <w:rPr>
          <w:rFonts w:ascii="仿宋_GB2312" w:hAnsi="仿宋" w:eastAsia="仿宋_GB2312" w:cs="Times New Roman"/>
          <w:kern w:val="2"/>
          <w:sz w:val="32"/>
          <w:szCs w:val="32"/>
          <w:lang w:val="en-US" w:eastAsia="zh-CN" w:bidi="ar-SA"/>
        </w:rPr>
      </w:pPr>
      <w:r>
        <w:rPr>
          <w:rFonts w:hint="eastAsia" w:ascii="仿宋_GB2312" w:hAnsi="仿宋" w:eastAsia="仿宋_GB2312" w:cs="仿宋_GB2312"/>
          <w:b/>
          <w:bCs/>
          <w:kern w:val="2"/>
          <w:sz w:val="32"/>
          <w:szCs w:val="32"/>
          <w:lang w:val="en-US" w:eastAsia="zh-CN" w:bidi="ar-SA"/>
        </w:rPr>
        <w:t>2</w:t>
      </w:r>
      <w:r>
        <w:rPr>
          <w:rFonts w:ascii="仿宋_GB2312" w:hAnsi="仿宋" w:eastAsia="仿宋_GB2312" w:cs="仿宋_GB2312"/>
          <w:b/>
          <w:bCs/>
          <w:kern w:val="2"/>
          <w:sz w:val="32"/>
          <w:szCs w:val="32"/>
          <w:lang w:val="en-US" w:eastAsia="zh-CN" w:bidi="ar-SA"/>
        </w:rPr>
        <w:t>.</w:t>
      </w:r>
      <w:r>
        <w:rPr>
          <w:rFonts w:hint="eastAsia" w:ascii="仿宋_GB2312" w:hAnsi="仿宋" w:eastAsia="仿宋_GB2312" w:cs="仿宋_GB2312"/>
          <w:kern w:val="2"/>
          <w:sz w:val="32"/>
          <w:szCs w:val="32"/>
          <w:lang w:val="en-US" w:eastAsia="zh-CN" w:bidi="ar-SA"/>
        </w:rPr>
        <w:t>会同有关部门制定科技人才队伍建设规划，建立健全科技人才评价和激励机制，组织实施科技人才计划，推动科技创新人才队伍建设。</w:t>
      </w:r>
    </w:p>
    <w:p w14:paraId="619215F4">
      <w:pPr>
        <w:widowControl w:val="0"/>
        <w:shd w:val="clear" w:color="auto" w:fill="FFFFFF"/>
        <w:spacing w:before="0" w:beforeAutospacing="0" w:after="0" w:afterAutospacing="0" w:line="540" w:lineRule="exact"/>
        <w:ind w:left="0" w:right="0" w:firstLine="643" w:firstLineChars="200"/>
        <w:jc w:val="both"/>
        <w:rPr>
          <w:rFonts w:ascii="仿宋_GB2312" w:hAnsi="仿宋" w:eastAsia="仿宋_GB2312" w:cs="Times New Roman"/>
          <w:kern w:val="2"/>
          <w:sz w:val="32"/>
          <w:szCs w:val="32"/>
          <w:lang w:val="en-US" w:eastAsia="zh-CN" w:bidi="ar-SA"/>
        </w:rPr>
      </w:pPr>
      <w:r>
        <w:rPr>
          <w:rFonts w:hint="eastAsia" w:ascii="仿宋_GB2312" w:hAnsi="仿宋" w:eastAsia="仿宋_GB2312" w:cs="仿宋_GB2312"/>
          <w:b/>
          <w:bCs/>
          <w:kern w:val="2"/>
          <w:sz w:val="32"/>
          <w:szCs w:val="32"/>
          <w:lang w:val="en-US" w:eastAsia="zh-CN" w:bidi="ar-SA"/>
        </w:rPr>
        <w:t>3</w:t>
      </w:r>
      <w:r>
        <w:rPr>
          <w:rFonts w:ascii="仿宋_GB2312" w:hAnsi="仿宋" w:eastAsia="仿宋_GB2312" w:cs="仿宋_GB2312"/>
          <w:b/>
          <w:bCs/>
          <w:kern w:val="2"/>
          <w:sz w:val="32"/>
          <w:szCs w:val="32"/>
          <w:lang w:val="en-US" w:eastAsia="zh-CN" w:bidi="ar-SA"/>
        </w:rPr>
        <w:t>.</w:t>
      </w:r>
      <w:r>
        <w:rPr>
          <w:rFonts w:hint="eastAsia" w:ascii="仿宋_GB2312" w:hAnsi="仿宋" w:eastAsia="仿宋_GB2312" w:cs="仿宋_GB2312"/>
          <w:kern w:val="2"/>
          <w:sz w:val="32"/>
          <w:szCs w:val="32"/>
          <w:lang w:val="en-US" w:eastAsia="zh-CN" w:bidi="ar-SA"/>
        </w:rPr>
        <w:t>统筹研究和组织实施全县“三农”工作的发展战略、中长期规划、重大政策。贯彻执行国家有关种植业、畜牧业（草原牧业）、渔业、农业机械化、农垦等农业领域工作的法律法规、政策以及省、州、县关于“三农”工作方面的决策部署。</w:t>
      </w:r>
    </w:p>
    <w:p w14:paraId="63A7C381">
      <w:pPr>
        <w:widowControl w:val="0"/>
        <w:shd w:val="clear" w:color="auto" w:fill="FFFFFF"/>
        <w:spacing w:before="0" w:beforeAutospacing="0" w:after="0" w:afterAutospacing="0" w:line="540" w:lineRule="exact"/>
        <w:ind w:left="0" w:right="0" w:firstLine="643" w:firstLineChars="200"/>
        <w:jc w:val="both"/>
        <w:rPr>
          <w:rFonts w:ascii="仿宋_GB2312" w:hAnsi="仿宋" w:eastAsia="仿宋_GB2312" w:cs="Times New Roman"/>
          <w:kern w:val="2"/>
          <w:sz w:val="32"/>
          <w:szCs w:val="32"/>
          <w:lang w:val="en-US" w:eastAsia="zh-CN" w:bidi="ar-SA"/>
        </w:rPr>
      </w:pPr>
      <w:r>
        <w:rPr>
          <w:rFonts w:hint="eastAsia" w:ascii="仿宋_GB2312" w:hAnsi="仿宋" w:eastAsia="仿宋_GB2312" w:cs="仿宋_GB2312"/>
          <w:b/>
          <w:bCs/>
          <w:kern w:val="2"/>
          <w:sz w:val="32"/>
          <w:szCs w:val="32"/>
          <w:lang w:val="en-US" w:eastAsia="zh-CN" w:bidi="ar-SA"/>
        </w:rPr>
        <w:t>4</w:t>
      </w:r>
      <w:r>
        <w:rPr>
          <w:rFonts w:ascii="仿宋_GB2312" w:hAnsi="仿宋" w:eastAsia="仿宋_GB2312" w:cs="仿宋_GB2312"/>
          <w:b/>
          <w:bCs/>
          <w:kern w:val="2"/>
          <w:sz w:val="32"/>
          <w:szCs w:val="32"/>
          <w:lang w:val="en-US" w:eastAsia="zh-CN" w:bidi="ar-SA"/>
        </w:rPr>
        <w:t>.</w:t>
      </w:r>
      <w:r>
        <w:rPr>
          <w:rFonts w:hint="eastAsia" w:ascii="仿宋_GB2312" w:hAnsi="仿宋" w:eastAsia="仿宋_GB2312" w:cs="仿宋_GB2312"/>
          <w:kern w:val="2"/>
          <w:sz w:val="32"/>
          <w:szCs w:val="32"/>
          <w:lang w:val="en-US" w:eastAsia="zh-CN" w:bidi="ar-SA"/>
        </w:rPr>
        <w:t>统筹实施乡村振兴战略，牵头组织改善全县农村人居环境。统筹推动发展农村社会事业、农村公共服务、农村文化、农村基础设施和乡村治理。指导农业遗产的保护传承和开发利用。指导农村精神文明和优秀农耕文化建设。</w:t>
      </w:r>
    </w:p>
    <w:p w14:paraId="5A5650D9">
      <w:pPr>
        <w:widowControl w:val="0"/>
        <w:spacing w:before="0" w:beforeAutospacing="0" w:after="0" w:afterAutospacing="0" w:line="540" w:lineRule="exact"/>
        <w:ind w:left="0" w:right="0" w:firstLine="643" w:firstLineChars="200"/>
        <w:jc w:val="both"/>
        <w:outlineLvl w:val="9"/>
        <w:rPr>
          <w:rFonts w:hint="eastAsia" w:ascii="仿宋_GB2312" w:hAnsi="仿宋" w:eastAsia="仿宋_GB2312" w:cs="仿宋_GB2312"/>
          <w:kern w:val="2"/>
          <w:sz w:val="32"/>
          <w:szCs w:val="32"/>
        </w:rPr>
      </w:pPr>
      <w:r>
        <w:rPr>
          <w:rFonts w:hint="eastAsia" w:ascii="仿宋_GB2312" w:hAnsi="仿宋" w:eastAsia="仿宋_GB2312" w:cs="仿宋_GB2312"/>
          <w:b/>
          <w:bCs/>
          <w:kern w:val="2"/>
          <w:sz w:val="32"/>
          <w:szCs w:val="32"/>
        </w:rPr>
        <w:t>5</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深化全县农村经济体制改革和巩固完善农村基本经营制度。负责农民承包地、农村宅基地管理和改革有关工作。负责农村集体产权制度改革，指导农村集体经济组织发展、集体资产和财务管理工作。拟订农业产业化经营的发展规划并组织实施，指导农民合作经济组织、农业社会化服务体系、新型农业经营主体建设与发展。指导、监督减轻农民负担工作。</w:t>
      </w:r>
    </w:p>
    <w:p w14:paraId="18F75FDA">
      <w:pPr>
        <w:widowControl w:val="0"/>
        <w:spacing w:before="0" w:beforeAutospacing="0" w:after="0" w:afterAutospacing="0" w:line="540" w:lineRule="exact"/>
        <w:ind w:left="0" w:right="0" w:firstLine="643" w:firstLineChars="200"/>
        <w:jc w:val="both"/>
        <w:outlineLvl w:val="9"/>
        <w:rPr>
          <w:rFonts w:hint="eastAsia" w:ascii="仿宋_GB2312" w:hAnsi="仿宋" w:eastAsia="仿宋_GB2312" w:cs="仿宋_GB2312"/>
          <w:kern w:val="2"/>
          <w:sz w:val="32"/>
          <w:szCs w:val="32"/>
        </w:rPr>
      </w:pPr>
      <w:r>
        <w:rPr>
          <w:rFonts w:hint="eastAsia" w:ascii="仿宋_GB2312" w:hAnsi="仿宋" w:eastAsia="仿宋_GB2312" w:cs="仿宋_GB2312"/>
          <w:b/>
          <w:bCs/>
          <w:kern w:val="2"/>
          <w:sz w:val="32"/>
          <w:szCs w:val="32"/>
        </w:rPr>
        <w:t>6</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负责全县农产品质量安全监督管理。组织开展农产品质量安全监测、追溯、风险评估。发布有关农产品质量安全状况信息</w:t>
      </w:r>
      <w:r>
        <w:rPr>
          <w:rFonts w:ascii="仿宋_GB2312" w:hAnsi="仿宋" w:eastAsia="仿宋_GB2312" w:cs="仿宋_GB2312"/>
          <w:kern w:val="2"/>
          <w:sz w:val="32"/>
          <w:szCs w:val="32"/>
        </w:rPr>
        <w:t>,</w:t>
      </w:r>
      <w:r>
        <w:rPr>
          <w:rFonts w:hint="eastAsia" w:ascii="仿宋_GB2312" w:hAnsi="仿宋" w:eastAsia="仿宋_GB2312" w:cs="仿宋_GB2312"/>
          <w:kern w:val="2"/>
          <w:sz w:val="32"/>
          <w:szCs w:val="32"/>
        </w:rPr>
        <w:t>指导农业检验检测体系建设。依法组织实施符合安全标准的农产品生产基地认定、产品认证、农产品地理标志登记保护和监督管理。</w:t>
      </w:r>
    </w:p>
    <w:p w14:paraId="3E030484">
      <w:pPr>
        <w:widowControl w:val="0"/>
        <w:spacing w:before="0" w:beforeAutospacing="0" w:after="0" w:afterAutospacing="0" w:line="540" w:lineRule="exact"/>
        <w:ind w:left="0" w:right="0" w:firstLine="643" w:firstLineChars="200"/>
        <w:jc w:val="both"/>
        <w:outlineLvl w:val="9"/>
        <w:rPr>
          <w:rFonts w:hint="eastAsia" w:ascii="仿宋_GB2312" w:hAnsi="仿宋" w:eastAsia="仿宋_GB2312" w:cs="仿宋_GB2312"/>
          <w:kern w:val="2"/>
          <w:sz w:val="32"/>
          <w:szCs w:val="32"/>
        </w:rPr>
      </w:pPr>
      <w:r>
        <w:rPr>
          <w:rFonts w:hint="eastAsia" w:ascii="仿宋_GB2312" w:hAnsi="仿宋" w:eastAsia="仿宋_GB2312" w:cs="仿宋_GB2312"/>
          <w:b/>
          <w:bCs/>
          <w:kern w:val="2"/>
          <w:sz w:val="32"/>
          <w:szCs w:val="32"/>
        </w:rPr>
        <w:t>7</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负责全县有关农业生产资料和农业投入品的监督管理。组织农业生产资料市场体系建设，承担农作物种子（种苗）、食用菌种、饲草良种、种畜禽、水产苗种、农药、兽药、饲料、饲料添加剂等农业生产资料的监督管理职责，牵头负责“瘦肉精”监督管理工作。监督管理兽医医疗器械、肥料。会同有关部门监督实施农业生产资料国家标准。组织兽医医政、兽药药政药检工作，负责执业兽医和畜禽屠宰行业管理。</w:t>
      </w:r>
    </w:p>
    <w:p w14:paraId="5DB49773">
      <w:pPr>
        <w:widowControl w:val="0"/>
        <w:spacing w:before="0" w:beforeAutospacing="0" w:after="0" w:afterAutospacing="0" w:line="540" w:lineRule="exact"/>
        <w:ind w:left="0" w:right="0" w:firstLine="640"/>
        <w:jc w:val="both"/>
        <w:outlineLvl w:val="9"/>
        <w:rPr>
          <w:rFonts w:hint="eastAsia" w:ascii="仿宋_GB2312" w:hAnsi="仿宋" w:eastAsia="仿宋_GB2312" w:cs="仿宋_GB2312"/>
          <w:kern w:val="2"/>
          <w:sz w:val="32"/>
          <w:szCs w:val="32"/>
        </w:rPr>
      </w:pPr>
      <w:r>
        <w:rPr>
          <w:rFonts w:hint="eastAsia" w:ascii="仿宋_GB2312" w:hAnsi="仿宋" w:eastAsia="仿宋_GB2312" w:cs="仿宋_GB2312"/>
          <w:b/>
          <w:bCs/>
          <w:kern w:val="2"/>
          <w:sz w:val="32"/>
          <w:szCs w:val="32"/>
        </w:rPr>
        <w:t>8</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负责全县农业防灾减灾、农作物重大病虫害防治工作。指导动植物防疫检疫体系建设，组织监督管理县内动植物防疫检疫工作，发布疫情并组织扑灭。组织植物检疫性有害生物普查。牵头管理外来农业物种。监测、核查、发布农业灾情，组织种子、种苗、化肥、兽药等农业生产救灾物资的储备和调拨，提出生产救灾资金安排建议，指导紧急救灾和灾后生产恢复。</w:t>
      </w:r>
    </w:p>
    <w:p w14:paraId="36DA27F0">
      <w:pPr>
        <w:widowControl w:val="0"/>
        <w:spacing w:before="0" w:beforeAutospacing="0" w:after="0" w:afterAutospacing="0" w:line="540" w:lineRule="exact"/>
        <w:ind w:left="0" w:right="0" w:firstLine="640"/>
        <w:jc w:val="both"/>
        <w:outlineLvl w:val="9"/>
        <w:rPr>
          <w:rFonts w:hint="eastAsia" w:ascii="仿宋_GB2312" w:hAnsi="仿宋" w:eastAsia="仿宋_GB2312" w:cs="仿宋_GB2312"/>
          <w:kern w:val="2"/>
          <w:sz w:val="32"/>
          <w:szCs w:val="32"/>
        </w:rPr>
      </w:pPr>
      <w:r>
        <w:rPr>
          <w:rFonts w:hint="eastAsia" w:ascii="仿宋_GB2312" w:hAnsi="仿宋" w:eastAsia="仿宋_GB2312" w:cs="仿宋_GB2312"/>
          <w:b/>
          <w:bCs/>
          <w:kern w:val="2"/>
          <w:sz w:val="32"/>
          <w:szCs w:val="32"/>
        </w:rPr>
        <w:t>9</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负责全县农田建设管理。拟订农田建设发展规划，提出农田建设项目需求建议。负责全县农田建设管理、高标准农田建设和耕地质量管理。编制农业综合开发涉及农田建设项目、农田整治项目、农田水利建设项目的计划，并组织实施和管理。</w:t>
      </w:r>
    </w:p>
    <w:p w14:paraId="55E70D13">
      <w:pPr>
        <w:widowControl w:val="0"/>
        <w:spacing w:before="0" w:beforeAutospacing="0" w:after="0" w:afterAutospacing="0" w:line="540" w:lineRule="exact"/>
        <w:ind w:left="0" w:right="0" w:firstLine="640"/>
        <w:jc w:val="both"/>
        <w:outlineLvl w:val="9"/>
        <w:rPr>
          <w:rFonts w:ascii="仿宋_GB2312" w:hAnsi="仿宋" w:eastAsia="仿宋_GB2312" w:cs="Times New Roman"/>
          <w:kern w:val="2"/>
          <w:sz w:val="32"/>
          <w:szCs w:val="32"/>
        </w:rPr>
      </w:pPr>
      <w:r>
        <w:rPr>
          <w:rFonts w:hint="eastAsia" w:ascii="仿宋_GB2312" w:hAnsi="仿宋" w:eastAsia="仿宋_GB2312" w:cs="Times New Roman"/>
          <w:b/>
          <w:bCs/>
          <w:kern w:val="2"/>
          <w:sz w:val="32"/>
          <w:szCs w:val="32"/>
        </w:rPr>
        <w:t>10</w:t>
      </w:r>
      <w:r>
        <w:rPr>
          <w:rFonts w:ascii="仿宋_GB2312" w:hAnsi="仿宋" w:eastAsia="仿宋_GB2312" w:cs="仿宋_GB2312"/>
          <w:b/>
          <w:bCs/>
          <w:kern w:val="2"/>
          <w:sz w:val="32"/>
          <w:szCs w:val="32"/>
        </w:rPr>
        <w:t>.</w:t>
      </w:r>
      <w:r>
        <w:rPr>
          <w:rFonts w:hint="eastAsia" w:ascii="仿宋_GB2312" w:hAnsi="仿宋" w:eastAsia="仿宋_GB2312" w:cs="仿宋_GB2312"/>
          <w:kern w:val="2"/>
          <w:sz w:val="32"/>
          <w:szCs w:val="32"/>
        </w:rPr>
        <w:t>负责职责范围内的安全生产、生态环境保护、审批服务便民化等工作。</w:t>
      </w:r>
    </w:p>
    <w:p w14:paraId="45EC4E52">
      <w:pPr>
        <w:widowControl w:val="0"/>
        <w:spacing w:before="0" w:beforeAutospacing="0" w:after="0" w:afterAutospacing="0" w:line="540" w:lineRule="exact"/>
        <w:ind w:left="0" w:right="0" w:firstLine="640"/>
        <w:jc w:val="both"/>
        <w:outlineLvl w:val="9"/>
        <w:rPr>
          <w:rFonts w:hint="eastAsia" w:ascii="仿宋_GB2312" w:hAnsi="仿宋" w:eastAsia="仿宋_GB2312" w:cs="仿宋_GB2312"/>
          <w:kern w:val="2"/>
          <w:sz w:val="32"/>
          <w:szCs w:val="32"/>
          <w:lang w:val="zh-CN"/>
        </w:rPr>
      </w:pPr>
      <w:r>
        <w:rPr>
          <w:rFonts w:hint="eastAsia" w:ascii="仿宋_GB2312" w:hAnsi="仿宋" w:eastAsia="仿宋_GB2312" w:cs="Times New Roman"/>
          <w:b/>
          <w:bCs/>
          <w:kern w:val="2"/>
          <w:sz w:val="32"/>
          <w:szCs w:val="32"/>
        </w:rPr>
        <w:t>11.</w:t>
      </w:r>
      <w:r>
        <w:rPr>
          <w:rFonts w:hint="eastAsia" w:ascii="仿宋_GB2312" w:hAnsi="仿宋" w:eastAsia="仿宋_GB2312" w:cs="仿宋_GB2312"/>
          <w:kern w:val="2"/>
          <w:sz w:val="32"/>
          <w:szCs w:val="32"/>
        </w:rPr>
        <w:t>完成县委、县人民政府交办的其他任务。</w:t>
      </w:r>
    </w:p>
    <w:p w14:paraId="03AAC8A0">
      <w:pPr>
        <w:widowControl/>
        <w:adjustRightInd w:val="0"/>
        <w:snapToGrid w:val="0"/>
        <w:spacing w:before="0" w:beforeAutospacing="0" w:after="0" w:afterAutospacing="0" w:line="578" w:lineRule="exact"/>
        <w:ind w:left="0" w:right="0" w:firstLine="643" w:firstLineChars="200"/>
        <w:contextualSpacing/>
        <w:jc w:val="left"/>
        <w:outlineLvl w:val="2"/>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（三）人员概况。</w:t>
      </w:r>
    </w:p>
    <w:p w14:paraId="410673B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Times New Roman" w:hAnsi="Times New Roman" w:eastAsia="仿宋_GB2312" w:cs="Times New Roman"/>
          <w:kern w:val="2"/>
          <w:sz w:val="32"/>
        </w:rPr>
      </w:pPr>
      <w:r>
        <w:rPr>
          <w:rFonts w:hint="eastAsia" w:ascii="仿宋_GB2312" w:hAnsi="仿宋_GB2312" w:eastAsia="仿宋_GB2312" w:cs="仿宋_GB2312"/>
          <w:color w:val="000000"/>
          <w:kern w:val="2"/>
          <w:sz w:val="32"/>
          <w:szCs w:val="32"/>
        </w:rPr>
        <w:t>20</w:t>
      </w:r>
      <w:r>
        <w:rPr>
          <w:rFonts w:hint="eastAsia" w:ascii="仿宋_GB2312" w:hAnsi="仿宋_GB2312" w:eastAsia="仿宋_GB2312" w:cs="仿宋_GB2312"/>
          <w:color w:val="000000"/>
          <w:kern w:val="2"/>
          <w:sz w:val="32"/>
          <w:szCs w:val="32"/>
          <w:lang w:val="en-US" w:eastAsia="zh-CN"/>
        </w:rPr>
        <w:t>23</w:t>
      </w:r>
      <w:r>
        <w:rPr>
          <w:rFonts w:hint="eastAsia" w:ascii="仿宋_GB2312" w:hAnsi="仿宋_GB2312" w:eastAsia="仿宋_GB2312" w:cs="仿宋_GB2312"/>
          <w:color w:val="000000"/>
          <w:kern w:val="2"/>
          <w:sz w:val="32"/>
          <w:szCs w:val="32"/>
        </w:rPr>
        <w:t>年茂县科学技术和农业畜牧局</w:t>
      </w:r>
      <w:r>
        <w:rPr>
          <w:rFonts w:hint="eastAsia" w:ascii="仿宋_GB2312" w:hAnsi="宋体" w:eastAsia="仿宋_GB2312" w:cs="宋体"/>
          <w:color w:val="000000"/>
          <w:kern w:val="0"/>
          <w:sz w:val="32"/>
          <w:szCs w:val="32"/>
        </w:rPr>
        <w:t>总编制</w:t>
      </w:r>
      <w:r>
        <w:rPr>
          <w:rFonts w:hint="eastAsia" w:ascii="仿宋_GB2312" w:hAnsi="宋体" w:eastAsia="仿宋_GB2312" w:cs="宋体"/>
          <w:color w:val="000000"/>
          <w:kern w:val="0"/>
          <w:sz w:val="32"/>
          <w:szCs w:val="32"/>
          <w:lang w:val="en-US" w:eastAsia="zh-CN"/>
        </w:rPr>
        <w:t>70</w:t>
      </w:r>
      <w:r>
        <w:rPr>
          <w:rFonts w:hint="eastAsia" w:ascii="仿宋_GB2312" w:hAnsi="宋体" w:eastAsia="仿宋_GB2312" w:cs="宋体"/>
          <w:color w:val="000000"/>
          <w:kern w:val="0"/>
          <w:sz w:val="32"/>
          <w:szCs w:val="32"/>
        </w:rPr>
        <w:t>名,</w:t>
      </w:r>
      <w:r>
        <w:rPr>
          <w:rFonts w:hint="eastAsia" w:ascii="仿宋_GB2312" w:hAnsi="仿宋_GB2312" w:eastAsia="仿宋_GB2312" w:cs="仿宋_GB2312"/>
          <w:kern w:val="2"/>
          <w:sz w:val="32"/>
          <w:szCs w:val="32"/>
        </w:rPr>
        <w:t>其中：行政编制</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名，参照公务员法管理的事业人员</w:t>
      </w:r>
      <w:r>
        <w:rPr>
          <w:rFonts w:hint="eastAsia" w:ascii="仿宋_GB2312" w:hAnsi="仿宋_GB2312" w:eastAsia="仿宋_GB2312" w:cs="仿宋_GB2312"/>
          <w:kern w:val="2"/>
          <w:sz w:val="32"/>
          <w:szCs w:val="32"/>
          <w:lang w:val="en-US" w:eastAsia="zh-CN"/>
        </w:rPr>
        <w:t>和</w:t>
      </w:r>
      <w:r>
        <w:rPr>
          <w:rFonts w:hint="eastAsia" w:ascii="仿宋_GB2312" w:hAnsi="仿宋_GB2312" w:eastAsia="仿宋_GB2312" w:cs="仿宋_GB2312"/>
          <w:kern w:val="2"/>
          <w:sz w:val="32"/>
          <w:szCs w:val="32"/>
        </w:rPr>
        <w:t>工勤人员</w:t>
      </w:r>
      <w:r>
        <w:rPr>
          <w:rFonts w:hint="eastAsia" w:ascii="仿宋_GB2312" w:hAnsi="仿宋_GB2312" w:eastAsia="仿宋_GB2312" w:cs="仿宋_GB2312"/>
          <w:kern w:val="2"/>
          <w:sz w:val="32"/>
          <w:szCs w:val="32"/>
          <w:lang w:val="en-US" w:eastAsia="zh-CN"/>
        </w:rPr>
        <w:t>编制11</w:t>
      </w:r>
      <w:r>
        <w:rPr>
          <w:rFonts w:hint="eastAsia" w:ascii="仿宋_GB2312" w:hAnsi="仿宋_GB2312" w:eastAsia="仿宋_GB2312" w:cs="仿宋_GB2312"/>
          <w:kern w:val="2"/>
          <w:sz w:val="32"/>
          <w:szCs w:val="32"/>
        </w:rPr>
        <w:t>名，事业编制4</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rPr>
        <w:t>名。在职人员总数</w:t>
      </w:r>
      <w:r>
        <w:rPr>
          <w:rFonts w:hint="eastAsia" w:ascii="仿宋_GB2312" w:hAnsi="仿宋_GB2312" w:eastAsia="仿宋_GB2312" w:cs="仿宋_GB2312"/>
          <w:kern w:val="2"/>
          <w:sz w:val="32"/>
          <w:szCs w:val="32"/>
          <w:lang w:val="en-US" w:eastAsia="zh-CN"/>
        </w:rPr>
        <w:t>70</w:t>
      </w:r>
      <w:r>
        <w:rPr>
          <w:rFonts w:hint="eastAsia" w:ascii="仿宋_GB2312" w:hAnsi="仿宋_GB2312" w:eastAsia="仿宋_GB2312" w:cs="仿宋_GB2312"/>
          <w:kern w:val="2"/>
          <w:sz w:val="32"/>
          <w:szCs w:val="32"/>
        </w:rPr>
        <w:t>名，其中：行政人员1</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名</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参照公务员法管理的事业人员</w:t>
      </w:r>
      <w:r>
        <w:rPr>
          <w:rFonts w:hint="eastAsia" w:ascii="仿宋_GB2312" w:hAnsi="仿宋_GB2312" w:eastAsia="仿宋_GB2312" w:cs="仿宋_GB2312"/>
          <w:kern w:val="2"/>
          <w:sz w:val="32"/>
          <w:szCs w:val="32"/>
          <w:lang w:val="en-US" w:eastAsia="zh-CN"/>
        </w:rPr>
        <w:t>和</w:t>
      </w:r>
      <w:r>
        <w:rPr>
          <w:rFonts w:hint="eastAsia" w:ascii="仿宋_GB2312" w:hAnsi="仿宋_GB2312" w:eastAsia="仿宋_GB2312" w:cs="仿宋_GB2312"/>
          <w:kern w:val="2"/>
          <w:sz w:val="32"/>
          <w:szCs w:val="32"/>
        </w:rPr>
        <w:t>工勤人员</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名；事业</w:t>
      </w:r>
      <w:r>
        <w:rPr>
          <w:rFonts w:hint="eastAsia" w:ascii="仿宋" w:hAnsi="仿宋" w:eastAsia="仿宋" w:cs="仿宋"/>
          <w:kern w:val="2"/>
          <w:sz w:val="32"/>
          <w:szCs w:val="32"/>
        </w:rPr>
        <w:t>人员</w:t>
      </w:r>
      <w:r>
        <w:rPr>
          <w:rFonts w:hint="eastAsia" w:ascii="仿宋" w:hAnsi="仿宋" w:eastAsia="仿宋" w:cs="仿宋"/>
          <w:kern w:val="2"/>
          <w:sz w:val="32"/>
          <w:szCs w:val="32"/>
          <w:lang w:val="en-US" w:eastAsia="zh-CN"/>
        </w:rPr>
        <w:t>48</w:t>
      </w:r>
      <w:r>
        <w:rPr>
          <w:rFonts w:hint="eastAsia" w:ascii="仿宋" w:hAnsi="仿宋" w:eastAsia="仿宋" w:cs="仿宋"/>
          <w:kern w:val="2"/>
          <w:sz w:val="32"/>
          <w:szCs w:val="32"/>
        </w:rPr>
        <w:t>名；编外长期聘用人员3名，退休人员</w:t>
      </w:r>
      <w:r>
        <w:rPr>
          <w:rFonts w:hint="eastAsia" w:ascii="仿宋" w:hAnsi="仿宋" w:eastAsia="仿宋" w:cs="仿宋"/>
          <w:kern w:val="2"/>
          <w:sz w:val="32"/>
          <w:szCs w:val="32"/>
          <w:lang w:val="en-US" w:eastAsia="zh-CN"/>
        </w:rPr>
        <w:t>46</w:t>
      </w:r>
      <w:r>
        <w:rPr>
          <w:rFonts w:hint="eastAsia" w:ascii="仿宋" w:hAnsi="仿宋" w:eastAsia="仿宋" w:cs="仿宋"/>
          <w:kern w:val="2"/>
          <w:sz w:val="32"/>
          <w:szCs w:val="32"/>
        </w:rPr>
        <w:t>人</w:t>
      </w:r>
      <w:r>
        <w:rPr>
          <w:rFonts w:hint="eastAsia" w:ascii="仿宋_GB2312" w:hAnsi="宋体" w:eastAsia="仿宋_GB2312" w:cs="宋体"/>
          <w:color w:val="000000"/>
          <w:kern w:val="0"/>
          <w:sz w:val="32"/>
          <w:szCs w:val="32"/>
        </w:rPr>
        <w:t>。</w:t>
      </w:r>
    </w:p>
    <w:p w14:paraId="0F4117AE">
      <w:pPr>
        <w:widowControl/>
        <w:adjustRightInd w:val="0"/>
        <w:snapToGrid w:val="0"/>
        <w:spacing w:before="0" w:beforeAutospacing="0" w:after="0" w:afterAutospacing="0" w:line="578" w:lineRule="exact"/>
        <w:ind w:left="0" w:right="0" w:firstLine="640" w:firstLineChars="200"/>
        <w:contextualSpacing/>
        <w:jc w:val="left"/>
        <w:outlineLvl w:val="1"/>
        <w:rPr>
          <w:rFonts w:hint="eastAsia" w:ascii="Times New Roman" w:hAnsi="Times New Roman" w:eastAsia="黑体" w:cs="Times New Roman"/>
          <w:color w:val="000000"/>
          <w:kern w:val="0"/>
          <w:sz w:val="32"/>
          <w:szCs w:val="32"/>
          <w:shd w:val="clear" w:color="auto" w:fill="FFFFFF"/>
          <w:lang w:val="zh-CN"/>
        </w:rPr>
      </w:pPr>
      <w:bookmarkStart w:id="119" w:name="_Toc9462"/>
      <w:bookmarkStart w:id="120" w:name="_Toc8851"/>
      <w:r>
        <w:rPr>
          <w:rFonts w:hint="eastAsia" w:ascii="Times New Roman" w:hAnsi="Times New Roman" w:eastAsia="黑体" w:cs="Times New Roman"/>
          <w:color w:val="000000"/>
          <w:kern w:val="0"/>
          <w:sz w:val="32"/>
          <w:szCs w:val="32"/>
          <w:shd w:val="clear" w:color="auto" w:fill="FFFFFF"/>
          <w:lang w:val="zh-CN"/>
        </w:rPr>
        <w:t>二、部门资金收支情况</w:t>
      </w:r>
      <w:bookmarkEnd w:id="119"/>
      <w:bookmarkEnd w:id="120"/>
    </w:p>
    <w:p w14:paraId="1CAA4774">
      <w:pPr>
        <w:widowControl/>
        <w:adjustRightInd w:val="0"/>
        <w:snapToGrid w:val="0"/>
        <w:spacing w:before="0" w:beforeAutospacing="0" w:after="0" w:afterAutospacing="0" w:line="540" w:lineRule="exact"/>
        <w:ind w:left="0" w:right="0" w:firstLine="720"/>
        <w:jc w:val="left"/>
        <w:outlineLvl w:val="2"/>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收入情况</w:t>
      </w:r>
      <w:r>
        <w:rPr>
          <w:rFonts w:ascii="Times New Roman" w:hAnsi="Times New Roman" w:eastAsia="楷体_GB2312" w:cs="Times New Roman"/>
          <w:b/>
          <w:bCs/>
          <w:color w:val="000000"/>
          <w:kern w:val="0"/>
          <w:sz w:val="32"/>
          <w:szCs w:val="32"/>
          <w:shd w:val="clear" w:color="auto" w:fill="FFFFFF"/>
          <w:lang w:val="zh-CN"/>
        </w:rPr>
        <w:t>。</w:t>
      </w:r>
    </w:p>
    <w:p w14:paraId="01C237F6">
      <w:pPr>
        <w:widowControl/>
        <w:adjustRightInd w:val="0"/>
        <w:snapToGrid w:val="0"/>
        <w:spacing w:before="0" w:beforeAutospacing="0" w:after="0" w:afterAutospacing="0" w:line="540" w:lineRule="exact"/>
        <w:ind w:left="0" w:right="0" w:firstLine="720"/>
        <w:jc w:val="left"/>
        <w:rPr>
          <w:rFonts w:ascii="Times New Roman" w:hAnsi="Times New Roman" w:eastAsia="楷体_GB2312" w:cs="Times New Roman"/>
          <w:b/>
          <w:bCs/>
          <w:color w:val="000000"/>
          <w:kern w:val="0"/>
          <w:sz w:val="32"/>
          <w:szCs w:val="32"/>
          <w:shd w:val="clear" w:color="auto" w:fill="FFFFFF"/>
        </w:rPr>
      </w:pPr>
      <w:r>
        <w:rPr>
          <w:rFonts w:hint="eastAsia" w:ascii="仿宋_GB2312" w:hAnsi="仿宋" w:eastAsia="仿宋_GB2312" w:cs="宋体"/>
          <w:color w:val="000000"/>
          <w:kern w:val="0"/>
          <w:sz w:val="32"/>
          <w:szCs w:val="32"/>
          <w:shd w:val="clear" w:color="auto" w:fill="FFFFFF"/>
          <w:lang w:val="zh-CN"/>
        </w:rPr>
        <w:t>20</w:t>
      </w:r>
      <w:r>
        <w:rPr>
          <w:rFonts w:hint="eastAsia" w:ascii="仿宋_GB2312" w:hAnsi="仿宋" w:eastAsia="仿宋_GB2312" w:cs="宋体"/>
          <w:color w:val="000000"/>
          <w:kern w:val="0"/>
          <w:sz w:val="32"/>
          <w:szCs w:val="32"/>
          <w:shd w:val="clear" w:color="auto" w:fill="FFFFFF"/>
          <w:lang w:val="en-US" w:eastAsia="zh-CN"/>
        </w:rPr>
        <w:t>23</w:t>
      </w:r>
      <w:r>
        <w:rPr>
          <w:rFonts w:hint="eastAsia" w:ascii="仿宋_GB2312" w:hAnsi="仿宋" w:eastAsia="仿宋_GB2312" w:cs="宋体"/>
          <w:color w:val="000000"/>
          <w:kern w:val="0"/>
          <w:sz w:val="32"/>
          <w:szCs w:val="32"/>
          <w:shd w:val="clear" w:color="auto" w:fill="FFFFFF"/>
          <w:lang w:val="zh-CN"/>
        </w:rPr>
        <w:t>年</w:t>
      </w:r>
      <w:r>
        <w:rPr>
          <w:rFonts w:hint="eastAsia" w:ascii="仿宋_GB2312" w:hAnsi="仿宋" w:eastAsia="仿宋_GB2312" w:cs="宋体"/>
          <w:color w:val="000000"/>
          <w:kern w:val="0"/>
          <w:sz w:val="32"/>
          <w:szCs w:val="32"/>
          <w:shd w:val="clear" w:color="auto" w:fill="FFFFFF"/>
          <w:lang w:val="en-US" w:eastAsia="zh-CN"/>
        </w:rPr>
        <w:t>部门</w:t>
      </w:r>
      <w:r>
        <w:rPr>
          <w:rFonts w:hint="eastAsia" w:ascii="仿宋_GB2312" w:hAnsi="仿宋" w:eastAsia="仿宋_GB2312" w:cs="宋体"/>
          <w:color w:val="000000"/>
          <w:kern w:val="0"/>
          <w:sz w:val="32"/>
          <w:szCs w:val="32"/>
          <w:shd w:val="clear" w:color="auto" w:fill="FFFFFF"/>
          <w:lang w:val="zh-CN"/>
        </w:rPr>
        <w:t>总收入</w:t>
      </w:r>
      <w:r>
        <w:rPr>
          <w:rFonts w:hint="eastAsia" w:ascii="仿宋_GB2312" w:hAnsi="仿宋" w:eastAsia="仿宋_GB2312" w:cs="宋体"/>
          <w:color w:val="000000"/>
          <w:kern w:val="0"/>
          <w:sz w:val="32"/>
          <w:szCs w:val="32"/>
          <w:shd w:val="clear" w:color="auto" w:fill="FFFFFF"/>
          <w:lang w:val="en-US" w:eastAsia="zh-CN"/>
        </w:rPr>
        <w:t>11913.35</w:t>
      </w:r>
      <w:r>
        <w:rPr>
          <w:rFonts w:hint="eastAsia" w:ascii="仿宋_GB2312" w:hAnsi="仿宋" w:eastAsia="仿宋_GB2312" w:cs="宋体"/>
          <w:color w:val="000000"/>
          <w:kern w:val="0"/>
          <w:sz w:val="32"/>
          <w:szCs w:val="32"/>
          <w:shd w:val="clear" w:color="auto" w:fill="FFFFFF"/>
          <w:lang w:val="zh-CN"/>
        </w:rPr>
        <w:t>万元，</w:t>
      </w:r>
      <w:r>
        <w:rPr>
          <w:rFonts w:hint="eastAsia" w:ascii="仿宋_GB2312" w:hAnsi="仿宋_GB2312" w:eastAsia="仿宋_GB2312" w:cs="仿宋_GB2312"/>
          <w:kern w:val="2"/>
          <w:sz w:val="32"/>
          <w:szCs w:val="32"/>
        </w:rPr>
        <w:t>其中：一般公共预算财政拨款收入</w:t>
      </w:r>
      <w:r>
        <w:rPr>
          <w:rFonts w:hint="eastAsia" w:ascii="仿宋_GB2312" w:hAnsi="仿宋" w:eastAsia="仿宋_GB2312" w:cs="宋体"/>
          <w:color w:val="000000"/>
          <w:kern w:val="0"/>
          <w:sz w:val="32"/>
          <w:szCs w:val="32"/>
          <w:shd w:val="clear" w:color="auto" w:fill="FFFFFF"/>
          <w:lang w:val="en-US" w:eastAsia="zh-CN"/>
        </w:rPr>
        <w:t>11913.35</w:t>
      </w:r>
      <w:r>
        <w:rPr>
          <w:rFonts w:hint="eastAsia" w:ascii="仿宋_GB2312" w:hAnsi="仿宋_GB2312" w:eastAsia="仿宋_GB2312" w:cs="仿宋_GB2312"/>
          <w:kern w:val="2"/>
          <w:sz w:val="32"/>
          <w:szCs w:val="32"/>
        </w:rPr>
        <w:t>万元，占</w:t>
      </w:r>
      <w:r>
        <w:rPr>
          <w:rFonts w:hint="eastAsia" w:ascii="仿宋_GB2312" w:hAnsi="仿宋_GB2312" w:eastAsia="仿宋_GB2312" w:cs="仿宋_GB2312"/>
          <w:kern w:val="2"/>
          <w:sz w:val="32"/>
          <w:szCs w:val="32"/>
          <w:lang w:val="en-US" w:eastAsia="zh-CN"/>
        </w:rPr>
        <w:t>100</w:t>
      </w:r>
      <w:r>
        <w:rPr>
          <w:rFonts w:ascii="仿宋_GB2312" w:hAnsi="仿宋_GB2312" w:eastAsia="仿宋_GB2312" w:cs="仿宋_GB2312"/>
          <w:kern w:val="2"/>
          <w:sz w:val="32"/>
          <w:szCs w:val="32"/>
        </w:rPr>
        <w:t>%</w:t>
      </w:r>
      <w:r>
        <w:rPr>
          <w:rFonts w:hint="eastAsia" w:ascii="仿宋_GB2312" w:hAnsi="仿宋" w:eastAsia="仿宋_GB2312" w:cs="宋体"/>
          <w:color w:val="000000"/>
          <w:kern w:val="0"/>
          <w:sz w:val="32"/>
          <w:szCs w:val="32"/>
          <w:shd w:val="clear" w:color="auto" w:fill="FFFFFF"/>
          <w:lang w:val="zh-CN"/>
        </w:rPr>
        <w:t>。</w:t>
      </w:r>
    </w:p>
    <w:p w14:paraId="7F4D8383">
      <w:pPr>
        <w:widowControl/>
        <w:numPr>
          <w:ilvl w:val="0"/>
          <w:numId w:val="1"/>
        </w:numPr>
        <w:adjustRightInd w:val="0"/>
        <w:snapToGrid w:val="0"/>
        <w:spacing w:before="0" w:beforeAutospacing="0" w:after="0" w:afterAutospacing="0" w:line="540" w:lineRule="exact"/>
        <w:ind w:left="0" w:right="0" w:firstLine="720"/>
        <w:jc w:val="left"/>
        <w:outlineLvl w:val="2"/>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支出情况</w:t>
      </w:r>
      <w:r>
        <w:rPr>
          <w:rFonts w:ascii="Times New Roman" w:hAnsi="Times New Roman" w:eastAsia="楷体_GB2312" w:cs="Times New Roman"/>
          <w:b/>
          <w:bCs/>
          <w:color w:val="000000"/>
          <w:kern w:val="0"/>
          <w:sz w:val="32"/>
          <w:szCs w:val="32"/>
          <w:shd w:val="clear" w:color="auto" w:fill="FFFFFF"/>
          <w:lang w:val="zh-CN"/>
        </w:rPr>
        <w:t>。</w:t>
      </w:r>
    </w:p>
    <w:p w14:paraId="03CF11CE">
      <w:pPr>
        <w:widowControl/>
        <w:numPr>
          <w:ilvl w:val="0"/>
          <w:numId w:val="0"/>
        </w:numPr>
        <w:adjustRightInd w:val="0"/>
        <w:snapToGrid w:val="0"/>
        <w:spacing w:before="0" w:beforeAutospacing="0" w:after="0" w:afterAutospacing="0" w:line="540" w:lineRule="exact"/>
        <w:ind w:left="0" w:right="0" w:firstLine="640" w:firstLineChars="200"/>
        <w:jc w:val="left"/>
        <w:rPr>
          <w:rFonts w:ascii="Times New Roman" w:hAnsi="Times New Roman" w:eastAsia="仿宋_GB2312" w:cs="Times New Roman"/>
          <w:kern w:val="2"/>
          <w:sz w:val="32"/>
          <w:szCs w:val="32"/>
          <w:lang w:val="zh-CN"/>
        </w:rPr>
      </w:pPr>
      <w:r>
        <w:rPr>
          <w:rFonts w:hint="eastAsia" w:ascii="仿宋_GB2312" w:hAnsi="仿宋_GB2312" w:eastAsia="仿宋_GB2312" w:cs="仿宋_GB2312"/>
          <w:color w:val="000000"/>
          <w:kern w:val="2"/>
          <w:sz w:val="32"/>
          <w:szCs w:val="32"/>
        </w:rPr>
        <w:t>20</w:t>
      </w:r>
      <w:r>
        <w:rPr>
          <w:rFonts w:hint="eastAsia" w:ascii="仿宋_GB2312" w:hAnsi="仿宋_GB2312" w:eastAsia="仿宋_GB2312" w:cs="仿宋_GB2312"/>
          <w:color w:val="000000"/>
          <w:kern w:val="2"/>
          <w:sz w:val="32"/>
          <w:szCs w:val="32"/>
          <w:lang w:val="en-US" w:eastAsia="zh-CN"/>
        </w:rPr>
        <w:t>23</w:t>
      </w:r>
      <w:r>
        <w:rPr>
          <w:rFonts w:hint="eastAsia" w:ascii="仿宋_GB2312" w:hAnsi="仿宋_GB2312" w:eastAsia="仿宋_GB2312" w:cs="仿宋_GB2312"/>
          <w:color w:val="000000"/>
          <w:kern w:val="2"/>
          <w:sz w:val="32"/>
          <w:szCs w:val="32"/>
        </w:rPr>
        <w:t>年部门总支出</w:t>
      </w:r>
      <w:r>
        <w:rPr>
          <w:rFonts w:hint="eastAsia" w:ascii="仿宋_GB2312" w:hAnsi="仿宋" w:eastAsia="仿宋_GB2312" w:cs="宋体"/>
          <w:color w:val="000000"/>
          <w:kern w:val="0"/>
          <w:sz w:val="32"/>
          <w:szCs w:val="32"/>
          <w:shd w:val="clear" w:color="auto" w:fill="FFFFFF"/>
          <w:lang w:val="en-US" w:eastAsia="zh-CN"/>
        </w:rPr>
        <w:t>11913.35</w:t>
      </w:r>
      <w:r>
        <w:rPr>
          <w:rFonts w:hint="eastAsia" w:ascii="仿宋_GB2312" w:hAnsi="仿宋_GB2312" w:eastAsia="仿宋_GB2312" w:cs="仿宋_GB2312"/>
          <w:color w:val="000000"/>
          <w:kern w:val="2"/>
          <w:sz w:val="32"/>
          <w:szCs w:val="32"/>
        </w:rPr>
        <w:t>万元，其中：基本支出</w:t>
      </w:r>
      <w:r>
        <w:rPr>
          <w:rFonts w:hint="eastAsia" w:ascii="仿宋_GB2312" w:hAnsi="仿宋_GB2312" w:eastAsia="仿宋_GB2312" w:cs="仿宋_GB2312"/>
          <w:color w:val="000000"/>
          <w:kern w:val="2"/>
          <w:sz w:val="32"/>
          <w:szCs w:val="32"/>
          <w:lang w:val="en-US" w:eastAsia="zh-CN"/>
        </w:rPr>
        <w:t>1654.23</w:t>
      </w:r>
      <w:r>
        <w:rPr>
          <w:rFonts w:hint="eastAsia" w:ascii="仿宋_GB2312" w:hAnsi="仿宋_GB2312" w:eastAsia="仿宋_GB2312" w:cs="仿宋_GB2312"/>
          <w:color w:val="000000"/>
          <w:kern w:val="2"/>
          <w:sz w:val="32"/>
          <w:szCs w:val="32"/>
        </w:rPr>
        <w:t>万元，占总支出的</w:t>
      </w:r>
      <w:r>
        <w:rPr>
          <w:rFonts w:hint="eastAsia" w:ascii="仿宋_GB2312" w:hAnsi="仿宋_GB2312" w:eastAsia="仿宋_GB2312" w:cs="仿宋_GB2312"/>
          <w:color w:val="000000"/>
          <w:kern w:val="2"/>
          <w:sz w:val="32"/>
          <w:szCs w:val="32"/>
          <w:lang w:val="en-US" w:eastAsia="zh-CN"/>
        </w:rPr>
        <w:t>13.89</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人员经费支出1598.39万元；公用经费支出55.84万元；</w:t>
      </w:r>
      <w:r>
        <w:rPr>
          <w:rFonts w:hint="eastAsia" w:ascii="仿宋_GB2312" w:hAnsi="仿宋_GB2312" w:eastAsia="仿宋_GB2312" w:cs="仿宋_GB2312"/>
          <w:color w:val="000000"/>
          <w:kern w:val="2"/>
          <w:sz w:val="32"/>
          <w:szCs w:val="32"/>
        </w:rPr>
        <w:t>项目支出</w:t>
      </w:r>
      <w:r>
        <w:rPr>
          <w:rFonts w:hint="eastAsia" w:ascii="仿宋_GB2312" w:hAnsi="仿宋_GB2312" w:eastAsia="仿宋_GB2312" w:cs="仿宋_GB2312"/>
          <w:color w:val="000000"/>
          <w:kern w:val="2"/>
          <w:sz w:val="32"/>
          <w:szCs w:val="32"/>
          <w:lang w:val="en-US" w:eastAsia="zh-CN"/>
        </w:rPr>
        <w:t>10259.12</w:t>
      </w:r>
      <w:r>
        <w:rPr>
          <w:rFonts w:hint="eastAsia" w:ascii="仿宋_GB2312" w:hAnsi="仿宋_GB2312" w:eastAsia="仿宋_GB2312" w:cs="仿宋_GB2312"/>
          <w:color w:val="000000"/>
          <w:kern w:val="2"/>
          <w:sz w:val="32"/>
          <w:szCs w:val="32"/>
        </w:rPr>
        <w:t>万元，占总支出的</w:t>
      </w:r>
      <w:r>
        <w:rPr>
          <w:rFonts w:hint="eastAsia" w:ascii="仿宋_GB2312" w:hAnsi="仿宋_GB2312" w:eastAsia="仿宋_GB2312" w:cs="仿宋_GB2312"/>
          <w:color w:val="000000"/>
          <w:kern w:val="2"/>
          <w:sz w:val="32"/>
          <w:szCs w:val="32"/>
          <w:lang w:val="en-US" w:eastAsia="zh-CN"/>
        </w:rPr>
        <w:t>86.11</w:t>
      </w:r>
      <w:r>
        <w:rPr>
          <w:rFonts w:hint="eastAsia" w:ascii="仿宋_GB2312" w:hAnsi="仿宋_GB2312" w:eastAsia="仿宋_GB2312" w:cs="仿宋_GB2312"/>
          <w:color w:val="000000"/>
          <w:kern w:val="2"/>
          <w:sz w:val="32"/>
          <w:szCs w:val="32"/>
        </w:rPr>
        <w:t>％。按支出功能科目分类：工资福利支出</w:t>
      </w:r>
      <w:r>
        <w:rPr>
          <w:rFonts w:hint="eastAsia" w:ascii="仿宋_GB2312" w:hAnsi="仿宋_GB2312" w:eastAsia="仿宋_GB2312" w:cs="仿宋_GB2312"/>
          <w:color w:val="000000"/>
          <w:kern w:val="2"/>
          <w:sz w:val="32"/>
          <w:szCs w:val="32"/>
          <w:lang w:val="en-US" w:eastAsia="zh-CN"/>
        </w:rPr>
        <w:t>1530.24</w:t>
      </w:r>
      <w:r>
        <w:rPr>
          <w:rFonts w:hint="eastAsia" w:ascii="仿宋_GB2312" w:hAnsi="仿宋_GB2312" w:eastAsia="仿宋_GB2312" w:cs="仿宋_GB2312"/>
          <w:color w:val="000000"/>
          <w:kern w:val="2"/>
          <w:sz w:val="32"/>
          <w:szCs w:val="32"/>
        </w:rPr>
        <w:t>万元，商品服务支出</w:t>
      </w:r>
      <w:r>
        <w:rPr>
          <w:rFonts w:hint="eastAsia" w:ascii="仿宋_GB2312" w:hAnsi="仿宋_GB2312" w:eastAsia="仿宋_GB2312" w:cs="仿宋_GB2312"/>
          <w:color w:val="000000"/>
          <w:kern w:val="2"/>
          <w:sz w:val="32"/>
          <w:szCs w:val="32"/>
          <w:lang w:val="en-US" w:eastAsia="zh-CN"/>
        </w:rPr>
        <w:t>1987.75</w:t>
      </w:r>
      <w:r>
        <w:rPr>
          <w:rFonts w:hint="eastAsia" w:ascii="仿宋_GB2312" w:hAnsi="仿宋_GB2312" w:eastAsia="仿宋_GB2312" w:cs="仿宋_GB2312"/>
          <w:color w:val="000000"/>
          <w:kern w:val="2"/>
          <w:sz w:val="32"/>
          <w:szCs w:val="32"/>
        </w:rPr>
        <w:t>万元，对个人和家庭补助</w:t>
      </w:r>
      <w:r>
        <w:rPr>
          <w:rFonts w:hint="eastAsia" w:ascii="仿宋_GB2312" w:hAnsi="仿宋_GB2312" w:eastAsia="仿宋_GB2312" w:cs="仿宋_GB2312"/>
          <w:color w:val="000000"/>
          <w:kern w:val="2"/>
          <w:sz w:val="32"/>
          <w:szCs w:val="32"/>
          <w:lang w:val="en-US" w:eastAsia="zh-CN"/>
        </w:rPr>
        <w:t>2321.38</w:t>
      </w:r>
      <w:r>
        <w:rPr>
          <w:rFonts w:hint="eastAsia" w:ascii="仿宋_GB2312" w:hAnsi="仿宋_GB2312" w:eastAsia="仿宋_GB2312" w:cs="仿宋_GB2312"/>
          <w:color w:val="000000"/>
          <w:kern w:val="2"/>
          <w:sz w:val="32"/>
          <w:szCs w:val="32"/>
        </w:rPr>
        <w:t>万元，其他资本性支出</w:t>
      </w:r>
      <w:r>
        <w:rPr>
          <w:rFonts w:hint="eastAsia" w:ascii="仿宋_GB2312" w:hAnsi="仿宋_GB2312" w:eastAsia="仿宋_GB2312" w:cs="仿宋_GB2312"/>
          <w:color w:val="000000"/>
          <w:kern w:val="2"/>
          <w:sz w:val="32"/>
          <w:szCs w:val="32"/>
          <w:lang w:val="en-US" w:eastAsia="zh-CN"/>
        </w:rPr>
        <w:t>5178.52</w:t>
      </w:r>
      <w:r>
        <w:rPr>
          <w:rFonts w:hint="eastAsia" w:ascii="仿宋_GB2312" w:hAnsi="仿宋_GB2312" w:eastAsia="仿宋_GB2312" w:cs="仿宋_GB2312"/>
          <w:color w:val="000000"/>
          <w:kern w:val="2"/>
          <w:sz w:val="32"/>
          <w:szCs w:val="32"/>
        </w:rPr>
        <w:t>万元，对企业补贴</w:t>
      </w:r>
      <w:r>
        <w:rPr>
          <w:rFonts w:hint="eastAsia" w:ascii="仿宋_GB2312" w:hAnsi="仿宋_GB2312" w:eastAsia="仿宋_GB2312" w:cs="仿宋_GB2312"/>
          <w:color w:val="000000"/>
          <w:kern w:val="2"/>
          <w:sz w:val="32"/>
          <w:szCs w:val="32"/>
          <w:lang w:val="en-US" w:eastAsia="zh-CN"/>
        </w:rPr>
        <w:t>895.46</w:t>
      </w:r>
      <w:r>
        <w:rPr>
          <w:rFonts w:hint="eastAsia" w:ascii="仿宋_GB2312" w:hAnsi="仿宋_GB2312" w:eastAsia="仿宋_GB2312" w:cs="仿宋_GB2312"/>
          <w:color w:val="000000"/>
          <w:kern w:val="2"/>
          <w:sz w:val="32"/>
          <w:szCs w:val="32"/>
        </w:rPr>
        <w:t>万元。</w:t>
      </w:r>
    </w:p>
    <w:p w14:paraId="1A2525E8">
      <w:pPr>
        <w:widowControl/>
        <w:numPr>
          <w:ilvl w:val="0"/>
          <w:numId w:val="1"/>
        </w:numPr>
        <w:adjustRightInd w:val="0"/>
        <w:snapToGrid w:val="0"/>
        <w:spacing w:before="0" w:beforeAutospacing="0" w:after="0" w:afterAutospacing="0" w:line="540" w:lineRule="exact"/>
        <w:ind w:left="0" w:right="0" w:firstLine="720"/>
        <w:jc w:val="left"/>
        <w:outlineLvl w:val="2"/>
        <w:rPr>
          <w:rFonts w:hint="default" w:ascii="Times New Roman" w:hAnsi="Times New Roman" w:eastAsia="楷体_GB2312" w:cs="Times New Roman"/>
          <w:b/>
          <w:bCs/>
          <w:color w:val="000000"/>
          <w:kern w:val="0"/>
          <w:sz w:val="32"/>
          <w:szCs w:val="32"/>
          <w:shd w:val="clear" w:color="auto" w:fill="FFFFFF"/>
          <w:lang w:val="en-US" w:eastAsia="zh-CN"/>
        </w:rPr>
      </w:pPr>
      <w:r>
        <w:rPr>
          <w:rFonts w:hint="eastAsia" w:ascii="Times New Roman" w:hAnsi="Times New Roman" w:eastAsia="楷体_GB2312" w:cs="Times New Roman"/>
          <w:b/>
          <w:bCs/>
          <w:color w:val="000000"/>
          <w:kern w:val="0"/>
          <w:sz w:val="32"/>
          <w:szCs w:val="32"/>
          <w:shd w:val="clear" w:color="auto" w:fill="FFFFFF"/>
          <w:lang w:val="zh-CN"/>
        </w:rPr>
        <w:t>结余分配和结转结余情况。</w:t>
      </w:r>
    </w:p>
    <w:p w14:paraId="57F5CB37">
      <w:pPr>
        <w:widowControl/>
        <w:adjustRightInd w:val="0"/>
        <w:snapToGrid w:val="0"/>
        <w:spacing w:before="0" w:beforeAutospacing="0" w:after="0" w:afterAutospacing="0" w:line="560" w:lineRule="exact"/>
        <w:ind w:left="0" w:right="0"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rPr>
        <w:t>2023</w:t>
      </w:r>
      <w:r>
        <w:rPr>
          <w:rFonts w:hint="eastAsia" w:ascii="仿宋_GB2312" w:hAnsi="宋体" w:eastAsia="仿宋_GB2312" w:cs="宋体"/>
          <w:color w:val="000000"/>
          <w:kern w:val="0"/>
          <w:sz w:val="32"/>
          <w:szCs w:val="32"/>
          <w:shd w:val="clear" w:color="auto" w:fill="FFFFFF"/>
        </w:rPr>
        <w:t>年茂县</w:t>
      </w:r>
      <w:r>
        <w:rPr>
          <w:rFonts w:hint="eastAsia" w:ascii="仿宋_GB2312" w:hAnsi="宋体" w:eastAsia="仿宋_GB2312" w:cs="宋体"/>
          <w:color w:val="000000"/>
          <w:kern w:val="0"/>
          <w:sz w:val="32"/>
          <w:szCs w:val="32"/>
          <w:shd w:val="clear" w:color="auto" w:fill="FFFFFF"/>
          <w:lang w:val="en-US" w:eastAsia="zh-CN"/>
        </w:rPr>
        <w:t>科学技术和农业畜牧局</w:t>
      </w:r>
      <w:r>
        <w:rPr>
          <w:rFonts w:hint="eastAsia" w:ascii="仿宋_GB2312" w:hAnsi="宋体" w:eastAsia="仿宋_GB2312" w:cs="宋体"/>
          <w:color w:val="000000"/>
          <w:kern w:val="0"/>
          <w:sz w:val="32"/>
          <w:szCs w:val="32"/>
          <w:shd w:val="clear" w:color="auto" w:fill="FFFFFF"/>
        </w:rPr>
        <w:t>无结余分配和结转结余资金。</w:t>
      </w:r>
    </w:p>
    <w:p w14:paraId="455402FA">
      <w:pPr>
        <w:widowControl/>
        <w:adjustRightInd w:val="0"/>
        <w:snapToGrid w:val="0"/>
        <w:spacing w:before="0" w:beforeAutospacing="0" w:after="0" w:afterAutospacing="0" w:line="578" w:lineRule="exact"/>
        <w:ind w:left="0" w:right="0" w:firstLine="640" w:firstLineChars="200"/>
        <w:contextualSpacing/>
        <w:jc w:val="left"/>
        <w:outlineLvl w:val="1"/>
        <w:rPr>
          <w:rFonts w:ascii="Times New Roman" w:hAnsi="Times New Roman" w:eastAsia="黑体" w:cs="Times New Roman"/>
          <w:color w:val="000000"/>
          <w:kern w:val="0"/>
          <w:sz w:val="32"/>
          <w:szCs w:val="32"/>
          <w:highlight w:val="none"/>
          <w:shd w:val="clear" w:color="auto" w:fill="FFFFFF"/>
        </w:rPr>
      </w:pPr>
      <w:bookmarkStart w:id="121" w:name="_Toc25084"/>
      <w:bookmarkStart w:id="122" w:name="_Toc11624"/>
      <w:r>
        <w:rPr>
          <w:rFonts w:ascii="Times New Roman" w:hAnsi="Times New Roman" w:eastAsia="黑体" w:cs="Times New Roman"/>
          <w:color w:val="000000"/>
          <w:kern w:val="0"/>
          <w:sz w:val="32"/>
          <w:szCs w:val="32"/>
          <w:highlight w:val="none"/>
          <w:shd w:val="clear" w:color="auto" w:fill="FFFFFF"/>
        </w:rPr>
        <w:t>三、部门预算绩效分析</w:t>
      </w:r>
      <w:bookmarkEnd w:id="121"/>
      <w:bookmarkEnd w:id="122"/>
    </w:p>
    <w:p w14:paraId="77DD26E4">
      <w:pPr>
        <w:widowControl w:val="0"/>
        <w:adjustRightInd w:val="0"/>
        <w:snapToGrid w:val="0"/>
        <w:spacing w:before="0" w:beforeAutospacing="0" w:after="0" w:afterAutospacing="0" w:line="578" w:lineRule="exact"/>
        <w:ind w:left="0" w:right="0" w:firstLine="643" w:firstLineChars="200"/>
        <w:contextualSpacing/>
        <w:jc w:val="left"/>
        <w:outlineLvl w:val="2"/>
        <w:rPr>
          <w:rFonts w:ascii="Times New Roman" w:hAnsi="Times New Roman" w:eastAsia="仿宋_GB2312" w:cs="Times New Roman"/>
          <w:color w:val="000000"/>
          <w:kern w:val="0"/>
          <w:sz w:val="32"/>
          <w:szCs w:val="32"/>
          <w:highlight w:val="none"/>
          <w:shd w:val="clear" w:color="auto" w:fill="FFFFFF"/>
          <w:lang w:val="zh-CN"/>
        </w:rPr>
      </w:pPr>
      <w:r>
        <w:rPr>
          <w:rFonts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ascii="Times New Roman" w:hAnsi="Times New Roman" w:eastAsia="楷体_GB2312" w:cs="Times New Roman"/>
          <w:b/>
          <w:bCs/>
          <w:color w:val="000000"/>
          <w:kern w:val="0"/>
          <w:sz w:val="32"/>
          <w:szCs w:val="32"/>
          <w:highlight w:val="none"/>
          <w:shd w:val="clear" w:color="auto" w:fill="FFFFFF"/>
          <w:lang w:val="zh-CN"/>
        </w:rPr>
        <w:t>总体绩效分析。</w:t>
      </w:r>
    </w:p>
    <w:p w14:paraId="41943354">
      <w:pPr>
        <w:widowControl w:val="0"/>
        <w:adjustRightInd w:val="0"/>
        <w:snapToGrid w:val="0"/>
        <w:spacing w:before="0" w:beforeAutospacing="0" w:after="0" w:afterAutospacing="0" w:line="578" w:lineRule="exact"/>
        <w:ind w:left="0" w:right="0" w:firstLine="640" w:firstLineChars="200"/>
        <w:contextualSpacing/>
        <w:jc w:val="left"/>
        <w:rPr>
          <w:rFonts w:ascii="Times New Roman" w:hAnsi="Times New Roman" w:eastAsia="仿宋_GB2312"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Times New Roman" w:eastAsia="仿宋_GB2312" w:cs="Times New Roman"/>
          <w:color w:val="000000"/>
          <w:kern w:val="0"/>
          <w:sz w:val="32"/>
          <w:szCs w:val="32"/>
          <w:highlight w:val="none"/>
          <w:shd w:val="clear" w:color="auto" w:fill="FFFFFF"/>
          <w:lang w:val="zh-CN"/>
        </w:rPr>
        <w:t>本年度，本部门围绕核心职能目标，重点推进了以下</w:t>
      </w:r>
      <w:r>
        <w:rPr>
          <w:rFonts w:hint="eastAsia" w:ascii="仿宋_GB2312" w:hAnsi="Times New Roman" w:eastAsia="仿宋_GB2312" w:cs="Times New Roman"/>
          <w:color w:val="000000"/>
          <w:kern w:val="0"/>
          <w:sz w:val="32"/>
          <w:szCs w:val="32"/>
          <w:highlight w:val="none"/>
          <w:shd w:val="clear" w:color="auto" w:fill="FFFFFF"/>
          <w:lang w:val="en-US" w:eastAsia="zh-CN"/>
        </w:rPr>
        <w:t>几个</w:t>
      </w:r>
      <w:r>
        <w:rPr>
          <w:rFonts w:hint="eastAsia" w:ascii="仿宋_GB2312" w:hAnsi="Times New Roman" w:eastAsia="仿宋_GB2312" w:cs="Times New Roman"/>
          <w:color w:val="000000"/>
          <w:kern w:val="0"/>
          <w:sz w:val="32"/>
          <w:szCs w:val="32"/>
          <w:highlight w:val="none"/>
          <w:shd w:val="clear" w:color="auto" w:fill="FFFFFF"/>
          <w:lang w:val="zh-CN"/>
        </w:rPr>
        <w:t>方面的工作：现代农业发展工程</w:t>
      </w:r>
      <w:r>
        <w:rPr>
          <w:rFonts w:hint="eastAsia" w:ascii="Times New Roman" w:hAnsi="Times New Roman" w:eastAsia="仿宋_GB2312" w:cs="Times New Roman"/>
          <w:color w:val="000000"/>
          <w:kern w:val="0"/>
          <w:sz w:val="32"/>
          <w:szCs w:val="32"/>
          <w:highlight w:val="none"/>
          <w:shd w:val="clear" w:color="auto" w:fill="FFFFFF"/>
          <w:lang w:val="zh-CN"/>
        </w:rPr>
        <w:t>，农田建设，农业公共安全与生态资源保护利用工程，农业生产发展，乡村振兴。以培育现代农业园区、建设产业提质增效绿色发展示范基地为抓手，突出现代种业、农机装备等先导性支撑产业，大力发展川粮油、川猪、川菜、川果、川药、川牛羊等优势特色产业，推动农业产业链条延伸，做好灾后重建规划农业项目。建设高标准农田,有效改善项目区农田基础设施条件，提升耕地质量,提高粮食综合生产能力。改善农村面源污染、提升耕地质量。实施农村能源项目，提升沼渣、沼液、沼气综合利用水平，实现项目区域内农村生活污水无害化处理。开展农作物种子质量监督抽检和新品种试验，提升种子质量安全水平。有效预警植保重大病虫害，控制病虫危害损失。及时监测、发现并处置植物疫情，不恶性传播蔓延重大植物疫情，不发生重大农产品质量安全事件。完成全县耕地地力补贴9万亩，种粮补贴3.1万亩。建设乡村振兴先进乡镇2个，乡村振兴示范村22个，支持《四川省乡村振兴战略规划（2018-2022年）》确定的任务。</w:t>
      </w:r>
      <w:r>
        <w:rPr>
          <w:rFonts w:hint="eastAsia" w:ascii="仿宋_GB2312" w:hAnsi="Times New Roman" w:eastAsia="仿宋_GB2312" w:cs="Times New Roman"/>
          <w:color w:val="000000"/>
          <w:kern w:val="0"/>
          <w:sz w:val="32"/>
          <w:szCs w:val="32"/>
          <w:shd w:val="clear" w:color="auto" w:fill="FFFFFF"/>
          <w:lang w:val="zh-CN"/>
        </w:rPr>
        <w:t>绩效分析显示，各职能目标均超额完成，综合评分为15分。</w:t>
      </w:r>
    </w:p>
    <w:p w14:paraId="77597840">
      <w:pPr>
        <w:widowControl w:val="0"/>
        <w:adjustRightInd w:val="0"/>
        <w:snapToGrid w:val="0"/>
        <w:spacing w:before="0" w:beforeAutospacing="0" w:after="0" w:afterAutospacing="0" w:line="578" w:lineRule="exact"/>
        <w:ind w:left="0" w:right="0" w:firstLine="640" w:firstLineChars="200"/>
        <w:contextualSpacing/>
        <w:jc w:val="left"/>
        <w:rPr>
          <w:rFonts w:hint="eastAsia" w:ascii="仿宋_GB2312" w:hAnsi="仿宋" w:eastAsia="仿宋_GB2312" w:cs="宋体"/>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rPr>
        <w:t>2.</w:t>
      </w:r>
      <w:r>
        <w:rPr>
          <w:rFonts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zh-CN"/>
        </w:rPr>
        <w:t>本</w:t>
      </w:r>
      <w:r>
        <w:rPr>
          <w:rFonts w:hint="eastAsia" w:ascii="仿宋_GB2312" w:hAnsi="Times New Roman" w:eastAsia="仿宋_GB2312" w:cs="Times New Roman"/>
          <w:color w:val="000000"/>
          <w:kern w:val="0"/>
          <w:sz w:val="32"/>
          <w:szCs w:val="32"/>
          <w:shd w:val="clear" w:color="auto" w:fill="FFFFFF"/>
          <w:lang w:val="zh-CN"/>
        </w:rPr>
        <w:t>部门严格按照要求编制年初部门预算，确保预算编制的科学性和准确性。2023年本部门无统筹自有收入资金。本部门严控 “三公”经费、培训费、差旅费、办公设备购置费等一般性支出，2023年1至6月、1至1</w:t>
      </w:r>
      <w:r>
        <w:rPr>
          <w:rFonts w:hint="eastAsia" w:ascii="仿宋_GB2312" w:hAnsi="Times New Roman" w:eastAsia="仿宋_GB2312" w:cs="Times New Roman"/>
          <w:color w:val="000000"/>
          <w:kern w:val="0"/>
          <w:sz w:val="32"/>
          <w:szCs w:val="32"/>
          <w:shd w:val="clear" w:color="auto" w:fill="FFFFFF"/>
          <w:lang w:val="en-US" w:eastAsia="zh-CN"/>
        </w:rPr>
        <w:t>2</w:t>
      </w:r>
      <w:r>
        <w:rPr>
          <w:rFonts w:hint="eastAsia" w:ascii="仿宋_GB2312" w:hAnsi="Times New Roman" w:eastAsia="仿宋_GB2312" w:cs="Times New Roman"/>
          <w:color w:val="000000"/>
          <w:kern w:val="0"/>
          <w:sz w:val="32"/>
          <w:szCs w:val="32"/>
          <w:shd w:val="clear" w:color="auto" w:fill="FFFFFF"/>
          <w:lang w:val="zh-CN"/>
        </w:rPr>
        <w:t>月预算执行情况良好，2023年无部门整体预算结余资金。</w:t>
      </w:r>
      <w:r>
        <w:rPr>
          <w:rFonts w:hint="eastAsia" w:ascii="仿宋_GB2312" w:hAnsi="仿宋" w:eastAsia="仿宋_GB2312" w:cs="宋体"/>
          <w:color w:val="000000"/>
          <w:kern w:val="0"/>
          <w:sz w:val="32"/>
          <w:szCs w:val="32"/>
          <w:highlight w:val="none"/>
          <w:shd w:val="clear" w:color="auto" w:fill="FFFFFF"/>
          <w:lang w:val="zh-CN"/>
        </w:rPr>
        <w:t>20</w:t>
      </w:r>
      <w:r>
        <w:rPr>
          <w:rFonts w:hint="eastAsia" w:ascii="仿宋_GB2312" w:hAnsi="仿宋" w:eastAsia="仿宋_GB2312" w:cs="宋体"/>
          <w:color w:val="000000"/>
          <w:kern w:val="0"/>
          <w:sz w:val="32"/>
          <w:szCs w:val="32"/>
          <w:highlight w:val="none"/>
          <w:shd w:val="clear" w:color="auto" w:fill="FFFFFF"/>
          <w:lang w:val="en-US" w:eastAsia="zh-CN"/>
        </w:rPr>
        <w:t>23</w:t>
      </w:r>
      <w:r>
        <w:rPr>
          <w:rFonts w:hint="eastAsia" w:ascii="仿宋_GB2312" w:hAnsi="仿宋" w:eastAsia="仿宋_GB2312" w:cs="宋体"/>
          <w:color w:val="000000"/>
          <w:kern w:val="0"/>
          <w:sz w:val="32"/>
          <w:szCs w:val="32"/>
          <w:highlight w:val="none"/>
          <w:shd w:val="clear" w:color="auto" w:fill="FFFFFF"/>
          <w:lang w:val="zh-CN"/>
        </w:rPr>
        <w:t>年</w:t>
      </w:r>
      <w:r>
        <w:rPr>
          <w:rFonts w:hint="eastAsia" w:ascii="仿宋_GB2312" w:hAnsi="仿宋" w:eastAsia="仿宋_GB2312" w:cs="宋体"/>
          <w:color w:val="000000"/>
          <w:kern w:val="0"/>
          <w:sz w:val="32"/>
          <w:szCs w:val="32"/>
          <w:highlight w:val="none"/>
          <w:shd w:val="clear" w:color="auto" w:fill="FFFFFF"/>
          <w:lang w:val="en-US" w:eastAsia="zh-CN"/>
        </w:rPr>
        <w:t>本部门</w:t>
      </w:r>
      <w:r>
        <w:rPr>
          <w:rFonts w:hint="eastAsia" w:ascii="仿宋_GB2312" w:hAnsi="仿宋" w:eastAsia="仿宋_GB2312" w:cs="宋体"/>
          <w:color w:val="000000"/>
          <w:kern w:val="0"/>
          <w:sz w:val="32"/>
          <w:szCs w:val="32"/>
          <w:highlight w:val="none"/>
          <w:shd w:val="clear" w:color="auto" w:fill="FFFFFF"/>
          <w:lang w:val="zh-CN"/>
        </w:rPr>
        <w:t>按照县财政局相关股室的要求按时报表、对账，完成本</w:t>
      </w:r>
      <w:r>
        <w:rPr>
          <w:rFonts w:hint="eastAsia" w:ascii="仿宋_GB2312" w:hAnsi="仿宋" w:eastAsia="仿宋_GB2312" w:cs="宋体"/>
          <w:color w:val="000000"/>
          <w:kern w:val="0"/>
          <w:sz w:val="32"/>
          <w:szCs w:val="32"/>
          <w:highlight w:val="none"/>
          <w:shd w:val="clear" w:color="auto" w:fill="FFFFFF"/>
          <w:lang w:val="en-US" w:eastAsia="zh-CN"/>
        </w:rPr>
        <w:t>部门</w:t>
      </w:r>
      <w:r>
        <w:rPr>
          <w:rFonts w:hint="eastAsia" w:ascii="仿宋_GB2312" w:hAnsi="仿宋" w:eastAsia="仿宋_GB2312" w:cs="宋体"/>
          <w:color w:val="000000"/>
          <w:kern w:val="0"/>
          <w:sz w:val="32"/>
          <w:szCs w:val="32"/>
          <w:highlight w:val="none"/>
          <w:shd w:val="clear" w:color="auto" w:fill="FFFFFF"/>
          <w:lang w:val="zh-CN"/>
        </w:rPr>
        <w:t>财务管理、预决算组织、编报、审核工作，</w:t>
      </w:r>
      <w:r>
        <w:rPr>
          <w:rFonts w:hint="eastAsia" w:ascii="仿宋_GB2312" w:hAnsi="Times New Roman" w:eastAsia="仿宋_GB2312" w:cs="Times New Roman"/>
          <w:color w:val="000000"/>
          <w:kern w:val="0"/>
          <w:sz w:val="32"/>
          <w:szCs w:val="32"/>
          <w:shd w:val="clear" w:color="auto" w:fill="FFFFFF"/>
          <w:lang w:val="zh-CN"/>
        </w:rPr>
        <w:t>综合评分为</w:t>
      </w:r>
      <w:r>
        <w:rPr>
          <w:rFonts w:ascii="仿宋_GB2312" w:hAnsi="Times New Roman" w:eastAsia="仿宋_GB2312" w:cs="Times New Roman"/>
          <w:color w:val="000000"/>
          <w:kern w:val="0"/>
          <w:sz w:val="32"/>
          <w:szCs w:val="32"/>
          <w:shd w:val="clear" w:color="auto" w:fill="FFFFFF"/>
          <w:lang w:val="zh-CN"/>
        </w:rPr>
        <w:t>24.5</w:t>
      </w:r>
      <w:r>
        <w:rPr>
          <w:rFonts w:hint="eastAsia" w:ascii="仿宋_GB2312" w:hAnsi="Times New Roman" w:eastAsia="仿宋_GB2312" w:cs="Times New Roman"/>
          <w:color w:val="000000"/>
          <w:kern w:val="0"/>
          <w:sz w:val="32"/>
          <w:szCs w:val="32"/>
          <w:shd w:val="clear" w:color="auto" w:fill="FFFFFF"/>
          <w:lang w:val="zh-CN"/>
        </w:rPr>
        <w:t>分。</w:t>
      </w:r>
    </w:p>
    <w:p w14:paraId="462DD670">
      <w:pPr>
        <w:widowControl/>
        <w:adjustRightInd w:val="0"/>
        <w:snapToGrid w:val="0"/>
        <w:spacing w:before="0" w:beforeAutospacing="0" w:after="0" w:afterAutospacing="0" w:line="540" w:lineRule="exact"/>
        <w:ind w:left="0" w:right="0" w:firstLine="720"/>
        <w:jc w:val="left"/>
        <w:rPr>
          <w:rFonts w:hint="eastAsia" w:ascii="仿宋_GB2312" w:hAnsi="仿宋" w:eastAsia="仿宋_GB2312" w:cs="宋体"/>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rPr>
        <w:t>3.</w:t>
      </w:r>
      <w:r>
        <w:rPr>
          <w:rFonts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 w:eastAsia="仿宋_GB2312" w:cs="宋体"/>
          <w:color w:val="000000"/>
          <w:kern w:val="0"/>
          <w:sz w:val="32"/>
          <w:szCs w:val="32"/>
          <w:highlight w:val="none"/>
          <w:shd w:val="clear" w:color="auto" w:fill="FFFFFF"/>
          <w:lang w:val="en-US" w:eastAsia="zh-CN"/>
        </w:rPr>
        <w:t>本部门</w:t>
      </w:r>
      <w:r>
        <w:rPr>
          <w:rFonts w:hint="eastAsia" w:ascii="仿宋_GB2312" w:hAnsi="仿宋" w:eastAsia="仿宋_GB2312" w:cs="宋体"/>
          <w:color w:val="000000"/>
          <w:kern w:val="0"/>
          <w:sz w:val="32"/>
          <w:szCs w:val="32"/>
          <w:highlight w:val="none"/>
          <w:shd w:val="clear" w:color="auto" w:fill="FFFFFF"/>
          <w:lang w:val="zh-CN"/>
        </w:rPr>
        <w:t>严格按照《事业单位会计制度》等行业的相关财务制度</w:t>
      </w:r>
      <w:r>
        <w:rPr>
          <w:rFonts w:hint="eastAsia" w:ascii="仿宋_GB2312" w:hAnsi="仿宋" w:eastAsia="仿宋_GB2312" w:cs="宋体"/>
          <w:color w:val="000000"/>
          <w:kern w:val="0"/>
          <w:sz w:val="32"/>
          <w:szCs w:val="32"/>
          <w:shd w:val="clear" w:color="auto" w:fill="FFFFFF"/>
          <w:lang w:val="zh-CN"/>
        </w:rPr>
        <w:t>执行</w:t>
      </w:r>
      <w:r>
        <w:rPr>
          <w:rFonts w:hint="eastAsia" w:ascii="仿宋_GB2312" w:hAnsi="仿宋" w:eastAsia="仿宋_GB2312" w:cs="宋体"/>
          <w:color w:val="000000"/>
          <w:kern w:val="0"/>
          <w:sz w:val="32"/>
          <w:szCs w:val="32"/>
          <w:shd w:val="clear" w:color="auto" w:fill="FFFFFF"/>
          <w:lang w:val="en-US" w:eastAsia="zh-CN"/>
        </w:rPr>
        <w:t>部门</w:t>
      </w:r>
      <w:r>
        <w:rPr>
          <w:rFonts w:hint="eastAsia" w:ascii="仿宋_GB2312" w:hAnsi="仿宋" w:eastAsia="仿宋_GB2312" w:cs="宋体"/>
          <w:color w:val="000000"/>
          <w:kern w:val="0"/>
          <w:sz w:val="32"/>
          <w:szCs w:val="32"/>
          <w:shd w:val="clear" w:color="auto" w:fill="FFFFFF"/>
          <w:lang w:val="zh-CN"/>
        </w:rPr>
        <w:t>支出及设置会计账簿、会计凭证、财务会计报告，加强票据审批报销管理，规范会计核算和账务处理。按要求在规定的时间内，对本</w:t>
      </w:r>
      <w:r>
        <w:rPr>
          <w:rFonts w:hint="eastAsia" w:ascii="仿宋_GB2312" w:hAnsi="仿宋" w:eastAsia="仿宋_GB2312" w:cs="宋体"/>
          <w:color w:val="000000"/>
          <w:kern w:val="0"/>
          <w:sz w:val="32"/>
          <w:szCs w:val="32"/>
          <w:shd w:val="clear" w:color="auto" w:fill="FFFFFF"/>
          <w:lang w:val="en-US" w:eastAsia="zh-CN"/>
        </w:rPr>
        <w:t>部门</w:t>
      </w:r>
      <w:r>
        <w:rPr>
          <w:rFonts w:hint="eastAsia" w:ascii="仿宋_GB2312" w:hAnsi="仿宋" w:eastAsia="仿宋_GB2312" w:cs="宋体"/>
          <w:color w:val="000000"/>
          <w:kern w:val="0"/>
          <w:sz w:val="32"/>
          <w:szCs w:val="32"/>
          <w:shd w:val="clear" w:color="auto" w:fill="FFFFFF"/>
          <w:lang w:val="zh-CN"/>
        </w:rPr>
        <w:t>的预算和决算进行了公开。</w:t>
      </w:r>
      <w:r>
        <w:rPr>
          <w:rFonts w:hint="eastAsia" w:ascii="仿宋_GB2312" w:hAnsi="仿宋" w:eastAsia="仿宋_GB2312" w:cs="宋体"/>
          <w:color w:val="000000"/>
          <w:kern w:val="0"/>
          <w:sz w:val="32"/>
          <w:szCs w:val="32"/>
          <w:shd w:val="clear" w:color="auto" w:fill="FFFFFF"/>
          <w:lang w:val="en-US" w:eastAsia="zh-CN"/>
        </w:rPr>
        <w:t>本部门</w:t>
      </w:r>
      <w:r>
        <w:rPr>
          <w:rFonts w:hint="eastAsia" w:ascii="仿宋_GB2312" w:hAnsi="仿宋" w:eastAsia="仿宋_GB2312" w:cs="宋体"/>
          <w:color w:val="000000"/>
          <w:kern w:val="0"/>
          <w:sz w:val="32"/>
          <w:szCs w:val="32"/>
          <w:shd w:val="clear" w:color="auto" w:fill="FFFFFF"/>
          <w:lang w:val="zh-CN"/>
        </w:rPr>
        <w:t>建立了严格的财务管理制度、由会计专人负责预决算报表录制、编报、审核工作。按照中央和省项目资金管理要求，建立健全资金管理制度，对项目资金实行专户存储、分项核算、按内容分别设明细账、专款专用、封闭运行。项目资金的发放由村公示、</w:t>
      </w:r>
      <w:r>
        <w:rPr>
          <w:rFonts w:hint="eastAsia" w:ascii="仿宋_GB2312" w:hAnsi="仿宋" w:eastAsia="仿宋_GB2312" w:cs="宋体"/>
          <w:color w:val="000000"/>
          <w:kern w:val="0"/>
          <w:sz w:val="32"/>
          <w:szCs w:val="32"/>
          <w:shd w:val="clear" w:color="auto" w:fill="FFFFFF"/>
          <w:lang w:val="en-US" w:eastAsia="zh-CN"/>
        </w:rPr>
        <w:t>镇</w:t>
      </w:r>
      <w:r>
        <w:rPr>
          <w:rFonts w:hint="eastAsia" w:ascii="仿宋_GB2312" w:hAnsi="仿宋" w:eastAsia="仿宋_GB2312" w:cs="宋体"/>
          <w:color w:val="000000"/>
          <w:kern w:val="0"/>
          <w:sz w:val="32"/>
          <w:szCs w:val="32"/>
          <w:shd w:val="clear" w:color="auto" w:fill="FFFFFF"/>
          <w:lang w:val="zh-CN"/>
        </w:rPr>
        <w:t>审查、项目责任人签字、县财政审核、县信用联社或农业银行以“一卡通”形式兑现农户，纪委监察进行监督，切实加强资金使用监督管理，确保资金使用安全，发挥最大效益。在全县项目资金兑现过程中，没有出现骗取、套取、挤占挪用、虚列支出、贪污或其他违规违纪使用资金的现象。</w:t>
      </w:r>
      <w:r>
        <w:rPr>
          <w:rFonts w:hint="eastAsia" w:ascii="仿宋_GB2312" w:hAnsi="楷体_GB2312" w:eastAsia="仿宋_GB2312" w:cs="楷体_GB2312"/>
          <w:color w:val="000000"/>
          <w:kern w:val="0"/>
          <w:sz w:val="32"/>
          <w:szCs w:val="32"/>
          <w:shd w:val="clear" w:color="auto" w:fill="FFFFFF"/>
          <w:lang w:val="zh-CN"/>
        </w:rPr>
        <w:t>本部门</w:t>
      </w:r>
      <w:r>
        <w:rPr>
          <w:rFonts w:hint="eastAsia" w:ascii="Times New Roman" w:hAnsi="Times New Roman" w:eastAsia="仿宋_GB2312" w:cs="Times New Roman"/>
          <w:color w:val="000000"/>
          <w:kern w:val="0"/>
          <w:sz w:val="32"/>
          <w:szCs w:val="32"/>
          <w:shd w:val="clear" w:color="auto" w:fill="FFFFFF"/>
          <w:lang w:val="zh-CN"/>
        </w:rPr>
        <w:t>财务管理制度健全，财务岗位设置合理，资金使用规范，</w:t>
      </w:r>
      <w:r>
        <w:rPr>
          <w:rFonts w:hint="eastAsia" w:ascii="仿宋_GB2312" w:hAnsi="Times New Roman" w:eastAsia="仿宋_GB2312" w:cs="Times New Roman"/>
          <w:color w:val="000000"/>
          <w:kern w:val="0"/>
          <w:sz w:val="32"/>
          <w:szCs w:val="32"/>
          <w:shd w:val="clear" w:color="auto" w:fill="FFFFFF"/>
          <w:lang w:val="zh-CN"/>
        </w:rPr>
        <w:t>综合评分为</w:t>
      </w:r>
      <w:r>
        <w:rPr>
          <w:rFonts w:ascii="仿宋_GB2312" w:hAnsi="Times New Roman" w:eastAsia="仿宋_GB2312" w:cs="Times New Roman"/>
          <w:color w:val="000000"/>
          <w:kern w:val="0"/>
          <w:sz w:val="32"/>
          <w:szCs w:val="32"/>
          <w:shd w:val="clear" w:color="auto" w:fill="FFFFFF"/>
          <w:lang w:val="zh-CN"/>
        </w:rPr>
        <w:t>10</w:t>
      </w:r>
      <w:r>
        <w:rPr>
          <w:rFonts w:hint="eastAsia" w:ascii="仿宋_GB2312" w:hAnsi="Times New Roman" w:eastAsia="仿宋_GB2312" w:cs="Times New Roman"/>
          <w:color w:val="000000"/>
          <w:kern w:val="0"/>
          <w:sz w:val="32"/>
          <w:szCs w:val="32"/>
          <w:shd w:val="clear" w:color="auto" w:fill="FFFFFF"/>
          <w:lang w:val="zh-CN"/>
        </w:rPr>
        <w:t>分。</w:t>
      </w:r>
    </w:p>
    <w:p w14:paraId="2D54DF0E">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outlineLvl w:val="3"/>
        <w:rPr>
          <w:rFonts w:ascii="仿宋_GB2312" w:hAnsi="楷体_GB2312" w:eastAsia="仿宋_GB2312" w:cs="楷体_GB2312"/>
          <w:color w:val="000000"/>
          <w:kern w:val="0"/>
          <w:sz w:val="32"/>
          <w:szCs w:val="32"/>
          <w:shd w:val="clear" w:color="auto" w:fill="FFFFFF"/>
        </w:rPr>
      </w:pPr>
      <w:r>
        <w:rPr>
          <w:rFonts w:hint="eastAsia" w:ascii="楷体_GB2312" w:hAnsi="楷体_GB2312" w:eastAsia="楷体_GB2312" w:cs="楷体_GB2312"/>
          <w:color w:val="000000"/>
          <w:kern w:val="0"/>
          <w:sz w:val="32"/>
          <w:szCs w:val="32"/>
          <w:highlight w:val="none"/>
          <w:shd w:val="clear" w:color="auto" w:fill="FFFFFF"/>
        </w:rPr>
        <w:t>4.</w:t>
      </w:r>
      <w:r>
        <w:rPr>
          <w:rFonts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Times New Roman" w:eastAsia="仿宋_GB2312" w:cs="Times New Roman"/>
          <w:color w:val="000000"/>
          <w:kern w:val="0"/>
          <w:sz w:val="32"/>
          <w:szCs w:val="32"/>
          <w:shd w:val="clear" w:color="auto" w:fill="FFFFFF"/>
          <w:lang w:val="zh-CN"/>
        </w:rPr>
        <w:t>人均资产变化率、资产利用率等指标表现稳定，</w:t>
      </w:r>
      <w:r>
        <w:rPr>
          <w:rFonts w:hint="eastAsia" w:ascii="仿宋_GB2312" w:hAnsi="楷体_GB2312" w:eastAsia="仿宋_GB2312" w:cs="楷体_GB2312"/>
          <w:color w:val="000000"/>
          <w:kern w:val="0"/>
          <w:sz w:val="32"/>
          <w:szCs w:val="32"/>
          <w:shd w:val="clear" w:color="auto" w:fill="FFFFFF"/>
        </w:rPr>
        <w:t>无闲置一年以上资产，</w:t>
      </w:r>
      <w:r>
        <w:rPr>
          <w:rFonts w:hint="eastAsia" w:ascii="仿宋_GB2312" w:hAnsi="Times New Roman" w:eastAsia="仿宋_GB2312" w:cs="Times New Roman"/>
          <w:color w:val="000000"/>
          <w:kern w:val="0"/>
          <w:sz w:val="32"/>
          <w:szCs w:val="32"/>
          <w:shd w:val="clear" w:color="auto" w:fill="FFFFFF"/>
          <w:lang w:val="zh-CN"/>
        </w:rPr>
        <w:t>综合评分为</w:t>
      </w:r>
      <w:r>
        <w:rPr>
          <w:rFonts w:hint="eastAsia" w:ascii="仿宋_GB2312" w:hAnsi="Times New Roman" w:eastAsia="仿宋_GB2312" w:cs="Times New Roman"/>
          <w:color w:val="000000"/>
          <w:kern w:val="0"/>
          <w:sz w:val="32"/>
          <w:szCs w:val="32"/>
          <w:shd w:val="clear" w:color="auto" w:fill="FFFFFF"/>
          <w:lang w:val="en-US" w:eastAsia="zh-CN"/>
        </w:rPr>
        <w:t>9</w:t>
      </w:r>
      <w:r>
        <w:rPr>
          <w:rFonts w:hint="eastAsia" w:ascii="仿宋_GB2312" w:hAnsi="Times New Roman" w:eastAsia="仿宋_GB2312" w:cs="Times New Roman"/>
          <w:color w:val="000000"/>
          <w:kern w:val="0"/>
          <w:sz w:val="32"/>
          <w:szCs w:val="32"/>
          <w:shd w:val="clear" w:color="auto" w:fill="FFFFFF"/>
          <w:lang w:val="zh-CN"/>
        </w:rPr>
        <w:t>分。</w:t>
      </w:r>
    </w:p>
    <w:p w14:paraId="6834E5A4">
      <w:pPr>
        <w:widowControl w:val="0"/>
        <w:adjustRightInd w:val="0"/>
        <w:snapToGrid w:val="0"/>
        <w:spacing w:before="0" w:beforeAutospacing="0" w:after="0" w:afterAutospacing="0" w:line="578" w:lineRule="exact"/>
        <w:ind w:left="0" w:right="0" w:firstLine="640" w:firstLineChars="200"/>
        <w:contextualSpacing/>
        <w:jc w:val="left"/>
        <w:rPr>
          <w:rFonts w:ascii="楷体_GB2312" w:hAnsi="楷体_GB2312" w:eastAsia="楷体_GB2312" w:cs="楷体_GB2312"/>
          <w:color w:val="000000"/>
          <w:kern w:val="0"/>
          <w:sz w:val="32"/>
          <w:szCs w:val="32"/>
          <w:highlight w:val="yellow"/>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rPr>
        <w:t>5.</w:t>
      </w:r>
      <w:r>
        <w:rPr>
          <w:rFonts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仿宋" w:eastAsia="仿宋_GB2312" w:cs="宋体"/>
          <w:color w:val="000000"/>
          <w:kern w:val="0"/>
          <w:sz w:val="32"/>
          <w:szCs w:val="32"/>
          <w:shd w:val="clear" w:color="auto" w:fill="FFFFFF"/>
          <w:lang w:val="zh-CN"/>
        </w:rPr>
        <w:t>涉及政府采购的</w:t>
      </w:r>
      <w:r>
        <w:rPr>
          <w:rFonts w:hint="eastAsia" w:ascii="仿宋_GB2312" w:hAnsi="仿宋" w:eastAsia="仿宋_GB2312" w:cs="宋体"/>
          <w:color w:val="000000"/>
          <w:kern w:val="0"/>
          <w:sz w:val="32"/>
          <w:szCs w:val="32"/>
          <w:shd w:val="clear" w:color="auto" w:fill="FFFFFF"/>
          <w:lang w:val="en-US" w:eastAsia="zh-CN"/>
        </w:rPr>
        <w:t>本部门</w:t>
      </w:r>
      <w:r>
        <w:rPr>
          <w:rFonts w:hint="eastAsia" w:ascii="仿宋_GB2312" w:hAnsi="仿宋" w:eastAsia="仿宋_GB2312" w:cs="宋体"/>
          <w:color w:val="000000"/>
          <w:kern w:val="0"/>
          <w:sz w:val="32"/>
          <w:szCs w:val="32"/>
          <w:shd w:val="clear" w:color="auto" w:fill="FFFFFF"/>
          <w:lang w:val="zh-CN"/>
        </w:rPr>
        <w:t>严格按政府采购制度执行。在采购办公用品时严格按照文件精神，项目预算资金在限额标准以上的都通过填报《茂县政府采购计划申请表》向县财政申请，经审核批准后在组织实施。项目预算资金在限额标准以下的都通过填报《茂县政府采购备案表》经备案后</w:t>
      </w:r>
      <w:r>
        <w:rPr>
          <w:rFonts w:hint="eastAsia" w:ascii="仿宋_GB2312" w:hAnsi="仿宋" w:eastAsia="仿宋_GB2312" w:cs="宋体"/>
          <w:color w:val="000000"/>
          <w:kern w:val="0"/>
          <w:sz w:val="32"/>
          <w:szCs w:val="32"/>
          <w:shd w:val="clear" w:color="auto" w:fill="FFFFFF"/>
          <w:lang w:val="en-US" w:eastAsia="zh-CN"/>
        </w:rPr>
        <w:t>再</w:t>
      </w:r>
      <w:r>
        <w:rPr>
          <w:rFonts w:hint="eastAsia" w:ascii="仿宋_GB2312" w:hAnsi="仿宋" w:eastAsia="仿宋_GB2312" w:cs="宋体"/>
          <w:color w:val="000000"/>
          <w:kern w:val="0"/>
          <w:sz w:val="32"/>
          <w:szCs w:val="32"/>
          <w:shd w:val="clear" w:color="auto" w:fill="FFFFFF"/>
          <w:lang w:val="zh-CN"/>
        </w:rPr>
        <w:t>进行采购。</w:t>
      </w:r>
      <w:r>
        <w:rPr>
          <w:rFonts w:hint="eastAsia" w:ascii="Times New Roman" w:hAnsi="Times New Roman" w:eastAsia="仿宋_GB2312" w:cs="Times New Roman"/>
          <w:color w:val="000000"/>
          <w:kern w:val="0"/>
          <w:sz w:val="32"/>
          <w:szCs w:val="32"/>
          <w:shd w:val="clear" w:color="auto" w:fill="FFFFFF"/>
          <w:lang w:val="zh-CN"/>
        </w:rPr>
        <w:t>本部门严格执行政府采购促进中小企业发展相关管理办法，2</w:t>
      </w:r>
      <w:r>
        <w:rPr>
          <w:rFonts w:ascii="Times New Roman" w:hAnsi="Times New Roman" w:eastAsia="仿宋_GB2312" w:cs="Times New Roman"/>
          <w:color w:val="000000"/>
          <w:kern w:val="0"/>
          <w:sz w:val="32"/>
          <w:szCs w:val="32"/>
          <w:shd w:val="clear" w:color="auto" w:fill="FFFFFF"/>
          <w:lang w:val="zh-CN"/>
        </w:rPr>
        <w:t>023</w:t>
      </w:r>
      <w:r>
        <w:rPr>
          <w:rFonts w:hint="eastAsia" w:ascii="Times New Roman" w:hAnsi="Times New Roman" w:eastAsia="仿宋_GB2312" w:cs="Times New Roman"/>
          <w:color w:val="000000"/>
          <w:kern w:val="0"/>
          <w:sz w:val="32"/>
          <w:szCs w:val="32"/>
          <w:shd w:val="clear" w:color="auto" w:fill="FFFFFF"/>
          <w:lang w:val="zh-CN"/>
        </w:rPr>
        <w:t>年执行</w:t>
      </w:r>
      <w:r>
        <w:rPr>
          <w:rFonts w:hint="eastAsia" w:ascii="Times New Roman" w:hAnsi="Times New Roman" w:eastAsia="仿宋_GB2312" w:cs="Times New Roman"/>
          <w:color w:val="000000"/>
          <w:kern w:val="0"/>
          <w:sz w:val="32"/>
          <w:szCs w:val="32"/>
          <w:shd w:val="clear" w:color="auto" w:fill="FFFFFF"/>
          <w:lang w:val="en-US" w:eastAsia="zh-CN"/>
        </w:rPr>
        <w:t>的</w:t>
      </w:r>
      <w:r>
        <w:rPr>
          <w:rFonts w:hint="eastAsia" w:ascii="Times New Roman" w:hAnsi="Times New Roman" w:eastAsia="仿宋_GB2312" w:cs="Times New Roman"/>
          <w:color w:val="000000"/>
          <w:kern w:val="0"/>
          <w:sz w:val="32"/>
          <w:szCs w:val="32"/>
          <w:shd w:val="clear" w:color="auto" w:fill="FFFFFF"/>
          <w:lang w:val="zh-CN"/>
        </w:rPr>
        <w:t>采购</w:t>
      </w:r>
      <w:r>
        <w:rPr>
          <w:rFonts w:hint="eastAsia" w:ascii="Times New Roman" w:hAnsi="Times New Roman" w:eastAsia="仿宋_GB2312" w:cs="Times New Roman"/>
          <w:color w:val="000000"/>
          <w:kern w:val="0"/>
          <w:sz w:val="32"/>
          <w:szCs w:val="32"/>
          <w:shd w:val="clear" w:color="auto" w:fill="FFFFFF"/>
          <w:lang w:val="en-US" w:eastAsia="zh-CN"/>
        </w:rPr>
        <w:t>项目</w:t>
      </w:r>
      <w:r>
        <w:rPr>
          <w:rFonts w:hint="eastAsia" w:ascii="Times New Roman" w:hAnsi="Times New Roman" w:eastAsia="仿宋_GB2312" w:cs="Times New Roman"/>
          <w:color w:val="000000"/>
          <w:kern w:val="0"/>
          <w:sz w:val="32"/>
          <w:szCs w:val="32"/>
          <w:shd w:val="clear" w:color="auto" w:fill="FFFFFF"/>
          <w:lang w:val="zh-CN"/>
        </w:rPr>
        <w:t>，采购执行率</w:t>
      </w:r>
      <w:r>
        <w:rPr>
          <w:rFonts w:hint="eastAsia" w:ascii="Times New Roman" w:hAnsi="Times New Roman" w:eastAsia="仿宋_GB2312" w:cs="Times New Roman"/>
          <w:color w:val="000000"/>
          <w:kern w:val="0"/>
          <w:sz w:val="32"/>
          <w:szCs w:val="32"/>
          <w:shd w:val="clear" w:color="auto" w:fill="FFFFFF"/>
          <w:lang w:val="en-US" w:eastAsia="zh-CN"/>
        </w:rPr>
        <w:t>100</w:t>
      </w:r>
      <w:r>
        <w:rPr>
          <w:rFonts w:ascii="Times New Roman" w:hAnsi="Times New Roman" w:eastAsia="仿宋_GB2312" w:cs="Times New Roman"/>
          <w:color w:val="000000"/>
          <w:kern w:val="0"/>
          <w:sz w:val="32"/>
          <w:szCs w:val="32"/>
          <w:shd w:val="clear" w:color="auto" w:fill="FFFFFF"/>
          <w:lang w:val="zh-CN"/>
        </w:rPr>
        <w:t>%</w:t>
      </w:r>
      <w:r>
        <w:rPr>
          <w:rFonts w:hint="eastAsia" w:ascii="Times New Roman" w:hAnsi="Times New Roman" w:eastAsia="仿宋_GB2312" w:cs="Times New Roman"/>
          <w:color w:val="000000"/>
          <w:kern w:val="0"/>
          <w:sz w:val="32"/>
          <w:szCs w:val="32"/>
          <w:shd w:val="clear" w:color="auto" w:fill="FFFFFF"/>
          <w:lang w:val="zh-CN"/>
        </w:rPr>
        <w:t>，</w:t>
      </w:r>
      <w:r>
        <w:rPr>
          <w:rFonts w:hint="eastAsia" w:ascii="仿宋_GB2312" w:hAnsi="Times New Roman" w:eastAsia="仿宋_GB2312" w:cs="Times New Roman"/>
          <w:color w:val="000000"/>
          <w:kern w:val="0"/>
          <w:sz w:val="32"/>
          <w:szCs w:val="32"/>
          <w:shd w:val="clear" w:color="auto" w:fill="FFFFFF"/>
          <w:lang w:val="zh-CN"/>
        </w:rPr>
        <w:t>综合评分为</w:t>
      </w:r>
      <w:r>
        <w:rPr>
          <w:rFonts w:hint="eastAsia" w:ascii="仿宋_GB2312" w:hAnsi="Times New Roman" w:eastAsia="仿宋_GB2312" w:cs="Times New Roman"/>
          <w:color w:val="000000"/>
          <w:kern w:val="0"/>
          <w:sz w:val="32"/>
          <w:szCs w:val="32"/>
          <w:shd w:val="clear" w:color="auto" w:fill="FFFFFF"/>
          <w:lang w:val="en-US" w:eastAsia="zh-CN"/>
        </w:rPr>
        <w:t>6</w:t>
      </w:r>
      <w:r>
        <w:rPr>
          <w:rFonts w:hint="eastAsia" w:ascii="仿宋_GB2312" w:hAnsi="Times New Roman" w:eastAsia="仿宋_GB2312" w:cs="Times New Roman"/>
          <w:color w:val="000000"/>
          <w:kern w:val="0"/>
          <w:sz w:val="32"/>
          <w:szCs w:val="32"/>
          <w:shd w:val="clear" w:color="auto" w:fill="FFFFFF"/>
          <w:lang w:val="zh-CN"/>
        </w:rPr>
        <w:t>分。</w:t>
      </w:r>
    </w:p>
    <w:p w14:paraId="67519CD8">
      <w:pPr>
        <w:widowControl/>
        <w:adjustRightInd w:val="0"/>
        <w:snapToGrid w:val="0"/>
        <w:spacing w:before="0" w:beforeAutospacing="0" w:after="0" w:afterAutospacing="0" w:line="578" w:lineRule="exact"/>
        <w:ind w:left="0" w:right="0" w:firstLine="643" w:firstLineChars="200"/>
        <w:contextualSpacing/>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楷体_GB2312" w:cs="Times New Roman"/>
          <w:b/>
          <w:bCs/>
          <w:color w:val="000000"/>
          <w:kern w:val="0"/>
          <w:sz w:val="32"/>
          <w:szCs w:val="32"/>
          <w:shd w:val="clear" w:color="auto" w:fill="FFFFFF"/>
          <w:lang w:val="zh-CN"/>
        </w:rPr>
        <w:t>（二）部门预算项目绩效分析。</w:t>
      </w:r>
      <w:r>
        <w:rPr>
          <w:rFonts w:hint="eastAsia" w:ascii="Times New Roman" w:hAnsi="Times New Roman" w:eastAsia="仿宋_GB2312" w:cs="Times New Roman"/>
          <w:color w:val="000000"/>
          <w:kern w:val="0"/>
          <w:sz w:val="32"/>
          <w:szCs w:val="32"/>
          <w:shd w:val="clear" w:color="auto" w:fill="FFFFFF"/>
          <w:lang w:val="zh-CN"/>
        </w:rPr>
        <w:t>填报以下数据，并</w:t>
      </w:r>
      <w:r>
        <w:rPr>
          <w:rFonts w:ascii="Times New Roman" w:hAnsi="Times New Roman" w:eastAsia="仿宋_GB2312" w:cs="Times New Roman"/>
          <w:color w:val="000000"/>
          <w:kern w:val="0"/>
          <w:sz w:val="32"/>
          <w:szCs w:val="32"/>
          <w:shd w:val="clear" w:color="auto" w:fill="FFFFFF"/>
          <w:lang w:val="zh-CN"/>
        </w:rPr>
        <w:t>根据部门预算绩效评价指标体系“项目绩效”涉及</w:t>
      </w:r>
      <w:r>
        <w:rPr>
          <w:rFonts w:hint="eastAsia" w:ascii="Times New Roman" w:hAnsi="Times New Roman" w:eastAsia="仿宋_GB2312" w:cs="Times New Roman"/>
          <w:color w:val="000000"/>
          <w:kern w:val="0"/>
          <w:sz w:val="32"/>
          <w:szCs w:val="32"/>
          <w:shd w:val="clear" w:color="auto" w:fill="FFFFFF"/>
          <w:lang w:val="zh-CN"/>
        </w:rPr>
        <w:t>二、三级</w:t>
      </w:r>
      <w:r>
        <w:rPr>
          <w:rFonts w:ascii="Times New Roman" w:hAnsi="Times New Roman" w:eastAsia="仿宋_GB2312" w:cs="Times New Roman"/>
          <w:color w:val="000000"/>
          <w:kern w:val="0"/>
          <w:sz w:val="32"/>
          <w:szCs w:val="32"/>
          <w:shd w:val="clear" w:color="auto" w:fill="FFFFFF"/>
          <w:lang w:val="zh-CN"/>
        </w:rPr>
        <w:t>指标进行</w:t>
      </w:r>
      <w:r>
        <w:rPr>
          <w:rFonts w:hint="eastAsia" w:ascii="Times New Roman" w:hAnsi="Times New Roman" w:eastAsia="仿宋_GB2312" w:cs="Times New Roman"/>
          <w:color w:val="000000"/>
          <w:kern w:val="0"/>
          <w:sz w:val="32"/>
          <w:szCs w:val="32"/>
          <w:shd w:val="clear" w:color="auto" w:fill="FFFFFF"/>
          <w:lang w:val="zh-CN"/>
        </w:rPr>
        <w:t>逐项</w:t>
      </w:r>
      <w:r>
        <w:rPr>
          <w:rFonts w:ascii="Times New Roman" w:hAnsi="Times New Roman" w:eastAsia="仿宋_GB2312" w:cs="Times New Roman"/>
          <w:color w:val="000000"/>
          <w:kern w:val="0"/>
          <w:sz w:val="32"/>
          <w:szCs w:val="32"/>
          <w:shd w:val="clear" w:color="auto" w:fill="FFFFFF"/>
          <w:lang w:val="zh-CN"/>
        </w:rPr>
        <w:t>绩效分析</w:t>
      </w:r>
      <w:r>
        <w:rPr>
          <w:rFonts w:hint="eastAsia" w:ascii="Times New Roman" w:hAnsi="Times New Roman" w:eastAsia="仿宋_GB2312" w:cs="Times New Roman"/>
          <w:color w:val="000000"/>
          <w:kern w:val="0"/>
          <w:sz w:val="32"/>
          <w:szCs w:val="32"/>
          <w:shd w:val="clear" w:color="auto" w:fill="FFFFFF"/>
          <w:lang w:val="zh-CN"/>
        </w:rPr>
        <w:t>并评分</w:t>
      </w:r>
      <w:r>
        <w:rPr>
          <w:rFonts w:ascii="Times New Roman" w:hAnsi="Times New Roman" w:eastAsia="仿宋_GB2312" w:cs="Times New Roman"/>
          <w:color w:val="000000"/>
          <w:kern w:val="0"/>
          <w:sz w:val="32"/>
          <w:szCs w:val="32"/>
          <w:shd w:val="clear" w:color="auto" w:fill="FFFFFF"/>
          <w:lang w:val="zh-CN"/>
        </w:rPr>
        <w:t>，依次包括项目</w:t>
      </w:r>
      <w:r>
        <w:rPr>
          <w:rFonts w:ascii="Times New Roman" w:hAnsi="Times New Roman" w:eastAsia="仿宋_GB2312" w:cs="Times New Roman"/>
          <w:color w:val="000000"/>
          <w:kern w:val="0"/>
          <w:sz w:val="32"/>
          <w:szCs w:val="32"/>
          <w:shd w:val="clear" w:color="auto" w:fill="FFFFFF"/>
        </w:rPr>
        <w:t>决策、项目执行、目标实现等情况</w:t>
      </w:r>
      <w:r>
        <w:rPr>
          <w:rFonts w:hint="eastAsia" w:ascii="Times New Roman" w:hAnsi="Times New Roman" w:eastAsia="仿宋_GB2312" w:cs="Times New Roman"/>
          <w:color w:val="000000"/>
          <w:kern w:val="0"/>
          <w:sz w:val="32"/>
          <w:szCs w:val="32"/>
          <w:shd w:val="clear" w:color="auto" w:fill="FFFFFF"/>
        </w:rPr>
        <w:t>。</w:t>
      </w:r>
    </w:p>
    <w:p w14:paraId="4AC6BD32">
      <w:pPr>
        <w:widowControl w:val="0"/>
        <w:adjustRightInd w:val="0"/>
        <w:snapToGrid w:val="0"/>
        <w:spacing w:before="0" w:beforeAutospacing="0" w:after="0" w:afterAutospacing="0" w:line="578" w:lineRule="exact"/>
        <w:ind w:left="0" w:right="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常年项目绩效分析。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5C16F1CE">
      <w:pPr>
        <w:widowControl w:val="0"/>
        <w:adjustRightInd w:val="0"/>
        <w:snapToGrid w:val="0"/>
        <w:spacing w:before="0" w:beforeAutospacing="0" w:after="0" w:afterAutospacing="0" w:line="578" w:lineRule="exact"/>
        <w:ind w:left="0" w:right="0"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仿宋_GB2312" w:cs="Times New Roman"/>
          <w:color w:val="000000"/>
          <w:kern w:val="0"/>
          <w:sz w:val="32"/>
          <w:szCs w:val="32"/>
          <w:shd w:val="clear" w:color="auto" w:fill="FFFFFF"/>
        </w:rPr>
        <w:t>阶段</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一次性</w:t>
      </w:r>
      <w:r>
        <w:rPr>
          <w:rFonts w:hint="eastAsia" w:ascii="Times New Roman" w:hAnsi="Times New Roman" w:eastAsia="仿宋_GB2312" w:cs="Times New Roman"/>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项目绩效分析。</w:t>
      </w:r>
      <w:r>
        <w:rPr>
          <w:rFonts w:ascii="Times New Roman" w:hAnsi="Times New Roman" w:eastAsia="仿宋_GB2312" w:cs="Times New Roman"/>
          <w:color w:val="000000"/>
          <w:kern w:val="0"/>
          <w:sz w:val="32"/>
          <w:szCs w:val="32"/>
          <w:shd w:val="clear" w:color="auto" w:fill="FFFFFF"/>
          <w:lang w:val="zh-CN"/>
        </w:rPr>
        <w:t>该类项目总数</w:t>
      </w:r>
      <w:r>
        <w:rPr>
          <w:rFonts w:hint="eastAsia" w:ascii="Times New Roman" w:hAnsi="Times New Roman" w:eastAsia="仿宋_GB2312" w:cs="Times New Roman"/>
          <w:color w:val="000000"/>
          <w:kern w:val="0"/>
          <w:sz w:val="32"/>
          <w:szCs w:val="32"/>
          <w:shd w:val="clear" w:color="auto" w:fill="FFFFFF"/>
          <w:lang w:val="en-US" w:eastAsia="zh-CN"/>
        </w:rPr>
        <w:t>75</w:t>
      </w:r>
      <w:r>
        <w:rPr>
          <w:rFonts w:ascii="Times New Roman" w:hAnsi="Times New Roman" w:eastAsia="仿宋_GB2312" w:cs="Times New Roman"/>
          <w:color w:val="000000"/>
          <w:kern w:val="0"/>
          <w:sz w:val="32"/>
          <w:szCs w:val="32"/>
          <w:shd w:val="clear" w:color="auto" w:fill="FFFFFF"/>
          <w:lang w:val="zh-CN"/>
        </w:rPr>
        <w:t>个，涉及预算总金额</w:t>
      </w:r>
      <w:r>
        <w:rPr>
          <w:rFonts w:hint="eastAsia" w:ascii="Times New Roman" w:hAnsi="Times New Roman" w:eastAsia="仿宋_GB2312" w:cs="Times New Roman"/>
          <w:color w:val="000000"/>
          <w:kern w:val="0"/>
          <w:sz w:val="32"/>
          <w:szCs w:val="32"/>
          <w:shd w:val="clear" w:color="auto" w:fill="FFFFFF"/>
          <w:lang w:val="en-US" w:eastAsia="zh-CN"/>
        </w:rPr>
        <w:t>9667.56</w:t>
      </w:r>
      <w:r>
        <w:rPr>
          <w:rFonts w:ascii="Times New Roman" w:hAnsi="Times New Roman" w:eastAsia="仿宋_GB2312" w:cs="Times New Roman"/>
          <w:color w:val="000000"/>
          <w:kern w:val="0"/>
          <w:sz w:val="32"/>
          <w:szCs w:val="32"/>
          <w:shd w:val="clear" w:color="auto" w:fill="FFFFFF"/>
          <w:lang w:val="zh-CN"/>
        </w:rPr>
        <w:t>万元，1</w:t>
      </w:r>
      <w:r>
        <w:rPr>
          <w:rFonts w:hint="eastAsia" w:ascii="Times New Roman" w:hAnsi="Times New Roman" w:eastAsia="仿宋_GB2312" w:cs="Times New Roman"/>
          <w:color w:val="000000"/>
          <w:kern w:val="0"/>
          <w:sz w:val="32"/>
          <w:szCs w:val="32"/>
          <w:shd w:val="clear" w:color="auto" w:fill="FFFFFF"/>
          <w:lang w:val="zh-CN"/>
        </w:rPr>
        <w:t>—</w:t>
      </w:r>
      <w:r>
        <w:rPr>
          <w:rFonts w:ascii="Times New Roman" w:hAnsi="Times New Roman" w:eastAsia="仿宋_GB2312" w:cs="Times New Roman"/>
          <w:color w:val="000000"/>
          <w:kern w:val="0"/>
          <w:sz w:val="32"/>
          <w:szCs w:val="32"/>
          <w:shd w:val="clear" w:color="auto" w:fill="FFFFFF"/>
          <w:lang w:val="zh-CN"/>
        </w:rPr>
        <w:t>1</w:t>
      </w:r>
      <w:r>
        <w:rPr>
          <w:rFonts w:ascii="Times New Roman" w:hAnsi="Times New Roman" w:eastAsia="仿宋_GB2312" w:cs="Times New Roman"/>
          <w:color w:val="000000"/>
          <w:kern w:val="0"/>
          <w:sz w:val="32"/>
          <w:szCs w:val="32"/>
          <w:shd w:val="clear" w:color="auto" w:fill="FFFFFF"/>
        </w:rPr>
        <w:t>2</w:t>
      </w:r>
      <w:r>
        <w:rPr>
          <w:rFonts w:ascii="Times New Roman" w:hAnsi="Times New Roman" w:eastAsia="仿宋_GB2312" w:cs="Times New Roman"/>
          <w:color w:val="000000"/>
          <w:kern w:val="0"/>
          <w:sz w:val="32"/>
          <w:szCs w:val="32"/>
          <w:shd w:val="clear" w:color="auto" w:fill="FFFFFF"/>
          <w:lang w:val="zh-CN"/>
        </w:rPr>
        <w:t>月预算执行总体进度为</w:t>
      </w:r>
      <w:r>
        <w:rPr>
          <w:rFonts w:hint="eastAsia" w:ascii="Times New Roman" w:hAnsi="Times New Roman" w:eastAsia="仿宋_GB2312" w:cs="Times New Roman"/>
          <w:color w:val="000000"/>
          <w:kern w:val="0"/>
          <w:sz w:val="32"/>
          <w:szCs w:val="32"/>
          <w:shd w:val="clear" w:color="auto" w:fill="FFFFFF"/>
          <w:lang w:val="en-US" w:eastAsia="zh-CN"/>
        </w:rPr>
        <w:t>100</w:t>
      </w:r>
      <w:r>
        <w:rPr>
          <w:rFonts w:ascii="Times New Roman" w:hAnsi="Times New Roman" w:eastAsia="仿宋_GB2312" w:cs="Times New Roman"/>
          <w:color w:val="000000"/>
          <w:kern w:val="0"/>
          <w:sz w:val="32"/>
          <w:szCs w:val="32"/>
          <w:shd w:val="clear" w:color="auto" w:fill="FFFFFF"/>
          <w:lang w:val="zh-CN"/>
        </w:rPr>
        <w:t>%，其中：预算结余率大于</w:t>
      </w:r>
      <w:r>
        <w:rPr>
          <w:rFonts w:ascii="Times New Roman" w:hAnsi="Times New Roman" w:eastAsia="仿宋_GB2312" w:cs="Times New Roman"/>
          <w:color w:val="000000"/>
          <w:kern w:val="0"/>
          <w:sz w:val="32"/>
          <w:szCs w:val="32"/>
          <w:shd w:val="clear" w:color="auto" w:fill="FFFFFF"/>
        </w:rPr>
        <w:t>10%</w:t>
      </w:r>
      <w:r>
        <w:rPr>
          <w:rFonts w:ascii="Times New Roman" w:hAnsi="Times New Roman" w:eastAsia="仿宋_GB2312" w:cs="Times New Roman"/>
          <w:color w:val="000000"/>
          <w:kern w:val="0"/>
          <w:sz w:val="32"/>
          <w:szCs w:val="32"/>
          <w:shd w:val="clear" w:color="auto" w:fill="FFFFFF"/>
          <w:lang w:val="zh-CN"/>
        </w:rPr>
        <w:t>的项目共计</w:t>
      </w:r>
      <w:r>
        <w:rPr>
          <w:rFonts w:hint="eastAsia" w:ascii="Times New Roman" w:hAnsi="Times New Roman" w:eastAsia="仿宋_GB2312" w:cs="Times New Roman"/>
          <w:color w:val="000000"/>
          <w:kern w:val="0"/>
          <w:sz w:val="32"/>
          <w:szCs w:val="32"/>
          <w:shd w:val="clear" w:color="auto" w:fill="FFFFFF"/>
          <w:lang w:val="en-US" w:eastAsia="zh-CN"/>
        </w:rPr>
        <w:t>0</w:t>
      </w:r>
      <w:r>
        <w:rPr>
          <w:rFonts w:ascii="Times New Roman" w:hAnsi="Times New Roman" w:eastAsia="仿宋_GB2312" w:cs="Times New Roman"/>
          <w:color w:val="000000"/>
          <w:kern w:val="0"/>
          <w:sz w:val="32"/>
          <w:szCs w:val="32"/>
          <w:shd w:val="clear" w:color="auto" w:fill="FFFFFF"/>
          <w:lang w:val="zh-CN"/>
        </w:rPr>
        <w:t>个。</w:t>
      </w:r>
    </w:p>
    <w:p w14:paraId="16617513">
      <w:pPr>
        <w:widowControl w:val="0"/>
        <w:numPr>
          <w:ilvl w:val="0"/>
          <w:numId w:val="0"/>
        </w:numPr>
        <w:adjustRightInd w:val="0"/>
        <w:snapToGrid w:val="0"/>
        <w:spacing w:before="0" w:beforeAutospacing="0" w:after="0" w:afterAutospacing="0" w:line="578" w:lineRule="exact"/>
        <w:ind w:left="0" w:right="0" w:firstLine="640" w:firstLineChars="200"/>
        <w:contextualSpacing/>
        <w:jc w:val="left"/>
        <w:rPr>
          <w:rFonts w:hint="eastAsia" w:ascii="仿宋_GB2312" w:hAnsi="Times New Roman" w:eastAsia="仿宋_GB2312"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仿宋_GB2312" w:hAnsi="Times New Roman" w:eastAsia="仿宋_GB2312" w:cs="Times New Roman"/>
          <w:color w:val="000000"/>
          <w:kern w:val="0"/>
          <w:sz w:val="32"/>
          <w:szCs w:val="32"/>
          <w:highlight w:val="none"/>
          <w:shd w:val="clear" w:color="auto" w:fill="FFFFFF"/>
          <w:lang w:val="zh-CN"/>
        </w:rPr>
        <w:t>决策程序规范，目标设置合理，项目入库及</w:t>
      </w:r>
      <w:r>
        <w:rPr>
          <w:rFonts w:hint="eastAsia" w:ascii="仿宋_GB2312" w:hAnsi="Times New Roman" w:eastAsia="仿宋_GB2312" w:cs="Times New Roman"/>
          <w:color w:val="000000"/>
          <w:kern w:val="0"/>
          <w:sz w:val="32"/>
          <w:szCs w:val="32"/>
          <w:highlight w:val="none"/>
          <w:shd w:val="clear" w:color="auto" w:fill="FFFFFF"/>
          <w:lang w:val="en-US" w:eastAsia="zh-CN"/>
        </w:rPr>
        <w:t>时</w:t>
      </w:r>
      <w:r>
        <w:rPr>
          <w:rFonts w:hint="eastAsia" w:ascii="仿宋_GB2312" w:hAnsi="Times New Roman" w:eastAsia="仿宋_GB2312" w:cs="Times New Roman"/>
          <w:color w:val="000000"/>
          <w:kern w:val="0"/>
          <w:sz w:val="32"/>
          <w:szCs w:val="32"/>
          <w:highlight w:val="none"/>
          <w:shd w:val="clear" w:color="auto" w:fill="FFFFFF"/>
          <w:lang w:val="zh-CN"/>
        </w:rPr>
        <w:t>。</w:t>
      </w:r>
    </w:p>
    <w:p w14:paraId="03DFA6E3">
      <w:pPr>
        <w:widowControl w:val="0"/>
        <w:numPr>
          <w:ilvl w:val="0"/>
          <w:numId w:val="0"/>
        </w:numPr>
        <w:adjustRightInd w:val="0"/>
        <w:snapToGrid w:val="0"/>
        <w:spacing w:before="0" w:beforeAutospacing="0" w:after="0" w:afterAutospacing="0" w:line="578" w:lineRule="exact"/>
        <w:ind w:left="0" w:right="0" w:firstLine="640" w:firstLineChars="200"/>
        <w:contextualSpacing/>
        <w:jc w:val="left"/>
        <w:rPr>
          <w:rFonts w:ascii="Times New Roman" w:hAnsi="Times New Roman" w:eastAsia="仿宋_GB2312" w:cs="Times New Roman"/>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eastAsia="zh-CN"/>
        </w:rPr>
        <w:t>。</w:t>
      </w:r>
      <w:r>
        <w:rPr>
          <w:rFonts w:hint="eastAsia" w:ascii="Times New Roman" w:hAnsi="Times New Roman" w:eastAsia="仿宋_GB2312" w:cs="Times New Roman"/>
          <w:color w:val="000000"/>
          <w:kern w:val="0"/>
          <w:sz w:val="32"/>
          <w:szCs w:val="32"/>
          <w:highlight w:val="none"/>
          <w:shd w:val="clear" w:color="auto" w:fill="FFFFFF"/>
          <w:lang w:val="zh-CN"/>
        </w:rPr>
        <w:t>资金执行同向，项目调整得当，执行结果符合预期。</w:t>
      </w:r>
    </w:p>
    <w:p w14:paraId="76160F3A">
      <w:pPr>
        <w:widowControl w:val="0"/>
        <w:adjustRightInd w:val="0"/>
        <w:snapToGrid w:val="0"/>
        <w:spacing w:before="0" w:beforeAutospacing="0" w:after="0" w:afterAutospacing="0" w:line="578" w:lineRule="exact"/>
        <w:ind w:left="0" w:right="0" w:firstLine="640" w:firstLineChars="200"/>
        <w:contextualSpacing/>
        <w:jc w:val="left"/>
        <w:rPr>
          <w:rFonts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仿宋_GB2312" w:hAnsi="Times New Roman" w:eastAsia="仿宋_GB2312" w:cs="Times New Roman"/>
          <w:color w:val="000000"/>
          <w:kern w:val="0"/>
          <w:sz w:val="32"/>
          <w:szCs w:val="32"/>
          <w:highlight w:val="none"/>
          <w:shd w:val="clear" w:color="auto" w:fill="FFFFFF"/>
          <w:lang w:val="zh-CN"/>
        </w:rPr>
        <w:t>目标完成情况良好，未出现偏离情况，实现效果显著。</w:t>
      </w:r>
    </w:p>
    <w:p w14:paraId="586E6012">
      <w:pPr>
        <w:widowControl w:val="0"/>
        <w:adjustRightInd w:val="0"/>
        <w:snapToGrid w:val="0"/>
        <w:spacing w:before="0" w:beforeAutospacing="0" w:after="0" w:afterAutospacing="0" w:line="578" w:lineRule="exact"/>
        <w:ind w:left="0" w:right="0" w:firstLine="640" w:firstLineChars="200"/>
        <w:contextualSpacing/>
        <w:jc w:val="left"/>
        <w:rPr>
          <w:rFonts w:ascii="仿宋_GB2312" w:hAnsi="Times New Roman" w:eastAsia="仿宋_GB2312" w:cs="Times New Roman"/>
          <w:color w:val="333333"/>
          <w:kern w:val="2"/>
          <w:sz w:val="32"/>
          <w:szCs w:val="32"/>
          <w:lang w:bidi="ar"/>
        </w:rPr>
      </w:pPr>
      <w:r>
        <w:rPr>
          <w:rFonts w:hint="eastAsia" w:ascii="仿宋_GB2312" w:hAnsi="Times New Roman" w:eastAsia="仿宋_GB2312" w:cs="Times New Roman"/>
          <w:kern w:val="2"/>
          <w:sz w:val="32"/>
          <w:szCs w:val="32"/>
        </w:rPr>
        <w:t>本部门2023年度不涉及国有资本经营、</w:t>
      </w:r>
      <w:r>
        <w:rPr>
          <w:rFonts w:hint="eastAsia" w:ascii="仿宋_GB2312" w:hAnsi="仿宋_GB2312" w:eastAsia="仿宋_GB2312" w:cs="仿宋_GB2312"/>
          <w:color w:val="auto"/>
          <w:sz w:val="32"/>
          <w:szCs w:val="32"/>
          <w:highlight w:val="none"/>
          <w:lang w:eastAsia="zh-CN"/>
        </w:rPr>
        <w:t>政府性基金、社会保险基金预</w:t>
      </w:r>
      <w:r>
        <w:rPr>
          <w:rFonts w:hint="eastAsia" w:ascii="仿宋_GB2312" w:hAnsi="仿宋_GB2312" w:eastAsia="仿宋_GB2312" w:cs="仿宋_GB2312"/>
          <w:color w:val="auto"/>
          <w:sz w:val="32"/>
          <w:szCs w:val="32"/>
          <w:highlight w:val="none"/>
          <w:shd w:val="clear"/>
          <w:lang w:eastAsia="zh-CN"/>
        </w:rPr>
        <w:t>算以</w:t>
      </w:r>
      <w:r>
        <w:rPr>
          <w:rFonts w:hint="eastAsia" w:ascii="仿宋_GB2312" w:hAnsi="仿宋_GB2312" w:eastAsia="仿宋_GB2312" w:cs="仿宋_GB2312"/>
          <w:color w:val="auto"/>
          <w:sz w:val="32"/>
          <w:szCs w:val="32"/>
          <w:highlight w:val="none"/>
          <w:shd w:val="clear" w:color="auto"/>
          <w:lang w:eastAsia="zh-CN"/>
        </w:rPr>
        <w:t>及</w:t>
      </w:r>
      <w:r>
        <w:rPr>
          <w:rFonts w:hint="eastAsia" w:ascii="仿宋_GB2312" w:hAnsi="仿宋_GB2312" w:eastAsia="仿宋_GB2312" w:cs="仿宋_GB2312"/>
          <w:color w:val="auto"/>
          <w:sz w:val="32"/>
          <w:szCs w:val="32"/>
          <w:highlight w:val="none"/>
          <w:shd w:val="clear"/>
          <w:lang w:eastAsia="zh-CN"/>
        </w:rPr>
        <w:t>债</w:t>
      </w:r>
      <w:r>
        <w:rPr>
          <w:rFonts w:hint="eastAsia" w:ascii="仿宋_GB2312" w:hAnsi="仿宋_GB2312" w:eastAsia="仿宋_GB2312" w:cs="仿宋_GB2312"/>
          <w:color w:val="auto"/>
          <w:sz w:val="32"/>
          <w:szCs w:val="32"/>
          <w:highlight w:val="none"/>
          <w:lang w:eastAsia="zh-CN"/>
        </w:rPr>
        <w:t>券资金</w:t>
      </w:r>
      <w:r>
        <w:rPr>
          <w:rFonts w:hint="eastAsia" w:ascii="仿宋_GB2312" w:hAnsi="仿宋_GB2312" w:eastAsia="仿宋_GB2312" w:cs="仿宋_GB2312"/>
          <w:color w:val="auto"/>
          <w:sz w:val="32"/>
          <w:szCs w:val="32"/>
          <w:highlight w:val="none"/>
          <w:lang w:val="en-US" w:eastAsia="zh-CN"/>
        </w:rPr>
        <w:t>和</w:t>
      </w:r>
      <w:r>
        <w:rPr>
          <w:rFonts w:hint="eastAsia" w:ascii="仿宋_GB2312" w:hAnsi="Times New Roman" w:eastAsia="仿宋_GB2312" w:cs="Times New Roman"/>
          <w:kern w:val="2"/>
          <w:sz w:val="32"/>
          <w:szCs w:val="32"/>
        </w:rPr>
        <w:t>社会保险基金预算。</w:t>
      </w:r>
    </w:p>
    <w:p w14:paraId="0432C203">
      <w:pPr>
        <w:widowControl/>
        <w:adjustRightInd w:val="0"/>
        <w:snapToGrid w:val="0"/>
        <w:spacing w:before="0" w:beforeAutospacing="0" w:after="0" w:afterAutospacing="0" w:line="578" w:lineRule="exact"/>
        <w:ind w:left="0" w:right="0" w:firstLine="643" w:firstLineChars="200"/>
        <w:contextualSpacing/>
        <w:jc w:val="left"/>
        <w:outlineLvl w:val="2"/>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）重点领域绩效分析。</w:t>
      </w:r>
    </w:p>
    <w:p w14:paraId="0F02500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outlineLvl w:val="9"/>
        <w:rPr>
          <w:rFonts w:ascii="Times New Roman" w:hAnsi="Times New Roman" w:eastAsia="仿宋_GB2312" w:cs="Times New Roman"/>
          <w:color w:val="000000"/>
          <w:kern w:val="0"/>
          <w:sz w:val="32"/>
          <w:szCs w:val="32"/>
          <w:shd w:val="clear" w:color="auto" w:fill="FFFFFF"/>
        </w:rPr>
      </w:pPr>
      <w:r>
        <w:rPr>
          <w:rFonts w:hint="eastAsia" w:ascii="仿宋_GB2312" w:hAnsi="仿宋_GB2312" w:eastAsia="仿宋_GB2312" w:cs="仿宋_GB2312"/>
          <w:color w:val="000000"/>
          <w:kern w:val="2"/>
          <w:sz w:val="32"/>
          <w:szCs w:val="32"/>
          <w:lang w:val="en-US" w:eastAsia="zh-CN"/>
        </w:rPr>
        <w:t>截至 2023年 12月31日，本部门资产总额（账面净值） 7656.14万元，负债总额 726.43万元，净资产 6929.71万元。本部门行政单位国有资产7656.14万元，占100.00%。自用固定资产 2341.38万元，自用无形资产273.64万元。流动资产0万元，固定资产1054.07万元，无形资产268.67万元，公共基础设施6333.39万元。土地、房屋及构筑物989.44万元，设备41.08万元，图书档案4.45万元，占0.42%，家具、用具、装具及动植物19.09万元。无出租出借资产，对外投资总额0万元，处置资产19.02万元。</w:t>
      </w:r>
    </w:p>
    <w:p w14:paraId="16CE51A0">
      <w:pPr>
        <w:widowControl w:val="0"/>
        <w:numPr>
          <w:ilvl w:val="0"/>
          <w:numId w:val="1"/>
        </w:numPr>
        <w:snapToGrid w:val="0"/>
        <w:spacing w:before="0" w:beforeAutospacing="0" w:after="0" w:afterAutospacing="0" w:line="600" w:lineRule="exact"/>
        <w:ind w:left="0" w:leftChars="0" w:right="0" w:firstLine="720" w:firstLineChars="0"/>
        <w:jc w:val="both"/>
        <w:outlineLvl w:val="2"/>
        <w:rPr>
          <w:rFonts w:hint="eastAsia" w:ascii="Times New Roman" w:hAnsi="Times New Roman" w:eastAsia="楷体_GB2312" w:cs="Times New Roman"/>
          <w:b/>
          <w:bCs/>
          <w:kern w:val="2"/>
          <w:sz w:val="32"/>
          <w:szCs w:val="32"/>
          <w:lang w:val="zh-CN"/>
        </w:rPr>
      </w:pPr>
      <w:r>
        <w:rPr>
          <w:rFonts w:ascii="Times New Roman" w:hAnsi="Times New Roman" w:eastAsia="楷体_GB2312" w:cs="Times New Roman"/>
          <w:b/>
          <w:bCs/>
          <w:kern w:val="2"/>
          <w:sz w:val="32"/>
          <w:szCs w:val="32"/>
          <w:lang w:val="zh-CN"/>
        </w:rPr>
        <w:t>绩效结果应用情况</w:t>
      </w:r>
      <w:r>
        <w:rPr>
          <w:rFonts w:hint="eastAsia" w:ascii="Times New Roman" w:hAnsi="Times New Roman" w:eastAsia="楷体_GB2312" w:cs="Times New Roman"/>
          <w:b/>
          <w:bCs/>
          <w:kern w:val="2"/>
          <w:sz w:val="32"/>
          <w:szCs w:val="32"/>
          <w:lang w:val="zh-CN"/>
        </w:rPr>
        <w:t>。</w:t>
      </w:r>
    </w:p>
    <w:p w14:paraId="1E51008E">
      <w:pPr>
        <w:widowControl w:val="0"/>
        <w:numPr>
          <w:ilvl w:val="0"/>
          <w:numId w:val="0"/>
        </w:numPr>
        <w:snapToGrid w:val="0"/>
        <w:spacing w:before="0" w:beforeAutospacing="0" w:after="0" w:afterAutospacing="0" w:line="600" w:lineRule="exact"/>
        <w:ind w:left="0" w:right="0" w:firstLine="640" w:firstLineChars="200"/>
        <w:jc w:val="both"/>
        <w:rPr>
          <w:rFonts w:ascii="仿宋_GB2312" w:hAnsi="仿宋_GB2312" w:eastAsia="仿宋_GB2312" w:cs="仿宋_GB2312"/>
          <w:b/>
          <w:kern w:val="2"/>
          <w:sz w:val="32"/>
          <w:szCs w:val="32"/>
        </w:rPr>
      </w:pPr>
      <w:r>
        <w:rPr>
          <w:rFonts w:hint="eastAsia" w:ascii="仿宋_GB2312" w:hAnsi="仿宋" w:eastAsia="仿宋_GB2312" w:cs="Times New Roman"/>
          <w:kern w:val="2"/>
          <w:sz w:val="32"/>
        </w:rPr>
        <w:t>内部应用情况：已将绩效结果作为部门内部考核的重要依据，促进了部门整体绩效的提升。</w:t>
      </w:r>
      <w:r>
        <w:rPr>
          <w:rFonts w:hint="eastAsia" w:ascii="仿宋_GB2312" w:hAnsi="仿宋" w:eastAsia="仿宋_GB2312" w:cs="Segoe UI"/>
          <w:kern w:val="0"/>
          <w:sz w:val="32"/>
        </w:rPr>
        <w:t>信息公开情况：按照相关法律法规要求，及时公开了部门预算绩效相关信息。整改反馈情况：针对自评中发现的问题，已制定整改措施并得到有效落实。</w:t>
      </w:r>
    </w:p>
    <w:p w14:paraId="685D0E73">
      <w:pPr>
        <w:widowControl/>
        <w:adjustRightInd w:val="0"/>
        <w:snapToGrid w:val="0"/>
        <w:spacing w:before="0" w:beforeAutospacing="0" w:after="0" w:afterAutospacing="0" w:line="578" w:lineRule="exact"/>
        <w:ind w:left="0" w:right="0" w:firstLine="640" w:firstLineChars="200"/>
        <w:contextualSpacing/>
        <w:jc w:val="left"/>
        <w:outlineLvl w:val="1"/>
        <w:rPr>
          <w:rFonts w:ascii="Times New Roman" w:hAnsi="Times New Roman" w:eastAsia="黑体" w:cs="Times New Roman"/>
          <w:color w:val="000000"/>
          <w:kern w:val="0"/>
          <w:sz w:val="32"/>
          <w:szCs w:val="32"/>
          <w:shd w:val="clear" w:color="auto" w:fill="FFFFFF"/>
        </w:rPr>
      </w:pPr>
      <w:bookmarkStart w:id="123" w:name="_Toc8926"/>
      <w:bookmarkStart w:id="124" w:name="_Toc19590"/>
      <w:r>
        <w:rPr>
          <w:rFonts w:ascii="Times New Roman" w:hAnsi="Times New Roman" w:eastAsia="黑体" w:cs="Times New Roman"/>
          <w:color w:val="000000"/>
          <w:kern w:val="0"/>
          <w:sz w:val="32"/>
          <w:szCs w:val="32"/>
          <w:shd w:val="clear" w:color="auto" w:fill="FFFFFF"/>
        </w:rPr>
        <w:t>四、评价结论及建议</w:t>
      </w:r>
      <w:bookmarkEnd w:id="123"/>
      <w:bookmarkEnd w:id="124"/>
    </w:p>
    <w:p w14:paraId="543A90F1">
      <w:pPr>
        <w:widowControl/>
        <w:adjustRightInd w:val="0"/>
        <w:snapToGrid w:val="0"/>
        <w:spacing w:before="0" w:beforeAutospacing="0" w:after="0" w:afterAutospacing="0" w:line="540" w:lineRule="exact"/>
        <w:ind w:left="0" w:right="0" w:firstLine="720"/>
        <w:jc w:val="left"/>
        <w:rPr>
          <w:rFonts w:ascii="Times New Roman" w:hAnsi="Times New Roman" w:eastAsia="楷体_GB2312" w:cs="Times New Roman"/>
          <w:b/>
          <w:bCs/>
          <w:color w:val="000000"/>
          <w:kern w:val="0"/>
          <w:sz w:val="32"/>
          <w:szCs w:val="32"/>
          <w:shd w:val="clear" w:color="auto" w:fill="FFFFFF"/>
        </w:rPr>
      </w:pPr>
      <w:r>
        <w:rPr>
          <w:rFonts w:ascii="Times New Roman" w:hAnsi="Times New Roman" w:eastAsia="楷体_GB2312" w:cs="Times New Roman"/>
          <w:b/>
          <w:bCs/>
          <w:color w:val="000000"/>
          <w:kern w:val="0"/>
          <w:sz w:val="32"/>
          <w:szCs w:val="32"/>
          <w:shd w:val="clear" w:color="auto" w:fill="FFFFFF"/>
          <w:lang w:val="zh-CN"/>
        </w:rPr>
        <w:t>（一）评价结论。</w:t>
      </w:r>
      <w:r>
        <w:rPr>
          <w:rFonts w:hint="eastAsia" w:ascii="仿宋_GB2312" w:hAnsi="仿宋" w:eastAsia="仿宋_GB2312" w:cs="宋体"/>
          <w:color w:val="000000"/>
          <w:kern w:val="0"/>
          <w:sz w:val="32"/>
          <w:szCs w:val="32"/>
          <w:shd w:val="clear" w:color="auto" w:fill="FFFFFF"/>
          <w:lang w:val="zh-CN"/>
        </w:rPr>
        <w:t>根据</w:t>
      </w:r>
      <w:r>
        <w:rPr>
          <w:rFonts w:hint="eastAsia" w:ascii="仿宋_GB2312" w:hAnsi="仿宋" w:eastAsia="仿宋_GB2312" w:cs="宋体"/>
          <w:color w:val="000000"/>
          <w:kern w:val="0"/>
          <w:sz w:val="32"/>
          <w:szCs w:val="32"/>
          <w:shd w:val="clear" w:color="auto" w:fill="FFFFFF"/>
          <w:lang w:val="en-US" w:eastAsia="zh-CN"/>
        </w:rPr>
        <w:t>本部门</w:t>
      </w:r>
      <w:r>
        <w:rPr>
          <w:rFonts w:hint="eastAsia" w:ascii="仿宋_GB2312" w:hAnsi="仿宋" w:eastAsia="仿宋_GB2312" w:cs="宋体"/>
          <w:color w:val="000000"/>
          <w:kern w:val="0"/>
          <w:sz w:val="32"/>
          <w:szCs w:val="32"/>
          <w:shd w:val="clear" w:color="auto" w:fill="FFFFFF"/>
          <w:lang w:val="zh-CN"/>
        </w:rPr>
        <w:t>年初工作规划，围绕县委、县政府发展蓝图，积极履职，强化管理，较好的完成了上年度工作目标。通过加强预算收支管理，不断建立健全内部管理制度，梳理内部管理流程，</w:t>
      </w:r>
      <w:r>
        <w:rPr>
          <w:rFonts w:hint="eastAsia" w:ascii="仿宋_GB2312" w:hAnsi="仿宋" w:eastAsia="仿宋_GB2312" w:cs="宋体"/>
          <w:color w:val="000000"/>
          <w:kern w:val="0"/>
          <w:sz w:val="32"/>
          <w:szCs w:val="32"/>
          <w:shd w:val="clear" w:color="auto" w:fill="FFFFFF"/>
          <w:lang w:val="en-US" w:eastAsia="zh-CN"/>
        </w:rPr>
        <w:t>部门</w:t>
      </w:r>
      <w:r>
        <w:rPr>
          <w:rFonts w:hint="eastAsia" w:ascii="仿宋_GB2312" w:hAnsi="仿宋" w:eastAsia="仿宋_GB2312" w:cs="宋体"/>
          <w:color w:val="000000"/>
          <w:kern w:val="0"/>
          <w:sz w:val="32"/>
          <w:szCs w:val="32"/>
          <w:shd w:val="clear" w:color="auto" w:fill="FFFFFF"/>
          <w:lang w:val="zh-CN"/>
        </w:rPr>
        <w:t>整体支出管理情况得到提升。</w:t>
      </w:r>
      <w:r>
        <w:rPr>
          <w:rFonts w:hint="eastAsia" w:ascii="仿宋_GB2312" w:hAnsi="仿宋" w:eastAsia="仿宋_GB2312" w:cs="宋体"/>
          <w:color w:val="000000"/>
          <w:kern w:val="0"/>
          <w:sz w:val="32"/>
          <w:szCs w:val="32"/>
          <w:shd w:val="clear" w:color="auto" w:fill="FFFFFF"/>
          <w:lang w:val="en-US" w:eastAsia="zh-CN"/>
        </w:rPr>
        <w:t>本</w:t>
      </w:r>
      <w:r>
        <w:rPr>
          <w:rFonts w:hint="eastAsia" w:ascii="仿宋_GB2312" w:hAnsi="仿宋_GB2312" w:eastAsia="仿宋_GB2312" w:cs="仿宋_GB2312"/>
          <w:kern w:val="0"/>
          <w:sz w:val="32"/>
          <w:szCs w:val="32"/>
        </w:rPr>
        <w:t>部门2023年度预算绩效总体表现良好，自评得分为99.50分。</w:t>
      </w:r>
    </w:p>
    <w:p w14:paraId="14FDEDC1">
      <w:pPr>
        <w:widowControl/>
        <w:adjustRightInd w:val="0"/>
        <w:snapToGrid w:val="0"/>
        <w:spacing w:before="0" w:beforeAutospacing="0" w:after="0" w:afterAutospacing="0" w:line="578" w:lineRule="exact"/>
        <w:ind w:left="0" w:right="0" w:firstLine="643" w:firstLineChars="200"/>
        <w:contextualSpacing/>
        <w:jc w:val="left"/>
        <w:outlineLvl w:val="2"/>
        <w:rPr>
          <w:rFonts w:hint="eastAsia" w:ascii="仿宋_GB2312" w:hAnsi="仿宋_GB2312" w:eastAsia="仿宋_GB2312" w:cs="仿宋_GB2312"/>
          <w:w w:val="95"/>
          <w:kern w:val="0"/>
          <w:sz w:val="32"/>
          <w:szCs w:val="32"/>
        </w:rPr>
      </w:pPr>
      <w:r>
        <w:rPr>
          <w:rFonts w:ascii="Times New Roman" w:hAnsi="Times New Roman" w:eastAsia="楷体_GB2312" w:cs="Times New Roman"/>
          <w:b/>
          <w:bCs/>
          <w:color w:val="000000"/>
          <w:kern w:val="0"/>
          <w:sz w:val="32"/>
          <w:szCs w:val="32"/>
          <w:shd w:val="clear" w:color="auto" w:fill="FFFFFF"/>
          <w:lang w:val="zh-CN"/>
        </w:rPr>
        <w:t>（二）存在问题。</w:t>
      </w:r>
      <w:r>
        <w:rPr>
          <w:rFonts w:hint="eastAsia" w:ascii="仿宋_GB2312" w:hAnsi="仿宋_GB2312" w:eastAsia="仿宋_GB2312" w:cs="仿宋_GB2312"/>
          <w:w w:val="95"/>
          <w:kern w:val="0"/>
          <w:sz w:val="32"/>
          <w:szCs w:val="32"/>
        </w:rPr>
        <w:t>年初绩效目标不够细化量化。</w:t>
      </w:r>
    </w:p>
    <w:p w14:paraId="75468624">
      <w:pPr>
        <w:widowControl/>
        <w:adjustRightInd w:val="0"/>
        <w:snapToGrid w:val="0"/>
        <w:spacing w:before="0" w:beforeAutospacing="0" w:after="0" w:afterAutospacing="0" w:line="578" w:lineRule="exact"/>
        <w:ind w:left="0" w:right="0" w:firstLine="643" w:firstLineChars="200"/>
        <w:contextualSpacing/>
        <w:jc w:val="left"/>
        <w:rPr>
          <w:rFonts w:hint="eastAsia" w:ascii="仿宋_GB2312" w:hAnsi="仿宋_GB2312" w:eastAsia="仿宋_GB2312" w:cs="仿宋_GB2312"/>
          <w:kern w:val="0"/>
          <w:sz w:val="32"/>
          <w:szCs w:val="32"/>
        </w:rPr>
      </w:pPr>
      <w:r>
        <w:rPr>
          <w:rFonts w:ascii="Times New Roman" w:hAnsi="Times New Roman" w:eastAsia="楷体_GB2312" w:cs="Times New Roman"/>
          <w:b/>
          <w:bCs/>
          <w:color w:val="000000"/>
          <w:kern w:val="0"/>
          <w:sz w:val="32"/>
          <w:szCs w:val="32"/>
          <w:shd w:val="clear" w:color="auto" w:fill="FFFFFF"/>
          <w:lang w:val="zh-CN"/>
        </w:rPr>
        <w:t>（三）改进建议。</w:t>
      </w:r>
      <w:bookmarkStart w:id="125" w:name="_Hlk110546638"/>
      <w:r>
        <w:rPr>
          <w:rFonts w:hint="eastAsia" w:ascii="仿宋_GB2312" w:hAnsi="仿宋_GB2312" w:eastAsia="仿宋_GB2312" w:cs="仿宋_GB2312"/>
          <w:kern w:val="0"/>
          <w:sz w:val="32"/>
          <w:szCs w:val="32"/>
        </w:rPr>
        <w:t>根据项目的具体需求和预期成果，制定更为详细和量化的预算指标，确保每一笔资金都能得到有效利用。</w:t>
      </w:r>
      <w:bookmarkEnd w:id="125"/>
    </w:p>
    <w:p w14:paraId="49FB8B95">
      <w:pPr>
        <w:widowControl w:val="0"/>
        <w:spacing w:before="0" w:beforeAutospacing="0" w:after="0" w:afterAutospacing="0" w:line="578" w:lineRule="exact"/>
        <w:ind w:left="0" w:right="0" w:firstLine="640" w:firstLineChars="200"/>
        <w:jc w:val="both"/>
        <w:rPr>
          <w:rFonts w:ascii="宋体" w:hAnsi="Times New Roman" w:cs="宋体"/>
          <w:kern w:val="0"/>
          <w:sz w:val="24"/>
        </w:rPr>
      </w:pPr>
      <w:r>
        <w:rPr>
          <w:rFonts w:hint="eastAsia" w:ascii="Times New Roman" w:hAnsi="Times New Roman" w:eastAsia="仿宋_GB2312" w:cs="Times New Roman"/>
          <w:color w:val="000000"/>
          <w:kern w:val="0"/>
          <w:sz w:val="32"/>
          <w:szCs w:val="32"/>
          <w:shd w:val="clear" w:color="auto" w:fill="FFFFFF"/>
        </w:rPr>
        <w:t>附表：</w:t>
      </w:r>
      <w:r>
        <w:rPr>
          <w:rFonts w:ascii="Times New Roman" w:hAnsi="Times New Roman" w:eastAsia="仿宋_GB2312" w:cs="Times New Roman"/>
          <w:color w:val="000000"/>
          <w:kern w:val="0"/>
          <w:sz w:val="32"/>
          <w:szCs w:val="32"/>
          <w:shd w:val="clear" w:color="auto" w:fill="FFFFFF"/>
        </w:rPr>
        <w:t>部门整体支出绩效目标完成情况自评表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300"/>
        <w:gridCol w:w="945"/>
        <w:gridCol w:w="1289"/>
        <w:gridCol w:w="1058"/>
        <w:gridCol w:w="926"/>
        <w:gridCol w:w="7"/>
        <w:gridCol w:w="1107"/>
      </w:tblGrid>
      <w:tr w14:paraId="409E3908">
        <w:tblPrEx>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6CDBA740">
            <w:pPr>
              <w:widowControl/>
              <w:spacing w:before="0" w:beforeAutospacing="0" w:after="0" w:afterAutospacing="0" w:line="600" w:lineRule="exact"/>
              <w:ind w:left="0" w:right="0"/>
              <w:jc w:val="center"/>
              <w:textAlignment w:val="center"/>
              <w:rPr>
                <w:rFonts w:ascii="宋体" w:hAnsi="Times New Roman" w:eastAsia="黑体" w:cs="宋体"/>
                <w:color w:val="000000"/>
                <w:kern w:val="0"/>
                <w:sz w:val="28"/>
                <w:szCs w:val="28"/>
              </w:rPr>
            </w:pPr>
            <w:r>
              <w:rPr>
                <w:rFonts w:ascii="宋体" w:hAnsi="Times New Roman" w:eastAsia="方正小标宋简体" w:cs="宋体"/>
                <w:color w:val="000000"/>
                <w:kern w:val="0"/>
                <w:sz w:val="44"/>
                <w:szCs w:val="44"/>
                <w:lang w:bidi="ar"/>
              </w:rPr>
              <w:t>部门整体支出绩效目标完成情况自评表</w:t>
            </w:r>
          </w:p>
        </w:tc>
      </w:tr>
      <w:tr w14:paraId="217A057E">
        <w:tblPrEx>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78F4979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8"/>
                <w:szCs w:val="28"/>
              </w:rPr>
            </w:pPr>
            <w:r>
              <w:rPr>
                <w:rFonts w:ascii="宋体" w:hAnsi="Times New Roman" w:eastAsia="宋体" w:cs="宋体"/>
                <w:color w:val="000000"/>
                <w:kern w:val="0"/>
                <w:sz w:val="28"/>
                <w:szCs w:val="28"/>
                <w:lang w:bidi="ar"/>
              </w:rPr>
              <w:t>（2023年度）</w:t>
            </w:r>
          </w:p>
        </w:tc>
      </w:tr>
      <w:tr w14:paraId="46363673">
        <w:tblPrEx>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03EF92A5">
            <w:pPr>
              <w:widowControl/>
              <w:spacing w:before="0" w:beforeAutospacing="0" w:after="0" w:afterAutospacing="0" w:line="300" w:lineRule="exact"/>
              <w:ind w:left="0" w:right="0"/>
              <w:jc w:val="right"/>
              <w:textAlignment w:val="center"/>
              <w:rPr>
                <w:rFonts w:ascii="宋体" w:hAnsi="Times New Roman" w:eastAsia="宋体" w:cs="宋体"/>
                <w:color w:val="000000"/>
                <w:kern w:val="0"/>
                <w:sz w:val="21"/>
                <w:szCs w:val="21"/>
              </w:rPr>
            </w:pPr>
            <w:r>
              <w:rPr>
                <w:rFonts w:ascii="宋体" w:hAnsi="Times New Roman" w:eastAsia="宋体" w:cs="宋体"/>
                <w:color w:val="000000"/>
                <w:kern w:val="0"/>
                <w:sz w:val="21"/>
                <w:szCs w:val="21"/>
                <w:lang w:bidi="ar"/>
              </w:rPr>
              <w:t>单位：万元</w:t>
            </w:r>
          </w:p>
        </w:tc>
      </w:tr>
      <w:tr w14:paraId="6795D381">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A6F20">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部门名称</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652C5">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bidi="ar"/>
              </w:rPr>
              <w:t>茂县科学技术和农业畜牧局</w:t>
            </w:r>
          </w:p>
        </w:tc>
      </w:tr>
      <w:tr w14:paraId="37D3E74F">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45951">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58755">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D5563">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C0A1">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其他资金</w:t>
            </w:r>
          </w:p>
        </w:tc>
      </w:tr>
      <w:tr w14:paraId="7586E32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D647">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15975">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bidi="ar"/>
              </w:rPr>
              <w:t>11913.35</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1370D">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bidi="ar"/>
              </w:rPr>
              <w:t>11913.35</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3149F">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bidi="ar"/>
              </w:rPr>
              <w:t>0.00</w:t>
            </w:r>
          </w:p>
        </w:tc>
      </w:tr>
      <w:tr w14:paraId="21A5A84F">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56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年度总体</w:t>
            </w:r>
          </w:p>
          <w:p w14:paraId="208398C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目标</w:t>
            </w:r>
          </w:p>
        </w:tc>
        <w:tc>
          <w:tcPr>
            <w:tcW w:w="92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486074">
            <w:pPr>
              <w:widowControl/>
              <w:spacing w:before="0" w:beforeAutospacing="0" w:after="0" w:afterAutospacing="0" w:line="300" w:lineRule="exact"/>
              <w:ind w:left="0" w:right="0"/>
              <w:jc w:val="left"/>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支持乡村振兴战略实施，推进“10+3”产业体系建设，现代农业园区建设，加快农业基础设施建设。改善农村面源污染、提升耕地质量。实施农村能源项目，提升综合利用水平，实现项目区域内农村生活污水无害化处理。开展农作物种子质量监督抽检和新品种试验，提升种子质量安全水平。有效预警植保重大病虫害，控制病虫危害损失。及时监测、发现并处置植物疫情，不恶性传播蔓延重大植物疫情。不发生重大农产品质量安全事件。以乡村振兴示范创建为抓手，激发农业农村新活力。聚焦“五大振兴”精准发力，加快推动2个先进镇、22个示范村的乡村振兴建设，因地制宜培育优势特色产业，重点推进产业提升、基础设施建设、人居环境整治等工作，不断延伸农业产业链，加快构建现代农业产业体系、生产体系、经营体系，推动产业振兴。以园区建设为支撑，促进产业融合发展。围绕“优质量、建品牌、强服务、促融合、聚合力”五大工作举措，积极做好现代农业好园区升星及创建工作，加快园区建设和产业结构调整，抓紧抓实完善园区基础设施建设，促进园区和示范点持续提质增效、提升引领辐射带动作用和综合产能，促进农旅融合发展，着力培育生态旅游、农业观光、休闲康养等新业态。完成全县耕地地力补贴9.6万亩、种粮补贴3.1万亩， 新建高标准农田,有效改善项目区农田基础设施条件，提升耕地质量，提高粮食综合生产能力。扎实推进各项业务工作。抓好2023年春耕生产，指导农户开春后加强病虫害管理，做好科学使用农膜和废旧农膜回收处置工作；加大长江流域重点水域十年禁捕监管工作，积极宣传、强化执法、网格监管；积极做好小水电清理整改补救措施的落实，按时完成增殖放流、生物监测以及禁捕宣传工作；继续做好农业和农村经济统计工作，及时上报涉及我县农业和农村经济发展的各种指标完成情况；继续抓好合作社、家庭农场建设，规范合作社、家庭农场的发展；持续做好宅基地管理工作，严格按照宅基地审批“三到场”制度做好宅基地的审批工作；依法开展植物产地检疫、调运检疫等植物检疫工作，加强事中事后监管工作，全面提升植物检疫依法行政水平；开展茂县高素质农民培育项目及2023年基层农技推广体系改革与建设；做好我县农产品质量安全源头监管，积极开展“三品一标”申报工作，继续完成省、州下达的农产品质量安全风险监测任务；做好引进蔬菜、水果新品种的试验、示范，建立茂县科技示范基地；全面开展农村地区疫情防控的各项工作。</w:t>
            </w:r>
          </w:p>
        </w:tc>
      </w:tr>
      <w:tr w14:paraId="34C277D2">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CBCE1">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年度主要</w:t>
            </w:r>
          </w:p>
          <w:p w14:paraId="06398CA6">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6C03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任务名称</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5F004A">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主要内容</w:t>
            </w:r>
          </w:p>
        </w:tc>
      </w:tr>
      <w:tr w14:paraId="0F4A999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7D8D">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90898">
            <w:pPr>
              <w:widowControl/>
              <w:spacing w:before="0" w:beforeAutospacing="0" w:after="0" w:afterAutospacing="0" w:line="300" w:lineRule="exact"/>
              <w:ind w:left="0" w:right="0"/>
              <w:jc w:val="left"/>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现代农业发展工程</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BEF44F">
            <w:pPr>
              <w:widowControl/>
              <w:spacing w:before="0" w:beforeAutospacing="0" w:after="0" w:afterAutospacing="0" w:line="300" w:lineRule="exact"/>
              <w:ind w:left="0" w:right="0"/>
              <w:jc w:val="left"/>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以培育现代农业园区、建设产业提质增效绿色发展示范基地为抓手，突出现代种业、农机装备等先导性支撑产业，大力发展川粮油、川猪、川菜、川果、川药、川牛羊等优势特色产业。推动农业产业链条延伸。做好灾后重建规划农业项目。</w:t>
            </w:r>
          </w:p>
        </w:tc>
      </w:tr>
      <w:tr w14:paraId="454BB5B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297D1">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0C6C7">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农田建设</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5CD36D">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建设高标准农田,有效改善项目区农田基础设施条件,提升耕地质量,提高粮食综合生产能力.</w:t>
            </w:r>
          </w:p>
        </w:tc>
      </w:tr>
      <w:tr w14:paraId="609FDAF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7A5E">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D6F28">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农业公共安全与生态资源保护利用工程</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F0F62B">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改善农村面源污染、提升耕地质量。实施农村能源项目，提升沼渣、沼液、沼气综合利用水平，实现项目区域内农村生活污水无害化处理。开展农作物种子质量监督抽检和新品种试验，提升种子质量安全水平。有效预警植保重大病虫害，控制病虫危害损失。及时监测、发现并处置植物疫情，不恶性传播蔓延重大植物疫情。不发生重大农产品质量安全事件。</w:t>
            </w:r>
          </w:p>
        </w:tc>
      </w:tr>
      <w:tr w14:paraId="7CD43DE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901E">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AB194">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农业生产发展</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D06D7">
            <w:pPr>
              <w:widowControl/>
              <w:tabs>
                <w:tab w:val="left" w:pos="824"/>
              </w:tabs>
              <w:spacing w:before="0" w:beforeAutospacing="0" w:after="0" w:afterAutospacing="0" w:line="300" w:lineRule="exact"/>
              <w:ind w:left="0" w:right="0"/>
              <w:jc w:val="left"/>
              <w:rPr>
                <w:rFonts w:hint="eastAsia" w:ascii="宋体" w:hAnsi="Times New Roman" w:eastAsia="宋体" w:cs="宋体"/>
                <w:color w:val="000000"/>
                <w:kern w:val="0"/>
                <w:sz w:val="24"/>
                <w:lang w:eastAsia="zh-CN"/>
              </w:rPr>
            </w:pPr>
            <w:r>
              <w:rPr>
                <w:rFonts w:hint="eastAsia" w:ascii="宋体" w:hAnsi="Times New Roman" w:eastAsia="宋体" w:cs="宋体"/>
                <w:color w:val="000000"/>
                <w:kern w:val="0"/>
                <w:sz w:val="24"/>
                <w:lang w:eastAsia="zh-CN"/>
              </w:rPr>
              <w:tab/>
            </w:r>
            <w:r>
              <w:rPr>
                <w:rFonts w:hint="eastAsia" w:ascii="宋体" w:hAnsi="Times New Roman" w:eastAsia="宋体" w:cs="宋体"/>
                <w:color w:val="000000"/>
                <w:kern w:val="0"/>
                <w:sz w:val="24"/>
                <w:lang w:eastAsia="zh-CN"/>
              </w:rPr>
              <w:t>完成全县耕地地力补贴9万亩、种粮补贴3.1万亩</w:t>
            </w:r>
          </w:p>
        </w:tc>
      </w:tr>
      <w:tr w14:paraId="3B9F302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D368EF">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262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4B28E13">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乡村振兴</w:t>
            </w:r>
          </w:p>
        </w:tc>
        <w:tc>
          <w:tcPr>
            <w:tcW w:w="66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C9C4CB">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建设乡村振兴先进乡镇2个，乡村振兴示范村22个，支持《四川省乡村振兴战略规划（2018-2022年）》确定的任务</w:t>
            </w:r>
          </w:p>
        </w:tc>
      </w:tr>
      <w:tr w14:paraId="33864D69">
        <w:tblPrEx>
          <w:tblCellMar>
            <w:top w:w="15" w:type="dxa"/>
            <w:left w:w="15" w:type="dxa"/>
            <w:bottom w:w="15" w:type="dxa"/>
            <w:right w:w="15" w:type="dxa"/>
          </w:tblCellMar>
        </w:tblPrEx>
        <w:trPr>
          <w:trHeight w:val="23"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77720A">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年度绩效</w:t>
            </w:r>
          </w:p>
          <w:p w14:paraId="32A35B2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30FBC90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6F30FE2F">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二级指标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38743E4">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4FA">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绩效指标</w:t>
            </w:r>
          </w:p>
          <w:p w14:paraId="5866751E">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B88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9683">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绩效度量单位</w:t>
            </w:r>
          </w:p>
        </w:tc>
        <w:tc>
          <w:tcPr>
            <w:tcW w:w="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8BDCA">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权重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459">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实际完成</w:t>
            </w:r>
          </w:p>
          <w:p w14:paraId="74216E8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指标值</w:t>
            </w:r>
          </w:p>
        </w:tc>
      </w:tr>
      <w:tr w14:paraId="498C7039">
        <w:tblPrEx>
          <w:tblCellMar>
            <w:top w:w="15" w:type="dxa"/>
            <w:left w:w="15" w:type="dxa"/>
            <w:bottom w:w="15" w:type="dxa"/>
            <w:right w:w="15" w:type="dxa"/>
          </w:tblCellMar>
        </w:tblPrEx>
        <w:trPr>
          <w:trHeight w:val="70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5EECF">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5BFF66">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产出指标</w:t>
            </w: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56E05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数量指标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1740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高标准农田面积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8B4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DDC4">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40CA">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万亩</w:t>
            </w:r>
          </w:p>
        </w:tc>
        <w:tc>
          <w:tcPr>
            <w:tcW w:w="926" w:type="dxa"/>
            <w:tcBorders>
              <w:top w:val="single" w:color="000000" w:sz="4" w:space="0"/>
              <w:left w:val="single" w:color="000000" w:sz="4" w:space="0"/>
              <w:bottom w:val="single" w:color="000000" w:sz="4" w:space="0"/>
            </w:tcBorders>
            <w:shd w:val="clear" w:color="auto" w:fill="auto"/>
            <w:vAlign w:val="center"/>
          </w:tcPr>
          <w:p w14:paraId="2BE216DD">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04C7B">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w:t>
            </w:r>
          </w:p>
        </w:tc>
      </w:tr>
      <w:tr w14:paraId="7A4135E9">
        <w:tblPrEx>
          <w:tblCellMar>
            <w:top w:w="15" w:type="dxa"/>
            <w:left w:w="15" w:type="dxa"/>
            <w:bottom w:w="15" w:type="dxa"/>
            <w:right w:w="15" w:type="dxa"/>
          </w:tblCellMar>
        </w:tblPrEx>
        <w:trPr>
          <w:trHeight w:val="70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EE316">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1E86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9F924">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2A54412">
            <w:pPr>
              <w:widowControl/>
              <w:spacing w:before="0" w:beforeAutospacing="0" w:after="0" w:afterAutospacing="0" w:line="300" w:lineRule="exact"/>
              <w:ind w:left="0" w:right="0"/>
              <w:jc w:val="both"/>
              <w:textAlignment w:val="center"/>
              <w:rPr>
                <w:rFonts w:ascii="Times New Roman" w:hAnsi="Times New Roman" w:eastAsia="仿宋_GB2312" w:cs="Times New Roman"/>
                <w:kern w:val="2"/>
                <w:sz w:val="32"/>
                <w:szCs w:val="24"/>
                <w:lang w:val="en-US" w:eastAsia="zh-CN" w:bidi="ar-SA"/>
              </w:rPr>
            </w:pPr>
            <w:r>
              <w:rPr>
                <w:rFonts w:hint="eastAsia" w:ascii="宋体" w:hAnsi="Times New Roman" w:eastAsia="宋体" w:cs="宋体"/>
                <w:color w:val="000000"/>
                <w:kern w:val="0"/>
                <w:sz w:val="24"/>
                <w:lang w:val="en-US" w:eastAsia="zh-CN"/>
              </w:rPr>
              <w:t>建设乡村振兴示范村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951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E79">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22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B2A7">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个</w:t>
            </w:r>
          </w:p>
        </w:tc>
        <w:tc>
          <w:tcPr>
            <w:tcW w:w="926" w:type="dxa"/>
            <w:tcBorders>
              <w:top w:val="single" w:color="000000" w:sz="4" w:space="0"/>
              <w:left w:val="single" w:color="000000" w:sz="4" w:space="0"/>
              <w:bottom w:val="single" w:color="000000" w:sz="4" w:space="0"/>
            </w:tcBorders>
            <w:shd w:val="clear" w:color="auto" w:fill="auto"/>
            <w:vAlign w:val="center"/>
          </w:tcPr>
          <w:p w14:paraId="76F0A584">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3AB9">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22</w:t>
            </w:r>
          </w:p>
        </w:tc>
      </w:tr>
      <w:tr w14:paraId="37F2A3FC">
        <w:tblPrEx>
          <w:tblCellMar>
            <w:top w:w="15" w:type="dxa"/>
            <w:left w:w="15" w:type="dxa"/>
            <w:bottom w:w="15" w:type="dxa"/>
            <w:right w:w="15" w:type="dxa"/>
          </w:tblCellMar>
        </w:tblPrEx>
        <w:trPr>
          <w:trHeight w:val="70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F60FA">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F94A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38561">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6546CD9">
            <w:pPr>
              <w:widowControl/>
              <w:tabs>
                <w:tab w:val="left" w:pos="299"/>
              </w:tabs>
              <w:spacing w:before="0" w:beforeAutospacing="0" w:after="0" w:afterAutospacing="0" w:line="300" w:lineRule="exact"/>
              <w:ind w:left="0" w:right="0"/>
              <w:jc w:val="left"/>
              <w:textAlignment w:val="center"/>
              <w:rPr>
                <w:rFonts w:hint="eastAsia" w:ascii="宋体" w:hAnsi="Times New Roman" w:eastAsia="宋体" w:cs="宋体"/>
                <w:color w:val="000000"/>
                <w:kern w:val="0"/>
                <w:sz w:val="24"/>
                <w:lang w:eastAsia="zh-CN"/>
              </w:rPr>
            </w:pPr>
            <w:r>
              <w:rPr>
                <w:rFonts w:hint="eastAsia" w:ascii="宋体" w:hAnsi="Times New Roman" w:eastAsia="宋体" w:cs="宋体"/>
                <w:color w:val="000000"/>
                <w:kern w:val="0"/>
                <w:sz w:val="24"/>
                <w:lang w:eastAsia="zh-CN"/>
              </w:rPr>
              <w:t>建设乡村振兴示范镇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7C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4382">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FCF4">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个</w:t>
            </w:r>
          </w:p>
        </w:tc>
        <w:tc>
          <w:tcPr>
            <w:tcW w:w="926" w:type="dxa"/>
            <w:tcBorders>
              <w:top w:val="single" w:color="000000" w:sz="4" w:space="0"/>
              <w:left w:val="single" w:color="000000" w:sz="4" w:space="0"/>
              <w:bottom w:val="single" w:color="000000" w:sz="4" w:space="0"/>
            </w:tcBorders>
            <w:shd w:val="clear" w:color="auto" w:fill="auto"/>
            <w:vAlign w:val="center"/>
          </w:tcPr>
          <w:p w14:paraId="097DFE1D">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3DC5D">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2</w:t>
            </w:r>
          </w:p>
        </w:tc>
      </w:tr>
      <w:tr w14:paraId="25EC5CD9">
        <w:tblPrEx>
          <w:tblCellMar>
            <w:top w:w="15" w:type="dxa"/>
            <w:left w:w="15" w:type="dxa"/>
            <w:bottom w:w="15" w:type="dxa"/>
            <w:right w:w="15" w:type="dxa"/>
          </w:tblCellMar>
        </w:tblPrEx>
        <w:trPr>
          <w:trHeight w:val="70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810B4">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619B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8593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405B6A5">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油菜补贴面积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3C9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6E6">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3500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6173">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亩</w:t>
            </w:r>
          </w:p>
        </w:tc>
        <w:tc>
          <w:tcPr>
            <w:tcW w:w="926" w:type="dxa"/>
            <w:tcBorders>
              <w:top w:val="single" w:color="000000" w:sz="4" w:space="0"/>
              <w:left w:val="single" w:color="000000" w:sz="4" w:space="0"/>
              <w:bottom w:val="single" w:color="000000" w:sz="4" w:space="0"/>
            </w:tcBorders>
            <w:shd w:val="clear" w:color="auto" w:fill="auto"/>
            <w:vAlign w:val="center"/>
          </w:tcPr>
          <w:p w14:paraId="624BE222">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C0F92">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3500</w:t>
            </w:r>
          </w:p>
        </w:tc>
      </w:tr>
      <w:tr w14:paraId="3805C061">
        <w:tblPrEx>
          <w:tblCellMar>
            <w:top w:w="15" w:type="dxa"/>
            <w:left w:w="15" w:type="dxa"/>
            <w:bottom w:w="15" w:type="dxa"/>
            <w:right w:w="15" w:type="dxa"/>
          </w:tblCellMar>
        </w:tblPrEx>
        <w:trPr>
          <w:trHeight w:val="775"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1EB30">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981A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3B085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r>
              <w:rPr>
                <w:rFonts w:ascii="宋体" w:hAnsi="Times New Roman" w:eastAsia="宋体" w:cs="宋体"/>
                <w:color w:val="000000"/>
                <w:kern w:val="0"/>
                <w:sz w:val="24"/>
                <w:lang w:bidi="ar"/>
              </w:rPr>
              <w:t>质量指标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9AA9D0">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农产品产地初加工率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0A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3D29">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78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BF05">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w:t>
            </w:r>
          </w:p>
        </w:tc>
        <w:tc>
          <w:tcPr>
            <w:tcW w:w="926" w:type="dxa"/>
            <w:tcBorders>
              <w:top w:val="single" w:color="000000" w:sz="4" w:space="0"/>
              <w:left w:val="single" w:color="000000" w:sz="4" w:space="0"/>
              <w:bottom w:val="single" w:color="000000" w:sz="4" w:space="0"/>
            </w:tcBorders>
            <w:shd w:val="clear" w:color="auto" w:fill="auto"/>
            <w:vAlign w:val="center"/>
          </w:tcPr>
          <w:p w14:paraId="096B4685">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98CFC">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80</w:t>
            </w:r>
          </w:p>
        </w:tc>
      </w:tr>
      <w:tr w14:paraId="121A90D6">
        <w:tblPrEx>
          <w:tblCellMar>
            <w:top w:w="15" w:type="dxa"/>
            <w:left w:w="15" w:type="dxa"/>
            <w:bottom w:w="15" w:type="dxa"/>
            <w:right w:w="15" w:type="dxa"/>
          </w:tblCellMar>
        </w:tblPrEx>
        <w:trPr>
          <w:trHeight w:val="67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0E4CF">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4DF7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190B9">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lang w:bidi="ar"/>
              </w:rPr>
            </w:pP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3FB7DD15">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园区主导产业覆盖率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923">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38D">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88F">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w:t>
            </w:r>
          </w:p>
        </w:tc>
        <w:tc>
          <w:tcPr>
            <w:tcW w:w="926" w:type="dxa"/>
            <w:tcBorders>
              <w:top w:val="single" w:color="000000" w:sz="4" w:space="0"/>
              <w:left w:val="single" w:color="000000" w:sz="4" w:space="0"/>
              <w:bottom w:val="single" w:color="000000" w:sz="4" w:space="0"/>
            </w:tcBorders>
            <w:shd w:val="clear" w:color="auto" w:fill="auto"/>
            <w:vAlign w:val="center"/>
          </w:tcPr>
          <w:p w14:paraId="79A2FA17">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4629D">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85</w:t>
            </w:r>
          </w:p>
        </w:tc>
      </w:tr>
      <w:tr w14:paraId="36321767">
        <w:tblPrEx>
          <w:tblCellMar>
            <w:top w:w="15" w:type="dxa"/>
            <w:left w:w="15" w:type="dxa"/>
            <w:bottom w:w="15" w:type="dxa"/>
            <w:right w:w="15" w:type="dxa"/>
          </w:tblCellMar>
        </w:tblPrEx>
        <w:trPr>
          <w:trHeight w:val="75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0A9A7">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820B1">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149561F8">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ascii="宋体" w:hAnsi="Times New Roman" w:eastAsia="宋体" w:cs="宋体"/>
                <w:color w:val="000000"/>
                <w:kern w:val="0"/>
                <w:sz w:val="24"/>
                <w:lang w:bidi="ar"/>
              </w:rPr>
              <w:t>时效指标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EE10C">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项目完成时限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62AB">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1F6">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1EF4">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年</w:t>
            </w:r>
          </w:p>
        </w:tc>
        <w:tc>
          <w:tcPr>
            <w:tcW w:w="926" w:type="dxa"/>
            <w:tcBorders>
              <w:top w:val="single" w:color="000000" w:sz="4" w:space="0"/>
              <w:left w:val="single" w:color="000000" w:sz="4" w:space="0"/>
              <w:bottom w:val="single" w:color="000000" w:sz="4" w:space="0"/>
            </w:tcBorders>
            <w:shd w:val="clear" w:color="auto" w:fill="auto"/>
            <w:vAlign w:val="center"/>
          </w:tcPr>
          <w:p w14:paraId="35D06DB5">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39477">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1</w:t>
            </w:r>
          </w:p>
        </w:tc>
      </w:tr>
      <w:tr w14:paraId="712D46B4">
        <w:tblPrEx>
          <w:tblCellMar>
            <w:top w:w="15" w:type="dxa"/>
            <w:left w:w="15" w:type="dxa"/>
            <w:bottom w:w="15" w:type="dxa"/>
            <w:right w:w="15" w:type="dxa"/>
          </w:tblCellMar>
        </w:tblPrEx>
        <w:trPr>
          <w:trHeight w:val="75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90FEF">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22957">
            <w:pPr>
              <w:widowControl/>
              <w:spacing w:before="0" w:beforeAutospacing="0" w:after="0" w:afterAutospacing="0" w:line="300" w:lineRule="exact"/>
              <w:ind w:left="0" w:right="0"/>
              <w:jc w:val="center"/>
              <w:rPr>
                <w:rFonts w:ascii="宋体" w:hAnsi="Times New Roman" w:eastAsia="宋体" w:cs="宋体"/>
                <w:color w:val="000000"/>
                <w:kern w:val="0"/>
                <w:sz w:val="24"/>
              </w:rPr>
            </w:pPr>
            <w:r>
              <w:rPr>
                <w:rFonts w:ascii="宋体" w:hAnsi="Times New Roman" w:eastAsia="宋体" w:cs="宋体"/>
                <w:color w:val="000000"/>
                <w:kern w:val="0"/>
                <w:sz w:val="24"/>
                <w:lang w:bidi="ar"/>
              </w:rPr>
              <w:t>效益指标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29263198">
            <w:pPr>
              <w:widowControl/>
              <w:spacing w:before="0" w:beforeAutospacing="0" w:after="0" w:afterAutospacing="0" w:line="300" w:lineRule="exact"/>
              <w:ind w:left="0" w:right="0"/>
              <w:jc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经济效益指标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D3E7065">
            <w:pPr>
              <w:widowControl/>
              <w:spacing w:before="0" w:beforeAutospacing="0" w:after="0" w:afterAutospacing="0" w:line="300" w:lineRule="exact"/>
              <w:ind w:left="0" w:right="0"/>
              <w:jc w:val="left"/>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第一产业增加值增长率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A480">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971F">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eastAsia="zh-CN"/>
              </w:rPr>
            </w:pPr>
            <w:r>
              <w:rPr>
                <w:rFonts w:hint="eastAsia" w:ascii="宋体" w:hAnsi="Times New Roman" w:eastAsia="宋体" w:cs="宋体"/>
                <w:color w:val="000000"/>
                <w:kern w:val="0"/>
                <w:sz w:val="24"/>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79DF">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eastAsia="zh-CN"/>
              </w:rPr>
            </w:pPr>
            <w:r>
              <w:rPr>
                <w:rFonts w:hint="eastAsia" w:ascii="宋体" w:hAnsi="Times New Roman" w:eastAsia="宋体" w:cs="宋体"/>
                <w:color w:val="000000"/>
                <w:kern w:val="0"/>
                <w:sz w:val="24"/>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0166">
            <w:pPr>
              <w:widowControl/>
              <w:spacing w:before="0" w:beforeAutospacing="0" w:after="0" w:afterAutospacing="0" w:line="300" w:lineRule="exact"/>
              <w:ind w:left="0" w:right="0"/>
              <w:jc w:val="center"/>
              <w:textAlignment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bidi="ar"/>
              </w:rPr>
              <w:t>10</w:t>
            </w:r>
          </w:p>
        </w:tc>
        <w:tc>
          <w:tcPr>
            <w:tcW w:w="1114" w:type="dxa"/>
            <w:gridSpan w:val="2"/>
            <w:tcBorders>
              <w:left w:val="single" w:color="000000" w:sz="4" w:space="0"/>
              <w:bottom w:val="single" w:color="000000" w:sz="4" w:space="0"/>
              <w:right w:val="single" w:color="000000" w:sz="4" w:space="0"/>
            </w:tcBorders>
            <w:shd w:val="clear" w:color="auto" w:fill="auto"/>
            <w:vAlign w:val="center"/>
          </w:tcPr>
          <w:p w14:paraId="36F471D4">
            <w:pPr>
              <w:widowControl/>
              <w:spacing w:before="0" w:beforeAutospacing="0" w:after="0" w:afterAutospacing="0" w:line="300" w:lineRule="exact"/>
              <w:ind w:left="0" w:right="0"/>
              <w:jc w:val="center"/>
              <w:textAlignment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w:t>
            </w:r>
          </w:p>
        </w:tc>
      </w:tr>
      <w:tr w14:paraId="07866E35">
        <w:tblPrEx>
          <w:tblCellMar>
            <w:top w:w="15" w:type="dxa"/>
            <w:left w:w="15" w:type="dxa"/>
            <w:bottom w:w="15" w:type="dxa"/>
            <w:right w:w="15" w:type="dxa"/>
          </w:tblCellMar>
        </w:tblPrEx>
        <w:trPr>
          <w:trHeight w:val="695"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5D319">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DD8EC">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3D2BE4">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社会效益指标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48D3DEA4">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确保粮食安全播种面积</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F39B">
            <w:pPr>
              <w:widowControl/>
              <w:spacing w:before="0" w:beforeAutospacing="0" w:after="0" w:afterAutospacing="0" w:line="300" w:lineRule="exact"/>
              <w:ind w:left="0" w:right="0"/>
              <w:jc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2E9F">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9A2C">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万亩</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0A01">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5</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C5689">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3.1</w:t>
            </w:r>
          </w:p>
        </w:tc>
      </w:tr>
      <w:tr w14:paraId="423D7EA0">
        <w:tblPrEx>
          <w:tblCellMar>
            <w:top w:w="15" w:type="dxa"/>
            <w:left w:w="15" w:type="dxa"/>
            <w:bottom w:w="15" w:type="dxa"/>
            <w:right w:w="15" w:type="dxa"/>
          </w:tblCellMar>
        </w:tblPrEx>
        <w:trPr>
          <w:trHeight w:val="535"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FCC5E">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A81F3">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2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5C792">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6DD33CF3">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重要农产品稳产稳供稳中略增</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9EB">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2CE1">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DF33">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727">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86A4">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定性</w:t>
            </w:r>
          </w:p>
        </w:tc>
      </w:tr>
      <w:tr w14:paraId="61A2CB93">
        <w:tblPrEx>
          <w:tblCellMar>
            <w:top w:w="15" w:type="dxa"/>
            <w:left w:w="15" w:type="dxa"/>
            <w:bottom w:w="15" w:type="dxa"/>
            <w:right w:w="15" w:type="dxa"/>
          </w:tblCellMar>
        </w:tblPrEx>
        <w:trPr>
          <w:trHeight w:val="83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956BA">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78A5A6C0">
            <w:pPr>
              <w:widowControl/>
              <w:spacing w:before="0" w:beforeAutospacing="0" w:after="0" w:afterAutospacing="0" w:line="300" w:lineRule="exact"/>
              <w:ind w:left="0" w:right="0"/>
              <w:jc w:val="center"/>
              <w:rPr>
                <w:rFonts w:ascii="宋体" w:hAnsi="Times New Roman" w:eastAsia="宋体" w:cs="宋体"/>
                <w:color w:val="000000"/>
                <w:kern w:val="0"/>
                <w:sz w:val="24"/>
              </w:rPr>
            </w:pPr>
            <w:r>
              <w:rPr>
                <w:rFonts w:hint="eastAsia" w:ascii="宋体" w:hAnsi="Times New Roman" w:eastAsia="宋体" w:cs="宋体"/>
                <w:color w:val="000000"/>
                <w:kern w:val="0"/>
                <w:sz w:val="24"/>
              </w:rPr>
              <w:t>满意度指标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3E6BF74A">
            <w:pPr>
              <w:widowControl/>
              <w:spacing w:before="0" w:beforeAutospacing="0" w:after="0" w:afterAutospacing="0" w:line="300" w:lineRule="exact"/>
              <w:ind w:left="0" w:right="0"/>
              <w:jc w:val="both"/>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rPr>
              <w:t>服务对象满意度指标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259E4E3B">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受益群众满意度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836C">
            <w:pPr>
              <w:widowControl/>
              <w:spacing w:before="0" w:beforeAutospacing="0" w:after="0" w:afterAutospacing="0" w:line="300" w:lineRule="exact"/>
              <w:ind w:left="0" w:right="0"/>
              <w:jc w:val="center"/>
              <w:rPr>
                <w:rFonts w:ascii="宋体" w:hAnsi="Times New Roman" w:eastAsia="宋体" w:cs="宋体"/>
                <w:color w:val="000000"/>
                <w:kern w:val="0"/>
                <w:sz w:val="24"/>
              </w:rPr>
            </w:pPr>
            <w:r>
              <w:rPr>
                <w:rFonts w:hint="eastAsia" w:ascii="宋体" w:hAnsi="Times New Roman" w:eastAsia="宋体" w:cs="宋体"/>
                <w:color w:val="000000"/>
                <w:kern w:val="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156F">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FEE2">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FBFD">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10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6750">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92</w:t>
            </w:r>
          </w:p>
        </w:tc>
      </w:tr>
      <w:tr w14:paraId="436C4120">
        <w:tblPrEx>
          <w:tblCellMar>
            <w:top w:w="15" w:type="dxa"/>
            <w:left w:w="15" w:type="dxa"/>
            <w:bottom w:w="15" w:type="dxa"/>
            <w:right w:w="15" w:type="dxa"/>
          </w:tblCellMar>
        </w:tblPrEx>
        <w:trPr>
          <w:trHeight w:val="1050"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8C14C">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4144C73C">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成本指标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7903E2BD">
            <w:pPr>
              <w:widowControl/>
              <w:spacing w:before="0" w:beforeAutospacing="0" w:after="0" w:afterAutospacing="0" w:line="300" w:lineRule="exact"/>
              <w:ind w:left="0" w:right="0"/>
              <w:jc w:val="center"/>
              <w:textAlignment w:val="center"/>
              <w:rPr>
                <w:rFonts w:ascii="宋体" w:hAnsi="Times New Roman" w:eastAsia="宋体" w:cs="宋体"/>
                <w:color w:val="000000"/>
                <w:kern w:val="0"/>
                <w:sz w:val="24"/>
              </w:rPr>
            </w:pPr>
            <w:r>
              <w:rPr>
                <w:rFonts w:hint="eastAsia" w:ascii="宋体" w:hAnsi="Times New Roman" w:eastAsia="宋体" w:cs="宋体"/>
                <w:color w:val="000000"/>
                <w:kern w:val="0"/>
                <w:sz w:val="24"/>
                <w:lang w:bidi="ar"/>
              </w:rPr>
              <w:t>成本指标</w:t>
            </w:r>
          </w:p>
        </w:tc>
        <w:tc>
          <w:tcPr>
            <w:tcW w:w="1300" w:type="dxa"/>
            <w:tcBorders>
              <w:top w:val="single" w:color="000000" w:sz="4" w:space="0"/>
              <w:left w:val="single" w:color="auto" w:sz="4" w:space="0"/>
              <w:bottom w:val="single" w:color="000000" w:sz="4" w:space="0"/>
              <w:right w:val="single" w:color="000000" w:sz="4" w:space="0"/>
            </w:tcBorders>
            <w:shd w:val="clear" w:color="auto" w:fill="auto"/>
            <w:vAlign w:val="center"/>
          </w:tcPr>
          <w:p w14:paraId="1DF3E044">
            <w:pPr>
              <w:widowControl/>
              <w:spacing w:before="0" w:beforeAutospacing="0" w:after="0" w:afterAutospacing="0" w:line="300" w:lineRule="exact"/>
              <w:ind w:left="0" w:right="0"/>
              <w:jc w:val="left"/>
              <w:rPr>
                <w:rFonts w:ascii="宋体" w:hAnsi="Times New Roman" w:eastAsia="宋体" w:cs="宋体"/>
                <w:color w:val="000000"/>
                <w:kern w:val="0"/>
                <w:sz w:val="24"/>
              </w:rPr>
            </w:pPr>
            <w:r>
              <w:rPr>
                <w:rFonts w:hint="eastAsia" w:ascii="宋体" w:hAnsi="Times New Roman" w:eastAsia="宋体" w:cs="宋体"/>
                <w:color w:val="000000"/>
                <w:kern w:val="0"/>
                <w:sz w:val="24"/>
              </w:rPr>
              <w:t>三公经费控制小于等于年初预算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625C">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7E70">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90FD">
            <w:pPr>
              <w:widowControl/>
              <w:spacing w:before="0" w:beforeAutospacing="0" w:after="0" w:afterAutospacing="0" w:line="300" w:lineRule="exact"/>
              <w:ind w:left="0" w:right="0"/>
              <w:jc w:val="center"/>
              <w:rPr>
                <w:rFonts w:ascii="宋体" w:hAnsi="Times New Roman" w:eastAsia="宋体" w:cs="宋体"/>
                <w:color w:val="000000"/>
                <w:kern w:val="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1C7">
            <w:pPr>
              <w:widowControl/>
              <w:spacing w:before="0" w:beforeAutospacing="0" w:after="0" w:afterAutospacing="0" w:line="300" w:lineRule="exact"/>
              <w:ind w:left="0" w:right="0"/>
              <w:jc w:val="center"/>
              <w:rPr>
                <w:rFonts w:hint="default"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20</w:t>
            </w:r>
          </w:p>
        </w:tc>
        <w:tc>
          <w:tcPr>
            <w:tcW w:w="1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828B">
            <w:pPr>
              <w:widowControl/>
              <w:spacing w:before="0" w:beforeAutospacing="0" w:after="0" w:afterAutospacing="0" w:line="300" w:lineRule="exact"/>
              <w:ind w:left="0" w:right="0"/>
              <w:jc w:val="center"/>
              <w:rPr>
                <w:rFonts w:hint="eastAsia" w:ascii="宋体" w:hAnsi="Times New Roman" w:eastAsia="宋体" w:cs="宋体"/>
                <w:color w:val="000000"/>
                <w:kern w:val="0"/>
                <w:sz w:val="24"/>
                <w:lang w:val="en-US" w:eastAsia="zh-CN"/>
              </w:rPr>
            </w:pPr>
            <w:r>
              <w:rPr>
                <w:rFonts w:hint="eastAsia" w:ascii="宋体" w:hAnsi="Times New Roman" w:eastAsia="宋体" w:cs="宋体"/>
                <w:color w:val="000000"/>
                <w:kern w:val="0"/>
                <w:sz w:val="24"/>
                <w:lang w:val="en-US" w:eastAsia="zh-CN"/>
              </w:rPr>
              <w:t>定性</w:t>
            </w:r>
          </w:p>
        </w:tc>
      </w:tr>
    </w:tbl>
    <w:p w14:paraId="0CECC7E3">
      <w:pPr>
        <w:keepNext w:val="0"/>
        <w:keepLines w:val="0"/>
        <w:widowControl/>
        <w:suppressLineNumbers w:val="0"/>
        <w:spacing w:before="0" w:beforeAutospacing="0" w:after="0" w:afterAutospacing="0" w:line="560" w:lineRule="exact"/>
        <w:ind w:left="0" w:right="0"/>
        <w:jc w:val="both"/>
        <w:outlineLvl w:val="0"/>
        <w:rPr>
          <w:rFonts w:hint="eastAsia" w:ascii="方正小标宋简体" w:hAnsi="Times New Roman" w:eastAsia="方正小标宋简体" w:cs="方正小标宋简体"/>
          <w:kern w:val="0"/>
          <w:sz w:val="44"/>
          <w:szCs w:val="44"/>
        </w:rPr>
      </w:pPr>
      <w:bookmarkStart w:id="126" w:name="_Toc16593"/>
      <w:bookmarkEnd w:id="126"/>
      <w:bookmarkStart w:id="127" w:name="_Toc7993"/>
      <w:bookmarkEnd w:id="127"/>
      <w:bookmarkStart w:id="128" w:name="_Toc4335"/>
      <w:bookmarkEnd w:id="128"/>
      <w:bookmarkStart w:id="129" w:name="_Toc7835"/>
      <w:bookmarkEnd w:id="129"/>
      <w:bookmarkStart w:id="130" w:name="_Toc338"/>
      <w:bookmarkEnd w:id="130"/>
      <w:bookmarkStart w:id="131" w:name="_Toc22506"/>
      <w:bookmarkStart w:id="132" w:name="_Toc32015"/>
    </w:p>
    <w:p w14:paraId="787181A8">
      <w:pPr>
        <w:pStyle w:val="2"/>
        <w:rPr>
          <w:rFonts w:hint="eastAsia"/>
        </w:rPr>
      </w:pPr>
    </w:p>
    <w:p w14:paraId="3ECAA750">
      <w:pPr>
        <w:keepNext w:val="0"/>
        <w:keepLines w:val="0"/>
        <w:widowControl/>
        <w:suppressLineNumbers w:val="0"/>
        <w:spacing w:before="0" w:beforeAutospacing="0" w:after="0" w:afterAutospacing="0" w:line="560" w:lineRule="exact"/>
        <w:ind w:left="0" w:right="0"/>
        <w:jc w:val="both"/>
        <w:outlineLvl w:val="0"/>
        <w:rPr>
          <w:rFonts w:hint="default" w:ascii="方正小标宋简体" w:hAnsi="Times New Roman" w:eastAsia="方正小标宋简体" w:cs="方正小标宋简体"/>
          <w:kern w:val="0"/>
          <w:sz w:val="44"/>
          <w:szCs w:val="44"/>
          <w:lang w:val="en-US" w:eastAsia="zh-CN"/>
        </w:rPr>
      </w:pPr>
      <w:bookmarkStart w:id="133" w:name="_Toc14853"/>
      <w:r>
        <w:rPr>
          <w:rFonts w:hint="eastAsia" w:ascii="方正小标宋简体" w:hAnsi="Times New Roman" w:eastAsia="方正小标宋简体" w:cs="方正小标宋简体"/>
          <w:kern w:val="0"/>
          <w:sz w:val="44"/>
          <w:szCs w:val="44"/>
        </w:rPr>
        <w:t>附件2</w:t>
      </w:r>
      <w:bookmarkEnd w:id="131"/>
      <w:r>
        <w:rPr>
          <w:rFonts w:hint="eastAsia" w:ascii="方正小标宋简体" w:hAnsi="Times New Roman" w:eastAsia="方正小标宋简体" w:cs="方正小标宋简体"/>
          <w:kern w:val="0"/>
          <w:sz w:val="44"/>
          <w:szCs w:val="44"/>
          <w:lang w:val="en-US" w:eastAsia="zh-CN"/>
        </w:rPr>
        <w:t>专项预算项目绩效自评报告</w:t>
      </w:r>
      <w:bookmarkEnd w:id="132"/>
      <w:bookmarkEnd w:id="133"/>
    </w:p>
    <w:p w14:paraId="38A9A153">
      <w:pPr>
        <w:keepNext/>
        <w:keepLines/>
        <w:pageBreakBefore w:val="0"/>
        <w:widowControl w:val="0"/>
        <w:kinsoku/>
        <w:wordWrap/>
        <w:overflowPunct/>
        <w:topLinePunct w:val="0"/>
        <w:autoSpaceDE/>
        <w:autoSpaceDN/>
        <w:bidi w:val="0"/>
        <w:adjustRightInd/>
        <w:snapToGrid/>
        <w:spacing w:before="280" w:beforeAutospacing="0" w:after="156" w:afterAutospacing="0" w:line="576" w:lineRule="exact"/>
        <w:ind w:left="0" w:right="0"/>
        <w:jc w:val="center"/>
        <w:textAlignment w:val="auto"/>
        <w:outlineLvl w:val="0"/>
        <w:rPr>
          <w:rFonts w:hint="eastAsia" w:ascii="方正小标宋简体" w:hAnsi="方正小标宋简体" w:eastAsia="方正小标宋简体" w:cs="方正小标宋简体"/>
          <w:b/>
          <w:color w:val="auto"/>
          <w:kern w:val="2"/>
          <w:sz w:val="44"/>
          <w:szCs w:val="44"/>
          <w:lang w:val="en-US" w:eastAsia="zh-CN" w:bidi="ar-SA"/>
        </w:rPr>
      </w:pPr>
      <w:bookmarkStart w:id="134" w:name="_Toc22595"/>
      <w:bookmarkEnd w:id="134"/>
      <w:bookmarkStart w:id="135" w:name="_Toc15719"/>
      <w:bookmarkEnd w:id="135"/>
      <w:bookmarkStart w:id="136" w:name="_Toc3687"/>
      <w:bookmarkEnd w:id="136"/>
      <w:bookmarkStart w:id="137" w:name="_Toc14914"/>
      <w:bookmarkEnd w:id="137"/>
      <w:bookmarkStart w:id="138" w:name="_Toc7627"/>
      <w:bookmarkEnd w:id="138"/>
      <w:bookmarkStart w:id="139" w:name="_Toc3476"/>
      <w:bookmarkEnd w:id="139"/>
      <w:bookmarkStart w:id="140" w:name="_Toc25815"/>
      <w:bookmarkEnd w:id="140"/>
      <w:bookmarkStart w:id="141" w:name="_Toc32463"/>
      <w:bookmarkEnd w:id="141"/>
      <w:bookmarkStart w:id="142" w:name="_Toc4347"/>
      <w:bookmarkEnd w:id="142"/>
      <w:bookmarkStart w:id="143" w:name="_Toc26887"/>
      <w:bookmarkEnd w:id="143"/>
      <w:bookmarkStart w:id="144" w:name="_Toc5364"/>
      <w:bookmarkEnd w:id="144"/>
      <w:bookmarkStart w:id="145" w:name="_Toc31264"/>
      <w:bookmarkEnd w:id="145"/>
      <w:bookmarkStart w:id="146" w:name="_Toc31674"/>
      <w:bookmarkEnd w:id="146"/>
      <w:bookmarkStart w:id="147" w:name="_Toc2418"/>
      <w:bookmarkStart w:id="148" w:name="_Toc29795"/>
      <w:bookmarkStart w:id="149" w:name="_Toc31621"/>
      <w:r>
        <w:rPr>
          <w:rFonts w:hint="eastAsia" w:ascii="方正小标宋简体" w:hAnsi="方正小标宋简体" w:eastAsia="方正小标宋简体" w:cs="方正小标宋简体"/>
          <w:b/>
          <w:color w:val="auto"/>
          <w:kern w:val="2"/>
          <w:sz w:val="44"/>
          <w:szCs w:val="44"/>
          <w:lang w:val="en-US" w:eastAsia="zh-CN" w:bidi="ar-SA"/>
        </w:rPr>
        <w:t>2023年茂县高素质农民培育项目</w:t>
      </w:r>
      <w:bookmarkEnd w:id="147"/>
      <w:bookmarkEnd w:id="148"/>
    </w:p>
    <w:p w14:paraId="531115D8">
      <w:pPr>
        <w:keepNext/>
        <w:keepLines/>
        <w:pageBreakBefore w:val="0"/>
        <w:widowControl w:val="0"/>
        <w:kinsoku/>
        <w:wordWrap/>
        <w:overflowPunct/>
        <w:topLinePunct w:val="0"/>
        <w:autoSpaceDE/>
        <w:autoSpaceDN/>
        <w:bidi w:val="0"/>
        <w:adjustRightInd/>
        <w:snapToGrid/>
        <w:spacing w:before="280" w:beforeAutospacing="0" w:after="156" w:afterAutospacing="0" w:line="576" w:lineRule="exact"/>
        <w:ind w:left="0" w:right="0"/>
        <w:jc w:val="center"/>
        <w:textAlignment w:val="auto"/>
        <w:outlineLvl w:val="0"/>
        <w:rPr>
          <w:rFonts w:ascii="方正小标宋简体" w:hAnsi="方正小标宋简体" w:eastAsia="方正小标宋简体" w:cs="方正小标宋简体"/>
          <w:b/>
          <w:color w:val="auto"/>
          <w:kern w:val="2"/>
          <w:sz w:val="44"/>
          <w:szCs w:val="44"/>
          <w:lang w:val="en-US" w:eastAsia="zh-CN" w:bidi="ar-SA"/>
        </w:rPr>
      </w:pPr>
      <w:r>
        <w:rPr>
          <w:rFonts w:hint="eastAsia" w:ascii="方正小标宋简体" w:hAnsi="方正小标宋简体" w:eastAsia="方正小标宋简体" w:cs="方正小标宋简体"/>
          <w:b/>
          <w:color w:val="auto"/>
          <w:kern w:val="2"/>
          <w:sz w:val="44"/>
          <w:szCs w:val="44"/>
          <w:lang w:val="en-US" w:eastAsia="zh-CN" w:bidi="ar-SA"/>
        </w:rPr>
        <w:t xml:space="preserve"> </w:t>
      </w:r>
      <w:bookmarkStart w:id="150" w:name="_Toc24106"/>
      <w:r>
        <w:rPr>
          <w:rFonts w:hint="eastAsia" w:ascii="方正小标宋简体" w:hAnsi="方正小标宋简体" w:eastAsia="方正小标宋简体" w:cs="方正小标宋简体"/>
          <w:b/>
          <w:color w:val="auto"/>
          <w:kern w:val="2"/>
          <w:sz w:val="44"/>
          <w:szCs w:val="44"/>
          <w:lang w:val="en-US" w:eastAsia="zh-CN" w:bidi="ar-SA"/>
        </w:rPr>
        <w:t>绩效评价报告</w:t>
      </w:r>
      <w:bookmarkEnd w:id="150"/>
    </w:p>
    <w:p w14:paraId="3A67DE40">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lang w:val="zh-CN"/>
        </w:rPr>
      </w:pPr>
      <w:bookmarkStart w:id="151" w:name="_Toc29524"/>
      <w:bookmarkStart w:id="152" w:name="_Toc12763"/>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bookmarkEnd w:id="151"/>
      <w:bookmarkEnd w:id="152"/>
    </w:p>
    <w:p w14:paraId="1F7C6004">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76" w:lineRule="exact"/>
        <w:ind w:left="0" w:right="0" w:firstLine="643" w:firstLineChars="200"/>
        <w:jc w:val="left"/>
        <w:textAlignment w:val="auto"/>
        <w:outlineLvl w:val="2"/>
        <w:rPr>
          <w:rFonts w:hint="default" w:ascii="仿宋_GB2312" w:hAnsi="仿宋_GB2312" w:eastAsia="仿宋_GB2312" w:cs="仿宋_GB2312"/>
          <w:kern w:val="0"/>
          <w:sz w:val="32"/>
          <w:szCs w:val="32"/>
          <w:shd w:val="clear" w:color="auto" w:fill="FFFFFF"/>
          <w:lang w:val="en-US" w:eastAsia="zh-CN"/>
        </w:rPr>
      </w:pPr>
      <w:r>
        <w:rPr>
          <w:rFonts w:hint="eastAsia" w:ascii="楷体_GB2312" w:hAnsi="宋体" w:eastAsia="楷体_GB2312" w:cs="Times New Roman"/>
          <w:b/>
          <w:kern w:val="2"/>
          <w:sz w:val="32"/>
          <w:szCs w:val="32"/>
          <w:lang w:val="zh-CN"/>
        </w:rPr>
        <w:t>（一）设立背景及基本情况。</w:t>
      </w:r>
      <w:r>
        <w:rPr>
          <w:rFonts w:hint="eastAsia" w:ascii="仿宋_GB2312" w:hAnsi="仿宋_GB2312" w:eastAsia="仿宋_GB2312" w:cs="仿宋_GB2312"/>
          <w:b w:val="0"/>
          <w:bCs w:val="0"/>
          <w:i w:val="0"/>
          <w:caps w:val="0"/>
          <w:spacing w:val="0"/>
          <w:w w:val="100"/>
          <w:kern w:val="2"/>
          <w:sz w:val="32"/>
          <w:szCs w:val="32"/>
          <w:lang w:val="en-US" w:eastAsia="zh-CN" w:bidi="ar-SA"/>
        </w:rPr>
        <w:t>按照四川省农业农村厅四川省财政厅《关于做好2023年中央财政粮油保障等资金项目实施工作通知》（川农函【2023】436号）、四川省农业农村厅《关于做好2023年高素质农民培育工作的通知》（川农函【2023】269号）、阿坝州农业农村局《关于下达2023年高素质农民培训计划的通知》（AZN[2023]-66号）</w:t>
      </w:r>
      <w:r>
        <w:rPr>
          <w:rFonts w:hint="eastAsia" w:ascii="仿宋_GB2312" w:hAnsi="仿宋_GB2312" w:cs="仿宋_GB2312"/>
          <w:b w:val="0"/>
          <w:bCs w:val="0"/>
          <w:i w:val="0"/>
          <w:caps w:val="0"/>
          <w:spacing w:val="0"/>
          <w:w w:val="100"/>
          <w:kern w:val="2"/>
          <w:sz w:val="32"/>
          <w:szCs w:val="32"/>
          <w:lang w:val="en-US" w:eastAsia="zh-CN" w:bidi="ar-SA"/>
        </w:rPr>
        <w:t>、</w:t>
      </w:r>
      <w:r>
        <w:rPr>
          <w:rFonts w:hint="eastAsia" w:ascii="仿宋_GB2312" w:hAnsi="仿宋_GB2312" w:eastAsia="仿宋_GB2312" w:cs="仿宋_GB2312"/>
          <w:b w:val="0"/>
          <w:bCs w:val="0"/>
          <w:i w:val="0"/>
          <w:caps w:val="0"/>
          <w:spacing w:val="0"/>
          <w:w w:val="100"/>
          <w:kern w:val="2"/>
          <w:sz w:val="32"/>
          <w:szCs w:val="32"/>
          <w:lang w:val="en-US" w:eastAsia="zh-CN" w:bidi="ar-SA"/>
        </w:rPr>
        <w:t>阿坝州财政局阿坝州农业农村局《关于下达2023年中央财政农业经营主体能力提升资金的通知》（阿州财农【2023】57号）</w:t>
      </w:r>
      <w:r>
        <w:rPr>
          <w:rFonts w:hint="eastAsia" w:ascii="仿宋_GB2312" w:hAnsi="仿宋_GB2312" w:eastAsia="仿宋_GB2312" w:cs="仿宋_GB2312"/>
          <w:kern w:val="2"/>
          <w:sz w:val="32"/>
          <w:szCs w:val="32"/>
          <w:shd w:val="clear" w:color="auto" w:fill="auto"/>
          <w:lang w:eastAsia="zh-CN"/>
        </w:rPr>
        <w:t>要求</w:t>
      </w:r>
      <w:r>
        <w:rPr>
          <w:rFonts w:hint="eastAsia" w:ascii="仿宋_GB2312" w:hAnsi="仿宋_GB2312" w:eastAsia="仿宋_GB2312" w:cs="仿宋_GB2312"/>
          <w:b w:val="0"/>
          <w:bCs w:val="0"/>
          <w:kern w:val="2"/>
          <w:sz w:val="32"/>
          <w:szCs w:val="32"/>
          <w:lang w:val="en-US" w:eastAsia="zh-CN"/>
        </w:rPr>
        <w:t>立项、资金申报。</w:t>
      </w:r>
      <w:r>
        <w:rPr>
          <w:rFonts w:hint="eastAsia" w:ascii="仿宋_GB2312" w:hAnsi="Times New Roman" w:eastAsia="仿宋_GB2312" w:cs="Times New Roman"/>
          <w:color w:val="000000"/>
          <w:kern w:val="2"/>
          <w:sz w:val="32"/>
          <w:szCs w:val="32"/>
          <w:u w:val="none"/>
          <w:lang w:val="en-US" w:eastAsia="zh-CN"/>
        </w:rPr>
        <w:t>资金到位后由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Times New Roman" w:eastAsia="仿宋_GB2312" w:cs="Times New Roman"/>
          <w:color w:val="000000"/>
          <w:kern w:val="2"/>
          <w:sz w:val="32"/>
          <w:szCs w:val="32"/>
          <w:u w:val="none"/>
          <w:lang w:val="en-US" w:eastAsia="zh-CN"/>
        </w:rPr>
        <w:t>编制项目实施方案并报县人民政府批复实施。</w:t>
      </w:r>
      <w:r>
        <w:rPr>
          <w:rFonts w:hint="eastAsia" w:ascii="仿宋_GB2312" w:hAnsi="仿宋_GB2312" w:eastAsia="仿宋_GB2312" w:cs="仿宋_GB2312"/>
          <w:color w:val="000000"/>
          <w:kern w:val="0"/>
          <w:sz w:val="32"/>
          <w:szCs w:val="32"/>
          <w:shd w:val="clear" w:color="auto" w:fill="FFFFFF"/>
          <w:lang w:val="zh-CN"/>
        </w:rPr>
        <w:t>项目主要内容</w:t>
      </w:r>
      <w:r>
        <w:rPr>
          <w:rFonts w:hint="eastAsia" w:ascii="仿宋_GB2312" w:hAnsi="仿宋_GB2312" w:eastAsia="仿宋_GB2312" w:cs="仿宋_GB2312"/>
          <w:kern w:val="2"/>
          <w:sz w:val="32"/>
          <w:szCs w:val="32"/>
          <w:lang w:val="zh-CN"/>
        </w:rPr>
        <w:t>高素质农民培训</w:t>
      </w:r>
      <w:r>
        <w:rPr>
          <w:rFonts w:hint="eastAsia" w:ascii="仿宋_GB2312" w:hAnsi="仿宋_GB2312" w:eastAsia="仿宋_GB2312" w:cs="仿宋_GB2312"/>
          <w:kern w:val="2"/>
          <w:sz w:val="32"/>
          <w:szCs w:val="32"/>
          <w:lang w:val="en-US" w:eastAsia="zh-CN"/>
        </w:rPr>
        <w:t>59人。</w:t>
      </w:r>
      <w:r>
        <w:rPr>
          <w:rFonts w:hint="eastAsia" w:ascii="仿宋_GB2312" w:hAnsi="仿宋_GB2312" w:eastAsia="仿宋_GB2312" w:cs="仿宋_GB2312"/>
          <w:b w:val="0"/>
          <w:bCs w:val="0"/>
          <w:kern w:val="2"/>
          <w:sz w:val="32"/>
          <w:szCs w:val="32"/>
          <w:lang w:val="en-US" w:eastAsia="zh-CN"/>
        </w:rPr>
        <w:t>茂县科学技术和农业畜牧局负责项目监督管理工作，培训机构组织项目实施。</w:t>
      </w:r>
    </w:p>
    <w:p w14:paraId="6BFC2F3B">
      <w:pPr>
        <w:widowControl w:val="0"/>
        <w:adjustRightInd w:val="0"/>
        <w:snapToGrid w:val="0"/>
        <w:spacing w:before="0" w:beforeAutospacing="0" w:after="0" w:afterAutospacing="0" w:line="578" w:lineRule="exact"/>
        <w:ind w:left="0" w:right="0" w:firstLine="643" w:firstLineChars="200"/>
        <w:jc w:val="both"/>
        <w:outlineLvl w:val="2"/>
        <w:rPr>
          <w:rFonts w:hint="eastAsia" w:ascii="楷体_GB2312" w:hAnsi="宋体" w:eastAsia="楷体_GB2312" w:cs="Times New Roman"/>
          <w:b w:val="0"/>
          <w:bCs/>
          <w:kern w:val="2"/>
          <w:sz w:val="32"/>
          <w:szCs w:val="32"/>
          <w:lang w:val="zh-CN" w:eastAsia="zh-CN"/>
        </w:rPr>
      </w:pPr>
      <w:r>
        <w:rPr>
          <w:rFonts w:hint="eastAsia" w:ascii="楷体_GB2312" w:hAnsi="宋体" w:eastAsia="楷体_GB2312" w:cs="Times New Roman"/>
          <w:b/>
          <w:kern w:val="2"/>
          <w:sz w:val="32"/>
          <w:szCs w:val="32"/>
          <w:lang w:val="zh-CN"/>
        </w:rPr>
        <w:t>（二）</w:t>
      </w:r>
      <w:r>
        <w:rPr>
          <w:rFonts w:ascii="楷体_GB2312" w:hAnsi="宋体" w:eastAsia="楷体_GB2312" w:cs="Times New Roman"/>
          <w:b/>
          <w:kern w:val="2"/>
          <w:sz w:val="32"/>
          <w:szCs w:val="32"/>
        </w:rPr>
        <w:t>实施目的及支持方向</w:t>
      </w:r>
      <w:r>
        <w:rPr>
          <w:rFonts w:hint="eastAsia" w:ascii="楷体_GB2312" w:hAnsi="宋体" w:eastAsia="楷体_GB2312" w:cs="Times New Roman"/>
          <w:b/>
          <w:kern w:val="2"/>
          <w:sz w:val="32"/>
          <w:szCs w:val="32"/>
        </w:rPr>
        <w:t>。</w:t>
      </w:r>
      <w:r>
        <w:rPr>
          <w:rFonts w:hint="eastAsia" w:ascii="仿宋_GB2312" w:hAnsi="Times New Roman" w:eastAsia="仿宋_GB2312" w:cs="仿宋_GB2312"/>
          <w:kern w:val="2"/>
          <w:sz w:val="32"/>
          <w:szCs w:val="32"/>
          <w:shd w:val="clear" w:color="auto" w:fill="auto"/>
          <w:lang w:val="en-US" w:eastAsia="zh-CN"/>
        </w:rPr>
        <w:t>培育高素质农民59人。</w:t>
      </w:r>
      <w:r>
        <w:rPr>
          <w:rFonts w:ascii="仿宋_GB2312" w:hAnsi="Times New Roman" w:eastAsia="仿宋_GB2312" w:cs="仿宋_GB2312"/>
          <w:kern w:val="2"/>
          <w:sz w:val="32"/>
          <w:szCs w:val="32"/>
          <w:shd w:val="clear" w:color="auto" w:fill="auto"/>
          <w:lang w:val="en-US" w:eastAsia="zh-CN"/>
        </w:rPr>
        <w:t>农业产业领军人才培训3人，</w:t>
      </w:r>
      <w:r>
        <w:rPr>
          <w:rFonts w:hint="eastAsia" w:ascii="仿宋_GB2312" w:hAnsi="Times New Roman" w:eastAsia="仿宋_GB2312" w:cs="仿宋_GB2312"/>
          <w:kern w:val="2"/>
          <w:sz w:val="32"/>
          <w:szCs w:val="32"/>
          <w:shd w:val="clear" w:color="auto" w:fill="auto"/>
          <w:lang w:val="en-US" w:eastAsia="zh-CN"/>
        </w:rPr>
        <w:t>每人</w:t>
      </w:r>
      <w:r>
        <w:rPr>
          <w:rFonts w:ascii="仿宋_GB2312" w:hAnsi="Times New Roman" w:eastAsia="仿宋_GB2312" w:cs="仿宋_GB2312"/>
          <w:kern w:val="2"/>
          <w:sz w:val="32"/>
          <w:szCs w:val="32"/>
          <w:shd w:val="clear" w:color="auto" w:fill="auto"/>
          <w:lang w:val="en-US" w:eastAsia="zh-CN"/>
        </w:rPr>
        <w:t>补助资金1</w:t>
      </w:r>
      <w:r>
        <w:rPr>
          <w:rFonts w:hint="eastAsia" w:ascii="仿宋_GB2312" w:hAnsi="Times New Roman" w:eastAsia="仿宋_GB2312" w:cs="仿宋_GB2312"/>
          <w:kern w:val="2"/>
          <w:sz w:val="32"/>
          <w:szCs w:val="32"/>
          <w:shd w:val="clear" w:color="auto" w:fill="auto"/>
          <w:lang w:val="en-US" w:eastAsia="zh-CN"/>
        </w:rPr>
        <w:t>0000元，</w:t>
      </w:r>
      <w:r>
        <w:rPr>
          <w:rFonts w:ascii="仿宋_GB2312" w:hAnsi="Times New Roman" w:eastAsia="仿宋_GB2312" w:cs="仿宋_GB2312"/>
          <w:kern w:val="2"/>
          <w:sz w:val="32"/>
          <w:szCs w:val="32"/>
          <w:shd w:val="clear" w:color="auto" w:fill="auto"/>
          <w:lang w:val="en-US" w:eastAsia="zh-CN"/>
        </w:rPr>
        <w:t>经营管理型培训</w:t>
      </w:r>
      <w:r>
        <w:rPr>
          <w:rFonts w:hint="eastAsia" w:ascii="仿宋_GB2312" w:hAnsi="Times New Roman" w:eastAsia="仿宋_GB2312" w:cs="仿宋_GB2312"/>
          <w:kern w:val="2"/>
          <w:sz w:val="32"/>
          <w:szCs w:val="32"/>
          <w:shd w:val="clear" w:color="auto" w:fill="auto"/>
          <w:lang w:val="en-US" w:eastAsia="zh-CN"/>
        </w:rPr>
        <w:t>56</w:t>
      </w:r>
      <w:r>
        <w:rPr>
          <w:rFonts w:ascii="仿宋_GB2312" w:hAnsi="Times New Roman" w:eastAsia="仿宋_GB2312" w:cs="仿宋_GB2312"/>
          <w:kern w:val="2"/>
          <w:sz w:val="32"/>
          <w:szCs w:val="32"/>
          <w:shd w:val="clear" w:color="auto" w:fill="auto"/>
          <w:lang w:val="en-US" w:eastAsia="zh-CN"/>
        </w:rPr>
        <w:t>人，</w:t>
      </w:r>
      <w:r>
        <w:rPr>
          <w:rFonts w:hint="eastAsia" w:ascii="仿宋_GB2312" w:hAnsi="Times New Roman" w:eastAsia="仿宋_GB2312" w:cs="仿宋_GB2312"/>
          <w:kern w:val="2"/>
          <w:sz w:val="32"/>
          <w:szCs w:val="32"/>
          <w:shd w:val="clear" w:color="auto" w:fill="auto"/>
          <w:lang w:val="en-US" w:eastAsia="zh-CN"/>
        </w:rPr>
        <w:t>每人</w:t>
      </w:r>
      <w:r>
        <w:rPr>
          <w:rFonts w:ascii="仿宋_GB2312" w:hAnsi="Times New Roman" w:eastAsia="仿宋_GB2312" w:cs="仿宋_GB2312"/>
          <w:kern w:val="2"/>
          <w:sz w:val="32"/>
          <w:szCs w:val="32"/>
          <w:shd w:val="clear" w:color="auto" w:fill="auto"/>
          <w:lang w:val="en-US" w:eastAsia="zh-CN"/>
        </w:rPr>
        <w:t>补助资金</w:t>
      </w:r>
      <w:r>
        <w:rPr>
          <w:rFonts w:hint="eastAsia" w:ascii="仿宋_GB2312" w:hAnsi="Times New Roman" w:eastAsia="仿宋_GB2312" w:cs="仿宋_GB2312"/>
          <w:kern w:val="2"/>
          <w:sz w:val="32"/>
          <w:szCs w:val="32"/>
          <w:shd w:val="clear" w:color="auto" w:fill="auto"/>
          <w:lang w:val="en-US" w:eastAsia="zh-CN"/>
        </w:rPr>
        <w:t>356</w:t>
      </w:r>
      <w:r>
        <w:rPr>
          <w:rFonts w:ascii="仿宋_GB2312" w:hAnsi="Times New Roman" w:eastAsia="仿宋_GB2312" w:cs="仿宋_GB2312"/>
          <w:kern w:val="2"/>
          <w:sz w:val="32"/>
          <w:szCs w:val="32"/>
          <w:shd w:val="clear" w:color="auto" w:fill="auto"/>
          <w:lang w:val="en-US" w:eastAsia="zh-CN"/>
        </w:rPr>
        <w:t>0元</w:t>
      </w:r>
      <w:r>
        <w:rPr>
          <w:rFonts w:hint="eastAsia" w:ascii="仿宋_GB2312" w:hAnsi="Times New Roman" w:eastAsia="仿宋_GB2312" w:cs="仿宋_GB2312"/>
          <w:kern w:val="2"/>
          <w:sz w:val="32"/>
          <w:szCs w:val="32"/>
          <w:shd w:val="clear" w:color="auto" w:fill="auto"/>
          <w:lang w:val="en-US" w:eastAsia="zh-CN"/>
        </w:rPr>
        <w:t>。</w:t>
      </w:r>
    </w:p>
    <w:p w14:paraId="20C5CE6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120" w:afterAutospacing="0" w:line="576" w:lineRule="exact"/>
        <w:ind w:right="0" w:firstLine="643" w:firstLineChars="200"/>
        <w:jc w:val="both"/>
        <w:textAlignment w:val="auto"/>
        <w:outlineLvl w:val="2"/>
        <w:rPr>
          <w:rFonts w:hint="eastAsia" w:ascii="仿宋_GB2312" w:hAnsi="仿宋_GB2312" w:eastAsia="仿宋_GB2312" w:cs="仿宋_GB2312"/>
          <w:b w:val="0"/>
          <w:bCs w:val="0"/>
          <w:kern w:val="2"/>
          <w:sz w:val="32"/>
          <w:szCs w:val="32"/>
          <w:lang w:val="en-US" w:eastAsia="zh-CN" w:bidi="ar-SA"/>
        </w:rPr>
      </w:pPr>
      <w:r>
        <w:rPr>
          <w:rFonts w:hint="eastAsia" w:ascii="楷体_GB2312" w:hAnsi="宋体" w:eastAsia="楷体_GB2312" w:cs="Times New Roman"/>
          <w:b/>
          <w:kern w:val="2"/>
          <w:sz w:val="32"/>
          <w:szCs w:val="32"/>
          <w:lang w:val="zh-CN" w:eastAsia="zh-CN" w:bidi="ar-SA"/>
        </w:rPr>
        <w:t>（三）</w:t>
      </w:r>
      <w:r>
        <w:rPr>
          <w:rFonts w:ascii="楷体_GB2312" w:hAnsi="宋体" w:eastAsia="楷体_GB2312" w:cs="Times New Roman"/>
          <w:b/>
          <w:kern w:val="2"/>
          <w:sz w:val="32"/>
          <w:szCs w:val="32"/>
          <w:lang w:val="en-US" w:eastAsia="zh-CN" w:bidi="ar-SA"/>
        </w:rPr>
        <w:t>预算安排及分配管理</w:t>
      </w:r>
      <w:r>
        <w:rPr>
          <w:rFonts w:hint="eastAsia" w:ascii="楷体_GB2312" w:hAnsi="宋体" w:eastAsia="楷体_GB2312" w:cs="Times New Roman"/>
          <w:b/>
          <w:kern w:val="2"/>
          <w:sz w:val="32"/>
          <w:szCs w:val="32"/>
          <w:lang w:val="zh-CN" w:eastAsia="zh-CN" w:bidi="ar-SA"/>
        </w:rPr>
        <w:t>。</w:t>
      </w:r>
      <w:r>
        <w:rPr>
          <w:rFonts w:hint="eastAsia" w:ascii="仿宋_GB2312" w:hAnsi="仿宋_GB2312" w:eastAsia="仿宋_GB2312" w:cs="仿宋_GB2312"/>
          <w:kern w:val="0"/>
          <w:sz w:val="32"/>
          <w:szCs w:val="32"/>
          <w:shd w:val="clear" w:color="auto" w:fill="FFFFFF"/>
          <w:lang w:val="zh-CN" w:eastAsia="zh-CN" w:bidi="ar-SA"/>
        </w:rPr>
        <w:t>项目资金</w:t>
      </w:r>
      <w:r>
        <w:rPr>
          <w:rFonts w:hint="eastAsia" w:ascii="仿宋_GB2312" w:hAnsi="Times New Roman" w:eastAsia="仿宋_GB2312" w:cs="仿宋_GB2312"/>
          <w:kern w:val="2"/>
          <w:sz w:val="32"/>
          <w:szCs w:val="32"/>
          <w:shd w:val="clear" w:color="auto" w:fill="auto"/>
          <w:lang w:val="en-US" w:eastAsia="zh-CN" w:bidi="ar-SA"/>
        </w:rPr>
        <w:t>23</w:t>
      </w:r>
      <w:r>
        <w:rPr>
          <w:rFonts w:ascii="仿宋_GB2312" w:hAnsi="Times New Roman" w:eastAsia="仿宋_GB2312" w:cs="仿宋_GB2312"/>
          <w:kern w:val="2"/>
          <w:sz w:val="32"/>
          <w:szCs w:val="32"/>
          <w:shd w:val="clear" w:color="auto" w:fill="auto"/>
          <w:lang w:val="en-US" w:eastAsia="zh-CN" w:bidi="ar-SA"/>
        </w:rPr>
        <w:t>万元</w:t>
      </w:r>
      <w:r>
        <w:rPr>
          <w:rFonts w:hint="eastAsia" w:ascii="仿宋_GB2312" w:hAnsi="仿宋_GB2312" w:eastAsia="仿宋_GB2312" w:cs="仿宋_GB2312"/>
          <w:kern w:val="0"/>
          <w:sz w:val="32"/>
          <w:szCs w:val="32"/>
          <w:shd w:val="clear" w:color="auto" w:fill="FFFFFF"/>
          <w:lang w:val="zh-CN" w:eastAsia="zh-CN" w:bidi="ar-SA"/>
        </w:rPr>
        <w:t>，</w:t>
      </w:r>
      <w:r>
        <w:rPr>
          <w:rFonts w:hint="eastAsia" w:ascii="仿宋_GB2312" w:hAnsi="仿宋_GB2312" w:eastAsia="仿宋_GB2312" w:cs="仿宋_GB2312"/>
          <w:b w:val="0"/>
          <w:bCs w:val="0"/>
          <w:kern w:val="2"/>
          <w:sz w:val="32"/>
          <w:szCs w:val="32"/>
          <w:lang w:val="en-US" w:eastAsia="zh-CN" w:bidi="ar-SA"/>
        </w:rPr>
        <w:t>资金分配按照项目实施方案操作合理合规，公平公正，科学合理的原则，资金的分配使用与资金管理办法相符一致，以培训补助</w:t>
      </w:r>
      <w:r>
        <w:rPr>
          <w:rFonts w:hint="eastAsia" w:ascii="仿宋_GB2312" w:hAnsi="仿宋_GB2312" w:eastAsia="仿宋_GB2312" w:cs="仿宋_GB2312"/>
          <w:b w:val="0"/>
          <w:bCs w:val="0"/>
          <w:kern w:val="2"/>
          <w:sz w:val="32"/>
          <w:szCs w:val="32"/>
          <w:lang w:val="zh-CN" w:eastAsia="zh-CN" w:bidi="ar-SA"/>
        </w:rPr>
        <w:t>资金标准作为资金分配</w:t>
      </w:r>
      <w:r>
        <w:rPr>
          <w:rFonts w:hint="eastAsia" w:ascii="仿宋_GB2312" w:hAnsi="仿宋_GB2312" w:eastAsia="仿宋_GB2312" w:cs="仿宋_GB2312"/>
          <w:b w:val="0"/>
          <w:bCs w:val="0"/>
          <w:kern w:val="2"/>
          <w:sz w:val="32"/>
          <w:szCs w:val="32"/>
          <w:lang w:val="en-US" w:eastAsia="zh-CN" w:bidi="ar-SA"/>
        </w:rPr>
        <w:t>考虑因素。</w:t>
      </w:r>
    </w:p>
    <w:p w14:paraId="4F088F4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outlineLvl w:val="2"/>
        <w:rPr>
          <w:rFonts w:hint="eastAsia" w:ascii="仿宋_GB2312" w:hAnsi="仿宋_GB2312" w:eastAsia="仿宋_GB2312" w:cs="仿宋_GB2312"/>
          <w:b w:val="0"/>
          <w:bCs w:val="0"/>
          <w:kern w:val="2"/>
          <w:sz w:val="32"/>
          <w:szCs w:val="32"/>
          <w:lang w:val="en-US" w:eastAsia="zh-CN"/>
        </w:rPr>
      </w:pPr>
      <w:r>
        <w:rPr>
          <w:rFonts w:hint="eastAsia" w:ascii="楷体_GB2312" w:hAnsi="宋体" w:eastAsia="楷体_GB2312" w:cs="Times New Roman"/>
          <w:b/>
          <w:kern w:val="2"/>
          <w:sz w:val="32"/>
          <w:szCs w:val="32"/>
          <w:lang w:val="zh-CN"/>
        </w:rPr>
        <w:t>（四）项目绩效目标设置。</w:t>
      </w:r>
      <w:r>
        <w:rPr>
          <w:rFonts w:hint="eastAsia" w:ascii="仿宋_GB2312" w:hAnsi="仿宋_GB2312" w:eastAsia="仿宋_GB2312" w:cs="仿宋_GB2312"/>
          <w:b w:val="0"/>
          <w:bCs w:val="0"/>
          <w:kern w:val="2"/>
          <w:sz w:val="32"/>
          <w:szCs w:val="32"/>
          <w:lang w:val="en-US" w:eastAsia="zh-CN" w:bidi="ar-SA"/>
        </w:rPr>
        <w:t>培育高素质农民培训59人</w:t>
      </w:r>
      <w:r>
        <w:rPr>
          <w:rFonts w:hint="eastAsia" w:ascii="仿宋_GB2312" w:hAnsi="仿宋_GB2312" w:eastAsia="仿宋_GB2312" w:cs="仿宋_GB2312"/>
          <w:b w:val="0"/>
          <w:bCs w:val="0"/>
          <w:kern w:val="2"/>
          <w:sz w:val="32"/>
          <w:szCs w:val="32"/>
          <w:lang w:val="zh-CN" w:eastAsia="zh-CN" w:bidi="ar-SA"/>
        </w:rPr>
        <w:t>。项目应实现的具体绩效目标为</w:t>
      </w:r>
      <w:r>
        <w:rPr>
          <w:rFonts w:hint="eastAsia" w:ascii="仿宋_GB2312" w:hAnsi="仿宋_GB2312" w:eastAsia="仿宋_GB2312" w:cs="仿宋_GB2312"/>
          <w:b w:val="0"/>
          <w:bCs w:val="0"/>
          <w:kern w:val="2"/>
          <w:sz w:val="32"/>
          <w:szCs w:val="32"/>
          <w:lang w:val="en-US" w:eastAsia="zh-CN" w:bidi="ar-SA"/>
        </w:rPr>
        <w:t>农</w:t>
      </w:r>
      <w:r>
        <w:rPr>
          <w:rFonts w:hint="eastAsia" w:ascii="仿宋_GB2312" w:hAnsi="仿宋_GB2312" w:eastAsia="仿宋_GB2312" w:cs="仿宋_GB2312"/>
          <w:b w:val="0"/>
          <w:bCs w:val="0"/>
          <w:kern w:val="2"/>
          <w:sz w:val="32"/>
          <w:szCs w:val="32"/>
          <w:lang w:val="en-US" w:eastAsia="zh-CN"/>
        </w:rPr>
        <w:t>业产业领军人才</w:t>
      </w:r>
      <w:r>
        <w:rPr>
          <w:rFonts w:ascii="仿宋_GB2312" w:hAnsi="Times New Roman" w:eastAsia="仿宋_GB2312" w:cs="仿宋_GB2312"/>
          <w:kern w:val="2"/>
          <w:sz w:val="32"/>
          <w:szCs w:val="32"/>
          <w:shd w:val="clear" w:color="auto" w:fill="auto"/>
          <w:lang w:val="en-US" w:eastAsia="zh-CN"/>
        </w:rPr>
        <w:t>培训</w:t>
      </w:r>
      <w:r>
        <w:rPr>
          <w:rFonts w:hint="eastAsia" w:ascii="仿宋_GB2312" w:hAnsi="仿宋_GB2312" w:eastAsia="仿宋_GB2312" w:cs="仿宋_GB2312"/>
          <w:b w:val="0"/>
          <w:bCs w:val="0"/>
          <w:kern w:val="2"/>
          <w:sz w:val="32"/>
          <w:szCs w:val="32"/>
          <w:lang w:val="en-US" w:eastAsia="zh-CN"/>
        </w:rPr>
        <w:t>3人，经营管理型</w:t>
      </w:r>
      <w:r>
        <w:rPr>
          <w:rFonts w:ascii="仿宋_GB2312" w:hAnsi="Times New Roman" w:eastAsia="仿宋_GB2312" w:cs="仿宋_GB2312"/>
          <w:kern w:val="2"/>
          <w:sz w:val="32"/>
          <w:szCs w:val="32"/>
          <w:shd w:val="clear" w:color="auto" w:fill="auto"/>
          <w:lang w:val="en-US" w:eastAsia="zh-CN"/>
        </w:rPr>
        <w:t>培训</w:t>
      </w:r>
      <w:r>
        <w:rPr>
          <w:rFonts w:hint="eastAsia" w:ascii="仿宋_GB2312" w:hAnsi="仿宋_GB2312" w:eastAsia="仿宋_GB2312" w:cs="仿宋_GB2312"/>
          <w:b w:val="0"/>
          <w:bCs w:val="0"/>
          <w:kern w:val="2"/>
          <w:sz w:val="32"/>
          <w:szCs w:val="32"/>
          <w:lang w:val="en-US" w:eastAsia="zh-CN"/>
        </w:rPr>
        <w:t>56人，项目实施进度计划在2023年11月30日前完成，培训农民满意度</w:t>
      </w:r>
      <w:r>
        <w:rPr>
          <w:rFonts w:hint="default" w:ascii="Arial" w:hAnsi="Arial" w:eastAsia="仿宋_GB2312" w:cs="Arial"/>
          <w:b w:val="0"/>
          <w:bCs w:val="0"/>
          <w:kern w:val="2"/>
          <w:sz w:val="32"/>
          <w:szCs w:val="32"/>
          <w:lang w:val="en-US" w:eastAsia="zh-CN"/>
        </w:rPr>
        <w:t>≥</w:t>
      </w:r>
      <w:r>
        <w:rPr>
          <w:rFonts w:hint="eastAsia" w:ascii="仿宋_GB2312" w:hAnsi="仿宋_GB2312" w:eastAsia="仿宋_GB2312" w:cs="仿宋_GB2312"/>
          <w:b w:val="0"/>
          <w:bCs w:val="0"/>
          <w:kern w:val="2"/>
          <w:sz w:val="32"/>
          <w:szCs w:val="32"/>
          <w:lang w:val="en-US" w:eastAsia="zh-CN"/>
        </w:rPr>
        <w:t xml:space="preserve"> 85%，项目申报内容符合乡村振兴人才培育要求，有利于提高农民生产技能和综合素质，</w:t>
      </w:r>
      <w:r>
        <w:rPr>
          <w:rFonts w:hint="eastAsia" w:ascii="仿宋_GB2312" w:hAnsi="仿宋_GB2312" w:eastAsia="仿宋_GB2312" w:cs="仿宋_GB2312"/>
          <w:kern w:val="2"/>
          <w:sz w:val="32"/>
          <w:szCs w:val="32"/>
          <w:lang w:val="zh-CN"/>
        </w:rPr>
        <w:t>项目申报内容与实际相符，申报目标合理可行。通过查阅项目档案资料，培训图片等开展项目自评工作。</w:t>
      </w:r>
    </w:p>
    <w:p w14:paraId="39B2A6CD">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rPr>
      </w:pPr>
      <w:bookmarkStart w:id="153" w:name="_Toc12453"/>
      <w:bookmarkStart w:id="154" w:name="_Toc10431"/>
      <w:r>
        <w:rPr>
          <w:rFonts w:hint="eastAsia" w:ascii="黑体" w:hAnsi="宋体" w:eastAsia="黑体" w:cs="Times New Roman"/>
          <w:kern w:val="2"/>
          <w:sz w:val="32"/>
          <w:szCs w:val="32"/>
        </w:rPr>
        <w:t>二、评价实施</w:t>
      </w:r>
      <w:bookmarkEnd w:id="153"/>
      <w:bookmarkEnd w:id="154"/>
    </w:p>
    <w:p w14:paraId="3DB4297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zh-CN" w:eastAsia="zh-CN"/>
        </w:rPr>
      </w:pPr>
      <w:r>
        <w:rPr>
          <w:rFonts w:hint="eastAsia" w:ascii="楷体_GB2312" w:hAnsi="宋体" w:eastAsia="楷体_GB2312" w:cs="Times New Roman"/>
          <w:b/>
          <w:kern w:val="2"/>
          <w:sz w:val="32"/>
          <w:szCs w:val="32"/>
          <w:lang w:val="zh-CN"/>
        </w:rPr>
        <w:t>（一）评价目的。</w:t>
      </w:r>
      <w:r>
        <w:rPr>
          <w:rFonts w:hint="eastAsia" w:ascii="仿宋_GB2312" w:hAnsi="仿宋_GB2312" w:eastAsia="仿宋_GB2312" w:cs="仿宋_GB2312"/>
          <w:kern w:val="2"/>
          <w:sz w:val="32"/>
          <w:szCs w:val="32"/>
          <w:lang w:val="zh-CN" w:eastAsia="zh-CN"/>
        </w:rPr>
        <w:t>通过项目的绩效自评能及时掌握项目目标任务完成情况，查漏补缺，为项目顺利实施奠定基础。</w:t>
      </w:r>
    </w:p>
    <w:p w14:paraId="084847E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ascii="Times New Roman" w:hAnsi="Times New Roman" w:eastAsia="仿宋_GB2312" w:cs="Times New Roman"/>
          <w:color w:val="000000"/>
          <w:kern w:val="2"/>
          <w:sz w:val="32"/>
          <w:szCs w:val="32"/>
        </w:rPr>
      </w:pPr>
      <w:r>
        <w:rPr>
          <w:rFonts w:hint="eastAsia" w:ascii="楷体_GB2312" w:hAnsi="宋体" w:eastAsia="楷体_GB2312" w:cs="Times New Roman"/>
          <w:b/>
          <w:kern w:val="2"/>
          <w:sz w:val="32"/>
          <w:szCs w:val="32"/>
          <w:lang w:val="zh-CN"/>
        </w:rPr>
        <w:t>（二）预设问题及评价重点。</w:t>
      </w:r>
      <w:r>
        <w:rPr>
          <w:rFonts w:hint="eastAsia" w:ascii="仿宋_GB2312" w:hAnsi="仿宋_GB2312" w:eastAsia="仿宋_GB2312" w:cs="仿宋_GB2312"/>
          <w:kern w:val="2"/>
          <w:sz w:val="32"/>
          <w:szCs w:val="32"/>
          <w:lang w:val="zh-CN" w:eastAsia="zh-CN"/>
        </w:rPr>
        <w:t>结合绩效评价指标体系，该项目资金支出使用全过程无违规违</w:t>
      </w:r>
      <w:r>
        <w:rPr>
          <w:rFonts w:hint="eastAsia" w:ascii="Times New Roman" w:hAnsi="Times New Roman" w:eastAsia="仿宋_GB2312" w:cs="Times New Roman"/>
          <w:color w:val="000000"/>
          <w:kern w:val="2"/>
          <w:sz w:val="32"/>
          <w:szCs w:val="32"/>
          <w:lang w:eastAsia="zh-CN"/>
        </w:rPr>
        <w:t>纪情况，资金使用符合预设指标，</w:t>
      </w:r>
      <w:r>
        <w:rPr>
          <w:rFonts w:hint="eastAsia" w:ascii="Times New Roman" w:hAnsi="Times New Roman" w:eastAsia="仿宋_GB2312" w:cs="Times New Roman"/>
          <w:color w:val="000000"/>
          <w:kern w:val="2"/>
          <w:sz w:val="32"/>
          <w:szCs w:val="32"/>
        </w:rPr>
        <w:t>实施效果</w:t>
      </w:r>
      <w:r>
        <w:rPr>
          <w:rFonts w:hint="eastAsia" w:ascii="Times New Roman" w:hAnsi="Times New Roman" w:eastAsia="仿宋_GB2312" w:cs="Times New Roman"/>
          <w:color w:val="000000"/>
          <w:kern w:val="2"/>
          <w:sz w:val="32"/>
          <w:szCs w:val="32"/>
          <w:lang w:eastAsia="zh-CN"/>
        </w:rPr>
        <w:t>符合预期</w:t>
      </w:r>
      <w:r>
        <w:rPr>
          <w:rFonts w:hint="eastAsia" w:ascii="Times New Roman" w:hAnsi="Times New Roman" w:eastAsia="仿宋_GB2312" w:cs="Times New Roman"/>
          <w:color w:val="000000"/>
          <w:kern w:val="2"/>
          <w:sz w:val="32"/>
          <w:szCs w:val="32"/>
        </w:rPr>
        <w:t>。</w:t>
      </w:r>
    </w:p>
    <w:p w14:paraId="293E6363">
      <w:pPr>
        <w:widowControl w:val="0"/>
        <w:adjustRightInd w:val="0"/>
        <w:snapToGrid w:val="0"/>
        <w:spacing w:before="0" w:beforeAutospacing="0" w:after="0" w:afterAutospacing="0" w:line="578" w:lineRule="exact"/>
        <w:ind w:left="0" w:right="0" w:firstLine="643" w:firstLineChars="200"/>
        <w:jc w:val="both"/>
        <w:rPr>
          <w:rFonts w:ascii="Times New Roman" w:hAnsi="Times New Roman" w:eastAsia="仿宋_GB2312" w:cs="Times New Roman"/>
          <w:kern w:val="2"/>
          <w:sz w:val="32"/>
          <w:szCs w:val="32"/>
          <w:lang w:val="zh-CN"/>
        </w:rPr>
      </w:pPr>
      <w:r>
        <w:rPr>
          <w:rFonts w:hint="eastAsia" w:ascii="楷体_GB2312" w:hAnsi="宋体" w:eastAsia="楷体_GB2312" w:cs="Times New Roman"/>
          <w:b/>
          <w:kern w:val="2"/>
          <w:sz w:val="32"/>
          <w:szCs w:val="32"/>
          <w:lang w:val="zh-CN"/>
        </w:rPr>
        <w:t>（三）评价选点。</w:t>
      </w:r>
      <w:r>
        <w:rPr>
          <w:rFonts w:hint="eastAsia" w:ascii="Times New Roman" w:hAnsi="Times New Roman" w:eastAsia="仿宋_GB2312" w:cs="Times New Roman"/>
          <w:color w:val="000000"/>
          <w:kern w:val="2"/>
          <w:sz w:val="32"/>
          <w:szCs w:val="32"/>
          <w:lang w:val="zh-CN"/>
        </w:rPr>
        <w:t>项目绩效自评电话抽查部分学员，参训学员对培训组织，授课老师等非常满意。</w:t>
      </w:r>
    </w:p>
    <w:p w14:paraId="74A149F1">
      <w:pPr>
        <w:widowControl w:val="0"/>
        <w:spacing w:before="0" w:beforeAutospacing="0" w:after="0" w:afterAutospacing="0" w:line="578" w:lineRule="exact"/>
        <w:ind w:left="0" w:right="0" w:firstLine="640"/>
        <w:jc w:val="both"/>
        <w:rPr>
          <w:rFonts w:hint="eastAsia" w:ascii="Times New Roman" w:hAnsi="Times New Roman" w:eastAsia="仿宋_GB2312" w:cs="Times New Roman"/>
          <w:kern w:val="2"/>
          <w:sz w:val="32"/>
          <w:szCs w:val="32"/>
          <w:lang w:eastAsia="zh-CN"/>
        </w:rPr>
      </w:pPr>
      <w:r>
        <w:rPr>
          <w:rFonts w:hint="eastAsia" w:ascii="楷体_GB2312" w:hAnsi="宋体" w:eastAsia="楷体_GB2312" w:cs="Times New Roman"/>
          <w:b/>
          <w:kern w:val="2"/>
          <w:sz w:val="32"/>
          <w:szCs w:val="32"/>
          <w:lang w:val="zh-CN"/>
        </w:rPr>
        <w:t>（四）评价方法。</w:t>
      </w:r>
      <w:r>
        <w:rPr>
          <w:rFonts w:ascii="Times New Roman" w:hAnsi="Times New Roman" w:eastAsia="仿宋_GB2312" w:cs="Times New Roman"/>
          <w:kern w:val="2"/>
          <w:sz w:val="32"/>
          <w:szCs w:val="32"/>
        </w:rPr>
        <w:t>根据项目情况和评价重点，</w:t>
      </w:r>
      <w:r>
        <w:rPr>
          <w:rFonts w:hint="eastAsia" w:ascii="Times New Roman" w:hAnsi="Times New Roman" w:eastAsia="仿宋_GB2312" w:cs="Times New Roman"/>
          <w:kern w:val="2"/>
          <w:sz w:val="32"/>
          <w:szCs w:val="32"/>
        </w:rPr>
        <w:t>用来</w:t>
      </w:r>
      <w:r>
        <w:rPr>
          <w:rFonts w:ascii="Times New Roman" w:hAnsi="Times New Roman" w:eastAsia="仿宋_GB2312" w:cs="Times New Roman"/>
          <w:kern w:val="2"/>
          <w:sz w:val="32"/>
          <w:szCs w:val="32"/>
        </w:rPr>
        <w:t>收集相关材料和开展具体评价</w:t>
      </w:r>
      <w:r>
        <w:rPr>
          <w:rFonts w:hint="eastAsia" w:ascii="Times New Roman" w:hAnsi="Times New Roman" w:eastAsia="仿宋_GB2312" w:cs="Times New Roman"/>
          <w:kern w:val="2"/>
          <w:sz w:val="32"/>
          <w:szCs w:val="32"/>
        </w:rPr>
        <w:t>的方法</w:t>
      </w:r>
      <w:r>
        <w:rPr>
          <w:rFonts w:hint="eastAsia" w:ascii="Times New Roman" w:hAnsi="Times New Roman" w:eastAsia="仿宋_GB2312" w:cs="Times New Roman"/>
          <w:kern w:val="2"/>
          <w:sz w:val="32"/>
          <w:szCs w:val="32"/>
          <w:lang w:eastAsia="zh-CN"/>
        </w:rPr>
        <w:t>，主要采用查阅资料电话抽查相结合的办法开展。</w:t>
      </w:r>
    </w:p>
    <w:p w14:paraId="24CA94FA">
      <w:pPr>
        <w:widowControl w:val="0"/>
        <w:spacing w:before="0" w:beforeAutospacing="0" w:after="0" w:afterAutospacing="0" w:line="578" w:lineRule="exact"/>
        <w:ind w:left="0" w:right="0" w:firstLine="640"/>
        <w:jc w:val="both"/>
        <w:rPr>
          <w:rFonts w:ascii="Times New Roman" w:hAnsi="Times New Roman" w:eastAsia="仿宋_GB2312" w:cs="Times New Roman"/>
          <w:bCs/>
          <w:kern w:val="2"/>
          <w:sz w:val="32"/>
          <w:szCs w:val="32"/>
        </w:rPr>
      </w:pPr>
      <w:r>
        <w:rPr>
          <w:rFonts w:hint="eastAsia" w:ascii="楷体_GB2312" w:hAnsi="宋体" w:eastAsia="楷体_GB2312" w:cs="Times New Roman"/>
          <w:b/>
          <w:kern w:val="2"/>
          <w:sz w:val="32"/>
          <w:szCs w:val="32"/>
          <w:lang w:val="zh-CN"/>
        </w:rPr>
        <w:t>（五）评价组织。</w:t>
      </w: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分管领导、科教站负责同志组成项目评价工作组，对项目总体情况、项目资金支出、项目目标绩效等进行评价。</w:t>
      </w:r>
    </w:p>
    <w:p w14:paraId="0DCD1EA8">
      <w:pPr>
        <w:widowControl w:val="0"/>
        <w:adjustRightInd w:val="0"/>
        <w:snapToGrid w:val="0"/>
        <w:spacing w:before="0" w:beforeAutospacing="0" w:after="0" w:afterAutospacing="0" w:line="578" w:lineRule="exact"/>
        <w:ind w:left="0" w:right="0" w:firstLine="640" w:firstLineChars="200"/>
        <w:jc w:val="both"/>
        <w:outlineLvl w:val="1"/>
        <w:rPr>
          <w:rFonts w:ascii="仿宋_GB2312" w:hAnsi="宋体" w:eastAsia="仿宋_GB2312" w:cs="Times New Roman"/>
          <w:kern w:val="2"/>
          <w:sz w:val="32"/>
          <w:szCs w:val="32"/>
          <w:lang w:val="zh-CN"/>
        </w:rPr>
      </w:pPr>
      <w:bookmarkStart w:id="155" w:name="_Toc3770"/>
      <w:bookmarkStart w:id="156" w:name="_Toc32738"/>
      <w:r>
        <w:rPr>
          <w:rFonts w:hint="eastAsia" w:ascii="黑体" w:hAnsi="宋体" w:eastAsia="黑体" w:cs="Times New Roman"/>
          <w:kern w:val="2"/>
          <w:sz w:val="32"/>
          <w:szCs w:val="32"/>
        </w:rPr>
        <w:t>三、绩效分析</w:t>
      </w:r>
      <w:bookmarkEnd w:id="155"/>
      <w:bookmarkEnd w:id="156"/>
      <w:r>
        <w:rPr>
          <w:rFonts w:hint="eastAsia" w:ascii="仿宋_GB2312" w:hAnsi="宋体" w:eastAsia="仿宋_GB2312" w:cs="Times New Roman"/>
          <w:kern w:val="2"/>
          <w:sz w:val="32"/>
          <w:szCs w:val="32"/>
          <w:lang w:val="zh-CN"/>
        </w:rPr>
        <w:tab/>
      </w:r>
    </w:p>
    <w:p w14:paraId="533B1423">
      <w:pPr>
        <w:widowControl w:val="0"/>
        <w:spacing w:before="0" w:beforeAutospacing="0" w:after="0" w:afterAutospacing="0" w:line="578" w:lineRule="exact"/>
        <w:ind w:left="0" w:right="0" w:firstLine="640"/>
        <w:jc w:val="both"/>
        <w:outlineLvl w:val="2"/>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14:paraId="0C9CFF59">
      <w:pPr>
        <w:widowControl w:val="0"/>
        <w:spacing w:before="0" w:beforeAutospacing="0" w:after="0" w:afterAutospacing="0" w:line="578" w:lineRule="exact"/>
        <w:ind w:left="0" w:right="0" w:firstLine="640"/>
        <w:jc w:val="both"/>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1.项目决策。</w:t>
      </w:r>
      <w:r>
        <w:rPr>
          <w:rFonts w:hint="eastAsia" w:ascii="仿宋_GB2312" w:hAnsi="仿宋_GB2312" w:eastAsia="仿宋_GB2312" w:cs="仿宋_GB2312"/>
          <w:kern w:val="2"/>
          <w:sz w:val="32"/>
          <w:szCs w:val="32"/>
          <w:lang w:val="zh-CN" w:eastAsia="zh-CN" w:bidi="ar-SA"/>
        </w:rPr>
        <w:t>该项目符合茂县实际、规划论证合理、资金投向准确，对全县农民素质提高起到的促进作用。</w:t>
      </w:r>
    </w:p>
    <w:p w14:paraId="033F59FE">
      <w:pPr>
        <w:widowControl w:val="0"/>
        <w:spacing w:before="0" w:beforeAutospacing="0" w:after="0" w:afterAutospacing="0" w:line="578" w:lineRule="exact"/>
        <w:ind w:left="0" w:right="0" w:firstLine="640"/>
        <w:jc w:val="both"/>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2.项目管理。</w:t>
      </w:r>
      <w:r>
        <w:rPr>
          <w:rFonts w:hint="eastAsia" w:ascii="仿宋_GB2312" w:hAnsi="仿宋_GB2312" w:eastAsia="仿宋_GB2312" w:cs="仿宋_GB2312"/>
          <w:kern w:val="2"/>
          <w:sz w:val="32"/>
          <w:szCs w:val="32"/>
          <w:lang w:val="zh-CN" w:eastAsia="zh-CN" w:bidi="ar-SA"/>
        </w:rPr>
        <w:t>通过项目资金下达和组织实施等方面综合自评，该项目行政运转有序。</w:t>
      </w:r>
    </w:p>
    <w:p w14:paraId="4E5B6B4A">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lang w:val="en-US" w:eastAsia="zh-CN" w:bidi="ar-SA"/>
        </w:rPr>
        <w:t>3.项目实施。</w:t>
      </w:r>
      <w:r>
        <w:rPr>
          <w:rFonts w:hint="eastAsia" w:ascii="仿宋_GB2312" w:hAnsi="仿宋_GB2312" w:eastAsia="仿宋_GB2312" w:cs="仿宋_GB2312"/>
          <w:kern w:val="2"/>
          <w:sz w:val="32"/>
          <w:szCs w:val="32"/>
          <w:lang w:val="zh-CN" w:eastAsia="zh-CN" w:bidi="ar-SA"/>
        </w:rPr>
        <w:t>省、州下达茂县</w:t>
      </w:r>
      <w:r>
        <w:rPr>
          <w:rFonts w:hint="eastAsia" w:ascii="仿宋_GB2312" w:hAnsi="仿宋_GB2312" w:eastAsia="仿宋_GB2312" w:cs="仿宋_GB2312"/>
          <w:b w:val="0"/>
          <w:bCs/>
          <w:kern w:val="2"/>
          <w:sz w:val="32"/>
          <w:szCs w:val="32"/>
          <w:lang w:val="en-US" w:eastAsia="zh-CN" w:bidi="ar-SA"/>
        </w:rPr>
        <w:t>2023年高素质农民培育资金23万元</w:t>
      </w:r>
      <w:r>
        <w:rPr>
          <w:rFonts w:hint="eastAsia" w:ascii="仿宋_GB2312" w:hAnsi="仿宋_GB2312" w:eastAsia="仿宋_GB2312" w:cs="仿宋_GB2312"/>
          <w:b w:val="0"/>
          <w:bCs/>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实际支出资金22.9</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zh-CN" w:eastAsia="zh-CN" w:bidi="ar-SA"/>
        </w:rPr>
        <w:t>万元，</w:t>
      </w:r>
      <w:r>
        <w:rPr>
          <w:rFonts w:hint="eastAsia" w:ascii="仿宋_GB2312" w:hAnsi="仿宋_GB2312" w:eastAsia="仿宋_GB2312" w:cs="仿宋_GB2312"/>
          <w:kern w:val="2"/>
          <w:sz w:val="32"/>
          <w:szCs w:val="32"/>
          <w:lang w:val="en-US" w:eastAsia="zh-CN" w:bidi="ar-SA"/>
        </w:rPr>
        <w:t>结余资金0.04万元，</w:t>
      </w:r>
      <w:r>
        <w:rPr>
          <w:rFonts w:hint="eastAsia" w:ascii="仿宋_GB2312" w:hAnsi="仿宋_GB2312" w:eastAsia="仿宋_GB2312" w:cs="仿宋_GB2312"/>
          <w:b w:val="0"/>
          <w:bCs w:val="0"/>
          <w:color w:val="000000"/>
          <w:kern w:val="2"/>
          <w:sz w:val="32"/>
          <w:szCs w:val="32"/>
          <w:lang w:val="en-US" w:eastAsia="zh-CN" w:bidi="ar-SA"/>
        </w:rPr>
        <w:t>退回县财政。</w:t>
      </w:r>
      <w:r>
        <w:rPr>
          <w:rFonts w:hint="eastAsia" w:ascii="仿宋_GB2312" w:hAnsi="仿宋_GB2312" w:eastAsia="仿宋_GB2312" w:cs="仿宋_GB2312"/>
          <w:kern w:val="2"/>
          <w:sz w:val="32"/>
          <w:szCs w:val="32"/>
          <w:lang w:val="zh-CN" w:eastAsia="zh-CN" w:bidi="ar-SA"/>
        </w:rPr>
        <w:t>资金支付范围、支付标准、支付进度、支付依据等合规合法、与预算相符。</w:t>
      </w:r>
    </w:p>
    <w:p w14:paraId="54D3A746">
      <w:pPr>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楷体_GB2312" w:hAnsi="楷体_GB2312" w:eastAsia="楷体_GB2312" w:cs="楷体_GB2312"/>
          <w:kern w:val="2"/>
          <w:sz w:val="32"/>
          <w:szCs w:val="32"/>
        </w:rPr>
        <w:t>4.项目结果。</w:t>
      </w:r>
      <w:r>
        <w:rPr>
          <w:rFonts w:hint="eastAsia" w:ascii="仿宋_GB2312" w:hAnsi="仿宋_GB2312" w:eastAsia="仿宋_GB2312" w:cs="仿宋_GB2312"/>
          <w:kern w:val="2"/>
          <w:sz w:val="32"/>
          <w:szCs w:val="32"/>
          <w:lang w:val="en-US" w:eastAsia="zh-CN" w:bidi="ar-SA"/>
        </w:rPr>
        <w:t>项目完成预期目标，实施结果与绩效目标相匹配，项目按照计划时间完成</w:t>
      </w:r>
      <w:r>
        <w:rPr>
          <w:rFonts w:hint="eastAsia" w:ascii="楷体_GB2312" w:hAnsi="楷体_GB2312" w:eastAsia="楷体_GB2312" w:cs="楷体_GB2312"/>
          <w:color w:val="auto"/>
          <w:kern w:val="2"/>
          <w:sz w:val="32"/>
          <w:szCs w:val="32"/>
          <w:lang w:val="en-US" w:eastAsia="zh-CN"/>
        </w:rPr>
        <w:t>。</w:t>
      </w:r>
    </w:p>
    <w:p w14:paraId="0F9FFBF0">
      <w:pPr>
        <w:widowControl w:val="0"/>
        <w:spacing w:before="0" w:beforeAutospacing="0" w:after="0" w:afterAutospacing="0" w:line="578" w:lineRule="exact"/>
        <w:ind w:left="0" w:right="0" w:firstLine="643" w:firstLineChars="200"/>
        <w:jc w:val="both"/>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14:paraId="74EA06A8">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kern w:val="2"/>
          <w:sz w:val="32"/>
          <w:szCs w:val="32"/>
          <w:lang w:val="en-US" w:eastAsia="zh-CN"/>
        </w:rPr>
        <w:t>1.产业发展。</w:t>
      </w:r>
      <w:r>
        <w:rPr>
          <w:rFonts w:hint="eastAsia" w:ascii="仿宋_GB2312" w:hAnsi="仿宋_GB2312" w:eastAsia="仿宋_GB2312" w:cs="仿宋_GB2312"/>
          <w:b w:val="0"/>
          <w:kern w:val="2"/>
          <w:sz w:val="32"/>
          <w:szCs w:val="32"/>
          <w:lang w:val="en-US" w:eastAsia="zh-CN" w:bidi="ar-SA"/>
        </w:rPr>
        <w:t>无。</w:t>
      </w:r>
    </w:p>
    <w:p w14:paraId="30E1A952">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eastAsia="zh-CN"/>
        </w:rPr>
        <w:t>民生保障。</w:t>
      </w:r>
      <w:r>
        <w:rPr>
          <w:rFonts w:hint="eastAsia" w:ascii="仿宋_GB2312" w:hAnsi="仿宋_GB2312" w:eastAsia="仿宋_GB2312" w:cs="仿宋_GB2312"/>
          <w:b w:val="0"/>
          <w:kern w:val="2"/>
          <w:sz w:val="32"/>
          <w:szCs w:val="32"/>
          <w:lang w:val="en-US" w:eastAsia="zh-CN" w:bidi="ar-SA"/>
        </w:rPr>
        <w:t>无。</w:t>
      </w:r>
    </w:p>
    <w:p w14:paraId="703C88BF">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rPr>
        <w:t>3.基础设施。</w:t>
      </w:r>
      <w:r>
        <w:rPr>
          <w:rFonts w:hint="eastAsia" w:ascii="仿宋_GB2312" w:hAnsi="仿宋_GB2312" w:eastAsia="仿宋_GB2312" w:cs="仿宋_GB2312"/>
          <w:b w:val="0"/>
          <w:kern w:val="2"/>
          <w:sz w:val="32"/>
          <w:szCs w:val="32"/>
          <w:lang w:val="en-US" w:eastAsia="zh-CN" w:bidi="ar-SA"/>
        </w:rPr>
        <w:t>无。</w:t>
      </w:r>
    </w:p>
    <w:p w14:paraId="4EC3EDBD">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eastAsia="zh-CN"/>
        </w:rPr>
        <w:t>行政运转。</w:t>
      </w:r>
      <w:r>
        <w:rPr>
          <w:rFonts w:hint="eastAsia" w:ascii="Times New Roman" w:hAnsi="Times New Roman" w:eastAsia="仿宋_GB2312" w:cs="Times New Roman"/>
          <w:kern w:val="2"/>
          <w:sz w:val="32"/>
          <w:szCs w:val="32"/>
          <w:lang w:val="en-US" w:eastAsia="zh-CN"/>
        </w:rPr>
        <w:t>通过项目实施全面提高了农民生产技术水平和综合素质，提升了农产品产前、产中、产后的技术含量，增加了农民收入。培养一批爱农业、懂技术、善经营的高素质农民队伍，助力乡村振兴。提高农民生态意识，发展生态农业，</w:t>
      </w:r>
      <w:r>
        <w:rPr>
          <w:rFonts w:hint="eastAsia" w:ascii="Times New Roman" w:hAnsi="Times New Roman" w:eastAsia="仿宋_GB2312" w:cs="Times New Roman"/>
          <w:kern w:val="2"/>
          <w:sz w:val="32"/>
          <w:szCs w:val="32"/>
          <w:lang w:val="zh-CN" w:eastAsia="zh-CN"/>
        </w:rPr>
        <w:t>该项目行政运转有序。</w:t>
      </w:r>
    </w:p>
    <w:p w14:paraId="71ECFFD7">
      <w:pPr>
        <w:widowControl w:val="0"/>
        <w:spacing w:before="0" w:beforeAutospacing="0" w:after="0" w:afterAutospacing="0" w:line="578" w:lineRule="exact"/>
        <w:ind w:left="0" w:right="0" w:firstLine="643" w:firstLineChars="200"/>
        <w:jc w:val="both"/>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（三）</w:t>
      </w:r>
      <w:r>
        <w:rPr>
          <w:rFonts w:hint="eastAsia" w:ascii="楷体_GB2312" w:hAnsi="宋体" w:eastAsia="楷体_GB2312" w:cs="Times New Roman"/>
          <w:b/>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hAnsi="仿宋_GB2312" w:eastAsia="仿宋_GB2312" w:cs="仿宋_GB2312"/>
          <w:b w:val="0"/>
          <w:bCs w:val="0"/>
          <w:kern w:val="2"/>
          <w:sz w:val="32"/>
          <w:szCs w:val="32"/>
          <w:lang w:val="en-US" w:eastAsia="zh-CN"/>
        </w:rPr>
        <w:t>农业产业领军人才</w:t>
      </w:r>
      <w:r>
        <w:rPr>
          <w:rFonts w:hint="eastAsia" w:ascii="仿宋_GB2312" w:hAnsi="仿宋_GB2312" w:eastAsia="仿宋_GB2312" w:cs="仿宋_GB2312"/>
          <w:kern w:val="2"/>
          <w:sz w:val="32"/>
          <w:szCs w:val="32"/>
          <w:lang w:val="zh-CN"/>
        </w:rPr>
        <w:t>培训</w:t>
      </w:r>
      <w:r>
        <w:rPr>
          <w:rFonts w:hint="eastAsia" w:ascii="仿宋_GB2312" w:hAnsi="仿宋_GB2312" w:eastAsia="仿宋_GB2312" w:cs="仿宋_GB2312"/>
          <w:b w:val="0"/>
          <w:bCs w:val="0"/>
          <w:kern w:val="2"/>
          <w:sz w:val="32"/>
          <w:szCs w:val="32"/>
          <w:lang w:val="en-US" w:eastAsia="zh-CN"/>
        </w:rPr>
        <w:t>3人，经营管理型</w:t>
      </w:r>
      <w:r>
        <w:rPr>
          <w:rFonts w:hint="eastAsia" w:ascii="仿宋_GB2312" w:hAnsi="仿宋_GB2312" w:eastAsia="仿宋_GB2312" w:cs="仿宋_GB2312"/>
          <w:kern w:val="2"/>
          <w:sz w:val="32"/>
          <w:szCs w:val="32"/>
          <w:lang w:val="zh-CN"/>
        </w:rPr>
        <w:t>培训</w:t>
      </w:r>
      <w:r>
        <w:rPr>
          <w:rFonts w:hint="eastAsia" w:ascii="仿宋_GB2312" w:hAnsi="仿宋_GB2312" w:eastAsia="仿宋_GB2312" w:cs="仿宋_GB2312"/>
          <w:b w:val="0"/>
          <w:bCs w:val="0"/>
          <w:kern w:val="2"/>
          <w:sz w:val="32"/>
          <w:szCs w:val="32"/>
          <w:lang w:val="en-US" w:eastAsia="zh-CN"/>
        </w:rPr>
        <w:t>56人，经自评目标任务全面完成，</w:t>
      </w:r>
      <w:r>
        <w:rPr>
          <w:rFonts w:hint="eastAsia" w:ascii="仿宋_GB2312" w:hAnsi="仿宋_GB2312" w:eastAsia="仿宋_GB2312" w:cs="仿宋_GB2312"/>
          <w:kern w:val="2"/>
          <w:sz w:val="32"/>
          <w:szCs w:val="32"/>
          <w:lang w:val="en-US" w:eastAsia="zh-CN"/>
        </w:rPr>
        <w:t>目标完成率100%。</w:t>
      </w:r>
    </w:p>
    <w:p w14:paraId="43D0331D">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157" w:name="_Toc17358"/>
      <w:bookmarkStart w:id="158" w:name="_Toc27587"/>
      <w:r>
        <w:rPr>
          <w:rFonts w:hint="eastAsia" w:ascii="黑体" w:hAnsi="宋体" w:eastAsia="黑体" w:cs="Times New Roman"/>
          <w:kern w:val="0"/>
          <w:position w:val="3"/>
          <w:sz w:val="32"/>
          <w:szCs w:val="32"/>
          <w:lang w:val="en-US" w:eastAsia="zh-CN" w:bidi="ar-SA"/>
        </w:rPr>
        <w:t>四、评价结论</w:t>
      </w:r>
      <w:bookmarkEnd w:id="157"/>
      <w:bookmarkEnd w:id="158"/>
    </w:p>
    <w:p w14:paraId="117BF64C">
      <w:pPr>
        <w:keepNext w:val="0"/>
        <w:keepLines w:val="0"/>
        <w:pageBreakBefore w:val="0"/>
        <w:widowControl/>
        <w:numPr>
          <w:ilvl w:val="0"/>
          <w:numId w:val="0"/>
        </w:numPr>
        <w:tabs>
          <w:tab w:val="left" w:pos="2160"/>
        </w:tabs>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ascii="黑体" w:hAnsi="黑体" w:eastAsia="黑体" w:cs="黑体"/>
          <w:color w:val="000000"/>
          <w:kern w:val="2"/>
          <w:position w:val="0"/>
          <w:sz w:val="32"/>
          <w:szCs w:val="32"/>
          <w:lang w:val="en-US" w:eastAsia="zh-CN" w:bidi="ar-SA"/>
        </w:rPr>
      </w:pPr>
      <w:r>
        <w:rPr>
          <w:rFonts w:hint="eastAsia" w:ascii="仿宋_GB2312" w:hAnsi="仿宋_GB2312" w:eastAsia="仿宋_GB2312" w:cs="仿宋_GB2312"/>
          <w:color w:val="000000"/>
          <w:kern w:val="0"/>
          <w:position w:val="0"/>
          <w:sz w:val="32"/>
          <w:szCs w:val="32"/>
          <w:lang w:val="en-US" w:eastAsia="zh-CN" w:bidi="ar-SA"/>
        </w:rPr>
        <w:t>综上所述该预算项目绩效自评总体良好，评价得分100分，</w:t>
      </w:r>
      <w:r>
        <w:rPr>
          <w:rFonts w:hint="eastAsia" w:ascii="仿宋_GB2312" w:hAnsi="仿宋_GB2312" w:eastAsia="仿宋_GB2312" w:cs="仿宋_GB2312"/>
          <w:color w:val="000000"/>
          <w:kern w:val="0"/>
          <w:position w:val="3"/>
          <w:sz w:val="32"/>
          <w:szCs w:val="32"/>
          <w:lang w:val="zh-CN" w:eastAsia="zh-CN" w:bidi="ar-SA"/>
        </w:rPr>
        <w:t>项目实施均按照时间节点完成。</w:t>
      </w:r>
    </w:p>
    <w:p w14:paraId="603E96B1">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159" w:name="_Toc683"/>
      <w:bookmarkStart w:id="160" w:name="_Toc26070"/>
      <w:r>
        <w:rPr>
          <w:rFonts w:hint="eastAsia" w:ascii="黑体" w:hAnsi="宋体" w:eastAsia="黑体" w:cs="Times New Roman"/>
          <w:kern w:val="0"/>
          <w:position w:val="3"/>
          <w:sz w:val="32"/>
          <w:szCs w:val="32"/>
          <w:lang w:val="en-US" w:eastAsia="zh-CN" w:bidi="ar-SA"/>
        </w:rPr>
        <w:t>五、存在主要问题</w:t>
      </w:r>
      <w:bookmarkEnd w:id="159"/>
      <w:bookmarkEnd w:id="160"/>
    </w:p>
    <w:p w14:paraId="00266F82">
      <w:pPr>
        <w:widowControl/>
        <w:tabs>
          <w:tab w:val="left" w:pos="2160"/>
        </w:tabs>
        <w:spacing w:before="0" w:beforeAutospacing="0" w:after="0" w:afterAutospacing="0" w:line="600" w:lineRule="exact"/>
        <w:ind w:left="0" w:right="0" w:firstLine="640" w:firstLineChars="200"/>
        <w:jc w:val="left"/>
        <w:rPr>
          <w:rFonts w:ascii="黑体" w:hAnsi="黑体" w:eastAsia="黑体" w:cs="黑体"/>
          <w:kern w:val="2"/>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无</w:t>
      </w:r>
    </w:p>
    <w:p w14:paraId="041FCA17">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zh-CN" w:eastAsia="zh-CN" w:bidi="ar-SA"/>
        </w:rPr>
      </w:pPr>
      <w:bookmarkStart w:id="161" w:name="_Toc25372"/>
      <w:bookmarkStart w:id="162" w:name="_Toc28229"/>
      <w:r>
        <w:rPr>
          <w:rFonts w:hint="eastAsia" w:ascii="黑体" w:hAnsi="宋体" w:eastAsia="黑体" w:cs="Times New Roman"/>
          <w:kern w:val="0"/>
          <w:position w:val="3"/>
          <w:sz w:val="32"/>
          <w:szCs w:val="32"/>
          <w:lang w:val="zh-CN" w:eastAsia="zh-CN" w:bidi="ar-SA"/>
        </w:rPr>
        <w:t>六、改进建议</w:t>
      </w:r>
      <w:bookmarkEnd w:id="161"/>
      <w:bookmarkEnd w:id="162"/>
    </w:p>
    <w:p w14:paraId="36684E21">
      <w:pPr>
        <w:widowControl w:val="0"/>
        <w:tabs>
          <w:tab w:val="left" w:pos="1911"/>
        </w:tabs>
        <w:spacing w:before="0" w:beforeAutospacing="0" w:after="0" w:afterAutospacing="0"/>
        <w:ind w:left="0" w:right="0"/>
        <w:jc w:val="left"/>
        <w:rPr>
          <w:rFonts w:ascii="Times New Roman" w:hAnsi="Times New Roman" w:eastAsia="仿宋_GB2312" w:cs="Times New Roman"/>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p>
    <w:p w14:paraId="2508B5AE">
      <w:pPr>
        <w:widowControl w:val="0"/>
        <w:snapToGrid w:val="0"/>
        <w:spacing w:before="0" w:beforeAutospacing="0" w:after="0" w:afterAutospacing="0" w:line="578" w:lineRule="exact"/>
        <w:ind w:left="0" w:right="0" w:firstLine="640" w:firstLineChars="200"/>
        <w:jc w:val="both"/>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附表：1.项目资金分配涉及所有点位自评得分情况表</w:t>
      </w:r>
    </w:p>
    <w:p w14:paraId="1BF583D3">
      <w:pPr>
        <w:widowControl w:val="0"/>
        <w:snapToGrid w:val="0"/>
        <w:spacing w:before="0" w:beforeAutospacing="0" w:after="0" w:afterAutospacing="0" w:line="578" w:lineRule="exact"/>
        <w:ind w:left="0" w:right="0" w:firstLine="1600" w:firstLineChars="500"/>
        <w:jc w:val="both"/>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2.专项预算项目绩效目标完成情况自评表</w:t>
      </w:r>
    </w:p>
    <w:p w14:paraId="00A662F5">
      <w:pPr>
        <w:widowControl w:val="0"/>
        <w:snapToGrid w:val="0"/>
        <w:spacing w:before="0" w:beforeAutospacing="0" w:after="0" w:afterAutospacing="0" w:line="578" w:lineRule="exact"/>
        <w:ind w:left="0" w:right="0" w:firstLine="640" w:firstLineChars="200"/>
        <w:jc w:val="both"/>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zh-CN"/>
        </w:rPr>
        <w:br w:type="page"/>
      </w:r>
    </w:p>
    <w:p w14:paraId="4D6495BB">
      <w:pPr>
        <w:widowControl/>
        <w:adjustRightInd w:val="0"/>
        <w:snapToGrid w:val="0"/>
        <w:spacing w:before="0" w:beforeAutospacing="0" w:after="0" w:afterAutospacing="0" w:line="578" w:lineRule="exact"/>
        <w:ind w:left="0" w:right="0"/>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5116EAD9">
      <w:pPr>
        <w:widowControl w:val="0"/>
        <w:spacing w:before="0" w:beforeAutospacing="0" w:after="0" w:afterAutospacing="0" w:line="578" w:lineRule="exact"/>
        <w:ind w:left="0" w:right="0"/>
        <w:jc w:val="center"/>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4369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23" w:type="dxa"/>
          </w:tcPr>
          <w:p w14:paraId="75D70F41">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序号</w:t>
            </w:r>
          </w:p>
        </w:tc>
        <w:tc>
          <w:tcPr>
            <w:tcW w:w="3843" w:type="dxa"/>
          </w:tcPr>
          <w:p w14:paraId="1E98BF5F">
            <w:pPr>
              <w:widowControl w:val="0"/>
              <w:spacing w:before="0" w:beforeAutospacing="0" w:after="0" w:afterAutospacing="0" w:line="300" w:lineRule="exact"/>
              <w:ind w:left="0" w:right="0"/>
              <w:jc w:val="center"/>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861" w:type="dxa"/>
          </w:tcPr>
          <w:p w14:paraId="592017D5">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14:paraId="73130F9D">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备注</w:t>
            </w:r>
          </w:p>
        </w:tc>
      </w:tr>
      <w:tr w14:paraId="71CF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123" w:type="dxa"/>
          </w:tcPr>
          <w:p w14:paraId="17E6B036">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3843" w:type="dxa"/>
          </w:tcPr>
          <w:p w14:paraId="4CBF2CD4">
            <w:pPr>
              <w:widowControl w:val="0"/>
              <w:spacing w:before="0" w:beforeAutospacing="0" w:after="0" w:afterAutospacing="0" w:line="300" w:lineRule="exact"/>
              <w:ind w:left="0" w:right="0"/>
              <w:jc w:val="center"/>
              <w:rPr>
                <w:rFonts w:hint="eastAsia" w:ascii="宋体" w:hAnsi="宋体" w:eastAsia="仿宋_GB2312" w:cs="宋体"/>
                <w:kern w:val="2"/>
                <w:sz w:val="24"/>
                <w:szCs w:val="24"/>
                <w:lang w:val="en" w:eastAsia="zh-CN"/>
              </w:rPr>
            </w:pPr>
            <w:r>
              <w:rPr>
                <w:rFonts w:hint="eastAsia" w:ascii="宋体" w:hAnsi="宋体" w:eastAsia="宋体" w:cs="宋体"/>
                <w:color w:val="000000"/>
                <w:kern w:val="2"/>
                <w:sz w:val="24"/>
                <w:szCs w:val="24"/>
                <w:lang w:eastAsia="zh-CN"/>
              </w:rPr>
              <w:t>2023年</w:t>
            </w:r>
            <w:r>
              <w:rPr>
                <w:rFonts w:hint="eastAsia" w:ascii="宋体" w:hAnsi="宋体" w:cs="宋体"/>
                <w:color w:val="000000"/>
                <w:kern w:val="2"/>
                <w:sz w:val="24"/>
                <w:szCs w:val="24"/>
                <w:lang w:val="en-US" w:eastAsia="zh-CN"/>
              </w:rPr>
              <w:t>茂县</w:t>
            </w:r>
            <w:r>
              <w:rPr>
                <w:rFonts w:hint="eastAsia" w:ascii="宋体" w:hAnsi="宋体" w:eastAsia="宋体" w:cs="宋体"/>
                <w:color w:val="000000"/>
                <w:kern w:val="2"/>
                <w:sz w:val="24"/>
                <w:szCs w:val="24"/>
                <w:lang w:eastAsia="zh-CN"/>
              </w:rPr>
              <w:t>高素质农民培育项目</w:t>
            </w:r>
          </w:p>
        </w:tc>
        <w:tc>
          <w:tcPr>
            <w:tcW w:w="2861" w:type="dxa"/>
          </w:tcPr>
          <w:p w14:paraId="75612F79">
            <w:pPr>
              <w:widowControl w:val="0"/>
              <w:spacing w:before="0" w:beforeAutospacing="0" w:after="0" w:afterAutospacing="0" w:line="300" w:lineRule="exact"/>
              <w:ind w:left="0" w:right="0"/>
              <w:jc w:val="center"/>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100分</w:t>
            </w:r>
          </w:p>
        </w:tc>
        <w:tc>
          <w:tcPr>
            <w:tcW w:w="993" w:type="dxa"/>
          </w:tcPr>
          <w:p w14:paraId="49E491C0">
            <w:pPr>
              <w:widowControl w:val="0"/>
              <w:spacing w:before="0" w:beforeAutospacing="0" w:after="0" w:afterAutospacing="0" w:line="300" w:lineRule="exact"/>
              <w:ind w:left="0" w:right="0"/>
              <w:jc w:val="center"/>
              <w:rPr>
                <w:rFonts w:hint="eastAsia" w:ascii="宋体" w:hAnsi="宋体" w:eastAsia="仿宋_GB2312" w:cs="宋体"/>
                <w:kern w:val="2"/>
                <w:sz w:val="24"/>
                <w:szCs w:val="24"/>
                <w:lang w:eastAsia="zh-CN"/>
              </w:rPr>
            </w:pPr>
            <w:r>
              <w:rPr>
                <w:rFonts w:hint="eastAsia" w:ascii="宋体" w:hAnsi="宋体" w:eastAsia="仿宋_GB2312" w:cs="宋体"/>
                <w:kern w:val="2"/>
                <w:sz w:val="24"/>
                <w:szCs w:val="24"/>
                <w:lang w:eastAsia="zh-CN"/>
              </w:rPr>
              <w:t>优</w:t>
            </w:r>
          </w:p>
        </w:tc>
      </w:tr>
      <w:tr w14:paraId="055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B9BCB0C">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3843" w:type="dxa"/>
          </w:tcPr>
          <w:p w14:paraId="17A9BDA7">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861" w:type="dxa"/>
          </w:tcPr>
          <w:p w14:paraId="41F75548">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4B2BA9DC">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6B2D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83AF06D">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3843" w:type="dxa"/>
          </w:tcPr>
          <w:p w14:paraId="244F57F2">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861" w:type="dxa"/>
          </w:tcPr>
          <w:p w14:paraId="249DBCF4">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4424463">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71C0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06554582">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3843" w:type="dxa"/>
          </w:tcPr>
          <w:p w14:paraId="3B07B10D">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861" w:type="dxa"/>
          </w:tcPr>
          <w:p w14:paraId="471F0886">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13D13B5E">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6B5D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5C8997D5">
            <w:pPr>
              <w:widowControl w:val="0"/>
              <w:spacing w:before="0" w:beforeAutospacing="0" w:after="0" w:afterAutospacing="0" w:line="300" w:lineRule="exact"/>
              <w:ind w:left="0" w:right="0"/>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5</w:t>
            </w:r>
          </w:p>
        </w:tc>
        <w:tc>
          <w:tcPr>
            <w:tcW w:w="3843" w:type="dxa"/>
          </w:tcPr>
          <w:p w14:paraId="45A35C67">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861" w:type="dxa"/>
          </w:tcPr>
          <w:p w14:paraId="5F5A5264">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158D8D90">
            <w:pPr>
              <w:widowControl w:val="0"/>
              <w:spacing w:before="0" w:beforeAutospacing="0" w:after="0" w:afterAutospacing="0" w:line="300" w:lineRule="exact"/>
              <w:ind w:left="0" w:right="0"/>
              <w:jc w:val="both"/>
              <w:rPr>
                <w:rFonts w:ascii="宋体" w:hAnsi="宋体" w:eastAsia="仿宋_GB2312" w:cs="宋体"/>
                <w:kern w:val="2"/>
                <w:sz w:val="24"/>
                <w:szCs w:val="24"/>
              </w:rPr>
            </w:pPr>
          </w:p>
        </w:tc>
      </w:tr>
    </w:tbl>
    <w:p w14:paraId="3E594589">
      <w:pPr>
        <w:widowControl w:val="0"/>
        <w:spacing w:before="0" w:beforeAutospacing="0" w:after="0" w:afterAutospacing="0" w:line="400" w:lineRule="exact"/>
        <w:ind w:left="0" w:right="0"/>
        <w:jc w:val="left"/>
        <w:rPr>
          <w:rFonts w:ascii="宋体" w:hAnsi="宋体" w:eastAsia="宋体" w:cs="宋体"/>
          <w:kern w:val="2"/>
          <w:sz w:val="21"/>
          <w:szCs w:val="21"/>
        </w:rPr>
      </w:pPr>
      <w:r>
        <w:rPr>
          <w:rFonts w:hint="eastAsia" w:ascii="宋体" w:hAnsi="宋体" w:eastAsia="宋体" w:cs="宋体"/>
          <w:kern w:val="2"/>
          <w:sz w:val="21"/>
          <w:szCs w:val="21"/>
        </w:rPr>
        <w:t>备注：1.项目资金末端分配点位包括本部门、部门下属单位及一次性单位等。</w:t>
      </w:r>
    </w:p>
    <w:p w14:paraId="0F1A359D">
      <w:pPr>
        <w:widowControl w:val="0"/>
        <w:numPr>
          <w:ilvl w:val="0"/>
          <w:numId w:val="0"/>
        </w:numPr>
        <w:spacing w:before="0" w:beforeAutospacing="0" w:after="0" w:afterAutospacing="0" w:line="400" w:lineRule="exact"/>
        <w:ind w:right="0" w:rightChars="0" w:firstLine="630" w:firstLineChars="300"/>
        <w:jc w:val="left"/>
        <w:rPr>
          <w:rFonts w:ascii="宋体" w:hAnsi="Times New Roman" w:cs="宋体"/>
          <w:kern w:val="0"/>
          <w:sz w:val="24"/>
        </w:rPr>
      </w:pPr>
      <w:r>
        <w:rPr>
          <w:rFonts w:hint="eastAsia" w:ascii="宋体" w:hAnsi="宋体" w:cs="宋体"/>
          <w:kern w:val="2"/>
          <w:sz w:val="21"/>
          <w:szCs w:val="21"/>
          <w:lang w:val="en-US" w:eastAsia="zh-CN"/>
        </w:rPr>
        <w:t>2.</w:t>
      </w:r>
      <w:r>
        <w:rPr>
          <w:rFonts w:hint="eastAsia" w:ascii="宋体" w:hAnsi="宋体" w:eastAsia="宋体" w:cs="宋体"/>
          <w:kern w:val="2"/>
          <w:sz w:val="21"/>
          <w:szCs w:val="21"/>
        </w:rPr>
        <w:t>自评得分（百分制）从高到低划分为优、良、中、差四个档次，各个档次数量占比分别为20%、20%、55%、5%，且不同档次间得分分值应体现差异化，同档次得分分值相同的比例不超过该档次总数量的10%。</w:t>
      </w:r>
    </w:p>
    <w:p w14:paraId="57BE1182">
      <w:pPr>
        <w:widowControl w:val="0"/>
        <w:spacing w:before="0" w:beforeAutospacing="0" w:after="0" w:afterAutospacing="0" w:line="578" w:lineRule="exact"/>
        <w:ind w:left="0" w:leftChars="0" w:right="0" w:firstLine="0" w:firstLineChars="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附表2</w:t>
      </w:r>
    </w:p>
    <w:tbl>
      <w:tblPr>
        <w:tblStyle w:val="16"/>
        <w:tblW w:w="10233" w:type="dxa"/>
        <w:jc w:val="center"/>
        <w:tblLayout w:type="fixed"/>
        <w:tblCellMar>
          <w:top w:w="15" w:type="dxa"/>
          <w:left w:w="15" w:type="dxa"/>
          <w:bottom w:w="15" w:type="dxa"/>
          <w:right w:w="15" w:type="dxa"/>
        </w:tblCellMar>
      </w:tblPr>
      <w:tblGrid>
        <w:gridCol w:w="652"/>
        <w:gridCol w:w="1081"/>
        <w:gridCol w:w="1149"/>
        <w:gridCol w:w="2190"/>
        <w:gridCol w:w="660"/>
        <w:gridCol w:w="661"/>
        <w:gridCol w:w="1061"/>
        <w:gridCol w:w="938"/>
        <w:gridCol w:w="1841"/>
      </w:tblGrid>
      <w:tr w14:paraId="262FBEFE">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67612522">
            <w:pPr>
              <w:widowControl/>
              <w:spacing w:before="0" w:beforeAutospacing="0" w:after="0" w:afterAutospacing="0" w:line="60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448B866D">
        <w:tblPrEx>
          <w:tblCellMar>
            <w:top w:w="15" w:type="dxa"/>
            <w:left w:w="15" w:type="dxa"/>
            <w:bottom w:w="15" w:type="dxa"/>
            <w:right w:w="15" w:type="dxa"/>
          </w:tblCellMar>
        </w:tblPrEx>
        <w:trPr>
          <w:trHeight w:val="380" w:hRule="atLeast"/>
          <w:jc w:val="center"/>
        </w:trPr>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0CCDC9">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项目名称</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628EA">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2023年</w:t>
            </w:r>
            <w:r>
              <w:rPr>
                <w:rFonts w:hint="eastAsia" w:ascii="宋体" w:hAnsi="宋体" w:cs="宋体"/>
                <w:color w:val="000000"/>
                <w:kern w:val="2"/>
                <w:sz w:val="24"/>
                <w:szCs w:val="24"/>
                <w:lang w:val="en-US" w:eastAsia="zh-CN"/>
              </w:rPr>
              <w:t>茂县</w:t>
            </w:r>
            <w:r>
              <w:rPr>
                <w:rFonts w:hint="eastAsia" w:ascii="宋体" w:hAnsi="宋体" w:eastAsia="宋体" w:cs="宋体"/>
                <w:color w:val="000000"/>
                <w:kern w:val="2"/>
                <w:sz w:val="24"/>
                <w:szCs w:val="24"/>
                <w:lang w:val="en-US" w:eastAsia="zh-CN"/>
              </w:rPr>
              <w:t>高素质农民培育项目</w:t>
            </w:r>
          </w:p>
        </w:tc>
      </w:tr>
      <w:tr w14:paraId="1F343E7D">
        <w:tblPrEx>
          <w:tblCellMar>
            <w:top w:w="15" w:type="dxa"/>
            <w:left w:w="15" w:type="dxa"/>
            <w:bottom w:w="15" w:type="dxa"/>
            <w:right w:w="15" w:type="dxa"/>
          </w:tblCellMar>
        </w:tblPrEx>
        <w:trPr>
          <w:trHeight w:val="440" w:hRule="atLeast"/>
          <w:jc w:val="center"/>
        </w:trPr>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F301F">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预算单位</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6BB98">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茂县科学技术和农业畜牧局</w:t>
            </w:r>
          </w:p>
        </w:tc>
      </w:tr>
      <w:tr w14:paraId="4A5FE14E">
        <w:tblPrEx>
          <w:tblCellMar>
            <w:top w:w="15" w:type="dxa"/>
            <w:left w:w="15" w:type="dxa"/>
            <w:bottom w:w="15" w:type="dxa"/>
            <w:right w:w="15" w:type="dxa"/>
          </w:tblCellMar>
        </w:tblPrEx>
        <w:trPr>
          <w:trHeight w:val="23" w:hRule="atLeast"/>
          <w:jc w:val="center"/>
        </w:trPr>
        <w:tc>
          <w:tcPr>
            <w:tcW w:w="5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82110">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项目类型</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6BB03">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培训类</w:t>
            </w:r>
          </w:p>
        </w:tc>
      </w:tr>
      <w:tr w14:paraId="5E243F99">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166BF">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 概况</w:t>
            </w: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D7FF">
            <w:pPr>
              <w:widowControl/>
              <w:spacing w:before="0" w:beforeAutospacing="0" w:after="0" w:afterAutospacing="0" w:line="30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14:paraId="2FF076EA">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常年项目）</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CE0DE">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无</w:t>
            </w:r>
          </w:p>
        </w:tc>
      </w:tr>
      <w:tr w14:paraId="0A2AF438">
        <w:tblPrEx>
          <w:tblCellMar>
            <w:top w:w="15" w:type="dxa"/>
            <w:left w:w="15" w:type="dxa"/>
            <w:bottom w:w="15" w:type="dxa"/>
            <w:right w:w="15" w:type="dxa"/>
          </w:tblCellMar>
        </w:tblPrEx>
        <w:trPr>
          <w:trHeight w:val="44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3D87">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2B688">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资金管理办法（名称、文号）</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A90F0">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阿州财农【2023】57号</w:t>
            </w:r>
          </w:p>
        </w:tc>
      </w:tr>
      <w:tr w14:paraId="2E5F5DE9">
        <w:tblPrEx>
          <w:tblCellMar>
            <w:top w:w="15" w:type="dxa"/>
            <w:left w:w="15" w:type="dxa"/>
            <w:bottom w:w="15" w:type="dxa"/>
            <w:right w:w="15" w:type="dxa"/>
          </w:tblCellMar>
        </w:tblPrEx>
        <w:trPr>
          <w:trHeight w:val="72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5B406">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3F09F">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绩效分配方式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C9DA">
            <w:pPr>
              <w:widowControl/>
              <w:spacing w:before="0" w:beforeAutospacing="0" w:after="0" w:afterAutospacing="0" w:line="300" w:lineRule="exact"/>
              <w:ind w:left="0" w:right="0"/>
              <w:jc w:val="left"/>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7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B9B73">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40D7">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E5F">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14AA674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9F33">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BE61A">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立项依据</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52677">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无</w:t>
            </w:r>
          </w:p>
        </w:tc>
      </w:tr>
      <w:tr w14:paraId="13F15B7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F040">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BB5F5">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使用范围</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F38538">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培训费用</w:t>
            </w:r>
          </w:p>
        </w:tc>
      </w:tr>
      <w:tr w14:paraId="4252243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6D14">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C61D6">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申报（补助）条件</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0FA44">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无</w:t>
            </w:r>
          </w:p>
        </w:tc>
      </w:tr>
      <w:tr w14:paraId="0FCD923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327B0">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44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E98C4">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项目起止年限</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98265">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2023年-2023年</w:t>
            </w:r>
          </w:p>
        </w:tc>
      </w:tr>
      <w:tr w14:paraId="695CECE3">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81BE">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7A7D18F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（万元）</w:t>
            </w: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6ECFE">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年度资金总额：</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3B840">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23</w:t>
            </w:r>
          </w:p>
        </w:tc>
      </w:tr>
      <w:tr w14:paraId="7E7631C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0DB7">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0342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E4CB1">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23</w:t>
            </w:r>
          </w:p>
        </w:tc>
      </w:tr>
      <w:tr w14:paraId="78D36A53">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8853">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03BE5">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其他资金</w:t>
            </w:r>
          </w:p>
        </w:tc>
        <w:tc>
          <w:tcPr>
            <w:tcW w:w="51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D1F142">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0</w:t>
            </w:r>
          </w:p>
        </w:tc>
      </w:tr>
      <w:tr w14:paraId="5B0CB85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7C110">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EB6E3A">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年度目标</w:t>
            </w:r>
          </w:p>
        </w:tc>
      </w:tr>
      <w:tr w14:paraId="27281337">
        <w:tblPrEx>
          <w:tblCellMar>
            <w:top w:w="15" w:type="dxa"/>
            <w:left w:w="15" w:type="dxa"/>
            <w:bottom w:w="15" w:type="dxa"/>
            <w:right w:w="15" w:type="dxa"/>
          </w:tblCellMar>
        </w:tblPrEx>
        <w:trPr>
          <w:trHeight w:val="56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8189">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210E2D">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0"/>
                <w:sz w:val="24"/>
                <w:szCs w:val="24"/>
                <w:lang w:eastAsia="zh-CN" w:bidi="ar"/>
              </w:rPr>
              <w:t>培训高素质农民</w:t>
            </w:r>
            <w:r>
              <w:rPr>
                <w:rFonts w:hint="eastAsia" w:ascii="宋体" w:hAnsi="宋体" w:eastAsia="宋体" w:cs="宋体"/>
                <w:color w:val="000000"/>
                <w:kern w:val="0"/>
                <w:sz w:val="24"/>
                <w:szCs w:val="24"/>
                <w:lang w:val="en-US" w:eastAsia="zh-CN" w:bidi="ar"/>
              </w:rPr>
              <w:t>59人。</w:t>
            </w:r>
          </w:p>
        </w:tc>
      </w:tr>
      <w:tr w14:paraId="034FB370">
        <w:tblPrEx>
          <w:tblCellMar>
            <w:top w:w="15" w:type="dxa"/>
            <w:left w:w="15" w:type="dxa"/>
            <w:bottom w:w="15" w:type="dxa"/>
            <w:right w:w="15" w:type="dxa"/>
          </w:tblCellMar>
        </w:tblPrEx>
        <w:trPr>
          <w:trHeight w:val="740"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134EE89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A62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一级指标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253E">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二级指标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3D7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三级指标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734">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指标性质</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DFA3">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F78">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A74A">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0EC4">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实际完成指标值</w:t>
            </w:r>
          </w:p>
        </w:tc>
      </w:tr>
      <w:tr w14:paraId="72508118">
        <w:tblPrEx>
          <w:tblCellMar>
            <w:top w:w="15" w:type="dxa"/>
            <w:left w:w="15" w:type="dxa"/>
            <w:bottom w:w="15" w:type="dxa"/>
            <w:right w:w="15" w:type="dxa"/>
          </w:tblCellMar>
        </w:tblPrEx>
        <w:trPr>
          <w:trHeight w:val="52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BD20BF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53C8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产出指标</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5274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数量指标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C1C">
            <w:pPr>
              <w:widowControl w:val="0"/>
              <w:spacing w:before="0" w:beforeAutospacing="0" w:after="0" w:afterAutospacing="0" w:line="300" w:lineRule="exact"/>
              <w:ind w:left="0" w:right="0"/>
              <w:jc w:val="both"/>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农业领军人才培训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BF89">
            <w:pPr>
              <w:widowControl w:val="0"/>
              <w:spacing w:before="0" w:beforeAutospacing="0" w:after="0" w:afterAutospacing="0" w:line="300" w:lineRule="exact"/>
              <w:ind w:left="0" w:right="0"/>
              <w:jc w:val="center"/>
              <w:rPr>
                <w:rFonts w:ascii="宋体" w:hAnsi="宋体" w:eastAsia="宋体" w:cs="宋体"/>
                <w:color w:val="000000"/>
                <w:kern w:val="2"/>
                <w:sz w:val="18"/>
                <w:szCs w:val="18"/>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7CC9">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3</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918">
            <w:pPr>
              <w:widowControl w:val="0"/>
              <w:spacing w:before="0" w:beforeAutospacing="0" w:after="0" w:afterAutospacing="0" w:line="300" w:lineRule="exact"/>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474D">
            <w:pPr>
              <w:widowControl w:val="0"/>
              <w:spacing w:before="0" w:beforeAutospacing="0" w:after="0" w:afterAutospacing="0" w:line="300" w:lineRule="exact"/>
              <w:ind w:left="0" w:right="0"/>
              <w:jc w:val="center"/>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AC3">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3</w:t>
            </w:r>
          </w:p>
        </w:tc>
      </w:tr>
      <w:tr w14:paraId="1EF74795">
        <w:tblPrEx>
          <w:tblCellMar>
            <w:top w:w="15" w:type="dxa"/>
            <w:left w:w="15" w:type="dxa"/>
            <w:bottom w:w="15" w:type="dxa"/>
            <w:right w:w="15" w:type="dxa"/>
          </w:tblCellMar>
        </w:tblPrEx>
        <w:trPr>
          <w:trHeight w:val="47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4E04898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4CBA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B78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64C">
            <w:pPr>
              <w:widowControl w:val="0"/>
              <w:spacing w:before="0" w:beforeAutospacing="0" w:after="0" w:afterAutospacing="0" w:line="300" w:lineRule="exact"/>
              <w:ind w:left="0" w:right="0"/>
              <w:jc w:val="both"/>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经营管理型培训</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145D">
            <w:pPr>
              <w:widowControl w:val="0"/>
              <w:spacing w:before="0" w:beforeAutospacing="0" w:after="0" w:afterAutospacing="0" w:line="300" w:lineRule="exact"/>
              <w:ind w:left="0" w:right="0"/>
              <w:jc w:val="center"/>
              <w:rPr>
                <w:rFonts w:ascii="宋体" w:hAnsi="宋体" w:eastAsia="宋体" w:cs="宋体"/>
                <w:color w:val="000000"/>
                <w:kern w:val="2"/>
                <w:sz w:val="21"/>
                <w:szCs w:val="21"/>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A204">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56</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2D25">
            <w:pPr>
              <w:widowControl w:val="0"/>
              <w:spacing w:before="0" w:beforeAutospacing="0" w:after="0" w:afterAutospacing="0" w:line="300" w:lineRule="exact"/>
              <w:ind w:left="0" w:right="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4650">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9F2">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56</w:t>
            </w:r>
          </w:p>
        </w:tc>
      </w:tr>
      <w:tr w14:paraId="5FF0189B">
        <w:tblPrEx>
          <w:tblCellMar>
            <w:top w:w="15" w:type="dxa"/>
            <w:left w:w="15" w:type="dxa"/>
            <w:bottom w:w="15" w:type="dxa"/>
            <w:right w:w="15" w:type="dxa"/>
          </w:tblCellMar>
        </w:tblPrEx>
        <w:trPr>
          <w:trHeight w:val="460"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4CA792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8289">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810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质量指标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BDE7">
            <w:pPr>
              <w:widowControl w:val="0"/>
              <w:spacing w:before="0" w:beforeAutospacing="0" w:after="0" w:afterAutospacing="0" w:line="300" w:lineRule="exact"/>
              <w:ind w:left="0" w:right="0"/>
              <w:jc w:val="both"/>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培训验收合格率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BBA">
            <w:pPr>
              <w:widowControl w:val="0"/>
              <w:spacing w:before="0" w:beforeAutospacing="0" w:after="0" w:afterAutospacing="0" w:line="300" w:lineRule="exact"/>
              <w:ind w:left="0" w:right="0"/>
              <w:jc w:val="center"/>
              <w:rPr>
                <w:rFonts w:ascii="宋体" w:hAnsi="宋体" w:eastAsia="宋体" w:cs="宋体"/>
                <w:color w:val="000000"/>
                <w:kern w:val="2"/>
                <w:sz w:val="21"/>
                <w:szCs w:val="21"/>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F9C3">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EE58">
            <w:pPr>
              <w:widowControl w:val="0"/>
              <w:spacing w:before="0" w:beforeAutospacing="0" w:after="0" w:afterAutospacing="0" w:line="300" w:lineRule="exact"/>
              <w:ind w:left="0" w:right="0"/>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F517">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3E9F">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100</w:t>
            </w:r>
          </w:p>
        </w:tc>
      </w:tr>
      <w:tr w14:paraId="54C55FA4">
        <w:tblPrEx>
          <w:tblCellMar>
            <w:top w:w="15" w:type="dxa"/>
            <w:left w:w="15" w:type="dxa"/>
            <w:bottom w:w="15" w:type="dxa"/>
            <w:right w:w="15" w:type="dxa"/>
          </w:tblCellMar>
        </w:tblPrEx>
        <w:trPr>
          <w:trHeight w:val="515"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29246309">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9F6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BB7">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时效指标</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152">
            <w:pPr>
              <w:widowControl w:val="0"/>
              <w:spacing w:before="0" w:beforeAutospacing="0" w:after="0" w:afterAutospacing="0" w:line="300" w:lineRule="exact"/>
              <w:ind w:left="0" w:right="0"/>
              <w:jc w:val="both"/>
              <w:rPr>
                <w:rFonts w:hint="default"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2023年11月30日前完成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6E0A">
            <w:pPr>
              <w:widowControl w:val="0"/>
              <w:spacing w:before="0" w:beforeAutospacing="0" w:after="0" w:afterAutospacing="0" w:line="300" w:lineRule="exact"/>
              <w:ind w:left="0" w:right="0"/>
              <w:jc w:val="center"/>
              <w:rPr>
                <w:rFonts w:ascii="宋体" w:hAnsi="宋体" w:eastAsia="宋体" w:cs="宋体"/>
                <w:color w:val="000000"/>
                <w:kern w:val="2"/>
                <w:sz w:val="21"/>
                <w:szCs w:val="21"/>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976">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EAE1">
            <w:pPr>
              <w:widowControl w:val="0"/>
              <w:spacing w:before="0" w:beforeAutospacing="0" w:after="0" w:afterAutospacing="0" w:line="300" w:lineRule="exact"/>
              <w:ind w:left="0" w:right="0"/>
              <w:jc w:val="center"/>
              <w:rPr>
                <w:rFonts w:hint="eastAsia"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B5D">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C681">
            <w:pPr>
              <w:widowControl w:val="0"/>
              <w:spacing w:before="0" w:beforeAutospacing="0" w:after="0" w:afterAutospacing="0" w:line="300" w:lineRule="exact"/>
              <w:ind w:left="0" w:right="0"/>
              <w:jc w:val="center"/>
              <w:rPr>
                <w:rFonts w:hint="default" w:ascii="宋体" w:hAnsi="宋体" w:eastAsia="宋体" w:cs="宋体"/>
                <w:color w:val="000000"/>
                <w:kern w:val="2"/>
                <w:sz w:val="21"/>
                <w:szCs w:val="21"/>
                <w:lang w:val="en-US" w:eastAsia="zh-CN"/>
              </w:rPr>
            </w:pPr>
            <w:r>
              <w:rPr>
                <w:rFonts w:hint="eastAsia" w:ascii="宋体" w:hAnsi="宋体" w:eastAsia="宋体" w:cs="宋体"/>
                <w:color w:val="000000"/>
                <w:kern w:val="2"/>
                <w:sz w:val="21"/>
                <w:szCs w:val="21"/>
                <w:lang w:val="en-US" w:eastAsia="zh-CN"/>
              </w:rPr>
              <w:t>100</w:t>
            </w:r>
          </w:p>
        </w:tc>
      </w:tr>
      <w:tr w14:paraId="6E7B8BDC">
        <w:tblPrEx>
          <w:tblCellMar>
            <w:top w:w="15" w:type="dxa"/>
            <w:left w:w="15" w:type="dxa"/>
            <w:bottom w:w="15" w:type="dxa"/>
            <w:right w:w="15" w:type="dxa"/>
          </w:tblCellMar>
        </w:tblPrEx>
        <w:trPr>
          <w:trHeight w:val="1650"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E835E2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C19AD07">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效益指标</w:t>
            </w:r>
          </w:p>
        </w:tc>
        <w:tc>
          <w:tcPr>
            <w:tcW w:w="1149" w:type="dxa"/>
            <w:tcBorders>
              <w:top w:val="single" w:color="000000" w:sz="4" w:space="0"/>
              <w:left w:val="single" w:color="000000" w:sz="4" w:space="0"/>
              <w:bottom w:val="single" w:color="auto" w:sz="4" w:space="0"/>
              <w:right w:val="single" w:color="000000" w:sz="4" w:space="0"/>
            </w:tcBorders>
            <w:shd w:val="clear" w:color="auto" w:fill="auto"/>
            <w:vAlign w:val="center"/>
          </w:tcPr>
          <w:p w14:paraId="475629D3">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经济效益</w:t>
            </w:r>
          </w:p>
          <w:p w14:paraId="4048DB97">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E75E6FC">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18"/>
                <w:szCs w:val="18"/>
              </w:rPr>
              <w:t>通过培训全面提高了农民生产技术水平和综合素质，提升了农产品产前、产中、产后的技术含量，增加了农民收入</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75AA995F">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定性</w:t>
            </w:r>
          </w:p>
        </w:tc>
        <w:tc>
          <w:tcPr>
            <w:tcW w:w="66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CF7AC">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c>
          <w:tcPr>
            <w:tcW w:w="1061" w:type="dxa"/>
            <w:tcBorders>
              <w:top w:val="single" w:color="000000" w:sz="4" w:space="0"/>
              <w:left w:val="single" w:color="000000" w:sz="4" w:space="0"/>
              <w:bottom w:val="single" w:color="auto" w:sz="4" w:space="0"/>
              <w:right w:val="single" w:color="000000" w:sz="4" w:space="0"/>
            </w:tcBorders>
            <w:shd w:val="clear" w:color="auto" w:fill="auto"/>
            <w:vAlign w:val="center"/>
          </w:tcPr>
          <w:p w14:paraId="2E431BA2">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其他</w:t>
            </w:r>
          </w:p>
        </w:tc>
        <w:tc>
          <w:tcPr>
            <w:tcW w:w="938" w:type="dxa"/>
            <w:tcBorders>
              <w:top w:val="single" w:color="000000" w:sz="4" w:space="0"/>
              <w:left w:val="single" w:color="000000" w:sz="4" w:space="0"/>
              <w:bottom w:val="single" w:color="auto" w:sz="4" w:space="0"/>
              <w:right w:val="single" w:color="000000" w:sz="4" w:space="0"/>
            </w:tcBorders>
            <w:shd w:val="clear" w:color="auto" w:fill="auto"/>
            <w:vAlign w:val="center"/>
          </w:tcPr>
          <w:p w14:paraId="215748E9">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E50E66E">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r>
      <w:tr w14:paraId="338FD762">
        <w:tblPrEx>
          <w:tblCellMar>
            <w:top w:w="15" w:type="dxa"/>
            <w:left w:w="15" w:type="dxa"/>
            <w:bottom w:w="15" w:type="dxa"/>
            <w:right w:w="15" w:type="dxa"/>
          </w:tblCellMar>
        </w:tblPrEx>
        <w:trPr>
          <w:trHeight w:val="1065"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0ADFE0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14:paraId="5D30E6F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17DA5340">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2EBF5F4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1F04E9A3">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18"/>
                <w:szCs w:val="18"/>
              </w:rPr>
              <w:t>培养一批爱农业、懂技术、善经营的高素质农民队伍，助力乡村振兴</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3889966E">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定性</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687AFF46">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377CF04A">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其他</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7E296531">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C80E7BC">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r>
      <w:tr w14:paraId="2C1DBB1C">
        <w:tblPrEx>
          <w:tblCellMar>
            <w:top w:w="15" w:type="dxa"/>
            <w:left w:w="15" w:type="dxa"/>
            <w:bottom w:w="15" w:type="dxa"/>
            <w:right w:w="15" w:type="dxa"/>
          </w:tblCellMar>
        </w:tblPrEx>
        <w:trPr>
          <w:trHeight w:val="702"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17356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auto" w:sz="4" w:space="0"/>
              <w:bottom w:val="single" w:color="auto" w:sz="4" w:space="0"/>
              <w:right w:val="single" w:color="auto" w:sz="4" w:space="0"/>
            </w:tcBorders>
            <w:shd w:val="clear" w:color="auto" w:fill="auto"/>
            <w:vAlign w:val="center"/>
          </w:tcPr>
          <w:p w14:paraId="29AF3C19">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24A523F">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2"/>
                <w:sz w:val="24"/>
                <w:szCs w:val="24"/>
                <w:lang w:eastAsia="zh-CN"/>
              </w:rPr>
              <w:t>生态</w:t>
            </w:r>
            <w:r>
              <w:rPr>
                <w:rFonts w:ascii="宋体" w:hAnsi="宋体" w:eastAsia="宋体" w:cs="宋体"/>
                <w:color w:val="000000"/>
                <w:kern w:val="0"/>
                <w:sz w:val="24"/>
                <w:szCs w:val="24"/>
                <w:lang w:bidi="ar"/>
              </w:rPr>
              <w:t>效益</w:t>
            </w:r>
          </w:p>
          <w:p w14:paraId="1506FB9C">
            <w:pPr>
              <w:widowControl/>
              <w:spacing w:before="0" w:beforeAutospacing="0" w:after="0" w:afterAutospacing="0" w:line="300" w:lineRule="exact"/>
              <w:ind w:left="0" w:right="0"/>
              <w:jc w:val="both"/>
              <w:textAlignment w:val="center"/>
              <w:rPr>
                <w:rFonts w:hint="eastAsia" w:ascii="宋体" w:hAnsi="宋体" w:eastAsia="宋体" w:cs="宋体"/>
                <w:color w:val="000000"/>
                <w:kern w:val="2"/>
                <w:sz w:val="24"/>
                <w:szCs w:val="24"/>
                <w:lang w:eastAsia="zh-CN"/>
              </w:rPr>
            </w:pPr>
            <w:r>
              <w:rPr>
                <w:rFonts w:ascii="宋体" w:hAnsi="宋体" w:eastAsia="宋体" w:cs="宋体"/>
                <w:color w:val="000000"/>
                <w:kern w:val="0"/>
                <w:sz w:val="24"/>
                <w:szCs w:val="24"/>
                <w:lang w:bidi="ar"/>
              </w:rPr>
              <w:t>指标</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0FE61B1C">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18"/>
                <w:szCs w:val="18"/>
              </w:rPr>
              <w:t>提高农民生态意识，发展生态农业</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96C5B0F">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定性</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4B7B4BBB">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14:paraId="59DBCEA8">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其他</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14:paraId="21F692F2">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rPr>
            </w:pPr>
            <w:r>
              <w:rPr>
                <w:rFonts w:hint="eastAsia" w:ascii="宋体" w:hAnsi="宋体" w:eastAsia="宋体" w:cs="宋体"/>
                <w:color w:val="000000"/>
                <w:kern w:val="2"/>
                <w:sz w:val="18"/>
                <w:szCs w:val="18"/>
                <w:lang w:val="en-US" w:eastAsia="zh-CN"/>
              </w:rPr>
              <w:t>5</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A79D166">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良好</w:t>
            </w:r>
          </w:p>
        </w:tc>
      </w:tr>
      <w:tr w14:paraId="77CE98EC">
        <w:tblPrEx>
          <w:tblCellMar>
            <w:top w:w="15" w:type="dxa"/>
            <w:left w:w="15" w:type="dxa"/>
            <w:bottom w:w="15" w:type="dxa"/>
            <w:right w:w="15" w:type="dxa"/>
          </w:tblCellMar>
        </w:tblPrEx>
        <w:trPr>
          <w:trHeight w:val="27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74B1E5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1DCD9">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9443FEF">
            <w:pPr>
              <w:widowControl/>
              <w:spacing w:before="0" w:beforeAutospacing="0" w:after="0" w:afterAutospacing="0" w:line="300" w:lineRule="exact"/>
              <w:ind w:left="0" w:right="0"/>
              <w:jc w:val="both"/>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可持续影响指标</w:t>
            </w:r>
          </w:p>
        </w:tc>
        <w:tc>
          <w:tcPr>
            <w:tcW w:w="2190" w:type="dxa"/>
            <w:tcBorders>
              <w:top w:val="single" w:color="auto" w:sz="4" w:space="0"/>
              <w:left w:val="single" w:color="auto" w:sz="4" w:space="0"/>
              <w:bottom w:val="single" w:color="000000" w:sz="4" w:space="0"/>
              <w:right w:val="single" w:color="000000" w:sz="4" w:space="0"/>
            </w:tcBorders>
            <w:shd w:val="clear" w:color="auto" w:fill="auto"/>
            <w:vAlign w:val="center"/>
          </w:tcPr>
          <w:p w14:paraId="57D77B9B">
            <w:pPr>
              <w:widowControl w:val="0"/>
              <w:spacing w:before="0" w:beforeAutospacing="0" w:after="0" w:afterAutospacing="0" w:line="300" w:lineRule="exact"/>
              <w:ind w:left="0" w:right="0"/>
              <w:jc w:val="both"/>
              <w:rPr>
                <w:rFonts w:hint="eastAsia" w:ascii="宋体" w:hAnsi="宋体" w:eastAsia="宋体" w:cs="宋体"/>
                <w:color w:val="000000"/>
                <w:kern w:val="2"/>
                <w:sz w:val="18"/>
                <w:szCs w:val="18"/>
                <w:lang w:eastAsia="zh-CN"/>
              </w:rPr>
            </w:pPr>
            <w:r>
              <w:rPr>
                <w:rFonts w:hint="eastAsia" w:ascii="宋体" w:hAnsi="宋体" w:eastAsia="宋体" w:cs="宋体"/>
                <w:color w:val="000000"/>
                <w:kern w:val="2"/>
                <w:sz w:val="18"/>
                <w:szCs w:val="18"/>
                <w:lang w:eastAsia="zh-CN"/>
              </w:rPr>
              <w:t>可持续</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773812D4">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eastAsia="zh-CN"/>
              </w:rPr>
              <w:t>定性</w:t>
            </w:r>
          </w:p>
        </w:tc>
        <w:tc>
          <w:tcPr>
            <w:tcW w:w="661" w:type="dxa"/>
            <w:tcBorders>
              <w:top w:val="single" w:color="auto" w:sz="4" w:space="0"/>
              <w:left w:val="single" w:color="000000" w:sz="4" w:space="0"/>
              <w:bottom w:val="single" w:color="000000" w:sz="4" w:space="0"/>
              <w:right w:val="single" w:color="000000" w:sz="4" w:space="0"/>
            </w:tcBorders>
            <w:shd w:val="clear" w:color="auto" w:fill="auto"/>
            <w:vAlign w:val="center"/>
          </w:tcPr>
          <w:p w14:paraId="371E3162">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eastAsia="zh-CN"/>
              </w:rPr>
              <w:t>良好</w:t>
            </w:r>
          </w:p>
        </w:tc>
        <w:tc>
          <w:tcPr>
            <w:tcW w:w="1061" w:type="dxa"/>
            <w:tcBorders>
              <w:top w:val="single" w:color="auto" w:sz="4" w:space="0"/>
              <w:left w:val="single" w:color="000000" w:sz="4" w:space="0"/>
              <w:bottom w:val="single" w:color="000000" w:sz="4" w:space="0"/>
              <w:right w:val="single" w:color="000000" w:sz="4" w:space="0"/>
            </w:tcBorders>
            <w:shd w:val="clear" w:color="auto" w:fill="auto"/>
            <w:vAlign w:val="center"/>
          </w:tcPr>
          <w:p w14:paraId="2EFD04B5">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eastAsia="zh-CN"/>
              </w:rPr>
              <w:t>其他</w:t>
            </w:r>
          </w:p>
        </w:tc>
        <w:tc>
          <w:tcPr>
            <w:tcW w:w="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373F5C06">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rPr>
              <w:t>5</w:t>
            </w:r>
          </w:p>
        </w:tc>
        <w:tc>
          <w:tcPr>
            <w:tcW w:w="18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C63F1CF">
            <w:pPr>
              <w:widowControl w:val="0"/>
              <w:spacing w:before="0" w:beforeAutospacing="0" w:after="0" w:afterAutospacing="0" w:line="300" w:lineRule="exact"/>
              <w:ind w:left="0" w:right="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eastAsia="zh-CN"/>
              </w:rPr>
              <w:t>良好</w:t>
            </w:r>
          </w:p>
        </w:tc>
      </w:tr>
      <w:tr w14:paraId="1391900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auto" w:sz="4" w:space="0"/>
              <w:right w:val="single" w:color="auto" w:sz="4" w:space="0"/>
            </w:tcBorders>
            <w:shd w:val="clear" w:color="auto" w:fill="auto"/>
            <w:vAlign w:val="center"/>
          </w:tcPr>
          <w:p w14:paraId="47A0A93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3F8EE7E">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661124E3">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2C6762FE">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5604ACD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满意度指标</w:t>
            </w:r>
          </w:p>
        </w:tc>
        <w:tc>
          <w:tcPr>
            <w:tcW w:w="219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08E2A">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18"/>
                <w:szCs w:val="18"/>
                <w:lang w:eastAsia="zh-CN"/>
              </w:rPr>
              <w:t>高素质农民满意度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21E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960C">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18"/>
                <w:szCs w:val="18"/>
                <w:lang w:val="en-US" w:eastAsia="zh-CN"/>
              </w:rPr>
              <w:t>85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64EF">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1EA7">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AEEF">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18"/>
                <w:szCs w:val="18"/>
                <w:lang w:val="en-US" w:eastAsia="zh-CN"/>
              </w:rPr>
              <w:t>85</w:t>
            </w:r>
          </w:p>
        </w:tc>
      </w:tr>
    </w:tbl>
    <w:p w14:paraId="5C7A75C6">
      <w:pPr>
        <w:widowControl w:val="0"/>
        <w:spacing w:before="0" w:beforeAutospacing="0" w:after="0" w:afterAutospacing="0" w:line="578" w:lineRule="exact"/>
        <w:ind w:left="0" w:leftChars="0" w:right="0" w:firstLine="0" w:firstLineChars="0"/>
        <w:jc w:val="both"/>
        <w:rPr>
          <w:rFonts w:ascii="黑体" w:hAnsi="黑体" w:eastAsia="黑体" w:cs="黑体"/>
          <w:kern w:val="2"/>
          <w:sz w:val="24"/>
          <w:szCs w:val="24"/>
          <w:lang w:val="en-US" w:eastAsia="zh-CN" w:bidi="ar-SA"/>
        </w:rPr>
      </w:pPr>
    </w:p>
    <w:bookmarkEnd w:id="149"/>
    <w:p w14:paraId="57E3DACA">
      <w:pPr>
        <w:keepNext/>
        <w:keepLines/>
        <w:pageBreakBefore w:val="0"/>
        <w:widowControl w:val="0"/>
        <w:kinsoku/>
        <w:wordWrap/>
        <w:overflowPunct/>
        <w:topLinePunct w:val="0"/>
        <w:autoSpaceDE/>
        <w:autoSpaceDN/>
        <w:bidi w:val="0"/>
        <w:adjustRightInd/>
        <w:snapToGrid/>
        <w:spacing w:before="280" w:beforeAutospacing="0" w:after="156" w:afterAutospacing="0" w:line="576" w:lineRule="exact"/>
        <w:ind w:left="0" w:right="0"/>
        <w:jc w:val="center"/>
        <w:textAlignment w:val="auto"/>
        <w:outlineLvl w:val="0"/>
        <w:rPr>
          <w:rFonts w:hint="eastAsia" w:ascii="方正小标宋简体" w:hAnsi="方正小标宋简体" w:eastAsia="方正小标宋简体" w:cs="方正小标宋简体"/>
          <w:b/>
          <w:color w:val="auto"/>
          <w:kern w:val="2"/>
          <w:sz w:val="44"/>
          <w:szCs w:val="44"/>
          <w:lang w:val="en-US" w:eastAsia="zh-CN" w:bidi="ar-SA"/>
        </w:rPr>
      </w:pPr>
      <w:bookmarkStart w:id="163" w:name="_Toc26519"/>
      <w:bookmarkEnd w:id="163"/>
      <w:bookmarkStart w:id="164" w:name="_Toc29126"/>
      <w:bookmarkEnd w:id="164"/>
      <w:bookmarkStart w:id="165" w:name="_Toc16798"/>
      <w:bookmarkEnd w:id="165"/>
      <w:bookmarkStart w:id="166" w:name="_Toc24727"/>
      <w:bookmarkEnd w:id="166"/>
      <w:bookmarkStart w:id="167" w:name="_Toc23700"/>
      <w:bookmarkEnd w:id="167"/>
      <w:bookmarkStart w:id="168" w:name="_Toc1211"/>
      <w:bookmarkStart w:id="169" w:name="_Toc8592"/>
      <w:r>
        <w:rPr>
          <w:rFonts w:hint="eastAsia" w:ascii="方正小标宋简体" w:hAnsi="方正小标宋简体" w:eastAsia="方正小标宋简体" w:cs="方正小标宋简体"/>
          <w:b/>
          <w:color w:val="auto"/>
          <w:kern w:val="2"/>
          <w:sz w:val="44"/>
          <w:szCs w:val="44"/>
          <w:lang w:val="en-US" w:eastAsia="zh-CN" w:bidi="ar-SA"/>
        </w:rPr>
        <w:t>2023年茂县厕所革命示范建设项目</w:t>
      </w:r>
      <w:bookmarkEnd w:id="168"/>
      <w:bookmarkEnd w:id="169"/>
    </w:p>
    <w:p w14:paraId="32E8642D">
      <w:pPr>
        <w:keepNext/>
        <w:keepLines/>
        <w:pageBreakBefore w:val="0"/>
        <w:widowControl w:val="0"/>
        <w:kinsoku/>
        <w:wordWrap/>
        <w:overflowPunct/>
        <w:topLinePunct w:val="0"/>
        <w:autoSpaceDE/>
        <w:autoSpaceDN/>
        <w:bidi w:val="0"/>
        <w:adjustRightInd/>
        <w:snapToGrid/>
        <w:spacing w:before="280" w:beforeAutospacing="0" w:after="156" w:afterAutospacing="0" w:line="576" w:lineRule="exact"/>
        <w:ind w:left="0" w:right="0"/>
        <w:jc w:val="center"/>
        <w:textAlignment w:val="auto"/>
        <w:outlineLvl w:val="0"/>
        <w:rPr>
          <w:rFonts w:hint="eastAsia" w:ascii="方正小标宋简体" w:hAnsi="方正小标宋简体" w:eastAsia="方正小标宋简体" w:cs="方正小标宋简体"/>
          <w:b/>
          <w:color w:val="auto"/>
          <w:kern w:val="2"/>
          <w:sz w:val="44"/>
          <w:szCs w:val="44"/>
          <w:lang w:val="en-US" w:eastAsia="zh-CN" w:bidi="ar-SA"/>
        </w:rPr>
      </w:pPr>
      <w:bookmarkStart w:id="170" w:name="_Toc6489"/>
      <w:bookmarkStart w:id="171" w:name="_Toc32697"/>
      <w:r>
        <w:rPr>
          <w:rFonts w:hint="eastAsia" w:ascii="方正小标宋简体" w:hAnsi="方正小标宋简体" w:eastAsia="方正小标宋简体" w:cs="方正小标宋简体"/>
          <w:b/>
          <w:color w:val="auto"/>
          <w:kern w:val="2"/>
          <w:sz w:val="44"/>
          <w:szCs w:val="44"/>
          <w:lang w:val="en-US" w:eastAsia="zh-CN" w:bidi="ar-SA"/>
        </w:rPr>
        <w:t>绩效评价报告</w:t>
      </w:r>
      <w:bookmarkEnd w:id="170"/>
      <w:bookmarkEnd w:id="171"/>
    </w:p>
    <w:p w14:paraId="2E0EA93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outlineLvl w:val="1"/>
        <w:rPr>
          <w:rFonts w:ascii="黑体" w:hAnsi="宋体" w:eastAsia="黑体" w:cs="Times New Roman"/>
          <w:kern w:val="2"/>
          <w:sz w:val="32"/>
          <w:szCs w:val="32"/>
          <w:lang w:val="zh-CN"/>
        </w:rPr>
      </w:pPr>
      <w:bookmarkStart w:id="172" w:name="_Toc22190"/>
      <w:bookmarkStart w:id="173" w:name="_Toc13605"/>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bookmarkEnd w:id="172"/>
      <w:bookmarkEnd w:id="173"/>
    </w:p>
    <w:p w14:paraId="647B642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Times New Roman"/>
          <w:b/>
          <w:kern w:val="2"/>
          <w:sz w:val="32"/>
          <w:szCs w:val="32"/>
          <w:lang w:val="zh-CN"/>
        </w:rPr>
        <w:t>（一）设立背景及基本情况。</w:t>
      </w:r>
      <w:r>
        <w:rPr>
          <w:rFonts w:hint="eastAsia" w:ascii="仿宋_GB2312" w:hAnsi="仿宋_GB2312" w:eastAsia="仿宋_GB2312" w:cs="仿宋_GB2312"/>
          <w:color w:val="000000"/>
          <w:kern w:val="0"/>
          <w:sz w:val="32"/>
          <w:szCs w:val="32"/>
          <w:shd w:val="clear" w:color="auto" w:fill="FFFFFF"/>
          <w:lang w:eastAsia="zh-CN"/>
        </w:rPr>
        <w:t>上级下达我县</w:t>
      </w:r>
      <w:r>
        <w:rPr>
          <w:rFonts w:hint="eastAsia" w:ascii="仿宋_GB2312" w:hAnsi="仿宋_GB2312" w:eastAsia="仿宋_GB2312" w:cs="仿宋_GB2312"/>
          <w:color w:val="000000"/>
          <w:kern w:val="0"/>
          <w:sz w:val="32"/>
          <w:szCs w:val="32"/>
          <w:shd w:val="clear" w:color="auto" w:fill="FFFFFF"/>
          <w:lang w:val="zh-CN"/>
        </w:rPr>
        <w:t>项目预算安排资金</w:t>
      </w:r>
      <w:r>
        <w:rPr>
          <w:rFonts w:hint="eastAsia" w:ascii="仿宋_GB2312" w:hAnsi="仿宋_GB2312" w:eastAsia="仿宋_GB2312" w:cs="仿宋_GB2312"/>
          <w:color w:val="000000"/>
          <w:kern w:val="0"/>
          <w:sz w:val="32"/>
          <w:szCs w:val="32"/>
          <w:shd w:val="clear" w:color="auto" w:fill="FFFFFF"/>
          <w:lang w:val="en-US" w:eastAsia="zh-CN"/>
        </w:rPr>
        <w:t>55万元</w:t>
      </w:r>
      <w:r>
        <w:rPr>
          <w:rFonts w:hint="eastAsia" w:ascii="仿宋_GB2312" w:hAnsi="仿宋_GB2312" w:eastAsia="仿宋_GB2312" w:cs="仿宋_GB2312"/>
          <w:color w:val="000000"/>
          <w:kern w:val="0"/>
          <w:sz w:val="32"/>
          <w:szCs w:val="32"/>
          <w:shd w:val="clear" w:color="auto" w:fill="FFFFFF"/>
          <w:lang w:val="zh-CN"/>
        </w:rPr>
        <w:t>，（</w:t>
      </w:r>
      <w:r>
        <w:rPr>
          <w:rFonts w:hint="eastAsia" w:ascii="仿宋_GB2312" w:hAnsi="Tahoma" w:eastAsia="仿宋_GB2312" w:cs="仿宋_GB2312"/>
          <w:color w:val="000000"/>
          <w:kern w:val="0"/>
          <w:sz w:val="32"/>
          <w:szCs w:val="32"/>
          <w:lang w:val="en-US" w:eastAsia="zh-CN" w:bidi="ar-SA"/>
        </w:rPr>
        <w:t>阿州财农【2022】103号2023年土地指标跨省域调剂收入安排支出预算-支持农村“厕所革命”整村推进财政奖补使用方向）</w:t>
      </w:r>
      <w:r>
        <w:rPr>
          <w:rFonts w:hint="eastAsia" w:ascii="仿宋_GB2312" w:hAnsi="Times New Roman" w:eastAsia="仿宋_GB2312" w:cs="Times New Roman"/>
          <w:color w:val="000000"/>
          <w:kern w:val="2"/>
          <w:sz w:val="32"/>
          <w:szCs w:val="32"/>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主要要求用于</w:t>
      </w:r>
      <w:r>
        <w:rPr>
          <w:rFonts w:hint="eastAsia" w:ascii="仿宋_GB2312" w:hAnsi="仿宋_GB2312" w:eastAsia="仿宋_GB2312" w:cs="仿宋_GB2312"/>
          <w:color w:val="000000"/>
          <w:kern w:val="0"/>
          <w:sz w:val="32"/>
          <w:szCs w:val="32"/>
          <w:shd w:val="clear" w:color="auto" w:fill="FFFFFF"/>
          <w:lang w:val="zh-CN"/>
        </w:rPr>
        <w:t>支持</w:t>
      </w:r>
      <w:r>
        <w:rPr>
          <w:rFonts w:hint="eastAsia" w:ascii="仿宋_GB2312" w:hAnsi="Tahoma" w:eastAsia="仿宋_GB2312" w:cs="仿宋_GB2312"/>
          <w:color w:val="000000"/>
          <w:kern w:val="0"/>
          <w:sz w:val="32"/>
          <w:szCs w:val="32"/>
          <w:lang w:val="en-US" w:eastAsia="zh-CN" w:bidi="ar-SA"/>
        </w:rPr>
        <w:t>“厕所革命”</w:t>
      </w:r>
      <w:r>
        <w:rPr>
          <w:rFonts w:hint="eastAsia" w:ascii="仿宋_GB2312" w:hAnsi="Times New Roman" w:eastAsia="仿宋_GB2312" w:cs="Times New Roman"/>
          <w:color w:val="000000"/>
          <w:kern w:val="2"/>
          <w:sz w:val="32"/>
          <w:szCs w:val="32"/>
          <w:u w:val="none"/>
          <w:lang w:val="en-US" w:eastAsia="zh-CN"/>
        </w:rPr>
        <w:t>工作开展。资金到位后由</w:t>
      </w:r>
      <w:r>
        <w:rPr>
          <w:rFonts w:hint="eastAsia" w:ascii="仿宋_GB2312" w:hAnsi="仿宋_GB2312" w:eastAsia="仿宋_GB2312" w:cs="仿宋_GB2312"/>
          <w:b w:val="0"/>
          <w:bCs w:val="0"/>
          <w:kern w:val="2"/>
          <w:sz w:val="32"/>
          <w:szCs w:val="32"/>
          <w:lang w:val="en-US" w:eastAsia="zh-CN"/>
        </w:rPr>
        <w:t>茂县科学技术和农业畜牧局畜牧兽医服务</w:t>
      </w:r>
      <w:r>
        <w:rPr>
          <w:rFonts w:hint="eastAsia" w:ascii="仿宋_GB2312" w:hAnsi="Times New Roman" w:eastAsia="仿宋_GB2312" w:cs="Times New Roman"/>
          <w:color w:val="000000"/>
          <w:kern w:val="2"/>
          <w:sz w:val="32"/>
          <w:szCs w:val="32"/>
          <w:u w:val="none"/>
          <w:lang w:val="en-US" w:eastAsia="zh-CN"/>
        </w:rPr>
        <w:t>中心编制项目实施方案并报茂县人民政府批复实施。项目</w:t>
      </w:r>
      <w:r>
        <w:rPr>
          <w:rFonts w:hint="eastAsia" w:ascii="仿宋_GB2312" w:hAnsi="仿宋_GB2312" w:eastAsia="仿宋_GB2312" w:cs="仿宋_GB2312"/>
          <w:color w:val="000000"/>
          <w:kern w:val="0"/>
          <w:sz w:val="32"/>
          <w:szCs w:val="32"/>
          <w:shd w:val="clear" w:color="auto" w:fill="FFFFFF"/>
          <w:lang w:val="zh-CN"/>
        </w:rPr>
        <w:t>资金使用</w:t>
      </w:r>
      <w:r>
        <w:rPr>
          <w:rFonts w:hint="eastAsia" w:ascii="仿宋_GB2312" w:hAnsi="Tahoma" w:eastAsia="仿宋_GB2312" w:cs="仿宋_GB2312"/>
          <w:color w:val="000000"/>
          <w:kern w:val="0"/>
          <w:sz w:val="32"/>
          <w:szCs w:val="32"/>
          <w:lang w:val="en-US" w:eastAsia="zh-CN" w:bidi="ar-SA"/>
        </w:rPr>
        <w:t>“阿州财农【2022】103号2023年土地指标跨省域调剂收入安排支出预算”</w:t>
      </w:r>
      <w:r>
        <w:rPr>
          <w:rFonts w:hint="eastAsia" w:ascii="仿宋_GB2312" w:hAnsi="仿宋_GB2312" w:eastAsia="仿宋_GB2312" w:cs="仿宋_GB2312"/>
          <w:color w:val="000000"/>
          <w:kern w:val="0"/>
          <w:sz w:val="32"/>
          <w:szCs w:val="32"/>
          <w:shd w:val="clear" w:color="auto" w:fill="FFFFFF"/>
          <w:lang w:val="zh-CN"/>
        </w:rPr>
        <w:t>。项目主要内容是</w:t>
      </w:r>
      <w:r>
        <w:rPr>
          <w:rFonts w:hint="eastAsia" w:ascii="仿宋_GB2312" w:hAnsi="宋体" w:eastAsia="仿宋_GB2312" w:cs="Times New Roman"/>
          <w:kern w:val="2"/>
          <w:sz w:val="32"/>
          <w:szCs w:val="32"/>
          <w:lang w:val="zh-CN"/>
        </w:rPr>
        <w:t>按照每户2000元定额的标准对</w:t>
      </w:r>
      <w:r>
        <w:rPr>
          <w:rFonts w:hint="eastAsia" w:ascii="仿宋_GB2312" w:hAnsi="宋体" w:eastAsia="仿宋_GB2312" w:cs="Times New Roman"/>
          <w:kern w:val="2"/>
          <w:sz w:val="32"/>
          <w:szCs w:val="32"/>
          <w:lang w:val="en-US" w:eastAsia="zh-CN"/>
        </w:rPr>
        <w:t>275</w:t>
      </w:r>
      <w:r>
        <w:rPr>
          <w:rFonts w:hint="eastAsia" w:ascii="仿宋_GB2312" w:hAnsi="宋体" w:eastAsia="仿宋_GB2312" w:cs="Times New Roman"/>
          <w:kern w:val="2"/>
          <w:sz w:val="32"/>
          <w:szCs w:val="32"/>
          <w:lang w:val="zh-CN"/>
        </w:rPr>
        <w:t>户农村户厕采取“因地制宜、农户自愿、自建、自管，先建后补，以奖代补”的原则进行改造提升进行补助。</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color w:val="000000"/>
          <w:kern w:val="0"/>
          <w:sz w:val="32"/>
          <w:szCs w:val="32"/>
          <w:shd w:val="clear" w:color="auto" w:fill="FFFFFF"/>
          <w:lang w:val="zh-CN"/>
        </w:rPr>
        <w:t>负责该项目的技术指导，相关镇、村组织项目日常督导及实施等。</w:t>
      </w:r>
    </w:p>
    <w:p w14:paraId="7A7706B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hint="eastAsia" w:ascii="仿宋_GB2312" w:hAnsi="宋体" w:eastAsia="仿宋_GB2312" w:cs="Times New Roman"/>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）实施目的及支持方向。</w:t>
      </w:r>
      <w:r>
        <w:rPr>
          <w:rFonts w:hint="eastAsia" w:ascii="仿宋_GB2312" w:hAnsi="仿宋_GB2312" w:eastAsia="仿宋_GB2312" w:cs="仿宋_GB2312"/>
          <w:color w:val="000000"/>
          <w:kern w:val="0"/>
          <w:sz w:val="32"/>
          <w:szCs w:val="32"/>
          <w:shd w:val="clear" w:color="auto" w:fill="FFFFFF"/>
          <w:lang w:val="zh-CN"/>
        </w:rPr>
        <w:t>项目实施目的是和主要工作任务是</w:t>
      </w:r>
      <w:r>
        <w:rPr>
          <w:rFonts w:hint="eastAsia" w:ascii="仿宋_GB2312" w:hAnsi="宋体" w:eastAsia="仿宋_GB2312" w:cs="Times New Roman"/>
          <w:kern w:val="2"/>
          <w:sz w:val="32"/>
          <w:szCs w:val="32"/>
          <w:lang w:val="zh-CN"/>
        </w:rPr>
        <w:t>按照每户2000元定额的标准对</w:t>
      </w:r>
      <w:r>
        <w:rPr>
          <w:rFonts w:hint="eastAsia" w:ascii="仿宋_GB2312" w:hAnsi="宋体" w:eastAsia="仿宋_GB2312" w:cs="Times New Roman"/>
          <w:kern w:val="2"/>
          <w:sz w:val="32"/>
          <w:szCs w:val="32"/>
          <w:lang w:val="en-US" w:eastAsia="zh-CN"/>
        </w:rPr>
        <w:t>275</w:t>
      </w:r>
      <w:r>
        <w:rPr>
          <w:rFonts w:hint="eastAsia" w:ascii="仿宋_GB2312" w:hAnsi="宋体" w:eastAsia="仿宋_GB2312" w:cs="Times New Roman"/>
          <w:kern w:val="2"/>
          <w:sz w:val="32"/>
          <w:szCs w:val="32"/>
          <w:lang w:val="zh-CN"/>
        </w:rPr>
        <w:t>户农村户厕采取“因地制宜、农户自愿、自建、自管，先建后补，以奖代补”的原则进行改造提升进行补助。</w:t>
      </w:r>
    </w:p>
    <w:p w14:paraId="43F30C7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val="zh-CN"/>
        </w:rPr>
        <w:t>）</w:t>
      </w:r>
      <w:r>
        <w:rPr>
          <w:rFonts w:ascii="楷体_GB2312" w:hAnsi="宋体" w:eastAsia="楷体_GB2312" w:cs="Times New Roman"/>
          <w:b/>
          <w:kern w:val="2"/>
          <w:sz w:val="32"/>
          <w:szCs w:val="32"/>
        </w:rPr>
        <w:t>预算安排及分配管理</w:t>
      </w:r>
      <w:r>
        <w:rPr>
          <w:rFonts w:hint="eastAsia" w:ascii="楷体_GB2312" w:hAnsi="宋体" w:eastAsia="楷体_GB2312" w:cs="Times New Roman"/>
          <w:b/>
          <w:kern w:val="2"/>
          <w:sz w:val="32"/>
          <w:szCs w:val="32"/>
          <w:lang w:val="zh-CN"/>
        </w:rPr>
        <w:t>。</w:t>
      </w:r>
      <w:r>
        <w:rPr>
          <w:rFonts w:hint="eastAsia" w:ascii="仿宋_GB2312" w:hAnsi="仿宋_GB2312" w:eastAsia="仿宋_GB2312" w:cs="仿宋_GB2312"/>
          <w:color w:val="000000"/>
          <w:kern w:val="0"/>
          <w:sz w:val="32"/>
          <w:szCs w:val="32"/>
          <w:shd w:val="clear" w:color="auto" w:fill="FFFFFF"/>
          <w:lang w:val="zh-CN"/>
        </w:rPr>
        <w:t>项目预算安排资金</w:t>
      </w:r>
      <w:r>
        <w:rPr>
          <w:rFonts w:hint="eastAsia" w:ascii="仿宋_GB2312" w:hAnsi="仿宋_GB2312" w:eastAsia="仿宋_GB2312" w:cs="仿宋_GB2312"/>
          <w:color w:val="000000"/>
          <w:kern w:val="0"/>
          <w:sz w:val="32"/>
          <w:szCs w:val="32"/>
          <w:shd w:val="clear" w:color="auto" w:fill="FFFFFF"/>
          <w:lang w:val="en-US" w:eastAsia="zh-CN"/>
        </w:rPr>
        <w:t>55万元</w:t>
      </w:r>
      <w:r>
        <w:rPr>
          <w:rFonts w:hint="eastAsia" w:ascii="仿宋_GB2312" w:hAnsi="仿宋_GB2312" w:eastAsia="仿宋_GB2312" w:cs="仿宋_GB2312"/>
          <w:color w:val="000000"/>
          <w:kern w:val="0"/>
          <w:sz w:val="32"/>
          <w:szCs w:val="32"/>
          <w:shd w:val="clear" w:color="auto" w:fill="FFFFFF"/>
          <w:lang w:val="zh-CN"/>
        </w:rPr>
        <w:t>，使用</w:t>
      </w:r>
      <w:r>
        <w:rPr>
          <w:rFonts w:hint="eastAsia" w:ascii="仿宋_GB2312" w:hAnsi="Tahoma" w:eastAsia="仿宋_GB2312" w:cs="仿宋_GB2312"/>
          <w:color w:val="000000"/>
          <w:kern w:val="0"/>
          <w:sz w:val="32"/>
          <w:szCs w:val="32"/>
          <w:lang w:val="en-US" w:eastAsia="zh-CN" w:bidi="ar-SA"/>
        </w:rPr>
        <w:t>阿州财农【2022】103号2023年土地指标跨省域调剂收入安排支出预算-支持农村“厕所革命”整村推进财政奖补使用方向资金55万元</w:t>
      </w:r>
      <w:r>
        <w:rPr>
          <w:rFonts w:hint="eastAsia" w:ascii="仿宋_GB2312" w:hAnsi="Times New Roman" w:eastAsia="仿宋_GB2312" w:cs="Times New Roman"/>
          <w:color w:val="000000"/>
          <w:kern w:val="2"/>
          <w:sz w:val="32"/>
          <w:szCs w:val="32"/>
          <w:lang w:val="en-US" w:eastAsia="zh-CN"/>
        </w:rPr>
        <w:t>万元。</w:t>
      </w:r>
      <w:r>
        <w:rPr>
          <w:rFonts w:hint="eastAsia" w:ascii="仿宋_GB2312" w:hAnsi="仿宋_GB2312" w:eastAsia="仿宋_GB2312" w:cs="仿宋_GB2312"/>
          <w:color w:val="000000"/>
          <w:kern w:val="0"/>
          <w:sz w:val="32"/>
          <w:szCs w:val="32"/>
          <w:shd w:val="clear" w:color="auto" w:fill="FFFFFF"/>
          <w:lang w:val="zh-CN"/>
        </w:rPr>
        <w:t>项目资金分配原则是综合考虑各镇村基础和积极性等综合考虑。</w:t>
      </w:r>
    </w:p>
    <w:p w14:paraId="2758F9D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hint="eastAsia"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val="zh-CN"/>
        </w:rPr>
        <w:t>（四）项目绩效目标设置。</w:t>
      </w:r>
    </w:p>
    <w:p w14:paraId="5ACBB08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hint="eastAsia"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1．按照每户2000元定额的标准对</w:t>
      </w:r>
      <w:r>
        <w:rPr>
          <w:rFonts w:hint="eastAsia" w:ascii="仿宋_GB2312" w:hAnsi="宋体" w:eastAsia="仿宋_GB2312" w:cs="Times New Roman"/>
          <w:kern w:val="2"/>
          <w:sz w:val="32"/>
          <w:szCs w:val="32"/>
          <w:lang w:val="en-US" w:eastAsia="zh-CN"/>
        </w:rPr>
        <w:t>275</w:t>
      </w:r>
      <w:r>
        <w:rPr>
          <w:rFonts w:hint="eastAsia" w:ascii="仿宋_GB2312" w:hAnsi="宋体" w:eastAsia="仿宋_GB2312" w:cs="Times New Roman"/>
          <w:kern w:val="2"/>
          <w:sz w:val="32"/>
          <w:szCs w:val="32"/>
          <w:lang w:val="zh-CN"/>
        </w:rPr>
        <w:t>户农村户厕采取“因地制宜、农户自愿、自建、自管，先建后补，以奖代补”的原则进行改造提升进行补助</w:t>
      </w:r>
      <w:r>
        <w:rPr>
          <w:rFonts w:hint="eastAsia" w:ascii="仿宋_GB2312" w:hAnsi="宋体" w:eastAsia="仿宋_GB2312" w:cs="Times New Roman"/>
          <w:kern w:val="2"/>
          <w:sz w:val="32"/>
          <w:szCs w:val="32"/>
          <w:lang w:val="en-US" w:eastAsia="zh-CN"/>
        </w:rPr>
        <w:t>,超额完成上级下达任务</w:t>
      </w:r>
      <w:r>
        <w:rPr>
          <w:rFonts w:hint="eastAsia" w:ascii="仿宋_GB2312" w:hAnsi="宋体" w:eastAsia="仿宋_GB2312" w:cs="Times New Roman"/>
          <w:kern w:val="2"/>
          <w:sz w:val="32"/>
          <w:szCs w:val="32"/>
          <w:lang w:val="zh-CN"/>
        </w:rPr>
        <w:t>。</w:t>
      </w:r>
    </w:p>
    <w:p w14:paraId="783D564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2．项目应实现的具体绩效目标为改造提升农村户厕</w:t>
      </w:r>
      <w:r>
        <w:rPr>
          <w:rFonts w:hint="eastAsia" w:ascii="仿宋_GB2312" w:hAnsi="宋体" w:eastAsia="仿宋_GB2312" w:cs="Times New Roman"/>
          <w:kern w:val="2"/>
          <w:sz w:val="32"/>
          <w:szCs w:val="32"/>
          <w:lang w:val="en-US" w:eastAsia="zh-CN"/>
        </w:rPr>
        <w:t>275户</w:t>
      </w:r>
      <w:r>
        <w:rPr>
          <w:rFonts w:hint="eastAsia" w:ascii="仿宋_GB2312" w:hAnsi="宋体" w:eastAsia="仿宋_GB2312" w:cs="Times New Roman"/>
          <w:kern w:val="2"/>
          <w:sz w:val="32"/>
          <w:szCs w:val="32"/>
          <w:lang w:val="zh-CN"/>
        </w:rPr>
        <w:t>，项目实施进度计划在</w:t>
      </w:r>
      <w:r>
        <w:rPr>
          <w:rFonts w:hint="eastAsia" w:ascii="仿宋_GB2312" w:hAnsi="宋体" w:eastAsia="仿宋_GB2312" w:cs="Times New Roman"/>
          <w:kern w:val="2"/>
          <w:sz w:val="32"/>
          <w:szCs w:val="32"/>
          <w:lang w:val="en-US" w:eastAsia="zh-CN"/>
        </w:rPr>
        <w:t>2023年12月20日前完成</w:t>
      </w:r>
      <w:r>
        <w:rPr>
          <w:rFonts w:hint="eastAsia" w:ascii="仿宋_GB2312" w:hAnsi="宋体" w:eastAsia="仿宋_GB2312" w:cs="Times New Roman"/>
          <w:kern w:val="2"/>
          <w:sz w:val="32"/>
          <w:szCs w:val="32"/>
          <w:lang w:val="zh-CN"/>
        </w:rPr>
        <w:t>。</w:t>
      </w:r>
    </w:p>
    <w:p w14:paraId="4C04B00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720"/>
        <w:jc w:val="both"/>
        <w:textAlignment w:val="auto"/>
        <w:rPr>
          <w:rFonts w:ascii="仿宋_GB2312" w:hAnsi="宋体" w:eastAsia="仿宋_GB2312" w:cs="Times New Roman"/>
          <w:kern w:val="2"/>
          <w:sz w:val="32"/>
          <w:szCs w:val="32"/>
          <w:lang w:val="zh-CN"/>
        </w:rPr>
      </w:pPr>
      <w:r>
        <w:rPr>
          <w:rFonts w:hint="eastAsia" w:ascii="仿宋_GB2312" w:hAnsi="宋体" w:eastAsia="仿宋_GB2312" w:cs="Times New Roman"/>
          <w:kern w:val="2"/>
          <w:sz w:val="32"/>
          <w:szCs w:val="32"/>
          <w:lang w:val="zh-CN"/>
        </w:rPr>
        <w:t>3</w:t>
      </w:r>
      <w:r>
        <w:rPr>
          <w:rFonts w:hint="eastAsia" w:ascii="仿宋_GB2312" w:hAnsi="宋体" w:eastAsia="仿宋_GB2312" w:cs="Times New Roman"/>
          <w:kern w:val="2"/>
          <w:sz w:val="32"/>
          <w:szCs w:val="32"/>
          <w:lang w:val="en-US" w:eastAsia="zh-CN"/>
        </w:rPr>
        <w:t>.</w:t>
      </w:r>
      <w:r>
        <w:rPr>
          <w:rFonts w:hint="eastAsia" w:ascii="仿宋_GB2312" w:hAnsi="宋体" w:eastAsia="仿宋_GB2312" w:cs="Times New Roman"/>
          <w:kern w:val="2"/>
          <w:sz w:val="32"/>
          <w:szCs w:val="32"/>
          <w:lang w:val="zh-CN"/>
        </w:rPr>
        <w:t>项目申报的内容符合乡村振兴要求，有利于改善农户生活居住环境。分析评价申报内容与该村实际相符，申报目标合理可行。</w:t>
      </w:r>
    </w:p>
    <w:p w14:paraId="21396D2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outlineLvl w:val="1"/>
        <w:rPr>
          <w:rFonts w:ascii="黑体" w:hAnsi="宋体" w:eastAsia="黑体" w:cs="Times New Roman"/>
          <w:color w:val="000000"/>
          <w:kern w:val="2"/>
          <w:sz w:val="32"/>
          <w:szCs w:val="32"/>
        </w:rPr>
      </w:pPr>
      <w:bookmarkStart w:id="174" w:name="_Toc4063"/>
      <w:bookmarkStart w:id="175" w:name="_Toc25488"/>
      <w:r>
        <w:rPr>
          <w:rFonts w:hint="eastAsia" w:ascii="黑体" w:hAnsi="宋体" w:eastAsia="黑体" w:cs="Times New Roman"/>
          <w:color w:val="000000"/>
          <w:kern w:val="2"/>
          <w:sz w:val="32"/>
          <w:szCs w:val="32"/>
        </w:rPr>
        <w:t>二、评价实施</w:t>
      </w:r>
      <w:bookmarkEnd w:id="174"/>
      <w:bookmarkEnd w:id="175"/>
    </w:p>
    <w:p w14:paraId="49F1CD5C">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hint="eastAsia" w:ascii="楷体_GB2312" w:hAnsi="宋体" w:eastAsia="楷体_GB2312" w:cs="Times New Roman"/>
          <w:b/>
          <w:color w:val="000000"/>
          <w:kern w:val="2"/>
          <w:sz w:val="32"/>
          <w:szCs w:val="32"/>
          <w:lang w:val="zh-CN"/>
        </w:rPr>
      </w:pPr>
      <w:r>
        <w:rPr>
          <w:rFonts w:hint="eastAsia" w:ascii="楷体_GB2312" w:hAnsi="宋体" w:eastAsia="楷体_GB2312" w:cs="Times New Roman"/>
          <w:b/>
          <w:color w:val="000000"/>
          <w:kern w:val="2"/>
          <w:sz w:val="32"/>
          <w:szCs w:val="32"/>
          <w:lang w:val="zh-CN"/>
        </w:rPr>
        <w:t>（一）评价目的</w:t>
      </w:r>
    </w:p>
    <w:p w14:paraId="4C7FACE3">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ascii="Times New Roman" w:hAnsi="Times New Roman" w:eastAsia="仿宋_GB2312" w:cs="Times New Roman"/>
          <w:color w:val="000000"/>
          <w:kern w:val="2"/>
          <w:sz w:val="32"/>
          <w:szCs w:val="32"/>
        </w:rPr>
      </w:pPr>
      <w:r>
        <w:rPr>
          <w:rFonts w:hint="eastAsia" w:ascii="仿宋_GB2312" w:hAnsi="Times New Roman" w:eastAsia="仿宋_GB2312" w:cs="Times New Roman"/>
          <w:color w:val="000000"/>
          <w:kern w:val="2"/>
          <w:sz w:val="32"/>
          <w:szCs w:val="32"/>
          <w:u w:val="none"/>
        </w:rPr>
        <w:t>本项目的主要内容是按照每户2000元定额的标准对2</w:t>
      </w:r>
      <w:r>
        <w:rPr>
          <w:rFonts w:hint="eastAsia" w:ascii="仿宋_GB2312" w:hAnsi="Times New Roman" w:eastAsia="仿宋_GB2312" w:cs="Times New Roman"/>
          <w:color w:val="000000"/>
          <w:kern w:val="2"/>
          <w:sz w:val="32"/>
          <w:szCs w:val="32"/>
          <w:u w:val="none"/>
          <w:lang w:val="en-US" w:eastAsia="zh-CN"/>
        </w:rPr>
        <w:t>75</w:t>
      </w:r>
      <w:r>
        <w:rPr>
          <w:rFonts w:hint="eastAsia" w:ascii="仿宋_GB2312" w:hAnsi="Times New Roman" w:eastAsia="仿宋_GB2312" w:cs="Times New Roman"/>
          <w:color w:val="000000"/>
          <w:kern w:val="2"/>
          <w:sz w:val="32"/>
          <w:szCs w:val="32"/>
          <w:u w:val="none"/>
        </w:rPr>
        <w:t>户农村户厕采取“因地制宜、农户自愿、自建、自管，先建后补，以奖代补”的原则进行改造提升进行补助</w:t>
      </w:r>
      <w:r>
        <w:rPr>
          <w:rFonts w:hint="eastAsia" w:ascii="仿宋_GB2312" w:hAnsi="Times New Roman" w:eastAsia="仿宋_GB2312" w:cs="Times New Roman"/>
          <w:color w:val="000000"/>
          <w:kern w:val="2"/>
          <w:sz w:val="32"/>
          <w:szCs w:val="32"/>
          <w:u w:val="none"/>
          <w:lang w:eastAsia="zh-CN"/>
        </w:rPr>
        <w:t>，</w:t>
      </w:r>
      <w:r>
        <w:rPr>
          <w:rFonts w:hint="eastAsia" w:ascii="仿宋_GB2312" w:hAnsi="Times New Roman" w:eastAsia="仿宋_GB2312" w:cs="Times New Roman"/>
          <w:color w:val="000000"/>
          <w:kern w:val="2"/>
          <w:sz w:val="32"/>
          <w:szCs w:val="32"/>
          <w:u w:val="none"/>
          <w:lang w:val="en-US" w:eastAsia="zh-CN"/>
        </w:rPr>
        <w:t>结合</w:t>
      </w:r>
      <w:r>
        <w:rPr>
          <w:rFonts w:hint="eastAsia" w:ascii="Times New Roman" w:hAnsi="Times New Roman" w:eastAsia="仿宋_GB2312" w:cs="Times New Roman"/>
          <w:color w:val="000000"/>
          <w:kern w:val="2"/>
          <w:sz w:val="32"/>
          <w:szCs w:val="32"/>
          <w:u w:val="none"/>
        </w:rPr>
        <w:t>项</w:t>
      </w:r>
      <w:r>
        <w:rPr>
          <w:rFonts w:hint="eastAsia" w:ascii="Times New Roman" w:hAnsi="Times New Roman" w:eastAsia="仿宋_GB2312" w:cs="Times New Roman"/>
          <w:color w:val="000000"/>
          <w:kern w:val="2"/>
          <w:sz w:val="32"/>
          <w:szCs w:val="32"/>
        </w:rPr>
        <w:t>目绩效自评</w:t>
      </w:r>
      <w:r>
        <w:rPr>
          <w:rFonts w:hint="eastAsia" w:ascii="Times New Roman" w:hAnsi="Times New Roman" w:eastAsia="仿宋_GB2312" w:cs="Times New Roman"/>
          <w:color w:val="000000"/>
          <w:kern w:val="2"/>
          <w:sz w:val="32"/>
          <w:szCs w:val="32"/>
          <w:lang w:eastAsia="zh-CN"/>
        </w:rPr>
        <w:t>项目设计目标超额</w:t>
      </w:r>
      <w:r>
        <w:rPr>
          <w:rFonts w:hint="eastAsia" w:ascii="Times New Roman" w:hAnsi="Times New Roman" w:eastAsia="仿宋_GB2312" w:cs="Times New Roman"/>
          <w:color w:val="000000"/>
          <w:kern w:val="2"/>
          <w:sz w:val="32"/>
          <w:szCs w:val="32"/>
        </w:rPr>
        <w:t>实现。</w:t>
      </w:r>
    </w:p>
    <w:p w14:paraId="341FB82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ascii="Times New Roman" w:hAnsi="Times New Roman" w:eastAsia="仿宋_GB2312" w:cs="Times New Roman"/>
          <w:color w:val="000000"/>
          <w:kern w:val="2"/>
          <w:sz w:val="32"/>
          <w:szCs w:val="32"/>
        </w:rPr>
      </w:pPr>
      <w:r>
        <w:rPr>
          <w:rFonts w:hint="eastAsia" w:ascii="楷体_GB2312" w:hAnsi="宋体" w:eastAsia="楷体_GB2312" w:cs="Times New Roman"/>
          <w:b/>
          <w:color w:val="000000"/>
          <w:kern w:val="2"/>
          <w:sz w:val="32"/>
          <w:szCs w:val="32"/>
          <w:lang w:val="zh-CN"/>
        </w:rPr>
        <w:t>（二）预设问题及评价重点。</w:t>
      </w:r>
      <w:r>
        <w:rPr>
          <w:rFonts w:hint="eastAsia" w:ascii="仿宋_GB2312" w:hAnsi="Times New Roman" w:eastAsia="仿宋_GB2312" w:cs="Times New Roman"/>
          <w:color w:val="000000"/>
          <w:kern w:val="2"/>
          <w:sz w:val="32"/>
          <w:szCs w:val="32"/>
          <w:u w:val="none"/>
          <w:lang w:eastAsia="zh-CN"/>
        </w:rPr>
        <w:t>结合</w:t>
      </w:r>
      <w:r>
        <w:rPr>
          <w:rFonts w:hint="eastAsia" w:ascii="仿宋_GB2312" w:hAnsi="Times New Roman" w:eastAsia="仿宋_GB2312" w:cs="Times New Roman"/>
          <w:color w:val="000000"/>
          <w:kern w:val="2"/>
          <w:sz w:val="32"/>
          <w:szCs w:val="32"/>
          <w:u w:val="none"/>
        </w:rPr>
        <w:t>绩</w:t>
      </w:r>
      <w:r>
        <w:rPr>
          <w:rFonts w:hint="eastAsia" w:ascii="Times New Roman" w:hAnsi="Times New Roman" w:eastAsia="仿宋_GB2312" w:cs="Times New Roman"/>
          <w:color w:val="000000"/>
          <w:kern w:val="2"/>
          <w:sz w:val="32"/>
          <w:szCs w:val="32"/>
        </w:rPr>
        <w:t>效评价指标体系，</w:t>
      </w:r>
      <w:r>
        <w:rPr>
          <w:rFonts w:hint="eastAsia" w:ascii="Times New Roman" w:hAnsi="Times New Roman" w:eastAsia="仿宋_GB2312" w:cs="Times New Roman"/>
          <w:color w:val="000000"/>
          <w:kern w:val="2"/>
          <w:sz w:val="32"/>
          <w:szCs w:val="32"/>
          <w:lang w:eastAsia="zh-CN"/>
        </w:rPr>
        <w:t>该项目</w:t>
      </w:r>
      <w:r>
        <w:rPr>
          <w:rFonts w:hint="eastAsia" w:ascii="Times New Roman" w:hAnsi="Times New Roman" w:eastAsia="仿宋_GB2312" w:cs="Times New Roman"/>
          <w:color w:val="000000"/>
          <w:kern w:val="2"/>
          <w:sz w:val="32"/>
          <w:szCs w:val="32"/>
        </w:rPr>
        <w:t>资金支出使用全过程</w:t>
      </w:r>
      <w:r>
        <w:rPr>
          <w:rFonts w:hint="eastAsia" w:ascii="Times New Roman" w:hAnsi="Times New Roman" w:eastAsia="仿宋_GB2312" w:cs="Times New Roman"/>
          <w:color w:val="000000"/>
          <w:kern w:val="2"/>
          <w:sz w:val="32"/>
          <w:szCs w:val="32"/>
          <w:lang w:eastAsia="zh-CN"/>
        </w:rPr>
        <w:t>无违规违纪情况，资金使用符合预设指标，</w:t>
      </w:r>
      <w:r>
        <w:rPr>
          <w:rFonts w:hint="eastAsia" w:ascii="Times New Roman" w:hAnsi="Times New Roman" w:eastAsia="仿宋_GB2312" w:cs="Times New Roman"/>
          <w:color w:val="000000"/>
          <w:kern w:val="2"/>
          <w:sz w:val="32"/>
          <w:szCs w:val="32"/>
        </w:rPr>
        <w:t>实施效果</w:t>
      </w:r>
      <w:r>
        <w:rPr>
          <w:rFonts w:hint="eastAsia" w:ascii="Times New Roman" w:hAnsi="Times New Roman" w:eastAsia="仿宋_GB2312" w:cs="Times New Roman"/>
          <w:color w:val="000000"/>
          <w:kern w:val="2"/>
          <w:sz w:val="32"/>
          <w:szCs w:val="32"/>
          <w:lang w:eastAsia="zh-CN"/>
        </w:rPr>
        <w:t>符合预期</w:t>
      </w:r>
      <w:r>
        <w:rPr>
          <w:rFonts w:hint="eastAsia" w:ascii="Times New Roman" w:hAnsi="Times New Roman" w:eastAsia="仿宋_GB2312" w:cs="Times New Roman"/>
          <w:color w:val="000000"/>
          <w:kern w:val="2"/>
          <w:sz w:val="32"/>
          <w:szCs w:val="32"/>
        </w:rPr>
        <w:t>。</w:t>
      </w:r>
    </w:p>
    <w:p w14:paraId="7D31384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3" w:firstLineChars="200"/>
        <w:jc w:val="both"/>
        <w:textAlignment w:val="auto"/>
        <w:rPr>
          <w:rFonts w:ascii="Times New Roman" w:hAnsi="Times New Roman" w:eastAsia="仿宋_GB2312" w:cs="Times New Roman"/>
          <w:color w:val="000000"/>
          <w:kern w:val="2"/>
          <w:sz w:val="32"/>
          <w:szCs w:val="32"/>
          <w:lang w:val="zh-CN"/>
        </w:rPr>
      </w:pPr>
      <w:r>
        <w:rPr>
          <w:rFonts w:hint="eastAsia" w:ascii="楷体_GB2312" w:hAnsi="宋体" w:eastAsia="楷体_GB2312" w:cs="Times New Roman"/>
          <w:b/>
          <w:color w:val="000000"/>
          <w:kern w:val="2"/>
          <w:sz w:val="32"/>
          <w:szCs w:val="32"/>
          <w:lang w:val="zh-CN"/>
        </w:rPr>
        <w:t>（三）评价选点。</w:t>
      </w:r>
      <w:r>
        <w:rPr>
          <w:rFonts w:hint="eastAsia" w:ascii="Times New Roman" w:hAnsi="Times New Roman" w:eastAsia="仿宋_GB2312" w:cs="Times New Roman"/>
          <w:color w:val="000000"/>
          <w:kern w:val="2"/>
          <w:sz w:val="32"/>
          <w:szCs w:val="32"/>
          <w:lang w:val="zh-CN"/>
        </w:rPr>
        <w:t>项目绩效自评抽取了部分改厕农户现场了解，均正常使用，且满意度均非常满意</w:t>
      </w:r>
      <w:r>
        <w:rPr>
          <w:rFonts w:hint="eastAsia" w:ascii="Times New Roman" w:hAnsi="Times New Roman" w:eastAsia="仿宋_GB2312" w:cs="Times New Roman"/>
          <w:color w:val="000000"/>
          <w:kern w:val="2"/>
          <w:sz w:val="32"/>
          <w:szCs w:val="32"/>
          <w:lang w:val="en-US" w:eastAsia="zh-CN"/>
        </w:rPr>
        <w:t>。</w:t>
      </w:r>
    </w:p>
    <w:p w14:paraId="77249A71">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ascii="Times New Roman" w:hAnsi="Times New Roman" w:eastAsia="仿宋_GB2312" w:cs="Times New Roman"/>
          <w:color w:val="000000"/>
          <w:kern w:val="2"/>
          <w:sz w:val="32"/>
          <w:szCs w:val="32"/>
        </w:rPr>
      </w:pPr>
      <w:r>
        <w:rPr>
          <w:rFonts w:hint="eastAsia" w:ascii="楷体_GB2312" w:hAnsi="宋体" w:eastAsia="楷体_GB2312" w:cs="Times New Roman"/>
          <w:b/>
          <w:color w:val="000000"/>
          <w:kern w:val="2"/>
          <w:sz w:val="32"/>
          <w:szCs w:val="32"/>
          <w:lang w:val="zh-CN"/>
        </w:rPr>
        <w:t>（四）评价方法。</w:t>
      </w:r>
      <w:r>
        <w:rPr>
          <w:rFonts w:ascii="Times New Roman" w:hAnsi="Times New Roman" w:eastAsia="仿宋_GB2312" w:cs="Times New Roman"/>
          <w:color w:val="000000"/>
          <w:kern w:val="2"/>
          <w:sz w:val="32"/>
          <w:szCs w:val="32"/>
        </w:rPr>
        <w:t>根据项目情况和评价重点，</w:t>
      </w:r>
      <w:r>
        <w:rPr>
          <w:rFonts w:hint="eastAsia" w:ascii="Times New Roman" w:hAnsi="Times New Roman" w:eastAsia="仿宋_GB2312" w:cs="Times New Roman"/>
          <w:color w:val="000000"/>
          <w:kern w:val="2"/>
          <w:sz w:val="32"/>
          <w:szCs w:val="32"/>
        </w:rPr>
        <w:t>用来</w:t>
      </w:r>
      <w:r>
        <w:rPr>
          <w:rFonts w:ascii="Times New Roman" w:hAnsi="Times New Roman" w:eastAsia="仿宋_GB2312" w:cs="Times New Roman"/>
          <w:color w:val="000000"/>
          <w:kern w:val="2"/>
          <w:sz w:val="32"/>
          <w:szCs w:val="32"/>
        </w:rPr>
        <w:t>收集相关材料和开展具体评价</w:t>
      </w:r>
      <w:r>
        <w:rPr>
          <w:rFonts w:hint="eastAsia" w:ascii="Times New Roman" w:hAnsi="Times New Roman" w:eastAsia="仿宋_GB2312" w:cs="Times New Roman"/>
          <w:color w:val="000000"/>
          <w:kern w:val="2"/>
          <w:sz w:val="32"/>
          <w:szCs w:val="32"/>
        </w:rPr>
        <w:t>的方法</w:t>
      </w:r>
      <w:r>
        <w:rPr>
          <w:rFonts w:ascii="Times New Roman" w:hAnsi="Times New Roman" w:eastAsia="仿宋_GB2312" w:cs="Times New Roman"/>
          <w:color w:val="000000"/>
          <w:kern w:val="2"/>
          <w:sz w:val="32"/>
          <w:szCs w:val="32"/>
        </w:rPr>
        <w:t>。</w:t>
      </w:r>
      <w:r>
        <w:rPr>
          <w:rFonts w:hint="eastAsia" w:ascii="Times New Roman" w:hAnsi="Times New Roman" w:eastAsia="仿宋_GB2312" w:cs="Times New Roman"/>
          <w:color w:val="000000"/>
          <w:kern w:val="2"/>
          <w:sz w:val="32"/>
          <w:szCs w:val="32"/>
          <w:lang w:eastAsia="zh-CN"/>
        </w:rPr>
        <w:t>主要</w:t>
      </w:r>
      <w:r>
        <w:rPr>
          <w:rFonts w:ascii="Times New Roman" w:hAnsi="Times New Roman" w:eastAsia="仿宋_GB2312" w:cs="Times New Roman"/>
          <w:color w:val="000000"/>
          <w:kern w:val="2"/>
          <w:sz w:val="32"/>
          <w:szCs w:val="32"/>
        </w:rPr>
        <w:t>采用单位自评</w:t>
      </w:r>
      <w:r>
        <w:rPr>
          <w:rFonts w:hint="eastAsia" w:ascii="Times New Roman" w:hAnsi="Times New Roman" w:eastAsia="仿宋_GB2312" w:cs="Times New Roman"/>
          <w:color w:val="000000"/>
          <w:kern w:val="2"/>
          <w:sz w:val="32"/>
          <w:szCs w:val="32"/>
          <w:lang w:eastAsia="zh-CN"/>
        </w:rPr>
        <w:t>与</w:t>
      </w:r>
      <w:r>
        <w:rPr>
          <w:rFonts w:ascii="Times New Roman" w:hAnsi="Times New Roman" w:eastAsia="仿宋_GB2312" w:cs="Times New Roman"/>
          <w:color w:val="000000"/>
          <w:kern w:val="2"/>
          <w:sz w:val="32"/>
          <w:szCs w:val="32"/>
        </w:rPr>
        <w:t>实地座谈调研</w:t>
      </w:r>
      <w:r>
        <w:rPr>
          <w:rFonts w:hint="eastAsia" w:ascii="Times New Roman" w:hAnsi="Times New Roman" w:eastAsia="仿宋_GB2312" w:cs="Times New Roman"/>
          <w:color w:val="000000"/>
          <w:kern w:val="2"/>
          <w:sz w:val="32"/>
          <w:szCs w:val="32"/>
          <w:lang w:eastAsia="zh-CN"/>
        </w:rPr>
        <w:t>相结合的</w:t>
      </w:r>
      <w:r>
        <w:rPr>
          <w:rFonts w:ascii="Times New Roman" w:hAnsi="Times New Roman" w:eastAsia="仿宋_GB2312" w:cs="Times New Roman"/>
          <w:color w:val="000000"/>
          <w:kern w:val="2"/>
          <w:sz w:val="32"/>
          <w:szCs w:val="32"/>
        </w:rPr>
        <w:t>方法</w:t>
      </w:r>
      <w:r>
        <w:rPr>
          <w:rFonts w:hint="eastAsia" w:ascii="Times New Roman" w:hAnsi="Times New Roman" w:eastAsia="仿宋_GB2312" w:cs="Times New Roman"/>
          <w:color w:val="000000"/>
          <w:kern w:val="2"/>
          <w:sz w:val="32"/>
          <w:szCs w:val="32"/>
          <w:lang w:eastAsia="zh-CN"/>
        </w:rPr>
        <w:t>开展</w:t>
      </w:r>
      <w:r>
        <w:rPr>
          <w:rFonts w:hint="eastAsia" w:ascii="Times New Roman" w:hAnsi="Times New Roman" w:eastAsia="仿宋_GB2312" w:cs="Times New Roman"/>
          <w:color w:val="000000"/>
          <w:kern w:val="2"/>
          <w:sz w:val="32"/>
          <w:szCs w:val="32"/>
        </w:rPr>
        <w:t>。</w:t>
      </w:r>
    </w:p>
    <w:p w14:paraId="01F553C8">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ascii="Times New Roman" w:hAnsi="Times New Roman" w:eastAsia="仿宋_GB2312" w:cs="Times New Roman"/>
          <w:bCs/>
          <w:color w:val="000000"/>
          <w:kern w:val="2"/>
          <w:sz w:val="32"/>
          <w:szCs w:val="32"/>
        </w:rPr>
      </w:pPr>
      <w:r>
        <w:rPr>
          <w:rFonts w:hint="eastAsia" w:ascii="楷体_GB2312" w:hAnsi="宋体" w:eastAsia="楷体_GB2312" w:cs="Times New Roman"/>
          <w:b/>
          <w:color w:val="000000"/>
          <w:kern w:val="2"/>
          <w:sz w:val="32"/>
          <w:szCs w:val="32"/>
          <w:lang w:val="zh-CN"/>
        </w:rPr>
        <w:t>（五）评价组织。</w:t>
      </w:r>
      <w:r>
        <w:rPr>
          <w:rFonts w:ascii="Times New Roman" w:hAnsi="Times New Roman" w:eastAsia="仿宋_GB2312" w:cs="Times New Roman"/>
          <w:color w:val="000000"/>
          <w:kern w:val="2"/>
          <w:sz w:val="32"/>
          <w:szCs w:val="32"/>
        </w:rPr>
        <w:t>评价组</w:t>
      </w:r>
      <w:r>
        <w:rPr>
          <w:rFonts w:hint="eastAsia" w:ascii="Times New Roman" w:hAnsi="Times New Roman" w:eastAsia="仿宋_GB2312" w:cs="Times New Roman"/>
          <w:color w:val="000000"/>
          <w:kern w:val="2"/>
          <w:sz w:val="32"/>
          <w:szCs w:val="32"/>
          <w:lang w:eastAsia="zh-CN"/>
        </w:rPr>
        <w:t>由</w:t>
      </w:r>
      <w:r>
        <w:rPr>
          <w:rFonts w:hint="eastAsia" w:ascii="Times New Roman" w:hAnsi="Times New Roman" w:eastAsia="仿宋_GB2312" w:cs="Times New Roman"/>
          <w:color w:val="000000"/>
          <w:kern w:val="2"/>
          <w:sz w:val="32"/>
          <w:szCs w:val="32"/>
          <w:lang w:val="en-US" w:eastAsia="zh-CN"/>
        </w:rPr>
        <w:t>茂县科学技术和农业畜牧局</w:t>
      </w:r>
      <w:r>
        <w:rPr>
          <w:rFonts w:hint="eastAsia" w:ascii="Times New Roman" w:hAnsi="Times New Roman" w:eastAsia="仿宋_GB2312" w:cs="Times New Roman"/>
          <w:color w:val="000000"/>
          <w:kern w:val="2"/>
          <w:sz w:val="32"/>
          <w:szCs w:val="32"/>
          <w:lang w:eastAsia="zh-CN"/>
        </w:rPr>
        <w:t>及各镇工作人员</w:t>
      </w:r>
      <w:r>
        <w:rPr>
          <w:rFonts w:ascii="Times New Roman" w:hAnsi="Times New Roman" w:eastAsia="仿宋_GB2312" w:cs="Times New Roman"/>
          <w:color w:val="000000"/>
          <w:kern w:val="2"/>
          <w:sz w:val="32"/>
          <w:szCs w:val="32"/>
        </w:rPr>
        <w:t>构成</w:t>
      </w:r>
      <w:r>
        <w:rPr>
          <w:rFonts w:hint="eastAsia" w:ascii="Times New Roman" w:hAnsi="Times New Roman" w:eastAsia="仿宋_GB2312" w:cs="Times New Roman"/>
          <w:color w:val="000000"/>
          <w:kern w:val="2"/>
          <w:sz w:val="32"/>
          <w:szCs w:val="32"/>
          <w:lang w:eastAsia="zh-CN"/>
        </w:rPr>
        <w:t>主要查看户厕使用情况并了解农户满意度和相关意见建议等</w:t>
      </w:r>
      <w:r>
        <w:rPr>
          <w:rFonts w:hint="eastAsia" w:ascii="Times New Roman" w:hAnsi="Times New Roman" w:eastAsia="仿宋_GB2312" w:cs="Times New Roman"/>
          <w:color w:val="000000"/>
          <w:kern w:val="2"/>
          <w:sz w:val="32"/>
          <w:szCs w:val="32"/>
        </w:rPr>
        <w:t>。</w:t>
      </w:r>
    </w:p>
    <w:p w14:paraId="39A433C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outlineLvl w:val="1"/>
        <w:rPr>
          <w:rFonts w:ascii="仿宋_GB2312" w:hAnsi="宋体" w:eastAsia="仿宋_GB2312" w:cs="Times New Roman"/>
          <w:color w:val="000000"/>
          <w:kern w:val="2"/>
          <w:sz w:val="32"/>
          <w:szCs w:val="32"/>
          <w:lang w:val="zh-CN"/>
        </w:rPr>
      </w:pPr>
      <w:bookmarkStart w:id="176" w:name="_Toc1060"/>
      <w:bookmarkStart w:id="177" w:name="_Toc5498"/>
      <w:r>
        <w:rPr>
          <w:rFonts w:hint="eastAsia" w:ascii="黑体" w:hAnsi="宋体" w:eastAsia="黑体" w:cs="Times New Roman"/>
          <w:color w:val="000000"/>
          <w:kern w:val="2"/>
          <w:sz w:val="32"/>
          <w:szCs w:val="32"/>
        </w:rPr>
        <w:t>三、绩效分析</w:t>
      </w:r>
      <w:bookmarkEnd w:id="176"/>
      <w:bookmarkEnd w:id="177"/>
      <w:r>
        <w:rPr>
          <w:rFonts w:hint="eastAsia" w:ascii="仿宋_GB2312" w:hAnsi="宋体" w:eastAsia="仿宋_GB2312" w:cs="Times New Roman"/>
          <w:color w:val="000000"/>
          <w:kern w:val="2"/>
          <w:sz w:val="32"/>
          <w:szCs w:val="32"/>
          <w:lang w:val="zh-CN"/>
        </w:rPr>
        <w:tab/>
      </w:r>
    </w:p>
    <w:p w14:paraId="08179057">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ascii="楷体_GB2312" w:hAnsi="宋体" w:eastAsia="楷体_GB2312" w:cs="Times New Roman"/>
          <w:b/>
          <w:color w:val="000000"/>
          <w:kern w:val="2"/>
          <w:sz w:val="32"/>
          <w:szCs w:val="32"/>
        </w:rPr>
      </w:pPr>
      <w:r>
        <w:rPr>
          <w:rFonts w:hint="eastAsia" w:ascii="楷体_GB2312" w:hAnsi="宋体" w:eastAsia="楷体_GB2312" w:cs="Times New Roman"/>
          <w:b/>
          <w:color w:val="000000"/>
          <w:kern w:val="2"/>
          <w:sz w:val="32"/>
          <w:szCs w:val="32"/>
          <w:lang w:val="zh-CN"/>
        </w:rPr>
        <w:t>（一）</w:t>
      </w:r>
      <w:r>
        <w:rPr>
          <w:rFonts w:hint="eastAsia" w:ascii="楷体_GB2312" w:hAnsi="宋体" w:eastAsia="楷体_GB2312" w:cs="Times New Roman"/>
          <w:b/>
          <w:color w:val="000000"/>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14:paraId="6F70E4E6">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hint="eastAsia" w:ascii="Times New Roman" w:hAnsi="Times New Roman" w:eastAsia="仿宋_GB2312" w:cs="Times New Roman"/>
          <w:color w:val="000000"/>
          <w:kern w:val="2"/>
          <w:sz w:val="32"/>
          <w:szCs w:val="32"/>
          <w:lang w:eastAsia="zh-CN"/>
        </w:rPr>
      </w:pPr>
      <w:r>
        <w:rPr>
          <w:rFonts w:hint="eastAsia" w:ascii="楷体_GB2312" w:hAnsi="楷体_GB2312" w:eastAsia="楷体_GB2312" w:cs="楷体_GB2312"/>
          <w:color w:val="000000"/>
          <w:kern w:val="2"/>
          <w:sz w:val="32"/>
          <w:szCs w:val="32"/>
        </w:rPr>
        <w:t>1.项目决策。</w:t>
      </w:r>
      <w:r>
        <w:rPr>
          <w:rFonts w:hint="eastAsia" w:ascii="Times New Roman" w:hAnsi="Times New Roman" w:eastAsia="仿宋_GB2312" w:cs="Times New Roman"/>
          <w:color w:val="000000"/>
          <w:kern w:val="2"/>
          <w:sz w:val="32"/>
          <w:szCs w:val="32"/>
          <w:lang w:eastAsia="zh-CN"/>
        </w:rPr>
        <w:t>符合茂县实际</w:t>
      </w:r>
      <w:r>
        <w:rPr>
          <w:rFonts w:hint="eastAsia" w:ascii="Times New Roman" w:hAnsi="Times New Roman" w:eastAsia="仿宋_GB2312" w:cs="Times New Roman"/>
          <w:color w:val="000000"/>
          <w:kern w:val="2"/>
          <w:sz w:val="32"/>
          <w:szCs w:val="32"/>
        </w:rPr>
        <w:t>、规划论证</w:t>
      </w:r>
      <w:r>
        <w:rPr>
          <w:rFonts w:hint="eastAsia" w:ascii="Times New Roman" w:hAnsi="Times New Roman" w:eastAsia="仿宋_GB2312" w:cs="Times New Roman"/>
          <w:color w:val="000000"/>
          <w:kern w:val="2"/>
          <w:sz w:val="32"/>
          <w:szCs w:val="32"/>
          <w:lang w:eastAsia="zh-CN"/>
        </w:rPr>
        <w:t>合理</w:t>
      </w:r>
      <w:r>
        <w:rPr>
          <w:rFonts w:hint="eastAsia" w:ascii="Times New Roman" w:hAnsi="Times New Roman" w:eastAsia="仿宋_GB2312" w:cs="Times New Roman"/>
          <w:color w:val="000000"/>
          <w:kern w:val="2"/>
          <w:sz w:val="32"/>
          <w:szCs w:val="32"/>
        </w:rPr>
        <w:t>、资金投向</w:t>
      </w:r>
      <w:r>
        <w:rPr>
          <w:rFonts w:hint="eastAsia" w:ascii="Times New Roman" w:hAnsi="Times New Roman" w:eastAsia="仿宋_GB2312" w:cs="Times New Roman"/>
          <w:color w:val="000000"/>
          <w:kern w:val="2"/>
          <w:sz w:val="32"/>
          <w:szCs w:val="32"/>
          <w:lang w:eastAsia="zh-CN"/>
        </w:rPr>
        <w:t>准确，对全县农村地区卫生厕所普及率提高起到的促进作用。</w:t>
      </w:r>
    </w:p>
    <w:p w14:paraId="120BC2E3">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jc w:val="both"/>
        <w:textAlignment w:val="auto"/>
        <w:rPr>
          <w:rFonts w:ascii="Times New Roman" w:hAnsi="Times New Roman" w:eastAsia="仿宋_GB2312" w:cs="Times New Roman"/>
          <w:color w:val="000000"/>
          <w:kern w:val="2"/>
          <w:sz w:val="32"/>
          <w:szCs w:val="32"/>
        </w:rPr>
      </w:pPr>
      <w:r>
        <w:rPr>
          <w:rFonts w:hint="eastAsia" w:ascii="楷体_GB2312" w:hAnsi="楷体_GB2312" w:eastAsia="楷体_GB2312" w:cs="楷体_GB2312"/>
          <w:color w:val="000000"/>
          <w:kern w:val="2"/>
          <w:sz w:val="32"/>
          <w:szCs w:val="32"/>
        </w:rPr>
        <w:t>2.项目管理实施。</w:t>
      </w:r>
      <w:r>
        <w:rPr>
          <w:rFonts w:hint="eastAsia" w:ascii="仿宋_GB2312" w:hAnsi="仿宋_GB2312" w:eastAsia="仿宋_GB2312" w:cs="仿宋_GB2312"/>
          <w:color w:val="000000"/>
          <w:kern w:val="0"/>
          <w:sz w:val="32"/>
          <w:szCs w:val="32"/>
          <w:shd w:val="clear" w:color="auto" w:fill="FFFFFF"/>
          <w:lang w:val="zh-CN"/>
        </w:rPr>
        <w:t>通过项目资金下达和组织实施等方面综合自评，该项目行政运转有序。</w:t>
      </w:r>
    </w:p>
    <w:p w14:paraId="583620EF">
      <w:pPr>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ascii="Times New Roman" w:hAnsi="Times New Roman" w:eastAsia="仿宋_GB2312" w:cs="Times New Roman"/>
          <w:color w:val="000000"/>
          <w:kern w:val="2"/>
          <w:sz w:val="32"/>
          <w:szCs w:val="32"/>
        </w:rPr>
      </w:pPr>
      <w:r>
        <w:rPr>
          <w:rFonts w:hint="eastAsia" w:ascii="楷体_GB2312" w:hAnsi="楷体_GB2312" w:eastAsia="楷体_GB2312" w:cs="楷体_GB2312"/>
          <w:color w:val="000000"/>
          <w:kern w:val="2"/>
          <w:sz w:val="32"/>
          <w:szCs w:val="32"/>
        </w:rPr>
        <w:t>3.项目结果。</w:t>
      </w:r>
      <w:r>
        <w:rPr>
          <w:rFonts w:hint="eastAsia" w:ascii="仿宋_GB2312" w:hAnsi="仿宋_GB2312" w:eastAsia="仿宋_GB2312" w:cs="仿宋_GB2312"/>
          <w:kern w:val="2"/>
          <w:sz w:val="32"/>
          <w:szCs w:val="32"/>
          <w:lang w:val="en-US" w:eastAsia="zh-CN" w:bidi="ar-SA"/>
        </w:rPr>
        <w:t>项目完成预期目标，实施结果与绩效目标相匹配，项目按照计划时间完成</w:t>
      </w:r>
      <w:r>
        <w:rPr>
          <w:rFonts w:hint="eastAsia" w:ascii="楷体_GB2312" w:hAnsi="楷体_GB2312" w:eastAsia="楷体_GB2312" w:cs="楷体_GB2312"/>
          <w:color w:val="auto"/>
          <w:kern w:val="2"/>
          <w:sz w:val="32"/>
          <w:szCs w:val="32"/>
          <w:lang w:val="en-US" w:eastAsia="zh-CN"/>
        </w:rPr>
        <w:t>。</w:t>
      </w:r>
    </w:p>
    <w:p w14:paraId="5AA070C1">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3" w:firstLineChars="200"/>
        <w:jc w:val="both"/>
        <w:textAlignment w:val="auto"/>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color w:val="000000"/>
          <w:kern w:val="2"/>
          <w:sz w:val="32"/>
          <w:szCs w:val="32"/>
          <w:lang w:val="zh-CN"/>
        </w:rPr>
        <w:t>（二）</w:t>
      </w:r>
      <w:r>
        <w:rPr>
          <w:rFonts w:hint="eastAsia" w:ascii="楷体_GB2312" w:hAnsi="宋体" w:eastAsia="楷体_GB2312" w:cs="Times New Roman"/>
          <w:b/>
          <w:color w:val="000000"/>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14:paraId="11E3F7D0">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rPr>
        <w:t>1.产业发展。</w:t>
      </w:r>
      <w:r>
        <w:rPr>
          <w:rFonts w:hint="eastAsia" w:ascii="仿宋_GB2312" w:hAnsi="仿宋_GB2312" w:eastAsia="仿宋_GB2312" w:cs="仿宋_GB2312"/>
          <w:b w:val="0"/>
          <w:kern w:val="2"/>
          <w:sz w:val="32"/>
          <w:szCs w:val="32"/>
          <w:lang w:val="en-US" w:eastAsia="zh-CN" w:bidi="ar-SA"/>
        </w:rPr>
        <w:t>无。</w:t>
      </w:r>
    </w:p>
    <w:p w14:paraId="2F911494">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rPr>
        <w:t>2.</w:t>
      </w:r>
      <w:r>
        <w:rPr>
          <w:rFonts w:hint="eastAsia" w:ascii="楷体_GB2312" w:hAnsi="楷体_GB2312" w:eastAsia="楷体_GB2312" w:cs="楷体_GB2312"/>
          <w:color w:val="000000"/>
          <w:kern w:val="2"/>
          <w:sz w:val="32"/>
          <w:szCs w:val="32"/>
          <w:lang w:val="zh-CN" w:eastAsia="zh-CN"/>
        </w:rPr>
        <w:t>民生保障。</w:t>
      </w:r>
      <w:r>
        <w:rPr>
          <w:rFonts w:hint="eastAsia" w:ascii="仿宋_GB2312" w:hAnsi="仿宋_GB2312" w:eastAsia="仿宋_GB2312" w:cs="仿宋_GB2312"/>
          <w:b w:val="0"/>
          <w:kern w:val="2"/>
          <w:sz w:val="32"/>
          <w:szCs w:val="32"/>
          <w:lang w:val="en-US" w:eastAsia="zh-CN" w:bidi="ar-SA"/>
        </w:rPr>
        <w:t>无。</w:t>
      </w:r>
    </w:p>
    <w:p w14:paraId="6EA23AB1">
      <w:pPr>
        <w:pageBreakBefore w:val="0"/>
        <w:widowControl/>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rPr>
        <w:t>3.基础设施。</w:t>
      </w:r>
      <w:r>
        <w:rPr>
          <w:rFonts w:hint="eastAsia" w:ascii="仿宋_GB2312" w:hAnsi="仿宋_GB2312" w:eastAsia="仿宋_GB2312" w:cs="仿宋_GB2312"/>
          <w:b w:val="0"/>
          <w:kern w:val="2"/>
          <w:sz w:val="32"/>
          <w:szCs w:val="32"/>
          <w:lang w:val="en-US" w:eastAsia="zh-CN" w:bidi="ar-SA"/>
        </w:rPr>
        <w:t>无。</w:t>
      </w:r>
    </w:p>
    <w:p w14:paraId="5D04362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color w:val="000000"/>
          <w:kern w:val="2"/>
          <w:sz w:val="32"/>
          <w:szCs w:val="32"/>
          <w:lang w:val="en-US" w:eastAsia="zh-CN"/>
        </w:rPr>
        <w:t>4.</w:t>
      </w:r>
      <w:r>
        <w:rPr>
          <w:rFonts w:hint="eastAsia" w:ascii="楷体_GB2312" w:hAnsi="楷体_GB2312" w:eastAsia="楷体_GB2312" w:cs="楷体_GB2312"/>
          <w:color w:val="000000"/>
          <w:kern w:val="2"/>
          <w:sz w:val="32"/>
          <w:szCs w:val="32"/>
          <w:lang w:val="zh-CN" w:eastAsia="zh-CN"/>
        </w:rPr>
        <w:t>行政运转。</w:t>
      </w:r>
      <w:r>
        <w:rPr>
          <w:rFonts w:hint="eastAsia" w:ascii="仿宋_GB2312" w:hAnsi="仿宋_GB2312" w:eastAsia="仿宋_GB2312" w:cs="仿宋_GB2312"/>
          <w:b w:val="0"/>
          <w:color w:val="000000"/>
          <w:kern w:val="0"/>
          <w:sz w:val="32"/>
          <w:szCs w:val="32"/>
          <w:shd w:val="clear" w:color="auto" w:fill="FFFFFF"/>
          <w:lang w:val="zh-CN" w:eastAsia="zh-CN" w:bidi="ar-SA"/>
        </w:rPr>
        <w:t>通过项目实施促进有效调动群众建设积极性，带动了其他相关投资建设。通过项目的实</w:t>
      </w:r>
      <w:r>
        <w:rPr>
          <w:rFonts w:hint="eastAsia" w:ascii="仿宋_GB2312" w:hAnsi="仿宋" w:eastAsia="仿宋_GB2312" w:cs="仿宋_GB2312"/>
          <w:b w:val="0"/>
          <w:color w:val="000000"/>
          <w:kern w:val="2"/>
          <w:sz w:val="32"/>
          <w:szCs w:val="32"/>
        </w:rPr>
        <w:t>施，显著改善项目实施村村容村貌，有利于村民身心健康及素质提升。项目的实施是推进茂县社会主义新农村建设、全面实施农村小康环保行动计划、解决农村环境综合整治的主要抓手</w:t>
      </w:r>
      <w:r>
        <w:rPr>
          <w:rFonts w:hint="eastAsia" w:ascii="仿宋_GB2312" w:hAnsi="仿宋" w:eastAsia="仿宋_GB2312" w:cs="仿宋_GB2312"/>
          <w:b w:val="0"/>
          <w:color w:val="000000"/>
          <w:kern w:val="2"/>
          <w:sz w:val="32"/>
          <w:szCs w:val="32"/>
          <w:lang w:eastAsia="zh-CN"/>
        </w:rPr>
        <w:t>，</w:t>
      </w:r>
      <w:r>
        <w:rPr>
          <w:rFonts w:hint="eastAsia" w:ascii="仿宋_GB2312" w:hAnsi="仿宋_GB2312" w:eastAsia="仿宋_GB2312" w:cs="仿宋_GB2312"/>
          <w:color w:val="000000"/>
          <w:kern w:val="0"/>
          <w:sz w:val="32"/>
          <w:szCs w:val="32"/>
          <w:shd w:val="clear" w:color="auto" w:fill="FFFFFF"/>
          <w:lang w:val="zh-CN"/>
        </w:rPr>
        <w:t>该项目行政运转有序。</w:t>
      </w:r>
    </w:p>
    <w:p w14:paraId="07AAF78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right="0" w:firstLine="643"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楷体_GB2312" w:hAnsi="宋体" w:eastAsia="楷体_GB2312" w:cs="Times New Roman"/>
          <w:b/>
          <w:color w:val="000000"/>
          <w:kern w:val="2"/>
          <w:sz w:val="32"/>
          <w:szCs w:val="32"/>
          <w:lang w:val="zh-CN"/>
        </w:rPr>
        <w:t>（三）</w:t>
      </w:r>
      <w:r>
        <w:rPr>
          <w:rFonts w:hint="eastAsia" w:ascii="楷体_GB2312" w:hAnsi="宋体" w:eastAsia="楷体_GB2312" w:cs="Times New Roman"/>
          <w:b/>
          <w:color w:val="000000"/>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Times New Roman" w:hAnsi="Times New Roman" w:eastAsia="仿宋_GB2312" w:cs="Times New Roman"/>
          <w:color w:val="000000"/>
          <w:kern w:val="2"/>
          <w:sz w:val="32"/>
          <w:szCs w:val="32"/>
          <w:lang w:val="zh-CN"/>
        </w:rPr>
        <w:t>项目设定</w:t>
      </w:r>
      <w:r>
        <w:rPr>
          <w:rFonts w:hint="eastAsia" w:ascii="Times New Roman" w:hAnsi="Times New Roman" w:eastAsia="仿宋_GB2312" w:cs="Times New Roman"/>
          <w:color w:val="000000"/>
          <w:kern w:val="2"/>
          <w:sz w:val="32"/>
          <w:szCs w:val="32"/>
          <w:lang w:val="en-US" w:eastAsia="zh-CN"/>
        </w:rPr>
        <w:t>个性</w:t>
      </w:r>
      <w:r>
        <w:rPr>
          <w:rFonts w:hint="eastAsia" w:ascii="Times New Roman" w:hAnsi="Times New Roman" w:eastAsia="仿宋_GB2312" w:cs="Times New Roman"/>
          <w:color w:val="000000"/>
          <w:kern w:val="2"/>
          <w:sz w:val="32"/>
          <w:szCs w:val="32"/>
          <w:lang w:val="zh-CN"/>
        </w:rPr>
        <w:t>指标</w:t>
      </w:r>
      <w:r>
        <w:rPr>
          <w:rFonts w:hint="eastAsia" w:ascii="Times New Roman" w:hAnsi="Times New Roman" w:eastAsia="仿宋_GB2312" w:cs="Times New Roman"/>
          <w:color w:val="000000"/>
          <w:kern w:val="2"/>
          <w:sz w:val="32"/>
          <w:szCs w:val="32"/>
          <w:lang w:val="en-US" w:eastAsia="zh-CN"/>
        </w:rPr>
        <w:t>为</w:t>
      </w:r>
      <w:r>
        <w:rPr>
          <w:rFonts w:hint="eastAsia" w:ascii="仿宋_GB2312" w:hAnsi="仿宋_GB2312" w:eastAsia="仿宋_GB2312" w:cs="仿宋_GB2312"/>
          <w:color w:val="000000"/>
          <w:kern w:val="0"/>
          <w:sz w:val="32"/>
          <w:szCs w:val="32"/>
          <w:shd w:val="clear" w:color="auto" w:fill="FFFFFF"/>
          <w:lang w:val="en-US" w:eastAsia="zh-CN"/>
        </w:rPr>
        <w:t>农户满意度</w:t>
      </w:r>
      <w:r>
        <w:rPr>
          <w:rFonts w:hint="eastAsia" w:ascii="Times New Roman" w:hAnsi="Times New Roman" w:eastAsia="仿宋_GB2312" w:cs="Times New Roman"/>
          <w:color w:val="000000"/>
          <w:kern w:val="2"/>
          <w:sz w:val="32"/>
          <w:szCs w:val="32"/>
          <w:lang w:val="zh-CN"/>
        </w:rPr>
        <w:t>，</w:t>
      </w:r>
      <w:r>
        <w:rPr>
          <w:rFonts w:hint="eastAsia" w:ascii="仿宋_GB2312" w:hAnsi="仿宋_GB2312" w:eastAsia="仿宋_GB2312" w:cs="仿宋_GB2312"/>
          <w:color w:val="000000"/>
          <w:kern w:val="0"/>
          <w:sz w:val="32"/>
          <w:szCs w:val="32"/>
          <w:shd w:val="clear" w:color="auto" w:fill="FFFFFF"/>
          <w:lang w:val="zh-CN"/>
        </w:rPr>
        <w:t>按照每户2000元定额的标准对275户农村户厕采取“因地制宜、农户自愿、自建、自管，先建后补，以奖代补”的原则进行改造提升进行补助，</w:t>
      </w:r>
      <w:r>
        <w:rPr>
          <w:rFonts w:hint="eastAsia" w:ascii="仿宋_GB2312" w:hAnsi="仿宋_GB2312" w:eastAsia="仿宋_GB2312" w:cs="仿宋_GB2312"/>
          <w:color w:val="000000"/>
          <w:kern w:val="0"/>
          <w:sz w:val="32"/>
          <w:szCs w:val="32"/>
          <w:shd w:val="clear" w:color="auto" w:fill="FFFFFF"/>
          <w:lang w:val="en-US" w:eastAsia="zh-CN"/>
        </w:rPr>
        <w:t>以农户满意为指标。</w:t>
      </w:r>
    </w:p>
    <w:p w14:paraId="1DAB54A7">
      <w:pPr>
        <w:keepNext w:val="0"/>
        <w:keepLines w:val="0"/>
        <w:pageBreakBefore w:val="0"/>
        <w:widowControl/>
        <w:numPr>
          <w:ilvl w:val="0"/>
          <w:numId w:val="0"/>
        </w:numPr>
        <w:tabs>
          <w:tab w:val="left" w:pos="2160"/>
        </w:tabs>
        <w:kinsoku/>
        <w:wordWrap/>
        <w:overflowPunct/>
        <w:topLinePunct w:val="0"/>
        <w:autoSpaceDE/>
        <w:autoSpaceDN/>
        <w:bidi w:val="0"/>
        <w:spacing w:before="0" w:beforeAutospacing="0" w:after="0" w:afterAutospacing="0" w:line="520" w:lineRule="exact"/>
        <w:ind w:left="0" w:right="0" w:firstLine="640" w:firstLineChars="200"/>
        <w:jc w:val="left"/>
        <w:textAlignment w:val="auto"/>
        <w:outlineLvl w:val="1"/>
        <w:rPr>
          <w:rFonts w:hint="eastAsia" w:ascii="黑体" w:hAnsi="宋体" w:eastAsia="黑体" w:cs="Times New Roman"/>
          <w:color w:val="000000"/>
          <w:kern w:val="0"/>
          <w:position w:val="3"/>
          <w:sz w:val="32"/>
          <w:szCs w:val="32"/>
          <w:lang w:val="en-US" w:eastAsia="zh-CN" w:bidi="ar-SA"/>
        </w:rPr>
      </w:pPr>
      <w:bookmarkStart w:id="178" w:name="_Toc31144"/>
      <w:bookmarkStart w:id="179" w:name="_Toc16507"/>
      <w:r>
        <w:rPr>
          <w:rFonts w:hint="eastAsia" w:ascii="黑体" w:hAnsi="宋体" w:eastAsia="黑体" w:cs="Times New Roman"/>
          <w:color w:val="000000"/>
          <w:kern w:val="0"/>
          <w:position w:val="3"/>
          <w:sz w:val="32"/>
          <w:szCs w:val="32"/>
          <w:lang w:val="en-US" w:eastAsia="zh-CN" w:bidi="ar-SA"/>
        </w:rPr>
        <w:t>四、评价结论</w:t>
      </w:r>
      <w:bookmarkEnd w:id="178"/>
      <w:bookmarkEnd w:id="179"/>
    </w:p>
    <w:p w14:paraId="627545AD">
      <w:pPr>
        <w:keepNext w:val="0"/>
        <w:keepLines w:val="0"/>
        <w:pageBreakBefore w:val="0"/>
        <w:widowControl/>
        <w:numPr>
          <w:ilvl w:val="0"/>
          <w:numId w:val="0"/>
        </w:numPr>
        <w:tabs>
          <w:tab w:val="left" w:pos="2160"/>
        </w:tabs>
        <w:kinsoku/>
        <w:wordWrap/>
        <w:overflowPunct/>
        <w:topLinePunct w:val="0"/>
        <w:autoSpaceDE/>
        <w:autoSpaceDN/>
        <w:bidi w:val="0"/>
        <w:spacing w:before="0" w:beforeAutospacing="0" w:after="0" w:afterAutospacing="0" w:line="520" w:lineRule="exact"/>
        <w:ind w:left="0" w:right="0" w:firstLine="640" w:firstLineChars="200"/>
        <w:jc w:val="left"/>
        <w:textAlignment w:val="auto"/>
        <w:rPr>
          <w:rFonts w:ascii="黑体" w:hAnsi="黑体" w:eastAsia="黑体" w:cs="黑体"/>
          <w:color w:val="000000"/>
          <w:kern w:val="2"/>
          <w:position w:val="0"/>
          <w:sz w:val="32"/>
          <w:szCs w:val="32"/>
          <w:lang w:val="en-US" w:eastAsia="zh-CN" w:bidi="ar-SA"/>
        </w:rPr>
      </w:pPr>
      <w:r>
        <w:rPr>
          <w:rFonts w:hint="eastAsia" w:ascii="仿宋_GB2312" w:hAnsi="仿宋_GB2312" w:eastAsia="仿宋_GB2312" w:cs="仿宋_GB2312"/>
          <w:color w:val="000000"/>
          <w:kern w:val="0"/>
          <w:position w:val="0"/>
          <w:sz w:val="32"/>
          <w:szCs w:val="32"/>
          <w:lang w:val="en-US" w:eastAsia="zh-CN" w:bidi="ar-SA"/>
        </w:rPr>
        <w:t>综上所述该项目预算项目绩效自评总体良好，评价得分98、</w:t>
      </w:r>
      <w:r>
        <w:rPr>
          <w:rFonts w:hint="eastAsia" w:ascii="仿宋_GB2312" w:hAnsi="仿宋_GB2312" w:eastAsia="仿宋_GB2312" w:cs="仿宋_GB2312"/>
          <w:color w:val="000000"/>
          <w:kern w:val="0"/>
          <w:position w:val="3"/>
          <w:sz w:val="32"/>
          <w:szCs w:val="32"/>
          <w:lang w:val="zh-CN" w:eastAsia="zh-CN" w:bidi="ar-SA"/>
        </w:rPr>
        <w:t>项目实施均按照时间节点完成。</w:t>
      </w:r>
    </w:p>
    <w:p w14:paraId="4AB6057D">
      <w:pPr>
        <w:keepNext w:val="0"/>
        <w:keepLines w:val="0"/>
        <w:pageBreakBefore w:val="0"/>
        <w:widowControl/>
        <w:tabs>
          <w:tab w:val="left" w:pos="2160"/>
        </w:tabs>
        <w:kinsoku/>
        <w:wordWrap/>
        <w:overflowPunct/>
        <w:topLinePunct w:val="0"/>
        <w:autoSpaceDE/>
        <w:autoSpaceDN/>
        <w:bidi w:val="0"/>
        <w:spacing w:before="0" w:beforeAutospacing="0" w:after="0" w:afterAutospacing="0" w:line="520" w:lineRule="exact"/>
        <w:ind w:left="0" w:right="0" w:firstLine="640" w:firstLineChars="200"/>
        <w:jc w:val="left"/>
        <w:textAlignment w:val="auto"/>
        <w:outlineLvl w:val="1"/>
        <w:rPr>
          <w:rFonts w:ascii="黑体" w:hAnsi="宋体" w:eastAsia="黑体" w:cs="Times New Roman"/>
          <w:color w:val="000000"/>
          <w:kern w:val="0"/>
          <w:position w:val="3"/>
          <w:sz w:val="32"/>
          <w:szCs w:val="32"/>
          <w:lang w:val="en-US" w:eastAsia="zh-CN" w:bidi="ar-SA"/>
        </w:rPr>
      </w:pPr>
      <w:bookmarkStart w:id="180" w:name="_Toc17170"/>
      <w:bookmarkStart w:id="181" w:name="_Toc24039"/>
      <w:r>
        <w:rPr>
          <w:rFonts w:hint="eastAsia" w:ascii="黑体" w:hAnsi="宋体" w:eastAsia="黑体" w:cs="Times New Roman"/>
          <w:color w:val="000000"/>
          <w:kern w:val="0"/>
          <w:position w:val="3"/>
          <w:sz w:val="32"/>
          <w:szCs w:val="32"/>
          <w:lang w:val="en-US" w:eastAsia="zh-CN" w:bidi="ar-SA"/>
        </w:rPr>
        <w:t>五、存在主要问题</w:t>
      </w:r>
      <w:bookmarkEnd w:id="180"/>
      <w:bookmarkEnd w:id="181"/>
    </w:p>
    <w:p w14:paraId="05883526">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hint="eastAsia" w:ascii="仿宋_GB2312" w:hAnsi="宋体" w:eastAsia="仿宋_GB2312" w:cs="Times New Roman"/>
          <w:kern w:val="2"/>
          <w:sz w:val="32"/>
          <w:szCs w:val="32"/>
        </w:rPr>
      </w:pPr>
      <w:r>
        <w:rPr>
          <w:rFonts w:hint="eastAsia" w:ascii="仿宋_GB2312" w:hAnsi="仿宋_GB2312" w:eastAsia="仿宋_GB2312" w:cs="仿宋_GB2312"/>
          <w:color w:val="000000"/>
          <w:kern w:val="2"/>
          <w:position w:val="0"/>
          <w:sz w:val="32"/>
          <w:szCs w:val="32"/>
          <w:lang w:eastAsia="zh-CN"/>
        </w:rPr>
        <w:t>预算项目绩效自评发现的主要问题是部分指标设置还需进一步完善和科学</w:t>
      </w:r>
      <w:r>
        <w:rPr>
          <w:rFonts w:hint="eastAsia" w:ascii="仿宋_GB2312" w:hAnsi="仿宋_GB2312" w:eastAsia="仿宋_GB2312" w:cs="仿宋_GB2312"/>
          <w:color w:val="000000"/>
          <w:kern w:val="2"/>
          <w:position w:val="0"/>
          <w:sz w:val="32"/>
          <w:szCs w:val="32"/>
          <w:lang w:val="en-US" w:eastAsia="zh-CN"/>
        </w:rPr>
        <w:t>,</w:t>
      </w:r>
      <w:r>
        <w:rPr>
          <w:rFonts w:hint="eastAsia" w:ascii="仿宋_GB2312" w:hAnsi="宋体" w:eastAsia="仿宋_GB2312" w:cs="Times New Roman"/>
          <w:kern w:val="2"/>
          <w:sz w:val="32"/>
          <w:szCs w:val="32"/>
        </w:rPr>
        <w:t>奖补资金下达</w:t>
      </w:r>
      <w:r>
        <w:rPr>
          <w:rFonts w:hint="eastAsia" w:ascii="仿宋_GB2312" w:hAnsi="宋体" w:eastAsia="仿宋_GB2312" w:cs="Times New Roman"/>
          <w:kern w:val="2"/>
          <w:sz w:val="32"/>
          <w:szCs w:val="32"/>
          <w:lang w:eastAsia="zh-CN"/>
        </w:rPr>
        <w:t>数相对较少，县级缺口资金较大。</w:t>
      </w:r>
      <w:r>
        <w:rPr>
          <w:rFonts w:hint="eastAsia" w:ascii="仿宋_GB2312" w:hAnsi="宋体" w:eastAsia="仿宋_GB2312" w:cs="Times New Roman"/>
          <w:kern w:val="2"/>
          <w:sz w:val="32"/>
          <w:szCs w:val="32"/>
        </w:rPr>
        <w:t>农户大部分外出务工，基本于年底集中返乡农忙时节较长，在一定程度上导致进度相对滞后。</w:t>
      </w:r>
    </w:p>
    <w:p w14:paraId="27FFCCEC">
      <w:pPr>
        <w:keepNext w:val="0"/>
        <w:keepLines w:val="0"/>
        <w:pageBreakBefore w:val="0"/>
        <w:widowControl/>
        <w:tabs>
          <w:tab w:val="left" w:pos="2160"/>
        </w:tabs>
        <w:kinsoku/>
        <w:wordWrap/>
        <w:overflowPunct/>
        <w:topLinePunct w:val="0"/>
        <w:autoSpaceDE/>
        <w:autoSpaceDN/>
        <w:bidi w:val="0"/>
        <w:spacing w:before="0" w:beforeAutospacing="0" w:after="0" w:afterAutospacing="0" w:line="520" w:lineRule="exact"/>
        <w:ind w:left="0" w:right="0" w:firstLine="640" w:firstLineChars="200"/>
        <w:jc w:val="left"/>
        <w:textAlignment w:val="auto"/>
        <w:outlineLvl w:val="1"/>
        <w:rPr>
          <w:rFonts w:ascii="楷体_GB2312" w:hAnsi="宋体" w:eastAsia="楷体_GB2312" w:cs="Times New Roman"/>
          <w:b/>
          <w:kern w:val="0"/>
          <w:position w:val="3"/>
          <w:sz w:val="20"/>
          <w:szCs w:val="20"/>
          <w:lang w:val="zh-CN" w:eastAsia="en-US" w:bidi="ar-SA"/>
        </w:rPr>
      </w:pPr>
      <w:bookmarkStart w:id="182" w:name="_Toc18503"/>
      <w:bookmarkStart w:id="183" w:name="_Toc17957"/>
      <w:r>
        <w:rPr>
          <w:rFonts w:hint="eastAsia" w:ascii="黑体" w:hAnsi="宋体" w:eastAsia="黑体" w:cs="Times New Roman"/>
          <w:color w:val="000000"/>
          <w:kern w:val="0"/>
          <w:position w:val="3"/>
          <w:sz w:val="32"/>
          <w:szCs w:val="32"/>
          <w:lang w:val="zh-CN" w:eastAsia="zh-CN" w:bidi="ar-SA"/>
        </w:rPr>
        <w:t>六、改进建议</w:t>
      </w:r>
      <w:bookmarkEnd w:id="182"/>
      <w:bookmarkEnd w:id="183"/>
    </w:p>
    <w:p w14:paraId="5A1A0648">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hint="eastAsia" w:ascii="仿宋_GB2312" w:hAnsi="宋体" w:eastAsia="仿宋_GB2312" w:cs="Times New Roman"/>
          <w:kern w:val="2"/>
          <w:sz w:val="32"/>
          <w:szCs w:val="32"/>
        </w:rPr>
      </w:pPr>
      <w:r>
        <w:rPr>
          <w:rFonts w:hint="eastAsia" w:ascii="仿宋_GB2312" w:hAnsi="宋体" w:eastAsia="仿宋_GB2312" w:cs="Times New Roman"/>
          <w:kern w:val="2"/>
          <w:sz w:val="32"/>
          <w:szCs w:val="32"/>
          <w:lang w:val="en-US" w:eastAsia="zh-CN"/>
        </w:rPr>
        <w:t>1、</w:t>
      </w:r>
      <w:r>
        <w:rPr>
          <w:rFonts w:hint="eastAsia" w:ascii="仿宋_GB2312" w:hAnsi="宋体" w:eastAsia="仿宋_GB2312" w:cs="Times New Roman"/>
          <w:kern w:val="2"/>
          <w:sz w:val="32"/>
          <w:szCs w:val="32"/>
        </w:rPr>
        <w:t>进一步压实村</w:t>
      </w:r>
      <w:r>
        <w:rPr>
          <w:rFonts w:hint="eastAsia" w:ascii="仿宋_GB2312" w:hAnsi="宋体" w:eastAsia="仿宋_GB2312" w:cs="Times New Roman"/>
          <w:kern w:val="2"/>
          <w:sz w:val="32"/>
          <w:szCs w:val="32"/>
          <w:lang w:eastAsia="zh-CN"/>
        </w:rPr>
        <w:t>、户</w:t>
      </w:r>
      <w:r>
        <w:rPr>
          <w:rFonts w:hint="eastAsia" w:ascii="仿宋_GB2312" w:hAnsi="宋体" w:eastAsia="仿宋_GB2312" w:cs="Times New Roman"/>
          <w:kern w:val="2"/>
          <w:sz w:val="32"/>
          <w:szCs w:val="32"/>
        </w:rPr>
        <w:t>主体责任，部门加强指导，认真落实好惠民政策。</w:t>
      </w:r>
    </w:p>
    <w:p w14:paraId="1C5B9832">
      <w:pPr>
        <w:keepNext w:val="0"/>
        <w:keepLines w:val="0"/>
        <w:pageBreakBefore w:val="0"/>
        <w:widowControl w:val="0"/>
        <w:kinsoku/>
        <w:wordWrap/>
        <w:overflowPunct/>
        <w:topLinePunct w:val="0"/>
        <w:autoSpaceDE/>
        <w:autoSpaceDN/>
        <w:bidi w:val="0"/>
        <w:spacing w:before="0" w:beforeAutospacing="0" w:after="0" w:afterAutospacing="0" w:line="520" w:lineRule="exact"/>
        <w:ind w:left="0" w:right="0" w:firstLine="640" w:firstLineChars="200"/>
        <w:jc w:val="both"/>
        <w:textAlignment w:val="auto"/>
        <w:rPr>
          <w:rFonts w:ascii="Times New Roman" w:hAnsi="Times New Roman" w:eastAsia="仿宋_GB2312" w:cs="Times New Roman"/>
          <w:color w:val="000000"/>
          <w:kern w:val="0"/>
          <w:sz w:val="32"/>
          <w:szCs w:val="32"/>
          <w:shd w:val="clear" w:color="auto" w:fill="FFFFFF"/>
          <w:lang w:val="zh-CN"/>
        </w:rPr>
      </w:pPr>
      <w:r>
        <w:rPr>
          <w:rFonts w:hint="eastAsia" w:ascii="仿宋_GB2312" w:hAnsi="宋体" w:eastAsia="仿宋_GB2312" w:cs="Times New Roman"/>
          <w:kern w:val="2"/>
          <w:sz w:val="32"/>
          <w:szCs w:val="32"/>
          <w:lang w:val="en-US" w:eastAsia="zh-CN"/>
        </w:rPr>
        <w:t>2</w:t>
      </w:r>
      <w:r>
        <w:rPr>
          <w:rFonts w:hint="eastAsia" w:ascii="仿宋_GB2312" w:hAnsi="宋体" w:eastAsia="仿宋_GB2312" w:cs="Times New Roman"/>
          <w:kern w:val="2"/>
          <w:sz w:val="32"/>
          <w:szCs w:val="32"/>
        </w:rPr>
        <w:t>、进一步加大投入力度和宣传动员工作，有序推进“厕所革命”建设。</w:t>
      </w:r>
    </w:p>
    <w:p w14:paraId="31F0CE21">
      <w:pPr>
        <w:keepNext w:val="0"/>
        <w:keepLines w:val="0"/>
        <w:pageBreakBefore w:val="0"/>
        <w:widowControl w:val="0"/>
        <w:kinsoku/>
        <w:wordWrap/>
        <w:overflowPunct/>
        <w:topLinePunct w:val="0"/>
        <w:autoSpaceDE/>
        <w:autoSpaceDN/>
        <w:bidi w:val="0"/>
        <w:snapToGrid w:val="0"/>
        <w:spacing w:before="0" w:beforeAutospacing="0" w:after="0" w:afterAutospacing="0" w:line="520" w:lineRule="exact"/>
        <w:ind w:left="0" w:right="0" w:firstLine="640" w:firstLineChars="200"/>
        <w:jc w:val="both"/>
        <w:textAlignment w:val="auto"/>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附表：1.项目资金分配涉及所有点位自评得分情况表</w:t>
      </w:r>
    </w:p>
    <w:p w14:paraId="04BD60D6">
      <w:pPr>
        <w:keepNext w:val="0"/>
        <w:keepLines w:val="0"/>
        <w:pageBreakBefore w:val="0"/>
        <w:widowControl w:val="0"/>
        <w:kinsoku/>
        <w:wordWrap/>
        <w:overflowPunct/>
        <w:topLinePunct w:val="0"/>
        <w:autoSpaceDE/>
        <w:autoSpaceDN/>
        <w:bidi w:val="0"/>
        <w:snapToGrid w:val="0"/>
        <w:spacing w:before="0" w:beforeAutospacing="0" w:after="0" w:afterAutospacing="0" w:line="520" w:lineRule="exact"/>
        <w:ind w:left="0" w:right="0" w:firstLine="1600" w:firstLineChars="500"/>
        <w:jc w:val="both"/>
        <w:textAlignment w:val="auto"/>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rPr>
        <w:t>2.专项预算项目绩效目标完成情况自评表</w:t>
      </w:r>
    </w:p>
    <w:p w14:paraId="5E05B432">
      <w:pPr>
        <w:widowControl/>
        <w:adjustRightInd w:val="0"/>
        <w:snapToGrid w:val="0"/>
        <w:spacing w:before="0" w:beforeAutospacing="0" w:after="0" w:afterAutospacing="0" w:line="578" w:lineRule="exact"/>
        <w:ind w:left="0" w:right="0"/>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28A4E259">
      <w:pPr>
        <w:widowControl w:val="0"/>
        <w:spacing w:before="0" w:beforeAutospacing="0" w:after="0" w:afterAutospacing="0" w:line="578" w:lineRule="exact"/>
        <w:ind w:left="0" w:right="0"/>
        <w:jc w:val="center"/>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255"/>
        <w:gridCol w:w="2449"/>
        <w:gridCol w:w="993"/>
      </w:tblGrid>
      <w:tr w14:paraId="4AE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123" w:type="dxa"/>
          </w:tcPr>
          <w:p w14:paraId="3BE88BB1">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序号</w:t>
            </w:r>
          </w:p>
        </w:tc>
        <w:tc>
          <w:tcPr>
            <w:tcW w:w="4255" w:type="dxa"/>
          </w:tcPr>
          <w:p w14:paraId="69B6C044">
            <w:pPr>
              <w:widowControl w:val="0"/>
              <w:spacing w:before="0" w:beforeAutospacing="0" w:after="0" w:afterAutospacing="0" w:line="300" w:lineRule="exact"/>
              <w:ind w:left="0" w:right="0"/>
              <w:jc w:val="center"/>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449" w:type="dxa"/>
          </w:tcPr>
          <w:p w14:paraId="75B533A8">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14:paraId="7AE4FF6F">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备注</w:t>
            </w:r>
          </w:p>
        </w:tc>
      </w:tr>
      <w:tr w14:paraId="73A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123" w:type="dxa"/>
          </w:tcPr>
          <w:p w14:paraId="44421F53">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4255" w:type="dxa"/>
          </w:tcPr>
          <w:p w14:paraId="433A9F62">
            <w:pPr>
              <w:widowControl w:val="0"/>
              <w:spacing w:before="0" w:beforeAutospacing="0" w:after="0" w:afterAutospacing="0" w:line="300" w:lineRule="exact"/>
              <w:ind w:left="0" w:right="0"/>
              <w:jc w:val="both"/>
              <w:rPr>
                <w:rFonts w:hint="default" w:ascii="宋体" w:hAnsi="宋体" w:eastAsia="仿宋_GB2312" w:cs="宋体"/>
                <w:kern w:val="2"/>
                <w:sz w:val="24"/>
                <w:szCs w:val="24"/>
                <w:lang w:val="en-US" w:eastAsia="zh-CN"/>
              </w:rPr>
            </w:pPr>
            <w:r>
              <w:rPr>
                <w:rFonts w:hint="default" w:ascii="宋体" w:hAnsi="宋体" w:eastAsia="仿宋_GB2312" w:cs="宋体"/>
                <w:kern w:val="2"/>
                <w:sz w:val="24"/>
                <w:szCs w:val="24"/>
                <w:lang w:val="en-US" w:eastAsia="zh-CN"/>
              </w:rPr>
              <w:t>茂县2023年厕所革命示范建设项目</w:t>
            </w:r>
          </w:p>
        </w:tc>
        <w:tc>
          <w:tcPr>
            <w:tcW w:w="2449" w:type="dxa"/>
          </w:tcPr>
          <w:p w14:paraId="07F779AD">
            <w:pPr>
              <w:widowControl w:val="0"/>
              <w:spacing w:before="0" w:beforeAutospacing="0" w:after="0" w:afterAutospacing="0" w:line="300" w:lineRule="exact"/>
              <w:ind w:left="0" w:right="0"/>
              <w:jc w:val="center"/>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98分</w:t>
            </w:r>
          </w:p>
        </w:tc>
        <w:tc>
          <w:tcPr>
            <w:tcW w:w="993" w:type="dxa"/>
          </w:tcPr>
          <w:p w14:paraId="49C72C9F">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0CED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AA8E3FE">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4255" w:type="dxa"/>
          </w:tcPr>
          <w:p w14:paraId="6D2F05D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449" w:type="dxa"/>
          </w:tcPr>
          <w:p w14:paraId="7CA9E13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412DE334">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1F29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2995D875">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4255" w:type="dxa"/>
          </w:tcPr>
          <w:p w14:paraId="335DBB23">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449" w:type="dxa"/>
          </w:tcPr>
          <w:p w14:paraId="15A8766D">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47D9D816">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6D5A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9F6F3FB">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4255" w:type="dxa"/>
          </w:tcPr>
          <w:p w14:paraId="2399D31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449" w:type="dxa"/>
          </w:tcPr>
          <w:p w14:paraId="49B4C575">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3768CA5B">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071F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6E4D1FDC">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4255" w:type="dxa"/>
          </w:tcPr>
          <w:p w14:paraId="3A72E702">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449" w:type="dxa"/>
          </w:tcPr>
          <w:p w14:paraId="63591447">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395101E">
            <w:pPr>
              <w:widowControl w:val="0"/>
              <w:spacing w:before="0" w:beforeAutospacing="0" w:after="0" w:afterAutospacing="0" w:line="300" w:lineRule="exact"/>
              <w:ind w:left="0" w:right="0"/>
              <w:jc w:val="both"/>
              <w:rPr>
                <w:rFonts w:ascii="宋体" w:hAnsi="宋体" w:eastAsia="仿宋_GB2312" w:cs="宋体"/>
                <w:kern w:val="2"/>
                <w:sz w:val="24"/>
                <w:szCs w:val="24"/>
              </w:rPr>
            </w:pPr>
          </w:p>
        </w:tc>
      </w:tr>
    </w:tbl>
    <w:p w14:paraId="6871314F">
      <w:pPr>
        <w:widowControl w:val="0"/>
        <w:spacing w:before="0" w:beforeAutospacing="0" w:after="0" w:afterAutospacing="0" w:line="400" w:lineRule="exact"/>
        <w:ind w:left="0" w:right="0"/>
        <w:jc w:val="left"/>
        <w:rPr>
          <w:rFonts w:ascii="宋体" w:hAnsi="宋体" w:eastAsia="宋体" w:cs="宋体"/>
          <w:kern w:val="2"/>
          <w:sz w:val="21"/>
          <w:szCs w:val="21"/>
        </w:rPr>
      </w:pPr>
      <w:r>
        <w:rPr>
          <w:rFonts w:hint="eastAsia" w:ascii="宋体" w:hAnsi="宋体" w:eastAsia="宋体" w:cs="宋体"/>
          <w:kern w:val="2"/>
          <w:sz w:val="21"/>
          <w:szCs w:val="21"/>
        </w:rPr>
        <w:t>备注：1.项目资金末端分配点位包括本部门、部门下属单位及一次性单位等。</w:t>
      </w:r>
    </w:p>
    <w:p w14:paraId="7152C96B">
      <w:pPr>
        <w:widowControl w:val="0"/>
        <w:spacing w:before="0" w:beforeAutospacing="0" w:after="0" w:afterAutospacing="0" w:line="400" w:lineRule="exact"/>
        <w:ind w:left="0" w:right="0" w:firstLine="630" w:firstLineChars="300"/>
        <w:jc w:val="left"/>
        <w:rPr>
          <w:rFonts w:hint="default" w:ascii="宋体" w:hAnsi="Times New Roman" w:cs="宋体"/>
          <w:kern w:val="0"/>
          <w:sz w:val="24"/>
          <w:lang w:val="en-US" w:eastAsia="zh-CN"/>
        </w:rPr>
      </w:pPr>
      <w:r>
        <w:rPr>
          <w:rFonts w:hint="eastAsia" w:ascii="宋体" w:hAnsi="宋体" w:eastAsia="宋体" w:cs="宋体"/>
          <w:kern w:val="2"/>
          <w:sz w:val="21"/>
          <w:szCs w:val="21"/>
        </w:rPr>
        <w:t>2.自评得分（百分制）从高到低划分为优、良、中、差四个档次，各个档次数量占比分别为20%、20%、55%、5%，且不同档次间得分分值应体现差异化，同档次得分分值相同的比例不超过该档次总数量的10%。</w:t>
      </w:r>
      <w:r>
        <w:rPr>
          <w:rFonts w:hint="eastAsia" w:ascii="Times New Roman" w:hAnsi="Times New Roman" w:eastAsia="仿宋_GB2312" w:cs="Times New Roman"/>
          <w:kern w:val="2"/>
          <w:sz w:val="32"/>
          <w:szCs w:val="24"/>
          <w:lang w:val="en-US" w:eastAsia="zh-CN"/>
        </w:rPr>
        <w:t xml:space="preserve">  </w:t>
      </w:r>
    </w:p>
    <w:p w14:paraId="0BF20D7E">
      <w:pPr>
        <w:widowControl w:val="0"/>
        <w:spacing w:before="0" w:beforeAutospacing="0" w:after="0" w:afterAutospacing="0" w:line="578" w:lineRule="exact"/>
        <w:ind w:left="0" w:leftChars="0" w:right="0" w:firstLine="0" w:firstLineChars="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附表2</w:t>
      </w:r>
    </w:p>
    <w:tbl>
      <w:tblPr>
        <w:tblStyle w:val="16"/>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52"/>
        <w:gridCol w:w="1081"/>
        <w:gridCol w:w="1250"/>
        <w:gridCol w:w="1644"/>
        <w:gridCol w:w="966"/>
        <w:gridCol w:w="800"/>
        <w:gridCol w:w="1061"/>
        <w:gridCol w:w="938"/>
        <w:gridCol w:w="1841"/>
      </w:tblGrid>
      <w:tr w14:paraId="0AF7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753A01E5">
            <w:pPr>
              <w:widowControl/>
              <w:spacing w:before="0" w:beforeAutospacing="0" w:after="0" w:afterAutospacing="0" w:line="60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7803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jc w:val="center"/>
        </w:trPr>
        <w:tc>
          <w:tcPr>
            <w:tcW w:w="4627" w:type="dxa"/>
            <w:gridSpan w:val="4"/>
            <w:shd w:val="clear" w:color="auto" w:fill="auto"/>
            <w:vAlign w:val="center"/>
          </w:tcPr>
          <w:p w14:paraId="7746D1B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项目名称</w:t>
            </w:r>
          </w:p>
        </w:tc>
        <w:tc>
          <w:tcPr>
            <w:tcW w:w="5606" w:type="dxa"/>
            <w:gridSpan w:val="5"/>
            <w:shd w:val="clear" w:color="auto" w:fill="auto"/>
            <w:vAlign w:val="center"/>
          </w:tcPr>
          <w:p w14:paraId="29495F1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ascii="宋体" w:hAnsi="宋体" w:eastAsia="宋体" w:cs="宋体"/>
                <w:color w:val="000000"/>
                <w:kern w:val="0"/>
                <w:sz w:val="22"/>
                <w:szCs w:val="22"/>
                <w:lang w:val="zh-CN" w:eastAsia="zh-CN" w:bidi="ar-SA"/>
              </w:rPr>
            </w:pPr>
            <w:r>
              <w:rPr>
                <w:rFonts w:hint="eastAsia" w:ascii="宋体" w:hAnsi="宋体" w:eastAsia="宋体" w:cs="宋体"/>
                <w:color w:val="000000"/>
                <w:kern w:val="2"/>
                <w:sz w:val="22"/>
                <w:szCs w:val="22"/>
                <w:lang w:val="en-US" w:eastAsia="zh-CN" w:bidi="ar-SA"/>
              </w:rPr>
              <w:t>2023年茂县厕所革命示范建设项目</w:t>
            </w:r>
          </w:p>
        </w:tc>
      </w:tr>
      <w:tr w14:paraId="7A15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4627" w:type="dxa"/>
            <w:gridSpan w:val="4"/>
            <w:shd w:val="clear" w:color="auto" w:fill="auto"/>
            <w:vAlign w:val="center"/>
          </w:tcPr>
          <w:p w14:paraId="500E16B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预算单位</w:t>
            </w:r>
          </w:p>
        </w:tc>
        <w:tc>
          <w:tcPr>
            <w:tcW w:w="5606" w:type="dxa"/>
            <w:gridSpan w:val="5"/>
            <w:shd w:val="clear" w:color="auto" w:fill="auto"/>
            <w:vAlign w:val="center"/>
          </w:tcPr>
          <w:p w14:paraId="3091F52F">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茂县科学技术和农业畜牧局</w:t>
            </w:r>
          </w:p>
        </w:tc>
      </w:tr>
      <w:tr w14:paraId="461A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5" w:hRule="atLeast"/>
          <w:jc w:val="center"/>
        </w:trPr>
        <w:tc>
          <w:tcPr>
            <w:tcW w:w="4627" w:type="dxa"/>
            <w:gridSpan w:val="4"/>
            <w:shd w:val="clear" w:color="auto" w:fill="auto"/>
            <w:vAlign w:val="center"/>
          </w:tcPr>
          <w:p w14:paraId="4C40CA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项目类型</w:t>
            </w:r>
          </w:p>
        </w:tc>
        <w:tc>
          <w:tcPr>
            <w:tcW w:w="5606" w:type="dxa"/>
            <w:gridSpan w:val="5"/>
            <w:shd w:val="clear" w:color="auto" w:fill="auto"/>
            <w:vAlign w:val="center"/>
          </w:tcPr>
          <w:p w14:paraId="37AB7DD3">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补助到户类</w:t>
            </w:r>
          </w:p>
        </w:tc>
      </w:tr>
      <w:tr w14:paraId="22C9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jc w:val="center"/>
        </w:trPr>
        <w:tc>
          <w:tcPr>
            <w:tcW w:w="652" w:type="dxa"/>
            <w:vMerge w:val="restart"/>
            <w:shd w:val="clear" w:color="auto" w:fill="auto"/>
            <w:vAlign w:val="center"/>
          </w:tcPr>
          <w:p w14:paraId="3B128E2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项目 概况</w:t>
            </w:r>
          </w:p>
        </w:tc>
        <w:tc>
          <w:tcPr>
            <w:tcW w:w="3975" w:type="dxa"/>
            <w:gridSpan w:val="3"/>
            <w:shd w:val="clear" w:color="auto" w:fill="auto"/>
            <w:vAlign w:val="center"/>
          </w:tcPr>
          <w:p w14:paraId="4FC7B3F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中长期规划（名称、文号，仅指</w:t>
            </w:r>
          </w:p>
          <w:p w14:paraId="2342D8D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常年项目）</w:t>
            </w:r>
          </w:p>
        </w:tc>
        <w:tc>
          <w:tcPr>
            <w:tcW w:w="5606" w:type="dxa"/>
            <w:gridSpan w:val="5"/>
            <w:shd w:val="clear" w:color="auto" w:fill="auto"/>
            <w:vAlign w:val="center"/>
          </w:tcPr>
          <w:p w14:paraId="5D3D03C6">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无</w:t>
            </w:r>
          </w:p>
        </w:tc>
      </w:tr>
      <w:tr w14:paraId="6FC6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52" w:type="dxa"/>
            <w:vMerge w:val="continue"/>
            <w:shd w:val="clear" w:color="auto" w:fill="auto"/>
            <w:vAlign w:val="center"/>
          </w:tcPr>
          <w:p w14:paraId="0550C6DA">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5F25E8C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资金管理办法（名称、文号）</w:t>
            </w:r>
          </w:p>
        </w:tc>
        <w:tc>
          <w:tcPr>
            <w:tcW w:w="5606" w:type="dxa"/>
            <w:gridSpan w:val="5"/>
            <w:shd w:val="clear" w:color="auto" w:fill="auto"/>
            <w:vAlign w:val="center"/>
          </w:tcPr>
          <w:p w14:paraId="06CF40CC">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无</w:t>
            </w:r>
          </w:p>
        </w:tc>
      </w:tr>
      <w:tr w14:paraId="1DAA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jc w:val="center"/>
        </w:trPr>
        <w:tc>
          <w:tcPr>
            <w:tcW w:w="652" w:type="dxa"/>
            <w:vMerge w:val="continue"/>
            <w:shd w:val="clear" w:color="auto" w:fill="auto"/>
            <w:vAlign w:val="center"/>
          </w:tcPr>
          <w:p w14:paraId="64E12FA2">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28A05FE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绩效分配方式</w:t>
            </w:r>
          </w:p>
        </w:tc>
        <w:tc>
          <w:tcPr>
            <w:tcW w:w="966" w:type="dxa"/>
            <w:shd w:val="clear" w:color="auto" w:fill="auto"/>
            <w:vAlign w:val="center"/>
          </w:tcPr>
          <w:p w14:paraId="4BD4BF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Wingdings 2" w:hAnsi="Wingdings 2" w:eastAsia="Wingdings 2" w:cs="Wingdings 2"/>
                <w:color w:val="000000"/>
                <w:kern w:val="2"/>
                <w:sz w:val="22"/>
                <w:szCs w:val="22"/>
              </w:rPr>
            </w:pPr>
            <w:r>
              <w:rPr>
                <w:rFonts w:ascii="Wingdings 2" w:hAnsi="Wingdings 2" w:eastAsia="Wingdings 2" w:cs="Wingdings 2"/>
                <w:color w:val="000000"/>
                <w:kern w:val="0"/>
                <w:sz w:val="22"/>
                <w:szCs w:val="22"/>
                <w:lang w:bidi="ar"/>
              </w:rPr>
              <w:t></w:t>
            </w:r>
            <w:r>
              <w:rPr>
                <w:rFonts w:ascii="宋体" w:hAnsi="宋体" w:eastAsia="宋体" w:cs="宋体"/>
                <w:color w:val="000000"/>
                <w:kern w:val="0"/>
                <w:sz w:val="22"/>
                <w:szCs w:val="22"/>
                <w:lang w:bidi="ar"/>
              </w:rPr>
              <w:t>因素法</w:t>
            </w:r>
          </w:p>
        </w:tc>
        <w:tc>
          <w:tcPr>
            <w:tcW w:w="1861" w:type="dxa"/>
            <w:gridSpan w:val="2"/>
            <w:shd w:val="clear" w:color="auto" w:fill="auto"/>
            <w:vAlign w:val="center"/>
          </w:tcPr>
          <w:p w14:paraId="3F65CE9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Wingdings 2" w:hAnsi="Wingdings 2" w:eastAsia="Wingdings 2" w:cs="Wingdings 2"/>
                <w:color w:val="000000"/>
                <w:kern w:val="2"/>
                <w:sz w:val="22"/>
                <w:szCs w:val="22"/>
              </w:rPr>
            </w:pPr>
            <w:r>
              <w:rPr>
                <w:rFonts w:ascii="Wingdings 2" w:hAnsi="Wingdings 2" w:eastAsia="Wingdings 2" w:cs="Wingdings 2"/>
                <w:color w:val="000000"/>
                <w:kern w:val="0"/>
                <w:sz w:val="22"/>
                <w:szCs w:val="22"/>
                <w:lang w:bidi="ar"/>
              </w:rPr>
              <w:t>项目法</w:t>
            </w:r>
          </w:p>
        </w:tc>
        <w:tc>
          <w:tcPr>
            <w:tcW w:w="938" w:type="dxa"/>
            <w:shd w:val="clear" w:color="auto" w:fill="auto"/>
            <w:vAlign w:val="center"/>
          </w:tcPr>
          <w:p w14:paraId="135C8EF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Wingdings 2" w:hAnsi="Wingdings 2" w:eastAsia="Wingdings 2" w:cs="Wingdings 2"/>
                <w:color w:val="000000"/>
                <w:kern w:val="2"/>
                <w:sz w:val="22"/>
                <w:szCs w:val="22"/>
              </w:rPr>
            </w:pPr>
            <w:r>
              <w:rPr>
                <w:rFonts w:ascii="Wingdings 2" w:hAnsi="Wingdings 2" w:eastAsia="Wingdings 2" w:cs="Wingdings 2"/>
                <w:color w:val="000000"/>
                <w:kern w:val="0"/>
                <w:sz w:val="22"/>
                <w:szCs w:val="22"/>
                <w:lang w:bidi="ar"/>
              </w:rPr>
              <w:sym w:font="Wingdings 2" w:char="0052"/>
            </w:r>
            <w:r>
              <w:rPr>
                <w:rFonts w:ascii="宋体" w:hAnsi="宋体" w:eastAsia="宋体" w:cs="宋体"/>
                <w:color w:val="000000"/>
                <w:kern w:val="0"/>
                <w:sz w:val="22"/>
                <w:szCs w:val="22"/>
                <w:lang w:bidi="ar"/>
              </w:rPr>
              <w:t>据实据效</w:t>
            </w:r>
          </w:p>
        </w:tc>
        <w:tc>
          <w:tcPr>
            <w:tcW w:w="1841" w:type="dxa"/>
            <w:shd w:val="clear" w:color="auto" w:fill="auto"/>
            <w:vAlign w:val="center"/>
          </w:tcPr>
          <w:p w14:paraId="6938C5BD">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Wingdings 2" w:hAnsi="Wingdings 2" w:eastAsia="Wingdings 2" w:cs="Wingdings 2"/>
                <w:color w:val="000000"/>
                <w:kern w:val="2"/>
                <w:sz w:val="22"/>
                <w:szCs w:val="22"/>
              </w:rPr>
            </w:pPr>
            <w:r>
              <w:rPr>
                <w:rFonts w:ascii="Wingdings 2" w:hAnsi="Wingdings 2" w:eastAsia="Wingdings 2" w:cs="Wingdings 2"/>
                <w:color w:val="000000"/>
                <w:kern w:val="0"/>
                <w:sz w:val="22"/>
                <w:szCs w:val="22"/>
                <w:lang w:bidi="ar"/>
              </w:rPr>
              <w:t></w:t>
            </w:r>
            <w:r>
              <w:rPr>
                <w:rFonts w:ascii="宋体" w:hAnsi="宋体" w:eastAsia="宋体" w:cs="宋体"/>
                <w:color w:val="000000"/>
                <w:kern w:val="0"/>
                <w:sz w:val="22"/>
                <w:szCs w:val="22"/>
                <w:lang w:bidi="ar"/>
              </w:rPr>
              <w:t>因素法与项目法相结合</w:t>
            </w:r>
          </w:p>
        </w:tc>
      </w:tr>
      <w:tr w14:paraId="7CAD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jc w:val="center"/>
        </w:trPr>
        <w:tc>
          <w:tcPr>
            <w:tcW w:w="652" w:type="dxa"/>
            <w:vMerge w:val="continue"/>
            <w:shd w:val="clear" w:color="auto" w:fill="auto"/>
            <w:vAlign w:val="center"/>
          </w:tcPr>
          <w:p w14:paraId="2F73063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646E3DA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立项依据</w:t>
            </w:r>
          </w:p>
        </w:tc>
        <w:tc>
          <w:tcPr>
            <w:tcW w:w="5606" w:type="dxa"/>
            <w:gridSpan w:val="5"/>
            <w:shd w:val="clear" w:color="auto" w:fill="auto"/>
            <w:vAlign w:val="center"/>
          </w:tcPr>
          <w:p w14:paraId="67EE3371">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无</w:t>
            </w:r>
          </w:p>
        </w:tc>
      </w:tr>
      <w:tr w14:paraId="1604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jc w:val="center"/>
        </w:trPr>
        <w:tc>
          <w:tcPr>
            <w:tcW w:w="652" w:type="dxa"/>
            <w:vMerge w:val="continue"/>
            <w:shd w:val="clear" w:color="auto" w:fill="auto"/>
            <w:vAlign w:val="center"/>
          </w:tcPr>
          <w:p w14:paraId="1C0988B0">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39B9A70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使用范围</w:t>
            </w:r>
          </w:p>
        </w:tc>
        <w:tc>
          <w:tcPr>
            <w:tcW w:w="5606" w:type="dxa"/>
            <w:gridSpan w:val="5"/>
            <w:shd w:val="clear" w:color="auto" w:fill="auto"/>
            <w:vAlign w:val="center"/>
          </w:tcPr>
          <w:p w14:paraId="37EC309E">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愿意经行户厕改造并验收合格的农户</w:t>
            </w:r>
          </w:p>
        </w:tc>
      </w:tr>
      <w:tr w14:paraId="5EFD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continue"/>
            <w:shd w:val="clear" w:color="auto" w:fill="auto"/>
            <w:vAlign w:val="center"/>
          </w:tcPr>
          <w:p w14:paraId="2BAEDA7C">
            <w:pPr>
              <w:widowControl w:val="0"/>
              <w:spacing w:before="0" w:beforeAutospacing="0" w:after="0" w:afterAutospacing="0" w:line="30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0A58E842">
            <w:pPr>
              <w:widowControl/>
              <w:spacing w:before="0" w:beforeAutospacing="0" w:after="0" w:afterAutospacing="0" w:line="30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申报（补助）条件</w:t>
            </w:r>
          </w:p>
        </w:tc>
        <w:tc>
          <w:tcPr>
            <w:tcW w:w="5606" w:type="dxa"/>
            <w:gridSpan w:val="5"/>
            <w:shd w:val="clear" w:color="auto" w:fill="auto"/>
            <w:vAlign w:val="center"/>
          </w:tcPr>
          <w:p w14:paraId="0D85FB80">
            <w:pPr>
              <w:widowControl w:val="0"/>
              <w:spacing w:before="0" w:beforeAutospacing="0" w:after="0" w:afterAutospacing="0" w:line="30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农户资源修建，村级申请，镇上推荐</w:t>
            </w:r>
          </w:p>
        </w:tc>
      </w:tr>
      <w:tr w14:paraId="1482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0" w:hRule="atLeast"/>
          <w:jc w:val="center"/>
        </w:trPr>
        <w:tc>
          <w:tcPr>
            <w:tcW w:w="652" w:type="dxa"/>
            <w:vMerge w:val="continue"/>
            <w:shd w:val="clear" w:color="auto" w:fill="auto"/>
            <w:vAlign w:val="center"/>
          </w:tcPr>
          <w:p w14:paraId="3DD29BE2">
            <w:pPr>
              <w:widowControl w:val="0"/>
              <w:spacing w:before="0" w:beforeAutospacing="0" w:after="0" w:afterAutospacing="0" w:line="300" w:lineRule="exact"/>
              <w:ind w:left="0" w:right="0"/>
              <w:jc w:val="both"/>
              <w:rPr>
                <w:rFonts w:ascii="宋体" w:hAnsi="宋体" w:eastAsia="宋体" w:cs="宋体"/>
                <w:color w:val="000000"/>
                <w:kern w:val="2"/>
                <w:sz w:val="22"/>
                <w:szCs w:val="22"/>
              </w:rPr>
            </w:pPr>
          </w:p>
        </w:tc>
        <w:tc>
          <w:tcPr>
            <w:tcW w:w="3975" w:type="dxa"/>
            <w:gridSpan w:val="3"/>
            <w:shd w:val="clear" w:color="auto" w:fill="auto"/>
            <w:vAlign w:val="center"/>
          </w:tcPr>
          <w:p w14:paraId="41632BA4">
            <w:pPr>
              <w:widowControl/>
              <w:spacing w:before="0" w:beforeAutospacing="0" w:after="0" w:afterAutospacing="0" w:line="30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项目起止年限</w:t>
            </w:r>
          </w:p>
        </w:tc>
        <w:tc>
          <w:tcPr>
            <w:tcW w:w="5606" w:type="dxa"/>
            <w:gridSpan w:val="5"/>
            <w:shd w:val="clear" w:color="auto" w:fill="auto"/>
            <w:vAlign w:val="center"/>
          </w:tcPr>
          <w:p w14:paraId="3BC8C680">
            <w:pPr>
              <w:widowControl w:val="0"/>
              <w:spacing w:before="0" w:beforeAutospacing="0" w:after="0" w:afterAutospacing="0" w:line="300" w:lineRule="exact"/>
              <w:ind w:left="0" w:right="0"/>
              <w:jc w:val="both"/>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2023年12月20日前完成</w:t>
            </w:r>
          </w:p>
        </w:tc>
      </w:tr>
      <w:tr w14:paraId="552A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7" w:hRule="atLeast"/>
          <w:jc w:val="center"/>
        </w:trPr>
        <w:tc>
          <w:tcPr>
            <w:tcW w:w="1733" w:type="dxa"/>
            <w:gridSpan w:val="2"/>
            <w:vMerge w:val="restart"/>
            <w:shd w:val="clear" w:color="auto" w:fill="auto"/>
            <w:vAlign w:val="center"/>
          </w:tcPr>
          <w:p w14:paraId="6678DF92">
            <w:pPr>
              <w:widowControl/>
              <w:spacing w:before="0" w:beforeAutospacing="0" w:after="0" w:afterAutospacing="0" w:line="300" w:lineRule="exact"/>
              <w:ind w:left="0" w:right="0"/>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项目资金</w:t>
            </w:r>
          </w:p>
          <w:p w14:paraId="59372E5B">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（万元）</w:t>
            </w:r>
          </w:p>
        </w:tc>
        <w:tc>
          <w:tcPr>
            <w:tcW w:w="2894" w:type="dxa"/>
            <w:gridSpan w:val="2"/>
            <w:shd w:val="clear" w:color="auto" w:fill="auto"/>
            <w:vAlign w:val="center"/>
          </w:tcPr>
          <w:p w14:paraId="194E0BEA">
            <w:pPr>
              <w:widowControl/>
              <w:spacing w:before="0" w:beforeAutospacing="0" w:after="0" w:afterAutospacing="0" w:line="30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 xml:space="preserve">  年度资金总额：</w:t>
            </w:r>
          </w:p>
        </w:tc>
        <w:tc>
          <w:tcPr>
            <w:tcW w:w="5606" w:type="dxa"/>
            <w:gridSpan w:val="5"/>
            <w:shd w:val="clear" w:color="auto" w:fill="auto"/>
            <w:vAlign w:val="center"/>
          </w:tcPr>
          <w:p w14:paraId="1145D29B">
            <w:pPr>
              <w:widowControl w:val="0"/>
              <w:spacing w:before="0" w:beforeAutospacing="0" w:after="0" w:afterAutospacing="0" w:line="30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55</w:t>
            </w:r>
          </w:p>
        </w:tc>
      </w:tr>
      <w:tr w14:paraId="5D69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auto"/>
            <w:vAlign w:val="center"/>
          </w:tcPr>
          <w:p w14:paraId="1AB70025">
            <w:pPr>
              <w:widowControl w:val="0"/>
              <w:spacing w:before="0" w:beforeAutospacing="0" w:after="0" w:afterAutospacing="0" w:line="300" w:lineRule="exact"/>
              <w:ind w:left="0" w:right="0"/>
              <w:jc w:val="both"/>
              <w:rPr>
                <w:rFonts w:ascii="宋体" w:hAnsi="宋体" w:eastAsia="宋体" w:cs="宋体"/>
                <w:color w:val="000000"/>
                <w:kern w:val="2"/>
                <w:sz w:val="22"/>
                <w:szCs w:val="22"/>
              </w:rPr>
            </w:pPr>
          </w:p>
        </w:tc>
        <w:tc>
          <w:tcPr>
            <w:tcW w:w="2894" w:type="dxa"/>
            <w:gridSpan w:val="2"/>
            <w:shd w:val="clear" w:color="auto" w:fill="auto"/>
            <w:vAlign w:val="center"/>
          </w:tcPr>
          <w:p w14:paraId="158AA822">
            <w:pPr>
              <w:widowControl/>
              <w:spacing w:before="0" w:beforeAutospacing="0" w:after="0" w:afterAutospacing="0" w:line="30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bidi="ar"/>
              </w:rPr>
              <w:t xml:space="preserve"> </w:t>
            </w:r>
            <w:r>
              <w:rPr>
                <w:rFonts w:ascii="宋体" w:hAnsi="宋体" w:eastAsia="宋体" w:cs="宋体"/>
                <w:color w:val="000000"/>
                <w:kern w:val="0"/>
                <w:sz w:val="22"/>
                <w:szCs w:val="22"/>
                <w:lang w:bidi="ar"/>
              </w:rPr>
              <w:t>其中：财政拨款</w:t>
            </w:r>
          </w:p>
        </w:tc>
        <w:tc>
          <w:tcPr>
            <w:tcW w:w="5606" w:type="dxa"/>
            <w:gridSpan w:val="5"/>
            <w:shd w:val="clear" w:color="auto" w:fill="auto"/>
            <w:vAlign w:val="center"/>
          </w:tcPr>
          <w:p w14:paraId="294916A9">
            <w:pPr>
              <w:widowControl w:val="0"/>
              <w:spacing w:before="0" w:beforeAutospacing="0" w:after="0" w:afterAutospacing="0" w:line="300" w:lineRule="exact"/>
              <w:ind w:left="0" w:right="0"/>
              <w:jc w:val="left"/>
              <w:rPr>
                <w:rFonts w:hint="default" w:ascii="宋体" w:hAnsi="宋体" w:eastAsia="宋体" w:cs="宋体"/>
                <w:color w:val="000000"/>
                <w:kern w:val="2"/>
                <w:sz w:val="22"/>
                <w:szCs w:val="22"/>
                <w:lang w:val="en-US" w:eastAsia="zh-CN"/>
              </w:rPr>
            </w:pPr>
            <w:r>
              <w:rPr>
                <w:rFonts w:hint="eastAsia" w:ascii="宋体" w:hAnsi="宋体" w:eastAsia="宋体" w:cs="宋体"/>
                <w:color w:val="000000"/>
                <w:kern w:val="2"/>
                <w:sz w:val="22"/>
                <w:szCs w:val="22"/>
                <w:lang w:val="en-US" w:eastAsia="zh-CN"/>
              </w:rPr>
              <w:t>55</w:t>
            </w:r>
          </w:p>
        </w:tc>
      </w:tr>
      <w:tr w14:paraId="119F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33" w:type="dxa"/>
            <w:gridSpan w:val="2"/>
            <w:vMerge w:val="continue"/>
            <w:shd w:val="clear" w:color="auto" w:fill="auto"/>
            <w:vAlign w:val="center"/>
          </w:tcPr>
          <w:p w14:paraId="52455A66">
            <w:pPr>
              <w:widowControl w:val="0"/>
              <w:spacing w:before="0" w:beforeAutospacing="0" w:after="0" w:afterAutospacing="0" w:line="300" w:lineRule="exact"/>
              <w:ind w:left="0" w:right="0"/>
              <w:jc w:val="both"/>
              <w:rPr>
                <w:rFonts w:ascii="宋体" w:hAnsi="宋体" w:eastAsia="宋体" w:cs="宋体"/>
                <w:color w:val="000000"/>
                <w:kern w:val="2"/>
                <w:sz w:val="22"/>
                <w:szCs w:val="22"/>
              </w:rPr>
            </w:pPr>
          </w:p>
        </w:tc>
        <w:tc>
          <w:tcPr>
            <w:tcW w:w="2894" w:type="dxa"/>
            <w:gridSpan w:val="2"/>
            <w:shd w:val="clear" w:color="auto" w:fill="auto"/>
            <w:vAlign w:val="center"/>
          </w:tcPr>
          <w:p w14:paraId="014D0106">
            <w:pPr>
              <w:widowControl/>
              <w:spacing w:before="0" w:beforeAutospacing="0" w:after="0" w:afterAutospacing="0" w:line="300" w:lineRule="exact"/>
              <w:ind w:left="0" w:right="0"/>
              <w:jc w:val="left"/>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 xml:space="preserve">            其他资金</w:t>
            </w:r>
          </w:p>
        </w:tc>
        <w:tc>
          <w:tcPr>
            <w:tcW w:w="5606" w:type="dxa"/>
            <w:gridSpan w:val="5"/>
            <w:shd w:val="clear" w:color="auto" w:fill="auto"/>
            <w:vAlign w:val="center"/>
          </w:tcPr>
          <w:p w14:paraId="54F39491">
            <w:pPr>
              <w:widowControl w:val="0"/>
              <w:tabs>
                <w:tab w:val="left" w:pos="1412"/>
              </w:tabs>
              <w:spacing w:before="0" w:beforeAutospacing="0" w:after="0" w:afterAutospacing="0" w:line="300" w:lineRule="exact"/>
              <w:ind w:left="0" w:right="0"/>
              <w:jc w:val="both"/>
              <w:rPr>
                <w:rFonts w:hint="default" w:ascii="宋体" w:hAnsi="宋体" w:eastAsia="宋体" w:cs="宋体"/>
                <w:color w:val="000000"/>
                <w:kern w:val="2"/>
                <w:sz w:val="22"/>
                <w:szCs w:val="22"/>
                <w:lang w:val="en-US" w:eastAsia="zh-CN"/>
              </w:rPr>
            </w:pPr>
            <w:r>
              <w:rPr>
                <w:rFonts w:hint="eastAsia" w:ascii="宋体" w:hAnsi="宋体" w:cs="宋体"/>
                <w:color w:val="000000"/>
                <w:kern w:val="2"/>
                <w:sz w:val="22"/>
                <w:szCs w:val="22"/>
                <w:lang w:val="en-US" w:eastAsia="zh-CN"/>
              </w:rPr>
              <w:t>0</w:t>
            </w:r>
          </w:p>
        </w:tc>
      </w:tr>
      <w:tr w14:paraId="203F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652" w:type="dxa"/>
            <w:vMerge w:val="restart"/>
            <w:shd w:val="clear" w:color="auto" w:fill="auto"/>
            <w:vAlign w:val="center"/>
          </w:tcPr>
          <w:p w14:paraId="1F0EC7FB">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总体 目标</w:t>
            </w:r>
          </w:p>
        </w:tc>
        <w:tc>
          <w:tcPr>
            <w:tcW w:w="9581" w:type="dxa"/>
            <w:gridSpan w:val="8"/>
            <w:shd w:val="clear" w:color="auto" w:fill="auto"/>
            <w:vAlign w:val="center"/>
          </w:tcPr>
          <w:p w14:paraId="27661A34">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年度目标</w:t>
            </w:r>
          </w:p>
        </w:tc>
      </w:tr>
      <w:tr w14:paraId="70FE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5" w:hRule="atLeast"/>
          <w:jc w:val="center"/>
        </w:trPr>
        <w:tc>
          <w:tcPr>
            <w:tcW w:w="652" w:type="dxa"/>
            <w:vMerge w:val="continue"/>
            <w:shd w:val="clear" w:color="auto" w:fill="auto"/>
            <w:vAlign w:val="center"/>
          </w:tcPr>
          <w:p w14:paraId="414F139A">
            <w:pPr>
              <w:widowControl w:val="0"/>
              <w:spacing w:before="0" w:beforeAutospacing="0" w:after="0" w:afterAutospacing="0" w:line="300" w:lineRule="exact"/>
              <w:ind w:left="0" w:right="0"/>
              <w:jc w:val="both"/>
              <w:rPr>
                <w:rFonts w:ascii="宋体" w:hAnsi="宋体" w:eastAsia="宋体" w:cs="宋体"/>
                <w:color w:val="000000"/>
                <w:kern w:val="2"/>
                <w:sz w:val="22"/>
                <w:szCs w:val="22"/>
              </w:rPr>
            </w:pPr>
          </w:p>
        </w:tc>
        <w:tc>
          <w:tcPr>
            <w:tcW w:w="9581" w:type="dxa"/>
            <w:gridSpan w:val="8"/>
            <w:shd w:val="clear" w:color="auto" w:fill="auto"/>
            <w:vAlign w:val="center"/>
          </w:tcPr>
          <w:p w14:paraId="1F5D8D8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exact"/>
              <w:ind w:left="0" w:right="0" w:firstLine="440" w:firstLineChars="200"/>
              <w:jc w:val="both"/>
              <w:textAlignment w:val="auto"/>
              <w:rPr>
                <w:rFonts w:ascii="宋体" w:hAnsi="宋体" w:eastAsia="宋体" w:cs="宋体"/>
                <w:color w:val="000000"/>
                <w:kern w:val="2"/>
                <w:sz w:val="22"/>
                <w:szCs w:val="22"/>
              </w:rPr>
            </w:pPr>
            <w:r>
              <w:rPr>
                <w:rFonts w:hint="eastAsia" w:ascii="宋体" w:hAnsi="宋体" w:eastAsia="宋体" w:cs="宋体"/>
                <w:color w:val="000000"/>
                <w:kern w:val="0"/>
                <w:sz w:val="22"/>
                <w:szCs w:val="22"/>
                <w:lang w:val="zh-CN" w:bidi="ar"/>
              </w:rPr>
              <w:t>按照每户2000元定额的标准对275户农村户厕采取“因地制宜、农户自愿、自建、自管，先建后补，以奖代补”的原则进行改造提升进行补助。</w:t>
            </w:r>
          </w:p>
        </w:tc>
      </w:tr>
      <w:tr w14:paraId="2C48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652" w:type="dxa"/>
            <w:vMerge w:val="restart"/>
            <w:shd w:val="clear" w:color="auto" w:fill="auto"/>
            <w:vAlign w:val="center"/>
          </w:tcPr>
          <w:p w14:paraId="7C65734E">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 指标</w:t>
            </w:r>
          </w:p>
        </w:tc>
        <w:tc>
          <w:tcPr>
            <w:tcW w:w="1081" w:type="dxa"/>
            <w:shd w:val="clear" w:color="auto" w:fill="auto"/>
            <w:vAlign w:val="center"/>
          </w:tcPr>
          <w:p w14:paraId="53E372B0">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一级指标</w:t>
            </w:r>
          </w:p>
        </w:tc>
        <w:tc>
          <w:tcPr>
            <w:tcW w:w="1250" w:type="dxa"/>
            <w:shd w:val="clear" w:color="auto" w:fill="auto"/>
            <w:vAlign w:val="center"/>
          </w:tcPr>
          <w:p w14:paraId="45324F93">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二级指标</w:t>
            </w:r>
          </w:p>
        </w:tc>
        <w:tc>
          <w:tcPr>
            <w:tcW w:w="1644" w:type="dxa"/>
            <w:shd w:val="clear" w:color="auto" w:fill="auto"/>
            <w:vAlign w:val="center"/>
          </w:tcPr>
          <w:p w14:paraId="5B1F9430">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三级指标</w:t>
            </w:r>
          </w:p>
        </w:tc>
        <w:tc>
          <w:tcPr>
            <w:tcW w:w="966" w:type="dxa"/>
            <w:shd w:val="clear" w:color="auto" w:fill="auto"/>
            <w:vAlign w:val="center"/>
          </w:tcPr>
          <w:p w14:paraId="5E943D63">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指标性质</w:t>
            </w:r>
          </w:p>
        </w:tc>
        <w:tc>
          <w:tcPr>
            <w:tcW w:w="800" w:type="dxa"/>
            <w:shd w:val="clear" w:color="auto" w:fill="auto"/>
            <w:vAlign w:val="center"/>
          </w:tcPr>
          <w:p w14:paraId="3052D6EB">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指标值</w:t>
            </w:r>
          </w:p>
        </w:tc>
        <w:tc>
          <w:tcPr>
            <w:tcW w:w="1061" w:type="dxa"/>
            <w:shd w:val="clear" w:color="auto" w:fill="auto"/>
            <w:vAlign w:val="center"/>
          </w:tcPr>
          <w:p w14:paraId="236A6B28">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度量单位</w:t>
            </w:r>
          </w:p>
        </w:tc>
        <w:tc>
          <w:tcPr>
            <w:tcW w:w="938" w:type="dxa"/>
            <w:shd w:val="clear" w:color="auto" w:fill="auto"/>
            <w:vAlign w:val="center"/>
          </w:tcPr>
          <w:p w14:paraId="750B4D18">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权重</w:t>
            </w:r>
          </w:p>
        </w:tc>
        <w:tc>
          <w:tcPr>
            <w:tcW w:w="1841" w:type="dxa"/>
            <w:shd w:val="clear" w:color="auto" w:fill="auto"/>
            <w:vAlign w:val="center"/>
          </w:tcPr>
          <w:p w14:paraId="2EF709FD">
            <w:pPr>
              <w:widowControl/>
              <w:spacing w:before="0" w:beforeAutospacing="0" w:after="0" w:afterAutospacing="0" w:line="300" w:lineRule="exact"/>
              <w:ind w:left="0" w:right="0"/>
              <w:jc w:val="center"/>
              <w:textAlignment w:val="center"/>
              <w:rPr>
                <w:rFonts w:ascii="宋体" w:hAnsi="宋体" w:eastAsia="宋体" w:cs="宋体"/>
                <w:color w:val="000000"/>
                <w:kern w:val="2"/>
                <w:sz w:val="22"/>
                <w:szCs w:val="22"/>
              </w:rPr>
            </w:pPr>
            <w:r>
              <w:rPr>
                <w:rFonts w:ascii="宋体" w:hAnsi="宋体" w:eastAsia="宋体" w:cs="宋体"/>
                <w:color w:val="000000"/>
                <w:kern w:val="0"/>
                <w:sz w:val="22"/>
                <w:szCs w:val="22"/>
                <w:lang w:bidi="ar"/>
              </w:rPr>
              <w:t>实际完成指标值</w:t>
            </w:r>
          </w:p>
        </w:tc>
      </w:tr>
      <w:tr w14:paraId="3507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652" w:type="dxa"/>
            <w:vMerge w:val="continue"/>
            <w:shd w:val="clear" w:color="auto" w:fill="auto"/>
            <w:vAlign w:val="center"/>
          </w:tcPr>
          <w:p w14:paraId="39CC5AB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shd w:val="clear" w:color="auto" w:fill="auto"/>
            <w:vAlign w:val="center"/>
          </w:tcPr>
          <w:p w14:paraId="7426EDBF">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产出指标</w:t>
            </w:r>
          </w:p>
        </w:tc>
        <w:tc>
          <w:tcPr>
            <w:tcW w:w="1250" w:type="dxa"/>
            <w:shd w:val="clear" w:color="auto" w:fill="auto"/>
            <w:vAlign w:val="center"/>
          </w:tcPr>
          <w:p w14:paraId="210A8F2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数量指标</w:t>
            </w:r>
          </w:p>
        </w:tc>
        <w:tc>
          <w:tcPr>
            <w:tcW w:w="1644" w:type="dxa"/>
            <w:shd w:val="clear" w:color="auto" w:fill="auto"/>
            <w:vAlign w:val="center"/>
          </w:tcPr>
          <w:p w14:paraId="2BE3F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农村户厕改造提升</w:t>
            </w:r>
          </w:p>
        </w:tc>
        <w:tc>
          <w:tcPr>
            <w:tcW w:w="966" w:type="dxa"/>
            <w:shd w:val="clear" w:color="auto" w:fill="auto"/>
            <w:vAlign w:val="center"/>
          </w:tcPr>
          <w:p w14:paraId="1DB75797">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800" w:type="dxa"/>
            <w:shd w:val="clear" w:color="auto" w:fill="auto"/>
            <w:vAlign w:val="center"/>
          </w:tcPr>
          <w:p w14:paraId="35D5CCB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200</w:t>
            </w:r>
          </w:p>
        </w:tc>
        <w:tc>
          <w:tcPr>
            <w:tcW w:w="1061" w:type="dxa"/>
            <w:shd w:val="clear" w:color="auto" w:fill="auto"/>
            <w:vAlign w:val="center"/>
          </w:tcPr>
          <w:p w14:paraId="0D8C927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户</w:t>
            </w:r>
          </w:p>
        </w:tc>
        <w:tc>
          <w:tcPr>
            <w:tcW w:w="938" w:type="dxa"/>
            <w:shd w:val="clear" w:color="auto" w:fill="auto"/>
            <w:vAlign w:val="center"/>
          </w:tcPr>
          <w:p w14:paraId="6041F2B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15</w:t>
            </w:r>
          </w:p>
        </w:tc>
        <w:tc>
          <w:tcPr>
            <w:tcW w:w="1841" w:type="dxa"/>
            <w:shd w:val="clear" w:color="auto" w:fill="auto"/>
            <w:vAlign w:val="center"/>
          </w:tcPr>
          <w:p w14:paraId="2F1FFB6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hint="eastAsia" w:ascii="宋体" w:hAnsi="宋体" w:eastAsia="宋体" w:cs="宋体"/>
                <w:i w:val="0"/>
                <w:iCs w:val="0"/>
                <w:color w:val="000000"/>
                <w:kern w:val="0"/>
                <w:sz w:val="18"/>
                <w:szCs w:val="18"/>
                <w:u w:val="none"/>
                <w:lang w:val="en-US" w:eastAsia="zh-CN" w:bidi="ar"/>
              </w:rPr>
              <w:t>275</w:t>
            </w:r>
          </w:p>
        </w:tc>
      </w:tr>
      <w:tr w14:paraId="7492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jc w:val="center"/>
        </w:trPr>
        <w:tc>
          <w:tcPr>
            <w:tcW w:w="652" w:type="dxa"/>
            <w:vMerge w:val="continue"/>
            <w:shd w:val="clear" w:color="auto" w:fill="auto"/>
            <w:vAlign w:val="center"/>
          </w:tcPr>
          <w:p w14:paraId="776F0C1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shd w:val="clear" w:color="auto" w:fill="auto"/>
            <w:vAlign w:val="center"/>
          </w:tcPr>
          <w:p w14:paraId="226FAD4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shd w:val="clear" w:color="auto" w:fill="auto"/>
            <w:vAlign w:val="center"/>
          </w:tcPr>
          <w:p w14:paraId="48B2BA6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质量指标</w:t>
            </w:r>
          </w:p>
        </w:tc>
        <w:tc>
          <w:tcPr>
            <w:tcW w:w="1644" w:type="dxa"/>
            <w:shd w:val="clear" w:color="auto" w:fill="auto"/>
            <w:vAlign w:val="center"/>
          </w:tcPr>
          <w:p w14:paraId="70FFC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按批复后的实施方案质量要求完成项目建设</w:t>
            </w:r>
          </w:p>
        </w:tc>
        <w:tc>
          <w:tcPr>
            <w:tcW w:w="966" w:type="dxa"/>
            <w:shd w:val="clear" w:color="auto" w:fill="auto"/>
            <w:vAlign w:val="center"/>
          </w:tcPr>
          <w:p w14:paraId="46FC0E4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800" w:type="dxa"/>
            <w:shd w:val="clear" w:color="auto" w:fill="auto"/>
            <w:vAlign w:val="center"/>
          </w:tcPr>
          <w:p w14:paraId="53204F5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100</w:t>
            </w:r>
          </w:p>
        </w:tc>
        <w:tc>
          <w:tcPr>
            <w:tcW w:w="1061" w:type="dxa"/>
            <w:shd w:val="clear" w:color="auto" w:fill="auto"/>
            <w:vAlign w:val="center"/>
          </w:tcPr>
          <w:p w14:paraId="62FFD21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38" w:type="dxa"/>
            <w:shd w:val="clear" w:color="auto" w:fill="auto"/>
            <w:vAlign w:val="center"/>
          </w:tcPr>
          <w:p w14:paraId="25EFD47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15</w:t>
            </w:r>
          </w:p>
        </w:tc>
        <w:tc>
          <w:tcPr>
            <w:tcW w:w="1841" w:type="dxa"/>
            <w:shd w:val="clear" w:color="auto" w:fill="auto"/>
            <w:vAlign w:val="center"/>
          </w:tcPr>
          <w:p w14:paraId="713A38A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hint="eastAsia" w:ascii="宋体" w:hAnsi="宋体" w:eastAsia="宋体" w:cs="宋体"/>
                <w:i w:val="0"/>
                <w:iCs w:val="0"/>
                <w:color w:val="000000"/>
                <w:kern w:val="0"/>
                <w:sz w:val="18"/>
                <w:szCs w:val="18"/>
                <w:u w:val="none"/>
                <w:lang w:val="en-US" w:eastAsia="zh-CN" w:bidi="ar"/>
              </w:rPr>
              <w:t>100</w:t>
            </w:r>
          </w:p>
        </w:tc>
      </w:tr>
      <w:tr w14:paraId="1FB1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jc w:val="center"/>
        </w:trPr>
        <w:tc>
          <w:tcPr>
            <w:tcW w:w="652" w:type="dxa"/>
            <w:vMerge w:val="continue"/>
            <w:shd w:val="clear" w:color="auto" w:fill="auto"/>
            <w:vAlign w:val="center"/>
          </w:tcPr>
          <w:p w14:paraId="6ACD2BB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shd w:val="clear" w:color="auto" w:fill="auto"/>
            <w:vAlign w:val="center"/>
          </w:tcPr>
          <w:p w14:paraId="0870E9E2">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shd w:val="clear" w:color="auto" w:fill="auto"/>
            <w:vAlign w:val="center"/>
          </w:tcPr>
          <w:p w14:paraId="7EC381F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时效指标</w:t>
            </w:r>
          </w:p>
        </w:tc>
        <w:tc>
          <w:tcPr>
            <w:tcW w:w="1644" w:type="dxa"/>
            <w:shd w:val="clear" w:color="auto" w:fill="auto"/>
            <w:vAlign w:val="center"/>
          </w:tcPr>
          <w:p w14:paraId="5A3DD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年12月20日前完成</w:t>
            </w:r>
          </w:p>
        </w:tc>
        <w:tc>
          <w:tcPr>
            <w:tcW w:w="966" w:type="dxa"/>
            <w:shd w:val="clear" w:color="auto" w:fill="auto"/>
            <w:vAlign w:val="center"/>
          </w:tcPr>
          <w:p w14:paraId="7FA2CDE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800" w:type="dxa"/>
            <w:shd w:val="clear" w:color="auto" w:fill="auto"/>
            <w:vAlign w:val="center"/>
          </w:tcPr>
          <w:p w14:paraId="5A5F819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100</w:t>
            </w:r>
          </w:p>
        </w:tc>
        <w:tc>
          <w:tcPr>
            <w:tcW w:w="1061" w:type="dxa"/>
            <w:shd w:val="clear" w:color="auto" w:fill="auto"/>
            <w:vAlign w:val="center"/>
          </w:tcPr>
          <w:p w14:paraId="4554FA1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38" w:type="dxa"/>
            <w:shd w:val="clear" w:color="auto" w:fill="auto"/>
            <w:vAlign w:val="center"/>
          </w:tcPr>
          <w:p w14:paraId="52CB7D5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15</w:t>
            </w:r>
          </w:p>
        </w:tc>
        <w:tc>
          <w:tcPr>
            <w:tcW w:w="1841" w:type="dxa"/>
            <w:shd w:val="clear" w:color="auto" w:fill="auto"/>
            <w:vAlign w:val="center"/>
          </w:tcPr>
          <w:p w14:paraId="46885AC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年12月20日</w:t>
            </w:r>
          </w:p>
        </w:tc>
      </w:tr>
      <w:tr w14:paraId="756F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0" w:hRule="atLeast"/>
          <w:jc w:val="center"/>
        </w:trPr>
        <w:tc>
          <w:tcPr>
            <w:tcW w:w="652" w:type="dxa"/>
            <w:vMerge w:val="continue"/>
            <w:shd w:val="clear" w:color="auto" w:fill="auto"/>
            <w:vAlign w:val="center"/>
          </w:tcPr>
          <w:p w14:paraId="051B573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shd w:val="clear" w:color="auto" w:fill="auto"/>
            <w:vAlign w:val="center"/>
          </w:tcPr>
          <w:p w14:paraId="76170AFB">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效益指标</w:t>
            </w:r>
          </w:p>
        </w:tc>
        <w:tc>
          <w:tcPr>
            <w:tcW w:w="1250" w:type="dxa"/>
            <w:shd w:val="clear" w:color="auto" w:fill="auto"/>
            <w:vAlign w:val="center"/>
          </w:tcPr>
          <w:p w14:paraId="3B8DBBDA">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经济效益</w:t>
            </w:r>
          </w:p>
          <w:p w14:paraId="13C1FE8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644" w:type="dxa"/>
            <w:shd w:val="clear" w:color="auto" w:fill="auto"/>
            <w:vAlign w:val="center"/>
          </w:tcPr>
          <w:p w14:paraId="25EB7F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同时通过享受改厕补助，可有效调动群众建设积极性，带动其他相关投资建设</w:t>
            </w:r>
          </w:p>
        </w:tc>
        <w:tc>
          <w:tcPr>
            <w:tcW w:w="966" w:type="dxa"/>
            <w:shd w:val="clear" w:color="auto" w:fill="auto"/>
            <w:vAlign w:val="center"/>
          </w:tcPr>
          <w:p w14:paraId="7EDC6A4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定性</w:t>
            </w:r>
          </w:p>
        </w:tc>
        <w:tc>
          <w:tcPr>
            <w:tcW w:w="800" w:type="dxa"/>
            <w:shd w:val="clear" w:color="auto" w:fill="auto"/>
            <w:vAlign w:val="center"/>
          </w:tcPr>
          <w:p w14:paraId="1D81DAC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良好</w:t>
            </w:r>
          </w:p>
        </w:tc>
        <w:tc>
          <w:tcPr>
            <w:tcW w:w="1061" w:type="dxa"/>
            <w:shd w:val="clear" w:color="auto" w:fill="auto"/>
            <w:vAlign w:val="center"/>
          </w:tcPr>
          <w:p w14:paraId="04E30B5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其他</w:t>
            </w:r>
          </w:p>
        </w:tc>
        <w:tc>
          <w:tcPr>
            <w:tcW w:w="938" w:type="dxa"/>
            <w:shd w:val="clear" w:color="auto" w:fill="auto"/>
            <w:vAlign w:val="center"/>
          </w:tcPr>
          <w:p w14:paraId="1E0C390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shd w:val="clear" w:color="auto" w:fill="auto"/>
            <w:vAlign w:val="center"/>
          </w:tcPr>
          <w:p w14:paraId="60BEB37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良好</w:t>
            </w:r>
          </w:p>
        </w:tc>
      </w:tr>
      <w:tr w14:paraId="50AF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jc w:val="center"/>
        </w:trPr>
        <w:tc>
          <w:tcPr>
            <w:tcW w:w="652" w:type="dxa"/>
            <w:vMerge w:val="continue"/>
            <w:shd w:val="clear" w:color="auto" w:fill="auto"/>
            <w:vAlign w:val="center"/>
          </w:tcPr>
          <w:p w14:paraId="3AF7B1A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shd w:val="clear" w:color="auto" w:fill="auto"/>
            <w:vAlign w:val="center"/>
          </w:tcPr>
          <w:p w14:paraId="4EF61BF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shd w:val="clear" w:color="auto" w:fill="auto"/>
            <w:vAlign w:val="center"/>
          </w:tcPr>
          <w:p w14:paraId="43FC6504">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203FA15D">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644" w:type="dxa"/>
            <w:shd w:val="clear" w:color="auto" w:fill="auto"/>
            <w:vAlign w:val="center"/>
          </w:tcPr>
          <w:p w14:paraId="53810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改善项目实施村村容村貌，有利于村风文明建设，有利于村民身心健康及素质提升</w:t>
            </w:r>
          </w:p>
        </w:tc>
        <w:tc>
          <w:tcPr>
            <w:tcW w:w="966" w:type="dxa"/>
            <w:shd w:val="clear" w:color="auto" w:fill="auto"/>
            <w:vAlign w:val="center"/>
          </w:tcPr>
          <w:p w14:paraId="0545E59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定性</w:t>
            </w:r>
          </w:p>
        </w:tc>
        <w:tc>
          <w:tcPr>
            <w:tcW w:w="800" w:type="dxa"/>
            <w:shd w:val="clear" w:color="auto" w:fill="auto"/>
            <w:vAlign w:val="center"/>
          </w:tcPr>
          <w:p w14:paraId="6BFDF65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良好</w:t>
            </w:r>
          </w:p>
        </w:tc>
        <w:tc>
          <w:tcPr>
            <w:tcW w:w="1061" w:type="dxa"/>
            <w:shd w:val="clear" w:color="auto" w:fill="auto"/>
            <w:vAlign w:val="center"/>
          </w:tcPr>
          <w:p w14:paraId="53196E8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其他</w:t>
            </w:r>
          </w:p>
        </w:tc>
        <w:tc>
          <w:tcPr>
            <w:tcW w:w="938" w:type="dxa"/>
            <w:shd w:val="clear" w:color="auto" w:fill="auto"/>
            <w:vAlign w:val="center"/>
          </w:tcPr>
          <w:p w14:paraId="3B35158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shd w:val="clear" w:color="auto" w:fill="auto"/>
            <w:vAlign w:val="center"/>
          </w:tcPr>
          <w:p w14:paraId="777A567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2"/>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良好</w:t>
            </w:r>
          </w:p>
        </w:tc>
      </w:tr>
      <w:tr w14:paraId="023D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0" w:hRule="atLeast"/>
          <w:jc w:val="center"/>
        </w:trPr>
        <w:tc>
          <w:tcPr>
            <w:tcW w:w="652" w:type="dxa"/>
            <w:vMerge w:val="continue"/>
            <w:shd w:val="clear" w:color="auto" w:fill="auto"/>
            <w:vAlign w:val="center"/>
          </w:tcPr>
          <w:p w14:paraId="6CF8CD52">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shd w:val="clear" w:color="auto" w:fill="auto"/>
            <w:vAlign w:val="center"/>
          </w:tcPr>
          <w:p w14:paraId="59029C1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shd w:val="clear" w:color="auto" w:fill="auto"/>
            <w:vAlign w:val="center"/>
          </w:tcPr>
          <w:p w14:paraId="120B8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生态效益指标</w:t>
            </w:r>
          </w:p>
        </w:tc>
        <w:tc>
          <w:tcPr>
            <w:tcW w:w="1644" w:type="dxa"/>
            <w:shd w:val="clear" w:color="auto" w:fill="auto"/>
            <w:vAlign w:val="center"/>
          </w:tcPr>
          <w:p w14:paraId="23372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推进新农村建设、全面实施农村小康环保行动计划、解决农村环境综合整治</w:t>
            </w:r>
          </w:p>
        </w:tc>
        <w:tc>
          <w:tcPr>
            <w:tcW w:w="966" w:type="dxa"/>
            <w:shd w:val="clear" w:color="auto" w:fill="auto"/>
            <w:vAlign w:val="center"/>
          </w:tcPr>
          <w:p w14:paraId="12DD1DC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定性</w:t>
            </w:r>
          </w:p>
        </w:tc>
        <w:tc>
          <w:tcPr>
            <w:tcW w:w="800" w:type="dxa"/>
            <w:shd w:val="clear" w:color="auto" w:fill="auto"/>
            <w:vAlign w:val="center"/>
          </w:tcPr>
          <w:p w14:paraId="5A428C42">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良好</w:t>
            </w:r>
          </w:p>
        </w:tc>
        <w:tc>
          <w:tcPr>
            <w:tcW w:w="1061" w:type="dxa"/>
            <w:shd w:val="clear" w:color="auto" w:fill="auto"/>
            <w:vAlign w:val="center"/>
          </w:tcPr>
          <w:p w14:paraId="69D923B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其他</w:t>
            </w:r>
          </w:p>
        </w:tc>
        <w:tc>
          <w:tcPr>
            <w:tcW w:w="938" w:type="dxa"/>
            <w:shd w:val="clear" w:color="auto" w:fill="auto"/>
            <w:vAlign w:val="center"/>
          </w:tcPr>
          <w:p w14:paraId="64BDB70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shd w:val="clear" w:color="auto" w:fill="auto"/>
            <w:vAlign w:val="center"/>
          </w:tcPr>
          <w:p w14:paraId="571D3916">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auto"/>
                <w:kern w:val="0"/>
                <w:sz w:val="16"/>
                <w:szCs w:val="16"/>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良好</w:t>
            </w:r>
          </w:p>
        </w:tc>
      </w:tr>
      <w:tr w14:paraId="1607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0" w:hRule="atLeast"/>
          <w:jc w:val="center"/>
        </w:trPr>
        <w:tc>
          <w:tcPr>
            <w:tcW w:w="652" w:type="dxa"/>
            <w:vMerge w:val="continue"/>
            <w:shd w:val="clear" w:color="auto" w:fill="auto"/>
            <w:vAlign w:val="center"/>
          </w:tcPr>
          <w:p w14:paraId="0D82CFD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shd w:val="clear" w:color="auto" w:fill="auto"/>
            <w:vAlign w:val="center"/>
          </w:tcPr>
          <w:p w14:paraId="67E39FD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shd w:val="clear" w:color="auto" w:fill="auto"/>
            <w:vAlign w:val="center"/>
          </w:tcPr>
          <w:p w14:paraId="7A66D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可持续影响指标</w:t>
            </w:r>
          </w:p>
        </w:tc>
        <w:tc>
          <w:tcPr>
            <w:tcW w:w="1644" w:type="dxa"/>
            <w:shd w:val="clear" w:color="auto" w:fill="auto"/>
            <w:vAlign w:val="center"/>
          </w:tcPr>
          <w:p w14:paraId="53250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可持续</w:t>
            </w:r>
          </w:p>
        </w:tc>
        <w:tc>
          <w:tcPr>
            <w:tcW w:w="966" w:type="dxa"/>
            <w:shd w:val="clear" w:color="auto" w:fill="auto"/>
            <w:vAlign w:val="center"/>
          </w:tcPr>
          <w:p w14:paraId="4D22E57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定性</w:t>
            </w:r>
          </w:p>
        </w:tc>
        <w:tc>
          <w:tcPr>
            <w:tcW w:w="800" w:type="dxa"/>
            <w:shd w:val="clear" w:color="auto" w:fill="auto"/>
            <w:vAlign w:val="center"/>
          </w:tcPr>
          <w:p w14:paraId="69589D6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良好</w:t>
            </w:r>
          </w:p>
        </w:tc>
        <w:tc>
          <w:tcPr>
            <w:tcW w:w="1061" w:type="dxa"/>
            <w:shd w:val="clear" w:color="auto" w:fill="auto"/>
            <w:vAlign w:val="center"/>
          </w:tcPr>
          <w:p w14:paraId="05F2D5E7">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其他</w:t>
            </w:r>
          </w:p>
        </w:tc>
        <w:tc>
          <w:tcPr>
            <w:tcW w:w="938" w:type="dxa"/>
            <w:shd w:val="clear" w:color="auto" w:fill="auto"/>
            <w:vAlign w:val="center"/>
          </w:tcPr>
          <w:p w14:paraId="3338300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5</w:t>
            </w:r>
          </w:p>
        </w:tc>
        <w:tc>
          <w:tcPr>
            <w:tcW w:w="1841" w:type="dxa"/>
            <w:shd w:val="clear" w:color="auto" w:fill="auto"/>
            <w:vAlign w:val="center"/>
          </w:tcPr>
          <w:p w14:paraId="2B4302E1">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i/>
                <w:iCs/>
                <w:color w:val="auto"/>
                <w:kern w:val="0"/>
                <w:sz w:val="16"/>
                <w:szCs w:val="16"/>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良好</w:t>
            </w:r>
          </w:p>
        </w:tc>
      </w:tr>
      <w:tr w14:paraId="17BB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15" w:hRule="atLeast"/>
          <w:jc w:val="center"/>
        </w:trPr>
        <w:tc>
          <w:tcPr>
            <w:tcW w:w="652" w:type="dxa"/>
            <w:vMerge w:val="continue"/>
            <w:shd w:val="clear" w:color="auto" w:fill="auto"/>
            <w:vAlign w:val="center"/>
          </w:tcPr>
          <w:p w14:paraId="4C299F99">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shd w:val="clear" w:color="auto" w:fill="auto"/>
            <w:vAlign w:val="center"/>
          </w:tcPr>
          <w:p w14:paraId="28C0CA48">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5FC9BB70">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250" w:type="dxa"/>
            <w:shd w:val="clear" w:color="auto" w:fill="auto"/>
            <w:vAlign w:val="center"/>
          </w:tcPr>
          <w:p w14:paraId="0A16F8C1">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7ED35C0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满意度指标</w:t>
            </w:r>
          </w:p>
        </w:tc>
        <w:tc>
          <w:tcPr>
            <w:tcW w:w="1644" w:type="dxa"/>
            <w:shd w:val="clear" w:color="auto" w:fill="auto"/>
            <w:vAlign w:val="center"/>
          </w:tcPr>
          <w:p w14:paraId="066A9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推进新农村建设、全面实施农村小康环保行动计划、解决农村环境综合整治</w:t>
            </w:r>
          </w:p>
        </w:tc>
        <w:tc>
          <w:tcPr>
            <w:tcW w:w="966" w:type="dxa"/>
            <w:shd w:val="clear" w:color="auto" w:fill="auto"/>
            <w:vAlign w:val="center"/>
          </w:tcPr>
          <w:p w14:paraId="5D2DFD7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800" w:type="dxa"/>
            <w:shd w:val="clear" w:color="auto" w:fill="auto"/>
            <w:vAlign w:val="center"/>
          </w:tcPr>
          <w:p w14:paraId="6602E3D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90</w:t>
            </w:r>
          </w:p>
        </w:tc>
        <w:tc>
          <w:tcPr>
            <w:tcW w:w="1061" w:type="dxa"/>
            <w:shd w:val="clear" w:color="auto" w:fill="auto"/>
            <w:vAlign w:val="center"/>
          </w:tcPr>
          <w:p w14:paraId="2B5AFE2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38" w:type="dxa"/>
            <w:shd w:val="clear" w:color="auto" w:fill="auto"/>
            <w:vAlign w:val="center"/>
          </w:tcPr>
          <w:p w14:paraId="15C1613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10</w:t>
            </w:r>
          </w:p>
        </w:tc>
        <w:tc>
          <w:tcPr>
            <w:tcW w:w="1841" w:type="dxa"/>
            <w:shd w:val="clear" w:color="auto" w:fill="auto"/>
            <w:vAlign w:val="center"/>
          </w:tcPr>
          <w:p w14:paraId="7C16E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4"/>
                <w:szCs w:val="24"/>
                <w:highlight w:val="none"/>
                <w:lang w:val="en-US"/>
              </w:rPr>
            </w:pPr>
            <w:r>
              <w:rPr>
                <w:rFonts w:hint="eastAsia" w:ascii="宋体" w:hAnsi="宋体" w:eastAsia="宋体" w:cs="宋体"/>
                <w:i w:val="0"/>
                <w:iCs w:val="0"/>
                <w:color w:val="auto"/>
                <w:kern w:val="0"/>
                <w:sz w:val="18"/>
                <w:szCs w:val="18"/>
                <w:highlight w:val="none"/>
                <w:u w:val="none"/>
                <w:lang w:val="en-US" w:eastAsia="zh-CN" w:bidi="ar"/>
              </w:rPr>
              <w:t>90</w:t>
            </w:r>
          </w:p>
        </w:tc>
      </w:tr>
    </w:tbl>
    <w:p w14:paraId="647EF244">
      <w:pPr>
        <w:widowControl/>
        <w:spacing w:before="0" w:beforeAutospacing="0" w:after="0" w:afterAutospacing="0"/>
        <w:ind w:left="0" w:right="0"/>
        <w:jc w:val="left"/>
        <w:rPr>
          <w:rFonts w:hint="eastAsia" w:ascii="宋体" w:hAnsi="Times New Roman" w:cs="宋体"/>
          <w:kern w:val="0"/>
          <w:sz w:val="24"/>
          <w:lang w:val="en-US" w:eastAsia="zh-CN"/>
        </w:rPr>
      </w:pPr>
    </w:p>
    <w:p w14:paraId="02604A98">
      <w:pPr>
        <w:pStyle w:val="2"/>
        <w:rPr>
          <w:rFonts w:hint="eastAsia"/>
          <w:lang w:val="en-US" w:eastAsia="zh-CN"/>
        </w:rPr>
      </w:pPr>
    </w:p>
    <w:p w14:paraId="1CF3EDF2">
      <w:pPr>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jc w:val="center"/>
        <w:textAlignment w:val="auto"/>
        <w:outlineLvl w:val="0"/>
        <w:rPr>
          <w:rFonts w:ascii="宋体" w:hAnsi="宋体" w:eastAsia="宋体" w:cs="Times New Roman"/>
          <w:color w:val="auto"/>
          <w:kern w:val="2"/>
          <w:sz w:val="32"/>
          <w:szCs w:val="32"/>
          <w:highlight w:val="none"/>
          <w:lang w:val="zh-CN" w:eastAsia="zh-CN" w:bidi="ar-SA"/>
        </w:rPr>
      </w:pPr>
      <w:bookmarkStart w:id="184" w:name="_Toc10091"/>
      <w:bookmarkStart w:id="185" w:name="_Toc18286"/>
      <w:r>
        <w:rPr>
          <w:rFonts w:hint="eastAsia" w:ascii="方正小标宋简体" w:hAnsi="方正小标宋简体" w:eastAsia="方正小标宋简体" w:cs="方正小标宋简体"/>
          <w:color w:val="auto"/>
          <w:kern w:val="2"/>
          <w:sz w:val="44"/>
          <w:szCs w:val="44"/>
          <w:highlight w:val="none"/>
          <w:lang w:val="en-US" w:eastAsia="zh-CN" w:bidi="ar-SA"/>
        </w:rPr>
        <w:t>2023年沙坝镇三龙富锶特色果蔬现代农业园区建设项目绩效评价报告</w:t>
      </w:r>
      <w:bookmarkEnd w:id="184"/>
      <w:bookmarkEnd w:id="185"/>
    </w:p>
    <w:p w14:paraId="38B61BB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1"/>
        <w:rPr>
          <w:rFonts w:ascii="黑体" w:hAnsi="宋体" w:eastAsia="黑体" w:cs="Times New Roman"/>
          <w:kern w:val="2"/>
          <w:sz w:val="32"/>
          <w:szCs w:val="32"/>
          <w:highlight w:val="none"/>
          <w:lang w:val="zh-CN"/>
        </w:rPr>
      </w:pPr>
      <w:bookmarkStart w:id="186" w:name="_Toc27325"/>
      <w:bookmarkStart w:id="187" w:name="_Toc15521"/>
      <w:r>
        <w:rPr>
          <w:rFonts w:hint="eastAsia" w:ascii="黑体" w:hAnsi="宋体" w:eastAsia="黑体" w:cs="Times New Roman"/>
          <w:kern w:val="2"/>
          <w:sz w:val="32"/>
          <w:szCs w:val="32"/>
          <w:highlight w:val="none"/>
        </w:rPr>
        <w:t>一、</w:t>
      </w:r>
      <w:r>
        <w:rPr>
          <w:rFonts w:hint="eastAsia" w:ascii="黑体" w:hAnsi="宋体" w:eastAsia="黑体" w:cs="Times New Roman"/>
          <w:kern w:val="2"/>
          <w:sz w:val="32"/>
          <w:szCs w:val="32"/>
          <w:highlight w:val="none"/>
          <w:lang w:val="zh-CN"/>
        </w:rPr>
        <w:t>项目概况</w:t>
      </w:r>
      <w:bookmarkEnd w:id="186"/>
      <w:bookmarkEnd w:id="187"/>
    </w:p>
    <w:p w14:paraId="7E9C5FC2">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contextualSpacing/>
        <w:jc w:val="left"/>
        <w:textAlignment w:val="auto"/>
        <w:rPr>
          <w:rFonts w:hint="eastAsia" w:ascii="仿宋_GB2312" w:hAnsi="仿宋_GB2312" w:eastAsia="仿宋_GB2312" w:cs="仿宋_GB2312"/>
          <w:kern w:val="2"/>
          <w:sz w:val="32"/>
          <w:szCs w:val="32"/>
          <w:lang w:val="zh-CN"/>
        </w:rPr>
      </w:pPr>
      <w:r>
        <w:rPr>
          <w:rFonts w:hint="eastAsia" w:ascii="楷体_GB2312" w:hAnsi="宋体" w:eastAsia="楷体_GB2312" w:cs="Times New Roman"/>
          <w:b/>
          <w:color w:val="auto"/>
          <w:kern w:val="2"/>
          <w:sz w:val="32"/>
          <w:szCs w:val="32"/>
          <w:highlight w:val="none"/>
          <w:u w:val="none"/>
          <w:lang w:val="zh-CN"/>
        </w:rPr>
        <w:t>（一）设立背景及基本情况。</w:t>
      </w:r>
      <w:r>
        <w:rPr>
          <w:rFonts w:hint="eastAsia" w:ascii="仿宋_GB2312" w:hAnsi="仿宋_GB2312" w:eastAsia="仿宋_GB2312" w:cs="仿宋_GB2312"/>
          <w:kern w:val="2"/>
          <w:sz w:val="32"/>
          <w:szCs w:val="32"/>
          <w:lang w:val="en-US" w:eastAsia="zh-CN"/>
        </w:rPr>
        <w:t>根据《茂县财政局关于下达2023年统筹整合使用财政涉农资金及财政衔接推进乡村振兴补助资金（第一批）的通知》（茂财农【2023】17号），《茂县财政局关于下达2023年（州级）财政衔接推进乡村振兴补助资金项目（第二批）的通知》（茂财农【2023】29号），《关于调整2023年度财政衔接推进乡村振兴补助资金的通知》（茂财农【2023】65号）下达茂县沙坝镇富锶特色果蔬现代园区建设项目597.08万元。项目拟实施产业基础建设，水肥一体化设施建设300亩、李树高换50亩、矮种苹果改良示范50亩、新建农业废弃物回收站6座；二、设施装备建设。采购防雹炮1台、太阳能防虫灯150盏、防虫黄板12万张；三、产品加工仓储建设。新建农产品分拣中心4个，改建56平米数字农业服务平台1套、配套建设农产品可追溯体系1套、数字农业控制中心1个；四、农业新业态建设。改建电商示范基地1个、补贴建设庭院经济10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w:t>
      </w:r>
      <w:r>
        <w:rPr>
          <w:rFonts w:hint="eastAsia" w:ascii="仿宋_GB2312" w:hAnsi="Calibri" w:eastAsia="仿宋_GB2312" w:cs="仿宋_GB2312"/>
          <w:kern w:val="2"/>
          <w:sz w:val="32"/>
          <w:szCs w:val="32"/>
        </w:rPr>
        <w:t>按照《四川省发展和改革委员会等9部门关于村庄建设项目施行简易审批的实施意见》（川发改农经〔2021〕43号）文件、《茂县人民政府办公室关于印发&lt;关于以“ 民办公助 、 村民自建”方式推进财政支农项目建设的实施意见（试行）&gt;的通知》（茂府办发〔2022〕13号）文件规定，推行村民自建和委托建设相结合的方式组织项目建设。庭院经济发展建设项目验收合格后按照群众自筹建设资金额60%的比例实行补助，每户补助额最高不超过</w:t>
      </w:r>
      <w:r>
        <w:rPr>
          <w:rFonts w:ascii="仿宋_GB2312" w:hAnsi="Calibri" w:eastAsia="仿宋_GB2312" w:cs="仿宋_GB2312"/>
          <w:kern w:val="2"/>
          <w:sz w:val="32"/>
          <w:szCs w:val="32"/>
        </w:rPr>
        <w:t>2</w:t>
      </w:r>
      <w:r>
        <w:rPr>
          <w:rFonts w:hint="eastAsia" w:ascii="仿宋_GB2312" w:hAnsi="Calibri" w:eastAsia="仿宋_GB2312" w:cs="仿宋_GB2312"/>
          <w:kern w:val="2"/>
          <w:sz w:val="32"/>
          <w:szCs w:val="32"/>
        </w:rPr>
        <w:t>万元。</w:t>
      </w:r>
    </w:p>
    <w:p w14:paraId="3E40C4B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ascii="楷体_GB2312" w:hAnsi="宋体" w:eastAsia="楷体_GB2312" w:cs="Times New Roman"/>
          <w:b/>
          <w:kern w:val="2"/>
          <w:sz w:val="21"/>
          <w:lang w:val="zh-CN"/>
        </w:rPr>
      </w:pPr>
      <w:r>
        <w:rPr>
          <w:rFonts w:hint="eastAsia" w:ascii="楷体_GB2312" w:hAnsi="宋体" w:eastAsia="楷体_GB2312" w:cs="Times New Roman"/>
          <w:b/>
          <w:color w:val="auto"/>
          <w:kern w:val="2"/>
          <w:sz w:val="32"/>
          <w:szCs w:val="32"/>
          <w:highlight w:val="none"/>
          <w:u w:val="none"/>
          <w:lang w:val="en-US" w:eastAsia="zh-CN"/>
        </w:rPr>
        <w:t>（二）</w:t>
      </w:r>
      <w:r>
        <w:rPr>
          <w:rFonts w:hint="default" w:ascii="楷体_GB2312" w:hAnsi="宋体" w:eastAsia="楷体_GB2312" w:cs="Times New Roman"/>
          <w:b/>
          <w:color w:val="auto"/>
          <w:kern w:val="2"/>
          <w:sz w:val="32"/>
          <w:szCs w:val="32"/>
          <w:highlight w:val="none"/>
          <w:u w:val="none"/>
          <w:lang w:val="en-US" w:eastAsia="zh-CN"/>
        </w:rPr>
        <w:t>实施目的及支持方向</w:t>
      </w:r>
      <w:r>
        <w:rPr>
          <w:rFonts w:hint="eastAsia" w:ascii="楷体_GB2312" w:hAnsi="宋体" w:eastAsia="楷体_GB2312" w:cs="Times New Roman"/>
          <w:b/>
          <w:color w:val="auto"/>
          <w:kern w:val="2"/>
          <w:sz w:val="32"/>
          <w:szCs w:val="32"/>
          <w:highlight w:val="none"/>
          <w:u w:val="none"/>
          <w:lang w:val="en-US" w:eastAsia="zh-CN"/>
        </w:rPr>
        <w:t>。</w:t>
      </w:r>
      <w:r>
        <w:rPr>
          <w:rFonts w:hint="eastAsia" w:ascii="仿宋_GB2312" w:hAnsi="仿宋_GB2312" w:eastAsia="仿宋_GB2312" w:cs="仿宋_GB2312"/>
          <w:kern w:val="2"/>
          <w:sz w:val="32"/>
          <w:szCs w:val="32"/>
          <w:lang w:val="en-US" w:eastAsia="zh-CN"/>
        </w:rPr>
        <w:t>严格按照《四川省财政厅 四川省农业农村厅 四川省乡村振兴共同财政事权转移支付资金管理办法的通知》（川财农﹝2022﹞16号）进行项目设计和资金支付。项目实施目的是推进项目区域内产业发展、加强综合防灾减能力、提高农作物产量和促进农民增收，项目支持方向为农业产业发展。</w:t>
      </w:r>
    </w:p>
    <w:p w14:paraId="5735BFA5">
      <w:pPr>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contextualSpacing/>
        <w:jc w:val="left"/>
        <w:textAlignment w:val="auto"/>
        <w:rPr>
          <w:rFonts w:hint="eastAsia"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highlight w:val="none"/>
          <w:u w:val="none"/>
          <w:lang w:val="zh-CN" w:eastAsia="zh-CN"/>
        </w:rPr>
        <w:t>（三）</w:t>
      </w:r>
      <w:r>
        <w:rPr>
          <w:rFonts w:hint="default" w:ascii="楷体_GB2312" w:hAnsi="宋体" w:eastAsia="楷体_GB2312" w:cs="Times New Roman"/>
          <w:b/>
          <w:color w:val="auto"/>
          <w:kern w:val="2"/>
          <w:sz w:val="32"/>
          <w:szCs w:val="32"/>
          <w:highlight w:val="none"/>
          <w:u w:val="none"/>
          <w:lang w:val="en-US" w:eastAsia="zh-CN"/>
        </w:rPr>
        <w:t>预算安排及分配管理</w:t>
      </w:r>
      <w:r>
        <w:rPr>
          <w:rFonts w:hint="eastAsia" w:ascii="楷体_GB2312" w:hAnsi="宋体" w:eastAsia="楷体_GB2312" w:cs="Times New Roman"/>
          <w:b/>
          <w:color w:val="auto"/>
          <w:kern w:val="2"/>
          <w:sz w:val="32"/>
          <w:szCs w:val="32"/>
          <w:highlight w:val="none"/>
          <w:u w:val="none"/>
          <w:lang w:val="en-US" w:eastAsia="zh-CN"/>
        </w:rPr>
        <w:t>。</w:t>
      </w:r>
      <w:r>
        <w:rPr>
          <w:rFonts w:hint="eastAsia" w:ascii="仿宋_GB2312" w:hAnsi="仿宋_GB2312" w:eastAsia="仿宋_GB2312" w:cs="仿宋_GB2312"/>
          <w:kern w:val="2"/>
          <w:sz w:val="32"/>
          <w:szCs w:val="32"/>
          <w:lang w:val="en-US" w:eastAsia="zh-CN"/>
        </w:rPr>
        <w:t>根据《茂县财政局关于下达2023年统筹整合使用财政涉农资金及财政衔接推进乡村振兴补助资金（第一批）的通知》（茂财农【2023】17号），《茂县财政局关于下达2023年（州级）财政衔接推进乡村振兴补助资金项目（第二批）的通知》（茂财农【2023】29号），《关于调整2023年度财政衔接推进乡村振兴补助资金的通知》（茂财农【2023】65号），下达茂县沙坝镇富锶特色果蔬现代园区建设项目597.08万元。主要用于：一、实施产业基础建设，水肥一体化设施建设300亩、李树高换50亩、矮种苹果改良示范50亩、新建农业废弃物回收站6座；二、设施装备建设，采购防雹炮1台、太阳能防虫灯150盏、防虫黄板12万张；三、产品加工仓储建设，新建农产品分拣中心4个，改建56平米数字农业服务平台1套、配套建设农产品可追溯体系1套、数字农业控制中心1个；四、农业新业态建设，改建电商示范基地1个、补贴建设庭院经济10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w:t>
      </w:r>
    </w:p>
    <w:p w14:paraId="261478F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highlight w:val="none"/>
          <w:u w:val="none"/>
          <w:lang w:val="zh-CN" w:eastAsia="zh-CN"/>
        </w:rPr>
        <w:t>（四）项目绩效目标设置。</w:t>
      </w:r>
      <w:r>
        <w:rPr>
          <w:rFonts w:hint="eastAsia" w:ascii="仿宋_GB2312" w:hAnsi="仿宋_GB2312" w:eastAsia="仿宋_GB2312" w:cs="仿宋_GB2312"/>
          <w:kern w:val="2"/>
          <w:sz w:val="32"/>
          <w:szCs w:val="32"/>
          <w:lang w:val="en-US" w:eastAsia="zh-CN"/>
        </w:rPr>
        <w:t>项目制定了茂县沙坝镇富锶特色果蔬现代园区建设项目实施方案，并明确了建设内容为实施：一、产业基础建设。水肥一体化设施建设300亩、李树高换50亩、矮种苹果改良示范50亩、新建农业废弃物回收站6座；二、设施装备建设。采购防雹炮1台、太阳能防虫灯150盏、防虫黄板12万张；三、产品加工仓储建设。新建农产品分拣中心4个，改建56平米数字农业服务平台1套、配套建设农产品可追溯体系1套、数字农业控制中心1个；四、农业新业态建设。改建电商示范基地1个、补贴建设庭院经济10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明确了目标任务，项目通过村、镇进行初验自评后，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进行验收自评。</w:t>
      </w:r>
    </w:p>
    <w:p w14:paraId="379704B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960" w:firstLineChars="300"/>
        <w:jc w:val="both"/>
        <w:textAlignment w:val="auto"/>
        <w:outlineLvl w:val="1"/>
        <w:rPr>
          <w:rFonts w:hint="eastAsia" w:ascii="黑体" w:hAnsi="宋体" w:eastAsia="黑体" w:cs="Times New Roman"/>
          <w:kern w:val="2"/>
          <w:sz w:val="32"/>
          <w:szCs w:val="32"/>
          <w:highlight w:val="none"/>
          <w:lang w:eastAsia="zh-CN"/>
        </w:rPr>
      </w:pPr>
      <w:bookmarkStart w:id="188" w:name="_Toc30528"/>
      <w:bookmarkStart w:id="189" w:name="_Toc31945"/>
      <w:r>
        <w:rPr>
          <w:rFonts w:hint="eastAsia" w:ascii="黑体" w:hAnsi="宋体" w:eastAsia="黑体" w:cs="Times New Roman"/>
          <w:kern w:val="2"/>
          <w:sz w:val="32"/>
          <w:szCs w:val="32"/>
          <w:highlight w:val="none"/>
        </w:rPr>
        <w:t>二、</w:t>
      </w:r>
      <w:r>
        <w:rPr>
          <w:rFonts w:hint="eastAsia" w:ascii="黑体" w:hAnsi="宋体" w:eastAsia="黑体" w:cs="Times New Roman"/>
          <w:kern w:val="2"/>
          <w:sz w:val="32"/>
          <w:szCs w:val="32"/>
          <w:highlight w:val="none"/>
          <w:lang w:eastAsia="zh-CN"/>
        </w:rPr>
        <w:t>评价实施</w:t>
      </w:r>
      <w:bookmarkEnd w:id="188"/>
      <w:bookmarkEnd w:id="189"/>
    </w:p>
    <w:p w14:paraId="76C7F28F">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firstLine="640"/>
        <w:jc w:val="both"/>
        <w:textAlignment w:val="auto"/>
        <w:outlineLvl w:val="9"/>
        <w:rPr>
          <w:rFonts w:hint="eastAsia" w:ascii="仿宋_GB2312" w:hAnsi="仿宋_GB2312" w:eastAsia="仿宋_GB2312" w:cs="仿宋_GB2312"/>
          <w:kern w:val="2"/>
          <w:sz w:val="32"/>
          <w:szCs w:val="32"/>
          <w:lang w:val="zh-CN" w:eastAsia="zh-CN"/>
        </w:rPr>
      </w:pPr>
      <w:r>
        <w:rPr>
          <w:rFonts w:hint="eastAsia" w:ascii="楷体_GB2312" w:hAnsi="宋体" w:eastAsia="楷体_GB2312" w:cs="Times New Roman"/>
          <w:b/>
          <w:color w:val="auto"/>
          <w:kern w:val="2"/>
          <w:sz w:val="32"/>
          <w:szCs w:val="32"/>
          <w:highlight w:val="none"/>
          <w:u w:val="none"/>
          <w:lang w:val="zh-CN"/>
        </w:rPr>
        <w:t>（一）评价目的。</w:t>
      </w:r>
      <w:r>
        <w:rPr>
          <w:rFonts w:hint="eastAsia" w:ascii="仿宋_GB2312" w:hAnsi="仿宋_GB2312" w:eastAsia="仿宋_GB2312" w:cs="仿宋_GB2312"/>
          <w:kern w:val="2"/>
          <w:sz w:val="32"/>
          <w:szCs w:val="32"/>
          <w:lang w:val="zh-CN" w:eastAsia="zh-CN"/>
        </w:rPr>
        <w:t>通过项目的绩效自评能让项目承担单位及时掌握项目建设的目标任务是否完成，项目资金的使用情况是否合理，为下一步项目的顺利实施奠定基础。</w:t>
      </w:r>
    </w:p>
    <w:p w14:paraId="12996D9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outlineLvl w:val="9"/>
        <w:rPr>
          <w:rFonts w:hint="default"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highlight w:val="none"/>
          <w:u w:val="none"/>
          <w:lang w:val="zh-CN"/>
        </w:rPr>
        <w:t>（二）预设问题及评价重点。</w:t>
      </w:r>
      <w:r>
        <w:rPr>
          <w:rFonts w:hint="eastAsia" w:ascii="仿宋_GB2312" w:hAnsi="仿宋_GB2312" w:eastAsia="仿宋_GB2312" w:cs="仿宋_GB2312"/>
          <w:kern w:val="2"/>
          <w:sz w:val="32"/>
          <w:szCs w:val="32"/>
          <w:lang w:val="en-US" w:eastAsia="zh-CN"/>
        </w:rPr>
        <w:t>项目资金共计597.08万元，目前已支付项目资金590.97万元，剩余6.11万元未支付，已退回财政局。资金支出时，由村、镇进行资料收集整理报</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科教站、财务室审核，经单位分管领导和主要领导签字后予以支付，项目资金支付符合资金管理办法相关要求。</w:t>
      </w:r>
    </w:p>
    <w:p w14:paraId="330F2D7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outlineLvl w:val="9"/>
        <w:rPr>
          <w:rFonts w:hint="default"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highlight w:val="none"/>
          <w:u w:val="none"/>
          <w:lang w:val="zh-CN"/>
        </w:rPr>
        <w:t>（三）评价选点。</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对项目进行实地验收，分别核查了数字农业控制中心、设施装备建设、产品加工仓储建设、农业新业态建设、数字农业服务平台建设情况等。</w:t>
      </w:r>
    </w:p>
    <w:p w14:paraId="7A0A6641">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firstLine="640"/>
        <w:jc w:val="both"/>
        <w:textAlignment w:val="auto"/>
        <w:outlineLvl w:val="9"/>
        <w:rPr>
          <w:rFonts w:hint="eastAsia"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highlight w:val="none"/>
          <w:u w:val="none"/>
          <w:lang w:val="zh-CN"/>
        </w:rPr>
        <w:t>（四）评价方法。</w:t>
      </w:r>
      <w:r>
        <w:rPr>
          <w:rFonts w:hint="eastAsia" w:ascii="仿宋_GB2312" w:hAnsi="仿宋_GB2312" w:eastAsia="仿宋_GB2312" w:cs="仿宋_GB2312"/>
          <w:kern w:val="2"/>
          <w:sz w:val="32"/>
          <w:szCs w:val="32"/>
          <w:lang w:val="zh-CN" w:eastAsia="zh-CN"/>
        </w:rPr>
        <w:t>项目由村、镇</w:t>
      </w:r>
      <w:r>
        <w:rPr>
          <w:rFonts w:hint="eastAsia" w:ascii="仿宋_GB2312" w:hAnsi="仿宋_GB2312" w:eastAsia="仿宋_GB2312" w:cs="仿宋_GB2312"/>
          <w:kern w:val="2"/>
          <w:sz w:val="32"/>
          <w:szCs w:val="32"/>
          <w:lang w:val="en-US" w:eastAsia="zh-CN"/>
        </w:rPr>
        <w:t>对照要求进行自查，分别提供相关资料、数据、情况，由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组织验收并出具报告，并采取实地勘察法进行验收</w:t>
      </w:r>
      <w:r>
        <w:rPr>
          <w:rFonts w:hint="eastAsia" w:ascii="仿宋_GB2312" w:hAnsi="仿宋_GB2312" w:cs="仿宋_GB2312"/>
          <w:kern w:val="2"/>
          <w:sz w:val="32"/>
          <w:szCs w:val="32"/>
          <w:lang w:val="en-US" w:eastAsia="zh-CN"/>
        </w:rPr>
        <w:t>。</w:t>
      </w:r>
    </w:p>
    <w:p w14:paraId="4256113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zh-CN" w:eastAsia="zh-CN"/>
        </w:rPr>
      </w:pPr>
      <w:r>
        <w:rPr>
          <w:rFonts w:hint="eastAsia" w:ascii="楷体_GB2312" w:hAnsi="宋体" w:eastAsia="楷体_GB2312" w:cs="Times New Roman"/>
          <w:b/>
          <w:color w:val="auto"/>
          <w:kern w:val="2"/>
          <w:sz w:val="32"/>
          <w:szCs w:val="32"/>
          <w:highlight w:val="none"/>
          <w:u w:val="none"/>
          <w:lang w:val="zh-CN"/>
        </w:rPr>
        <w:t>（五）评价组织。</w:t>
      </w: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分管领导、科教站和镇村负责同志组成项目评价工作组，对项目总体情况、项目资金支出、项目目标绩效等进行评价，项目镇村负责协调相关事宜。</w:t>
      </w:r>
    </w:p>
    <w:p w14:paraId="45B7C3C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1"/>
        <w:rPr>
          <w:rFonts w:ascii="仿宋_GB2312" w:hAnsi="宋体" w:eastAsia="仿宋_GB2312" w:cs="Times New Roman"/>
          <w:color w:val="auto"/>
          <w:kern w:val="2"/>
          <w:sz w:val="32"/>
          <w:szCs w:val="32"/>
          <w:highlight w:val="none"/>
          <w:u w:val="none"/>
          <w:lang w:val="zh-CN"/>
        </w:rPr>
      </w:pPr>
      <w:bookmarkStart w:id="190" w:name="_Toc13798"/>
      <w:bookmarkStart w:id="191" w:name="_Toc27283"/>
      <w:r>
        <w:rPr>
          <w:rFonts w:hint="eastAsia" w:ascii="黑体" w:hAnsi="宋体" w:eastAsia="黑体" w:cs="Times New Roman"/>
          <w:color w:val="auto"/>
          <w:kern w:val="2"/>
          <w:sz w:val="32"/>
          <w:szCs w:val="32"/>
          <w:highlight w:val="none"/>
          <w:u w:val="none"/>
        </w:rPr>
        <w:t>三、</w:t>
      </w:r>
      <w:r>
        <w:rPr>
          <w:rFonts w:hint="eastAsia" w:ascii="黑体" w:hAnsi="宋体" w:eastAsia="黑体" w:cs="Times New Roman"/>
          <w:color w:val="auto"/>
          <w:kern w:val="2"/>
          <w:sz w:val="32"/>
          <w:szCs w:val="32"/>
          <w:highlight w:val="none"/>
          <w:u w:val="none"/>
          <w:lang w:eastAsia="zh-CN"/>
        </w:rPr>
        <w:t>绩效分析</w:t>
      </w:r>
      <w:bookmarkEnd w:id="190"/>
      <w:bookmarkEnd w:id="191"/>
      <w:r>
        <w:rPr>
          <w:rFonts w:hint="eastAsia" w:ascii="仿宋_GB2312" w:hAnsi="宋体" w:eastAsia="仿宋_GB2312" w:cs="Times New Roman"/>
          <w:color w:val="auto"/>
          <w:kern w:val="2"/>
          <w:sz w:val="32"/>
          <w:szCs w:val="32"/>
          <w:highlight w:val="none"/>
          <w:u w:val="none"/>
          <w:lang w:val="zh-CN"/>
        </w:rPr>
        <w:tab/>
      </w:r>
    </w:p>
    <w:p w14:paraId="6833D99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eastAsia" w:ascii="楷体_GB2312" w:hAnsi="宋体" w:eastAsia="楷体_GB2312" w:cs="Times New Roman"/>
          <w:b/>
          <w:color w:val="auto"/>
          <w:kern w:val="2"/>
          <w:sz w:val="32"/>
          <w:szCs w:val="32"/>
          <w:highlight w:val="none"/>
          <w:u w:val="none"/>
          <w:lang w:val="en-US" w:eastAsia="zh-CN"/>
        </w:rPr>
      </w:pPr>
      <w:r>
        <w:rPr>
          <w:rFonts w:hint="eastAsia" w:ascii="楷体_GB2312" w:hAnsi="宋体" w:eastAsia="楷体_GB2312" w:cs="Times New Roman"/>
          <w:b/>
          <w:color w:val="auto"/>
          <w:kern w:val="2"/>
          <w:sz w:val="32"/>
          <w:szCs w:val="32"/>
          <w:highlight w:val="none"/>
          <w:u w:val="none"/>
          <w:lang w:val="zh-CN"/>
        </w:rPr>
        <w:t>（一）</w:t>
      </w:r>
      <w:r>
        <w:rPr>
          <w:rFonts w:hint="eastAsia" w:ascii="楷体_GB2312" w:hAnsi="宋体" w:eastAsia="楷体_GB2312" w:cs="Times New Roman"/>
          <w:b/>
          <w:color w:val="auto"/>
          <w:kern w:val="2"/>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BC2089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rPr>
        <w:t>1.</w:t>
      </w:r>
      <w:r>
        <w:rPr>
          <w:rFonts w:hint="eastAsia" w:ascii="楷体_GB2312" w:hAnsi="楷体_GB2312" w:eastAsia="楷体_GB2312" w:cs="楷体_GB2312"/>
          <w:color w:val="auto"/>
          <w:kern w:val="2"/>
          <w:sz w:val="32"/>
          <w:szCs w:val="32"/>
          <w:lang w:eastAsia="zh-CN"/>
        </w:rPr>
        <w:t>项目决策。</w:t>
      </w:r>
      <w:r>
        <w:rPr>
          <w:rFonts w:hint="eastAsia" w:ascii="Times New Roman" w:hAnsi="Times New Roman" w:eastAsia="仿宋_GB2312" w:cs="Times New Roman"/>
          <w:color w:val="auto"/>
          <w:kern w:val="2"/>
          <w:sz w:val="32"/>
          <w:szCs w:val="32"/>
          <w:lang w:val="en-US" w:eastAsia="zh-CN" w:bidi="ar-SA"/>
        </w:rPr>
        <w:t>项目设立、调整延续等方面符合资金管理基本规范和决策程序要求，项目规划符合中央、省委省政府有关决策部署安排，充分评估论证项目立项必要性、前瞻性、合理性和可行性，项目总体绩效目标设置合理，按照项目实施方案要求，项目资金与项目总体规划、相关行业事业发展相匹配，聚焦重大任务、重点领域、重点环节和重点项目。</w:t>
      </w:r>
    </w:p>
    <w:p w14:paraId="11221CFF">
      <w:pPr>
        <w:widowControl w:val="0"/>
        <w:spacing w:before="0" w:beforeAutospacing="0" w:after="0" w:afterAutospacing="0" w:line="578" w:lineRule="exact"/>
        <w:ind w:left="0" w:right="0" w:firstLine="640"/>
        <w:jc w:val="both"/>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2.</w:t>
      </w:r>
      <w:r>
        <w:rPr>
          <w:rFonts w:hint="eastAsia" w:ascii="楷体_GB2312" w:hAnsi="楷体_GB2312" w:eastAsia="楷体_GB2312" w:cs="楷体_GB2312"/>
          <w:color w:val="auto"/>
          <w:kern w:val="2"/>
          <w:sz w:val="32"/>
          <w:szCs w:val="32"/>
          <w:lang w:eastAsia="zh-CN"/>
        </w:rPr>
        <w:t>项目管理。</w:t>
      </w:r>
      <w:r>
        <w:rPr>
          <w:rFonts w:hint="eastAsia" w:ascii="Times New Roman" w:hAnsi="Times New Roman" w:eastAsia="仿宋_GB2312" w:cs="Times New Roman"/>
          <w:color w:val="auto"/>
          <w:kern w:val="2"/>
          <w:sz w:val="32"/>
          <w:szCs w:val="32"/>
          <w:lang w:val="en-US" w:eastAsia="zh-CN" w:bidi="ar-SA"/>
        </w:rPr>
        <w:t>项目制度办法体系健全、要素完备，项目资金分配因素选取、权重设置、区域分布，项目管理、审批符合管理要求，管资金、项目、政策管绩效，项目绩效监管按要求开展，对下指导有力有效。</w:t>
      </w:r>
    </w:p>
    <w:p w14:paraId="10EBDA62">
      <w:pPr>
        <w:widowControl w:val="0"/>
        <w:spacing w:before="0" w:beforeAutospacing="0" w:after="0" w:afterAutospacing="0" w:line="578" w:lineRule="exact"/>
        <w:ind w:left="0" w:right="0" w:firstLine="640" w:firstLineChars="200"/>
        <w:jc w:val="both"/>
        <w:rPr>
          <w:rFonts w:hint="default"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3.项目实施。</w:t>
      </w:r>
      <w:r>
        <w:rPr>
          <w:rFonts w:hint="eastAsia" w:ascii="Times New Roman" w:hAnsi="Times New Roman" w:eastAsia="仿宋_GB2312" w:cs="Times New Roman"/>
          <w:color w:val="auto"/>
          <w:kern w:val="2"/>
          <w:sz w:val="32"/>
          <w:szCs w:val="32"/>
          <w:lang w:val="en-US" w:eastAsia="zh-CN" w:bidi="ar-SA"/>
        </w:rPr>
        <w:t>项目资金财政拨付、单位执行和地方配套到位情况，资金使用拨付、项目实施符合规定。</w:t>
      </w:r>
    </w:p>
    <w:p w14:paraId="5627F0A7">
      <w:pPr>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4.项目结果。</w:t>
      </w:r>
      <w:r>
        <w:rPr>
          <w:rFonts w:hint="eastAsia" w:ascii="仿宋_GB2312" w:hAnsi="仿宋_GB2312" w:eastAsia="仿宋_GB2312" w:cs="仿宋_GB2312"/>
          <w:kern w:val="2"/>
          <w:sz w:val="32"/>
          <w:szCs w:val="32"/>
          <w:lang w:val="en-US" w:eastAsia="zh-CN" w:bidi="ar-SA"/>
        </w:rPr>
        <w:t>项目完成预期目标，实施结果与绩效目标相匹配，项目按照计划时间完成</w:t>
      </w:r>
      <w:r>
        <w:rPr>
          <w:rFonts w:hint="eastAsia" w:ascii="楷体_GB2312" w:hAnsi="楷体_GB2312" w:eastAsia="楷体_GB2312" w:cs="楷体_GB2312"/>
          <w:color w:val="auto"/>
          <w:kern w:val="2"/>
          <w:sz w:val="32"/>
          <w:szCs w:val="32"/>
          <w:lang w:val="en-US" w:eastAsia="zh-CN"/>
        </w:rPr>
        <w:t>。</w:t>
      </w:r>
    </w:p>
    <w:p w14:paraId="24908503">
      <w:pPr>
        <w:pageBreakBefore w:val="0"/>
        <w:widowControl w:val="0"/>
        <w:numPr>
          <w:ilvl w:val="0"/>
          <w:numId w:val="0"/>
        </w:numPr>
        <w:kinsoku/>
        <w:wordWrap/>
        <w:overflowPunct/>
        <w:topLinePunct w:val="0"/>
        <w:autoSpaceDE/>
        <w:autoSpaceDN/>
        <w:bidi w:val="0"/>
        <w:adjustRightInd/>
        <w:spacing w:before="0" w:beforeAutospacing="0" w:after="0" w:afterAutospacing="0" w:line="560" w:lineRule="exact"/>
        <w:ind w:left="420" w:leftChars="200" w:right="0"/>
        <w:jc w:val="both"/>
        <w:textAlignment w:val="auto"/>
        <w:rPr>
          <w:rFonts w:hint="eastAsia" w:ascii="仿宋_GB2312" w:hAnsi="仿宋_GB2312" w:eastAsia="仿宋_GB2312" w:cs="仿宋_GB2312"/>
          <w:kern w:val="2"/>
          <w:sz w:val="32"/>
          <w:szCs w:val="32"/>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（二）专用指标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F519EC4">
      <w:pPr>
        <w:keepNext/>
        <w:keepLines/>
        <w:pageBreakBefore w:val="0"/>
        <w:widowControl w:val="0"/>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4"/>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1.产业发展。</w:t>
      </w:r>
      <w:r>
        <w:rPr>
          <w:rFonts w:hint="eastAsia" w:ascii="仿宋_GB2312" w:hAnsi="仿宋_GB2312" w:eastAsia="仿宋_GB2312" w:cs="仿宋_GB2312"/>
          <w:b w:val="0"/>
          <w:kern w:val="2"/>
          <w:sz w:val="32"/>
          <w:szCs w:val="32"/>
          <w:lang w:val="en-US" w:eastAsia="zh-CN" w:bidi="ar-SA"/>
        </w:rPr>
        <w:t>项目实施与省委省政府支持重点、产业支持政策符合。项目实施对相关企业（机构）成长性的促进作用，主要反映支持对象创新创造创业能力情况。项目实施对相关企业（机构）主营业务收入、净利润、税收、产量等方面增长情况。</w:t>
      </w:r>
    </w:p>
    <w:p w14:paraId="0AFE14BD">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b w:val="0"/>
          <w:kern w:val="2"/>
          <w:sz w:val="32"/>
          <w:szCs w:val="32"/>
          <w:lang w:val="en-US" w:eastAsia="zh-CN" w:bidi="ar-SA"/>
        </w:rPr>
        <w:t>2.</w:t>
      </w:r>
      <w:r>
        <w:rPr>
          <w:rFonts w:hint="eastAsia" w:ascii="楷体_GB2312" w:hAnsi="楷体_GB2312" w:eastAsia="楷体_GB2312" w:cs="楷体_GB2312"/>
          <w:b w:val="0"/>
          <w:kern w:val="2"/>
          <w:sz w:val="32"/>
          <w:szCs w:val="32"/>
          <w:lang w:val="zh-CN" w:eastAsia="zh-CN" w:bidi="ar-SA"/>
        </w:rPr>
        <w:t>民生保障。</w:t>
      </w:r>
      <w:r>
        <w:rPr>
          <w:rFonts w:hint="eastAsia" w:ascii="Times New Roman" w:hAnsi="Times New Roman" w:eastAsia="仿宋_GB2312" w:cs="Times New Roman"/>
          <w:kern w:val="2"/>
          <w:sz w:val="32"/>
          <w:szCs w:val="32"/>
        </w:rPr>
        <w:t>资金分配科学合理、均衡公平。资金实际支持对象符合管理要求，符合支持对象范围</w:t>
      </w:r>
      <w:r>
        <w:rPr>
          <w:rFonts w:hint="eastAsia" w:ascii="Times New Roman" w:hAnsi="Times New Roman" w:eastAsia="仿宋_GB2312" w:cs="Times New Roman"/>
          <w:kern w:val="2"/>
          <w:sz w:val="32"/>
          <w:szCs w:val="32"/>
          <w:lang w:eastAsia="zh-CN"/>
        </w:rPr>
        <w:t>。资金实际补贴标准符合资金管理办法规定的补助标准，及时按标准兑现。项目相关方在项目实施过程中的人民群众满意值和获得感高。</w:t>
      </w:r>
    </w:p>
    <w:p w14:paraId="6F745E7A">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3.基础设施。</w:t>
      </w:r>
      <w:r>
        <w:rPr>
          <w:rFonts w:hint="eastAsia" w:ascii="Times New Roman" w:hAnsi="Times New Roman" w:eastAsia="仿宋_GB2312" w:cs="Times New Roman"/>
          <w:b w:val="0"/>
          <w:kern w:val="2"/>
          <w:sz w:val="32"/>
          <w:szCs w:val="32"/>
          <w:lang w:val="en-US" w:eastAsia="zh-CN" w:bidi="ar-SA"/>
        </w:rPr>
        <w:t>项目达到计划工程进度，达到预先确定的资金拨付进度，验收及时，结论合格。项目实现了经济社会功能，建立了后续管理维护机制，实现有效维护。</w:t>
      </w:r>
    </w:p>
    <w:p w14:paraId="019FD939">
      <w:pPr>
        <w:keepNext/>
        <w:keepLines/>
        <w:pageBreakBefore w:val="0"/>
        <w:widowControl w:val="0"/>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4"/>
        <w:rPr>
          <w:rFonts w:hint="default"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楷体_GB2312" w:hAnsi="楷体_GB2312" w:eastAsia="楷体_GB2312" w:cs="楷体_GB2312"/>
          <w:b w:val="0"/>
          <w:kern w:val="2"/>
          <w:sz w:val="32"/>
          <w:szCs w:val="32"/>
          <w:lang w:val="en-US" w:eastAsia="zh-CN" w:bidi="ar-SA"/>
        </w:rPr>
        <w:t>4.</w:t>
      </w:r>
      <w:r>
        <w:rPr>
          <w:rFonts w:hint="eastAsia" w:ascii="楷体_GB2312" w:hAnsi="楷体_GB2312" w:eastAsia="楷体_GB2312" w:cs="楷体_GB2312"/>
          <w:b w:val="0"/>
          <w:kern w:val="2"/>
          <w:sz w:val="32"/>
          <w:szCs w:val="32"/>
          <w:lang w:val="zh-CN" w:eastAsia="zh-CN" w:bidi="ar-SA"/>
        </w:rPr>
        <w:t>行政运转。</w:t>
      </w:r>
      <w:r>
        <w:rPr>
          <w:rFonts w:hint="eastAsia" w:ascii="Times New Roman" w:hAnsi="Times New Roman" w:eastAsia="仿宋_GB2312" w:cs="Times New Roman"/>
          <w:b w:val="0"/>
          <w:kern w:val="2"/>
          <w:sz w:val="32"/>
          <w:szCs w:val="32"/>
          <w:lang w:val="zh-CN" w:eastAsia="zh-CN" w:bidi="ar-SA"/>
        </w:rPr>
        <w:t>按规定用途、适用范围进行本地区专项资金分配。资金管理程序、资金分配标准符合专项资金管理要求。</w:t>
      </w:r>
    </w:p>
    <w:p w14:paraId="3A74CC81">
      <w:pPr>
        <w:pageBreakBefore w:val="0"/>
        <w:widowControl w:val="0"/>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rPr>
        <w:t>（三）个性指标绩效分析。</w:t>
      </w:r>
      <w:r>
        <w:rPr>
          <w:rFonts w:hint="eastAsia" w:ascii="仿宋_GB2312" w:hAnsi="仿宋_GB2312" w:eastAsia="仿宋_GB2312" w:cs="仿宋_GB2312"/>
          <w:kern w:val="2"/>
          <w:sz w:val="32"/>
          <w:szCs w:val="32"/>
          <w:lang w:val="en-US" w:eastAsia="zh-CN"/>
        </w:rPr>
        <w:t>项目以茂县沙坝镇人民政府为项目实施主体，共计完成了：一、产业基础建设。水肥一体化设施建设300亩、李树高换19.98亩、矮种苹果改良示范50亩、新建农业废弃物回收站6座，二、设施装备建设。采购防雹炮1台、太阳能防虫灯150盏、防虫黄板12万张；三、产品加工仓储建设。改建56平米数字农业服务平台1套、配套建设农产品可追溯体系1套、数字农业控制中心1个；四、农业新业态建设。改建电商示范基、1个、补贴建设庭院经济8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为乡村振兴发展打下坚实的基础，各项指标均已完成。</w:t>
      </w:r>
    </w:p>
    <w:p w14:paraId="16BE584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黑体" w:hAnsi="宋体" w:eastAsia="黑体" w:cs="Times New Roman"/>
          <w:color w:val="auto"/>
          <w:kern w:val="0"/>
          <w:position w:val="3"/>
          <w:sz w:val="32"/>
          <w:szCs w:val="32"/>
          <w:highlight w:val="none"/>
          <w:u w:val="none"/>
          <w:lang w:val="en-US" w:eastAsia="en-US" w:bidi="ar-SA"/>
        </w:rPr>
      </w:pPr>
      <w:bookmarkStart w:id="192" w:name="_Toc4469"/>
      <w:bookmarkStart w:id="193" w:name="_Toc29443"/>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bookmarkEnd w:id="192"/>
      <w:bookmarkEnd w:id="193"/>
    </w:p>
    <w:p w14:paraId="4E7F3A5A">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项目资金共计597.08万元，无自筹资金。财政资金已经全部到位，目前已支付项目资金590.97万元，剩余6.11万元未支付，已退回财政局。项目完成了一、产业基础建设。水肥一体化设施建设300亩、李树高换19.98亩、矮种苹果改良示范50亩、新建农业废弃物回收站6座，二、设施装备建设。采购防雹炮1台、太阳能防虫灯150盏、防虫黄板12万张；三、产品加工仓储建设。改建56平米数字农业服务平台1套、配套建设农产品可追溯体系1套、数字农业控制中心1个；四、农业新业态建设。改建电商示范基、1个、补贴建设庭院经济8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w:t>
      </w:r>
    </w:p>
    <w:p w14:paraId="3E620BCC">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1"/>
        <w:rPr>
          <w:rFonts w:hint="eastAsia" w:ascii="Calibri" w:hAnsi="Calibri" w:cs="Times New Roman"/>
          <w:kern w:val="2"/>
          <w:sz w:val="21"/>
          <w:lang w:val="zh-CN" w:eastAsia="zh-CN"/>
        </w:rPr>
      </w:pPr>
      <w:bookmarkStart w:id="194" w:name="_Toc17085"/>
      <w:bookmarkStart w:id="195" w:name="_Toc30701"/>
      <w:r>
        <w:rPr>
          <w:rFonts w:hint="eastAsia" w:ascii="黑体" w:hAnsi="宋体" w:eastAsia="黑体" w:cs="Times New Roman"/>
          <w:color w:val="auto"/>
          <w:kern w:val="0"/>
          <w:position w:val="3"/>
          <w:sz w:val="32"/>
          <w:szCs w:val="32"/>
          <w:highlight w:val="none"/>
          <w:u w:val="none"/>
          <w:lang w:val="en-US" w:eastAsia="zh-CN" w:bidi="ar-SA"/>
        </w:rPr>
        <w:t>五、存在主要问题</w:t>
      </w:r>
      <w:bookmarkEnd w:id="194"/>
      <w:bookmarkEnd w:id="195"/>
    </w:p>
    <w:p w14:paraId="2E302396">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无</w:t>
      </w:r>
    </w:p>
    <w:p w14:paraId="4A10A973">
      <w:pPr>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1"/>
        <w:rPr>
          <w:rFonts w:hint="eastAsia" w:ascii="仿宋_GB2312" w:hAnsi="仿宋_GB2312" w:eastAsia="仿宋_GB2312" w:cs="仿宋_GB2312"/>
          <w:b w:val="0"/>
          <w:bCs w:val="0"/>
          <w:kern w:val="0"/>
          <w:position w:val="0"/>
          <w:sz w:val="32"/>
          <w:szCs w:val="32"/>
          <w:highlight w:val="none"/>
          <w:lang w:val="en" w:eastAsia="zh-CN" w:bidi="ar-SA"/>
        </w:rPr>
      </w:pPr>
      <w:bookmarkStart w:id="196" w:name="_Toc23071"/>
      <w:bookmarkStart w:id="197" w:name="_Toc15632"/>
      <w:r>
        <w:rPr>
          <w:rFonts w:hint="eastAsia" w:ascii="黑体" w:hAnsi="宋体" w:eastAsia="黑体" w:cs="Times New Roman"/>
          <w:color w:val="auto"/>
          <w:kern w:val="0"/>
          <w:position w:val="3"/>
          <w:sz w:val="32"/>
          <w:szCs w:val="32"/>
          <w:highlight w:val="none"/>
          <w:u w:val="none"/>
          <w:lang w:val="zh-CN" w:eastAsia="zh-CN" w:bidi="ar-SA"/>
        </w:rPr>
        <w:t>六、改进建议</w:t>
      </w:r>
      <w:bookmarkEnd w:id="196"/>
      <w:bookmarkEnd w:id="197"/>
    </w:p>
    <w:p w14:paraId="43E8E5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right="0" w:firstLine="640" w:firstLineChars="200"/>
        <w:jc w:val="both"/>
        <w:textAlignment w:val="auto"/>
        <w:outlineLvl w:val="9"/>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kern w:val="2"/>
          <w:sz w:val="32"/>
          <w:szCs w:val="32"/>
          <w:lang w:val="en-US" w:eastAsia="zh-CN"/>
        </w:rPr>
        <w:t>无</w:t>
      </w:r>
    </w:p>
    <w:p w14:paraId="2DDB3672">
      <w:pPr>
        <w:widowControl w:val="0"/>
        <w:snapToGrid w:val="0"/>
        <w:spacing w:before="0" w:beforeAutospacing="0" w:after="0" w:afterAutospacing="0" w:line="578" w:lineRule="exact"/>
        <w:ind w:left="0" w:right="0" w:firstLine="640" w:firstLineChars="200"/>
        <w:jc w:val="both"/>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附表：1.项目资金分配涉及所有点位自评得分情况表</w:t>
      </w:r>
    </w:p>
    <w:p w14:paraId="007EC88A">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Chars="500" w:right="0" w:rightChars="0" w:firstLine="640" w:firstLineChars="200"/>
        <w:jc w:val="both"/>
        <w:textAlignment w:val="auto"/>
        <w:outlineLvl w:val="9"/>
        <w:rPr>
          <w:rFonts w:hint="eastAsia" w:ascii="黑体" w:hAnsi="黑体" w:eastAsia="黑体" w:cs="黑体"/>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rPr>
        <w:t>专项预算项目绩效目标完成情况自评表</w:t>
      </w:r>
    </w:p>
    <w:p w14:paraId="19ED2625">
      <w:pPr>
        <w:widowControl/>
        <w:adjustRightInd w:val="0"/>
        <w:snapToGrid w:val="0"/>
        <w:spacing w:before="0" w:beforeAutospacing="0" w:after="0" w:afterAutospacing="0" w:line="578" w:lineRule="exact"/>
        <w:ind w:left="0" w:right="0"/>
        <w:contextualSpacing/>
        <w:jc w:val="left"/>
        <w:rPr>
          <w:rFonts w:hint="eastAsia" w:ascii="Calibri" w:hAnsi="Calibri" w:cs="Times New Roman"/>
          <w:kern w:val="2"/>
          <w:sz w:val="21"/>
          <w:lang w:val="zh-CN" w:eastAsia="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157AC558">
      <w:pPr>
        <w:keepNext w:val="0"/>
        <w:keepLines w:val="0"/>
        <w:pageBreakBefore w:val="0"/>
        <w:widowControl w:val="0"/>
        <w:kinsoku/>
        <w:wordWrap/>
        <w:overflowPunct/>
        <w:topLinePunct w:val="0"/>
        <w:autoSpaceDE/>
        <w:autoSpaceDN/>
        <w:bidi w:val="0"/>
        <w:spacing w:before="0" w:beforeAutospacing="0" w:after="0" w:afterAutospacing="0" w:line="560" w:lineRule="exact"/>
        <w:ind w:left="0" w:leftChars="0" w:right="0"/>
        <w:jc w:val="center"/>
        <w:textAlignment w:val="auto"/>
        <w:rPr>
          <w:rFonts w:hint="eastAsia" w:ascii="方正小标宋_GBK" w:hAnsi="方正小标宋_GBK" w:eastAsia="方正小标宋_GBK" w:cs="方正小标宋_GBK"/>
          <w:b w:val="0"/>
          <w:bCs w:val="0"/>
          <w:color w:val="auto"/>
          <w:kern w:val="2"/>
          <w:sz w:val="40"/>
          <w:szCs w:val="40"/>
          <w:highlight w:val="none"/>
          <w:u w:val="none"/>
          <w:lang w:val="en-US" w:eastAsia="zh-CN"/>
        </w:rPr>
      </w:pPr>
      <w:r>
        <w:rPr>
          <w:rFonts w:hint="eastAsia" w:ascii="方正小标宋_GBK" w:hAnsi="方正小标宋_GBK" w:eastAsia="方正小标宋_GBK" w:cs="方正小标宋_GBK"/>
          <w:b w:val="0"/>
          <w:bCs w:val="0"/>
          <w:color w:val="auto"/>
          <w:kern w:val="2"/>
          <w:sz w:val="40"/>
          <w:szCs w:val="40"/>
          <w:highlight w:val="none"/>
          <w:u w:val="none"/>
          <w:lang w:val="en-US" w:eastAsia="zh-CN"/>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4667"/>
        <w:gridCol w:w="2209"/>
        <w:gridCol w:w="993"/>
      </w:tblGrid>
      <w:tr w14:paraId="4CAC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51" w:type="dxa"/>
            <w:noWrap w:val="0"/>
            <w:vAlign w:val="center"/>
          </w:tcPr>
          <w:p w14:paraId="42CF627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黑体" w:hAnsi="黑体" w:eastAsia="黑体" w:cs="黑体"/>
                <w:b w:val="0"/>
                <w:bCs w:val="0"/>
                <w:color w:val="auto"/>
                <w:kern w:val="2"/>
                <w:sz w:val="24"/>
                <w:szCs w:val="24"/>
                <w:highlight w:val="none"/>
                <w:u w:val="none"/>
                <w:vertAlign w:val="baseline"/>
                <w:lang w:val="en-US" w:eastAsia="zh-CN"/>
              </w:rPr>
            </w:pPr>
            <w:r>
              <w:rPr>
                <w:rFonts w:hint="eastAsia" w:ascii="黑体" w:hAnsi="黑体" w:eastAsia="黑体" w:cs="黑体"/>
                <w:b w:val="0"/>
                <w:bCs w:val="0"/>
                <w:color w:val="auto"/>
                <w:kern w:val="2"/>
                <w:sz w:val="24"/>
                <w:szCs w:val="24"/>
                <w:highlight w:val="none"/>
                <w:u w:val="none"/>
                <w:vertAlign w:val="baseline"/>
                <w:lang w:val="en-US" w:eastAsia="zh-CN"/>
              </w:rPr>
              <w:t>序号</w:t>
            </w:r>
          </w:p>
        </w:tc>
        <w:tc>
          <w:tcPr>
            <w:tcW w:w="4667" w:type="dxa"/>
            <w:noWrap w:val="0"/>
            <w:vAlign w:val="center"/>
          </w:tcPr>
          <w:p w14:paraId="1DD86E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黑体" w:hAnsi="黑体" w:eastAsia="黑体" w:cs="黑体"/>
                <w:b w:val="0"/>
                <w:bCs w:val="0"/>
                <w:color w:val="auto"/>
                <w:kern w:val="2"/>
                <w:sz w:val="24"/>
                <w:szCs w:val="24"/>
                <w:highlight w:val="none"/>
                <w:u w:val="none"/>
                <w:vertAlign w:val="baseline"/>
                <w:lang w:val="en" w:eastAsia="zh-CN"/>
              </w:rPr>
            </w:pPr>
            <w:r>
              <w:rPr>
                <w:rFonts w:hint="eastAsia" w:ascii="黑体" w:hAnsi="黑体" w:eastAsia="黑体" w:cs="黑体"/>
                <w:b w:val="0"/>
                <w:bCs w:val="0"/>
                <w:color w:val="auto"/>
                <w:kern w:val="2"/>
                <w:sz w:val="24"/>
                <w:szCs w:val="24"/>
                <w:highlight w:val="none"/>
                <w:u w:val="none"/>
                <w:vertAlign w:val="baseline"/>
                <w:lang w:val="en-US" w:eastAsia="zh-CN"/>
              </w:rPr>
              <w:t>项目资金末端分配点位</w:t>
            </w:r>
          </w:p>
        </w:tc>
        <w:tc>
          <w:tcPr>
            <w:tcW w:w="2209" w:type="dxa"/>
            <w:noWrap w:val="0"/>
            <w:vAlign w:val="center"/>
          </w:tcPr>
          <w:p w14:paraId="62FB321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黑体" w:hAnsi="黑体" w:eastAsia="黑体" w:cs="黑体"/>
                <w:b w:val="0"/>
                <w:bCs w:val="0"/>
                <w:color w:val="auto"/>
                <w:kern w:val="2"/>
                <w:sz w:val="24"/>
                <w:szCs w:val="24"/>
                <w:highlight w:val="none"/>
                <w:u w:val="none"/>
                <w:vertAlign w:val="baseline"/>
                <w:lang w:val="en-US" w:eastAsia="zh-CN"/>
              </w:rPr>
            </w:pPr>
            <w:r>
              <w:rPr>
                <w:rFonts w:hint="eastAsia" w:ascii="黑体" w:hAnsi="黑体" w:eastAsia="黑体" w:cs="黑体"/>
                <w:b w:val="0"/>
                <w:bCs w:val="0"/>
                <w:color w:val="auto"/>
                <w:kern w:val="2"/>
                <w:sz w:val="24"/>
                <w:szCs w:val="24"/>
                <w:highlight w:val="none"/>
                <w:u w:val="none"/>
                <w:vertAlign w:val="baseline"/>
                <w:lang w:val="en" w:eastAsia="zh-CN"/>
              </w:rPr>
              <w:t>自评得分（百分制）</w:t>
            </w:r>
          </w:p>
        </w:tc>
        <w:tc>
          <w:tcPr>
            <w:tcW w:w="993" w:type="dxa"/>
            <w:noWrap w:val="0"/>
            <w:vAlign w:val="center"/>
          </w:tcPr>
          <w:p w14:paraId="10AF0F7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黑体" w:hAnsi="黑体" w:eastAsia="黑体" w:cs="黑体"/>
                <w:b w:val="0"/>
                <w:bCs w:val="0"/>
                <w:color w:val="auto"/>
                <w:kern w:val="2"/>
                <w:sz w:val="24"/>
                <w:szCs w:val="24"/>
                <w:highlight w:val="none"/>
                <w:u w:val="none"/>
                <w:vertAlign w:val="baseline"/>
                <w:lang w:val="en-US" w:eastAsia="zh-CN"/>
              </w:rPr>
            </w:pPr>
            <w:r>
              <w:rPr>
                <w:rFonts w:hint="eastAsia" w:ascii="黑体" w:hAnsi="黑体" w:eastAsia="黑体" w:cs="黑体"/>
                <w:b w:val="0"/>
                <w:bCs w:val="0"/>
                <w:color w:val="auto"/>
                <w:kern w:val="2"/>
                <w:sz w:val="24"/>
                <w:szCs w:val="24"/>
                <w:highlight w:val="none"/>
                <w:u w:val="none"/>
                <w:vertAlign w:val="baseline"/>
                <w:lang w:val="en-US" w:eastAsia="zh-CN"/>
              </w:rPr>
              <w:t>备注</w:t>
            </w:r>
          </w:p>
        </w:tc>
      </w:tr>
      <w:tr w14:paraId="296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951" w:type="dxa"/>
            <w:noWrap w:val="0"/>
            <w:vAlign w:val="center"/>
          </w:tcPr>
          <w:p w14:paraId="490F64D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宋体" w:cs="宋体"/>
                <w:b w:val="0"/>
                <w:bCs w:val="0"/>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rPr>
              <w:t>1</w:t>
            </w:r>
          </w:p>
        </w:tc>
        <w:tc>
          <w:tcPr>
            <w:tcW w:w="4667" w:type="dxa"/>
            <w:noWrap w:val="0"/>
            <w:vAlign w:val="center"/>
          </w:tcPr>
          <w:p w14:paraId="24E238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r>
              <w:rPr>
                <w:rFonts w:hint="eastAsia" w:ascii="宋体" w:hAnsi="宋体" w:eastAsia="宋体" w:cs="宋体"/>
                <w:color w:val="000000"/>
                <w:kern w:val="0"/>
                <w:sz w:val="24"/>
                <w:szCs w:val="24"/>
                <w:lang w:bidi="ar"/>
              </w:rPr>
              <w:t>沙坝镇三龙富锶特色果蔬现代农业园区建设项目</w:t>
            </w:r>
          </w:p>
        </w:tc>
        <w:tc>
          <w:tcPr>
            <w:tcW w:w="2209" w:type="dxa"/>
            <w:noWrap w:val="0"/>
            <w:vAlign w:val="center"/>
          </w:tcPr>
          <w:p w14:paraId="769AFD8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r>
              <w:rPr>
                <w:rFonts w:hint="eastAsia" w:ascii="宋体" w:hAnsi="宋体" w:eastAsia="仿宋_GB2312" w:cs="宋体"/>
                <w:color w:val="auto"/>
                <w:kern w:val="2"/>
                <w:sz w:val="24"/>
                <w:szCs w:val="24"/>
                <w:highlight w:val="none"/>
                <w:u w:val="none"/>
                <w:vertAlign w:val="baseline"/>
                <w:lang w:val="en-US" w:eastAsia="zh-CN"/>
              </w:rPr>
              <w:t>98分</w:t>
            </w:r>
          </w:p>
        </w:tc>
        <w:tc>
          <w:tcPr>
            <w:tcW w:w="993" w:type="dxa"/>
            <w:noWrap w:val="0"/>
            <w:vAlign w:val="center"/>
          </w:tcPr>
          <w:p w14:paraId="68A5D23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仿宋_GB2312" w:cs="宋体"/>
                <w:color w:val="auto"/>
                <w:kern w:val="2"/>
                <w:sz w:val="24"/>
                <w:szCs w:val="24"/>
                <w:highlight w:val="none"/>
                <w:u w:val="none"/>
                <w:vertAlign w:val="baseline"/>
                <w:lang w:val="en-US" w:eastAsia="zh-CN"/>
              </w:rPr>
            </w:pPr>
          </w:p>
        </w:tc>
      </w:tr>
      <w:tr w14:paraId="638F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exact"/>
          <w:jc w:val="center"/>
        </w:trPr>
        <w:tc>
          <w:tcPr>
            <w:tcW w:w="951" w:type="dxa"/>
            <w:noWrap w:val="0"/>
            <w:vAlign w:val="center"/>
          </w:tcPr>
          <w:p w14:paraId="648A767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宋体" w:cs="宋体"/>
                <w:b w:val="0"/>
                <w:bCs w:val="0"/>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rPr>
              <w:t>2</w:t>
            </w:r>
          </w:p>
        </w:tc>
        <w:tc>
          <w:tcPr>
            <w:tcW w:w="4667" w:type="dxa"/>
            <w:noWrap w:val="0"/>
            <w:vAlign w:val="center"/>
          </w:tcPr>
          <w:p w14:paraId="3538514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2209" w:type="dxa"/>
            <w:noWrap w:val="0"/>
            <w:vAlign w:val="center"/>
          </w:tcPr>
          <w:p w14:paraId="3A161D5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993" w:type="dxa"/>
            <w:noWrap w:val="0"/>
            <w:vAlign w:val="center"/>
          </w:tcPr>
          <w:p w14:paraId="5D40974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仿宋_GB2312" w:cs="宋体"/>
                <w:color w:val="auto"/>
                <w:kern w:val="2"/>
                <w:sz w:val="24"/>
                <w:szCs w:val="24"/>
                <w:highlight w:val="none"/>
                <w:u w:val="none"/>
                <w:vertAlign w:val="baseline"/>
                <w:lang w:val="en-US" w:eastAsia="zh-CN"/>
              </w:rPr>
            </w:pPr>
          </w:p>
        </w:tc>
      </w:tr>
      <w:tr w14:paraId="03C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951" w:type="dxa"/>
            <w:noWrap w:val="0"/>
            <w:vAlign w:val="center"/>
          </w:tcPr>
          <w:p w14:paraId="0BF025D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宋体" w:cs="宋体"/>
                <w:b w:val="0"/>
                <w:bCs w:val="0"/>
                <w:color w:val="auto"/>
                <w:kern w:val="2"/>
                <w:sz w:val="24"/>
                <w:szCs w:val="24"/>
                <w:highlight w:val="none"/>
                <w:u w:val="none"/>
                <w:lang w:val="en-US" w:eastAsia="zh-CN"/>
              </w:rPr>
            </w:pPr>
          </w:p>
        </w:tc>
        <w:tc>
          <w:tcPr>
            <w:tcW w:w="4667" w:type="dxa"/>
            <w:noWrap w:val="0"/>
            <w:vAlign w:val="center"/>
          </w:tcPr>
          <w:p w14:paraId="063A366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2209" w:type="dxa"/>
            <w:noWrap w:val="0"/>
            <w:vAlign w:val="center"/>
          </w:tcPr>
          <w:p w14:paraId="7D1988C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993" w:type="dxa"/>
            <w:noWrap w:val="0"/>
            <w:vAlign w:val="center"/>
          </w:tcPr>
          <w:p w14:paraId="724A85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仿宋_GB2312" w:cs="宋体"/>
                <w:color w:val="auto"/>
                <w:kern w:val="2"/>
                <w:sz w:val="24"/>
                <w:szCs w:val="24"/>
                <w:highlight w:val="none"/>
                <w:u w:val="none"/>
                <w:vertAlign w:val="baseline"/>
                <w:lang w:val="en-US" w:eastAsia="zh-CN"/>
              </w:rPr>
            </w:pPr>
          </w:p>
        </w:tc>
      </w:tr>
      <w:tr w14:paraId="19D6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jc w:val="center"/>
        </w:trPr>
        <w:tc>
          <w:tcPr>
            <w:tcW w:w="951" w:type="dxa"/>
            <w:noWrap w:val="0"/>
            <w:vAlign w:val="center"/>
          </w:tcPr>
          <w:p w14:paraId="5CBF3B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宋体" w:cs="宋体"/>
                <w:b w:val="0"/>
                <w:bCs w:val="0"/>
                <w:color w:val="auto"/>
                <w:kern w:val="2"/>
                <w:sz w:val="24"/>
                <w:szCs w:val="24"/>
                <w:highlight w:val="none"/>
                <w:u w:val="none"/>
                <w:lang w:val="en-US" w:eastAsia="zh-CN"/>
              </w:rPr>
            </w:pPr>
          </w:p>
        </w:tc>
        <w:tc>
          <w:tcPr>
            <w:tcW w:w="4667" w:type="dxa"/>
            <w:noWrap w:val="0"/>
            <w:vAlign w:val="center"/>
          </w:tcPr>
          <w:p w14:paraId="037289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2209" w:type="dxa"/>
            <w:noWrap w:val="0"/>
            <w:vAlign w:val="center"/>
          </w:tcPr>
          <w:p w14:paraId="73E0636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宋体" w:hAnsi="宋体" w:eastAsia="仿宋_GB2312" w:cs="宋体"/>
                <w:color w:val="auto"/>
                <w:kern w:val="2"/>
                <w:sz w:val="24"/>
                <w:szCs w:val="24"/>
                <w:highlight w:val="none"/>
                <w:u w:val="none"/>
                <w:vertAlign w:val="baseline"/>
                <w:lang w:val="en-US" w:eastAsia="zh-CN"/>
              </w:rPr>
            </w:pPr>
          </w:p>
        </w:tc>
        <w:tc>
          <w:tcPr>
            <w:tcW w:w="993" w:type="dxa"/>
            <w:noWrap w:val="0"/>
            <w:vAlign w:val="center"/>
          </w:tcPr>
          <w:p w14:paraId="3D2F220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宋体" w:hAnsi="宋体" w:eastAsia="仿宋_GB2312" w:cs="宋体"/>
                <w:color w:val="auto"/>
                <w:kern w:val="2"/>
                <w:sz w:val="24"/>
                <w:szCs w:val="24"/>
                <w:highlight w:val="none"/>
                <w:u w:val="none"/>
                <w:vertAlign w:val="baseline"/>
                <w:lang w:val="en-US" w:eastAsia="zh-CN"/>
              </w:rPr>
            </w:pPr>
          </w:p>
        </w:tc>
      </w:tr>
    </w:tbl>
    <w:p w14:paraId="707FDC0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宋体" w:hAnsi="宋体" w:eastAsia="宋体" w:cs="宋体"/>
          <w:b w:val="0"/>
          <w:bCs w:val="0"/>
          <w:color w:val="auto"/>
          <w:kern w:val="2"/>
          <w:sz w:val="21"/>
          <w:szCs w:val="21"/>
          <w:highlight w:val="none"/>
          <w:u w:val="none"/>
          <w:vertAlign w:val="baseline"/>
          <w:lang w:val="en-US" w:eastAsia="zh-CN"/>
        </w:rPr>
      </w:pPr>
      <w:r>
        <w:rPr>
          <w:rFonts w:hint="eastAsia" w:ascii="宋体" w:hAnsi="宋体" w:eastAsia="宋体" w:cs="宋体"/>
          <w:b w:val="0"/>
          <w:bCs w:val="0"/>
          <w:color w:val="auto"/>
          <w:kern w:val="2"/>
          <w:sz w:val="21"/>
          <w:szCs w:val="21"/>
          <w:highlight w:val="none"/>
          <w:u w:val="none"/>
          <w:vertAlign w:val="baseline"/>
          <w:lang w:val="en-US" w:eastAsia="zh-CN"/>
        </w:rPr>
        <w:t>备注：1.项目资金末端分配点位包括市（州）本级、县（市、区）、省级部门下属单位及一次性单位等。</w:t>
      </w:r>
    </w:p>
    <w:p w14:paraId="78DC1DA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30" w:firstLineChars="300"/>
        <w:jc w:val="left"/>
        <w:textAlignment w:val="auto"/>
        <w:rPr>
          <w:rFonts w:ascii="宋体" w:hAnsi="Times New Roman" w:cs="宋体"/>
          <w:kern w:val="0"/>
          <w:sz w:val="24"/>
          <w:lang w:val="en-US" w:eastAsia="zh-CN"/>
        </w:rPr>
      </w:pPr>
      <w:r>
        <w:rPr>
          <w:rFonts w:hint="eastAsia" w:ascii="宋体" w:hAnsi="宋体" w:cs="宋体"/>
          <w:b w:val="0"/>
          <w:bCs w:val="0"/>
          <w:color w:val="auto"/>
          <w:kern w:val="2"/>
          <w:sz w:val="21"/>
          <w:szCs w:val="21"/>
          <w:highlight w:val="none"/>
          <w:u w:val="none"/>
          <w:vertAlign w:val="baseline"/>
          <w:lang w:val="en-US" w:eastAsia="zh-CN"/>
        </w:rPr>
        <w:t>2.</w:t>
      </w:r>
      <w:r>
        <w:rPr>
          <w:rFonts w:hint="eastAsia" w:ascii="宋体" w:hAnsi="宋体" w:eastAsia="宋体" w:cs="宋体"/>
          <w:b w:val="0"/>
          <w:bCs w:val="0"/>
          <w:color w:val="auto"/>
          <w:kern w:val="2"/>
          <w:sz w:val="21"/>
          <w:szCs w:val="21"/>
          <w:highlight w:val="none"/>
          <w:u w:val="none"/>
          <w:vertAlign w:val="baseline"/>
          <w:lang w:val="en-US" w:eastAsia="zh-CN"/>
        </w:rPr>
        <w:t>自评得分（百分制）从高到低划分为优、良、中、差四个档次，各个档次数量占比分别为20%、20%、55%、5%，且不同档次间得分分值应体现差异化，同档次得分分值相同的比例不超过该档次总数量的10%。</w:t>
      </w:r>
    </w:p>
    <w:p w14:paraId="0C39637F">
      <w:pPr>
        <w:widowControl w:val="0"/>
        <w:spacing w:before="0" w:beforeAutospacing="0" w:after="0" w:afterAutospacing="0" w:line="578" w:lineRule="exact"/>
        <w:ind w:left="0" w:leftChars="0" w:right="0" w:firstLine="0" w:firstLineChars="0"/>
        <w:jc w:val="both"/>
        <w:rPr>
          <w:rFonts w:ascii="Times New Roman" w:hAnsi="Calibri" w:eastAsia="黑体" w:cs="Times New Roman"/>
          <w:kern w:val="2"/>
          <w:sz w:val="21"/>
          <w:szCs w:val="24"/>
        </w:rPr>
      </w:pPr>
      <w:r>
        <w:rPr>
          <w:rFonts w:ascii="Times New Roman" w:hAnsi="Times New Roman" w:eastAsia="黑体" w:cs="Times New Roman"/>
          <w:kern w:val="2"/>
          <w:sz w:val="32"/>
          <w:szCs w:val="24"/>
          <w:lang w:val="en-US" w:eastAsia="zh-CN" w:bidi="ar-SA"/>
        </w:rPr>
        <w:t>附表2</w:t>
      </w:r>
    </w:p>
    <w:tbl>
      <w:tblPr>
        <w:tblStyle w:val="16"/>
        <w:tblW w:w="10233" w:type="dxa"/>
        <w:jc w:val="center"/>
        <w:tblLayout w:type="fixed"/>
        <w:tblCellMar>
          <w:top w:w="15" w:type="dxa"/>
          <w:left w:w="15" w:type="dxa"/>
          <w:bottom w:w="15" w:type="dxa"/>
          <w:right w:w="15" w:type="dxa"/>
        </w:tblCellMar>
      </w:tblPr>
      <w:tblGrid>
        <w:gridCol w:w="652"/>
        <w:gridCol w:w="1081"/>
        <w:gridCol w:w="1097"/>
        <w:gridCol w:w="1875"/>
        <w:gridCol w:w="930"/>
        <w:gridCol w:w="1020"/>
        <w:gridCol w:w="990"/>
        <w:gridCol w:w="747"/>
        <w:gridCol w:w="1841"/>
      </w:tblGrid>
      <w:tr w14:paraId="4C7BFF12">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0AA72D06">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361003D4">
        <w:tblPrEx>
          <w:tblCellMar>
            <w:top w:w="15" w:type="dxa"/>
            <w:left w:w="15" w:type="dxa"/>
            <w:bottom w:w="15" w:type="dxa"/>
            <w:right w:w="15" w:type="dxa"/>
          </w:tblCellMar>
        </w:tblPrEx>
        <w:trPr>
          <w:trHeight w:val="90" w:hRule="atLeast"/>
          <w:jc w:val="center"/>
        </w:trPr>
        <w:tc>
          <w:tcPr>
            <w:tcW w:w="4705" w:type="dxa"/>
            <w:gridSpan w:val="4"/>
            <w:tcBorders>
              <w:top w:val="single" w:color="000000" w:sz="4" w:space="0"/>
              <w:left w:val="single" w:color="000000" w:sz="4" w:space="0"/>
              <w:bottom w:val="single" w:color="000000" w:sz="4" w:space="0"/>
              <w:right w:val="single" w:color="000000" w:sz="4" w:space="0"/>
            </w:tcBorders>
            <w:noWrap w:val="0"/>
            <w:vAlign w:val="center"/>
          </w:tcPr>
          <w:p w14:paraId="0854EFC5">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项目名称</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4D502471">
            <w:pPr>
              <w:pageBreakBefore w:val="0"/>
              <w:widowControl/>
              <w:kinsoku/>
              <w:wordWrap/>
              <w:topLinePunct w:val="0"/>
              <w:autoSpaceDE/>
              <w:autoSpaceDN/>
              <w:bidi w:val="0"/>
              <w:spacing w:before="0" w:beforeAutospacing="0" w:after="0" w:afterAutospacing="0" w:line="560" w:lineRule="exact"/>
              <w:ind w:left="0" w:right="0"/>
              <w:jc w:val="both"/>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沙坝镇三龙富锶特色果蔬现代农业园区建设项目</w:t>
            </w:r>
          </w:p>
        </w:tc>
      </w:tr>
      <w:tr w14:paraId="7EEC9ED8">
        <w:tblPrEx>
          <w:tblCellMar>
            <w:top w:w="15" w:type="dxa"/>
            <w:left w:w="15" w:type="dxa"/>
            <w:bottom w:w="15" w:type="dxa"/>
            <w:right w:w="15" w:type="dxa"/>
          </w:tblCellMar>
        </w:tblPrEx>
        <w:trPr>
          <w:trHeight w:val="490" w:hRule="atLeast"/>
          <w:jc w:val="center"/>
        </w:trPr>
        <w:tc>
          <w:tcPr>
            <w:tcW w:w="4705" w:type="dxa"/>
            <w:gridSpan w:val="4"/>
            <w:tcBorders>
              <w:top w:val="single" w:color="000000" w:sz="4" w:space="0"/>
              <w:left w:val="single" w:color="000000" w:sz="4" w:space="0"/>
              <w:bottom w:val="single" w:color="000000" w:sz="4" w:space="0"/>
              <w:right w:val="single" w:color="000000" w:sz="4" w:space="0"/>
            </w:tcBorders>
            <w:noWrap w:val="0"/>
            <w:vAlign w:val="center"/>
          </w:tcPr>
          <w:p w14:paraId="4F59AA8D">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预算单位</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7ADB0927">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0"/>
                <w:sz w:val="18"/>
                <w:szCs w:val="18"/>
                <w:lang w:eastAsia="zh-CN" w:bidi="ar"/>
              </w:rPr>
              <w:t>茂县科学技术和农业畜牧局</w:t>
            </w:r>
          </w:p>
        </w:tc>
      </w:tr>
      <w:tr w14:paraId="55C9D793">
        <w:tblPrEx>
          <w:tblCellMar>
            <w:top w:w="15" w:type="dxa"/>
            <w:left w:w="15" w:type="dxa"/>
            <w:bottom w:w="15" w:type="dxa"/>
            <w:right w:w="15" w:type="dxa"/>
          </w:tblCellMar>
        </w:tblPrEx>
        <w:trPr>
          <w:trHeight w:val="310" w:hRule="atLeast"/>
          <w:jc w:val="center"/>
        </w:trPr>
        <w:tc>
          <w:tcPr>
            <w:tcW w:w="4705" w:type="dxa"/>
            <w:gridSpan w:val="4"/>
            <w:tcBorders>
              <w:top w:val="single" w:color="000000" w:sz="4" w:space="0"/>
              <w:left w:val="single" w:color="000000" w:sz="4" w:space="0"/>
              <w:bottom w:val="single" w:color="000000" w:sz="4" w:space="0"/>
              <w:right w:val="single" w:color="000000" w:sz="4" w:space="0"/>
            </w:tcBorders>
            <w:noWrap w:val="0"/>
            <w:vAlign w:val="center"/>
          </w:tcPr>
          <w:p w14:paraId="079116CF">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项目类型</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67E09F7A">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0"/>
                <w:sz w:val="18"/>
                <w:szCs w:val="18"/>
                <w:lang w:eastAsia="zh-CN" w:bidi="ar"/>
              </w:rPr>
              <w:t>统筹整合财政涉农资金</w:t>
            </w:r>
          </w:p>
        </w:tc>
      </w:tr>
      <w:tr w14:paraId="431ABEF4">
        <w:tblPrEx>
          <w:tblCellMar>
            <w:top w:w="15" w:type="dxa"/>
            <w:left w:w="15" w:type="dxa"/>
            <w:bottom w:w="15" w:type="dxa"/>
            <w:right w:w="15" w:type="dxa"/>
          </w:tblCellMar>
        </w:tblPrEx>
        <w:trPr>
          <w:trHeight w:val="780"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2FDF9">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 概况</w:t>
            </w: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0741A585">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14:paraId="3440AE2A">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常年项目）</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576D23FC">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无</w:t>
            </w:r>
          </w:p>
        </w:tc>
      </w:tr>
      <w:tr w14:paraId="1ECA7807">
        <w:tblPrEx>
          <w:tblCellMar>
            <w:top w:w="15" w:type="dxa"/>
            <w:left w:w="15" w:type="dxa"/>
            <w:bottom w:w="15" w:type="dxa"/>
            <w:right w:w="15" w:type="dxa"/>
          </w:tblCellMar>
        </w:tblPrEx>
        <w:trPr>
          <w:trHeight w:val="6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7C5D5">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626D233A">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资金管理办法（名称、文号）</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215362B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0"/>
                <w:sz w:val="18"/>
                <w:szCs w:val="18"/>
                <w:lang w:val="en-US" w:eastAsia="zh-CN" w:bidi="ar"/>
              </w:rPr>
              <w:t>《四川省财政厅 四川省农业农村厅 四川省乡村振兴共同财政事权转移支付资金管理办法的通知》（川财农﹝2022﹞16号）</w:t>
            </w:r>
          </w:p>
        </w:tc>
      </w:tr>
      <w:tr w14:paraId="3D3ECA1D">
        <w:tblPrEx>
          <w:tblCellMar>
            <w:top w:w="15" w:type="dxa"/>
            <w:left w:w="15" w:type="dxa"/>
            <w:bottom w:w="15" w:type="dxa"/>
            <w:right w:w="15" w:type="dxa"/>
          </w:tblCellMar>
        </w:tblPrEx>
        <w:trPr>
          <w:trHeight w:val="9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B9DCF">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334E1257">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绩效分配方式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BBACC06">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sym w:font="Wingdings 2" w:char="00A3"/>
            </w:r>
            <w:r>
              <w:rPr>
                <w:rFonts w:ascii="宋体" w:hAnsi="宋体" w:eastAsia="宋体" w:cs="宋体"/>
                <w:color w:val="000000"/>
                <w:kern w:val="0"/>
                <w:sz w:val="24"/>
                <w:szCs w:val="24"/>
                <w:lang w:bidi="ar"/>
              </w:rPr>
              <w:t>因素法</w:t>
            </w:r>
          </w:p>
        </w:tc>
        <w:tc>
          <w:tcPr>
            <w:tcW w:w="2010" w:type="dxa"/>
            <w:gridSpan w:val="2"/>
            <w:tcBorders>
              <w:top w:val="single" w:color="000000" w:sz="4" w:space="0"/>
              <w:left w:val="single" w:color="000000" w:sz="4" w:space="0"/>
              <w:bottom w:val="single" w:color="000000" w:sz="4" w:space="0"/>
              <w:right w:val="single" w:color="000000" w:sz="4" w:space="0"/>
            </w:tcBorders>
            <w:noWrap w:val="0"/>
            <w:vAlign w:val="center"/>
          </w:tcPr>
          <w:p w14:paraId="13EB1E2F">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0D10456">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A4794D3">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71DB3745">
        <w:tblPrEx>
          <w:tblCellMar>
            <w:top w:w="15" w:type="dxa"/>
            <w:left w:w="15" w:type="dxa"/>
            <w:bottom w:w="15" w:type="dxa"/>
            <w:right w:w="15" w:type="dxa"/>
          </w:tblCellMar>
        </w:tblPrEx>
        <w:trPr>
          <w:trHeight w:val="210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337BF">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401E4E2A">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b w:val="0"/>
                <w:bCs w:val="0"/>
                <w:color w:val="000000"/>
                <w:kern w:val="0"/>
                <w:sz w:val="24"/>
                <w:szCs w:val="24"/>
                <w:lang w:bidi="ar"/>
              </w:rPr>
            </w:pPr>
            <w:r>
              <w:rPr>
                <w:rFonts w:ascii="宋体" w:hAnsi="宋体" w:eastAsia="宋体" w:cs="宋体"/>
                <w:b w:val="0"/>
                <w:bCs w:val="0"/>
                <w:color w:val="000000"/>
                <w:kern w:val="0"/>
                <w:sz w:val="24"/>
                <w:szCs w:val="24"/>
                <w:lang w:bidi="ar"/>
              </w:rPr>
              <w:t>立项依据</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0A74AC12">
            <w:pPr>
              <w:keepNext/>
              <w:keepLines/>
              <w:pageBreakBefore w:val="0"/>
              <w:widowControl w:val="0"/>
              <w:kinsoku/>
              <w:wordWrap/>
              <w:overflowPunct/>
              <w:topLinePunct w:val="0"/>
              <w:autoSpaceDE/>
              <w:autoSpaceDN/>
              <w:bidi w:val="0"/>
              <w:adjustRightInd/>
              <w:snapToGrid/>
              <w:spacing w:before="0" w:beforeAutospacing="0" w:after="0" w:afterAutospacing="0" w:line="440" w:lineRule="exact"/>
              <w:ind w:left="0" w:right="0"/>
              <w:jc w:val="left"/>
              <w:textAlignment w:val="auto"/>
              <w:outlineLvl w:val="4"/>
              <w:rPr>
                <w:rFonts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0"/>
                <w:sz w:val="18"/>
                <w:szCs w:val="18"/>
                <w:lang w:val="en-US" w:eastAsia="zh-CN" w:bidi="ar"/>
              </w:rPr>
              <w:t>《茂县财政局关于下达2023年统筹整合使用财政涉农资金及财政衔接推进乡村振兴补助资金（第一批）的通知》（茂财农【2023】17号），《茂县财政局关于下达2023年（州级）财政衔接推进乡村振兴补助资金项目（第二批）的通知》（茂财农【2023】29号）《关于调整2023年度财政衔接推进乡村振兴补助资金的通知》（茂财农【2023】65号）</w:t>
            </w:r>
          </w:p>
        </w:tc>
      </w:tr>
      <w:tr w14:paraId="2B508E2F">
        <w:tblPrEx>
          <w:tblCellMar>
            <w:top w:w="15" w:type="dxa"/>
            <w:left w:w="15" w:type="dxa"/>
            <w:bottom w:w="15" w:type="dxa"/>
            <w:right w:w="15" w:type="dxa"/>
          </w:tblCellMar>
        </w:tblPrEx>
        <w:trPr>
          <w:trHeight w:val="350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1D497">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0"/>
                <w:sz w:val="24"/>
                <w:szCs w:val="24"/>
                <w:lang w:bidi="ar"/>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021B0FFE">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使用范围</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1151EF0D">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水肥一体化设施、李树高换、矮种苹果改良示范、新建农业废弃物回收站，采购防雹炮、太阳能防虫灯、防虫黄板；改建56平米数字农业服务平台1套、配套建设农产品可追溯体系1套、数字农业控制中心1个；四、农业新业态建设。改建电商示范基、1个、补贴建设庭院经济8户；富锶特色果蔬品牌创建及宣传推广；改建人才培训基地1个，并开展人次培训；硬化园区产业道路，开展园区农村面源污染整治</w:t>
            </w:r>
          </w:p>
        </w:tc>
      </w:tr>
      <w:tr w14:paraId="2E14C94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C3ADF">
            <w:pPr>
              <w:pageBreakBefore w:val="0"/>
              <w:widowControl w:val="0"/>
              <w:kinsoku/>
              <w:wordWrap/>
              <w:topLinePunct w:val="0"/>
              <w:autoSpaceDE/>
              <w:autoSpaceDN/>
              <w:bidi w:val="0"/>
              <w:spacing w:before="0" w:beforeAutospacing="0" w:after="0" w:afterAutospacing="0" w:line="560" w:lineRule="exact"/>
              <w:ind w:left="0" w:right="0"/>
              <w:jc w:val="both"/>
              <w:rPr>
                <w:rFonts w:ascii="宋体" w:hAnsi="宋体" w:eastAsia="宋体" w:cs="宋体"/>
                <w:color w:val="000000"/>
                <w:kern w:val="2"/>
                <w:sz w:val="24"/>
                <w:szCs w:val="24"/>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4BE895D1">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申报（补助）条件</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20F855A5">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0"/>
                <w:sz w:val="18"/>
                <w:szCs w:val="18"/>
                <w:lang w:val="en-US" w:eastAsia="zh-CN" w:bidi="ar"/>
              </w:rPr>
              <w:t>涉农整合项目申报要求</w:t>
            </w:r>
          </w:p>
        </w:tc>
      </w:tr>
      <w:tr w14:paraId="5CBA6D3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4F8EE">
            <w:pPr>
              <w:pageBreakBefore w:val="0"/>
              <w:widowControl w:val="0"/>
              <w:kinsoku/>
              <w:wordWrap/>
              <w:topLinePunct w:val="0"/>
              <w:autoSpaceDE/>
              <w:autoSpaceDN/>
              <w:bidi w:val="0"/>
              <w:spacing w:before="0" w:beforeAutospacing="0" w:after="0" w:afterAutospacing="0" w:line="560" w:lineRule="exact"/>
              <w:ind w:left="0" w:right="0"/>
              <w:jc w:val="both"/>
              <w:rPr>
                <w:rFonts w:ascii="宋体" w:hAnsi="宋体" w:eastAsia="宋体" w:cs="宋体"/>
                <w:color w:val="000000"/>
                <w:kern w:val="2"/>
                <w:sz w:val="24"/>
                <w:szCs w:val="24"/>
              </w:rPr>
            </w:pPr>
          </w:p>
        </w:tc>
        <w:tc>
          <w:tcPr>
            <w:tcW w:w="4053" w:type="dxa"/>
            <w:gridSpan w:val="3"/>
            <w:tcBorders>
              <w:top w:val="single" w:color="000000" w:sz="4" w:space="0"/>
              <w:left w:val="single" w:color="000000" w:sz="4" w:space="0"/>
              <w:bottom w:val="single" w:color="000000" w:sz="4" w:space="0"/>
              <w:right w:val="single" w:color="000000" w:sz="4" w:space="0"/>
            </w:tcBorders>
            <w:noWrap w:val="0"/>
            <w:vAlign w:val="center"/>
          </w:tcPr>
          <w:p w14:paraId="1F97D763">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项目起止年限</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71BD5845">
            <w:pPr>
              <w:pageBreakBefore w:val="0"/>
              <w:widowControl w:val="0"/>
              <w:kinsoku/>
              <w:wordWrap/>
              <w:topLinePunct w:val="0"/>
              <w:autoSpaceDE/>
              <w:autoSpaceDN/>
              <w:bidi w:val="0"/>
              <w:spacing w:before="0" w:beforeAutospacing="0" w:after="0" w:afterAutospacing="0" w:line="560" w:lineRule="exact"/>
              <w:ind w:left="0" w:right="0"/>
              <w:jc w:val="left"/>
              <w:rPr>
                <w:rFonts w:hint="default" w:ascii="Calibri" w:hAnsi="Calibri" w:cs="Times New Roman"/>
                <w:kern w:val="2"/>
                <w:sz w:val="21"/>
                <w:lang w:val="en-US" w:eastAsia="zh-CN"/>
              </w:rPr>
            </w:pPr>
            <w:r>
              <w:rPr>
                <w:rFonts w:hint="eastAsia" w:ascii="宋体" w:hAnsi="宋体" w:eastAsia="宋体" w:cs="宋体"/>
                <w:color w:val="000000"/>
                <w:kern w:val="0"/>
                <w:sz w:val="18"/>
                <w:szCs w:val="18"/>
                <w:lang w:val="en-US" w:eastAsia="zh-CN" w:bidi="ar"/>
              </w:rPr>
              <w:t>2023年3月-12月</w:t>
            </w:r>
          </w:p>
        </w:tc>
      </w:tr>
      <w:tr w14:paraId="67EE7965">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EA7AF8A">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0DACA915">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（万元）</w:t>
            </w:r>
          </w:p>
        </w:tc>
        <w:tc>
          <w:tcPr>
            <w:tcW w:w="2972" w:type="dxa"/>
            <w:gridSpan w:val="2"/>
            <w:tcBorders>
              <w:top w:val="single" w:color="000000" w:sz="4" w:space="0"/>
              <w:left w:val="single" w:color="000000" w:sz="4" w:space="0"/>
              <w:bottom w:val="single" w:color="000000" w:sz="4" w:space="0"/>
              <w:right w:val="single" w:color="000000" w:sz="4" w:space="0"/>
            </w:tcBorders>
            <w:noWrap w:val="0"/>
            <w:vAlign w:val="center"/>
          </w:tcPr>
          <w:p w14:paraId="025C5C4B">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年度资金总额：</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7F3C001C">
            <w:pPr>
              <w:pageBreakBefore w:val="0"/>
              <w:widowControl w:val="0"/>
              <w:kinsoku/>
              <w:wordWrap/>
              <w:topLinePunct w:val="0"/>
              <w:autoSpaceDE/>
              <w:autoSpaceDN/>
              <w:bidi w:val="0"/>
              <w:spacing w:before="0" w:beforeAutospacing="0" w:after="0" w:afterAutospacing="0" w:line="560" w:lineRule="exact"/>
              <w:ind w:left="0" w:right="0"/>
              <w:jc w:val="left"/>
              <w:rPr>
                <w:rFonts w:hint="default" w:ascii="宋体" w:hAnsi="宋体" w:eastAsia="宋体" w:cs="宋体"/>
                <w:color w:val="000000"/>
                <w:kern w:val="2"/>
                <w:sz w:val="24"/>
                <w:szCs w:val="24"/>
                <w:lang w:val="en-US" w:eastAsia="zh-CN"/>
              </w:rPr>
            </w:pPr>
            <w:r>
              <w:rPr>
                <w:rFonts w:hint="default" w:ascii="宋体" w:hAnsi="宋体" w:eastAsia="宋体" w:cs="宋体"/>
                <w:color w:val="000000"/>
                <w:kern w:val="2"/>
                <w:sz w:val="24"/>
                <w:szCs w:val="24"/>
                <w:lang w:val="en-US" w:eastAsia="zh-CN"/>
              </w:rPr>
              <w:t>597.08</w:t>
            </w:r>
          </w:p>
        </w:tc>
      </w:tr>
      <w:tr w14:paraId="20F2564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39948B">
            <w:pPr>
              <w:pageBreakBefore w:val="0"/>
              <w:widowControl w:val="0"/>
              <w:kinsoku/>
              <w:wordWrap/>
              <w:topLinePunct w:val="0"/>
              <w:autoSpaceDE/>
              <w:autoSpaceDN/>
              <w:bidi w:val="0"/>
              <w:spacing w:before="0" w:beforeAutospacing="0" w:after="0" w:afterAutospacing="0" w:line="560" w:lineRule="exact"/>
              <w:ind w:left="0" w:right="0"/>
              <w:jc w:val="both"/>
              <w:rPr>
                <w:rFonts w:ascii="宋体" w:hAnsi="宋体" w:eastAsia="宋体" w:cs="宋体"/>
                <w:color w:val="000000"/>
                <w:kern w:val="2"/>
                <w:sz w:val="24"/>
                <w:szCs w:val="24"/>
              </w:rPr>
            </w:pPr>
          </w:p>
        </w:tc>
        <w:tc>
          <w:tcPr>
            <w:tcW w:w="2972" w:type="dxa"/>
            <w:gridSpan w:val="2"/>
            <w:tcBorders>
              <w:top w:val="single" w:color="000000" w:sz="4" w:space="0"/>
              <w:left w:val="single" w:color="000000" w:sz="4" w:space="0"/>
              <w:bottom w:val="single" w:color="000000" w:sz="4" w:space="0"/>
              <w:right w:val="single" w:color="000000" w:sz="4" w:space="0"/>
            </w:tcBorders>
            <w:noWrap w:val="0"/>
            <w:vAlign w:val="center"/>
          </w:tcPr>
          <w:p w14:paraId="16A562AE">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09E0FB0B">
            <w:pPr>
              <w:pageBreakBefore w:val="0"/>
              <w:widowControl w:val="0"/>
              <w:kinsoku/>
              <w:wordWrap/>
              <w:topLinePunct w:val="0"/>
              <w:autoSpaceDE/>
              <w:autoSpaceDN/>
              <w:bidi w:val="0"/>
              <w:spacing w:before="0" w:beforeAutospacing="0" w:after="0" w:afterAutospacing="0" w:line="560" w:lineRule="exact"/>
              <w:ind w:left="0" w:right="0"/>
              <w:jc w:val="left"/>
              <w:rPr>
                <w:rFonts w:hint="default" w:ascii="宋体" w:hAnsi="宋体" w:eastAsia="宋体" w:cs="宋体"/>
                <w:color w:val="000000"/>
                <w:kern w:val="2"/>
                <w:sz w:val="24"/>
                <w:szCs w:val="24"/>
                <w:lang w:val="en-US" w:eastAsia="zh-CN"/>
              </w:rPr>
            </w:pPr>
            <w:r>
              <w:rPr>
                <w:rFonts w:hint="default" w:ascii="宋体" w:hAnsi="宋体" w:eastAsia="宋体" w:cs="宋体"/>
                <w:color w:val="000000"/>
                <w:kern w:val="2"/>
                <w:sz w:val="24"/>
                <w:szCs w:val="24"/>
                <w:lang w:val="en-US" w:eastAsia="zh-CN"/>
              </w:rPr>
              <w:t>597.08</w:t>
            </w:r>
          </w:p>
        </w:tc>
      </w:tr>
      <w:tr w14:paraId="2A55692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4FA2F0">
            <w:pPr>
              <w:pageBreakBefore w:val="0"/>
              <w:widowControl w:val="0"/>
              <w:kinsoku/>
              <w:wordWrap/>
              <w:topLinePunct w:val="0"/>
              <w:autoSpaceDE/>
              <w:autoSpaceDN/>
              <w:bidi w:val="0"/>
              <w:spacing w:before="0" w:beforeAutospacing="0" w:after="0" w:afterAutospacing="0" w:line="560" w:lineRule="exact"/>
              <w:ind w:left="0" w:right="0"/>
              <w:jc w:val="both"/>
              <w:rPr>
                <w:rFonts w:ascii="宋体" w:hAnsi="宋体" w:eastAsia="宋体" w:cs="宋体"/>
                <w:color w:val="000000"/>
                <w:kern w:val="2"/>
                <w:sz w:val="24"/>
                <w:szCs w:val="24"/>
              </w:rPr>
            </w:pPr>
          </w:p>
        </w:tc>
        <w:tc>
          <w:tcPr>
            <w:tcW w:w="2972" w:type="dxa"/>
            <w:gridSpan w:val="2"/>
            <w:tcBorders>
              <w:top w:val="single" w:color="000000" w:sz="4" w:space="0"/>
              <w:left w:val="single" w:color="000000" w:sz="4" w:space="0"/>
              <w:bottom w:val="single" w:color="000000" w:sz="4" w:space="0"/>
              <w:right w:val="single" w:color="000000" w:sz="4" w:space="0"/>
            </w:tcBorders>
            <w:noWrap w:val="0"/>
            <w:vAlign w:val="center"/>
          </w:tcPr>
          <w:p w14:paraId="64D55973">
            <w:pPr>
              <w:pageBreakBefore w:val="0"/>
              <w:widowControl/>
              <w:kinsoku/>
              <w:wordWrap/>
              <w:topLinePunct w:val="0"/>
              <w:autoSpaceDE/>
              <w:autoSpaceDN/>
              <w:bidi w:val="0"/>
              <w:spacing w:before="0" w:beforeAutospacing="0" w:after="0" w:afterAutospacing="0" w:line="56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其他资金</w:t>
            </w:r>
          </w:p>
        </w:tc>
        <w:tc>
          <w:tcPr>
            <w:tcW w:w="5528" w:type="dxa"/>
            <w:gridSpan w:val="5"/>
            <w:tcBorders>
              <w:top w:val="single" w:color="000000" w:sz="4" w:space="0"/>
              <w:left w:val="single" w:color="000000" w:sz="4" w:space="0"/>
              <w:bottom w:val="single" w:color="000000" w:sz="4" w:space="0"/>
              <w:right w:val="single" w:color="000000" w:sz="4" w:space="0"/>
            </w:tcBorders>
            <w:noWrap w:val="0"/>
            <w:vAlign w:val="center"/>
          </w:tcPr>
          <w:p w14:paraId="4BF3DEC9">
            <w:pPr>
              <w:pageBreakBefore w:val="0"/>
              <w:widowControl w:val="0"/>
              <w:kinsoku/>
              <w:wordWrap/>
              <w:topLinePunct w:val="0"/>
              <w:autoSpaceDE/>
              <w:autoSpaceDN/>
              <w:bidi w:val="0"/>
              <w:spacing w:before="0" w:beforeAutospacing="0" w:after="0" w:afterAutospacing="0" w:line="560" w:lineRule="exact"/>
              <w:ind w:left="0" w:right="0"/>
              <w:jc w:val="left"/>
              <w:rPr>
                <w:rFonts w:hint="eastAsia" w:ascii="宋体" w:hAnsi="宋体" w:eastAsia="宋体" w:cs="宋体"/>
                <w:color w:val="000000"/>
                <w:kern w:val="2"/>
                <w:sz w:val="24"/>
                <w:szCs w:val="24"/>
                <w:lang w:val="en-US" w:eastAsia="zh-CN"/>
              </w:rPr>
            </w:pPr>
            <w:r>
              <w:rPr>
                <w:rFonts w:hint="eastAsia" w:ascii="宋体" w:hAnsi="宋体" w:cs="宋体"/>
                <w:color w:val="000000"/>
                <w:kern w:val="2"/>
                <w:sz w:val="24"/>
                <w:szCs w:val="24"/>
                <w:lang w:val="en-US" w:eastAsia="zh-CN"/>
              </w:rPr>
              <w:t>0</w:t>
            </w:r>
          </w:p>
        </w:tc>
      </w:tr>
      <w:tr w14:paraId="5991498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C8704A">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F371A7C">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年度目标</w:t>
            </w:r>
          </w:p>
        </w:tc>
      </w:tr>
      <w:tr w14:paraId="75A056D9">
        <w:tblPrEx>
          <w:tblCellMar>
            <w:top w:w="15" w:type="dxa"/>
            <w:left w:w="15" w:type="dxa"/>
            <w:bottom w:w="15" w:type="dxa"/>
            <w:right w:w="15" w:type="dxa"/>
          </w:tblCellMar>
        </w:tblPrEx>
        <w:trPr>
          <w:trHeight w:val="182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762DC">
            <w:pPr>
              <w:pageBreakBefore w:val="0"/>
              <w:widowControl w:val="0"/>
              <w:kinsoku/>
              <w:wordWrap/>
              <w:topLinePunct w:val="0"/>
              <w:autoSpaceDE/>
              <w:autoSpaceDN/>
              <w:bidi w:val="0"/>
              <w:spacing w:before="0" w:beforeAutospacing="0" w:after="0" w:afterAutospacing="0" w:line="560" w:lineRule="exact"/>
              <w:ind w:left="0" w:right="0"/>
              <w:jc w:val="both"/>
              <w:rPr>
                <w:rFonts w:ascii="宋体" w:hAnsi="宋体" w:eastAsia="宋体" w:cs="宋体"/>
                <w:color w:val="000000"/>
                <w:kern w:val="2"/>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top"/>
          </w:tcPr>
          <w:p w14:paraId="6C63DA87">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ascii="宋体" w:hAnsi="宋体" w:eastAsia="宋体" w:cs="宋体"/>
                <w:color w:val="000000"/>
                <w:kern w:val="2"/>
                <w:sz w:val="24"/>
                <w:szCs w:val="24"/>
              </w:rPr>
            </w:pPr>
            <w:r>
              <w:rPr>
                <w:rFonts w:hint="eastAsia" w:ascii="Calibri" w:hAnsi="Calibri" w:cs="Times New Roman"/>
                <w:kern w:val="2"/>
                <w:sz w:val="21"/>
              </w:rPr>
              <w:t>项目以</w:t>
            </w:r>
            <w:r>
              <w:rPr>
                <w:rFonts w:hint="eastAsia" w:ascii="Calibri" w:hAnsi="Calibri" w:cs="Times New Roman"/>
                <w:kern w:val="2"/>
                <w:sz w:val="21"/>
                <w:lang w:eastAsia="zh-CN"/>
              </w:rPr>
              <w:t>沙坝镇</w:t>
            </w:r>
            <w:r>
              <w:rPr>
                <w:rFonts w:hint="eastAsia" w:ascii="Calibri" w:hAnsi="Calibri" w:cs="Times New Roman"/>
                <w:kern w:val="2"/>
                <w:sz w:val="21"/>
              </w:rPr>
              <w:t>为项目实施主体</w:t>
            </w:r>
            <w:r>
              <w:rPr>
                <w:rFonts w:hint="eastAsia" w:ascii="Calibri" w:hAnsi="Calibri" w:cs="Times New Roman"/>
                <w:kern w:val="2"/>
                <w:sz w:val="21"/>
                <w:lang w:val="en-US" w:eastAsia="zh-CN"/>
              </w:rPr>
              <w:t>实施产业基础建设，水肥一体化设施建设300亩、李树高换50亩、矮种苹果改良示范50亩、新建农业废弃物回收站6座；二、设施装备建设。采购防雹炮1台、太阳能防虫灯150盏、防虫黄板12万张；三、产品加工仓储建设。新建农产品分拣中心4个，改建56平米数字农业服务平台1套、配套建设农产品可追溯体系1套、数字农业控制中心1个；四、农业新业态建设。改建电商示范基地1个、补贴建设庭院经济10户；五、质量与品牌建设。富锶特色果蔬品牌创建及宣传推广；六、科技支撑建设。改建人才培训基地1个，并开展100人次人次培训；七、其他。硬化园区产业道路3公里（宽2.5米、厚0.15米），实施主干道路隐患整治及安防设施11公里、开展园区农村面源污染整治。</w:t>
            </w:r>
          </w:p>
        </w:tc>
      </w:tr>
      <w:tr w14:paraId="11644A7C">
        <w:tblPrEx>
          <w:tblCellMar>
            <w:top w:w="15" w:type="dxa"/>
            <w:left w:w="15" w:type="dxa"/>
            <w:bottom w:w="15" w:type="dxa"/>
            <w:right w:w="15" w:type="dxa"/>
          </w:tblCellMar>
        </w:tblPrEx>
        <w:trPr>
          <w:trHeight w:val="23"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14:paraId="09CDA8C2">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 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F3912DC">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一级指标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2FC1F91">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二级指标</w:t>
            </w: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350AC42D">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三级指标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BC6EB4D">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指标性质</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90EFAC">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指标值</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3F00A85">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度量单位</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50AFBE6">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3F1E886">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实际完成指标值</w:t>
            </w:r>
          </w:p>
        </w:tc>
      </w:tr>
      <w:tr w14:paraId="461627B2">
        <w:tblPrEx>
          <w:tblCellMar>
            <w:top w:w="15" w:type="dxa"/>
            <w:left w:w="15" w:type="dxa"/>
            <w:bottom w:w="15" w:type="dxa"/>
            <w:right w:w="15" w:type="dxa"/>
          </w:tblCellMar>
        </w:tblPrEx>
        <w:trPr>
          <w:trHeight w:val="43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2A5DDF28">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124D4DF1">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产出指标</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BE2DA7A">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数量指标</w:t>
            </w: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31E49F08">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防雹炮</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F666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B37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6959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1DCA024">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53BB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04B34017">
        <w:tblPrEx>
          <w:tblCellMar>
            <w:top w:w="15" w:type="dxa"/>
            <w:left w:w="15" w:type="dxa"/>
            <w:bottom w:w="15" w:type="dxa"/>
            <w:right w:w="15" w:type="dxa"/>
          </w:tblCellMar>
        </w:tblPrEx>
        <w:trPr>
          <w:trHeight w:val="325"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0FAE7CC6">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1A6F1EF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0224B480">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14F1F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按时完成项目建设</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52F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77D5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7DF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3D97A7D">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C0B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r>
      <w:tr w14:paraId="699F91FA">
        <w:tblPrEx>
          <w:tblCellMar>
            <w:top w:w="15" w:type="dxa"/>
            <w:left w:w="15" w:type="dxa"/>
            <w:bottom w:w="15" w:type="dxa"/>
            <w:right w:w="15" w:type="dxa"/>
          </w:tblCellMar>
        </w:tblPrEx>
        <w:trPr>
          <w:trHeight w:val="400"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4E29E59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7584E45">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BE39B7E">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109D8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农产品分拣中心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8499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5E9A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BF868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处</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43F9480A">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934DD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auto"/>
                <w:kern w:val="0"/>
                <w:sz w:val="18"/>
                <w:szCs w:val="18"/>
                <w:lang w:val="en-US" w:eastAsia="zh-CN" w:bidi="ar"/>
              </w:rPr>
              <w:t>0</w:t>
            </w:r>
          </w:p>
        </w:tc>
      </w:tr>
      <w:tr w14:paraId="168FCC70">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1F8EBB0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AAF55E9">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1BB18012">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41B31E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新建农业产业废弃物回收站</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6F41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EA4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0D0F2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座</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323CD51">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BBE1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r>
      <w:tr w14:paraId="0257D95A">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06040714">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3932C5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E9A73E0">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753D6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李子高换</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47F7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6F0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671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亩</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4F0FCF9">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B737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19.98</w:t>
            </w:r>
          </w:p>
        </w:tc>
      </w:tr>
      <w:tr w14:paraId="48435ADC">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61401838">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589B061C">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3439C7A">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695A5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矮种苹果改良示范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047C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0FB7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DA55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亩</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5220A43">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73C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w:t>
            </w:r>
          </w:p>
        </w:tc>
      </w:tr>
      <w:tr w14:paraId="17B54A8D">
        <w:tblPrEx>
          <w:tblCellMar>
            <w:top w:w="15" w:type="dxa"/>
            <w:left w:w="15" w:type="dxa"/>
            <w:bottom w:w="15" w:type="dxa"/>
            <w:right w:w="15" w:type="dxa"/>
          </w:tblCellMar>
        </w:tblPrEx>
        <w:trPr>
          <w:trHeight w:val="355"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0A393AFE">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9AF04F5">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E18CEF5">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11272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庭院经济发展建设</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FAC4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1A0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8A56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户</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1B056A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FBC31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r>
      <w:tr w14:paraId="541BE8AE">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27DCCAF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77CC75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3C2548D">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65B4E6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太阳能防虫灯</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A83F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FCF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71A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盏</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2426D0B">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4123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150</w:t>
            </w:r>
          </w:p>
        </w:tc>
      </w:tr>
      <w:tr w14:paraId="3E85C839">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44B3FD5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64CE291">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FE514C2">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7BDBE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防虫黄板</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D4A18E">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5906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A0C4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万张</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FA880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58105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w:t>
            </w:r>
          </w:p>
        </w:tc>
      </w:tr>
      <w:tr w14:paraId="4FB54591">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7484A00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0EC7FE0">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10C4631">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6CC90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农产品可追溯体系</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8DDC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A109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186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77346AD">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C215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567020B3">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3CFE9F61">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B700EE4">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A675D0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113F2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数学农业控制中心</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8538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52B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A617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8DEC6B">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CC49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79FAF535">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42034B00">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2CE69E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EE9D7AE">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29E67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56平米数字农业服务平台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E6E8DE2">
            <w:pPr>
              <w:keepNext w:val="0"/>
              <w:keepLines w:val="0"/>
              <w:widowControl/>
              <w:suppressLineNumbers w:val="0"/>
              <w:spacing w:before="0" w:beforeAutospacing="0" w:after="0" w:afterAutospacing="0"/>
              <w:ind w:left="0" w:right="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28F9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DAEC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91B6D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60AA5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3CA54B76">
        <w:tblPrEx>
          <w:tblCellMar>
            <w:top w:w="15" w:type="dxa"/>
            <w:left w:w="15" w:type="dxa"/>
            <w:bottom w:w="15" w:type="dxa"/>
            <w:right w:w="15" w:type="dxa"/>
          </w:tblCellMar>
        </w:tblPrEx>
        <w:trPr>
          <w:trHeight w:val="295"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2B71A5EB">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30A83D4">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782CAE8A">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4F61F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电商示范基地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13C7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B04DEA">
            <w:pPr>
              <w:keepNext w:val="0"/>
              <w:keepLines w:val="0"/>
              <w:widowControl/>
              <w:suppressLineNumbers w:val="0"/>
              <w:tabs>
                <w:tab w:val="left" w:pos="479"/>
              </w:tabs>
              <w:spacing w:before="0" w:beforeAutospacing="0" w:after="0" w:afterAutospacing="0" w:line="240" w:lineRule="auto"/>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907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51AE0FA5">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35455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23C93950">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3A6F0E98">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AC59B96">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6F15645">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06ED0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人才培训基地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B53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EC6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8EA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个</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F03A00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A3444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3FE4784F">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064C3AEA">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280EEA7C">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CBF5FA8">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72D03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硬化园区产业道路</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657A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09A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C4F9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公里</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1A5EA6D">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5112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r>
      <w:tr w14:paraId="79BCB361">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7B4045D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0EF145CC">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F17393A">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5DE7F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主干道路隐患整治及安防设施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8B18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D7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73B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公里</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323B15C">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9588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w:t>
            </w:r>
          </w:p>
        </w:tc>
      </w:tr>
      <w:tr w14:paraId="18DAAF13">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3CB99215">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BD8A3D2">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C699245">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质量指标</w:t>
            </w: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69469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按照项目实施方案质量要求完成项目建设</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B7954F">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78E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BFD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1A9082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828D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r>
      <w:tr w14:paraId="032428BE">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05FE240F">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7BF27EB0">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效益指标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99153A4">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0AB89E2E">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875" w:type="dxa"/>
            <w:tcBorders>
              <w:top w:val="single" w:color="000000" w:sz="4" w:space="0"/>
              <w:left w:val="single" w:color="auto" w:sz="4" w:space="0"/>
              <w:bottom w:val="single" w:color="000000" w:sz="4" w:space="0"/>
              <w:right w:val="single" w:color="000000" w:sz="4" w:space="0"/>
            </w:tcBorders>
            <w:noWrap w:val="0"/>
            <w:vAlign w:val="center"/>
          </w:tcPr>
          <w:p w14:paraId="380C7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带动、受益脱贫人口数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6CACC975">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FE6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B65E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人</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4613A3B">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6858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135</w:t>
            </w:r>
          </w:p>
        </w:tc>
      </w:tr>
      <w:tr w14:paraId="75A903E0">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14:paraId="44E35EC2">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0E4195CA">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3A5E150">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经济效益指标</w:t>
            </w:r>
          </w:p>
        </w:tc>
        <w:tc>
          <w:tcPr>
            <w:tcW w:w="1875" w:type="dxa"/>
            <w:tcBorders>
              <w:top w:val="single" w:color="000000" w:sz="4" w:space="0"/>
              <w:left w:val="single" w:color="auto" w:sz="4" w:space="0"/>
              <w:bottom w:val="single" w:color="auto" w:sz="4" w:space="0"/>
              <w:right w:val="single" w:color="000000" w:sz="4" w:space="0"/>
            </w:tcBorders>
            <w:noWrap w:val="0"/>
            <w:vAlign w:val="center"/>
          </w:tcPr>
          <w:p w14:paraId="470DC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带动增加脱贫人口收入</w:t>
            </w:r>
          </w:p>
        </w:tc>
        <w:tc>
          <w:tcPr>
            <w:tcW w:w="930" w:type="dxa"/>
            <w:tcBorders>
              <w:top w:val="single" w:color="000000" w:sz="4" w:space="0"/>
              <w:left w:val="single" w:color="000000" w:sz="4" w:space="0"/>
              <w:bottom w:val="single" w:color="auto" w:sz="4" w:space="0"/>
              <w:right w:val="single" w:color="000000" w:sz="4" w:space="0"/>
            </w:tcBorders>
            <w:noWrap w:val="0"/>
            <w:vAlign w:val="center"/>
          </w:tcPr>
          <w:p w14:paraId="7D587922">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2BAC7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00</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14:paraId="26CD7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元</w:t>
            </w:r>
          </w:p>
        </w:tc>
        <w:tc>
          <w:tcPr>
            <w:tcW w:w="747" w:type="dxa"/>
            <w:tcBorders>
              <w:top w:val="single" w:color="000000" w:sz="4" w:space="0"/>
              <w:left w:val="single" w:color="000000" w:sz="4" w:space="0"/>
              <w:bottom w:val="single" w:color="auto" w:sz="4" w:space="0"/>
              <w:right w:val="single" w:color="000000" w:sz="4" w:space="0"/>
            </w:tcBorders>
            <w:noWrap w:val="0"/>
            <w:vAlign w:val="center"/>
          </w:tcPr>
          <w:p w14:paraId="06BEB2B1">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14D3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500</w:t>
            </w:r>
          </w:p>
        </w:tc>
      </w:tr>
      <w:tr w14:paraId="436CF9AF">
        <w:tblPrEx>
          <w:tblCellMar>
            <w:top w:w="15" w:type="dxa"/>
            <w:left w:w="15" w:type="dxa"/>
            <w:bottom w:w="15" w:type="dxa"/>
            <w:right w:w="15" w:type="dxa"/>
          </w:tblCellMar>
        </w:tblPrEx>
        <w:trPr>
          <w:trHeight w:val="23" w:hRule="atLeast"/>
          <w:jc w:val="center"/>
        </w:trPr>
        <w:tc>
          <w:tcPr>
            <w:tcW w:w="652" w:type="dxa"/>
            <w:vMerge w:val="continue"/>
            <w:tcBorders>
              <w:top w:val="single" w:color="auto" w:sz="4" w:space="0"/>
              <w:left w:val="single" w:color="auto" w:sz="4" w:space="0"/>
              <w:bottom w:val="single" w:color="000000" w:sz="4" w:space="0"/>
            </w:tcBorders>
            <w:noWrap w:val="0"/>
            <w:vAlign w:val="center"/>
          </w:tcPr>
          <w:p w14:paraId="4B2E785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000000" w:sz="4" w:space="0"/>
              <w:bottom w:val="single" w:color="auto" w:sz="4" w:space="0"/>
              <w:right w:val="single" w:color="000000" w:sz="4" w:space="0"/>
            </w:tcBorders>
            <w:noWrap w:val="0"/>
            <w:vAlign w:val="center"/>
          </w:tcPr>
          <w:p w14:paraId="37A6F2D1">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97" w:type="dxa"/>
            <w:tcBorders>
              <w:top w:val="single" w:color="auto" w:sz="4" w:space="0"/>
              <w:left w:val="single" w:color="000000" w:sz="4" w:space="0"/>
              <w:bottom w:val="single" w:color="auto" w:sz="4" w:space="0"/>
              <w:right w:val="single" w:color="000000" w:sz="4" w:space="0"/>
            </w:tcBorders>
            <w:noWrap w:val="0"/>
            <w:vAlign w:val="center"/>
          </w:tcPr>
          <w:p w14:paraId="41B910C0">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hint="eastAsia" w:ascii="宋体" w:hAnsi="宋体" w:cs="宋体"/>
                <w:color w:val="000000"/>
                <w:kern w:val="2"/>
                <w:sz w:val="24"/>
                <w:szCs w:val="24"/>
                <w:lang w:eastAsia="zh-CN"/>
              </w:rPr>
            </w:pPr>
            <w:r>
              <w:rPr>
                <w:rFonts w:hint="eastAsia" w:ascii="宋体" w:hAnsi="宋体" w:cs="宋体"/>
                <w:color w:val="000000"/>
                <w:kern w:val="2"/>
                <w:sz w:val="24"/>
                <w:szCs w:val="24"/>
                <w:lang w:eastAsia="zh-CN"/>
              </w:rPr>
              <w:t>可持续发展指标</w:t>
            </w:r>
          </w:p>
        </w:tc>
        <w:tc>
          <w:tcPr>
            <w:tcW w:w="1875" w:type="dxa"/>
            <w:tcBorders>
              <w:top w:val="single" w:color="000000" w:sz="4" w:space="0"/>
              <w:left w:val="single" w:color="000000" w:sz="4" w:space="0"/>
              <w:bottom w:val="single" w:color="auto" w:sz="4" w:space="0"/>
              <w:right w:val="single" w:color="000000" w:sz="4" w:space="0"/>
            </w:tcBorders>
            <w:noWrap w:val="0"/>
            <w:vAlign w:val="center"/>
          </w:tcPr>
          <w:p w14:paraId="521CF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项目持续使用年限</w:t>
            </w:r>
          </w:p>
        </w:tc>
        <w:tc>
          <w:tcPr>
            <w:tcW w:w="930" w:type="dxa"/>
            <w:tcBorders>
              <w:top w:val="single" w:color="000000" w:sz="4" w:space="0"/>
              <w:left w:val="single" w:color="000000" w:sz="4" w:space="0"/>
              <w:bottom w:val="single" w:color="auto" w:sz="4" w:space="0"/>
              <w:right w:val="single" w:color="000000" w:sz="4" w:space="0"/>
            </w:tcBorders>
            <w:noWrap w:val="0"/>
            <w:vAlign w:val="center"/>
          </w:tcPr>
          <w:p w14:paraId="02EDD5E6">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14:paraId="54F57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14:paraId="28076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年</w:t>
            </w:r>
          </w:p>
        </w:tc>
        <w:tc>
          <w:tcPr>
            <w:tcW w:w="747" w:type="dxa"/>
            <w:tcBorders>
              <w:top w:val="single" w:color="000000" w:sz="4" w:space="0"/>
              <w:left w:val="single" w:color="000000" w:sz="4" w:space="0"/>
              <w:bottom w:val="single" w:color="auto" w:sz="4" w:space="0"/>
              <w:right w:val="single" w:color="000000" w:sz="4" w:space="0"/>
            </w:tcBorders>
            <w:noWrap w:val="0"/>
            <w:vAlign w:val="center"/>
          </w:tcPr>
          <w:p w14:paraId="7DDDCB53">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D002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r>
      <w:tr w14:paraId="20FBD7E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auto" w:sz="4" w:space="0"/>
              <w:bottom w:val="single" w:color="000000" w:sz="4" w:space="0"/>
              <w:right w:val="single" w:color="auto" w:sz="4" w:space="0"/>
            </w:tcBorders>
            <w:noWrap w:val="0"/>
            <w:vAlign w:val="center"/>
          </w:tcPr>
          <w:p w14:paraId="34026F77">
            <w:pPr>
              <w:pageBreakBefore w:val="0"/>
              <w:widowControl w:val="0"/>
              <w:kinsoku/>
              <w:wordWrap/>
              <w:topLinePunct w:val="0"/>
              <w:autoSpaceDE/>
              <w:autoSpaceDN/>
              <w:bidi w:val="0"/>
              <w:spacing w:before="0" w:beforeAutospacing="0" w:after="0" w:afterAutospacing="0" w:line="560" w:lineRule="exact"/>
              <w:ind w:left="0" w:right="0"/>
              <w:jc w:val="center"/>
              <w:rPr>
                <w:rFonts w:ascii="宋体" w:hAnsi="宋体" w:eastAsia="宋体" w:cs="宋体"/>
                <w:color w:val="000000"/>
                <w:kern w:val="2"/>
                <w:sz w:val="24"/>
                <w:szCs w:val="24"/>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EB70A10">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368F40AB">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11FE0E1">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602E344C">
            <w:pPr>
              <w:pageBreakBefore w:val="0"/>
              <w:widowControl/>
              <w:kinsoku/>
              <w:wordWrap/>
              <w:topLinePunct w:val="0"/>
              <w:autoSpaceDE/>
              <w:autoSpaceDN/>
              <w:bidi w:val="0"/>
              <w:spacing w:before="0" w:beforeAutospacing="0" w:after="0" w:afterAutospacing="0" w:line="56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满意度指标</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27F6BBD">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群众满意度</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503AF21">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867D5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95</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3E92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05A564A">
            <w:pPr>
              <w:pageBreakBefore w:val="0"/>
              <w:widowControl w:val="0"/>
              <w:kinsoku/>
              <w:wordWrap/>
              <w:topLinePunct w:val="0"/>
              <w:autoSpaceDE/>
              <w:autoSpaceDN/>
              <w:bidi w:val="0"/>
              <w:spacing w:before="0" w:beforeAutospacing="0" w:after="0" w:afterAutospacing="0" w:line="560" w:lineRule="exact"/>
              <w:ind w:left="0" w:right="0"/>
              <w:jc w:val="center"/>
              <w:rPr>
                <w:rFonts w:hint="eastAsia" w:ascii="宋体" w:hAnsi="宋体" w:eastAsia="宋体" w:cs="宋体"/>
                <w:color w:val="000000"/>
                <w:kern w:val="0"/>
                <w:sz w:val="18"/>
                <w:szCs w:val="18"/>
                <w:lang w:val="en-US" w:eastAsia="zh-CN" w:bidi="ar"/>
              </w:rPr>
            </w:pPr>
          </w:p>
        </w:tc>
        <w:tc>
          <w:tcPr>
            <w:tcW w:w="1841" w:type="dxa"/>
            <w:tcBorders>
              <w:top w:val="single" w:color="000000" w:sz="4" w:space="0"/>
              <w:left w:val="single" w:color="auto" w:sz="4" w:space="0"/>
              <w:bottom w:val="single" w:color="000000" w:sz="4" w:space="0"/>
              <w:right w:val="single" w:color="000000" w:sz="4" w:space="0"/>
            </w:tcBorders>
            <w:noWrap w:val="0"/>
            <w:vAlign w:val="center"/>
          </w:tcPr>
          <w:p w14:paraId="0CD9C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95</w:t>
            </w:r>
          </w:p>
        </w:tc>
      </w:tr>
    </w:tbl>
    <w:p w14:paraId="34417BBF">
      <w:pPr>
        <w:pStyle w:val="2"/>
        <w:rPr>
          <w:rFonts w:hint="default"/>
          <w:lang w:val="en-US" w:eastAsia="zh-CN"/>
        </w:rPr>
      </w:pPr>
    </w:p>
    <w:p w14:paraId="6630F63E">
      <w:pPr>
        <w:widowControl w:val="0"/>
        <w:spacing w:before="0" w:beforeAutospacing="0" w:after="0" w:afterAutospacing="0" w:line="578" w:lineRule="exact"/>
        <w:ind w:left="0" w:right="0"/>
        <w:jc w:val="center"/>
        <w:outlineLvl w:val="0"/>
        <w:rPr>
          <w:rFonts w:hint="eastAsia" w:ascii="方正小标宋简体" w:hAnsi="方正小标宋简体" w:eastAsia="方正小标宋简体" w:cs="方正小标宋简体"/>
          <w:color w:val="auto"/>
          <w:kern w:val="2"/>
          <w:sz w:val="44"/>
          <w:szCs w:val="44"/>
          <w:lang w:val="en-US" w:eastAsia="zh-CN" w:bidi="ar-SA"/>
        </w:rPr>
      </w:pPr>
      <w:bookmarkStart w:id="198" w:name="_Toc15853"/>
      <w:bookmarkStart w:id="199" w:name="_Toc21893"/>
      <w:r>
        <w:rPr>
          <w:rFonts w:hint="eastAsia" w:ascii="方正小标宋简体" w:hAnsi="方正小标宋简体" w:eastAsia="方正小标宋简体" w:cs="方正小标宋简体"/>
          <w:color w:val="auto"/>
          <w:kern w:val="2"/>
          <w:sz w:val="44"/>
          <w:szCs w:val="44"/>
          <w:lang w:val="en-US" w:eastAsia="zh-CN" w:bidi="ar-SA"/>
        </w:rPr>
        <w:t>2023年叠溪镇特色果蔬现代农业园区建设</w:t>
      </w:r>
      <w:bookmarkEnd w:id="198"/>
      <w:bookmarkEnd w:id="199"/>
    </w:p>
    <w:p w14:paraId="0EBDDBC3">
      <w:pPr>
        <w:widowControl w:val="0"/>
        <w:spacing w:before="0" w:beforeAutospacing="0" w:after="0" w:afterAutospacing="0" w:line="578" w:lineRule="exact"/>
        <w:ind w:left="0" w:right="0"/>
        <w:jc w:val="center"/>
        <w:outlineLvl w:val="0"/>
        <w:rPr>
          <w:rFonts w:ascii="宋体" w:hAnsi="宋体" w:eastAsia="宋体" w:cs="Times New Roman"/>
          <w:color w:val="auto"/>
          <w:kern w:val="2"/>
          <w:sz w:val="32"/>
          <w:szCs w:val="32"/>
          <w:lang w:val="zh-CN" w:eastAsia="zh-CN" w:bidi="ar-SA"/>
        </w:rPr>
      </w:pPr>
      <w:bookmarkStart w:id="200" w:name="_Toc27145"/>
      <w:r>
        <w:rPr>
          <w:rFonts w:hint="eastAsia" w:ascii="方正小标宋简体" w:hAnsi="方正小标宋简体" w:eastAsia="方正小标宋简体" w:cs="方正小标宋简体"/>
          <w:color w:val="auto"/>
          <w:kern w:val="2"/>
          <w:sz w:val="44"/>
          <w:szCs w:val="44"/>
          <w:lang w:val="en-US" w:eastAsia="zh-CN" w:bidi="ar-SA"/>
        </w:rPr>
        <w:t>项目绩效评价报告</w:t>
      </w:r>
      <w:bookmarkEnd w:id="200"/>
    </w:p>
    <w:p w14:paraId="20C1D1C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outlineLvl w:val="1"/>
        <w:rPr>
          <w:rFonts w:ascii="黑体" w:hAnsi="宋体" w:eastAsia="黑体" w:cs="Times New Roman"/>
          <w:color w:val="auto"/>
          <w:kern w:val="2"/>
          <w:sz w:val="32"/>
          <w:szCs w:val="32"/>
          <w:lang w:val="zh-CN"/>
        </w:rPr>
      </w:pPr>
      <w:bookmarkStart w:id="201" w:name="_Toc30277"/>
      <w:bookmarkStart w:id="202" w:name="_Toc20932"/>
      <w:r>
        <w:rPr>
          <w:rFonts w:hint="eastAsia" w:ascii="黑体" w:hAnsi="宋体" w:eastAsia="黑体" w:cs="Times New Roman"/>
          <w:color w:val="auto"/>
          <w:kern w:val="2"/>
          <w:sz w:val="32"/>
          <w:szCs w:val="32"/>
        </w:rPr>
        <w:t>一、</w:t>
      </w:r>
      <w:r>
        <w:rPr>
          <w:rFonts w:hint="eastAsia" w:ascii="黑体" w:hAnsi="宋体" w:eastAsia="黑体" w:cs="Times New Roman"/>
          <w:color w:val="auto"/>
          <w:kern w:val="2"/>
          <w:sz w:val="32"/>
          <w:szCs w:val="32"/>
          <w:lang w:val="zh-CN"/>
        </w:rPr>
        <w:t>项目概况</w:t>
      </w:r>
      <w:bookmarkEnd w:id="201"/>
      <w:bookmarkEnd w:id="202"/>
    </w:p>
    <w:p w14:paraId="3EE5ACE3">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atLeast"/>
        <w:ind w:left="0" w:right="0" w:firstLine="643"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楷体_GB2312" w:hAnsi="宋体" w:eastAsia="楷体_GB2312" w:cs="Times New Roman"/>
          <w:b/>
          <w:color w:val="auto"/>
          <w:kern w:val="2"/>
          <w:sz w:val="32"/>
          <w:szCs w:val="32"/>
          <w:lang w:val="zh-CN"/>
        </w:rPr>
        <w:t>（一）设立背景及基本情况。</w:t>
      </w:r>
      <w:r>
        <w:rPr>
          <w:rFonts w:hint="eastAsia" w:ascii="仿宋_GB2312" w:hAnsi="Times New Roman" w:eastAsia="仿宋_GB2312" w:cs="Times New Roman"/>
          <w:color w:val="auto"/>
          <w:kern w:val="2"/>
          <w:sz w:val="32"/>
          <w:szCs w:val="32"/>
          <w:lang w:val="zh-CN"/>
        </w:rPr>
        <w:t>该项目作为乡村振兴中产业振兴、园区建设产业结构调整优化所需要的基础设施补短板，产业结构调整促发展的重点建设内容为申报依据进行项目申报。该项目我局按照县政府安排作为项目资金监管单位，</w:t>
      </w:r>
      <w:r>
        <w:rPr>
          <w:rFonts w:hint="eastAsia" w:ascii="仿宋_GB2312" w:hAnsi="Times New Roman" w:eastAsia="仿宋_GB2312" w:cs="Times New Roman"/>
          <w:color w:val="auto"/>
          <w:kern w:val="2"/>
          <w:sz w:val="32"/>
          <w:szCs w:val="32"/>
          <w:lang w:val="en-US" w:eastAsia="zh-CN"/>
        </w:rPr>
        <w:t>叠溪</w:t>
      </w:r>
      <w:r>
        <w:rPr>
          <w:rFonts w:hint="eastAsia" w:ascii="仿宋_GB2312" w:hAnsi="Times New Roman" w:eastAsia="仿宋_GB2312" w:cs="Times New Roman"/>
          <w:color w:val="auto"/>
          <w:kern w:val="2"/>
          <w:sz w:val="32"/>
          <w:szCs w:val="32"/>
          <w:lang w:val="zh-CN"/>
        </w:rPr>
        <w:t>镇人民政府作为项目具体实施建设业主单位采取“先建后补、公开招标、政府采购”等多种方式组织实施。</w:t>
      </w:r>
    </w:p>
    <w:p w14:paraId="47A118C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720"/>
        <w:jc w:val="both"/>
        <w:textAlignment w:val="auto"/>
        <w:rPr>
          <w:rFonts w:ascii="楷体_GB2312" w:hAnsi="宋体" w:eastAsia="楷体_GB2312" w:cs="Times New Roman"/>
          <w:b/>
          <w:color w:val="auto"/>
          <w:kern w:val="2"/>
          <w:sz w:val="32"/>
          <w:szCs w:val="32"/>
          <w:lang w:val="zh-CN"/>
        </w:rPr>
      </w:pPr>
      <w:r>
        <w:rPr>
          <w:rFonts w:hint="eastAsia" w:ascii="楷体_GB2312" w:hAnsi="宋体" w:eastAsia="楷体_GB2312" w:cs="Times New Roman"/>
          <w:b/>
          <w:color w:val="auto"/>
          <w:kern w:val="2"/>
          <w:sz w:val="32"/>
          <w:szCs w:val="32"/>
          <w:lang w:val="zh-CN"/>
        </w:rPr>
        <w:t>（二）</w:t>
      </w:r>
      <w:r>
        <w:rPr>
          <w:rFonts w:ascii="楷体_GB2312" w:hAnsi="宋体" w:eastAsia="楷体_GB2312" w:cs="Times New Roman"/>
          <w:b/>
          <w:color w:val="auto"/>
          <w:kern w:val="2"/>
          <w:sz w:val="32"/>
          <w:szCs w:val="32"/>
        </w:rPr>
        <w:t>实施目的及支持方向</w:t>
      </w:r>
      <w:r>
        <w:rPr>
          <w:rFonts w:hint="eastAsia" w:ascii="楷体_GB2312" w:hAnsi="宋体" w:eastAsia="楷体_GB2312" w:cs="Times New Roman"/>
          <w:b/>
          <w:color w:val="auto"/>
          <w:kern w:val="2"/>
          <w:sz w:val="32"/>
          <w:szCs w:val="32"/>
        </w:rPr>
        <w:t>。</w:t>
      </w:r>
      <w:r>
        <w:rPr>
          <w:rFonts w:hint="eastAsia" w:ascii="仿宋_GB2312" w:hAnsi="仿宋_GB2312" w:eastAsia="仿宋_GB2312" w:cs="仿宋_GB2312"/>
          <w:color w:val="auto"/>
          <w:kern w:val="0"/>
          <w:sz w:val="32"/>
          <w:szCs w:val="32"/>
          <w:shd w:val="clear" w:color="auto" w:fill="FFFFFF"/>
        </w:rPr>
        <w:t>项目资金</w:t>
      </w:r>
      <w:r>
        <w:rPr>
          <w:rFonts w:hint="eastAsia" w:ascii="仿宋_GB2312" w:hAnsi="仿宋_GB2312" w:eastAsia="仿宋_GB2312" w:cs="仿宋_GB2312"/>
          <w:color w:val="auto"/>
          <w:kern w:val="0"/>
          <w:sz w:val="32"/>
          <w:szCs w:val="32"/>
          <w:shd w:val="clear" w:color="auto" w:fill="FFFFFF"/>
          <w:lang w:val="zh-CN"/>
        </w:rPr>
        <w:t>管理办法按照《茂县财政衔接推进乡村振兴补助资金管理办法（修订）》执行，项目实施目的是推进项目区域内产业发展、加强综合防灾减能力、提高农作物产量和促进农民增收。主要工作任务是</w:t>
      </w:r>
      <w:r>
        <w:rPr>
          <w:rFonts w:hint="eastAsia" w:ascii="仿宋_GB2312" w:hAnsi="Times New Roman" w:eastAsia="仿宋_GB2312" w:cs="Times New Roman"/>
          <w:color w:val="auto"/>
          <w:kern w:val="2"/>
          <w:sz w:val="32"/>
          <w:szCs w:val="32"/>
          <w:lang w:val="en-US" w:eastAsia="zh-CN"/>
        </w:rPr>
        <w:t>完成果蔬智能化大棚、防雹炮、数字平台建设、农产品溯源建设、防雹网、水肥一体化设施设备、“庭院经济”、采摘园建设、新品种苹果、羌脆大李高换、农业园区采摘路、面源污染等建设，</w:t>
      </w:r>
      <w:r>
        <w:rPr>
          <w:rFonts w:hint="eastAsia" w:ascii="仿宋_GB2312" w:hAnsi="仿宋_GB2312" w:eastAsia="仿宋_GB2312" w:cs="仿宋_GB2312"/>
          <w:color w:val="auto"/>
          <w:kern w:val="0"/>
          <w:sz w:val="32"/>
          <w:szCs w:val="32"/>
          <w:shd w:val="clear" w:color="auto" w:fill="FFFFFF"/>
          <w:lang w:val="zh-CN"/>
        </w:rPr>
        <w:t>项目支持方向为农业产业发展。</w:t>
      </w:r>
    </w:p>
    <w:p w14:paraId="30F0E469">
      <w:pPr>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atLeast"/>
        <w:ind w:left="0" w:right="0" w:firstLine="643" w:firstLineChars="200"/>
        <w:contextualSpacing/>
        <w:jc w:val="left"/>
        <w:textAlignment w:val="auto"/>
        <w:rPr>
          <w:rFonts w:ascii="仿宋_GB2312" w:hAnsi="仿宋_GB2312" w:eastAsia="仿宋_GB2312" w:cs="仿宋_GB2312"/>
          <w:color w:val="auto"/>
          <w:kern w:val="0"/>
          <w:sz w:val="32"/>
          <w:szCs w:val="32"/>
          <w:shd w:val="clear" w:color="auto" w:fill="FFFFFF"/>
          <w:lang w:val="zh-CN"/>
        </w:rPr>
      </w:pPr>
      <w:r>
        <w:rPr>
          <w:rFonts w:hint="eastAsia" w:ascii="楷体_GB2312" w:hAnsi="宋体" w:eastAsia="楷体_GB2312" w:cs="Times New Roman"/>
          <w:b/>
          <w:color w:val="auto"/>
          <w:kern w:val="2"/>
          <w:sz w:val="32"/>
          <w:szCs w:val="32"/>
          <w:lang w:val="zh-CN"/>
        </w:rPr>
        <w:t>（三）</w:t>
      </w:r>
      <w:r>
        <w:rPr>
          <w:rFonts w:ascii="楷体_GB2312" w:hAnsi="宋体" w:eastAsia="楷体_GB2312" w:cs="Times New Roman"/>
          <w:b/>
          <w:color w:val="auto"/>
          <w:kern w:val="2"/>
          <w:sz w:val="32"/>
          <w:szCs w:val="32"/>
        </w:rPr>
        <w:t>预算安排及分配管理</w:t>
      </w:r>
      <w:r>
        <w:rPr>
          <w:rFonts w:hint="eastAsia" w:ascii="楷体_GB2312" w:hAnsi="宋体" w:eastAsia="楷体_GB2312" w:cs="Times New Roman"/>
          <w:b/>
          <w:color w:val="auto"/>
          <w:kern w:val="2"/>
          <w:sz w:val="32"/>
          <w:szCs w:val="32"/>
          <w:lang w:val="zh-CN"/>
        </w:rPr>
        <w:t>。</w:t>
      </w:r>
      <w:r>
        <w:rPr>
          <w:rFonts w:hint="eastAsia" w:ascii="仿宋_GB2312" w:hAnsi="仿宋_GB2312" w:eastAsia="仿宋_GB2312" w:cs="仿宋_GB2312"/>
          <w:color w:val="auto"/>
          <w:kern w:val="0"/>
          <w:sz w:val="32"/>
          <w:szCs w:val="32"/>
          <w:shd w:val="clear" w:color="auto" w:fill="FFFFFF"/>
          <w:lang w:val="zh-CN"/>
        </w:rPr>
        <w:t>项目预算安排总资金625.53万元，</w:t>
      </w:r>
      <w:r>
        <w:rPr>
          <w:rFonts w:hint="eastAsia" w:ascii="仿宋_GB2312" w:hAnsi="Times New Roman" w:eastAsia="仿宋_GB2312" w:cs="Times New Roman"/>
          <w:color w:val="auto"/>
          <w:kern w:val="2"/>
          <w:sz w:val="32"/>
          <w:szCs w:val="32"/>
          <w:lang w:val="en-US" w:eastAsia="zh-CN"/>
        </w:rPr>
        <w:t>通过中共茂县县委办公室茂县人民政府办公室《关于下达茂县2023年度统筹整合使用财政涉农该资金及财政衔接推进乡村振兴补助资金项目（第一批）的通知》（茂委办发【2023】12号）文件下达资金400万元，中共茂县县委办公室茂县人民政府办公室《关于下达茂县2023年度（州级）统财政衔接推进乡村振兴补助资金项目（第二批）的通知》（茂委办发【2023】21号）文件下达资金151万元，茂县财政局《关于调整2023年度财政衔接推进乡村振兴补助资金的通知》（茂财农【2023】65号）文件下达资金74.53万元。</w:t>
      </w:r>
    </w:p>
    <w:p w14:paraId="66CA278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3" w:firstLineChars="200"/>
        <w:jc w:val="both"/>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楷体_GB2312" w:hAnsi="宋体" w:eastAsia="楷体_GB2312" w:cs="Times New Roman"/>
          <w:b/>
          <w:color w:val="auto"/>
          <w:kern w:val="2"/>
          <w:sz w:val="32"/>
          <w:szCs w:val="32"/>
          <w:lang w:val="zh-CN"/>
        </w:rPr>
        <w:t>（四）项目绩效目标设置。</w:t>
      </w:r>
      <w:r>
        <w:rPr>
          <w:rFonts w:hint="eastAsia" w:ascii="仿宋_GB2312" w:hAnsi="仿宋_GB2312" w:eastAsia="仿宋_GB2312" w:cs="仿宋_GB2312"/>
          <w:color w:val="auto"/>
          <w:kern w:val="0"/>
          <w:sz w:val="32"/>
          <w:szCs w:val="32"/>
          <w:shd w:val="clear" w:color="auto" w:fill="FFFFFF"/>
          <w:lang w:val="zh-CN"/>
        </w:rPr>
        <w:t>项目整体、区域和具体绩效目标设置情况，项目自评工作开展情况。项目涉及叠溪镇9个村，分别是蚕丛村、较场村、桃花村、牛尾村、石大关村、龙池村、两河口村、松坪沟村、杨柳村。绩效目标设置分为三级，分别是—级指标（产出指标、效益指标、满意度指标）；二级指标（数量指标、质量指标、时效指标、经济效益、社会效益、生态效益、服务对象满意度）；三级指标，指标值为</w:t>
      </w:r>
      <w:r>
        <w:rPr>
          <w:rFonts w:hint="eastAsia" w:ascii="仿宋_GB2312" w:hAnsi="仿宋_GB2312" w:eastAsia="仿宋_GB2312" w:cs="仿宋_GB2312"/>
          <w:color w:val="auto"/>
          <w:kern w:val="0"/>
          <w:sz w:val="32"/>
          <w:szCs w:val="32"/>
          <w:shd w:val="clear" w:color="auto" w:fill="FFFFFF"/>
          <w:lang w:val="en-US" w:eastAsia="zh-CN"/>
        </w:rPr>
        <w:t>数量指标（果蔬智能化大棚40亩；防雹炮2台；数字平台建设、农产品溯源建设，智能化设施设备1项；防雹网115亩；水肥一体化165亩；“庭院经济”示范户15户；采摘园建设5个；新品种苹果65亩；羌脆大李高换60亩；采摘路1500立方米；面源污染1项），质量指标验收合格率100%，时效指标完成及时率100%，经济效益指标增加受益农户经济收入≥0.3万元，社会效益指标（受益建档立卡贫困人口数≥54人，资金使用无重大违规违纪问题≤0），可持续影响指标使用年限≥5年，服务对象满意度指标农户、受益群众对该项目的满意度≥95%。</w:t>
      </w:r>
      <w:r>
        <w:rPr>
          <w:rFonts w:hint="eastAsia" w:ascii="仿宋_GB2312" w:hAnsi="仿宋_GB2312" w:eastAsia="仿宋_GB2312" w:cs="仿宋_GB2312"/>
          <w:color w:val="auto"/>
          <w:kern w:val="0"/>
          <w:sz w:val="32"/>
          <w:szCs w:val="32"/>
          <w:shd w:val="clear" w:color="auto" w:fill="FFFFFF"/>
          <w:lang w:val="zh-CN"/>
        </w:rPr>
        <w:t>由项目具体负责人对项目实施内容进行自评，对项目具体实施情况与项目预算绩效进行对比，对数量指标、质量指标、成本指标、时效指标、效益指标及满意度指标等进行核实，最后形成自评报告。</w:t>
      </w:r>
    </w:p>
    <w:p w14:paraId="2A489AE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outlineLvl w:val="1"/>
        <w:rPr>
          <w:rFonts w:ascii="黑体" w:hAnsi="宋体" w:eastAsia="黑体" w:cs="Times New Roman"/>
          <w:color w:val="auto"/>
          <w:kern w:val="2"/>
          <w:sz w:val="32"/>
          <w:szCs w:val="32"/>
        </w:rPr>
      </w:pPr>
      <w:bookmarkStart w:id="203" w:name="_Toc2533"/>
      <w:bookmarkStart w:id="204" w:name="_Toc32043"/>
      <w:r>
        <w:rPr>
          <w:rFonts w:hint="eastAsia" w:ascii="黑体" w:hAnsi="宋体" w:eastAsia="黑体" w:cs="Times New Roman"/>
          <w:color w:val="auto"/>
          <w:kern w:val="2"/>
          <w:sz w:val="32"/>
          <w:szCs w:val="32"/>
        </w:rPr>
        <w:t>二、评价实施</w:t>
      </w:r>
      <w:bookmarkEnd w:id="203"/>
      <w:bookmarkEnd w:id="204"/>
    </w:p>
    <w:p w14:paraId="04E7F8A3">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ascii="Times New Roman" w:hAnsi="Times New Roman" w:eastAsia="仿宋_GB2312" w:cs="Times New Roman"/>
          <w:color w:val="auto"/>
          <w:kern w:val="2"/>
          <w:sz w:val="32"/>
          <w:szCs w:val="32"/>
        </w:rPr>
      </w:pPr>
      <w:r>
        <w:rPr>
          <w:rFonts w:hint="eastAsia" w:ascii="楷体_GB2312" w:hAnsi="宋体" w:eastAsia="楷体_GB2312" w:cs="Times New Roman"/>
          <w:b/>
          <w:color w:val="auto"/>
          <w:kern w:val="2"/>
          <w:sz w:val="32"/>
          <w:szCs w:val="32"/>
          <w:lang w:val="zh-CN"/>
        </w:rPr>
        <w:t>（一）评价目的。</w:t>
      </w:r>
      <w:r>
        <w:rPr>
          <w:rFonts w:hint="eastAsia" w:ascii="Times New Roman" w:hAnsi="Times New Roman" w:eastAsia="仿宋_GB2312" w:cs="Times New Roman"/>
          <w:color w:val="auto"/>
          <w:kern w:val="2"/>
          <w:sz w:val="32"/>
          <w:szCs w:val="32"/>
        </w:rPr>
        <w:t>通过衡量资金分配使用情况、‌项目组织管理情况、‌资金绩效目标完成情况，‌了解资金是否达到预期目标、‌资金管理是否规范、‌资金使用是否有效，‌检验资金支出效率和效果，‌分析存在的问题和原因，‌及时总结经验，‌完善管理，‌有效提高管理水平和资金使用效益。</w:t>
      </w:r>
    </w:p>
    <w:p w14:paraId="34055ED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3" w:firstLineChars="200"/>
        <w:jc w:val="both"/>
        <w:textAlignment w:val="auto"/>
        <w:rPr>
          <w:rFonts w:ascii="Times New Roman" w:hAnsi="Times New Roman" w:eastAsia="仿宋_GB2312" w:cs="Times New Roman"/>
          <w:color w:val="auto"/>
          <w:kern w:val="2"/>
          <w:sz w:val="32"/>
          <w:szCs w:val="32"/>
        </w:rPr>
      </w:pPr>
      <w:r>
        <w:rPr>
          <w:rFonts w:hint="eastAsia" w:ascii="楷体_GB2312" w:hAnsi="宋体" w:eastAsia="楷体_GB2312" w:cs="Times New Roman"/>
          <w:b/>
          <w:color w:val="auto"/>
          <w:kern w:val="2"/>
          <w:sz w:val="32"/>
          <w:szCs w:val="32"/>
          <w:lang w:val="zh-CN"/>
        </w:rPr>
        <w:t>（二）预设问题及评价重点。</w:t>
      </w:r>
      <w:r>
        <w:rPr>
          <w:rFonts w:hint="eastAsia" w:ascii="Times New Roman" w:hAnsi="Times New Roman" w:eastAsia="仿宋_GB2312" w:cs="Times New Roman"/>
          <w:color w:val="auto"/>
          <w:kern w:val="2"/>
          <w:sz w:val="32"/>
          <w:szCs w:val="32"/>
        </w:rPr>
        <w:t>叠溪镇特色果蔬现代农业园区项目</w:t>
      </w:r>
      <w:r>
        <w:rPr>
          <w:rFonts w:hint="eastAsia" w:ascii="Times New Roman" w:hAnsi="Times New Roman" w:eastAsia="仿宋_GB2312" w:cs="Times New Roman"/>
          <w:color w:val="auto"/>
          <w:kern w:val="2"/>
          <w:sz w:val="32"/>
          <w:szCs w:val="32"/>
          <w:lang w:val="en-US" w:eastAsia="zh-CN"/>
        </w:rPr>
        <w:t>支付资金617.82万元，剩余资金7.71万元，已经退回财政，资金</w:t>
      </w:r>
      <w:r>
        <w:rPr>
          <w:rFonts w:hint="eastAsia" w:ascii="Times New Roman" w:hAnsi="Times New Roman" w:eastAsia="仿宋_GB2312" w:cs="Times New Roman"/>
          <w:color w:val="auto"/>
          <w:kern w:val="2"/>
          <w:sz w:val="32"/>
          <w:szCs w:val="32"/>
        </w:rPr>
        <w:t>到位并及时支付，支付依据合规合法，资金支付与预算相符。</w:t>
      </w:r>
    </w:p>
    <w:p w14:paraId="68BB39A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3" w:firstLineChars="200"/>
        <w:jc w:val="both"/>
        <w:textAlignment w:val="auto"/>
        <w:rPr>
          <w:rFonts w:ascii="Times New Roman" w:hAnsi="Times New Roman" w:eastAsia="仿宋_GB2312" w:cs="Times New Roman"/>
          <w:color w:val="auto"/>
          <w:kern w:val="2"/>
          <w:sz w:val="32"/>
          <w:szCs w:val="32"/>
          <w:lang w:val="zh-CN"/>
        </w:rPr>
      </w:pPr>
      <w:r>
        <w:rPr>
          <w:rFonts w:hint="eastAsia" w:ascii="楷体_GB2312" w:hAnsi="宋体" w:eastAsia="楷体_GB2312" w:cs="Times New Roman"/>
          <w:b/>
          <w:color w:val="auto"/>
          <w:kern w:val="2"/>
          <w:sz w:val="32"/>
          <w:szCs w:val="32"/>
          <w:lang w:val="zh-CN"/>
        </w:rPr>
        <w:t>（三）评价选点。</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对项目进行实地验收，分别核查了</w:t>
      </w:r>
      <w:r>
        <w:rPr>
          <w:rFonts w:hint="eastAsia" w:ascii="仿宋_GB2312" w:hAnsi="Times New Roman" w:eastAsia="仿宋_GB2312" w:cs="Times New Roman"/>
          <w:color w:val="auto"/>
          <w:kern w:val="2"/>
          <w:sz w:val="32"/>
          <w:szCs w:val="32"/>
          <w:lang w:val="en-US" w:eastAsia="zh-CN"/>
        </w:rPr>
        <w:t>蔬智能化大棚、防雹炮、数字平台建设、农产品溯源建设、防雹网、水肥一体化设施设备、“庭院经济”、采摘园建设、新品种苹果、羌脆大李高换、农业园区采摘路、面源污染等建设</w:t>
      </w:r>
      <w:r>
        <w:rPr>
          <w:rFonts w:hint="eastAsia" w:ascii="仿宋_GB2312" w:hAnsi="仿宋_GB2312" w:eastAsia="仿宋_GB2312" w:cs="仿宋_GB2312"/>
          <w:kern w:val="2"/>
          <w:sz w:val="32"/>
          <w:szCs w:val="32"/>
          <w:lang w:val="en-US" w:eastAsia="zh-CN"/>
        </w:rPr>
        <w:t>。</w:t>
      </w:r>
    </w:p>
    <w:p w14:paraId="21EB1AED">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eastAsia" w:ascii="仿宋_GB2312" w:hAnsi="仿宋_GB2312" w:eastAsia="仿宋_GB2312" w:cs="仿宋_GB2312"/>
          <w:kern w:val="2"/>
          <w:sz w:val="32"/>
          <w:szCs w:val="32"/>
          <w:lang w:val="en-US" w:eastAsia="zh-CN"/>
        </w:rPr>
      </w:pPr>
      <w:r>
        <w:rPr>
          <w:rFonts w:hint="eastAsia" w:ascii="楷体_GB2312" w:hAnsi="宋体" w:eastAsia="楷体_GB2312" w:cs="Times New Roman"/>
          <w:b/>
          <w:color w:val="auto"/>
          <w:kern w:val="2"/>
          <w:sz w:val="32"/>
          <w:szCs w:val="32"/>
          <w:lang w:val="zh-CN"/>
        </w:rPr>
        <w:t>（四）评价方法。</w:t>
      </w:r>
      <w:r>
        <w:rPr>
          <w:rFonts w:hint="eastAsia" w:ascii="仿宋_GB2312" w:hAnsi="仿宋_GB2312" w:eastAsia="仿宋_GB2312" w:cs="仿宋_GB2312"/>
          <w:kern w:val="2"/>
          <w:sz w:val="32"/>
          <w:szCs w:val="32"/>
          <w:lang w:val="zh-CN" w:eastAsia="zh-CN"/>
        </w:rPr>
        <w:t>项目由村、镇</w:t>
      </w:r>
      <w:r>
        <w:rPr>
          <w:rFonts w:hint="eastAsia" w:ascii="仿宋_GB2312" w:hAnsi="仿宋_GB2312" w:eastAsia="仿宋_GB2312" w:cs="仿宋_GB2312"/>
          <w:kern w:val="2"/>
          <w:sz w:val="32"/>
          <w:szCs w:val="32"/>
          <w:lang w:val="en-US" w:eastAsia="zh-CN"/>
        </w:rPr>
        <w:t>对照要求进行自查，提供相关资料、数据、情况，由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组织验收并出具报告，并采取实地勘察法进行验收。</w:t>
      </w:r>
    </w:p>
    <w:p w14:paraId="0053B2E7">
      <w:pPr>
        <w:keepNext w:val="0"/>
        <w:keepLines w:val="0"/>
        <w:pageBreakBefore w:val="0"/>
        <w:widowControl w:val="0"/>
        <w:kinsoku/>
        <w:wordWrap/>
        <w:overflowPunct/>
        <w:topLinePunct w:val="0"/>
        <w:autoSpaceDE/>
        <w:autoSpaceDN/>
        <w:bidi w:val="0"/>
        <w:spacing w:before="0" w:beforeAutospacing="0" w:after="0" w:afterAutospacing="0" w:line="560" w:lineRule="exact"/>
        <w:ind w:left="0" w:right="0" w:firstLine="640"/>
        <w:jc w:val="both"/>
        <w:textAlignment w:val="auto"/>
        <w:outlineLvl w:val="9"/>
        <w:rPr>
          <w:rFonts w:ascii="Times New Roman" w:hAnsi="Times New Roman" w:eastAsia="仿宋_GB2312" w:cs="Times New Roman"/>
          <w:bCs/>
          <w:color w:val="auto"/>
          <w:kern w:val="2"/>
          <w:sz w:val="32"/>
          <w:szCs w:val="32"/>
        </w:rPr>
      </w:pPr>
      <w:r>
        <w:rPr>
          <w:rFonts w:hint="eastAsia" w:ascii="楷体_GB2312" w:hAnsi="宋体" w:eastAsia="楷体_GB2312" w:cs="Times New Roman"/>
          <w:b/>
          <w:color w:val="auto"/>
          <w:kern w:val="2"/>
          <w:sz w:val="32"/>
          <w:szCs w:val="32"/>
          <w:lang w:val="zh-CN"/>
        </w:rPr>
        <w:t>（五）评价组织。</w:t>
      </w: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w:t>
      </w:r>
      <w:r>
        <w:rPr>
          <w:rFonts w:hint="eastAsia" w:ascii="Times New Roman" w:hAnsi="Times New Roman" w:eastAsia="仿宋_GB2312" w:cs="Times New Roman"/>
          <w:kern w:val="2"/>
          <w:sz w:val="32"/>
          <w:szCs w:val="32"/>
          <w:lang w:val="en-US" w:eastAsia="zh-CN"/>
        </w:rPr>
        <w:t>农业综合服务中心</w:t>
      </w:r>
      <w:r>
        <w:rPr>
          <w:rFonts w:hint="eastAsia" w:ascii="Times New Roman" w:hAnsi="Times New Roman" w:eastAsia="仿宋_GB2312" w:cs="Times New Roman"/>
          <w:kern w:val="2"/>
          <w:sz w:val="32"/>
          <w:szCs w:val="32"/>
          <w:lang w:val="zh-CN" w:eastAsia="zh-CN"/>
        </w:rPr>
        <w:t>和镇村负责同志组成项目评价工作组，对项目总体情况、项目资金支出、项目目标绩效等进行评价，项目镇村负责协调相关事宜。</w:t>
      </w:r>
    </w:p>
    <w:p w14:paraId="1E6A126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atLeast"/>
        <w:ind w:left="0" w:right="0" w:firstLine="640" w:firstLineChars="200"/>
        <w:jc w:val="both"/>
        <w:textAlignment w:val="auto"/>
        <w:outlineLvl w:val="1"/>
        <w:rPr>
          <w:rFonts w:ascii="仿宋_GB2312" w:hAnsi="宋体" w:eastAsia="仿宋_GB2312" w:cs="Times New Roman"/>
          <w:color w:val="auto"/>
          <w:kern w:val="2"/>
          <w:sz w:val="32"/>
          <w:szCs w:val="32"/>
          <w:lang w:val="zh-CN"/>
        </w:rPr>
      </w:pPr>
      <w:bookmarkStart w:id="205" w:name="_Toc9468"/>
      <w:bookmarkStart w:id="206" w:name="_Toc6179"/>
      <w:r>
        <w:rPr>
          <w:rFonts w:hint="eastAsia" w:ascii="黑体" w:hAnsi="宋体" w:eastAsia="黑体" w:cs="Times New Roman"/>
          <w:color w:val="auto"/>
          <w:kern w:val="2"/>
          <w:sz w:val="32"/>
          <w:szCs w:val="32"/>
        </w:rPr>
        <w:t>三、绩效分析</w:t>
      </w:r>
      <w:bookmarkEnd w:id="205"/>
      <w:bookmarkEnd w:id="206"/>
      <w:r>
        <w:rPr>
          <w:rFonts w:hint="eastAsia" w:ascii="仿宋_GB2312" w:hAnsi="宋体" w:eastAsia="仿宋_GB2312" w:cs="Times New Roman"/>
          <w:color w:val="auto"/>
          <w:kern w:val="2"/>
          <w:sz w:val="32"/>
          <w:szCs w:val="32"/>
          <w:lang w:val="zh-CN"/>
        </w:rPr>
        <w:tab/>
      </w:r>
    </w:p>
    <w:p w14:paraId="75E8D77C">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ascii="楷体_GB2312" w:hAnsi="宋体" w:eastAsia="楷体_GB2312" w:cs="Times New Roman"/>
          <w:b/>
          <w:color w:val="auto"/>
          <w:kern w:val="2"/>
          <w:sz w:val="32"/>
          <w:szCs w:val="32"/>
        </w:rPr>
      </w:pPr>
      <w:r>
        <w:rPr>
          <w:rFonts w:hint="eastAsia" w:ascii="楷体_GB2312" w:hAnsi="宋体" w:eastAsia="楷体_GB2312" w:cs="Times New Roman"/>
          <w:b/>
          <w:color w:val="auto"/>
          <w:kern w:val="2"/>
          <w:sz w:val="32"/>
          <w:szCs w:val="32"/>
          <w:lang w:val="zh-CN"/>
        </w:rPr>
        <w:t>（一）</w:t>
      </w:r>
      <w:r>
        <w:rPr>
          <w:rFonts w:hint="eastAsia" w:ascii="楷体_GB2312" w:hAnsi="宋体" w:eastAsia="楷体_GB2312" w:cs="Times New Roman"/>
          <w:b/>
          <w:color w:val="auto"/>
          <w:kern w:val="2"/>
          <w:sz w:val="32"/>
          <w:szCs w:val="32"/>
        </w:rPr>
        <w:t>通用指标</w:t>
      </w:r>
      <w:r>
        <w:rPr>
          <w:rFonts w:ascii="Times New Roman" w:hAnsi="Times New Roman" w:eastAsia="楷体_GB2312" w:cs="Times New Roman"/>
          <w:b/>
          <w:bCs/>
          <w:color w:val="auto"/>
          <w:kern w:val="0"/>
          <w:sz w:val="32"/>
          <w:szCs w:val="32"/>
          <w:shd w:val="clear" w:color="auto" w:fill="FFFFFF"/>
          <w:lang w:val="zh-CN"/>
        </w:rPr>
        <w:t>绩效分析。</w:t>
      </w:r>
    </w:p>
    <w:p w14:paraId="086CA57B">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kern w:val="2"/>
          <w:sz w:val="32"/>
          <w:szCs w:val="32"/>
        </w:rPr>
        <w:t>1.项目决策。</w:t>
      </w:r>
      <w:r>
        <w:rPr>
          <w:rFonts w:hint="eastAsia" w:ascii="仿宋_GB2312" w:hAnsi="仿宋_GB2312" w:eastAsia="仿宋_GB2312" w:cs="仿宋_GB2312"/>
          <w:color w:val="auto"/>
          <w:kern w:val="2"/>
          <w:sz w:val="32"/>
          <w:szCs w:val="32"/>
        </w:rPr>
        <w:t>项目设立、调整延续等方面符合资金管理基本规范和决策程序求。规划符合中央、省委省政府有关决策部署安排，充分评估论证项目立项必要性、前瞻性、合理性和可行性。项目总体绩效目标设置合理性的偏离度30%≥偏离度＞15%。绩效目标科学合理、规范完整、量化细化、预算匹配。</w:t>
      </w:r>
      <w:r>
        <w:rPr>
          <w:rFonts w:hint="eastAsia" w:ascii="仿宋_GB2312" w:hAnsi="仿宋_GB2312" w:eastAsia="仿宋_GB2312" w:cs="仿宋_GB2312"/>
          <w:color w:val="auto"/>
          <w:kern w:val="2"/>
          <w:sz w:val="32"/>
          <w:szCs w:val="32"/>
          <w:lang w:val="en-US" w:eastAsia="zh-CN"/>
        </w:rPr>
        <w:t>属于政府支持范围，且符合财政事权支出责任划分规定，资金投向与项目总体规划、相关行业事业发展相匹配，聚焦重大任务、重点领域、重点环节和重点项目，体现“集中财力办大事”原则，避免“撒胡椒面”，未与其他同类项目或部门内部相关项目交叉重复。</w:t>
      </w:r>
    </w:p>
    <w:p w14:paraId="2E07AE01">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kern w:val="2"/>
          <w:sz w:val="32"/>
          <w:szCs w:val="32"/>
        </w:rPr>
        <w:t>2.项目管理。</w:t>
      </w:r>
      <w:r>
        <w:rPr>
          <w:rFonts w:hint="eastAsia" w:ascii="仿宋_GB2312" w:hAnsi="仿宋_GB2312" w:eastAsia="仿宋_GB2312" w:cs="仿宋_GB2312"/>
          <w:color w:val="auto"/>
          <w:kern w:val="2"/>
          <w:sz w:val="32"/>
          <w:szCs w:val="32"/>
          <w:lang w:val="en-US" w:eastAsia="zh-CN"/>
        </w:rPr>
        <w:t>资金管理办法等管理制度体系健全完善，不存在管理制度缺失、管理办法过期情况。资金分配依据充分合理。资金分配严格按管理办法执行，决策程序符合管理要求，及时高效。项目按中省要求全面完成绩效目标（含事前评估）、绩效评价、以前年度问题整改等预算绩效管理工作，省级部门对市县主管部门预算绩效管理要求到位，不存在对市县资金分配和项目管理指导力度不够的情况，对市县开展评价、监督、指导等工作。</w:t>
      </w:r>
    </w:p>
    <w:p w14:paraId="474A734A">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kern w:val="2"/>
          <w:sz w:val="32"/>
          <w:szCs w:val="32"/>
          <w:lang w:val="en-US" w:eastAsia="zh-CN"/>
        </w:rPr>
        <w:t>3.项目实施。</w:t>
      </w:r>
      <w:r>
        <w:rPr>
          <w:rFonts w:hint="eastAsia" w:ascii="仿宋_GB2312" w:hAnsi="仿宋_GB2312" w:eastAsia="仿宋_GB2312" w:cs="仿宋_GB2312"/>
          <w:color w:val="auto"/>
          <w:kern w:val="2"/>
          <w:sz w:val="32"/>
          <w:szCs w:val="32"/>
          <w:lang w:val="en-US" w:eastAsia="zh-CN"/>
        </w:rPr>
        <w:t>项目资金财政拨付及时到位、单位执行严密。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21966147">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kern w:val="2"/>
          <w:sz w:val="32"/>
          <w:szCs w:val="32"/>
          <w:lang w:val="en-US" w:eastAsia="zh-CN"/>
        </w:rPr>
        <w:t>4.项目结果。</w:t>
      </w:r>
      <w:r>
        <w:rPr>
          <w:rFonts w:hint="eastAsia" w:ascii="仿宋_GB2312" w:hAnsi="仿宋_GB2312" w:eastAsia="仿宋_GB2312" w:cs="仿宋_GB2312"/>
          <w:color w:val="auto"/>
          <w:kern w:val="2"/>
          <w:sz w:val="32"/>
          <w:szCs w:val="32"/>
          <w:lang w:val="en-US" w:eastAsia="zh-CN"/>
        </w:rPr>
        <w:t>项目完成预期目标，实施结果与绩效目标相匹配。项目实际完成时间与计划完成时间一致。</w:t>
      </w:r>
    </w:p>
    <w:p w14:paraId="5FF5DA0A">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3" w:firstLineChars="200"/>
        <w:jc w:val="both"/>
        <w:textAlignment w:val="auto"/>
        <w:rPr>
          <w:rFonts w:ascii="Times New Roman" w:hAnsi="Times New Roman" w:eastAsia="楷体_GB2312" w:cs="Times New Roman"/>
          <w:b/>
          <w:bCs/>
          <w:color w:val="auto"/>
          <w:kern w:val="0"/>
          <w:sz w:val="32"/>
          <w:szCs w:val="32"/>
          <w:shd w:val="clear" w:color="auto" w:fill="FFFFFF"/>
          <w:lang w:val="zh-CN"/>
        </w:rPr>
      </w:pPr>
      <w:r>
        <w:rPr>
          <w:rFonts w:hint="eastAsia" w:ascii="楷体_GB2312" w:hAnsi="宋体" w:eastAsia="楷体_GB2312" w:cs="Times New Roman"/>
          <w:b/>
          <w:color w:val="auto"/>
          <w:kern w:val="2"/>
          <w:sz w:val="32"/>
          <w:szCs w:val="32"/>
          <w:lang w:val="zh-CN"/>
        </w:rPr>
        <w:t>（二）</w:t>
      </w:r>
      <w:r>
        <w:rPr>
          <w:rFonts w:hint="eastAsia" w:ascii="楷体_GB2312" w:hAnsi="宋体" w:eastAsia="楷体_GB2312" w:cs="Times New Roman"/>
          <w:b/>
          <w:color w:val="auto"/>
          <w:kern w:val="2"/>
          <w:sz w:val="32"/>
          <w:szCs w:val="32"/>
        </w:rPr>
        <w:t>专用指标</w:t>
      </w:r>
      <w:r>
        <w:rPr>
          <w:rFonts w:ascii="Times New Roman" w:hAnsi="Times New Roman" w:eastAsia="楷体_GB2312" w:cs="Times New Roman"/>
          <w:b/>
          <w:bCs/>
          <w:color w:val="auto"/>
          <w:kern w:val="0"/>
          <w:sz w:val="32"/>
          <w:szCs w:val="32"/>
          <w:shd w:val="clear" w:color="auto" w:fill="FFFFFF"/>
          <w:lang w:val="zh-CN"/>
        </w:rPr>
        <w:t>绩效分析。</w:t>
      </w:r>
    </w:p>
    <w:p w14:paraId="798D9EF0">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firstLineChars="200"/>
        <w:jc w:val="both"/>
        <w:textAlignment w:val="auto"/>
        <w:rPr>
          <w:rFonts w:hint="eastAsia" w:ascii="楷体_GB2312" w:hAnsi="楷体_GB2312" w:eastAsia="仿宋_GB2312" w:cs="楷体_GB2312"/>
          <w:color w:val="auto"/>
          <w:kern w:val="2"/>
          <w:sz w:val="32"/>
          <w:szCs w:val="32"/>
          <w:lang w:eastAsia="zh-CN"/>
        </w:rPr>
      </w:pPr>
      <w:r>
        <w:rPr>
          <w:rFonts w:hint="eastAsia" w:ascii="楷体_GB2312" w:hAnsi="楷体_GB2312" w:eastAsia="楷体_GB2312" w:cs="楷体_GB2312"/>
          <w:kern w:val="2"/>
          <w:sz w:val="32"/>
          <w:szCs w:val="32"/>
        </w:rPr>
        <w:t>1.产业发展。</w:t>
      </w:r>
      <w:r>
        <w:rPr>
          <w:rFonts w:hint="eastAsia" w:ascii="Times New Roman" w:hAnsi="Times New Roman" w:eastAsia="仿宋_GB2312" w:cs="Times New Roman"/>
          <w:color w:val="auto"/>
          <w:kern w:val="2"/>
          <w:sz w:val="32"/>
          <w:szCs w:val="32"/>
          <w:lang w:eastAsia="zh-CN"/>
        </w:rPr>
        <w:t>项目实施与省委省政府支持重点、产业支持政策符合</w:t>
      </w:r>
      <w:r>
        <w:rPr>
          <w:rFonts w:hint="eastAsia"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rPr>
        <w:t>项目实施对相关企业（机构）成长性的促进作用，主要反映支持对象创新创造创业能力情况</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rPr>
        <w:t>对相关企业（机构）主营业务收入、净利润、税收、产量等方面</w:t>
      </w:r>
      <w:r>
        <w:rPr>
          <w:rFonts w:hint="eastAsia" w:ascii="Times New Roman" w:hAnsi="Times New Roman" w:eastAsia="仿宋_GB2312" w:cs="Times New Roman"/>
          <w:color w:val="auto"/>
          <w:kern w:val="2"/>
          <w:sz w:val="32"/>
          <w:szCs w:val="32"/>
          <w:lang w:val="en-US" w:eastAsia="zh-CN"/>
        </w:rPr>
        <w:t>有</w:t>
      </w:r>
      <w:r>
        <w:rPr>
          <w:rFonts w:hint="eastAsia" w:ascii="Times New Roman" w:hAnsi="Times New Roman" w:eastAsia="仿宋_GB2312" w:cs="Times New Roman"/>
          <w:color w:val="auto"/>
          <w:kern w:val="2"/>
          <w:sz w:val="32"/>
          <w:szCs w:val="32"/>
        </w:rPr>
        <w:t>增长</w:t>
      </w:r>
      <w:r>
        <w:rPr>
          <w:rFonts w:hint="eastAsia" w:ascii="Times New Roman" w:hAnsi="Times New Roman" w:eastAsia="仿宋_GB2312" w:cs="Times New Roman"/>
          <w:color w:val="auto"/>
          <w:kern w:val="2"/>
          <w:sz w:val="32"/>
          <w:szCs w:val="32"/>
          <w:lang w:eastAsia="zh-CN"/>
        </w:rPr>
        <w:t>。</w:t>
      </w:r>
    </w:p>
    <w:p w14:paraId="7DAB201D">
      <w:pPr>
        <w:widowControl w:val="0"/>
        <w:spacing w:before="0" w:beforeAutospacing="0" w:after="0" w:afterAutospacing="0" w:line="578" w:lineRule="exact"/>
        <w:ind w:left="0"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2.</w:t>
      </w:r>
      <w:r>
        <w:rPr>
          <w:rFonts w:hint="eastAsia" w:ascii="楷体_GB2312" w:hAnsi="楷体_GB2312" w:eastAsia="楷体_GB2312" w:cs="楷体_GB2312"/>
          <w:b w:val="0"/>
          <w:kern w:val="2"/>
          <w:sz w:val="32"/>
          <w:szCs w:val="32"/>
          <w:lang w:val="zh-CN" w:eastAsia="zh-CN" w:bidi="ar-SA"/>
        </w:rPr>
        <w:t>民生保障。</w:t>
      </w:r>
      <w:r>
        <w:rPr>
          <w:rFonts w:hint="eastAsia" w:ascii="Times New Roman" w:hAnsi="Times New Roman" w:eastAsia="仿宋_GB2312" w:cs="Times New Roman"/>
          <w:kern w:val="2"/>
          <w:sz w:val="32"/>
          <w:szCs w:val="32"/>
        </w:rPr>
        <w:t>资金分配科学合理、均衡公平。资金实际支持对象符合管理要求，符合支持对象范围</w:t>
      </w:r>
      <w:r>
        <w:rPr>
          <w:rFonts w:hint="eastAsia" w:ascii="Times New Roman" w:hAnsi="Times New Roman" w:eastAsia="仿宋_GB2312" w:cs="Times New Roman"/>
          <w:kern w:val="2"/>
          <w:sz w:val="32"/>
          <w:szCs w:val="32"/>
          <w:lang w:eastAsia="zh-CN"/>
        </w:rPr>
        <w:t>。资金实际补贴标准符合资金管理办法规定的补助标准，及时按标准兑现。项目相关方在项目实施过程中的人民群众满意值和获得感高。</w:t>
      </w:r>
    </w:p>
    <w:p w14:paraId="451127D2">
      <w:pPr>
        <w:keepNext/>
        <w:keepLines/>
        <w:pageBreakBefore w:val="0"/>
        <w:widowControl w:val="0"/>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4"/>
        <w:rPr>
          <w:rFonts w:hint="eastAsia" w:ascii="Times New Roman" w:hAnsi="Times New Roman" w:eastAsia="仿宋_GB2312" w:cs="Times New Roman"/>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3.基础设施。</w:t>
      </w:r>
      <w:r>
        <w:rPr>
          <w:rFonts w:hint="eastAsia" w:ascii="Times New Roman" w:hAnsi="Times New Roman" w:eastAsia="仿宋_GB2312" w:cs="Times New Roman"/>
          <w:b w:val="0"/>
          <w:kern w:val="2"/>
          <w:sz w:val="32"/>
          <w:szCs w:val="32"/>
          <w:lang w:val="en-US" w:eastAsia="zh-CN" w:bidi="ar-SA"/>
        </w:rPr>
        <w:t>项目达到计划工程进度，达到预先确定的资金拨付进度，验收及时，结论合格。项目实现了经济社会功能，建立了后续管理维护机制，实现有效维护。</w:t>
      </w:r>
    </w:p>
    <w:p w14:paraId="4EEBD3C3">
      <w:pPr>
        <w:keepNext/>
        <w:keepLines/>
        <w:pageBreakBefore w:val="0"/>
        <w:widowControl w:val="0"/>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auto"/>
        <w:outlineLvl w:val="4"/>
        <w:rPr>
          <w:rFonts w:hint="default" w:ascii="Times New Roman" w:hAnsi="Times New Roman" w:eastAsia="楷体_GB2312" w:cs="Times New Roman"/>
          <w:b/>
          <w:bCs/>
          <w:color w:val="000000"/>
          <w:kern w:val="0"/>
          <w:sz w:val="32"/>
          <w:szCs w:val="32"/>
          <w:highlight w:val="none"/>
          <w:shd w:val="clear" w:color="auto" w:fill="FFFFFF"/>
          <w:lang w:val="en-US" w:eastAsia="zh-CN" w:bidi="ar-SA"/>
        </w:rPr>
      </w:pPr>
      <w:r>
        <w:rPr>
          <w:rFonts w:hint="eastAsia" w:ascii="楷体_GB2312" w:hAnsi="楷体_GB2312" w:eastAsia="楷体_GB2312" w:cs="楷体_GB2312"/>
          <w:b w:val="0"/>
          <w:kern w:val="2"/>
          <w:sz w:val="32"/>
          <w:szCs w:val="32"/>
          <w:lang w:val="en-US" w:eastAsia="zh-CN" w:bidi="ar-SA"/>
        </w:rPr>
        <w:t>4.</w:t>
      </w:r>
      <w:r>
        <w:rPr>
          <w:rFonts w:hint="eastAsia" w:ascii="楷体_GB2312" w:hAnsi="楷体_GB2312" w:eastAsia="楷体_GB2312" w:cs="楷体_GB2312"/>
          <w:b w:val="0"/>
          <w:kern w:val="2"/>
          <w:sz w:val="32"/>
          <w:szCs w:val="32"/>
          <w:lang w:val="zh-CN" w:eastAsia="zh-CN" w:bidi="ar-SA"/>
        </w:rPr>
        <w:t>行政运转。</w:t>
      </w:r>
      <w:r>
        <w:rPr>
          <w:rFonts w:hint="eastAsia" w:ascii="Times New Roman" w:hAnsi="Times New Roman" w:eastAsia="仿宋_GB2312" w:cs="Times New Roman"/>
          <w:b w:val="0"/>
          <w:kern w:val="2"/>
          <w:sz w:val="32"/>
          <w:szCs w:val="32"/>
          <w:lang w:val="zh-CN" w:eastAsia="zh-CN" w:bidi="ar-SA"/>
        </w:rPr>
        <w:t>按规定用途、适用范围进行本地区专项资金分配。资金管理程序、资金分配标准符合专项资金管理要求。</w:t>
      </w:r>
    </w:p>
    <w:p w14:paraId="4A14D134">
      <w:pPr>
        <w:keepNext w:val="0"/>
        <w:keepLines w:val="0"/>
        <w:pageBreakBefore w:val="0"/>
        <w:widowControl w:val="0"/>
        <w:kinsoku/>
        <w:wordWrap/>
        <w:overflowPunct/>
        <w:topLinePunct w:val="0"/>
        <w:autoSpaceDE/>
        <w:autoSpaceDN/>
        <w:bidi w:val="0"/>
        <w:spacing w:before="0" w:beforeAutospacing="0" w:after="0" w:afterAutospacing="0" w:line="576" w:lineRule="atLeast"/>
        <w:ind w:left="0" w:right="0" w:firstLine="640"/>
        <w:jc w:val="both"/>
        <w:textAlignment w:val="auto"/>
        <w:rPr>
          <w:rFonts w:hint="default" w:ascii="Times New Roman" w:hAnsi="Times New Roman" w:eastAsia="楷体_GB2312" w:cs="Times New Roman"/>
          <w:kern w:val="2"/>
          <w:sz w:val="32"/>
          <w:szCs w:val="32"/>
          <w:lang w:val="en-US" w:eastAsia="zh-CN"/>
        </w:rPr>
      </w:pPr>
      <w:r>
        <w:rPr>
          <w:rFonts w:hint="eastAsia" w:ascii="楷体_GB2312" w:hAnsi="宋体" w:eastAsia="楷体_GB2312" w:cs="Times New Roman"/>
          <w:b/>
          <w:color w:val="auto"/>
          <w:kern w:val="2"/>
          <w:sz w:val="32"/>
          <w:szCs w:val="32"/>
          <w:lang w:val="zh-CN"/>
        </w:rPr>
        <w:t>（三）</w:t>
      </w:r>
      <w:r>
        <w:rPr>
          <w:rFonts w:hint="eastAsia" w:ascii="楷体_GB2312" w:hAnsi="宋体" w:eastAsia="楷体_GB2312" w:cs="Times New Roman"/>
          <w:b/>
          <w:color w:val="auto"/>
          <w:kern w:val="2"/>
          <w:sz w:val="32"/>
          <w:szCs w:val="32"/>
        </w:rPr>
        <w:t>个性指标</w:t>
      </w:r>
      <w:r>
        <w:rPr>
          <w:rFonts w:ascii="Times New Roman" w:hAnsi="Times New Roman" w:eastAsia="楷体_GB2312" w:cs="Times New Roman"/>
          <w:b/>
          <w:bCs/>
          <w:color w:val="auto"/>
          <w:kern w:val="0"/>
          <w:sz w:val="32"/>
          <w:szCs w:val="32"/>
          <w:shd w:val="clear" w:color="auto" w:fill="FFFFFF"/>
          <w:lang w:val="zh-CN"/>
        </w:rPr>
        <w:t>绩效分析。</w:t>
      </w:r>
      <w:r>
        <w:rPr>
          <w:rFonts w:hint="eastAsia" w:ascii="Times New Roman" w:hAnsi="Times New Roman" w:eastAsia="仿宋_GB2312" w:cs="Times New Roman"/>
          <w:color w:val="auto"/>
          <w:kern w:val="2"/>
          <w:sz w:val="32"/>
          <w:szCs w:val="32"/>
          <w:lang w:val="zh-CN"/>
        </w:rPr>
        <w:t>农户增收，增加受益农户经济收入</w:t>
      </w:r>
      <w:r>
        <w:rPr>
          <w:rFonts w:hint="eastAsia" w:ascii="Times New Roman" w:hAnsi="Times New Roman" w:eastAsia="仿宋_GB2312" w:cs="Times New Roman"/>
          <w:color w:val="auto"/>
          <w:kern w:val="2"/>
          <w:sz w:val="32"/>
          <w:szCs w:val="32"/>
          <w:lang w:val="en-US" w:eastAsia="zh-CN"/>
        </w:rPr>
        <w:t>0.3万元；</w:t>
      </w:r>
      <w:r>
        <w:rPr>
          <w:rFonts w:hint="eastAsia" w:ascii="Times New Roman" w:hAnsi="Times New Roman" w:eastAsia="仿宋_GB2312" w:cs="Times New Roman"/>
          <w:color w:val="auto"/>
          <w:kern w:val="2"/>
          <w:sz w:val="32"/>
          <w:szCs w:val="32"/>
          <w:lang w:val="zh-CN"/>
        </w:rPr>
        <w:t>使用年限，</w:t>
      </w:r>
      <w:r>
        <w:rPr>
          <w:rFonts w:hint="eastAsia" w:ascii="Times New Roman" w:hAnsi="Times New Roman" w:eastAsia="仿宋_GB2312" w:cs="Times New Roman"/>
          <w:color w:val="auto"/>
          <w:kern w:val="2"/>
          <w:sz w:val="32"/>
          <w:szCs w:val="32"/>
          <w:lang w:val="en-US" w:eastAsia="zh-CN"/>
        </w:rPr>
        <w:t>项目建成后使用年限大于5年。</w:t>
      </w:r>
    </w:p>
    <w:p w14:paraId="601F5704">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atLeast"/>
        <w:ind w:left="0" w:right="0" w:firstLine="640" w:firstLineChars="200"/>
        <w:jc w:val="left"/>
        <w:textAlignment w:val="auto"/>
        <w:outlineLvl w:val="1"/>
        <w:rPr>
          <w:rFonts w:ascii="黑体" w:hAnsi="宋体" w:eastAsia="黑体" w:cs="Times New Roman"/>
          <w:color w:val="auto"/>
          <w:kern w:val="0"/>
          <w:position w:val="3"/>
          <w:sz w:val="32"/>
          <w:szCs w:val="32"/>
          <w:lang w:val="en-US" w:eastAsia="zh-CN" w:bidi="ar-SA"/>
        </w:rPr>
      </w:pPr>
      <w:bookmarkStart w:id="207" w:name="_Toc14820"/>
      <w:bookmarkStart w:id="208" w:name="_Toc5378"/>
      <w:r>
        <w:rPr>
          <w:rFonts w:hint="eastAsia" w:ascii="黑体" w:hAnsi="宋体" w:eastAsia="黑体" w:cs="Times New Roman"/>
          <w:color w:val="auto"/>
          <w:kern w:val="0"/>
          <w:position w:val="3"/>
          <w:sz w:val="32"/>
          <w:szCs w:val="32"/>
          <w:lang w:val="en-US" w:eastAsia="zh-CN" w:bidi="ar-SA"/>
        </w:rPr>
        <w:t>四、评价结论</w:t>
      </w:r>
      <w:bookmarkEnd w:id="207"/>
      <w:bookmarkEnd w:id="208"/>
    </w:p>
    <w:p w14:paraId="5C2D7B46">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atLeast"/>
        <w:ind w:left="0" w:right="0" w:firstLine="640" w:firstLineChars="200"/>
        <w:jc w:val="left"/>
        <w:textAlignment w:val="auto"/>
        <w:rPr>
          <w:rFonts w:ascii="黑体" w:hAnsi="黑体" w:eastAsia="黑体" w:cs="黑体"/>
          <w:color w:val="auto"/>
          <w:kern w:val="2"/>
          <w:position w:val="0"/>
          <w:sz w:val="32"/>
          <w:szCs w:val="32"/>
          <w:lang w:val="en-US" w:eastAsia="zh-CN" w:bidi="ar-SA"/>
        </w:rPr>
      </w:pPr>
      <w:r>
        <w:rPr>
          <w:rFonts w:hint="eastAsia" w:ascii="仿宋_GB2312" w:hAnsi="仿宋_GB2312" w:eastAsia="仿宋_GB2312" w:cs="仿宋_GB2312"/>
          <w:color w:val="auto"/>
          <w:kern w:val="0"/>
          <w:position w:val="0"/>
          <w:sz w:val="32"/>
          <w:szCs w:val="32"/>
          <w:lang w:val="en-US" w:eastAsia="zh-CN" w:bidi="ar-SA"/>
        </w:rPr>
        <w:t>通过项目的实施美化了群众生活环境,改善群众生产生活条件,提高了村容村貌品质，促进了美丽乡村顺利发展，加强了村内基础设施建设，方便了群众的生产、生活，带动了全村的经济发展；另一方面美化了村容村貌，为新农村建设打下基础。完成果蔬智能化大棚7.226亩；高半山园区采购防雹炮设备2台；数字平台建设、农产品溯源建设，智能化设施设备1项；防雹网43亩；水肥一体化111.15亩；“庭院经济”示范户13户；采摘园建设5个；新品种苹果61.8亩；羌脆大李高换58亩；农业园区采摘路1466.06立方米；面源污染1项等</w:t>
      </w:r>
      <w:r>
        <w:rPr>
          <w:rFonts w:hint="eastAsia" w:ascii="仿宋_GB2312" w:hAnsi="仿宋_GB2312" w:eastAsia="仿宋_GB2312" w:cs="仿宋_GB2312"/>
          <w:color w:val="auto"/>
          <w:kern w:val="0"/>
          <w:position w:val="3"/>
          <w:sz w:val="32"/>
          <w:szCs w:val="32"/>
          <w:lang w:val="zh-CN" w:eastAsia="zh-CN" w:bidi="ar-SA"/>
        </w:rPr>
        <w:t>。</w:t>
      </w:r>
    </w:p>
    <w:p w14:paraId="6B28CE54">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atLeast"/>
        <w:ind w:left="0" w:right="0" w:firstLine="640" w:firstLineChars="200"/>
        <w:jc w:val="left"/>
        <w:textAlignment w:val="auto"/>
        <w:outlineLvl w:val="1"/>
        <w:rPr>
          <w:rFonts w:ascii="黑体" w:hAnsi="宋体" w:eastAsia="黑体" w:cs="Times New Roman"/>
          <w:color w:val="auto"/>
          <w:kern w:val="0"/>
          <w:position w:val="3"/>
          <w:sz w:val="32"/>
          <w:szCs w:val="32"/>
          <w:lang w:val="en-US" w:eastAsia="zh-CN" w:bidi="ar-SA"/>
        </w:rPr>
      </w:pPr>
      <w:bookmarkStart w:id="209" w:name="_Toc30590"/>
      <w:bookmarkStart w:id="210" w:name="_Toc24083"/>
      <w:r>
        <w:rPr>
          <w:rFonts w:hint="eastAsia" w:ascii="黑体" w:hAnsi="宋体" w:eastAsia="黑体" w:cs="Times New Roman"/>
          <w:color w:val="auto"/>
          <w:kern w:val="0"/>
          <w:position w:val="3"/>
          <w:sz w:val="32"/>
          <w:szCs w:val="32"/>
          <w:lang w:val="en-US" w:eastAsia="zh-CN" w:bidi="ar-SA"/>
        </w:rPr>
        <w:t>五、存在主要问题</w:t>
      </w:r>
      <w:bookmarkEnd w:id="209"/>
      <w:bookmarkEnd w:id="210"/>
    </w:p>
    <w:p w14:paraId="4EE97475">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atLeast"/>
        <w:ind w:left="0" w:right="0" w:firstLine="640" w:firstLineChars="200"/>
        <w:jc w:val="left"/>
        <w:textAlignment w:val="auto"/>
        <w:rPr>
          <w:rFonts w:ascii="黑体" w:hAnsi="黑体" w:eastAsia="黑体" w:cs="黑体"/>
          <w:color w:val="auto"/>
          <w:kern w:val="2"/>
          <w:position w:val="0"/>
          <w:sz w:val="32"/>
          <w:szCs w:val="32"/>
          <w:lang w:val="en-US" w:eastAsia="zh-CN" w:bidi="ar-SA"/>
        </w:rPr>
      </w:pPr>
      <w:r>
        <w:rPr>
          <w:rFonts w:hint="eastAsia" w:ascii="仿宋_GB2312" w:hAnsi="仿宋_GB2312" w:eastAsia="仿宋_GB2312" w:cs="仿宋_GB2312"/>
          <w:color w:val="auto"/>
          <w:kern w:val="0"/>
          <w:position w:val="0"/>
          <w:sz w:val="32"/>
          <w:szCs w:val="32"/>
          <w:lang w:val="en-US" w:eastAsia="zh-CN" w:bidi="ar-SA"/>
        </w:rPr>
        <w:t>无。</w:t>
      </w:r>
    </w:p>
    <w:p w14:paraId="4A275F07">
      <w:pPr>
        <w:keepNext w:val="0"/>
        <w:keepLines w:val="0"/>
        <w:pageBreakBefore w:val="0"/>
        <w:widowControl/>
        <w:tabs>
          <w:tab w:val="left" w:pos="2160"/>
        </w:tabs>
        <w:kinsoku/>
        <w:wordWrap/>
        <w:overflowPunct/>
        <w:topLinePunct w:val="0"/>
        <w:autoSpaceDE/>
        <w:autoSpaceDN/>
        <w:bidi w:val="0"/>
        <w:spacing w:before="0" w:beforeAutospacing="0" w:after="0" w:afterAutospacing="0" w:line="576" w:lineRule="atLeast"/>
        <w:ind w:left="0" w:right="0" w:firstLine="640" w:firstLineChars="200"/>
        <w:jc w:val="left"/>
        <w:textAlignment w:val="auto"/>
        <w:outlineLvl w:val="1"/>
        <w:rPr>
          <w:rFonts w:ascii="黑体" w:hAnsi="宋体" w:eastAsia="黑体" w:cs="Times New Roman"/>
          <w:color w:val="auto"/>
          <w:kern w:val="0"/>
          <w:position w:val="3"/>
          <w:sz w:val="32"/>
          <w:szCs w:val="32"/>
          <w:lang w:val="zh-CN" w:eastAsia="zh-CN" w:bidi="ar-SA"/>
        </w:rPr>
      </w:pPr>
      <w:bookmarkStart w:id="211" w:name="_Toc5389"/>
      <w:bookmarkStart w:id="212" w:name="_Toc28894"/>
      <w:r>
        <w:rPr>
          <w:rFonts w:hint="eastAsia" w:ascii="黑体" w:hAnsi="宋体" w:eastAsia="黑体" w:cs="Times New Roman"/>
          <w:color w:val="auto"/>
          <w:kern w:val="0"/>
          <w:position w:val="3"/>
          <w:sz w:val="32"/>
          <w:szCs w:val="32"/>
          <w:lang w:val="zh-CN" w:eastAsia="zh-CN" w:bidi="ar-SA"/>
        </w:rPr>
        <w:t>六、改进建议</w:t>
      </w:r>
      <w:bookmarkEnd w:id="211"/>
      <w:bookmarkEnd w:id="212"/>
    </w:p>
    <w:p w14:paraId="6D5B0693">
      <w:pPr>
        <w:keepNext w:val="0"/>
        <w:keepLines w:val="0"/>
        <w:pageBreakBefore w:val="0"/>
        <w:widowControl w:val="0"/>
        <w:tabs>
          <w:tab w:val="left" w:pos="1911"/>
        </w:tabs>
        <w:kinsoku/>
        <w:wordWrap/>
        <w:overflowPunct/>
        <w:topLinePunct w:val="0"/>
        <w:autoSpaceDE/>
        <w:autoSpaceDN/>
        <w:bidi w:val="0"/>
        <w:spacing w:before="0" w:beforeAutospacing="0" w:after="0" w:afterAutospacing="0" w:line="576" w:lineRule="atLeast"/>
        <w:ind w:left="0" w:right="0"/>
        <w:jc w:val="left"/>
        <w:textAlignment w:val="auto"/>
        <w:rPr>
          <w:rFonts w:ascii="Times New Roman" w:hAnsi="Times New Roman" w:eastAsia="仿宋_GB2312" w:cs="Times New Roman"/>
          <w:color w:val="auto"/>
          <w:kern w:val="0"/>
          <w:sz w:val="32"/>
          <w:szCs w:val="32"/>
          <w:shd w:val="clear" w:color="auto" w:fill="FFFFFF"/>
          <w:lang w:val="zh-CN"/>
        </w:rPr>
      </w:pPr>
      <w:r>
        <w:rPr>
          <w:rFonts w:hint="eastAsia" w:ascii="仿宋_GB2312" w:hAnsi="仿宋_GB2312" w:eastAsia="仿宋_GB2312" w:cs="仿宋_GB2312"/>
          <w:color w:val="auto"/>
          <w:kern w:val="0"/>
          <w:sz w:val="32"/>
          <w:szCs w:val="32"/>
          <w:shd w:val="clear" w:color="auto" w:fill="FFFFFF"/>
          <w:lang w:val="zh-CN"/>
        </w:rPr>
        <w:t xml:space="preserve">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2AE2ED6E">
      <w:pPr>
        <w:keepNext w:val="0"/>
        <w:keepLines w:val="0"/>
        <w:pageBreakBefore w:val="0"/>
        <w:widowControl w:val="0"/>
        <w:kinsoku/>
        <w:wordWrap/>
        <w:overflowPunct/>
        <w:topLinePunct w:val="0"/>
        <w:autoSpaceDE/>
        <w:autoSpaceDN/>
        <w:bidi w:val="0"/>
        <w:snapToGrid w:val="0"/>
        <w:spacing w:before="0" w:beforeAutospacing="0" w:after="0" w:afterAutospacing="0" w:line="576" w:lineRule="atLeast"/>
        <w:ind w:left="0" w:right="0" w:firstLine="640" w:firstLineChars="200"/>
        <w:jc w:val="both"/>
        <w:textAlignment w:val="auto"/>
        <w:rPr>
          <w:rFonts w:ascii="Times New Roman" w:hAnsi="Times New Roman" w:eastAsia="仿宋_GB2312" w:cs="Times New Roman"/>
          <w:color w:val="auto"/>
          <w:kern w:val="0"/>
          <w:sz w:val="32"/>
          <w:szCs w:val="32"/>
          <w:shd w:val="clear" w:color="auto" w:fill="FFFFFF"/>
        </w:rPr>
      </w:pPr>
      <w:r>
        <w:rPr>
          <w:rFonts w:hint="eastAsia" w:ascii="Times New Roman" w:hAnsi="Times New Roman" w:eastAsia="仿宋_GB2312" w:cs="Times New Roman"/>
          <w:color w:val="auto"/>
          <w:kern w:val="0"/>
          <w:sz w:val="32"/>
          <w:szCs w:val="32"/>
          <w:shd w:val="clear" w:color="auto" w:fill="FFFFFF"/>
        </w:rPr>
        <w:t>附表：1.项目资金分配涉及所有点位自评得分情况表</w:t>
      </w:r>
    </w:p>
    <w:p w14:paraId="74F94485">
      <w:pPr>
        <w:keepNext w:val="0"/>
        <w:keepLines w:val="0"/>
        <w:pageBreakBefore w:val="0"/>
        <w:widowControl w:val="0"/>
        <w:kinsoku/>
        <w:wordWrap/>
        <w:overflowPunct/>
        <w:topLinePunct w:val="0"/>
        <w:autoSpaceDE/>
        <w:autoSpaceDN/>
        <w:bidi w:val="0"/>
        <w:snapToGrid w:val="0"/>
        <w:spacing w:before="0" w:beforeAutospacing="0" w:after="0" w:afterAutospacing="0" w:line="576" w:lineRule="atLeast"/>
        <w:ind w:left="0" w:right="0" w:firstLine="1600" w:firstLineChars="500"/>
        <w:jc w:val="both"/>
        <w:textAlignment w:val="auto"/>
        <w:rPr>
          <w:rFonts w:ascii="Times New Roman" w:hAnsi="Times New Roman" w:eastAsia="仿宋_GB2312" w:cs="Times New Roman"/>
          <w:color w:val="auto"/>
          <w:kern w:val="0"/>
          <w:sz w:val="32"/>
          <w:szCs w:val="32"/>
          <w:shd w:val="clear" w:color="auto" w:fill="FFFFFF"/>
          <w:lang w:val="zh-CN"/>
        </w:rPr>
      </w:pPr>
      <w:r>
        <w:rPr>
          <w:rFonts w:hint="eastAsia" w:ascii="Times New Roman" w:hAnsi="Times New Roman" w:eastAsia="仿宋_GB2312" w:cs="Times New Roman"/>
          <w:color w:val="auto"/>
          <w:kern w:val="0"/>
          <w:sz w:val="32"/>
          <w:szCs w:val="32"/>
          <w:shd w:val="clear" w:color="auto" w:fill="FFFFFF"/>
        </w:rPr>
        <w:t>2.专项预算项目绩效目标完成情况自评表</w:t>
      </w:r>
    </w:p>
    <w:p w14:paraId="15645118">
      <w:pPr>
        <w:widowControl/>
        <w:adjustRightInd w:val="0"/>
        <w:snapToGrid w:val="0"/>
        <w:spacing w:before="0" w:beforeAutospacing="0" w:after="0" w:afterAutospacing="0" w:line="578" w:lineRule="exact"/>
        <w:ind w:left="0" w:right="0"/>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77493A45">
      <w:pPr>
        <w:widowControl w:val="0"/>
        <w:spacing w:before="0" w:beforeAutospacing="0" w:after="0" w:afterAutospacing="0" w:line="578" w:lineRule="exact"/>
        <w:ind w:left="0" w:right="0"/>
        <w:jc w:val="center"/>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564"/>
        <w:gridCol w:w="2140"/>
        <w:gridCol w:w="993"/>
      </w:tblGrid>
      <w:tr w14:paraId="1E58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5B69E6D">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序号</w:t>
            </w:r>
          </w:p>
        </w:tc>
        <w:tc>
          <w:tcPr>
            <w:tcW w:w="4564" w:type="dxa"/>
          </w:tcPr>
          <w:p w14:paraId="77D32FF4">
            <w:pPr>
              <w:widowControl w:val="0"/>
              <w:spacing w:before="0" w:beforeAutospacing="0" w:after="0" w:afterAutospacing="0" w:line="300" w:lineRule="exact"/>
              <w:ind w:left="0" w:right="0"/>
              <w:jc w:val="center"/>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140" w:type="dxa"/>
          </w:tcPr>
          <w:p w14:paraId="07F21488">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14:paraId="3C21FA4F">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备注</w:t>
            </w:r>
          </w:p>
        </w:tc>
      </w:tr>
      <w:tr w14:paraId="78DD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BBB7AE0">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4564" w:type="dxa"/>
          </w:tcPr>
          <w:p w14:paraId="09718EA7">
            <w:pPr>
              <w:widowControl w:val="0"/>
              <w:spacing w:before="0" w:beforeAutospacing="0" w:after="0" w:afterAutospacing="0" w:line="300" w:lineRule="exact"/>
              <w:ind w:left="0" w:right="0"/>
              <w:jc w:val="center"/>
              <w:rPr>
                <w:rFonts w:ascii="宋体" w:hAnsi="宋体" w:eastAsia="仿宋_GB2312" w:cs="宋体"/>
                <w:kern w:val="2"/>
                <w:sz w:val="24"/>
                <w:szCs w:val="24"/>
                <w:lang w:val="en"/>
              </w:rPr>
            </w:pPr>
            <w:r>
              <w:rPr>
                <w:rFonts w:hint="eastAsia" w:ascii="宋体" w:hAnsi="宋体" w:eastAsia="仿宋_GB2312" w:cs="宋体"/>
                <w:kern w:val="2"/>
                <w:sz w:val="24"/>
                <w:szCs w:val="24"/>
                <w:lang w:val="en"/>
              </w:rPr>
              <w:t>叠溪镇特色果蔬现代农业园区建设项目</w:t>
            </w:r>
          </w:p>
        </w:tc>
        <w:tc>
          <w:tcPr>
            <w:tcW w:w="2140" w:type="dxa"/>
          </w:tcPr>
          <w:p w14:paraId="42E5AFAA">
            <w:pPr>
              <w:widowControl w:val="0"/>
              <w:spacing w:before="0" w:beforeAutospacing="0" w:after="0" w:afterAutospacing="0" w:line="300" w:lineRule="exact"/>
              <w:ind w:left="0" w:right="0"/>
              <w:jc w:val="center"/>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98分</w:t>
            </w:r>
          </w:p>
        </w:tc>
        <w:tc>
          <w:tcPr>
            <w:tcW w:w="993" w:type="dxa"/>
          </w:tcPr>
          <w:p w14:paraId="2F25DCED">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5ED2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1D87720">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4564" w:type="dxa"/>
          </w:tcPr>
          <w:p w14:paraId="43FA7EF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140" w:type="dxa"/>
          </w:tcPr>
          <w:p w14:paraId="6558CA14">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347E0F8D">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7254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30ADF74A">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4564" w:type="dxa"/>
          </w:tcPr>
          <w:p w14:paraId="7B061681">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140" w:type="dxa"/>
          </w:tcPr>
          <w:p w14:paraId="18589E6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1C7B83BF">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1FBF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4EFD6AF">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4564" w:type="dxa"/>
          </w:tcPr>
          <w:p w14:paraId="2214F9BB">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140" w:type="dxa"/>
          </w:tcPr>
          <w:p w14:paraId="203AB0E7">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0D759F25">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6A63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5384DD5">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5</w:t>
            </w:r>
          </w:p>
        </w:tc>
        <w:tc>
          <w:tcPr>
            <w:tcW w:w="4564" w:type="dxa"/>
          </w:tcPr>
          <w:p w14:paraId="5F11A9CA">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140" w:type="dxa"/>
          </w:tcPr>
          <w:p w14:paraId="36976EA6">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227A103">
            <w:pPr>
              <w:widowControl w:val="0"/>
              <w:spacing w:before="0" w:beforeAutospacing="0" w:after="0" w:afterAutospacing="0" w:line="300" w:lineRule="exact"/>
              <w:ind w:left="0" w:right="0"/>
              <w:jc w:val="both"/>
              <w:rPr>
                <w:rFonts w:ascii="宋体" w:hAnsi="宋体" w:eastAsia="仿宋_GB2312" w:cs="宋体"/>
                <w:kern w:val="2"/>
                <w:sz w:val="24"/>
                <w:szCs w:val="24"/>
              </w:rPr>
            </w:pPr>
          </w:p>
        </w:tc>
      </w:tr>
    </w:tbl>
    <w:p w14:paraId="63B8AD02">
      <w:pPr>
        <w:widowControl w:val="0"/>
        <w:spacing w:before="0" w:beforeAutospacing="0" w:after="0" w:afterAutospacing="0" w:line="400" w:lineRule="exact"/>
        <w:ind w:left="0" w:right="0"/>
        <w:jc w:val="left"/>
        <w:rPr>
          <w:rFonts w:ascii="宋体" w:hAnsi="宋体" w:eastAsia="宋体" w:cs="宋体"/>
          <w:kern w:val="2"/>
          <w:sz w:val="21"/>
          <w:szCs w:val="21"/>
        </w:rPr>
      </w:pPr>
      <w:r>
        <w:rPr>
          <w:rFonts w:hint="eastAsia" w:ascii="宋体" w:hAnsi="宋体" w:eastAsia="宋体" w:cs="宋体"/>
          <w:kern w:val="2"/>
          <w:sz w:val="21"/>
          <w:szCs w:val="21"/>
        </w:rPr>
        <w:t>备注：1.项目资金末端分配点位包括本部门、部门下属单位及一次性单位等。</w:t>
      </w:r>
    </w:p>
    <w:p w14:paraId="06D173FF">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ind w:left="0" w:right="0" w:firstLine="630" w:firstLineChars="300"/>
        <w:jc w:val="left"/>
        <w:textAlignment w:val="auto"/>
        <w:rPr>
          <w:rFonts w:ascii="Times New Roman" w:hAnsi="Times New Roman" w:eastAsia="仿宋_GB2312" w:cs="Times New Roman"/>
          <w:kern w:val="2"/>
          <w:sz w:val="32"/>
          <w:szCs w:val="24"/>
        </w:rPr>
      </w:pPr>
      <w:r>
        <w:rPr>
          <w:rFonts w:hint="eastAsia" w:ascii="宋体" w:hAnsi="宋体" w:eastAsia="宋体" w:cs="宋体"/>
          <w:kern w:val="2"/>
          <w:sz w:val="21"/>
          <w:szCs w:val="21"/>
        </w:rPr>
        <w:t>2.自评得分（百分制）从高到低划分为优、良、中、差四个档次，各个档次数量占比分别为20%、20%、55%、5%，且不同档次间得分分值应体现差异化，同档次得分分值相同的比例不超过该档次总数量的10%。</w:t>
      </w:r>
    </w:p>
    <w:p w14:paraId="665BC791">
      <w:pPr>
        <w:widowControl w:val="0"/>
        <w:spacing w:before="0" w:beforeAutospacing="0" w:after="0" w:afterAutospacing="0" w:line="578" w:lineRule="exact"/>
        <w:ind w:left="0" w:leftChars="0" w:right="0" w:firstLine="0" w:firstLineChars="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附表2</w:t>
      </w:r>
    </w:p>
    <w:tbl>
      <w:tblPr>
        <w:tblStyle w:val="16"/>
        <w:tblW w:w="11096" w:type="dxa"/>
        <w:jc w:val="center"/>
        <w:tblLayout w:type="fixed"/>
        <w:tblCellMar>
          <w:top w:w="15" w:type="dxa"/>
          <w:left w:w="15" w:type="dxa"/>
          <w:bottom w:w="15" w:type="dxa"/>
          <w:right w:w="15" w:type="dxa"/>
        </w:tblCellMar>
      </w:tblPr>
      <w:tblGrid>
        <w:gridCol w:w="512"/>
        <w:gridCol w:w="1134"/>
        <w:gridCol w:w="1681"/>
        <w:gridCol w:w="2482"/>
        <w:gridCol w:w="777"/>
        <w:gridCol w:w="600"/>
        <w:gridCol w:w="832"/>
        <w:gridCol w:w="962"/>
        <w:gridCol w:w="2116"/>
      </w:tblGrid>
      <w:tr w14:paraId="3A2AFE3A">
        <w:tblPrEx>
          <w:tblCellMar>
            <w:top w:w="15" w:type="dxa"/>
            <w:left w:w="15" w:type="dxa"/>
            <w:bottom w:w="15" w:type="dxa"/>
            <w:right w:w="15" w:type="dxa"/>
          </w:tblCellMar>
        </w:tblPrEx>
        <w:trPr>
          <w:trHeight w:val="534" w:hRule="atLeast"/>
          <w:jc w:val="center"/>
        </w:trPr>
        <w:tc>
          <w:tcPr>
            <w:tcW w:w="11096" w:type="dxa"/>
            <w:gridSpan w:val="9"/>
            <w:shd w:val="clear" w:color="auto" w:fill="auto"/>
            <w:vAlign w:val="center"/>
          </w:tcPr>
          <w:p w14:paraId="69A29F43">
            <w:pPr>
              <w:widowControl/>
              <w:spacing w:before="0" w:beforeAutospacing="0" w:after="0" w:afterAutospacing="0" w:line="60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4188EE64">
        <w:tblPrEx>
          <w:tblCellMar>
            <w:top w:w="15" w:type="dxa"/>
            <w:left w:w="15" w:type="dxa"/>
            <w:bottom w:w="15" w:type="dxa"/>
            <w:right w:w="15" w:type="dxa"/>
          </w:tblCellMar>
        </w:tblPrEx>
        <w:trPr>
          <w:trHeight w:val="425" w:hRule="atLeast"/>
          <w:jc w:val="center"/>
        </w:trPr>
        <w:tc>
          <w:tcPr>
            <w:tcW w:w="5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B254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DEE54">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叠溪镇特色果蔬现代农业园区项目</w:t>
            </w:r>
          </w:p>
        </w:tc>
      </w:tr>
      <w:tr w14:paraId="0A7A1B22">
        <w:tblPrEx>
          <w:tblCellMar>
            <w:top w:w="15" w:type="dxa"/>
            <w:left w:w="15" w:type="dxa"/>
            <w:bottom w:w="15" w:type="dxa"/>
            <w:right w:w="15" w:type="dxa"/>
          </w:tblCellMar>
        </w:tblPrEx>
        <w:trPr>
          <w:trHeight w:val="545" w:hRule="atLeast"/>
          <w:jc w:val="center"/>
        </w:trPr>
        <w:tc>
          <w:tcPr>
            <w:tcW w:w="5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09B3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预算单位</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7C086">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茂县科学技术和农业畜牧局</w:t>
            </w:r>
          </w:p>
        </w:tc>
      </w:tr>
      <w:tr w14:paraId="7019AFC6">
        <w:tblPrEx>
          <w:tblCellMar>
            <w:top w:w="15" w:type="dxa"/>
            <w:left w:w="15" w:type="dxa"/>
            <w:bottom w:w="15" w:type="dxa"/>
            <w:right w:w="15" w:type="dxa"/>
          </w:tblCellMar>
        </w:tblPrEx>
        <w:trPr>
          <w:trHeight w:val="23" w:hRule="atLeast"/>
          <w:jc w:val="center"/>
        </w:trPr>
        <w:tc>
          <w:tcPr>
            <w:tcW w:w="5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EDEA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项目类型</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25BE5">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补助到户</w:t>
            </w:r>
            <w:r>
              <w:rPr>
                <w:rFonts w:hint="eastAsia" w:ascii="宋体" w:hAnsi="宋体" w:eastAsia="宋体" w:cs="宋体"/>
                <w:color w:val="000000"/>
                <w:kern w:val="0"/>
                <w:sz w:val="18"/>
                <w:szCs w:val="18"/>
                <w:lang w:val="en-US" w:eastAsia="zh-CN" w:bidi="ar"/>
              </w:rPr>
              <w:t>+政府采购+公开招标</w:t>
            </w:r>
            <w:r>
              <w:rPr>
                <w:rFonts w:hint="eastAsia" w:ascii="宋体" w:hAnsi="宋体" w:eastAsia="宋体" w:cs="宋体"/>
                <w:color w:val="000000"/>
                <w:kern w:val="0"/>
                <w:sz w:val="18"/>
                <w:szCs w:val="18"/>
                <w:lang w:eastAsia="zh-CN" w:bidi="ar"/>
              </w:rPr>
              <w:t>类</w:t>
            </w:r>
          </w:p>
        </w:tc>
      </w:tr>
      <w:tr w14:paraId="5DE9EC0F">
        <w:tblPrEx>
          <w:tblCellMar>
            <w:top w:w="15" w:type="dxa"/>
            <w:left w:w="15" w:type="dxa"/>
            <w:bottom w:w="15" w:type="dxa"/>
            <w:right w:w="15" w:type="dxa"/>
          </w:tblCellMar>
        </w:tblPrEx>
        <w:trPr>
          <w:trHeight w:val="395"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363C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 概况</w:t>
            </w: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1A49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中长期规划（名称、文号，仅指常年项目）</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F9172">
            <w:pPr>
              <w:widowControl/>
              <w:spacing w:before="0" w:beforeAutospacing="0" w:after="0" w:afterAutospacing="0" w:line="300" w:lineRule="exact"/>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w:t>
            </w:r>
          </w:p>
        </w:tc>
      </w:tr>
      <w:tr w14:paraId="7C536B5B">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5961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11B1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资金管理办法（名称、文号）</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FBE0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18"/>
                <w:szCs w:val="18"/>
                <w:lang w:val="en-US" w:eastAsia="zh-CN" w:bidi="ar"/>
              </w:rPr>
              <w:t>《四川省财政厅 四川省农业农村厅 四川省乡村振兴共同财政事权转移支付资金管理办法的通知》（川财农﹝2022﹞16号）</w:t>
            </w:r>
          </w:p>
        </w:tc>
      </w:tr>
      <w:tr w14:paraId="447AC5F6">
        <w:tblPrEx>
          <w:tblCellMar>
            <w:top w:w="15" w:type="dxa"/>
            <w:left w:w="15" w:type="dxa"/>
            <w:bottom w:w="15" w:type="dxa"/>
            <w:right w:w="15" w:type="dxa"/>
          </w:tblCellMar>
        </w:tblPrEx>
        <w:trPr>
          <w:trHeight w:val="381"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ABC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8828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绩效分配方式</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D70">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bidi="ar"/>
              </w:rPr>
            </w:pPr>
            <w:r>
              <w:rPr>
                <w:rFonts w:ascii="Wingdings 2" w:hAnsi="Wingdings 2" w:eastAsia="Wingdings 2" w:cs="Wingdings 2"/>
                <w:color w:val="000000"/>
                <w:kern w:val="0"/>
                <w:sz w:val="18"/>
                <w:szCs w:val="18"/>
                <w:lang w:bidi="ar"/>
              </w:rPr>
              <w:sym w:font="Wingdings 2" w:char="00A3"/>
            </w:r>
            <w:r>
              <w:rPr>
                <w:rFonts w:ascii="宋体" w:hAnsi="宋体" w:eastAsia="宋体" w:cs="宋体"/>
                <w:color w:val="000000"/>
                <w:kern w:val="0"/>
                <w:sz w:val="18"/>
                <w:szCs w:val="18"/>
                <w:lang w:bidi="ar"/>
              </w:rPr>
              <w:t>因素法</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F53E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ascii="Wingdings 2" w:hAnsi="Wingdings 2" w:eastAsia="Wingdings 2" w:cs="Wingdings 2"/>
                <w:color w:val="000000"/>
                <w:kern w:val="0"/>
                <w:sz w:val="18"/>
                <w:szCs w:val="18"/>
                <w:lang w:bidi="ar"/>
              </w:rPr>
              <w:sym w:font="Wingdings 2" w:char="00A3"/>
            </w:r>
            <w:r>
              <w:rPr>
                <w:rFonts w:ascii="Wingdings 2" w:hAnsi="Wingdings 2" w:eastAsia="Wingdings 2" w:cs="Wingdings 2"/>
                <w:color w:val="000000"/>
                <w:kern w:val="0"/>
                <w:sz w:val="18"/>
                <w:szCs w:val="18"/>
                <w:lang w:bidi="ar"/>
              </w:rPr>
              <w:t>项目法</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BB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ascii="Wingdings 2" w:hAnsi="Wingdings 2" w:eastAsia="Wingdings 2" w:cs="Wingdings 2"/>
                <w:color w:val="000000"/>
                <w:kern w:val="0"/>
                <w:sz w:val="18"/>
                <w:szCs w:val="18"/>
                <w:lang w:bidi="ar"/>
              </w:rPr>
              <w:sym w:font="Wingdings 2" w:char="00A3"/>
            </w:r>
            <w:r>
              <w:rPr>
                <w:rFonts w:ascii="宋体" w:hAnsi="宋体" w:eastAsia="宋体" w:cs="宋体"/>
                <w:color w:val="000000"/>
                <w:kern w:val="0"/>
                <w:sz w:val="18"/>
                <w:szCs w:val="18"/>
                <w:lang w:bidi="ar"/>
              </w:rPr>
              <w:t>据实据效</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7D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ascii="Wingdings 2" w:hAnsi="Wingdings 2" w:eastAsia="Wingdings 2" w:cs="Wingdings 2"/>
                <w:color w:val="000000"/>
                <w:kern w:val="0"/>
                <w:sz w:val="18"/>
                <w:szCs w:val="18"/>
                <w:lang w:bidi="ar"/>
              </w:rPr>
              <w:sym w:font="Wingdings 2" w:char="0052"/>
            </w:r>
            <w:r>
              <w:rPr>
                <w:rFonts w:ascii="宋体" w:hAnsi="宋体" w:eastAsia="宋体" w:cs="宋体"/>
                <w:color w:val="000000"/>
                <w:kern w:val="0"/>
                <w:sz w:val="18"/>
                <w:szCs w:val="18"/>
                <w:lang w:bidi="ar"/>
              </w:rPr>
              <w:t>因素法与项目法相结合</w:t>
            </w:r>
          </w:p>
        </w:tc>
      </w:tr>
      <w:tr w14:paraId="6429689A">
        <w:tblPrEx>
          <w:tblCellMar>
            <w:top w:w="15" w:type="dxa"/>
            <w:left w:w="15" w:type="dxa"/>
            <w:bottom w:w="15" w:type="dxa"/>
            <w:right w:w="15" w:type="dxa"/>
          </w:tblCellMar>
        </w:tblPrEx>
        <w:trPr>
          <w:trHeight w:val="2255"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00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F740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立项依据</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7BECC">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关于下达茂县2023年度统筹整合使用财政涉农该资金及财政衔接推进乡村振兴补助资金项目（第一批）的通知》（茂委办发【2023】12号）文件、中共茂县县委办公室茂县人民政府办公室《关于下达茂县2023年度（州级）统财政衔接推进乡村振兴补助资金项目（第二批）的通知》（茂委办发【2023】21号）文件、茂县财政局《关于调整2023年度财政衔接推进乡村振兴补助资金的通知》（茂财农【2023】65号）文件</w:t>
            </w:r>
          </w:p>
        </w:tc>
      </w:tr>
      <w:tr w14:paraId="299CADDD">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9A0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9089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使用范围</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1FC4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主要用于果蔬智能化大棚、防雹炮、数字平台建设、农产品溯源建设、防雹网、水肥一体化设施设备、“庭院经济”、采摘园建设、新品种苹果、羌脆大李高换、农业园区采摘路、面源污染等建设。</w:t>
            </w:r>
          </w:p>
        </w:tc>
      </w:tr>
      <w:tr w14:paraId="7E637035">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743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DDE6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申报（补助）条件</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19862">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涉农整合项目申报要求</w:t>
            </w:r>
          </w:p>
        </w:tc>
      </w:tr>
      <w:tr w14:paraId="6A9EF21F">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8EA9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5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3A53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项目起止年限</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9E434">
            <w:pPr>
              <w:widowControl/>
              <w:spacing w:before="0" w:beforeAutospacing="0" w:after="0" w:afterAutospacing="0" w:line="300" w:lineRule="exact"/>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2023年-2024年</w:t>
            </w:r>
          </w:p>
        </w:tc>
      </w:tr>
      <w:tr w14:paraId="3BE6C3B5">
        <w:tblPrEx>
          <w:tblCellMar>
            <w:top w:w="15" w:type="dxa"/>
            <w:left w:w="15" w:type="dxa"/>
            <w:bottom w:w="15" w:type="dxa"/>
            <w:right w:w="15" w:type="dxa"/>
          </w:tblCellMar>
        </w:tblPrEx>
        <w:trPr>
          <w:trHeight w:val="23" w:hRule="atLeast"/>
          <w:jc w:val="center"/>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C471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项目资金</w:t>
            </w:r>
          </w:p>
          <w:p w14:paraId="55A97A4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（万元）</w:t>
            </w:r>
          </w:p>
        </w:tc>
        <w:tc>
          <w:tcPr>
            <w:tcW w:w="4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DCEF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年度资金总额：</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A19D7">
            <w:pPr>
              <w:widowControl/>
              <w:spacing w:before="0" w:beforeAutospacing="0" w:after="0" w:afterAutospacing="0" w:line="300" w:lineRule="exact"/>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625.53</w:t>
            </w:r>
          </w:p>
        </w:tc>
      </w:tr>
      <w:tr w14:paraId="36D1A235">
        <w:tblPrEx>
          <w:tblCellMar>
            <w:top w:w="15" w:type="dxa"/>
            <w:left w:w="15" w:type="dxa"/>
            <w:bottom w:w="15" w:type="dxa"/>
            <w:right w:w="15" w:type="dxa"/>
          </w:tblCellMar>
        </w:tblPrEx>
        <w:trPr>
          <w:trHeight w:val="23" w:hRule="atLeast"/>
          <w:jc w:val="center"/>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E26F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4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7142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其中：财政拨款</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A4ED0">
            <w:pPr>
              <w:widowControl/>
              <w:spacing w:before="0" w:beforeAutospacing="0" w:after="0" w:afterAutospacing="0" w:line="300" w:lineRule="exact"/>
              <w:ind w:left="0" w:right="0"/>
              <w:jc w:val="left"/>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625.53</w:t>
            </w:r>
          </w:p>
        </w:tc>
      </w:tr>
      <w:tr w14:paraId="3F1898DB">
        <w:tblPrEx>
          <w:tblCellMar>
            <w:top w:w="15" w:type="dxa"/>
            <w:left w:w="15" w:type="dxa"/>
            <w:bottom w:w="15" w:type="dxa"/>
            <w:right w:w="15" w:type="dxa"/>
          </w:tblCellMar>
        </w:tblPrEx>
        <w:trPr>
          <w:trHeight w:val="23" w:hRule="atLeast"/>
          <w:jc w:val="center"/>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15D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4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7F5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其他资金</w:t>
            </w:r>
          </w:p>
        </w:tc>
        <w:tc>
          <w:tcPr>
            <w:tcW w:w="5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532BB">
            <w:pPr>
              <w:widowControl/>
              <w:spacing w:before="0" w:beforeAutospacing="0" w:after="0" w:afterAutospacing="0" w:line="300" w:lineRule="exact"/>
              <w:ind w:left="0" w:right="0"/>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0</w:t>
            </w:r>
          </w:p>
        </w:tc>
      </w:tr>
      <w:tr w14:paraId="35BDB9B8">
        <w:tblPrEx>
          <w:tblCellMar>
            <w:top w:w="15" w:type="dxa"/>
            <w:left w:w="15" w:type="dxa"/>
            <w:bottom w:w="15" w:type="dxa"/>
            <w:right w:w="15" w:type="dxa"/>
          </w:tblCellMar>
        </w:tblPrEx>
        <w:trPr>
          <w:trHeight w:val="238" w:hRule="atLeast"/>
          <w:jc w:val="center"/>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0624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总体 目标</w:t>
            </w:r>
          </w:p>
        </w:tc>
        <w:tc>
          <w:tcPr>
            <w:tcW w:w="105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B39F2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年度目标</w:t>
            </w:r>
          </w:p>
        </w:tc>
      </w:tr>
      <w:tr w14:paraId="67A558BC">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0E2C">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105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80015A">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0"/>
                <w:sz w:val="18"/>
                <w:szCs w:val="18"/>
                <w:lang w:bidi="ar"/>
              </w:rPr>
              <w:t>果蔬智能化大棚建设40亩；高半山园区采购防雹炮设备2台；数字平台建设、农产品溯源建设，智能化设施设备建设；防雹网建设补贴115亩；水肥一体化设施设备共165亩；“庭院经济”示范户建设15户；采摘园建设5个；新品种苹果65亩；羌脆大李高换60亩；农业园区采摘路建设1500立方米；面源污染。</w:t>
            </w:r>
          </w:p>
        </w:tc>
      </w:tr>
      <w:tr w14:paraId="0D286750">
        <w:tblPrEx>
          <w:tblCellMar>
            <w:top w:w="15" w:type="dxa"/>
            <w:left w:w="15" w:type="dxa"/>
            <w:bottom w:w="15" w:type="dxa"/>
            <w:right w:w="15" w:type="dxa"/>
          </w:tblCellMar>
        </w:tblPrEx>
        <w:trPr>
          <w:trHeight w:val="292" w:hRule="atLeast"/>
          <w:jc w:val="center"/>
        </w:trPr>
        <w:tc>
          <w:tcPr>
            <w:tcW w:w="512" w:type="dxa"/>
            <w:vMerge w:val="restart"/>
            <w:tcBorders>
              <w:top w:val="single" w:color="000000" w:sz="4" w:space="0"/>
              <w:left w:val="single" w:color="000000" w:sz="4" w:space="0"/>
              <w:bottom w:val="single" w:color="000000" w:sz="4" w:space="0"/>
            </w:tcBorders>
            <w:shd w:val="clear" w:color="auto" w:fill="auto"/>
            <w:vAlign w:val="center"/>
          </w:tcPr>
          <w:p w14:paraId="3A0A61D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绩效 指标</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EC7052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一级指标</w:t>
            </w:r>
          </w:p>
        </w:tc>
        <w:tc>
          <w:tcPr>
            <w:tcW w:w="1681" w:type="dxa"/>
            <w:tcBorders>
              <w:top w:val="single" w:color="000000" w:sz="4" w:space="0"/>
              <w:left w:val="single" w:color="000000" w:sz="4" w:space="0"/>
              <w:bottom w:val="single" w:color="auto" w:sz="4" w:space="0"/>
              <w:right w:val="single" w:color="000000" w:sz="4" w:space="0"/>
            </w:tcBorders>
            <w:shd w:val="clear" w:color="auto" w:fill="auto"/>
            <w:vAlign w:val="center"/>
          </w:tcPr>
          <w:p w14:paraId="7EB6591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二级指标</w:t>
            </w:r>
          </w:p>
        </w:tc>
        <w:tc>
          <w:tcPr>
            <w:tcW w:w="24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F7CA1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91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5E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指标值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FE6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度量单位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A79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权重</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8D0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实际完成指标值</w:t>
            </w:r>
          </w:p>
        </w:tc>
      </w:tr>
      <w:tr w14:paraId="1ACD9CAB">
        <w:tblPrEx>
          <w:tblCellMar>
            <w:top w:w="15" w:type="dxa"/>
            <w:left w:w="15" w:type="dxa"/>
            <w:bottom w:w="15" w:type="dxa"/>
            <w:right w:w="15" w:type="dxa"/>
          </w:tblCellMar>
        </w:tblPrEx>
        <w:trPr>
          <w:trHeight w:val="316"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81A19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D6FC6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产出指标</w:t>
            </w:r>
          </w:p>
        </w:tc>
        <w:tc>
          <w:tcPr>
            <w:tcW w:w="16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76FD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数量指标</w:t>
            </w: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6189586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果蔬智能化大棚</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07199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3E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20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C4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2619">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7.226</w:t>
            </w:r>
          </w:p>
        </w:tc>
      </w:tr>
      <w:tr w14:paraId="71BB5880">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01C21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7481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C20F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249A098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高半山园区采购防雹炮设备</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86A88A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E0F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3C7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BA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AE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r>
      <w:tr w14:paraId="6F68B904">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6FCD9E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B079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6666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05B5C13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数字平台建设、农产品溯源建设，智能化设施设备</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BB24A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621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1D9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9AD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6F8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717E79D4">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D7F5FC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831D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9EF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0C6EE9B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防雹网</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7197575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88D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285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938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CB4A">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w:t>
            </w:r>
          </w:p>
        </w:tc>
      </w:tr>
      <w:tr w14:paraId="57B96524">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23A11E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B910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58B7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2744D7C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水肥一体化</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E6E038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A9D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DCF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8AC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9539">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111.15</w:t>
            </w:r>
          </w:p>
        </w:tc>
      </w:tr>
      <w:tr w14:paraId="0E3B45A1">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E7C83D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1D9D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1891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4349A8C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“庭院经济”示范户</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98594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11B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3D2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户</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14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093">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w:t>
            </w:r>
          </w:p>
        </w:tc>
      </w:tr>
      <w:tr w14:paraId="45E85F35">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BF2FD6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792F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2B8F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2CBD2E8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采摘园建设</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6B2D889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480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BAF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83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510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r>
      <w:tr w14:paraId="1CCC9570">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4A5B44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7469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2ED3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7FD88CD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新品种苹果</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722DCB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EA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06B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47B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7815">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61.8</w:t>
            </w:r>
          </w:p>
        </w:tc>
      </w:tr>
      <w:tr w14:paraId="0FCC1E54">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1F511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111E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37A5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auto" w:sz="4" w:space="0"/>
              <w:bottom w:val="single" w:color="auto" w:sz="4" w:space="0"/>
              <w:right w:val="single" w:color="auto" w:sz="4" w:space="0"/>
            </w:tcBorders>
            <w:shd w:val="clear" w:color="auto" w:fill="auto"/>
            <w:vAlign w:val="center"/>
          </w:tcPr>
          <w:p w14:paraId="11A566E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羌脆大李高换</w:t>
            </w:r>
          </w:p>
        </w:tc>
        <w:tc>
          <w:tcPr>
            <w:tcW w:w="77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91B52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3CC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FDB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48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8AD">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58</w:t>
            </w:r>
          </w:p>
        </w:tc>
      </w:tr>
      <w:tr w14:paraId="63A155FA">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F8742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32D279E">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auto" w:sz="4" w:space="0"/>
              <w:left w:val="single" w:color="000000" w:sz="4" w:space="0"/>
              <w:right w:val="single" w:color="000000" w:sz="4" w:space="0"/>
            </w:tcBorders>
            <w:shd w:val="clear" w:color="auto" w:fill="auto"/>
            <w:vAlign w:val="center"/>
          </w:tcPr>
          <w:p w14:paraId="2CEE61D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auto" w:sz="4" w:space="0"/>
              <w:left w:val="single" w:color="000000" w:sz="4" w:space="0"/>
              <w:bottom w:val="single" w:color="000000" w:sz="4" w:space="0"/>
              <w:right w:val="single" w:color="000000" w:sz="4" w:space="0"/>
            </w:tcBorders>
            <w:shd w:val="clear" w:color="auto" w:fill="auto"/>
            <w:vAlign w:val="center"/>
          </w:tcPr>
          <w:p w14:paraId="4357294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农业园区采摘路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740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CB4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AA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立方米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3FC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387D">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1466.06</w:t>
            </w:r>
          </w:p>
        </w:tc>
      </w:tr>
      <w:tr w14:paraId="481EDB25">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A232D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596093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left w:val="single" w:color="000000" w:sz="4" w:space="0"/>
              <w:bottom w:val="single" w:color="000000" w:sz="4" w:space="0"/>
              <w:right w:val="single" w:color="000000" w:sz="4" w:space="0"/>
            </w:tcBorders>
            <w:shd w:val="clear" w:color="auto" w:fill="auto"/>
            <w:vAlign w:val="center"/>
          </w:tcPr>
          <w:p w14:paraId="7AA5847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FD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面源污染</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AC0E">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DFF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F5A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86E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50F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r>
      <w:tr w14:paraId="7B5198D5">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0453E2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571681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D3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质量指标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D04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验收合格率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74BE">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04E">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823B">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C4F0">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A700">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r>
      <w:tr w14:paraId="4AFA85BF">
        <w:tblPrEx>
          <w:tblCellMar>
            <w:top w:w="15" w:type="dxa"/>
            <w:left w:w="15" w:type="dxa"/>
            <w:bottom w:w="15" w:type="dxa"/>
            <w:right w:w="15" w:type="dxa"/>
          </w:tblCellMar>
        </w:tblPrEx>
        <w:trPr>
          <w:trHeight w:val="306" w:hRule="atLeast"/>
          <w:jc w:val="center"/>
        </w:trPr>
        <w:tc>
          <w:tcPr>
            <w:tcW w:w="51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EB7EC9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16ABA1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CC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时效指标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8A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完成及时率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445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3713">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170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3ED0">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B016">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100</w:t>
            </w:r>
          </w:p>
        </w:tc>
      </w:tr>
      <w:tr w14:paraId="07C8E957">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tcBorders>
            <w:shd w:val="clear" w:color="auto" w:fill="auto"/>
            <w:vAlign w:val="center"/>
          </w:tcPr>
          <w:p w14:paraId="201EF71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864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效益指标</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FE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经济效益指标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09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增加受益农户经济收入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DD3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71B">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904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3CC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C059">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0.3</w:t>
            </w:r>
          </w:p>
        </w:tc>
      </w:tr>
      <w:tr w14:paraId="30CFF802">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tcBorders>
            <w:shd w:val="clear" w:color="auto" w:fill="auto"/>
            <w:vAlign w:val="center"/>
          </w:tcPr>
          <w:p w14:paraId="08A8F0F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318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restart"/>
            <w:tcBorders>
              <w:top w:val="single" w:color="000000" w:sz="4" w:space="0"/>
              <w:left w:val="single" w:color="000000" w:sz="4" w:space="0"/>
              <w:right w:val="single" w:color="000000" w:sz="4" w:space="0"/>
            </w:tcBorders>
            <w:shd w:val="clear" w:color="auto" w:fill="auto"/>
            <w:vAlign w:val="center"/>
          </w:tcPr>
          <w:p w14:paraId="0E8235D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社会效益</w:t>
            </w:r>
          </w:p>
          <w:p w14:paraId="323457E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C5F7">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资金使用无重大违规违纪问题</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738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561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790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D6A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E40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w:t>
            </w:r>
          </w:p>
        </w:tc>
      </w:tr>
      <w:tr w14:paraId="4FAA5548">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tcBorders>
            <w:shd w:val="clear" w:color="auto" w:fill="auto"/>
            <w:vAlign w:val="center"/>
          </w:tcPr>
          <w:p w14:paraId="65A6152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0C19">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681" w:type="dxa"/>
            <w:vMerge w:val="continue"/>
            <w:tcBorders>
              <w:top w:val="single" w:color="000000" w:sz="4" w:space="0"/>
              <w:left w:val="single" w:color="000000" w:sz="4" w:space="0"/>
              <w:right w:val="single" w:color="000000" w:sz="4" w:space="0"/>
            </w:tcBorders>
            <w:shd w:val="clear" w:color="auto" w:fill="auto"/>
            <w:vAlign w:val="center"/>
          </w:tcPr>
          <w:p w14:paraId="7E72986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F1D4">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受益建档立卡贫困人口数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16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E124">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36ED">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969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EC9F">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w:t>
            </w:r>
          </w:p>
        </w:tc>
      </w:tr>
      <w:tr w14:paraId="5B5B40DD">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tcBorders>
            <w:shd w:val="clear" w:color="auto" w:fill="auto"/>
            <w:vAlign w:val="center"/>
          </w:tcPr>
          <w:p w14:paraId="49B0831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tcBorders>
              <w:top w:val="single" w:color="000000" w:sz="4" w:space="0"/>
              <w:left w:val="single" w:color="000000" w:sz="4" w:space="0"/>
              <w:right w:val="single" w:color="000000" w:sz="4" w:space="0"/>
            </w:tcBorders>
            <w:shd w:val="clear" w:color="auto" w:fill="auto"/>
            <w:vAlign w:val="center"/>
          </w:tcPr>
          <w:p w14:paraId="4E716A2F">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满意度指标</w:t>
            </w:r>
          </w:p>
        </w:tc>
        <w:tc>
          <w:tcPr>
            <w:tcW w:w="1681" w:type="dxa"/>
            <w:tcBorders>
              <w:top w:val="single" w:color="000000" w:sz="4" w:space="0"/>
              <w:left w:val="single" w:color="000000" w:sz="4" w:space="0"/>
              <w:right w:val="single" w:color="000000" w:sz="4" w:space="0"/>
            </w:tcBorders>
            <w:shd w:val="clear" w:color="auto" w:fill="auto"/>
            <w:vAlign w:val="center"/>
          </w:tcPr>
          <w:p w14:paraId="75E48C86">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服务对象满意度指标</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CC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使用年限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F792">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3C1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59DA">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年</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64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7435">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r>
      <w:tr w14:paraId="7710206E">
        <w:tblPrEx>
          <w:tblCellMar>
            <w:top w:w="15" w:type="dxa"/>
            <w:left w:w="15" w:type="dxa"/>
            <w:bottom w:w="15" w:type="dxa"/>
            <w:right w:w="15" w:type="dxa"/>
          </w:tblCellMar>
        </w:tblPrEx>
        <w:trPr>
          <w:trHeight w:val="23" w:hRule="atLeast"/>
          <w:jc w:val="center"/>
        </w:trPr>
        <w:tc>
          <w:tcPr>
            <w:tcW w:w="512" w:type="dxa"/>
            <w:vMerge w:val="continue"/>
            <w:tcBorders>
              <w:top w:val="single" w:color="000000" w:sz="4" w:space="0"/>
              <w:left w:val="single" w:color="000000" w:sz="4" w:space="0"/>
              <w:bottom w:val="single" w:color="000000" w:sz="4" w:space="0"/>
            </w:tcBorders>
            <w:shd w:val="clear" w:color="auto" w:fill="auto"/>
            <w:vAlign w:val="center"/>
          </w:tcPr>
          <w:p w14:paraId="6187270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74B0">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成本指标</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281">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经济成本指标</w:t>
            </w:r>
          </w:p>
        </w:tc>
        <w:tc>
          <w:tcPr>
            <w:tcW w:w="2482" w:type="dxa"/>
            <w:tcBorders>
              <w:top w:val="single" w:color="000000" w:sz="4" w:space="0"/>
              <w:bottom w:val="single" w:color="000000" w:sz="4" w:space="0"/>
              <w:right w:val="single" w:color="000000" w:sz="4" w:space="0"/>
            </w:tcBorders>
            <w:shd w:val="clear" w:color="auto" w:fill="auto"/>
            <w:vAlign w:val="center"/>
          </w:tcPr>
          <w:p w14:paraId="26049458">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受益群众对该项目的满意度</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C833">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2EE2">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03C">
            <w:pPr>
              <w:widowControl/>
              <w:spacing w:before="0" w:beforeAutospacing="0" w:after="0" w:afterAutospacing="0" w:line="300" w:lineRule="exact"/>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DEF">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F560">
            <w:pPr>
              <w:widowControl/>
              <w:spacing w:before="0" w:beforeAutospacing="0" w:after="0" w:afterAutospacing="0" w:line="300" w:lineRule="exact"/>
              <w:ind w:left="0" w:right="0"/>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95</w:t>
            </w:r>
          </w:p>
        </w:tc>
      </w:tr>
    </w:tbl>
    <w:p w14:paraId="10A69E97">
      <w:pPr>
        <w:widowControl w:val="0"/>
        <w:spacing w:before="0" w:beforeAutospacing="0" w:after="0" w:afterAutospacing="0" w:line="578" w:lineRule="exact"/>
        <w:ind w:left="0" w:leftChars="0" w:right="0" w:firstLine="480" w:firstLineChars="200"/>
        <w:jc w:val="both"/>
        <w:rPr>
          <w:rFonts w:ascii="黑体" w:hAnsi="黑体" w:eastAsia="黑体" w:cs="黑体"/>
          <w:kern w:val="2"/>
          <w:sz w:val="24"/>
          <w:szCs w:val="24"/>
          <w:lang w:val="en-US" w:eastAsia="zh-CN" w:bidi="ar-SA"/>
        </w:rPr>
      </w:pPr>
    </w:p>
    <w:p w14:paraId="030BD67D">
      <w:pPr>
        <w:pStyle w:val="2"/>
        <w:rPr>
          <w:lang w:val="en-US" w:eastAsia="zh-CN"/>
        </w:rPr>
      </w:pPr>
    </w:p>
    <w:p w14:paraId="07217EBE">
      <w:pPr>
        <w:widowControl w:val="0"/>
        <w:spacing w:before="0" w:beforeAutospacing="0" w:after="0" w:afterAutospacing="0" w:line="578" w:lineRule="exact"/>
        <w:ind w:left="0" w:right="0"/>
        <w:jc w:val="center"/>
        <w:outlineLvl w:val="0"/>
        <w:rPr>
          <w:rFonts w:hint="eastAsia" w:ascii="方正小标宋简体" w:hAnsi="方正小标宋简体" w:eastAsia="方正小标宋简体" w:cs="方正小标宋简体"/>
          <w:color w:val="auto"/>
          <w:kern w:val="2"/>
          <w:sz w:val="44"/>
          <w:szCs w:val="44"/>
          <w:lang w:val="en-US" w:eastAsia="zh-CN" w:bidi="ar-SA"/>
        </w:rPr>
      </w:pPr>
      <w:bookmarkStart w:id="213" w:name="_Toc5962"/>
      <w:bookmarkStart w:id="214" w:name="_Toc10090"/>
      <w:r>
        <w:rPr>
          <w:rFonts w:hint="eastAsia" w:ascii="方正小标宋简体" w:hAnsi="方正小标宋简体" w:eastAsia="方正小标宋简体" w:cs="方正小标宋简体"/>
          <w:color w:val="auto"/>
          <w:kern w:val="2"/>
          <w:sz w:val="44"/>
          <w:szCs w:val="44"/>
          <w:lang w:val="en-US" w:eastAsia="zh-CN" w:bidi="ar-SA"/>
        </w:rPr>
        <w:t>2023年南新镇李子+苹果现代农业园区建设</w:t>
      </w:r>
      <w:bookmarkEnd w:id="213"/>
      <w:bookmarkEnd w:id="214"/>
    </w:p>
    <w:p w14:paraId="1E39CFAB">
      <w:pPr>
        <w:widowControl w:val="0"/>
        <w:spacing w:before="0" w:beforeAutospacing="0" w:after="0" w:afterAutospacing="0" w:line="578" w:lineRule="exact"/>
        <w:ind w:left="0" w:right="0"/>
        <w:jc w:val="center"/>
        <w:outlineLvl w:val="0"/>
        <w:rPr>
          <w:rFonts w:ascii="宋体" w:hAnsi="宋体" w:eastAsia="宋体" w:cs="Times New Roman"/>
          <w:color w:val="auto"/>
          <w:kern w:val="2"/>
          <w:sz w:val="32"/>
          <w:szCs w:val="32"/>
          <w:lang w:val="zh-CN" w:eastAsia="zh-CN" w:bidi="ar-SA"/>
        </w:rPr>
      </w:pPr>
      <w:bookmarkStart w:id="215" w:name="_Toc16899"/>
      <w:r>
        <w:rPr>
          <w:rFonts w:hint="eastAsia" w:ascii="方正小标宋简体" w:hAnsi="方正小标宋简体" w:eastAsia="方正小标宋简体" w:cs="方正小标宋简体"/>
          <w:color w:val="auto"/>
          <w:kern w:val="2"/>
          <w:sz w:val="44"/>
          <w:szCs w:val="44"/>
          <w:lang w:val="en-US" w:eastAsia="zh-CN" w:bidi="ar-SA"/>
        </w:rPr>
        <w:t>项目绩效评价报告</w:t>
      </w:r>
      <w:bookmarkEnd w:id="215"/>
    </w:p>
    <w:p w14:paraId="19E4BABD">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lang w:val="zh-CN"/>
        </w:rPr>
      </w:pPr>
      <w:bookmarkStart w:id="216" w:name="_Toc12336"/>
      <w:bookmarkStart w:id="217" w:name="_Toc9978"/>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bookmarkEnd w:id="216"/>
      <w:bookmarkEnd w:id="217"/>
    </w:p>
    <w:p w14:paraId="05F15A35">
      <w:pPr>
        <w:widowControl/>
        <w:adjustRightInd w:val="0"/>
        <w:snapToGrid w:val="0"/>
        <w:spacing w:before="0" w:beforeAutospacing="0" w:after="0" w:afterAutospacing="0" w:line="578" w:lineRule="exact"/>
        <w:ind w:left="0" w:right="0" w:firstLine="643" w:firstLineChars="200"/>
        <w:contextualSpacing/>
        <w:jc w:val="left"/>
        <w:rPr>
          <w:rFonts w:ascii="Times New Roman" w:hAnsi="Times New Roman" w:eastAsia="仿宋_GB2312" w:cs="Times New Roman"/>
          <w:kern w:val="2"/>
          <w:sz w:val="32"/>
          <w:szCs w:val="32"/>
          <w:lang w:val="zh-CN"/>
        </w:rPr>
      </w:pPr>
      <w:r>
        <w:rPr>
          <w:rFonts w:hint="eastAsia" w:ascii="楷体_GB2312" w:hAnsi="宋体" w:eastAsia="楷体_GB2312" w:cs="Times New Roman"/>
          <w:b/>
          <w:kern w:val="2"/>
          <w:sz w:val="32"/>
          <w:szCs w:val="32"/>
          <w:lang w:val="zh-CN"/>
        </w:rPr>
        <w:t>（一）设立背景及基本情况。</w:t>
      </w:r>
      <w:r>
        <w:rPr>
          <w:rFonts w:hint="eastAsia" w:ascii="仿宋_GB2312" w:hAnsi="仿宋_GB2312" w:eastAsia="仿宋_GB2312" w:cs="仿宋_GB2312"/>
          <w:color w:val="auto"/>
          <w:kern w:val="2"/>
          <w:sz w:val="32"/>
          <w:szCs w:val="32"/>
          <w:highlight w:val="none"/>
          <w:lang w:val="en-US" w:eastAsia="zh-CN"/>
        </w:rPr>
        <w:t>根据《茂县财政局关于下达2023年统筹整合使用财政涉农资金及财政衔接推进乡村振兴补助资金（第一批）的通知》（茂财农【2023】17号），下达茂县南新镇“李子+苹果”现代农业园区建设项目资金550万元。项目实施</w:t>
      </w:r>
      <w:r>
        <w:rPr>
          <w:rFonts w:hint="eastAsia" w:ascii="仿宋_GB2312" w:hAnsi="仿宋_GB2312" w:eastAsia="仿宋_GB2312" w:cs="仿宋_GB2312"/>
          <w:b w:val="0"/>
          <w:bCs/>
          <w:color w:val="auto"/>
          <w:kern w:val="2"/>
          <w:sz w:val="32"/>
          <w:szCs w:val="32"/>
          <w:lang w:val="en-US" w:eastAsia="zh-CN"/>
        </w:rPr>
        <w:t>建设</w:t>
      </w:r>
      <w:r>
        <w:rPr>
          <w:rFonts w:hint="eastAsia" w:ascii="仿宋_GB2312" w:hAnsi="仿宋_GB2312" w:eastAsia="仿宋_GB2312" w:cs="仿宋_GB2312"/>
          <w:b w:val="0"/>
          <w:bCs/>
          <w:kern w:val="2"/>
          <w:sz w:val="32"/>
          <w:szCs w:val="32"/>
          <w:lang w:val="en-US" w:eastAsia="zh-CN"/>
        </w:rPr>
        <w:t>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安乡村连片提升打造）。</w:t>
      </w:r>
      <w:r>
        <w:rPr>
          <w:rFonts w:hint="eastAsia" w:ascii="仿宋_GB2312" w:hAnsi="Times New Roman" w:eastAsia="仿宋_GB2312" w:cs="Times New Roman"/>
          <w:kern w:val="2"/>
          <w:sz w:val="32"/>
          <w:szCs w:val="32"/>
          <w:lang w:val="zh-CN"/>
        </w:rPr>
        <w:t>主管部门职能：</w:t>
      </w:r>
      <w:r>
        <w:rPr>
          <w:rFonts w:hint="eastAsia" w:ascii="仿宋_GB2312" w:hAnsi="Times New Roman" w:eastAsia="仿宋_GB2312" w:cs="Times New Roman"/>
          <w:kern w:val="2"/>
          <w:sz w:val="32"/>
          <w:szCs w:val="32"/>
          <w:lang w:val="en-US" w:eastAsia="zh-CN"/>
        </w:rPr>
        <w:t>一是</w:t>
      </w:r>
      <w:r>
        <w:rPr>
          <w:rFonts w:hint="eastAsia" w:ascii="仿宋_GB2312" w:hAnsi="仿宋_GB2312" w:eastAsia="仿宋_GB2312" w:cs="仿宋_GB2312"/>
          <w:kern w:val="2"/>
          <w:sz w:val="32"/>
          <w:szCs w:val="32"/>
          <w:lang w:val="en-US" w:eastAsia="zh-CN"/>
        </w:rPr>
        <w:t>计划，为完成项目目标而编制的具有可操作性的运转程序和工作计划；</w:t>
      </w:r>
      <w:r>
        <w:rPr>
          <w:rFonts w:hint="eastAsia" w:ascii="仿宋_GB2312" w:hAnsi="Times New Roman" w:eastAsia="仿宋_GB2312" w:cs="Times New Roman"/>
          <w:kern w:val="2"/>
          <w:sz w:val="32"/>
          <w:szCs w:val="32"/>
          <w:lang w:val="en-US" w:eastAsia="zh-CN"/>
        </w:rPr>
        <w:t>二是</w:t>
      </w:r>
      <w:r>
        <w:rPr>
          <w:rFonts w:hint="eastAsia" w:ascii="仿宋_GB2312" w:hAnsi="仿宋_GB2312" w:eastAsia="仿宋_GB2312" w:cs="仿宋_GB2312"/>
          <w:kern w:val="2"/>
          <w:sz w:val="32"/>
          <w:szCs w:val="32"/>
          <w:lang w:val="en-US" w:eastAsia="zh-CN"/>
        </w:rPr>
        <w:t>组织，针对项目以适用的组合方式，形成项目管理机构或团队，其成员有明确的岗位、职责和权利划分，并按照预定的管理制度、程序和计划在项目的启动、立项、实施过程中进行指导、监督、检查、考核和服务等活动；</w:t>
      </w:r>
      <w:r>
        <w:rPr>
          <w:rFonts w:hint="eastAsia" w:ascii="仿宋_GB2312" w:hAnsi="Times New Roman" w:eastAsia="仿宋_GB2312" w:cs="Times New Roman"/>
          <w:kern w:val="2"/>
          <w:sz w:val="32"/>
          <w:szCs w:val="32"/>
          <w:lang w:val="en-US" w:eastAsia="zh-CN"/>
        </w:rPr>
        <w:t>三是协调，</w:t>
      </w:r>
      <w:r>
        <w:rPr>
          <w:rFonts w:hint="eastAsia" w:ascii="仿宋_GB2312" w:hAnsi="仿宋_GB2312" w:eastAsia="仿宋_GB2312" w:cs="仿宋_GB2312"/>
          <w:kern w:val="2"/>
          <w:sz w:val="32"/>
          <w:szCs w:val="32"/>
          <w:lang w:val="en-US" w:eastAsia="zh-CN"/>
        </w:rPr>
        <w:t>通过相互沟通、调整、联合等方法，使项目涉及的各方配合得当、协同一致，以便顺利地实现项目目标；</w:t>
      </w:r>
      <w:r>
        <w:rPr>
          <w:rFonts w:hint="eastAsia" w:ascii="仿宋_GB2312" w:hAnsi="Times New Roman" w:eastAsia="仿宋_GB2312" w:cs="Times New Roman"/>
          <w:kern w:val="2"/>
          <w:sz w:val="32"/>
          <w:szCs w:val="32"/>
          <w:lang w:val="en-US" w:eastAsia="zh-CN"/>
        </w:rPr>
        <w:t>四是控</w:t>
      </w:r>
      <w:r>
        <w:rPr>
          <w:rFonts w:hint="eastAsia" w:ascii="仿宋_GB2312" w:hAnsi="仿宋_GB2312" w:eastAsia="仿宋_GB2312" w:cs="仿宋_GB2312"/>
          <w:kern w:val="2"/>
          <w:sz w:val="32"/>
          <w:szCs w:val="32"/>
          <w:lang w:val="en-US" w:eastAsia="zh-CN"/>
        </w:rPr>
        <w:t>制，管理人员按照计划指标来衡量实际执行中所取得的进展和成果，采取相应措施纠正所发生的偏差，使项目预定目标得以实现;</w:t>
      </w:r>
      <w:r>
        <w:rPr>
          <w:rFonts w:hint="eastAsia" w:ascii="仿宋_GB2312" w:hAnsi="Times New Roman" w:eastAsia="仿宋_GB2312" w:cs="Times New Roman"/>
          <w:kern w:val="2"/>
          <w:sz w:val="32"/>
          <w:szCs w:val="32"/>
          <w:lang w:val="en-US" w:eastAsia="zh-CN"/>
        </w:rPr>
        <w:t>五是评价</w:t>
      </w:r>
      <w:r>
        <w:rPr>
          <w:rFonts w:hint="eastAsia" w:ascii="仿宋_GB2312" w:hAnsi="仿宋_GB2312" w:eastAsia="仿宋_GB2312" w:cs="仿宋_GB2312"/>
          <w:kern w:val="2"/>
          <w:sz w:val="32"/>
          <w:szCs w:val="32"/>
          <w:lang w:val="en-US" w:eastAsia="zh-CN"/>
        </w:rPr>
        <w:t>，对项目相关的计划、活动及成果所进行的阶段性的或建成后的分析、论证和评判。评估其合法性、合理性和科学性，总结经验教训，提出改进意见，以提高项目的监管水平，完善实施中的项目，为新建项目提供借鉴。</w:t>
      </w:r>
    </w:p>
    <w:p w14:paraId="19DCE4FC">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76" w:lineRule="exact"/>
        <w:ind w:left="0" w:right="0" w:firstLine="643" w:firstLineChars="200"/>
        <w:jc w:val="both"/>
        <w:textAlignment w:val="auto"/>
        <w:rPr>
          <w:rFonts w:ascii="楷体_GB2312" w:hAnsi="宋体" w:eastAsia="楷体_GB2312" w:cs="Times New Roman"/>
          <w:b/>
          <w:kern w:val="2"/>
          <w:sz w:val="32"/>
          <w:szCs w:val="32"/>
          <w:lang w:val="zh-CN"/>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实施目的及支持方向</w:t>
      </w:r>
      <w:r>
        <w:rPr>
          <w:rFonts w:hint="eastAsia" w:ascii="楷体_GB2312" w:hAnsi="宋体" w:eastAsia="楷体_GB2312" w:cs="Times New Roman"/>
          <w:b/>
          <w:kern w:val="2"/>
          <w:sz w:val="32"/>
          <w:szCs w:val="32"/>
        </w:rPr>
        <w:t>。</w:t>
      </w:r>
      <w:r>
        <w:rPr>
          <w:rFonts w:hint="eastAsia" w:ascii="仿宋_GB2312" w:hAnsi="仿宋_GB2312" w:eastAsia="仿宋_GB2312" w:cs="仿宋_GB2312"/>
          <w:kern w:val="2"/>
          <w:sz w:val="32"/>
          <w:szCs w:val="32"/>
          <w:lang w:val="en-US" w:eastAsia="zh-CN"/>
        </w:rPr>
        <w:t>严格按照《四川省财政厅 四川省农业农村厅 四川省乡村振兴共同财政事权转移支付资金管理办法的通知》（川财农﹝2022﹞16号）进行项目设计和资金支付。</w:t>
      </w:r>
      <w:r>
        <w:rPr>
          <w:rFonts w:hint="eastAsia" w:ascii="仿宋_GB2312" w:hAnsi="仿宋_GB2312" w:eastAsia="仿宋_GB2312" w:cs="仿宋_GB2312"/>
          <w:color w:val="auto"/>
          <w:kern w:val="0"/>
          <w:sz w:val="32"/>
          <w:szCs w:val="32"/>
          <w:shd w:val="clear" w:color="auto" w:fill="FFFFFF"/>
          <w:lang w:val="zh-CN"/>
        </w:rPr>
        <w:t>项目实施目的是推进项目区域内产业发展、加强综合防灾减能力、提高农作物产量和促进农民增收，项目支持方向为农业产业发展。</w:t>
      </w:r>
    </w:p>
    <w:p w14:paraId="4041259C">
      <w:pPr>
        <w:widowControl/>
        <w:numPr>
          <w:ilvl w:val="0"/>
          <w:numId w:val="0"/>
        </w:numPr>
        <w:adjustRightInd w:val="0"/>
        <w:snapToGrid w:val="0"/>
        <w:spacing w:before="0" w:beforeAutospacing="0" w:after="0" w:afterAutospacing="0" w:line="578" w:lineRule="exact"/>
        <w:ind w:left="0" w:right="0"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预算安排及分配管理</w:t>
      </w:r>
      <w:r>
        <w:rPr>
          <w:rFonts w:hint="eastAsia" w:ascii="楷体_GB2312" w:hAnsi="宋体" w:eastAsia="楷体_GB2312" w:cs="Times New Roman"/>
          <w:b/>
          <w:kern w:val="2"/>
          <w:sz w:val="32"/>
          <w:szCs w:val="32"/>
          <w:lang w:val="zh-CN"/>
        </w:rPr>
        <w:t>。</w:t>
      </w:r>
      <w:r>
        <w:rPr>
          <w:rFonts w:hint="eastAsia" w:ascii="仿宋_GB2312" w:hAnsi="仿宋_GB2312" w:eastAsia="仿宋_GB2312" w:cs="仿宋_GB2312"/>
          <w:color w:val="auto"/>
          <w:kern w:val="2"/>
          <w:sz w:val="32"/>
          <w:szCs w:val="32"/>
          <w:highlight w:val="none"/>
          <w:lang w:val="en-US" w:eastAsia="zh-CN"/>
        </w:rPr>
        <w:t>根据四川省财政厅、四川省农业农村厅联合下发文件《四川省财政厅、四川省农业农村厅关于下达2022年省级财政乡村振兴共同财政事权转移支付资金的通知》（川财农﹝2022﹞34号）文件，下达茂县南新镇“李子+苹果”现代农业园区建设项目资金550万元。主要用于</w:t>
      </w:r>
      <w:r>
        <w:rPr>
          <w:rFonts w:hint="eastAsia" w:ascii="仿宋_GB2312" w:hAnsi="仿宋_GB2312" w:eastAsia="仿宋_GB2312" w:cs="仿宋_GB2312"/>
          <w:b w:val="0"/>
          <w:bCs/>
          <w:kern w:val="2"/>
          <w:sz w:val="32"/>
          <w:szCs w:val="32"/>
          <w:lang w:val="en-US" w:eastAsia="zh-CN"/>
        </w:rPr>
        <w:t>建设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安乡村连片提升打造）。</w:t>
      </w:r>
    </w:p>
    <w:p w14:paraId="24BF109C">
      <w:pPr>
        <w:widowControl w:val="0"/>
        <w:numPr>
          <w:ilvl w:val="0"/>
          <w:numId w:val="0"/>
        </w:numPr>
        <w:adjustRightInd w:val="0"/>
        <w:snapToGrid w:val="0"/>
        <w:spacing w:before="0" w:beforeAutospacing="0" w:after="0" w:afterAutospacing="0" w:line="578" w:lineRule="exact"/>
        <w:ind w:left="0" w:right="0" w:firstLine="643" w:firstLineChars="200"/>
        <w:jc w:val="both"/>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）项目绩效目标设置。</w:t>
      </w:r>
      <w:r>
        <w:rPr>
          <w:rFonts w:hint="eastAsia" w:ascii="仿宋_GB2312" w:hAnsi="仿宋_GB2312" w:eastAsia="仿宋_GB2312" w:cs="仿宋_GB2312"/>
          <w:kern w:val="0"/>
          <w:sz w:val="32"/>
          <w:szCs w:val="32"/>
          <w:shd w:val="clear" w:color="auto" w:fill="FFFFFF"/>
          <w:lang w:val="zh-CN"/>
        </w:rPr>
        <w:t>项目明确了建设内容为</w:t>
      </w:r>
      <w:r>
        <w:rPr>
          <w:rFonts w:hint="eastAsia" w:ascii="仿宋_GB2312" w:hAnsi="仿宋_GB2312" w:eastAsia="仿宋_GB2312" w:cs="仿宋_GB2312"/>
          <w:b w:val="0"/>
          <w:bCs/>
          <w:kern w:val="2"/>
          <w:sz w:val="32"/>
          <w:szCs w:val="32"/>
          <w:lang w:val="en-US" w:eastAsia="zh-CN"/>
        </w:rPr>
        <w:t>建设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安乡村连片提升打造）。</w:t>
      </w:r>
      <w:r>
        <w:rPr>
          <w:rFonts w:hint="eastAsia" w:ascii="仿宋_GB2312" w:hAnsi="仿宋_GB2312" w:eastAsia="仿宋_GB2312" w:cs="仿宋_GB2312"/>
          <w:kern w:val="2"/>
          <w:sz w:val="32"/>
          <w:szCs w:val="32"/>
          <w:lang w:val="en-US" w:eastAsia="zh-CN"/>
        </w:rPr>
        <w:t>明确了目标任务，项目通过村、镇进行初验自评后，由</w:t>
      </w:r>
      <w:r>
        <w:rPr>
          <w:rFonts w:hint="eastAsia" w:ascii="仿宋_GB2312" w:hAnsi="仿宋_GB2312" w:eastAsia="仿宋_GB2312" w:cs="仿宋_GB2312"/>
          <w:b w:val="0"/>
          <w:bCs w:val="0"/>
          <w:kern w:val="2"/>
          <w:sz w:val="32"/>
          <w:szCs w:val="32"/>
          <w:lang w:val="en-US" w:eastAsia="zh-CN"/>
        </w:rPr>
        <w:t>茂县科学技术和农业畜牧局</w:t>
      </w:r>
      <w:r>
        <w:rPr>
          <w:rFonts w:hint="eastAsia" w:ascii="仿宋_GB2312" w:hAnsi="仿宋_GB2312" w:eastAsia="仿宋_GB2312" w:cs="仿宋_GB2312"/>
          <w:kern w:val="2"/>
          <w:sz w:val="32"/>
          <w:szCs w:val="32"/>
          <w:lang w:val="en-US" w:eastAsia="zh-CN"/>
        </w:rPr>
        <w:t>进行验收自评。</w:t>
      </w:r>
    </w:p>
    <w:p w14:paraId="3B998CBC">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rPr>
      </w:pPr>
      <w:bookmarkStart w:id="218" w:name="_Toc7265"/>
      <w:r>
        <w:rPr>
          <w:rFonts w:hint="eastAsia" w:ascii="黑体" w:hAnsi="宋体" w:eastAsia="黑体" w:cs="Times New Roman"/>
          <w:kern w:val="2"/>
          <w:sz w:val="32"/>
          <w:szCs w:val="32"/>
        </w:rPr>
        <w:t>二、评价实施</w:t>
      </w:r>
      <w:bookmarkEnd w:id="218"/>
    </w:p>
    <w:p w14:paraId="7744B02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right="0" w:firstLine="643" w:firstLineChars="200"/>
        <w:jc w:val="both"/>
        <w:textAlignment w:val="auto"/>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（一）评价目的。</w:t>
      </w:r>
      <w:r>
        <w:rPr>
          <w:rFonts w:hint="eastAsia" w:ascii="仿宋_GB2312" w:hAnsi="仿宋_GB2312" w:eastAsia="仿宋_GB2312" w:cs="仿宋_GB2312"/>
          <w:kern w:val="2"/>
          <w:sz w:val="32"/>
          <w:szCs w:val="32"/>
          <w:lang w:val="zh-CN" w:eastAsia="zh-CN"/>
        </w:rPr>
        <w:t>通过项目的绩效自评能让项目承担单位及时掌握项目建设的目标任务是否完成，项目资金的使用情况是否合理，为下一步项目的顺利实施奠定基础。</w:t>
      </w:r>
    </w:p>
    <w:p w14:paraId="660267B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）预设问题及评价重点。</w:t>
      </w:r>
      <w:r>
        <w:rPr>
          <w:rFonts w:hint="eastAsia" w:ascii="仿宋_GB2312" w:hAnsi="仿宋_GB2312" w:eastAsia="仿宋_GB2312" w:cs="仿宋_GB2312"/>
          <w:kern w:val="2"/>
          <w:sz w:val="32"/>
          <w:szCs w:val="32"/>
          <w:lang w:val="en-US" w:eastAsia="zh-CN"/>
        </w:rPr>
        <w:t>南新镇李子+苹果现代农业园区建设项目专项资金共计550万元，财政资金已经全部到位，</w:t>
      </w:r>
      <w:r>
        <w:rPr>
          <w:rFonts w:hint="eastAsia" w:ascii="仿宋_GB2312" w:hAnsi="仿宋_GB2312" w:eastAsia="仿宋_GB2312" w:cs="仿宋_GB2312"/>
          <w:b w:val="0"/>
          <w:bCs w:val="0"/>
          <w:color w:val="auto"/>
          <w:kern w:val="2"/>
          <w:sz w:val="32"/>
          <w:szCs w:val="32"/>
          <w:lang w:val="en-US" w:eastAsia="zh-CN" w:bidi="ar-SA"/>
        </w:rPr>
        <w:t>支付项目资金</w:t>
      </w:r>
      <w:r>
        <w:rPr>
          <w:rFonts w:hint="eastAsia" w:ascii="仿宋_GB2312" w:hAnsi="仿宋_GB2312" w:eastAsia="仿宋_GB2312" w:cs="仿宋_GB2312"/>
          <w:kern w:val="2"/>
          <w:sz w:val="32"/>
          <w:szCs w:val="32"/>
          <w:lang w:val="en-US" w:eastAsia="zh-CN"/>
        </w:rPr>
        <w:t>549.91万元，剩余资金0.09万元，已经退回财政。资金支出时，由村、镇进行资料收集整理报茂县科学技术和农业畜牧局种子站进审核，并报财务室审核，经单位分管领导和主要领导签字后予以支付，项目资金支付符合资金管理办法相关要求。</w:t>
      </w:r>
    </w:p>
    <w:p w14:paraId="414F3816">
      <w:pPr>
        <w:widowControl w:val="0"/>
        <w:numPr>
          <w:ilvl w:val="0"/>
          <w:numId w:val="0"/>
        </w:numPr>
        <w:adjustRightInd w:val="0"/>
        <w:snapToGrid w:val="0"/>
        <w:spacing w:before="0" w:beforeAutospacing="0" w:after="0" w:afterAutospacing="0" w:line="578" w:lineRule="exact"/>
        <w:ind w:left="0" w:right="0" w:firstLine="643" w:firstLineChars="200"/>
        <w:jc w:val="both"/>
        <w:rPr>
          <w:rFonts w:ascii="Times New Roman" w:hAnsi="Times New Roman" w:eastAsia="仿宋_GB2312" w:cs="Times New Roman"/>
          <w:kern w:val="2"/>
          <w:sz w:val="32"/>
          <w:szCs w:val="32"/>
          <w:lang w:val="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val="zh-CN"/>
        </w:rPr>
        <w:t>）评价选点。</w:t>
      </w:r>
      <w:r>
        <w:rPr>
          <w:rFonts w:hint="eastAsia" w:ascii="Times New Roman" w:hAnsi="Times New Roman" w:eastAsia="仿宋_GB2312" w:cs="Times New Roman"/>
          <w:kern w:val="2"/>
          <w:sz w:val="32"/>
          <w:szCs w:val="32"/>
          <w:lang w:val="zh-CN"/>
        </w:rPr>
        <w:t>项目验收时分别核查了</w:t>
      </w:r>
      <w:r>
        <w:rPr>
          <w:rFonts w:hint="eastAsia" w:ascii="仿宋_GB2312" w:hAnsi="仿宋_GB2312" w:eastAsia="仿宋_GB2312" w:cs="仿宋_GB2312"/>
          <w:b w:val="0"/>
          <w:bCs/>
          <w:kern w:val="2"/>
          <w:sz w:val="32"/>
          <w:szCs w:val="32"/>
          <w:lang w:val="en-US" w:eastAsia="zh-CN"/>
        </w:rPr>
        <w:t>七星村果蔬冷链库基地建设、星村特色水果采摘基地建设、牟托村特色水果采摘园提升建设情况等。</w:t>
      </w:r>
    </w:p>
    <w:p w14:paraId="11AEA1DB">
      <w:pPr>
        <w:widowControl w:val="0"/>
        <w:numPr>
          <w:ilvl w:val="0"/>
          <w:numId w:val="0"/>
        </w:numPr>
        <w:spacing w:before="0" w:beforeAutospacing="0" w:after="0" w:afterAutospacing="0" w:line="578" w:lineRule="exact"/>
        <w:ind w:left="0" w:right="0" w:firstLine="643" w:firstLineChars="200"/>
        <w:jc w:val="both"/>
        <w:rPr>
          <w:rFonts w:hint="eastAsia" w:ascii="仿宋_GB2312" w:hAnsi="仿宋_GB2312" w:eastAsia="仿宋_GB2312" w:cs="仿宋_GB2312"/>
          <w:kern w:val="2"/>
          <w:sz w:val="32"/>
          <w:szCs w:val="32"/>
          <w:lang w:val="en-US" w:eastAsia="zh-CN"/>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）评价方法。</w:t>
      </w:r>
      <w:r>
        <w:rPr>
          <w:rFonts w:hint="eastAsia" w:ascii="仿宋_GB2312" w:hAnsi="仿宋_GB2312" w:eastAsia="仿宋_GB2312" w:cs="仿宋_GB2312"/>
          <w:kern w:val="2"/>
          <w:sz w:val="32"/>
          <w:szCs w:val="32"/>
          <w:lang w:val="zh-CN" w:eastAsia="zh-CN"/>
        </w:rPr>
        <w:t>项目由村、镇</w:t>
      </w:r>
      <w:r>
        <w:rPr>
          <w:rFonts w:hint="eastAsia" w:ascii="仿宋_GB2312" w:hAnsi="仿宋_GB2312" w:eastAsia="仿宋_GB2312" w:cs="仿宋_GB2312"/>
          <w:kern w:val="2"/>
          <w:sz w:val="32"/>
          <w:szCs w:val="32"/>
          <w:lang w:val="en-US" w:eastAsia="zh-CN"/>
        </w:rPr>
        <w:t>对照要求进行自查，分别提供相关资料、数据、情况，由茂县科学技术和农业畜牧局组织验收并出具报告，并采取实地勘察法进行验收。</w:t>
      </w:r>
    </w:p>
    <w:p w14:paraId="677A5960">
      <w:pPr>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right="0" w:firstLine="643" w:firstLineChars="200"/>
        <w:jc w:val="both"/>
        <w:textAlignment w:val="auto"/>
        <w:outlineLvl w:val="9"/>
        <w:rPr>
          <w:rFonts w:ascii="Times New Roman" w:hAnsi="Times New Roman" w:eastAsia="仿宋_GB2312" w:cs="Times New Roman"/>
          <w:bCs/>
          <w:kern w:val="2"/>
          <w:sz w:val="32"/>
          <w:szCs w:val="32"/>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五</w:t>
      </w:r>
      <w:r>
        <w:rPr>
          <w:rFonts w:hint="eastAsia" w:ascii="楷体_GB2312" w:hAnsi="宋体" w:eastAsia="楷体_GB2312" w:cs="Times New Roman"/>
          <w:b/>
          <w:kern w:val="2"/>
          <w:sz w:val="32"/>
          <w:szCs w:val="32"/>
          <w:lang w:val="zh-CN"/>
        </w:rPr>
        <w:t>）评价组织。</w:t>
      </w:r>
      <w:r>
        <w:rPr>
          <w:rFonts w:hint="eastAsia" w:ascii="Times New Roman" w:hAnsi="Times New Roman" w:eastAsia="仿宋_GB2312" w:cs="Times New Roman"/>
          <w:kern w:val="2"/>
          <w:sz w:val="32"/>
          <w:szCs w:val="32"/>
          <w:lang w:val="zh-CN" w:eastAsia="zh-CN"/>
        </w:rPr>
        <w:t>项目由</w:t>
      </w:r>
      <w:r>
        <w:rPr>
          <w:rFonts w:hint="eastAsia" w:ascii="仿宋_GB2312" w:hAnsi="仿宋_GB2312" w:eastAsia="仿宋_GB2312" w:cs="仿宋_GB2312"/>
          <w:kern w:val="2"/>
          <w:sz w:val="32"/>
          <w:szCs w:val="32"/>
          <w:lang w:val="en-US" w:eastAsia="zh-CN"/>
        </w:rPr>
        <w:t>茂县科学技术和农业畜牧局</w:t>
      </w:r>
      <w:r>
        <w:rPr>
          <w:rFonts w:hint="eastAsia" w:ascii="Times New Roman" w:hAnsi="Times New Roman" w:eastAsia="仿宋_GB2312" w:cs="Times New Roman"/>
          <w:kern w:val="2"/>
          <w:sz w:val="32"/>
          <w:szCs w:val="32"/>
          <w:lang w:val="zh-CN" w:eastAsia="zh-CN"/>
        </w:rPr>
        <w:t>分管领导、种子管理站和镇村负责同志组成项目评价工作组，对项目总体情况、项目资金支出、项目目标绩效等进行评价，项目镇村负责协调相关事宜。</w:t>
      </w:r>
    </w:p>
    <w:p w14:paraId="48BA8DE5">
      <w:pPr>
        <w:widowControl w:val="0"/>
        <w:adjustRightInd w:val="0"/>
        <w:snapToGrid w:val="0"/>
        <w:spacing w:before="0" w:beforeAutospacing="0" w:after="0" w:afterAutospacing="0" w:line="578" w:lineRule="exact"/>
        <w:ind w:left="0" w:right="0" w:firstLine="640" w:firstLineChars="200"/>
        <w:jc w:val="both"/>
        <w:outlineLvl w:val="1"/>
        <w:rPr>
          <w:rFonts w:ascii="仿宋_GB2312" w:hAnsi="宋体" w:eastAsia="仿宋_GB2312" w:cs="Times New Roman"/>
          <w:kern w:val="2"/>
          <w:sz w:val="32"/>
          <w:szCs w:val="32"/>
          <w:lang w:val="zh-CN"/>
        </w:rPr>
      </w:pPr>
      <w:bookmarkStart w:id="219" w:name="_Toc5176"/>
      <w:r>
        <w:rPr>
          <w:rFonts w:hint="eastAsia" w:ascii="黑体" w:hAnsi="宋体" w:eastAsia="黑体" w:cs="Times New Roman"/>
          <w:kern w:val="2"/>
          <w:sz w:val="32"/>
          <w:szCs w:val="32"/>
        </w:rPr>
        <w:t>三、绩效分析</w:t>
      </w:r>
      <w:bookmarkEnd w:id="219"/>
      <w:r>
        <w:rPr>
          <w:rFonts w:hint="eastAsia" w:ascii="仿宋_GB2312" w:hAnsi="宋体" w:eastAsia="仿宋_GB2312" w:cs="Times New Roman"/>
          <w:kern w:val="2"/>
          <w:sz w:val="32"/>
          <w:szCs w:val="32"/>
          <w:lang w:val="zh-CN"/>
        </w:rPr>
        <w:tab/>
      </w:r>
    </w:p>
    <w:p w14:paraId="3FF063AE">
      <w:pPr>
        <w:widowControl w:val="0"/>
        <w:spacing w:before="0" w:beforeAutospacing="0" w:after="0" w:afterAutospacing="0" w:line="578" w:lineRule="exact"/>
        <w:ind w:left="0" w:right="0" w:firstLine="640"/>
        <w:jc w:val="both"/>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14:paraId="4D8A8EE3">
      <w:pPr>
        <w:widowControl w:val="0"/>
        <w:spacing w:before="0" w:beforeAutospacing="0" w:after="0" w:afterAutospacing="0" w:line="578" w:lineRule="exact"/>
        <w:ind w:left="0" w:right="0" w:firstLine="640"/>
        <w:jc w:val="both"/>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rPr>
        <w:t>1.项目决策。</w:t>
      </w:r>
      <w:r>
        <w:rPr>
          <w:rFonts w:hint="eastAsia" w:ascii="Times New Roman" w:hAnsi="Times New Roman" w:eastAsia="仿宋_GB2312" w:cs="Times New Roman"/>
          <w:kern w:val="2"/>
          <w:sz w:val="32"/>
          <w:szCs w:val="32"/>
        </w:rPr>
        <w:t>程序严密</w:t>
      </w:r>
      <w:r>
        <w:rPr>
          <w:rFonts w:hint="eastAsia" w:ascii="Times New Roman" w:hAnsi="Times New Roman" w:eastAsia="仿宋_GB2312" w:cs="Times New Roman"/>
          <w:kern w:val="2"/>
          <w:sz w:val="32"/>
          <w:szCs w:val="32"/>
          <w:lang w:val="en-US" w:eastAsia="zh-CN"/>
        </w:rPr>
        <w:t>,项目规划论证符合中省要求，项目资金与项目总体规划、相关行业事业发展相匹配，聚焦重大任务、重点领域、重点环节和重点项目。</w:t>
      </w:r>
    </w:p>
    <w:p w14:paraId="25C43C35">
      <w:pPr>
        <w:widowControl w:val="0"/>
        <w:spacing w:before="0" w:beforeAutospacing="0" w:after="0" w:afterAutospacing="0" w:line="578" w:lineRule="exact"/>
        <w:ind w:left="0" w:right="0" w:firstLine="64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kern w:val="2"/>
          <w:sz w:val="32"/>
          <w:szCs w:val="32"/>
        </w:rPr>
        <w:t>2.项目管理。</w:t>
      </w:r>
      <w:r>
        <w:rPr>
          <w:rFonts w:hint="eastAsia" w:ascii="Times New Roman" w:hAnsi="Times New Roman" w:eastAsia="仿宋_GB2312" w:cs="Times New Roman"/>
          <w:kern w:val="2"/>
          <w:sz w:val="32"/>
          <w:szCs w:val="32"/>
        </w:rPr>
        <w:t>项目制度办法体系健全、要素完备</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项目资金分配因素选取、权重设置、区域分布，项目管理、审批符合管理要求</w:t>
      </w:r>
      <w:r>
        <w:rPr>
          <w:rFonts w:hint="eastAsia" w:ascii="Times New Roman" w:hAnsi="Times New Roman" w:eastAsia="仿宋_GB2312" w:cs="Times New Roman"/>
          <w:kern w:val="2"/>
          <w:sz w:val="32"/>
          <w:szCs w:val="32"/>
          <w:lang w:eastAsia="zh-CN"/>
        </w:rPr>
        <w:t>，管资金、项目、政策管绩效，项目绩效监管按要求开展，对下指导有力有效。</w:t>
      </w:r>
    </w:p>
    <w:p w14:paraId="3097A856">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kern w:val="2"/>
          <w:sz w:val="32"/>
          <w:szCs w:val="32"/>
        </w:rPr>
        <w:t>3.项目实施。</w:t>
      </w:r>
      <w:r>
        <w:rPr>
          <w:rFonts w:hint="eastAsia" w:ascii="Times New Roman" w:hAnsi="Times New Roman" w:eastAsia="仿宋_GB2312" w:cs="Times New Roman"/>
          <w:kern w:val="2"/>
          <w:sz w:val="32"/>
          <w:szCs w:val="32"/>
        </w:rPr>
        <w:t>项目资金财政拨付、单位执行和地方配套到位情况</w:t>
      </w:r>
      <w:r>
        <w:rPr>
          <w:rFonts w:hint="eastAsia" w:ascii="Times New Roman" w:hAnsi="Times New Roman" w:eastAsia="仿宋_GB2312" w:cs="Times New Roman"/>
          <w:kern w:val="2"/>
          <w:sz w:val="32"/>
          <w:szCs w:val="32"/>
          <w:lang w:eastAsia="zh-CN"/>
        </w:rPr>
        <w:t>，资金使用拨付、项目实施符合规定</w:t>
      </w:r>
    </w:p>
    <w:p w14:paraId="5C02245C">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kern w:val="2"/>
          <w:sz w:val="32"/>
          <w:szCs w:val="32"/>
        </w:rPr>
        <w:t>4.项目结果。</w:t>
      </w:r>
      <w:r>
        <w:rPr>
          <w:rFonts w:hint="eastAsia" w:ascii="Times New Roman" w:hAnsi="Times New Roman" w:eastAsia="仿宋_GB2312" w:cs="Times New Roman"/>
          <w:kern w:val="2"/>
          <w:sz w:val="32"/>
          <w:szCs w:val="32"/>
        </w:rPr>
        <w:t>项目完成预期目标，实施结果与绩效目标相匹配</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color w:val="auto"/>
          <w:kern w:val="2"/>
          <w:sz w:val="32"/>
          <w:szCs w:val="32"/>
          <w:lang w:val="en-US" w:eastAsia="zh-CN"/>
        </w:rPr>
        <w:t>项目实际完成时间与计划完成时间一致。</w:t>
      </w:r>
    </w:p>
    <w:p w14:paraId="5440ADB5">
      <w:pPr>
        <w:widowControl w:val="0"/>
        <w:spacing w:before="0" w:beforeAutospacing="0" w:after="0" w:afterAutospacing="0" w:line="578" w:lineRule="exact"/>
        <w:ind w:left="0" w:right="0" w:firstLine="643" w:firstLineChars="200"/>
        <w:jc w:val="both"/>
        <w:rPr>
          <w:rFonts w:ascii="楷体_GB2312" w:hAnsi="楷体_GB2312" w:eastAsia="楷体_GB2312" w:cs="楷体_GB2312"/>
          <w:kern w:val="2"/>
          <w:sz w:val="32"/>
          <w:szCs w:val="32"/>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14:paraId="30D7AFC1">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kern w:val="2"/>
          <w:sz w:val="32"/>
          <w:szCs w:val="32"/>
        </w:rPr>
        <w:t>1.产业发展。</w:t>
      </w:r>
      <w:r>
        <w:rPr>
          <w:rFonts w:hint="eastAsia" w:ascii="Times New Roman" w:hAnsi="Times New Roman" w:eastAsia="仿宋_GB2312" w:cs="Times New Roman"/>
          <w:kern w:val="2"/>
          <w:sz w:val="32"/>
          <w:szCs w:val="32"/>
        </w:rPr>
        <w:t>项目实施与省委省政府支持重点、产业支持政策符合</w:t>
      </w:r>
      <w:r>
        <w:rPr>
          <w:rFonts w:hint="eastAsia" w:ascii="Times New Roman" w:hAnsi="Times New Roman" w:eastAsia="仿宋_GB2312" w:cs="Times New Roman"/>
          <w:kern w:val="2"/>
          <w:sz w:val="32"/>
          <w:szCs w:val="32"/>
          <w:lang w:eastAsia="zh-CN"/>
        </w:rPr>
        <w:t>。项目实施对相关企业（机构）成长性的促进作用，主要反映支持对象创新创造创业能力情况。项目实施对</w:t>
      </w:r>
      <w:r>
        <w:rPr>
          <w:rFonts w:hint="eastAsia" w:ascii="Times New Roman" w:hAnsi="Times New Roman" w:eastAsia="仿宋_GB2312" w:cs="Times New Roman"/>
          <w:kern w:val="2"/>
          <w:sz w:val="32"/>
          <w:szCs w:val="32"/>
          <w:lang w:val="en-US" w:eastAsia="zh-CN"/>
        </w:rPr>
        <w:t>南新镇各村</w:t>
      </w:r>
      <w:r>
        <w:rPr>
          <w:rFonts w:hint="eastAsia" w:ascii="Times New Roman" w:hAnsi="Times New Roman" w:eastAsia="仿宋_GB2312" w:cs="Times New Roman"/>
          <w:kern w:val="2"/>
          <w:sz w:val="32"/>
          <w:szCs w:val="32"/>
          <w:lang w:eastAsia="zh-CN"/>
        </w:rPr>
        <w:t>主</w:t>
      </w:r>
      <w:r>
        <w:rPr>
          <w:rFonts w:hint="eastAsia" w:ascii="Times New Roman" w:hAnsi="Times New Roman" w:eastAsia="仿宋_GB2312" w:cs="Times New Roman"/>
          <w:kern w:val="2"/>
          <w:sz w:val="32"/>
          <w:szCs w:val="32"/>
          <w:lang w:val="en-US" w:eastAsia="zh-CN"/>
        </w:rPr>
        <w:t>要产业</w:t>
      </w:r>
      <w:r>
        <w:rPr>
          <w:rFonts w:hint="eastAsia" w:ascii="Times New Roman" w:hAnsi="Times New Roman" w:eastAsia="仿宋_GB2312" w:cs="Times New Roman"/>
          <w:kern w:val="2"/>
          <w:sz w:val="32"/>
          <w:szCs w:val="32"/>
          <w:lang w:eastAsia="zh-CN"/>
        </w:rPr>
        <w:t>收入、净利润、税收、产量等方面</w:t>
      </w:r>
      <w:r>
        <w:rPr>
          <w:rFonts w:hint="eastAsia" w:ascii="Times New Roman" w:hAnsi="Times New Roman" w:eastAsia="仿宋_GB2312" w:cs="Times New Roman"/>
          <w:kern w:val="2"/>
          <w:sz w:val="32"/>
          <w:szCs w:val="32"/>
          <w:lang w:val="en-US" w:eastAsia="zh-CN"/>
        </w:rPr>
        <w:t>有</w:t>
      </w:r>
      <w:r>
        <w:rPr>
          <w:rFonts w:hint="eastAsia" w:ascii="Times New Roman" w:hAnsi="Times New Roman" w:eastAsia="仿宋_GB2312" w:cs="Times New Roman"/>
          <w:kern w:val="2"/>
          <w:sz w:val="32"/>
          <w:szCs w:val="32"/>
          <w:lang w:eastAsia="zh-CN"/>
        </w:rPr>
        <w:t>增长。</w:t>
      </w:r>
    </w:p>
    <w:p w14:paraId="3B78FE4B">
      <w:pPr>
        <w:widowControl w:val="0"/>
        <w:spacing w:before="0" w:beforeAutospacing="0" w:after="0" w:afterAutospacing="0" w:line="578" w:lineRule="exact"/>
        <w:ind w:left="0" w:right="0" w:firstLine="640" w:firstLineChars="200"/>
        <w:jc w:val="both"/>
        <w:rPr>
          <w:rFonts w:hint="eastAsia" w:ascii="楷体_GB2312" w:hAnsi="楷体_GB2312" w:eastAsia="仿宋_GB2312" w:cs="楷体_GB2312"/>
          <w:kern w:val="2"/>
          <w:sz w:val="32"/>
          <w:szCs w:val="32"/>
          <w:lang w:eastAsia="zh-CN"/>
        </w:rPr>
      </w:pPr>
      <w:r>
        <w:rPr>
          <w:rFonts w:hint="eastAsia" w:ascii="楷体_GB2312" w:hAnsi="楷体_GB2312" w:eastAsia="楷体_GB2312" w:cs="楷体_GB2312"/>
          <w:kern w:val="2"/>
          <w:sz w:val="32"/>
          <w:szCs w:val="32"/>
        </w:rPr>
        <w:t>2.</w:t>
      </w:r>
      <w:r>
        <w:rPr>
          <w:rFonts w:hint="eastAsia" w:ascii="楷体_GB2312" w:hAnsi="楷体_GB2312" w:eastAsia="楷体_GB2312" w:cs="楷体_GB2312"/>
          <w:kern w:val="2"/>
          <w:sz w:val="32"/>
          <w:szCs w:val="32"/>
          <w:lang w:val="zh-CN"/>
        </w:rPr>
        <w:t>民生保障。</w:t>
      </w:r>
      <w:r>
        <w:rPr>
          <w:rFonts w:hint="eastAsia" w:ascii="Times New Roman" w:hAnsi="Times New Roman" w:eastAsia="仿宋_GB2312" w:cs="Times New Roman"/>
          <w:kern w:val="2"/>
          <w:sz w:val="32"/>
          <w:szCs w:val="32"/>
        </w:rPr>
        <w:t>资金分配科学合理、均衡公平。资金实际支持对象符合管理要求，符合支持对象范围</w:t>
      </w:r>
      <w:r>
        <w:rPr>
          <w:rFonts w:hint="eastAsia" w:ascii="Times New Roman" w:hAnsi="Times New Roman" w:eastAsia="仿宋_GB2312" w:cs="Times New Roman"/>
          <w:kern w:val="2"/>
          <w:sz w:val="32"/>
          <w:szCs w:val="32"/>
          <w:lang w:eastAsia="zh-CN"/>
        </w:rPr>
        <w:t>。资金实际补贴标准符合资金管理办法规定的补助标准，及时按标准兑现。项目相关方在项目实施过程中的人民群众满意值和获得感高。</w:t>
      </w:r>
    </w:p>
    <w:p w14:paraId="36F0AC36">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eastAsia="zh-CN"/>
        </w:rPr>
      </w:pPr>
      <w:r>
        <w:rPr>
          <w:rFonts w:hint="eastAsia" w:ascii="楷体_GB2312" w:hAnsi="楷体_GB2312" w:eastAsia="楷体_GB2312" w:cs="楷体_GB2312"/>
          <w:kern w:val="2"/>
          <w:sz w:val="32"/>
          <w:szCs w:val="32"/>
        </w:rPr>
        <w:t>3.基础设施。</w:t>
      </w:r>
      <w:r>
        <w:rPr>
          <w:rFonts w:hint="eastAsia" w:ascii="Times New Roman" w:hAnsi="Times New Roman" w:eastAsia="仿宋_GB2312" w:cs="Times New Roman"/>
          <w:kern w:val="2"/>
          <w:sz w:val="32"/>
          <w:szCs w:val="32"/>
        </w:rPr>
        <w:t>项目达到计划工程进度</w:t>
      </w:r>
      <w:r>
        <w:rPr>
          <w:rFonts w:hint="eastAsia" w:ascii="Times New Roman" w:hAnsi="Times New Roman" w:eastAsia="仿宋_GB2312" w:cs="Times New Roman"/>
          <w:kern w:val="2"/>
          <w:sz w:val="32"/>
          <w:szCs w:val="32"/>
          <w:lang w:eastAsia="zh-CN"/>
        </w:rPr>
        <w:t>，项目达到预先确定的资金拨付进度，项目验收及时合格，项目实现了经济社会功能。项目建立后续管理维护制度机制，实现有效维护。</w:t>
      </w:r>
    </w:p>
    <w:p w14:paraId="089F0D2B">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kern w:val="2"/>
          <w:sz w:val="32"/>
          <w:szCs w:val="32"/>
          <w:lang w:val="zh-CN"/>
        </w:rPr>
      </w:pPr>
      <w:r>
        <w:rPr>
          <w:rFonts w:hint="eastAsia" w:ascii="楷体_GB2312" w:hAnsi="楷体_GB2312" w:eastAsia="楷体_GB2312" w:cs="楷体_GB2312"/>
          <w:kern w:val="2"/>
          <w:sz w:val="32"/>
          <w:szCs w:val="32"/>
        </w:rPr>
        <w:t>4.</w:t>
      </w:r>
      <w:r>
        <w:rPr>
          <w:rFonts w:hint="eastAsia" w:ascii="楷体_GB2312" w:hAnsi="楷体_GB2312" w:eastAsia="楷体_GB2312" w:cs="楷体_GB2312"/>
          <w:kern w:val="2"/>
          <w:sz w:val="32"/>
          <w:szCs w:val="32"/>
          <w:lang w:val="zh-CN"/>
        </w:rPr>
        <w:t>行政运转。</w:t>
      </w:r>
      <w:r>
        <w:rPr>
          <w:rFonts w:hint="eastAsia" w:ascii="Times New Roman" w:hAnsi="Times New Roman" w:eastAsia="仿宋_GB2312" w:cs="Times New Roman"/>
          <w:kern w:val="2"/>
          <w:sz w:val="32"/>
          <w:szCs w:val="32"/>
          <w:lang w:val="zh-CN"/>
        </w:rPr>
        <w:t>按规定用途、适用范围进行本地区专项资金分配。资金管理程序、分配标准符合专项资金管理要求。</w:t>
      </w:r>
    </w:p>
    <w:p w14:paraId="00B8424A">
      <w:pPr>
        <w:widowControl w:val="0"/>
        <w:spacing w:before="0" w:beforeAutospacing="0" w:after="0" w:afterAutospacing="0" w:line="578" w:lineRule="exact"/>
        <w:ind w:left="0" w:right="0" w:firstLine="640"/>
        <w:jc w:val="both"/>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（三）</w:t>
      </w:r>
      <w:r>
        <w:rPr>
          <w:rFonts w:hint="eastAsia" w:ascii="楷体_GB2312" w:hAnsi="宋体" w:eastAsia="楷体_GB2312" w:cs="Times New Roman"/>
          <w:b/>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hAnsi="仿宋_GB2312" w:eastAsia="仿宋_GB2312" w:cs="仿宋_GB2312"/>
          <w:kern w:val="2"/>
          <w:sz w:val="32"/>
          <w:szCs w:val="32"/>
          <w:lang w:val="en-US" w:eastAsia="zh-CN"/>
        </w:rPr>
        <w:t>项目以南新镇为项目实施主体，共计完成了</w:t>
      </w:r>
      <w:r>
        <w:rPr>
          <w:rFonts w:hint="eastAsia" w:ascii="仿宋_GB2312" w:hAnsi="仿宋_GB2312" w:eastAsia="仿宋_GB2312" w:cs="仿宋_GB2312"/>
          <w:b w:val="0"/>
          <w:bCs/>
          <w:kern w:val="2"/>
          <w:sz w:val="32"/>
          <w:szCs w:val="32"/>
          <w:lang w:val="en-US" w:eastAsia="zh-CN"/>
        </w:rPr>
        <w:t>建设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安乡村连片提升打造）。</w:t>
      </w:r>
      <w:r>
        <w:rPr>
          <w:rFonts w:hint="eastAsia" w:ascii="仿宋_GB2312" w:hAnsi="仿宋_GB2312" w:eastAsia="仿宋_GB2312" w:cs="仿宋_GB2312"/>
          <w:kern w:val="2"/>
          <w:sz w:val="32"/>
          <w:szCs w:val="32"/>
          <w:lang w:val="en-US" w:eastAsia="zh-CN"/>
        </w:rPr>
        <w:t>为茂县李子+苹果现代农业园区的发展打下坚实的基础，各项指标均完成。</w:t>
      </w:r>
    </w:p>
    <w:p w14:paraId="4E99FFBA">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220" w:name="_Toc5571"/>
      <w:r>
        <w:rPr>
          <w:rFonts w:hint="eastAsia" w:ascii="黑体" w:hAnsi="宋体" w:eastAsia="黑体" w:cs="Times New Roman"/>
          <w:kern w:val="0"/>
          <w:position w:val="3"/>
          <w:sz w:val="32"/>
          <w:szCs w:val="32"/>
          <w:lang w:val="en-US" w:eastAsia="zh-CN" w:bidi="ar-SA"/>
        </w:rPr>
        <w:t>四、评价结论</w:t>
      </w:r>
      <w:bookmarkEnd w:id="220"/>
    </w:p>
    <w:p w14:paraId="1C3A25C1">
      <w:pPr>
        <w:widowControl/>
        <w:tabs>
          <w:tab w:val="left" w:pos="2160"/>
        </w:tabs>
        <w:spacing w:before="0" w:beforeAutospacing="0" w:after="0" w:afterAutospacing="0" w:line="600" w:lineRule="exact"/>
        <w:ind w:left="0" w:right="0" w:firstLine="640" w:firstLineChars="200"/>
        <w:jc w:val="left"/>
        <w:rPr>
          <w:rFonts w:hint="eastAsia" w:ascii="仿宋_GB2312" w:hAnsi="仿宋_GB2312" w:eastAsia="仿宋_GB2312" w:cs="仿宋_GB2312"/>
          <w:b w:val="0"/>
          <w:bCs/>
          <w:kern w:val="0"/>
          <w:position w:val="3"/>
          <w:sz w:val="32"/>
          <w:szCs w:val="32"/>
          <w:lang w:val="en-US" w:eastAsia="zh-CN" w:bidi="ar-SA"/>
        </w:rPr>
      </w:pPr>
      <w:r>
        <w:rPr>
          <w:rFonts w:hint="eastAsia" w:ascii="仿宋_GB2312" w:hAnsi="仿宋_GB2312" w:eastAsia="仿宋_GB2312" w:cs="仿宋_GB2312"/>
          <w:b w:val="0"/>
          <w:bCs w:val="0"/>
          <w:color w:val="auto"/>
          <w:kern w:val="2"/>
          <w:position w:val="3"/>
          <w:sz w:val="32"/>
          <w:szCs w:val="32"/>
          <w:lang w:val="en-US" w:eastAsia="zh-CN" w:bidi="ar-SA"/>
        </w:rPr>
        <w:t>南新镇李子+苹果现代农业园区项目</w:t>
      </w:r>
      <w:r>
        <w:rPr>
          <w:rFonts w:hint="eastAsia" w:ascii="仿宋_GB2312" w:hAnsi="仿宋_GB2312" w:eastAsia="仿宋_GB2312" w:cs="仿宋_GB2312"/>
          <w:kern w:val="0"/>
          <w:position w:val="3"/>
          <w:sz w:val="32"/>
          <w:szCs w:val="32"/>
          <w:lang w:val="en-US" w:eastAsia="zh-CN" w:bidi="ar-SA"/>
        </w:rPr>
        <w:t>资金共计550万元，财政资金已经全部到位，</w:t>
      </w:r>
      <w:r>
        <w:rPr>
          <w:rFonts w:hint="eastAsia" w:ascii="仿宋_GB2312" w:hAnsi="仿宋_GB2312" w:eastAsia="仿宋_GB2312" w:cs="仿宋_GB2312"/>
          <w:b w:val="0"/>
          <w:bCs w:val="0"/>
          <w:color w:val="auto"/>
          <w:kern w:val="2"/>
          <w:position w:val="3"/>
          <w:sz w:val="32"/>
          <w:szCs w:val="32"/>
          <w:lang w:val="en-US" w:eastAsia="zh-CN" w:bidi="ar-SA"/>
        </w:rPr>
        <w:t>支付项目资金</w:t>
      </w:r>
      <w:r>
        <w:rPr>
          <w:rFonts w:hint="eastAsia" w:ascii="仿宋_GB2312" w:hAnsi="仿宋_GB2312" w:eastAsia="黑体" w:cs="仿宋_GB2312"/>
          <w:kern w:val="0"/>
          <w:position w:val="3"/>
          <w:sz w:val="32"/>
          <w:szCs w:val="32"/>
          <w:lang w:val="en-US" w:eastAsia="zh-CN" w:bidi="ar-SA"/>
        </w:rPr>
        <w:t>549.91</w:t>
      </w:r>
      <w:r>
        <w:rPr>
          <w:rFonts w:hint="eastAsia" w:ascii="仿宋_GB2312" w:hAnsi="仿宋_GB2312" w:eastAsia="仿宋_GB2312" w:cs="仿宋_GB2312"/>
          <w:kern w:val="0"/>
          <w:position w:val="3"/>
          <w:sz w:val="32"/>
          <w:szCs w:val="32"/>
          <w:lang w:val="en-US" w:eastAsia="zh-CN" w:bidi="ar-SA"/>
        </w:rPr>
        <w:t>万元，剩余资金0.09万元，已经退回财政</w:t>
      </w:r>
      <w:r>
        <w:rPr>
          <w:rFonts w:hint="eastAsia" w:ascii="仿宋_GB2312" w:hAnsi="仿宋_GB2312" w:eastAsia="黑体" w:cs="仿宋_GB2312"/>
          <w:kern w:val="0"/>
          <w:position w:val="3"/>
          <w:sz w:val="32"/>
          <w:szCs w:val="32"/>
          <w:lang w:val="en-US" w:eastAsia="zh-CN" w:bidi="ar-SA"/>
        </w:rPr>
        <w:t>，</w:t>
      </w:r>
      <w:r>
        <w:rPr>
          <w:rFonts w:hint="eastAsia" w:ascii="仿宋_GB2312" w:hAnsi="仿宋_GB2312" w:eastAsia="仿宋_GB2312" w:cs="仿宋_GB2312"/>
          <w:b w:val="0"/>
          <w:bCs w:val="0"/>
          <w:color w:val="auto"/>
          <w:kern w:val="2"/>
          <w:position w:val="3"/>
          <w:sz w:val="32"/>
          <w:szCs w:val="32"/>
          <w:lang w:val="en-US" w:eastAsia="zh-CN" w:bidi="ar-SA"/>
        </w:rPr>
        <w:t>资金完成支付100%。</w:t>
      </w:r>
      <w:r>
        <w:rPr>
          <w:rFonts w:hint="eastAsia" w:ascii="仿宋_GB2312" w:hAnsi="仿宋_GB2312" w:eastAsia="仿宋_GB2312" w:cs="仿宋_GB2312"/>
          <w:kern w:val="0"/>
          <w:position w:val="3"/>
          <w:sz w:val="32"/>
          <w:szCs w:val="32"/>
          <w:lang w:val="en-US" w:eastAsia="zh-CN" w:bidi="ar-SA"/>
        </w:rPr>
        <w:t>项目完成了</w:t>
      </w:r>
      <w:r>
        <w:rPr>
          <w:rFonts w:hint="eastAsia" w:ascii="仿宋_GB2312" w:hAnsi="仿宋_GB2312" w:eastAsia="仿宋_GB2312" w:cs="仿宋_GB2312"/>
          <w:b w:val="0"/>
          <w:bCs/>
          <w:kern w:val="0"/>
          <w:position w:val="3"/>
          <w:sz w:val="32"/>
          <w:szCs w:val="32"/>
          <w:lang w:val="en-US" w:eastAsia="zh-CN" w:bidi="ar-SA"/>
        </w:rPr>
        <w:t>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安乡村连片提升打造）。</w:t>
      </w:r>
    </w:p>
    <w:p w14:paraId="7003A32D">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221" w:name="_Toc16991"/>
      <w:r>
        <w:rPr>
          <w:rFonts w:hint="eastAsia" w:ascii="黑体" w:hAnsi="宋体" w:eastAsia="黑体" w:cs="Times New Roman"/>
          <w:kern w:val="0"/>
          <w:position w:val="3"/>
          <w:sz w:val="32"/>
          <w:szCs w:val="32"/>
          <w:lang w:val="en-US" w:eastAsia="zh-CN" w:bidi="ar-SA"/>
        </w:rPr>
        <w:t>五、存在主要问题</w:t>
      </w:r>
      <w:bookmarkEnd w:id="221"/>
    </w:p>
    <w:p w14:paraId="61008CCC">
      <w:pPr>
        <w:widowControl/>
        <w:tabs>
          <w:tab w:val="left" w:pos="2160"/>
        </w:tabs>
        <w:spacing w:before="0" w:beforeAutospacing="0" w:after="0" w:afterAutospacing="0" w:line="600" w:lineRule="exact"/>
        <w:ind w:left="0" w:right="0" w:firstLine="640" w:firstLineChars="200"/>
        <w:jc w:val="left"/>
        <w:rPr>
          <w:rFonts w:ascii="黑体" w:hAnsi="黑体" w:eastAsia="黑体" w:cs="黑体"/>
          <w:kern w:val="2"/>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无。</w:t>
      </w:r>
    </w:p>
    <w:p w14:paraId="200FA665">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zh-CN" w:eastAsia="zh-CN" w:bidi="ar-SA"/>
        </w:rPr>
      </w:pPr>
      <w:bookmarkStart w:id="222" w:name="_Toc9086"/>
      <w:r>
        <w:rPr>
          <w:rFonts w:hint="eastAsia" w:ascii="黑体" w:hAnsi="宋体" w:eastAsia="黑体" w:cs="Times New Roman"/>
          <w:kern w:val="0"/>
          <w:position w:val="3"/>
          <w:sz w:val="32"/>
          <w:szCs w:val="32"/>
          <w:lang w:val="zh-CN" w:eastAsia="zh-CN" w:bidi="ar-SA"/>
        </w:rPr>
        <w:t>六、改进建议</w:t>
      </w:r>
      <w:bookmarkEnd w:id="222"/>
    </w:p>
    <w:p w14:paraId="645EC5C8">
      <w:pPr>
        <w:widowControl w:val="0"/>
        <w:tabs>
          <w:tab w:val="left" w:pos="1911"/>
        </w:tabs>
        <w:spacing w:before="0" w:beforeAutospacing="0" w:after="0" w:afterAutospacing="0"/>
        <w:ind w:left="0" w:right="0"/>
        <w:jc w:val="left"/>
        <w:rPr>
          <w:rFonts w:ascii="Times New Roman" w:hAnsi="Times New Roman" w:eastAsia="仿宋_GB2312" w:cs="Times New Roman"/>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w:t>
      </w:r>
    </w:p>
    <w:p w14:paraId="7F4FFC98">
      <w:pPr>
        <w:widowControl w:val="0"/>
        <w:snapToGrid w:val="0"/>
        <w:spacing w:before="0" w:beforeAutospacing="0" w:after="0" w:afterAutospacing="0" w:line="578" w:lineRule="exact"/>
        <w:ind w:left="0" w:right="0" w:firstLine="640" w:firstLineChars="200"/>
        <w:jc w:val="both"/>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附表：1.项目资金分配涉及所有点位自评得分情况表</w:t>
      </w:r>
    </w:p>
    <w:p w14:paraId="13E83AFF">
      <w:pPr>
        <w:widowControl w:val="0"/>
        <w:snapToGrid w:val="0"/>
        <w:spacing w:before="0" w:beforeAutospacing="0" w:after="0" w:afterAutospacing="0" w:line="578" w:lineRule="exact"/>
        <w:ind w:left="0" w:right="0" w:firstLine="1600" w:firstLineChars="500"/>
        <w:jc w:val="both"/>
        <w:rPr>
          <w:rFonts w:ascii="Times New Roman" w:hAnsi="Times New Roman" w:eastAsia="仿宋_GB2312" w:cs="Times New Roman"/>
          <w:color w:val="000000"/>
          <w:kern w:val="0"/>
          <w:sz w:val="32"/>
          <w:szCs w:val="32"/>
          <w:shd w:val="clear" w:color="auto" w:fill="FFFFFF"/>
          <w:lang w:val="zh-CN"/>
        </w:rPr>
      </w:pPr>
      <w:r>
        <w:rPr>
          <w:rFonts w:hint="eastAsia" w:ascii="Times New Roman" w:hAnsi="Times New Roman" w:eastAsia="仿宋_GB2312" w:cs="Times New Roman"/>
          <w:color w:val="000000"/>
          <w:kern w:val="0"/>
          <w:sz w:val="32"/>
          <w:szCs w:val="32"/>
          <w:shd w:val="clear" w:color="auto" w:fill="FFFFFF"/>
        </w:rPr>
        <w:t>2.专项预算项目绩效目标完成情况自评表</w:t>
      </w:r>
    </w:p>
    <w:p w14:paraId="32AF58C9">
      <w:pPr>
        <w:widowControl/>
        <w:adjustRightInd w:val="0"/>
        <w:snapToGrid w:val="0"/>
        <w:spacing w:before="0" w:beforeAutospacing="0" w:after="0" w:afterAutospacing="0" w:line="578" w:lineRule="exact"/>
        <w:ind w:left="0" w:right="0"/>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4306EA53">
      <w:pPr>
        <w:widowControl w:val="0"/>
        <w:spacing w:before="0" w:beforeAutospacing="0" w:after="0" w:afterAutospacing="0" w:line="578" w:lineRule="exact"/>
        <w:ind w:left="0" w:right="0"/>
        <w:jc w:val="center"/>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825"/>
        <w:gridCol w:w="1879"/>
        <w:gridCol w:w="993"/>
      </w:tblGrid>
      <w:tr w14:paraId="161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23" w:type="dxa"/>
          </w:tcPr>
          <w:p w14:paraId="3FDD824D">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序号</w:t>
            </w:r>
          </w:p>
        </w:tc>
        <w:tc>
          <w:tcPr>
            <w:tcW w:w="4825" w:type="dxa"/>
          </w:tcPr>
          <w:p w14:paraId="0174DC35">
            <w:pPr>
              <w:widowControl w:val="0"/>
              <w:spacing w:before="0" w:beforeAutospacing="0" w:after="0" w:afterAutospacing="0" w:line="300" w:lineRule="exact"/>
              <w:ind w:left="0" w:right="0"/>
              <w:jc w:val="center"/>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1879" w:type="dxa"/>
          </w:tcPr>
          <w:p w14:paraId="3FB0096A">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14:paraId="44A4E901">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备注</w:t>
            </w:r>
          </w:p>
        </w:tc>
      </w:tr>
      <w:tr w14:paraId="43B7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1123" w:type="dxa"/>
          </w:tcPr>
          <w:p w14:paraId="230B51D9">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4825" w:type="dxa"/>
          </w:tcPr>
          <w:p w14:paraId="50FB1C58">
            <w:pPr>
              <w:widowControl w:val="0"/>
              <w:spacing w:before="0" w:beforeAutospacing="0" w:after="0" w:afterAutospacing="0" w:line="300" w:lineRule="exact"/>
              <w:ind w:left="0" w:right="0"/>
              <w:jc w:val="both"/>
              <w:rPr>
                <w:rFonts w:hint="default" w:ascii="宋体" w:hAnsi="宋体" w:eastAsia="仿宋_GB2312" w:cs="宋体"/>
                <w:kern w:val="2"/>
                <w:sz w:val="24"/>
                <w:szCs w:val="24"/>
                <w:lang w:val="en-US" w:eastAsia="zh-CN"/>
              </w:rPr>
            </w:pPr>
            <w:r>
              <w:rPr>
                <w:rFonts w:hint="eastAsia" w:ascii="宋体" w:hAnsi="宋体" w:eastAsia="宋体" w:cs="宋体"/>
                <w:color w:val="000000"/>
                <w:kern w:val="2"/>
                <w:sz w:val="24"/>
                <w:szCs w:val="24"/>
                <w:lang w:eastAsia="zh-CN"/>
              </w:rPr>
              <w:t>南新镇李子</w:t>
            </w:r>
            <w:r>
              <w:rPr>
                <w:rFonts w:hint="eastAsia" w:ascii="宋体" w:hAnsi="宋体" w:eastAsia="宋体" w:cs="宋体"/>
                <w:color w:val="000000"/>
                <w:kern w:val="2"/>
                <w:sz w:val="24"/>
                <w:szCs w:val="24"/>
                <w:lang w:val="en-US" w:eastAsia="zh-CN"/>
              </w:rPr>
              <w:t>+苹果现代农业园区建设项目</w:t>
            </w:r>
          </w:p>
        </w:tc>
        <w:tc>
          <w:tcPr>
            <w:tcW w:w="1879" w:type="dxa"/>
          </w:tcPr>
          <w:p w14:paraId="7E7D38E1">
            <w:pPr>
              <w:widowControl w:val="0"/>
              <w:spacing w:before="0" w:beforeAutospacing="0" w:after="0" w:afterAutospacing="0" w:line="300" w:lineRule="exact"/>
              <w:ind w:left="0" w:right="0"/>
              <w:jc w:val="both"/>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99分</w:t>
            </w:r>
          </w:p>
        </w:tc>
        <w:tc>
          <w:tcPr>
            <w:tcW w:w="993" w:type="dxa"/>
          </w:tcPr>
          <w:p w14:paraId="7DDFEDA3">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1915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1842A62">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4825" w:type="dxa"/>
          </w:tcPr>
          <w:p w14:paraId="3A35D9A4">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1879" w:type="dxa"/>
          </w:tcPr>
          <w:p w14:paraId="7B5179B9">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1561C9D">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23B8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134BC7D">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4825" w:type="dxa"/>
          </w:tcPr>
          <w:p w14:paraId="69C2A8ED">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1879" w:type="dxa"/>
          </w:tcPr>
          <w:p w14:paraId="3FDBC1BC">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501ADD3F">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6F58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4301F889">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4</w:t>
            </w:r>
          </w:p>
        </w:tc>
        <w:tc>
          <w:tcPr>
            <w:tcW w:w="4825" w:type="dxa"/>
          </w:tcPr>
          <w:p w14:paraId="7B47E629">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1879" w:type="dxa"/>
          </w:tcPr>
          <w:p w14:paraId="39EEA0A4">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2ED112E">
            <w:pPr>
              <w:widowControl w:val="0"/>
              <w:spacing w:before="0" w:beforeAutospacing="0" w:after="0" w:afterAutospacing="0" w:line="300" w:lineRule="exact"/>
              <w:ind w:left="0" w:right="0"/>
              <w:jc w:val="both"/>
              <w:rPr>
                <w:rFonts w:ascii="宋体" w:hAnsi="宋体" w:eastAsia="仿宋_GB2312" w:cs="宋体"/>
                <w:kern w:val="2"/>
                <w:sz w:val="24"/>
                <w:szCs w:val="24"/>
              </w:rPr>
            </w:pPr>
          </w:p>
        </w:tc>
      </w:tr>
    </w:tbl>
    <w:p w14:paraId="7C72A445">
      <w:pPr>
        <w:widowControl w:val="0"/>
        <w:spacing w:before="0" w:beforeAutospacing="0" w:after="0" w:afterAutospacing="0" w:line="400" w:lineRule="exact"/>
        <w:ind w:left="0" w:right="0"/>
        <w:jc w:val="left"/>
        <w:rPr>
          <w:rFonts w:ascii="宋体" w:hAnsi="宋体" w:eastAsia="宋体" w:cs="宋体"/>
          <w:kern w:val="2"/>
          <w:sz w:val="21"/>
          <w:szCs w:val="21"/>
        </w:rPr>
      </w:pPr>
      <w:r>
        <w:rPr>
          <w:rFonts w:hint="eastAsia" w:ascii="宋体" w:hAnsi="宋体" w:eastAsia="宋体" w:cs="宋体"/>
          <w:kern w:val="2"/>
          <w:sz w:val="21"/>
          <w:szCs w:val="21"/>
        </w:rPr>
        <w:t>备注：1.项目资金末端分配点位包括本部门、部门下属单位及一次性单位等。</w:t>
      </w:r>
    </w:p>
    <w:p w14:paraId="01EDE529">
      <w:pPr>
        <w:widowControl w:val="0"/>
        <w:spacing w:before="0" w:beforeAutospacing="0" w:after="0" w:afterAutospacing="0" w:line="400" w:lineRule="exact"/>
        <w:ind w:left="0" w:right="0" w:firstLine="630" w:firstLineChars="300"/>
        <w:jc w:val="left"/>
        <w:rPr>
          <w:rFonts w:ascii="宋体" w:hAnsi="宋体" w:eastAsia="宋体" w:cs="宋体"/>
          <w:kern w:val="2"/>
          <w:sz w:val="21"/>
          <w:szCs w:val="21"/>
        </w:rPr>
      </w:pPr>
      <w:r>
        <w:rPr>
          <w:rFonts w:hint="eastAsia" w:ascii="宋体" w:hAnsi="宋体" w:eastAsia="宋体" w:cs="宋体"/>
          <w:kern w:val="2"/>
          <w:sz w:val="21"/>
          <w:szCs w:val="21"/>
        </w:rPr>
        <w:t>2.自评得分（百分制）从高到低划分为优、良、中、差四个档次，各个档次数量占比分别为20%、20%、55%、5%，且不同档次间得分分值应体现差异化，同档次得分分值相同的比例不超过该档次总数量的10%。</w:t>
      </w:r>
    </w:p>
    <w:p w14:paraId="497C57AC">
      <w:pPr>
        <w:widowControl w:val="0"/>
        <w:spacing w:before="0" w:beforeAutospacing="0" w:after="0" w:afterAutospacing="0"/>
        <w:ind w:left="0" w:right="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附表2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42636F8D">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2C253F10">
            <w:pPr>
              <w:widowControl/>
              <w:spacing w:before="0" w:beforeAutospacing="0" w:after="0" w:afterAutospacing="0" w:line="60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61F8031F">
        <w:tblPrEx>
          <w:tblCellMar>
            <w:top w:w="15" w:type="dxa"/>
            <w:left w:w="15" w:type="dxa"/>
            <w:bottom w:w="15" w:type="dxa"/>
            <w:right w:w="15" w:type="dxa"/>
          </w:tblCellMar>
        </w:tblPrEx>
        <w:trPr>
          <w:trHeight w:val="425"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41CD5">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ABFC1">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南新镇李子</w:t>
            </w:r>
            <w:r>
              <w:rPr>
                <w:rFonts w:hint="eastAsia" w:ascii="宋体" w:hAnsi="宋体" w:eastAsia="宋体" w:cs="宋体"/>
                <w:color w:val="000000"/>
                <w:kern w:val="2"/>
                <w:sz w:val="24"/>
                <w:szCs w:val="24"/>
                <w:lang w:val="en-US" w:eastAsia="zh-CN"/>
              </w:rPr>
              <w:t>+苹果现代农业园区建设</w:t>
            </w:r>
          </w:p>
        </w:tc>
      </w:tr>
      <w:tr w14:paraId="13DB89F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1BF3C">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82FB4">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茂县科学技术和农业畜牧局</w:t>
            </w:r>
          </w:p>
        </w:tc>
      </w:tr>
      <w:tr w14:paraId="4C58D1FA">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49E3E">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5F56A">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统筹整合财政涉农资金</w:t>
            </w:r>
          </w:p>
        </w:tc>
      </w:tr>
      <w:tr w14:paraId="0ABFE92A">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D650B">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4B75F">
            <w:pPr>
              <w:widowControl/>
              <w:spacing w:before="0" w:beforeAutospacing="0" w:after="0" w:afterAutospacing="0" w:line="30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14:paraId="58D709C2">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B476E">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无</w:t>
            </w:r>
          </w:p>
        </w:tc>
      </w:tr>
      <w:tr w14:paraId="159DECAD">
        <w:tblPrEx>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C244D">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51E31">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2BF5AB">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《四川省财政厅 四川省农业农村厅 四川省乡村振兴共同财政事权转移支付资金管理办法的通知》（川财农﹝2022﹞16号）</w:t>
            </w:r>
          </w:p>
        </w:tc>
      </w:tr>
      <w:tr w14:paraId="283D3D1C">
        <w:tblPrEx>
          <w:tblCellMar>
            <w:top w:w="15" w:type="dxa"/>
            <w:left w:w="15" w:type="dxa"/>
            <w:bottom w:w="15" w:type="dxa"/>
            <w:right w:w="15" w:type="dxa"/>
          </w:tblCellMar>
        </w:tblPrEx>
        <w:trPr>
          <w:trHeight w:val="75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0E26">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387D2">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57E">
            <w:pPr>
              <w:widowControl/>
              <w:spacing w:before="0" w:beforeAutospacing="0" w:after="0" w:afterAutospacing="0" w:line="300" w:lineRule="exact"/>
              <w:ind w:left="0" w:right="0"/>
              <w:jc w:val="left"/>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1FB73">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66BD">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EDD3">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4DAC13C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9EA5">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557A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9B47B">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b w:val="0"/>
                <w:bCs w:val="0"/>
                <w:color w:val="000000"/>
                <w:kern w:val="2"/>
                <w:sz w:val="24"/>
                <w:szCs w:val="24"/>
                <w:lang w:val="en-US" w:eastAsia="zh-CN"/>
              </w:rPr>
              <w:t>《茂县财政局关于下达2023年统筹整合使用财政涉农资金及财政衔接推进乡村振兴补助资金（第一批）的通知》（茂财农【2023】17号）</w:t>
            </w:r>
          </w:p>
        </w:tc>
      </w:tr>
      <w:tr w14:paraId="2682DAB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AA66">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D9FFB">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8A3F9">
            <w:pPr>
              <w:widowControl w:val="0"/>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eastAsia="zh-CN"/>
              </w:rPr>
              <w:t>南新镇李子</w:t>
            </w:r>
            <w:r>
              <w:rPr>
                <w:rFonts w:hint="eastAsia" w:ascii="宋体" w:hAnsi="宋体" w:eastAsia="宋体" w:cs="宋体"/>
                <w:color w:val="000000"/>
                <w:kern w:val="2"/>
                <w:sz w:val="24"/>
                <w:szCs w:val="24"/>
                <w:lang w:val="en-US" w:eastAsia="zh-CN"/>
              </w:rPr>
              <w:t>+苹果现代农业园区建设</w:t>
            </w:r>
          </w:p>
        </w:tc>
      </w:tr>
      <w:tr w14:paraId="01C4301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C368">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A39BD">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888A7">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涉农整合项目申报要求</w:t>
            </w:r>
          </w:p>
        </w:tc>
      </w:tr>
      <w:tr w14:paraId="53D15CA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EF83">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D1254">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4F830">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2023年-2023年</w:t>
            </w:r>
          </w:p>
        </w:tc>
      </w:tr>
      <w:tr w14:paraId="6F3B79BF">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1F401">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06A6C0E2">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F48D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051A2">
            <w:pPr>
              <w:widowControl w:val="0"/>
              <w:tabs>
                <w:tab w:val="left" w:pos="838"/>
              </w:tabs>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550</w:t>
            </w:r>
          </w:p>
        </w:tc>
      </w:tr>
      <w:tr w14:paraId="059AFD4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E5A1">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41BB">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62342">
            <w:pPr>
              <w:widowControl w:val="0"/>
              <w:tabs>
                <w:tab w:val="left" w:pos="1738"/>
              </w:tabs>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550</w:t>
            </w:r>
          </w:p>
        </w:tc>
      </w:tr>
      <w:tr w14:paraId="09BC04A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2E99">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CEC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70D44">
            <w:pPr>
              <w:widowControl w:val="0"/>
              <w:tabs>
                <w:tab w:val="left" w:pos="845"/>
              </w:tabs>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0</w:t>
            </w:r>
          </w:p>
        </w:tc>
      </w:tr>
      <w:tr w14:paraId="5A64E030">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505E4">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F4056E">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年度目标</w:t>
            </w:r>
          </w:p>
        </w:tc>
      </w:tr>
      <w:tr w14:paraId="50CD139F">
        <w:tblPrEx>
          <w:tblCellMar>
            <w:top w:w="15" w:type="dxa"/>
            <w:left w:w="15" w:type="dxa"/>
            <w:bottom w:w="15" w:type="dxa"/>
            <w:right w:w="15" w:type="dxa"/>
          </w:tblCellMar>
        </w:tblPrEx>
        <w:trPr>
          <w:trHeight w:val="107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7F8E">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DF8BF3">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建设苹果水果新品种改良示范基地59亩；通过社会化服务组织收集转运全镇的面源污染物；七星村果蔬冷链库基地建设，新建300平米,1200立方水果冷藏库（分隔4间）；在镇政府建设25平米农业数字平台控制中心1个，农产品可追溯体系1套；七星村特色水果采摘基地建设1处，牟托村特色水果采摘园提升建设1处；“庭院经济”示范户建设等。</w:t>
            </w:r>
          </w:p>
        </w:tc>
      </w:tr>
      <w:tr w14:paraId="60439FE4">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590F795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auto" w:sz="4" w:space="0"/>
              <w:right w:val="single" w:color="000000" w:sz="4" w:space="0"/>
            </w:tcBorders>
            <w:shd w:val="clear" w:color="auto" w:fill="auto"/>
            <w:vAlign w:val="center"/>
          </w:tcPr>
          <w:p w14:paraId="61E8994F">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B5D0CD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二级指标</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6AE8CCCB">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三级指标</w:t>
            </w: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14:paraId="6D1C8D7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F8D8">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FAC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450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A7C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实际完成指标值</w:t>
            </w:r>
          </w:p>
        </w:tc>
      </w:tr>
      <w:tr w14:paraId="35A92B3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0AC069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1C20B2">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产出指标</w:t>
            </w:r>
          </w:p>
        </w:tc>
        <w:tc>
          <w:tcPr>
            <w:tcW w:w="1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21EF4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4E811235">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七星村特色水果采摘基地建设</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A2D008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55525A6B">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B0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BA9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517">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0707009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4EA376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9C9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0498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01E0EDE8">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牟托村特色水果采摘园提升建设</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4C75F9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1A5DE9F6">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5A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40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0B82">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4F8CC9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93E3F0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D524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CCBE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3D49A8DB">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庭院经济示范点</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178A1D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18F246A0">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583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746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075E">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60106BA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35EA4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D1D1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0B5C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018DC700">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新建农业数字平台控制中心</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2554152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EA869A">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ACE">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个</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FA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23B6">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1A7B4A2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2D7648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D1CE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4DD0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191E458C">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收集转运全镇的面源污染物</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17E20EB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63220FC2">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A00C">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项</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99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2730">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30687D6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A6A26A2">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EDE7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AE15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6826B15D">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新建冷链库</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7011B6C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5CC608">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372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处</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9B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9864">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w:t>
            </w:r>
          </w:p>
        </w:tc>
      </w:tr>
      <w:tr w14:paraId="687D73B7">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4BC433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F26F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EFCA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14:paraId="290A5899">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新品种特色水果改良</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68B6FBB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14:paraId="5ACCA6AB">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59</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0D15">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86B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EC3B">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59</w:t>
            </w:r>
          </w:p>
        </w:tc>
      </w:tr>
      <w:tr w14:paraId="778288D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4F9CDA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34E8FD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41DBF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质量指标</w:t>
            </w:r>
          </w:p>
        </w:tc>
        <w:tc>
          <w:tcPr>
            <w:tcW w:w="1312" w:type="dxa"/>
            <w:tcBorders>
              <w:top w:val="single" w:color="auto" w:sz="4" w:space="0"/>
              <w:left w:val="single" w:color="000000" w:sz="4" w:space="0"/>
              <w:bottom w:val="single" w:color="000000" w:sz="4" w:space="0"/>
              <w:right w:val="single" w:color="000000" w:sz="4" w:space="0"/>
            </w:tcBorders>
            <w:shd w:val="clear" w:color="auto" w:fill="auto"/>
            <w:vAlign w:val="center"/>
          </w:tcPr>
          <w:p w14:paraId="0B56D75A">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按照项目（工程）实施方案质量要求完成项目建设</w:t>
            </w: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14:paraId="79DBBE1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616">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A9A7">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510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2DFB">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100</w:t>
            </w:r>
          </w:p>
        </w:tc>
      </w:tr>
      <w:tr w14:paraId="20C3971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D77A3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A473F2">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CD8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850D">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项目（工程）完成及时率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BAD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F0C6">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07F">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40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B24">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100</w:t>
            </w:r>
          </w:p>
        </w:tc>
      </w:tr>
      <w:tr w14:paraId="4F6B150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75CD8BA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95332">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AD3B">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经济效益</w:t>
            </w:r>
          </w:p>
          <w:p w14:paraId="70ED1890">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0C7E">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带动增加建档立卡贫困人口收入（万元）</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631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604">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0.2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2405">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EFD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80B">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0.2</w:t>
            </w:r>
          </w:p>
        </w:tc>
      </w:tr>
      <w:tr w14:paraId="501DBA16">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DD47AD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4A4C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000000" w:sz="4" w:space="0"/>
              <w:left w:val="single" w:color="000000" w:sz="4" w:space="0"/>
              <w:right w:val="single" w:color="000000" w:sz="4" w:space="0"/>
            </w:tcBorders>
            <w:shd w:val="clear" w:color="auto" w:fill="auto"/>
            <w:vAlign w:val="center"/>
          </w:tcPr>
          <w:p w14:paraId="72FE70B2">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1D4BF150">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490B">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受益建档立卡贫困人口数</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F61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7A08">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92F">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CCD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E66">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w:t>
            </w:r>
          </w:p>
        </w:tc>
      </w:tr>
      <w:tr w14:paraId="38CC5AED">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A2273D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tcBorders>
              <w:top w:val="single" w:color="000000" w:sz="4" w:space="0"/>
              <w:left w:val="single" w:color="000000" w:sz="4" w:space="0"/>
              <w:right w:val="single" w:color="000000" w:sz="4" w:space="0"/>
            </w:tcBorders>
            <w:shd w:val="clear" w:color="auto" w:fill="auto"/>
            <w:vAlign w:val="center"/>
          </w:tcPr>
          <w:p w14:paraId="0E4C19ED">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53C1E8C8">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250" w:type="dxa"/>
            <w:tcBorders>
              <w:top w:val="single" w:color="000000" w:sz="4" w:space="0"/>
              <w:left w:val="single" w:color="000000" w:sz="4" w:space="0"/>
              <w:right w:val="single" w:color="000000" w:sz="4" w:space="0"/>
            </w:tcBorders>
            <w:shd w:val="clear" w:color="auto" w:fill="auto"/>
            <w:vAlign w:val="center"/>
          </w:tcPr>
          <w:p w14:paraId="58B27F11">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040E7D2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27BE">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受益脱贫人口满意度</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EE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F77">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4831">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5D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A59D">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95</w:t>
            </w:r>
          </w:p>
        </w:tc>
      </w:tr>
      <w:tr w14:paraId="288442A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57B02B1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9C3A">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38F">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368DDD84">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312" w:type="dxa"/>
            <w:tcBorders>
              <w:top w:val="single" w:color="000000" w:sz="4" w:space="0"/>
              <w:bottom w:val="single" w:color="000000" w:sz="4" w:space="0"/>
              <w:right w:val="single" w:color="000000" w:sz="4" w:space="0"/>
            </w:tcBorders>
            <w:shd w:val="clear" w:color="auto" w:fill="auto"/>
            <w:vAlign w:val="center"/>
          </w:tcPr>
          <w:p w14:paraId="5207C00A">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投入资金</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4AB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0"/>
                <w:sz w:val="18"/>
                <w:szCs w:val="18"/>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A24">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549.91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494C">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B01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ED5">
            <w:pPr>
              <w:widowControl w:val="0"/>
              <w:spacing w:before="0" w:beforeAutospacing="0" w:after="0" w:afterAutospacing="0" w:line="300" w:lineRule="exact"/>
              <w:ind w:left="0" w:right="0"/>
              <w:jc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549.91</w:t>
            </w:r>
          </w:p>
        </w:tc>
      </w:tr>
    </w:tbl>
    <w:p w14:paraId="59D4FE0E">
      <w:pPr>
        <w:widowControl w:val="0"/>
        <w:spacing w:before="0" w:beforeAutospacing="0" w:after="0" w:afterAutospacing="0" w:line="578" w:lineRule="exact"/>
        <w:ind w:left="0" w:right="0"/>
        <w:jc w:val="both"/>
        <w:rPr>
          <w:rFonts w:hint="eastAsia" w:ascii="方正小标宋简体" w:hAnsi="方正小标宋简体" w:eastAsia="方正小标宋简体" w:cs="方正小标宋简体"/>
          <w:color w:val="auto"/>
          <w:kern w:val="2"/>
          <w:sz w:val="44"/>
          <w:szCs w:val="44"/>
          <w:lang w:val="en-US" w:eastAsia="zh-CN" w:bidi="ar-SA"/>
        </w:rPr>
      </w:pPr>
    </w:p>
    <w:p w14:paraId="7D27D09C">
      <w:pPr>
        <w:widowControl w:val="0"/>
        <w:spacing w:before="0" w:beforeAutospacing="0" w:after="0" w:afterAutospacing="0" w:line="578" w:lineRule="exact"/>
        <w:ind w:left="0" w:right="0"/>
        <w:jc w:val="center"/>
        <w:outlineLvl w:val="0"/>
        <w:rPr>
          <w:rFonts w:hint="eastAsia" w:ascii="方正小标宋简体" w:hAnsi="方正小标宋简体" w:eastAsia="方正小标宋简体" w:cs="方正小标宋简体"/>
          <w:color w:val="auto"/>
          <w:kern w:val="2"/>
          <w:sz w:val="44"/>
          <w:szCs w:val="44"/>
          <w:lang w:val="en-US" w:eastAsia="zh-CN" w:bidi="ar-SA"/>
        </w:rPr>
      </w:pPr>
      <w:bookmarkStart w:id="223" w:name="_Toc25870"/>
      <w:bookmarkStart w:id="224" w:name="_Toc6969"/>
      <w:r>
        <w:rPr>
          <w:rFonts w:hint="eastAsia" w:ascii="方正小标宋简体" w:hAnsi="方正小标宋简体" w:eastAsia="方正小标宋简体" w:cs="方正小标宋简体"/>
          <w:color w:val="auto"/>
          <w:kern w:val="2"/>
          <w:sz w:val="44"/>
          <w:szCs w:val="44"/>
          <w:lang w:val="en-US" w:eastAsia="zh-CN" w:bidi="ar-SA"/>
        </w:rPr>
        <w:t>2023年茂县乡村振兴示范村建设</w:t>
      </w:r>
      <w:bookmarkEnd w:id="223"/>
      <w:bookmarkEnd w:id="224"/>
    </w:p>
    <w:p w14:paraId="02196696">
      <w:pPr>
        <w:widowControl w:val="0"/>
        <w:spacing w:before="0" w:beforeAutospacing="0" w:after="0" w:afterAutospacing="0" w:line="578" w:lineRule="exact"/>
        <w:ind w:left="0" w:right="0"/>
        <w:jc w:val="center"/>
        <w:outlineLvl w:val="0"/>
        <w:rPr>
          <w:rFonts w:ascii="宋体" w:hAnsi="宋体" w:eastAsia="宋体" w:cs="Times New Roman"/>
          <w:color w:val="auto"/>
          <w:kern w:val="2"/>
          <w:sz w:val="32"/>
          <w:szCs w:val="32"/>
          <w:lang w:val="zh-CN" w:eastAsia="zh-CN" w:bidi="ar-SA"/>
        </w:rPr>
      </w:pPr>
      <w:bookmarkStart w:id="225" w:name="_Toc13044"/>
      <w:r>
        <w:rPr>
          <w:rFonts w:hint="eastAsia" w:ascii="方正小标宋简体" w:hAnsi="方正小标宋简体" w:eastAsia="方正小标宋简体" w:cs="方正小标宋简体"/>
          <w:color w:val="auto"/>
          <w:kern w:val="2"/>
          <w:sz w:val="44"/>
          <w:szCs w:val="44"/>
          <w:lang w:val="en-US" w:eastAsia="zh-CN" w:bidi="ar-SA"/>
        </w:rPr>
        <w:t>项目绩效评价报告</w:t>
      </w:r>
      <w:bookmarkEnd w:id="225"/>
    </w:p>
    <w:p w14:paraId="47AAC0EB">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lang w:val="zh-CN"/>
        </w:rPr>
      </w:pPr>
      <w:bookmarkStart w:id="226" w:name="_Toc15979"/>
      <w:bookmarkStart w:id="227" w:name="_Toc7058"/>
      <w:r>
        <w:rPr>
          <w:rFonts w:hint="eastAsia" w:ascii="黑体" w:hAnsi="宋体" w:eastAsia="黑体" w:cs="Times New Roman"/>
          <w:kern w:val="2"/>
          <w:sz w:val="32"/>
          <w:szCs w:val="32"/>
        </w:rPr>
        <w:t>一、</w:t>
      </w:r>
      <w:r>
        <w:rPr>
          <w:rFonts w:hint="eastAsia" w:ascii="黑体" w:hAnsi="宋体" w:eastAsia="黑体" w:cs="Times New Roman"/>
          <w:kern w:val="2"/>
          <w:sz w:val="32"/>
          <w:szCs w:val="32"/>
          <w:lang w:val="zh-CN"/>
        </w:rPr>
        <w:t>项目概况</w:t>
      </w:r>
      <w:bookmarkEnd w:id="226"/>
      <w:bookmarkEnd w:id="227"/>
    </w:p>
    <w:p w14:paraId="69602812">
      <w:pPr>
        <w:widowControl/>
        <w:adjustRightInd w:val="0"/>
        <w:snapToGrid w:val="0"/>
        <w:spacing w:before="0" w:beforeAutospacing="0" w:after="0" w:afterAutospacing="0" w:line="578" w:lineRule="exact"/>
        <w:ind w:left="0" w:right="0" w:firstLine="643" w:firstLineChars="200"/>
        <w:contextualSpacing/>
        <w:jc w:val="left"/>
        <w:rPr>
          <w:rFonts w:hint="eastAsia" w:ascii="仿宋_GB2312" w:hAnsi="Times New Roman" w:eastAsia="仿宋_GB2312" w:cs="Times New Roman"/>
          <w:kern w:val="2"/>
          <w:sz w:val="32"/>
          <w:szCs w:val="32"/>
          <w:lang w:val="zh-CN" w:eastAsia="zh-CN"/>
        </w:rPr>
      </w:pPr>
      <w:r>
        <w:rPr>
          <w:rFonts w:hint="eastAsia" w:ascii="楷体_GB2312" w:hAnsi="宋体" w:eastAsia="楷体_GB2312" w:cs="Times New Roman"/>
          <w:b/>
          <w:kern w:val="2"/>
          <w:sz w:val="32"/>
          <w:szCs w:val="32"/>
          <w:lang w:val="zh-CN"/>
        </w:rPr>
        <w:t>（一）设立背景及基本情况。</w:t>
      </w:r>
      <w:r>
        <w:rPr>
          <w:rFonts w:hint="eastAsia" w:ascii="仿宋_GB2312" w:hAnsi="Times New Roman" w:eastAsia="仿宋_GB2312" w:cs="Times New Roman"/>
          <w:kern w:val="2"/>
          <w:sz w:val="32"/>
          <w:szCs w:val="32"/>
          <w:lang w:val="zh-CN" w:eastAsia="zh-CN"/>
        </w:rPr>
        <w:t>项目根据《四川省人民政府关于省内对口帮扶藏区工作的要求》、《四川省乡村振兴战略规划（</w:t>
      </w:r>
      <w:r>
        <w:rPr>
          <w:rFonts w:hint="eastAsia" w:ascii="仿宋_GB2312" w:hAnsi="Times New Roman" w:eastAsia="仿宋_GB2312" w:cs="Times New Roman"/>
          <w:kern w:val="2"/>
          <w:sz w:val="32"/>
          <w:szCs w:val="32"/>
          <w:lang w:val="en-US" w:eastAsia="zh-CN"/>
        </w:rPr>
        <w:t>2018—2022年</w:t>
      </w:r>
      <w:r>
        <w:rPr>
          <w:rFonts w:hint="eastAsia" w:ascii="仿宋_GB2312" w:hAnsi="Times New Roman" w:eastAsia="仿宋_GB2312" w:cs="Times New Roman"/>
          <w:kern w:val="2"/>
          <w:sz w:val="32"/>
          <w:szCs w:val="32"/>
          <w:lang w:val="zh-CN" w:eastAsia="zh-CN"/>
        </w:rPr>
        <w:t>）》、《阿坝州国民经济和社会发展第十四个五年规划和二零三五年远景目标纲要（草案）》、《茂县国民经济和社会发展第十四个五年规划和二零三五年远景目标纲要》等为政策背景。项目实施地点凤仪镇静州村、沟口镇飞虹村两个村落现状较为脏乱差，基本无较为成型的文化宣传设施，居民的交通环境，居住环境凌乱，建筑风格参差不齐，无专门的农业采摘线路，基础设施落后，无系统排水，垃圾无定点堆放处置区域，院落散乱等为社会背景。</w:t>
      </w:r>
    </w:p>
    <w:p w14:paraId="5D81A742">
      <w:pPr>
        <w:widowControl w:val="0"/>
        <w:adjustRightInd w:val="0"/>
        <w:snapToGrid w:val="0"/>
        <w:spacing w:before="0" w:beforeAutospacing="0" w:after="0" w:afterAutospacing="0" w:line="600" w:lineRule="exact"/>
        <w:ind w:left="0" w:right="0" w:firstLine="72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项目根据茂县发展和改革局《关于2023年茂县乡村振兴示范村建设项目初步设计（代项目建议书、可行性研究报告）的批复》（茂发改行审[2023]2号）进行了立项；根据茂县对口支援和省内对口帮扶工作领导小组办公室关于审定《茂县2023年浙江对口支援项目安排计划》的请示和十六届茂县人民政府第23次8号会议纪要对资金进行了申报。根据</w:t>
      </w:r>
      <w:r>
        <w:rPr>
          <w:rFonts w:hint="eastAsia" w:ascii="仿宋_GB2312" w:hAnsi="Times New Roman" w:eastAsia="仿宋_GB2312" w:cs="Times New Roman"/>
          <w:kern w:val="2"/>
          <w:sz w:val="32"/>
          <w:szCs w:val="32"/>
          <w:lang w:val="zh-CN"/>
        </w:rPr>
        <w:t>阿坝州发展和改革委员会 《关于转下达浙江省对口支援阿坝州2023</w:t>
      </w:r>
      <w:r>
        <w:rPr>
          <w:rFonts w:hint="default" w:ascii="仿宋_GB2312" w:hAnsi="Times New Roman" w:eastAsia="仿宋_GB2312" w:cs="Times New Roman"/>
          <w:kern w:val="2"/>
          <w:sz w:val="32"/>
          <w:szCs w:val="32"/>
          <w:lang w:val="zh-CN"/>
        </w:rPr>
        <w:t>年项目实施计划的通知</w:t>
      </w:r>
      <w:r>
        <w:rPr>
          <w:rFonts w:hint="eastAsia" w:ascii="仿宋_GB2312" w:hAnsi="Times New Roman" w:eastAsia="仿宋_GB2312" w:cs="Times New Roman"/>
          <w:kern w:val="2"/>
          <w:sz w:val="32"/>
          <w:szCs w:val="32"/>
          <w:lang w:val="zh-CN"/>
        </w:rPr>
        <w:t>》（</w:t>
      </w:r>
      <w:r>
        <w:rPr>
          <w:rFonts w:ascii="仿宋_GB2312" w:hAnsi="仿宋_GB2312" w:eastAsia="仿宋_GB2312" w:cs="仿宋_GB2312"/>
          <w:b w:val="0"/>
          <w:bCs w:val="0"/>
          <w:color w:val="000000"/>
          <w:kern w:val="2"/>
          <w:sz w:val="31"/>
          <w:szCs w:val="31"/>
        </w:rPr>
        <w:t>阿州发改〔</w:t>
      </w:r>
      <w:r>
        <w:rPr>
          <w:rFonts w:ascii="TimesNewRomanPSMT" w:hAnsi="TimesNewRomanPSMT" w:eastAsia="TimesNewRomanPSMT" w:cs="TimesNewRomanPSMT"/>
          <w:b w:val="0"/>
          <w:bCs w:val="0"/>
          <w:color w:val="000000"/>
          <w:kern w:val="2"/>
          <w:sz w:val="31"/>
          <w:szCs w:val="31"/>
        </w:rPr>
        <w:t>2023</w:t>
      </w:r>
      <w:r>
        <w:rPr>
          <w:rFonts w:ascii="仿宋_GB2312" w:hAnsi="仿宋_GB2312" w:eastAsia="仿宋_GB2312" w:cs="仿宋_GB2312"/>
          <w:b w:val="0"/>
          <w:bCs w:val="0"/>
          <w:color w:val="000000"/>
          <w:kern w:val="2"/>
          <w:sz w:val="31"/>
          <w:szCs w:val="31"/>
        </w:rPr>
        <w:t>〕</w:t>
      </w:r>
      <w:r>
        <w:rPr>
          <w:rFonts w:hint="default" w:ascii="TimesNewRomanPSMT" w:hAnsi="TimesNewRomanPSMT" w:eastAsia="TimesNewRomanPSMT" w:cs="TimesNewRomanPSMT"/>
          <w:b w:val="0"/>
          <w:bCs w:val="0"/>
          <w:color w:val="000000"/>
          <w:kern w:val="2"/>
          <w:sz w:val="31"/>
          <w:szCs w:val="31"/>
        </w:rPr>
        <w:t xml:space="preserve">143 </w:t>
      </w:r>
      <w:r>
        <w:rPr>
          <w:rFonts w:ascii="仿宋_GB2312" w:hAnsi="仿宋_GB2312" w:eastAsia="仿宋_GB2312" w:cs="仿宋_GB2312"/>
          <w:b w:val="0"/>
          <w:bCs w:val="0"/>
          <w:color w:val="000000"/>
          <w:kern w:val="2"/>
          <w:sz w:val="31"/>
          <w:szCs w:val="31"/>
        </w:rPr>
        <w:t>号</w:t>
      </w:r>
      <w:r>
        <w:rPr>
          <w:rFonts w:hint="eastAsia" w:ascii="仿宋_GB2312" w:hAnsi="Times New Roman" w:eastAsia="仿宋_GB2312" w:cs="Times New Roman"/>
          <w:kern w:val="2"/>
          <w:sz w:val="32"/>
          <w:szCs w:val="32"/>
          <w:lang w:val="zh-CN"/>
        </w:rPr>
        <w:t>），下达对口支援资金</w:t>
      </w:r>
      <w:r>
        <w:rPr>
          <w:rFonts w:hint="eastAsia" w:ascii="仿宋_GB2312" w:hAnsi="Times New Roman" w:eastAsia="仿宋_GB2312" w:cs="Times New Roman"/>
          <w:kern w:val="2"/>
          <w:sz w:val="32"/>
          <w:szCs w:val="32"/>
          <w:lang w:val="en-US" w:eastAsia="zh-CN"/>
        </w:rPr>
        <w:t>600万元。</w:t>
      </w:r>
    </w:p>
    <w:p w14:paraId="61840E23">
      <w:pPr>
        <w:widowControl w:val="0"/>
        <w:numPr>
          <w:ilvl w:val="0"/>
          <w:numId w:val="0"/>
        </w:numPr>
        <w:adjustRightInd w:val="0"/>
        <w:snapToGrid w:val="0"/>
        <w:spacing w:before="0" w:beforeAutospacing="0" w:after="0" w:afterAutospacing="0" w:line="60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项目的主要内容：</w:t>
      </w:r>
      <w:r>
        <w:rPr>
          <w:rFonts w:hint="eastAsia" w:ascii="仿宋_GB2312" w:hAnsi="Times New Roman" w:eastAsia="仿宋_GB2312" w:cs="仿宋_GB2312"/>
          <w:b w:val="0"/>
          <w:i w:val="0"/>
          <w:caps w:val="0"/>
          <w:smallCaps w:val="0"/>
          <w:spacing w:val="0"/>
          <w:w w:val="100"/>
          <w:kern w:val="2"/>
          <w:sz w:val="32"/>
          <w:szCs w:val="32"/>
          <w:lang w:val="en-US" w:eastAsia="zh-CN" w:bidi="ar-SA"/>
        </w:rPr>
        <w:t>(1)产业发展与提升：产业道路硬化2700平方米；片石挡坎1350立方米；农田灌溉蓄水桶5立方PE储水桶,φ25水管1000米、φ50水管500米；产业排水沟500米；太阳能杀虫灯12盏；LED显示屏。(2)基础设施建设：混凝土水沟1500米，三级沉淀池一座10.0米*5.0米；(3)人居环境整治：人居环境整治3670平方米；太阳能路灯100盏；风貌改造提升6000平方米，真石漆墙面+艺术彩绘2500平方米；微景观打造600平方米。</w:t>
      </w:r>
    </w:p>
    <w:p w14:paraId="55DD5B07">
      <w:pPr>
        <w:widowControl w:val="0"/>
        <w:numPr>
          <w:ilvl w:val="0"/>
          <w:numId w:val="0"/>
        </w:numPr>
        <w:spacing w:before="0" w:beforeAutospacing="0" w:after="0" w:afterAutospacing="0"/>
        <w:ind w:right="0"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主管部门职能：</w:t>
      </w:r>
      <w:r>
        <w:rPr>
          <w:rFonts w:hint="eastAsia" w:ascii="仿宋_GB2312" w:hAnsi="Times New Roman" w:eastAsia="仿宋_GB2312" w:cs="Times New Roman"/>
          <w:kern w:val="2"/>
          <w:sz w:val="32"/>
          <w:szCs w:val="32"/>
          <w:lang w:val="zh-CN" w:eastAsia="zh-CN" w:bidi="ar-SA"/>
        </w:rPr>
        <w:t>全程参与并跟踪督促项目实施主体的方案制定、项目实施、后期的验收及资金支付等。</w:t>
      </w:r>
    </w:p>
    <w:p w14:paraId="00C44003">
      <w:pPr>
        <w:widowControl/>
        <w:adjustRightInd w:val="0"/>
        <w:snapToGrid w:val="0"/>
        <w:spacing w:before="0" w:beforeAutospacing="0" w:after="0" w:afterAutospacing="0" w:line="578" w:lineRule="exact"/>
        <w:ind w:left="0" w:right="0" w:firstLine="643" w:firstLineChars="200"/>
        <w:contextualSpacing/>
        <w:jc w:val="left"/>
        <w:rPr>
          <w:rFonts w:hint="eastAsia" w:ascii="Times New Roman" w:hAnsi="Times New Roman" w:eastAsia="仿宋_GB2312" w:cs="Times New Roman"/>
          <w:kern w:val="2"/>
          <w:sz w:val="32"/>
          <w:szCs w:val="32"/>
          <w:lang w:val="en-US" w:eastAsia="zh-Hans" w:bidi="ar-SA"/>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二</w:t>
      </w:r>
      <w:r>
        <w:rPr>
          <w:rFonts w:hint="eastAsia" w:ascii="楷体_GB2312" w:hAnsi="宋体" w:eastAsia="楷体_GB2312" w:cs="Times New Roman"/>
          <w:b/>
          <w:kern w:val="2"/>
          <w:sz w:val="32"/>
          <w:szCs w:val="32"/>
          <w:lang w:val="zh-CN"/>
        </w:rPr>
        <w:t>）实施目的及支持方向。</w:t>
      </w:r>
      <w:r>
        <w:rPr>
          <w:rFonts w:hint="eastAsia" w:ascii="Times New Roman" w:hAnsi="Times New Roman" w:eastAsia="仿宋_GB2312" w:cs="Times New Roman"/>
          <w:kern w:val="2"/>
          <w:sz w:val="32"/>
          <w:szCs w:val="32"/>
          <w:lang w:val="en-US" w:eastAsia="zh-CN" w:bidi="ar-SA"/>
        </w:rPr>
        <w:t>项目总投资600万元，用于两个村的</w:t>
      </w:r>
      <w:r>
        <w:rPr>
          <w:rFonts w:hint="eastAsia" w:ascii="Times New Roman" w:hAnsi="Times New Roman" w:eastAsia="仿宋_GB2312" w:cs="Times New Roman"/>
          <w:kern w:val="2"/>
          <w:sz w:val="32"/>
          <w:szCs w:val="32"/>
          <w:lang w:val="en-US" w:eastAsia="zh-Hans" w:bidi="ar-SA"/>
        </w:rPr>
        <w:t>项目建设</w:t>
      </w:r>
      <w:r>
        <w:rPr>
          <w:rFonts w:hint="eastAsia" w:ascii="Times New Roman" w:hAnsi="Times New Roman" w:eastAsia="仿宋_GB2312" w:cs="Times New Roman"/>
          <w:kern w:val="2"/>
          <w:sz w:val="32"/>
          <w:szCs w:val="32"/>
          <w:lang w:val="en-US" w:eastAsia="zh-CN" w:bidi="ar-SA"/>
        </w:rPr>
        <w:t>和可研、监理、设计、审计等二类费用的支出（项目资金有结余可用于二类费用支出，二类费用有结余可用于项目资金支出）。项目建设实施中，</w:t>
      </w:r>
      <w:r>
        <w:rPr>
          <w:rFonts w:hint="eastAsia" w:ascii="Times New Roman" w:hAnsi="Times New Roman" w:eastAsia="仿宋_GB2312" w:cs="Times New Roman"/>
          <w:kern w:val="2"/>
          <w:sz w:val="32"/>
          <w:szCs w:val="32"/>
          <w:lang w:val="en-US" w:eastAsia="zh-Hans" w:bidi="ar-SA"/>
        </w:rPr>
        <w:t>根据实施情况按照项目责任单位要求</w:t>
      </w:r>
      <w:r>
        <w:rPr>
          <w:rFonts w:hint="eastAsia" w:ascii="Times New Roman" w:hAnsi="Times New Roman" w:eastAsia="仿宋_GB2312" w:cs="Times New Roman"/>
          <w:kern w:val="2"/>
          <w:sz w:val="32"/>
          <w:szCs w:val="32"/>
          <w:lang w:val="en-US" w:eastAsia="zh-CN" w:bidi="ar-SA"/>
        </w:rPr>
        <w:t>支付完成工程量的80%</w:t>
      </w:r>
      <w:r>
        <w:rPr>
          <w:rFonts w:hint="eastAsia" w:ascii="Times New Roman" w:hAnsi="Times New Roman" w:eastAsia="仿宋_GB2312" w:cs="Times New Roman"/>
          <w:kern w:val="2"/>
          <w:sz w:val="32"/>
          <w:szCs w:val="32"/>
          <w:lang w:val="en-US" w:eastAsia="zh-Hans" w:bidi="ar-SA"/>
        </w:rPr>
        <w:t>项目进度</w:t>
      </w:r>
      <w:r>
        <w:rPr>
          <w:rFonts w:hint="eastAsia" w:ascii="Times New Roman" w:hAnsi="Times New Roman" w:eastAsia="仿宋_GB2312" w:cs="Times New Roman"/>
          <w:kern w:val="2"/>
          <w:sz w:val="32"/>
          <w:szCs w:val="32"/>
          <w:lang w:val="en-US" w:eastAsia="zh-CN" w:bidi="ar-SA"/>
        </w:rPr>
        <w:t>款</w:t>
      </w:r>
      <w:r>
        <w:rPr>
          <w:rFonts w:hint="eastAsia" w:ascii="Times New Roman" w:hAnsi="Times New Roman" w:eastAsia="仿宋_GB2312" w:cs="Times New Roman"/>
          <w:kern w:val="2"/>
          <w:sz w:val="32"/>
          <w:szCs w:val="32"/>
          <w:lang w:val="en-US" w:eastAsia="zh-Hans" w:bidi="ar-SA"/>
        </w:rPr>
        <w:t>。</w:t>
      </w:r>
      <w:r>
        <w:rPr>
          <w:rFonts w:hint="eastAsia" w:ascii="Times New Roman" w:hAnsi="Times New Roman" w:eastAsia="仿宋_GB2312" w:cs="Times New Roman"/>
          <w:kern w:val="2"/>
          <w:sz w:val="32"/>
          <w:szCs w:val="32"/>
          <w:lang w:val="en-US" w:eastAsia="zh-CN" w:bidi="ar-SA"/>
        </w:rPr>
        <w:t>项目验收前工程进度款支付不超过项目总投资的</w:t>
      </w:r>
      <w:r>
        <w:rPr>
          <w:rFonts w:hint="eastAsia" w:ascii="Times New Roman" w:hAnsi="Times New Roman" w:eastAsia="仿宋_GB2312" w:cs="Times New Roman"/>
          <w:kern w:val="2"/>
          <w:sz w:val="32"/>
          <w:szCs w:val="32"/>
          <w:lang w:val="en-US" w:eastAsia="zh-Hans" w:bidi="ar-SA"/>
        </w:rPr>
        <w:t>80%，项目完成验收合格后，由镇、村、施工方提供项目报账材料及合法合规的税务票据</w:t>
      </w:r>
      <w:r>
        <w:rPr>
          <w:rFonts w:hint="eastAsia" w:ascii="Times New Roman" w:hAnsi="Times New Roman" w:eastAsia="仿宋_GB2312" w:cs="Times New Roman"/>
          <w:kern w:val="2"/>
          <w:sz w:val="32"/>
          <w:szCs w:val="32"/>
          <w:lang w:val="en-US" w:eastAsia="zh-CN" w:bidi="ar-SA"/>
        </w:rPr>
        <w:t>进行</w:t>
      </w:r>
      <w:r>
        <w:rPr>
          <w:rFonts w:hint="eastAsia" w:ascii="Times New Roman" w:hAnsi="Times New Roman" w:eastAsia="仿宋_GB2312" w:cs="Times New Roman"/>
          <w:kern w:val="2"/>
          <w:sz w:val="32"/>
          <w:szCs w:val="32"/>
          <w:lang w:val="en-US" w:eastAsia="zh-Hans" w:bidi="ar-SA"/>
        </w:rPr>
        <w:t>报账，预留3%的质保金</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Hans" w:bidi="ar-SA"/>
        </w:rPr>
        <w:t>项目交付使用一年后，由</w:t>
      </w:r>
      <w:r>
        <w:rPr>
          <w:rFonts w:hint="eastAsia" w:ascii="Times New Roman" w:hAnsi="Times New Roman" w:eastAsia="仿宋_GB2312" w:cs="Times New Roman"/>
          <w:kern w:val="2"/>
          <w:sz w:val="32"/>
          <w:szCs w:val="32"/>
          <w:lang w:val="en-US" w:eastAsia="zh-CN" w:bidi="ar-SA"/>
        </w:rPr>
        <w:t>主管部门</w:t>
      </w:r>
      <w:r>
        <w:rPr>
          <w:rFonts w:hint="eastAsia" w:ascii="Times New Roman" w:hAnsi="Times New Roman" w:eastAsia="仿宋_GB2312" w:cs="Times New Roman"/>
          <w:kern w:val="2"/>
          <w:sz w:val="32"/>
          <w:szCs w:val="32"/>
          <w:lang w:val="en-US" w:eastAsia="zh-Hans" w:bidi="ar-SA"/>
        </w:rPr>
        <w:t>组织对工程进行复查验收，复验合格后，拨付工程质量保证金。</w:t>
      </w:r>
    </w:p>
    <w:p w14:paraId="58113D6D">
      <w:pPr>
        <w:widowControl w:val="0"/>
        <w:numPr>
          <w:ilvl w:val="0"/>
          <w:numId w:val="0"/>
        </w:numPr>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项目实施的目的和主要工作任务：主要提升改善</w:t>
      </w:r>
      <w:r>
        <w:rPr>
          <w:rFonts w:hint="eastAsia" w:ascii="仿宋_GB2312" w:hAnsi="Times New Roman" w:eastAsia="仿宋_GB2312" w:cs="Times New Roman"/>
          <w:kern w:val="2"/>
          <w:sz w:val="32"/>
          <w:szCs w:val="32"/>
          <w:lang w:val="zh-CN" w:eastAsia="zh-CN"/>
        </w:rPr>
        <w:t>项目实施点村落环境脏乱差，无文化宣传设施，居民的交通环境，居住环境凌乱，建筑风格参差不齐，无专门的农业采摘线路，基础设施落后，无系统排水，垃圾无定点堆放处置区域，院落散乱等。</w:t>
      </w:r>
      <w:r>
        <w:rPr>
          <w:rFonts w:hint="eastAsia" w:ascii="仿宋_GB2312" w:hAnsi="Times New Roman" w:eastAsia="仿宋_GB2312" w:cs="Times New Roman"/>
          <w:kern w:val="2"/>
          <w:sz w:val="32"/>
          <w:szCs w:val="32"/>
          <w:lang w:val="en-US" w:eastAsia="zh-CN"/>
        </w:rPr>
        <w:t>项目支持方向：主要支持农业发展与提升，基础设施建设，人居环境改善等。</w:t>
      </w:r>
    </w:p>
    <w:p w14:paraId="378A5CEF">
      <w:pPr>
        <w:widowControl/>
        <w:numPr>
          <w:ilvl w:val="0"/>
          <w:numId w:val="0"/>
        </w:numPr>
        <w:adjustRightInd w:val="0"/>
        <w:snapToGrid w:val="0"/>
        <w:spacing w:before="0" w:beforeAutospacing="0" w:after="0" w:afterAutospacing="0" w:line="578" w:lineRule="exact"/>
        <w:ind w:right="0" w:rightChars="0" w:firstLine="643" w:firstLineChars="200"/>
        <w:contextualSpacing/>
        <w:jc w:val="left"/>
        <w:rPr>
          <w:rFonts w:hint="eastAsia" w:ascii="仿宋_GB2312" w:hAnsi="Times New Roman" w:eastAsia="仿宋_GB2312" w:cs="Times New Roman"/>
          <w:kern w:val="2"/>
          <w:sz w:val="32"/>
          <w:szCs w:val="32"/>
          <w:lang w:val="en-US" w:eastAsia="zh-CN" w:bidi="ar-SA"/>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eastAsia="zh-CN"/>
        </w:rPr>
        <w:t>）</w:t>
      </w:r>
      <w:r>
        <w:rPr>
          <w:rFonts w:ascii="楷体_GB2312" w:hAnsi="宋体" w:eastAsia="楷体_GB2312" w:cs="Times New Roman"/>
          <w:b/>
          <w:kern w:val="2"/>
          <w:sz w:val="32"/>
          <w:szCs w:val="32"/>
        </w:rPr>
        <w:t>预算安排及分配管理</w:t>
      </w:r>
      <w:r>
        <w:rPr>
          <w:rFonts w:hint="eastAsia" w:ascii="楷体_GB2312" w:hAnsi="宋体" w:eastAsia="楷体_GB2312" w:cs="Times New Roman"/>
          <w:b/>
          <w:kern w:val="2"/>
          <w:sz w:val="32"/>
          <w:szCs w:val="32"/>
          <w:lang w:eastAsia="zh-CN"/>
        </w:rPr>
        <w:t>。</w:t>
      </w:r>
      <w:r>
        <w:rPr>
          <w:rFonts w:hint="eastAsia" w:ascii="仿宋_GB2312" w:hAnsi="Times New Roman" w:eastAsia="仿宋_GB2312" w:cs="Times New Roman"/>
          <w:kern w:val="2"/>
          <w:sz w:val="32"/>
          <w:szCs w:val="32"/>
          <w:lang w:val="en-US" w:eastAsia="zh-CN" w:bidi="ar-SA"/>
        </w:rPr>
        <w:t>项目总资金600万元：第一部分工程费用505.06万元，第二部分工程建设其他费用66.37万元，第三部分预备费28.57万元。</w:t>
      </w:r>
    </w:p>
    <w:p w14:paraId="2353EE0E">
      <w:pPr>
        <w:widowControl w:val="0"/>
        <w:spacing w:before="0" w:beforeAutospacing="0" w:after="0" w:afterAutospacing="0"/>
        <w:ind w:left="0" w:right="0" w:firstLine="640" w:firstLineChars="200"/>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资金分配原则及考虑因素：（1）始终坚持2024年茂县乡村振兴示范村建设项目投资概算安排表总体指导，分配后按照各专项（财政评定工程建设费用、工程采购费用、二类费用及最终合同签订的各类费用）等落实。招标后按照合同签订费用分配后直达项目实施主体总承包单位及二类服务单位，保持节约不浪费，有效资金利用最大化，本单位不做任何截留的资金分配原则。（2）根据对口援建办公室的总体工作目标任务、重点任务及相关要求进行综合测算，并结合因素分配法，对下达本单位的资金进行再分配给项目实施及服务单位单位，为下一年项目资金分配管理、落实计划提供有效参考经验，从而提高项目实施效率。</w:t>
      </w:r>
    </w:p>
    <w:p w14:paraId="30A7C0B7">
      <w:pPr>
        <w:widowControl w:val="0"/>
        <w:numPr>
          <w:ilvl w:val="0"/>
          <w:numId w:val="0"/>
        </w:numPr>
        <w:spacing w:before="0" w:beforeAutospacing="0" w:after="0" w:afterAutospacing="0"/>
        <w:ind w:left="0"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项目资金分配情况：第一部分工程招标中标价170.14万元，第二部分政府采购中标价349.43万元，第三部分二类费用34.65万元。</w:t>
      </w:r>
    </w:p>
    <w:p w14:paraId="75D3B041">
      <w:pPr>
        <w:widowControl w:val="0"/>
        <w:numPr>
          <w:ilvl w:val="0"/>
          <w:numId w:val="0"/>
        </w:numPr>
        <w:adjustRightInd w:val="0"/>
        <w:snapToGrid w:val="0"/>
        <w:spacing w:before="0" w:beforeAutospacing="0" w:after="0" w:afterAutospacing="0" w:line="578" w:lineRule="exact"/>
        <w:ind w:right="0" w:firstLine="643" w:firstLineChars="200"/>
        <w:jc w:val="both"/>
        <w:rPr>
          <w:rFonts w:hint="eastAsia" w:ascii="仿宋_GB2312" w:hAnsi="Times New Roman" w:eastAsia="仿宋_GB2312" w:cs="Times New Roman"/>
          <w:kern w:val="2"/>
          <w:sz w:val="32"/>
          <w:szCs w:val="32"/>
          <w:lang w:val="zh-CN" w:eastAsia="zh-CN" w:bidi="ar-SA"/>
        </w:rPr>
      </w:pPr>
      <w:r>
        <w:rPr>
          <w:rFonts w:hint="eastAsia" w:ascii="楷体_GB2312" w:hAnsi="宋体" w:eastAsia="楷体_GB2312" w:cs="Times New Roman"/>
          <w:b/>
          <w:kern w:val="2"/>
          <w:sz w:val="32"/>
          <w:szCs w:val="32"/>
          <w:lang w:val="zh-CN"/>
        </w:rPr>
        <w:t>（</w:t>
      </w:r>
      <w:r>
        <w:rPr>
          <w:rFonts w:hint="eastAsia" w:ascii="楷体_GB2312" w:hAnsi="宋体" w:eastAsia="楷体_GB2312" w:cs="Times New Roman"/>
          <w:b/>
          <w:kern w:val="2"/>
          <w:sz w:val="32"/>
          <w:szCs w:val="32"/>
          <w:lang w:val="en-US" w:eastAsia="zh-CN"/>
        </w:rPr>
        <w:t>四</w:t>
      </w:r>
      <w:r>
        <w:rPr>
          <w:rFonts w:hint="eastAsia" w:ascii="楷体_GB2312" w:hAnsi="宋体" w:eastAsia="楷体_GB2312" w:cs="Times New Roman"/>
          <w:b/>
          <w:kern w:val="2"/>
          <w:sz w:val="32"/>
          <w:szCs w:val="32"/>
          <w:lang w:val="zh-CN"/>
        </w:rPr>
        <w:t>）项目绩效目标设置。</w:t>
      </w:r>
      <w:r>
        <w:rPr>
          <w:rFonts w:hint="eastAsia" w:ascii="仿宋_GB2312" w:hAnsi="Times New Roman" w:eastAsia="仿宋_GB2312" w:cs="Times New Roman"/>
          <w:kern w:val="2"/>
          <w:sz w:val="32"/>
          <w:szCs w:val="32"/>
          <w:lang w:val="zh-CN" w:eastAsia="zh-CN" w:bidi="ar-SA"/>
        </w:rPr>
        <w:t>项目整体、区域和具体绩效目标设置情况：</w:t>
      </w:r>
      <w:r>
        <w:rPr>
          <w:rFonts w:hint="eastAsia" w:ascii="仿宋_GB2312" w:hAnsi="Times New Roman" w:eastAsia="仿宋_GB2312" w:cs="仿宋_GB2312"/>
          <w:b w:val="0"/>
          <w:i w:val="0"/>
          <w:caps w:val="0"/>
          <w:smallCaps w:val="0"/>
          <w:spacing w:val="0"/>
          <w:w w:val="100"/>
          <w:kern w:val="2"/>
          <w:sz w:val="32"/>
          <w:szCs w:val="32"/>
          <w:lang w:val="en-US" w:eastAsia="zh-CN" w:bidi="ar-SA"/>
        </w:rPr>
        <w:t>(1)产业发展与提升：产业道路硬化2700平方米；片石挡坎1350立方米；农田灌溉蓄水桶5立方PE储水桶,φ25水管1000米、φ50水管500米；产业排水沟500米；太阳能杀虫灯12盏；LED显示屏。(2)基础设施建设：混凝土水沟1500米，三级沉淀池一座10.0米*5.0米；(3)人居环境整治：人居环境整治3670平方米；太阳能路灯100盏；风貌改造提升6000平方米，真石漆墙面+艺术彩绘2500平方米；微景观打造600平方米。</w:t>
      </w:r>
    </w:p>
    <w:p w14:paraId="0A46497C">
      <w:pPr>
        <w:widowControl w:val="0"/>
        <w:spacing w:before="0" w:beforeAutospacing="0" w:after="0" w:afterAutospacing="0"/>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bidi="ar-SA"/>
        </w:rPr>
        <w:t>项目自评工作开展情况：项目于2023年6月开始实施，到2023年11月全面完工，由科农局及相关技术部门、监理单位，设计单位，镇村人员组织了最后的竣工验收。</w:t>
      </w:r>
    </w:p>
    <w:p w14:paraId="1D394E15">
      <w:pPr>
        <w:widowControl w:val="0"/>
        <w:adjustRightInd w:val="0"/>
        <w:snapToGrid w:val="0"/>
        <w:spacing w:before="0" w:beforeAutospacing="0" w:after="0" w:afterAutospacing="0" w:line="578" w:lineRule="exact"/>
        <w:ind w:left="0" w:right="0" w:firstLine="640" w:firstLineChars="200"/>
        <w:jc w:val="both"/>
        <w:outlineLvl w:val="1"/>
        <w:rPr>
          <w:rFonts w:ascii="黑体" w:hAnsi="宋体" w:eastAsia="黑体" w:cs="Times New Roman"/>
          <w:kern w:val="2"/>
          <w:sz w:val="32"/>
          <w:szCs w:val="32"/>
        </w:rPr>
      </w:pPr>
      <w:bookmarkStart w:id="228" w:name="_Toc28831"/>
      <w:bookmarkStart w:id="229" w:name="_Toc30141"/>
      <w:r>
        <w:rPr>
          <w:rFonts w:hint="eastAsia" w:ascii="黑体" w:hAnsi="宋体" w:eastAsia="黑体" w:cs="Times New Roman"/>
          <w:kern w:val="2"/>
          <w:sz w:val="32"/>
          <w:szCs w:val="32"/>
        </w:rPr>
        <w:t>二、评价实施</w:t>
      </w:r>
      <w:bookmarkEnd w:id="228"/>
      <w:bookmarkEnd w:id="229"/>
    </w:p>
    <w:p w14:paraId="17279FE2">
      <w:pPr>
        <w:widowControl w:val="0"/>
        <w:numPr>
          <w:ilvl w:val="0"/>
          <w:numId w:val="0"/>
        </w:numPr>
        <w:adjustRightInd w:val="0"/>
        <w:snapToGrid w:val="0"/>
        <w:spacing w:before="0" w:beforeAutospacing="0" w:after="0" w:afterAutospacing="0" w:line="600" w:lineRule="exact"/>
        <w:ind w:left="0" w:right="0" w:firstLine="643" w:firstLineChars="200"/>
        <w:jc w:val="both"/>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（一）评价目的。</w:t>
      </w:r>
      <w:r>
        <w:rPr>
          <w:rFonts w:hint="eastAsia" w:ascii="仿宋_GB2312" w:hAnsi="Times New Roman" w:eastAsia="仿宋_GB2312" w:cs="Times New Roman"/>
          <w:kern w:val="2"/>
          <w:sz w:val="32"/>
          <w:szCs w:val="32"/>
          <w:lang w:val="zh-CN" w:eastAsia="zh-CN"/>
        </w:rPr>
        <w:t>项目实施后提升改善了凤仪镇静州村、沟口镇飞虹村两个村落的脏乱差，基本无较为成型的文化宣传设施，居民的交通环境，居住环境凌乱，建筑风格参差不齐，无专门的农业采摘线路，基础设施落后，无系统排水，垃圾无定点堆放处置区域，院落散乱等现状。</w:t>
      </w:r>
    </w:p>
    <w:p w14:paraId="30345FD8">
      <w:pPr>
        <w:widowControl w:val="0"/>
        <w:adjustRightInd w:val="0"/>
        <w:snapToGrid w:val="0"/>
        <w:spacing w:before="0" w:beforeAutospacing="0" w:after="0" w:afterAutospacing="0" w:line="578" w:lineRule="exact"/>
        <w:ind w:left="0" w:right="0" w:firstLine="643" w:firstLineChars="200"/>
        <w:jc w:val="both"/>
        <w:rPr>
          <w:rFonts w:ascii="Times New Roman" w:hAnsi="Times New Roman" w:eastAsia="仿宋_GB2312" w:cs="Times New Roman"/>
          <w:kern w:val="2"/>
          <w:sz w:val="32"/>
          <w:szCs w:val="32"/>
        </w:rPr>
      </w:pPr>
      <w:r>
        <w:rPr>
          <w:rFonts w:hint="eastAsia" w:ascii="楷体_GB2312" w:hAnsi="宋体" w:eastAsia="楷体_GB2312" w:cs="Times New Roman"/>
          <w:b/>
          <w:kern w:val="2"/>
          <w:sz w:val="32"/>
          <w:szCs w:val="32"/>
          <w:lang w:val="zh-CN"/>
        </w:rPr>
        <w:t>（二）预设问题及评价重点。</w:t>
      </w:r>
      <w:r>
        <w:rPr>
          <w:rFonts w:hint="eastAsia" w:ascii="Times New Roman" w:hAnsi="Times New Roman" w:eastAsia="仿宋_GB2312" w:cs="Times New Roman"/>
          <w:kern w:val="2"/>
          <w:sz w:val="32"/>
          <w:szCs w:val="32"/>
        </w:rPr>
        <w:t>绩效目标与项目资金量、使用方向</w:t>
      </w:r>
      <w:r>
        <w:rPr>
          <w:rFonts w:hint="eastAsia" w:ascii="Times New Roman" w:hAnsi="Times New Roman" w:eastAsia="仿宋_GB2312" w:cs="Times New Roman"/>
          <w:kern w:val="2"/>
          <w:sz w:val="32"/>
          <w:szCs w:val="32"/>
          <w:lang w:eastAsia="zh-CN"/>
        </w:rPr>
        <w:t>完全</w:t>
      </w:r>
      <w:r>
        <w:rPr>
          <w:rFonts w:hint="eastAsia" w:ascii="Times New Roman" w:hAnsi="Times New Roman" w:eastAsia="仿宋_GB2312" w:cs="Times New Roman"/>
          <w:kern w:val="2"/>
          <w:sz w:val="32"/>
          <w:szCs w:val="32"/>
        </w:rPr>
        <w:t>匹配，在既定资金规模下，绩效目标</w:t>
      </w:r>
      <w:r>
        <w:rPr>
          <w:rFonts w:hint="eastAsia" w:ascii="Times New Roman" w:hAnsi="Times New Roman" w:eastAsia="仿宋_GB2312" w:cs="Times New Roman"/>
          <w:kern w:val="2"/>
          <w:sz w:val="32"/>
          <w:szCs w:val="32"/>
          <w:lang w:eastAsia="zh-CN"/>
        </w:rPr>
        <w:t>合适</w:t>
      </w:r>
      <w:r>
        <w:rPr>
          <w:rFonts w:hint="eastAsia" w:ascii="Times New Roman" w:hAnsi="Times New Roman" w:eastAsia="仿宋_GB2312" w:cs="Times New Roman"/>
          <w:kern w:val="2"/>
          <w:sz w:val="32"/>
          <w:szCs w:val="32"/>
        </w:rPr>
        <w:t>；完成既定绩效目标，资金规模</w:t>
      </w:r>
      <w:r>
        <w:rPr>
          <w:rFonts w:hint="eastAsia" w:ascii="Times New Roman" w:hAnsi="Times New Roman" w:eastAsia="仿宋_GB2312" w:cs="Times New Roman"/>
          <w:kern w:val="2"/>
          <w:sz w:val="32"/>
          <w:szCs w:val="32"/>
          <w:lang w:eastAsia="zh-CN"/>
        </w:rPr>
        <w:t>合适</w:t>
      </w:r>
      <w:r>
        <w:rPr>
          <w:rFonts w:hint="eastAsia" w:ascii="Times New Roman" w:hAnsi="Times New Roman" w:eastAsia="仿宋_GB2312" w:cs="Times New Roman"/>
          <w:kern w:val="2"/>
          <w:sz w:val="32"/>
          <w:szCs w:val="32"/>
        </w:rPr>
        <w:t>。</w:t>
      </w:r>
    </w:p>
    <w:p w14:paraId="17D63510">
      <w:pPr>
        <w:widowControl w:val="0"/>
        <w:adjustRightInd w:val="0"/>
        <w:snapToGrid w:val="0"/>
        <w:spacing w:before="0" w:beforeAutospacing="0" w:after="0" w:afterAutospacing="0" w:line="578" w:lineRule="exact"/>
        <w:ind w:left="0" w:right="0" w:firstLine="643" w:firstLineChars="200"/>
        <w:jc w:val="both"/>
        <w:rPr>
          <w:rFonts w:ascii="Times New Roman" w:hAnsi="Times New Roman" w:eastAsia="仿宋_GB2312" w:cs="Times New Roman"/>
          <w:color w:val="auto"/>
          <w:kern w:val="2"/>
          <w:sz w:val="32"/>
          <w:szCs w:val="32"/>
          <w:lang w:val="zh-CN"/>
        </w:rPr>
      </w:pPr>
      <w:r>
        <w:rPr>
          <w:rFonts w:hint="eastAsia" w:ascii="楷体_GB2312" w:hAnsi="宋体" w:eastAsia="楷体_GB2312" w:cs="Times New Roman"/>
          <w:b/>
          <w:kern w:val="2"/>
          <w:sz w:val="32"/>
          <w:szCs w:val="32"/>
          <w:lang w:val="zh-CN"/>
        </w:rPr>
        <w:t>（三）评价选点。</w:t>
      </w:r>
      <w:r>
        <w:rPr>
          <w:rFonts w:hint="eastAsia" w:ascii="Times New Roman" w:hAnsi="Times New Roman" w:eastAsia="仿宋_GB2312" w:cs="Times New Roman"/>
          <w:color w:val="auto"/>
          <w:kern w:val="2"/>
          <w:sz w:val="32"/>
          <w:szCs w:val="32"/>
          <w:lang w:val="zh-CN"/>
        </w:rPr>
        <w:t>凤仪镇静州村、沟口镇飞虹村。</w:t>
      </w:r>
    </w:p>
    <w:p w14:paraId="48502CFC">
      <w:pPr>
        <w:widowControl w:val="0"/>
        <w:spacing w:before="0" w:beforeAutospacing="0" w:after="0" w:afterAutospacing="0" w:line="578" w:lineRule="exact"/>
        <w:ind w:left="0" w:right="0" w:firstLine="640"/>
        <w:jc w:val="both"/>
        <w:rPr>
          <w:rFonts w:hint="eastAsia" w:ascii="Times New Roman" w:hAnsi="Times New Roman" w:eastAsia="仿宋_GB2312" w:cs="Times New Roman"/>
          <w:kern w:val="2"/>
          <w:sz w:val="32"/>
          <w:szCs w:val="32"/>
          <w:lang w:eastAsia="zh-CN"/>
        </w:rPr>
      </w:pPr>
      <w:r>
        <w:rPr>
          <w:rFonts w:hint="eastAsia" w:ascii="楷体_GB2312" w:hAnsi="宋体" w:eastAsia="楷体_GB2312" w:cs="Times New Roman"/>
          <w:b/>
          <w:kern w:val="2"/>
          <w:sz w:val="32"/>
          <w:szCs w:val="32"/>
          <w:lang w:val="zh-CN"/>
        </w:rPr>
        <w:t>（四）评价方法。</w:t>
      </w:r>
      <w:r>
        <w:rPr>
          <w:rFonts w:ascii="Times New Roman" w:hAnsi="Times New Roman" w:eastAsia="仿宋_GB2312" w:cs="Times New Roman"/>
          <w:kern w:val="2"/>
          <w:sz w:val="32"/>
          <w:szCs w:val="32"/>
        </w:rPr>
        <w:t>单位自评法、实地勘察法</w:t>
      </w:r>
      <w:r>
        <w:rPr>
          <w:rFonts w:hint="eastAsia" w:ascii="Times New Roman" w:hAnsi="Times New Roman" w:eastAsia="仿宋_GB2312" w:cs="Times New Roman"/>
          <w:kern w:val="2"/>
          <w:sz w:val="32"/>
          <w:szCs w:val="32"/>
          <w:lang w:eastAsia="zh-CN"/>
        </w:rPr>
        <w:t>。</w:t>
      </w:r>
    </w:p>
    <w:p w14:paraId="3057D3E7">
      <w:pPr>
        <w:widowControl w:val="0"/>
        <w:adjustRightInd w:val="0"/>
        <w:snapToGrid w:val="0"/>
        <w:spacing w:before="0" w:beforeAutospacing="0" w:after="0" w:afterAutospacing="0" w:line="578" w:lineRule="exact"/>
        <w:ind w:left="0" w:right="0" w:firstLine="643" w:firstLineChars="200"/>
        <w:jc w:val="both"/>
        <w:rPr>
          <w:rFonts w:hint="eastAsia" w:ascii="仿宋" w:hAnsi="仿宋" w:eastAsia="仿宋" w:cs="Times New Roman"/>
          <w:color w:val="000000"/>
          <w:kern w:val="2"/>
          <w:sz w:val="32"/>
          <w:szCs w:val="32"/>
          <w:lang w:eastAsia="zh-CN"/>
        </w:rPr>
      </w:pPr>
      <w:r>
        <w:rPr>
          <w:rFonts w:hint="eastAsia" w:ascii="楷体_GB2312" w:hAnsi="宋体" w:eastAsia="楷体_GB2312" w:cs="Times New Roman"/>
          <w:b/>
          <w:kern w:val="2"/>
          <w:sz w:val="32"/>
          <w:szCs w:val="32"/>
          <w:lang w:val="zh-CN"/>
        </w:rPr>
        <w:t>（五）评价组织。</w:t>
      </w:r>
      <w:r>
        <w:rPr>
          <w:rFonts w:ascii="仿宋" w:hAnsi="仿宋" w:eastAsia="仿宋" w:cs="Times New Roman"/>
          <w:color w:val="000000"/>
          <w:kern w:val="2"/>
          <w:sz w:val="32"/>
          <w:szCs w:val="32"/>
        </w:rPr>
        <w:t>评价组</w:t>
      </w:r>
      <w:r>
        <w:rPr>
          <w:rFonts w:hint="eastAsia" w:ascii="仿宋" w:hAnsi="仿宋" w:eastAsia="仿宋" w:cs="Times New Roman"/>
          <w:color w:val="000000"/>
          <w:kern w:val="2"/>
          <w:sz w:val="32"/>
          <w:szCs w:val="32"/>
        </w:rPr>
        <w:t>由</w:t>
      </w:r>
      <w:r>
        <w:rPr>
          <w:rFonts w:hint="eastAsia" w:ascii="仿宋" w:hAnsi="仿宋" w:eastAsia="仿宋" w:cs="Times New Roman"/>
          <w:color w:val="000000"/>
          <w:kern w:val="2"/>
          <w:sz w:val="32"/>
          <w:szCs w:val="32"/>
          <w:lang w:val="en-US" w:eastAsia="zh-CN"/>
        </w:rPr>
        <w:t>茂县科学技术和农业畜牧局</w:t>
      </w:r>
      <w:r>
        <w:rPr>
          <w:rFonts w:hint="eastAsia" w:ascii="仿宋" w:hAnsi="仿宋" w:eastAsia="仿宋" w:cs="Times New Roman"/>
          <w:color w:val="000000"/>
          <w:kern w:val="2"/>
          <w:sz w:val="32"/>
          <w:szCs w:val="32"/>
        </w:rPr>
        <w:t>及</w:t>
      </w:r>
      <w:r>
        <w:rPr>
          <w:rFonts w:hint="eastAsia" w:ascii="仿宋" w:hAnsi="仿宋" w:eastAsia="仿宋" w:cs="Times New Roman"/>
          <w:color w:val="000000"/>
          <w:kern w:val="2"/>
          <w:sz w:val="32"/>
          <w:szCs w:val="32"/>
          <w:lang w:eastAsia="zh-CN"/>
        </w:rPr>
        <w:t>相关技术负责部门和</w:t>
      </w:r>
      <w:r>
        <w:rPr>
          <w:rFonts w:hint="eastAsia" w:ascii="仿宋" w:hAnsi="仿宋" w:eastAsia="仿宋" w:cs="Times New Roman"/>
          <w:color w:val="000000"/>
          <w:kern w:val="2"/>
          <w:sz w:val="32"/>
          <w:szCs w:val="32"/>
        </w:rPr>
        <w:t>各镇</w:t>
      </w:r>
      <w:r>
        <w:rPr>
          <w:rFonts w:hint="eastAsia" w:ascii="仿宋" w:hAnsi="仿宋" w:eastAsia="仿宋" w:cs="Times New Roman"/>
          <w:color w:val="000000"/>
          <w:kern w:val="2"/>
          <w:sz w:val="32"/>
          <w:szCs w:val="32"/>
          <w:lang w:eastAsia="zh-CN"/>
        </w:rPr>
        <w:t>村</w:t>
      </w:r>
      <w:r>
        <w:rPr>
          <w:rFonts w:hint="eastAsia" w:ascii="仿宋" w:hAnsi="仿宋" w:eastAsia="仿宋" w:cs="Times New Roman"/>
          <w:color w:val="000000"/>
          <w:kern w:val="2"/>
          <w:sz w:val="32"/>
          <w:szCs w:val="32"/>
        </w:rPr>
        <w:t>工作人员</w:t>
      </w:r>
      <w:r>
        <w:rPr>
          <w:rFonts w:hint="eastAsia" w:ascii="仿宋" w:hAnsi="仿宋" w:eastAsia="仿宋" w:cs="Times New Roman"/>
          <w:color w:val="000000"/>
          <w:kern w:val="2"/>
          <w:sz w:val="32"/>
          <w:szCs w:val="32"/>
          <w:lang w:eastAsia="zh-CN"/>
        </w:rPr>
        <w:t>、</w:t>
      </w:r>
      <w:r>
        <w:rPr>
          <w:rFonts w:hint="eastAsia" w:ascii="仿宋" w:hAnsi="仿宋" w:eastAsia="仿宋" w:cs="Times New Roman"/>
          <w:color w:val="000000"/>
          <w:kern w:val="2"/>
          <w:sz w:val="32"/>
          <w:szCs w:val="32"/>
          <w:lang w:val="en-US" w:eastAsia="zh-CN"/>
        </w:rPr>
        <w:t>设计公司人员、监理公司工作人员</w:t>
      </w:r>
      <w:r>
        <w:rPr>
          <w:rFonts w:ascii="仿宋" w:hAnsi="仿宋" w:eastAsia="仿宋" w:cs="Times New Roman"/>
          <w:color w:val="000000"/>
          <w:kern w:val="2"/>
          <w:sz w:val="32"/>
          <w:szCs w:val="32"/>
        </w:rPr>
        <w:t>构成</w:t>
      </w:r>
      <w:r>
        <w:rPr>
          <w:rFonts w:hint="eastAsia" w:ascii="仿宋" w:hAnsi="仿宋" w:eastAsia="仿宋" w:cs="Times New Roman"/>
          <w:color w:val="000000"/>
          <w:kern w:val="2"/>
          <w:sz w:val="32"/>
          <w:szCs w:val="32"/>
          <w:lang w:eastAsia="zh-CN"/>
        </w:rPr>
        <w:t>。</w:t>
      </w:r>
    </w:p>
    <w:p w14:paraId="0CCB22A0">
      <w:pPr>
        <w:widowControl w:val="0"/>
        <w:adjustRightInd w:val="0"/>
        <w:snapToGrid w:val="0"/>
        <w:spacing w:before="0" w:beforeAutospacing="0" w:after="0" w:afterAutospacing="0" w:line="578" w:lineRule="exact"/>
        <w:ind w:left="0" w:right="0" w:firstLine="640" w:firstLineChars="200"/>
        <w:jc w:val="both"/>
        <w:outlineLvl w:val="1"/>
        <w:rPr>
          <w:rFonts w:ascii="Times New Roman" w:hAnsi="Times New Roman" w:eastAsia="仿宋_GB2312" w:cs="Times New Roman"/>
          <w:kern w:val="2"/>
          <w:sz w:val="32"/>
          <w:szCs w:val="32"/>
        </w:rPr>
      </w:pPr>
      <w:bookmarkStart w:id="230" w:name="_Toc3477"/>
      <w:bookmarkStart w:id="231" w:name="_Toc24543"/>
      <w:r>
        <w:rPr>
          <w:rFonts w:hint="eastAsia" w:ascii="黑体" w:hAnsi="宋体" w:eastAsia="黑体" w:cs="Times New Roman"/>
          <w:kern w:val="2"/>
          <w:sz w:val="32"/>
          <w:szCs w:val="32"/>
        </w:rPr>
        <w:t>三、绩效分析</w:t>
      </w:r>
      <w:bookmarkEnd w:id="230"/>
      <w:bookmarkEnd w:id="231"/>
      <w:r>
        <w:rPr>
          <w:rFonts w:hint="eastAsia" w:ascii="仿宋_GB2312" w:hAnsi="宋体" w:eastAsia="仿宋_GB2312" w:cs="Times New Roman"/>
          <w:kern w:val="2"/>
          <w:sz w:val="32"/>
          <w:szCs w:val="32"/>
          <w:lang w:val="zh-CN"/>
        </w:rPr>
        <w:tab/>
      </w:r>
    </w:p>
    <w:p w14:paraId="01AD9E5A">
      <w:pPr>
        <w:widowControl w:val="0"/>
        <w:spacing w:before="0" w:beforeAutospacing="0" w:after="0" w:afterAutospacing="0" w:line="578" w:lineRule="exact"/>
        <w:ind w:left="0" w:right="0" w:firstLine="640"/>
        <w:jc w:val="both"/>
        <w:rPr>
          <w:rFonts w:ascii="楷体_GB2312" w:hAnsi="宋体" w:eastAsia="楷体_GB2312" w:cs="Times New Roman"/>
          <w:b/>
          <w:kern w:val="2"/>
          <w:sz w:val="32"/>
          <w:szCs w:val="32"/>
        </w:rPr>
      </w:pPr>
      <w:r>
        <w:rPr>
          <w:rFonts w:hint="eastAsia" w:ascii="楷体_GB2312" w:hAnsi="宋体" w:eastAsia="楷体_GB2312" w:cs="Times New Roman"/>
          <w:b/>
          <w:kern w:val="2"/>
          <w:sz w:val="32"/>
          <w:szCs w:val="32"/>
          <w:lang w:val="zh-CN"/>
        </w:rPr>
        <w:t>（一）</w:t>
      </w:r>
      <w:r>
        <w:rPr>
          <w:rFonts w:hint="eastAsia" w:ascii="楷体_GB2312" w:hAnsi="宋体" w:eastAsia="楷体_GB2312" w:cs="Times New Roman"/>
          <w:b/>
          <w:kern w:val="2"/>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14:paraId="0BB56870">
      <w:pPr>
        <w:widowControl w:val="0"/>
        <w:spacing w:before="0" w:beforeAutospacing="0" w:after="0" w:afterAutospacing="0" w:line="578" w:lineRule="exact"/>
        <w:ind w:left="0" w:right="0" w:firstLine="640"/>
        <w:jc w:val="both"/>
        <w:rPr>
          <w:rFonts w:hint="eastAsia" w:ascii="仿宋_GB2312" w:hAnsi="Times New Roman" w:eastAsia="仿宋_GB2312" w:cs="Times New Roman"/>
          <w:kern w:val="2"/>
          <w:sz w:val="32"/>
          <w:szCs w:val="32"/>
          <w:lang w:val="zh-CN" w:eastAsia="zh-CN" w:bidi="ar-SA"/>
        </w:rPr>
      </w:pPr>
      <w:r>
        <w:rPr>
          <w:rFonts w:hint="eastAsia" w:ascii="楷体_GB2312" w:hAnsi="楷体_GB2312" w:eastAsia="楷体_GB2312" w:cs="楷体_GB2312"/>
          <w:kern w:val="2"/>
          <w:sz w:val="32"/>
          <w:szCs w:val="32"/>
        </w:rPr>
        <w:t>1.项目决策。</w:t>
      </w:r>
      <w:r>
        <w:rPr>
          <w:rFonts w:hint="eastAsia" w:ascii="仿宋_GB2312" w:hAnsi="Times New Roman" w:eastAsia="仿宋_GB2312" w:cs="Times New Roman"/>
          <w:kern w:val="2"/>
          <w:sz w:val="32"/>
          <w:szCs w:val="32"/>
          <w:lang w:val="zh-CN" w:eastAsia="zh-CN" w:bidi="ar-SA"/>
        </w:rPr>
        <w:t>程序严密，项目设立、调整延续等方面符合资金管理基本规范和决策程序要求。项目规划论证符合中省要求，项目绩效目标设置科学合理。项目资金与项目总体规划、相关行业事业发展相匹配，聚焦重大任务、重点领域、重点环节和重点项目。属于政府支持范围，且符合财政事权支出责任划分规定。</w:t>
      </w:r>
    </w:p>
    <w:p w14:paraId="4A792D1E">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rPr>
        <w:t>项目管理。</w:t>
      </w:r>
      <w:r>
        <w:rPr>
          <w:rFonts w:hint="eastAsia" w:ascii="仿宋_GB2312" w:hAnsi="Times New Roman" w:eastAsia="仿宋_GB2312" w:cs="Times New Roman"/>
          <w:kern w:val="2"/>
          <w:sz w:val="32"/>
          <w:szCs w:val="32"/>
          <w:lang w:val="en-US" w:eastAsia="zh-CN" w:bidi="ar-SA"/>
        </w:rPr>
        <w:t>项目制度办法体系健全、要素完备。项目资金分配因素选取、权重设置、区域分布，项目管理、审批符合管理要求。项目绩效监管按要求开展，对下指导有力有效。项目按中省要求全面完成绩效目标（含事前评估）、绩效评价、以前年度问题整改等预算绩效管理工作。</w:t>
      </w:r>
    </w:p>
    <w:p w14:paraId="57D5F0E0">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3.</w:t>
      </w:r>
      <w:r>
        <w:rPr>
          <w:rFonts w:hint="eastAsia" w:ascii="楷体_GB2312" w:hAnsi="楷体_GB2312" w:eastAsia="楷体_GB2312" w:cs="楷体_GB2312"/>
          <w:kern w:val="2"/>
          <w:sz w:val="32"/>
          <w:szCs w:val="32"/>
        </w:rPr>
        <w:t>项目实施。</w:t>
      </w:r>
      <w:r>
        <w:rPr>
          <w:rFonts w:hint="eastAsia" w:ascii="Times New Roman" w:hAnsi="Times New Roman" w:eastAsia="仿宋_GB2312" w:cs="Times New Roman"/>
          <w:kern w:val="2"/>
          <w:sz w:val="32"/>
          <w:szCs w:val="32"/>
          <w:lang w:eastAsia="zh-CN"/>
        </w:rPr>
        <w:t>预算执行：项目资金财政拨付到位</w:t>
      </w:r>
      <w:r>
        <w:rPr>
          <w:rFonts w:hint="eastAsia" w:ascii="Times New Roman" w:hAnsi="Times New Roman" w:eastAsia="仿宋_GB2312" w:cs="Times New Roman"/>
          <w:kern w:val="2"/>
          <w:sz w:val="32"/>
          <w:szCs w:val="32"/>
          <w:lang w:val="en-US" w:eastAsia="zh-CN"/>
        </w:rPr>
        <w:t>100%。资金使用：到位资金600万，支付525.22万，剩余资金74.78万元，已经退回财政，资金使用拨付、项目实施符合规定。</w:t>
      </w:r>
    </w:p>
    <w:p w14:paraId="310CB31B">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rPr>
        <w:t>项目结果。</w:t>
      </w:r>
      <w:r>
        <w:rPr>
          <w:rFonts w:hint="eastAsia" w:ascii="仿宋_GB2312" w:hAnsi="Times New Roman" w:eastAsia="仿宋_GB2312" w:cs="Times New Roman"/>
          <w:kern w:val="2"/>
          <w:sz w:val="32"/>
          <w:szCs w:val="32"/>
          <w:lang w:val="en-US" w:eastAsia="zh-CN" w:bidi="ar-SA"/>
        </w:rPr>
        <w:t>项目完成预期目标，实施结果与绩效目标相匹配，反映目标实现程度。项目完成及时。</w:t>
      </w:r>
    </w:p>
    <w:p w14:paraId="78525003">
      <w:pPr>
        <w:widowControl w:val="0"/>
        <w:spacing w:before="0" w:beforeAutospacing="0" w:after="0" w:afterAutospacing="0" w:line="578" w:lineRule="exact"/>
        <w:ind w:left="0" w:right="0" w:firstLine="643" w:firstLineChars="200"/>
        <w:jc w:val="both"/>
        <w:rPr>
          <w:rFonts w:ascii="楷体_GB2312" w:hAnsi="楷体_GB2312" w:eastAsia="楷体_GB2312" w:cs="楷体_GB2312"/>
          <w:kern w:val="2"/>
          <w:sz w:val="32"/>
          <w:szCs w:val="32"/>
          <w:lang w:val="zh-CN"/>
        </w:rPr>
      </w:pPr>
      <w:r>
        <w:rPr>
          <w:rFonts w:hint="eastAsia" w:ascii="楷体_GB2312" w:hAnsi="宋体" w:eastAsia="楷体_GB2312" w:cs="Times New Roman"/>
          <w:b/>
          <w:kern w:val="2"/>
          <w:sz w:val="32"/>
          <w:szCs w:val="32"/>
          <w:lang w:val="zh-CN"/>
        </w:rPr>
        <w:t>（二）</w:t>
      </w:r>
      <w:r>
        <w:rPr>
          <w:rFonts w:hint="eastAsia" w:ascii="楷体_GB2312" w:hAnsi="宋体" w:eastAsia="楷体_GB2312" w:cs="Times New Roman"/>
          <w:b/>
          <w:kern w:val="2"/>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14:paraId="7EDE3D08">
      <w:pPr>
        <w:widowControl w:val="0"/>
        <w:spacing w:before="0" w:beforeAutospacing="0" w:after="0" w:afterAutospacing="0" w:line="578" w:lineRule="exact"/>
        <w:ind w:left="0" w:right="0" w:firstLine="640" w:firstLineChars="200"/>
        <w:jc w:val="both"/>
        <w:rPr>
          <w:rFonts w:hint="eastAsia" w:ascii="Times New Roman" w:hAnsi="Times New Roman" w:eastAsia="仿宋_GB2312" w:cs="Times New Roman"/>
          <w:color w:val="auto"/>
          <w:kern w:val="2"/>
          <w:sz w:val="32"/>
          <w:szCs w:val="32"/>
          <w:lang w:eastAsia="zh-CN"/>
        </w:rPr>
      </w:pPr>
      <w:r>
        <w:rPr>
          <w:rFonts w:hint="eastAsia" w:ascii="楷体_GB2312" w:hAnsi="楷体_GB2312" w:eastAsia="楷体_GB2312" w:cs="楷体_GB2312"/>
          <w:kern w:val="2"/>
          <w:sz w:val="32"/>
          <w:szCs w:val="32"/>
        </w:rPr>
        <w:t>1.产业发展。</w:t>
      </w:r>
      <w:r>
        <w:rPr>
          <w:rFonts w:hint="eastAsia" w:ascii="仿宋_GB2312" w:hAnsi="Times New Roman" w:eastAsia="仿宋_GB2312" w:cs="Times New Roman"/>
          <w:kern w:val="2"/>
          <w:sz w:val="32"/>
          <w:szCs w:val="32"/>
          <w:lang w:val="en-US" w:eastAsia="zh-CN" w:bidi="ar-SA"/>
        </w:rPr>
        <w:t>项目实施与省委省政府支持重点、产业支持政策符合。</w:t>
      </w:r>
    </w:p>
    <w:p w14:paraId="139D5B0B">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2.</w:t>
      </w:r>
      <w:r>
        <w:rPr>
          <w:rFonts w:hint="eastAsia" w:ascii="楷体_GB2312" w:hAnsi="楷体_GB2312" w:eastAsia="楷体_GB2312" w:cs="楷体_GB2312"/>
          <w:kern w:val="2"/>
          <w:sz w:val="32"/>
          <w:szCs w:val="32"/>
          <w:lang w:val="zh-CN"/>
        </w:rPr>
        <w:t>民生保障。</w:t>
      </w:r>
      <w:r>
        <w:rPr>
          <w:rFonts w:hint="eastAsia" w:ascii="仿宋_GB2312" w:hAnsi="Times New Roman" w:eastAsia="仿宋_GB2312" w:cs="Times New Roman"/>
          <w:kern w:val="2"/>
          <w:sz w:val="32"/>
          <w:szCs w:val="32"/>
          <w:lang w:val="en-US" w:eastAsia="zh-CN" w:bidi="ar-SA"/>
        </w:rPr>
        <w:t>项目资金分配体现均衡公平，资金分配科学合理、均衡公平。资金实际支持对象符合管理要求，符合支持对象范围。资金实际补贴标准符合资金管理办法规定的补助标准，及时按标准兑现。资金涉及相关受益群体、支持对象满意。</w:t>
      </w:r>
    </w:p>
    <w:p w14:paraId="43A47C52">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3.</w:t>
      </w:r>
      <w:r>
        <w:rPr>
          <w:rFonts w:hint="eastAsia" w:ascii="楷体_GB2312" w:hAnsi="楷体_GB2312" w:eastAsia="楷体_GB2312" w:cs="楷体_GB2312"/>
          <w:kern w:val="2"/>
          <w:sz w:val="32"/>
          <w:szCs w:val="32"/>
        </w:rPr>
        <w:t>基础设施。</w:t>
      </w:r>
      <w:r>
        <w:rPr>
          <w:rFonts w:hint="eastAsia" w:ascii="Times New Roman" w:hAnsi="Times New Roman" w:eastAsia="仿宋_GB2312" w:cs="Times New Roman"/>
          <w:kern w:val="2"/>
          <w:sz w:val="32"/>
          <w:szCs w:val="32"/>
          <w:lang w:eastAsia="zh-CN"/>
        </w:rPr>
        <w:t>项目达到计划工程进度，</w:t>
      </w:r>
      <w:r>
        <w:rPr>
          <w:rFonts w:hint="eastAsia" w:ascii="Times New Roman" w:hAnsi="Times New Roman" w:eastAsia="仿宋_GB2312" w:cs="Times New Roman"/>
          <w:kern w:val="2"/>
          <w:sz w:val="32"/>
          <w:szCs w:val="32"/>
          <w:lang w:val="en-US" w:eastAsia="zh-CN"/>
        </w:rPr>
        <w:t>资金达到预先确定的资金拨付进度，项目验收及时合格。</w:t>
      </w:r>
    </w:p>
    <w:p w14:paraId="2B8C75D6">
      <w:pPr>
        <w:widowControl w:val="0"/>
        <w:numPr>
          <w:ilvl w:val="0"/>
          <w:numId w:val="0"/>
        </w:numPr>
        <w:spacing w:before="0" w:beforeAutospacing="0" w:after="0" w:afterAutospacing="0" w:line="578" w:lineRule="exact"/>
        <w:ind w:left="0" w:right="0" w:firstLine="640" w:firstLineChars="200"/>
        <w:jc w:val="both"/>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4.</w:t>
      </w:r>
      <w:r>
        <w:rPr>
          <w:rFonts w:hint="eastAsia" w:ascii="楷体_GB2312" w:hAnsi="楷体_GB2312" w:eastAsia="楷体_GB2312" w:cs="楷体_GB2312"/>
          <w:kern w:val="2"/>
          <w:sz w:val="32"/>
          <w:szCs w:val="32"/>
          <w:lang w:val="zh-CN"/>
        </w:rPr>
        <w:t>行政运转。</w:t>
      </w:r>
      <w:r>
        <w:rPr>
          <w:rFonts w:hint="eastAsia" w:ascii="仿宋_GB2312" w:hAnsi="Times New Roman" w:eastAsia="仿宋_GB2312" w:cs="Times New Roman"/>
          <w:kern w:val="2"/>
          <w:sz w:val="32"/>
          <w:szCs w:val="32"/>
          <w:lang w:val="en-US" w:eastAsia="zh-CN" w:bidi="ar-SA"/>
        </w:rPr>
        <w:t>按规定用途、适用范围进行本地区专项资金分配。资金管理程序符合专项资金管理要求。资金分配标准符合专项资金管理要求。</w:t>
      </w:r>
    </w:p>
    <w:p w14:paraId="79A0AB8A">
      <w:pPr>
        <w:widowControl w:val="0"/>
        <w:numPr>
          <w:ilvl w:val="0"/>
          <w:numId w:val="0"/>
        </w:numPr>
        <w:spacing w:before="0" w:beforeAutospacing="0" w:after="0" w:afterAutospacing="0" w:line="578" w:lineRule="exact"/>
        <w:ind w:left="0" w:right="0" w:firstLine="643" w:firstLineChars="200"/>
        <w:jc w:val="both"/>
        <w:rPr>
          <w:rFonts w:ascii="Times New Roman" w:hAnsi="Times New Roman" w:eastAsia="楷体_GB2312" w:cs="Times New Roman"/>
          <w:b/>
          <w:bCs/>
          <w:color w:val="000000"/>
          <w:kern w:val="0"/>
          <w:sz w:val="32"/>
          <w:szCs w:val="32"/>
          <w:shd w:val="clear" w:color="auto" w:fill="FFFFFF"/>
          <w:lang w:val="zh-CN"/>
        </w:rPr>
      </w:pP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lang w:val="en-US" w:eastAsia="zh-CN"/>
        </w:rPr>
        <w:t>三</w:t>
      </w:r>
      <w:r>
        <w:rPr>
          <w:rFonts w:hint="eastAsia" w:ascii="楷体_GB2312" w:hAnsi="宋体" w:eastAsia="楷体_GB2312" w:cs="Times New Roman"/>
          <w:b/>
          <w:kern w:val="2"/>
          <w:sz w:val="32"/>
          <w:szCs w:val="32"/>
          <w:lang w:eastAsia="zh-CN"/>
        </w:rPr>
        <w:t>）</w:t>
      </w:r>
      <w:r>
        <w:rPr>
          <w:rFonts w:hint="eastAsia" w:ascii="楷体_GB2312" w:hAnsi="宋体" w:eastAsia="楷体_GB2312" w:cs="Times New Roman"/>
          <w:b/>
          <w:kern w:val="2"/>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14:paraId="507EEC1C">
      <w:pPr>
        <w:widowControl w:val="0"/>
        <w:numPr>
          <w:ilvl w:val="0"/>
          <w:numId w:val="0"/>
        </w:numPr>
        <w:spacing w:before="0" w:beforeAutospacing="0" w:after="0" w:afterAutospacing="0" w:line="578" w:lineRule="exact"/>
        <w:ind w:left="0" w:right="0" w:firstLine="640" w:firstLineChars="200"/>
        <w:jc w:val="both"/>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完成了基础设施建设1项；完成人居环境整治4项；完成产业发展与提升6项。</w:t>
      </w:r>
    </w:p>
    <w:p w14:paraId="63E1067C">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232" w:name="_Toc27604"/>
      <w:bookmarkStart w:id="233" w:name="_Toc32344"/>
      <w:r>
        <w:rPr>
          <w:rFonts w:hint="eastAsia" w:ascii="黑体" w:hAnsi="宋体" w:eastAsia="黑体" w:cs="Times New Roman"/>
          <w:kern w:val="0"/>
          <w:position w:val="3"/>
          <w:sz w:val="32"/>
          <w:szCs w:val="32"/>
          <w:lang w:val="en-US" w:eastAsia="zh-CN" w:bidi="ar-SA"/>
        </w:rPr>
        <w:t>四、评价结论</w:t>
      </w:r>
      <w:bookmarkEnd w:id="232"/>
      <w:bookmarkEnd w:id="233"/>
    </w:p>
    <w:p w14:paraId="41D29F8D">
      <w:pPr>
        <w:widowControl/>
        <w:tabs>
          <w:tab w:val="left" w:pos="2160"/>
        </w:tabs>
        <w:spacing w:before="0" w:beforeAutospacing="0" w:after="0" w:afterAutospacing="0" w:line="520" w:lineRule="exact"/>
        <w:ind w:left="0" w:right="0" w:firstLine="640" w:firstLineChars="200"/>
        <w:jc w:val="left"/>
        <w:rPr>
          <w:rFonts w:ascii="黑体" w:hAnsi="黑体" w:eastAsia="黑体" w:cs="黑体"/>
          <w:kern w:val="2"/>
          <w:position w:val="0"/>
          <w:sz w:val="32"/>
          <w:szCs w:val="32"/>
          <w:lang w:val="en-US" w:eastAsia="zh-CN" w:bidi="ar-SA"/>
        </w:rPr>
      </w:pPr>
      <w:r>
        <w:rPr>
          <w:rFonts w:hint="eastAsia" w:ascii="仿宋" w:hAnsi="仿宋" w:eastAsia="仿宋" w:cs="仿宋_GB2312"/>
          <w:color w:val="000000"/>
          <w:kern w:val="0"/>
          <w:position w:val="0"/>
          <w:sz w:val="32"/>
          <w:szCs w:val="32"/>
          <w:lang w:val="en-US" w:eastAsia="zh-CN" w:bidi="ar-SA"/>
        </w:rPr>
        <w:t>综上所述该项目预算项目绩效自评总体良好，评价得分98分。</w:t>
      </w:r>
    </w:p>
    <w:p w14:paraId="23526FFB">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en-US" w:eastAsia="zh-CN" w:bidi="ar-SA"/>
        </w:rPr>
      </w:pPr>
      <w:bookmarkStart w:id="234" w:name="_Toc565"/>
      <w:bookmarkStart w:id="235" w:name="_Toc32542"/>
      <w:r>
        <w:rPr>
          <w:rFonts w:hint="eastAsia" w:ascii="黑体" w:hAnsi="宋体" w:eastAsia="黑体" w:cs="Times New Roman"/>
          <w:kern w:val="0"/>
          <w:position w:val="3"/>
          <w:sz w:val="32"/>
          <w:szCs w:val="32"/>
          <w:lang w:val="en-US" w:eastAsia="zh-CN" w:bidi="ar-SA"/>
        </w:rPr>
        <w:t>五、存在主要问题</w:t>
      </w:r>
      <w:bookmarkEnd w:id="234"/>
      <w:bookmarkEnd w:id="235"/>
    </w:p>
    <w:p w14:paraId="1801CC56">
      <w:pPr>
        <w:widowControl/>
        <w:tabs>
          <w:tab w:val="left" w:pos="2160"/>
        </w:tabs>
        <w:spacing w:before="0" w:beforeAutospacing="0" w:after="0" w:afterAutospacing="0" w:line="600" w:lineRule="exact"/>
        <w:ind w:left="0" w:right="0" w:firstLine="640" w:firstLineChars="200"/>
        <w:jc w:val="left"/>
        <w:rPr>
          <w:rFonts w:hint="eastAsia" w:ascii="仿宋_GB2312" w:hAnsi="仿宋_GB2312" w:eastAsia="仿宋_GB2312" w:cs="仿宋_GB2312"/>
          <w:kern w:val="0"/>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无</w:t>
      </w:r>
    </w:p>
    <w:p w14:paraId="76AFA5B7">
      <w:pPr>
        <w:widowControl/>
        <w:tabs>
          <w:tab w:val="left" w:pos="2160"/>
        </w:tabs>
        <w:spacing w:before="0" w:beforeAutospacing="0" w:after="0" w:afterAutospacing="0" w:line="600" w:lineRule="exact"/>
        <w:ind w:left="0" w:right="0" w:firstLine="640" w:firstLineChars="200"/>
        <w:jc w:val="left"/>
        <w:outlineLvl w:val="1"/>
        <w:rPr>
          <w:rFonts w:ascii="黑体" w:hAnsi="宋体" w:eastAsia="黑体" w:cs="Times New Roman"/>
          <w:kern w:val="0"/>
          <w:position w:val="3"/>
          <w:sz w:val="32"/>
          <w:szCs w:val="32"/>
          <w:lang w:val="zh-CN" w:eastAsia="zh-CN" w:bidi="ar-SA"/>
        </w:rPr>
      </w:pPr>
      <w:bookmarkStart w:id="236" w:name="_Toc29933"/>
      <w:bookmarkStart w:id="237" w:name="_Toc1126"/>
      <w:r>
        <w:rPr>
          <w:rFonts w:hint="eastAsia" w:ascii="黑体" w:hAnsi="宋体" w:eastAsia="黑体" w:cs="Times New Roman"/>
          <w:kern w:val="0"/>
          <w:position w:val="3"/>
          <w:sz w:val="32"/>
          <w:szCs w:val="32"/>
          <w:lang w:val="zh-CN" w:eastAsia="zh-CN" w:bidi="ar-SA"/>
        </w:rPr>
        <w:t>六、改进建议</w:t>
      </w:r>
      <w:bookmarkEnd w:id="236"/>
      <w:bookmarkEnd w:id="237"/>
    </w:p>
    <w:p w14:paraId="4C5FA0A3">
      <w:pPr>
        <w:widowControl w:val="0"/>
        <w:tabs>
          <w:tab w:val="left" w:pos="1911"/>
        </w:tabs>
        <w:spacing w:before="0" w:beforeAutospacing="0" w:after="0" w:afterAutospacing="0"/>
        <w:ind w:left="0" w:right="0"/>
        <w:jc w:val="left"/>
        <w:rPr>
          <w:rFonts w:ascii="Times New Roman" w:hAnsi="Times New Roman" w:eastAsia="仿宋_GB2312" w:cs="Times New Roman"/>
          <w:color w:val="000000"/>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无</w:t>
      </w:r>
    </w:p>
    <w:p w14:paraId="0873F5FC">
      <w:pPr>
        <w:widowControl w:val="0"/>
        <w:snapToGrid w:val="0"/>
        <w:spacing w:before="0" w:beforeAutospacing="0" w:after="0" w:afterAutospacing="0" w:line="578" w:lineRule="exact"/>
        <w:ind w:left="0" w:right="0" w:firstLine="640" w:firstLineChars="200"/>
        <w:jc w:val="both"/>
        <w:rPr>
          <w:rFonts w:ascii="Times New Roman" w:hAnsi="Times New Roman" w:eastAsia="仿宋_GB2312" w:cs="Times New Roman"/>
          <w:color w:val="000000"/>
          <w:kern w:val="0"/>
          <w:sz w:val="32"/>
          <w:szCs w:val="32"/>
          <w:shd w:val="clear" w:color="auto" w:fill="FFFFFF"/>
        </w:rPr>
      </w:pPr>
      <w:r>
        <w:rPr>
          <w:rFonts w:hint="eastAsia" w:ascii="Times New Roman" w:hAnsi="Times New Roman" w:eastAsia="仿宋_GB2312" w:cs="Times New Roman"/>
          <w:color w:val="000000"/>
          <w:kern w:val="0"/>
          <w:sz w:val="32"/>
          <w:szCs w:val="32"/>
          <w:shd w:val="clear" w:color="auto" w:fill="FFFFFF"/>
        </w:rPr>
        <w:t>附表：1.项目资金分配涉及所有点位自评得分情况表</w:t>
      </w:r>
    </w:p>
    <w:p w14:paraId="6C200480">
      <w:pPr>
        <w:widowControl w:val="0"/>
        <w:numPr>
          <w:ilvl w:val="0"/>
          <w:numId w:val="0"/>
        </w:numPr>
        <w:snapToGrid w:val="0"/>
        <w:spacing w:before="0" w:beforeAutospacing="0" w:after="0" w:afterAutospacing="0" w:line="578" w:lineRule="exact"/>
        <w:ind w:leftChars="500" w:right="0" w:rightChars="0" w:firstLine="640" w:firstLineChars="200"/>
        <w:jc w:val="both"/>
        <w:rPr>
          <w:rFonts w:ascii="Times New Roman" w:hAnsi="Times New Roman" w:eastAsia="仿宋_GB2312" w:cs="Times New Roman"/>
          <w:kern w:val="2"/>
          <w:sz w:val="32"/>
          <w:szCs w:val="32"/>
          <w:lang w:val="zh-CN"/>
        </w:rPr>
      </w:pPr>
      <w:r>
        <w:rPr>
          <w:rFonts w:hint="eastAsia" w:ascii="Times New Roman" w:hAnsi="Times New Roman" w:eastAsia="仿宋_GB2312" w:cs="Times New Roman"/>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2"/>
          <w:szCs w:val="32"/>
          <w:shd w:val="clear" w:color="auto" w:fill="FFFFFF"/>
        </w:rPr>
        <w:t>专项预算项目绩效目标完成情况自评表</w:t>
      </w:r>
    </w:p>
    <w:p w14:paraId="1711386C">
      <w:pPr>
        <w:widowControl/>
        <w:adjustRightInd w:val="0"/>
        <w:snapToGrid w:val="0"/>
        <w:spacing w:before="0" w:beforeAutospacing="0" w:after="0" w:afterAutospacing="0" w:line="578" w:lineRule="exact"/>
        <w:ind w:left="0" w:right="0"/>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7B2114B1">
      <w:pPr>
        <w:widowControl w:val="0"/>
        <w:spacing w:before="0" w:beforeAutospacing="0" w:after="0" w:afterAutospacing="0" w:line="578" w:lineRule="exact"/>
        <w:ind w:left="0" w:right="0"/>
        <w:jc w:val="center"/>
        <w:rPr>
          <w:rFonts w:ascii="方正小标宋_GBK" w:hAnsi="方正小标宋_GBK" w:eastAsia="方正小标宋_GBK" w:cs="方正小标宋_GBK"/>
          <w:kern w:val="2"/>
          <w:sz w:val="40"/>
          <w:szCs w:val="40"/>
        </w:rPr>
      </w:pPr>
      <w:r>
        <w:rPr>
          <w:rFonts w:hint="eastAsia" w:ascii="方正小标宋_GBK" w:hAnsi="方正小标宋_GBK" w:eastAsia="方正小标宋_GBK" w:cs="方正小标宋_GBK"/>
          <w:kern w:val="2"/>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4675"/>
        <w:gridCol w:w="2029"/>
        <w:gridCol w:w="993"/>
      </w:tblGrid>
      <w:tr w14:paraId="4205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72A08F1B">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序号</w:t>
            </w:r>
          </w:p>
        </w:tc>
        <w:tc>
          <w:tcPr>
            <w:tcW w:w="4675" w:type="dxa"/>
          </w:tcPr>
          <w:p w14:paraId="1C313303">
            <w:pPr>
              <w:widowControl w:val="0"/>
              <w:spacing w:before="0" w:beforeAutospacing="0" w:after="0" w:afterAutospacing="0" w:line="300" w:lineRule="exact"/>
              <w:ind w:left="0" w:right="0"/>
              <w:jc w:val="center"/>
              <w:rPr>
                <w:rFonts w:ascii="黑体" w:hAnsi="黑体" w:eastAsia="黑体" w:cs="黑体"/>
                <w:kern w:val="2"/>
                <w:sz w:val="24"/>
                <w:szCs w:val="24"/>
                <w:lang w:val="en"/>
              </w:rPr>
            </w:pPr>
            <w:r>
              <w:rPr>
                <w:rFonts w:hint="eastAsia" w:ascii="黑体" w:hAnsi="黑体" w:eastAsia="黑体" w:cs="黑体"/>
                <w:kern w:val="2"/>
                <w:sz w:val="24"/>
                <w:szCs w:val="24"/>
              </w:rPr>
              <w:t>项目资金末端分配点位</w:t>
            </w:r>
          </w:p>
        </w:tc>
        <w:tc>
          <w:tcPr>
            <w:tcW w:w="2029" w:type="dxa"/>
          </w:tcPr>
          <w:p w14:paraId="118116C1">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lang w:val="en"/>
              </w:rPr>
              <w:t>自评得分（百分制）</w:t>
            </w:r>
          </w:p>
        </w:tc>
        <w:tc>
          <w:tcPr>
            <w:tcW w:w="993" w:type="dxa"/>
          </w:tcPr>
          <w:p w14:paraId="61A6A1AC">
            <w:pPr>
              <w:widowControl w:val="0"/>
              <w:spacing w:before="0" w:beforeAutospacing="0" w:after="0" w:afterAutospacing="0" w:line="300" w:lineRule="exact"/>
              <w:ind w:left="0" w:right="0"/>
              <w:jc w:val="center"/>
              <w:rPr>
                <w:rFonts w:ascii="黑体" w:hAnsi="黑体" w:eastAsia="黑体" w:cs="黑体"/>
                <w:kern w:val="2"/>
                <w:sz w:val="24"/>
                <w:szCs w:val="24"/>
              </w:rPr>
            </w:pPr>
            <w:r>
              <w:rPr>
                <w:rFonts w:hint="eastAsia" w:ascii="黑体" w:hAnsi="黑体" w:eastAsia="黑体" w:cs="黑体"/>
                <w:kern w:val="2"/>
                <w:sz w:val="24"/>
                <w:szCs w:val="24"/>
              </w:rPr>
              <w:t>备注</w:t>
            </w:r>
          </w:p>
        </w:tc>
      </w:tr>
      <w:tr w14:paraId="148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3" w:type="dxa"/>
          </w:tcPr>
          <w:p w14:paraId="593DF52A">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1</w:t>
            </w:r>
          </w:p>
        </w:tc>
        <w:tc>
          <w:tcPr>
            <w:tcW w:w="4675" w:type="dxa"/>
          </w:tcPr>
          <w:p w14:paraId="7F1578FD">
            <w:pPr>
              <w:widowControl w:val="0"/>
              <w:spacing w:before="0" w:beforeAutospacing="0" w:after="0" w:afterAutospacing="0" w:line="300" w:lineRule="exact"/>
              <w:ind w:left="0" w:right="0"/>
              <w:jc w:val="both"/>
              <w:rPr>
                <w:rFonts w:hint="eastAsia" w:ascii="宋体" w:hAnsi="宋体" w:eastAsia="仿宋_GB2312" w:cs="宋体"/>
                <w:kern w:val="2"/>
                <w:sz w:val="24"/>
                <w:szCs w:val="24"/>
                <w:lang w:val="en" w:eastAsia="zh-CN"/>
              </w:rPr>
            </w:pPr>
            <w:r>
              <w:rPr>
                <w:rFonts w:hint="eastAsia" w:ascii="宋体" w:hAnsi="宋体" w:eastAsia="仿宋_GB2312" w:cs="宋体"/>
                <w:kern w:val="2"/>
                <w:sz w:val="24"/>
                <w:szCs w:val="24"/>
                <w:lang w:val="en" w:eastAsia="zh-CN"/>
              </w:rPr>
              <w:t>2023年茂县乡村振兴示范村建设项目</w:t>
            </w:r>
          </w:p>
        </w:tc>
        <w:tc>
          <w:tcPr>
            <w:tcW w:w="2029" w:type="dxa"/>
          </w:tcPr>
          <w:p w14:paraId="7AE6FE9A">
            <w:pPr>
              <w:widowControl w:val="0"/>
              <w:spacing w:before="0" w:beforeAutospacing="0" w:after="0" w:afterAutospacing="0" w:line="300" w:lineRule="exact"/>
              <w:ind w:left="0" w:right="0"/>
              <w:jc w:val="both"/>
              <w:rPr>
                <w:rFonts w:hint="default" w:ascii="宋体" w:hAnsi="宋体" w:eastAsia="仿宋_GB2312" w:cs="宋体"/>
                <w:kern w:val="2"/>
                <w:sz w:val="24"/>
                <w:szCs w:val="24"/>
                <w:lang w:val="en-US" w:eastAsia="zh-CN"/>
              </w:rPr>
            </w:pPr>
            <w:r>
              <w:rPr>
                <w:rFonts w:hint="eastAsia" w:ascii="宋体" w:hAnsi="宋体" w:eastAsia="仿宋_GB2312" w:cs="宋体"/>
                <w:kern w:val="2"/>
                <w:sz w:val="24"/>
                <w:szCs w:val="24"/>
                <w:lang w:val="en-US" w:eastAsia="zh-CN"/>
              </w:rPr>
              <w:t>98</w:t>
            </w:r>
          </w:p>
        </w:tc>
        <w:tc>
          <w:tcPr>
            <w:tcW w:w="993" w:type="dxa"/>
          </w:tcPr>
          <w:p w14:paraId="73217CA9">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724F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DEDDB6A">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2</w:t>
            </w:r>
          </w:p>
        </w:tc>
        <w:tc>
          <w:tcPr>
            <w:tcW w:w="4675" w:type="dxa"/>
          </w:tcPr>
          <w:p w14:paraId="21BB8898">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029" w:type="dxa"/>
          </w:tcPr>
          <w:p w14:paraId="3DBD02BD">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776A38C9">
            <w:pPr>
              <w:widowControl w:val="0"/>
              <w:spacing w:before="0" w:beforeAutospacing="0" w:after="0" w:afterAutospacing="0" w:line="300" w:lineRule="exact"/>
              <w:ind w:left="0" w:right="0"/>
              <w:jc w:val="both"/>
              <w:rPr>
                <w:rFonts w:ascii="宋体" w:hAnsi="宋体" w:eastAsia="仿宋_GB2312" w:cs="宋体"/>
                <w:kern w:val="2"/>
                <w:sz w:val="24"/>
                <w:szCs w:val="24"/>
              </w:rPr>
            </w:pPr>
          </w:p>
        </w:tc>
      </w:tr>
      <w:tr w14:paraId="2DD9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14:paraId="149B0783">
            <w:pPr>
              <w:widowControl w:val="0"/>
              <w:spacing w:before="0" w:beforeAutospacing="0" w:after="0" w:afterAutospacing="0" w:line="300" w:lineRule="exact"/>
              <w:ind w:left="0" w:right="0"/>
              <w:jc w:val="center"/>
              <w:rPr>
                <w:rFonts w:ascii="宋体" w:hAnsi="宋体" w:eastAsia="宋体" w:cs="宋体"/>
                <w:kern w:val="2"/>
                <w:sz w:val="24"/>
                <w:szCs w:val="24"/>
              </w:rPr>
            </w:pPr>
            <w:r>
              <w:rPr>
                <w:rFonts w:hint="eastAsia" w:ascii="宋体" w:hAnsi="宋体" w:eastAsia="宋体" w:cs="宋体"/>
                <w:kern w:val="2"/>
                <w:sz w:val="24"/>
                <w:szCs w:val="24"/>
              </w:rPr>
              <w:t>3</w:t>
            </w:r>
          </w:p>
        </w:tc>
        <w:tc>
          <w:tcPr>
            <w:tcW w:w="4675" w:type="dxa"/>
          </w:tcPr>
          <w:p w14:paraId="3176EE10">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2029" w:type="dxa"/>
          </w:tcPr>
          <w:p w14:paraId="501F3FE0">
            <w:pPr>
              <w:widowControl w:val="0"/>
              <w:spacing w:before="0" w:beforeAutospacing="0" w:after="0" w:afterAutospacing="0" w:line="300" w:lineRule="exact"/>
              <w:ind w:left="0" w:right="0"/>
              <w:jc w:val="both"/>
              <w:rPr>
                <w:rFonts w:ascii="宋体" w:hAnsi="宋体" w:eastAsia="仿宋_GB2312" w:cs="宋体"/>
                <w:kern w:val="2"/>
                <w:sz w:val="24"/>
                <w:szCs w:val="24"/>
                <w:lang w:val="en"/>
              </w:rPr>
            </w:pPr>
          </w:p>
        </w:tc>
        <w:tc>
          <w:tcPr>
            <w:tcW w:w="993" w:type="dxa"/>
          </w:tcPr>
          <w:p w14:paraId="1D72AC7A">
            <w:pPr>
              <w:widowControl w:val="0"/>
              <w:spacing w:before="0" w:beforeAutospacing="0" w:after="0" w:afterAutospacing="0" w:line="300" w:lineRule="exact"/>
              <w:ind w:left="0" w:right="0"/>
              <w:jc w:val="both"/>
              <w:rPr>
                <w:rFonts w:ascii="宋体" w:hAnsi="宋体" w:eastAsia="仿宋_GB2312" w:cs="宋体"/>
                <w:kern w:val="2"/>
                <w:sz w:val="24"/>
                <w:szCs w:val="24"/>
              </w:rPr>
            </w:pPr>
          </w:p>
        </w:tc>
      </w:tr>
    </w:tbl>
    <w:p w14:paraId="0B124877">
      <w:pPr>
        <w:widowControl w:val="0"/>
        <w:spacing w:before="0" w:beforeAutospacing="0" w:after="0" w:afterAutospacing="0" w:line="400" w:lineRule="exact"/>
        <w:ind w:left="0" w:right="0"/>
        <w:jc w:val="left"/>
        <w:rPr>
          <w:rFonts w:ascii="宋体" w:hAnsi="宋体" w:eastAsia="宋体" w:cs="宋体"/>
          <w:kern w:val="2"/>
          <w:sz w:val="21"/>
          <w:szCs w:val="21"/>
        </w:rPr>
      </w:pPr>
      <w:r>
        <w:rPr>
          <w:rFonts w:hint="eastAsia" w:ascii="宋体" w:hAnsi="宋体" w:eastAsia="宋体" w:cs="宋体"/>
          <w:kern w:val="2"/>
          <w:sz w:val="21"/>
          <w:szCs w:val="21"/>
        </w:rPr>
        <w:t>备注：1.项目资金末端分配点位包括本部门、部门下属单位及一次性单位等。</w:t>
      </w:r>
    </w:p>
    <w:p w14:paraId="2CC3E083">
      <w:pPr>
        <w:widowControl w:val="0"/>
        <w:spacing w:before="0" w:beforeAutospacing="0" w:after="0" w:afterAutospacing="0" w:line="400" w:lineRule="exact"/>
        <w:ind w:left="0" w:right="0" w:firstLine="630" w:firstLineChars="300"/>
        <w:jc w:val="left"/>
        <w:rPr>
          <w:rFonts w:ascii="Times New Roman" w:hAnsi="Times New Roman" w:eastAsia="仿宋_GB2312" w:cs="Times New Roman"/>
          <w:kern w:val="2"/>
          <w:sz w:val="32"/>
          <w:szCs w:val="32"/>
        </w:rPr>
      </w:pPr>
      <w:r>
        <w:rPr>
          <w:rFonts w:hint="eastAsia" w:ascii="宋体" w:hAnsi="宋体" w:eastAsia="宋体" w:cs="宋体"/>
          <w:kern w:val="2"/>
          <w:sz w:val="21"/>
          <w:szCs w:val="21"/>
        </w:rPr>
        <w:t>2.自评得分（百分制）从高到低划分为优、良、中、差四个档次，各个档次数量占比分别为20%、20%、55%、5%，且不同档次间得分分值应体现差异化，同档次得分分值相同的比例不超过该档次总数量的10%。</w:t>
      </w:r>
    </w:p>
    <w:p w14:paraId="7F878E46">
      <w:pPr>
        <w:widowControl w:val="0"/>
        <w:spacing w:before="0" w:beforeAutospacing="0" w:after="0" w:afterAutospacing="0" w:line="578" w:lineRule="exact"/>
        <w:ind w:left="0" w:leftChars="0" w:right="0" w:firstLine="0" w:firstLineChars="0"/>
        <w:jc w:val="both"/>
        <w:rPr>
          <w:rFonts w:ascii="Times New Roman" w:hAnsi="Times New Roman" w:eastAsia="黑体" w:cs="Times New Roman"/>
          <w:kern w:val="2"/>
          <w:sz w:val="32"/>
          <w:szCs w:val="24"/>
          <w:lang w:val="en-US" w:eastAsia="zh-CN" w:bidi="ar-SA"/>
        </w:rPr>
      </w:pPr>
      <w:r>
        <w:rPr>
          <w:rFonts w:ascii="Times New Roman" w:hAnsi="Times New Roman" w:eastAsia="黑体" w:cs="Times New Roman"/>
          <w:kern w:val="2"/>
          <w:sz w:val="32"/>
          <w:szCs w:val="24"/>
          <w:lang w:val="en-US" w:eastAsia="zh-CN" w:bidi="ar-SA"/>
        </w:rPr>
        <w:t>附表2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420"/>
        <w:gridCol w:w="1019"/>
        <w:gridCol w:w="971"/>
        <w:gridCol w:w="1061"/>
        <w:gridCol w:w="938"/>
        <w:gridCol w:w="1841"/>
      </w:tblGrid>
      <w:tr w14:paraId="1147DF0D">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699633A">
            <w:pPr>
              <w:widowControl/>
              <w:spacing w:before="0" w:beforeAutospacing="0" w:after="0" w:afterAutospacing="0" w:line="600" w:lineRule="exact"/>
              <w:ind w:left="0" w:right="0"/>
              <w:jc w:val="center"/>
              <w:textAlignment w:val="center"/>
              <w:rPr>
                <w:rFonts w:ascii="黑体" w:hAnsi="宋体" w:eastAsia="黑体" w:cs="黑体"/>
                <w:color w:val="000000"/>
                <w:kern w:val="2"/>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6AD0F3EF">
        <w:tblPrEx>
          <w:tblCellMar>
            <w:top w:w="15" w:type="dxa"/>
            <w:left w:w="15" w:type="dxa"/>
            <w:bottom w:w="15" w:type="dxa"/>
            <w:right w:w="15" w:type="dxa"/>
          </w:tblCellMar>
        </w:tblPrEx>
        <w:trPr>
          <w:trHeight w:val="425" w:hRule="atLeast"/>
          <w:jc w:val="center"/>
        </w:trPr>
        <w:tc>
          <w:tcPr>
            <w:tcW w:w="4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A7A9C">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项目名称</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0ED43">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2023年茂县乡村振兴示范村建设项目</w:t>
            </w:r>
          </w:p>
        </w:tc>
      </w:tr>
      <w:tr w14:paraId="243A5D4A">
        <w:tblPrEx>
          <w:tblCellMar>
            <w:top w:w="15" w:type="dxa"/>
            <w:left w:w="15" w:type="dxa"/>
            <w:bottom w:w="15" w:type="dxa"/>
            <w:right w:w="15" w:type="dxa"/>
          </w:tblCellMar>
        </w:tblPrEx>
        <w:trPr>
          <w:trHeight w:val="485" w:hRule="atLeast"/>
          <w:jc w:val="center"/>
        </w:trPr>
        <w:tc>
          <w:tcPr>
            <w:tcW w:w="4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E6B32">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预算单位</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9A575">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茂县科学技术和农业畜牧局</w:t>
            </w:r>
          </w:p>
        </w:tc>
      </w:tr>
      <w:tr w14:paraId="5D80DBB7">
        <w:tblPrEx>
          <w:tblCellMar>
            <w:top w:w="15" w:type="dxa"/>
            <w:left w:w="15" w:type="dxa"/>
            <w:bottom w:w="15" w:type="dxa"/>
            <w:right w:w="15" w:type="dxa"/>
          </w:tblCellMar>
        </w:tblPrEx>
        <w:trPr>
          <w:trHeight w:val="425" w:hRule="atLeast"/>
          <w:jc w:val="center"/>
        </w:trPr>
        <w:tc>
          <w:tcPr>
            <w:tcW w:w="4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0A0E6">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项目类型</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66F4B">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浙江援建项目</w:t>
            </w:r>
          </w:p>
        </w:tc>
      </w:tr>
      <w:tr w14:paraId="6824611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54AAC">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 概况</w:t>
            </w: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84CE5">
            <w:pPr>
              <w:widowControl/>
              <w:spacing w:before="0" w:beforeAutospacing="0" w:after="0" w:afterAutospacing="0" w:line="300" w:lineRule="exact"/>
              <w:ind w:left="0" w:right="0"/>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w:t>
            </w:r>
          </w:p>
          <w:p w14:paraId="24DCCA3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常年项目）</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32E11">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无</w:t>
            </w:r>
          </w:p>
        </w:tc>
      </w:tr>
      <w:tr w14:paraId="79D352D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BE996">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D64C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资金管理办法（名称、文号）</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F8B57">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0"/>
                <w:sz w:val="24"/>
                <w:szCs w:val="24"/>
                <w:lang w:val="zh-CN" w:bidi="ar"/>
              </w:rPr>
              <w:t>阿坝州发展和改革委员会 《关于转下达浙江省对口支援阿坝州2023</w:t>
            </w:r>
            <w:r>
              <w:rPr>
                <w:rFonts w:hint="default" w:ascii="宋体" w:hAnsi="宋体" w:eastAsia="宋体" w:cs="宋体"/>
                <w:color w:val="000000"/>
                <w:kern w:val="0"/>
                <w:sz w:val="24"/>
                <w:szCs w:val="24"/>
                <w:lang w:val="zh-CN" w:bidi="ar"/>
              </w:rPr>
              <w:t>年项目实施计划的通知</w:t>
            </w:r>
            <w:r>
              <w:rPr>
                <w:rFonts w:hint="eastAsia" w:ascii="宋体" w:hAnsi="宋体" w:eastAsia="宋体" w:cs="宋体"/>
                <w:color w:val="000000"/>
                <w:kern w:val="0"/>
                <w:sz w:val="24"/>
                <w:szCs w:val="24"/>
                <w:lang w:val="zh-CN" w:bidi="ar"/>
              </w:rPr>
              <w:t>》</w:t>
            </w:r>
            <w:r>
              <w:rPr>
                <w:rFonts w:ascii="宋体" w:hAnsi="宋体" w:eastAsia="宋体" w:cs="宋体"/>
                <w:color w:val="000000"/>
                <w:kern w:val="0"/>
                <w:sz w:val="24"/>
                <w:szCs w:val="24"/>
                <w:lang w:bidi="ar"/>
              </w:rPr>
              <w:t>阿州发改〔2023〕</w:t>
            </w:r>
            <w:r>
              <w:rPr>
                <w:rFonts w:hint="default" w:ascii="宋体" w:hAnsi="宋体" w:eastAsia="宋体" w:cs="宋体"/>
                <w:color w:val="000000"/>
                <w:kern w:val="0"/>
                <w:sz w:val="24"/>
                <w:szCs w:val="24"/>
                <w:lang w:bidi="ar"/>
              </w:rPr>
              <w:t xml:space="preserve">143 </w:t>
            </w:r>
            <w:r>
              <w:rPr>
                <w:rFonts w:ascii="宋体" w:hAnsi="宋体" w:eastAsia="宋体" w:cs="宋体"/>
                <w:color w:val="000000"/>
                <w:kern w:val="0"/>
                <w:sz w:val="24"/>
                <w:szCs w:val="24"/>
                <w:lang w:bidi="ar"/>
              </w:rPr>
              <w:t>号</w:t>
            </w:r>
          </w:p>
        </w:tc>
      </w:tr>
      <w:tr w14:paraId="17209A5B">
        <w:tblPrEx>
          <w:tblCellMar>
            <w:top w:w="15" w:type="dxa"/>
            <w:left w:w="15" w:type="dxa"/>
            <w:bottom w:w="15" w:type="dxa"/>
            <w:right w:w="15" w:type="dxa"/>
          </w:tblCellMar>
        </w:tblPrEx>
        <w:trPr>
          <w:trHeight w:val="77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0928">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E7CBE">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绩效分配方式</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EC86">
            <w:pPr>
              <w:widowControl/>
              <w:spacing w:before="0" w:beforeAutospacing="0" w:after="0" w:afterAutospacing="0" w:line="300" w:lineRule="exact"/>
              <w:ind w:left="0" w:right="0"/>
              <w:jc w:val="left"/>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4DB1A">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41DD">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CB49">
            <w:pPr>
              <w:widowControl/>
              <w:spacing w:before="0" w:beforeAutospacing="0" w:after="0" w:afterAutospacing="0" w:line="300" w:lineRule="exact"/>
              <w:ind w:left="0" w:right="0"/>
              <w:jc w:val="center"/>
              <w:textAlignment w:val="center"/>
              <w:rPr>
                <w:rFonts w:ascii="Wingdings 2" w:hAnsi="Wingdings 2" w:eastAsia="Wingdings 2" w:cs="Wingdings 2"/>
                <w:color w:val="000000"/>
                <w:kern w:val="2"/>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6FD7342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87C65">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D2CA5">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立项依据</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A9286">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0"/>
                <w:sz w:val="24"/>
                <w:szCs w:val="24"/>
                <w:lang w:val="en-US" w:eastAsia="zh-CN" w:bidi="ar"/>
              </w:rPr>
              <w:t>茂县发展和改革局《关于2023年茂县乡村振兴示范项目可行性研究报告（代项目建议书）的批复》茂发改行审[2023]2号</w:t>
            </w:r>
          </w:p>
        </w:tc>
      </w:tr>
      <w:tr w14:paraId="4A2331F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4C25">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401EF">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使用范围</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B3327">
            <w:pPr>
              <w:widowControl w:val="0"/>
              <w:spacing w:before="0" w:beforeAutospacing="0" w:after="0" w:afterAutospacing="0" w:line="300" w:lineRule="exact"/>
              <w:ind w:left="0" w:right="0"/>
              <w:jc w:val="left"/>
              <w:rPr>
                <w:rFonts w:ascii="宋体" w:hAnsi="宋体" w:eastAsia="宋体" w:cs="宋体"/>
                <w:color w:val="000000"/>
                <w:kern w:val="2"/>
                <w:sz w:val="24"/>
                <w:szCs w:val="24"/>
              </w:rPr>
            </w:pPr>
            <w:r>
              <w:rPr>
                <w:rFonts w:hint="eastAsia" w:ascii="宋体" w:hAnsi="宋体" w:eastAsia="宋体" w:cs="宋体"/>
                <w:color w:val="000000"/>
                <w:kern w:val="2"/>
                <w:sz w:val="24"/>
                <w:szCs w:val="24"/>
              </w:rPr>
              <w:t>在凤仪镇静州村和沟口镇飞虹村实施：(1)产业发展与提升：①产业道路硬化，②产业堡坎建设，③农田灌溉蓄水桶，④产业排水沟，⑤太阳能杀虫灯，⑥大熊猫文化及羌文化氛围营造；(2)基础设施配套（污水治理）；(3)人居环境整治：①人居环境整治，②太阳能路灯，③风貌改造提升，④微景观打造。</w:t>
            </w:r>
          </w:p>
        </w:tc>
      </w:tr>
      <w:tr w14:paraId="127B457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1519">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024C5">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申报（补助）条件</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F4F407">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无</w:t>
            </w:r>
          </w:p>
        </w:tc>
      </w:tr>
      <w:tr w14:paraId="0B60547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69E3">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3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E244A">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项目起止年限</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8BD49">
            <w:pPr>
              <w:widowControl w:val="0"/>
              <w:spacing w:before="0" w:beforeAutospacing="0" w:after="0" w:afterAutospacing="0" w:line="300" w:lineRule="exact"/>
              <w:ind w:left="0" w:right="0"/>
              <w:jc w:val="both"/>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2023年</w:t>
            </w:r>
          </w:p>
        </w:tc>
      </w:tr>
      <w:tr w14:paraId="6CA791C8">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89539">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634B2024">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（万元）</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9781C">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年度资金总额：</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8009A">
            <w:pPr>
              <w:widowControl w:val="0"/>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600</w:t>
            </w:r>
          </w:p>
        </w:tc>
      </w:tr>
      <w:tr w14:paraId="725AF91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6BA6">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35B43">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w:t>
            </w:r>
            <w:r>
              <w:rPr>
                <w:rFonts w:hint="eastAsia" w:ascii="宋体" w:hAnsi="宋体" w:eastAsia="宋体" w:cs="宋体"/>
                <w:color w:val="000000"/>
                <w:kern w:val="0"/>
                <w:sz w:val="24"/>
                <w:szCs w:val="24"/>
                <w:lang w:bidi="ar"/>
              </w:rPr>
              <w:t xml:space="preserve"> </w:t>
            </w:r>
            <w:r>
              <w:rPr>
                <w:rFonts w:ascii="宋体" w:hAnsi="宋体" w:eastAsia="宋体" w:cs="宋体"/>
                <w:color w:val="000000"/>
                <w:kern w:val="0"/>
                <w:sz w:val="24"/>
                <w:szCs w:val="24"/>
                <w:lang w:bidi="ar"/>
              </w:rPr>
              <w:t>其中：财政拨款</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587D8">
            <w:pPr>
              <w:widowControl w:val="0"/>
              <w:spacing w:before="0" w:beforeAutospacing="0" w:after="0" w:afterAutospacing="0" w:line="300" w:lineRule="exact"/>
              <w:ind w:left="0" w:right="0"/>
              <w:jc w:val="left"/>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0</w:t>
            </w:r>
          </w:p>
        </w:tc>
      </w:tr>
      <w:tr w14:paraId="48973547">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83D1">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EA83D">
            <w:pPr>
              <w:widowControl/>
              <w:spacing w:before="0" w:beforeAutospacing="0" w:after="0" w:afterAutospacing="0" w:line="300" w:lineRule="exact"/>
              <w:ind w:left="0" w:right="0"/>
              <w:jc w:val="left"/>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 xml:space="preserve">            其他资金</w:t>
            </w:r>
          </w:p>
        </w:tc>
        <w:tc>
          <w:tcPr>
            <w:tcW w:w="58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D7B89">
            <w:pPr>
              <w:widowControl w:val="0"/>
              <w:spacing w:before="0" w:beforeAutospacing="0" w:after="0" w:afterAutospacing="0" w:line="300" w:lineRule="exact"/>
              <w:ind w:left="0" w:right="0"/>
              <w:jc w:val="left"/>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600</w:t>
            </w:r>
          </w:p>
        </w:tc>
      </w:tr>
      <w:tr w14:paraId="2BD03EE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472F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F52AB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年度目标</w:t>
            </w:r>
          </w:p>
        </w:tc>
      </w:tr>
      <w:tr w14:paraId="379617E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7768">
            <w:pPr>
              <w:widowControl w:val="0"/>
              <w:spacing w:before="0" w:beforeAutospacing="0" w:after="0" w:afterAutospacing="0" w:line="300" w:lineRule="exact"/>
              <w:ind w:left="0" w:right="0"/>
              <w:jc w:val="both"/>
              <w:rPr>
                <w:rFonts w:ascii="宋体" w:hAnsi="宋体" w:eastAsia="宋体" w:cs="宋体"/>
                <w:color w:val="000000"/>
                <w:kern w:val="2"/>
                <w:sz w:val="24"/>
                <w:szCs w:val="24"/>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AAB64">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凤仪镇静州村和沟口镇飞虹村实施：(1)产业发展与提升：①产业道路硬化，②产业堡坎建设，③农田灌溉蓄水桶，④产业排水沟，⑤太阳能杀虫灯，⑥大熊猫文化及羌文化氛围营造；(2)基础设施配套（污水治理）；(3)人居环境整治：①人居环境整治，②太阳能路灯，③风貌改造提升，④微景观打造。</w:t>
            </w:r>
          </w:p>
        </w:tc>
      </w:tr>
      <w:tr w14:paraId="71FBA328">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shd w:val="clear" w:color="auto" w:fill="auto"/>
            <w:vAlign w:val="center"/>
          </w:tcPr>
          <w:p w14:paraId="252D74C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41B">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55A1">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二级指标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1C7">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三级指标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66BE">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6E59">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26A">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258">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7513">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实际完成指标值</w:t>
            </w:r>
          </w:p>
        </w:tc>
      </w:tr>
      <w:tr w14:paraId="4CE371F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977214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1CB82">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产出指标</w:t>
            </w:r>
          </w:p>
        </w:tc>
        <w:tc>
          <w:tcPr>
            <w:tcW w:w="1250" w:type="dxa"/>
            <w:vMerge w:val="restart"/>
            <w:tcBorders>
              <w:top w:val="single" w:color="000000" w:sz="4" w:space="0"/>
              <w:left w:val="single" w:color="000000" w:sz="4" w:space="0"/>
              <w:right w:val="single" w:color="000000" w:sz="4" w:space="0"/>
            </w:tcBorders>
            <w:shd w:val="clear" w:color="auto" w:fill="auto"/>
            <w:vAlign w:val="center"/>
          </w:tcPr>
          <w:p w14:paraId="41A4B1AE">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数量指标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272">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产业发展与提升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916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57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6</w:t>
            </w:r>
            <w:r>
              <w:rPr>
                <w:rFonts w:hint="eastAsia" w:ascii="宋体" w:hAnsi="宋体" w:eastAsia="宋体" w:cs="宋体"/>
                <w:color w:val="000000"/>
                <w:kern w:val="2"/>
                <w:sz w:val="24"/>
                <w:szCs w:val="24"/>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803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722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8FAC">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2FBA09F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32862D0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C200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left w:val="single" w:color="000000" w:sz="4" w:space="0"/>
              <w:right w:val="single" w:color="000000" w:sz="4" w:space="0"/>
            </w:tcBorders>
            <w:shd w:val="clear" w:color="auto" w:fill="auto"/>
            <w:vAlign w:val="center"/>
          </w:tcPr>
          <w:p w14:paraId="2F179E10">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D0E">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基础设施配套</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B82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93B">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FD5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968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969D">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4AA95B8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08960F1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3A9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vMerge w:val="continue"/>
            <w:tcBorders>
              <w:left w:val="single" w:color="000000" w:sz="4" w:space="0"/>
              <w:bottom w:val="single" w:color="000000" w:sz="4" w:space="0"/>
              <w:right w:val="single" w:color="000000" w:sz="4" w:space="0"/>
            </w:tcBorders>
            <w:shd w:val="clear" w:color="auto" w:fill="auto"/>
            <w:vAlign w:val="center"/>
          </w:tcPr>
          <w:p w14:paraId="2E1BFBC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AD9">
            <w:pPr>
              <w:widowControl w:val="0"/>
              <w:spacing w:before="0" w:beforeAutospacing="0" w:after="0" w:afterAutospacing="0" w:line="300" w:lineRule="exact"/>
              <w:ind w:left="0" w:right="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人居环境整治</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24E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75B">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4</w:t>
            </w:r>
            <w:r>
              <w:rPr>
                <w:rFonts w:hint="eastAsia" w:ascii="宋体" w:hAnsi="宋体" w:eastAsia="宋体" w:cs="宋体"/>
                <w:color w:val="000000"/>
                <w:kern w:val="2"/>
                <w:sz w:val="24"/>
                <w:szCs w:val="24"/>
              </w:rPr>
              <w:t>项</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110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522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08E">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033003A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863F5B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0531">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C6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质量指标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3605">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按质量要求2023年茂县乡村振兴示范</w:t>
            </w:r>
            <w:r>
              <w:rPr>
                <w:rFonts w:hint="eastAsia" w:ascii="宋体" w:hAnsi="宋体" w:eastAsia="宋体" w:cs="宋体"/>
                <w:color w:val="000000"/>
                <w:kern w:val="2"/>
                <w:sz w:val="24"/>
                <w:szCs w:val="24"/>
                <w:lang w:eastAsia="zh-CN"/>
              </w:rPr>
              <w:t>村建设</w:t>
            </w:r>
            <w:r>
              <w:rPr>
                <w:rFonts w:hint="eastAsia" w:ascii="宋体" w:hAnsi="宋体" w:eastAsia="宋体" w:cs="宋体"/>
                <w:color w:val="000000"/>
                <w:kern w:val="2"/>
                <w:sz w:val="24"/>
                <w:szCs w:val="24"/>
              </w:rPr>
              <w:t>项目</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C5F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4224">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E6D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245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D3E">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4C196FC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147D7D9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089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FFA6">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时效指标</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131C">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0"/>
                <w:sz w:val="24"/>
                <w:szCs w:val="24"/>
                <w:lang w:bidi="ar"/>
              </w:rPr>
              <w:t>项目完成及时率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2D28">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2F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DA7">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D2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3E82">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4560072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shd w:val="clear" w:color="auto" w:fill="auto"/>
            <w:vAlign w:val="center"/>
          </w:tcPr>
          <w:p w14:paraId="6932247F">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4ADA72A">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0934A3">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社会效益</w:t>
            </w:r>
          </w:p>
          <w:p w14:paraId="2F231BA0">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420" w:type="dxa"/>
            <w:tcBorders>
              <w:top w:val="single" w:color="000000" w:sz="4" w:space="0"/>
              <w:left w:val="single" w:color="000000" w:sz="4" w:space="0"/>
              <w:bottom w:val="single" w:color="auto" w:sz="4" w:space="0"/>
              <w:right w:val="single" w:color="000000" w:sz="4" w:space="0"/>
            </w:tcBorders>
            <w:shd w:val="clear" w:color="auto" w:fill="auto"/>
            <w:vAlign w:val="center"/>
          </w:tcPr>
          <w:p w14:paraId="26906EA9">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大力推动乡村振兴发展，推动村容村貌整体提升</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C0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4EE">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DE16">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56D">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473C">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r w14:paraId="3AE28E3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63764BC">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0904A82">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0E14B20A">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指标</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2E3E1596">
            <w:pPr>
              <w:widowControl/>
              <w:spacing w:before="0" w:beforeAutospacing="0" w:after="0" w:afterAutospacing="0" w:line="300" w:lineRule="exact"/>
              <w:ind w:left="0" w:right="0"/>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125094C5">
            <w:pPr>
              <w:widowControl/>
              <w:spacing w:before="0" w:beforeAutospacing="0" w:after="0" w:afterAutospacing="0" w:line="300" w:lineRule="exact"/>
              <w:ind w:left="0" w:right="0"/>
              <w:jc w:val="center"/>
              <w:textAlignment w:val="center"/>
              <w:rPr>
                <w:rFonts w:ascii="宋体" w:hAnsi="宋体" w:eastAsia="宋体" w:cs="宋体"/>
                <w:color w:val="000000"/>
                <w:kern w:val="2"/>
                <w:sz w:val="24"/>
                <w:szCs w:val="24"/>
              </w:rPr>
            </w:pPr>
            <w:r>
              <w:rPr>
                <w:rFonts w:ascii="宋体" w:hAnsi="宋体" w:eastAsia="宋体" w:cs="宋体"/>
                <w:color w:val="000000"/>
                <w:kern w:val="0"/>
                <w:sz w:val="24"/>
                <w:szCs w:val="24"/>
                <w:lang w:bidi="ar"/>
              </w:rPr>
              <w:t>满意度指标</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202BFB88">
            <w:pPr>
              <w:widowControl w:val="0"/>
              <w:spacing w:before="0" w:beforeAutospacing="0" w:after="0" w:afterAutospacing="0" w:line="300" w:lineRule="exact"/>
              <w:ind w:left="0" w:right="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群众满意度</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733B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3FA5">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r>
              <w:rPr>
                <w:rFonts w:hint="eastAsia" w:ascii="宋体" w:hAnsi="宋体" w:eastAsia="宋体" w:cs="宋体"/>
                <w:color w:val="000000"/>
                <w:kern w:val="2"/>
                <w:sz w:val="24"/>
                <w:szCs w:val="24"/>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690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073">
            <w:pPr>
              <w:widowControl w:val="0"/>
              <w:spacing w:before="0" w:beforeAutospacing="0" w:after="0" w:afterAutospacing="0" w:line="300" w:lineRule="exact"/>
              <w:ind w:left="0" w:right="0"/>
              <w:jc w:val="center"/>
              <w:rPr>
                <w:rFonts w:ascii="宋体" w:hAnsi="宋体" w:eastAsia="宋体" w:cs="宋体"/>
                <w:color w:val="000000"/>
                <w:kern w:val="2"/>
                <w:sz w:val="24"/>
                <w:szCs w:val="24"/>
              </w:rPr>
            </w:pP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A703">
            <w:pPr>
              <w:widowControl w:val="0"/>
              <w:spacing w:before="0" w:beforeAutospacing="0" w:after="0" w:afterAutospacing="0" w:line="300" w:lineRule="exact"/>
              <w:ind w:left="0" w:right="0"/>
              <w:jc w:val="center"/>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完成</w:t>
            </w:r>
          </w:p>
        </w:tc>
      </w:tr>
    </w:tbl>
    <w:p w14:paraId="77FC97F6">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012D1DDC">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bookmarkStart w:id="238" w:name="_Toc25542"/>
    </w:p>
    <w:p w14:paraId="4E06AB0C">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54EB0F7A">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11E843A1">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7DAF3ACE">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270328F5">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3695ABFE">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p>
    <w:p w14:paraId="5AF1D5D6">
      <w:pPr>
        <w:pageBreakBefore w:val="0"/>
        <w:widowControl w:val="0"/>
        <w:kinsoku/>
        <w:wordWrap/>
        <w:overflowPunct/>
        <w:topLinePunct w:val="0"/>
        <w:bidi w:val="0"/>
        <w:spacing w:line="576" w:lineRule="exact"/>
        <w:jc w:val="center"/>
        <w:textAlignment w:val="auto"/>
        <w:outlineLvl w:val="0"/>
        <w:rPr>
          <w:rFonts w:hint="eastAsia" w:ascii="黑体" w:eastAsia="黑体" w:cs="Times New Roman"/>
          <w:color w:val="000000"/>
          <w:sz w:val="44"/>
          <w:szCs w:val="44"/>
        </w:rPr>
      </w:pPr>
      <w:r>
        <w:rPr>
          <w:rFonts w:hint="eastAsia" w:ascii="黑体" w:eastAsia="黑体" w:cs="Times New Roman"/>
          <w:color w:val="000000"/>
          <w:sz w:val="44"/>
          <w:szCs w:val="44"/>
        </w:rPr>
        <w:t>第五部分 附表</w:t>
      </w:r>
      <w:bookmarkEnd w:id="102"/>
      <w:bookmarkEnd w:id="103"/>
      <w:bookmarkEnd w:id="104"/>
      <w:bookmarkEnd w:id="238"/>
    </w:p>
    <w:p w14:paraId="0A52E708">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39" w:name="_Toc12799"/>
      <w:bookmarkStart w:id="240" w:name="_Toc15434"/>
      <w:bookmarkStart w:id="241" w:name="_Toc28912"/>
      <w:r>
        <w:rPr>
          <w:rFonts w:hint="eastAsia" w:ascii="仿宋" w:eastAsia="仿宋" w:cs="Times New Roman"/>
          <w:b w:val="0"/>
          <w:color w:val="000000"/>
          <w:kern w:val="2"/>
          <w:sz w:val="32"/>
          <w:szCs w:val="32"/>
          <w:lang w:bidi="ar-SA"/>
        </w:rPr>
        <w:t>一、收入支出决算总表</w:t>
      </w:r>
      <w:bookmarkEnd w:id="239"/>
      <w:bookmarkEnd w:id="240"/>
      <w:bookmarkEnd w:id="241"/>
    </w:p>
    <w:p w14:paraId="140174F0">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42" w:name="_Toc26550"/>
      <w:bookmarkStart w:id="243" w:name="_Toc28407"/>
      <w:bookmarkStart w:id="244" w:name="_Toc15691"/>
      <w:r>
        <w:rPr>
          <w:rFonts w:hint="eastAsia" w:ascii="仿宋" w:eastAsia="仿宋" w:cs="Times New Roman"/>
          <w:b w:val="0"/>
          <w:color w:val="000000"/>
          <w:kern w:val="2"/>
          <w:sz w:val="32"/>
          <w:szCs w:val="32"/>
          <w:lang w:bidi="ar-SA"/>
        </w:rPr>
        <w:t>二、收入决算表</w:t>
      </w:r>
      <w:bookmarkEnd w:id="242"/>
      <w:bookmarkEnd w:id="243"/>
      <w:bookmarkEnd w:id="244"/>
    </w:p>
    <w:p w14:paraId="5D171914">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45" w:name="_Toc1189"/>
      <w:bookmarkStart w:id="246" w:name="_Toc11856"/>
      <w:bookmarkStart w:id="247" w:name="_Toc29984"/>
      <w:r>
        <w:rPr>
          <w:rFonts w:hint="eastAsia" w:ascii="仿宋" w:eastAsia="仿宋" w:cs="Times New Roman"/>
          <w:b w:val="0"/>
          <w:color w:val="000000"/>
          <w:kern w:val="2"/>
          <w:sz w:val="32"/>
          <w:szCs w:val="32"/>
          <w:lang w:bidi="ar-SA"/>
        </w:rPr>
        <w:t>三、支出决算表</w:t>
      </w:r>
      <w:bookmarkEnd w:id="245"/>
      <w:bookmarkEnd w:id="246"/>
      <w:bookmarkEnd w:id="247"/>
    </w:p>
    <w:p w14:paraId="21008983">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48" w:name="_Toc11430"/>
      <w:bookmarkStart w:id="249" w:name="_Toc25907"/>
      <w:bookmarkStart w:id="250" w:name="_Toc21026"/>
      <w:r>
        <w:rPr>
          <w:rFonts w:hint="eastAsia" w:ascii="仿宋" w:eastAsia="仿宋" w:cs="Times New Roman"/>
          <w:b w:val="0"/>
          <w:color w:val="000000"/>
          <w:kern w:val="2"/>
          <w:sz w:val="32"/>
          <w:szCs w:val="32"/>
          <w:lang w:bidi="ar-SA"/>
        </w:rPr>
        <w:t>四、财政拨款收入支出决算总表</w:t>
      </w:r>
      <w:bookmarkEnd w:id="248"/>
      <w:bookmarkEnd w:id="249"/>
      <w:bookmarkEnd w:id="250"/>
    </w:p>
    <w:p w14:paraId="72C5C01C">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51" w:name="_Toc25329"/>
      <w:bookmarkStart w:id="252" w:name="_Toc15912"/>
      <w:bookmarkStart w:id="253" w:name="_Toc14471"/>
      <w:r>
        <w:rPr>
          <w:rFonts w:hint="eastAsia" w:ascii="仿宋" w:eastAsia="仿宋" w:cs="Times New Roman"/>
          <w:b w:val="0"/>
          <w:color w:val="000000"/>
          <w:kern w:val="2"/>
          <w:sz w:val="32"/>
          <w:szCs w:val="32"/>
          <w:lang w:bidi="ar-SA"/>
        </w:rPr>
        <w:t>五、财政拨款支出决算明细表</w:t>
      </w:r>
      <w:bookmarkEnd w:id="251"/>
      <w:bookmarkEnd w:id="252"/>
      <w:bookmarkEnd w:id="253"/>
    </w:p>
    <w:p w14:paraId="451C9A89">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54" w:name="_Toc10267"/>
      <w:bookmarkStart w:id="255" w:name="_Toc9607"/>
      <w:bookmarkStart w:id="256" w:name="_Toc14554"/>
      <w:r>
        <w:rPr>
          <w:rFonts w:hint="eastAsia" w:ascii="仿宋" w:eastAsia="仿宋" w:cs="Times New Roman"/>
          <w:b w:val="0"/>
          <w:color w:val="000000"/>
          <w:kern w:val="2"/>
          <w:sz w:val="32"/>
          <w:szCs w:val="32"/>
          <w:lang w:bidi="ar-SA"/>
        </w:rPr>
        <w:t>六、一般公共预算财政拨款支出决算表</w:t>
      </w:r>
      <w:bookmarkEnd w:id="254"/>
      <w:bookmarkEnd w:id="255"/>
      <w:bookmarkEnd w:id="256"/>
    </w:p>
    <w:p w14:paraId="63E20F1A">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57" w:name="_Toc703"/>
      <w:bookmarkStart w:id="258" w:name="_Toc436"/>
      <w:bookmarkStart w:id="259" w:name="_Toc29868"/>
      <w:r>
        <w:rPr>
          <w:rFonts w:hint="eastAsia" w:ascii="仿宋" w:eastAsia="仿宋" w:cs="Times New Roman"/>
          <w:b w:val="0"/>
          <w:color w:val="000000"/>
          <w:kern w:val="2"/>
          <w:sz w:val="32"/>
          <w:szCs w:val="32"/>
          <w:lang w:bidi="ar-SA"/>
        </w:rPr>
        <w:t>七、一般公共预算财政拨款支出决算明细表</w:t>
      </w:r>
      <w:bookmarkEnd w:id="257"/>
      <w:bookmarkEnd w:id="258"/>
      <w:bookmarkEnd w:id="259"/>
    </w:p>
    <w:p w14:paraId="7F853A5C">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60" w:name="_Toc8379"/>
      <w:bookmarkStart w:id="261" w:name="_Toc26772"/>
      <w:bookmarkStart w:id="262" w:name="_Toc1164"/>
      <w:r>
        <w:rPr>
          <w:rFonts w:hint="eastAsia" w:ascii="仿宋" w:eastAsia="仿宋" w:cs="Times New Roman"/>
          <w:b w:val="0"/>
          <w:color w:val="000000"/>
          <w:kern w:val="2"/>
          <w:sz w:val="32"/>
          <w:szCs w:val="32"/>
          <w:lang w:bidi="ar-SA"/>
        </w:rPr>
        <w:t>八、一般公共预算财政拨款基本支出决算表</w:t>
      </w:r>
      <w:bookmarkEnd w:id="260"/>
      <w:bookmarkEnd w:id="261"/>
      <w:bookmarkEnd w:id="262"/>
    </w:p>
    <w:p w14:paraId="49C93FD9">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63" w:name="_Toc31814"/>
      <w:bookmarkStart w:id="264" w:name="_Toc30827"/>
      <w:bookmarkStart w:id="265" w:name="_Toc19486"/>
      <w:r>
        <w:rPr>
          <w:rFonts w:hint="eastAsia" w:ascii="仿宋" w:eastAsia="仿宋" w:cs="Times New Roman"/>
          <w:b w:val="0"/>
          <w:color w:val="000000"/>
          <w:kern w:val="2"/>
          <w:sz w:val="32"/>
          <w:szCs w:val="32"/>
          <w:lang w:bidi="ar-SA"/>
        </w:rPr>
        <w:t>九、一般公共预算财政拨款项目支出决算表</w:t>
      </w:r>
      <w:bookmarkEnd w:id="263"/>
      <w:bookmarkEnd w:id="264"/>
      <w:bookmarkEnd w:id="265"/>
    </w:p>
    <w:p w14:paraId="5EB08C0A">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66" w:name="_Toc943"/>
      <w:bookmarkStart w:id="267" w:name="_Toc26030"/>
      <w:bookmarkStart w:id="268" w:name="_Toc1516"/>
      <w:r>
        <w:rPr>
          <w:rFonts w:hint="eastAsia" w:ascii="仿宋" w:eastAsia="仿宋" w:cs="Times New Roman"/>
          <w:b w:val="0"/>
          <w:color w:val="000000"/>
          <w:kern w:val="2"/>
          <w:sz w:val="32"/>
          <w:szCs w:val="32"/>
          <w:lang w:bidi="ar-SA"/>
        </w:rPr>
        <w:t>十、政府性基金预算财政拨款收入支出决算表</w:t>
      </w:r>
      <w:bookmarkEnd w:id="266"/>
      <w:bookmarkEnd w:id="267"/>
      <w:bookmarkEnd w:id="268"/>
    </w:p>
    <w:p w14:paraId="40073CBA">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69" w:name="_Toc25909"/>
      <w:bookmarkStart w:id="270" w:name="_Toc8659"/>
      <w:bookmarkStart w:id="271" w:name="_Toc30301"/>
      <w:r>
        <w:rPr>
          <w:rFonts w:hint="eastAsia" w:ascii="仿宋" w:eastAsia="仿宋" w:cs="Times New Roman"/>
          <w:b w:val="0"/>
          <w:color w:val="000000"/>
          <w:kern w:val="2"/>
          <w:sz w:val="32"/>
          <w:szCs w:val="32"/>
          <w:lang w:bidi="ar-SA"/>
        </w:rPr>
        <w:t>十一、国有资本经营预算财政拨款收入支出决算表</w:t>
      </w:r>
      <w:bookmarkEnd w:id="269"/>
      <w:bookmarkEnd w:id="270"/>
      <w:bookmarkEnd w:id="271"/>
    </w:p>
    <w:p w14:paraId="579D6DB8">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72" w:name="_Toc21085"/>
      <w:bookmarkStart w:id="273" w:name="_Toc14980"/>
      <w:bookmarkStart w:id="274" w:name="_Toc27357"/>
      <w:r>
        <w:rPr>
          <w:rFonts w:hint="eastAsia" w:ascii="仿宋" w:eastAsia="仿宋" w:cs="Times New Roman"/>
          <w:b w:val="0"/>
          <w:color w:val="000000"/>
          <w:kern w:val="2"/>
          <w:sz w:val="32"/>
          <w:szCs w:val="32"/>
          <w:lang w:bidi="ar-SA"/>
        </w:rPr>
        <w:t>十二、国有资本经营预算财政拨款支出决算表</w:t>
      </w:r>
      <w:bookmarkEnd w:id="272"/>
      <w:bookmarkEnd w:id="273"/>
      <w:bookmarkEnd w:id="274"/>
    </w:p>
    <w:p w14:paraId="66F5ECCB">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275" w:name="_Toc25011"/>
      <w:bookmarkStart w:id="276" w:name="_Toc9843"/>
      <w:bookmarkStart w:id="277" w:name="_Toc32413"/>
      <w:r>
        <w:rPr>
          <w:rFonts w:hint="eastAsia" w:ascii="仿宋" w:eastAsia="仿宋" w:cs="Times New Roman"/>
          <w:b w:val="0"/>
          <w:color w:val="000000"/>
          <w:kern w:val="2"/>
          <w:sz w:val="32"/>
          <w:szCs w:val="32"/>
          <w:lang w:bidi="ar-SA"/>
        </w:rPr>
        <w:t>十三、财政拨款“三公”经费支出决算表</w:t>
      </w:r>
      <w:bookmarkEnd w:id="275"/>
      <w:bookmarkEnd w:id="276"/>
      <w:bookmarkEnd w:id="277"/>
    </w:p>
    <w:p w14:paraId="40F1D8FC">
      <w:pPr>
        <w:pageBreakBefore w:val="0"/>
        <w:widowControl w:val="0"/>
        <w:kinsoku/>
        <w:wordWrap/>
        <w:overflowPunct/>
        <w:topLinePunct w:val="0"/>
        <w:bidi w:val="0"/>
        <w:spacing w:line="576" w:lineRule="exact"/>
        <w:textAlignment w:val="auto"/>
      </w:pPr>
    </w:p>
    <w:p w14:paraId="52DACE17"/>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10D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F41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E8AF41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283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2C18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C52C18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A20D1"/>
    <w:multiLevelType w:val="singleLevel"/>
    <w:tmpl w:val="960A20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jRmYzVhMTg2MDdjYTY1YTYzNDNlM2I0M2ZkYWYyNGYifQ=="/>
  </w:docVars>
  <w:rsids>
    <w:rsidRoot w:val="00000000"/>
    <w:rsid w:val="000B6281"/>
    <w:rsid w:val="00172E78"/>
    <w:rsid w:val="00416146"/>
    <w:rsid w:val="004E3B05"/>
    <w:rsid w:val="004F3DE9"/>
    <w:rsid w:val="00501EE6"/>
    <w:rsid w:val="005C6ADC"/>
    <w:rsid w:val="005D2854"/>
    <w:rsid w:val="007958E0"/>
    <w:rsid w:val="008E2A0E"/>
    <w:rsid w:val="008E4178"/>
    <w:rsid w:val="00A3295D"/>
    <w:rsid w:val="00DE5743"/>
    <w:rsid w:val="00EA2987"/>
    <w:rsid w:val="00F27441"/>
    <w:rsid w:val="01101675"/>
    <w:rsid w:val="014337F8"/>
    <w:rsid w:val="01520813"/>
    <w:rsid w:val="015772A4"/>
    <w:rsid w:val="016C0FA1"/>
    <w:rsid w:val="017A2B60"/>
    <w:rsid w:val="017D1035"/>
    <w:rsid w:val="01A30F3F"/>
    <w:rsid w:val="01B34E22"/>
    <w:rsid w:val="01C26E13"/>
    <w:rsid w:val="02076F1C"/>
    <w:rsid w:val="022278B2"/>
    <w:rsid w:val="022A49B8"/>
    <w:rsid w:val="024E7E30"/>
    <w:rsid w:val="02511F45"/>
    <w:rsid w:val="025A34EF"/>
    <w:rsid w:val="026305F6"/>
    <w:rsid w:val="02896F36"/>
    <w:rsid w:val="029F53A6"/>
    <w:rsid w:val="02C1356F"/>
    <w:rsid w:val="03196F07"/>
    <w:rsid w:val="03343D40"/>
    <w:rsid w:val="033C0E47"/>
    <w:rsid w:val="03457CFC"/>
    <w:rsid w:val="034D095E"/>
    <w:rsid w:val="036C34DA"/>
    <w:rsid w:val="03C03826"/>
    <w:rsid w:val="04275653"/>
    <w:rsid w:val="048D195A"/>
    <w:rsid w:val="04912ACD"/>
    <w:rsid w:val="04DC4690"/>
    <w:rsid w:val="04DE21B6"/>
    <w:rsid w:val="04E452F2"/>
    <w:rsid w:val="050339CA"/>
    <w:rsid w:val="050D4849"/>
    <w:rsid w:val="052F2A11"/>
    <w:rsid w:val="056D178C"/>
    <w:rsid w:val="059C5FC0"/>
    <w:rsid w:val="05C228EF"/>
    <w:rsid w:val="05CA098C"/>
    <w:rsid w:val="05F41565"/>
    <w:rsid w:val="05FB0B46"/>
    <w:rsid w:val="06287461"/>
    <w:rsid w:val="064047AA"/>
    <w:rsid w:val="064A387B"/>
    <w:rsid w:val="06913258"/>
    <w:rsid w:val="06B238FA"/>
    <w:rsid w:val="06F21F49"/>
    <w:rsid w:val="06F3181D"/>
    <w:rsid w:val="07034156"/>
    <w:rsid w:val="070E2AFA"/>
    <w:rsid w:val="07556D7C"/>
    <w:rsid w:val="076646E5"/>
    <w:rsid w:val="076D3604"/>
    <w:rsid w:val="07911761"/>
    <w:rsid w:val="07B05960"/>
    <w:rsid w:val="08193505"/>
    <w:rsid w:val="08296CA4"/>
    <w:rsid w:val="082E5202"/>
    <w:rsid w:val="08315A33"/>
    <w:rsid w:val="083C45B4"/>
    <w:rsid w:val="08493DEA"/>
    <w:rsid w:val="087F5A5E"/>
    <w:rsid w:val="089D5EE4"/>
    <w:rsid w:val="08A059D4"/>
    <w:rsid w:val="08CC0577"/>
    <w:rsid w:val="08D15B8E"/>
    <w:rsid w:val="08DD2784"/>
    <w:rsid w:val="09012917"/>
    <w:rsid w:val="09047D11"/>
    <w:rsid w:val="09093579"/>
    <w:rsid w:val="0946032A"/>
    <w:rsid w:val="094B5940"/>
    <w:rsid w:val="096B41CE"/>
    <w:rsid w:val="0992531D"/>
    <w:rsid w:val="09C63218"/>
    <w:rsid w:val="09CF6571"/>
    <w:rsid w:val="09EF451D"/>
    <w:rsid w:val="0A0501E5"/>
    <w:rsid w:val="0A3D172D"/>
    <w:rsid w:val="0A466107"/>
    <w:rsid w:val="0A583F07"/>
    <w:rsid w:val="0AAC240E"/>
    <w:rsid w:val="0AC05EBA"/>
    <w:rsid w:val="0AC534D0"/>
    <w:rsid w:val="0ADD081A"/>
    <w:rsid w:val="0AFA13CC"/>
    <w:rsid w:val="0B0B182B"/>
    <w:rsid w:val="0B2D79F3"/>
    <w:rsid w:val="0B30303F"/>
    <w:rsid w:val="0B554854"/>
    <w:rsid w:val="0B626F71"/>
    <w:rsid w:val="0BC814CA"/>
    <w:rsid w:val="0BE04A65"/>
    <w:rsid w:val="0C063434"/>
    <w:rsid w:val="0C1B3CF0"/>
    <w:rsid w:val="0C234952"/>
    <w:rsid w:val="0C3B7EEE"/>
    <w:rsid w:val="0C5D60B6"/>
    <w:rsid w:val="0C61547A"/>
    <w:rsid w:val="0C8C24F7"/>
    <w:rsid w:val="0CA44101"/>
    <w:rsid w:val="0CA535B9"/>
    <w:rsid w:val="0CAE6912"/>
    <w:rsid w:val="0CAF61E6"/>
    <w:rsid w:val="0CC25F19"/>
    <w:rsid w:val="0CCE2B10"/>
    <w:rsid w:val="0CEC2F96"/>
    <w:rsid w:val="0D0429D6"/>
    <w:rsid w:val="0D10137A"/>
    <w:rsid w:val="0D2210AE"/>
    <w:rsid w:val="0D5325AD"/>
    <w:rsid w:val="0D7116ED"/>
    <w:rsid w:val="0D7D4536"/>
    <w:rsid w:val="0DB81C94"/>
    <w:rsid w:val="0DC42165"/>
    <w:rsid w:val="0DE85E53"/>
    <w:rsid w:val="0E15651D"/>
    <w:rsid w:val="0E4C42D5"/>
    <w:rsid w:val="0E4D7179"/>
    <w:rsid w:val="0E686F94"/>
    <w:rsid w:val="0E7476E7"/>
    <w:rsid w:val="0E7616B1"/>
    <w:rsid w:val="0EE32037"/>
    <w:rsid w:val="0EE7435D"/>
    <w:rsid w:val="0EF83E74"/>
    <w:rsid w:val="0F0A3BA7"/>
    <w:rsid w:val="0F2044B8"/>
    <w:rsid w:val="0F2E7896"/>
    <w:rsid w:val="0F582B65"/>
    <w:rsid w:val="0F87344A"/>
    <w:rsid w:val="0F8D4881"/>
    <w:rsid w:val="0FA638D0"/>
    <w:rsid w:val="0FB35FED"/>
    <w:rsid w:val="0FB81855"/>
    <w:rsid w:val="0FBC1346"/>
    <w:rsid w:val="0FC65D20"/>
    <w:rsid w:val="0FCD3553"/>
    <w:rsid w:val="0FED36F1"/>
    <w:rsid w:val="0FFA3C1C"/>
    <w:rsid w:val="10207B26"/>
    <w:rsid w:val="10A51DDA"/>
    <w:rsid w:val="10B97633"/>
    <w:rsid w:val="10CA1840"/>
    <w:rsid w:val="10FB5E9E"/>
    <w:rsid w:val="1109296B"/>
    <w:rsid w:val="11140D0D"/>
    <w:rsid w:val="113E3FDC"/>
    <w:rsid w:val="11472E91"/>
    <w:rsid w:val="11731ED8"/>
    <w:rsid w:val="117479FE"/>
    <w:rsid w:val="117A5014"/>
    <w:rsid w:val="118916FB"/>
    <w:rsid w:val="11C97D4A"/>
    <w:rsid w:val="11DC5CCF"/>
    <w:rsid w:val="11E42DD6"/>
    <w:rsid w:val="11E84674"/>
    <w:rsid w:val="11E93F48"/>
    <w:rsid w:val="11F748B7"/>
    <w:rsid w:val="11FF376C"/>
    <w:rsid w:val="12111F42"/>
    <w:rsid w:val="122B630F"/>
    <w:rsid w:val="125F420A"/>
    <w:rsid w:val="12723F3D"/>
    <w:rsid w:val="12753A2E"/>
    <w:rsid w:val="128123D2"/>
    <w:rsid w:val="128B14A3"/>
    <w:rsid w:val="1290485A"/>
    <w:rsid w:val="12A762DD"/>
    <w:rsid w:val="12E34E3B"/>
    <w:rsid w:val="131D034D"/>
    <w:rsid w:val="132A5068"/>
    <w:rsid w:val="132F62D2"/>
    <w:rsid w:val="13914897"/>
    <w:rsid w:val="13960100"/>
    <w:rsid w:val="13C609E5"/>
    <w:rsid w:val="13D604FC"/>
    <w:rsid w:val="13F15336"/>
    <w:rsid w:val="13FA68E0"/>
    <w:rsid w:val="14280D4F"/>
    <w:rsid w:val="14531B4D"/>
    <w:rsid w:val="147F6DE6"/>
    <w:rsid w:val="148A7C64"/>
    <w:rsid w:val="14AB7BDB"/>
    <w:rsid w:val="14F055ED"/>
    <w:rsid w:val="15194B44"/>
    <w:rsid w:val="152D6842"/>
    <w:rsid w:val="157E709D"/>
    <w:rsid w:val="15A46B04"/>
    <w:rsid w:val="15A5462A"/>
    <w:rsid w:val="16104199"/>
    <w:rsid w:val="1618304E"/>
    <w:rsid w:val="16454AA0"/>
    <w:rsid w:val="164B3423"/>
    <w:rsid w:val="16897AA8"/>
    <w:rsid w:val="168C1346"/>
    <w:rsid w:val="16B20DAC"/>
    <w:rsid w:val="16D03928"/>
    <w:rsid w:val="16E318AE"/>
    <w:rsid w:val="17263548"/>
    <w:rsid w:val="17463BEB"/>
    <w:rsid w:val="17B172B6"/>
    <w:rsid w:val="17BD70FB"/>
    <w:rsid w:val="17D42FA4"/>
    <w:rsid w:val="18001FEB"/>
    <w:rsid w:val="180E64B6"/>
    <w:rsid w:val="18137F71"/>
    <w:rsid w:val="181635BD"/>
    <w:rsid w:val="183F0D66"/>
    <w:rsid w:val="1864257A"/>
    <w:rsid w:val="18695DE3"/>
    <w:rsid w:val="187F73B4"/>
    <w:rsid w:val="1881137E"/>
    <w:rsid w:val="18826EA4"/>
    <w:rsid w:val="18954E2A"/>
    <w:rsid w:val="18AB63FB"/>
    <w:rsid w:val="18B84674"/>
    <w:rsid w:val="18BD7EDC"/>
    <w:rsid w:val="18C13529"/>
    <w:rsid w:val="18D07C10"/>
    <w:rsid w:val="19081158"/>
    <w:rsid w:val="192D0BBE"/>
    <w:rsid w:val="194A79C2"/>
    <w:rsid w:val="199C5D44"/>
    <w:rsid w:val="19A861C3"/>
    <w:rsid w:val="19B47531"/>
    <w:rsid w:val="19C44B2D"/>
    <w:rsid w:val="19C92FDD"/>
    <w:rsid w:val="19D35C0A"/>
    <w:rsid w:val="19D43730"/>
    <w:rsid w:val="19F649D6"/>
    <w:rsid w:val="1A02204B"/>
    <w:rsid w:val="1A0A0EFF"/>
    <w:rsid w:val="1A0A70AB"/>
    <w:rsid w:val="1A2C3A27"/>
    <w:rsid w:val="1A807414"/>
    <w:rsid w:val="1A8B0292"/>
    <w:rsid w:val="1AD5775F"/>
    <w:rsid w:val="1AFC4CEC"/>
    <w:rsid w:val="1B100797"/>
    <w:rsid w:val="1B124510"/>
    <w:rsid w:val="1B23671D"/>
    <w:rsid w:val="1B334486"/>
    <w:rsid w:val="1B395F40"/>
    <w:rsid w:val="1B495A57"/>
    <w:rsid w:val="1B854CE1"/>
    <w:rsid w:val="1BC7354C"/>
    <w:rsid w:val="1BD47A17"/>
    <w:rsid w:val="1BDB2B53"/>
    <w:rsid w:val="1BE85270"/>
    <w:rsid w:val="1C057BD0"/>
    <w:rsid w:val="1C3861F8"/>
    <w:rsid w:val="1C3D55BC"/>
    <w:rsid w:val="1C47643B"/>
    <w:rsid w:val="1C8C0A33"/>
    <w:rsid w:val="1CBC0BD7"/>
    <w:rsid w:val="1CE41EDC"/>
    <w:rsid w:val="1CFF0AC4"/>
    <w:rsid w:val="1D434E54"/>
    <w:rsid w:val="1D5F5A06"/>
    <w:rsid w:val="1D76522A"/>
    <w:rsid w:val="1D8965DF"/>
    <w:rsid w:val="1DA376A1"/>
    <w:rsid w:val="1DB042FE"/>
    <w:rsid w:val="1DBC0763"/>
    <w:rsid w:val="1DC75A85"/>
    <w:rsid w:val="1DF75C3F"/>
    <w:rsid w:val="1E206F43"/>
    <w:rsid w:val="1E253C0C"/>
    <w:rsid w:val="1E403142"/>
    <w:rsid w:val="1E4569AA"/>
    <w:rsid w:val="1E4A5D6E"/>
    <w:rsid w:val="1E5866DD"/>
    <w:rsid w:val="1E601A36"/>
    <w:rsid w:val="1E9809A5"/>
    <w:rsid w:val="1E990AA4"/>
    <w:rsid w:val="1EA71413"/>
    <w:rsid w:val="1EB12291"/>
    <w:rsid w:val="1EE00481"/>
    <w:rsid w:val="1EEA12FF"/>
    <w:rsid w:val="1F182311"/>
    <w:rsid w:val="1F3D1C70"/>
    <w:rsid w:val="1F61475A"/>
    <w:rsid w:val="1F66307C"/>
    <w:rsid w:val="1FBE6A14"/>
    <w:rsid w:val="1FCD30FB"/>
    <w:rsid w:val="1FDF0FA7"/>
    <w:rsid w:val="20542F58"/>
    <w:rsid w:val="20592BE1"/>
    <w:rsid w:val="20AC37BC"/>
    <w:rsid w:val="20AC4ABE"/>
    <w:rsid w:val="20B147CB"/>
    <w:rsid w:val="20CC5161"/>
    <w:rsid w:val="20EE157B"/>
    <w:rsid w:val="20F14BC7"/>
    <w:rsid w:val="21132D8F"/>
    <w:rsid w:val="211803A6"/>
    <w:rsid w:val="213F5933"/>
    <w:rsid w:val="218B501C"/>
    <w:rsid w:val="21AF0D0A"/>
    <w:rsid w:val="21C66054"/>
    <w:rsid w:val="229323DA"/>
    <w:rsid w:val="22D16A5E"/>
    <w:rsid w:val="22E9024C"/>
    <w:rsid w:val="22F312E3"/>
    <w:rsid w:val="22F55FE0"/>
    <w:rsid w:val="23167D3D"/>
    <w:rsid w:val="231B417D"/>
    <w:rsid w:val="23517B9F"/>
    <w:rsid w:val="23735D67"/>
    <w:rsid w:val="23B51EDC"/>
    <w:rsid w:val="24003A9F"/>
    <w:rsid w:val="24653902"/>
    <w:rsid w:val="24885842"/>
    <w:rsid w:val="24DB3BC4"/>
    <w:rsid w:val="251175E6"/>
    <w:rsid w:val="251610A0"/>
    <w:rsid w:val="251A0B90"/>
    <w:rsid w:val="25592D3B"/>
    <w:rsid w:val="255A0F8D"/>
    <w:rsid w:val="2567270B"/>
    <w:rsid w:val="257064BA"/>
    <w:rsid w:val="258E6E89"/>
    <w:rsid w:val="259D531E"/>
    <w:rsid w:val="25AB3597"/>
    <w:rsid w:val="26000619"/>
    <w:rsid w:val="260C2ECE"/>
    <w:rsid w:val="263D0E95"/>
    <w:rsid w:val="266A0D19"/>
    <w:rsid w:val="267B565F"/>
    <w:rsid w:val="268D0EEE"/>
    <w:rsid w:val="26CA0394"/>
    <w:rsid w:val="26D05DE5"/>
    <w:rsid w:val="26D42FC1"/>
    <w:rsid w:val="26F471BF"/>
    <w:rsid w:val="277D5407"/>
    <w:rsid w:val="27AE736E"/>
    <w:rsid w:val="27C9064C"/>
    <w:rsid w:val="27CE17BE"/>
    <w:rsid w:val="27D17500"/>
    <w:rsid w:val="27DF39CB"/>
    <w:rsid w:val="27E17743"/>
    <w:rsid w:val="27E81C35"/>
    <w:rsid w:val="27EE00B2"/>
    <w:rsid w:val="28302479"/>
    <w:rsid w:val="288F53F1"/>
    <w:rsid w:val="28930C7B"/>
    <w:rsid w:val="28B74948"/>
    <w:rsid w:val="28E84B02"/>
    <w:rsid w:val="294A756A"/>
    <w:rsid w:val="29763EBB"/>
    <w:rsid w:val="29E452C9"/>
    <w:rsid w:val="29E928DF"/>
    <w:rsid w:val="29F23E8A"/>
    <w:rsid w:val="2A0B7865"/>
    <w:rsid w:val="2A64465C"/>
    <w:rsid w:val="2A6843C4"/>
    <w:rsid w:val="2A6D1762"/>
    <w:rsid w:val="2A9E7B6E"/>
    <w:rsid w:val="2AE9690F"/>
    <w:rsid w:val="2B133692"/>
    <w:rsid w:val="2B2B6F28"/>
    <w:rsid w:val="2B395AE8"/>
    <w:rsid w:val="2B6B0546"/>
    <w:rsid w:val="2B794137"/>
    <w:rsid w:val="2B8E7BE2"/>
    <w:rsid w:val="2B9D7E25"/>
    <w:rsid w:val="2BC43604"/>
    <w:rsid w:val="2BD9744F"/>
    <w:rsid w:val="2C210A56"/>
    <w:rsid w:val="2C363DD6"/>
    <w:rsid w:val="2C42277B"/>
    <w:rsid w:val="2C4C35F9"/>
    <w:rsid w:val="2C5A7703"/>
    <w:rsid w:val="2C6B7F24"/>
    <w:rsid w:val="2C8E776E"/>
    <w:rsid w:val="2CA451E4"/>
    <w:rsid w:val="2CC969F8"/>
    <w:rsid w:val="2CF55A3F"/>
    <w:rsid w:val="2CFC6DCE"/>
    <w:rsid w:val="2D095047"/>
    <w:rsid w:val="2D151C3D"/>
    <w:rsid w:val="2D2105E2"/>
    <w:rsid w:val="2D3622E0"/>
    <w:rsid w:val="2D4B38B1"/>
    <w:rsid w:val="2D652BC5"/>
    <w:rsid w:val="2D8154D4"/>
    <w:rsid w:val="2DB63420"/>
    <w:rsid w:val="2DE75388"/>
    <w:rsid w:val="2DEF248E"/>
    <w:rsid w:val="2E1343CF"/>
    <w:rsid w:val="2E1F2D74"/>
    <w:rsid w:val="2E3600BD"/>
    <w:rsid w:val="2E76495E"/>
    <w:rsid w:val="2EB45BB2"/>
    <w:rsid w:val="2F053E65"/>
    <w:rsid w:val="2F4A02C4"/>
    <w:rsid w:val="2F6A1DB5"/>
    <w:rsid w:val="2F967065"/>
    <w:rsid w:val="2FC02334"/>
    <w:rsid w:val="2FCF07C9"/>
    <w:rsid w:val="2FE04785"/>
    <w:rsid w:val="30004E27"/>
    <w:rsid w:val="300F506A"/>
    <w:rsid w:val="301D32E3"/>
    <w:rsid w:val="301F34FF"/>
    <w:rsid w:val="304545E8"/>
    <w:rsid w:val="305331A8"/>
    <w:rsid w:val="30550CCF"/>
    <w:rsid w:val="309A4933"/>
    <w:rsid w:val="30A6777C"/>
    <w:rsid w:val="30A9101A"/>
    <w:rsid w:val="30AE38E8"/>
    <w:rsid w:val="30C45E54"/>
    <w:rsid w:val="311F12DD"/>
    <w:rsid w:val="313905F0"/>
    <w:rsid w:val="31572824"/>
    <w:rsid w:val="31576E63"/>
    <w:rsid w:val="3179279B"/>
    <w:rsid w:val="31794E91"/>
    <w:rsid w:val="3192385D"/>
    <w:rsid w:val="31C53C32"/>
    <w:rsid w:val="31D04385"/>
    <w:rsid w:val="31FD161E"/>
    <w:rsid w:val="321D3A6E"/>
    <w:rsid w:val="322E5C7B"/>
    <w:rsid w:val="3234700A"/>
    <w:rsid w:val="32476D3D"/>
    <w:rsid w:val="32745651"/>
    <w:rsid w:val="328C0147"/>
    <w:rsid w:val="32B1065A"/>
    <w:rsid w:val="32EB3B6C"/>
    <w:rsid w:val="33386686"/>
    <w:rsid w:val="333A41AC"/>
    <w:rsid w:val="335E433E"/>
    <w:rsid w:val="335F3C12"/>
    <w:rsid w:val="336254B1"/>
    <w:rsid w:val="33745910"/>
    <w:rsid w:val="337F6063"/>
    <w:rsid w:val="338D4C23"/>
    <w:rsid w:val="33941B0E"/>
    <w:rsid w:val="33973471"/>
    <w:rsid w:val="343B642D"/>
    <w:rsid w:val="34847DD4"/>
    <w:rsid w:val="348A2F11"/>
    <w:rsid w:val="349A75F8"/>
    <w:rsid w:val="34B306BA"/>
    <w:rsid w:val="34BD5094"/>
    <w:rsid w:val="34C12DD7"/>
    <w:rsid w:val="34CB5A03"/>
    <w:rsid w:val="34E42621"/>
    <w:rsid w:val="34EF1396"/>
    <w:rsid w:val="350E3B42"/>
    <w:rsid w:val="354632DC"/>
    <w:rsid w:val="355377A7"/>
    <w:rsid w:val="356419B4"/>
    <w:rsid w:val="359027A9"/>
    <w:rsid w:val="35957DBF"/>
    <w:rsid w:val="35AE2C2F"/>
    <w:rsid w:val="35B75F88"/>
    <w:rsid w:val="35BF6BEA"/>
    <w:rsid w:val="35F5260C"/>
    <w:rsid w:val="360D5FB1"/>
    <w:rsid w:val="36274EBB"/>
    <w:rsid w:val="36280C33"/>
    <w:rsid w:val="36370E76"/>
    <w:rsid w:val="36462F9D"/>
    <w:rsid w:val="367125DA"/>
    <w:rsid w:val="367E02E8"/>
    <w:rsid w:val="368D0A96"/>
    <w:rsid w:val="36AF3103"/>
    <w:rsid w:val="36B424C7"/>
    <w:rsid w:val="36B50719"/>
    <w:rsid w:val="36C721FA"/>
    <w:rsid w:val="36C941C4"/>
    <w:rsid w:val="36DB5CA6"/>
    <w:rsid w:val="36E326B9"/>
    <w:rsid w:val="36EA5EE9"/>
    <w:rsid w:val="36EE59D9"/>
    <w:rsid w:val="36F40B16"/>
    <w:rsid w:val="36F86858"/>
    <w:rsid w:val="376143FD"/>
    <w:rsid w:val="377F0D27"/>
    <w:rsid w:val="378123A9"/>
    <w:rsid w:val="379F0A81"/>
    <w:rsid w:val="37A4078E"/>
    <w:rsid w:val="37B81B43"/>
    <w:rsid w:val="37C36E66"/>
    <w:rsid w:val="37CE1367"/>
    <w:rsid w:val="37E312B6"/>
    <w:rsid w:val="37ED5C91"/>
    <w:rsid w:val="380A4A95"/>
    <w:rsid w:val="381F01AD"/>
    <w:rsid w:val="389600D6"/>
    <w:rsid w:val="38A26A7B"/>
    <w:rsid w:val="38C5276A"/>
    <w:rsid w:val="38CA7D80"/>
    <w:rsid w:val="38D34E86"/>
    <w:rsid w:val="38F372D7"/>
    <w:rsid w:val="38FD63A7"/>
    <w:rsid w:val="39292CF8"/>
    <w:rsid w:val="39385E8A"/>
    <w:rsid w:val="396106E4"/>
    <w:rsid w:val="396A50BF"/>
    <w:rsid w:val="397228F1"/>
    <w:rsid w:val="397A79F8"/>
    <w:rsid w:val="39B32F0A"/>
    <w:rsid w:val="39D76BF8"/>
    <w:rsid w:val="3A2B6F44"/>
    <w:rsid w:val="3A2E433E"/>
    <w:rsid w:val="3A3E4582"/>
    <w:rsid w:val="3A777A93"/>
    <w:rsid w:val="3A7B57D6"/>
    <w:rsid w:val="3A8A5A19"/>
    <w:rsid w:val="3A9B514C"/>
    <w:rsid w:val="3AB40CE8"/>
    <w:rsid w:val="3AF37A62"/>
    <w:rsid w:val="3AFB2473"/>
    <w:rsid w:val="3B0C034B"/>
    <w:rsid w:val="3B135A0E"/>
    <w:rsid w:val="3B2929B3"/>
    <w:rsid w:val="3B2A0FAA"/>
    <w:rsid w:val="3B2F036E"/>
    <w:rsid w:val="3B530501"/>
    <w:rsid w:val="3BCE6C1F"/>
    <w:rsid w:val="3BE64ED1"/>
    <w:rsid w:val="3C102C2A"/>
    <w:rsid w:val="3C6504EB"/>
    <w:rsid w:val="3C6F136A"/>
    <w:rsid w:val="3C795D45"/>
    <w:rsid w:val="3C8C1F1C"/>
    <w:rsid w:val="3C94492D"/>
    <w:rsid w:val="3CA66605"/>
    <w:rsid w:val="3CD15B81"/>
    <w:rsid w:val="3CE04016"/>
    <w:rsid w:val="3CEB0831"/>
    <w:rsid w:val="3CEF6007"/>
    <w:rsid w:val="3CF33D49"/>
    <w:rsid w:val="3CFD4BC8"/>
    <w:rsid w:val="3CFE624A"/>
    <w:rsid w:val="3D3E2AEA"/>
    <w:rsid w:val="3D430101"/>
    <w:rsid w:val="3D5347E8"/>
    <w:rsid w:val="3D5E4F88"/>
    <w:rsid w:val="3D6F7A43"/>
    <w:rsid w:val="3D8C7CFA"/>
    <w:rsid w:val="3D9F5C7F"/>
    <w:rsid w:val="3DB42DAD"/>
    <w:rsid w:val="3DD0408A"/>
    <w:rsid w:val="3DD5344F"/>
    <w:rsid w:val="3DF17B5D"/>
    <w:rsid w:val="3DFA2EB5"/>
    <w:rsid w:val="3E1C107E"/>
    <w:rsid w:val="3E391C30"/>
    <w:rsid w:val="3E950C88"/>
    <w:rsid w:val="3EAD43CC"/>
    <w:rsid w:val="3EC60FE9"/>
    <w:rsid w:val="3EF20030"/>
    <w:rsid w:val="3EF5367D"/>
    <w:rsid w:val="3F19380F"/>
    <w:rsid w:val="3F375A43"/>
    <w:rsid w:val="3F3C6758"/>
    <w:rsid w:val="3F6031EC"/>
    <w:rsid w:val="3F6820A1"/>
    <w:rsid w:val="3F7E18C4"/>
    <w:rsid w:val="3F95733A"/>
    <w:rsid w:val="3FBA0B4E"/>
    <w:rsid w:val="3FD634AE"/>
    <w:rsid w:val="3FFA719D"/>
    <w:rsid w:val="40694322"/>
    <w:rsid w:val="406E36E7"/>
    <w:rsid w:val="407A6D2B"/>
    <w:rsid w:val="40890521"/>
    <w:rsid w:val="4090365D"/>
    <w:rsid w:val="409D5D7A"/>
    <w:rsid w:val="40CF2A93"/>
    <w:rsid w:val="40D354F3"/>
    <w:rsid w:val="41032081"/>
    <w:rsid w:val="410B53D9"/>
    <w:rsid w:val="41114BBA"/>
    <w:rsid w:val="411918A4"/>
    <w:rsid w:val="411E335F"/>
    <w:rsid w:val="412F106E"/>
    <w:rsid w:val="41326E0A"/>
    <w:rsid w:val="41666A34"/>
    <w:rsid w:val="416D399E"/>
    <w:rsid w:val="41760AA5"/>
    <w:rsid w:val="42044303"/>
    <w:rsid w:val="420605A3"/>
    <w:rsid w:val="4209374A"/>
    <w:rsid w:val="420D71AC"/>
    <w:rsid w:val="42164036"/>
    <w:rsid w:val="421F738E"/>
    <w:rsid w:val="42246753"/>
    <w:rsid w:val="42274495"/>
    <w:rsid w:val="425A2175"/>
    <w:rsid w:val="426B6130"/>
    <w:rsid w:val="42707BEA"/>
    <w:rsid w:val="429E4757"/>
    <w:rsid w:val="42D11315"/>
    <w:rsid w:val="430A3B9B"/>
    <w:rsid w:val="43324E9F"/>
    <w:rsid w:val="43362BE2"/>
    <w:rsid w:val="434F15AD"/>
    <w:rsid w:val="435968D0"/>
    <w:rsid w:val="435E7A42"/>
    <w:rsid w:val="43790D20"/>
    <w:rsid w:val="43880F63"/>
    <w:rsid w:val="43AA712C"/>
    <w:rsid w:val="43DB3530"/>
    <w:rsid w:val="44250560"/>
    <w:rsid w:val="44307631"/>
    <w:rsid w:val="446612A5"/>
    <w:rsid w:val="44894F93"/>
    <w:rsid w:val="448B5125"/>
    <w:rsid w:val="44A122DD"/>
    <w:rsid w:val="45091C30"/>
    <w:rsid w:val="45280308"/>
    <w:rsid w:val="45682DFA"/>
    <w:rsid w:val="45774DEB"/>
    <w:rsid w:val="458B6AE9"/>
    <w:rsid w:val="45C76CFE"/>
    <w:rsid w:val="45D264C6"/>
    <w:rsid w:val="46116FEE"/>
    <w:rsid w:val="46362EF9"/>
    <w:rsid w:val="469A3487"/>
    <w:rsid w:val="46B1432D"/>
    <w:rsid w:val="46F5246C"/>
    <w:rsid w:val="47040901"/>
    <w:rsid w:val="47392CA0"/>
    <w:rsid w:val="473C009B"/>
    <w:rsid w:val="476F0470"/>
    <w:rsid w:val="478D08F6"/>
    <w:rsid w:val="4799729B"/>
    <w:rsid w:val="47A0687C"/>
    <w:rsid w:val="47B13127"/>
    <w:rsid w:val="47B2035D"/>
    <w:rsid w:val="47BA5463"/>
    <w:rsid w:val="47E30E5E"/>
    <w:rsid w:val="47E81FD1"/>
    <w:rsid w:val="480640A4"/>
    <w:rsid w:val="481B05F8"/>
    <w:rsid w:val="48507E7F"/>
    <w:rsid w:val="4867383D"/>
    <w:rsid w:val="48897310"/>
    <w:rsid w:val="48B06F92"/>
    <w:rsid w:val="48BF0F83"/>
    <w:rsid w:val="48D72771"/>
    <w:rsid w:val="48F74BC1"/>
    <w:rsid w:val="490177EE"/>
    <w:rsid w:val="49066BB2"/>
    <w:rsid w:val="49156DF5"/>
    <w:rsid w:val="493F4F1F"/>
    <w:rsid w:val="49431BB4"/>
    <w:rsid w:val="497179F9"/>
    <w:rsid w:val="497A30FC"/>
    <w:rsid w:val="497E2BEC"/>
    <w:rsid w:val="49E17E97"/>
    <w:rsid w:val="4A233794"/>
    <w:rsid w:val="4A6F5A6E"/>
    <w:rsid w:val="4A7B537E"/>
    <w:rsid w:val="4A9326C8"/>
    <w:rsid w:val="4A9B5A20"/>
    <w:rsid w:val="4AC7350D"/>
    <w:rsid w:val="4AF86972"/>
    <w:rsid w:val="4AFC64BF"/>
    <w:rsid w:val="4B052E99"/>
    <w:rsid w:val="4B133808"/>
    <w:rsid w:val="4B223A4B"/>
    <w:rsid w:val="4B3C4B0D"/>
    <w:rsid w:val="4B4614E8"/>
    <w:rsid w:val="4B965437"/>
    <w:rsid w:val="4BD72A88"/>
    <w:rsid w:val="4BED22AB"/>
    <w:rsid w:val="4C2D26A8"/>
    <w:rsid w:val="4C39104D"/>
    <w:rsid w:val="4C583BC9"/>
    <w:rsid w:val="4C653BF0"/>
    <w:rsid w:val="4C667968"/>
    <w:rsid w:val="4C891FD4"/>
    <w:rsid w:val="4C9444D5"/>
    <w:rsid w:val="4CA23096"/>
    <w:rsid w:val="4CA566E2"/>
    <w:rsid w:val="4CBF59F6"/>
    <w:rsid w:val="4CCA5ABE"/>
    <w:rsid w:val="4CD40D75"/>
    <w:rsid w:val="4CFB27A6"/>
    <w:rsid w:val="4D0F7FFF"/>
    <w:rsid w:val="4D2E492A"/>
    <w:rsid w:val="4D4952BF"/>
    <w:rsid w:val="4D4E28D6"/>
    <w:rsid w:val="4D5325E2"/>
    <w:rsid w:val="4D6D36A4"/>
    <w:rsid w:val="4D73233C"/>
    <w:rsid w:val="4D8207D1"/>
    <w:rsid w:val="4DC62DB4"/>
    <w:rsid w:val="4DCD7C9F"/>
    <w:rsid w:val="4DD01DFD"/>
    <w:rsid w:val="4DD728CB"/>
    <w:rsid w:val="4E6323B1"/>
    <w:rsid w:val="4E686225"/>
    <w:rsid w:val="4E6D1482"/>
    <w:rsid w:val="4E994025"/>
    <w:rsid w:val="4EA8070C"/>
    <w:rsid w:val="4EAA4484"/>
    <w:rsid w:val="4EDB63EB"/>
    <w:rsid w:val="4EF179BD"/>
    <w:rsid w:val="4EFA4BA2"/>
    <w:rsid w:val="4F782B41"/>
    <w:rsid w:val="4F9B2C02"/>
    <w:rsid w:val="4FBF3F5F"/>
    <w:rsid w:val="4FC96B8B"/>
    <w:rsid w:val="50120532"/>
    <w:rsid w:val="50265D8C"/>
    <w:rsid w:val="502838B2"/>
    <w:rsid w:val="503F0BFC"/>
    <w:rsid w:val="50770396"/>
    <w:rsid w:val="50923421"/>
    <w:rsid w:val="50974594"/>
    <w:rsid w:val="50B769E4"/>
    <w:rsid w:val="50E13A61"/>
    <w:rsid w:val="5153495F"/>
    <w:rsid w:val="515B7993"/>
    <w:rsid w:val="515B7CB7"/>
    <w:rsid w:val="516B5E4D"/>
    <w:rsid w:val="518965D2"/>
    <w:rsid w:val="519478E5"/>
    <w:rsid w:val="51AA65D8"/>
    <w:rsid w:val="51B15B29"/>
    <w:rsid w:val="51E1640E"/>
    <w:rsid w:val="520D7203"/>
    <w:rsid w:val="520E4D2A"/>
    <w:rsid w:val="52140592"/>
    <w:rsid w:val="52350508"/>
    <w:rsid w:val="524B3888"/>
    <w:rsid w:val="525F7333"/>
    <w:rsid w:val="52727066"/>
    <w:rsid w:val="527A5F1B"/>
    <w:rsid w:val="52972F71"/>
    <w:rsid w:val="52B551A5"/>
    <w:rsid w:val="52C61160"/>
    <w:rsid w:val="53073C53"/>
    <w:rsid w:val="530F48B5"/>
    <w:rsid w:val="531620E8"/>
    <w:rsid w:val="531B14AC"/>
    <w:rsid w:val="532365B3"/>
    <w:rsid w:val="53364538"/>
    <w:rsid w:val="535B7AFB"/>
    <w:rsid w:val="53E75832"/>
    <w:rsid w:val="53E93358"/>
    <w:rsid w:val="53F02939"/>
    <w:rsid w:val="53FC2179"/>
    <w:rsid w:val="545D78A2"/>
    <w:rsid w:val="5463135D"/>
    <w:rsid w:val="54786129"/>
    <w:rsid w:val="5488491F"/>
    <w:rsid w:val="548B2661"/>
    <w:rsid w:val="54977258"/>
    <w:rsid w:val="54D758A7"/>
    <w:rsid w:val="54E35FFA"/>
    <w:rsid w:val="54FC355F"/>
    <w:rsid w:val="55061CE8"/>
    <w:rsid w:val="551D59AF"/>
    <w:rsid w:val="55456CB4"/>
    <w:rsid w:val="556A161F"/>
    <w:rsid w:val="556E7FB9"/>
    <w:rsid w:val="557F21C6"/>
    <w:rsid w:val="559A7000"/>
    <w:rsid w:val="55A75279"/>
    <w:rsid w:val="55BB6F76"/>
    <w:rsid w:val="561843C9"/>
    <w:rsid w:val="565D002E"/>
    <w:rsid w:val="56933A4F"/>
    <w:rsid w:val="56A30136"/>
    <w:rsid w:val="56D402F0"/>
    <w:rsid w:val="56EA7B13"/>
    <w:rsid w:val="573A3ECB"/>
    <w:rsid w:val="57405985"/>
    <w:rsid w:val="57435475"/>
    <w:rsid w:val="57631674"/>
    <w:rsid w:val="57AC0592"/>
    <w:rsid w:val="57B50F74"/>
    <w:rsid w:val="57C33EC0"/>
    <w:rsid w:val="57C739B1"/>
    <w:rsid w:val="57C87729"/>
    <w:rsid w:val="57EF1159"/>
    <w:rsid w:val="57EF41FA"/>
    <w:rsid w:val="580C1D0B"/>
    <w:rsid w:val="58150BC0"/>
    <w:rsid w:val="583059FA"/>
    <w:rsid w:val="58346B6C"/>
    <w:rsid w:val="58382B00"/>
    <w:rsid w:val="58421289"/>
    <w:rsid w:val="585B234B"/>
    <w:rsid w:val="585D4315"/>
    <w:rsid w:val="58896EB8"/>
    <w:rsid w:val="58AD2E92"/>
    <w:rsid w:val="58CD3249"/>
    <w:rsid w:val="58D2260D"/>
    <w:rsid w:val="58E660B8"/>
    <w:rsid w:val="58ED7447"/>
    <w:rsid w:val="58F06F37"/>
    <w:rsid w:val="5903310E"/>
    <w:rsid w:val="5943337F"/>
    <w:rsid w:val="596811C3"/>
    <w:rsid w:val="598853C1"/>
    <w:rsid w:val="59A57D21"/>
    <w:rsid w:val="59A97480"/>
    <w:rsid w:val="59B85CA7"/>
    <w:rsid w:val="59CE54CA"/>
    <w:rsid w:val="59DE1485"/>
    <w:rsid w:val="5A026F22"/>
    <w:rsid w:val="5A146C55"/>
    <w:rsid w:val="5A3E3CD2"/>
    <w:rsid w:val="5A6B0F6B"/>
    <w:rsid w:val="5A767910"/>
    <w:rsid w:val="5A7A7400"/>
    <w:rsid w:val="5A897643"/>
    <w:rsid w:val="5AD84127"/>
    <w:rsid w:val="5AD85ED5"/>
    <w:rsid w:val="5AE42ACB"/>
    <w:rsid w:val="5AEC590E"/>
    <w:rsid w:val="5B0647F0"/>
    <w:rsid w:val="5B1433B1"/>
    <w:rsid w:val="5B3550D5"/>
    <w:rsid w:val="5BAF30D9"/>
    <w:rsid w:val="5BB66216"/>
    <w:rsid w:val="5BC621D1"/>
    <w:rsid w:val="5BE2525D"/>
    <w:rsid w:val="5C1E200D"/>
    <w:rsid w:val="5C5477DD"/>
    <w:rsid w:val="5C58551F"/>
    <w:rsid w:val="5C7F2AAC"/>
    <w:rsid w:val="5C8C4D37"/>
    <w:rsid w:val="5C9F6CAA"/>
    <w:rsid w:val="5CAE513F"/>
    <w:rsid w:val="5CE45005"/>
    <w:rsid w:val="5CF60894"/>
    <w:rsid w:val="5CFA65D6"/>
    <w:rsid w:val="5D30024A"/>
    <w:rsid w:val="5D3A2E77"/>
    <w:rsid w:val="5D8B722E"/>
    <w:rsid w:val="5DE74DAC"/>
    <w:rsid w:val="5E0E058B"/>
    <w:rsid w:val="5E174F66"/>
    <w:rsid w:val="5E512226"/>
    <w:rsid w:val="5E8072DA"/>
    <w:rsid w:val="5E8720EC"/>
    <w:rsid w:val="5E9F5687"/>
    <w:rsid w:val="5EDB41E5"/>
    <w:rsid w:val="5EEB267A"/>
    <w:rsid w:val="5F214DF0"/>
    <w:rsid w:val="5F5F0972"/>
    <w:rsid w:val="5FA56CCD"/>
    <w:rsid w:val="5FF90DC7"/>
    <w:rsid w:val="607246D5"/>
    <w:rsid w:val="60771CEC"/>
    <w:rsid w:val="607D37A6"/>
    <w:rsid w:val="608C1C3B"/>
    <w:rsid w:val="608E7761"/>
    <w:rsid w:val="60C018E5"/>
    <w:rsid w:val="60C2565D"/>
    <w:rsid w:val="60EC4488"/>
    <w:rsid w:val="616D381B"/>
    <w:rsid w:val="617D1584"/>
    <w:rsid w:val="61A53167"/>
    <w:rsid w:val="61A66D2D"/>
    <w:rsid w:val="61B72CE8"/>
    <w:rsid w:val="61EF2482"/>
    <w:rsid w:val="61F061FA"/>
    <w:rsid w:val="621912AD"/>
    <w:rsid w:val="628D57F7"/>
    <w:rsid w:val="62922E0D"/>
    <w:rsid w:val="62B47227"/>
    <w:rsid w:val="62C31218"/>
    <w:rsid w:val="62C51434"/>
    <w:rsid w:val="62DB2A06"/>
    <w:rsid w:val="62ED58C4"/>
    <w:rsid w:val="62FF4946"/>
    <w:rsid w:val="63041F5D"/>
    <w:rsid w:val="63260125"/>
    <w:rsid w:val="63473BF7"/>
    <w:rsid w:val="63627A46"/>
    <w:rsid w:val="636B5B38"/>
    <w:rsid w:val="63770981"/>
    <w:rsid w:val="63827325"/>
    <w:rsid w:val="63A31776"/>
    <w:rsid w:val="63C60FC0"/>
    <w:rsid w:val="63D92749"/>
    <w:rsid w:val="64634A61"/>
    <w:rsid w:val="647C5B23"/>
    <w:rsid w:val="64A137DB"/>
    <w:rsid w:val="64A15589"/>
    <w:rsid w:val="64C179D9"/>
    <w:rsid w:val="64CA2D32"/>
    <w:rsid w:val="64E2007C"/>
    <w:rsid w:val="651F307E"/>
    <w:rsid w:val="653E102A"/>
    <w:rsid w:val="65404DA2"/>
    <w:rsid w:val="65646CE3"/>
    <w:rsid w:val="65BC6B1F"/>
    <w:rsid w:val="65F75DA9"/>
    <w:rsid w:val="660109D5"/>
    <w:rsid w:val="663366B5"/>
    <w:rsid w:val="66417024"/>
    <w:rsid w:val="66552ACF"/>
    <w:rsid w:val="665804CE"/>
    <w:rsid w:val="665A00E6"/>
    <w:rsid w:val="666D606B"/>
    <w:rsid w:val="668D2269"/>
    <w:rsid w:val="669058B5"/>
    <w:rsid w:val="66985919"/>
    <w:rsid w:val="669B4986"/>
    <w:rsid w:val="66A80E51"/>
    <w:rsid w:val="66CA0DC7"/>
    <w:rsid w:val="66E04A8F"/>
    <w:rsid w:val="66E856F1"/>
    <w:rsid w:val="66F83B86"/>
    <w:rsid w:val="671B1623"/>
    <w:rsid w:val="672030DD"/>
    <w:rsid w:val="67310E46"/>
    <w:rsid w:val="673D3C8F"/>
    <w:rsid w:val="673D77EB"/>
    <w:rsid w:val="675D7E8D"/>
    <w:rsid w:val="67AF7FBD"/>
    <w:rsid w:val="67CD5013"/>
    <w:rsid w:val="6819075E"/>
    <w:rsid w:val="681F3395"/>
    <w:rsid w:val="68276302"/>
    <w:rsid w:val="6841330B"/>
    <w:rsid w:val="684F3C7A"/>
    <w:rsid w:val="688431F8"/>
    <w:rsid w:val="68E02B24"/>
    <w:rsid w:val="68FC02BC"/>
    <w:rsid w:val="6900026F"/>
    <w:rsid w:val="69272501"/>
    <w:rsid w:val="693E5A9D"/>
    <w:rsid w:val="6942153C"/>
    <w:rsid w:val="698C1452"/>
    <w:rsid w:val="699F653B"/>
    <w:rsid w:val="69AA3132"/>
    <w:rsid w:val="69C53AC8"/>
    <w:rsid w:val="6A10568B"/>
    <w:rsid w:val="6A114F5F"/>
    <w:rsid w:val="6A16113C"/>
    <w:rsid w:val="6A2922A9"/>
    <w:rsid w:val="6A2931AF"/>
    <w:rsid w:val="6A3F1ACC"/>
    <w:rsid w:val="6A425119"/>
    <w:rsid w:val="6A696B49"/>
    <w:rsid w:val="6A96318B"/>
    <w:rsid w:val="6ADC556D"/>
    <w:rsid w:val="6B013226"/>
    <w:rsid w:val="6B2D401B"/>
    <w:rsid w:val="6B4C733B"/>
    <w:rsid w:val="6BAC13E3"/>
    <w:rsid w:val="6BE24E05"/>
    <w:rsid w:val="6BE566A3"/>
    <w:rsid w:val="6BEC358E"/>
    <w:rsid w:val="6BEE7306"/>
    <w:rsid w:val="6C2B2308"/>
    <w:rsid w:val="6C832144"/>
    <w:rsid w:val="6CC539D8"/>
    <w:rsid w:val="6D162FB8"/>
    <w:rsid w:val="6D323B6A"/>
    <w:rsid w:val="6D54588F"/>
    <w:rsid w:val="6D725D15"/>
    <w:rsid w:val="6D8F68C7"/>
    <w:rsid w:val="6DA22A9E"/>
    <w:rsid w:val="6DB63E53"/>
    <w:rsid w:val="6DBE71AC"/>
    <w:rsid w:val="6DE210EC"/>
    <w:rsid w:val="6DEC1F6B"/>
    <w:rsid w:val="6E0A23F1"/>
    <w:rsid w:val="6E661D1D"/>
    <w:rsid w:val="6E6A4892"/>
    <w:rsid w:val="6E751F61"/>
    <w:rsid w:val="6E9D3265"/>
    <w:rsid w:val="6EA97E5C"/>
    <w:rsid w:val="6EDA6267"/>
    <w:rsid w:val="6EE3336E"/>
    <w:rsid w:val="6F094457"/>
    <w:rsid w:val="6F9C351D"/>
    <w:rsid w:val="6FCE7B7A"/>
    <w:rsid w:val="6FCF56A0"/>
    <w:rsid w:val="700F0193"/>
    <w:rsid w:val="701557A9"/>
    <w:rsid w:val="703B4AE4"/>
    <w:rsid w:val="70497201"/>
    <w:rsid w:val="704A516B"/>
    <w:rsid w:val="70683CFB"/>
    <w:rsid w:val="70877D29"/>
    <w:rsid w:val="70967F6C"/>
    <w:rsid w:val="70A95EF1"/>
    <w:rsid w:val="70C1323B"/>
    <w:rsid w:val="70CD3B44"/>
    <w:rsid w:val="70EB475C"/>
    <w:rsid w:val="70F441DD"/>
    <w:rsid w:val="71186BD3"/>
    <w:rsid w:val="715F4802"/>
    <w:rsid w:val="71655A4E"/>
    <w:rsid w:val="718A3BCA"/>
    <w:rsid w:val="71CB1E97"/>
    <w:rsid w:val="71EA67C2"/>
    <w:rsid w:val="722019ED"/>
    <w:rsid w:val="7229553C"/>
    <w:rsid w:val="723839D1"/>
    <w:rsid w:val="72710C91"/>
    <w:rsid w:val="72A050D2"/>
    <w:rsid w:val="72B03567"/>
    <w:rsid w:val="72B33057"/>
    <w:rsid w:val="72F13B80"/>
    <w:rsid w:val="7315786E"/>
    <w:rsid w:val="73301751"/>
    <w:rsid w:val="736B1B84"/>
    <w:rsid w:val="73836ECE"/>
    <w:rsid w:val="7386251A"/>
    <w:rsid w:val="73A66718"/>
    <w:rsid w:val="73A806E2"/>
    <w:rsid w:val="73AB01D2"/>
    <w:rsid w:val="73AF32CE"/>
    <w:rsid w:val="73E21E46"/>
    <w:rsid w:val="73F97190"/>
    <w:rsid w:val="740A4EF9"/>
    <w:rsid w:val="74212243"/>
    <w:rsid w:val="746A1E3C"/>
    <w:rsid w:val="746A3BEA"/>
    <w:rsid w:val="747D1B6F"/>
    <w:rsid w:val="747F7695"/>
    <w:rsid w:val="748E78D8"/>
    <w:rsid w:val="749E3893"/>
    <w:rsid w:val="74B87DFA"/>
    <w:rsid w:val="74E86282"/>
    <w:rsid w:val="74EE65C9"/>
    <w:rsid w:val="7508401D"/>
    <w:rsid w:val="75241FEA"/>
    <w:rsid w:val="752B15CB"/>
    <w:rsid w:val="757840E4"/>
    <w:rsid w:val="75B3511C"/>
    <w:rsid w:val="75CA2B92"/>
    <w:rsid w:val="75D03F20"/>
    <w:rsid w:val="75D25EEA"/>
    <w:rsid w:val="76366479"/>
    <w:rsid w:val="763B583E"/>
    <w:rsid w:val="76402E54"/>
    <w:rsid w:val="764741E2"/>
    <w:rsid w:val="764F12E9"/>
    <w:rsid w:val="765406AD"/>
    <w:rsid w:val="7686733D"/>
    <w:rsid w:val="768C42EB"/>
    <w:rsid w:val="76BB24DB"/>
    <w:rsid w:val="76D0242A"/>
    <w:rsid w:val="76DF570D"/>
    <w:rsid w:val="76E45ED5"/>
    <w:rsid w:val="76EA1012"/>
    <w:rsid w:val="7702635B"/>
    <w:rsid w:val="770B16B4"/>
    <w:rsid w:val="773329B9"/>
    <w:rsid w:val="77361410"/>
    <w:rsid w:val="775F730A"/>
    <w:rsid w:val="77813724"/>
    <w:rsid w:val="778154D2"/>
    <w:rsid w:val="77AB595B"/>
    <w:rsid w:val="77D0645A"/>
    <w:rsid w:val="77D34946"/>
    <w:rsid w:val="7866291A"/>
    <w:rsid w:val="786C7F30"/>
    <w:rsid w:val="786F7A21"/>
    <w:rsid w:val="78866B18"/>
    <w:rsid w:val="78AA6CAB"/>
    <w:rsid w:val="78B148EF"/>
    <w:rsid w:val="78CA2EA9"/>
    <w:rsid w:val="78CA4C57"/>
    <w:rsid w:val="78E201F2"/>
    <w:rsid w:val="78E421BD"/>
    <w:rsid w:val="78F63C9E"/>
    <w:rsid w:val="78F9378E"/>
    <w:rsid w:val="793622EC"/>
    <w:rsid w:val="79386064"/>
    <w:rsid w:val="794369E2"/>
    <w:rsid w:val="79BF6786"/>
    <w:rsid w:val="79F3507F"/>
    <w:rsid w:val="7A016D9E"/>
    <w:rsid w:val="7A94376E"/>
    <w:rsid w:val="7AAB2866"/>
    <w:rsid w:val="7AAB500C"/>
    <w:rsid w:val="7ABC4A73"/>
    <w:rsid w:val="7ABF2DE3"/>
    <w:rsid w:val="7AD85D51"/>
    <w:rsid w:val="7AF34939"/>
    <w:rsid w:val="7B152B01"/>
    <w:rsid w:val="7B4D5E28"/>
    <w:rsid w:val="7B590514"/>
    <w:rsid w:val="7B737828"/>
    <w:rsid w:val="7B890DF9"/>
    <w:rsid w:val="7BB3231A"/>
    <w:rsid w:val="7BC260B9"/>
    <w:rsid w:val="7BCB31C0"/>
    <w:rsid w:val="7BE25BDD"/>
    <w:rsid w:val="7BE6624C"/>
    <w:rsid w:val="7C150A6C"/>
    <w:rsid w:val="7C2D6DC6"/>
    <w:rsid w:val="7C8F0691"/>
    <w:rsid w:val="7CAA54CB"/>
    <w:rsid w:val="7CD662C0"/>
    <w:rsid w:val="7CEF2EDE"/>
    <w:rsid w:val="7D0B6DDA"/>
    <w:rsid w:val="7D32101D"/>
    <w:rsid w:val="7D3D00ED"/>
    <w:rsid w:val="7D5176F5"/>
    <w:rsid w:val="7D781125"/>
    <w:rsid w:val="7D7D498E"/>
    <w:rsid w:val="7D850A19"/>
    <w:rsid w:val="7DD24CD9"/>
    <w:rsid w:val="7DD50326"/>
    <w:rsid w:val="7DE93DD1"/>
    <w:rsid w:val="7DF42489"/>
    <w:rsid w:val="7DF82266"/>
    <w:rsid w:val="7E0429B9"/>
    <w:rsid w:val="7E2E5C88"/>
    <w:rsid w:val="7E3F39F1"/>
    <w:rsid w:val="7E4B683A"/>
    <w:rsid w:val="7E834226"/>
    <w:rsid w:val="7E9A50CB"/>
    <w:rsid w:val="7EAF501B"/>
    <w:rsid w:val="7EB0669D"/>
    <w:rsid w:val="7EB937A4"/>
    <w:rsid w:val="7F1C3BEB"/>
    <w:rsid w:val="7F1F20DA"/>
    <w:rsid w:val="7F21759B"/>
    <w:rsid w:val="7F2A644F"/>
    <w:rsid w:val="7F565B5F"/>
    <w:rsid w:val="7F89761A"/>
    <w:rsid w:val="7F8A15E4"/>
    <w:rsid w:val="7FBE45A5"/>
    <w:rsid w:val="7FD4460D"/>
    <w:rsid w:val="7FFB6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spacing w:before="100" w:beforeAutospacing="1" w:after="100" w:afterAutospacing="1"/>
      <w:jc w:val="left"/>
      <w:outlineLvl w:val="0"/>
    </w:pPr>
    <w:rPr>
      <w:rFonts w:ascii="宋体" w:eastAsia="宋体" w:cs="宋体"/>
      <w:b/>
      <w:bCs/>
      <w:kern w:val="44"/>
      <w:sz w:val="48"/>
      <w:szCs w:val="48"/>
      <w:lang w:val="en-US" w:eastAsia="zh-CN"/>
    </w:rPr>
  </w:style>
  <w:style w:type="paragraph" w:styleId="4">
    <w:name w:val="heading 2"/>
    <w:basedOn w:val="1"/>
    <w:next w:val="1"/>
    <w:qFormat/>
    <w:uiPriority w:val="0"/>
    <w:pPr>
      <w:spacing w:before="100" w:beforeAutospacing="1" w:after="100" w:afterAutospacing="1"/>
      <w:jc w:val="left"/>
      <w:outlineLvl w:val="1"/>
    </w:pPr>
    <w:rPr>
      <w:rFonts w:ascii="宋体" w:eastAsia="宋体" w:cs="宋体"/>
      <w:b/>
      <w:bCs/>
      <w:kern w:val="0"/>
      <w:sz w:val="36"/>
      <w:szCs w:val="36"/>
      <w:lang w:val="en-US" w:eastAsia="zh-CN"/>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TOC 标题1"/>
    <w:basedOn w:val="3"/>
    <w:next w:val="1"/>
    <w:qFormat/>
    <w:uiPriority w:val="99"/>
    <w:pPr>
      <w:spacing w:before="480" w:after="0" w:line="276" w:lineRule="auto"/>
      <w:outlineLvl w:val="9"/>
    </w:pPr>
    <w:rPr>
      <w:rFonts w:ascii="仿宋" w:hAnsi="仿宋"/>
      <w:color w:val="000000"/>
      <w:kern w:val="0"/>
      <w:szCs w:val="32"/>
    </w:rPr>
  </w:style>
  <w:style w:type="paragraph" w:styleId="6">
    <w:name w:val="Normal Indent"/>
    <w:basedOn w:val="1"/>
    <w:next w:val="1"/>
    <w:qFormat/>
    <w:uiPriority w:val="0"/>
    <w:pPr>
      <w:widowControl/>
      <w:ind w:firstLine="200" w:firstLineChars="200"/>
      <w:textAlignment w:val="baseline"/>
    </w:pPr>
    <w:rPr>
      <w:rFonts w:ascii="Times New Roman" w:hAnsi="Times New Roman" w:eastAsia="宋体" w:cs="Calibri"/>
      <w:szCs w:val="21"/>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Body Text Indent"/>
    <w:basedOn w:val="1"/>
    <w:next w:val="9"/>
    <w:qFormat/>
    <w:uiPriority w:val="0"/>
    <w:pPr>
      <w:spacing w:after="120"/>
      <w:ind w:left="200" w:leftChars="200"/>
    </w:pPr>
  </w:style>
  <w:style w:type="paragraph" w:styleId="9">
    <w:name w:val="Body Text First Indent 2"/>
    <w:basedOn w:val="8"/>
    <w:qFormat/>
    <w:uiPriority w:val="0"/>
    <w:pPr>
      <w:ind w:firstLine="200" w:firstLineChars="200"/>
    </w:p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spacing w:before="120" w:after="120"/>
      <w:jc w:val="left"/>
    </w:pPr>
    <w:rPr>
      <w:rFonts w:ascii="等线" w:eastAsia="等线"/>
      <w:b/>
      <w:bCs/>
      <w:caps/>
      <w:sz w:val="20"/>
      <w:szCs w:val="20"/>
    </w:rPr>
  </w:style>
  <w:style w:type="paragraph" w:styleId="13">
    <w:name w:val="footnote text"/>
    <w:basedOn w:val="1"/>
    <w:next w:val="9"/>
    <w:semiHidden/>
    <w:qFormat/>
    <w:uiPriority w:val="0"/>
    <w:pPr>
      <w:snapToGrid w:val="0"/>
      <w:jc w:val="left"/>
    </w:pPr>
    <w:rPr>
      <w:sz w:val="18"/>
      <w:szCs w:val="18"/>
    </w:rPr>
  </w:style>
  <w:style w:type="paragraph" w:styleId="14">
    <w:name w:val="toc 2"/>
    <w:basedOn w:val="1"/>
    <w:next w:val="1"/>
    <w:qFormat/>
    <w:uiPriority w:val="0"/>
    <w:pPr>
      <w:ind w:left="20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图表目录1"/>
    <w:basedOn w:val="1"/>
    <w:next w:val="1"/>
    <w:qFormat/>
    <w:uiPriority w:val="0"/>
    <w:pPr>
      <w:ind w:left="400" w:leftChars="200" w:hanging="200" w:hangingChars="200"/>
    </w:pPr>
  </w:style>
  <w:style w:type="paragraph" w:customStyle="1" w:styleId="21">
    <w:name w:val="文档正文"/>
    <w:basedOn w:val="1"/>
    <w:qFormat/>
    <w:uiPriority w:val="0"/>
    <w:pPr>
      <w:adjustRightInd w:val="0"/>
      <w:spacing w:line="480" w:lineRule="atLeast"/>
      <w:textAlignment w:val="baseline"/>
    </w:pPr>
    <w:rPr>
      <w:kern w:val="0"/>
    </w:rPr>
  </w:style>
  <w:style w:type="paragraph" w:customStyle="1" w:styleId="22">
    <w:name w:val="列表段落1"/>
    <w:basedOn w:val="1"/>
    <w:qFormat/>
    <w:uiPriority w:val="0"/>
    <w:pPr>
      <w:ind w:firstLine="200" w:firstLineChars="200"/>
    </w:p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四号正文"/>
    <w:basedOn w:val="1"/>
    <w:qFormat/>
    <w:uiPriority w:val="0"/>
    <w:pPr>
      <w:spacing w:line="360" w:lineRule="auto"/>
    </w:pPr>
    <w:rPr>
      <w:rFonts w:ascii="??" w:hAnsi="??" w:eastAsia="宋体"/>
      <w:color w:val="000000"/>
      <w:kern w:val="0"/>
      <w:sz w:val="28"/>
      <w:szCs w:val="21"/>
      <w:lang w:val="zh-CN"/>
    </w:rPr>
  </w:style>
  <w:style w:type="paragraph" w:customStyle="1" w:styleId="25">
    <w:name w:val="普通(网站) Char"/>
    <w:basedOn w:val="1"/>
    <w:qFormat/>
    <w:uiPriority w:val="0"/>
    <w:pPr>
      <w:spacing w:before="0" w:beforeAutospacing="1" w:after="0" w:afterAutospacing="1"/>
      <w:ind w:left="0" w:right="0"/>
      <w:jc w:val="left"/>
    </w:pPr>
    <w:rPr>
      <w:rFonts w:ascii="宋体" w:eastAsia="宋体" w:cs="宋体"/>
      <w:kern w:val="0"/>
      <w:sz w:val="24"/>
      <w:szCs w:val="24"/>
      <w:lang w:val="en-US" w:eastAsia="zh-CN"/>
    </w:rPr>
  </w:style>
  <w:style w:type="paragraph" w:customStyle="1" w:styleId="26">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标题 1 Char"/>
    <w:basedOn w:val="18"/>
    <w:link w:val="3"/>
    <w:qFormat/>
    <w:uiPriority w:val="9"/>
    <w:rPr>
      <w:rFonts w:ascii="宋体" w:eastAsia="宋体" w:cs="宋体"/>
      <w:b/>
      <w:bCs/>
      <w:kern w:val="44"/>
      <w:sz w:val="48"/>
      <w:szCs w:val="48"/>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themeOverride" Target="../theme/themeOverride2.xml"/><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92;&#19994;&#23616;&#26448;&#26009;\&#31185;&#20892;&#23616;&#20915;&#31639;&#36164;&#26009;\2023&#24180;&#20915;&#31639;&#20844;&#24320;\2023&#24180;&#31185;&#20892;&#23616;&#20915;&#31639;&#20844;&#24320;&#36164;&#26009;\&#39292;&#29366;&#22270;&#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11111111111"/>
          <c:y val="0.221544715447154"/>
          <c:w val="0.817916666666667"/>
          <c:h val="0.681910569105691"/>
        </c:manualLayout>
      </c:layout>
      <c:barChart>
        <c:barDir val="col"/>
        <c:grouping val="clustered"/>
        <c:varyColors val="0"/>
        <c:ser>
          <c:idx val="0"/>
          <c:order val="0"/>
          <c:tx>
            <c:strRef>
              <c:f>[饼状图汇总.xlsx]Sheet1!$C$8</c:f>
              <c:strCache>
                <c:ptCount val="1"/>
                <c:pt idx="0">
                  <c:v>图一.财政拨款收、支总决算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[饼状图汇总.xlsx]Sheet1!$B$9:$B$10</c:f>
              <c:strCache>
                <c:ptCount val="2"/>
                <c:pt idx="0">
                  <c:v>2022年</c:v>
                </c:pt>
                <c:pt idx="1">
                  <c:v>2023年</c:v>
                </c:pt>
              </c:strCache>
            </c:strRef>
          </c:cat>
          <c:val>
            <c:numRef>
              <c:f>[饼状图汇总.xlsx]Sheet1!$C$9:$C$10</c:f>
              <c:numCache>
                <c:formatCode>#,##0.00</c:formatCode>
                <c:ptCount val="2"/>
                <c:pt idx="0">
                  <c:v>10380.17</c:v>
                </c:pt>
                <c:pt idx="1">
                  <c:v>11913.35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egendEntry>
        <c:idx val="0"/>
        <c:txPr>
          <a:bodyPr rot="0" spcFirstLastPara="0" vertOverflow="ellipsis" vert="horz" wrap="square" anchor="ctr" anchorCtr="1"/>
          <a:lstStyle/>
          <a:p>
            <a:pPr>
              <a:defRPr lang="zh-CN" sz="1800" b="1"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manualLayout>
          <c:xMode val="edge"/>
          <c:yMode val="edge"/>
          <c:x val="0.11125"/>
          <c:y val="0.0290650406504065"/>
          <c:w val="0.764583333333333"/>
          <c:h val="0.10711382113821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gap"/>
    <c:showDLblsOverMax val="0"/>
  </c:chart>
  <c:txPr>
    <a:bodyPr/>
    <a:lstStyle/>
    <a:p>
      <a:pPr>
        <a:defRPr lang="zh-CN"/>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[饼状图汇总.xlsx]Sheet1!$C$20</c:f>
              <c:strCache>
                <c:ptCount val="1"/>
                <c:pt idx="0">
                  <c:v>图二.2023年收入决算结构图</c:v>
                </c:pt>
              </c:strCache>
            </c:strRef>
          </c:tx>
          <c:explosion val="25"/>
          <c:dPt>
            <c:idx val="0"/>
            <c:bubble3D val="0"/>
          </c:dPt>
          <c:dPt>
            <c:idx val="1"/>
            <c:bubble3D val="0"/>
          </c:dPt>
          <c:dLbls>
            <c:delete val="1"/>
          </c:dLbls>
          <c:cat>
            <c:strRef>
              <c:f>[饼状图汇总.xlsx]Sheet1!$B$21:$B$22</c:f>
              <c:strCache>
                <c:ptCount val="2"/>
                <c:pt idx="0">
                  <c:v>一般公共预算财政拨款收入占100%</c:v>
                </c:pt>
                <c:pt idx="1">
                  <c:v>政府性基金预算财政拨款收入占0%</c:v>
                </c:pt>
              </c:strCache>
            </c:strRef>
          </c:cat>
          <c:val>
            <c:numRef>
              <c:f>[饼状图汇总.xlsx]Sheet1!$C$21:$C$22</c:f>
              <c:numCache>
                <c:formatCode>General</c:formatCode>
                <c:ptCount val="2"/>
                <c:pt idx="0">
                  <c:v>11913.35</c:v>
                </c:pt>
                <c:pt idx="1">
                  <c:v>0</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[饼状图汇总.xlsx]Sheet1!$C$38</c:f>
              <c:strCache>
                <c:ptCount val="1"/>
                <c:pt idx="0">
                  <c:v>图三.2023年支出决算结构图</c:v>
                </c:pt>
              </c:strCache>
            </c:strRef>
          </c:tx>
          <c:explosion val="25"/>
          <c:dPt>
            <c:idx val="0"/>
            <c:bubble3D val="0"/>
          </c:dPt>
          <c:dPt>
            <c:idx val="1"/>
            <c:bubble3D val="0"/>
          </c:dPt>
          <c:dLbls>
            <c:dLbl>
              <c:idx val="0"/>
              <c:layout>
                <c:manualLayout>
                  <c:x val="0.177083333333333"/>
                  <c:y val="-0.0189393939393939"/>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208293018344749"/>
                  <c:y val="-0.0555068309994378"/>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[饼状图汇总.xlsx]Sheet1!$B$39:$B$40</c:f>
              <c:strCache>
                <c:ptCount val="2"/>
                <c:pt idx="0">
                  <c:v>基本支出占13.89%</c:v>
                </c:pt>
                <c:pt idx="1">
                  <c:v>项目支出占86.11%</c:v>
                </c:pt>
              </c:strCache>
            </c:strRef>
          </c:cat>
          <c:val>
            <c:numRef>
              <c:f>[饼状图汇总.xlsx]Sheet1!$C$39:$C$40</c:f>
              <c:numCache>
                <c:formatCode>General</c:formatCode>
                <c:ptCount val="2"/>
                <c:pt idx="0">
                  <c:v>1654.23</c:v>
                </c:pt>
                <c:pt idx="1">
                  <c:v>10259.12</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611111111111"/>
          <c:y val="0.218968692449355"/>
          <c:w val="0.817916666666667"/>
          <c:h val="0.67329650092081"/>
        </c:manualLayout>
      </c:layout>
      <c:barChart>
        <c:barDir val="col"/>
        <c:grouping val="clustered"/>
        <c:varyColors val="0"/>
        <c:ser>
          <c:idx val="0"/>
          <c:order val="0"/>
          <c:tx>
            <c:strRef>
              <c:f>[饼状图汇总.xlsx]Sheet1!$C$8</c:f>
              <c:strCache>
                <c:ptCount val="1"/>
                <c:pt idx="0">
                  <c:v>图四.财政拨款收、支总决算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[饼状图汇总.xlsx]Sheet1!$B$9:$B$10</c:f>
              <c:strCache>
                <c:ptCount val="2"/>
                <c:pt idx="0">
                  <c:v>2022年</c:v>
                </c:pt>
                <c:pt idx="1">
                  <c:v>2023年</c:v>
                </c:pt>
              </c:strCache>
            </c:strRef>
          </c:cat>
          <c:val>
            <c:numRef>
              <c:f>[饼状图汇总.xlsx]Sheet1!$C$9:$C$10</c:f>
              <c:numCache>
                <c:formatCode>#,##0.00</c:formatCode>
                <c:ptCount val="2"/>
                <c:pt idx="0">
                  <c:v>10380.17</c:v>
                </c:pt>
                <c:pt idx="1">
                  <c:v>11913.35</c:v>
                </c:pt>
              </c:numCache>
            </c:numRef>
          </c:val>
        </c:ser>
        <c:dLbls>
          <c:showLegendKey val="0"/>
          <c:showVal val="1"/>
          <c:showCatName val="0"/>
          <c:showSerName val="0"/>
          <c:showPercent val="0"/>
          <c:showBubbleSize val="0"/>
        </c:dLbls>
        <c:gapWidth val="75"/>
        <c:axId val="80053376"/>
        <c:axId val="80054912"/>
      </c:barChart>
      <c:catAx>
        <c:axId val="8005337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4912"/>
        <c:crosses val="autoZero"/>
        <c:auto val="1"/>
        <c:lblAlgn val="ctr"/>
        <c:lblOffset val="100"/>
        <c:noMultiLvlLbl val="0"/>
      </c:catAx>
      <c:valAx>
        <c:axId val="80054912"/>
        <c:scaling>
          <c:orientation val="minMax"/>
        </c:scaling>
        <c:delete val="0"/>
        <c:axPos val="l"/>
        <c:numFmt formatCode="#,##0.00"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053376"/>
        <c:crosses val="autoZero"/>
        <c:crossBetween val="between"/>
      </c:valAx>
      <c:spPr>
        <a:solidFill>
          <a:schemeClr val="bg1"/>
        </a:solidFill>
        <a:ln>
          <a:noFill/>
        </a:ln>
        <a:effectLst/>
      </c:spPr>
    </c:plotArea>
    <c:legend>
      <c:legendPos val="b"/>
      <c:legendEntry>
        <c:idx val="0"/>
        <c:txPr>
          <a:bodyPr rot="0" spcFirstLastPara="0" vertOverflow="ellipsis" vert="horz" wrap="square" anchor="ctr" anchorCtr="1"/>
          <a:lstStyle/>
          <a:p>
            <a:pPr>
              <a:defRPr lang="zh-CN" sz="1800" b="1"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p>
        </c:txPr>
      </c:legendEntry>
      <c:layout>
        <c:manualLayout>
          <c:xMode val="edge"/>
          <c:yMode val="edge"/>
          <c:x val="0.0779166666666667"/>
          <c:y val="0.0464354527938343"/>
          <c:w val="0.795833333333333"/>
          <c:h val="0.10057803468208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宋体" panose="02010600030101010101" charset="-122"/>
              <a:ea typeface="宋体" panose="02010600030101010101" charset="-122"/>
              <a:cs typeface="宋体" panose="02010600030101010101" charset="-122"/>
              <a:sym typeface="宋体" panose="02010600030101010101" charset="-122"/>
            </a:defRPr>
          </a:pPr>
        </a:p>
      </c:txPr>
    </c:legend>
    <c:plotVisOnly val="1"/>
    <c:dispBlanksAs val="gap"/>
    <c:showDLblsOverMax val="0"/>
  </c:chart>
  <c:txPr>
    <a:bodyPr/>
    <a:lstStyle/>
    <a:p>
      <a:pPr>
        <a:defRPr lang="zh-CN"/>
      </a:pPr>
    </a:p>
  </c:txPr>
  <c:externalData r:id="rId1">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746718982546"/>
          <c:y val="0.197000405350628"/>
          <c:w val="0.859829522392099"/>
          <c:h val="0.693554925010134"/>
        </c:manualLayout>
      </c:layout>
      <c:barChart>
        <c:barDir val="col"/>
        <c:grouping val="clustered"/>
        <c:varyColors val="0"/>
        <c:ser>
          <c:idx val="0"/>
          <c:order val="0"/>
          <c:tx>
            <c:strRef>
              <c:f>[饼状图汇总.xlsx]Sheet1!$C$77</c:f>
              <c:strCache>
                <c:ptCount val="1"/>
                <c:pt idx="0">
                  <c:v>图五.一般公共预算财政拨款支出决算变动情况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[饼状图汇总.xlsx]Sheet1!$B$78:$B$79</c:f>
              <c:strCache>
                <c:ptCount val="2"/>
                <c:pt idx="0">
                  <c:v>2022年</c:v>
                </c:pt>
                <c:pt idx="1">
                  <c:v>2023年</c:v>
                </c:pt>
              </c:strCache>
            </c:strRef>
          </c:cat>
          <c:val>
            <c:numRef>
              <c:f>[饼状图汇总.xlsx]Sheet1!$C$78:$C$79</c:f>
              <c:numCache>
                <c:formatCode>General</c:formatCode>
                <c:ptCount val="2"/>
                <c:pt idx="0">
                  <c:v>10380.17</c:v>
                </c:pt>
                <c:pt idx="1">
                  <c:v>11913.35</c:v>
                </c:pt>
              </c:numCache>
            </c:numRef>
          </c:val>
        </c:ser>
        <c:dLbls>
          <c:showLegendKey val="0"/>
          <c:showVal val="1"/>
          <c:showCatName val="0"/>
          <c:showSerName val="0"/>
          <c:showPercent val="0"/>
          <c:showBubbleSize val="0"/>
        </c:dLbls>
        <c:gapWidth val="75"/>
        <c:axId val="73993600"/>
        <c:axId val="73999488"/>
      </c:barChart>
      <c:catAx>
        <c:axId val="7399360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9488"/>
        <c:crosses val="autoZero"/>
        <c:auto val="1"/>
        <c:lblAlgn val="ctr"/>
        <c:lblOffset val="100"/>
        <c:noMultiLvlLbl val="0"/>
      </c:catAx>
      <c:valAx>
        <c:axId val="7399948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993600"/>
        <c:crosses val="autoZero"/>
        <c:crossBetween val="between"/>
      </c:valAx>
      <c:spPr>
        <a:solidFill>
          <a:schemeClr val="bg1"/>
        </a:solidFill>
        <a:ln>
          <a:noFill/>
        </a:ln>
        <a:effectLst/>
      </c:spPr>
    </c:plotArea>
    <c:legend>
      <c:legendPos val="b"/>
      <c:legendEntry>
        <c:idx val="0"/>
        <c:txPr>
          <a:bodyPr rot="0" spcFirstLastPara="0" vertOverflow="ellipsis" vert="horz" wrap="square" anchor="ctr" anchorCtr="1"/>
          <a:lstStyle/>
          <a:p>
            <a:pPr>
              <a:defRPr lang="zh-CN" sz="1500" b="1" i="0" u="none" strike="noStrike" kern="1200" baseline="0">
                <a:solidFill>
                  <a:schemeClr val="tx1"/>
                </a:solidFill>
                <a:latin typeface="+mn-lt"/>
                <a:ea typeface="+mn-ea"/>
                <a:cs typeface="+mn-cs"/>
              </a:defRPr>
            </a:pPr>
          </a:p>
        </c:txPr>
      </c:legendEntry>
      <c:layout>
        <c:manualLayout>
          <c:xMode val="edge"/>
          <c:yMode val="edge"/>
          <c:x val="0.0230365081503435"/>
          <c:y val="0.0282973621103118"/>
          <c:w val="0.971978984238179"/>
          <c:h val="0.0863309352517986"/>
        </c:manualLayout>
      </c:layout>
      <c:overlay val="0"/>
      <c:txPr>
        <a:bodyPr rot="0" spcFirstLastPara="0" vertOverflow="ellipsis" vert="horz" wrap="square" anchor="ctr" anchorCtr="1"/>
        <a:lstStyle/>
        <a:p>
          <a:pPr>
            <a:defRPr lang="zh-CN" sz="1500" b="1"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[饼状图汇总.xlsx]Sheet1!$C$99</c:f>
              <c:strCache>
                <c:ptCount val="1"/>
                <c:pt idx="0">
                  <c:v>图六.2023年一般公共预算财政拨款支出决算结构</c:v>
                </c:pt>
              </c:strCache>
            </c:strRef>
          </c:tx>
          <c:explosion val="0"/>
          <c:dPt>
            <c:idx val="0"/>
            <c:bubble3D val="0"/>
          </c:dPt>
          <c:dPt>
            <c:idx val="1"/>
            <c:bubble3D val="0"/>
          </c:dPt>
          <c:dPt>
            <c:idx val="2"/>
            <c:bubble3D val="0"/>
          </c:dPt>
          <c:dPt>
            <c:idx val="3"/>
            <c:bubble3D val="0"/>
            <c:explosion val="2"/>
          </c:dPt>
          <c:dPt>
            <c:idx val="4"/>
            <c:bubble3D val="0"/>
          </c:dPt>
          <c:dPt>
            <c:idx val="5"/>
            <c:bubble3D val="0"/>
          </c:dPt>
          <c:dPt>
            <c:idx val="6"/>
            <c:bubble3D val="0"/>
          </c:dPt>
          <c:dLbls>
            <c:dLbl>
              <c:idx val="0"/>
              <c:layout>
                <c:manualLayout>
                  <c:x val="-0.40625"/>
                  <c:y val="-0.08652032744491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36841375539128"/>
                  <c:y val="-0.080888795732023"/>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205694444444444"/>
                      <c:h val="0.0967407407407407"/>
                    </c:manualLayout>
                  </c15:layout>
                </c:ext>
              </c:extLst>
            </c:dLbl>
            <c:dLbl>
              <c:idx val="2"/>
              <c:layout>
                <c:manualLayout>
                  <c:x val="0.133333333333333"/>
                  <c:y val="-0.15737055909736"/>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118276252179675"/>
                  <c:y val="-0.0559480738421853"/>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157311774822829"/>
                  <c:y val="0.0355526519289725"/>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manualLayout>
                  <c:x val="-0.334959672471182"/>
                  <c:y val="0.0152257626956258"/>
                </c:manualLayout>
              </c:layout>
              <c:dLblPos val="bestFit"/>
              <c:showLegendKey val="0"/>
              <c:showVal val="0"/>
              <c:showCatName val="1"/>
              <c:showSerName val="0"/>
              <c:showPercent val="0"/>
              <c:showBubbleSize val="0"/>
              <c:extLst>
                <c:ext xmlns:c15="http://schemas.microsoft.com/office/drawing/2012/chart" uri="{CE6537A1-D6FC-4f65-9D91-7224C49458BB}">
                  <c15:layout>
                    <c:manualLayout>
                      <c:w val="0.194027777777778"/>
                      <c:h val="0.0880195599022005"/>
                    </c:manualLayout>
                  </c15:layout>
                </c:ext>
              </c:extLst>
            </c:dLbl>
            <c:dLbl>
              <c:idx val="6"/>
              <c:layout>
                <c:manualLayout>
                  <c:x val="-0.253346187663692"/>
                  <c:y val="0.0239128944542193"/>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[饼状图汇总.xlsx]Sheet1!$B$100:$B$106</c:f>
              <c:strCache>
                <c:ptCount val="7"/>
                <c:pt idx="0">
                  <c:v>科学技术支出占4.37%</c:v>
                </c:pt>
                <c:pt idx="1">
                  <c:v>社会保障和就业支出占1.81%</c:v>
                </c:pt>
                <c:pt idx="2">
                  <c:v>教育支出占0.13%</c:v>
                </c:pt>
                <c:pt idx="3">
                  <c:v>卫生健康支出占0.80%</c:v>
                </c:pt>
                <c:pt idx="4">
                  <c:v>节能环保支出0.46%</c:v>
                </c:pt>
                <c:pt idx="5">
                  <c:v>农林水支出占91.50%</c:v>
                </c:pt>
                <c:pt idx="6">
                  <c:v>住房保障支出占0.93%</c:v>
                </c:pt>
              </c:strCache>
            </c:strRef>
          </c:cat>
          <c:val>
            <c:numRef>
              <c:f>[饼状图汇总.xlsx]Sheet1!$C$100:$C$106</c:f>
              <c:numCache>
                <c:formatCode>General</c:formatCode>
                <c:ptCount val="7"/>
                <c:pt idx="0">
                  <c:v>520.04</c:v>
                </c:pt>
                <c:pt idx="1">
                  <c:v>216.17</c:v>
                </c:pt>
                <c:pt idx="2">
                  <c:v>15</c:v>
                </c:pt>
                <c:pt idx="3">
                  <c:v>95.65</c:v>
                </c:pt>
                <c:pt idx="4">
                  <c:v>55</c:v>
                </c:pt>
                <c:pt idx="5">
                  <c:v>10900.74</c:v>
                </c:pt>
                <c:pt idx="6" c:formatCode="0.00_ ">
                  <c:v>110.75</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[饼状图汇总.xlsx]Sheet1!$C$123</c:f>
              <c:strCache>
                <c:ptCount val="1"/>
                <c:pt idx="0">
                  <c:v>图七.2023年“三公”经费财政拨款支出结构图</c:v>
                </c:pt>
              </c:strCache>
            </c:strRef>
          </c:tx>
          <c:explosion val="25"/>
          <c:dPt>
            <c:idx val="0"/>
            <c:bubble3D val="0"/>
          </c:dPt>
          <c:dPt>
            <c:idx val="1"/>
            <c:bubble3D val="0"/>
          </c:dPt>
          <c:dPt>
            <c:idx val="2"/>
            <c:bubble3D val="0"/>
          </c:dPt>
          <c:dLbls>
            <c:dLbl>
              <c:idx val="1"/>
              <c:layout>
                <c:manualLayout>
                  <c:x val="0.155756207674944"/>
                  <c:y val="-0.115942028985507"/>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0925507900677201"/>
                  <c:y val="-0.0036231884057971"/>
                </c:manualLayout>
              </c:layout>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[饼状图汇总.xlsx]Sheet1!$B$124:$B$126</c:f>
              <c:strCache>
                <c:ptCount val="3"/>
                <c:pt idx="1">
                  <c:v>公务用车购置及运行维护费支出占78.81%</c:v>
                </c:pt>
                <c:pt idx="2">
                  <c:v>公务接待费支出占21.19%</c:v>
                </c:pt>
              </c:strCache>
            </c:strRef>
          </c:cat>
          <c:val>
            <c:numRef>
              <c:f>[饼状图汇总.xlsx]Sheet1!$C$124:$C$126</c:f>
              <c:numCache>
                <c:formatCode>General</c:formatCode>
                <c:ptCount val="3"/>
                <c:pt idx="1">
                  <c:v>3.98</c:v>
                </c:pt>
                <c:pt idx="2">
                  <c:v>1.07</c:v>
                </c:pt>
              </c:numCache>
            </c:numRef>
          </c:val>
        </c:ser>
        <c:dLbls>
          <c:showLegendKey val="0"/>
          <c:showVal val="0"/>
          <c:showCatName val="1"/>
          <c:showSerName val="0"/>
          <c:showPercent val="0"/>
          <c:showBubbleSize val="0"/>
        </c:dLbls>
      </c:pie3DChart>
    </c:plotArea>
    <c:plotVisOnly val="1"/>
    <c:dispBlanksAs val="gap"/>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0.38958</cdr:x>
      <cdr:y>0.18697</cdr:y>
    </cdr:from>
    <cdr:to>
      <cdr:x>0.58333</cdr:x>
      <cdr:y>0.29178</cdr:y>
    </cdr:to>
    <cdr:sp>
      <cdr:nvSpPr>
        <cdr:cNvPr id="2" name="矩形 1"/>
        <cdr:cNvSpPr/>
      </cdr:nvSpPr>
      <cdr:spPr xmlns:a="http://schemas.openxmlformats.org/drawingml/2006/main">
        <a:xfrm xmlns:a="http://schemas.openxmlformats.org/drawingml/2006/main">
          <a:off x="1781175" y="628651"/>
          <a:ext cx="885825" cy="352425"/>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dr:relSizeAnchor xmlns:cdr="http://schemas.openxmlformats.org/drawingml/2006/chartDrawing">
    <cdr:from>
      <cdr:x>0.23542</cdr:x>
      <cdr:y>0.38527</cdr:y>
    </cdr:from>
    <cdr:to>
      <cdr:x>0.47292</cdr:x>
      <cdr:y>0.45892</cdr:y>
    </cdr:to>
    <cdr:sp>
      <cdr:nvSpPr>
        <cdr:cNvPr id="3" name="矩形 2"/>
        <cdr:cNvSpPr/>
      </cdr:nvSpPr>
      <cdr:spPr xmlns:a="http://schemas.openxmlformats.org/drawingml/2006/main">
        <a:xfrm xmlns:a="http://schemas.openxmlformats.org/drawingml/2006/main">
          <a:off x="1076325" y="1295401"/>
          <a:ext cx="1085850" cy="247650"/>
        </a:xfrm>
        <a:prstGeom xmlns:a="http://schemas.openxmlformats.org/drawingml/2006/main" prst="rect">
          <a:avLst/>
        </a:prstGeom>
        <a:noFill/>
      </cdr:spPr>
      <cdr:txBody xmlns:a="http://schemas.openxmlformats.org/drawingml/2006/main">
        <a:bodyPr vert="horz" wrap="square" lIns="91440" tIns="45720" rIns="91440" bIns="45720" anchor="t" anchorCtr="0">
          <a:noAutofit/>
        </a:bodyPr>
        <a:lstStyle/>
        <a:p>
          <a:pPr algn="ctr"/>
          <a:endParaRPr lang="zh-CN" altLang="en-US" sz="1100" b="1" cap="none" spc="300">
            <a:ln w="11430" cmpd="sng">
              <a:solidFill>
                <a:schemeClr val="accent1">
                  <a:tint val="10000"/>
                </a:schemeClr>
              </a:solidFill>
              <a:prstDash val="solid"/>
              <a:miter lim="800000"/>
            </a:ln>
            <a:gradFill>
              <a:gsLst>
                <a:gs pos="10000">
                  <a:schemeClr val="accent1">
                    <a:tint val="83000"/>
                    <a:shade val="100000"/>
                    <a:satMod val="200000"/>
                  </a:schemeClr>
                </a:gs>
                <a:gs pos="75000">
                  <a:schemeClr val="accent1">
                    <a:tint val="100000"/>
                    <a:shade val="50000"/>
                    <a:satMod val="150000"/>
                  </a:schemeClr>
                </a:gs>
              </a:gsLst>
              <a:lin ang="5400000"/>
            </a:gradFill>
            <a:effectLst>
              <a:glow rad="45500">
                <a:schemeClr val="accent1">
                  <a:satMod val="220000"/>
                  <a:alpha val="35000"/>
                </a:schemeClr>
              </a:glow>
            </a:effectLst>
          </a:endParaRPr>
        </a:p>
      </cdr:txBody>
    </cdr:sp>
  </cdr:relSizeAnchor>
  <cdr:relSizeAnchor xmlns:cdr="http://schemas.openxmlformats.org/drawingml/2006/chartDrawing">
    <cdr:from>
      <cdr:x>0.8</cdr:x>
      <cdr:y>0.37394</cdr:y>
    </cdr:from>
    <cdr:to>
      <cdr:x>1</cdr:x>
      <cdr:y>0.64589</cdr:y>
    </cdr:to>
    <cdr:sp>
      <cdr:nvSpPr>
        <cdr:cNvPr id="4" name="矩形 3"/>
        <cdr:cNvSpPr/>
      </cdr:nvSpPr>
      <cdr:spPr xmlns:a="http://schemas.openxmlformats.org/drawingml/2006/main">
        <a:xfrm xmlns:a="http://schemas.openxmlformats.org/drawingml/2006/main">
          <a:off x="4010025" y="1257301"/>
          <a:ext cx="914400" cy="914400"/>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endParaRPr lang="zh-CN" altLang="en-US"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77</Pages>
  <Words>36759</Words>
  <Characters>39398</Characters>
  <Lines>1958</Lines>
  <Paragraphs>959</Paragraphs>
  <TotalTime>41</TotalTime>
  <ScaleCrop>false</ScaleCrop>
  <LinksUpToDate>false</LinksUpToDate>
  <CharactersWithSpaces>39701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2023-09-12T01:47:00Z</dcterms:created>
  <dc:creator>Administrator</dc:creator>
  <cp:lastModifiedBy>WZ润</cp:lastModifiedBy>
  <cp:lastPrinted>2023-09-13T05:49:00Z</cp:lastPrinted>
  <dcterms:modified xsi:type="dcterms:W3CDTF">2024-09-25T01:13:46Z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50955DE7CAFA4A31AB4A2F72C7C2E394_12</vt:lpwstr>
  </property>
</Properties>
</file>