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42"/>
          <w:szCs w:val="42"/>
          <w:shd w:val="clear" w:color="auto" w:fill="FFFFFF"/>
        </w:rPr>
      </w:pP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42"/>
          <w:szCs w:val="42"/>
          <w:shd w:val="clear" w:color="auto" w:fill="FFFFFF"/>
        </w:rPr>
      </w:pPr>
    </w:p>
    <w:p>
      <w:pPr>
        <w:pStyle w:val="16"/>
        <w:keepNext w:val="0"/>
        <w:keepLines w:val="0"/>
        <w:pageBreakBefore w:val="0"/>
        <w:widowControl w:val="0"/>
        <w:suppressLineNumbers w:val="0"/>
        <w:kinsoku/>
        <w:wordWrap/>
        <w:overflowPunct/>
        <w:topLinePunct w:val="0"/>
        <w:bidi w:val="0"/>
        <w:snapToGrid/>
        <w:spacing w:before="0" w:beforeAutospacing="0"/>
        <w:ind w:left="0"/>
        <w:jc w:val="center"/>
        <w:rPr>
          <w:rFonts w:hint="default" w:ascii="黑体" w:hAnsi="黑体" w:eastAsia="黑体" w:cs="黑体"/>
          <w:sz w:val="44"/>
          <w:szCs w:val="44"/>
          <w:lang w:val="en-US" w:eastAsia="zh-CN"/>
        </w:rPr>
      </w:pPr>
      <w:bookmarkStart w:id="0" w:name="_Toc9882"/>
      <w:bookmarkEnd w:id="0"/>
      <w:bookmarkStart w:id="1" w:name="_Toc20417"/>
      <w:bookmarkEnd w:id="1"/>
      <w:bookmarkStart w:id="2" w:name="_Toc22812"/>
      <w:bookmarkEnd w:id="2"/>
      <w:bookmarkStart w:id="3" w:name="_Toc7103"/>
      <w:bookmarkEnd w:id="3"/>
      <w:bookmarkStart w:id="4" w:name="_Toc16437"/>
      <w:bookmarkEnd w:id="4"/>
      <w:bookmarkStart w:id="5" w:name="_Toc1991"/>
      <w:r>
        <w:rPr>
          <w:rFonts w:hint="eastAsia" w:ascii="黑体" w:hAnsi="黑体" w:eastAsia="黑体" w:cs="黑体"/>
          <w:sz w:val="44"/>
          <w:szCs w:val="44"/>
          <w:shd w:val="clear" w:fill="FFFFFF"/>
        </w:rPr>
        <w:t>202</w:t>
      </w:r>
      <w:r>
        <w:rPr>
          <w:rFonts w:hint="eastAsia" w:ascii="黑体" w:hAnsi="黑体" w:eastAsia="黑体" w:cs="黑体"/>
          <w:sz w:val="44"/>
          <w:szCs w:val="44"/>
          <w:shd w:val="clear" w:fill="FFFFFF"/>
          <w:lang w:val="en-US" w:eastAsia="zh-CN"/>
        </w:rPr>
        <w:t>4</w:t>
      </w:r>
      <w:r>
        <w:rPr>
          <w:rFonts w:hint="eastAsia" w:ascii="黑体" w:hAnsi="黑体" w:eastAsia="黑体" w:cs="黑体"/>
          <w:sz w:val="44"/>
          <w:szCs w:val="44"/>
          <w:shd w:val="clear" w:fill="FFFFFF"/>
        </w:rPr>
        <w:t>年度</w:t>
      </w:r>
      <w:r>
        <w:rPr>
          <w:rFonts w:hint="eastAsia" w:ascii="黑体" w:hAnsi="黑体" w:eastAsia="黑体" w:cs="黑体"/>
          <w:sz w:val="44"/>
          <w:szCs w:val="44"/>
          <w:shd w:val="clear" w:fill="FFFFFF"/>
          <w:lang w:val="en-US" w:eastAsia="zh-CN"/>
        </w:rPr>
        <w:t>四川省阿坝州</w:t>
      </w:r>
    </w:p>
    <w:p>
      <w:pPr>
        <w:pStyle w:val="9"/>
        <w:pageBreakBefore w:val="0"/>
        <w:widowControl w:val="0"/>
        <w:suppressAutoHyphens/>
        <w:kinsoku/>
        <w:wordWrap/>
        <w:overflowPunct/>
        <w:topLinePunct w:val="0"/>
        <w:bidi w:val="0"/>
        <w:spacing w:beforeAutospacing="0" w:after="140" w:afterAutospacing="0" w:line="276" w:lineRule="auto"/>
        <w:ind w:left="0" w:right="0"/>
        <w:jc w:val="center"/>
        <w:rPr>
          <w:rFonts w:hint="eastAsia" w:ascii="方正小标宋简体" w:hAnsi="宋体" w:eastAsia="方正小标宋简体" w:cs="Times New Roman"/>
          <w:color w:val="auto"/>
          <w:kern w:val="2"/>
          <w:position w:val="0"/>
          <w:sz w:val="44"/>
          <w:szCs w:val="44"/>
          <w:highlight w:val="none"/>
          <w:lang w:val="en-US" w:eastAsia="zh-CN" w:bidi="ar-SA"/>
        </w:rPr>
      </w:pPr>
      <w:r>
        <w:rPr>
          <w:rFonts w:hint="eastAsia" w:ascii="方正小标宋简体" w:hAnsi="宋体" w:eastAsia="方正小标宋简体" w:cs="Times New Roman"/>
          <w:color w:val="auto"/>
          <w:kern w:val="2"/>
          <w:position w:val="0"/>
          <w:sz w:val="44"/>
          <w:szCs w:val="44"/>
          <w:highlight w:val="none"/>
          <w:lang w:val="en-US" w:eastAsia="zh-CN" w:bidi="ar-SA"/>
        </w:rPr>
        <w:t>茂县科学技术和农业畜牧局</w:t>
      </w:r>
      <w:bookmarkEnd w:id="5"/>
      <w:r>
        <w:rPr>
          <w:rFonts w:hint="eastAsia" w:ascii="方正小标宋简体" w:hAnsi="宋体" w:eastAsia="方正小标宋简体" w:cs="Times New Roman"/>
          <w:color w:val="auto"/>
          <w:kern w:val="2"/>
          <w:position w:val="0"/>
          <w:sz w:val="44"/>
          <w:szCs w:val="44"/>
          <w:highlight w:val="none"/>
          <w:lang w:val="en-US" w:eastAsia="zh-CN" w:bidi="ar-SA"/>
        </w:rPr>
        <w:t>（本级）</w:t>
      </w:r>
    </w:p>
    <w:p>
      <w:pPr>
        <w:pStyle w:val="9"/>
        <w:pageBreakBefore w:val="0"/>
        <w:widowControl w:val="0"/>
        <w:suppressAutoHyphens/>
        <w:kinsoku/>
        <w:wordWrap/>
        <w:overflowPunct/>
        <w:topLinePunct w:val="0"/>
        <w:bidi w:val="0"/>
        <w:spacing w:beforeAutospacing="0" w:after="140" w:afterAutospacing="0" w:line="276" w:lineRule="auto"/>
        <w:ind w:left="0" w:right="0"/>
        <w:jc w:val="center"/>
        <w:rPr>
          <w:rFonts w:hint="eastAsia" w:ascii="方正小标宋简体" w:hAnsi="宋体" w:eastAsia="方正小标宋简体" w:cs="Times New Roman"/>
          <w:color w:val="auto"/>
          <w:kern w:val="2"/>
          <w:position w:val="0"/>
          <w:sz w:val="44"/>
          <w:szCs w:val="44"/>
          <w:highlight w:val="none"/>
          <w:lang w:val="en-US" w:eastAsia="zh-CN" w:bidi="ar-SA"/>
        </w:rPr>
      </w:pPr>
      <w:r>
        <w:rPr>
          <w:rFonts w:hint="eastAsia" w:ascii="方正小标宋简体" w:hAnsi="宋体" w:eastAsia="方正小标宋简体" w:cs="Times New Roman"/>
          <w:color w:val="auto"/>
          <w:kern w:val="2"/>
          <w:position w:val="0"/>
          <w:sz w:val="44"/>
          <w:szCs w:val="44"/>
          <w:highlight w:val="none"/>
          <w:lang w:val="en-US" w:eastAsia="zh-CN" w:bidi="ar-SA"/>
        </w:rPr>
        <w:t>单位决算公开</w:t>
      </w:r>
    </w:p>
    <w:p>
      <w:pPr>
        <w:pStyle w:val="9"/>
        <w:pageBreakBefore w:val="0"/>
        <w:widowControl w:val="0"/>
        <w:suppressAutoHyphens/>
        <w:kinsoku/>
        <w:wordWrap/>
        <w:overflowPunct/>
        <w:topLinePunct w:val="0"/>
        <w:bidi w:val="0"/>
        <w:spacing w:beforeAutospacing="0" w:after="140" w:afterAutospacing="0" w:line="276" w:lineRule="auto"/>
        <w:ind w:left="0" w:right="0"/>
        <w:jc w:val="both"/>
        <w:rPr>
          <w:rFonts w:hint="eastAsia" w:ascii="宋体" w:eastAsia="宋体" w:cs="宋体"/>
          <w:kern w:val="0"/>
          <w:sz w:val="24"/>
          <w:szCs w:val="24"/>
        </w:rPr>
      </w:pPr>
      <w:r>
        <w:rPr>
          <w:rFonts w:hint="eastAsia" w:ascii="方正小标宋简体" w:hAnsi="宋体" w:eastAsia="方正小标宋简体" w:cs="Times New Roman"/>
          <w:color w:val="auto"/>
          <w:kern w:val="2"/>
          <w:position w:val="0"/>
          <w:sz w:val="44"/>
          <w:szCs w:val="44"/>
          <w:highlight w:val="none"/>
          <w:lang w:val="en-US" w:eastAsia="zh-CN" w:bidi="ar-SA"/>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bookmarkStart w:id="342" w:name="_GoBack"/>
      <w:bookmarkEnd w:id="342"/>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ascii="仿宋_GB2312" w:eastAsia="仿宋_GB2312" w:cs="仿宋_GB2312"/>
          <w:kern w:val="0"/>
          <w:sz w:val="32"/>
          <w:szCs w:val="32"/>
        </w:rPr>
      </w:pP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rPr>
      </w:pPr>
      <w:r>
        <w:rPr>
          <w:rFonts w:hint="eastAsia" w:ascii="宋体" w:eastAsia="宋体" w:cs="宋体"/>
          <w:kern w:val="0"/>
          <w:sz w:val="24"/>
          <w:szCs w:val="24"/>
          <w:shd w:val="clear" w:color="auto" w:fill="FFFFFF"/>
        </w:rPr>
        <w:t xml:space="preserve"> </w:t>
      </w:r>
    </w:p>
    <w:p>
      <w:pPr>
        <w:pStyle w:val="24"/>
        <w:keepNext w:val="0"/>
        <w:keepLines w:val="0"/>
        <w:pageBreakBefore w:val="0"/>
        <w:widowControl w:val="0"/>
        <w:suppressLineNumbers w:val="0"/>
        <w:kinsoku/>
        <w:wordWrap/>
        <w:overflowPunct/>
        <w:topLinePunct w:val="0"/>
        <w:bidi w:val="0"/>
        <w:spacing w:before="0" w:beforeAutospacing="0" w:line="560" w:lineRule="exact"/>
        <w:ind w:left="0"/>
        <w:jc w:val="both"/>
        <w:rPr>
          <w:rFonts w:hint="eastAsia" w:ascii="宋体" w:eastAsia="宋体" w:cs="宋体"/>
          <w:kern w:val="0"/>
          <w:sz w:val="24"/>
          <w:szCs w:val="24"/>
          <w:shd w:val="clear" w:color="auto" w:fill="FFFFFF"/>
        </w:rPr>
      </w:pPr>
      <w:r>
        <w:rPr>
          <w:rFonts w:hint="eastAsia" w:ascii="宋体" w:eastAsia="宋体" w:cs="宋体"/>
          <w:kern w:val="0"/>
          <w:sz w:val="24"/>
          <w:szCs w:val="24"/>
          <w:shd w:val="clear" w:color="auto" w:fill="FFFFFF"/>
        </w:rPr>
        <w:t xml:space="preserve">   </w:t>
      </w:r>
    </w:p>
    <w:p>
      <w:pPr>
        <w:keepNext w:val="0"/>
        <w:keepLines w:val="0"/>
        <w:pageBreakBefore w:val="0"/>
        <w:widowControl w:val="0"/>
        <w:suppressLineNumbers w:val="0"/>
        <w:kinsoku/>
        <w:wordWrap/>
        <w:overflowPunct/>
        <w:topLinePunct w:val="0"/>
        <w:autoSpaceDE w:val="0"/>
        <w:autoSpaceDN w:val="0"/>
        <w:bidi w:val="0"/>
        <w:adjustRightInd w:val="0"/>
        <w:spacing w:line="560" w:lineRule="exact"/>
        <w:jc w:val="both"/>
        <w:rPr>
          <w:rFonts w:ascii="仿宋_GB2312" w:eastAsia="仿宋_GB2312" w:cs="仿宋_GB2312"/>
          <w:kern w:val="0"/>
          <w:sz w:val="32"/>
          <w:szCs w:val="32"/>
        </w:rPr>
      </w:pPr>
      <w:r>
        <w:rPr>
          <w:rFonts w:ascii="仿宋_GB2312" w:eastAsia="仿宋_GB2312" w:cs="仿宋_GB2312"/>
          <w:kern w:val="0"/>
          <w:sz w:val="32"/>
          <w:szCs w:val="32"/>
        </w:rPr>
        <w:t>保密审查情况：已经保密审查、内容审定，同意对外公开</w:t>
      </w:r>
    </w:p>
    <w:p>
      <w:pPr>
        <w:keepNext w:val="0"/>
        <w:keepLines w:val="0"/>
        <w:pageBreakBefore w:val="0"/>
        <w:widowControl w:val="0"/>
        <w:suppressLineNumbers w:val="0"/>
        <w:kinsoku/>
        <w:wordWrap/>
        <w:overflowPunct/>
        <w:topLinePunct w:val="0"/>
        <w:autoSpaceDE w:val="0"/>
        <w:autoSpaceDN w:val="0"/>
        <w:bidi w:val="0"/>
        <w:adjustRightInd w:val="0"/>
        <w:spacing w:line="560" w:lineRule="exact"/>
        <w:ind w:left="0" w:firstLine="1276"/>
        <w:jc w:val="both"/>
        <w:rPr>
          <w:rFonts w:hint="eastAsia" w:ascii="宋体" w:eastAsia="宋体" w:cs="宋体"/>
          <w:kern w:val="0"/>
          <w:sz w:val="32"/>
          <w:szCs w:val="32"/>
          <w:shd w:val="clear" w:color="auto" w:fill="FFFFFF"/>
        </w:rPr>
      </w:pPr>
      <w:r>
        <w:rPr>
          <w:rFonts w:ascii="仿宋_GB2312" w:eastAsia="仿宋_GB2312" w:cs="仿宋_GB2312"/>
          <w:kern w:val="0"/>
          <w:sz w:val="32"/>
          <w:szCs w:val="32"/>
        </w:rPr>
        <w:t>部门主要负责人审签情况：</w:t>
      </w:r>
      <w:r>
        <w:rPr>
          <w:rFonts w:hint="eastAsia" w:ascii="宋体" w:eastAsia="宋体" w:cs="宋体"/>
          <w:kern w:val="0"/>
          <w:sz w:val="24"/>
          <w:szCs w:val="24"/>
          <w:shd w:val="clear" w:color="auto" w:fill="FFFFFF"/>
        </w:rPr>
        <w:t xml:space="preserve"> </w:t>
      </w:r>
      <w:r>
        <w:rPr>
          <w:rFonts w:hint="eastAsia" w:ascii="宋体" w:eastAsia="宋体" w:cs="宋体"/>
          <w:kern w:val="0"/>
          <w:sz w:val="32"/>
          <w:szCs w:val="32"/>
          <w:shd w:val="clear" w:color="auto" w:fill="FFFFFF"/>
        </w:rPr>
        <w:t xml:space="preserve"> </w:t>
      </w:r>
    </w:p>
    <w:p>
      <w:pPr>
        <w:keepNext w:val="0"/>
        <w:keepLines w:val="0"/>
        <w:pageBreakBefore w:val="0"/>
        <w:widowControl w:val="0"/>
        <w:suppressLineNumbers w:val="0"/>
        <w:kinsoku/>
        <w:wordWrap/>
        <w:overflowPunct/>
        <w:topLinePunct w:val="0"/>
        <w:autoSpaceDE w:val="0"/>
        <w:autoSpaceDN w:val="0"/>
        <w:bidi w:val="0"/>
        <w:adjustRightInd w:val="0"/>
        <w:spacing w:line="560" w:lineRule="exact"/>
        <w:jc w:val="both"/>
        <w:rPr>
          <w:rFonts w:hint="eastAsia" w:ascii="黑体" w:hAnsi="黑体" w:eastAsia="黑体" w:cs="黑体"/>
          <w:b/>
          <w:bCs/>
          <w:kern w:val="0"/>
          <w:sz w:val="24"/>
          <w:szCs w:val="24"/>
          <w:shd w:val="clear" w:color="auto" w:fill="FFFFFF"/>
        </w:rPr>
        <w:sectPr>
          <w:footerReference r:id="rId4" w:type="default"/>
          <w:pgSz w:w="11915" w:h="16851"/>
          <w:pgMar w:top="1440" w:right="1800" w:bottom="1440" w:left="1800" w:header="851" w:footer="992" w:gutter="0"/>
          <w:pgNumType w:fmt="decimal"/>
          <w:cols w:space="720" w:num="1"/>
          <w:docGrid w:type="lines" w:linePitch="312" w:charSpace="0"/>
        </w:sectPr>
      </w:pPr>
    </w:p>
    <w:p>
      <w:pPr>
        <w:keepNext w:val="0"/>
        <w:keepLines w:val="0"/>
        <w:pageBreakBefore w:val="0"/>
        <w:widowControl w:val="0"/>
        <w:suppressLineNumbers w:val="0"/>
        <w:kinsoku/>
        <w:wordWrap/>
        <w:overflowPunct/>
        <w:topLinePunct w:val="0"/>
        <w:autoSpaceDE w:val="0"/>
        <w:autoSpaceDN w:val="0"/>
        <w:bidi w:val="0"/>
        <w:adjustRightInd w:val="0"/>
        <w:spacing w:line="560" w:lineRule="exact"/>
        <w:jc w:val="center"/>
        <w:outlineLvl w:val="9"/>
        <w:rPr>
          <w:rFonts w:hint="eastAsia" w:ascii="黑体" w:hAnsi="黑体" w:eastAsia="黑体" w:cs="黑体"/>
          <w:b/>
          <w:bCs/>
          <w:kern w:val="0"/>
          <w:sz w:val="24"/>
          <w:szCs w:val="24"/>
          <w:shd w:val="clear" w:color="auto" w:fill="FFFFFF"/>
        </w:rPr>
      </w:pPr>
      <w:r>
        <w:rPr>
          <w:rFonts w:hint="eastAsia" w:ascii="黑体" w:hAnsi="黑体" w:eastAsia="黑体" w:cs="黑体"/>
          <w:b/>
          <w:bCs/>
          <w:kern w:val="0"/>
          <w:sz w:val="24"/>
          <w:szCs w:val="24"/>
          <w:shd w:val="clear" w:color="auto" w:fill="FFFFFF"/>
        </w:rPr>
        <w:t>目录</w:t>
      </w:r>
    </w:p>
    <w:p>
      <w:pPr>
        <w:pStyle w:val="13"/>
        <w:keepNext w:val="0"/>
        <w:keepLines w:val="0"/>
        <w:pageBreakBefore w:val="0"/>
        <w:widowControl w:val="0"/>
        <w:suppressLineNumbers w:val="0"/>
        <w:kinsoku/>
        <w:wordWrap/>
        <w:overflowPunct/>
        <w:topLinePunct w:val="0"/>
        <w:bidi w:val="0"/>
        <w:spacing w:line="560" w:lineRule="exact"/>
        <w:jc w:val="center"/>
        <w:outlineLvl w:val="9"/>
        <w:rPr>
          <w:b/>
          <w:bCs/>
          <w:sz w:val="24"/>
          <w:szCs w:val="24"/>
        </w:rPr>
      </w:pPr>
      <w:r>
        <w:rPr>
          <w:rFonts w:hint="eastAsia" w:ascii="黑体" w:hAnsi="黑体" w:eastAsia="黑体" w:cs="黑体"/>
          <w:b/>
          <w:bCs/>
          <w:caps/>
          <w:smallCaps w:val="0"/>
          <w:kern w:val="0"/>
          <w:sz w:val="24"/>
          <w:szCs w:val="24"/>
        </w:rPr>
        <w:t>公开时间：202</w:t>
      </w:r>
      <w:r>
        <w:rPr>
          <w:rFonts w:hint="eastAsia" w:ascii="黑体" w:hAnsi="黑体" w:eastAsia="黑体" w:cs="黑体"/>
          <w:b/>
          <w:bCs/>
          <w:caps/>
          <w:smallCaps w:val="0"/>
          <w:kern w:val="0"/>
          <w:sz w:val="24"/>
          <w:szCs w:val="24"/>
          <w:lang w:val="en-US" w:eastAsia="zh-CN"/>
        </w:rPr>
        <w:t>5</w:t>
      </w:r>
      <w:r>
        <w:rPr>
          <w:rFonts w:hint="eastAsia" w:ascii="黑体" w:hAnsi="黑体" w:eastAsia="黑体" w:cs="黑体"/>
          <w:b/>
          <w:bCs/>
          <w:caps/>
          <w:smallCaps w:val="0"/>
          <w:kern w:val="0"/>
          <w:sz w:val="24"/>
          <w:szCs w:val="24"/>
        </w:rPr>
        <w:t>年9月</w:t>
      </w:r>
      <w:r>
        <w:rPr>
          <w:rFonts w:hint="eastAsia" w:ascii="黑体" w:hAnsi="黑体" w:eastAsia="黑体" w:cs="黑体"/>
          <w:b/>
          <w:bCs/>
          <w:caps/>
          <w:smallCaps w:val="0"/>
          <w:kern w:val="0"/>
          <w:sz w:val="24"/>
          <w:szCs w:val="24"/>
          <w:lang w:val="en-US" w:eastAsia="zh-CN"/>
        </w:rPr>
        <w:t>25</w:t>
      </w:r>
      <w:r>
        <w:rPr>
          <w:rFonts w:hint="eastAsia" w:ascii="黑体" w:hAnsi="黑体" w:eastAsia="黑体" w:cs="黑体"/>
          <w:b/>
          <w:bCs/>
          <w:caps/>
          <w:smallCaps w:val="0"/>
          <w:kern w:val="0"/>
          <w:sz w:val="24"/>
          <w:szCs w:val="24"/>
        </w:rPr>
        <w:t>日</w:t>
      </w:r>
    </w:p>
    <w:sdt>
      <w:sdtPr>
        <w:rPr>
          <w:rFonts w:ascii="宋体" w:hAnsi="宋体" w:eastAsia="宋体" w:cs="宋体"/>
          <w:kern w:val="0"/>
          <w:sz w:val="21"/>
          <w:szCs w:val="24"/>
          <w:lang w:val="en-US" w:eastAsia="zh-CN" w:bidi="ar-SA"/>
        </w:rPr>
        <w:id w:val="147478224"/>
        <w15:color w:val="DBDBDB"/>
        <w:docPartObj>
          <w:docPartGallery w:val="Table of Contents"/>
          <w:docPartUnique/>
        </w:docPartObj>
      </w:sdtPr>
      <w:sdtEndPr>
        <w:rPr>
          <w:rFonts w:hint="eastAsia" w:ascii="黑体" w:hAnsi="黑体" w:eastAsia="黑体" w:cs="黑体"/>
          <w:b/>
          <w:kern w:val="0"/>
          <w:sz w:val="24"/>
          <w:szCs w:val="24"/>
          <w:lang w:val="en-US" w:eastAsia="zh-CN" w:bidi="ar-SA"/>
        </w:rPr>
      </w:sdtEndPr>
      <w:sdtContent>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黑体" w:hAnsi="黑体" w:eastAsia="黑体" w:cs="黑体"/>
              <w:b/>
              <w:bCs w:val="0"/>
              <w:caps/>
              <w:kern w:val="0"/>
              <w:sz w:val="24"/>
              <w:szCs w:val="24"/>
              <w:lang w:val="en-US" w:eastAsia="zh-CN" w:bidi="ar-SA"/>
            </w:rPr>
          </w:pPr>
          <w:r>
            <w:rPr>
              <w:rFonts w:hint="eastAsia" w:ascii="黑体" w:hAnsi="黑体" w:eastAsia="黑体" w:cs="黑体"/>
              <w:b w:val="0"/>
              <w:bCs w:val="0"/>
              <w:kern w:val="0"/>
              <w:sz w:val="24"/>
              <w:szCs w:val="24"/>
              <w:lang w:val="en-US" w:eastAsia="zh-CN" w:bidi="ar-SA"/>
            </w:rPr>
            <w:fldChar w:fldCharType="begin"/>
          </w:r>
          <w:r>
            <w:rPr>
              <w:rFonts w:hint="eastAsia" w:ascii="黑体" w:hAnsi="黑体" w:eastAsia="黑体" w:cs="黑体"/>
              <w:b w:val="0"/>
              <w:bCs w:val="0"/>
              <w:kern w:val="0"/>
              <w:sz w:val="24"/>
              <w:szCs w:val="24"/>
              <w:lang w:val="en-US" w:eastAsia="zh-CN" w:bidi="ar-SA"/>
            </w:rPr>
            <w:instrText xml:space="preserve">TOC \o "1-2" \h \u </w:instrText>
          </w:r>
          <w:r>
            <w:rPr>
              <w:rFonts w:hint="eastAsia" w:ascii="黑体" w:hAnsi="黑体" w:eastAsia="黑体" w:cs="黑体"/>
              <w:b w:val="0"/>
              <w:bCs w:val="0"/>
              <w:kern w:val="0"/>
              <w:sz w:val="24"/>
              <w:szCs w:val="24"/>
              <w:lang w:val="en-US" w:eastAsia="zh-CN" w:bidi="ar-SA"/>
            </w:rPr>
            <w:fldChar w:fldCharType="separate"/>
          </w:r>
        </w:p>
        <w:p>
          <w:pPr>
            <w:pStyle w:val="13"/>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_Toc20415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kern w:val="0"/>
              <w:szCs w:val="44"/>
            </w:rPr>
            <w:t xml:space="preserve">第一部分  </w:t>
          </w:r>
          <w:r>
            <w:rPr>
              <w:rFonts w:hint="eastAsia" w:ascii="黑体" w:eastAsia="黑体" w:cs="黑体"/>
              <w:kern w:val="0"/>
              <w:szCs w:val="44"/>
              <w:lang w:val="en-US" w:eastAsia="zh-CN"/>
            </w:rPr>
            <w:t>单位</w:t>
          </w:r>
          <w:r>
            <w:rPr>
              <w:rFonts w:hint="eastAsia" w:ascii="黑体" w:eastAsia="黑体" w:cs="黑体"/>
              <w:kern w:val="0"/>
              <w:szCs w:val="44"/>
            </w:rPr>
            <w:t>概况</w:t>
          </w:r>
          <w:r>
            <w:tab/>
          </w:r>
          <w:r>
            <w:fldChar w:fldCharType="begin"/>
          </w:r>
          <w:r>
            <w:instrText xml:space="preserve"> PAGEREF _Toc20415 \h </w:instrText>
          </w:r>
          <w:r>
            <w:fldChar w:fldCharType="separate"/>
          </w:r>
          <w:r>
            <w:t>1</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_Toc15482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val="0"/>
              <w:kern w:val="0"/>
              <w:szCs w:val="32"/>
            </w:rPr>
            <w:t>一、</w:t>
          </w:r>
          <w:r>
            <w:rPr>
              <w:rFonts w:hint="eastAsia" w:ascii="黑体" w:eastAsia="黑体" w:cs="黑体"/>
              <w:bCs w:val="0"/>
              <w:kern w:val="0"/>
              <w:szCs w:val="32"/>
              <w:lang w:val="en-US" w:eastAsia="zh-CN"/>
            </w:rPr>
            <w:t>主要</w:t>
          </w:r>
          <w:r>
            <w:rPr>
              <w:rFonts w:hint="eastAsia" w:ascii="黑体" w:eastAsia="黑体" w:cs="黑体"/>
              <w:bCs w:val="0"/>
              <w:kern w:val="0"/>
              <w:szCs w:val="32"/>
            </w:rPr>
            <w:t>职</w:t>
          </w:r>
          <w:r>
            <w:rPr>
              <w:rFonts w:hint="eastAsia" w:ascii="黑体" w:eastAsia="黑体" w:cs="黑体"/>
              <w:bCs w:val="0"/>
              <w:kern w:val="0"/>
              <w:szCs w:val="32"/>
              <w:lang w:val="en-US" w:eastAsia="zh-CN"/>
            </w:rPr>
            <w:t>责</w:t>
          </w:r>
          <w:r>
            <w:tab/>
          </w:r>
          <w:r>
            <w:fldChar w:fldCharType="begin"/>
          </w:r>
          <w:r>
            <w:instrText xml:space="preserve"> PAGEREF _Toc15482 \h </w:instrText>
          </w:r>
          <w:r>
            <w:fldChar w:fldCharType="separate"/>
          </w:r>
          <w:r>
            <w:t>1</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_Toc3206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kern w:val="2"/>
              <w:szCs w:val="32"/>
            </w:rPr>
            <w:t>二、机构设置</w:t>
          </w:r>
          <w:r>
            <w:tab/>
          </w:r>
          <w:r>
            <w:fldChar w:fldCharType="begin"/>
          </w:r>
          <w:r>
            <w:instrText xml:space="preserve"> PAGEREF _Toc3206 \h </w:instrText>
          </w:r>
          <w:r>
            <w:fldChar w:fldCharType="separate"/>
          </w:r>
          <w:r>
            <w:t>3</w:t>
          </w:r>
          <w:r>
            <w:fldChar w:fldCharType="end"/>
          </w:r>
          <w:r>
            <w:rPr>
              <w:rFonts w:hint="eastAsia" w:ascii="黑体" w:hAnsi="黑体" w:eastAsia="黑体" w:cs="黑体"/>
              <w:bCs w:val="0"/>
              <w:kern w:val="0"/>
              <w:szCs w:val="24"/>
              <w:lang w:val="en-US" w:eastAsia="zh-CN" w:bidi="ar-SA"/>
            </w:rPr>
            <w:fldChar w:fldCharType="end"/>
          </w:r>
        </w:p>
        <w:p>
          <w:pPr>
            <w:pStyle w:val="13"/>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_Toc27550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val="0"/>
              <w:kern w:val="44"/>
              <w:szCs w:val="44"/>
              <w:shd w:val="clear" w:color="auto" w:fill="FFFFFF"/>
            </w:rPr>
            <w:t xml:space="preserve">第二部分 </w:t>
          </w:r>
          <w:r>
            <w:rPr>
              <w:rFonts w:hint="eastAsia" w:ascii="黑体" w:eastAsia="黑体" w:cs="黑体"/>
              <w:bCs w:val="0"/>
              <w:kern w:val="44"/>
              <w:szCs w:val="44"/>
              <w:shd w:val="clear" w:color="auto" w:fill="FFFFFF"/>
              <w:lang w:eastAsia="zh-CN"/>
            </w:rPr>
            <w:t>2024</w:t>
          </w:r>
          <w:r>
            <w:rPr>
              <w:rFonts w:hint="eastAsia" w:ascii="黑体" w:eastAsia="黑体" w:cs="黑体"/>
              <w:bCs w:val="0"/>
              <w:kern w:val="44"/>
              <w:szCs w:val="44"/>
              <w:shd w:val="clear" w:color="auto" w:fill="FFFFFF"/>
            </w:rPr>
            <w:t>年度单位决算情况说明</w:t>
          </w:r>
          <w:r>
            <w:tab/>
          </w:r>
          <w:r>
            <w:fldChar w:fldCharType="begin"/>
          </w:r>
          <w:r>
            <w:instrText xml:space="preserve"> PAGEREF _Toc27550 \h </w:instrText>
          </w:r>
          <w:r>
            <w:fldChar w:fldCharType="separate"/>
          </w:r>
          <w:r>
            <w:t>4</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_Toc27343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val="0"/>
              <w:kern w:val="0"/>
              <w:szCs w:val="32"/>
            </w:rPr>
            <w:t>一、收入支出决算总体情况说明</w:t>
          </w:r>
          <w:r>
            <w:tab/>
          </w:r>
          <w:r>
            <w:fldChar w:fldCharType="begin"/>
          </w:r>
          <w:r>
            <w:instrText xml:space="preserve"> PAGEREF _Toc27343 \h </w:instrText>
          </w:r>
          <w:r>
            <w:fldChar w:fldCharType="separate"/>
          </w:r>
          <w:r>
            <w:t>4</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_Toc14655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val="0"/>
              <w:kern w:val="0"/>
              <w:szCs w:val="32"/>
            </w:rPr>
            <w:t>二、收入决算情况说明</w:t>
          </w:r>
          <w:r>
            <w:tab/>
          </w:r>
          <w:r>
            <w:fldChar w:fldCharType="begin"/>
          </w:r>
          <w:r>
            <w:instrText xml:space="preserve"> PAGEREF _Toc14655 \h </w:instrText>
          </w:r>
          <w:r>
            <w:fldChar w:fldCharType="separate"/>
          </w:r>
          <w:r>
            <w:t>4</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_Toc17813 </w:instrText>
          </w:r>
          <w:r>
            <w:rPr>
              <w:rFonts w:hint="eastAsia" w:ascii="黑体" w:hAnsi="黑体" w:eastAsia="黑体" w:cs="黑体"/>
              <w:bCs w:val="0"/>
              <w:kern w:val="0"/>
              <w:szCs w:val="24"/>
              <w:lang w:val="en-US" w:eastAsia="zh-CN" w:bidi="ar-SA"/>
            </w:rPr>
            <w:fldChar w:fldCharType="separate"/>
          </w:r>
          <w:r>
            <w:rPr>
              <w:rFonts w:hint="eastAsia" w:ascii="黑体" w:hAnsi="Times New Roman" w:eastAsia="黑体" w:cs="黑体"/>
              <w:bCs w:val="0"/>
              <w:kern w:val="0"/>
              <w:szCs w:val="32"/>
              <w:lang w:val="en-US" w:eastAsia="zh-CN" w:bidi="ar-SA"/>
            </w:rPr>
            <w:t>三、支出决算情况说明</w:t>
          </w:r>
          <w:r>
            <w:tab/>
          </w:r>
          <w:r>
            <w:fldChar w:fldCharType="begin"/>
          </w:r>
          <w:r>
            <w:instrText xml:space="preserve"> PAGEREF _Toc17813 \h </w:instrText>
          </w:r>
          <w:r>
            <w:fldChar w:fldCharType="separate"/>
          </w:r>
          <w:r>
            <w:t>5</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_Toc26257 </w:instrText>
          </w:r>
          <w:r>
            <w:rPr>
              <w:rFonts w:hint="eastAsia" w:ascii="黑体" w:hAnsi="黑体" w:eastAsia="黑体" w:cs="黑体"/>
              <w:bCs w:val="0"/>
              <w:kern w:val="0"/>
              <w:szCs w:val="24"/>
              <w:lang w:val="en-US" w:eastAsia="zh-CN" w:bidi="ar-SA"/>
            </w:rPr>
            <w:fldChar w:fldCharType="separate"/>
          </w:r>
          <w:r>
            <w:rPr>
              <w:rFonts w:hint="eastAsia" w:ascii="黑体" w:hAnsi="Times New Roman" w:eastAsia="黑体" w:cs="黑体"/>
              <w:bCs w:val="0"/>
              <w:kern w:val="0"/>
              <w:szCs w:val="32"/>
              <w:lang w:val="en-US" w:eastAsia="zh-CN" w:bidi="ar-SA"/>
            </w:rPr>
            <w:t>四、财政拨款收入支出决算总体情况说明</w:t>
          </w:r>
          <w:r>
            <w:tab/>
          </w:r>
          <w:r>
            <w:fldChar w:fldCharType="begin"/>
          </w:r>
          <w:r>
            <w:instrText xml:space="preserve"> PAGEREF _Toc26257 \h </w:instrText>
          </w:r>
          <w:r>
            <w:fldChar w:fldCharType="separate"/>
          </w:r>
          <w:r>
            <w:t>5</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_Toc27350 </w:instrText>
          </w:r>
          <w:r>
            <w:rPr>
              <w:rFonts w:hint="eastAsia" w:ascii="黑体" w:hAnsi="黑体" w:eastAsia="黑体" w:cs="黑体"/>
              <w:bCs w:val="0"/>
              <w:kern w:val="0"/>
              <w:szCs w:val="24"/>
              <w:lang w:val="en-US" w:eastAsia="zh-CN" w:bidi="ar-SA"/>
            </w:rPr>
            <w:fldChar w:fldCharType="separate"/>
          </w:r>
          <w:r>
            <w:rPr>
              <w:rFonts w:hint="eastAsia" w:ascii="黑体" w:hAnsi="Times New Roman" w:eastAsia="黑体" w:cs="黑体"/>
              <w:bCs w:val="0"/>
              <w:kern w:val="0"/>
              <w:szCs w:val="32"/>
              <w:lang w:val="en-US" w:eastAsia="zh-CN" w:bidi="ar-SA"/>
            </w:rPr>
            <w:t>五、一般公共预算财政拨款支出决算情况说明</w:t>
          </w:r>
          <w:r>
            <w:tab/>
          </w:r>
          <w:r>
            <w:fldChar w:fldCharType="begin"/>
          </w:r>
          <w:r>
            <w:instrText xml:space="preserve"> PAGEREF _Toc27350 \h </w:instrText>
          </w:r>
          <w:r>
            <w:fldChar w:fldCharType="separate"/>
          </w:r>
          <w:r>
            <w:t>5</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_Toc15560 </w:instrText>
          </w:r>
          <w:r>
            <w:rPr>
              <w:rFonts w:hint="eastAsia" w:ascii="黑体" w:hAnsi="黑体" w:eastAsia="黑体" w:cs="黑体"/>
              <w:bCs w:val="0"/>
              <w:kern w:val="0"/>
              <w:szCs w:val="24"/>
              <w:lang w:val="en-US" w:eastAsia="zh-CN" w:bidi="ar-SA"/>
            </w:rPr>
            <w:fldChar w:fldCharType="separate"/>
          </w:r>
          <w:r>
            <w:rPr>
              <w:rFonts w:hint="eastAsia" w:ascii="黑体" w:hAnsi="Times New Roman" w:eastAsia="黑体" w:cs="黑体"/>
              <w:bCs w:val="0"/>
              <w:kern w:val="0"/>
              <w:szCs w:val="32"/>
              <w:lang w:val="en-US" w:eastAsia="zh-CN" w:bidi="ar-SA"/>
            </w:rPr>
            <w:t>六、一般公共预算财政拨款基本支出决算情况说明</w:t>
          </w:r>
          <w:r>
            <w:tab/>
          </w:r>
          <w:r>
            <w:fldChar w:fldCharType="begin"/>
          </w:r>
          <w:r>
            <w:instrText xml:space="preserve"> PAGEREF _Toc15560 \h </w:instrText>
          </w:r>
          <w:r>
            <w:fldChar w:fldCharType="separate"/>
          </w:r>
          <w:r>
            <w:t>8</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_Toc11616 </w:instrText>
          </w:r>
          <w:r>
            <w:rPr>
              <w:rFonts w:hint="eastAsia" w:ascii="黑体" w:hAnsi="黑体" w:eastAsia="黑体" w:cs="黑体"/>
              <w:bCs w:val="0"/>
              <w:kern w:val="0"/>
              <w:szCs w:val="24"/>
              <w:lang w:val="en-US" w:eastAsia="zh-CN" w:bidi="ar-SA"/>
            </w:rPr>
            <w:fldChar w:fldCharType="separate"/>
          </w:r>
          <w:r>
            <w:rPr>
              <w:rFonts w:hint="eastAsia" w:ascii="黑体" w:hAnsi="Times New Roman" w:eastAsia="黑体" w:cs="黑体"/>
              <w:bCs w:val="0"/>
              <w:kern w:val="0"/>
              <w:szCs w:val="32"/>
              <w:lang w:val="en-US" w:eastAsia="zh-CN" w:bidi="ar-SA"/>
            </w:rPr>
            <w:t>七、“三公”经费财政拨款支出决算情况说明</w:t>
          </w:r>
          <w:r>
            <w:tab/>
          </w:r>
          <w:r>
            <w:fldChar w:fldCharType="begin"/>
          </w:r>
          <w:r>
            <w:instrText xml:space="preserve"> PAGEREF _Toc11616 \h </w:instrText>
          </w:r>
          <w:r>
            <w:fldChar w:fldCharType="separate"/>
          </w:r>
          <w:r>
            <w:t>9</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_Toc24641 </w:instrText>
          </w:r>
          <w:r>
            <w:rPr>
              <w:rFonts w:hint="eastAsia" w:ascii="黑体" w:hAnsi="黑体" w:eastAsia="黑体" w:cs="黑体"/>
              <w:bCs w:val="0"/>
              <w:kern w:val="0"/>
              <w:szCs w:val="24"/>
              <w:lang w:val="en-US" w:eastAsia="zh-CN" w:bidi="ar-SA"/>
            </w:rPr>
            <w:fldChar w:fldCharType="separate"/>
          </w:r>
          <w:r>
            <w:rPr>
              <w:rFonts w:hint="eastAsia" w:ascii="黑体" w:eastAsia="黑体" w:cs="Times New Roman"/>
              <w:szCs w:val="32"/>
              <w:lang w:val="en-US" w:eastAsia="zh-CN"/>
            </w:rPr>
            <w:t>八、政府性基金预算支出决算情况说明</w:t>
          </w:r>
          <w:r>
            <w:tab/>
          </w:r>
          <w:r>
            <w:fldChar w:fldCharType="begin"/>
          </w:r>
          <w:r>
            <w:instrText xml:space="preserve"> PAGEREF _Toc24641 \h </w:instrText>
          </w:r>
          <w:r>
            <w:fldChar w:fldCharType="separate"/>
          </w:r>
          <w:r>
            <w:t>10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_Toc20948 </w:instrText>
          </w:r>
          <w:r>
            <w:rPr>
              <w:rFonts w:hint="eastAsia" w:ascii="黑体" w:hAnsi="黑体" w:eastAsia="黑体" w:cs="黑体"/>
              <w:bCs w:val="0"/>
              <w:kern w:val="0"/>
              <w:szCs w:val="24"/>
              <w:lang w:val="en-US" w:eastAsia="zh-CN" w:bidi="ar-SA"/>
            </w:rPr>
            <w:fldChar w:fldCharType="separate"/>
          </w:r>
          <w:r>
            <w:rPr>
              <w:rFonts w:hint="eastAsia" w:ascii="黑体" w:eastAsia="黑体" w:cs="Times New Roman"/>
              <w:szCs w:val="32"/>
              <w:lang w:val="en-US" w:eastAsia="zh-CN"/>
            </w:rPr>
            <w:t>九、国有资本经营预算支出决算情况说明</w:t>
          </w:r>
          <w:r>
            <w:tab/>
          </w:r>
          <w:r>
            <w:fldChar w:fldCharType="begin"/>
          </w:r>
          <w:r>
            <w:instrText xml:space="preserve"> PAGEREF _Toc20948 \h </w:instrText>
          </w:r>
          <w:r>
            <w:fldChar w:fldCharType="separate"/>
          </w:r>
          <w:r>
            <w:t>11</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_Toc21991 </w:instrText>
          </w:r>
          <w:r>
            <w:rPr>
              <w:rFonts w:hint="eastAsia" w:ascii="黑体" w:hAnsi="黑体" w:eastAsia="黑体" w:cs="黑体"/>
              <w:bCs w:val="0"/>
              <w:kern w:val="0"/>
              <w:szCs w:val="24"/>
              <w:lang w:val="en-US" w:eastAsia="zh-CN" w:bidi="ar-SA"/>
            </w:rPr>
            <w:fldChar w:fldCharType="separate"/>
          </w:r>
          <w:r>
            <w:rPr>
              <w:rFonts w:hint="eastAsia" w:ascii="黑体" w:eastAsia="黑体" w:cs="Times New Roman"/>
              <w:szCs w:val="32"/>
            </w:rPr>
            <w:t>十、其他重要事项的情况说明</w:t>
          </w:r>
          <w:r>
            <w:tab/>
          </w:r>
          <w:r>
            <w:fldChar w:fldCharType="begin"/>
          </w:r>
          <w:r>
            <w:instrText xml:space="preserve"> PAGEREF _Toc21991 \h </w:instrText>
          </w:r>
          <w:r>
            <w:fldChar w:fldCharType="separate"/>
          </w:r>
          <w:r>
            <w:t>11</w:t>
          </w:r>
          <w:r>
            <w:fldChar w:fldCharType="end"/>
          </w:r>
          <w:r>
            <w:rPr>
              <w:rFonts w:hint="eastAsia" w:ascii="黑体" w:hAnsi="黑体" w:eastAsia="黑体" w:cs="黑体"/>
              <w:bCs w:val="0"/>
              <w:kern w:val="0"/>
              <w:szCs w:val="24"/>
              <w:lang w:val="en-US" w:eastAsia="zh-CN" w:bidi="ar-SA"/>
            </w:rPr>
            <w:fldChar w:fldCharType="end"/>
          </w:r>
        </w:p>
        <w:p>
          <w:pPr>
            <w:pStyle w:val="13"/>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_Toc6397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kern w:val="0"/>
              <w:szCs w:val="44"/>
              <w:lang w:val="en-US" w:eastAsia="zh-CN"/>
            </w:rPr>
            <w:t xml:space="preserve">第三部分 </w:t>
          </w:r>
          <w:r>
            <w:rPr>
              <w:rFonts w:hint="eastAsia" w:ascii="黑体" w:eastAsia="黑体" w:cs="黑体"/>
              <w:bCs/>
              <w:kern w:val="0"/>
              <w:szCs w:val="44"/>
            </w:rPr>
            <w:t>名词解释</w:t>
          </w:r>
          <w:r>
            <w:tab/>
          </w:r>
          <w:r>
            <w:fldChar w:fldCharType="begin"/>
          </w:r>
          <w:r>
            <w:instrText xml:space="preserve"> PAGEREF _Toc6397 \h </w:instrText>
          </w:r>
          <w:r>
            <w:fldChar w:fldCharType="separate"/>
          </w:r>
          <w:r>
            <w:t>13</w:t>
          </w:r>
          <w:r>
            <w:fldChar w:fldCharType="end"/>
          </w:r>
          <w:r>
            <w:rPr>
              <w:rFonts w:hint="eastAsia" w:ascii="黑体" w:hAnsi="黑体" w:eastAsia="黑体" w:cs="黑体"/>
              <w:bCs w:val="0"/>
              <w:kern w:val="0"/>
              <w:szCs w:val="24"/>
              <w:lang w:val="en-US" w:eastAsia="zh-CN" w:bidi="ar-SA"/>
            </w:rPr>
            <w:fldChar w:fldCharType="end"/>
          </w:r>
        </w:p>
        <w:p>
          <w:pPr>
            <w:pStyle w:val="13"/>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_Toc5306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kern w:val="0"/>
              <w:szCs w:val="44"/>
              <w:lang w:val="en-US" w:eastAsia="zh-CN"/>
            </w:rPr>
            <w:t xml:space="preserve">第四部分  </w:t>
          </w:r>
          <w:r>
            <w:rPr>
              <w:rFonts w:hint="eastAsia" w:ascii="黑体" w:eastAsia="黑体" w:cs="黑体"/>
              <w:bCs/>
              <w:kern w:val="0"/>
              <w:szCs w:val="44"/>
            </w:rPr>
            <w:t>附</w:t>
          </w:r>
          <w:r>
            <w:rPr>
              <w:rFonts w:hint="eastAsia" w:ascii="黑体" w:eastAsia="黑体" w:cs="黑体"/>
              <w:bCs/>
              <w:kern w:val="0"/>
              <w:szCs w:val="44"/>
              <w:lang w:val="en-US" w:eastAsia="zh-CN"/>
            </w:rPr>
            <w:t>件</w:t>
          </w:r>
          <w:r>
            <w:tab/>
          </w:r>
          <w:r>
            <w:fldChar w:fldCharType="begin"/>
          </w:r>
          <w:r>
            <w:instrText xml:space="preserve"> PAGEREF _Toc5306 \h </w:instrText>
          </w:r>
          <w:r>
            <w:fldChar w:fldCharType="separate"/>
          </w:r>
          <w:r>
            <w:t>17</w:t>
          </w:r>
          <w:r>
            <w:fldChar w:fldCharType="end"/>
          </w:r>
          <w:r>
            <w:rPr>
              <w:rFonts w:hint="eastAsia" w:ascii="黑体" w:hAnsi="黑体" w:eastAsia="黑体" w:cs="黑体"/>
              <w:bCs w:val="0"/>
              <w:kern w:val="0"/>
              <w:szCs w:val="24"/>
              <w:lang w:val="en-US" w:eastAsia="zh-CN" w:bidi="ar-SA"/>
            </w:rPr>
            <w:fldChar w:fldCharType="end"/>
          </w:r>
        </w:p>
        <w:p>
          <w:pPr>
            <w:pStyle w:val="13"/>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_Toc31155 </w:instrText>
          </w:r>
          <w:r>
            <w:rPr>
              <w:rFonts w:hint="eastAsia" w:ascii="黑体" w:hAnsi="黑体" w:eastAsia="黑体" w:cs="黑体"/>
              <w:bCs w:val="0"/>
              <w:kern w:val="0"/>
              <w:szCs w:val="24"/>
              <w:lang w:val="en-US" w:eastAsia="zh-CN" w:bidi="ar-SA"/>
            </w:rPr>
            <w:fldChar w:fldCharType="separate"/>
          </w:r>
          <w:r>
            <w:rPr>
              <w:rFonts w:hint="eastAsia" w:ascii="黑体" w:eastAsia="黑体" w:cs="黑体"/>
              <w:bCs w:val="0"/>
              <w:kern w:val="0"/>
              <w:szCs w:val="44"/>
            </w:rPr>
            <w:t>第五部分 附表</w:t>
          </w:r>
          <w:r>
            <w:tab/>
          </w:r>
          <w:r>
            <w:fldChar w:fldCharType="begin"/>
          </w:r>
          <w:r>
            <w:instrText xml:space="preserve"> PAGEREF _Toc31155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_Toc3242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一、收入支出决算总表</w:t>
          </w:r>
          <w:r>
            <w:tab/>
          </w:r>
          <w:r>
            <w:fldChar w:fldCharType="begin"/>
          </w:r>
          <w:r>
            <w:instrText xml:space="preserve"> PAGEREF _Toc3242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_Toc28370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二、收入决算表</w:t>
          </w:r>
          <w:r>
            <w:tab/>
          </w:r>
          <w:r>
            <w:fldChar w:fldCharType="begin"/>
          </w:r>
          <w:r>
            <w:instrText xml:space="preserve"> PAGEREF _Toc28370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_Toc5406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三、支出决算表</w:t>
          </w:r>
          <w:r>
            <w:tab/>
          </w:r>
          <w:r>
            <w:fldChar w:fldCharType="begin"/>
          </w:r>
          <w:r>
            <w:instrText xml:space="preserve"> PAGEREF _Toc5406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_Toc8735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四、财政拨款收入支出决算总表</w:t>
          </w:r>
          <w:r>
            <w:tab/>
          </w:r>
          <w:r>
            <w:fldChar w:fldCharType="begin"/>
          </w:r>
          <w:r>
            <w:instrText xml:space="preserve"> PAGEREF _Toc8735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_Toc2272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五、财政拨款支出决算明细表</w:t>
          </w:r>
          <w:r>
            <w:tab/>
          </w:r>
          <w:r>
            <w:fldChar w:fldCharType="begin"/>
          </w:r>
          <w:r>
            <w:instrText xml:space="preserve"> PAGEREF _Toc2272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_Toc17158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六、一般公共预算财政拨款支出决算表</w:t>
          </w:r>
          <w:r>
            <w:tab/>
          </w:r>
          <w:r>
            <w:fldChar w:fldCharType="begin"/>
          </w:r>
          <w:r>
            <w:instrText xml:space="preserve"> PAGEREF _Toc17158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_Toc16968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七、一般公共预算财政拨款支出决算明细表</w:t>
          </w:r>
          <w:r>
            <w:tab/>
          </w:r>
          <w:r>
            <w:fldChar w:fldCharType="begin"/>
          </w:r>
          <w:r>
            <w:instrText xml:space="preserve"> PAGEREF _Toc16968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_Toc4247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八、一般公共预算财政拨款基本支出决算表</w:t>
          </w:r>
          <w:r>
            <w:tab/>
          </w:r>
          <w:r>
            <w:fldChar w:fldCharType="begin"/>
          </w:r>
          <w:r>
            <w:instrText xml:space="preserve"> PAGEREF _Toc4247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_Toc472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九、一般公共预算财政拨款项目支出决算表</w:t>
          </w:r>
          <w:r>
            <w:tab/>
          </w:r>
          <w:r>
            <w:fldChar w:fldCharType="begin"/>
          </w:r>
          <w:r>
            <w:instrText xml:space="preserve"> PAGEREF _Toc472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_Toc6197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十、政府性基金预算财政拨款收入支出决算表</w:t>
          </w:r>
          <w:r>
            <w:tab/>
          </w:r>
          <w:r>
            <w:fldChar w:fldCharType="begin"/>
          </w:r>
          <w:r>
            <w:instrText xml:space="preserve"> PAGEREF _Toc6197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_Toc23214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十一、国有资本经营预算财政拨款收入支出决算表</w:t>
          </w:r>
          <w:r>
            <w:tab/>
          </w:r>
          <w:r>
            <w:fldChar w:fldCharType="begin"/>
          </w:r>
          <w:r>
            <w:instrText xml:space="preserve"> PAGEREF _Toc23214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_Toc30404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十二、国有资本经营预算财政拨款支出决算表</w:t>
          </w:r>
          <w:r>
            <w:tab/>
          </w:r>
          <w:r>
            <w:fldChar w:fldCharType="begin"/>
          </w:r>
          <w:r>
            <w:instrText xml:space="preserve"> PAGEREF _Toc30404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pStyle w:val="15"/>
            <w:tabs>
              <w:tab w:val="right" w:leader="dot" w:pos="8315"/>
            </w:tabs>
          </w:pPr>
          <w:r>
            <w:rPr>
              <w:rFonts w:hint="eastAsia" w:ascii="黑体" w:hAnsi="黑体" w:eastAsia="黑体" w:cs="黑体"/>
              <w:bCs w:val="0"/>
              <w:kern w:val="0"/>
              <w:szCs w:val="24"/>
              <w:lang w:val="en-US" w:eastAsia="zh-CN" w:bidi="ar-SA"/>
            </w:rPr>
            <w:fldChar w:fldCharType="begin"/>
          </w:r>
          <w:r>
            <w:rPr>
              <w:rFonts w:hint="eastAsia" w:ascii="黑体" w:hAnsi="黑体" w:eastAsia="黑体" w:cs="黑体"/>
              <w:bCs w:val="0"/>
              <w:kern w:val="0"/>
              <w:szCs w:val="24"/>
              <w:lang w:val="en-US" w:eastAsia="zh-CN" w:bidi="ar-SA"/>
            </w:rPr>
            <w:instrText xml:space="preserve"> HYPERLINK \l _Toc23404 </w:instrText>
          </w:r>
          <w:r>
            <w:rPr>
              <w:rFonts w:hint="eastAsia" w:ascii="黑体" w:hAnsi="黑体" w:eastAsia="黑体" w:cs="黑体"/>
              <w:bCs w:val="0"/>
              <w:kern w:val="0"/>
              <w:szCs w:val="24"/>
              <w:lang w:val="en-US" w:eastAsia="zh-CN" w:bidi="ar-SA"/>
            </w:rPr>
            <w:fldChar w:fldCharType="separate"/>
          </w:r>
          <w:r>
            <w:rPr>
              <w:rFonts w:hint="eastAsia" w:ascii="黑体" w:hAnsi="黑体" w:eastAsia="黑体" w:cs="黑体"/>
              <w:bCs/>
              <w:kern w:val="2"/>
              <w:szCs w:val="32"/>
            </w:rPr>
            <w:t>十三、财政拨款“三公”经费支出决算表</w:t>
          </w:r>
          <w:r>
            <w:tab/>
          </w:r>
          <w:r>
            <w:fldChar w:fldCharType="begin"/>
          </w:r>
          <w:r>
            <w:instrText xml:space="preserve"> PAGEREF _Toc23404 \h </w:instrText>
          </w:r>
          <w:r>
            <w:fldChar w:fldCharType="separate"/>
          </w:r>
          <w:r>
            <w:t>30</w:t>
          </w:r>
          <w:r>
            <w:fldChar w:fldCharType="end"/>
          </w:r>
          <w:r>
            <w:rPr>
              <w:rFonts w:hint="eastAsia" w:ascii="黑体" w:hAnsi="黑体" w:eastAsia="黑体" w:cs="黑体"/>
              <w:bCs w:val="0"/>
              <w:kern w:val="0"/>
              <w:szCs w:val="24"/>
              <w:lang w:val="en-US" w:eastAsia="zh-CN" w:bidi="ar-SA"/>
            </w:rPr>
            <w:fldChar w:fldCharType="end"/>
          </w:r>
        </w:p>
        <w:p>
          <w:pPr>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黑体" w:hAnsi="黑体" w:eastAsia="黑体" w:cs="黑体"/>
              <w:kern w:val="0"/>
              <w:sz w:val="24"/>
              <w:szCs w:val="24"/>
            </w:rPr>
          </w:pPr>
          <w:r>
            <w:rPr>
              <w:rFonts w:hint="eastAsia" w:ascii="黑体" w:hAnsi="黑体" w:eastAsia="黑体" w:cs="黑体"/>
              <w:bCs w:val="0"/>
              <w:kern w:val="0"/>
              <w:sz w:val="24"/>
              <w:szCs w:val="24"/>
              <w:lang w:val="en-US" w:eastAsia="zh-CN" w:bidi="ar-SA"/>
            </w:rPr>
            <w:fldChar w:fldCharType="end"/>
          </w:r>
        </w:p>
      </w:sdtContent>
    </w:sdt>
    <w:p>
      <w:pPr>
        <w:keepNext w:val="0"/>
        <w:keepLines w:val="0"/>
        <w:pageBreakBefore w:val="0"/>
        <w:widowControl w:val="0"/>
        <w:suppressLineNumbers w:val="0"/>
        <w:kinsoku/>
        <w:wordWrap/>
        <w:overflowPunct/>
        <w:topLinePunct w:val="0"/>
        <w:bidi w:val="0"/>
        <w:spacing w:line="560" w:lineRule="exact"/>
        <w:ind w:right="0"/>
        <w:jc w:val="both"/>
        <w:outlineLvl w:val="0"/>
        <w:rPr>
          <w:rFonts w:hint="eastAsia" w:ascii="黑体" w:hAnsi="黑体" w:eastAsia="黑体" w:cs="黑体"/>
          <w:b w:val="0"/>
          <w:kern w:val="0"/>
          <w:sz w:val="24"/>
          <w:szCs w:val="24"/>
        </w:rPr>
      </w:pPr>
      <w:bookmarkStart w:id="6" w:name="_Toc4368"/>
      <w:bookmarkEnd w:id="6"/>
      <w:bookmarkStart w:id="7" w:name="_Toc4749"/>
      <w:bookmarkEnd w:id="7"/>
      <w:bookmarkStart w:id="8" w:name="_Toc5490"/>
      <w:bookmarkEnd w:id="8"/>
      <w:bookmarkStart w:id="9" w:name="_Toc24488"/>
      <w:bookmarkEnd w:id="9"/>
      <w:bookmarkStart w:id="10" w:name="_Toc19979"/>
    </w:p>
    <w:p>
      <w:pPr>
        <w:pageBreakBefore w:val="0"/>
        <w:widowControl w:val="0"/>
        <w:tabs>
          <w:tab w:val="left" w:pos="5620"/>
        </w:tabs>
        <w:kinsoku/>
        <w:wordWrap/>
        <w:overflowPunct/>
        <w:topLinePunct w:val="0"/>
        <w:bidi w:val="0"/>
        <w:jc w:val="both"/>
        <w:rPr>
          <w:rFonts w:hint="eastAsia" w:ascii="宋体" w:hAnsi="Times New Roman" w:eastAsia="宋体" w:cs="宋体"/>
          <w:kern w:val="0"/>
          <w:sz w:val="24"/>
          <w:szCs w:val="24"/>
          <w:lang w:val="en-US" w:eastAsia="zh-CN" w:bidi="ar-SA"/>
        </w:rPr>
        <w:sectPr>
          <w:footerReference r:id="rId5" w:type="default"/>
          <w:pgSz w:w="11915" w:h="16851"/>
          <w:pgMar w:top="1440" w:right="1800" w:bottom="1440" w:left="1800" w:header="851" w:footer="992" w:gutter="0"/>
          <w:pgNumType w:fmt="decimal" w:start="1"/>
          <w:cols w:space="720" w:num="1"/>
          <w:docGrid w:type="lines" w:linePitch="312" w:charSpace="0"/>
        </w:sectPr>
      </w:pPr>
      <w:r>
        <w:rPr>
          <w:rFonts w:hint="eastAsia" w:cs="宋体"/>
          <w:kern w:val="0"/>
          <w:sz w:val="24"/>
          <w:szCs w:val="24"/>
          <w:lang w:val="en-US" w:eastAsia="zh-CN" w:bidi="ar-SA"/>
        </w:rPr>
        <w:tab/>
      </w: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right="0"/>
        <w:jc w:val="center"/>
        <w:textAlignment w:val="auto"/>
        <w:outlineLvl w:val="0"/>
        <w:rPr>
          <w:rFonts w:hint="eastAsia" w:ascii="宋体" w:eastAsia="宋体" w:cs="宋体"/>
          <w:kern w:val="0"/>
          <w:sz w:val="44"/>
          <w:szCs w:val="44"/>
        </w:rPr>
      </w:pPr>
      <w:bookmarkStart w:id="11" w:name="_Toc20415"/>
      <w:r>
        <w:rPr>
          <w:rFonts w:hint="eastAsia" w:ascii="黑体" w:eastAsia="黑体" w:cs="黑体"/>
          <w:b w:val="0"/>
          <w:kern w:val="0"/>
          <w:sz w:val="44"/>
          <w:szCs w:val="44"/>
        </w:rPr>
        <w:t xml:space="preserve">第一部分  </w:t>
      </w:r>
      <w:bookmarkEnd w:id="10"/>
      <w:r>
        <w:rPr>
          <w:rFonts w:hint="eastAsia" w:ascii="黑体" w:eastAsia="黑体" w:cs="黑体"/>
          <w:b w:val="0"/>
          <w:kern w:val="0"/>
          <w:sz w:val="44"/>
          <w:szCs w:val="44"/>
          <w:lang w:val="en-US" w:eastAsia="zh-CN"/>
        </w:rPr>
        <w:t>单位</w:t>
      </w:r>
      <w:r>
        <w:rPr>
          <w:rFonts w:hint="eastAsia" w:ascii="黑体" w:eastAsia="黑体" w:cs="黑体"/>
          <w:b w:val="0"/>
          <w:kern w:val="0"/>
          <w:sz w:val="44"/>
          <w:szCs w:val="44"/>
        </w:rPr>
        <w:t>概况</w:t>
      </w:r>
      <w:bookmarkEnd w:id="11"/>
      <w:bookmarkStart w:id="12" w:name="_Toc10081"/>
      <w:bookmarkEnd w:id="12"/>
      <w:bookmarkStart w:id="13" w:name="_Toc20800"/>
      <w:bookmarkEnd w:id="13"/>
      <w:bookmarkStart w:id="14" w:name="_Toc21816"/>
      <w:bookmarkEnd w:id="14"/>
      <w:bookmarkStart w:id="15" w:name="_Toc18991"/>
      <w:bookmarkEnd w:id="15"/>
      <w:bookmarkStart w:id="16" w:name="_Toc3743"/>
      <w:bookmarkEnd w:id="16"/>
      <w:bookmarkStart w:id="17" w:name="_Toc208"/>
      <w:bookmarkEnd w:id="17"/>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both"/>
        <w:textAlignment w:val="auto"/>
        <w:outlineLvl w:val="1"/>
        <w:rPr>
          <w:rFonts w:hint="eastAsia" w:ascii="黑体" w:eastAsia="黑体" w:cs="黑体"/>
          <w:b w:val="0"/>
          <w:bCs w:val="0"/>
          <w:kern w:val="0"/>
          <w:sz w:val="32"/>
          <w:szCs w:val="32"/>
        </w:rPr>
      </w:pPr>
      <w:bookmarkStart w:id="18" w:name="_Toc11361"/>
      <w:bookmarkEnd w:id="18"/>
      <w:bookmarkStart w:id="19" w:name="_Toc17041"/>
      <w:bookmarkEnd w:id="19"/>
      <w:bookmarkStart w:id="20" w:name="_Toc18504"/>
      <w:bookmarkStart w:id="21" w:name="_Toc15482"/>
      <w:r>
        <w:rPr>
          <w:rFonts w:hint="eastAsia" w:ascii="黑体" w:eastAsia="黑体" w:cs="黑体"/>
          <w:b w:val="0"/>
          <w:bCs w:val="0"/>
          <w:kern w:val="0"/>
          <w:sz w:val="32"/>
          <w:szCs w:val="32"/>
        </w:rPr>
        <w:t>一、</w:t>
      </w:r>
      <w:r>
        <w:rPr>
          <w:rFonts w:hint="eastAsia" w:ascii="黑体" w:eastAsia="黑体" w:cs="黑体"/>
          <w:b w:val="0"/>
          <w:bCs w:val="0"/>
          <w:kern w:val="0"/>
          <w:sz w:val="32"/>
          <w:szCs w:val="32"/>
          <w:lang w:val="en-US" w:eastAsia="zh-CN"/>
        </w:rPr>
        <w:t>主要</w:t>
      </w:r>
      <w:r>
        <w:rPr>
          <w:rFonts w:hint="eastAsia" w:ascii="黑体" w:eastAsia="黑体" w:cs="黑体"/>
          <w:b w:val="0"/>
          <w:bCs w:val="0"/>
          <w:kern w:val="0"/>
          <w:sz w:val="32"/>
          <w:szCs w:val="32"/>
        </w:rPr>
        <w:t>职</w:t>
      </w:r>
      <w:r>
        <w:rPr>
          <w:rFonts w:hint="eastAsia" w:ascii="黑体" w:eastAsia="黑体" w:cs="黑体"/>
          <w:b w:val="0"/>
          <w:bCs w:val="0"/>
          <w:kern w:val="0"/>
          <w:sz w:val="32"/>
          <w:szCs w:val="32"/>
          <w:lang w:val="en-US" w:eastAsia="zh-CN"/>
        </w:rPr>
        <w:t>责</w:t>
      </w:r>
      <w:bookmarkEnd w:id="20"/>
      <w:bookmarkEnd w:id="21"/>
      <w:bookmarkStart w:id="22" w:name="_Toc27980"/>
      <w:bookmarkEnd w:id="22"/>
      <w:bookmarkStart w:id="23" w:name="_Toc15378445"/>
      <w:bookmarkEnd w:id="23"/>
      <w:bookmarkStart w:id="24" w:name="_Toc79163603"/>
      <w:bookmarkEnd w:id="24"/>
      <w:bookmarkStart w:id="25" w:name="_Toc6001"/>
      <w:bookmarkEnd w:id="25"/>
      <w:bookmarkStart w:id="26" w:name="_Toc79163853"/>
      <w:bookmarkEnd w:id="26"/>
      <w:bookmarkStart w:id="27" w:name="_Toc15377198"/>
      <w:bookmarkEnd w:id="27"/>
      <w:bookmarkStart w:id="28" w:name="_Toc17469"/>
      <w:bookmarkEnd w:id="28"/>
      <w:bookmarkStart w:id="29" w:name="_Toc27135"/>
    </w:p>
    <w:bookmarkEnd w:id="29"/>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30" w:name="_Toc79163604"/>
      <w:bookmarkEnd w:id="30"/>
      <w:bookmarkStart w:id="31" w:name="_Toc16142"/>
      <w:bookmarkEnd w:id="31"/>
      <w:bookmarkStart w:id="32" w:name="_Toc79163854"/>
      <w:bookmarkEnd w:id="32"/>
      <w:bookmarkStart w:id="33" w:name="_Toc15377199"/>
      <w:bookmarkEnd w:id="33"/>
      <w:bookmarkStart w:id="34" w:name="_Toc15378446"/>
      <w:bookmarkEnd w:id="34"/>
      <w:bookmarkStart w:id="35" w:name="_Toc29031"/>
      <w:r>
        <w:rPr>
          <w:rFonts w:ascii="仿宋_GB2312" w:eastAsia="仿宋_GB2312" w:cs="仿宋_GB2312"/>
          <w:kern w:val="0"/>
          <w:sz w:val="32"/>
          <w:szCs w:val="32"/>
        </w:rPr>
        <w:t>1.</w:t>
      </w:r>
      <w:bookmarkEnd w:id="35"/>
      <w:r>
        <w:rPr>
          <w:rFonts w:ascii="仿宋_GB2312" w:eastAsia="仿宋_GB2312" w:cs="仿宋_GB2312"/>
          <w:kern w:val="0"/>
          <w:sz w:val="32"/>
          <w:szCs w:val="32"/>
        </w:rPr>
        <w:t>组织实施全县重大科技专项，组织参与国家、省州重大科技专项。统筹关键共性技术、前沿引领技术、现代工程技术、颠覆性技术研发和创新，牵头组织重大技术攻关和科技成果应用示范。</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36" w:name="_Toc3477"/>
      <w:bookmarkEnd w:id="36"/>
      <w:r>
        <w:rPr>
          <w:rFonts w:ascii="仿宋_GB2312" w:eastAsia="仿宋_GB2312" w:cs="仿宋_GB2312"/>
          <w:kern w:val="0"/>
          <w:sz w:val="32"/>
          <w:szCs w:val="32"/>
        </w:rPr>
        <w:t>2.会同有关部门制定科技人才队伍建设规划，建立健全科技人才评价和激励机制，组织实施科技人才计划，推动科技创新人才队伍建设。</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37" w:name="_Toc2119"/>
      <w:bookmarkEnd w:id="37"/>
      <w:r>
        <w:rPr>
          <w:rFonts w:ascii="仿宋_GB2312" w:eastAsia="仿宋_GB2312" w:cs="仿宋_GB2312"/>
          <w:kern w:val="0"/>
          <w:sz w:val="32"/>
          <w:szCs w:val="32"/>
        </w:rPr>
        <w:t>3.统筹研究和组织实施全县</w:t>
      </w:r>
      <w:r>
        <w:rPr>
          <w:rFonts w:hint="eastAsia" w:ascii="宋体" w:eastAsia="宋体" w:cs="宋体"/>
          <w:kern w:val="0"/>
          <w:sz w:val="32"/>
          <w:szCs w:val="32"/>
        </w:rPr>
        <w:t>“</w:t>
      </w:r>
      <w:r>
        <w:rPr>
          <w:rFonts w:ascii="仿宋_GB2312" w:eastAsia="仿宋_GB2312" w:cs="仿宋_GB2312"/>
          <w:kern w:val="0"/>
          <w:sz w:val="32"/>
          <w:szCs w:val="32"/>
        </w:rPr>
        <w:t>三农</w:t>
      </w:r>
      <w:r>
        <w:rPr>
          <w:rFonts w:hint="eastAsia" w:ascii="宋体" w:eastAsia="宋体" w:cs="宋体"/>
          <w:kern w:val="0"/>
          <w:sz w:val="32"/>
          <w:szCs w:val="32"/>
        </w:rPr>
        <w:t>”</w:t>
      </w:r>
      <w:r>
        <w:rPr>
          <w:rFonts w:ascii="仿宋_GB2312" w:eastAsia="仿宋_GB2312" w:cs="仿宋_GB2312"/>
          <w:kern w:val="0"/>
          <w:sz w:val="32"/>
          <w:szCs w:val="32"/>
        </w:rPr>
        <w:t>工作的发展战略、中长期规划、重大政策。贯彻执行国家有关种植业、畜牧业（草原牧业）、渔业、农业机械化、农垦等农业领域工作的法律法规、政策以及省、州、县关于</w:t>
      </w:r>
      <w:r>
        <w:rPr>
          <w:rFonts w:hint="eastAsia" w:ascii="宋体" w:eastAsia="宋体" w:cs="宋体"/>
          <w:kern w:val="0"/>
          <w:sz w:val="32"/>
          <w:szCs w:val="32"/>
        </w:rPr>
        <w:t>“</w:t>
      </w:r>
      <w:r>
        <w:rPr>
          <w:rFonts w:ascii="仿宋_GB2312" w:eastAsia="仿宋_GB2312" w:cs="仿宋_GB2312"/>
          <w:kern w:val="0"/>
          <w:sz w:val="32"/>
          <w:szCs w:val="32"/>
        </w:rPr>
        <w:t>三农</w:t>
      </w:r>
      <w:r>
        <w:rPr>
          <w:rFonts w:hint="eastAsia" w:ascii="宋体" w:eastAsia="宋体" w:cs="宋体"/>
          <w:kern w:val="0"/>
          <w:sz w:val="32"/>
          <w:szCs w:val="32"/>
        </w:rPr>
        <w:t>”</w:t>
      </w:r>
      <w:r>
        <w:rPr>
          <w:rFonts w:ascii="仿宋_GB2312" w:eastAsia="仿宋_GB2312" w:cs="仿宋_GB2312"/>
          <w:kern w:val="0"/>
          <w:sz w:val="32"/>
          <w:szCs w:val="32"/>
        </w:rPr>
        <w:t>工作方面的决策部署。</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38" w:name="_Toc14127"/>
      <w:bookmarkEnd w:id="38"/>
      <w:r>
        <w:rPr>
          <w:rFonts w:ascii="仿宋_GB2312" w:eastAsia="仿宋_GB2312" w:cs="仿宋_GB2312"/>
          <w:kern w:val="0"/>
          <w:sz w:val="32"/>
          <w:szCs w:val="32"/>
        </w:rPr>
        <w:t>4.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39" w:name="_Toc25818"/>
      <w:bookmarkEnd w:id="39"/>
      <w:bookmarkStart w:id="40" w:name="_Toc30134"/>
      <w:bookmarkEnd w:id="40"/>
      <w:bookmarkStart w:id="41" w:name="_Toc6019"/>
      <w:bookmarkEnd w:id="41"/>
      <w:bookmarkStart w:id="42" w:name="_Toc23906"/>
      <w:bookmarkEnd w:id="42"/>
      <w:bookmarkStart w:id="43" w:name="_Toc26477"/>
      <w:r>
        <w:rPr>
          <w:rFonts w:ascii="仿宋_GB2312" w:eastAsia="仿宋_GB2312" w:cs="仿宋_GB2312"/>
          <w:kern w:val="0"/>
          <w:sz w:val="32"/>
          <w:szCs w:val="32"/>
        </w:rPr>
        <w:t>5</w:t>
      </w:r>
      <w:bookmarkEnd w:id="43"/>
      <w:r>
        <w:rPr>
          <w:rFonts w:ascii="仿宋_GB2312" w:eastAsia="仿宋_GB2312" w:cs="仿宋_GB2312"/>
          <w:kern w:val="0"/>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w:t>
      </w:r>
      <w:r>
        <w:rPr>
          <w:rFonts w:hint="eastAsia" w:ascii="仿宋_GB2312" w:eastAsia="仿宋_GB2312" w:cs="仿宋_GB2312"/>
          <w:kern w:val="0"/>
          <w:sz w:val="32"/>
          <w:szCs w:val="32"/>
          <w:lang w:val="en-US" w:eastAsia="zh-CN"/>
        </w:rPr>
        <w:t>新</w:t>
      </w:r>
      <w:r>
        <w:rPr>
          <w:rFonts w:ascii="仿宋_GB2312" w:eastAsia="仿宋_GB2312" w:cs="仿宋_GB2312"/>
          <w:kern w:val="0"/>
          <w:sz w:val="32"/>
          <w:szCs w:val="32"/>
        </w:rPr>
        <w:t>型农业经营主体建设与发展。指导、监督减轻农民负担工作。</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44" w:name="_Toc11894"/>
      <w:bookmarkEnd w:id="44"/>
      <w:bookmarkStart w:id="45" w:name="_Toc21064"/>
      <w:bookmarkEnd w:id="45"/>
      <w:bookmarkStart w:id="46" w:name="_Toc12359"/>
      <w:bookmarkEnd w:id="46"/>
      <w:bookmarkStart w:id="47" w:name="_Toc4607"/>
      <w:r>
        <w:rPr>
          <w:rFonts w:ascii="仿宋_GB2312" w:eastAsia="仿宋_GB2312" w:cs="仿宋_GB2312"/>
          <w:kern w:val="0"/>
          <w:sz w:val="32"/>
          <w:szCs w:val="32"/>
        </w:rPr>
        <w:t>6</w:t>
      </w:r>
      <w:bookmarkEnd w:id="47"/>
      <w:r>
        <w:rPr>
          <w:rFonts w:ascii="仿宋_GB2312" w:eastAsia="仿宋_GB2312" w:cs="仿宋_GB2312"/>
          <w:kern w:val="0"/>
          <w:sz w:val="32"/>
          <w:szCs w:val="32"/>
        </w:rPr>
        <w:t>.负责全县农产品质量安全监督管理。组织开展农产品质量安全监测、追溯、风险评估。发布有关农产品质量安全状况信息,指导农业检验检测体系建设。依法组织实施符合安全标准的农产品生产基地认定、产品认证、农产品地理标志登记保护和监督管理。</w:t>
      </w:r>
    </w:p>
    <w:p>
      <w:pPr>
        <w:keepNext w:val="0"/>
        <w:keepLines w:val="0"/>
        <w:pageBreakBefore w:val="0"/>
        <w:widowControl w:val="0"/>
        <w:suppressLineNumbers w:val="0"/>
        <w:kinsoku/>
        <w:wordWrap/>
        <w:overflowPunct/>
        <w:topLinePunct w:val="0"/>
        <w:autoSpaceDE/>
        <w:autoSpaceDN/>
        <w:bidi w:val="0"/>
        <w:adjustRightInd/>
        <w:snapToGrid/>
        <w:spacing w:afterAutospacing="0" w:line="576" w:lineRule="exact"/>
        <w:ind w:left="0" w:firstLine="640" w:firstLineChars="200"/>
        <w:jc w:val="both"/>
        <w:textAlignment w:val="auto"/>
        <w:outlineLvl w:val="2"/>
        <w:rPr>
          <w:rFonts w:ascii="仿宋_GB2312" w:eastAsia="仿宋_GB2312" w:cs="仿宋_GB2312"/>
          <w:kern w:val="0"/>
          <w:sz w:val="32"/>
          <w:szCs w:val="32"/>
        </w:rPr>
      </w:pPr>
      <w:bookmarkStart w:id="48" w:name="_Toc11357"/>
      <w:bookmarkEnd w:id="48"/>
      <w:bookmarkStart w:id="49" w:name="_Toc9693"/>
      <w:bookmarkEnd w:id="49"/>
      <w:bookmarkStart w:id="50" w:name="_Toc18861"/>
      <w:bookmarkEnd w:id="50"/>
      <w:bookmarkStart w:id="51" w:name="_Toc18902"/>
      <w:r>
        <w:rPr>
          <w:rFonts w:ascii="仿宋_GB2312" w:eastAsia="仿宋_GB2312" w:cs="仿宋_GB2312"/>
          <w:kern w:val="0"/>
          <w:sz w:val="32"/>
          <w:szCs w:val="32"/>
        </w:rPr>
        <w:t>7</w:t>
      </w:r>
      <w:bookmarkEnd w:id="51"/>
      <w:r>
        <w:rPr>
          <w:rFonts w:ascii="仿宋_GB2312" w:eastAsia="仿宋_GB2312" w:cs="仿宋_GB2312"/>
          <w:kern w:val="0"/>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w:t>
      </w:r>
      <w:r>
        <w:rPr>
          <w:rFonts w:hint="eastAsia" w:ascii="宋体" w:eastAsia="宋体" w:cs="宋体"/>
          <w:kern w:val="0"/>
          <w:sz w:val="32"/>
          <w:szCs w:val="32"/>
        </w:rPr>
        <w:t>“</w:t>
      </w:r>
      <w:r>
        <w:rPr>
          <w:rFonts w:ascii="仿宋_GB2312" w:eastAsia="仿宋_GB2312" w:cs="仿宋_GB2312"/>
          <w:kern w:val="0"/>
          <w:sz w:val="32"/>
          <w:szCs w:val="32"/>
        </w:rPr>
        <w:t>瘦肉精</w:t>
      </w:r>
      <w:r>
        <w:rPr>
          <w:rFonts w:hint="eastAsia" w:ascii="宋体" w:eastAsia="宋体" w:cs="宋体"/>
          <w:kern w:val="0"/>
          <w:sz w:val="32"/>
          <w:szCs w:val="32"/>
        </w:rPr>
        <w:t>”</w:t>
      </w:r>
      <w:r>
        <w:rPr>
          <w:rFonts w:ascii="仿宋_GB2312" w:eastAsia="仿宋_GB2312" w:cs="仿宋_GB2312"/>
          <w:kern w:val="0"/>
          <w:sz w:val="32"/>
          <w:szCs w:val="32"/>
        </w:rPr>
        <w:t>监督管理工作。监督管理兽医医疗器械、肥料。会同有关部门监督实施农业生产资料国家标准。组织兽医医政、兽药药政药检工作，负责执业兽医和畜禽屠宰行业管理。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2"/>
        <w:rPr>
          <w:rFonts w:ascii="仿宋_GB2312" w:eastAsia="仿宋_GB2312" w:cs="仿宋_GB2312"/>
          <w:kern w:val="2"/>
          <w:sz w:val="32"/>
          <w:szCs w:val="32"/>
        </w:rPr>
      </w:pPr>
      <w:bookmarkStart w:id="52" w:name="_Toc24760"/>
      <w:bookmarkEnd w:id="52"/>
      <w:bookmarkStart w:id="53" w:name="_Toc16014"/>
      <w:bookmarkEnd w:id="53"/>
      <w:bookmarkStart w:id="54" w:name="_Toc18038"/>
      <w:bookmarkEnd w:id="54"/>
      <w:bookmarkStart w:id="55" w:name="_Toc32603"/>
      <w:r>
        <w:rPr>
          <w:rFonts w:ascii="仿宋_GB2312" w:eastAsia="仿宋_GB2312" w:cs="仿宋_GB2312"/>
          <w:kern w:val="0"/>
          <w:sz w:val="32"/>
          <w:szCs w:val="32"/>
        </w:rPr>
        <w:t>8</w:t>
      </w:r>
      <w:bookmarkEnd w:id="55"/>
      <w:r>
        <w:rPr>
          <w:rFonts w:ascii="仿宋_GB2312" w:eastAsia="仿宋_GB2312" w:cs="仿宋_GB2312"/>
          <w:kern w:val="0"/>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w:t>
      </w:r>
      <w:r>
        <w:rPr>
          <w:rFonts w:ascii="仿宋_GB2312" w:eastAsia="仿宋_GB2312" w:cs="仿宋_GB2312"/>
          <w:kern w:val="2"/>
          <w:sz w:val="32"/>
          <w:szCs w:val="32"/>
        </w:rPr>
        <w:t>导紧急救灾和灾后生产恢复。</w:t>
      </w:r>
      <w:bookmarkStart w:id="56" w:name="_Toc4303"/>
      <w:bookmarkEnd w:id="56"/>
      <w:bookmarkStart w:id="57" w:name="_Toc1933"/>
      <w:bookmarkEnd w:id="57"/>
      <w:bookmarkStart w:id="58" w:name="_Toc27141"/>
      <w:bookmarkEnd w:id="58"/>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2"/>
        <w:rPr>
          <w:rFonts w:ascii="仿宋_GB2312" w:eastAsia="仿宋_GB2312" w:cs="仿宋_GB2312"/>
          <w:kern w:val="2"/>
          <w:sz w:val="32"/>
          <w:szCs w:val="32"/>
        </w:rPr>
      </w:pPr>
      <w:bookmarkStart w:id="59" w:name="_Toc31905"/>
      <w:bookmarkEnd w:id="59"/>
      <w:r>
        <w:rPr>
          <w:rFonts w:ascii="仿宋_GB2312" w:eastAsia="仿宋_GB2312" w:cs="仿宋_GB2312"/>
          <w:kern w:val="2"/>
          <w:sz w:val="32"/>
          <w:szCs w:val="32"/>
        </w:rPr>
        <w:t>9.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3"/>
        <w:rPr>
          <w:rFonts w:ascii="仿宋_GB2312" w:eastAsia="仿宋_GB2312" w:cs="仿宋_GB2312"/>
          <w:kern w:val="2"/>
          <w:sz w:val="32"/>
          <w:szCs w:val="32"/>
        </w:rPr>
      </w:pPr>
      <w:bookmarkStart w:id="60" w:name="_Toc29378"/>
      <w:bookmarkEnd w:id="60"/>
      <w:bookmarkStart w:id="61" w:name="_Toc14965"/>
      <w:bookmarkEnd w:id="61"/>
      <w:bookmarkStart w:id="62" w:name="_Toc1051"/>
      <w:bookmarkEnd w:id="62"/>
      <w:bookmarkStart w:id="63" w:name="_Toc19580"/>
      <w:r>
        <w:rPr>
          <w:rFonts w:ascii="仿宋_GB2312" w:eastAsia="仿宋_GB2312" w:cs="仿宋_GB2312"/>
          <w:kern w:val="2"/>
          <w:sz w:val="32"/>
          <w:szCs w:val="32"/>
        </w:rPr>
        <w:t>10</w:t>
      </w:r>
      <w:bookmarkEnd w:id="63"/>
      <w:r>
        <w:rPr>
          <w:rFonts w:ascii="仿宋_GB2312" w:eastAsia="仿宋_GB2312" w:cs="仿宋_GB2312"/>
          <w:kern w:val="2"/>
          <w:sz w:val="32"/>
          <w:szCs w:val="32"/>
        </w:rPr>
        <w:t>.负责职责范围内的安全生产、生态环境保护、审批服务便民化等工作。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3"/>
        <w:rPr>
          <w:rFonts w:ascii="仿宋_GB2312" w:eastAsia="仿宋_GB2312" w:cs="仿宋_GB2312"/>
          <w:kern w:val="2"/>
          <w:sz w:val="32"/>
          <w:szCs w:val="32"/>
        </w:rPr>
      </w:pPr>
      <w:bookmarkStart w:id="64" w:name="_Toc30287"/>
      <w:bookmarkEnd w:id="64"/>
      <w:bookmarkStart w:id="65" w:name="_Toc23673"/>
      <w:bookmarkEnd w:id="65"/>
      <w:bookmarkStart w:id="66" w:name="_Toc10528"/>
      <w:bookmarkEnd w:id="66"/>
      <w:bookmarkStart w:id="67" w:name="_Toc25175"/>
      <w:r>
        <w:rPr>
          <w:rFonts w:ascii="仿宋_GB2312" w:eastAsia="仿宋_GB2312" w:cs="仿宋_GB2312"/>
          <w:kern w:val="2"/>
          <w:sz w:val="32"/>
          <w:szCs w:val="32"/>
        </w:rPr>
        <w:t>11</w:t>
      </w:r>
      <w:bookmarkEnd w:id="67"/>
      <w:r>
        <w:rPr>
          <w:rFonts w:ascii="仿宋_GB2312" w:eastAsia="仿宋_GB2312" w:cs="仿宋_GB2312"/>
          <w:kern w:val="2"/>
          <w:sz w:val="32"/>
          <w:szCs w:val="32"/>
        </w:rPr>
        <w:t>.完成县委、县政府交办的其他任务。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1"/>
        <w:rPr>
          <w:rFonts w:hint="eastAsia" w:ascii="黑体" w:eastAsia="黑体" w:cs="黑体"/>
          <w:b w:val="0"/>
          <w:color w:val="000000"/>
          <w:kern w:val="2"/>
          <w:sz w:val="32"/>
          <w:szCs w:val="32"/>
        </w:rPr>
      </w:pPr>
      <w:bookmarkStart w:id="68" w:name="_Toc21460"/>
      <w:bookmarkEnd w:id="68"/>
      <w:bookmarkStart w:id="69" w:name="_Toc3206"/>
      <w:bookmarkStart w:id="70" w:name="_Toc20134"/>
      <w:r>
        <w:rPr>
          <w:rFonts w:hint="eastAsia" w:ascii="黑体" w:eastAsia="黑体" w:cs="黑体"/>
          <w:b w:val="0"/>
          <w:color w:val="000000"/>
          <w:kern w:val="2"/>
          <w:sz w:val="32"/>
          <w:szCs w:val="32"/>
        </w:rPr>
        <w:t>二、机构设置</w:t>
      </w:r>
      <w:bookmarkEnd w:id="69"/>
      <w:bookmarkEnd w:id="7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olor w:val="auto"/>
          <w:sz w:val="32"/>
          <w:szCs w:val="32"/>
          <w:highlight w:val="none"/>
          <w:lang w:val="en-US" w:eastAsia="zh-CN"/>
        </w:rPr>
      </w:pPr>
      <w:bookmarkStart w:id="71" w:name="_Toc28029"/>
      <w:bookmarkEnd w:id="71"/>
      <w:bookmarkStart w:id="72" w:name="_Toc6801"/>
      <w:bookmarkEnd w:id="72"/>
      <w:bookmarkStart w:id="73" w:name="_Toc16555"/>
      <w:r>
        <w:rPr>
          <w:rFonts w:hint="eastAsia" w:ascii="仿宋_GB2312" w:eastAsia="仿宋_GB2312" w:cs="仿宋_GB2312"/>
          <w:sz w:val="32"/>
          <w:szCs w:val="32"/>
          <w:lang w:val="en-US" w:eastAsia="zh-CN"/>
        </w:rPr>
        <w:t>茂县科学技术和农业畜牧局（本级）</w:t>
      </w:r>
      <w:r>
        <w:rPr>
          <w:rFonts w:hint="eastAsia" w:ascii="仿宋" w:hAnsi="仿宋" w:eastAsia="仿宋"/>
          <w:color w:val="auto"/>
          <w:sz w:val="32"/>
          <w:szCs w:val="32"/>
          <w:highlight w:val="none"/>
          <w:lang w:val="en-US" w:eastAsia="zh-CN"/>
        </w:rPr>
        <w:t>下属二级决算单位1个，其中行政单位1个，参照公务员法管理的事业单位0个，其他事业单位0个。</w:t>
      </w:r>
    </w:p>
    <w:bookmarkEnd w:id="73"/>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eastAsia="黑体" w:cs="黑体"/>
          <w:b/>
          <w:bCs/>
          <w:kern w:val="44"/>
          <w:sz w:val="44"/>
          <w:szCs w:val="44"/>
          <w:shd w:val="clear" w:color="auto" w:fill="FFFFFF"/>
        </w:rPr>
      </w:pPr>
      <w:r>
        <w:rPr>
          <w:rFonts w:hint="eastAsia" w:ascii="仿宋" w:hAnsi="仿宋" w:eastAsia="仿宋"/>
          <w:color w:val="auto"/>
          <w:sz w:val="32"/>
          <w:szCs w:val="32"/>
          <w:highlight w:val="none"/>
        </w:rPr>
        <w:t>纳入</w:t>
      </w:r>
      <w:r>
        <w:rPr>
          <w:rFonts w:hint="eastAsia" w:ascii="仿宋_GB2312" w:eastAsia="仿宋_GB2312" w:cs="仿宋_GB2312"/>
          <w:sz w:val="32"/>
          <w:szCs w:val="32"/>
          <w:lang w:val="en-US" w:eastAsia="zh-CN"/>
        </w:rPr>
        <w:t>茂县科学技术和农业畜牧局（本级）</w:t>
      </w: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val="en-US" w:eastAsia="zh-CN"/>
        </w:rPr>
        <w:t>单位</w:t>
      </w:r>
      <w:r>
        <w:rPr>
          <w:rFonts w:hint="eastAsia" w:ascii="仿宋" w:hAnsi="仿宋" w:eastAsia="仿宋"/>
          <w:color w:val="auto"/>
          <w:sz w:val="32"/>
          <w:szCs w:val="32"/>
          <w:highlight w:val="none"/>
        </w:rPr>
        <w:t>决算编制范围的二级预算单位包括：</w:t>
      </w:r>
      <w:r>
        <w:rPr>
          <w:rFonts w:hint="eastAsia" w:ascii="仿宋_GB2312" w:eastAsia="仿宋_GB2312" w:cs="仿宋_GB2312"/>
          <w:sz w:val="32"/>
          <w:szCs w:val="32"/>
          <w:lang w:val="en-US" w:eastAsia="zh-CN"/>
        </w:rPr>
        <w:t>茂县科学技术和农业畜牧局（本级）。</w:t>
      </w:r>
      <w:bookmarkStart w:id="74" w:name="_Toc22363"/>
      <w:bookmarkEnd w:id="74"/>
      <w:bookmarkStart w:id="75" w:name="_Toc8701"/>
      <w:bookmarkEnd w:id="75"/>
      <w:bookmarkStart w:id="76" w:name="_Toc12109"/>
      <w:bookmarkEnd w:id="76"/>
      <w:bookmarkStart w:id="77" w:name="_Toc20655"/>
      <w:bookmarkEnd w:id="77"/>
      <w:bookmarkStart w:id="78" w:name="_Toc27598"/>
      <w:bookmarkEnd w:id="78"/>
      <w:bookmarkStart w:id="79" w:name="_Toc27155"/>
      <w:bookmarkEnd w:id="79"/>
      <w:bookmarkStart w:id="80" w:name="_Toc30071"/>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3"/>
        <w:pageBreakBefore w:val="0"/>
        <w:widowControl w:val="0"/>
        <w:kinsoku/>
        <w:wordWrap/>
        <w:overflowPunct/>
        <w:topLinePunct w:val="0"/>
        <w:bidi w:val="0"/>
        <w:jc w:val="both"/>
        <w:rPr>
          <w:rFonts w:hint="eastAsia" w:ascii="黑体" w:eastAsia="黑体" w:cs="黑体"/>
          <w:b/>
          <w:bCs/>
          <w:kern w:val="44"/>
          <w:sz w:val="44"/>
          <w:szCs w:val="44"/>
          <w:shd w:val="clear" w:color="auto" w:fill="FFFFFF"/>
        </w:rPr>
      </w:pPr>
    </w:p>
    <w:p>
      <w:pPr>
        <w:pStyle w:val="5"/>
        <w:keepNext w:val="0"/>
        <w:keepLines w:val="0"/>
        <w:pageBreakBefore w:val="0"/>
        <w:widowControl w:val="0"/>
        <w:suppressLineNumbers w:val="0"/>
        <w:kinsoku/>
        <w:wordWrap/>
        <w:overflowPunct/>
        <w:topLinePunct w:val="0"/>
        <w:bidi w:val="0"/>
        <w:spacing w:before="0" w:beforeAutospacing="0" w:line="560" w:lineRule="exact"/>
        <w:ind w:left="0"/>
        <w:jc w:val="both"/>
        <w:outlineLvl w:val="9"/>
        <w:rPr>
          <w:rFonts w:hint="eastAsia" w:ascii="黑体" w:eastAsia="黑体" w:cs="黑体"/>
          <w:b/>
          <w:bCs/>
          <w:kern w:val="44"/>
          <w:sz w:val="44"/>
          <w:szCs w:val="44"/>
          <w:shd w:val="clear" w:color="auto" w:fill="FFFFFF"/>
        </w:rPr>
      </w:pPr>
      <w:r>
        <w:rPr>
          <w:rFonts w:hint="eastAsia" w:ascii="黑体" w:eastAsia="黑体" w:cs="黑体"/>
          <w:b/>
          <w:bCs/>
          <w:kern w:val="44"/>
          <w:sz w:val="44"/>
          <w:szCs w:val="44"/>
          <w:shd w:val="clear" w:color="auto" w:fill="FFFFFF"/>
        </w:rPr>
        <w:t xml:space="preserve"> </w:t>
      </w:r>
      <w:bookmarkEnd w:id="80"/>
      <w:r>
        <w:rPr>
          <w:rFonts w:hint="eastAsia" w:ascii="黑体" w:eastAsia="黑体" w:cs="黑体"/>
          <w:b/>
          <w:bCs/>
          <w:kern w:val="44"/>
          <w:sz w:val="44"/>
          <w:szCs w:val="44"/>
          <w:shd w:val="clear" w:color="auto" w:fill="FFFFFF"/>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jc w:val="center"/>
        <w:textAlignment w:val="auto"/>
        <w:rPr>
          <w:rFonts w:hint="eastAsia" w:ascii="黑体" w:eastAsia="黑体" w:cs="黑体"/>
          <w:b w:val="0"/>
          <w:bCs w:val="0"/>
          <w:kern w:val="44"/>
          <w:sz w:val="44"/>
          <w:szCs w:val="44"/>
        </w:rPr>
      </w:pPr>
      <w:bookmarkStart w:id="81" w:name="_Toc21655"/>
      <w:bookmarkEnd w:id="81"/>
      <w:bookmarkStart w:id="82" w:name="_Toc1983"/>
      <w:bookmarkStart w:id="83" w:name="_Toc27550"/>
      <w:r>
        <w:rPr>
          <w:rFonts w:hint="eastAsia" w:ascii="黑体" w:eastAsia="黑体" w:cs="黑体"/>
          <w:b w:val="0"/>
          <w:bCs w:val="0"/>
          <w:kern w:val="44"/>
          <w:sz w:val="44"/>
          <w:szCs w:val="44"/>
          <w:shd w:val="clear" w:color="auto" w:fill="FFFFFF"/>
        </w:rPr>
        <w:t xml:space="preserve">第二部分 </w:t>
      </w:r>
      <w:r>
        <w:rPr>
          <w:rFonts w:hint="eastAsia" w:ascii="黑体" w:eastAsia="黑体" w:cs="黑体"/>
          <w:b w:val="0"/>
          <w:bCs w:val="0"/>
          <w:kern w:val="44"/>
          <w:sz w:val="44"/>
          <w:szCs w:val="44"/>
          <w:shd w:val="clear" w:color="auto" w:fill="FFFFFF"/>
          <w:lang w:eastAsia="zh-CN"/>
        </w:rPr>
        <w:t>2024</w:t>
      </w:r>
      <w:r>
        <w:rPr>
          <w:rFonts w:hint="eastAsia" w:ascii="黑体" w:eastAsia="黑体" w:cs="黑体"/>
          <w:b w:val="0"/>
          <w:bCs w:val="0"/>
          <w:kern w:val="44"/>
          <w:sz w:val="44"/>
          <w:szCs w:val="44"/>
          <w:shd w:val="clear" w:color="auto" w:fill="FFFFFF"/>
        </w:rPr>
        <w:t>年度单位决算情况说明</w:t>
      </w:r>
      <w:bookmarkEnd w:id="82"/>
      <w:bookmarkEnd w:id="83"/>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both"/>
        <w:textAlignment w:val="auto"/>
        <w:outlineLvl w:val="1"/>
        <w:rPr>
          <w:rFonts w:hint="eastAsia" w:ascii="黑体" w:hAnsi="黑体" w:eastAsia="黑体" w:cs="黑体"/>
          <w:b w:val="0"/>
          <w:bCs w:val="0"/>
          <w:kern w:val="0"/>
          <w:sz w:val="32"/>
          <w:szCs w:val="32"/>
        </w:rPr>
      </w:pPr>
      <w:bookmarkStart w:id="84" w:name="_Toc31868"/>
      <w:bookmarkEnd w:id="84"/>
      <w:bookmarkStart w:id="85" w:name="_Toc19339"/>
      <w:bookmarkEnd w:id="85"/>
      <w:bookmarkStart w:id="86" w:name="_Toc3801"/>
      <w:bookmarkEnd w:id="86"/>
      <w:bookmarkStart w:id="87" w:name="_Toc30403"/>
      <w:bookmarkEnd w:id="87"/>
      <w:bookmarkStart w:id="88" w:name="_Toc12609"/>
      <w:bookmarkEnd w:id="88"/>
      <w:bookmarkStart w:id="89" w:name="_Toc27343"/>
      <w:bookmarkStart w:id="90" w:name="_Toc13705"/>
      <w:r>
        <w:rPr>
          <w:rFonts w:hint="eastAsia" w:ascii="黑体" w:hAnsi="黑体" w:eastAsia="黑体" w:cs="黑体"/>
          <w:b w:val="0"/>
          <w:bCs w:val="0"/>
          <w:kern w:val="0"/>
          <w:sz w:val="32"/>
          <w:szCs w:val="32"/>
        </w:rPr>
        <w:t>一、收入支出决算总体情况说明</w:t>
      </w:r>
      <w:bookmarkEnd w:id="89"/>
      <w:bookmarkEnd w:id="9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ascii="仿宋_GB2312" w:hAnsi="Calibri" w:eastAsia="仿宋_GB2312" w:cs="仿宋_GB2312"/>
          <w:kern w:val="2"/>
          <w:sz w:val="32"/>
          <w:szCs w:val="32"/>
        </w:rPr>
      </w:pPr>
      <w:bookmarkStart w:id="91" w:name="_Toc29474"/>
      <w:bookmarkEnd w:id="91"/>
      <w:bookmarkStart w:id="92" w:name="_Toc28645"/>
      <w:bookmarkEnd w:id="92"/>
      <w:bookmarkStart w:id="93" w:name="_Toc27396"/>
      <w:r>
        <w:rPr>
          <w:rFonts w:hint="eastAsia" w:ascii="仿宋_GB2312" w:hAnsi="Calibri" w:eastAsia="仿宋_GB2312" w:cs="仿宋_GB2312"/>
          <w:kern w:val="2"/>
          <w:sz w:val="32"/>
          <w:szCs w:val="32"/>
          <w:lang w:eastAsia="zh-CN"/>
        </w:rPr>
        <w:t>2024</w:t>
      </w:r>
      <w:r>
        <w:rPr>
          <w:rFonts w:ascii="仿宋_GB2312" w:hAnsi="Calibri" w:eastAsia="仿宋_GB2312" w:cs="仿宋_GB2312"/>
          <w:kern w:val="2"/>
          <w:sz w:val="32"/>
          <w:szCs w:val="32"/>
        </w:rPr>
        <w:t>年度</w:t>
      </w:r>
      <w:r>
        <w:rPr>
          <w:rFonts w:hint="eastAsia" w:ascii="仿宋_GB2312" w:hAnsi="Calibri" w:eastAsia="仿宋_GB2312" w:cs="仿宋_GB2312"/>
          <w:kern w:val="2"/>
          <w:sz w:val="32"/>
          <w:szCs w:val="32"/>
          <w:lang w:val="en-US" w:eastAsia="zh-CN"/>
        </w:rPr>
        <w:t>本年</w:t>
      </w:r>
      <w:r>
        <w:rPr>
          <w:rFonts w:ascii="仿宋_GB2312" w:hAnsi="Calibri" w:eastAsia="仿宋_GB2312" w:cs="仿宋_GB2312"/>
          <w:kern w:val="2"/>
          <w:sz w:val="32"/>
          <w:szCs w:val="32"/>
        </w:rPr>
        <w:t>收、支总计</w:t>
      </w:r>
      <w:r>
        <w:rPr>
          <w:rFonts w:hint="eastAsia" w:ascii="仿宋_GB2312" w:hAnsi="Calibri" w:eastAsia="仿宋_GB2312" w:cs="仿宋_GB2312"/>
          <w:kern w:val="2"/>
          <w:sz w:val="32"/>
          <w:szCs w:val="32"/>
          <w:lang w:val="en-US" w:eastAsia="zh-CN"/>
        </w:rPr>
        <w:t>均为9663.32</w:t>
      </w:r>
      <w:r>
        <w:rPr>
          <w:rFonts w:ascii="仿宋_GB2312" w:hAnsi="Calibri" w:eastAsia="仿宋_GB2312" w:cs="仿宋_GB2312"/>
          <w:kern w:val="2"/>
          <w:sz w:val="32"/>
          <w:szCs w:val="32"/>
        </w:rPr>
        <w:t>万元。</w:t>
      </w:r>
      <w:r>
        <w:rPr>
          <w:rFonts w:hint="eastAsia" w:ascii="仿宋_GB2312" w:hAnsi="Calibri" w:eastAsia="仿宋_GB2312" w:cs="仿宋_GB2312"/>
          <w:kern w:val="2"/>
          <w:sz w:val="32"/>
          <w:szCs w:val="32"/>
          <w:lang w:val="en-US" w:eastAsia="zh-CN"/>
        </w:rPr>
        <w:t>较</w:t>
      </w:r>
      <w:r>
        <w:rPr>
          <w:rFonts w:ascii="仿宋_GB2312" w:hAnsi="Calibri" w:eastAsia="仿宋_GB2312" w:cs="仿宋_GB2312"/>
          <w:kern w:val="2"/>
          <w:sz w:val="32"/>
          <w:szCs w:val="32"/>
        </w:rPr>
        <w:t>202</w:t>
      </w:r>
      <w:r>
        <w:rPr>
          <w:rFonts w:hint="eastAsia" w:ascii="仿宋_GB2312" w:hAnsi="Calibri" w:eastAsia="仿宋_GB2312" w:cs="仿宋_GB2312"/>
          <w:kern w:val="2"/>
          <w:sz w:val="32"/>
          <w:szCs w:val="32"/>
          <w:lang w:val="en-US" w:eastAsia="zh-CN"/>
        </w:rPr>
        <w:t>3</w:t>
      </w:r>
      <w:r>
        <w:rPr>
          <w:rFonts w:ascii="仿宋_GB2312" w:hAnsi="Calibri" w:eastAsia="仿宋_GB2312" w:cs="仿宋_GB2312"/>
          <w:kern w:val="2"/>
          <w:sz w:val="32"/>
          <w:szCs w:val="32"/>
        </w:rPr>
        <w:t>年相比，收、支总计各</w:t>
      </w:r>
      <w:r>
        <w:rPr>
          <w:rFonts w:hint="eastAsia" w:ascii="仿宋_GB2312" w:hAnsi="Calibri" w:eastAsia="仿宋_GB2312" w:cs="仿宋_GB2312"/>
          <w:kern w:val="2"/>
          <w:sz w:val="32"/>
          <w:szCs w:val="32"/>
          <w:lang w:val="en-US" w:eastAsia="zh-CN"/>
        </w:rPr>
        <w:t>减少781.33</w:t>
      </w:r>
      <w:r>
        <w:rPr>
          <w:rFonts w:ascii="仿宋_GB2312" w:hAnsi="Calibri" w:eastAsia="仿宋_GB2312" w:cs="仿宋_GB2312"/>
          <w:kern w:val="2"/>
          <w:sz w:val="32"/>
          <w:szCs w:val="32"/>
        </w:rPr>
        <w:t>万元，</w:t>
      </w:r>
      <w:r>
        <w:rPr>
          <w:rFonts w:hint="eastAsia" w:ascii="仿宋_GB2312" w:hAnsi="Calibri" w:eastAsia="仿宋_GB2312" w:cs="仿宋_GB2312"/>
          <w:kern w:val="2"/>
          <w:sz w:val="32"/>
          <w:szCs w:val="32"/>
          <w:lang w:val="en-US" w:eastAsia="zh-CN"/>
        </w:rPr>
        <w:t>下降7.48</w:t>
      </w:r>
      <w:r>
        <w:rPr>
          <w:rFonts w:ascii="仿宋_GB2312" w:hAnsi="Calibri" w:eastAsia="仿宋_GB2312" w:cs="仿宋_GB2312"/>
          <w:kern w:val="2"/>
          <w:sz w:val="32"/>
          <w:szCs w:val="32"/>
        </w:rPr>
        <w:t>%</w:t>
      </w:r>
      <w:r>
        <w:rPr>
          <w:rFonts w:hint="eastAsia" w:ascii="仿宋_GB2312" w:hAnsi="Calibri" w:eastAsia="仿宋_GB2312" w:cs="仿宋_GB2312"/>
          <w:kern w:val="2"/>
          <w:sz w:val="32"/>
          <w:szCs w:val="32"/>
          <w:lang w:eastAsia="zh-CN"/>
        </w:rPr>
        <w:t>，</w:t>
      </w:r>
      <w:r>
        <w:rPr>
          <w:rFonts w:ascii="仿宋_GB2312" w:hAnsi="Calibri" w:eastAsia="仿宋_GB2312" w:cs="仿宋_GB2312"/>
          <w:kern w:val="2"/>
          <w:sz w:val="32"/>
          <w:szCs w:val="32"/>
        </w:rPr>
        <w:t>主要变动原因是</w:t>
      </w:r>
      <w:r>
        <w:rPr>
          <w:rFonts w:hint="eastAsia" w:ascii="仿宋_GB2312" w:hAnsi="Calibri" w:eastAsia="仿宋_GB2312" w:cs="仿宋_GB2312"/>
          <w:kern w:val="2"/>
          <w:sz w:val="32"/>
          <w:szCs w:val="32"/>
          <w:lang w:eastAsia="zh-CN"/>
        </w:rPr>
        <w:t>：</w:t>
      </w:r>
      <w:r>
        <w:rPr>
          <w:rFonts w:ascii="仿宋_GB2312" w:hAnsi="Calibri" w:eastAsia="仿宋_GB2312" w:cs="仿宋_GB2312"/>
          <w:kern w:val="2"/>
          <w:sz w:val="32"/>
          <w:szCs w:val="32"/>
        </w:rPr>
        <w:t>农林水支出</w:t>
      </w:r>
      <w:r>
        <w:rPr>
          <w:rFonts w:hint="eastAsia" w:ascii="仿宋_GB2312" w:hAnsi="Calibri" w:eastAsia="仿宋_GB2312" w:cs="仿宋_GB2312"/>
          <w:kern w:val="2"/>
          <w:sz w:val="32"/>
          <w:szCs w:val="32"/>
          <w:lang w:val="en-US" w:eastAsia="zh-CN"/>
        </w:rPr>
        <w:t>减少</w:t>
      </w:r>
      <w:r>
        <w:rPr>
          <w:rFonts w:ascii="仿宋_GB2312" w:hAnsi="Calibri" w:eastAsia="仿宋_GB2312" w:cs="仿宋_GB2312"/>
          <w:kern w:val="2"/>
          <w:sz w:val="32"/>
          <w:szCs w:val="32"/>
        </w:rPr>
        <w:t>。</w:t>
      </w:r>
      <w:bookmarkEnd w:id="93"/>
      <w:bookmarkStart w:id="94" w:name="_Toc11446"/>
      <w:bookmarkEnd w:id="94"/>
      <w:bookmarkStart w:id="95" w:name="_Toc726"/>
      <w:bookmarkEnd w:id="95"/>
      <w:bookmarkStart w:id="96" w:name="_Toc30292"/>
      <w:bookmarkEnd w:id="96"/>
      <w:bookmarkStart w:id="97" w:name="_Toc27986"/>
      <w:bookmarkEnd w:id="97"/>
      <w:bookmarkStart w:id="98" w:name="_Toc10203"/>
    </w:p>
    <w:p>
      <w:pPr>
        <w:pStyle w:val="23"/>
        <w:pageBreakBefore w:val="0"/>
        <w:widowControl w:val="0"/>
        <w:kinsoku/>
        <w:wordWrap/>
        <w:overflowPunct/>
        <w:topLinePunct w:val="0"/>
        <w:bidi w:val="0"/>
        <w:jc w:val="both"/>
        <w:rPr>
          <w:rFonts w:hint="default" w:eastAsia="仿宋_GB2312"/>
          <w:lang w:val="en-US" w:eastAsia="zh-CN"/>
        </w:rPr>
      </w:pPr>
      <w:r>
        <w:rPr>
          <w:rFonts w:hint="eastAsia" w:ascii="仿宋_GB2312" w:hAnsi="Calibri" w:eastAsia="仿宋_GB2312" w:cs="仿宋_GB2312"/>
          <w:kern w:val="2"/>
          <w:sz w:val="32"/>
          <w:szCs w:val="32"/>
          <w:lang w:val="en-US" w:eastAsia="zh-CN"/>
        </w:rPr>
        <w:t xml:space="preserve">  </w:t>
      </w:r>
      <w:r>
        <w:drawing>
          <wp:inline distT="0" distB="0" distL="114300" distR="114300">
            <wp:extent cx="4644390" cy="2614930"/>
            <wp:effectExtent l="4445" t="4445" r="18415" b="952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both"/>
        <w:textAlignment w:val="auto"/>
        <w:outlineLvl w:val="1"/>
        <w:rPr>
          <w:rFonts w:hint="eastAsia" w:ascii="黑体" w:eastAsia="黑体" w:cs="黑体"/>
          <w:b w:val="0"/>
          <w:bCs w:val="0"/>
          <w:kern w:val="0"/>
          <w:sz w:val="32"/>
          <w:szCs w:val="32"/>
        </w:rPr>
      </w:pPr>
      <w:bookmarkStart w:id="99" w:name="_Toc14655"/>
      <w:r>
        <w:rPr>
          <w:rFonts w:hint="eastAsia" w:ascii="黑体" w:eastAsia="黑体" w:cs="黑体"/>
          <w:b w:val="0"/>
          <w:bCs w:val="0"/>
          <w:kern w:val="0"/>
          <w:sz w:val="32"/>
          <w:szCs w:val="32"/>
        </w:rPr>
        <w:t>二、收入决算情况说明</w:t>
      </w:r>
      <w:bookmarkEnd w:id="98"/>
      <w:bookmarkEnd w:id="9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Times New Roman" w:eastAsia="黑体" w:cs="黑体"/>
          <w:b w:val="0"/>
          <w:bCs w:val="0"/>
          <w:kern w:val="0"/>
          <w:sz w:val="32"/>
          <w:szCs w:val="32"/>
          <w:lang w:val="en-US" w:eastAsia="zh-CN" w:bidi="ar-SA"/>
        </w:rPr>
      </w:pPr>
      <w:r>
        <w:rPr>
          <w:rFonts w:hint="eastAsia" w:ascii="仿宋_GB2312" w:eastAsia="仿宋_GB2312" w:cs="仿宋_GB2312"/>
          <w:kern w:val="0"/>
          <w:sz w:val="32"/>
          <w:szCs w:val="32"/>
          <w:lang w:eastAsia="zh-CN"/>
        </w:rPr>
        <w:t>2024</w:t>
      </w:r>
      <w:r>
        <w:rPr>
          <w:rFonts w:ascii="仿宋_GB2312" w:eastAsia="仿宋_GB2312" w:cs="仿宋_GB2312"/>
          <w:kern w:val="0"/>
          <w:sz w:val="32"/>
          <w:szCs w:val="32"/>
        </w:rPr>
        <w:t>年</w:t>
      </w:r>
      <w:r>
        <w:rPr>
          <w:rFonts w:hint="eastAsia" w:ascii="仿宋_GB2312" w:eastAsia="仿宋_GB2312" w:cs="仿宋_GB2312"/>
          <w:kern w:val="0"/>
          <w:sz w:val="32"/>
          <w:szCs w:val="32"/>
          <w:lang w:val="en-US" w:eastAsia="zh-CN"/>
        </w:rPr>
        <w:t>度</w:t>
      </w:r>
      <w:r>
        <w:rPr>
          <w:rFonts w:ascii="仿宋_GB2312" w:eastAsia="仿宋_GB2312" w:cs="仿宋_GB2312"/>
          <w:kern w:val="0"/>
          <w:sz w:val="32"/>
          <w:szCs w:val="32"/>
        </w:rPr>
        <w:t>本年收入合计</w:t>
      </w:r>
      <w:r>
        <w:rPr>
          <w:rFonts w:hint="eastAsia" w:ascii="仿宋_GB2312" w:eastAsia="仿宋_GB2312" w:cs="仿宋_GB2312"/>
          <w:kern w:val="0"/>
          <w:sz w:val="32"/>
          <w:szCs w:val="32"/>
          <w:lang w:val="en-US" w:eastAsia="zh-CN"/>
        </w:rPr>
        <w:t>9663.32</w:t>
      </w:r>
      <w:r>
        <w:rPr>
          <w:rFonts w:ascii="仿宋_GB2312" w:eastAsia="仿宋_GB2312" w:cs="仿宋_GB2312"/>
          <w:kern w:val="0"/>
          <w:sz w:val="32"/>
          <w:szCs w:val="32"/>
        </w:rPr>
        <w:t>万元，一般公共预算财政拨款收入</w:t>
      </w:r>
      <w:r>
        <w:rPr>
          <w:rFonts w:hint="eastAsia" w:ascii="仿宋_GB2312" w:eastAsia="仿宋_GB2312" w:cs="仿宋_GB2312"/>
          <w:kern w:val="0"/>
          <w:sz w:val="32"/>
          <w:szCs w:val="32"/>
          <w:lang w:val="en-US" w:eastAsia="zh-CN"/>
        </w:rPr>
        <w:t>9663.32</w:t>
      </w:r>
      <w:r>
        <w:rPr>
          <w:rFonts w:ascii="仿宋_GB2312" w:eastAsia="仿宋_GB2312" w:cs="仿宋_GB2312"/>
          <w:kern w:val="0"/>
          <w:sz w:val="32"/>
          <w:szCs w:val="32"/>
        </w:rPr>
        <w:t>万元，占100%</w:t>
      </w:r>
      <w:bookmarkStart w:id="100" w:name="_Toc20880"/>
      <w:bookmarkEnd w:id="100"/>
      <w:r>
        <w:rPr>
          <w:rFonts w:hint="eastAsia" w:ascii="仿宋_GB2312" w:eastAsia="仿宋_GB2312" w:cs="仿宋_GB2312"/>
          <w:kern w:val="0"/>
          <w:sz w:val="32"/>
          <w:szCs w:val="32"/>
          <w:lang w:eastAsia="zh-CN"/>
        </w:rPr>
        <w:t>。</w:t>
      </w:r>
      <w:bookmarkStart w:id="101" w:name="_Toc12371"/>
      <w:bookmarkEnd w:id="101"/>
      <w:bookmarkStart w:id="102" w:name="_Toc22970"/>
      <w:bookmarkEnd w:id="102"/>
      <w:bookmarkStart w:id="103" w:name="_Toc11957"/>
      <w:bookmarkEnd w:id="103"/>
      <w:bookmarkStart w:id="104" w:name="_Toc24455"/>
      <w:bookmarkEnd w:id="104"/>
      <w:bookmarkStart w:id="105" w:name="_Toc2305"/>
      <w:bookmarkStart w:id="106" w:name="_Toc3888"/>
      <w:r>
        <w:rPr>
          <w:rFonts w:hint="eastAsia" w:ascii="仿宋" w:eastAsia="仿宋" w:cs="Times New Roman"/>
          <w:color w:val="000000"/>
          <w:sz w:val="32"/>
          <w:szCs w:val="32"/>
          <w:lang w:val="en-US" w:eastAsia="zh-CN"/>
        </w:rPr>
        <w:t>政府性基金预算</w:t>
      </w:r>
      <w:r>
        <w:rPr>
          <w:rFonts w:hint="eastAsia" w:ascii="仿宋_GB2312" w:eastAsia="仿宋_GB2312" w:cs="仿宋_GB2312"/>
          <w:sz w:val="32"/>
          <w:szCs w:val="32"/>
        </w:rPr>
        <w:t>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ascii="仿宋_GB2312" w:eastAsia="仿宋_GB2312" w:cs="仿宋_GB2312"/>
          <w:sz w:val="32"/>
          <w:szCs w:val="32"/>
        </w:rPr>
        <w:t>%</w:t>
      </w:r>
      <w:r>
        <w:rPr>
          <w:rFonts w:ascii="仿宋" w:eastAsia="仿宋" w:cs="Times New Roman"/>
          <w:color w:val="000000"/>
          <w:sz w:val="32"/>
          <w:szCs w:val="32"/>
        </w:rPr>
        <w:t>。</w:t>
      </w:r>
    </w:p>
    <w:p>
      <w:pPr>
        <w:pStyle w:val="2"/>
        <w:rPr>
          <w:rFonts w:hint="eastAsia"/>
          <w:lang w:val="en-US" w:eastAsia="zh-CN"/>
        </w:rPr>
      </w:pPr>
      <w:r>
        <w:rPr>
          <w:rFonts w:hint="eastAsia"/>
          <w:lang w:val="en-US" w:eastAsia="zh-CN"/>
        </w:rPr>
        <w:t xml:space="preserve">  </w:t>
      </w:r>
      <w:r>
        <w:drawing>
          <wp:inline distT="0" distB="0" distL="114300" distR="114300">
            <wp:extent cx="4996815" cy="2665095"/>
            <wp:effectExtent l="4445" t="4445" r="8890" b="1651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仿宋_GB2312" w:eastAsia="仿宋_GB2312" w:cs="仿宋_GB2312"/>
          <w:color w:val="000000"/>
          <w:kern w:val="0"/>
          <w:sz w:val="32"/>
          <w:szCs w:val="32"/>
          <w:lang w:val="en-US" w:eastAsia="zh-CN"/>
        </w:rPr>
      </w:pPr>
      <w:bookmarkStart w:id="107" w:name="_Toc17813"/>
      <w:r>
        <w:rPr>
          <w:rFonts w:hint="eastAsia" w:ascii="黑体" w:hAnsi="Times New Roman" w:eastAsia="黑体" w:cs="黑体"/>
          <w:b w:val="0"/>
          <w:bCs w:val="0"/>
          <w:kern w:val="0"/>
          <w:sz w:val="32"/>
          <w:szCs w:val="32"/>
          <w:lang w:val="en-US" w:eastAsia="zh-CN" w:bidi="ar-SA"/>
        </w:rPr>
        <w:t>三、支出决算情况说明</w:t>
      </w:r>
      <w:bookmarkEnd w:id="105"/>
      <w:bookmarkEnd w:id="106"/>
      <w:bookmarkEnd w:id="107"/>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lang w:val="en-US" w:eastAsia="zh-CN"/>
        </w:rPr>
        <w:t>2024年度本年支出合计9663.32万元，其中：基本支出699.89万元，占7.24%；项目支出8963.43万元，占92.76%</w:t>
      </w:r>
      <w:bookmarkStart w:id="108" w:name="_Toc3125"/>
      <w:bookmarkEnd w:id="108"/>
      <w:bookmarkStart w:id="109" w:name="_Toc22539"/>
      <w:bookmarkEnd w:id="109"/>
      <w:bookmarkStart w:id="110" w:name="_Toc10292"/>
      <w:bookmarkEnd w:id="110"/>
      <w:bookmarkStart w:id="111" w:name="_Toc31657"/>
      <w:r>
        <w:rPr>
          <w:rFonts w:hint="eastAsia" w:ascii="仿宋_GB2312" w:eastAsia="仿宋_GB2312" w:cs="仿宋_GB2312"/>
          <w:kern w:val="0"/>
          <w:sz w:val="32"/>
          <w:szCs w:val="32"/>
          <w:lang w:eastAsia="zh-CN"/>
        </w:rPr>
        <w:t>。</w:t>
      </w:r>
    </w:p>
    <w:p>
      <w:pPr>
        <w:pStyle w:val="2"/>
        <w:jc w:val="both"/>
        <w:rPr>
          <w:rFonts w:hint="default"/>
          <w:lang w:val="en-US" w:eastAsia="zh-CN"/>
        </w:rPr>
      </w:pPr>
      <w:r>
        <w:rPr>
          <w:rFonts w:hint="eastAsia" w:ascii="仿宋_GB2312" w:eastAsia="仿宋_GB2312" w:cs="仿宋_GB2312"/>
          <w:kern w:val="0"/>
          <w:sz w:val="32"/>
          <w:szCs w:val="32"/>
          <w:lang w:val="en-US" w:eastAsia="zh-CN"/>
        </w:rPr>
        <w:t xml:space="preserve">   </w:t>
      </w:r>
    </w:p>
    <w:p>
      <w:pPr>
        <w:pStyle w:val="2"/>
        <w:jc w:val="both"/>
        <w:rPr>
          <w:rFonts w:hint="eastAsia"/>
          <w:lang w:val="en-US" w:eastAsia="zh-CN"/>
        </w:rPr>
      </w:pPr>
      <w:r>
        <w:rPr>
          <w:rFonts w:hint="eastAsia"/>
          <w:lang w:val="en-US" w:eastAsia="zh-CN"/>
        </w:rPr>
        <w:t xml:space="preserve">  </w:t>
      </w:r>
      <w:r>
        <w:drawing>
          <wp:inline distT="0" distB="0" distL="114300" distR="114300">
            <wp:extent cx="4784725" cy="2395220"/>
            <wp:effectExtent l="4445" t="5080" r="11430" b="1905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suppressLineNumbers w:val="0"/>
        <w:kinsoku/>
        <w:wordWrap/>
        <w:overflowPunct/>
        <w:topLinePunct w:val="0"/>
        <w:autoSpaceDE/>
        <w:autoSpaceDN/>
        <w:bidi w:val="0"/>
        <w:adjustRightInd/>
        <w:spacing w:line="576" w:lineRule="exact"/>
        <w:ind w:left="0" w:firstLine="640" w:firstLineChars="200"/>
        <w:jc w:val="both"/>
        <w:textAlignment w:val="auto"/>
        <w:outlineLvl w:val="1"/>
        <w:rPr>
          <w:rFonts w:hint="eastAsia" w:ascii="黑体" w:hAnsi="Times New Roman" w:eastAsia="黑体" w:cs="黑体"/>
          <w:b w:val="0"/>
          <w:bCs w:val="0"/>
          <w:kern w:val="0"/>
          <w:sz w:val="32"/>
          <w:szCs w:val="32"/>
          <w:lang w:val="en-US" w:eastAsia="zh-CN" w:bidi="ar-SA"/>
        </w:rPr>
      </w:pPr>
      <w:bookmarkStart w:id="112" w:name="_Toc26257"/>
      <w:r>
        <w:rPr>
          <w:rFonts w:hint="eastAsia" w:ascii="黑体" w:hAnsi="Times New Roman" w:eastAsia="黑体" w:cs="黑体"/>
          <w:b w:val="0"/>
          <w:bCs w:val="0"/>
          <w:kern w:val="0"/>
          <w:sz w:val="32"/>
          <w:szCs w:val="32"/>
          <w:lang w:val="en-US" w:eastAsia="zh-CN" w:bidi="ar-SA"/>
        </w:rPr>
        <w:t>四、财政拨款收入支出决算总体情况说明</w:t>
      </w:r>
      <w:bookmarkEnd w:id="111"/>
      <w:bookmarkEnd w:id="112"/>
    </w:p>
    <w:p>
      <w:pPr>
        <w:pStyle w:val="2"/>
        <w:keepNext w:val="0"/>
        <w:keepLines w:val="0"/>
        <w:pageBreakBefore w:val="0"/>
        <w:widowControl/>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2024年度</w:t>
      </w:r>
      <w:r>
        <w:rPr>
          <w:rFonts w:hint="eastAsia" w:ascii="仿宋_GB2312" w:eastAsia="仿宋_GB2312" w:cs="仿宋_GB2312"/>
          <w:color w:val="000000"/>
          <w:kern w:val="0"/>
          <w:sz w:val="32"/>
          <w:szCs w:val="32"/>
          <w:lang w:val="en-US" w:eastAsia="zh-CN" w:bidi="ar-SA"/>
        </w:rPr>
        <w:t>本年</w:t>
      </w:r>
      <w:r>
        <w:rPr>
          <w:rFonts w:hint="eastAsia" w:ascii="仿宋_GB2312" w:hAnsi="Times New Roman" w:eastAsia="仿宋_GB2312" w:cs="仿宋_GB2312"/>
          <w:color w:val="000000"/>
          <w:kern w:val="0"/>
          <w:sz w:val="32"/>
          <w:szCs w:val="32"/>
          <w:lang w:val="en-US" w:eastAsia="zh-CN" w:bidi="ar-SA"/>
        </w:rPr>
        <w:t>收、支总计均为9663.32万元。</w:t>
      </w:r>
      <w:r>
        <w:rPr>
          <w:rFonts w:hint="eastAsia" w:ascii="仿宋_GB2312" w:eastAsia="仿宋_GB2312" w:cs="仿宋_GB2312"/>
          <w:color w:val="000000"/>
          <w:kern w:val="0"/>
          <w:sz w:val="32"/>
          <w:szCs w:val="32"/>
          <w:lang w:val="en-US" w:eastAsia="zh-CN" w:bidi="ar-SA"/>
        </w:rPr>
        <w:t>较</w:t>
      </w:r>
      <w:r>
        <w:rPr>
          <w:rFonts w:hint="eastAsia" w:ascii="仿宋_GB2312" w:hAnsi="Times New Roman" w:eastAsia="仿宋_GB2312" w:cs="仿宋_GB2312"/>
          <w:color w:val="000000"/>
          <w:kern w:val="0"/>
          <w:sz w:val="32"/>
          <w:szCs w:val="32"/>
          <w:lang w:val="en-US" w:eastAsia="zh-CN" w:bidi="ar-SA"/>
        </w:rPr>
        <w:t>2023年相比，收、支总计各减少781.33万元，</w:t>
      </w:r>
      <w:r>
        <w:rPr>
          <w:rFonts w:hint="eastAsia" w:ascii="仿宋_GB2312" w:eastAsia="仿宋_GB2312" w:cs="仿宋_GB2312"/>
          <w:color w:val="000000"/>
          <w:kern w:val="0"/>
          <w:sz w:val="32"/>
          <w:szCs w:val="32"/>
          <w:lang w:val="en-US" w:eastAsia="zh-CN" w:bidi="ar-SA"/>
        </w:rPr>
        <w:t>下降</w:t>
      </w:r>
      <w:r>
        <w:rPr>
          <w:rFonts w:hint="eastAsia" w:ascii="仿宋_GB2312" w:hAnsi="Times New Roman" w:eastAsia="仿宋_GB2312" w:cs="仿宋_GB2312"/>
          <w:color w:val="000000"/>
          <w:kern w:val="0"/>
          <w:sz w:val="32"/>
          <w:szCs w:val="32"/>
          <w:lang w:val="en-US" w:eastAsia="zh-CN" w:bidi="ar-SA"/>
        </w:rPr>
        <w:t>7.48%</w:t>
      </w:r>
      <w:r>
        <w:rPr>
          <w:rFonts w:hint="eastAsia" w:ascii="仿宋_GB2312" w:eastAsia="仿宋_GB2312" w:cs="仿宋_GB2312"/>
          <w:color w:val="000000"/>
          <w:kern w:val="0"/>
          <w:sz w:val="32"/>
          <w:szCs w:val="32"/>
          <w:lang w:val="en-US" w:eastAsia="zh-CN" w:bidi="ar-SA"/>
        </w:rPr>
        <w:t>，</w:t>
      </w:r>
      <w:r>
        <w:rPr>
          <w:rFonts w:hint="eastAsia" w:ascii="仿宋_GB2312" w:hAnsi="Times New Roman" w:eastAsia="仿宋_GB2312" w:cs="仿宋_GB2312"/>
          <w:color w:val="000000"/>
          <w:kern w:val="0"/>
          <w:sz w:val="32"/>
          <w:szCs w:val="32"/>
          <w:lang w:val="en-US" w:eastAsia="zh-CN" w:bidi="ar-SA"/>
        </w:rPr>
        <w:t>主要变动原因是</w:t>
      </w:r>
      <w:r>
        <w:rPr>
          <w:rFonts w:hint="eastAsia" w:ascii="仿宋_GB2312" w:eastAsia="仿宋_GB2312" w:cs="仿宋_GB2312"/>
          <w:color w:val="000000"/>
          <w:kern w:val="0"/>
          <w:sz w:val="32"/>
          <w:szCs w:val="32"/>
          <w:lang w:val="en-US" w:eastAsia="zh-CN" w:bidi="ar-SA"/>
        </w:rPr>
        <w:t>：</w:t>
      </w:r>
      <w:r>
        <w:rPr>
          <w:rFonts w:hint="eastAsia" w:ascii="仿宋_GB2312" w:hAnsi="Times New Roman" w:eastAsia="仿宋_GB2312" w:cs="仿宋_GB2312"/>
          <w:color w:val="000000"/>
          <w:kern w:val="0"/>
          <w:sz w:val="32"/>
          <w:szCs w:val="32"/>
          <w:lang w:val="en-US" w:eastAsia="zh-CN" w:bidi="ar-SA"/>
        </w:rPr>
        <w:t xml:space="preserve">农林水支出减少。   </w:t>
      </w:r>
    </w:p>
    <w:p>
      <w:pPr>
        <w:pStyle w:val="3"/>
        <w:ind w:left="0" w:leftChars="0" w:firstLine="0" w:firstLineChars="0"/>
        <w:jc w:val="both"/>
        <w:rPr>
          <w:rFonts w:hint="eastAsia"/>
        </w:rPr>
      </w:pPr>
      <w:r>
        <w:rPr>
          <w:rFonts w:hint="eastAsia"/>
          <w:lang w:val="en-US" w:eastAsia="zh-CN"/>
        </w:rPr>
        <w:t xml:space="preserve">   </w:t>
      </w:r>
      <w:r>
        <w:drawing>
          <wp:inline distT="0" distB="0" distL="114300" distR="114300">
            <wp:extent cx="4728845" cy="2364105"/>
            <wp:effectExtent l="4445" t="4445" r="10160" b="12700"/>
            <wp:docPr id="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Times New Roman" w:eastAsia="黑体" w:cs="黑体"/>
          <w:b w:val="0"/>
          <w:bCs w:val="0"/>
          <w:kern w:val="0"/>
          <w:sz w:val="32"/>
          <w:szCs w:val="32"/>
          <w:lang w:val="en-US" w:eastAsia="zh-CN" w:bidi="ar-SA"/>
        </w:rPr>
      </w:pPr>
      <w:bookmarkStart w:id="113" w:name="_Toc26134"/>
      <w:bookmarkStart w:id="114" w:name="_Toc27350"/>
      <w:r>
        <w:rPr>
          <w:rFonts w:hint="eastAsia" w:ascii="黑体" w:hAnsi="Times New Roman" w:eastAsia="黑体" w:cs="黑体"/>
          <w:b w:val="0"/>
          <w:bCs w:val="0"/>
          <w:kern w:val="0"/>
          <w:sz w:val="32"/>
          <w:szCs w:val="32"/>
          <w:lang w:val="en-US" w:eastAsia="zh-CN" w:bidi="ar-SA"/>
        </w:rPr>
        <w:t>五、一般公共预算财政拨款支出决算情况说明</w:t>
      </w:r>
      <w:bookmarkEnd w:id="113"/>
      <w:bookmarkEnd w:id="114"/>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2"/>
        <w:rPr>
          <w:rFonts w:hint="eastAsia" w:ascii="黑体" w:hAnsi="Times New Roman" w:eastAsia="黑体" w:cs="黑体"/>
          <w:b w:val="0"/>
          <w:bCs w:val="0"/>
          <w:kern w:val="0"/>
          <w:sz w:val="32"/>
          <w:szCs w:val="32"/>
          <w:lang w:val="en-US" w:eastAsia="zh-CN" w:bidi="ar-SA"/>
        </w:rPr>
      </w:pPr>
      <w:bookmarkStart w:id="115" w:name="_Toc8794"/>
      <w:bookmarkEnd w:id="115"/>
      <w:r>
        <w:rPr>
          <w:rFonts w:hint="eastAsia" w:ascii="楷体" w:hAnsi="楷体" w:eastAsia="楷体" w:cs="楷体"/>
          <w:b w:val="0"/>
          <w:bCs w:val="0"/>
          <w:kern w:val="0"/>
          <w:sz w:val="32"/>
          <w:szCs w:val="32"/>
          <w:lang w:val="en-US" w:eastAsia="zh-CN" w:bidi="ar-SA"/>
        </w:rPr>
        <w:t>（一）一般公共预算财政拨款支出决算总体情况</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Calibri" w:eastAsia="仿宋_GB2312" w:cs="仿宋_GB2312"/>
          <w:kern w:val="2"/>
          <w:sz w:val="32"/>
          <w:szCs w:val="32"/>
          <w:lang w:val="en-US" w:eastAsia="zh-CN"/>
        </w:rPr>
      </w:pPr>
      <w:r>
        <w:rPr>
          <w:rFonts w:hint="eastAsia" w:ascii="仿宋_GB2312" w:eastAsia="仿宋_GB2312" w:cs="仿宋_GB2312"/>
          <w:color w:val="000000"/>
          <w:kern w:val="0"/>
          <w:sz w:val="32"/>
          <w:szCs w:val="32"/>
          <w:lang w:eastAsia="zh-CN"/>
        </w:rPr>
        <w:t>2024</w:t>
      </w:r>
      <w:r>
        <w:rPr>
          <w:rFonts w:hint="eastAsia" w:ascii="仿宋_GB2312" w:eastAsia="仿宋_GB2312" w:cs="仿宋_GB2312"/>
          <w:color w:val="000000"/>
          <w:kern w:val="0"/>
          <w:sz w:val="32"/>
          <w:szCs w:val="32"/>
        </w:rPr>
        <w:t>年</w:t>
      </w:r>
      <w:r>
        <w:rPr>
          <w:rFonts w:hint="eastAsia" w:ascii="仿宋_GB2312" w:eastAsia="仿宋_GB2312" w:cs="仿宋_GB2312"/>
          <w:color w:val="000000"/>
          <w:kern w:val="0"/>
          <w:sz w:val="32"/>
          <w:szCs w:val="32"/>
          <w:lang w:val="en-US" w:eastAsia="zh-CN"/>
        </w:rPr>
        <w:t>度本年</w:t>
      </w:r>
      <w:r>
        <w:rPr>
          <w:rFonts w:hint="eastAsia" w:ascii="仿宋_GB2312" w:eastAsia="仿宋_GB2312" w:cs="仿宋_GB2312"/>
          <w:color w:val="000000"/>
          <w:kern w:val="0"/>
          <w:sz w:val="32"/>
          <w:szCs w:val="32"/>
        </w:rPr>
        <w:t>一般公共预算财政拨款支出</w:t>
      </w:r>
      <w:r>
        <w:rPr>
          <w:rFonts w:hint="eastAsia" w:ascii="仿宋_GB2312" w:eastAsia="仿宋_GB2312" w:cs="仿宋_GB2312"/>
          <w:color w:val="000000"/>
          <w:kern w:val="0"/>
          <w:sz w:val="32"/>
          <w:szCs w:val="32"/>
          <w:lang w:val="en-US" w:eastAsia="zh-CN"/>
        </w:rPr>
        <w:t>9663.32</w:t>
      </w:r>
      <w:r>
        <w:rPr>
          <w:rFonts w:hint="eastAsia" w:ascii="仿宋_GB2312" w:eastAsia="仿宋_GB2312" w:cs="仿宋_GB2312"/>
          <w:color w:val="000000"/>
          <w:kern w:val="0"/>
          <w:sz w:val="32"/>
          <w:szCs w:val="32"/>
        </w:rPr>
        <w:t>万元，占本年支出合计的</w:t>
      </w:r>
      <w:r>
        <w:rPr>
          <w:rFonts w:ascii="仿宋_GB2312" w:eastAsia="仿宋_GB2312" w:cs="仿宋_GB2312"/>
          <w:kern w:val="0"/>
          <w:sz w:val="32"/>
          <w:szCs w:val="32"/>
        </w:rPr>
        <w:t>100%。</w:t>
      </w:r>
      <w:r>
        <w:rPr>
          <w:rFonts w:hint="eastAsia" w:ascii="仿宋_GB2312" w:eastAsia="仿宋_GB2312" w:cs="仿宋_GB2312"/>
          <w:kern w:val="0"/>
          <w:sz w:val="32"/>
          <w:szCs w:val="32"/>
          <w:lang w:val="en-US" w:eastAsia="zh-CN"/>
        </w:rPr>
        <w:t>较</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ascii="仿宋_GB2312" w:eastAsia="仿宋_GB2312" w:cs="仿宋_GB2312"/>
          <w:kern w:val="0"/>
          <w:sz w:val="32"/>
          <w:szCs w:val="32"/>
        </w:rPr>
        <w:t>年相比，一般公共预算财政拨款支出</w:t>
      </w:r>
      <w:r>
        <w:rPr>
          <w:rFonts w:hint="eastAsia" w:ascii="仿宋_GB2312" w:hAnsi="Calibri" w:eastAsia="仿宋_GB2312" w:cs="仿宋_GB2312"/>
          <w:kern w:val="2"/>
          <w:sz w:val="32"/>
          <w:szCs w:val="32"/>
          <w:lang w:val="en-US" w:eastAsia="zh-CN"/>
        </w:rPr>
        <w:t>减少781.33</w:t>
      </w:r>
      <w:r>
        <w:rPr>
          <w:rFonts w:ascii="仿宋_GB2312" w:hAnsi="Calibri" w:eastAsia="仿宋_GB2312" w:cs="仿宋_GB2312"/>
          <w:kern w:val="2"/>
          <w:sz w:val="32"/>
          <w:szCs w:val="32"/>
        </w:rPr>
        <w:t>万元，</w:t>
      </w:r>
      <w:r>
        <w:rPr>
          <w:rFonts w:hint="eastAsia" w:ascii="仿宋_GB2312" w:hAnsi="Calibri" w:eastAsia="仿宋_GB2312" w:cs="仿宋_GB2312"/>
          <w:kern w:val="2"/>
          <w:sz w:val="32"/>
          <w:szCs w:val="32"/>
          <w:lang w:val="en-US" w:eastAsia="zh-CN"/>
        </w:rPr>
        <w:t>下降7.48</w:t>
      </w:r>
      <w:r>
        <w:rPr>
          <w:rFonts w:ascii="仿宋_GB2312" w:hAnsi="Calibri" w:eastAsia="仿宋_GB2312" w:cs="仿宋_GB2312"/>
          <w:kern w:val="2"/>
          <w:sz w:val="32"/>
          <w:szCs w:val="32"/>
        </w:rPr>
        <w:t>%</w:t>
      </w:r>
      <w:r>
        <w:rPr>
          <w:rFonts w:hint="eastAsia" w:ascii="仿宋_GB2312" w:hAnsi="Calibri" w:eastAsia="仿宋_GB2312" w:cs="仿宋_GB2312"/>
          <w:kern w:val="2"/>
          <w:sz w:val="32"/>
          <w:szCs w:val="32"/>
          <w:lang w:eastAsia="zh-CN"/>
        </w:rPr>
        <w:t>，</w:t>
      </w:r>
      <w:r>
        <w:rPr>
          <w:rFonts w:ascii="仿宋_GB2312" w:hAnsi="Calibri" w:eastAsia="仿宋_GB2312" w:cs="仿宋_GB2312"/>
          <w:kern w:val="2"/>
          <w:sz w:val="32"/>
          <w:szCs w:val="32"/>
        </w:rPr>
        <w:t>主要变动原因是</w:t>
      </w:r>
      <w:r>
        <w:rPr>
          <w:rFonts w:hint="eastAsia" w:ascii="仿宋_GB2312" w:hAnsi="Calibri" w:eastAsia="仿宋_GB2312" w:cs="仿宋_GB2312"/>
          <w:kern w:val="2"/>
          <w:sz w:val="32"/>
          <w:szCs w:val="32"/>
          <w:lang w:eastAsia="zh-CN"/>
        </w:rPr>
        <w:t>：</w:t>
      </w:r>
      <w:r>
        <w:rPr>
          <w:rFonts w:ascii="仿宋_GB2312" w:hAnsi="Calibri" w:eastAsia="仿宋_GB2312" w:cs="仿宋_GB2312"/>
          <w:kern w:val="2"/>
          <w:sz w:val="32"/>
          <w:szCs w:val="32"/>
        </w:rPr>
        <w:t>农林水支出</w:t>
      </w:r>
      <w:r>
        <w:rPr>
          <w:rFonts w:hint="eastAsia" w:ascii="仿宋_GB2312" w:hAnsi="Calibri" w:eastAsia="仿宋_GB2312" w:cs="仿宋_GB2312"/>
          <w:kern w:val="2"/>
          <w:sz w:val="32"/>
          <w:szCs w:val="32"/>
          <w:lang w:val="en-US" w:eastAsia="zh-CN"/>
        </w:rPr>
        <w:t>减少。</w:t>
      </w:r>
    </w:p>
    <w:p>
      <w:pPr>
        <w:pStyle w:val="3"/>
        <w:ind w:left="0" w:leftChars="0" w:firstLine="0" w:firstLineChars="0"/>
        <w:jc w:val="both"/>
        <w:rPr>
          <w:rFonts w:hint="eastAsia" w:ascii="仿宋_GB2312" w:hAnsi="Calibri" w:eastAsia="仿宋_GB2312" w:cs="仿宋_GB2312"/>
          <w:kern w:val="2"/>
          <w:sz w:val="32"/>
          <w:szCs w:val="32"/>
          <w:lang w:val="en-US" w:eastAsia="zh-CN"/>
        </w:rPr>
      </w:pPr>
      <w:r>
        <w:rPr>
          <w:rFonts w:hint="eastAsia" w:ascii="仿宋_GB2312" w:hAnsi="Calibri" w:eastAsia="仿宋_GB2312" w:cs="仿宋_GB2312"/>
          <w:kern w:val="2"/>
          <w:sz w:val="32"/>
          <w:szCs w:val="32"/>
          <w:lang w:val="en-US" w:eastAsia="zh-CN"/>
        </w:rPr>
        <w:t xml:space="preserve">  </w:t>
      </w:r>
      <w:r>
        <w:drawing>
          <wp:inline distT="0" distB="0" distL="114300" distR="114300">
            <wp:extent cx="4795520" cy="2235200"/>
            <wp:effectExtent l="4445" t="4445" r="1968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（二）一般公共预算财政拨款支出决算结构情况</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color w:val="000000"/>
          <w:kern w:val="0"/>
          <w:sz w:val="32"/>
          <w:szCs w:val="32"/>
        </w:rPr>
      </w:pPr>
      <w:r>
        <w:rPr>
          <w:rFonts w:hint="eastAsia" w:ascii="仿宋_GB2312" w:eastAsia="仿宋_GB2312" w:cs="仿宋_GB2312"/>
          <w:color w:val="000000"/>
          <w:kern w:val="0"/>
          <w:sz w:val="32"/>
          <w:szCs w:val="32"/>
          <w:lang w:eastAsia="zh-CN"/>
        </w:rPr>
        <w:t>2024</w:t>
      </w:r>
      <w:r>
        <w:rPr>
          <w:rFonts w:hint="eastAsia" w:ascii="仿宋_GB2312" w:eastAsia="仿宋_GB2312" w:cs="仿宋_GB2312"/>
          <w:color w:val="000000"/>
          <w:kern w:val="0"/>
          <w:sz w:val="32"/>
          <w:szCs w:val="32"/>
        </w:rPr>
        <w:t>年</w:t>
      </w:r>
      <w:r>
        <w:rPr>
          <w:rFonts w:hint="eastAsia" w:ascii="仿宋_GB2312" w:eastAsia="仿宋_GB2312" w:cs="仿宋_GB2312"/>
          <w:color w:val="000000"/>
          <w:kern w:val="0"/>
          <w:sz w:val="32"/>
          <w:szCs w:val="32"/>
          <w:lang w:val="en-US" w:eastAsia="zh-CN"/>
        </w:rPr>
        <w:t>度本年</w:t>
      </w:r>
      <w:r>
        <w:rPr>
          <w:rFonts w:hint="eastAsia" w:ascii="仿宋_GB2312" w:eastAsia="仿宋_GB2312" w:cs="仿宋_GB2312"/>
          <w:color w:val="000000"/>
          <w:kern w:val="0"/>
          <w:sz w:val="32"/>
          <w:szCs w:val="32"/>
        </w:rPr>
        <w:t>一般公共预算财政拨款支出</w:t>
      </w:r>
      <w:r>
        <w:rPr>
          <w:rFonts w:hint="eastAsia" w:ascii="仿宋_GB2312" w:eastAsia="仿宋_GB2312" w:cs="仿宋_GB2312"/>
          <w:color w:val="000000"/>
          <w:kern w:val="0"/>
          <w:sz w:val="32"/>
          <w:szCs w:val="32"/>
          <w:lang w:val="en-US" w:eastAsia="zh-CN"/>
        </w:rPr>
        <w:t>9663.32</w:t>
      </w:r>
      <w:r>
        <w:rPr>
          <w:rFonts w:hint="eastAsia" w:ascii="仿宋_GB2312" w:eastAsia="仿宋_GB2312" w:cs="仿宋_GB2312"/>
          <w:color w:val="000000"/>
          <w:kern w:val="0"/>
          <w:sz w:val="32"/>
          <w:szCs w:val="32"/>
        </w:rPr>
        <w:t>万元，主要用于以下</w:t>
      </w:r>
      <w:r>
        <w:rPr>
          <w:rFonts w:hint="eastAsia" w:ascii="仿宋" w:eastAsia="仿宋" w:cs="仿宋"/>
          <w:color w:val="000000"/>
          <w:kern w:val="0"/>
          <w:sz w:val="32"/>
          <w:szCs w:val="32"/>
        </w:rPr>
        <w:t>方面:科学技术支出</w:t>
      </w:r>
      <w:r>
        <w:rPr>
          <w:rFonts w:hint="eastAsia" w:ascii="仿宋" w:eastAsia="仿宋" w:cs="仿宋"/>
          <w:color w:val="000000"/>
          <w:kern w:val="0"/>
          <w:sz w:val="32"/>
          <w:szCs w:val="32"/>
          <w:lang w:val="en-US" w:eastAsia="zh-CN"/>
        </w:rPr>
        <w:t>145.04</w:t>
      </w:r>
      <w:r>
        <w:rPr>
          <w:rFonts w:hint="eastAsia" w:ascii="仿宋" w:eastAsia="仿宋" w:cs="仿宋"/>
          <w:color w:val="000000"/>
          <w:kern w:val="0"/>
          <w:sz w:val="32"/>
          <w:szCs w:val="32"/>
        </w:rPr>
        <w:t>万元，占</w:t>
      </w:r>
      <w:r>
        <w:rPr>
          <w:rFonts w:hint="eastAsia" w:ascii="仿宋" w:eastAsia="仿宋" w:cs="仿宋"/>
          <w:color w:val="000000"/>
          <w:kern w:val="0"/>
          <w:sz w:val="32"/>
          <w:szCs w:val="32"/>
          <w:lang w:val="en-US" w:eastAsia="zh-CN"/>
        </w:rPr>
        <w:t>1.50</w:t>
      </w:r>
      <w:r>
        <w:rPr>
          <w:rFonts w:hint="eastAsia" w:ascii="仿宋" w:eastAsia="仿宋" w:cs="仿宋"/>
          <w:color w:val="000000"/>
          <w:kern w:val="0"/>
          <w:sz w:val="32"/>
          <w:szCs w:val="32"/>
        </w:rPr>
        <w:t>%；社会保障和就业支出</w:t>
      </w:r>
      <w:r>
        <w:rPr>
          <w:rFonts w:hint="eastAsia" w:ascii="仿宋" w:eastAsia="仿宋" w:cs="仿宋"/>
          <w:color w:val="000000"/>
          <w:kern w:val="0"/>
          <w:sz w:val="32"/>
          <w:szCs w:val="32"/>
          <w:lang w:val="en-US" w:eastAsia="zh-CN"/>
        </w:rPr>
        <w:t>85.48</w:t>
      </w:r>
      <w:r>
        <w:rPr>
          <w:rFonts w:hint="eastAsia" w:ascii="仿宋" w:eastAsia="仿宋" w:cs="仿宋"/>
          <w:color w:val="000000"/>
          <w:kern w:val="0"/>
          <w:sz w:val="32"/>
          <w:szCs w:val="32"/>
        </w:rPr>
        <w:t>万元，占0.</w:t>
      </w:r>
      <w:r>
        <w:rPr>
          <w:rFonts w:hint="eastAsia" w:ascii="仿宋" w:eastAsia="仿宋" w:cs="仿宋"/>
          <w:color w:val="000000"/>
          <w:kern w:val="0"/>
          <w:sz w:val="32"/>
          <w:szCs w:val="32"/>
          <w:lang w:val="en-US" w:eastAsia="zh-CN"/>
        </w:rPr>
        <w:t>88</w:t>
      </w:r>
      <w:r>
        <w:rPr>
          <w:rFonts w:hint="eastAsia" w:ascii="仿宋" w:eastAsia="仿宋" w:cs="仿宋"/>
          <w:color w:val="000000"/>
          <w:kern w:val="0"/>
          <w:sz w:val="32"/>
          <w:szCs w:val="32"/>
        </w:rPr>
        <w:t>%；卫生健康支出</w:t>
      </w:r>
      <w:r>
        <w:rPr>
          <w:rFonts w:hint="eastAsia" w:ascii="仿宋" w:eastAsia="仿宋" w:cs="仿宋"/>
          <w:color w:val="000000"/>
          <w:kern w:val="0"/>
          <w:sz w:val="32"/>
          <w:szCs w:val="32"/>
          <w:lang w:val="en-US" w:eastAsia="zh-CN"/>
        </w:rPr>
        <w:t>40.39</w:t>
      </w:r>
      <w:r>
        <w:rPr>
          <w:rFonts w:hint="eastAsia" w:ascii="仿宋" w:eastAsia="仿宋" w:cs="仿宋"/>
          <w:color w:val="000000"/>
          <w:kern w:val="0"/>
          <w:sz w:val="32"/>
          <w:szCs w:val="32"/>
        </w:rPr>
        <w:t>万元，占0.</w:t>
      </w:r>
      <w:r>
        <w:rPr>
          <w:rFonts w:hint="eastAsia" w:ascii="仿宋" w:eastAsia="仿宋" w:cs="仿宋"/>
          <w:color w:val="000000"/>
          <w:kern w:val="0"/>
          <w:sz w:val="32"/>
          <w:szCs w:val="32"/>
          <w:lang w:val="en-US" w:eastAsia="zh-CN"/>
        </w:rPr>
        <w:t>42</w:t>
      </w:r>
      <w:r>
        <w:rPr>
          <w:rFonts w:hint="eastAsia" w:ascii="仿宋" w:eastAsia="仿宋" w:cs="仿宋"/>
          <w:color w:val="000000"/>
          <w:kern w:val="0"/>
          <w:sz w:val="32"/>
          <w:szCs w:val="32"/>
        </w:rPr>
        <w:t>%；农林水支出</w:t>
      </w:r>
      <w:r>
        <w:rPr>
          <w:rFonts w:hint="eastAsia" w:ascii="仿宋" w:eastAsia="仿宋" w:cs="仿宋"/>
          <w:color w:val="000000"/>
          <w:kern w:val="0"/>
          <w:sz w:val="32"/>
          <w:szCs w:val="32"/>
          <w:lang w:val="en-US" w:eastAsia="zh-CN"/>
        </w:rPr>
        <w:t>9339.72</w:t>
      </w:r>
      <w:r>
        <w:rPr>
          <w:rFonts w:hint="eastAsia" w:ascii="仿宋" w:eastAsia="仿宋" w:cs="仿宋"/>
          <w:color w:val="000000"/>
          <w:kern w:val="0"/>
          <w:sz w:val="32"/>
          <w:szCs w:val="32"/>
        </w:rPr>
        <w:t>万元，占9</w:t>
      </w:r>
      <w:r>
        <w:rPr>
          <w:rFonts w:hint="eastAsia" w:ascii="仿宋" w:eastAsia="仿宋" w:cs="仿宋"/>
          <w:color w:val="000000"/>
          <w:kern w:val="0"/>
          <w:sz w:val="32"/>
          <w:szCs w:val="32"/>
          <w:lang w:val="en-US" w:eastAsia="zh-CN"/>
        </w:rPr>
        <w:t>6.65</w:t>
      </w:r>
      <w:r>
        <w:rPr>
          <w:rFonts w:hint="eastAsia" w:ascii="仿宋" w:eastAsia="仿宋" w:cs="仿宋"/>
          <w:color w:val="000000"/>
          <w:kern w:val="0"/>
          <w:sz w:val="32"/>
          <w:szCs w:val="32"/>
        </w:rPr>
        <w:t>%；住房保障支出</w:t>
      </w:r>
      <w:r>
        <w:rPr>
          <w:rFonts w:hint="eastAsia" w:ascii="仿宋" w:eastAsia="仿宋" w:cs="仿宋"/>
          <w:color w:val="000000"/>
          <w:kern w:val="0"/>
          <w:sz w:val="32"/>
          <w:szCs w:val="32"/>
          <w:lang w:val="en-US" w:eastAsia="zh-CN"/>
        </w:rPr>
        <w:t>52.69</w:t>
      </w:r>
      <w:r>
        <w:rPr>
          <w:rFonts w:hint="eastAsia" w:ascii="仿宋" w:eastAsia="仿宋" w:cs="仿宋"/>
          <w:color w:val="000000"/>
          <w:kern w:val="0"/>
          <w:sz w:val="32"/>
          <w:szCs w:val="32"/>
        </w:rPr>
        <w:t>万元，占0.</w:t>
      </w:r>
      <w:r>
        <w:rPr>
          <w:rFonts w:hint="eastAsia" w:ascii="仿宋" w:eastAsia="仿宋" w:cs="仿宋"/>
          <w:color w:val="000000"/>
          <w:kern w:val="0"/>
          <w:sz w:val="32"/>
          <w:szCs w:val="32"/>
          <w:lang w:val="en-US" w:eastAsia="zh-CN"/>
        </w:rPr>
        <w:t>55</w:t>
      </w:r>
      <w:r>
        <w:rPr>
          <w:rFonts w:hint="eastAsia" w:ascii="仿宋" w:eastAsia="仿宋" w:cs="仿宋"/>
          <w:color w:val="000000"/>
          <w:kern w:val="0"/>
          <w:sz w:val="32"/>
          <w:szCs w:val="32"/>
        </w:rPr>
        <w:t>%。</w:t>
      </w:r>
    </w:p>
    <w:p>
      <w:pPr>
        <w:pStyle w:val="23"/>
        <w:pageBreakBefore w:val="0"/>
        <w:widowControl w:val="0"/>
        <w:kinsoku/>
        <w:wordWrap/>
        <w:overflowPunct/>
        <w:topLinePunct w:val="0"/>
        <w:bidi w:val="0"/>
        <w:jc w:val="both"/>
        <w:rPr>
          <w:rFonts w:hint="default"/>
          <w:lang w:val="en-US" w:eastAsia="zh-CN"/>
        </w:rPr>
      </w:pPr>
      <w:r>
        <w:rPr>
          <w:rFonts w:hint="eastAsia"/>
          <w:lang w:val="en-US" w:eastAsia="zh-CN"/>
        </w:rPr>
        <w:t xml:space="preserve"> </w:t>
      </w:r>
      <w:r>
        <w:drawing>
          <wp:inline distT="0" distB="0" distL="114300" distR="114300">
            <wp:extent cx="5091430" cy="2576195"/>
            <wp:effectExtent l="4445" t="4445" r="9525" b="10160"/>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2"/>
        <w:rPr>
          <w:rFonts w:hint="eastAsia" w:ascii="楷体" w:hAnsi="楷体" w:eastAsia="楷体" w:cs="楷体"/>
          <w:b w:val="0"/>
          <w:bCs w:val="0"/>
          <w:kern w:val="0"/>
          <w:sz w:val="32"/>
          <w:szCs w:val="32"/>
          <w:lang w:val="en-US" w:eastAsia="zh-CN" w:bidi="ar-SA"/>
        </w:rPr>
      </w:pPr>
      <w:bookmarkStart w:id="116" w:name="_Toc26504"/>
      <w:bookmarkEnd w:id="116"/>
      <w:r>
        <w:rPr>
          <w:rFonts w:hint="eastAsia" w:ascii="楷体" w:hAnsi="楷体" w:eastAsia="楷体" w:cs="楷体"/>
          <w:b w:val="0"/>
          <w:bCs w:val="0"/>
          <w:kern w:val="0"/>
          <w:sz w:val="32"/>
          <w:szCs w:val="32"/>
          <w:lang w:val="en-US" w:eastAsia="zh-CN" w:bidi="ar-SA"/>
        </w:rPr>
        <w:t>（三）一般公共预算财政拨款支出决算具体情况</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eastAsia="zh-CN"/>
        </w:rPr>
        <w:t>2024</w:t>
      </w:r>
      <w:r>
        <w:rPr>
          <w:rFonts w:hint="eastAsia" w:ascii="仿宋_GB2312" w:eastAsia="仿宋_GB2312" w:cs="仿宋_GB2312"/>
          <w:color w:val="000000"/>
          <w:kern w:val="0"/>
          <w:sz w:val="32"/>
          <w:szCs w:val="32"/>
        </w:rPr>
        <w:t>年一般公共预算支出决算数为</w:t>
      </w:r>
      <w:r>
        <w:rPr>
          <w:rFonts w:hint="eastAsia" w:ascii="仿宋_GB2312" w:eastAsia="仿宋_GB2312" w:cs="仿宋_GB2312"/>
          <w:color w:val="000000"/>
          <w:kern w:val="0"/>
          <w:sz w:val="32"/>
          <w:szCs w:val="32"/>
          <w:lang w:val="en-US" w:eastAsia="zh-CN"/>
        </w:rPr>
        <w:t>9663.32万元</w:t>
      </w:r>
      <w:r>
        <w:rPr>
          <w:rFonts w:hint="eastAsia" w:ascii="仿宋_GB2312" w:eastAsia="仿宋_GB2312" w:cs="仿宋_GB2312"/>
          <w:color w:val="000000"/>
          <w:kern w:val="0"/>
          <w:sz w:val="32"/>
          <w:szCs w:val="32"/>
        </w:rPr>
        <w:t>，完成预算100%。其中：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right="0" w:rightChars="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ascii="仿宋_GB2312" w:eastAsia="仿宋_GB2312" w:cs="仿宋_GB2312"/>
          <w:bCs/>
          <w:kern w:val="0"/>
          <w:sz w:val="32"/>
          <w:szCs w:val="32"/>
        </w:rPr>
        <w:t>.科学技术支出（206）</w:t>
      </w:r>
      <w:r>
        <w:rPr>
          <w:rFonts w:hint="eastAsia" w:ascii="仿宋_GB2312" w:eastAsia="仿宋_GB2312" w:cs="仿宋_GB2312"/>
          <w:bCs/>
          <w:kern w:val="0"/>
          <w:sz w:val="32"/>
          <w:szCs w:val="32"/>
          <w:lang w:val="en-US" w:eastAsia="zh-CN"/>
        </w:rPr>
        <w:t>社会</w:t>
      </w:r>
      <w:r>
        <w:rPr>
          <w:rFonts w:ascii="仿宋_GB2312" w:eastAsia="仿宋_GB2312" w:cs="仿宋_GB2312"/>
          <w:bCs/>
          <w:kern w:val="0"/>
          <w:sz w:val="32"/>
          <w:szCs w:val="32"/>
        </w:rPr>
        <w:t>科学</w:t>
      </w:r>
      <w:r>
        <w:rPr>
          <w:rFonts w:hint="eastAsia" w:ascii="仿宋_GB2312" w:eastAsia="仿宋_GB2312" w:cs="仿宋_GB2312"/>
          <w:bCs/>
          <w:kern w:val="0"/>
          <w:sz w:val="32"/>
          <w:szCs w:val="32"/>
          <w:lang w:val="en-US" w:eastAsia="zh-CN"/>
        </w:rPr>
        <w:t>支出</w:t>
      </w:r>
      <w:r>
        <w:rPr>
          <w:rFonts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06</w:t>
      </w:r>
      <w:r>
        <w:rPr>
          <w:rFonts w:ascii="仿宋_GB2312" w:eastAsia="仿宋_GB2312" w:cs="仿宋_GB2312"/>
          <w:bCs/>
          <w:kern w:val="0"/>
          <w:sz w:val="32"/>
          <w:szCs w:val="32"/>
        </w:rPr>
        <w:t>）其他</w:t>
      </w:r>
      <w:r>
        <w:rPr>
          <w:rFonts w:hint="eastAsia" w:ascii="仿宋_GB2312" w:eastAsia="仿宋_GB2312" w:cs="仿宋_GB2312"/>
          <w:bCs/>
          <w:kern w:val="0"/>
          <w:sz w:val="32"/>
          <w:szCs w:val="32"/>
          <w:lang w:val="en-US" w:eastAsia="zh-CN"/>
        </w:rPr>
        <w:t>社会</w:t>
      </w:r>
      <w:r>
        <w:rPr>
          <w:rFonts w:ascii="仿宋_GB2312" w:eastAsia="仿宋_GB2312" w:cs="仿宋_GB2312"/>
          <w:bCs/>
          <w:kern w:val="0"/>
          <w:sz w:val="32"/>
          <w:szCs w:val="32"/>
        </w:rPr>
        <w:t>科学支出（99）支出决算为</w:t>
      </w:r>
      <w:r>
        <w:rPr>
          <w:rFonts w:hint="eastAsia" w:ascii="仿宋_GB2312" w:eastAsia="仿宋_GB2312" w:cs="仿宋_GB2312"/>
          <w:bCs/>
          <w:kern w:val="0"/>
          <w:sz w:val="32"/>
          <w:szCs w:val="32"/>
          <w:lang w:val="en-US" w:eastAsia="zh-CN"/>
        </w:rPr>
        <w:t>145.04</w:t>
      </w:r>
      <w:r>
        <w:rPr>
          <w:rFonts w:ascii="仿宋_GB2312" w:eastAsia="仿宋_GB2312" w:cs="仿宋_GB2312"/>
          <w:bCs/>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ascii="仿宋_GB2312" w:eastAsia="仿宋_GB2312" w:cs="仿宋_GB2312"/>
          <w:bCs/>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ascii="仿宋_GB2312" w:eastAsia="仿宋_GB2312" w:cs="仿宋_GB2312"/>
          <w:bCs/>
          <w:kern w:val="0"/>
          <w:sz w:val="32"/>
          <w:szCs w:val="32"/>
        </w:rPr>
        <w:t>.社会保障和就业支出（208）行政事业单位养老支出（05）机关事业单位基本养老保险缴费支出（05）</w:t>
      </w:r>
      <w:r>
        <w:rPr>
          <w:rFonts w:ascii="仿宋_GB2312" w:eastAsia="仿宋_GB2312" w:cs="仿宋_GB2312"/>
          <w:kern w:val="0"/>
          <w:sz w:val="32"/>
          <w:szCs w:val="32"/>
        </w:rPr>
        <w:t>：支出决算为</w:t>
      </w:r>
      <w:r>
        <w:rPr>
          <w:rFonts w:hint="eastAsia" w:ascii="仿宋_GB2312" w:eastAsia="仿宋_GB2312" w:cs="仿宋_GB2312"/>
          <w:kern w:val="0"/>
          <w:sz w:val="32"/>
          <w:szCs w:val="32"/>
          <w:lang w:val="en-US" w:eastAsia="zh-CN"/>
        </w:rPr>
        <w:t>56.99</w:t>
      </w:r>
      <w:r>
        <w:rPr>
          <w:rFonts w:ascii="仿宋_GB2312" w:eastAsia="仿宋_GB2312" w:cs="仿宋_GB2312"/>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ascii="仿宋_GB2312" w:eastAsia="仿宋_GB2312"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宋体"/>
          <w:kern w:val="0"/>
          <w:sz w:val="32"/>
          <w:szCs w:val="32"/>
        </w:rPr>
      </w:pP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.社会保障和就业支出（208）行政事业单位养老支出（05）机关事业单位职业年金缴费支出（06）</w:t>
      </w:r>
      <w:r>
        <w:rPr>
          <w:rFonts w:ascii="仿宋_GB2312" w:eastAsia="仿宋_GB2312" w:cs="仿宋_GB2312"/>
          <w:kern w:val="0"/>
          <w:sz w:val="32"/>
          <w:szCs w:val="32"/>
        </w:rPr>
        <w:t>：支出决算为</w:t>
      </w:r>
      <w:r>
        <w:rPr>
          <w:rFonts w:hint="eastAsia" w:ascii="仿宋_GB2312" w:eastAsia="仿宋_GB2312" w:cs="仿宋_GB2312"/>
          <w:kern w:val="0"/>
          <w:sz w:val="32"/>
          <w:szCs w:val="32"/>
          <w:lang w:val="en-US" w:eastAsia="zh-CN"/>
        </w:rPr>
        <w:t>28.49</w:t>
      </w:r>
      <w:r>
        <w:rPr>
          <w:rFonts w:ascii="仿宋_GB2312" w:eastAsia="仿宋_GB2312" w:cs="仿宋_GB2312"/>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ascii="仿宋_GB2312" w:eastAsia="仿宋_GB2312"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ascii="仿宋_GB2312" w:eastAsia="仿宋_GB2312" w:cs="仿宋_GB2312"/>
          <w:bCs/>
          <w:kern w:val="0"/>
          <w:sz w:val="32"/>
          <w:szCs w:val="32"/>
        </w:rPr>
        <w:t>.卫生健康支出（210）行政事业单位医疗（11）行政单位医疗（01）：</w:t>
      </w:r>
      <w:r>
        <w:rPr>
          <w:rFonts w:ascii="仿宋_GB2312" w:eastAsia="仿宋_GB2312" w:cs="仿宋_GB2312"/>
          <w:kern w:val="0"/>
          <w:sz w:val="32"/>
          <w:szCs w:val="32"/>
        </w:rPr>
        <w:t>支出决算为</w:t>
      </w:r>
      <w:r>
        <w:rPr>
          <w:rFonts w:hint="eastAsia" w:ascii="仿宋_GB2312" w:eastAsia="仿宋_GB2312" w:cs="仿宋_GB2312"/>
          <w:kern w:val="0"/>
          <w:sz w:val="32"/>
          <w:szCs w:val="32"/>
          <w:lang w:val="en-US" w:eastAsia="zh-CN"/>
        </w:rPr>
        <w:t>40.39</w:t>
      </w:r>
      <w:r>
        <w:rPr>
          <w:rFonts w:ascii="仿宋_GB2312" w:eastAsia="仿宋_GB2312" w:cs="仿宋_GB2312"/>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ascii="仿宋_GB2312" w:eastAsia="仿宋_GB2312"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ascii="仿宋_GB2312" w:eastAsia="仿宋_GB2312" w:cs="仿宋_GB2312"/>
          <w:bCs/>
          <w:kern w:val="0"/>
          <w:sz w:val="32"/>
          <w:szCs w:val="32"/>
        </w:rPr>
        <w:t>.农林水支出（213）农业农村（01）行政运行（01）：支出决算为</w:t>
      </w:r>
      <w:r>
        <w:rPr>
          <w:rFonts w:hint="eastAsia" w:ascii="仿宋_GB2312" w:eastAsia="仿宋_GB2312" w:cs="仿宋_GB2312"/>
          <w:bCs/>
          <w:kern w:val="0"/>
          <w:sz w:val="32"/>
          <w:szCs w:val="32"/>
          <w:lang w:val="en-US" w:eastAsia="zh-CN"/>
        </w:rPr>
        <w:t>521.33</w:t>
      </w:r>
      <w:r>
        <w:rPr>
          <w:rFonts w:ascii="仿宋_GB2312" w:eastAsia="仿宋_GB2312" w:cs="仿宋_GB2312"/>
          <w:bCs/>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ascii="仿宋_GB2312" w:eastAsia="仿宋_GB2312" w:cs="仿宋_GB2312"/>
          <w:bCs/>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bCs/>
          <w:color w:val="000000"/>
          <w:sz w:val="32"/>
          <w:szCs w:val="32"/>
          <w:lang w:val="en-US" w:eastAsia="zh-CN"/>
        </w:rPr>
        <w:t>6</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w:t>
      </w:r>
      <w:r>
        <w:rPr>
          <w:rFonts w:hint="eastAsia" w:ascii="仿宋_GB2312" w:eastAsia="仿宋_GB2312" w:cs="仿宋_GB2312"/>
          <w:bCs/>
          <w:color w:val="000000"/>
          <w:sz w:val="32"/>
          <w:szCs w:val="32"/>
          <w:lang w:val="en-US" w:eastAsia="zh-CN"/>
        </w:rPr>
        <w:t>农产品质量安全</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09</w:t>
      </w:r>
      <w:r>
        <w:rPr>
          <w:rFonts w:hint="eastAsia" w:ascii="仿宋_GB2312" w:eastAsia="仿宋_GB2312" w:cs="仿宋_GB2312"/>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45.85</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bCs/>
          <w:sz w:val="32"/>
          <w:szCs w:val="32"/>
          <w:lang w:val="en-US" w:eastAsia="zh-CN"/>
        </w:rPr>
        <w:t>7</w:t>
      </w:r>
      <w:r>
        <w:rPr>
          <w:rFonts w:ascii="仿宋_GB2312" w:eastAsia="仿宋_GB2312" w:cs="仿宋_GB2312"/>
          <w:bCs/>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w:t>
      </w:r>
      <w:r>
        <w:rPr>
          <w:rFonts w:hint="eastAsia" w:ascii="仿宋_GB2312" w:eastAsia="仿宋_GB2312" w:cs="仿宋_GB2312"/>
          <w:bCs/>
          <w:color w:val="000000"/>
          <w:sz w:val="32"/>
          <w:szCs w:val="32"/>
          <w:lang w:val="en-US" w:eastAsia="zh-CN"/>
        </w:rPr>
        <w:t>稳定农民收入补贴</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20</w:t>
      </w:r>
      <w:r>
        <w:rPr>
          <w:rFonts w:hint="eastAsia" w:ascii="仿宋_GB2312" w:eastAsia="仿宋_GB2312" w:cs="仿宋_GB2312"/>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584.10</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8</w:t>
      </w:r>
      <w:r>
        <w:rPr>
          <w:rFonts w:ascii="仿宋_GB2312" w:eastAsia="仿宋_GB2312" w:cs="仿宋_GB2312"/>
          <w:bCs/>
          <w:sz w:val="32"/>
          <w:szCs w:val="32"/>
        </w:rPr>
        <w:t>.</w:t>
      </w:r>
      <w:r>
        <w:rPr>
          <w:rFonts w:hint="eastAsia" w:ascii="仿宋_GB2312" w:eastAsia="仿宋_GB2312" w:cs="仿宋_GB2312"/>
          <w:bCs/>
          <w:sz w:val="32"/>
          <w:szCs w:val="32"/>
        </w:rPr>
        <w:t>农林水支出（213）农业</w:t>
      </w:r>
      <w:r>
        <w:rPr>
          <w:rFonts w:hint="eastAsia" w:ascii="仿宋_GB2312" w:eastAsia="仿宋_GB2312" w:cs="仿宋_GB2312"/>
          <w:bCs/>
          <w:sz w:val="32"/>
          <w:szCs w:val="32"/>
          <w:lang w:val="en-US" w:eastAsia="zh-CN"/>
        </w:rPr>
        <w:t>农村</w:t>
      </w:r>
      <w:r>
        <w:rPr>
          <w:rFonts w:hint="eastAsia" w:ascii="仿宋_GB2312" w:eastAsia="仿宋_GB2312" w:cs="仿宋_GB2312"/>
          <w:bCs/>
          <w:sz w:val="32"/>
          <w:szCs w:val="32"/>
        </w:rPr>
        <w:t>（01）</w:t>
      </w:r>
      <w:r>
        <w:rPr>
          <w:rFonts w:hint="eastAsia" w:ascii="仿宋_GB2312" w:eastAsia="仿宋_GB2312" w:cs="仿宋_GB2312"/>
          <w:bCs/>
          <w:sz w:val="32"/>
          <w:szCs w:val="32"/>
          <w:lang w:val="en-US" w:eastAsia="zh-CN"/>
        </w:rPr>
        <w:t>其他农业农村支出</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99</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4151.90</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rPr>
      </w:pPr>
      <w:r>
        <w:rPr>
          <w:rFonts w:hint="eastAsia" w:ascii="仿宋_GB2312" w:eastAsia="仿宋_GB2312" w:cs="仿宋_GB2312"/>
          <w:bCs/>
          <w:sz w:val="32"/>
          <w:szCs w:val="32"/>
          <w:lang w:val="en-US" w:eastAsia="zh-CN"/>
        </w:rPr>
        <w:t>9</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水利</w:t>
      </w:r>
      <w:r>
        <w:rPr>
          <w:rFonts w:hint="eastAsia" w:ascii="仿宋_GB2312" w:eastAsia="仿宋_GB2312" w:cs="仿宋_GB2312"/>
          <w:bCs/>
          <w:sz w:val="32"/>
          <w:szCs w:val="32"/>
        </w:rPr>
        <w:t>（0</w:t>
      </w:r>
      <w:r>
        <w:rPr>
          <w:rFonts w:hint="eastAsia" w:ascii="仿宋_GB2312" w:eastAsia="仿宋_GB2312" w:cs="仿宋_GB2312"/>
          <w:bCs/>
          <w:sz w:val="32"/>
          <w:szCs w:val="32"/>
          <w:lang w:val="en-US" w:eastAsia="zh-CN"/>
        </w:rPr>
        <w:t>3</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其他水利支出</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99</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381.53</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0</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（05）生产发展（05）</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21.93</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11</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（05）其他</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支出（99）</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3543.18</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12</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普惠金融发展</w:t>
      </w:r>
      <w:r>
        <w:rPr>
          <w:rFonts w:hint="eastAsia" w:ascii="仿宋_GB2312" w:eastAsia="仿宋_GB2312" w:cs="仿宋_GB2312"/>
          <w:bCs/>
          <w:sz w:val="32"/>
          <w:szCs w:val="32"/>
        </w:rPr>
        <w:t>支出（</w:t>
      </w:r>
      <w:r>
        <w:rPr>
          <w:rFonts w:hint="eastAsia" w:ascii="仿宋_GB2312" w:eastAsia="仿宋_GB2312" w:cs="仿宋_GB2312"/>
          <w:bCs/>
          <w:sz w:val="32"/>
          <w:szCs w:val="32"/>
          <w:lang w:val="en-US" w:eastAsia="zh-CN"/>
        </w:rPr>
        <w:t>08</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农业保险保费补贴</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03</w:t>
      </w:r>
      <w:r>
        <w:rPr>
          <w:rFonts w:hint="eastAsia" w:ascii="仿宋_GB2312" w:eastAsia="仿宋_GB2312" w:cs="仿宋_GB2312"/>
          <w:bCs/>
          <w:sz w:val="32"/>
          <w:szCs w:val="32"/>
        </w:rPr>
        <w:t>）：支出决算为</w:t>
      </w:r>
      <w:r>
        <w:rPr>
          <w:rFonts w:hint="eastAsia" w:ascii="仿宋_GB2312" w:eastAsia="仿宋_GB2312" w:cs="仿宋_GB2312"/>
          <w:bCs/>
          <w:sz w:val="32"/>
          <w:szCs w:val="32"/>
          <w:lang w:val="en-US" w:eastAsia="zh-CN"/>
        </w:rPr>
        <w:t>89.90</w:t>
      </w:r>
      <w:r>
        <w:rPr>
          <w:rFonts w:hint="eastAsia" w:ascii="仿宋_GB2312" w:eastAsia="仿宋_GB2312" w:cs="仿宋_GB2312"/>
          <w:bCs/>
          <w:sz w:val="32"/>
          <w:szCs w:val="32"/>
        </w:rPr>
        <w:t>万元，完成预算</w:t>
      </w:r>
      <w:r>
        <w:rPr>
          <w:rFonts w:hint="eastAsia" w:ascii="仿宋_GB2312" w:eastAsia="仿宋_GB2312" w:cs="仿宋_GB2312"/>
          <w:bCs/>
          <w:sz w:val="32"/>
          <w:szCs w:val="32"/>
          <w:lang w:val="en-US" w:eastAsia="zh-CN"/>
        </w:rPr>
        <w:t>100</w:t>
      </w:r>
      <w:r>
        <w:rPr>
          <w:rFonts w:ascii="仿宋_GB2312" w:eastAsia="仿宋_GB2312" w:cs="仿宋_GB2312"/>
          <w:bCs/>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eastAsia="仿宋_GB2312" w:cs="仿宋_GB2312"/>
          <w:bCs/>
          <w:kern w:val="0"/>
          <w:sz w:val="32"/>
          <w:szCs w:val="32"/>
          <w:lang w:eastAsia="zh-CN"/>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w:t>
      </w:r>
      <w:r>
        <w:rPr>
          <w:rFonts w:hint="eastAsia" w:ascii="仿宋_GB2312" w:eastAsia="仿宋_GB2312" w:cs="仿宋_GB2312"/>
          <w:bCs/>
          <w:sz w:val="32"/>
          <w:szCs w:val="32"/>
        </w:rPr>
        <w:t>住房保障支出（221）住房改革支出（02）住房公积金（01）</w:t>
      </w:r>
      <w:r>
        <w:rPr>
          <w:rFonts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46.76</w:t>
      </w:r>
      <w:r>
        <w:rPr>
          <w:rFonts w:ascii="仿宋_GB2312" w:eastAsia="仿宋_GB2312" w:cs="仿宋_GB2312"/>
          <w:bCs/>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lang w:eastAsia="zh-CN"/>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4</w:t>
      </w:r>
      <w:r>
        <w:rPr>
          <w:rFonts w:ascii="仿宋_GB2312" w:eastAsia="仿宋_GB2312" w:cs="仿宋_GB2312"/>
          <w:bCs/>
          <w:kern w:val="0"/>
          <w:sz w:val="32"/>
          <w:szCs w:val="32"/>
        </w:rPr>
        <w:t>.</w:t>
      </w:r>
      <w:r>
        <w:rPr>
          <w:rFonts w:hint="eastAsia" w:ascii="仿宋_GB2312" w:eastAsia="仿宋_GB2312" w:cs="仿宋_GB2312"/>
          <w:bCs/>
          <w:sz w:val="32"/>
          <w:szCs w:val="32"/>
        </w:rPr>
        <w:t>住房保障支出（221）住房改革支出（02）</w:t>
      </w:r>
      <w:r>
        <w:rPr>
          <w:rFonts w:hint="eastAsia" w:ascii="仿宋_GB2312" w:eastAsia="仿宋_GB2312" w:cs="仿宋_GB2312"/>
          <w:bCs/>
          <w:sz w:val="32"/>
          <w:szCs w:val="32"/>
          <w:lang w:val="en-US" w:eastAsia="zh-CN"/>
        </w:rPr>
        <w:t>购房补贴</w:t>
      </w:r>
      <w:r>
        <w:rPr>
          <w:rFonts w:hint="eastAsia" w:ascii="仿宋_GB2312" w:eastAsia="仿宋_GB2312" w:cs="仿宋_GB2312"/>
          <w:bCs/>
          <w:sz w:val="32"/>
          <w:szCs w:val="32"/>
        </w:rPr>
        <w:t>（0</w:t>
      </w:r>
      <w:r>
        <w:rPr>
          <w:rFonts w:hint="eastAsia" w:ascii="仿宋_GB2312" w:eastAsia="仿宋_GB2312" w:cs="仿宋_GB2312"/>
          <w:bCs/>
          <w:sz w:val="32"/>
          <w:szCs w:val="32"/>
          <w:lang w:val="en-US" w:eastAsia="zh-CN"/>
        </w:rPr>
        <w:t>3</w:t>
      </w:r>
      <w:r>
        <w:rPr>
          <w:rFonts w:hint="eastAsia" w:ascii="仿宋_GB2312" w:eastAsia="仿宋_GB2312" w:cs="仿宋_GB2312"/>
          <w:bCs/>
          <w:sz w:val="32"/>
          <w:szCs w:val="32"/>
        </w:rPr>
        <w:t>）</w:t>
      </w:r>
      <w:r>
        <w:rPr>
          <w:rFonts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5.93</w:t>
      </w:r>
      <w:r>
        <w:rPr>
          <w:rFonts w:ascii="仿宋_GB2312" w:eastAsia="仿宋_GB2312" w:cs="仿宋_GB2312"/>
          <w:bCs/>
          <w:kern w:val="0"/>
          <w:sz w:val="32"/>
          <w:szCs w:val="32"/>
        </w:rPr>
        <w:t>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bCs/>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1"/>
        <w:rPr>
          <w:rFonts w:hint="eastAsia" w:ascii="仿宋_GB2312" w:eastAsia="仿宋_GB2312" w:cs="仿宋_GB2312"/>
          <w:color w:val="000000"/>
          <w:kern w:val="0"/>
          <w:sz w:val="32"/>
          <w:szCs w:val="32"/>
        </w:rPr>
      </w:pPr>
      <w:bookmarkStart w:id="117" w:name="_Toc31100"/>
      <w:bookmarkEnd w:id="117"/>
      <w:bookmarkStart w:id="118" w:name="_Toc26682"/>
      <w:bookmarkEnd w:id="118"/>
      <w:bookmarkStart w:id="119" w:name="_Toc2157"/>
      <w:bookmarkEnd w:id="119"/>
      <w:bookmarkStart w:id="120" w:name="_Toc22240"/>
      <w:bookmarkEnd w:id="120"/>
      <w:bookmarkStart w:id="121" w:name="_Toc10159"/>
      <w:bookmarkEnd w:id="121"/>
      <w:bookmarkStart w:id="122" w:name="_Toc4499"/>
      <w:bookmarkStart w:id="123" w:name="_Toc15560"/>
      <w:r>
        <w:rPr>
          <w:rFonts w:hint="eastAsia" w:ascii="黑体" w:hAnsi="Times New Roman" w:eastAsia="黑体" w:cs="黑体"/>
          <w:b w:val="0"/>
          <w:bCs w:val="0"/>
          <w:kern w:val="0"/>
          <w:sz w:val="32"/>
          <w:szCs w:val="32"/>
          <w:lang w:val="en-US" w:eastAsia="zh-CN" w:bidi="ar-SA"/>
        </w:rPr>
        <w:t>六、一般公共预算财政拨款基本支出决算情况说明</w:t>
      </w:r>
      <w:bookmarkEnd w:id="122"/>
      <w:bookmarkEnd w:id="123"/>
      <w:r>
        <w:rPr>
          <w:rFonts w:hint="eastAsia" w:ascii="黑体" w:hAnsi="Times New Roman" w:eastAsia="黑体" w:cs="黑体"/>
          <w:b w:val="0"/>
          <w:bCs w:val="0"/>
          <w:kern w:val="0"/>
          <w:sz w:val="32"/>
          <w:szCs w:val="32"/>
          <w:lang w:val="en-US" w:eastAsia="zh-CN" w:bidi="ar-SA"/>
        </w:rPr>
        <w:t xml:space="preserve"> </w:t>
      </w:r>
      <w:r>
        <w:rPr>
          <w:rFonts w:hint="eastAsia" w:ascii="仿宋_GB2312" w:eastAsia="仿宋_GB2312" w:cs="仿宋_GB2312"/>
          <w:color w:val="000000"/>
          <w:kern w:val="0"/>
          <w:sz w:val="32"/>
          <w:szCs w:val="32"/>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eastAsia="zh-CN"/>
        </w:rPr>
        <w:t>2024</w:t>
      </w:r>
      <w:r>
        <w:rPr>
          <w:rFonts w:hint="eastAsia" w:ascii="仿宋_GB2312" w:eastAsia="仿宋_GB2312" w:cs="仿宋_GB2312"/>
          <w:color w:val="000000"/>
          <w:kern w:val="0"/>
          <w:sz w:val="32"/>
          <w:szCs w:val="32"/>
        </w:rPr>
        <w:t>年一般公共预算财政拨款基本支出</w:t>
      </w:r>
      <w:r>
        <w:rPr>
          <w:rFonts w:hint="eastAsia" w:ascii="仿宋_GB2312" w:eastAsia="仿宋_GB2312" w:cs="仿宋_GB2312"/>
          <w:color w:val="000000"/>
          <w:kern w:val="0"/>
          <w:sz w:val="32"/>
          <w:szCs w:val="32"/>
          <w:lang w:val="en-US" w:eastAsia="zh-CN"/>
        </w:rPr>
        <w:t>699.89</w:t>
      </w:r>
      <w:r>
        <w:rPr>
          <w:rFonts w:hint="eastAsia" w:ascii="仿宋_GB2312" w:eastAsia="仿宋_GB2312" w:cs="仿宋_GB2312"/>
          <w:color w:val="000000"/>
          <w:kern w:val="0"/>
          <w:sz w:val="32"/>
          <w:szCs w:val="32"/>
        </w:rPr>
        <w:t>万元，其中：</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color w:val="000000"/>
          <w:kern w:val="0"/>
          <w:sz w:val="32"/>
          <w:szCs w:val="32"/>
        </w:rPr>
        <w:t>人员</w:t>
      </w:r>
      <w:r>
        <w:rPr>
          <w:rFonts w:ascii="仿宋_GB2312" w:eastAsia="仿宋_GB2312" w:cs="仿宋_GB2312"/>
          <w:bCs/>
          <w:kern w:val="0"/>
          <w:sz w:val="32"/>
          <w:szCs w:val="32"/>
        </w:rPr>
        <w:t>经费</w:t>
      </w:r>
      <w:r>
        <w:rPr>
          <w:rFonts w:hint="eastAsia" w:ascii="仿宋_GB2312" w:eastAsia="仿宋_GB2312" w:cs="仿宋_GB2312"/>
          <w:bCs/>
          <w:kern w:val="0"/>
          <w:sz w:val="32"/>
          <w:szCs w:val="32"/>
          <w:lang w:val="en-US" w:eastAsia="zh-CN"/>
        </w:rPr>
        <w:t>671.38</w:t>
      </w:r>
      <w:r>
        <w:rPr>
          <w:rFonts w:ascii="仿宋_GB2312" w:eastAsia="仿宋_GB2312" w:cs="仿宋_GB2312"/>
          <w:bCs/>
          <w:kern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bCs/>
          <w:kern w:val="0"/>
          <w:sz w:val="32"/>
          <w:szCs w:val="32"/>
        </w:rPr>
      </w:pPr>
      <w:r>
        <w:rPr>
          <w:rFonts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28.51</w:t>
      </w:r>
      <w:r>
        <w:rPr>
          <w:rFonts w:ascii="仿宋_GB2312" w:eastAsia="仿宋_GB2312" w:cs="仿宋_GB2312"/>
          <w:bCs/>
          <w:kern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1"/>
        <w:rPr>
          <w:rFonts w:hint="eastAsia" w:ascii="黑体" w:hAnsi="Times New Roman" w:eastAsia="黑体" w:cs="黑体"/>
          <w:b w:val="0"/>
          <w:bCs w:val="0"/>
          <w:kern w:val="0"/>
          <w:sz w:val="32"/>
          <w:szCs w:val="32"/>
          <w:lang w:val="en-US" w:eastAsia="zh-CN" w:bidi="ar-SA"/>
        </w:rPr>
      </w:pPr>
      <w:bookmarkStart w:id="124" w:name="_Toc6575"/>
      <w:bookmarkEnd w:id="124"/>
      <w:bookmarkStart w:id="125" w:name="_Toc7565"/>
      <w:bookmarkEnd w:id="125"/>
      <w:bookmarkStart w:id="126" w:name="_Toc3490"/>
      <w:bookmarkEnd w:id="126"/>
      <w:bookmarkStart w:id="127" w:name="_Toc31827"/>
      <w:bookmarkEnd w:id="127"/>
      <w:bookmarkStart w:id="128" w:name="_Toc5882"/>
      <w:bookmarkEnd w:id="128"/>
      <w:bookmarkStart w:id="129" w:name="_Toc30975"/>
      <w:bookmarkStart w:id="130" w:name="_Toc11616"/>
      <w:r>
        <w:rPr>
          <w:rFonts w:hint="eastAsia" w:ascii="黑体" w:hAnsi="Times New Roman" w:eastAsia="黑体" w:cs="黑体"/>
          <w:b w:val="0"/>
          <w:bCs w:val="0"/>
          <w:kern w:val="0"/>
          <w:sz w:val="32"/>
          <w:szCs w:val="32"/>
          <w:lang w:val="en-US" w:eastAsia="zh-CN" w:bidi="ar-SA"/>
        </w:rPr>
        <w:t>七、“三公”经费财政拨款支出决算情况说明</w:t>
      </w:r>
      <w:bookmarkEnd w:id="129"/>
      <w:bookmarkEnd w:id="130"/>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2"/>
        <w:rPr>
          <w:rFonts w:hint="eastAsia" w:ascii="楷体" w:hAnsi="楷体" w:eastAsia="楷体" w:cs="楷体"/>
          <w:b w:val="0"/>
          <w:bCs w:val="0"/>
          <w:kern w:val="0"/>
          <w:sz w:val="32"/>
          <w:szCs w:val="32"/>
          <w:lang w:val="en-US" w:eastAsia="zh-CN" w:bidi="ar-SA"/>
        </w:rPr>
      </w:pPr>
      <w:bookmarkStart w:id="131" w:name="_Toc22187"/>
      <w:bookmarkEnd w:id="131"/>
      <w:r>
        <w:rPr>
          <w:rFonts w:hint="eastAsia" w:ascii="楷体" w:hAnsi="楷体" w:eastAsia="楷体" w:cs="楷体"/>
          <w:b w:val="0"/>
          <w:bCs w:val="0"/>
          <w:kern w:val="0"/>
          <w:sz w:val="32"/>
          <w:szCs w:val="32"/>
          <w:lang w:val="en-US" w:eastAsia="zh-CN" w:bidi="ar-SA"/>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color w:val="000000"/>
          <w:kern w:val="0"/>
          <w:sz w:val="32"/>
          <w:szCs w:val="32"/>
          <w:lang w:eastAsia="zh-CN"/>
        </w:rPr>
        <w:t>2024</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lang w:val="en-US" w:eastAsia="zh-CN"/>
        </w:rPr>
        <w:t>度</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三公</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经费财政拨款支出决算为4.</w:t>
      </w:r>
      <w:r>
        <w:rPr>
          <w:rFonts w:hint="eastAsia" w:ascii="仿宋_GB2312" w:eastAsia="仿宋_GB2312" w:cs="仿宋_GB2312"/>
          <w:color w:val="000000"/>
          <w:kern w:val="0"/>
          <w:sz w:val="32"/>
          <w:szCs w:val="32"/>
          <w:lang w:val="en-US" w:eastAsia="zh-CN"/>
        </w:rPr>
        <w:t>49</w:t>
      </w:r>
      <w:r>
        <w:rPr>
          <w:rFonts w:ascii="仿宋_GB2312" w:eastAsia="仿宋_GB2312" w:cs="仿宋_GB2312"/>
          <w:color w:val="000000"/>
          <w:kern w:val="0"/>
          <w:sz w:val="32"/>
          <w:szCs w:val="32"/>
        </w:rPr>
        <w:t>万元，完成预算100%，</w:t>
      </w:r>
      <w:r>
        <w:rPr>
          <w:rFonts w:hint="eastAsia" w:ascii="仿宋_GB2312" w:eastAsia="仿宋_GB2312" w:cs="仿宋_GB2312"/>
          <w:bCs/>
          <w:sz w:val="32"/>
          <w:szCs w:val="32"/>
          <w:lang w:val="en-US" w:eastAsia="zh-CN"/>
        </w:rPr>
        <w:t>较上年度增加0.18万元，增长4.18%。</w:t>
      </w:r>
      <w:r>
        <w:rPr>
          <w:rFonts w:ascii="仿宋_GB2312" w:eastAsia="仿宋_GB2312" w:cs="仿宋_GB2312"/>
          <w:color w:val="000000"/>
          <w:kern w:val="0"/>
          <w:sz w:val="32"/>
          <w:szCs w:val="32"/>
        </w:rPr>
        <w:t>主要原因是</w:t>
      </w:r>
      <w:r>
        <w:rPr>
          <w:rFonts w:hint="eastAsia" w:ascii="仿宋_GB2312" w:eastAsia="仿宋_GB2312" w:cs="仿宋_GB2312"/>
          <w:color w:val="000000"/>
          <w:kern w:val="0"/>
          <w:sz w:val="32"/>
          <w:szCs w:val="32"/>
          <w:lang w:eastAsia="zh-CN"/>
        </w:rPr>
        <w:t>：</w:t>
      </w:r>
      <w:r>
        <w:rPr>
          <w:rFonts w:hint="eastAsia" w:ascii="仿宋_GB2312" w:eastAsia="仿宋_GB2312" w:cs="仿宋_GB2312"/>
          <w:bCs/>
          <w:kern w:val="2"/>
          <w:sz w:val="32"/>
          <w:szCs w:val="32"/>
          <w:highlight w:val="none"/>
          <w:lang w:val="en-US" w:eastAsia="zh-CN" w:bidi="ar-SA"/>
        </w:rPr>
        <w:t>单位机构改革、人员增加，相应的三公经费调整，经费</w:t>
      </w:r>
      <w:r>
        <w:rPr>
          <w:rFonts w:hint="eastAsia" w:ascii="仿宋_GB2312" w:eastAsia="仿宋_GB2312" w:cs="仿宋_GB2312"/>
          <w:bCs/>
          <w:sz w:val="32"/>
          <w:szCs w:val="32"/>
          <w:lang w:val="en-US" w:eastAsia="zh-CN"/>
        </w:rPr>
        <w:t>支出</w:t>
      </w:r>
      <w:r>
        <w:rPr>
          <w:rFonts w:hint="eastAsia" w:ascii="仿宋_GB2312" w:eastAsia="仿宋_GB2312" w:cs="仿宋_GB2312"/>
          <w:bCs/>
          <w:kern w:val="2"/>
          <w:sz w:val="32"/>
          <w:szCs w:val="32"/>
          <w:highlight w:val="none"/>
          <w:lang w:val="en-US" w:eastAsia="zh-CN" w:bidi="ar-SA"/>
        </w:rPr>
        <w:t>增加</w:t>
      </w:r>
      <w:r>
        <w:rPr>
          <w:rFonts w:hint="eastAsia" w:ascii="仿宋_GB2312" w:eastAsia="仿宋_GB2312" w:cs="仿宋_GB2312"/>
          <w:bCs/>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outlineLvl w:val="2"/>
        <w:rPr>
          <w:rFonts w:hint="eastAsia" w:ascii="楷体" w:hAnsi="楷体" w:eastAsia="楷体" w:cs="楷体"/>
          <w:b w:val="0"/>
          <w:bCs w:val="0"/>
          <w:kern w:val="0"/>
          <w:sz w:val="32"/>
          <w:szCs w:val="32"/>
          <w:lang w:val="en-US" w:eastAsia="zh-CN" w:bidi="ar-SA"/>
        </w:rPr>
      </w:pPr>
      <w:bookmarkStart w:id="132" w:name="_Toc147"/>
      <w:bookmarkEnd w:id="132"/>
      <w:r>
        <w:rPr>
          <w:rFonts w:hint="eastAsia" w:ascii="楷体" w:hAnsi="楷体" w:eastAsia="楷体" w:cs="楷体"/>
          <w:b w:val="0"/>
          <w:bCs w:val="0"/>
          <w:kern w:val="0"/>
          <w:sz w:val="32"/>
          <w:szCs w:val="32"/>
          <w:lang w:val="en-US" w:eastAsia="zh-CN" w:bidi="ar-SA"/>
        </w:rPr>
        <w:t xml:space="preserve">（二）“三公”经费财政拨款支出决算具体情况说明 </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color w:val="000000"/>
          <w:kern w:val="0"/>
          <w:sz w:val="32"/>
          <w:szCs w:val="32"/>
          <w:lang w:val="en-US" w:eastAsia="zh-CN"/>
        </w:rPr>
        <w:t>2024</w:t>
      </w:r>
      <w:r>
        <w:rPr>
          <w:rFonts w:ascii="仿宋_GB2312" w:eastAsia="仿宋_GB2312" w:cs="仿宋_GB2312"/>
          <w:color w:val="000000"/>
          <w:kern w:val="0"/>
          <w:sz w:val="32"/>
          <w:szCs w:val="32"/>
          <w:lang w:val="en-US" w:eastAsia="zh-CN"/>
        </w:rPr>
        <w:t>年</w:t>
      </w:r>
      <w:r>
        <w:rPr>
          <w:rFonts w:hint="eastAsia" w:ascii="仿宋_GB2312" w:eastAsia="仿宋_GB2312" w:cs="仿宋_GB2312"/>
          <w:bCs/>
          <w:kern w:val="0"/>
          <w:sz w:val="32"/>
          <w:szCs w:val="32"/>
          <w:lang w:val="en-US" w:eastAsia="zh-CN"/>
        </w:rPr>
        <w:t>“</w:t>
      </w:r>
      <w:r>
        <w:rPr>
          <w:rFonts w:ascii="仿宋_GB2312" w:eastAsia="仿宋_GB2312" w:cs="仿宋_GB2312"/>
          <w:bCs/>
          <w:kern w:val="0"/>
          <w:sz w:val="32"/>
          <w:szCs w:val="32"/>
          <w:lang w:val="en-US" w:eastAsia="zh-CN"/>
        </w:rPr>
        <w:t>三公</w:t>
      </w:r>
      <w:r>
        <w:rPr>
          <w:rFonts w:hint="eastAsia" w:ascii="仿宋_GB2312" w:eastAsia="仿宋_GB2312" w:cs="仿宋_GB2312"/>
          <w:bCs/>
          <w:kern w:val="0"/>
          <w:sz w:val="32"/>
          <w:szCs w:val="32"/>
          <w:lang w:val="en-US" w:eastAsia="zh-CN"/>
        </w:rPr>
        <w:t>”</w:t>
      </w:r>
      <w:r>
        <w:rPr>
          <w:rFonts w:ascii="仿宋_GB2312" w:eastAsia="仿宋_GB2312" w:cs="仿宋_GB2312"/>
          <w:bCs/>
          <w:kern w:val="0"/>
          <w:sz w:val="32"/>
          <w:szCs w:val="32"/>
          <w:lang w:val="en-US" w:eastAsia="zh-CN"/>
        </w:rPr>
        <w:t>经费财政拨款支出决算中，因公出国（境）费支出决算0万元，</w:t>
      </w:r>
      <w:r>
        <w:rPr>
          <w:rFonts w:hint="eastAsia" w:ascii="仿宋_GB2312" w:eastAsia="仿宋_GB2312" w:cs="仿宋_GB2312"/>
          <w:bCs/>
          <w:kern w:val="2"/>
          <w:sz w:val="32"/>
          <w:szCs w:val="32"/>
          <w:lang w:val="en-US" w:eastAsia="zh-CN" w:bidi="ar-SA"/>
        </w:rPr>
        <w:t>较2023年无变化</w:t>
      </w:r>
      <w:r>
        <w:rPr>
          <w:rFonts w:ascii="仿宋_GB2312" w:eastAsia="仿宋_GB2312" w:cs="仿宋_GB2312"/>
          <w:bCs/>
          <w:kern w:val="0"/>
          <w:sz w:val="32"/>
          <w:szCs w:val="32"/>
          <w:lang w:val="en-US" w:eastAsia="zh-CN"/>
        </w:rPr>
        <w:t>；公务用车购置</w:t>
      </w:r>
      <w:r>
        <w:rPr>
          <w:rFonts w:hint="eastAsia" w:ascii="仿宋_GB2312" w:eastAsia="仿宋_GB2312" w:cs="仿宋_GB2312"/>
          <w:bCs/>
          <w:kern w:val="0"/>
          <w:sz w:val="32"/>
          <w:szCs w:val="32"/>
          <w:lang w:val="en-US" w:eastAsia="zh-CN"/>
        </w:rPr>
        <w:t>及</w:t>
      </w:r>
      <w:r>
        <w:rPr>
          <w:rFonts w:ascii="仿宋_GB2312" w:eastAsia="仿宋_GB2312" w:cs="仿宋_GB2312"/>
          <w:bCs/>
          <w:kern w:val="0"/>
          <w:sz w:val="32"/>
          <w:szCs w:val="32"/>
          <w:lang w:val="en-US" w:eastAsia="zh-CN"/>
        </w:rPr>
        <w:t>运行维护费支出决算</w:t>
      </w:r>
      <w:r>
        <w:rPr>
          <w:rFonts w:hint="eastAsia" w:ascii="仿宋_GB2312" w:eastAsia="仿宋_GB2312" w:cs="仿宋_GB2312"/>
          <w:bCs/>
          <w:kern w:val="0"/>
          <w:sz w:val="32"/>
          <w:szCs w:val="32"/>
          <w:lang w:val="en-US" w:eastAsia="zh-CN"/>
        </w:rPr>
        <w:t>4.00</w:t>
      </w:r>
      <w:r>
        <w:rPr>
          <w:rFonts w:ascii="仿宋_GB2312" w:eastAsia="仿宋_GB2312" w:cs="仿宋_GB2312"/>
          <w:bCs/>
          <w:kern w:val="0"/>
          <w:sz w:val="32"/>
          <w:szCs w:val="32"/>
          <w:lang w:val="en-US" w:eastAsia="zh-CN"/>
        </w:rPr>
        <w:t>万元，占</w:t>
      </w:r>
      <w:r>
        <w:rPr>
          <w:rFonts w:hint="eastAsia" w:ascii="仿宋_GB2312" w:eastAsia="仿宋_GB2312" w:cs="仿宋_GB2312"/>
          <w:bCs/>
          <w:kern w:val="0"/>
          <w:sz w:val="32"/>
          <w:szCs w:val="32"/>
          <w:lang w:val="en-US" w:eastAsia="zh-CN"/>
        </w:rPr>
        <w:t>89.09</w:t>
      </w:r>
      <w:r>
        <w:rPr>
          <w:rFonts w:ascii="仿宋_GB2312" w:eastAsia="仿宋_GB2312" w:cs="仿宋_GB2312"/>
          <w:bCs/>
          <w:kern w:val="0"/>
          <w:sz w:val="32"/>
          <w:szCs w:val="32"/>
        </w:rPr>
        <w:t>%；公务接待费支出决算0.</w:t>
      </w:r>
      <w:r>
        <w:rPr>
          <w:rFonts w:hint="eastAsia" w:ascii="仿宋_GB2312" w:eastAsia="仿宋_GB2312" w:cs="仿宋_GB2312"/>
          <w:bCs/>
          <w:kern w:val="0"/>
          <w:sz w:val="32"/>
          <w:szCs w:val="32"/>
          <w:lang w:val="en-US" w:eastAsia="zh-CN"/>
        </w:rPr>
        <w:t>49</w:t>
      </w:r>
      <w:r>
        <w:rPr>
          <w:rFonts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10.91</w:t>
      </w:r>
      <w:r>
        <w:rPr>
          <w:rFonts w:ascii="仿宋_GB2312" w:eastAsia="仿宋_GB2312" w:cs="仿宋_GB2312"/>
          <w:bCs/>
          <w:kern w:val="0"/>
          <w:sz w:val="32"/>
          <w:szCs w:val="32"/>
        </w:rPr>
        <w:t>%。具体情况如下：</w:t>
      </w:r>
    </w:p>
    <w:p>
      <w:pPr>
        <w:pStyle w:val="2"/>
        <w:jc w:val="both"/>
      </w:pPr>
      <w:r>
        <w:rPr>
          <w:rFonts w:hint="eastAsia"/>
          <w:lang w:val="en-US" w:eastAsia="zh-CN"/>
        </w:rPr>
        <w:t xml:space="preserve">   </w:t>
      </w:r>
      <w:r>
        <w:drawing>
          <wp:inline distT="0" distB="0" distL="114300" distR="114300">
            <wp:extent cx="4890770" cy="2068830"/>
            <wp:effectExtent l="5080" t="4445" r="19050" b="2222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right="0" w:rightChars="0" w:firstLine="640" w:firstLineChars="200"/>
        <w:jc w:val="both"/>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1.</w:t>
      </w:r>
      <w:r>
        <w:rPr>
          <w:rFonts w:ascii="仿宋_GB2312" w:eastAsia="仿宋_GB2312" w:cs="仿宋_GB2312"/>
          <w:color w:val="000000"/>
          <w:kern w:val="0"/>
          <w:sz w:val="32"/>
          <w:szCs w:val="32"/>
        </w:rPr>
        <w:t>因公出国（境）经费支出</w:t>
      </w:r>
      <w:r>
        <w:rPr>
          <w:rFonts w:hint="eastAsia" w:ascii="仿宋_GB2312" w:eastAsia="仿宋_GB2312" w:cs="仿宋_GB2312"/>
          <w:bCs/>
          <w:kern w:val="2"/>
          <w:sz w:val="32"/>
          <w:szCs w:val="32"/>
          <w:lang w:val="en-US" w:eastAsia="zh-CN" w:bidi="ar-SA"/>
        </w:rPr>
        <w:t>0万元，较2023年无变化</w:t>
      </w:r>
      <w:r>
        <w:rPr>
          <w:rFonts w:ascii="仿宋_GB2312" w:eastAsia="仿宋_GB2312" w:cs="仿宋_GB2312"/>
          <w:color w:val="000000"/>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Times New Roman"/>
          <w:b w:val="0"/>
          <w:bCs/>
          <w:color w:val="000000"/>
          <w:kern w:val="2"/>
          <w:sz w:val="32"/>
          <w:szCs w:val="32"/>
        </w:rPr>
      </w:pPr>
      <w:r>
        <w:rPr>
          <w:rFonts w:ascii="仿宋_GB2312" w:eastAsia="仿宋_GB2312" w:cs="仿宋_GB2312"/>
          <w:color w:val="000000"/>
          <w:kern w:val="0"/>
          <w:sz w:val="32"/>
          <w:szCs w:val="32"/>
        </w:rPr>
        <w:t>2.公务用车购置及运行维护费支出</w:t>
      </w:r>
      <w:r>
        <w:rPr>
          <w:rFonts w:hint="eastAsia" w:ascii="仿宋_GB2312" w:eastAsia="仿宋_GB2312" w:cs="仿宋_GB2312"/>
          <w:color w:val="000000"/>
          <w:kern w:val="0"/>
          <w:sz w:val="32"/>
          <w:szCs w:val="32"/>
          <w:lang w:val="en-US" w:eastAsia="zh-CN"/>
        </w:rPr>
        <w:t>4.00</w:t>
      </w:r>
      <w:r>
        <w:rPr>
          <w:rFonts w:ascii="仿宋_GB2312" w:eastAsia="仿宋_GB2312" w:cs="仿宋_GB2312"/>
          <w:color w:val="000000"/>
          <w:kern w:val="0"/>
          <w:sz w:val="32"/>
          <w:szCs w:val="32"/>
        </w:rPr>
        <w:t>万元,完成预算100%</w:t>
      </w:r>
      <w:r>
        <w:rPr>
          <w:rFonts w:hint="eastAsia" w:ascii="仿宋_GB2312" w:eastAsia="仿宋_GB2312" w:cs="仿宋_GB2312"/>
          <w:color w:val="000000"/>
          <w:kern w:val="0"/>
          <w:sz w:val="32"/>
          <w:szCs w:val="32"/>
          <w:lang w:eastAsia="zh-CN"/>
        </w:rPr>
        <w:t>。</w:t>
      </w:r>
      <w:r>
        <w:rPr>
          <w:rFonts w:hint="eastAsia" w:ascii="仿宋_GB2312" w:eastAsia="仿宋_GB2312" w:cs="仿宋_GB2312"/>
          <w:bCs/>
          <w:kern w:val="2"/>
          <w:sz w:val="32"/>
          <w:szCs w:val="32"/>
          <w:lang w:val="en-US" w:eastAsia="zh-CN" w:bidi="ar-SA"/>
        </w:rPr>
        <w:t>较2023年</w:t>
      </w:r>
      <w:r>
        <w:rPr>
          <w:rFonts w:hint="eastAsia" w:ascii="仿宋_GB2312" w:eastAsia="仿宋_GB2312" w:cs="仿宋_GB2312"/>
          <w:bCs/>
          <w:sz w:val="32"/>
          <w:szCs w:val="32"/>
          <w:lang w:val="en-US" w:eastAsia="zh-CN"/>
        </w:rPr>
        <w:t>增加0.02万元，增长0.50%，</w:t>
      </w:r>
      <w:r>
        <w:rPr>
          <w:rFonts w:ascii="仿宋_GB2312" w:eastAsia="仿宋_GB2312" w:cs="仿宋_GB2312"/>
          <w:color w:val="000000"/>
          <w:kern w:val="0"/>
          <w:sz w:val="32"/>
          <w:szCs w:val="32"/>
        </w:rPr>
        <w:t>主要原因是</w:t>
      </w:r>
      <w:r>
        <w:rPr>
          <w:rFonts w:hint="eastAsia" w:ascii="仿宋_GB2312" w:eastAsia="仿宋_GB2312" w:cs="仿宋_GB2312"/>
          <w:color w:val="000000"/>
          <w:kern w:val="0"/>
          <w:sz w:val="32"/>
          <w:szCs w:val="32"/>
          <w:lang w:eastAsia="zh-CN"/>
        </w:rPr>
        <w:t>：</w:t>
      </w:r>
      <w:r>
        <w:rPr>
          <w:rFonts w:hint="eastAsia" w:ascii="仿宋_GB2312" w:eastAsia="仿宋_GB2312" w:cs="仿宋_GB2312"/>
          <w:bCs/>
          <w:kern w:val="2"/>
          <w:sz w:val="32"/>
          <w:szCs w:val="32"/>
          <w:highlight w:val="none"/>
          <w:lang w:val="en-US" w:eastAsia="zh-CN" w:bidi="ar-SA"/>
        </w:rPr>
        <w:t>单位机构改革、人员增加，</w:t>
      </w:r>
      <w:r>
        <w:rPr>
          <w:rFonts w:hint="eastAsia" w:ascii="仿宋_GB2312" w:eastAsia="仿宋_GB2312" w:cs="仿宋_GB2312"/>
          <w:bCs/>
          <w:kern w:val="2"/>
          <w:sz w:val="32"/>
          <w:szCs w:val="32"/>
          <w:lang w:val="en-US" w:eastAsia="zh-CN" w:bidi="ar-SA"/>
        </w:rPr>
        <w:t>执行公务、开展农业农村相关业务工作次数增加，</w:t>
      </w:r>
      <w:r>
        <w:rPr>
          <w:rFonts w:hint="eastAsia" w:ascii="仿宋_GB2312" w:eastAsia="仿宋_GB2312" w:cs="仿宋_GB2312"/>
          <w:bCs/>
          <w:kern w:val="2"/>
          <w:sz w:val="32"/>
          <w:szCs w:val="32"/>
          <w:highlight w:val="none"/>
          <w:lang w:val="en-US" w:eastAsia="zh-CN" w:bidi="ar-SA"/>
        </w:rPr>
        <w:t>公务用车使用次数增加，经费</w:t>
      </w:r>
      <w:r>
        <w:rPr>
          <w:rFonts w:hint="eastAsia" w:ascii="仿宋_GB2312" w:eastAsia="仿宋_GB2312" w:cs="仿宋_GB2312"/>
          <w:bCs/>
          <w:sz w:val="32"/>
          <w:szCs w:val="32"/>
          <w:lang w:val="en-US" w:eastAsia="zh-CN"/>
        </w:rPr>
        <w:t>支出</w:t>
      </w:r>
      <w:r>
        <w:rPr>
          <w:rFonts w:hint="eastAsia" w:ascii="仿宋_GB2312" w:eastAsia="仿宋_GB2312" w:cs="仿宋_GB2312"/>
          <w:bCs/>
          <w:kern w:val="2"/>
          <w:sz w:val="32"/>
          <w:szCs w:val="32"/>
          <w:highlight w:val="none"/>
          <w:lang w:val="en-US" w:eastAsia="zh-CN" w:bidi="ar-SA"/>
        </w:rPr>
        <w:t>增加</w:t>
      </w:r>
      <w:r>
        <w:rPr>
          <w:rFonts w:hint="eastAsia" w:ascii="仿宋_GB2312" w:eastAsia="仿宋_GB2312" w:cs="仿宋_GB2312"/>
          <w:bCs/>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both"/>
        <w:textAlignment w:val="auto"/>
        <w:rPr>
          <w:rFonts w:ascii="仿宋_GB2312" w:eastAsia="仿宋_GB2312" w:cs="仿宋_GB2312"/>
          <w:color w:val="000000"/>
          <w:kern w:val="0"/>
          <w:sz w:val="32"/>
          <w:szCs w:val="32"/>
        </w:rPr>
      </w:pPr>
      <w:r>
        <w:rPr>
          <w:rFonts w:ascii="仿宋_GB2312" w:eastAsia="仿宋_GB2312" w:cs="仿宋_GB2312"/>
          <w:color w:val="000000"/>
          <w:kern w:val="2"/>
          <w:sz w:val="32"/>
          <w:szCs w:val="32"/>
        </w:rPr>
        <w:t>截至</w:t>
      </w:r>
      <w:r>
        <w:rPr>
          <w:rFonts w:hint="eastAsia" w:ascii="仿宋_GB2312" w:eastAsia="仿宋_GB2312" w:cs="仿宋_GB2312"/>
          <w:color w:val="000000"/>
          <w:kern w:val="2"/>
          <w:sz w:val="32"/>
          <w:szCs w:val="32"/>
          <w:lang w:eastAsia="zh-CN"/>
        </w:rPr>
        <w:t>2024</w:t>
      </w:r>
      <w:r>
        <w:rPr>
          <w:rFonts w:ascii="仿宋_GB2312" w:eastAsia="仿宋_GB2312" w:cs="仿宋_GB2312"/>
          <w:color w:val="000000"/>
          <w:kern w:val="2"/>
          <w:sz w:val="32"/>
          <w:szCs w:val="32"/>
        </w:rPr>
        <w:t>年12月</w:t>
      </w:r>
      <w:r>
        <w:rPr>
          <w:rFonts w:hint="eastAsia" w:ascii="仿宋_GB2312" w:eastAsia="仿宋_GB2312" w:cs="仿宋_GB2312"/>
          <w:color w:val="000000"/>
          <w:kern w:val="2"/>
          <w:sz w:val="32"/>
          <w:szCs w:val="32"/>
          <w:lang w:val="en-US" w:eastAsia="zh-CN"/>
        </w:rPr>
        <w:t>31日</w:t>
      </w:r>
      <w:r>
        <w:rPr>
          <w:rFonts w:ascii="仿宋_GB2312" w:eastAsia="仿宋_GB2312" w:cs="仿宋_GB2312"/>
          <w:color w:val="000000"/>
          <w:kern w:val="2"/>
          <w:sz w:val="32"/>
          <w:szCs w:val="32"/>
        </w:rPr>
        <w:t>底，单位共有公务用车越野车1辆，公务用车运行维护费支出</w:t>
      </w:r>
      <w:r>
        <w:rPr>
          <w:rFonts w:hint="eastAsia" w:ascii="仿宋_GB2312" w:eastAsia="仿宋_GB2312" w:cs="仿宋_GB2312"/>
          <w:color w:val="000000"/>
          <w:kern w:val="2"/>
          <w:sz w:val="32"/>
          <w:szCs w:val="32"/>
          <w:lang w:val="en-US" w:eastAsia="zh-CN"/>
        </w:rPr>
        <w:t>4.00</w:t>
      </w:r>
      <w:r>
        <w:rPr>
          <w:rFonts w:ascii="仿宋_GB2312" w:eastAsia="仿宋_GB2312" w:cs="仿宋_GB2312"/>
          <w:color w:val="000000"/>
          <w:kern w:val="2"/>
          <w:sz w:val="32"/>
          <w:szCs w:val="32"/>
        </w:rPr>
        <w:t>万元。主要用于</w:t>
      </w:r>
      <w:r>
        <w:rPr>
          <w:rFonts w:ascii="仿宋_GB2312" w:eastAsia="仿宋_GB2312" w:cs="仿宋_GB2312"/>
          <w:color w:val="000000"/>
          <w:kern w:val="0"/>
          <w:sz w:val="32"/>
          <w:szCs w:val="32"/>
        </w:rPr>
        <w:t>开展农业相关工作时</w:t>
      </w:r>
      <w:r>
        <w:rPr>
          <w:rFonts w:hint="eastAsia" w:ascii="仿宋_GB2312" w:eastAsia="仿宋_GB2312" w:cs="仿宋_GB2312"/>
          <w:color w:val="000000"/>
          <w:kern w:val="0"/>
          <w:sz w:val="32"/>
          <w:szCs w:val="32"/>
          <w:lang w:val="en-US" w:eastAsia="zh-CN"/>
        </w:rPr>
        <w:t>所</w:t>
      </w:r>
      <w:r>
        <w:rPr>
          <w:rFonts w:ascii="仿宋_GB2312" w:eastAsia="仿宋_GB2312" w:cs="仿宋_GB2312"/>
          <w:color w:val="000000"/>
          <w:kern w:val="0"/>
          <w:sz w:val="32"/>
          <w:szCs w:val="32"/>
        </w:rPr>
        <w:t>产生的公务用车燃料费、维修费、过路过桥费、保险费等支出。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right="0" w:rightChars="0"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color w:val="000000"/>
          <w:kern w:val="0"/>
          <w:sz w:val="32"/>
          <w:szCs w:val="32"/>
          <w:lang w:val="en-US" w:eastAsia="zh-CN"/>
        </w:rPr>
        <w:t>3.</w:t>
      </w:r>
      <w:r>
        <w:rPr>
          <w:rFonts w:ascii="仿宋_GB2312" w:eastAsia="仿宋_GB2312" w:cs="仿宋_GB2312"/>
          <w:color w:val="000000"/>
          <w:kern w:val="0"/>
          <w:sz w:val="32"/>
          <w:szCs w:val="32"/>
        </w:rPr>
        <w:t>公务接待费支出0.</w:t>
      </w:r>
      <w:r>
        <w:rPr>
          <w:rFonts w:hint="eastAsia" w:ascii="仿宋_GB2312" w:eastAsia="仿宋_GB2312" w:cs="仿宋_GB2312"/>
          <w:color w:val="000000"/>
          <w:kern w:val="0"/>
          <w:sz w:val="32"/>
          <w:szCs w:val="32"/>
          <w:lang w:val="en-US" w:eastAsia="zh-CN"/>
        </w:rPr>
        <w:t>49</w:t>
      </w:r>
      <w:r>
        <w:rPr>
          <w:rFonts w:ascii="仿宋_GB2312" w:eastAsia="仿宋_GB2312" w:cs="仿宋_GB2312"/>
          <w:color w:val="000000"/>
          <w:kern w:val="0"/>
          <w:sz w:val="32"/>
          <w:szCs w:val="32"/>
        </w:rPr>
        <w:t>万元，完成预算100%。</w:t>
      </w:r>
      <w:r>
        <w:rPr>
          <w:rFonts w:hint="eastAsia" w:ascii="仿宋_GB2312" w:eastAsia="仿宋_GB2312" w:cs="仿宋_GB2312"/>
          <w:color w:val="000000"/>
          <w:kern w:val="0"/>
          <w:sz w:val="32"/>
          <w:szCs w:val="32"/>
          <w:lang w:val="en-US" w:eastAsia="zh-CN"/>
        </w:rPr>
        <w:t>较</w:t>
      </w:r>
      <w:r>
        <w:rPr>
          <w:rFonts w:ascii="仿宋_GB2312" w:eastAsia="仿宋_GB2312" w:cs="仿宋_GB2312"/>
          <w:b w:val="0"/>
          <w:bCs/>
          <w:color w:val="000000"/>
          <w:kern w:val="0"/>
          <w:sz w:val="32"/>
          <w:szCs w:val="32"/>
        </w:rPr>
        <w:t>202</w:t>
      </w:r>
      <w:r>
        <w:rPr>
          <w:rFonts w:hint="eastAsia" w:ascii="仿宋_GB2312" w:eastAsia="仿宋_GB2312" w:cs="仿宋_GB2312"/>
          <w:b w:val="0"/>
          <w:bCs/>
          <w:color w:val="000000"/>
          <w:kern w:val="0"/>
          <w:sz w:val="32"/>
          <w:szCs w:val="32"/>
          <w:lang w:val="en-US" w:eastAsia="zh-CN"/>
        </w:rPr>
        <w:t>3</w:t>
      </w:r>
      <w:r>
        <w:rPr>
          <w:rFonts w:ascii="仿宋_GB2312" w:eastAsia="仿宋_GB2312" w:cs="仿宋_GB2312"/>
          <w:b w:val="0"/>
          <w:bCs/>
          <w:color w:val="000000"/>
          <w:kern w:val="0"/>
          <w:sz w:val="32"/>
          <w:szCs w:val="32"/>
        </w:rPr>
        <w:t>年增加</w:t>
      </w:r>
      <w:r>
        <w:rPr>
          <w:rFonts w:hint="eastAsia" w:ascii="仿宋_GB2312" w:eastAsia="仿宋_GB2312" w:cs="仿宋_GB2312"/>
          <w:b w:val="0"/>
          <w:bCs/>
          <w:color w:val="000000"/>
          <w:kern w:val="0"/>
          <w:sz w:val="32"/>
          <w:szCs w:val="32"/>
          <w:lang w:val="en-US" w:eastAsia="zh-CN"/>
        </w:rPr>
        <w:t>0.16</w:t>
      </w:r>
      <w:r>
        <w:rPr>
          <w:rFonts w:ascii="仿宋_GB2312" w:eastAsia="仿宋_GB2312" w:cs="仿宋_GB2312"/>
          <w:b w:val="0"/>
          <w:bCs/>
          <w:color w:val="000000"/>
          <w:kern w:val="0"/>
          <w:sz w:val="32"/>
          <w:szCs w:val="32"/>
        </w:rPr>
        <w:t>万元，增长</w:t>
      </w:r>
      <w:r>
        <w:rPr>
          <w:rFonts w:hint="eastAsia" w:ascii="仿宋_GB2312" w:eastAsia="仿宋_GB2312" w:cs="仿宋_GB2312"/>
          <w:b w:val="0"/>
          <w:bCs/>
          <w:color w:val="000000"/>
          <w:kern w:val="0"/>
          <w:sz w:val="32"/>
          <w:szCs w:val="32"/>
          <w:lang w:val="en-US" w:eastAsia="zh-CN"/>
        </w:rPr>
        <w:t>48.48</w:t>
      </w:r>
      <w:r>
        <w:rPr>
          <w:rFonts w:ascii="仿宋_GB2312" w:eastAsia="仿宋_GB2312" w:cs="仿宋_GB2312"/>
          <w:b w:val="0"/>
          <w:bCs/>
          <w:color w:val="000000"/>
          <w:kern w:val="0"/>
          <w:sz w:val="32"/>
          <w:szCs w:val="32"/>
        </w:rPr>
        <w:t>%。主要原因是</w:t>
      </w:r>
      <w:r>
        <w:rPr>
          <w:rFonts w:hint="eastAsia" w:ascii="仿宋_GB2312" w:eastAsia="仿宋_GB2312" w:cs="仿宋_GB2312"/>
          <w:b w:val="0"/>
          <w:bCs/>
          <w:color w:val="000000"/>
          <w:kern w:val="0"/>
          <w:sz w:val="32"/>
          <w:szCs w:val="32"/>
          <w:lang w:eastAsia="zh-CN"/>
        </w:rPr>
        <w:t>：</w:t>
      </w:r>
      <w:r>
        <w:rPr>
          <w:rFonts w:hint="eastAsia" w:ascii="仿宋_GB2312" w:eastAsia="仿宋_GB2312" w:cs="仿宋_GB2312"/>
          <w:b w:val="0"/>
          <w:bCs/>
          <w:color w:val="000000"/>
          <w:kern w:val="0"/>
          <w:sz w:val="32"/>
          <w:szCs w:val="32"/>
          <w:lang w:val="en-US" w:eastAsia="zh-CN"/>
        </w:rPr>
        <w:t>机构改革，</w:t>
      </w:r>
      <w:r>
        <w:rPr>
          <w:rFonts w:ascii="仿宋_GB2312" w:eastAsia="仿宋_GB2312" w:cs="仿宋_GB2312"/>
          <w:color w:val="000000"/>
          <w:kern w:val="2"/>
          <w:sz w:val="32"/>
          <w:szCs w:val="32"/>
        </w:rPr>
        <w:t>人员变动，经费</w:t>
      </w:r>
      <w:r>
        <w:rPr>
          <w:rFonts w:hint="eastAsia" w:ascii="仿宋_GB2312" w:eastAsia="仿宋_GB2312" w:cs="仿宋_GB2312"/>
          <w:color w:val="000000"/>
          <w:kern w:val="2"/>
          <w:sz w:val="32"/>
          <w:szCs w:val="32"/>
          <w:lang w:val="en-US" w:eastAsia="zh-CN"/>
        </w:rPr>
        <w:t>调整</w:t>
      </w:r>
      <w:r>
        <w:rPr>
          <w:rFonts w:ascii="仿宋_GB2312" w:eastAsia="仿宋_GB2312" w:cs="仿宋_GB2312"/>
          <w:color w:val="000000"/>
          <w:kern w:val="2"/>
          <w:sz w:val="32"/>
          <w:szCs w:val="32"/>
        </w:rPr>
        <w:t>，接待人数增加</w:t>
      </w:r>
      <w:r>
        <w:rPr>
          <w:rFonts w:ascii="仿宋_GB2312" w:eastAsia="仿宋_GB2312" w:cs="仿宋_GB2312"/>
          <w:b w:val="0"/>
          <w:bCs/>
          <w:color w:val="000000"/>
          <w:kern w:val="0"/>
          <w:sz w:val="32"/>
          <w:szCs w:val="32"/>
        </w:rPr>
        <w:t>。</w:t>
      </w:r>
      <w:r>
        <w:rPr>
          <w:rFonts w:ascii="仿宋_GB2312" w:eastAsia="仿宋_GB2312" w:cs="仿宋_GB2312"/>
          <w:b w:val="0"/>
          <w:bCs/>
          <w:color w:val="000000"/>
          <w:kern w:val="2"/>
          <w:sz w:val="32"/>
          <w:szCs w:val="32"/>
        </w:rPr>
        <w:t>国内公务接待支出0.</w:t>
      </w:r>
      <w:r>
        <w:rPr>
          <w:rFonts w:hint="eastAsia" w:ascii="仿宋_GB2312" w:eastAsia="仿宋_GB2312" w:cs="仿宋_GB2312"/>
          <w:b w:val="0"/>
          <w:bCs/>
          <w:color w:val="000000"/>
          <w:kern w:val="2"/>
          <w:sz w:val="32"/>
          <w:szCs w:val="32"/>
          <w:lang w:val="en-US" w:eastAsia="zh-CN"/>
        </w:rPr>
        <w:t>49</w:t>
      </w:r>
      <w:r>
        <w:rPr>
          <w:rFonts w:ascii="仿宋_GB2312" w:eastAsia="仿宋_GB2312" w:cs="仿宋_GB2312"/>
          <w:b w:val="0"/>
          <w:bCs/>
          <w:color w:val="000000"/>
          <w:kern w:val="2"/>
          <w:sz w:val="32"/>
          <w:szCs w:val="32"/>
        </w:rPr>
        <w:t>万元，主要用于</w:t>
      </w:r>
      <w:r>
        <w:rPr>
          <w:rFonts w:ascii="仿宋_GB2312" w:eastAsia="仿宋_GB2312" w:cs="仿宋_GB2312"/>
          <w:color w:val="000000"/>
          <w:kern w:val="2"/>
          <w:sz w:val="32"/>
          <w:szCs w:val="32"/>
        </w:rPr>
        <w:t>执行公务、开展业务</w:t>
      </w:r>
      <w:r>
        <w:rPr>
          <w:rFonts w:hint="eastAsia" w:ascii="仿宋_GB2312" w:eastAsia="仿宋_GB2312" w:cs="仿宋_GB2312"/>
          <w:color w:val="000000"/>
          <w:kern w:val="2"/>
          <w:sz w:val="32"/>
          <w:szCs w:val="32"/>
          <w:lang w:val="en-US" w:eastAsia="zh-CN"/>
        </w:rPr>
        <w:t>工作</w:t>
      </w:r>
      <w:r>
        <w:rPr>
          <w:rFonts w:ascii="仿宋_GB2312" w:eastAsia="仿宋_GB2312" w:cs="仿宋_GB2312"/>
          <w:color w:val="000000"/>
          <w:kern w:val="2"/>
          <w:sz w:val="32"/>
          <w:szCs w:val="32"/>
        </w:rPr>
        <w:t>开支的用餐费</w:t>
      </w:r>
      <w:r>
        <w:rPr>
          <w:rFonts w:ascii="仿宋_GB2312" w:eastAsia="仿宋_GB2312" w:cs="仿宋_GB2312"/>
          <w:b w:val="0"/>
          <w:bCs/>
          <w:color w:val="000000"/>
          <w:kern w:val="2"/>
          <w:sz w:val="32"/>
          <w:szCs w:val="32"/>
        </w:rPr>
        <w:t>。国内公务接待</w:t>
      </w:r>
      <w:r>
        <w:rPr>
          <w:rFonts w:hint="eastAsia" w:ascii="仿宋_GB2312" w:eastAsia="仿宋_GB2312" w:cs="仿宋_GB2312"/>
          <w:b w:val="0"/>
          <w:bCs/>
          <w:color w:val="000000"/>
          <w:kern w:val="2"/>
          <w:sz w:val="32"/>
          <w:szCs w:val="32"/>
          <w:lang w:val="en-US" w:eastAsia="zh-CN"/>
        </w:rPr>
        <w:t>5</w:t>
      </w:r>
      <w:r>
        <w:rPr>
          <w:rFonts w:ascii="仿宋_GB2312" w:eastAsia="仿宋_GB2312" w:cs="仿宋_GB2312"/>
          <w:b w:val="0"/>
          <w:bCs/>
          <w:color w:val="000000"/>
          <w:kern w:val="2"/>
          <w:sz w:val="32"/>
          <w:szCs w:val="32"/>
        </w:rPr>
        <w:t>批次，</w:t>
      </w:r>
      <w:r>
        <w:rPr>
          <w:rFonts w:hint="eastAsia" w:ascii="仿宋_GB2312" w:eastAsia="仿宋_GB2312" w:cs="仿宋_GB2312"/>
          <w:b w:val="0"/>
          <w:bCs/>
          <w:color w:val="000000"/>
          <w:kern w:val="2"/>
          <w:sz w:val="32"/>
          <w:szCs w:val="32"/>
          <w:lang w:val="en-US" w:eastAsia="zh-CN"/>
        </w:rPr>
        <w:t>46</w:t>
      </w:r>
      <w:r>
        <w:rPr>
          <w:rFonts w:ascii="仿宋_GB2312" w:eastAsia="仿宋_GB2312" w:cs="仿宋_GB2312"/>
          <w:b w:val="0"/>
          <w:bCs/>
          <w:color w:val="000000"/>
          <w:kern w:val="2"/>
          <w:sz w:val="32"/>
          <w:szCs w:val="32"/>
        </w:rPr>
        <w:t>人次（不包括陪同人员），共计支出0.</w:t>
      </w:r>
      <w:r>
        <w:rPr>
          <w:rFonts w:hint="eastAsia" w:ascii="仿宋_GB2312" w:eastAsia="仿宋_GB2312" w:cs="仿宋_GB2312"/>
          <w:b w:val="0"/>
          <w:bCs/>
          <w:color w:val="000000"/>
          <w:kern w:val="2"/>
          <w:sz w:val="32"/>
          <w:szCs w:val="32"/>
          <w:lang w:val="en-US" w:eastAsia="zh-CN"/>
        </w:rPr>
        <w:t>49</w:t>
      </w:r>
      <w:r>
        <w:rPr>
          <w:rFonts w:ascii="仿宋_GB2312" w:eastAsia="仿宋_GB2312" w:cs="仿宋_GB2312"/>
          <w:b w:val="0"/>
          <w:bCs/>
          <w:color w:val="000000"/>
          <w:kern w:val="2"/>
          <w:sz w:val="32"/>
          <w:szCs w:val="32"/>
        </w:rPr>
        <w:t>万元，</w:t>
      </w:r>
      <w:r>
        <w:rPr>
          <w:rFonts w:hint="eastAsia" w:ascii="仿宋_GB2312" w:eastAsia="仿宋_GB2312" w:cs="仿宋_GB2312"/>
          <w:bCs/>
          <w:kern w:val="2"/>
          <w:sz w:val="32"/>
          <w:szCs w:val="32"/>
          <w:lang w:val="en-US" w:eastAsia="zh-CN" w:bidi="ar-SA"/>
        </w:rPr>
        <w:t>主要用于执行公务、开展农业农村相关业务工作开支的用餐费</w:t>
      </w:r>
      <w:r>
        <w:rPr>
          <w:rFonts w:ascii="仿宋_GB2312" w:eastAsia="仿宋_GB2312" w:cs="仿宋_GB2312"/>
          <w:kern w:val="0"/>
          <w:sz w:val="32"/>
          <w:szCs w:val="32"/>
        </w:rPr>
        <w:t>，合计接待金额0.</w:t>
      </w:r>
      <w:r>
        <w:rPr>
          <w:rFonts w:hint="eastAsia" w:ascii="仿宋_GB2312" w:eastAsia="仿宋_GB2312" w:cs="仿宋_GB2312"/>
          <w:kern w:val="0"/>
          <w:sz w:val="32"/>
          <w:szCs w:val="32"/>
          <w:lang w:val="en-US" w:eastAsia="zh-CN"/>
        </w:rPr>
        <w:t>49</w:t>
      </w:r>
      <w:r>
        <w:rPr>
          <w:rFonts w:ascii="仿宋_GB2312"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eastAsia="黑体" w:cs="Times New Roman"/>
          <w:color w:val="000000"/>
          <w:sz w:val="32"/>
          <w:szCs w:val="32"/>
          <w:lang w:val="en-US" w:eastAsia="zh-CN"/>
        </w:rPr>
      </w:pPr>
      <w:bookmarkStart w:id="133" w:name="_Toc19710"/>
      <w:bookmarkEnd w:id="133"/>
      <w:bookmarkStart w:id="134" w:name="_Toc16050"/>
      <w:bookmarkEnd w:id="134"/>
      <w:bookmarkStart w:id="135" w:name="_Toc19284"/>
      <w:bookmarkEnd w:id="135"/>
      <w:bookmarkStart w:id="136" w:name="_Toc12004"/>
      <w:bookmarkEnd w:id="136"/>
      <w:bookmarkStart w:id="137" w:name="_Toc23724"/>
      <w:bookmarkEnd w:id="137"/>
      <w:bookmarkStart w:id="138" w:name="_Toc3373"/>
      <w:bookmarkEnd w:id="138"/>
      <w:bookmarkStart w:id="139" w:name="_Toc13741"/>
      <w:bookmarkEnd w:id="139"/>
      <w:bookmarkStart w:id="140" w:name="_Toc24641"/>
      <w:bookmarkStart w:id="141" w:name="_Toc24018"/>
      <w:r>
        <w:rPr>
          <w:rFonts w:hint="eastAsia" w:ascii="黑体" w:eastAsia="黑体" w:cs="Times New Roman"/>
          <w:color w:val="000000"/>
          <w:sz w:val="32"/>
          <w:szCs w:val="32"/>
          <w:lang w:val="en-US" w:eastAsia="zh-CN"/>
        </w:rPr>
        <w:t>八、政府性基金预算支出决算情况说明</w:t>
      </w:r>
      <w:bookmarkEnd w:id="140"/>
      <w:bookmarkEnd w:id="141"/>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2024年度政府性基金预算财政拨款支出0万元。</w:t>
      </w:r>
      <w:bookmarkStart w:id="142" w:name="_Toc15780"/>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outlineLvl w:val="1"/>
        <w:rPr>
          <w:rFonts w:hint="eastAsia" w:ascii="黑体" w:eastAsia="黑体" w:cs="Times New Roman"/>
          <w:color w:val="000000"/>
          <w:sz w:val="32"/>
          <w:szCs w:val="32"/>
          <w:lang w:val="en-US" w:eastAsia="zh-CN"/>
        </w:rPr>
      </w:pPr>
      <w:bookmarkStart w:id="143" w:name="_Toc8142"/>
      <w:bookmarkStart w:id="144" w:name="_Toc20948"/>
      <w:r>
        <w:rPr>
          <w:rFonts w:hint="eastAsia" w:ascii="黑体" w:eastAsia="黑体" w:cs="Times New Roman"/>
          <w:color w:val="000000"/>
          <w:sz w:val="32"/>
          <w:szCs w:val="32"/>
          <w:lang w:val="en-US" w:eastAsia="zh-CN"/>
        </w:rPr>
        <w:t>九、国有资本经营预算支出决算情况说明</w:t>
      </w:r>
      <w:bookmarkEnd w:id="142"/>
      <w:bookmarkEnd w:id="143"/>
      <w:bookmarkEnd w:id="144"/>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2024年度国有资本经营预算财政拨款支出0万元。 </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outlineLvl w:val="1"/>
        <w:rPr>
          <w:rFonts w:hint="eastAsia" w:ascii="黑体" w:eastAsia="黑体" w:cs="Times New Roman"/>
          <w:color w:val="000000"/>
          <w:sz w:val="32"/>
          <w:szCs w:val="32"/>
        </w:rPr>
      </w:pPr>
      <w:bookmarkStart w:id="145" w:name="_Toc19763"/>
      <w:bookmarkStart w:id="146" w:name="_Toc32147"/>
      <w:bookmarkStart w:id="147" w:name="_Toc21991"/>
      <w:bookmarkStart w:id="148" w:name="_Toc6454"/>
      <w:r>
        <w:rPr>
          <w:rFonts w:hint="eastAsia" w:ascii="黑体" w:eastAsia="黑体" w:cs="Times New Roman"/>
          <w:color w:val="000000"/>
          <w:sz w:val="32"/>
          <w:szCs w:val="32"/>
        </w:rPr>
        <w:t>十、其他重要事项的情况说明</w:t>
      </w:r>
      <w:bookmarkEnd w:id="145"/>
      <w:bookmarkEnd w:id="146"/>
      <w:bookmarkEnd w:id="147"/>
      <w:bookmarkEnd w:id="148"/>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outlineLvl w:val="2"/>
        <w:rPr>
          <w:rFonts w:hint="eastAsia" w:ascii="楷体" w:eastAsia="楷体" w:cs="楷体"/>
          <w:b/>
          <w:color w:val="000000"/>
          <w:kern w:val="2"/>
          <w:sz w:val="32"/>
          <w:szCs w:val="32"/>
          <w:lang w:val="en-US" w:eastAsia="zh-CN" w:bidi="ar-SA"/>
        </w:rPr>
      </w:pPr>
      <w:bookmarkStart w:id="149" w:name="_Toc4392"/>
      <w:bookmarkStart w:id="150" w:name="_Toc25595"/>
      <w:r>
        <w:rPr>
          <w:rFonts w:hint="eastAsia" w:ascii="楷体" w:hAnsi="楷体" w:eastAsia="楷体" w:cs="楷体"/>
          <w:b w:val="0"/>
          <w:bCs/>
          <w:color w:val="000000"/>
          <w:kern w:val="2"/>
          <w:sz w:val="32"/>
          <w:szCs w:val="32"/>
          <w:lang w:val="en-US" w:eastAsia="zh-CN" w:bidi="ar-SA"/>
        </w:rPr>
        <w:t>（一）机关运行经费支出情况</w:t>
      </w:r>
      <w:bookmarkEnd w:id="149"/>
      <w:bookmarkEnd w:id="150"/>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eastAsia="仿宋_GB2312" w:cs="仿宋_GB2312"/>
          <w:bCs/>
          <w:kern w:val="2"/>
          <w:sz w:val="32"/>
          <w:szCs w:val="32"/>
          <w:highlight w:val="none"/>
          <w:lang w:val="en-US" w:eastAsia="zh-CN" w:bidi="ar-SA"/>
        </w:rPr>
      </w:pPr>
      <w:r>
        <w:rPr>
          <w:rFonts w:hint="eastAsia" w:ascii="仿宋_GB2312" w:eastAsia="仿宋_GB2312" w:cs="仿宋_GB2312"/>
          <w:bCs/>
          <w:kern w:val="2"/>
          <w:sz w:val="32"/>
          <w:szCs w:val="32"/>
          <w:highlight w:val="none"/>
          <w:lang w:val="en-US" w:eastAsia="zh-CN" w:bidi="ar-SA"/>
        </w:rPr>
        <w:t>2024年度茂县科学技术和农业畜牧局（本级）机关运行经费支出28.51万元，较2023年增加9.47万元，增长49.74%。主要原因是：单位机构改革、人员增加，相应机关运行经费基数调整，机关运行经费增加。</w:t>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outlineLvl w:val="2"/>
        <w:rPr>
          <w:rFonts w:hint="eastAsia" w:ascii="楷体" w:eastAsia="楷体" w:cs="楷体"/>
          <w:b w:val="0"/>
          <w:bCs/>
          <w:color w:val="000000"/>
          <w:kern w:val="2"/>
          <w:sz w:val="32"/>
          <w:szCs w:val="32"/>
          <w:lang w:val="en-US" w:eastAsia="zh-CN" w:bidi="ar-SA"/>
        </w:rPr>
      </w:pPr>
      <w:bookmarkStart w:id="151" w:name="_Toc25292"/>
      <w:bookmarkStart w:id="152" w:name="_Toc5402"/>
      <w:r>
        <w:rPr>
          <w:rFonts w:hint="eastAsia" w:ascii="楷体" w:eastAsia="楷体" w:cs="楷体"/>
          <w:b w:val="0"/>
          <w:bCs/>
          <w:color w:val="000000"/>
          <w:kern w:val="2"/>
          <w:sz w:val="32"/>
          <w:szCs w:val="32"/>
          <w:lang w:val="en-US" w:eastAsia="zh-CN" w:bidi="ar-SA"/>
        </w:rPr>
        <w:t>（二）政府采购支出情况</w:t>
      </w:r>
      <w:bookmarkEnd w:id="151"/>
      <w:bookmarkEnd w:id="152"/>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eastAsia="仿宋_GB2312" w:cs="仿宋_GB2312"/>
          <w:bCs/>
          <w:kern w:val="2"/>
          <w:sz w:val="32"/>
          <w:szCs w:val="32"/>
          <w:highlight w:val="none"/>
          <w:lang w:val="en-US" w:eastAsia="zh-CN" w:bidi="ar-SA"/>
        </w:rPr>
      </w:pPr>
      <w:r>
        <w:rPr>
          <w:rFonts w:hint="eastAsia" w:ascii="仿宋_GB2312" w:eastAsia="仿宋_GB2312" w:cs="仿宋_GB2312"/>
          <w:bCs/>
          <w:kern w:val="2"/>
          <w:sz w:val="32"/>
          <w:szCs w:val="32"/>
          <w:highlight w:val="none"/>
          <w:lang w:val="en-US" w:eastAsia="zh-CN" w:bidi="ar-SA"/>
        </w:rPr>
        <w:t>2024年度茂县科学技术和农业畜牧局（本级）政府采购支出总额1093.50万元，其中：政府采购货物支出949.27万元、政府采购工程支出0万元、政府采购服务支出144.23万元。主要用于采购增雨防雹炮、大棚及钢材、杀虫灯、轨道及钢材、绿植、实验器材、办公电脑等以及项目开展所需设施设备及培训、技术服务等。授予中小企业合同金额1065.00万元，占政府采购支出总额的97.39%，授予小微企业合同金额1012.07万元，占政府采购支出总额的92.55%。</w:t>
      </w:r>
    </w:p>
    <w:p>
      <w:pPr>
        <w:pStyle w:val="3"/>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outlineLvl w:val="2"/>
        <w:rPr>
          <w:rFonts w:hint="eastAsia" w:ascii="楷体" w:eastAsia="楷体" w:cs="楷体"/>
          <w:b w:val="0"/>
          <w:bCs/>
          <w:color w:val="000000"/>
          <w:kern w:val="2"/>
          <w:sz w:val="32"/>
          <w:szCs w:val="32"/>
          <w:lang w:val="en-US" w:eastAsia="zh-CN" w:bidi="ar-SA"/>
        </w:rPr>
      </w:pPr>
      <w:bookmarkStart w:id="153" w:name="_Toc29989"/>
      <w:bookmarkStart w:id="154" w:name="_Toc24169"/>
      <w:r>
        <w:rPr>
          <w:rFonts w:hint="eastAsia" w:ascii="楷体" w:eastAsia="楷体" w:cs="楷体"/>
          <w:b w:val="0"/>
          <w:bCs/>
          <w:color w:val="000000"/>
          <w:kern w:val="2"/>
          <w:sz w:val="32"/>
          <w:szCs w:val="32"/>
          <w:lang w:val="en-US" w:eastAsia="zh-CN" w:bidi="ar-SA"/>
        </w:rPr>
        <w:t>（三）国有资产占有使用情况</w:t>
      </w:r>
      <w:bookmarkEnd w:id="153"/>
      <w:bookmarkEnd w:id="154"/>
    </w:p>
    <w:p>
      <w:pPr>
        <w:keepNext w:val="0"/>
        <w:keepLines w:val="0"/>
        <w:pageBreakBefore w:val="0"/>
        <w:widowControl w:val="0"/>
        <w:suppressLineNumbers w:val="0"/>
        <w:kinsoku/>
        <w:wordWrap/>
        <w:overflowPunct/>
        <w:topLinePunct w:val="0"/>
        <w:autoSpaceDE/>
        <w:autoSpaceDN/>
        <w:bidi w:val="0"/>
        <w:adjustRightInd/>
        <w:snapToGrid/>
        <w:spacing w:after="0" w:line="576" w:lineRule="exact"/>
        <w:ind w:left="0" w:firstLine="640" w:firstLineChars="200"/>
        <w:jc w:val="both"/>
        <w:textAlignment w:val="auto"/>
        <w:rPr>
          <w:rFonts w:ascii="仿宋_GB2312" w:eastAsia="仿宋_GB2312" w:cs="仿宋_GB2312"/>
          <w:color w:val="000000"/>
          <w:kern w:val="0"/>
          <w:sz w:val="32"/>
          <w:szCs w:val="32"/>
        </w:rPr>
      </w:pPr>
      <w:r>
        <w:rPr>
          <w:rFonts w:hint="eastAsia" w:ascii="仿宋_GB2312" w:eastAsia="仿宋_GB2312" w:cs="仿宋_GB2312"/>
          <w:bCs/>
          <w:kern w:val="2"/>
          <w:sz w:val="32"/>
          <w:szCs w:val="32"/>
          <w:lang w:val="en-US" w:eastAsia="zh-CN" w:bidi="ar-SA"/>
        </w:rPr>
        <w:t>截至2024年12月31日，茂县科学技术和农业畜牧局（本级）共有车辆3辆，其中：主要领导干部用车0辆、机要通信用车0辆、应急保障用车2辆、执法执勤用车1辆</w:t>
      </w:r>
      <w:r>
        <w:rPr>
          <w:rFonts w:ascii="仿宋_GB2312" w:eastAsia="仿宋_GB2312" w:cs="仿宋_GB2312"/>
          <w:color w:val="000000"/>
          <w:kern w:val="0"/>
          <w:sz w:val="32"/>
          <w:szCs w:val="32"/>
        </w:rPr>
        <w:t>，主要是用于：出差、下基层</w:t>
      </w:r>
      <w:r>
        <w:rPr>
          <w:rFonts w:hint="eastAsia" w:ascii="仿宋_GB2312" w:eastAsia="仿宋_GB2312" w:cs="仿宋_GB2312"/>
          <w:color w:val="000000"/>
          <w:kern w:val="0"/>
          <w:sz w:val="32"/>
          <w:szCs w:val="32"/>
          <w:lang w:val="en-US" w:eastAsia="zh-CN"/>
        </w:rPr>
        <w:t>开展</w:t>
      </w:r>
      <w:r>
        <w:rPr>
          <w:rFonts w:ascii="仿宋_GB2312" w:eastAsia="仿宋_GB2312" w:cs="仿宋_GB2312"/>
          <w:color w:val="000000"/>
          <w:kern w:val="0"/>
          <w:sz w:val="32"/>
          <w:szCs w:val="32"/>
        </w:rPr>
        <w:t>农业农村和乡村振兴相关工作。单价50万元以上通用设备0台（套），单价100万元以上专用设备0台（套）。</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2"/>
        <w:rPr>
          <w:rFonts w:hint="eastAsia" w:ascii="楷体" w:eastAsia="楷体" w:cs="楷体"/>
          <w:b w:val="0"/>
          <w:bCs/>
          <w:color w:val="000000"/>
          <w:kern w:val="2"/>
          <w:sz w:val="32"/>
          <w:szCs w:val="32"/>
          <w:lang w:val="en-US" w:eastAsia="zh-CN" w:bidi="ar-SA"/>
        </w:rPr>
      </w:pPr>
      <w:bookmarkStart w:id="155" w:name="_Toc19772"/>
      <w:bookmarkEnd w:id="155"/>
      <w:bookmarkStart w:id="156" w:name="_Toc3943"/>
      <w:bookmarkEnd w:id="156"/>
      <w:bookmarkStart w:id="157" w:name="_Toc32596"/>
      <w:r>
        <w:rPr>
          <w:rFonts w:hint="eastAsia" w:ascii="楷体" w:eastAsia="楷体" w:cs="楷体"/>
          <w:b w:val="0"/>
          <w:bCs/>
          <w:color w:val="000000"/>
          <w:kern w:val="2"/>
          <w:sz w:val="32"/>
          <w:szCs w:val="32"/>
          <w:lang w:val="en-US" w:eastAsia="zh-CN" w:bidi="ar-SA"/>
        </w:rPr>
        <w:t>（四）预算绩效管理情况</w:t>
      </w:r>
      <w:bookmarkEnd w:id="157"/>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2"/>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eastAsia="仿宋_GB2312" w:cs="仿宋_GB2312"/>
          <w:bCs/>
          <w:kern w:val="2"/>
          <w:sz w:val="32"/>
          <w:szCs w:val="32"/>
          <w:lang w:val="en-US" w:eastAsia="zh-CN" w:bidi="ar-SA"/>
        </w:rPr>
        <w:t>组织对：茂县2024年基层农技推广体系改革与建设项目、高素质农民培育项目、植物疫情监测调查项目、厕所革命示范建设项目、土门镇生猪养殖+果蔬种植循环示范园区项目、南新镇李子+苹果现代农业园区建设项目、黑虎镇苏家坪村果蔬产业基地配套设施提升项目、茂县赤不苏河谷“茂汶苹果”现代农业园区建设项目、富顺镇马蹄村产业示范基地附属设施提升项目、乡村振兴示范项目、茂县“四川科技兴村在线”平台2023年科技信息服务后补助及2024年科技服务平台运行绩效后补助项目等86项目开展了预算事前绩效评估，对86个项目编制了绩效目标，预算执行过程中，选取6个项目开展绩效监控，组织对11个项目开展支出绩效自评</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绩效自评表详见第四部分附件。</w:t>
      </w:r>
    </w:p>
    <w:p>
      <w:pPr>
        <w:pStyle w:val="2"/>
        <w:pageBreakBefore w:val="0"/>
        <w:widowControl w:val="0"/>
        <w:kinsoku/>
        <w:wordWrap/>
        <w:overflowPunct/>
        <w:topLinePunct w:val="0"/>
        <w:bidi w:val="0"/>
        <w:jc w:val="both"/>
        <w:rPr>
          <w:rFonts w:hint="eastAsia"/>
          <w:lang w:val="en-US" w:eastAsia="zh-CN"/>
        </w:rPr>
      </w:pPr>
    </w:p>
    <w:p>
      <w:pPr>
        <w:keepNext w:val="0"/>
        <w:keepLines w:val="0"/>
        <w:pageBreakBefore w:val="0"/>
        <w:widowControl w:val="0"/>
        <w:suppressLineNumbers w:val="0"/>
        <w:kinsoku/>
        <w:wordWrap/>
        <w:overflowPunct/>
        <w:topLinePunct w:val="0"/>
        <w:bidi w:val="0"/>
        <w:spacing w:line="560" w:lineRule="exact"/>
        <w:ind w:firstLine="480" w:firstLineChars="200"/>
        <w:jc w:val="both"/>
        <w:rPr>
          <w:rFonts w:hint="eastAsia" w:ascii="宋体" w:eastAsia="宋体" w:cs="宋体"/>
          <w:kern w:val="0"/>
          <w:sz w:val="24"/>
          <w:szCs w:val="24"/>
        </w:rPr>
      </w:pPr>
      <w:r>
        <w:rPr>
          <w:rFonts w:hint="eastAsia" w:ascii="宋体" w:eastAsia="宋体" w:cs="宋体"/>
          <w:kern w:val="0"/>
          <w:sz w:val="24"/>
          <w:szCs w:val="24"/>
        </w:rPr>
        <w:t xml:space="preserve"> </w:t>
      </w:r>
    </w:p>
    <w:p>
      <w:pPr>
        <w:pStyle w:val="2"/>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3"/>
        <w:pageBreakBefore w:val="0"/>
        <w:widowControl w:val="0"/>
        <w:kinsoku/>
        <w:wordWrap/>
        <w:overflowPunct/>
        <w:topLinePunct w:val="0"/>
        <w:bidi w:val="0"/>
        <w:ind w:left="0" w:leftChars="0" w:firstLine="0" w:firstLineChars="0"/>
        <w:jc w:val="both"/>
        <w:rPr>
          <w:rFonts w:hint="eastAsia" w:ascii="宋体" w:eastAsia="宋体" w:cs="宋体"/>
          <w:kern w:val="0"/>
          <w:sz w:val="24"/>
          <w:szCs w:val="24"/>
        </w:rPr>
      </w:pPr>
    </w:p>
    <w:p>
      <w:pPr>
        <w:pStyle w:val="3"/>
        <w:pageBreakBefore w:val="0"/>
        <w:widowControl w:val="0"/>
        <w:kinsoku/>
        <w:wordWrap/>
        <w:overflowPunct/>
        <w:topLinePunct w:val="0"/>
        <w:bidi w:val="0"/>
        <w:jc w:val="both"/>
        <w:rPr>
          <w:rFonts w:hint="eastAsia" w:ascii="宋体" w:eastAsia="宋体" w:cs="宋体"/>
          <w:kern w:val="0"/>
          <w:sz w:val="24"/>
          <w:szCs w:val="24"/>
        </w:rPr>
      </w:pPr>
    </w:p>
    <w:p>
      <w:pPr>
        <w:pStyle w:val="24"/>
        <w:keepNext w:val="0"/>
        <w:keepLines w:val="0"/>
        <w:pageBreakBefore w:val="0"/>
        <w:widowControl w:val="0"/>
        <w:numPr>
          <w:ilvl w:val="0"/>
          <w:numId w:val="0"/>
        </w:numPr>
        <w:suppressLineNumbers w:val="0"/>
        <w:kinsoku/>
        <w:wordWrap/>
        <w:overflowPunct/>
        <w:topLinePunct w:val="0"/>
        <w:bidi w:val="0"/>
        <w:snapToGrid/>
        <w:spacing w:beforeAutospacing="0" w:afterAutospacing="0" w:line="576" w:lineRule="exact"/>
        <w:ind w:right="0" w:rightChars="0" w:firstLine="883" w:firstLineChars="200"/>
        <w:jc w:val="center"/>
        <w:textAlignment w:val="auto"/>
        <w:outlineLvl w:val="0"/>
        <w:rPr>
          <w:rFonts w:hint="eastAsia" w:ascii="黑体" w:eastAsia="黑体" w:cs="黑体"/>
          <w:b/>
          <w:bCs/>
          <w:color w:val="000000"/>
          <w:kern w:val="0"/>
          <w:sz w:val="44"/>
          <w:szCs w:val="44"/>
        </w:rPr>
      </w:pPr>
      <w:bookmarkStart w:id="158" w:name="_Toc25552"/>
      <w:bookmarkEnd w:id="158"/>
      <w:bookmarkStart w:id="159" w:name="_Toc21114"/>
      <w:bookmarkEnd w:id="159"/>
      <w:bookmarkStart w:id="160" w:name="_Toc19070"/>
      <w:bookmarkEnd w:id="160"/>
      <w:bookmarkStart w:id="161" w:name="_Toc26817"/>
      <w:bookmarkEnd w:id="161"/>
      <w:bookmarkStart w:id="162" w:name="_Toc11481"/>
      <w:bookmarkEnd w:id="162"/>
      <w:bookmarkStart w:id="163" w:name="_Toc26290"/>
      <w:bookmarkEnd w:id="163"/>
      <w:bookmarkStart w:id="164" w:name="_Toc8607"/>
      <w:bookmarkEnd w:id="164"/>
      <w:bookmarkStart w:id="165" w:name="_Toc25436"/>
      <w:bookmarkEnd w:id="165"/>
      <w:bookmarkStart w:id="166" w:name="_Toc30246"/>
      <w:bookmarkEnd w:id="166"/>
      <w:bookmarkStart w:id="167" w:name="_Toc28482"/>
      <w:bookmarkEnd w:id="167"/>
      <w:bookmarkStart w:id="168" w:name="_Toc17619"/>
      <w:bookmarkEnd w:id="168"/>
      <w:bookmarkStart w:id="169" w:name="_Toc27486"/>
      <w:bookmarkEnd w:id="169"/>
      <w:bookmarkStart w:id="170" w:name="_Toc6397"/>
      <w:r>
        <w:rPr>
          <w:rFonts w:hint="eastAsia" w:ascii="黑体" w:eastAsia="黑体" w:cs="黑体"/>
          <w:b/>
          <w:bCs/>
          <w:color w:val="000000"/>
          <w:kern w:val="0"/>
          <w:sz w:val="44"/>
          <w:szCs w:val="44"/>
          <w:lang w:val="en-US" w:eastAsia="zh-CN"/>
        </w:rPr>
        <w:t xml:space="preserve">第三部分 </w:t>
      </w:r>
      <w:r>
        <w:rPr>
          <w:rFonts w:hint="eastAsia" w:ascii="黑体" w:eastAsia="黑体" w:cs="黑体"/>
          <w:b/>
          <w:bCs/>
          <w:color w:val="000000"/>
          <w:kern w:val="0"/>
          <w:sz w:val="44"/>
          <w:szCs w:val="44"/>
        </w:rPr>
        <w:t>名词解释</w:t>
      </w:r>
      <w:bookmarkEnd w:id="170"/>
      <w:bookmarkStart w:id="171" w:name="_Toc17023"/>
      <w:bookmarkEnd w:id="171"/>
      <w:bookmarkStart w:id="172" w:name="_Toc6034"/>
      <w:bookmarkEnd w:id="172"/>
      <w:bookmarkStart w:id="173" w:name="_Toc3076"/>
      <w:bookmarkEnd w:id="173"/>
      <w:bookmarkStart w:id="174" w:name="_Toc10264"/>
      <w:bookmarkEnd w:id="174"/>
      <w:bookmarkStart w:id="175" w:name="_Toc26908"/>
      <w:bookmarkStart w:id="176" w:name="_Toc7895"/>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bookmarkStart w:id="177" w:name="_Toc16612"/>
      <w:r>
        <w:rPr>
          <w:rFonts w:hint="eastAsia" w:ascii="仿宋_GB2312" w:eastAsia="仿宋_GB2312" w:cs="仿宋_GB2312"/>
          <w:kern w:val="0"/>
          <w:sz w:val="32"/>
          <w:szCs w:val="32"/>
          <w:lang w:val="en-US" w:eastAsia="zh-CN"/>
        </w:rPr>
        <w:t>1.</w:t>
      </w:r>
      <w:r>
        <w:rPr>
          <w:rFonts w:ascii="仿宋_GB2312" w:eastAsia="仿宋_GB2312" w:cs="仿宋_GB2312"/>
          <w:kern w:val="0"/>
          <w:sz w:val="32"/>
          <w:szCs w:val="32"/>
        </w:rPr>
        <w:t>财政拨款收入：指单位从同级财政部门取得的财政预算资金。</w:t>
      </w:r>
      <w:bookmarkEnd w:id="175"/>
      <w:bookmarkEnd w:id="176"/>
      <w:bookmarkEnd w:id="177"/>
      <w:bookmarkStart w:id="178" w:name="_Toc19491"/>
      <w:bookmarkEnd w:id="178"/>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2.事业收入：指事业单位开展专业业务活动及辅助活动取得的收入。</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3.经营收入：指事业单位在专业业务活动及其辅助活动之外开展非独立核算经营活动取得的收入。</w:t>
      </w:r>
      <w:bookmarkStart w:id="179" w:name="_Toc24497"/>
      <w:bookmarkEnd w:id="179"/>
      <w:bookmarkStart w:id="180" w:name="_Toc8640"/>
      <w:bookmarkEnd w:id="180"/>
      <w:bookmarkStart w:id="181" w:name="_Toc16166"/>
      <w:bookmarkEnd w:id="181"/>
      <w:bookmarkStart w:id="182" w:name="_Toc17785"/>
      <w:bookmarkEnd w:id="182"/>
      <w:bookmarkStart w:id="183" w:name="_Toc7611"/>
      <w:bookmarkStart w:id="184" w:name="_Toc12457"/>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hint="eastAsia" w:ascii="仿宋_GB2312" w:eastAsia="仿宋_GB2312" w:cs="仿宋_GB2312"/>
          <w:kern w:val="0"/>
          <w:sz w:val="32"/>
          <w:szCs w:val="32"/>
          <w:lang w:val="en-US" w:eastAsia="zh-CN"/>
        </w:rPr>
      </w:pPr>
      <w:bookmarkStart w:id="185" w:name="_Toc774"/>
      <w:r>
        <w:rPr>
          <w:rFonts w:ascii="仿宋_GB2312" w:eastAsia="仿宋_GB2312" w:cs="仿宋_GB2312"/>
          <w:kern w:val="0"/>
          <w:sz w:val="32"/>
          <w:szCs w:val="32"/>
        </w:rPr>
        <w:t>4.其他收入：指单位取得的除上述收入以外的各项收</w:t>
      </w:r>
      <w:bookmarkEnd w:id="183"/>
      <w:bookmarkEnd w:id="184"/>
      <w:r>
        <w:rPr>
          <w:rFonts w:hint="eastAsia" w:ascii="仿宋_GB2312" w:eastAsia="仿宋_GB2312" w:cs="仿宋_GB2312"/>
          <w:kern w:val="0"/>
          <w:sz w:val="32"/>
          <w:szCs w:val="32"/>
          <w:lang w:val="en-US" w:eastAsia="zh-CN"/>
        </w:rPr>
        <w:t>入。</w:t>
      </w:r>
      <w:bookmarkEnd w:id="185"/>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5.使用非财政拨款结余：指事业单位使用以前年度积累的非财政拨款结余弥补当年收支差额的金额。</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bookmarkStart w:id="186" w:name="_Toc10853"/>
      <w:bookmarkEnd w:id="186"/>
      <w:r>
        <w:rPr>
          <w:rFonts w:ascii="仿宋_GB2312" w:eastAsia="仿宋_GB2312" w:cs="仿宋_GB2312"/>
          <w:kern w:val="0"/>
          <w:sz w:val="32"/>
          <w:szCs w:val="32"/>
        </w:rPr>
        <w:t>6.年初结转和结余：指以前年度尚未完成、结转到本年按有关规定继续使用的资金。</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7.结余分配：指事业单位按照会计制度规定缴纳的所得税、提取的专用结余以及转入非财政拨款结余的金额等。</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bookmarkStart w:id="187" w:name="_Toc20916"/>
      <w:bookmarkEnd w:id="187"/>
      <w:r>
        <w:rPr>
          <w:rFonts w:ascii="仿宋_GB2312" w:eastAsia="仿宋_GB2312" w:cs="仿宋_GB2312"/>
          <w:kern w:val="0"/>
          <w:sz w:val="32"/>
          <w:szCs w:val="32"/>
        </w:rPr>
        <w:t>8</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年末结转和结余：指单位按有关规定结转到下年或以后年度继续使用的资金。</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
          <w:color w:val="000000"/>
          <w:kern w:val="0"/>
          <w:sz w:val="32"/>
          <w:szCs w:val="32"/>
        </w:rPr>
      </w:pPr>
      <w:r>
        <w:rPr>
          <w:rFonts w:ascii="仿宋_GB2312" w:eastAsia="仿宋_GB2312" w:cs="仿宋_GB2312"/>
          <w:kern w:val="0"/>
          <w:sz w:val="32"/>
          <w:szCs w:val="32"/>
        </w:rPr>
        <w:t>9</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科学技</w:t>
      </w:r>
      <w:r>
        <w:rPr>
          <w:rFonts w:ascii="仿宋_GB2312" w:eastAsia="仿宋_GB2312" w:cs="仿宋"/>
          <w:color w:val="000000"/>
          <w:kern w:val="0"/>
          <w:sz w:val="32"/>
          <w:szCs w:val="32"/>
        </w:rPr>
        <w:t>术支出（</w:t>
      </w:r>
      <w:r>
        <w:rPr>
          <w:rFonts w:hint="eastAsia" w:ascii="仿宋_GB2312" w:eastAsia="仿宋_GB2312" w:cs="仿宋"/>
          <w:color w:val="000000"/>
          <w:kern w:val="0"/>
          <w:sz w:val="32"/>
          <w:szCs w:val="32"/>
          <w:lang w:val="en-US" w:eastAsia="zh-CN"/>
        </w:rPr>
        <w:t>类</w:t>
      </w:r>
      <w:r>
        <w:rPr>
          <w:rFonts w:ascii="仿宋_GB2312" w:eastAsia="仿宋_GB2312" w:cs="仿宋"/>
          <w:color w:val="000000"/>
          <w:kern w:val="0"/>
          <w:sz w:val="32"/>
          <w:szCs w:val="32"/>
        </w:rPr>
        <w:t>）科学技术管理事物（</w:t>
      </w:r>
      <w:r>
        <w:rPr>
          <w:rFonts w:hint="eastAsia" w:ascii="仿宋_GB2312" w:eastAsia="仿宋_GB2312" w:cs="仿宋_GB2312"/>
          <w:color w:val="000000"/>
          <w:kern w:val="0"/>
          <w:sz w:val="32"/>
          <w:szCs w:val="32"/>
          <w:lang w:val="en-US" w:eastAsia="zh-CN"/>
        </w:rPr>
        <w:t>款</w:t>
      </w:r>
      <w:r>
        <w:rPr>
          <w:rFonts w:ascii="仿宋_GB2312" w:eastAsia="仿宋_GB2312" w:cs="仿宋"/>
          <w:color w:val="000000"/>
          <w:kern w:val="0"/>
          <w:sz w:val="32"/>
          <w:szCs w:val="32"/>
        </w:rPr>
        <w:t>）其他科学技术管理事物支出（</w:t>
      </w:r>
      <w:r>
        <w:rPr>
          <w:rFonts w:hint="eastAsia" w:ascii="仿宋_GB2312" w:eastAsia="仿宋_GB2312" w:cs="仿宋"/>
          <w:color w:val="000000"/>
          <w:kern w:val="0"/>
          <w:sz w:val="32"/>
          <w:szCs w:val="32"/>
          <w:lang w:val="en-US" w:eastAsia="zh-CN"/>
        </w:rPr>
        <w:t>项</w:t>
      </w:r>
      <w:r>
        <w:rPr>
          <w:rFonts w:ascii="仿宋_GB2312" w:eastAsia="仿宋_GB2312" w:cs="仿宋"/>
          <w:color w:val="000000"/>
          <w:kern w:val="0"/>
          <w:sz w:val="32"/>
          <w:szCs w:val="32"/>
        </w:rPr>
        <w:t>）：指反应其他用于科学技术管理事物方面的支出。</w:t>
      </w:r>
    </w:p>
    <w:p>
      <w:pPr>
        <w:pStyle w:val="26"/>
        <w:keepNext w:val="0"/>
        <w:keepLines w:val="0"/>
        <w:pageBreakBefore w:val="0"/>
        <w:widowControl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
          <w:color w:val="000000"/>
          <w:kern w:val="0"/>
          <w:sz w:val="32"/>
          <w:szCs w:val="32"/>
        </w:rPr>
        <w:t>10</w:t>
      </w:r>
      <w:r>
        <w:rPr>
          <w:rFonts w:hint="eastAsia" w:ascii="仿宋_GB2312" w:eastAsia="仿宋_GB2312" w:cs="仿宋"/>
          <w:color w:val="000000"/>
          <w:kern w:val="0"/>
          <w:sz w:val="32"/>
          <w:szCs w:val="32"/>
          <w:lang w:val="en-US" w:eastAsia="zh-CN"/>
        </w:rPr>
        <w:t>.</w:t>
      </w:r>
      <w:r>
        <w:rPr>
          <w:rFonts w:ascii="仿宋_GB2312" w:eastAsia="仿宋_GB2312" w:cs="仿宋"/>
          <w:color w:val="000000"/>
          <w:kern w:val="0"/>
          <w:sz w:val="32"/>
          <w:szCs w:val="32"/>
        </w:rPr>
        <w:t>科学技术支出（</w:t>
      </w:r>
      <w:r>
        <w:rPr>
          <w:rFonts w:hint="eastAsia" w:ascii="仿宋_GB2312" w:eastAsia="仿宋_GB2312" w:cs="仿宋"/>
          <w:color w:val="000000"/>
          <w:kern w:val="0"/>
          <w:sz w:val="32"/>
          <w:szCs w:val="32"/>
          <w:lang w:val="en-US" w:eastAsia="zh-CN"/>
        </w:rPr>
        <w:t>类</w:t>
      </w:r>
      <w:r>
        <w:rPr>
          <w:rFonts w:ascii="仿宋_GB2312" w:eastAsia="仿宋_GB2312" w:cs="仿宋"/>
          <w:color w:val="000000"/>
          <w:kern w:val="0"/>
          <w:sz w:val="32"/>
          <w:szCs w:val="32"/>
        </w:rPr>
        <w:t>）技术研究与开发（</w:t>
      </w:r>
      <w:r>
        <w:rPr>
          <w:rFonts w:hint="eastAsia" w:ascii="仿宋_GB2312" w:eastAsia="仿宋_GB2312" w:cs="仿宋_GB2312"/>
          <w:color w:val="000000"/>
          <w:kern w:val="0"/>
          <w:sz w:val="32"/>
          <w:szCs w:val="32"/>
          <w:lang w:val="en-US" w:eastAsia="zh-CN"/>
        </w:rPr>
        <w:t>款</w:t>
      </w:r>
      <w:r>
        <w:rPr>
          <w:rFonts w:ascii="仿宋_GB2312" w:eastAsia="仿宋_GB2312" w:cs="仿宋"/>
          <w:color w:val="000000"/>
          <w:kern w:val="0"/>
          <w:sz w:val="32"/>
          <w:szCs w:val="32"/>
        </w:rPr>
        <w:t>）科技成果转化与扩散（</w:t>
      </w:r>
      <w:r>
        <w:rPr>
          <w:rFonts w:hint="eastAsia" w:ascii="仿宋_GB2312" w:eastAsia="仿宋_GB2312" w:cs="仿宋"/>
          <w:color w:val="000000"/>
          <w:kern w:val="0"/>
          <w:sz w:val="32"/>
          <w:szCs w:val="32"/>
          <w:lang w:val="en-US" w:eastAsia="zh-CN"/>
        </w:rPr>
        <w:t>项</w:t>
      </w:r>
      <w:r>
        <w:rPr>
          <w:rFonts w:ascii="仿宋_GB2312" w:eastAsia="仿宋_GB2312" w:cs="仿宋"/>
          <w:color w:val="000000"/>
          <w:kern w:val="0"/>
          <w:sz w:val="32"/>
          <w:szCs w:val="32"/>
        </w:rPr>
        <w:t>）：指反映促进科技成果转化为实现生产力的应用、推广和引导性支出，以及基本建设支出中用于支持企业科技自主</w:t>
      </w:r>
      <w:r>
        <w:rPr>
          <w:rFonts w:ascii="仿宋_GB2312" w:eastAsia="仿宋_GB2312" w:cs="仿宋_GB2312"/>
          <w:bCs/>
          <w:kern w:val="0"/>
          <w:sz w:val="32"/>
          <w:szCs w:val="32"/>
        </w:rPr>
        <w:t>创新的支出</w:t>
      </w:r>
      <w:r>
        <w:rPr>
          <w:rFonts w:ascii="仿宋_GB2312" w:eastAsia="仿宋_GB2312" w:cs="仿宋_GB2312"/>
          <w:kern w:val="0"/>
          <w:sz w:val="32"/>
          <w:szCs w:val="32"/>
        </w:rPr>
        <w:t>。</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11</w:t>
      </w:r>
      <w:r>
        <w:rPr>
          <w:rFonts w:hint="eastAsia" w:ascii="仿宋_GB2312" w:eastAsia="仿宋_GB2312" w:cs="仿宋_GB2312"/>
          <w:kern w:val="0"/>
          <w:sz w:val="32"/>
          <w:szCs w:val="32"/>
          <w:lang w:val="en-US" w:eastAsia="zh-CN"/>
        </w:rPr>
        <w:t>.</w:t>
      </w:r>
      <w:r>
        <w:rPr>
          <w:rFonts w:ascii="仿宋_GB2312" w:eastAsia="仿宋_GB2312" w:cs="仿宋_GB2312"/>
          <w:bCs/>
          <w:kern w:val="0"/>
          <w:sz w:val="32"/>
          <w:szCs w:val="32"/>
        </w:rPr>
        <w:t>科学技术支出（</w:t>
      </w:r>
      <w:r>
        <w:rPr>
          <w:rFonts w:hint="eastAsia" w:ascii="仿宋_GB2312" w:eastAsia="仿宋_GB2312" w:cs="仿宋"/>
          <w:color w:val="000000"/>
          <w:kern w:val="0"/>
          <w:sz w:val="32"/>
          <w:szCs w:val="32"/>
          <w:lang w:val="en-US" w:eastAsia="zh-CN"/>
        </w:rPr>
        <w:t>类</w:t>
      </w:r>
      <w:r>
        <w:rPr>
          <w:rFonts w:ascii="仿宋_GB2312" w:eastAsia="仿宋_GB2312" w:cs="仿宋_GB2312"/>
          <w:bCs/>
          <w:kern w:val="0"/>
          <w:sz w:val="32"/>
          <w:szCs w:val="32"/>
        </w:rPr>
        <w:t>）其他科学技术支出（</w:t>
      </w:r>
      <w:r>
        <w:rPr>
          <w:rFonts w:hint="eastAsia" w:ascii="仿宋_GB2312" w:eastAsia="仿宋_GB2312" w:cs="仿宋_GB2312"/>
          <w:color w:val="000000"/>
          <w:kern w:val="0"/>
          <w:sz w:val="32"/>
          <w:szCs w:val="32"/>
          <w:lang w:val="en-US" w:eastAsia="zh-CN"/>
        </w:rPr>
        <w:t>款</w:t>
      </w:r>
      <w:r>
        <w:rPr>
          <w:rFonts w:ascii="仿宋_GB2312" w:eastAsia="仿宋_GB2312" w:cs="仿宋_GB2312"/>
          <w:bCs/>
          <w:kern w:val="0"/>
          <w:sz w:val="32"/>
          <w:szCs w:val="32"/>
        </w:rPr>
        <w:t>）其他科学技术支出（</w:t>
      </w:r>
      <w:r>
        <w:rPr>
          <w:rFonts w:hint="eastAsia" w:ascii="仿宋_GB2312" w:eastAsia="仿宋_GB2312" w:cs="仿宋"/>
          <w:color w:val="000000"/>
          <w:kern w:val="0"/>
          <w:sz w:val="32"/>
          <w:szCs w:val="32"/>
          <w:lang w:val="en-US" w:eastAsia="zh-CN"/>
        </w:rPr>
        <w:t>项</w:t>
      </w:r>
      <w:r>
        <w:rPr>
          <w:rFonts w:ascii="仿宋_GB2312" w:eastAsia="仿宋_GB2312" w:cs="仿宋_GB2312"/>
          <w:bCs/>
          <w:kern w:val="0"/>
          <w:sz w:val="32"/>
          <w:szCs w:val="32"/>
        </w:rPr>
        <w:t>）：指反映其他科学技术方面的支出</w:t>
      </w:r>
      <w:r>
        <w:rPr>
          <w:rFonts w:ascii="仿宋_GB2312" w:eastAsia="仿宋_GB2312" w:cs="仿宋_GB2312"/>
          <w:kern w:val="0"/>
          <w:sz w:val="32"/>
          <w:szCs w:val="32"/>
        </w:rPr>
        <w:t>。</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12</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社会保障和就业支出（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）行政事业单位退休（</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）机关事业单位基本养老保险缴费支出（</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）：指反映机关事业单位实施养老保险制度由单位缴纳的基本养老保险支出。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13</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社会保障和就业支出（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）行政事业单位退休（</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）机关事业单位职业年金缴费支出（</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）：指反映机关事业单位实施养老保险制度由单位实际缴纳的职业年金支出。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14</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卫生健康支出（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）行政事业单位医疗（</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）行政单位医疗（</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15</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卫生健康支出（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）行政事业单位医疗（</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）事业单位医疗（</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）：指事业单位用于缴纳单位基本医疗保险支出。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16</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）农业（</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）行政运行（</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）：指反映行政单位（包括实行公务员管理的事业单位）的基本支出。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17</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）农业（</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）事业运行（</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）：反映用于农业事业单位基本支出，事业单位设施、系统运行与资产维护等方面的支出。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18</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）农业（</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）其他农业支出（</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）：指反映除上述项目以外其他用于农业方面的支出。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19</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w:t>
      </w:r>
      <w:r>
        <w:rPr>
          <w:rFonts w:hint="eastAsia" w:ascii="仿宋_GB2312" w:eastAsia="仿宋_GB2312" w:cs="仿宋_GB2312"/>
          <w:color w:val="000000"/>
          <w:kern w:val="0"/>
          <w:sz w:val="32"/>
          <w:szCs w:val="32"/>
          <w:lang w:val="en-US" w:eastAsia="zh-CN"/>
        </w:rPr>
        <w:t>款</w:t>
      </w:r>
      <w:r>
        <w:rPr>
          <w:rFonts w:hint="eastAsia" w:ascii="仿宋_GB2312" w:eastAsia="仿宋_GB2312" w:cs="仿宋_GB2312"/>
          <w:bCs/>
          <w:sz w:val="32"/>
          <w:szCs w:val="32"/>
        </w:rPr>
        <w:t>）</w:t>
      </w:r>
      <w:r>
        <w:rPr>
          <w:rFonts w:ascii="仿宋_GB2312" w:eastAsia="仿宋_GB2312" w:cs="仿宋_GB2312"/>
          <w:kern w:val="0"/>
          <w:sz w:val="32"/>
          <w:szCs w:val="32"/>
        </w:rPr>
        <w:t>农村基础设施建设（</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）：指反映用于农村贫困地区乡村道路、住房、基本农田、水利设施、</w:t>
      </w:r>
      <w:r>
        <w:rPr>
          <w:rFonts w:ascii="仿宋_GB2312" w:eastAsia="仿宋_GB2312" w:cs="仿宋_GB2312"/>
          <w:kern w:val="0"/>
          <w:sz w:val="32"/>
          <w:szCs w:val="32"/>
        </w:rPr>
        <w:t>人畜饮水</w:t>
      </w:r>
      <w:r>
        <w:rPr>
          <w:rFonts w:ascii="仿宋_GB2312" w:eastAsia="仿宋_GB2312" w:cs="仿宋_GB2312"/>
          <w:kern w:val="0"/>
          <w:sz w:val="32"/>
          <w:szCs w:val="32"/>
        </w:rPr>
        <w:t>、生态环境保护等生产生活条件改善方面的支出。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20</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w:t>
      </w:r>
      <w:r>
        <w:rPr>
          <w:rFonts w:hint="eastAsia" w:ascii="仿宋_GB2312" w:eastAsia="仿宋_GB2312" w:cs="仿宋_GB2312"/>
          <w:color w:val="000000"/>
          <w:kern w:val="0"/>
          <w:sz w:val="32"/>
          <w:szCs w:val="32"/>
          <w:lang w:val="en-US" w:eastAsia="zh-CN"/>
        </w:rPr>
        <w:t>款</w:t>
      </w:r>
      <w:r>
        <w:rPr>
          <w:rFonts w:hint="eastAsia" w:ascii="仿宋_GB2312" w:eastAsia="仿宋_GB2312" w:cs="仿宋_GB2312"/>
          <w:bCs/>
          <w:sz w:val="32"/>
          <w:szCs w:val="32"/>
        </w:rPr>
        <w:t>）</w:t>
      </w:r>
      <w:r>
        <w:rPr>
          <w:rFonts w:ascii="仿宋_GB2312" w:eastAsia="仿宋_GB2312" w:cs="仿宋_GB2312"/>
          <w:kern w:val="0"/>
          <w:sz w:val="32"/>
          <w:szCs w:val="32"/>
        </w:rPr>
        <w:t>生产发展（</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）：指反映用于农村贫困地区发展种植业、养殖业、畜牧业、农副产品加工、林果地建设等生产发展项目以及相关技术推广等方面的项目支出。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21</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w:t>
      </w:r>
      <w:r>
        <w:rPr>
          <w:rFonts w:hint="eastAsia" w:ascii="仿宋_GB2312" w:eastAsia="仿宋_GB2312" w:cs="仿宋_GB2312"/>
          <w:color w:val="000000"/>
          <w:kern w:val="0"/>
          <w:sz w:val="32"/>
          <w:szCs w:val="32"/>
          <w:lang w:val="en-US" w:eastAsia="zh-CN"/>
        </w:rPr>
        <w:t>款</w:t>
      </w:r>
      <w:r>
        <w:rPr>
          <w:rFonts w:hint="eastAsia" w:ascii="仿宋_GB2312" w:eastAsia="仿宋_GB2312" w:cs="仿宋_GB2312"/>
          <w:bCs/>
          <w:sz w:val="32"/>
          <w:szCs w:val="32"/>
        </w:rPr>
        <w:t>）其他</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支出</w:t>
      </w:r>
      <w:r>
        <w:rPr>
          <w:rFonts w:hint="eastAsia" w:ascii="仿宋_GB2312" w:eastAsia="仿宋_GB2312" w:cs="仿宋_GB2312"/>
          <w:bCs/>
          <w:sz w:val="32"/>
          <w:szCs w:val="32"/>
          <w:lang w:eastAsia="zh-CN"/>
        </w:rPr>
        <w:t>（</w:t>
      </w:r>
      <w:r>
        <w:rPr>
          <w:rFonts w:hint="eastAsia" w:ascii="仿宋_GB2312" w:eastAsia="仿宋_GB2312" w:cs="仿宋"/>
          <w:color w:val="000000"/>
          <w:kern w:val="0"/>
          <w:sz w:val="32"/>
          <w:szCs w:val="32"/>
          <w:lang w:val="en-US" w:eastAsia="zh-CN"/>
        </w:rPr>
        <w:t>项</w:t>
      </w:r>
      <w:r>
        <w:rPr>
          <w:rFonts w:hint="eastAsia" w:ascii="仿宋_GB2312" w:eastAsia="仿宋_GB2312" w:cs="仿宋_GB2312"/>
          <w:bCs/>
          <w:sz w:val="32"/>
          <w:szCs w:val="32"/>
          <w:lang w:eastAsia="zh-CN"/>
        </w:rPr>
        <w:t>）</w:t>
      </w:r>
      <w:r>
        <w:rPr>
          <w:rFonts w:ascii="仿宋_GB2312" w:eastAsia="仿宋_GB2312" w:cs="仿宋_GB2312"/>
          <w:kern w:val="0"/>
          <w:sz w:val="32"/>
          <w:szCs w:val="32"/>
        </w:rPr>
        <w:t>：指反映除上述项目以外其他用于</w:t>
      </w:r>
      <w:r>
        <w:rPr>
          <w:rFonts w:hint="eastAsia" w:ascii="仿宋_GB2312" w:eastAsia="仿宋_GB2312" w:cs="仿宋_GB2312"/>
          <w:bCs/>
          <w:sz w:val="32"/>
          <w:szCs w:val="32"/>
          <w:lang w:val="en-US" w:eastAsia="zh-CN"/>
        </w:rPr>
        <w:t>乡村振兴</w:t>
      </w:r>
      <w:r>
        <w:rPr>
          <w:rFonts w:ascii="仿宋_GB2312" w:eastAsia="仿宋_GB2312" w:cs="仿宋_GB2312"/>
          <w:kern w:val="0"/>
          <w:sz w:val="32"/>
          <w:szCs w:val="32"/>
        </w:rPr>
        <w:t>方面的支出。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kern w:val="0"/>
          <w:sz w:val="32"/>
          <w:szCs w:val="32"/>
        </w:rPr>
      </w:pPr>
      <w:r>
        <w:rPr>
          <w:rFonts w:ascii="仿宋_GB2312" w:eastAsia="仿宋_GB2312" w:cs="仿宋_GB2312"/>
          <w:kern w:val="0"/>
          <w:sz w:val="32"/>
          <w:szCs w:val="32"/>
        </w:rPr>
        <w:t>22</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农林水支出（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）其他农林水支出（</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）其他农林水支出（</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）：指反映除化解债务支出以外其他用于农林水方面的支出。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23</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住房保障支出（</w:t>
      </w:r>
      <w:r>
        <w:rPr>
          <w:rFonts w:hint="eastAsia" w:ascii="仿宋_GB2312" w:eastAsia="仿宋_GB2312" w:cs="仿宋"/>
          <w:color w:val="000000"/>
          <w:kern w:val="0"/>
          <w:sz w:val="32"/>
          <w:szCs w:val="32"/>
          <w:lang w:val="en-US" w:eastAsia="zh-CN"/>
        </w:rPr>
        <w:t>类</w:t>
      </w:r>
      <w:r>
        <w:rPr>
          <w:rFonts w:ascii="仿宋_GB2312" w:eastAsia="仿宋_GB2312" w:cs="仿宋_GB2312"/>
          <w:kern w:val="0"/>
          <w:sz w:val="32"/>
          <w:szCs w:val="32"/>
        </w:rPr>
        <w:t>）住房改革支出（</w:t>
      </w:r>
      <w:r>
        <w:rPr>
          <w:rFonts w:hint="eastAsia" w:ascii="仿宋_GB2312" w:eastAsia="仿宋_GB2312" w:cs="仿宋_GB2312"/>
          <w:color w:val="000000"/>
          <w:kern w:val="0"/>
          <w:sz w:val="32"/>
          <w:szCs w:val="32"/>
          <w:lang w:val="en-US" w:eastAsia="zh-CN"/>
        </w:rPr>
        <w:t>款</w:t>
      </w:r>
      <w:r>
        <w:rPr>
          <w:rFonts w:ascii="仿宋_GB2312" w:eastAsia="仿宋_GB2312" w:cs="仿宋_GB2312"/>
          <w:kern w:val="0"/>
          <w:sz w:val="32"/>
          <w:szCs w:val="32"/>
        </w:rPr>
        <w:t>）住房公积金（</w:t>
      </w:r>
      <w:r>
        <w:rPr>
          <w:rFonts w:hint="eastAsia" w:ascii="仿宋_GB2312" w:eastAsia="仿宋_GB2312" w:cs="仿宋"/>
          <w:color w:val="000000"/>
          <w:kern w:val="0"/>
          <w:sz w:val="32"/>
          <w:szCs w:val="32"/>
          <w:lang w:val="en-US" w:eastAsia="zh-CN"/>
        </w:rPr>
        <w:t>项</w:t>
      </w:r>
      <w:r>
        <w:rPr>
          <w:rFonts w:ascii="仿宋_GB2312" w:eastAsia="仿宋_GB2312" w:cs="仿宋_GB2312"/>
          <w:kern w:val="0"/>
          <w:sz w:val="32"/>
          <w:szCs w:val="32"/>
        </w:rPr>
        <w:t>）：指反映行政事业单位按人力资源和社会保障部、财政部规定的基本工资和津贴补贴以及规定比例为职工缴纳的住房公积金。</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color w:val="000000"/>
          <w:kern w:val="0"/>
          <w:sz w:val="32"/>
          <w:szCs w:val="32"/>
        </w:rPr>
      </w:pPr>
      <w:r>
        <w:rPr>
          <w:rFonts w:ascii="仿宋_GB2312" w:eastAsia="仿宋_GB2312" w:cs="仿宋_GB2312"/>
          <w:color w:val="000000"/>
          <w:kern w:val="0"/>
          <w:sz w:val="32"/>
          <w:szCs w:val="32"/>
        </w:rPr>
        <w:t>24</w:t>
      </w:r>
      <w:r>
        <w:rPr>
          <w:rFonts w:hint="eastAsia" w:ascii="仿宋_GB2312" w:eastAsia="仿宋_GB2312" w:cs="仿宋_GB2312"/>
          <w:color w:val="000000"/>
          <w:kern w:val="0"/>
          <w:sz w:val="32"/>
          <w:szCs w:val="32"/>
          <w:lang w:val="en-US" w:eastAsia="zh-CN"/>
        </w:rPr>
        <w:t>.</w:t>
      </w:r>
      <w:r>
        <w:rPr>
          <w:rFonts w:ascii="仿宋_GB2312" w:eastAsia="仿宋_GB2312" w:cs="仿宋_GB2312"/>
          <w:color w:val="000000"/>
          <w:kern w:val="0"/>
          <w:sz w:val="32"/>
          <w:szCs w:val="32"/>
        </w:rPr>
        <w:t>住房保障支出（</w:t>
      </w:r>
      <w:r>
        <w:rPr>
          <w:rFonts w:hint="eastAsia" w:ascii="仿宋_GB2312" w:eastAsia="仿宋_GB2312" w:cs="仿宋"/>
          <w:color w:val="000000"/>
          <w:kern w:val="0"/>
          <w:sz w:val="32"/>
          <w:szCs w:val="32"/>
          <w:lang w:val="en-US" w:eastAsia="zh-CN"/>
        </w:rPr>
        <w:t>类</w:t>
      </w:r>
      <w:r>
        <w:rPr>
          <w:rFonts w:ascii="仿宋_GB2312" w:eastAsia="仿宋_GB2312" w:cs="仿宋_GB2312"/>
          <w:color w:val="000000"/>
          <w:kern w:val="0"/>
          <w:sz w:val="32"/>
          <w:szCs w:val="32"/>
        </w:rPr>
        <w:t>）住房改革支出（</w:t>
      </w:r>
      <w:r>
        <w:rPr>
          <w:rFonts w:hint="eastAsia" w:ascii="仿宋_GB2312" w:eastAsia="仿宋_GB2312" w:cs="仿宋_GB2312"/>
          <w:color w:val="000000"/>
          <w:kern w:val="0"/>
          <w:sz w:val="32"/>
          <w:szCs w:val="32"/>
          <w:lang w:val="en-US" w:eastAsia="zh-CN"/>
        </w:rPr>
        <w:t>款</w:t>
      </w:r>
      <w:r>
        <w:rPr>
          <w:rFonts w:ascii="仿宋_GB2312" w:eastAsia="仿宋_GB2312" w:cs="仿宋_GB2312"/>
          <w:color w:val="000000"/>
          <w:kern w:val="0"/>
          <w:sz w:val="32"/>
          <w:szCs w:val="32"/>
        </w:rPr>
        <w:t>）购房补贴（</w:t>
      </w:r>
      <w:r>
        <w:rPr>
          <w:rFonts w:hint="eastAsia" w:ascii="仿宋_GB2312" w:eastAsia="仿宋_GB2312" w:cs="仿宋"/>
          <w:color w:val="000000"/>
          <w:kern w:val="0"/>
          <w:sz w:val="32"/>
          <w:szCs w:val="32"/>
          <w:lang w:val="en-US" w:eastAsia="zh-CN"/>
        </w:rPr>
        <w:t>项</w:t>
      </w:r>
      <w:r>
        <w:rPr>
          <w:rFonts w:ascii="仿宋_GB2312" w:eastAsia="仿宋_GB2312" w:cs="仿宋_GB2312"/>
          <w:color w:val="000000"/>
          <w:kern w:val="0"/>
          <w:sz w:val="32"/>
          <w:szCs w:val="32"/>
        </w:rPr>
        <w:t>）：指反映按房改政策规定，行政事业单位向符合条件职工（含离退休人员）、军队（含武警）向转役复原离退休人员发放的用于购买住房的补贴。</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color w:val="000000"/>
          <w:kern w:val="0"/>
          <w:sz w:val="32"/>
          <w:szCs w:val="32"/>
        </w:rPr>
      </w:pP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lang w:val="en-US" w:eastAsia="zh-CN"/>
        </w:rPr>
        <w:t>.</w:t>
      </w:r>
      <w:r>
        <w:rPr>
          <w:rFonts w:ascii="仿宋_GB2312" w:eastAsia="仿宋_GB2312" w:cs="仿宋_GB2312"/>
          <w:color w:val="000000"/>
          <w:kern w:val="0"/>
          <w:sz w:val="32"/>
          <w:szCs w:val="32"/>
        </w:rPr>
        <w:t>其他支出（</w:t>
      </w:r>
      <w:r>
        <w:rPr>
          <w:rFonts w:hint="eastAsia" w:ascii="仿宋_GB2312" w:eastAsia="仿宋_GB2312" w:cs="仿宋"/>
          <w:color w:val="000000"/>
          <w:kern w:val="0"/>
          <w:sz w:val="32"/>
          <w:szCs w:val="32"/>
          <w:lang w:val="en-US" w:eastAsia="zh-CN"/>
        </w:rPr>
        <w:t>类</w:t>
      </w:r>
      <w:r>
        <w:rPr>
          <w:rFonts w:ascii="仿宋_GB2312" w:eastAsia="仿宋_GB2312" w:cs="仿宋_GB2312"/>
          <w:color w:val="000000"/>
          <w:kern w:val="0"/>
          <w:sz w:val="32"/>
          <w:szCs w:val="32"/>
        </w:rPr>
        <w:t>）其他支出（</w:t>
      </w:r>
      <w:r>
        <w:rPr>
          <w:rFonts w:hint="eastAsia" w:ascii="仿宋_GB2312" w:eastAsia="仿宋_GB2312" w:cs="仿宋_GB2312"/>
          <w:color w:val="000000"/>
          <w:kern w:val="0"/>
          <w:sz w:val="32"/>
          <w:szCs w:val="32"/>
          <w:lang w:val="en-US" w:eastAsia="zh-CN"/>
        </w:rPr>
        <w:t>款</w:t>
      </w:r>
      <w:r>
        <w:rPr>
          <w:rFonts w:ascii="仿宋_GB2312" w:eastAsia="仿宋_GB2312" w:cs="仿宋_GB2312"/>
          <w:color w:val="000000"/>
          <w:kern w:val="0"/>
          <w:sz w:val="32"/>
          <w:szCs w:val="32"/>
        </w:rPr>
        <w:t>）其他支出（</w:t>
      </w:r>
      <w:r>
        <w:rPr>
          <w:rFonts w:hint="eastAsia" w:ascii="仿宋_GB2312" w:eastAsia="仿宋_GB2312" w:cs="仿宋"/>
          <w:color w:val="000000"/>
          <w:kern w:val="0"/>
          <w:sz w:val="32"/>
          <w:szCs w:val="32"/>
          <w:lang w:val="en-US" w:eastAsia="zh-CN"/>
        </w:rPr>
        <w:t>项</w:t>
      </w:r>
      <w:r>
        <w:rPr>
          <w:rFonts w:ascii="仿宋_GB2312" w:eastAsia="仿宋_GB2312" w:cs="仿宋_GB2312"/>
          <w:color w:val="000000"/>
          <w:kern w:val="0"/>
          <w:sz w:val="32"/>
          <w:szCs w:val="32"/>
        </w:rPr>
        <w:t>）：指反映上述项目以为其他不能划分到具体功能科目中的支出项目。</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r>
        <w:rPr>
          <w:rFonts w:ascii="仿宋_GB2312" w:eastAsia="仿宋_GB2312" w:cs="仿宋_GB2312"/>
          <w:kern w:val="0"/>
          <w:sz w:val="32"/>
          <w:szCs w:val="32"/>
        </w:rPr>
        <w:t>26</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基本支出：指为保障机构正常运转、完成日常工作任务而发生的人员支出和公用支出。</w:t>
      </w:r>
    </w:p>
    <w:p>
      <w:pPr>
        <w:keepNext w:val="0"/>
        <w:keepLines w:val="0"/>
        <w:pageBreakBefore w:val="0"/>
        <w:widowControl w:val="0"/>
        <w:suppressLineNumbers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宋体"/>
          <w:kern w:val="0"/>
          <w:sz w:val="32"/>
          <w:szCs w:val="32"/>
        </w:rPr>
      </w:pPr>
      <w:bookmarkStart w:id="188" w:name="_Toc16129"/>
      <w:bookmarkEnd w:id="188"/>
      <w:r>
        <w:rPr>
          <w:rFonts w:ascii="仿宋_GB2312" w:eastAsia="仿宋_GB2312" w:cs="仿宋_GB2312"/>
          <w:kern w:val="0"/>
          <w:sz w:val="32"/>
          <w:szCs w:val="32"/>
        </w:rPr>
        <w:t>27</w:t>
      </w:r>
      <w:r>
        <w:rPr>
          <w:rFonts w:hint="eastAsia" w:ascii="仿宋_GB2312" w:eastAsia="仿宋_GB2312" w:cs="仿宋_GB2312"/>
          <w:kern w:val="0"/>
          <w:sz w:val="32"/>
          <w:szCs w:val="32"/>
          <w:lang w:val="en-US" w:eastAsia="zh-CN"/>
        </w:rPr>
        <w:t>.</w:t>
      </w:r>
      <w:r>
        <w:rPr>
          <w:rFonts w:ascii="仿宋_GB2312" w:eastAsia="仿宋_GB2312" w:cs="仿宋_GB2312"/>
          <w:kern w:val="0"/>
          <w:sz w:val="32"/>
          <w:szCs w:val="32"/>
        </w:rPr>
        <w:t>项目支出：指在基本支出之外为完成特定行政任务和事业发展目标所发生的支出。</w:t>
      </w:r>
    </w:p>
    <w:p>
      <w:pPr>
        <w:pStyle w:val="26"/>
        <w:keepNext w:val="0"/>
        <w:keepLines w:val="0"/>
        <w:pageBreakBefore w:val="0"/>
        <w:widowControl w:val="0"/>
        <w:kinsoku/>
        <w:wordWrap/>
        <w:overflowPunct/>
        <w:topLinePunct w:val="0"/>
        <w:bidi w:val="0"/>
        <w:snapToGrid/>
        <w:spacing w:beforeAutospacing="0" w:afterAutospacing="0" w:line="576" w:lineRule="exact"/>
        <w:ind w:left="0" w:firstLine="640" w:firstLineChars="200"/>
        <w:jc w:val="both"/>
        <w:textAlignment w:val="auto"/>
        <w:outlineLvl w:val="9"/>
        <w:rPr>
          <w:rFonts w:ascii="仿宋_GB2312" w:eastAsia="仿宋_GB2312" w:cs="仿宋_GB2312"/>
          <w:bCs/>
          <w:color w:val="auto"/>
          <w:kern w:val="0"/>
          <w:sz w:val="32"/>
          <w:szCs w:val="32"/>
          <w:lang w:val="en-US" w:eastAsia="zh-CN"/>
        </w:rPr>
      </w:pPr>
      <w:r>
        <w:rPr>
          <w:rFonts w:ascii="仿宋_GB2312" w:eastAsia="仿宋_GB2312" w:cs="仿宋_GB2312"/>
          <w:bCs/>
          <w:color w:val="auto"/>
          <w:kern w:val="0"/>
          <w:sz w:val="32"/>
          <w:szCs w:val="32"/>
          <w:lang w:val="en-US" w:eastAsia="zh-CN"/>
        </w:rPr>
        <w:t>28</w:t>
      </w:r>
      <w:r>
        <w:rPr>
          <w:rFonts w:hint="eastAsia" w:ascii="仿宋_GB2312" w:eastAsia="仿宋_GB2312" w:cs="仿宋_GB2312"/>
          <w:bCs/>
          <w:color w:val="auto"/>
          <w:kern w:val="0"/>
          <w:sz w:val="32"/>
          <w:szCs w:val="32"/>
          <w:lang w:val="en-US" w:eastAsia="zh-CN"/>
        </w:rPr>
        <w:t>.</w:t>
      </w:r>
      <w:r>
        <w:rPr>
          <w:rFonts w:ascii="仿宋_GB2312" w:eastAsia="仿宋_GB2312" w:cs="仿宋_GB2312"/>
          <w:bCs/>
          <w:color w:val="auto"/>
          <w:kern w:val="0"/>
          <w:sz w:val="32"/>
          <w:szCs w:val="32"/>
          <w:lang w:val="en-US" w:eastAsia="zh-CN"/>
        </w:rPr>
        <w:t>“三公”经费：指</w:t>
      </w:r>
      <w:r>
        <w:rPr>
          <w:rFonts w:hint="eastAsia" w:ascii="仿宋_GB2312" w:eastAsia="仿宋_GB2312" w:cs="仿宋_GB2312"/>
          <w:bCs/>
          <w:color w:val="auto"/>
          <w:kern w:val="0"/>
          <w:sz w:val="32"/>
          <w:szCs w:val="32"/>
          <w:lang w:val="en-US" w:eastAsia="zh-CN"/>
        </w:rPr>
        <w:t>单位</w:t>
      </w:r>
      <w:r>
        <w:rPr>
          <w:rFonts w:ascii="仿宋_GB2312" w:eastAsia="仿宋_GB2312" w:cs="仿宋_GB2312"/>
          <w:bCs/>
          <w:color w:val="auto"/>
          <w:kern w:val="0"/>
          <w:sz w:val="32"/>
          <w:szCs w:val="32"/>
          <w:lang w:val="en-US" w:eastAsia="zh-CN"/>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beforeAutospacing="0" w:afterAutospacing="0" w:line="576" w:lineRule="exact"/>
        <w:ind w:left="0" w:firstLine="640" w:firstLineChars="200"/>
        <w:jc w:val="both"/>
        <w:textAlignment w:val="auto"/>
        <w:outlineLvl w:val="9"/>
        <w:rPr>
          <w:rFonts w:hint="eastAsia" w:ascii="宋体" w:eastAsia="宋体" w:cs="宋体"/>
          <w:kern w:val="0"/>
          <w:sz w:val="24"/>
          <w:szCs w:val="24"/>
        </w:rPr>
      </w:pPr>
      <w:r>
        <w:rPr>
          <w:rFonts w:ascii="仿宋_GB2312" w:eastAsia="仿宋_GB2312" w:cs="仿宋_GB2312"/>
          <w:bCs/>
          <w:color w:val="auto"/>
          <w:kern w:val="0"/>
          <w:sz w:val="32"/>
          <w:szCs w:val="32"/>
          <w:lang w:val="en-US" w:eastAsia="zh-CN"/>
        </w:rPr>
        <w:t>29</w:t>
      </w:r>
      <w:r>
        <w:rPr>
          <w:rFonts w:hint="eastAsia" w:ascii="仿宋_GB2312" w:eastAsia="仿宋_GB2312" w:cs="仿宋_GB2312"/>
          <w:bCs/>
          <w:color w:val="auto"/>
          <w:kern w:val="0"/>
          <w:sz w:val="32"/>
          <w:szCs w:val="32"/>
          <w:lang w:val="en-US" w:eastAsia="zh-CN"/>
        </w:rPr>
        <w:t>.</w:t>
      </w:r>
      <w:r>
        <w:rPr>
          <w:rFonts w:ascii="仿宋_GB2312" w:eastAsia="仿宋_GB2312" w:cs="仿宋_GB2312"/>
          <w:bCs/>
          <w:color w:val="auto"/>
          <w:kern w:val="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keepNext w:val="0"/>
        <w:keepLines w:val="0"/>
        <w:pageBreakBefore w:val="0"/>
        <w:widowControl w:val="0"/>
        <w:suppressLineNumbers w:val="0"/>
        <w:kinsoku/>
        <w:wordWrap/>
        <w:overflowPunct/>
        <w:topLinePunct w:val="0"/>
        <w:bidi w:val="0"/>
        <w:spacing w:line="560" w:lineRule="exact"/>
        <w:jc w:val="both"/>
        <w:rPr>
          <w:rFonts w:hint="eastAsia" w:ascii="宋体" w:eastAsia="宋体" w:cs="宋体"/>
          <w:kern w:val="0"/>
          <w:sz w:val="24"/>
          <w:szCs w:val="24"/>
        </w:rPr>
      </w:pPr>
    </w:p>
    <w:p>
      <w:pPr>
        <w:pStyle w:val="24"/>
        <w:keepNext w:val="0"/>
        <w:keepLines w:val="0"/>
        <w:pageBreakBefore w:val="0"/>
        <w:widowControl w:val="0"/>
        <w:suppressLineNumbers w:val="0"/>
        <w:kinsoku/>
        <w:wordWrap/>
        <w:overflowPunct/>
        <w:topLinePunct w:val="0"/>
        <w:bidi w:val="0"/>
        <w:spacing w:line="560" w:lineRule="exact"/>
        <w:jc w:val="both"/>
        <w:rPr>
          <w:rFonts w:hint="eastAsia" w:ascii="宋体" w:eastAsia="宋体" w:cs="宋体"/>
          <w:kern w:val="0"/>
          <w:sz w:val="24"/>
          <w:szCs w:val="24"/>
        </w:rPr>
      </w:pPr>
    </w:p>
    <w:p>
      <w:pPr>
        <w:pStyle w:val="24"/>
        <w:keepNext w:val="0"/>
        <w:keepLines w:val="0"/>
        <w:pageBreakBefore w:val="0"/>
        <w:widowControl w:val="0"/>
        <w:suppressLineNumbers w:val="0"/>
        <w:kinsoku/>
        <w:wordWrap/>
        <w:overflowPunct/>
        <w:topLinePunct w:val="0"/>
        <w:bidi w:val="0"/>
        <w:spacing w:line="560" w:lineRule="exact"/>
        <w:jc w:val="both"/>
        <w:rPr>
          <w:rFonts w:hint="eastAsia" w:ascii="宋体" w:eastAsia="宋体" w:cs="宋体"/>
          <w:kern w:val="0"/>
          <w:sz w:val="24"/>
          <w:szCs w:val="24"/>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right="0" w:rightChars="0"/>
        <w:jc w:val="center"/>
        <w:textAlignment w:val="auto"/>
        <w:outlineLvl w:val="0"/>
        <w:rPr>
          <w:rFonts w:hint="eastAsia" w:ascii="黑体" w:eastAsia="黑体" w:cs="黑体"/>
          <w:b/>
          <w:bCs/>
          <w:kern w:val="0"/>
          <w:sz w:val="44"/>
          <w:szCs w:val="44"/>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right="0" w:rightChars="0"/>
        <w:jc w:val="center"/>
        <w:textAlignment w:val="auto"/>
        <w:outlineLvl w:val="0"/>
        <w:rPr>
          <w:rFonts w:hint="eastAsia" w:ascii="黑体" w:eastAsia="黑体" w:cs="黑体"/>
          <w:b/>
          <w:bCs/>
          <w:kern w:val="0"/>
          <w:sz w:val="44"/>
          <w:szCs w:val="44"/>
          <w:lang w:val="en-US" w:eastAsia="zh-CN"/>
        </w:rPr>
      </w:pPr>
      <w:bookmarkStart w:id="189" w:name="_Toc5306"/>
      <w:r>
        <w:rPr>
          <w:rFonts w:hint="eastAsia" w:ascii="黑体" w:eastAsia="黑体" w:cs="黑体"/>
          <w:b/>
          <w:bCs/>
          <w:kern w:val="0"/>
          <w:sz w:val="44"/>
          <w:szCs w:val="44"/>
          <w:lang w:val="en-US" w:eastAsia="zh-CN"/>
        </w:rPr>
        <w:t xml:space="preserve">第四部分  </w:t>
      </w:r>
      <w:r>
        <w:rPr>
          <w:rFonts w:hint="eastAsia" w:ascii="黑体" w:eastAsia="黑体" w:cs="黑体"/>
          <w:b/>
          <w:bCs/>
          <w:kern w:val="0"/>
          <w:sz w:val="44"/>
          <w:szCs w:val="44"/>
        </w:rPr>
        <w:t>附</w:t>
      </w:r>
      <w:r>
        <w:rPr>
          <w:rFonts w:hint="eastAsia" w:ascii="黑体" w:eastAsia="黑体" w:cs="黑体"/>
          <w:b/>
          <w:bCs/>
          <w:kern w:val="0"/>
          <w:sz w:val="44"/>
          <w:szCs w:val="44"/>
          <w:lang w:val="en-US" w:eastAsia="zh-CN"/>
        </w:rPr>
        <w:t>件</w:t>
      </w:r>
      <w:bookmarkEnd w:id="189"/>
    </w:p>
    <w:tbl>
      <w:tblPr>
        <w:tblStyle w:val="17"/>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12"/>
        <w:gridCol w:w="239"/>
        <w:gridCol w:w="706"/>
        <w:gridCol w:w="847"/>
        <w:gridCol w:w="106"/>
        <w:gridCol w:w="415"/>
        <w:gridCol w:w="150"/>
        <w:gridCol w:w="1632"/>
        <w:gridCol w:w="203"/>
        <w:gridCol w:w="486"/>
        <w:gridCol w:w="356"/>
        <w:gridCol w:w="76"/>
        <w:gridCol w:w="238"/>
        <w:gridCol w:w="777"/>
        <w:gridCol w:w="511"/>
        <w:gridCol w:w="168"/>
        <w:gridCol w:w="468"/>
        <w:gridCol w:w="485"/>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cantSplit/>
          <w:trHeight w:val="23" w:hRule="atLeast"/>
          <w:jc w:val="center"/>
        </w:trPr>
        <w:tc>
          <w:tcPr>
            <w:tcW w:w="9585"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right="0" w:rightChars="0"/>
              <w:jc w:val="center"/>
              <w:textAlignment w:val="auto"/>
              <w:outlineLvl w:val="9"/>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茂县2024年基层农技推广体系改革与建设项目支出绩效自评表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8"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both"/>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茂县2024年基层农技推广体系改革与建设项目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95"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091" w:type="dxa"/>
            <w:gridSpan w:val="3"/>
            <w:tcBorders>
              <w:top w:val="nil"/>
              <w:left w:val="nil"/>
              <w:bottom w:val="nil"/>
              <w:right w:val="nil"/>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542"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195"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33"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c>
          <w:tcPr>
            <w:tcW w:w="4195"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建设长期稳定农业科技示范基地2个，培育2个以上农业科技示范主体，参加5天以上脱产业务培训的基层农技人员70人，招募特聘农技员6人以上，农业主推技术到位率≥95％。</w:t>
            </w:r>
          </w:p>
        </w:tc>
        <w:tc>
          <w:tcPr>
            <w:tcW w:w="3633"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zh-CN" w:eastAsia="zh-CN" w:bidi="ar"/>
              </w:rPr>
              <w:t>完成2个农业科技示范基地，3个农业科技示范主体，培训70名基层农技人员，招募特聘农技员6人，农业主推技术到位率96％。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6"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7828"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示范基地</w:t>
            </w:r>
            <w:r>
              <w:rPr>
                <w:rFonts w:hint="eastAsia" w:hAnsi="宋体" w:cs="宋体"/>
                <w:i w:val="0"/>
                <w:iCs w:val="0"/>
                <w:color w:val="000000"/>
                <w:kern w:val="0"/>
                <w:sz w:val="18"/>
                <w:szCs w:val="18"/>
                <w:u w:val="none"/>
                <w:lang w:val="zh-CN" w:eastAsia="zh-CN" w:bidi="ar"/>
              </w:rPr>
              <w:t>及</w:t>
            </w:r>
            <w:r>
              <w:rPr>
                <w:rFonts w:hint="eastAsia" w:ascii="宋体" w:hAnsi="宋体" w:eastAsia="宋体" w:cs="宋体"/>
                <w:i w:val="0"/>
                <w:iCs w:val="0"/>
                <w:color w:val="000000"/>
                <w:kern w:val="0"/>
                <w:sz w:val="18"/>
                <w:szCs w:val="18"/>
                <w:u w:val="none"/>
                <w:lang w:val="zh-CN" w:eastAsia="zh-CN" w:bidi="ar"/>
              </w:rPr>
              <w:t>科技示范主体</w:t>
            </w:r>
            <w:r>
              <w:rPr>
                <w:rFonts w:hint="eastAsia" w:hAnsi="宋体" w:cs="宋体"/>
                <w:i w:val="0"/>
                <w:iCs w:val="0"/>
                <w:color w:val="000000"/>
                <w:kern w:val="0"/>
                <w:sz w:val="18"/>
                <w:szCs w:val="18"/>
                <w:u w:val="none"/>
                <w:lang w:val="zh-CN" w:eastAsia="zh-CN" w:bidi="ar"/>
              </w:rPr>
              <w:t>由农业经营主体和种养大户申请</w:t>
            </w:r>
            <w:r>
              <w:rPr>
                <w:rFonts w:hint="eastAsia" w:ascii="宋体" w:hAnsi="宋体" w:eastAsia="宋体" w:cs="宋体"/>
                <w:i w:val="0"/>
                <w:iCs w:val="0"/>
                <w:color w:val="000000"/>
                <w:kern w:val="0"/>
                <w:sz w:val="18"/>
                <w:szCs w:val="18"/>
                <w:u w:val="none"/>
                <w:lang w:val="zh-CN" w:eastAsia="zh-CN" w:bidi="ar"/>
              </w:rPr>
              <w:t>，镇人民政府审核，茂县科学技术和农业畜牧局实地考察、考核，报局党组同意后</w:t>
            </w:r>
            <w:r>
              <w:rPr>
                <w:rFonts w:hint="eastAsia" w:ascii="宋体" w:hAnsi="宋体" w:eastAsia="宋体" w:cs="宋体"/>
                <w:i w:val="0"/>
                <w:iCs w:val="0"/>
                <w:color w:val="000000"/>
                <w:kern w:val="0"/>
                <w:sz w:val="18"/>
                <w:szCs w:val="18"/>
                <w:u w:val="none"/>
                <w:lang w:val="en-US" w:eastAsia="zh-CN" w:bidi="ar"/>
              </w:rPr>
              <w:t>确定，</w:t>
            </w:r>
            <w:r>
              <w:rPr>
                <w:rFonts w:hint="eastAsia" w:hAnsi="宋体" w:cs="宋体"/>
                <w:i w:val="0"/>
                <w:iCs w:val="0"/>
                <w:color w:val="000000"/>
                <w:kern w:val="0"/>
                <w:sz w:val="18"/>
                <w:szCs w:val="18"/>
                <w:u w:val="none"/>
                <w:lang w:val="en-US" w:eastAsia="zh-CN" w:bidi="ar"/>
              </w:rPr>
              <w:t>基地内容建设完成后，验收合格再拨付资金。</w:t>
            </w:r>
            <w:r>
              <w:rPr>
                <w:rFonts w:hint="eastAsia" w:ascii="宋体" w:hAnsi="宋体" w:eastAsia="宋体" w:cs="宋体"/>
                <w:i w:val="0"/>
                <w:iCs w:val="0"/>
                <w:color w:val="000000"/>
                <w:kern w:val="0"/>
                <w:sz w:val="18"/>
                <w:szCs w:val="18"/>
                <w:u w:val="none"/>
                <w:lang w:val="en-US" w:eastAsia="zh-CN" w:bidi="ar"/>
              </w:rPr>
              <w:t>省级调训培训机构由省州认定，县级培训机构通过询价遴选确定，县级培训完成验收合格后，科农局拨付资金。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2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预算执</w:t>
            </w:r>
          </w:p>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行率</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5"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51.00</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48.84</w:t>
            </w:r>
          </w:p>
        </w:tc>
        <w:tc>
          <w:tcPr>
            <w:tcW w:w="112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48.84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51.00</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48.84</w:t>
            </w:r>
          </w:p>
        </w:tc>
        <w:tc>
          <w:tcPr>
            <w:tcW w:w="112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48.84</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建设长期稳定农业科技示范基地</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847" w:type="dxa"/>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培育农业科技示范主体</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847" w:type="dxa"/>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kern w:val="0"/>
                <w:sz w:val="18"/>
                <w:szCs w:val="18"/>
                <w:u w:val="none"/>
                <w:lang w:val="en-US" w:eastAsia="zh-CN" w:bidi="ar"/>
              </w:rPr>
            </w:pP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参加5天以上脱产业务培训的基层农技人员</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70</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招募特聘农技员</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53"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53"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9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年11月30日前完成</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5"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效益指标</w:t>
            </w: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50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帮助农民掌握先进的农业技术和管理知识，提高他们的科技素质和生产经营能力。可以引导农民调整种植结构，发展高效、优质的农产品生产，满足市场多元化需求。</w:t>
            </w:r>
          </w:p>
        </w:tc>
        <w:tc>
          <w:tcPr>
            <w:tcW w:w="4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2"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30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通过推广科学施肥、病虫害绿色防控等技术，减少化肥、农药等化学物质的使用量，降低农业面源污染，保护农业生态环境</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4"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vMerge w:val="continue"/>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可持续</w:t>
            </w:r>
            <w:r>
              <w:rPr>
                <w:rFonts w:hint="eastAsia" w:hAnsi="宋体" w:cs="宋体"/>
                <w:i w:val="0"/>
                <w:iCs w:val="0"/>
                <w:color w:val="000000"/>
                <w:kern w:val="0"/>
                <w:sz w:val="18"/>
                <w:szCs w:val="18"/>
                <w:u w:val="none"/>
                <w:lang w:val="en-US" w:eastAsia="zh-CN" w:bidi="ar"/>
              </w:rPr>
              <w:t>性</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eastAsia" w:hAnsi="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90</w:t>
            </w:r>
          </w:p>
        </w:tc>
        <w:tc>
          <w:tcPr>
            <w:tcW w:w="7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 w:hRule="atLeast"/>
          <w:jc w:val="center"/>
        </w:trPr>
        <w:tc>
          <w:tcPr>
            <w:tcW w:w="7043"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100</w:t>
            </w:r>
          </w:p>
        </w:tc>
        <w:tc>
          <w:tcPr>
            <w:tcW w:w="4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97</w:t>
            </w:r>
          </w:p>
        </w:tc>
        <w:tc>
          <w:tcPr>
            <w:tcW w:w="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tLeast"/>
              <w:rPr>
                <w:rFonts w:hint="eastAsia" w:hAnsi="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34"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w:t>
            </w:r>
            <w:r>
              <w:rPr>
                <w:rFonts w:hint="eastAsia" w:hAnsi="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en-US" w:eastAsia="zh-CN" w:bidi="ar"/>
              </w:rPr>
              <w:t>分，基层农技推广体系改革与建设项目通过科技赋能、机制创新、服务优化，不仅解决了农业技术推广“最后一公里”问题，更推动了农业从传统生产向现代化、智能化、绿色化转型，为乡村振兴和农业强国建设提供了坚实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34"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position w:val="0"/>
                <w:sz w:val="18"/>
                <w:szCs w:val="18"/>
                <w:u w:val="none"/>
                <w:lang w:val="en-US" w:eastAsia="zh-CN" w:bidi="ar"/>
              </w:rPr>
              <w:t>一是部分农技人员的专业水平和服务能力还有待提高；二是农民对农技推广的积极性和参与度仍然不高。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lang w:val="en-US" w:eastAsia="zh-CN" w:bidi="ar"/>
              </w:rPr>
              <w:t>改进措施</w:t>
            </w:r>
          </w:p>
        </w:tc>
        <w:tc>
          <w:tcPr>
            <w:tcW w:w="8534"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position w:val="0"/>
                <w:sz w:val="18"/>
                <w:szCs w:val="18"/>
                <w:u w:val="none"/>
                <w:lang w:val="en-US" w:eastAsia="zh-CN" w:bidi="ar"/>
              </w:rPr>
              <w:t>一是加大对基层农技推广人员的培训和技术支持力度，提高他们的专业水平和服务能力；二是加强对农民的宣传和培训工作，提高农民对农技推广的认知和参与度。</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rPr>
      </w:pPr>
      <w:bookmarkStart w:id="190" w:name="_Toc10209"/>
      <w:bookmarkEnd w:id="190"/>
      <w:bookmarkStart w:id="191" w:name="_Toc29379"/>
      <w:bookmarkEnd w:id="191"/>
      <w:bookmarkStart w:id="192" w:name="_Toc14324"/>
      <w:bookmarkEnd w:id="192"/>
      <w:bookmarkStart w:id="193" w:name="_Toc30535"/>
      <w:bookmarkEnd w:id="193"/>
      <w:bookmarkStart w:id="194" w:name="_Toc871"/>
      <w:bookmarkEnd w:id="194"/>
      <w:bookmarkStart w:id="195" w:name="_Toc25637"/>
      <w:bookmarkEnd w:id="195"/>
      <w:bookmarkStart w:id="196" w:name="_Toc26633"/>
      <w:bookmarkEnd w:id="196"/>
      <w:bookmarkStart w:id="197" w:name="_Toc12513"/>
      <w:bookmarkEnd w:id="197"/>
      <w:bookmarkStart w:id="198" w:name="_Toc32176"/>
      <w:bookmarkEnd w:id="198"/>
      <w:bookmarkStart w:id="199" w:name="_Toc6302"/>
      <w:bookmarkEnd w:id="199"/>
      <w:bookmarkStart w:id="200" w:name="_Toc21374"/>
      <w:bookmarkEnd w:id="200"/>
      <w:bookmarkStart w:id="201" w:name="_Toc27081"/>
      <w:bookmarkEnd w:id="201"/>
    </w:p>
    <w:tbl>
      <w:tblPr>
        <w:tblStyle w:val="17"/>
        <w:tblW w:w="9840"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24"/>
        <w:gridCol w:w="378"/>
        <w:gridCol w:w="659"/>
        <w:gridCol w:w="268"/>
        <w:gridCol w:w="450"/>
        <w:gridCol w:w="311"/>
        <w:gridCol w:w="68"/>
        <w:gridCol w:w="230"/>
        <w:gridCol w:w="414"/>
        <w:gridCol w:w="1053"/>
        <w:gridCol w:w="200"/>
        <w:gridCol w:w="505"/>
        <w:gridCol w:w="324"/>
        <w:gridCol w:w="280"/>
        <w:gridCol w:w="585"/>
        <w:gridCol w:w="414"/>
        <w:gridCol w:w="522"/>
        <w:gridCol w:w="813"/>
        <w:gridCol w:w="689"/>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9840" w:type="dxa"/>
            <w:gridSpan w:val="2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茂县2024年高素质农民培育项目支出绩效自评表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2" w:hRule="atLeast"/>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79"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茂县2024茂县高素质农民培育项目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31" w:hRule="atLeast"/>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23" w:type="dxa"/>
            <w:gridSpan w:val="1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279" w:type="dxa"/>
            <w:gridSpan w:val="3"/>
            <w:tcBorders>
              <w:top w:val="nil"/>
              <w:left w:val="nil"/>
              <w:bottom w:val="nil"/>
              <w:right w:val="nil"/>
            </w:tcBorders>
            <w:shd w:val="clear" w:color="auto" w:fill="FFFFFF" w:themeFill="background1"/>
            <w:vAlign w:val="center"/>
          </w:tcPr>
          <w:p>
            <w:pPr>
              <w:keepNext w:val="0"/>
              <w:keepLines w:val="0"/>
              <w:widowControl/>
              <w:suppressLineNumbers w:val="0"/>
              <w:jc w:val="left"/>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134" w:type="dxa"/>
            <w:gridSpan w:val="6"/>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项目年度目标完成情况</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项目年度目标</w:t>
            </w:r>
          </w:p>
        </w:tc>
        <w:tc>
          <w:tcPr>
            <w:tcW w:w="3391"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7"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2134" w:type="dxa"/>
            <w:gridSpan w:val="6"/>
            <w:vMerge w:val="continue"/>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default" w:ascii="宋体" w:hAnsi="宋体" w:eastAsia="宋体" w:cs="宋体"/>
                <w:i w:val="0"/>
                <w:iCs w:val="0"/>
                <w:color w:val="000000"/>
                <w:sz w:val="18"/>
                <w:szCs w:val="18"/>
                <w:u w:val="none"/>
                <w:lang w:val="en-US"/>
              </w:rPr>
            </w:pP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培训高素质农民76</w:t>
            </w:r>
            <w:r>
              <w:rPr>
                <w:rFonts w:hint="eastAsia" w:hAnsi="宋体" w:cs="宋体"/>
                <w:i w:val="0"/>
                <w:iCs w:val="0"/>
                <w:color w:val="000000"/>
                <w:kern w:val="0"/>
                <w:sz w:val="18"/>
                <w:szCs w:val="18"/>
                <w:u w:val="none"/>
                <w:lang w:val="en-US" w:eastAsia="zh-CN" w:bidi="ar"/>
              </w:rPr>
              <w:t>人。</w:t>
            </w:r>
          </w:p>
        </w:tc>
        <w:tc>
          <w:tcPr>
            <w:tcW w:w="3391"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培训高素质农民76人。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7"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7811"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培训高素质农民76人，培训训机构通过竞争性磋商方式确定，培训结束验收合格后，由科农局负责给培训机构拨付培训经费。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7"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25.00</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eastAsia="zh-CN"/>
              </w:rPr>
            </w:pPr>
            <w:r>
              <w:rPr>
                <w:rFonts w:hint="eastAsia" w:hAnsi="宋体" w:cs="宋体"/>
                <w:i w:val="0"/>
                <w:color w:val="000000"/>
                <w:sz w:val="18"/>
                <w:u w:val="none"/>
                <w:lang w:val="en-US" w:eastAsia="zh-CN"/>
              </w:rPr>
              <w:t>21.88</w:t>
            </w: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eastAsia="zh-CN"/>
              </w:rPr>
            </w:pPr>
            <w:r>
              <w:rPr>
                <w:rFonts w:hint="eastAsia" w:hAnsi="宋体" w:cs="宋体"/>
                <w:i w:val="0"/>
                <w:color w:val="000000"/>
                <w:sz w:val="18"/>
                <w:u w:val="none"/>
                <w:lang w:val="en-US" w:eastAsia="zh-CN"/>
              </w:rPr>
              <w:t>21.88</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25</w:t>
            </w:r>
            <w:r>
              <w:rPr>
                <w:rFonts w:ascii="宋体" w:hAnsi="宋体" w:eastAsia="宋体" w:cs="宋体"/>
                <w:i w:val="0"/>
                <w:iCs w:val="0"/>
                <w:color w:val="000000"/>
                <w:kern w:val="0"/>
                <w:sz w:val="18"/>
                <w:szCs w:val="18"/>
                <w:u w:val="none"/>
                <w:lang w:val="en-US" w:eastAsia="zh-CN" w:bidi="ar"/>
              </w:rPr>
              <w:t>.00</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eastAsia="zh-CN"/>
              </w:rPr>
            </w:pPr>
            <w:r>
              <w:rPr>
                <w:rFonts w:hint="eastAsia" w:hAnsi="宋体" w:cs="宋体"/>
                <w:i w:val="0"/>
                <w:color w:val="000000"/>
                <w:sz w:val="18"/>
                <w:u w:val="none"/>
                <w:lang w:val="en-US" w:eastAsia="zh-CN"/>
              </w:rPr>
              <w:t>21.88</w:t>
            </w: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eastAsia="zh-CN"/>
              </w:rPr>
            </w:pPr>
            <w:r>
              <w:rPr>
                <w:rFonts w:hint="eastAsia" w:hAnsi="宋体" w:cs="宋体"/>
                <w:i w:val="0"/>
                <w:color w:val="000000"/>
                <w:sz w:val="18"/>
                <w:u w:val="none"/>
                <w:lang w:val="en-US" w:eastAsia="zh-CN"/>
              </w:rPr>
              <w:t>21.88</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2"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189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6"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restart"/>
            <w:tcBorders>
              <w:top w:val="single" w:color="000000" w:sz="4" w:space="0"/>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经营管理型培训</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76</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76</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30</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9"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65" w:type="dxa"/>
            <w:gridSpan w:val="4"/>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培训验收合格率</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4"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continue"/>
            <w:tcBorders>
              <w:left w:val="single" w:color="000000" w:sz="4" w:space="0"/>
              <w:bottom w:val="single" w:color="000000" w:sz="4" w:space="0"/>
              <w:right w:val="single" w:color="auto"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9" w:type="dxa"/>
            <w:gridSpan w:val="3"/>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65" w:type="dxa"/>
            <w:gridSpan w:val="4"/>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2024年11月30日前完成</w:t>
            </w:r>
          </w:p>
        </w:tc>
        <w:tc>
          <w:tcPr>
            <w:tcW w:w="705" w:type="dxa"/>
            <w:gridSpan w:val="2"/>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18" w:type="dxa"/>
            <w:gridSpan w:val="2"/>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2076" w:type="dxa"/>
            <w:gridSpan w:val="5"/>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通过培训全面提高了农民生产技术水平和综合素质，提升了农产品产前、产中、产后的技术含量，增加了农民收入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207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培养一批爱农业、懂技术、善经营的高素质农民队伍，助力乡村振兴</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提高农民生态意识，发展生态农业</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741"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7"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132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高素质农民满意度</w:t>
            </w:r>
          </w:p>
        </w:tc>
        <w:tc>
          <w:tcPr>
            <w:tcW w:w="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color w:val="000000"/>
                <w:sz w:val="18"/>
                <w:u w:val="none"/>
              </w:rPr>
              <w:t>90</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7" w:hRule="atLeast"/>
        </w:trPr>
        <w:tc>
          <w:tcPr>
            <w:tcW w:w="7385"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4"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16"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该项目自评总得分100分，为茂县培育一支留得住、能战斗、带不走的本土人才队伍，为实现城乡融合发展，乡村全面振兴提供坚强人才支撑。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8"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38"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50"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8738"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rPr>
      </w:pPr>
    </w:p>
    <w:tbl>
      <w:tblPr>
        <w:tblStyle w:val="17"/>
        <w:tblW w:w="9700" w:type="dxa"/>
        <w:tblInd w:w="-677" w:type="dxa"/>
        <w:shd w:val="clear" w:color="auto" w:fill="FFFFFF" w:themeFill="background1"/>
        <w:tblLayout w:type="fixed"/>
        <w:tblCellMar>
          <w:top w:w="0" w:type="dxa"/>
          <w:left w:w="108" w:type="dxa"/>
          <w:bottom w:w="0" w:type="dxa"/>
          <w:right w:w="108" w:type="dxa"/>
        </w:tblCellMar>
      </w:tblPr>
      <w:tblGrid>
        <w:gridCol w:w="714"/>
        <w:gridCol w:w="337"/>
        <w:gridCol w:w="685"/>
        <w:gridCol w:w="145"/>
        <w:gridCol w:w="556"/>
        <w:gridCol w:w="260"/>
        <w:gridCol w:w="243"/>
        <w:gridCol w:w="17"/>
        <w:gridCol w:w="291"/>
        <w:gridCol w:w="1298"/>
        <w:gridCol w:w="617"/>
        <w:gridCol w:w="617"/>
        <w:gridCol w:w="424"/>
        <w:gridCol w:w="71"/>
        <w:gridCol w:w="168"/>
        <w:gridCol w:w="132"/>
        <w:gridCol w:w="723"/>
        <w:gridCol w:w="864"/>
        <w:gridCol w:w="548"/>
        <w:gridCol w:w="126"/>
        <w:gridCol w:w="864"/>
      </w:tblGrid>
      <w:tr>
        <w:tblPrEx>
          <w:shd w:val="clear" w:color="auto" w:fill="FFFFFF" w:themeFill="background1"/>
          <w:tblCellMar>
            <w:top w:w="0" w:type="dxa"/>
            <w:left w:w="108" w:type="dxa"/>
            <w:bottom w:w="0" w:type="dxa"/>
            <w:right w:w="108" w:type="dxa"/>
          </w:tblCellMar>
        </w:tblPrEx>
        <w:trPr>
          <w:trHeight w:val="332" w:hRule="atLeast"/>
        </w:trPr>
        <w:tc>
          <w:tcPr>
            <w:tcW w:w="9700" w:type="dxa"/>
            <w:gridSpan w:val="2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ascii="黑体" w:hAnsi="宋体" w:eastAsia="黑体" w:cs="黑体"/>
                <w:b/>
                <w:bCs/>
                <w:color w:val="000000"/>
                <w:sz w:val="30"/>
                <w:szCs w:val="30"/>
              </w:rPr>
            </w:pPr>
            <w:r>
              <w:rPr>
                <w:rFonts w:hint="eastAsia" w:ascii="黑体" w:hAnsi="宋体" w:eastAsia="黑体" w:cs="黑体"/>
                <w:b/>
                <w:bCs/>
                <w:color w:val="000000"/>
                <w:sz w:val="30"/>
                <w:szCs w:val="30"/>
              </w:rPr>
              <w:t>茂县2024年植物疫情监测项目支出绩效自评表</w:t>
            </w:r>
          </w:p>
        </w:tc>
      </w:tr>
      <w:tr>
        <w:tblPrEx>
          <w:shd w:val="clear" w:color="auto" w:fill="FFFFFF" w:themeFill="background1"/>
          <w:tblCellMar>
            <w:top w:w="0" w:type="dxa"/>
            <w:left w:w="108" w:type="dxa"/>
            <w:bottom w:w="0" w:type="dxa"/>
            <w:right w:w="108" w:type="dxa"/>
          </w:tblCellMar>
        </w:tblPrEx>
        <w:trPr>
          <w:trHeight w:val="90" w:hRule="atLeast"/>
        </w:trPr>
        <w:tc>
          <w:tcPr>
            <w:tcW w:w="173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项目名称</w:t>
            </w:r>
          </w:p>
        </w:tc>
        <w:tc>
          <w:tcPr>
            <w:tcW w:w="7964"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茂县202</w:t>
            </w:r>
            <w:r>
              <w:rPr>
                <w:rFonts w:hint="eastAsia" w:hAnsi="宋体"/>
                <w:color w:val="000000"/>
                <w:sz w:val="18"/>
                <w:szCs w:val="18"/>
              </w:rPr>
              <w:t>4年植物疫情监测项目</w:t>
            </w:r>
          </w:p>
        </w:tc>
      </w:tr>
      <w:tr>
        <w:tblPrEx>
          <w:shd w:val="clear" w:color="auto" w:fill="FFFFFF" w:themeFill="background1"/>
          <w:tblCellMar>
            <w:top w:w="0" w:type="dxa"/>
            <w:left w:w="108" w:type="dxa"/>
            <w:bottom w:w="0" w:type="dxa"/>
            <w:right w:w="108" w:type="dxa"/>
          </w:tblCellMar>
        </w:tblPrEx>
        <w:trPr>
          <w:trHeight w:val="278" w:hRule="atLeast"/>
        </w:trPr>
        <w:tc>
          <w:tcPr>
            <w:tcW w:w="1736" w:type="dxa"/>
            <w:gridSpan w:val="3"/>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主管部门</w:t>
            </w:r>
          </w:p>
        </w:tc>
        <w:tc>
          <w:tcPr>
            <w:tcW w:w="4468" w:type="dxa"/>
            <w:gridSpan w:val="10"/>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茂县科学技术和农业畜牧局</w:t>
            </w:r>
          </w:p>
        </w:tc>
        <w:tc>
          <w:tcPr>
            <w:tcW w:w="1094"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textAlignment w:val="center"/>
              <w:rPr>
                <w:rFonts w:ascii="黑体" w:hAnsi="黑体" w:eastAsia="黑体" w:cs="黑体"/>
                <w:color w:val="000000"/>
                <w:sz w:val="18"/>
                <w:szCs w:val="18"/>
              </w:rPr>
            </w:pPr>
            <w:r>
              <w:rPr>
                <w:rFonts w:hint="eastAsia" w:hAnsi="宋体"/>
                <w:color w:val="000000"/>
                <w:sz w:val="18"/>
                <w:szCs w:val="18"/>
              </w:rPr>
              <w:t>实施单位</w:t>
            </w:r>
          </w:p>
        </w:tc>
        <w:tc>
          <w:tcPr>
            <w:tcW w:w="2402"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both"/>
              <w:textAlignment w:val="center"/>
              <w:rPr>
                <w:rFonts w:hAnsi="宋体"/>
                <w:color w:val="000000"/>
                <w:sz w:val="18"/>
                <w:szCs w:val="18"/>
              </w:rPr>
            </w:pPr>
            <w:r>
              <w:rPr>
                <w:rFonts w:hAnsi="宋体"/>
                <w:color w:val="000000"/>
                <w:sz w:val="18"/>
                <w:szCs w:val="18"/>
              </w:rPr>
              <w:t>茂县科学技术和农业畜牧局</w:t>
            </w:r>
          </w:p>
        </w:tc>
      </w:tr>
      <w:tr>
        <w:tblPrEx>
          <w:shd w:val="clear" w:color="auto" w:fill="FFFFFF" w:themeFill="background1"/>
          <w:tblCellMar>
            <w:top w:w="0" w:type="dxa"/>
            <w:left w:w="108" w:type="dxa"/>
            <w:bottom w:w="0" w:type="dxa"/>
            <w:right w:w="108" w:type="dxa"/>
          </w:tblCellMar>
        </w:tblPrEx>
        <w:trPr>
          <w:trHeight w:val="196"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项目基本情况</w:t>
            </w:r>
          </w:p>
        </w:tc>
        <w:tc>
          <w:tcPr>
            <w:tcW w:w="116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项目年度目标完成情况</w:t>
            </w:r>
          </w:p>
        </w:tc>
        <w:tc>
          <w:tcPr>
            <w:tcW w:w="4562"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项目年度目标</w:t>
            </w:r>
          </w:p>
        </w:tc>
        <w:tc>
          <w:tcPr>
            <w:tcW w:w="325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ascii="黑体" w:hAnsi="黑体" w:eastAsia="黑体" w:cs="黑体"/>
                <w:color w:val="000000"/>
                <w:sz w:val="18"/>
                <w:szCs w:val="18"/>
              </w:rPr>
            </w:pPr>
            <w:r>
              <w:rPr>
                <w:rFonts w:hint="eastAsia" w:hAnsi="宋体"/>
                <w:color w:val="000000"/>
                <w:sz w:val="18"/>
                <w:szCs w:val="18"/>
              </w:rPr>
              <w:t>年度目标完成情况</w:t>
            </w:r>
          </w:p>
        </w:tc>
      </w:tr>
      <w:tr>
        <w:tblPrEx>
          <w:shd w:val="clear" w:color="auto" w:fill="FFFFFF" w:themeFill="background1"/>
          <w:tblCellMar>
            <w:top w:w="0" w:type="dxa"/>
            <w:left w:w="108" w:type="dxa"/>
            <w:bottom w:w="0" w:type="dxa"/>
            <w:right w:w="108" w:type="dxa"/>
          </w:tblCellMar>
        </w:tblPrEx>
        <w:trPr>
          <w:trHeight w:val="383"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116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4394" w:type="dxa"/>
            <w:gridSpan w:val="1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int="eastAsia" w:hAnsi="宋体"/>
                <w:color w:val="000000"/>
                <w:sz w:val="18"/>
                <w:szCs w:val="18"/>
              </w:rPr>
              <w:t>建立监测点60个，监测面积0.9万亩次</w:t>
            </w:r>
          </w:p>
        </w:tc>
        <w:tc>
          <w:tcPr>
            <w:tcW w:w="342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黑体" w:hAnsi="黑体" w:eastAsia="黑体" w:cs="黑体"/>
                <w:color w:val="000000"/>
                <w:sz w:val="18"/>
                <w:szCs w:val="18"/>
              </w:rPr>
            </w:pPr>
            <w:r>
              <w:rPr>
                <w:rFonts w:hint="eastAsia" w:hAnsi="宋体"/>
                <w:color w:val="000000"/>
                <w:sz w:val="18"/>
                <w:szCs w:val="18"/>
              </w:rPr>
              <w:t>建立监测点60个，监测面积0.9万亩次</w:t>
            </w:r>
          </w:p>
        </w:tc>
      </w:tr>
      <w:tr>
        <w:tblPrEx>
          <w:shd w:val="clear" w:color="auto" w:fill="FFFFFF" w:themeFill="background1"/>
          <w:tblCellMar>
            <w:top w:w="0" w:type="dxa"/>
            <w:left w:w="108" w:type="dxa"/>
            <w:bottom w:w="0" w:type="dxa"/>
            <w:right w:w="108" w:type="dxa"/>
          </w:tblCellMar>
        </w:tblPrEx>
        <w:trPr>
          <w:trHeight w:val="205"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2243"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项目实施内容及过程概述</w:t>
            </w:r>
          </w:p>
        </w:tc>
        <w:tc>
          <w:tcPr>
            <w:tcW w:w="6743"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int="eastAsia" w:hAnsi="宋体"/>
                <w:color w:val="000000"/>
                <w:sz w:val="18"/>
                <w:szCs w:val="18"/>
              </w:rPr>
              <w:t>建立监测点60个，监测面积0.9万亩次，任务完成后</w:t>
            </w:r>
            <w:r>
              <w:rPr>
                <w:rFonts w:hAnsi="宋体"/>
                <w:color w:val="000000"/>
                <w:sz w:val="18"/>
                <w:szCs w:val="18"/>
              </w:rPr>
              <w:t>科农局拨付资金。</w:t>
            </w:r>
          </w:p>
        </w:tc>
      </w:tr>
      <w:tr>
        <w:tblPrEx>
          <w:shd w:val="clear" w:color="auto" w:fill="FFFFFF" w:themeFill="background1"/>
          <w:tblCellMar>
            <w:top w:w="0" w:type="dxa"/>
            <w:left w:w="108" w:type="dxa"/>
            <w:bottom w:w="0" w:type="dxa"/>
            <w:right w:w="108" w:type="dxa"/>
          </w:tblCellMar>
        </w:tblPrEx>
        <w:trPr>
          <w:trHeight w:val="589"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预算执</w:t>
            </w:r>
            <w:r>
              <w:rPr>
                <w:rFonts w:hAnsi="宋体"/>
                <w:color w:val="000000"/>
                <w:sz w:val="18"/>
                <w:szCs w:val="18"/>
              </w:rPr>
              <w:br w:type="textWrapping"/>
            </w:r>
            <w:r>
              <w:rPr>
                <w:rFonts w:hAnsi="宋体"/>
                <w:color w:val="000000"/>
                <w:sz w:val="18"/>
                <w:szCs w:val="18"/>
              </w:rPr>
              <w:t>行情况（10分）</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年度预算数（万元）</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年初预算</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调整后预算数</w:t>
            </w:r>
          </w:p>
        </w:tc>
        <w:tc>
          <w:tcPr>
            <w:tcW w:w="189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预算执行数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预算执行率</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权重</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得分</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原因</w:t>
            </w:r>
          </w:p>
        </w:tc>
      </w:tr>
      <w:tr>
        <w:tblPrEx>
          <w:shd w:val="clear" w:color="auto" w:fill="FFFFFF" w:themeFill="background1"/>
          <w:tblCellMar>
            <w:top w:w="0" w:type="dxa"/>
            <w:left w:w="108" w:type="dxa"/>
            <w:bottom w:w="0" w:type="dxa"/>
            <w:right w:w="108" w:type="dxa"/>
          </w:tblCellMar>
        </w:tblPrEx>
        <w:trPr>
          <w:trHeight w:val="30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总额</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hAnsi="宋体" w:eastAsia="宋体"/>
                <w:color w:val="000000"/>
                <w:sz w:val="18"/>
                <w:szCs w:val="18"/>
                <w:lang w:val="en-US" w:eastAsia="zh-CN"/>
              </w:rPr>
            </w:pPr>
            <w:r>
              <w:rPr>
                <w:rFonts w:hint="eastAsia" w:hAnsi="宋体"/>
                <w:color w:val="000000"/>
                <w:sz w:val="18"/>
                <w:szCs w:val="18"/>
                <w:lang w:val="en-US" w:eastAsia="zh-CN"/>
              </w:rPr>
              <w:t>10.88</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eastAsia="zh-CN"/>
              </w:rPr>
            </w:pPr>
            <w:r>
              <w:rPr>
                <w:rFonts w:hint="eastAsia" w:hAnsi="宋体"/>
                <w:color w:val="000000"/>
                <w:sz w:val="18"/>
                <w:szCs w:val="18"/>
              </w:rPr>
              <w:t>10.8</w:t>
            </w:r>
            <w:r>
              <w:rPr>
                <w:rFonts w:hint="eastAsia" w:hAnsi="宋体"/>
                <w:color w:val="000000"/>
                <w:sz w:val="18"/>
                <w:szCs w:val="18"/>
                <w:lang w:val="en-US" w:eastAsia="zh-CN"/>
              </w:rPr>
              <w:t>8</w:t>
            </w:r>
          </w:p>
        </w:tc>
        <w:tc>
          <w:tcPr>
            <w:tcW w:w="189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eastAsia="zh-CN"/>
              </w:rPr>
            </w:pPr>
            <w:r>
              <w:rPr>
                <w:rFonts w:hint="eastAsia" w:hAnsi="宋体"/>
                <w:color w:val="000000"/>
                <w:sz w:val="18"/>
                <w:szCs w:val="18"/>
              </w:rPr>
              <w:t>10.8</w:t>
            </w:r>
            <w:r>
              <w:rPr>
                <w:rFonts w:hint="eastAsia" w:hAnsi="宋体"/>
                <w:color w:val="000000"/>
                <w:sz w:val="18"/>
                <w:szCs w:val="18"/>
                <w:lang w:val="en-US" w:eastAsia="zh-CN"/>
              </w:rPr>
              <w:t>8</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黑体" w:hAnsi="黑体" w:eastAsia="黑体" w:cs="黑体"/>
                <w:color w:val="000000"/>
                <w:sz w:val="18"/>
                <w:szCs w:val="18"/>
              </w:rPr>
            </w:pPr>
          </w:p>
        </w:tc>
      </w:tr>
      <w:tr>
        <w:tblPrEx>
          <w:shd w:val="clear" w:color="auto" w:fill="FFFFFF" w:themeFill="background1"/>
          <w:tblCellMar>
            <w:top w:w="0" w:type="dxa"/>
            <w:left w:w="108" w:type="dxa"/>
            <w:bottom w:w="0" w:type="dxa"/>
            <w:right w:w="108" w:type="dxa"/>
          </w:tblCellMar>
        </w:tblPrEx>
        <w:trPr>
          <w:trHeight w:val="464"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其中：财政资金</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default" w:hAnsi="宋体" w:eastAsia="宋体"/>
                <w:color w:val="000000"/>
                <w:sz w:val="18"/>
                <w:szCs w:val="18"/>
                <w:lang w:val="en-US" w:eastAsia="zh-CN"/>
              </w:rPr>
            </w:pPr>
            <w:r>
              <w:rPr>
                <w:rFonts w:hint="eastAsia" w:hAnsi="宋体"/>
                <w:color w:val="000000"/>
                <w:sz w:val="18"/>
                <w:szCs w:val="18"/>
                <w:lang w:val="en-US" w:eastAsia="zh-CN"/>
              </w:rPr>
              <w:t>10.88</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eastAsia="zh-CN"/>
              </w:rPr>
            </w:pPr>
            <w:r>
              <w:rPr>
                <w:rFonts w:hint="eastAsia" w:hAnsi="宋体"/>
                <w:color w:val="000000"/>
                <w:sz w:val="18"/>
                <w:szCs w:val="18"/>
              </w:rPr>
              <w:t>10.8</w:t>
            </w:r>
            <w:r>
              <w:rPr>
                <w:rFonts w:hint="eastAsia" w:hAnsi="宋体"/>
                <w:color w:val="000000"/>
                <w:sz w:val="18"/>
                <w:szCs w:val="18"/>
                <w:lang w:val="en-US" w:eastAsia="zh-CN"/>
              </w:rPr>
              <w:t>8</w:t>
            </w:r>
          </w:p>
        </w:tc>
        <w:tc>
          <w:tcPr>
            <w:tcW w:w="189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eastAsia="zh-CN"/>
              </w:rPr>
            </w:pPr>
            <w:r>
              <w:rPr>
                <w:rFonts w:hint="eastAsia" w:hAnsi="宋体"/>
                <w:color w:val="000000"/>
                <w:sz w:val="18"/>
                <w:szCs w:val="18"/>
              </w:rPr>
              <w:t>10.8</w:t>
            </w:r>
            <w:r>
              <w:rPr>
                <w:rFonts w:hint="eastAsia" w:hAnsi="宋体"/>
                <w:color w:val="000000"/>
                <w:sz w:val="18"/>
                <w:szCs w:val="18"/>
                <w:lang w:val="en-US" w:eastAsia="zh-CN"/>
              </w:rPr>
              <w:t>8</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ascii="黑体" w:hAnsi="黑体" w:eastAsia="黑体" w:cs="黑体"/>
                <w:color w:val="000000"/>
                <w:sz w:val="18"/>
                <w:szCs w:val="18"/>
              </w:rPr>
            </w:pPr>
          </w:p>
        </w:tc>
      </w:tr>
      <w:tr>
        <w:tblPrEx>
          <w:shd w:val="clear" w:color="auto" w:fill="FFFFFF" w:themeFill="background1"/>
          <w:tblCellMar>
            <w:top w:w="0" w:type="dxa"/>
            <w:left w:w="108" w:type="dxa"/>
            <w:bottom w:w="0" w:type="dxa"/>
            <w:right w:w="108" w:type="dxa"/>
          </w:tblCellMar>
        </w:tblPrEx>
        <w:trPr>
          <w:trHeight w:val="9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财政专户管理资金</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189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ascii="黑体" w:hAnsi="黑体" w:eastAsia="黑体" w:cs="黑体"/>
                <w:color w:val="000000"/>
                <w:sz w:val="18"/>
                <w:szCs w:val="18"/>
              </w:rPr>
            </w:pPr>
          </w:p>
        </w:tc>
      </w:tr>
      <w:tr>
        <w:tblPrEx>
          <w:shd w:val="clear" w:color="auto" w:fill="FFFFFF" w:themeFill="background1"/>
          <w:tblCellMar>
            <w:top w:w="0" w:type="dxa"/>
            <w:left w:w="108" w:type="dxa"/>
            <w:bottom w:w="0" w:type="dxa"/>
            <w:right w:w="108" w:type="dxa"/>
          </w:tblCellMar>
        </w:tblPrEx>
        <w:trPr>
          <w:trHeight w:val="30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单位资金</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1897"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ascii="黑体" w:hAnsi="黑体" w:eastAsia="黑体" w:cs="黑体"/>
                <w:color w:val="000000"/>
                <w:sz w:val="18"/>
                <w:szCs w:val="18"/>
              </w:rPr>
            </w:pPr>
          </w:p>
        </w:tc>
      </w:tr>
      <w:tr>
        <w:tblPrEx>
          <w:shd w:val="clear" w:color="auto" w:fill="FFFFFF" w:themeFill="background1"/>
          <w:tblCellMar>
            <w:top w:w="0" w:type="dxa"/>
            <w:left w:w="108" w:type="dxa"/>
            <w:bottom w:w="0" w:type="dxa"/>
            <w:right w:w="108" w:type="dxa"/>
          </w:tblCellMar>
        </w:tblPrEx>
        <w:trPr>
          <w:trHeight w:val="635"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绩效指标（90分）</w:t>
            </w:r>
          </w:p>
        </w:tc>
        <w:tc>
          <w:tcPr>
            <w:tcW w:w="1022"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一级指标</w:t>
            </w:r>
          </w:p>
        </w:tc>
        <w:tc>
          <w:tcPr>
            <w:tcW w:w="961"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二级指标</w:t>
            </w:r>
          </w:p>
        </w:tc>
        <w:tc>
          <w:tcPr>
            <w:tcW w:w="184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三级指标</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指标性质</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指标值</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度量单位</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完成值</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权重</w:t>
            </w:r>
          </w:p>
        </w:tc>
        <w:tc>
          <w:tcPr>
            <w:tcW w:w="5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得分</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未完成原因分析</w:t>
            </w:r>
          </w:p>
        </w:tc>
      </w:tr>
      <w:tr>
        <w:tblPrEx>
          <w:shd w:val="clear" w:color="auto" w:fill="FFFFFF" w:themeFill="background1"/>
          <w:tblCellMar>
            <w:top w:w="0" w:type="dxa"/>
            <w:left w:w="108" w:type="dxa"/>
            <w:bottom w:w="0" w:type="dxa"/>
            <w:right w:w="108" w:type="dxa"/>
          </w:tblCellMar>
        </w:tblPrEx>
        <w:trPr>
          <w:trHeight w:val="196" w:hRule="atLeast"/>
        </w:trPr>
        <w:tc>
          <w:tcPr>
            <w:tcW w:w="714" w:type="dxa"/>
            <w:vMerge w:val="continue"/>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jc w:val="center"/>
              <w:rPr>
                <w:rFonts w:hAnsi="宋体"/>
                <w:color w:val="000000"/>
                <w:sz w:val="18"/>
                <w:szCs w:val="18"/>
              </w:rPr>
            </w:pPr>
          </w:p>
        </w:tc>
        <w:tc>
          <w:tcPr>
            <w:tcW w:w="1022"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both"/>
              <w:textAlignment w:val="center"/>
              <w:rPr>
                <w:rFonts w:hAnsi="宋体"/>
                <w:color w:val="000000"/>
                <w:sz w:val="18"/>
                <w:szCs w:val="18"/>
              </w:rPr>
            </w:pPr>
            <w:r>
              <w:rPr>
                <w:rFonts w:hAnsi="宋体"/>
                <w:color w:val="000000"/>
                <w:sz w:val="18"/>
                <w:szCs w:val="18"/>
              </w:rPr>
              <w:t>产出指标</w:t>
            </w:r>
          </w:p>
        </w:tc>
        <w:tc>
          <w:tcPr>
            <w:tcW w:w="961"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数量指标</w:t>
            </w:r>
          </w:p>
        </w:tc>
        <w:tc>
          <w:tcPr>
            <w:tcW w:w="1849"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kern w:val="2"/>
                <w:sz w:val="18"/>
                <w:szCs w:val="18"/>
              </w:rPr>
              <w:t>疫情监测点</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60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个</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60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微软雅黑" w:hAnsi="微软雅黑" w:eastAsia="微软雅黑" w:cs="微软雅黑"/>
                <w:i/>
                <w:iCs/>
                <w:color w:val="000000"/>
                <w:sz w:val="16"/>
                <w:szCs w:val="16"/>
              </w:rPr>
            </w:pPr>
          </w:p>
        </w:tc>
      </w:tr>
      <w:tr>
        <w:tblPrEx>
          <w:shd w:val="clear" w:color="auto" w:fill="FFFFFF" w:themeFill="background1"/>
          <w:tblCellMar>
            <w:top w:w="0" w:type="dxa"/>
            <w:left w:w="108" w:type="dxa"/>
            <w:bottom w:w="0" w:type="dxa"/>
            <w:right w:w="108" w:type="dxa"/>
          </w:tblCellMar>
        </w:tblPrEx>
        <w:trPr>
          <w:trHeight w:val="90" w:hRule="atLeast"/>
        </w:trPr>
        <w:tc>
          <w:tcPr>
            <w:tcW w:w="714" w:type="dxa"/>
            <w:vMerge w:val="continue"/>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Ansi="宋体"/>
                <w:color w:val="000000"/>
                <w:sz w:val="18"/>
                <w:szCs w:val="18"/>
              </w:rPr>
            </w:pPr>
          </w:p>
        </w:tc>
        <w:tc>
          <w:tcPr>
            <w:tcW w:w="961"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Ansi="宋体"/>
                <w:color w:val="000000"/>
                <w:sz w:val="18"/>
                <w:szCs w:val="18"/>
              </w:rPr>
            </w:pPr>
          </w:p>
        </w:tc>
        <w:tc>
          <w:tcPr>
            <w:tcW w:w="1849"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疫情监测面积</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0.9</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万亩次</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sz w:val="18"/>
                <w:szCs w:val="18"/>
              </w:rPr>
              <w:t>0.9</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195" w:hRule="atLeast"/>
        </w:trPr>
        <w:tc>
          <w:tcPr>
            <w:tcW w:w="714" w:type="dxa"/>
            <w:vMerge w:val="continue"/>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Ansi="宋体"/>
                <w:color w:val="000000"/>
                <w:sz w:val="18"/>
                <w:szCs w:val="18"/>
              </w:rPr>
            </w:pPr>
          </w:p>
        </w:tc>
        <w:tc>
          <w:tcPr>
            <w:tcW w:w="96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质量指标</w:t>
            </w:r>
          </w:p>
        </w:tc>
        <w:tc>
          <w:tcPr>
            <w:tcW w:w="1849"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培训验收合格率</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394" w:hRule="atLeast"/>
        </w:trPr>
        <w:tc>
          <w:tcPr>
            <w:tcW w:w="714" w:type="dxa"/>
            <w:vMerge w:val="continue"/>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Ansi="宋体"/>
                <w:color w:val="000000"/>
                <w:sz w:val="18"/>
                <w:szCs w:val="18"/>
              </w:rPr>
            </w:pPr>
          </w:p>
        </w:tc>
        <w:tc>
          <w:tcPr>
            <w:tcW w:w="96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时效指标</w:t>
            </w:r>
          </w:p>
        </w:tc>
        <w:tc>
          <w:tcPr>
            <w:tcW w:w="1849" w:type="dxa"/>
            <w:gridSpan w:val="4"/>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202</w:t>
            </w:r>
            <w:r>
              <w:rPr>
                <w:rFonts w:hint="eastAsia" w:hAnsi="宋体"/>
                <w:color w:val="000000"/>
                <w:sz w:val="18"/>
                <w:szCs w:val="18"/>
                <w:lang w:val="en-US" w:eastAsia="zh-CN"/>
              </w:rPr>
              <w:t>4</w:t>
            </w:r>
            <w:r>
              <w:rPr>
                <w:rFonts w:hAnsi="宋体"/>
                <w:color w:val="000000"/>
                <w:sz w:val="18"/>
                <w:szCs w:val="18"/>
              </w:rPr>
              <w:t>年</w:t>
            </w:r>
            <w:r>
              <w:rPr>
                <w:rFonts w:hint="eastAsia" w:hAnsi="宋体"/>
                <w:color w:val="000000"/>
                <w:sz w:val="18"/>
                <w:szCs w:val="18"/>
              </w:rPr>
              <w:t>12</w:t>
            </w:r>
            <w:r>
              <w:rPr>
                <w:rFonts w:hAnsi="宋体"/>
                <w:color w:val="000000"/>
                <w:sz w:val="18"/>
                <w:szCs w:val="18"/>
              </w:rPr>
              <w:t>月</w:t>
            </w:r>
            <w:r>
              <w:rPr>
                <w:rFonts w:hint="eastAsia" w:hAnsi="宋体"/>
                <w:color w:val="000000"/>
                <w:sz w:val="18"/>
                <w:szCs w:val="18"/>
              </w:rPr>
              <w:t>2</w:t>
            </w:r>
            <w:r>
              <w:rPr>
                <w:rFonts w:hAnsi="宋体"/>
                <w:color w:val="000000"/>
                <w:sz w:val="18"/>
                <w:szCs w:val="18"/>
              </w:rPr>
              <w:t>0日前完成</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868"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02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效益指标</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Ansi="宋体"/>
                <w:color w:val="000000"/>
                <w:sz w:val="18"/>
                <w:szCs w:val="18"/>
              </w:rPr>
              <w:t>经济效益</w:t>
            </w:r>
            <w:r>
              <w:rPr>
                <w:rFonts w:hAnsi="宋体"/>
                <w:color w:val="000000"/>
                <w:sz w:val="18"/>
                <w:szCs w:val="18"/>
              </w:rPr>
              <w:br w:type="textWrapping"/>
            </w:r>
            <w:r>
              <w:rPr>
                <w:rFonts w:hAnsi="宋体"/>
                <w:color w:val="000000"/>
                <w:sz w:val="18"/>
                <w:szCs w:val="18"/>
              </w:rPr>
              <w:t>指标</w:t>
            </w:r>
          </w:p>
        </w:tc>
        <w:tc>
          <w:tcPr>
            <w:tcW w:w="21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eastAsia="zh-CN"/>
              </w:rPr>
            </w:pPr>
            <w:r>
              <w:rPr>
                <w:rFonts w:hint="eastAsia" w:hAnsi="宋体"/>
                <w:color w:val="000000"/>
                <w:kern w:val="2"/>
                <w:sz w:val="18"/>
                <w:szCs w:val="18"/>
              </w:rPr>
              <w:t>通过监测及时发现疫情，采取有效措施阻截，减少疫情对农业生产的危害</w:t>
            </w:r>
            <w:r>
              <w:rPr>
                <w:rFonts w:hint="eastAsia" w:hAnsi="宋体"/>
                <w:color w:val="000000"/>
                <w:kern w:val="2"/>
                <w:sz w:val="18"/>
                <w:szCs w:val="18"/>
                <w:lang w:eastAsia="zh-CN"/>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其他</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1609"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社会效益</w:t>
            </w:r>
            <w:r>
              <w:rPr>
                <w:rFonts w:hAnsi="宋体"/>
                <w:color w:val="000000"/>
                <w:sz w:val="18"/>
                <w:szCs w:val="18"/>
              </w:rPr>
              <w:br w:type="textWrapping"/>
            </w:r>
            <w:r>
              <w:rPr>
                <w:rFonts w:hAnsi="宋体"/>
                <w:color w:val="000000"/>
                <w:sz w:val="18"/>
                <w:szCs w:val="18"/>
              </w:rPr>
              <w:t>指标</w:t>
            </w:r>
          </w:p>
        </w:tc>
        <w:tc>
          <w:tcPr>
            <w:tcW w:w="21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olor w:val="000000"/>
                <w:kern w:val="2"/>
                <w:sz w:val="18"/>
                <w:szCs w:val="18"/>
                <w:lang w:val="zh-CN"/>
              </w:rPr>
              <w:t>推广新型的实用检疫性病虫害防控新技术，提升农作物检疫性有害生物及重大病虫害监测预警能力和科学防控水平。</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其他</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1329"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生态效益</w:t>
            </w:r>
            <w:r>
              <w:rPr>
                <w:rFonts w:hAnsi="宋体"/>
                <w:color w:val="000000"/>
                <w:sz w:val="18"/>
                <w:szCs w:val="18"/>
              </w:rPr>
              <w:br w:type="textWrapping"/>
            </w:r>
            <w:r>
              <w:rPr>
                <w:rFonts w:hAnsi="宋体"/>
                <w:color w:val="000000"/>
                <w:sz w:val="18"/>
                <w:szCs w:val="18"/>
              </w:rPr>
              <w:t>指标</w:t>
            </w:r>
          </w:p>
        </w:tc>
        <w:tc>
          <w:tcPr>
            <w:tcW w:w="21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Ansi="宋体"/>
                <w:color w:val="000000"/>
                <w:sz w:val="18"/>
                <w:szCs w:val="18"/>
              </w:rPr>
            </w:pPr>
            <w:r>
              <w:rPr>
                <w:rFonts w:hint="eastAsia" w:hAnsi="宋体"/>
                <w:color w:val="000000"/>
                <w:kern w:val="2"/>
                <w:sz w:val="18"/>
                <w:szCs w:val="18"/>
                <w:lang w:val="zh-CN"/>
              </w:rPr>
              <w:t>通过疫情监测防控，实时了解苹果蠹蛾、梨火疫病在我县发生动态，及时采取防控措</w:t>
            </w:r>
            <w:r>
              <w:rPr>
                <w:rFonts w:hint="eastAsia" w:hAnsi="宋体"/>
                <w:color w:val="000000"/>
                <w:kern w:val="2"/>
                <w:sz w:val="18"/>
                <w:szCs w:val="18"/>
                <w:lang w:val="en-US" w:eastAsia="zh-CN"/>
              </w:rPr>
              <w:t>施</w:t>
            </w:r>
            <w:r>
              <w:rPr>
                <w:rFonts w:hint="eastAsia" w:hAnsi="宋体"/>
                <w:color w:val="000000"/>
                <w:kern w:val="2"/>
                <w:sz w:val="18"/>
                <w:szCs w:val="18"/>
                <w:lang w:val="zh-CN"/>
              </w:rPr>
              <w:t>，保护农业生态环境。</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其他</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18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51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可持续影响指标</w:t>
            </w:r>
          </w:p>
        </w:tc>
        <w:tc>
          <w:tcPr>
            <w:tcW w:w="12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int="eastAsia" w:hAnsi="宋体" w:eastAsia="宋体"/>
                <w:color w:val="000000"/>
                <w:sz w:val="18"/>
                <w:szCs w:val="18"/>
                <w:lang w:val="en-US" w:eastAsia="zh-CN"/>
              </w:rPr>
            </w:pPr>
            <w:r>
              <w:rPr>
                <w:rFonts w:hAnsi="宋体"/>
                <w:color w:val="000000"/>
                <w:sz w:val="18"/>
                <w:szCs w:val="18"/>
              </w:rPr>
              <w:t>可持续</w:t>
            </w:r>
            <w:r>
              <w:rPr>
                <w:rFonts w:hint="eastAsia" w:hAnsi="宋体"/>
                <w:color w:val="000000"/>
                <w:sz w:val="18"/>
                <w:szCs w:val="18"/>
                <w:lang w:val="en-US" w:eastAsia="zh-CN"/>
              </w:rPr>
              <w:t>性</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定性</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其他</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良好</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473"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Ansi="宋体"/>
                <w:color w:val="000000"/>
                <w:sz w:val="18"/>
                <w:szCs w:val="18"/>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满意</w:t>
            </w:r>
            <w:r>
              <w:rPr>
                <w:rFonts w:hAnsi="宋体"/>
                <w:color w:val="000000"/>
                <w:sz w:val="18"/>
                <w:szCs w:val="18"/>
              </w:rPr>
              <w:br w:type="textWrapping"/>
            </w:r>
            <w:r>
              <w:rPr>
                <w:rFonts w:hAnsi="宋体"/>
                <w:color w:val="000000"/>
                <w:sz w:val="18"/>
                <w:szCs w:val="18"/>
              </w:rPr>
              <w:t>度指标</w:t>
            </w:r>
          </w:p>
        </w:tc>
        <w:tc>
          <w:tcPr>
            <w:tcW w:w="120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服务对象</w:t>
            </w:r>
            <w:r>
              <w:rPr>
                <w:rFonts w:hAnsi="宋体"/>
                <w:color w:val="000000"/>
                <w:sz w:val="18"/>
                <w:szCs w:val="18"/>
              </w:rPr>
              <w:br w:type="textWrapping"/>
            </w:r>
            <w:r>
              <w:rPr>
                <w:rFonts w:hAnsi="宋体"/>
                <w:color w:val="000000"/>
                <w:sz w:val="18"/>
                <w:szCs w:val="18"/>
              </w:rPr>
              <w:t>满意度指标</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int="eastAsia" w:hAnsi="宋体" w:cs="宋体"/>
                <w:i w:val="0"/>
                <w:iCs w:val="0"/>
                <w:color w:val="000000"/>
                <w:kern w:val="0"/>
                <w:sz w:val="18"/>
                <w:szCs w:val="18"/>
                <w:u w:val="none"/>
                <w:lang w:val="en-US" w:eastAsia="zh-CN" w:bidi="ar"/>
              </w:rPr>
              <w:t>农户、受益群众</w:t>
            </w:r>
            <w:r>
              <w:rPr>
                <w:rFonts w:hAnsi="宋体"/>
                <w:color w:val="000000"/>
                <w:sz w:val="18"/>
                <w:szCs w:val="18"/>
              </w:rPr>
              <w:t>满意度</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85</w:t>
            </w:r>
          </w:p>
        </w:tc>
        <w:tc>
          <w:tcPr>
            <w:tcW w:w="6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90" w:hRule="atLeast"/>
        </w:trPr>
        <w:tc>
          <w:tcPr>
            <w:tcW w:w="7298"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Ansi="宋体"/>
                <w:color w:val="000000"/>
                <w:sz w:val="18"/>
                <w:szCs w:val="18"/>
              </w:rPr>
            </w:pPr>
          </w:p>
        </w:tc>
      </w:tr>
      <w:tr>
        <w:tblPrEx>
          <w:shd w:val="clear" w:color="auto" w:fill="FFFFFF" w:themeFill="background1"/>
          <w:tblCellMar>
            <w:top w:w="0" w:type="dxa"/>
            <w:left w:w="108" w:type="dxa"/>
            <w:bottom w:w="0" w:type="dxa"/>
            <w:right w:w="108" w:type="dxa"/>
          </w:tblCellMar>
        </w:tblPrEx>
        <w:trPr>
          <w:trHeight w:val="623" w:hRule="atLeast"/>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评价结论</w:t>
            </w:r>
          </w:p>
        </w:tc>
        <w:tc>
          <w:tcPr>
            <w:tcW w:w="8649"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微软雅黑" w:hAnsi="微软雅黑" w:eastAsia="微软雅黑" w:cs="微软雅黑"/>
                <w:color w:val="000000"/>
                <w:sz w:val="16"/>
                <w:szCs w:val="16"/>
              </w:rPr>
            </w:pPr>
            <w:r>
              <w:rPr>
                <w:rFonts w:hint="eastAsia" w:hAnsi="宋体"/>
                <w:color w:val="000000"/>
                <w:sz w:val="18"/>
                <w:szCs w:val="18"/>
              </w:rPr>
              <w:t>该项目自评总得分100分，为及时掌握疫情发生情况，提升我县农作物检疫性有害生物及重大病虫害监测预警能力和科学防控水平提供支撑。</w:t>
            </w:r>
          </w:p>
        </w:tc>
      </w:tr>
      <w:tr>
        <w:tblPrEx>
          <w:shd w:val="clear" w:color="auto" w:fill="FFFFFF" w:themeFill="background1"/>
          <w:tblCellMar>
            <w:top w:w="0" w:type="dxa"/>
            <w:left w:w="108" w:type="dxa"/>
            <w:bottom w:w="0" w:type="dxa"/>
            <w:right w:w="108" w:type="dxa"/>
          </w:tblCellMar>
        </w:tblPrEx>
        <w:trPr>
          <w:trHeight w:val="187" w:hRule="atLeast"/>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textAlignment w:val="center"/>
              <w:rPr>
                <w:rFonts w:hAnsi="宋体"/>
                <w:color w:val="000000"/>
                <w:sz w:val="18"/>
                <w:szCs w:val="18"/>
              </w:rPr>
            </w:pPr>
            <w:r>
              <w:rPr>
                <w:rFonts w:hAnsi="宋体"/>
                <w:color w:val="000000"/>
                <w:sz w:val="18"/>
                <w:szCs w:val="18"/>
              </w:rPr>
              <w:t>存在问题</w:t>
            </w:r>
          </w:p>
        </w:tc>
        <w:tc>
          <w:tcPr>
            <w:tcW w:w="8649"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ascii="微软雅黑" w:hAnsi="微软雅黑" w:eastAsia="微软雅黑" w:cs="微软雅黑"/>
                <w:color w:val="000000"/>
                <w:sz w:val="16"/>
                <w:szCs w:val="16"/>
              </w:rPr>
            </w:pPr>
            <w:r>
              <w:rPr>
                <w:rFonts w:hint="eastAsia" w:hAnsi="宋体"/>
                <w:color w:val="000000"/>
                <w:sz w:val="18"/>
                <w:szCs w:val="18"/>
              </w:rPr>
              <w:t>农户知识水平参次不齐，在病虫害识别方面存在一定差距。</w:t>
            </w:r>
          </w:p>
        </w:tc>
      </w:tr>
      <w:tr>
        <w:tblPrEx>
          <w:shd w:val="clear" w:color="auto" w:fill="FFFFFF" w:themeFill="background1"/>
          <w:tblCellMar>
            <w:top w:w="0" w:type="dxa"/>
            <w:left w:w="108" w:type="dxa"/>
            <w:bottom w:w="0" w:type="dxa"/>
            <w:right w:w="108" w:type="dxa"/>
          </w:tblCellMar>
        </w:tblPrEx>
        <w:trPr>
          <w:trHeight w:val="175" w:hRule="atLeast"/>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default" w:hAnsi="宋体"/>
                <w:color w:val="000000"/>
                <w:sz w:val="18"/>
                <w:szCs w:val="18"/>
                <w:lang w:val="en-US" w:eastAsia="zh-CN"/>
              </w:rPr>
            </w:pPr>
            <w:r>
              <w:rPr>
                <w:rFonts w:hint="eastAsia" w:hAnsi="宋体"/>
                <w:color w:val="000000"/>
                <w:sz w:val="18"/>
                <w:szCs w:val="18"/>
                <w:lang w:val="en-US" w:eastAsia="zh-CN"/>
              </w:rPr>
              <w:t>改进措施</w:t>
            </w:r>
          </w:p>
        </w:tc>
        <w:tc>
          <w:tcPr>
            <w:tcW w:w="8649"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textAlignment w:val="center"/>
              <w:rPr>
                <w:rFonts w:hint="eastAsia" w:hAnsi="宋体"/>
                <w:color w:val="000000"/>
                <w:sz w:val="18"/>
                <w:szCs w:val="18"/>
              </w:rPr>
            </w:pPr>
            <w:r>
              <w:rPr>
                <w:rFonts w:hint="eastAsia" w:hAnsi="宋体"/>
                <w:color w:val="000000"/>
                <w:sz w:val="18"/>
                <w:szCs w:val="18"/>
              </w:rPr>
              <w:t>进一步加强自身和农户业务知识的学习。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rPr>
      </w:pPr>
    </w:p>
    <w:tbl>
      <w:tblPr>
        <w:tblStyle w:val="17"/>
        <w:tblW w:w="9944" w:type="dxa"/>
        <w:tblInd w:w="-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23"/>
        <w:gridCol w:w="364"/>
        <w:gridCol w:w="618"/>
        <w:gridCol w:w="176"/>
        <w:gridCol w:w="609"/>
        <w:gridCol w:w="405"/>
        <w:gridCol w:w="318"/>
        <w:gridCol w:w="1536"/>
        <w:gridCol w:w="114"/>
        <w:gridCol w:w="133"/>
        <w:gridCol w:w="463"/>
        <w:gridCol w:w="592"/>
        <w:gridCol w:w="156"/>
        <w:gridCol w:w="46"/>
        <w:gridCol w:w="93"/>
        <w:gridCol w:w="123"/>
        <w:gridCol w:w="221"/>
        <w:gridCol w:w="548"/>
        <w:gridCol w:w="237"/>
        <w:gridCol w:w="750"/>
        <w:gridCol w:w="322"/>
        <w:gridCol w:w="402"/>
        <w:gridCol w:w="294"/>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41" w:hRule="atLeast"/>
        </w:trPr>
        <w:tc>
          <w:tcPr>
            <w:tcW w:w="9944" w:type="dxa"/>
            <w:gridSpan w:val="2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b/>
                <w:bCs/>
                <w:color w:val="000000"/>
                <w:sz w:val="30"/>
                <w:szCs w:val="30"/>
                <w:lang w:val="en-US" w:eastAsia="zh-CN"/>
              </w:rPr>
              <w:t>茂县2024年厕所革命示范建设项目支出绩效自评表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11" w:hRule="atLeast"/>
        </w:trPr>
        <w:tc>
          <w:tcPr>
            <w:tcW w:w="17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239" w:type="dxa"/>
            <w:gridSpan w:val="2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茂县2024年厕所革命示范建设项目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17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502"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茂县科学技术和农业畜牧局</w:t>
            </w:r>
          </w:p>
        </w:tc>
        <w:tc>
          <w:tcPr>
            <w:tcW w:w="1031" w:type="dxa"/>
            <w:gridSpan w:val="5"/>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70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项目年度目标完成情况</w:t>
            </w:r>
          </w:p>
        </w:tc>
        <w:tc>
          <w:tcPr>
            <w:tcW w:w="4985"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254"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764"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年度目标：按照每户2000元定额的标准力争计划对545户(含2023年已完成建设并验收未享受补助的216户农户)农村户厕采取“因地制宜、农户自愿、自建、自管，先建后补，以奖代补”的原则进行改造提升进行兑现补助。   </w:t>
            </w:r>
          </w:p>
        </w:tc>
        <w:tc>
          <w:tcPr>
            <w:tcW w:w="347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按照每户2000元定额的标准对545户(含2023年已完成建设并验收未享受补助的216户农户)农村户厕采取“因地制宜、农户自愿、自建、自管，先建后补，以奖代补”的原则进行改造提升进行了兑现补助。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项目实施内容及过程概述</w:t>
            </w:r>
          </w:p>
        </w:tc>
        <w:tc>
          <w:tcPr>
            <w:tcW w:w="8239" w:type="dxa"/>
            <w:gridSpan w:val="2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按照每户2000元定额的标准对545户(含2023年已完成建设并验收未享受补助的216户农户)农村户厕采取“因地制宜、农户自愿、自建、自管，先建后补，以奖代补”的原则进行改造提升进行了兑现补助。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行情况（10分）</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 （万元）</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9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59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59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109.00</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2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农村户厕改造提升</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按批复后的实施方案质量要求完成项目建设</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190" w:type="dxa"/>
            <w:gridSpan w:val="3"/>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2024年12月20日前完成</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1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经济效益指标</w:t>
            </w:r>
          </w:p>
        </w:tc>
        <w:tc>
          <w:tcPr>
            <w:tcW w:w="237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同时通过享受改厕补助，可有效调动群众建设积极性，带动其他相关投资建设</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34"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237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改善项目实施村村容村貌，有利于村风文明建设，村民身心健康及素质提升</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生态效益指标</w:t>
            </w:r>
          </w:p>
        </w:tc>
        <w:tc>
          <w:tcPr>
            <w:tcW w:w="237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推进新农村建设、全面实施农村小康环保行动计划、解决农村环境综合整治</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4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5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w:t>
            </w:r>
          </w:p>
        </w:tc>
        <w:tc>
          <w:tcPr>
            <w:tcW w:w="43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指标</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受益农户满意</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43" w:hRule="atLeast"/>
        </w:trPr>
        <w:tc>
          <w:tcPr>
            <w:tcW w:w="7475"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99</w:t>
            </w:r>
          </w:p>
        </w:tc>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23"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221" w:type="dxa"/>
            <w:gridSpan w:val="2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自评情况，说明项目自评分为99分，全面完成了项目预定的绩效目标。通过项目实施有效调动群众建设积极性，带动了其他相关投资建设。显著改善项目实施村村容村貌，有利于村民身心健康及素质提升。是推进茂县社会主义新农村建设、全面实施农村小康环保行动计划、解决农村环境综合整治的主要抓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857" w:type="dxa"/>
            <w:gridSpan w:val="2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857" w:type="dxa"/>
            <w:gridSpan w:val="2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tbl>
      <w:tblPr>
        <w:tblStyle w:val="17"/>
        <w:tblW w:w="99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06"/>
        <w:gridCol w:w="379"/>
        <w:gridCol w:w="133"/>
        <w:gridCol w:w="997"/>
        <w:gridCol w:w="203"/>
        <w:gridCol w:w="145"/>
        <w:gridCol w:w="133"/>
        <w:gridCol w:w="1186"/>
        <w:gridCol w:w="124"/>
        <w:gridCol w:w="53"/>
        <w:gridCol w:w="106"/>
        <w:gridCol w:w="264"/>
        <w:gridCol w:w="106"/>
        <w:gridCol w:w="724"/>
        <w:gridCol w:w="679"/>
        <w:gridCol w:w="132"/>
        <w:gridCol w:w="830"/>
        <w:gridCol w:w="830"/>
        <w:gridCol w:w="673"/>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920" w:type="dxa"/>
            <w:gridSpan w:val="21"/>
            <w:noWrap w:val="0"/>
            <w:vAlign w:val="center"/>
          </w:tcPr>
          <w:p>
            <w:pPr>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黑体" w:hAnsi="宋体" w:eastAsia="黑体" w:cs="黑体"/>
                <w:b/>
                <w:bCs/>
                <w:color w:val="000000"/>
                <w:sz w:val="30"/>
                <w:szCs w:val="30"/>
                <w:lang w:val="en-US" w:eastAsia="zh-CN"/>
              </w:rPr>
              <w:t>土门镇生猪养殖+果蔬种植循环示范园区项目支出绩效自评表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764" w:type="dxa"/>
            <w:gridSpan w:val="4"/>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8156" w:type="dxa"/>
            <w:gridSpan w:val="17"/>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土门镇生猪养殖+果蔬种植循环示范园区项目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1764" w:type="dxa"/>
            <w:gridSpan w:val="4"/>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720" w:type="dxa"/>
            <w:gridSpan w:val="12"/>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茂县科学技术和农业畜牧局</w:t>
            </w:r>
          </w:p>
        </w:tc>
        <w:tc>
          <w:tcPr>
            <w:tcW w:w="962" w:type="dxa"/>
            <w:gridSpan w:val="2"/>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w:t>
            </w:r>
          </w:p>
        </w:tc>
        <w:tc>
          <w:tcPr>
            <w:tcW w:w="2474" w:type="dxa"/>
            <w:gridSpan w:val="3"/>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土门镇人民政府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46" w:type="dxa"/>
            <w:vMerge w:val="restart"/>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118" w:type="dxa"/>
            <w:gridSpan w:val="3"/>
            <w:vMerge w:val="restart"/>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4720" w:type="dxa"/>
            <w:gridSpan w:val="1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3436"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646" w:type="dxa"/>
            <w:vMerge w:val="continue"/>
            <w:noWrap w:val="0"/>
            <w:vAlign w:val="center"/>
          </w:tcPr>
          <w:p>
            <w:pP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rPr>
                <w:rFonts w:hint="eastAsia" w:asciiTheme="minorEastAsia" w:hAnsiTheme="minorEastAsia" w:eastAsiaTheme="minorEastAsia" w:cstheme="minorEastAsia"/>
                <w:i w:val="0"/>
                <w:iCs w:val="0"/>
                <w:color w:val="000000"/>
                <w:sz w:val="18"/>
                <w:szCs w:val="18"/>
                <w:u w:val="none"/>
              </w:rPr>
            </w:pPr>
          </w:p>
        </w:tc>
        <w:tc>
          <w:tcPr>
            <w:tcW w:w="2947" w:type="dxa"/>
            <w:gridSpan w:val="8"/>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结合土门镇生猪养殖+果蔬种植循环示范园区建设，完成2023年土门镇生猪养殖+果蔬种植循环示范园区项目剩余建设内容的续建，并支付相应的资金。    </w:t>
            </w:r>
          </w:p>
        </w:tc>
        <w:tc>
          <w:tcPr>
            <w:tcW w:w="5209" w:type="dxa"/>
            <w:gridSpan w:val="9"/>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完成了2023年土门镇生猪养殖+果蔬种植循环示范园区项目剩余建设内容的续建，完成了养殖污液还田储存池、特色农副产品展示厅、 园区道路安防、农产品分拣中心、 园区道路板道维修 、田间运输轨道车、园区农田水土保持建设 、园区道路护栏建设、园区果蔬分拣亭建设、园区果蔬采摘道、LED显示屏等设备、园区果蔬集散平台建设、立体农业种植示范架等相关建设。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646" w:type="dxa"/>
            <w:vMerge w:val="continue"/>
            <w:noWrap w:val="0"/>
            <w:vAlign w:val="center"/>
          </w:tcPr>
          <w:p>
            <w:pPr>
              <w:rPr>
                <w:rFonts w:hint="eastAsia" w:asciiTheme="minorEastAsia" w:hAnsiTheme="minorEastAsia" w:eastAsiaTheme="minorEastAsia" w:cstheme="minorEastAsia"/>
                <w:i w:val="0"/>
                <w:iCs w:val="0"/>
                <w:color w:val="000000"/>
                <w:sz w:val="18"/>
                <w:szCs w:val="18"/>
                <w:u w:val="none"/>
              </w:rPr>
            </w:pPr>
          </w:p>
        </w:tc>
        <w:tc>
          <w:tcPr>
            <w:tcW w:w="985" w:type="dxa"/>
            <w:gridSpan w:val="2"/>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8289" w:type="dxa"/>
            <w:gridSpan w:val="18"/>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对2023年土门镇生猪养殖+果蔬种植循环示范园区项目剩余建设内容的续建（通过物资采购和公开招标的方式），完成了养殖污液还田储存池、特色农副产品展示厅、 园区道路安防、农产品分拣中心、 园区道路板道维修 、田间运输轨道车、园区农田水土保持建设 、园区道路护栏建设、园区果蔬分拣亭建设、园区果蔬采摘道、LED显示屏等设备、园区果蔬集散平台建设、立体农业种植示范架等相关建设。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46"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056"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7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454.00</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341.54</w:t>
            </w:r>
          </w:p>
        </w:tc>
        <w:tc>
          <w:tcPr>
            <w:tcW w:w="2056"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341.54</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1" w:type="dxa"/>
            <w:vMerge w:val="restar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454.00</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341.54</w:t>
            </w:r>
          </w:p>
        </w:tc>
        <w:tc>
          <w:tcPr>
            <w:tcW w:w="2056"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341.54 </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71" w:type="dxa"/>
            <w:vMerge w:val="continue"/>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管理资金</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56"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71" w:type="dxa"/>
            <w:vMerge w:val="continue"/>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056"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71" w:type="dxa"/>
            <w:vMerge w:val="continue"/>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99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997"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按实施方案质量要求完成项目建设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养殖污液还田储存池建设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立方米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44" w:type="dxa"/>
            <w:gridSpan w:val="6"/>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特色农副产品展示厅   </w:t>
            </w:r>
          </w:p>
        </w:tc>
        <w:tc>
          <w:tcPr>
            <w:tcW w:w="476"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811"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园区道路安防建设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1480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1480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50"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农产品分拣中心1个，钢棚(含场地硬化)</w:t>
            </w:r>
          </w:p>
        </w:tc>
        <w:tc>
          <w:tcPr>
            <w:tcW w:w="370"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91"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园区道路板道维修 </w:t>
            </w:r>
          </w:p>
        </w:tc>
        <w:tc>
          <w:tcPr>
            <w:tcW w:w="529"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处</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田间运输轨道车等设备</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批次</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园区农田水土保持建设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2529</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2529</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园区道路护栏建设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50" w:type="dxa"/>
            <w:gridSpan w:val="7"/>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园区果蔬分拣亭建设</w:t>
            </w:r>
          </w:p>
        </w:tc>
        <w:tc>
          <w:tcPr>
            <w:tcW w:w="370"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44" w:type="dxa"/>
            <w:gridSpan w:val="6"/>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园区果蔬采摘道建设</w:t>
            </w:r>
          </w:p>
        </w:tc>
        <w:tc>
          <w:tcPr>
            <w:tcW w:w="476"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645</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645</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LED显示屏等设备</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批次</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园区果蔬集散平台建设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立体农业种植示范架建设</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及时完成率</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97"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66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2024年12月20日前完成</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478"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18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使用年限</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200"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服务对象满意度指标</w:t>
            </w:r>
          </w:p>
        </w:tc>
        <w:tc>
          <w:tcPr>
            <w:tcW w:w="1464"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hAnsi="宋体" w:cs="宋体"/>
                <w:i w:val="0"/>
                <w:iCs w:val="0"/>
                <w:color w:val="000000"/>
                <w:kern w:val="0"/>
                <w:sz w:val="18"/>
                <w:szCs w:val="18"/>
                <w:u w:val="none"/>
                <w:lang w:val="en-US" w:eastAsia="zh-CN" w:bidi="ar"/>
              </w:rPr>
              <w:t>农</w:t>
            </w:r>
            <w:r>
              <w:rPr>
                <w:rFonts w:hint="eastAsia" w:asciiTheme="minorEastAsia" w:hAnsiTheme="minorEastAsia" w:eastAsiaTheme="minorEastAsia" w:cstheme="minorEastAsia"/>
                <w:i w:val="0"/>
                <w:iCs w:val="0"/>
                <w:color w:val="000000"/>
                <w:kern w:val="0"/>
                <w:sz w:val="18"/>
                <w:szCs w:val="18"/>
                <w:u w:val="none"/>
                <w:lang w:val="en-US" w:eastAsia="zh-CN" w:bidi="ar"/>
              </w:rPr>
              <w:t>户、受益群众满意度</w:t>
            </w:r>
          </w:p>
        </w:tc>
        <w:tc>
          <w:tcPr>
            <w:tcW w:w="653" w:type="dxa"/>
            <w:gridSpan w:val="5"/>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646" w:type="dxa"/>
            <w:vMerge w:val="continue"/>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18"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1345" w:type="dxa"/>
            <w:gridSpan w:val="3"/>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1319"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项目投资</w:t>
            </w:r>
          </w:p>
        </w:tc>
        <w:tc>
          <w:tcPr>
            <w:tcW w:w="547" w:type="dxa"/>
            <w:gridSpan w:val="4"/>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0"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341.54</w:t>
            </w:r>
          </w:p>
        </w:tc>
        <w:tc>
          <w:tcPr>
            <w:tcW w:w="67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96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341.54</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 </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446" w:type="dxa"/>
            <w:gridSpan w:val="18"/>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83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7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971" w:type="dxa"/>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25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668" w:type="dxa"/>
            <w:gridSpan w:val="19"/>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该项目自评得分99分，通过项目建设打造特色种养循环现代农业园区，能扎实推动农旅产业融合发展，大力推动区域乡村振兴进度。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25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668" w:type="dxa"/>
            <w:gridSpan w:val="19"/>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eastAsia="zh-CN"/>
              </w:rPr>
            </w:pPr>
            <w:r>
              <w:rPr>
                <w:rFonts w:hint="eastAsia" w:asciiTheme="minorEastAsia" w:hAnsiTheme="minorEastAsia" w:eastAsiaTheme="minorEastAsia" w:cstheme="minorEastAsia"/>
                <w:i w:val="0"/>
                <w:iCs w:val="0"/>
                <w:color w:val="000000"/>
                <w:sz w:val="18"/>
                <w:szCs w:val="18"/>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2"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668" w:type="dxa"/>
            <w:gridSpan w:val="19"/>
            <w:noWrap w:val="0"/>
            <w:vAlign w:val="center"/>
          </w:tcPr>
          <w:p>
            <w:pPr>
              <w:keepNext w:val="0"/>
              <w:keepLines w:val="0"/>
              <w:widowControl/>
              <w:suppressLineNumbers w:val="0"/>
              <w:jc w:val="center"/>
              <w:textAlignment w:val="center"/>
              <w:rPr>
                <w:rFonts w:hint="eastAsia"/>
                <w:lang w:eastAsia="zh-CN"/>
              </w:rPr>
            </w:pPr>
            <w:r>
              <w:rPr>
                <w:rFonts w:hint="eastAsia" w:asciiTheme="minorEastAsia" w:hAnsiTheme="minorEastAsia" w:eastAsiaTheme="minorEastAsia" w:cstheme="minorEastAsia"/>
                <w:i w:val="0"/>
                <w:iCs w:val="0"/>
                <w:color w:val="000000"/>
                <w:sz w:val="18"/>
                <w:szCs w:val="18"/>
                <w:u w:val="none"/>
                <w:lang w:eastAsia="zh-CN"/>
              </w:rPr>
              <w:t>无</w:t>
            </w:r>
          </w:p>
          <w:p>
            <w:pPr>
              <w:pStyle w:val="2"/>
              <w:rPr>
                <w:rFonts w:hint="eastAsia"/>
                <w:lang w:eastAsia="zh-CN"/>
              </w:rPr>
            </w:pPr>
          </w:p>
        </w:tc>
      </w:tr>
    </w:tbl>
    <w:tbl>
      <w:tblPr>
        <w:tblStyle w:val="17"/>
        <w:tblpPr w:leftFromText="180" w:rightFromText="180" w:vertAnchor="text" w:horzAnchor="page" w:tblpX="1164" w:tblpY="194"/>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17"/>
        <w:gridCol w:w="418"/>
        <w:gridCol w:w="608"/>
        <w:gridCol w:w="354"/>
        <w:gridCol w:w="688"/>
        <w:gridCol w:w="212"/>
        <w:gridCol w:w="213"/>
        <w:gridCol w:w="56"/>
        <w:gridCol w:w="1328"/>
        <w:gridCol w:w="114"/>
        <w:gridCol w:w="367"/>
        <w:gridCol w:w="172"/>
        <w:gridCol w:w="556"/>
        <w:gridCol w:w="114"/>
        <w:gridCol w:w="565"/>
        <w:gridCol w:w="102"/>
        <w:gridCol w:w="57"/>
        <w:gridCol w:w="939"/>
        <w:gridCol w:w="615"/>
        <w:gridCol w:w="563"/>
        <w:gridCol w:w="114"/>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740" w:type="dxa"/>
            <w:gridSpan w:val="2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南新镇李子+苹果现代农业园区</w:t>
            </w:r>
            <w:r>
              <w:rPr>
                <w:rFonts w:hint="default" w:ascii="黑体" w:hAnsi="宋体" w:eastAsia="黑体" w:cs="黑体"/>
                <w:b/>
                <w:bCs/>
                <w:i w:val="0"/>
                <w:iCs w:val="0"/>
                <w:color w:val="000000"/>
                <w:kern w:val="0"/>
                <w:sz w:val="30"/>
                <w:szCs w:val="30"/>
                <w:u w:val="none"/>
                <w:lang w:val="en-US" w:eastAsia="zh-CN" w:bidi="ar"/>
              </w:rPr>
              <w:t>建设项目</w:t>
            </w:r>
            <w:r>
              <w:rPr>
                <w:rFonts w:hint="eastAsia" w:ascii="黑体" w:hAnsi="宋体" w:eastAsia="黑体" w:cs="黑体"/>
                <w:b/>
                <w:bCs/>
                <w:i w:val="0"/>
                <w:iCs w:val="0"/>
                <w:color w:val="000000"/>
                <w:kern w:val="0"/>
                <w:sz w:val="30"/>
                <w:szCs w:val="30"/>
                <w:u w:val="none"/>
                <w:lang w:val="en-US" w:eastAsia="zh-CN"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7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7"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南新镇李子+苹果现代农业园区建设项目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3" w:hRule="atLeast"/>
        </w:trPr>
        <w:tc>
          <w:tcPr>
            <w:tcW w:w="17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39"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098" w:type="dxa"/>
            <w:gridSpan w:val="3"/>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739"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5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4174"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七星村特色水果采摘基地建设，牟托村特色水果采摘园提升建设</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“庭院经济”示范户建设（安乡村连片提升打造）。</w:t>
            </w:r>
          </w:p>
        </w:tc>
        <w:tc>
          <w:tcPr>
            <w:tcW w:w="3823"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hAnsi="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七星村特色水果采摘基地建设，牟托村特色水果采摘园提升建设</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“庭院经济”示范户建设（安乡村连片提升打造）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7643"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七星村特色水果采摘基地建设</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牟托村特色水果采摘园提升</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“庭院经济”示范户建设（安乡村连片提升打造）。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2"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405.00</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287.57</w:t>
            </w:r>
          </w:p>
        </w:tc>
        <w:tc>
          <w:tcPr>
            <w:tcW w:w="188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287.57</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405.00</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287.57</w:t>
            </w:r>
          </w:p>
        </w:tc>
        <w:tc>
          <w:tcPr>
            <w:tcW w:w="188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287.57</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2" w:type="dxa"/>
            <w:gridSpan w:val="2"/>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七星村特色水果采摘基地建设</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1</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处</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42" w:type="dxa"/>
            <w:gridSpan w:val="2"/>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92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庭院经济示范户建设</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项</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42" w:type="dxa"/>
            <w:gridSpan w:val="2"/>
            <w:vMerge w:val="continue"/>
            <w:tcBorders>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牟托特色水果采摘园提升</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项</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42"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按照标准完成建设</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42"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完成及时率</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增加受益农户经济收入</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0.3</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万元</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0.3</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52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使用年限</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年</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1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农户、受益群众对该项目的满意度</w:t>
            </w: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95</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17"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成本指标</w:t>
            </w:r>
          </w:p>
        </w:tc>
        <w:tc>
          <w:tcPr>
            <w:tcW w:w="146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经济成本指标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项目投资</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287.57</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万元</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287.57</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58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23" w:type="dxa"/>
            <w:gridSpan w:val="2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该项目自评总得分100分，南新镇李子+苹果现代农业园区建设</w:t>
            </w:r>
            <w:r>
              <w:rPr>
                <w:rFonts w:hint="default" w:ascii="宋体" w:hAnsi="宋体" w:eastAsia="宋体" w:cs="宋体"/>
                <w:i w:val="0"/>
                <w:iCs w:val="0"/>
                <w:color w:val="000000"/>
                <w:kern w:val="0"/>
                <w:sz w:val="18"/>
                <w:szCs w:val="18"/>
                <w:u w:val="none"/>
                <w:lang w:val="en-US" w:eastAsia="zh-CN" w:bidi="ar"/>
              </w:rPr>
              <w:t>进一步加快转</w:t>
            </w:r>
            <w:r>
              <w:rPr>
                <w:rFonts w:hint="eastAsia" w:ascii="宋体" w:hAnsi="宋体" w:eastAsia="宋体" w:cs="宋体"/>
                <w:i w:val="0"/>
                <w:iCs w:val="0"/>
                <w:color w:val="000000"/>
                <w:kern w:val="0"/>
                <w:sz w:val="18"/>
                <w:szCs w:val="18"/>
                <w:u w:val="none"/>
                <w:lang w:val="en-US" w:eastAsia="zh-CN" w:bidi="ar"/>
              </w:rPr>
              <w:t>变南新镇</w:t>
            </w:r>
            <w:r>
              <w:rPr>
                <w:rFonts w:hint="default" w:ascii="宋体" w:hAnsi="宋体" w:eastAsia="宋体" w:cs="宋体"/>
                <w:i w:val="0"/>
                <w:iCs w:val="0"/>
                <w:color w:val="000000"/>
                <w:kern w:val="0"/>
                <w:sz w:val="18"/>
                <w:szCs w:val="18"/>
                <w:u w:val="none"/>
                <w:lang w:val="en-US" w:eastAsia="zh-CN" w:bidi="ar"/>
              </w:rPr>
              <w:t>发展模式，推动</w:t>
            </w:r>
            <w:r>
              <w:rPr>
                <w:rFonts w:hint="eastAsia" w:ascii="宋体" w:hAnsi="宋体" w:eastAsia="宋体" w:cs="宋体"/>
                <w:i w:val="0"/>
                <w:iCs w:val="0"/>
                <w:color w:val="000000"/>
                <w:kern w:val="0"/>
                <w:sz w:val="18"/>
                <w:szCs w:val="18"/>
                <w:u w:val="none"/>
                <w:lang w:val="en-US" w:eastAsia="zh-CN" w:bidi="ar"/>
              </w:rPr>
              <w:t>农业</w:t>
            </w:r>
            <w:r>
              <w:rPr>
                <w:rFonts w:hint="default" w:ascii="宋体" w:hAnsi="宋体" w:eastAsia="宋体" w:cs="宋体"/>
                <w:i w:val="0"/>
                <w:iCs w:val="0"/>
                <w:color w:val="000000"/>
                <w:kern w:val="0"/>
                <w:sz w:val="18"/>
                <w:szCs w:val="18"/>
                <w:u w:val="none"/>
                <w:lang w:val="en-US" w:eastAsia="zh-CN" w:bidi="ar"/>
              </w:rPr>
              <w:t>与多产业融合发展，促进农民持续增收，提升群众生活幸福感，全面建成生态和谐、产业发展、乡风文明、生活富裕、各具特色的生态宜居新</w:t>
            </w:r>
            <w:r>
              <w:rPr>
                <w:rFonts w:hint="eastAsia" w:ascii="宋体" w:hAnsi="宋体" w:eastAsia="宋体" w:cs="宋体"/>
                <w:i w:val="0"/>
                <w:iCs w:val="0"/>
                <w:color w:val="000000"/>
                <w:kern w:val="0"/>
                <w:sz w:val="18"/>
                <w:szCs w:val="18"/>
                <w:u w:val="none"/>
                <w:lang w:val="en-US" w:eastAsia="zh-CN" w:bidi="ar"/>
              </w:rPr>
              <w:t>南新</w:t>
            </w:r>
            <w:r>
              <w:rPr>
                <w:rFonts w:hint="default"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1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5" w:type="dxa"/>
            <w:gridSpan w:val="2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1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8605" w:type="dxa"/>
            <w:gridSpan w:val="20"/>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tbl>
      <w:tblPr>
        <w:tblStyle w:val="17"/>
        <w:tblpPr w:leftFromText="180" w:rightFromText="180" w:vertAnchor="text" w:horzAnchor="page" w:tblpX="1138" w:tblpY="420"/>
        <w:tblOverlap w:val="never"/>
        <w:tblW w:w="9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7"/>
        <w:gridCol w:w="684"/>
        <w:gridCol w:w="384"/>
        <w:gridCol w:w="1005"/>
        <w:gridCol w:w="190"/>
        <w:gridCol w:w="318"/>
        <w:gridCol w:w="856"/>
        <w:gridCol w:w="132"/>
        <w:gridCol w:w="73"/>
        <w:gridCol w:w="176"/>
        <w:gridCol w:w="131"/>
        <w:gridCol w:w="158"/>
        <w:gridCol w:w="35"/>
        <w:gridCol w:w="106"/>
        <w:gridCol w:w="175"/>
        <w:gridCol w:w="337"/>
        <w:gridCol w:w="35"/>
        <w:gridCol w:w="128"/>
        <w:gridCol w:w="140"/>
        <w:gridCol w:w="262"/>
        <w:gridCol w:w="209"/>
        <w:gridCol w:w="35"/>
        <w:gridCol w:w="126"/>
        <w:gridCol w:w="1015"/>
        <w:gridCol w:w="741"/>
        <w:gridCol w:w="565"/>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848" w:type="dxa"/>
            <w:gridSpan w:val="2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 xml:space="preserve">  黑虎镇苏家坪村果蔬产业基地配套设施提升项目支出绩效自评表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8"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33" w:type="dxa"/>
            <w:gridSpan w:val="2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黑虎镇苏家坪村果蔬产业基地配套设施提升项目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3"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57"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385" w:type="dxa"/>
            <w:gridSpan w:val="4"/>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3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7"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257"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76"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47"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4257"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苏家坪村一步坎、刹梯、椒子坪三个组产业路硬化6.4km，共计2212立方米。2.一步坎、刹梯、椒子坪组新建浆砌片石堡坎共计2500立方米。3.果蔬分拣点3个（一步坎、刹梯、椒子坪）各一个，面积大小不低于80平方米。4.农田灌溉配套设施50立方，水池2个，110管子3500m。</w:t>
            </w:r>
          </w:p>
        </w:tc>
        <w:tc>
          <w:tcPr>
            <w:tcW w:w="3776"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苏家坪村一步坎、刹梯、椒子坪三个组产业路硬化6.4km，共计2212立方米。2.一步坎、刹梯、椒子坪组新建浆砌片石堡坎共计2500立方米。3.果蔬分拣点3个（一步坎、刹梯、椒子坪）各一个，面积大小不低于80平方米。4.农田灌溉配套设施50立方，水池2个，110管子3500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2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8033" w:type="dxa"/>
            <w:gridSpan w:val="2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苏家坪村一步坎、刹梯、椒子坪三个组产业路硬化6.4km，共计2212立方米。2.一步坎、刹梯、椒子坪组新建浆砌片石堡坎共计2500立方米。3.果蔬分拣点3个（一步坎、刹梯、椒子坪）各一个，面积大小不低于80平方米。4.农田灌溉配套设施50立方，水池2个，110管子3500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1"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192.00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177.73</w:t>
            </w: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177.73</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192</w:t>
            </w:r>
            <w:r>
              <w:rPr>
                <w:rFonts w:ascii="宋体" w:hAnsi="宋体" w:eastAsia="宋体" w:cs="宋体"/>
                <w:i w:val="0"/>
                <w:iCs w:val="0"/>
                <w:color w:val="000000"/>
                <w:kern w:val="0"/>
                <w:sz w:val="18"/>
                <w:szCs w:val="18"/>
                <w:u w:val="none"/>
                <w:lang w:val="en-US" w:eastAsia="zh-CN" w:bidi="ar"/>
              </w:rPr>
              <w:t>.00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177.73</w:t>
            </w: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177.73</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1888"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水池</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16"/>
                <w:szCs w:val="16"/>
                <w:u w:val="none"/>
              </w:rPr>
            </w:pPr>
            <w:r>
              <w:rPr>
                <w:rFonts w:ascii="宋体" w:hAnsi="宋体" w:eastAsia="宋体" w:cs="宋体"/>
                <w:i w:val="0"/>
                <w:iCs w:val="0"/>
                <w:color w:val="000000"/>
                <w:kern w:val="0"/>
                <w:sz w:val="18"/>
                <w:szCs w:val="18"/>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3"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49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产业路硬化里程</w:t>
            </w:r>
          </w:p>
        </w:tc>
        <w:tc>
          <w:tcPr>
            <w:tcW w:w="53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果蔬分拣点</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4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74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新建浆砌片石堡坎</w:t>
            </w:r>
          </w:p>
        </w:tc>
        <w:tc>
          <w:tcPr>
            <w:tcW w:w="3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2500</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立方米</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2500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6"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项目（工程）合格率</w:t>
            </w:r>
          </w:p>
        </w:tc>
        <w:tc>
          <w:tcPr>
            <w:tcW w:w="47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9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3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hAnsi="宋体" w:cs="宋体"/>
                <w:i w:val="0"/>
                <w:iCs w:val="0"/>
                <w:color w:val="000000"/>
                <w:kern w:val="0"/>
                <w:sz w:val="18"/>
                <w:szCs w:val="18"/>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7"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带动群众增收</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带动群众增收</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63"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56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rPr>
              <w:t>提高农民生态意识，发展生态农业</w:t>
            </w:r>
          </w:p>
        </w:tc>
        <w:tc>
          <w:tcPr>
            <w:tcW w:w="60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定性</w:t>
            </w:r>
          </w:p>
        </w:tc>
        <w:tc>
          <w:tcPr>
            <w:tcW w:w="67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良好</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其他</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val="en-US" w:eastAsia="zh-CN"/>
              </w:rPr>
              <w:t>5</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51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可持续</w:t>
            </w:r>
          </w:p>
        </w:tc>
        <w:tc>
          <w:tcPr>
            <w:tcW w:w="67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定性</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良好</w:t>
            </w:r>
          </w:p>
        </w:tc>
        <w:tc>
          <w:tcPr>
            <w:tcW w:w="77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其他</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val="en-US" w:eastAsia="zh-CN"/>
              </w:rPr>
              <w:t>5</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6" w:hRule="atLeast"/>
        </w:trPr>
        <w:tc>
          <w:tcPr>
            <w:tcW w:w="747" w:type="dxa"/>
            <w:vMerge w:val="continue"/>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195"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555" w:type="dxa"/>
            <w:gridSpan w:val="5"/>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农户、受益群众</w:t>
            </w:r>
            <w:r>
              <w:rPr>
                <w:rFonts w:ascii="宋体" w:hAnsi="宋体" w:eastAsia="宋体" w:cs="宋体"/>
                <w:i w:val="0"/>
                <w:iCs w:val="0"/>
                <w:color w:val="000000"/>
                <w:kern w:val="0"/>
                <w:sz w:val="18"/>
                <w:szCs w:val="18"/>
                <w:u w:val="none"/>
                <w:lang w:val="en-US" w:eastAsia="zh-CN" w:bidi="ar"/>
              </w:rPr>
              <w:t>满意度</w:t>
            </w:r>
          </w:p>
        </w:tc>
        <w:tc>
          <w:tcPr>
            <w:tcW w:w="324" w:type="dxa"/>
            <w:gridSpan w:val="3"/>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gridSpan w:val="4"/>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74" w:type="dxa"/>
            <w:gridSpan w:val="5"/>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1"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41"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57" w:type="dxa"/>
            <w:gridSpan w:val="2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1" w:type="dxa"/>
            <w:gridSpan w:val="2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该项目自评总得分100分，该预算项目绩效自评总体良好</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项目完成预期目标，实施结果与绩效目标相匹配，项目按照计划时间完成</w:t>
            </w:r>
            <w:r>
              <w:rPr>
                <w:rFonts w:hint="eastAsia"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17" w:type="dxa"/>
            <w:gridSpan w:val="2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9" w:hRule="atLeast"/>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8417" w:type="dxa"/>
            <w:gridSpan w:val="2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tbl>
      <w:tblPr>
        <w:tblStyle w:val="17"/>
        <w:tblW w:w="10256"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7"/>
        <w:gridCol w:w="317"/>
        <w:gridCol w:w="751"/>
        <w:gridCol w:w="476"/>
        <w:gridCol w:w="467"/>
        <w:gridCol w:w="230"/>
        <w:gridCol w:w="1707"/>
        <w:gridCol w:w="181"/>
        <w:gridCol w:w="404"/>
        <w:gridCol w:w="765"/>
        <w:gridCol w:w="163"/>
        <w:gridCol w:w="380"/>
        <w:gridCol w:w="141"/>
        <w:gridCol w:w="996"/>
        <w:gridCol w:w="810"/>
        <w:gridCol w:w="705"/>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08" w:hRule="atLeast"/>
        </w:trPr>
        <w:tc>
          <w:tcPr>
            <w:tcW w:w="10256"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茂县赤不苏河谷“茂汶苹果”现代农业园区建设项目支出绩效自评表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3"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41"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赤不苏河谷“茂汶苹果”现代农业园区建设项目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2"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3"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137" w:type="dxa"/>
            <w:gridSpan w:val="2"/>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53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茂县赤不苏镇人民政府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1"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773"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6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4393"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九龙村产业道路维修-新建混凝土堡坎600m³；赤不苏村通河坝组、迎红组建设2处田园综合体。</w:t>
            </w:r>
          </w:p>
        </w:tc>
        <w:tc>
          <w:tcPr>
            <w:tcW w:w="40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sz w:val="18"/>
                <w:szCs w:val="18"/>
                <w:u w:val="none"/>
              </w:rPr>
              <w:t>九龙村产业道路维修-新建混凝土堡坎600m³；赤不苏村通河坝组、迎红组建设2处田园综合体。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7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7965"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九龙村产业道路维修-新建混凝土堡坎600m³；赤不苏村通河坝组、迎红组建设2处田园综合体</w:t>
            </w:r>
            <w:r>
              <w:rPr>
                <w:rFonts w:hint="eastAsia" w:ascii="宋体" w:hAnsi="宋体" w:eastAsia="宋体" w:cs="宋体"/>
                <w:i w:val="0"/>
                <w:iCs w:val="0"/>
                <w:color w:val="000000"/>
                <w:sz w:val="18"/>
                <w:szCs w:val="18"/>
                <w:u w:val="none"/>
                <w:lang w:val="en-US" w:eastAsia="zh-CN"/>
              </w:rPr>
              <w:t>等</w:t>
            </w:r>
            <w:r>
              <w:rPr>
                <w:rFonts w:hint="eastAsia" w:ascii="宋体" w:hAnsi="宋体" w:eastAsia="宋体" w:cs="宋体"/>
                <w:i w:val="0"/>
                <w:iCs w:val="0"/>
                <w:color w:val="000000"/>
                <w:sz w:val="18"/>
                <w:szCs w:val="18"/>
                <w:u w:val="none"/>
              </w:rPr>
              <w:t>。</w:t>
            </w:r>
            <w:r>
              <w:rPr>
                <w:rFonts w:hint="eastAsia" w:ascii="宋体" w:hAnsi="宋体" w:cs="宋体"/>
                <w:i w:val="0"/>
                <w:iCs w:val="0"/>
                <w:color w:val="000000"/>
                <w:sz w:val="18"/>
                <w:szCs w:val="18"/>
                <w:u w:val="none"/>
                <w:lang w:eastAsia="zh-CN"/>
              </w:rPr>
              <w:t>通过政府采购方式确定中标方，完成后由村、镇、县三级进行验收合格后，</w:t>
            </w:r>
            <w:r>
              <w:rPr>
                <w:rFonts w:ascii="宋体" w:hAnsi="宋体" w:eastAsia="宋体" w:cs="宋体"/>
                <w:i w:val="0"/>
                <w:iCs w:val="0"/>
                <w:color w:val="000000"/>
                <w:kern w:val="0"/>
                <w:sz w:val="18"/>
                <w:szCs w:val="18"/>
                <w:u w:val="none"/>
                <w:lang w:val="en-US" w:eastAsia="zh-CN" w:bidi="ar"/>
              </w:rPr>
              <w:t>科农局拨付资金。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8"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r>
              <w:rPr>
                <w:rFonts w:ascii="宋体" w:hAnsi="宋体" w:eastAsia="宋体" w:cs="宋体"/>
                <w:i w:val="0"/>
                <w:iCs w:val="0"/>
                <w:color w:val="000000"/>
                <w:kern w:val="0"/>
                <w:sz w:val="18"/>
                <w:szCs w:val="18"/>
                <w:u w:val="none"/>
                <w:lang w:val="en-US" w:eastAsia="zh-CN" w:bidi="ar"/>
              </w:rPr>
              <w:t>.00</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84.35</w:t>
            </w:r>
          </w:p>
        </w:tc>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sz w:val="18"/>
                <w:szCs w:val="18"/>
                <w:u w:val="none"/>
                <w:lang w:val="en-US" w:eastAsia="zh-CN"/>
              </w:rPr>
              <w:t>84.35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100.00</w:t>
            </w: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3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r>
              <w:rPr>
                <w:rFonts w:ascii="宋体" w:hAnsi="宋体" w:eastAsia="宋体" w:cs="宋体"/>
                <w:i w:val="0"/>
                <w:iCs w:val="0"/>
                <w:color w:val="000000"/>
                <w:kern w:val="0"/>
                <w:sz w:val="18"/>
                <w:szCs w:val="18"/>
                <w:u w:val="none"/>
                <w:lang w:val="en-US" w:eastAsia="zh-CN" w:bidi="ar"/>
              </w:rPr>
              <w:t>.00</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84.35</w:t>
            </w:r>
          </w:p>
        </w:tc>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sz w:val="18"/>
                <w:szCs w:val="18"/>
                <w:u w:val="none"/>
                <w:lang w:val="en-US" w:eastAsia="zh-CN"/>
              </w:rPr>
              <w:t>84.35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100.00</w:t>
            </w: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4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赤不苏村通河坝组、迎红组建设田园综合体</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kern w:val="2"/>
                <w:sz w:val="24"/>
                <w:szCs w:val="24"/>
                <w:lang w:val="en-US" w:eastAsia="zh-CN" w:bidi="ar-SA"/>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处</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九龙村产业道路维修-新建混凝土堡坎</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M³</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43"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按照项目方案质量要求完成</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7"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43"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项目（工程）完成及时率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43" w:type="dxa"/>
            <w:gridSpan w:val="2"/>
            <w:vMerge w:val="restart"/>
            <w:tcBorders>
              <w:top w:val="single" w:color="000000" w:sz="4" w:space="0"/>
              <w:left w:val="single" w:color="000000" w:sz="4" w:space="0"/>
              <w:right w:val="single" w:color="000000" w:sz="4" w:space="0"/>
            </w:tcBorders>
            <w:shd w:val="clear" w:color="auto" w:fill="FFFFFF" w:themeFill="background1"/>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受益脱贫户数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43" w:type="dxa"/>
            <w:gridSpan w:val="2"/>
            <w:vMerge w:val="continue"/>
            <w:tcBorders>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受益脱贫人口数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项目主体建筑设计使用年限</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农户、受益群众</w:t>
            </w:r>
            <w:r>
              <w:rPr>
                <w:rFonts w:hint="eastAsia" w:ascii="宋体" w:hAnsi="宋体" w:eastAsia="宋体" w:cs="宋体"/>
                <w:i w:val="0"/>
                <w:iCs w:val="0"/>
                <w:color w:val="000000"/>
                <w:kern w:val="0"/>
                <w:sz w:val="18"/>
                <w:szCs w:val="18"/>
                <w:u w:val="none"/>
                <w:lang w:val="en-US" w:eastAsia="zh-CN" w:bidi="ar"/>
              </w:rPr>
              <w:t>满意度</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3" w:hRule="atLeast"/>
        </w:trPr>
        <w:tc>
          <w:tcPr>
            <w:tcW w:w="77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9" w:hRule="atLeast"/>
        </w:trPr>
        <w:tc>
          <w:tcPr>
            <w:tcW w:w="106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2"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w:t>
            </w:r>
            <w:r>
              <w:rPr>
                <w:rFonts w:hint="eastAsia" w:hAnsi="宋体"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提升完善了赤不苏镇现代农业园区基础设施，为园区升星奠定了基础</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78" w:hRule="atLeast"/>
        </w:trPr>
        <w:tc>
          <w:tcPr>
            <w:tcW w:w="106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2"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7" w:hRule="atLeast"/>
        </w:trPr>
        <w:tc>
          <w:tcPr>
            <w:tcW w:w="106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9192"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tbl>
      <w:tblPr>
        <w:tblStyle w:val="17"/>
        <w:tblW w:w="10140"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7"/>
        <w:gridCol w:w="525"/>
        <w:gridCol w:w="543"/>
        <w:gridCol w:w="1005"/>
        <w:gridCol w:w="212"/>
        <w:gridCol w:w="1663"/>
        <w:gridCol w:w="585"/>
        <w:gridCol w:w="633"/>
        <w:gridCol w:w="132"/>
        <w:gridCol w:w="428"/>
        <w:gridCol w:w="93"/>
        <w:gridCol w:w="234"/>
        <w:gridCol w:w="101"/>
        <w:gridCol w:w="824"/>
        <w:gridCol w:w="810"/>
        <w:gridCol w:w="576"/>
        <w:gridCol w:w="129"/>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1014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黑体" w:hAnsi="宋体" w:eastAsia="黑体" w:cs="黑体"/>
                <w:b/>
                <w:bCs/>
                <w:i w:val="0"/>
                <w:iCs w:val="0"/>
                <w:color w:val="000000"/>
                <w:kern w:val="0"/>
                <w:sz w:val="30"/>
                <w:szCs w:val="30"/>
                <w:u w:val="none"/>
                <w:lang w:val="en-US" w:eastAsia="zh-CN" w:bidi="ar"/>
              </w:rPr>
              <w:t>富顺镇马蹄村产业示范基地附属设施提升项目支出绩效自评表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5"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富顺镇马蹄村产业示范基地附属设施提升项目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5" w:hRule="atLeast"/>
        </w:trPr>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4751"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茂县科学技术和农业畜牧局</w:t>
            </w:r>
          </w:p>
        </w:tc>
        <w:tc>
          <w:tcPr>
            <w:tcW w:w="1159" w:type="dxa"/>
            <w:gridSpan w:val="3"/>
            <w:tcBorders>
              <w:top w:val="nil"/>
              <w:left w:val="nil"/>
              <w:bottom w:val="nil"/>
              <w:right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实施单位 </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茂县富顺镇人民政府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项目年度目标完成情况</w:t>
            </w:r>
          </w:p>
        </w:tc>
        <w:tc>
          <w:tcPr>
            <w:tcW w:w="4985"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3340"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9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65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种植青红脆李69亩；新建灌溉水池钢筋混凝土结构50m³2口，Φ50管道5000米，Φ32管道3000米；产业路硬化1199m³；板涵桥13座，毛石混凝土堡坎建设676.5m³；产业主道路涵洞改板涵桥1座。</w:t>
            </w:r>
          </w:p>
        </w:tc>
        <w:tc>
          <w:tcPr>
            <w:tcW w:w="3667"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种植青红脆李69亩；新建灌溉水池钢筋混凝土结构50m³2口，Φ50管道5000米，Φ32管道3000米；产业路硬化1185.1m³；板涵桥13座，毛石混凝土堡坎建设686.58m³；产业主道路涵洞改板涵桥1座。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项目实施内容及过程概述</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项目以茂县富顺镇马蹄村为项目实施主体，共计完成了69亩土地改善整治、肥力提升和羌脆李种植建设，修建灌溉水池建设2处，Φ50管道5000米，Φ32管道3000米；毛石混凝土堡坎完成686.58立方米，产业路硬化完成1185.1立方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1"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行情况（10分）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166.00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124.46</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124.46</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166.00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124.46</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124.46</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2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3"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2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青红脆李</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亩</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50m³水池</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口</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Φ50管道</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2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Φ32管道</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7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产业路硬化</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1199</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立方米</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1185.1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因地理环境实施未完成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毛石混凝土堡坎</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676.5</w:t>
            </w:r>
          </w:p>
        </w:tc>
        <w:tc>
          <w:tcPr>
            <w:tcW w:w="85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立方米</w:t>
            </w:r>
          </w:p>
        </w:tc>
        <w:tc>
          <w:tcPr>
            <w:tcW w:w="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686.5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板涵桥</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按照项目实施方案质量要求完成项目建设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2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按时完成项目建设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增加当地居民收益</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560</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带动、受益脱贫人口数</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115</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使用年限</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满意</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度指标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1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农户对该项目实施的满意度</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7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8" w:hRule="atLeast"/>
        </w:trPr>
        <w:tc>
          <w:tcPr>
            <w:tcW w:w="77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99.9</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7"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8868"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该项目自评总得分99.9分，有效改善马蹄村群众生产生活条件，促进农村社会服务和基础设施建设优化农村产业结构，有利于当地村民增加收入。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21"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8868"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firstLine="1620" w:firstLineChars="90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8868"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firstLine="1620" w:firstLineChars="90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无</w:t>
            </w:r>
          </w:p>
        </w:tc>
      </w:tr>
    </w:tbl>
    <w:tbl>
      <w:tblPr>
        <w:tblStyle w:val="17"/>
        <w:tblpPr w:leftFromText="180" w:rightFromText="180" w:vertAnchor="text" w:horzAnchor="page" w:tblpX="1113" w:tblpY="832"/>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51"/>
        <w:gridCol w:w="776"/>
        <w:gridCol w:w="203"/>
        <w:gridCol w:w="424"/>
        <w:gridCol w:w="282"/>
        <w:gridCol w:w="141"/>
        <w:gridCol w:w="141"/>
        <w:gridCol w:w="80"/>
        <w:gridCol w:w="1570"/>
        <w:gridCol w:w="71"/>
        <w:gridCol w:w="538"/>
        <w:gridCol w:w="668"/>
        <w:gridCol w:w="285"/>
        <w:gridCol w:w="362"/>
        <w:gridCol w:w="915"/>
        <w:gridCol w:w="928"/>
        <w:gridCol w:w="592"/>
        <w:gridCol w:w="113"/>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0140" w:type="dxa"/>
            <w:gridSpan w:val="1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32"/>
                <w:szCs w:val="32"/>
                <w:u w:val="none"/>
                <w:lang w:val="en-US" w:eastAsia="zh-CN" w:bidi="ar"/>
              </w:rPr>
              <w:t>2024年茂县乡村振兴示范项目支出绩效自评表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6" w:hRule="atLeast"/>
        </w:trPr>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13" w:type="dxa"/>
            <w:gridSpan w:val="1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sz w:val="18"/>
                <w:szCs w:val="18"/>
                <w:u w:val="none"/>
                <w:lang w:val="en-US"/>
              </w:rPr>
              <w:t>对口援建-2024年茂县乡村振兴示范项目1300万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03"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277" w:type="dxa"/>
            <w:gridSpan w:val="2"/>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53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项目基本</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情况</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765"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6"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2912"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tabs>
                <w:tab w:val="left" w:pos="752"/>
              </w:tabs>
              <w:jc w:val="left"/>
              <w:textAlignment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一、人居环境：农户生活灰水集中收集；散水集中收集；村落环境示范点改造；村落公区环境改造；卫生厕所改造；新建垃圾转运点；村容改造民俗特色体；树脂排水沟改造为混凝土排水沟约等。二、基础设施：小流域垮塌堡坎；新建村道错车位；低压绝缘铝芯线路更换、新增水泥电杆；新增太阳能路灯；下杆线路改造；村道、村组改造硬化；新增蓄水池；村道硬化、安装村道配套护栏等。三、产业提升：产业堡坎；新建活动式果蔬分拣；村史馆改造；产业路硬化；果树防虫涂白等。</w:t>
            </w:r>
          </w:p>
        </w:tc>
        <w:tc>
          <w:tcPr>
            <w:tcW w:w="5301"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tabs>
                <w:tab w:val="left" w:pos="752"/>
              </w:tabs>
              <w:jc w:val="left"/>
              <w:textAlignment w:val="center"/>
              <w:rPr>
                <w:rFonts w:hint="eastAsia" w:ascii="黑体" w:hAnsi="黑体" w:eastAsia="黑体" w:cs="黑体"/>
                <w:i w:val="0"/>
                <w:iCs w:val="0"/>
                <w:color w:val="000000"/>
                <w:sz w:val="18"/>
                <w:szCs w:val="18"/>
                <w:u w:val="none"/>
              </w:rPr>
            </w:pPr>
            <w:r>
              <w:rPr>
                <w:rFonts w:hint="eastAsia" w:hAnsi="宋体" w:cs="宋体"/>
                <w:i w:val="0"/>
                <w:iCs w:val="0"/>
                <w:color w:val="000000"/>
                <w:sz w:val="18"/>
                <w:szCs w:val="18"/>
                <w:u w:val="none"/>
                <w:lang w:val="en-US" w:eastAsia="zh-CN"/>
              </w:rPr>
              <w:t>一、工程部分（1、沟口长安村产业路1176.93平方米，产业路堡坎107.02立方米，风貌真石漆878.3平方米，风貌彩钢漆381.79平方米，2、黑虎镇堡坎700立方米，错车道291.57平方米，3、沙坝勒依村产业道路3892.05立方米，产业堡坎62.74立方米，4、土门联合村挡墙960.11立方米，混凝土涵管DN600 28米，道路25853.38平方米，土门风貌真石漆8020.62平方米，风貌木质油漆2172.83平方米）。二、采购部分（1、黑虎镇耕读百吉村：果蔬分拣点2套，村史馆改造300平方米，低压线路改造20000米，环境综合提升1896平方米；2、沟口镇长安村：线路改造150项，面源污染改造提升16000平方米，散水收集500米；3、土门镇联合村：面源污染改造提升10000平方米，果蔬分拣点6套，蓄水桶25套；4、沙坝镇勒依村：太阳能路灯30个，电力隐患改造12000米。）。三、村民自建部分（黑虎镇耕读百吉村灰水收集1套：沟口镇长安村厕所改造补贴12户；土门镇污水处理1套及垃圾转运站4座、厕所改造补贴47户、果树防虫涂白282.5亩；沙坝镇污水处理1套及厕所改造补贴11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40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7586"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通过招投标、政府采购、村民自建方式完成人居环境8项，基础设施建设8项，产业提升5项。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r>
              <w:rPr>
                <w:rFonts w:ascii="宋体" w:hAnsi="宋体" w:eastAsia="宋体" w:cs="宋体"/>
                <w:i w:val="0"/>
                <w:iCs w:val="0"/>
                <w:color w:val="000000"/>
                <w:kern w:val="0"/>
                <w:sz w:val="18"/>
                <w:szCs w:val="18"/>
                <w:u w:val="none"/>
                <w:lang w:val="en-US" w:eastAsia="zh-CN" w:bidi="ar"/>
              </w:rPr>
              <w:t>.00</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1123.50</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r>
              <w:rPr>
                <w:rFonts w:ascii="宋体" w:hAnsi="宋体" w:eastAsia="宋体" w:cs="宋体"/>
                <w:i w:val="0"/>
                <w:iCs w:val="0"/>
                <w:color w:val="000000"/>
                <w:kern w:val="0"/>
                <w:sz w:val="18"/>
                <w:szCs w:val="18"/>
                <w:u w:val="none"/>
                <w:lang w:val="en-US" w:eastAsia="zh-CN" w:bidi="ar"/>
              </w:rPr>
              <w:t>.00</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1123.50</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0.00</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050"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人居环境</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8</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60"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050" w:type="dxa"/>
            <w:gridSpan w:val="4"/>
            <w:vMerge w:val="continue"/>
            <w:tcBorders>
              <w:left w:val="single" w:color="000000" w:sz="4" w:space="0"/>
              <w:right w:val="single" w:color="000000" w:sz="4" w:space="0"/>
            </w:tcBorders>
            <w:shd w:val="clear" w:color="auto" w:fill="FFFFFF" w:themeFill="background1"/>
            <w:vAlign w:val="center"/>
          </w:tcPr>
          <w:p>
            <w:pPr>
              <w:jc w:val="center"/>
              <w:rPr>
                <w:rFonts w:ascii="宋体" w:hAnsi="宋体" w:eastAsia="宋体" w:cs="宋体"/>
                <w:i w:val="0"/>
                <w:iCs w:val="0"/>
                <w:color w:val="000000"/>
                <w:kern w:val="0"/>
                <w:sz w:val="18"/>
                <w:szCs w:val="18"/>
                <w:u w:val="none"/>
                <w:lang w:val="en-US" w:eastAsia="zh-CN" w:bidi="ar"/>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基础设施建设</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50"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产业提升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5</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50" w:type="dxa"/>
            <w:gridSpan w:val="4"/>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按质量要求完成2024年茂县乡村振兴示范项目</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14</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5"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50" w:type="dxa"/>
            <w:gridSpan w:val="4"/>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98"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restart"/>
            <w:tcBorders>
              <w:top w:val="single" w:color="000000" w:sz="4" w:space="0"/>
              <w:left w:val="single" w:color="000000" w:sz="4" w:space="0"/>
              <w:right w:val="single" w:color="000000" w:sz="4" w:space="0"/>
            </w:tcBorders>
            <w:shd w:val="clear" w:color="auto" w:fill="FFFFFF" w:themeFill="background1"/>
            <w:vAlign w:val="center"/>
          </w:tcPr>
          <w:p>
            <w:pPr>
              <w:tabs>
                <w:tab w:val="left" w:pos="364"/>
              </w:tabs>
              <w:jc w:val="left"/>
              <w:rPr>
                <w:rFonts w:hint="eastAsia" w:ascii="宋体" w:hAnsi="宋体" w:eastAsia="宋体" w:cs="宋体"/>
                <w:i w:val="0"/>
                <w:iCs w:val="0"/>
                <w:color w:val="000000"/>
                <w:sz w:val="18"/>
                <w:szCs w:val="18"/>
                <w:u w:val="none"/>
                <w:lang w:eastAsia="zh-CN"/>
              </w:rPr>
            </w:pPr>
            <w:r>
              <w:rPr>
                <w:rFonts w:ascii="宋体" w:hAnsi="宋体" w:eastAsia="宋体" w:cs="宋体"/>
                <w:i w:val="0"/>
                <w:iCs w:val="0"/>
                <w:color w:val="000000"/>
                <w:kern w:val="0"/>
                <w:sz w:val="18"/>
                <w:szCs w:val="18"/>
                <w:u w:val="none"/>
                <w:lang w:val="en-US" w:eastAsia="zh-CN" w:bidi="ar"/>
              </w:rPr>
              <w:t>效益指标</w:t>
            </w:r>
          </w:p>
        </w:tc>
        <w:tc>
          <w:tcPr>
            <w:tcW w:w="10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大力推动乡村振兴发展，推动村容村貌整体提升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定性</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较好</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较好</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93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对各镇大力推动乡村振兴发展，推动村容村貌整体提升有帮助</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定性</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较好</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lang w:eastAsia="zh-CN"/>
              </w:rPr>
            </w:pPr>
            <w:r>
              <w:rPr>
                <w:rFonts w:hint="eastAsia" w:hAnsi="宋体" w:cs="宋体"/>
                <w:i w:val="0"/>
                <w:iCs w:val="0"/>
                <w:color w:val="000000"/>
                <w:sz w:val="18"/>
                <w:szCs w:val="18"/>
                <w:u w:val="none"/>
                <w:lang w:eastAsia="zh-CN"/>
              </w:rPr>
              <w:t>较好</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191"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95</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95</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07"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100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89"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该项目自评总得分</w:t>
            </w:r>
            <w:r>
              <w:rPr>
                <w:rFonts w:hint="eastAsia" w:hAnsi="宋体" w:cs="宋体"/>
                <w:i w:val="0"/>
                <w:iCs w:val="0"/>
                <w:color w:val="000000"/>
                <w:kern w:val="0"/>
                <w:sz w:val="18"/>
                <w:szCs w:val="18"/>
                <w:u w:val="none"/>
                <w:lang w:val="en-US" w:eastAsia="zh-CN" w:bidi="ar"/>
              </w:rPr>
              <w:t>98</w:t>
            </w:r>
            <w:r>
              <w:rPr>
                <w:rFonts w:hint="eastAsia" w:ascii="宋体" w:hAnsi="宋体" w:eastAsia="宋体" w:cs="宋体"/>
                <w:i w:val="0"/>
                <w:iCs w:val="0"/>
                <w:color w:val="000000"/>
                <w:kern w:val="0"/>
                <w:sz w:val="18"/>
                <w:szCs w:val="18"/>
                <w:u w:val="none"/>
                <w:lang w:val="en-US" w:eastAsia="zh-CN" w:bidi="ar"/>
              </w:rPr>
              <w:t>分，项目按时保质保量完成。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89"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竣工结算审核时间太长，导致资金拨付较缓。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改进措施</w:t>
            </w:r>
          </w:p>
        </w:tc>
        <w:tc>
          <w:tcPr>
            <w:tcW w:w="8989"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加强对施工单位的监管，督促施工单位及时将竣工资料移交给竣工结算审核单位。督促竣工结算审核单位按时保质保量地完成审核任务。</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tbl>
      <w:tblPr>
        <w:tblStyle w:val="17"/>
        <w:tblW w:w="10140"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7"/>
        <w:gridCol w:w="269"/>
        <w:gridCol w:w="582"/>
        <w:gridCol w:w="217"/>
        <w:gridCol w:w="807"/>
        <w:gridCol w:w="203"/>
        <w:gridCol w:w="362"/>
        <w:gridCol w:w="1508"/>
        <w:gridCol w:w="177"/>
        <w:gridCol w:w="408"/>
        <w:gridCol w:w="280"/>
        <w:gridCol w:w="485"/>
        <w:gridCol w:w="1139"/>
        <w:gridCol w:w="909"/>
        <w:gridCol w:w="503"/>
        <w:gridCol w:w="529"/>
        <w:gridCol w:w="11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014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茂县“四川科技兴村在线”平台2023年科技信息服务后补助及2024年科技服务平台运行绩效后补助支出绩效自评表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茂县“四川科技兴村在线”平台2023年科技信息服务后补助及2024年科技服务平台运行绩效后补助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7" w:hRule="atLeast"/>
        </w:trPr>
        <w:tc>
          <w:tcPr>
            <w:tcW w:w="181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30"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139" w:type="dxa"/>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95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230"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9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374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通过项目的实施，进一步完善“四川科技</w:t>
            </w:r>
            <w:r>
              <w:rPr>
                <w:rFonts w:hint="eastAsia" w:hAnsi="宋体" w:cs="宋体"/>
                <w:i w:val="0"/>
                <w:iCs w:val="0"/>
                <w:color w:val="000000"/>
                <w:kern w:val="0"/>
                <w:sz w:val="18"/>
                <w:szCs w:val="18"/>
                <w:u w:val="none"/>
                <w:lang w:val="en-US" w:eastAsia="zh-CN" w:bidi="ar"/>
              </w:rPr>
              <w:t>兴村</w:t>
            </w:r>
            <w:r>
              <w:rPr>
                <w:rFonts w:hint="eastAsia" w:ascii="宋体" w:hAnsi="宋体" w:eastAsia="宋体" w:cs="宋体"/>
                <w:i w:val="0"/>
                <w:iCs w:val="0"/>
                <w:color w:val="000000"/>
                <w:kern w:val="0"/>
                <w:sz w:val="18"/>
                <w:szCs w:val="18"/>
                <w:u w:val="none"/>
                <w:lang w:val="en-US" w:eastAsia="zh-CN" w:bidi="ar"/>
              </w:rPr>
              <w:t>在线”茂县平台， 在全县范围内开展种养殖技术咨询，通过信息员收集问题，在线提问，分诊员在线分诊，专家在线解答的方式，解决农户在生产生活总遇到的实际困难和问题，助推农业科技服务网格化体系更加完善。</w:t>
            </w:r>
          </w:p>
        </w:tc>
        <w:tc>
          <w:tcPr>
            <w:tcW w:w="4580"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项目进一步完善了专家队伍</w:t>
            </w:r>
            <w:r>
              <w:rPr>
                <w:rFonts w:hint="eastAsia" w:ascii="宋体" w:hAnsi="宋体" w:eastAsia="宋体" w:cs="宋体"/>
                <w:i w:val="0"/>
                <w:iCs w:val="0"/>
                <w:color w:val="000000"/>
                <w:kern w:val="0"/>
                <w:sz w:val="18"/>
                <w:szCs w:val="18"/>
                <w:u w:val="none"/>
                <w:lang w:val="en-US" w:eastAsia="zh-CN" w:bidi="ar"/>
              </w:rPr>
              <w:t>171人</w:t>
            </w:r>
            <w:r>
              <w:rPr>
                <w:rFonts w:hint="eastAsia" w:ascii="宋体" w:hAnsi="宋体" w:eastAsia="宋体" w:cs="宋体"/>
                <w:i w:val="0"/>
                <w:iCs w:val="0"/>
                <w:color w:val="000000"/>
                <w:kern w:val="0"/>
                <w:sz w:val="18"/>
                <w:szCs w:val="18"/>
                <w:u w:val="none"/>
                <w:lang w:val="zh-CN" w:eastAsia="zh-CN" w:bidi="ar"/>
              </w:rPr>
              <w:t>、信息员队伍</w:t>
            </w:r>
            <w:r>
              <w:rPr>
                <w:rFonts w:hint="eastAsia" w:ascii="宋体" w:hAnsi="宋体" w:eastAsia="宋体" w:cs="宋体"/>
                <w:i w:val="0"/>
                <w:iCs w:val="0"/>
                <w:color w:val="000000"/>
                <w:kern w:val="0"/>
                <w:sz w:val="18"/>
                <w:szCs w:val="18"/>
                <w:u w:val="none"/>
                <w:lang w:val="en-US" w:eastAsia="zh-CN" w:bidi="ar"/>
              </w:rPr>
              <w:t>350人</w:t>
            </w:r>
            <w:r>
              <w:rPr>
                <w:rFonts w:hint="eastAsia" w:ascii="宋体" w:hAnsi="宋体" w:eastAsia="宋体" w:cs="宋体"/>
                <w:i w:val="0"/>
                <w:iCs w:val="0"/>
                <w:color w:val="000000"/>
                <w:kern w:val="0"/>
                <w:sz w:val="18"/>
                <w:szCs w:val="18"/>
                <w:u w:val="none"/>
                <w:lang w:val="zh-CN" w:eastAsia="zh-CN" w:bidi="ar"/>
              </w:rPr>
              <w:t>和分诊员队伍</w:t>
            </w:r>
            <w:r>
              <w:rPr>
                <w:rFonts w:hint="eastAsia" w:ascii="宋体" w:hAnsi="宋体" w:eastAsia="宋体" w:cs="宋体"/>
                <w:i w:val="0"/>
                <w:iCs w:val="0"/>
                <w:color w:val="000000"/>
                <w:kern w:val="0"/>
                <w:sz w:val="18"/>
                <w:szCs w:val="18"/>
                <w:u w:val="none"/>
                <w:lang w:val="en-US" w:eastAsia="zh-CN" w:bidi="ar"/>
              </w:rPr>
              <w:t>2人</w:t>
            </w:r>
            <w:r>
              <w:rPr>
                <w:rFonts w:hint="eastAsia" w:ascii="宋体" w:hAnsi="宋体" w:eastAsia="宋体" w:cs="宋体"/>
                <w:i w:val="0"/>
                <w:iCs w:val="0"/>
                <w:color w:val="000000"/>
                <w:kern w:val="0"/>
                <w:sz w:val="18"/>
                <w:szCs w:val="18"/>
                <w:u w:val="none"/>
                <w:lang w:val="zh-CN" w:eastAsia="zh-CN" w:bidi="ar"/>
              </w:rPr>
              <w:t>，开展在线</w:t>
            </w:r>
            <w:r>
              <w:rPr>
                <w:rFonts w:hint="eastAsia" w:ascii="宋体" w:hAnsi="宋体" w:eastAsia="宋体" w:cs="宋体"/>
                <w:i w:val="0"/>
                <w:iCs w:val="0"/>
                <w:color w:val="000000"/>
                <w:kern w:val="0"/>
                <w:sz w:val="18"/>
                <w:szCs w:val="18"/>
                <w:u w:val="none"/>
                <w:lang w:val="en-US" w:eastAsia="zh-CN" w:bidi="ar"/>
              </w:rPr>
              <w:t>2571次，发布技术供给、产业资讯、供销对接30条，开展信息员培训9场次，培训信息员159人，兑现专家服务补助65人，兑现信息员服务补助51人，通过线上及时解决农户生产中遇到的实际问题，助推农业科技服务网格化体系更加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97"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65名专家服务补助和51名信息员服务补助由省、州反馈名单，由县科农局拨付资金24.5955万元，</w:t>
            </w:r>
            <w:r>
              <w:rPr>
                <w:rFonts w:hint="eastAsia" w:ascii="宋体" w:hAnsi="宋体" w:eastAsia="宋体" w:cs="宋体"/>
                <w:i w:val="0"/>
                <w:iCs w:val="0"/>
                <w:color w:val="000000"/>
                <w:kern w:val="0"/>
                <w:sz w:val="18"/>
                <w:szCs w:val="18"/>
                <w:u w:val="none"/>
                <w:lang w:val="en-US" w:eastAsia="zh-CN" w:bidi="ar"/>
              </w:rPr>
              <w:t>2024年科技服务平台运行绩效后补助20.4397万元，主要用于2024年10月1日-2025年9月30日期间平台运行维护。平台在线咨询、平台宣传等。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41.07</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91.19</w:t>
            </w:r>
            <w:r>
              <w:rPr>
                <w:rFonts w:ascii="宋体" w:hAnsi="宋体" w:eastAsia="宋体" w:cs="宋体"/>
                <w:i w:val="0"/>
                <w:iCs w:val="0"/>
                <w:color w:val="000000"/>
                <w:kern w:val="0"/>
                <w:sz w:val="18"/>
                <w:szCs w:val="18"/>
                <w:u w:val="none"/>
                <w:lang w:val="en-US" w:eastAsia="zh-CN" w:bidi="ar"/>
              </w:rPr>
              <w:t>%</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ind w:left="0" w:leftChars="0" w:right="0" w:rightChars="0"/>
              <w:jc w:val="center"/>
              <w:textAlignment w:val="center"/>
              <w:rPr>
                <w:rFonts w:hint="default" w:ascii="黑体" w:hAnsi="黑体" w:eastAsia="黑体"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项目为跨年项目，正在实施中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41.07</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91.19</w:t>
            </w:r>
            <w:r>
              <w:rPr>
                <w:rFonts w:ascii="宋体" w:hAnsi="宋体" w:eastAsia="宋体" w:cs="宋体"/>
                <w:i w:val="0"/>
                <w:iCs w:val="0"/>
                <w:color w:val="000000"/>
                <w:kern w:val="0"/>
                <w:sz w:val="18"/>
                <w:szCs w:val="18"/>
                <w:u w:val="none"/>
                <w:lang w:val="en-US" w:eastAsia="zh-CN" w:bidi="ar"/>
              </w:rPr>
              <w:t>%</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8" w:hRule="atLeast"/>
        </w:trPr>
        <w:tc>
          <w:tcPr>
            <w:tcW w:w="747" w:type="dxa"/>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0"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完善平台队伍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1"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开展在线咨询</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2571</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5"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技术供给、产业资讯、供销对接</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培训次数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兑现专家服务补助人数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兑现信息员服务补助人数</w:t>
            </w:r>
          </w:p>
        </w:tc>
        <w:tc>
          <w:tcPr>
            <w:tcW w:w="4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3"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10"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项目及时率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46"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both"/>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rPr>
              <w:t>通过线上及时解决农户生产中遇到的实际问题，及时率达到95%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49" w:hRule="atLeast"/>
        </w:trPr>
        <w:tc>
          <w:tcPr>
            <w:tcW w:w="747" w:type="dxa"/>
            <w:vMerge w:val="continue"/>
            <w:tcBorders>
              <w:left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both"/>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lang w:eastAsia="zh-CN"/>
              </w:rPr>
              <w:t>下达资金</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45.04</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7" w:hRule="atLeast"/>
        </w:trPr>
        <w:tc>
          <w:tcPr>
            <w:tcW w:w="747" w:type="dxa"/>
            <w:vMerge w:val="continue"/>
            <w:tcBorders>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both"/>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受益区域农户对项目实施的满意度</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hAnsi="宋体" w:cs="宋体"/>
                <w:color w:val="000000"/>
                <w:kern w:val="2"/>
                <w:sz w:val="18"/>
                <w:szCs w:val="18"/>
                <w:lang w:val="en-US" w:eastAsia="zh-CN"/>
              </w:rPr>
              <w:t>98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24"/>
                <w:szCs w:val="24"/>
                <w:lang w:val="en-US" w:eastAsia="zh-CN"/>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98</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184"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99.8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w:t>
            </w:r>
            <w:r>
              <w:rPr>
                <w:rFonts w:hint="eastAsia" w:hAnsi="宋体" w:cs="宋体"/>
                <w:i w:val="0"/>
                <w:iCs w:val="0"/>
                <w:color w:val="000000"/>
                <w:kern w:val="0"/>
                <w:sz w:val="18"/>
                <w:szCs w:val="18"/>
                <w:u w:val="none"/>
                <w:lang w:val="en-US" w:eastAsia="zh-CN" w:bidi="ar"/>
              </w:rPr>
              <w:t>99.8</w:t>
            </w:r>
            <w:r>
              <w:rPr>
                <w:rFonts w:hint="eastAsia" w:ascii="宋体" w:hAnsi="宋体" w:eastAsia="宋体" w:cs="宋体"/>
                <w:i w:val="0"/>
                <w:iCs w:val="0"/>
                <w:color w:val="000000"/>
                <w:kern w:val="0"/>
                <w:sz w:val="18"/>
                <w:szCs w:val="18"/>
                <w:u w:val="none"/>
                <w:lang w:val="en-US" w:eastAsia="zh-CN" w:bidi="ar"/>
              </w:rPr>
              <w:t>分，通过项目实施有效解决了农牧民在生产中遇到的实际困难，提高了种养殖户生产技术水平和综合素质，提升了农畜产品产前、产中、产后的技术含量，增加了农牧民收入。通过平台短平快的方式助力乡村产业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2"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9"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pPr>
        <w:pStyle w:val="24"/>
        <w:keepNext w:val="0"/>
        <w:keepLines w:val="0"/>
        <w:pageBreakBefore w:val="0"/>
        <w:widowControl w:val="0"/>
        <w:numPr>
          <w:ilvl w:val="0"/>
          <w:numId w:val="0"/>
        </w:numPr>
        <w:suppressLineNumbers w:val="0"/>
        <w:kinsoku/>
        <w:wordWrap/>
        <w:overflowPunct/>
        <w:topLinePunct w:val="0"/>
        <w:bidi w:val="0"/>
        <w:spacing w:line="560" w:lineRule="exact"/>
        <w:ind w:leftChars="0" w:right="0" w:rightChars="0"/>
        <w:jc w:val="both"/>
        <w:outlineLvl w:val="0"/>
        <w:rPr>
          <w:rFonts w:hint="eastAsia" w:ascii="黑体" w:eastAsia="黑体" w:cs="黑体"/>
          <w:color w:val="000000"/>
          <w:kern w:val="2"/>
          <w:sz w:val="44"/>
          <w:szCs w:val="44"/>
          <w:lang w:val="en-US" w:eastAsia="zh-CN"/>
        </w:rPr>
      </w:pPr>
    </w:p>
    <w:p>
      <w:pPr>
        <w:keepNext w:val="0"/>
        <w:keepLines w:val="0"/>
        <w:pageBreakBefore w:val="0"/>
        <w:widowControl w:val="0"/>
        <w:suppressLineNumbers w:val="0"/>
        <w:kinsoku/>
        <w:wordWrap/>
        <w:overflowPunct/>
        <w:topLinePunct w:val="0"/>
        <w:bidi w:val="0"/>
        <w:spacing w:line="560" w:lineRule="exact"/>
        <w:ind w:right="0"/>
        <w:jc w:val="both"/>
        <w:outlineLvl w:val="0"/>
        <w:rPr>
          <w:rFonts w:hint="eastAsia" w:ascii="黑体" w:eastAsia="黑体" w:cs="黑体"/>
          <w:kern w:val="0"/>
          <w:sz w:val="44"/>
          <w:szCs w:val="44"/>
        </w:rPr>
      </w:pPr>
      <w:bookmarkStart w:id="202" w:name="_Toc14773"/>
      <w:bookmarkEnd w:id="202"/>
      <w:bookmarkStart w:id="203" w:name="_Toc31876"/>
      <w:bookmarkEnd w:id="203"/>
      <w:bookmarkStart w:id="204" w:name="_Toc27512"/>
      <w:bookmarkEnd w:id="204"/>
      <w:bookmarkStart w:id="205" w:name="_Toc9883"/>
      <w:bookmarkEnd w:id="205"/>
      <w:bookmarkStart w:id="206" w:name="_Toc800"/>
      <w:bookmarkEnd w:id="206"/>
      <w:bookmarkStart w:id="207" w:name="_Toc19329"/>
      <w:bookmarkEnd w:id="207"/>
      <w:bookmarkStart w:id="208" w:name="_Toc11410"/>
      <w:bookmarkEnd w:id="208"/>
      <w:bookmarkStart w:id="209" w:name="_Toc8277"/>
      <w:bookmarkEnd w:id="209"/>
      <w:bookmarkStart w:id="210" w:name="_Toc1450"/>
      <w:bookmarkEnd w:id="210"/>
      <w:bookmarkStart w:id="211" w:name="_Toc31670"/>
      <w:bookmarkEnd w:id="211"/>
      <w:bookmarkStart w:id="212" w:name="_Toc2892"/>
      <w:bookmarkEnd w:id="212"/>
      <w:bookmarkStart w:id="213" w:name="_Toc13417"/>
      <w:bookmarkEnd w:id="213"/>
      <w:bookmarkStart w:id="214" w:name="_Toc26670"/>
    </w:p>
    <w:p>
      <w:pPr>
        <w:pStyle w:val="2"/>
        <w:pageBreakBefore w:val="0"/>
        <w:widowControl w:val="0"/>
        <w:kinsoku/>
        <w:wordWrap/>
        <w:overflowPunct/>
        <w:topLinePunct w:val="0"/>
        <w:bidi w:val="0"/>
        <w:jc w:val="both"/>
        <w:rPr>
          <w:rFonts w:hint="eastAsia" w:ascii="黑体" w:eastAsia="黑体" w:cs="黑体"/>
          <w:kern w:val="0"/>
          <w:sz w:val="44"/>
          <w:szCs w:val="44"/>
        </w:rPr>
      </w:pPr>
    </w:p>
    <w:p>
      <w:pPr>
        <w:pStyle w:val="3"/>
        <w:pageBreakBefore w:val="0"/>
        <w:widowControl w:val="0"/>
        <w:kinsoku/>
        <w:wordWrap/>
        <w:overflowPunct/>
        <w:topLinePunct w:val="0"/>
        <w:bidi w:val="0"/>
        <w:jc w:val="both"/>
        <w:rPr>
          <w:rFonts w:hint="eastAsia"/>
        </w:rPr>
      </w:pPr>
    </w:p>
    <w:p>
      <w:pPr>
        <w:keepNext w:val="0"/>
        <w:keepLines w:val="0"/>
        <w:pageBreakBefore w:val="0"/>
        <w:widowControl w:val="0"/>
        <w:suppressLineNumbers w:val="0"/>
        <w:kinsoku/>
        <w:wordWrap/>
        <w:overflowPunct/>
        <w:topLinePunct w:val="0"/>
        <w:bidi w:val="0"/>
        <w:spacing w:line="560" w:lineRule="exact"/>
        <w:ind w:right="0"/>
        <w:jc w:val="both"/>
        <w:outlineLvl w:val="0"/>
        <w:rPr>
          <w:rFonts w:hint="eastAsia" w:ascii="黑体" w:eastAsia="黑体" w:cs="黑体"/>
          <w:kern w:val="0"/>
          <w:sz w:val="44"/>
          <w:szCs w:val="44"/>
        </w:rPr>
      </w:pPr>
    </w:p>
    <w:p>
      <w:pPr>
        <w:keepNext w:val="0"/>
        <w:keepLines w:val="0"/>
        <w:pageBreakBefore w:val="0"/>
        <w:widowControl w:val="0"/>
        <w:suppressLineNumbers w:val="0"/>
        <w:kinsoku/>
        <w:wordWrap/>
        <w:overflowPunct/>
        <w:topLinePunct w:val="0"/>
        <w:bidi w:val="0"/>
        <w:spacing w:line="560" w:lineRule="exact"/>
        <w:ind w:right="0"/>
        <w:jc w:val="both"/>
        <w:outlineLvl w:val="0"/>
        <w:rPr>
          <w:rFonts w:hint="eastAsia" w:ascii="黑体" w:eastAsia="黑体" w:cs="黑体"/>
          <w:b/>
          <w:bCs/>
          <w:kern w:val="0"/>
          <w:sz w:val="44"/>
          <w:szCs w:val="44"/>
        </w:rPr>
      </w:pPr>
    </w:p>
    <w:p>
      <w:pPr>
        <w:keepNext w:val="0"/>
        <w:keepLines w:val="0"/>
        <w:pageBreakBefore w:val="0"/>
        <w:widowControl w:val="0"/>
        <w:suppressLineNumbers w:val="0"/>
        <w:kinsoku/>
        <w:wordWrap/>
        <w:overflowPunct/>
        <w:topLinePunct w:val="0"/>
        <w:bidi w:val="0"/>
        <w:spacing w:line="560" w:lineRule="exact"/>
        <w:ind w:right="0"/>
        <w:jc w:val="both"/>
        <w:outlineLvl w:val="0"/>
        <w:rPr>
          <w:rFonts w:hint="eastAsia" w:ascii="黑体" w:eastAsia="黑体" w:cs="黑体"/>
          <w:b/>
          <w:bCs/>
          <w:kern w:val="0"/>
          <w:sz w:val="44"/>
          <w:szCs w:val="44"/>
        </w:rPr>
      </w:pPr>
    </w:p>
    <w:p>
      <w:pPr>
        <w:keepNext w:val="0"/>
        <w:keepLines w:val="0"/>
        <w:pageBreakBefore w:val="0"/>
        <w:widowControl w:val="0"/>
        <w:suppressLineNumbers w:val="0"/>
        <w:kinsoku/>
        <w:wordWrap/>
        <w:overflowPunct/>
        <w:topLinePunct w:val="0"/>
        <w:bidi w:val="0"/>
        <w:spacing w:line="560" w:lineRule="exact"/>
        <w:ind w:right="0"/>
        <w:jc w:val="center"/>
        <w:outlineLvl w:val="0"/>
        <w:rPr>
          <w:rFonts w:hint="eastAsia" w:ascii="宋体" w:eastAsia="宋体" w:cs="宋体"/>
          <w:b w:val="0"/>
          <w:bCs w:val="0"/>
          <w:kern w:val="0"/>
          <w:sz w:val="44"/>
          <w:szCs w:val="44"/>
        </w:rPr>
      </w:pPr>
      <w:bookmarkStart w:id="215" w:name="_Toc31155"/>
      <w:r>
        <w:rPr>
          <w:rFonts w:hint="eastAsia" w:ascii="黑体" w:eastAsia="黑体" w:cs="黑体"/>
          <w:b w:val="0"/>
          <w:bCs w:val="0"/>
          <w:kern w:val="0"/>
          <w:sz w:val="44"/>
          <w:szCs w:val="44"/>
        </w:rPr>
        <w:t>第五部分 附表</w:t>
      </w:r>
      <w:bookmarkEnd w:id="214"/>
      <w:bookmarkEnd w:id="215"/>
      <w:bookmarkStart w:id="216" w:name="_Toc28209"/>
      <w:bookmarkEnd w:id="216"/>
      <w:bookmarkStart w:id="217" w:name="_Toc15434"/>
      <w:bookmarkEnd w:id="217"/>
      <w:bookmarkStart w:id="218" w:name="_Toc26324"/>
      <w:bookmarkEnd w:id="218"/>
      <w:bookmarkStart w:id="219" w:name="_Toc25133"/>
      <w:bookmarkEnd w:id="219"/>
      <w:bookmarkStart w:id="220" w:name="_Toc28912"/>
      <w:bookmarkEnd w:id="220"/>
    </w:p>
    <w:p>
      <w:pPr>
        <w:pStyle w:val="24"/>
        <w:keepNext w:val="0"/>
        <w:keepLines w:val="0"/>
        <w:pageBreakBefore w:val="0"/>
        <w:widowControl w:val="0"/>
        <w:suppressLineNumbers w:val="0"/>
        <w:kinsoku/>
        <w:wordWrap/>
        <w:overflowPunct/>
        <w:topLinePunct w:val="0"/>
        <w:bidi w:val="0"/>
        <w:spacing w:line="560" w:lineRule="exact"/>
        <w:ind w:right="0"/>
        <w:jc w:val="both"/>
        <w:outlineLvl w:val="1"/>
        <w:rPr>
          <w:rFonts w:hint="eastAsia" w:ascii="黑体" w:hAnsi="黑体" w:eastAsia="黑体" w:cs="黑体"/>
          <w:b/>
          <w:bCs w:val="0"/>
          <w:color w:val="000000"/>
          <w:kern w:val="2"/>
          <w:sz w:val="32"/>
          <w:szCs w:val="32"/>
        </w:rPr>
      </w:pPr>
      <w:bookmarkStart w:id="221" w:name="_Toc3242"/>
      <w:r>
        <w:rPr>
          <w:rFonts w:hint="eastAsia" w:ascii="黑体" w:hAnsi="黑体" w:eastAsia="黑体" w:cs="黑体"/>
          <w:b w:val="0"/>
          <w:bCs/>
          <w:color w:val="000000"/>
          <w:kern w:val="2"/>
          <w:sz w:val="32"/>
          <w:szCs w:val="32"/>
        </w:rPr>
        <w:t>一、收入支出决算总表</w:t>
      </w:r>
      <w:bookmarkEnd w:id="22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22" w:name="_Toc24695"/>
      <w:bookmarkEnd w:id="222"/>
      <w:bookmarkStart w:id="223" w:name="_Toc7581"/>
      <w:bookmarkEnd w:id="223"/>
      <w:bookmarkStart w:id="224" w:name="_Toc10096"/>
      <w:bookmarkEnd w:id="224"/>
      <w:bookmarkStart w:id="225" w:name="_Toc22303"/>
      <w:bookmarkEnd w:id="225"/>
      <w:bookmarkStart w:id="226" w:name="_Toc28407"/>
      <w:bookmarkEnd w:id="226"/>
      <w:bookmarkStart w:id="227" w:name="_Toc15691"/>
      <w:bookmarkEnd w:id="227"/>
      <w:bookmarkStart w:id="228" w:name="_Toc29691"/>
      <w:bookmarkEnd w:id="228"/>
      <w:bookmarkStart w:id="229" w:name="_Toc6650"/>
      <w:bookmarkEnd w:id="229"/>
      <w:bookmarkStart w:id="230" w:name="_Toc19364"/>
      <w:bookmarkStart w:id="231" w:name="_Toc28370"/>
      <w:r>
        <w:rPr>
          <w:rFonts w:hint="eastAsia" w:ascii="黑体" w:hAnsi="黑体" w:eastAsia="黑体" w:cs="黑体"/>
          <w:b w:val="0"/>
          <w:bCs/>
          <w:color w:val="000000"/>
          <w:kern w:val="2"/>
          <w:sz w:val="32"/>
          <w:szCs w:val="32"/>
        </w:rPr>
        <w:t>二、收入决算表</w:t>
      </w:r>
      <w:bookmarkEnd w:id="230"/>
      <w:bookmarkEnd w:id="23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32" w:name="_Toc1189"/>
      <w:bookmarkEnd w:id="232"/>
      <w:bookmarkStart w:id="233" w:name="_Toc9758"/>
      <w:bookmarkEnd w:id="233"/>
      <w:bookmarkStart w:id="234" w:name="_Toc28858"/>
      <w:bookmarkEnd w:id="234"/>
      <w:bookmarkStart w:id="235" w:name="_Toc22518"/>
      <w:bookmarkEnd w:id="235"/>
      <w:bookmarkStart w:id="236" w:name="_Toc4835"/>
      <w:bookmarkEnd w:id="236"/>
      <w:bookmarkStart w:id="237" w:name="_Toc11856"/>
      <w:bookmarkEnd w:id="237"/>
      <w:bookmarkStart w:id="238" w:name="_Toc20442"/>
      <w:bookmarkEnd w:id="238"/>
      <w:bookmarkStart w:id="239" w:name="_Toc22660"/>
      <w:bookmarkEnd w:id="239"/>
      <w:bookmarkStart w:id="240" w:name="_Toc27747"/>
      <w:bookmarkStart w:id="241" w:name="_Toc5406"/>
      <w:r>
        <w:rPr>
          <w:rFonts w:hint="eastAsia" w:ascii="黑体" w:hAnsi="黑体" w:eastAsia="黑体" w:cs="黑体"/>
          <w:b w:val="0"/>
          <w:bCs/>
          <w:color w:val="000000"/>
          <w:kern w:val="2"/>
          <w:sz w:val="32"/>
          <w:szCs w:val="32"/>
        </w:rPr>
        <w:t>三、支出决算表</w:t>
      </w:r>
      <w:bookmarkEnd w:id="240"/>
      <w:bookmarkEnd w:id="24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42" w:name="_Toc3241"/>
      <w:bookmarkEnd w:id="242"/>
      <w:bookmarkStart w:id="243" w:name="_Toc25907"/>
      <w:bookmarkEnd w:id="243"/>
      <w:bookmarkStart w:id="244" w:name="_Toc18289"/>
      <w:bookmarkEnd w:id="244"/>
      <w:bookmarkStart w:id="245" w:name="_Toc223"/>
      <w:bookmarkEnd w:id="245"/>
      <w:bookmarkStart w:id="246" w:name="_Toc11088"/>
      <w:bookmarkEnd w:id="246"/>
      <w:bookmarkStart w:id="247" w:name="_Toc1856"/>
      <w:bookmarkEnd w:id="247"/>
      <w:bookmarkStart w:id="248" w:name="_Toc11430"/>
      <w:bookmarkEnd w:id="248"/>
      <w:bookmarkStart w:id="249" w:name="_Toc17502"/>
      <w:bookmarkEnd w:id="249"/>
      <w:bookmarkStart w:id="250" w:name="_Toc24499"/>
      <w:bookmarkStart w:id="251" w:name="_Toc8735"/>
      <w:r>
        <w:rPr>
          <w:rFonts w:hint="eastAsia" w:ascii="黑体" w:hAnsi="黑体" w:eastAsia="黑体" w:cs="黑体"/>
          <w:b w:val="0"/>
          <w:bCs/>
          <w:color w:val="000000"/>
          <w:kern w:val="2"/>
          <w:sz w:val="32"/>
          <w:szCs w:val="32"/>
        </w:rPr>
        <w:t>四、财政拨款收入支出决算总表</w:t>
      </w:r>
      <w:bookmarkEnd w:id="250"/>
      <w:bookmarkEnd w:id="25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52" w:name="_Toc15912"/>
      <w:bookmarkEnd w:id="252"/>
      <w:bookmarkStart w:id="253" w:name="_Toc7175"/>
      <w:bookmarkEnd w:id="253"/>
      <w:bookmarkStart w:id="254" w:name="_Toc8573"/>
      <w:bookmarkEnd w:id="254"/>
      <w:bookmarkStart w:id="255" w:name="_Toc30473"/>
      <w:bookmarkEnd w:id="255"/>
      <w:bookmarkStart w:id="256" w:name="_Toc6186"/>
      <w:bookmarkEnd w:id="256"/>
      <w:bookmarkStart w:id="257" w:name="_Toc8414"/>
      <w:bookmarkEnd w:id="257"/>
      <w:bookmarkStart w:id="258" w:name="_Toc25329"/>
      <w:bookmarkEnd w:id="258"/>
      <w:bookmarkStart w:id="259" w:name="_Toc32637"/>
      <w:bookmarkEnd w:id="259"/>
      <w:bookmarkStart w:id="260" w:name="_Toc2272"/>
      <w:bookmarkStart w:id="261" w:name="_Toc8268"/>
      <w:r>
        <w:rPr>
          <w:rFonts w:hint="eastAsia" w:ascii="黑体" w:hAnsi="黑体" w:eastAsia="黑体" w:cs="黑体"/>
          <w:b w:val="0"/>
          <w:bCs/>
          <w:color w:val="000000"/>
          <w:kern w:val="2"/>
          <w:sz w:val="32"/>
          <w:szCs w:val="32"/>
        </w:rPr>
        <w:t>五、财政拨款支出决算明细表</w:t>
      </w:r>
      <w:bookmarkEnd w:id="260"/>
      <w:bookmarkEnd w:id="26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62" w:name="_Toc19215"/>
      <w:bookmarkEnd w:id="262"/>
      <w:bookmarkStart w:id="263" w:name="_Toc10267"/>
      <w:bookmarkEnd w:id="263"/>
      <w:bookmarkStart w:id="264" w:name="_Toc2972"/>
      <w:bookmarkEnd w:id="264"/>
      <w:bookmarkStart w:id="265" w:name="_Toc1310"/>
      <w:bookmarkEnd w:id="265"/>
      <w:bookmarkStart w:id="266" w:name="_Toc14554"/>
      <w:bookmarkEnd w:id="266"/>
      <w:bookmarkStart w:id="267" w:name="_Toc30168"/>
      <w:bookmarkEnd w:id="267"/>
      <w:bookmarkStart w:id="268" w:name="_Toc24491"/>
      <w:bookmarkEnd w:id="268"/>
      <w:bookmarkStart w:id="269" w:name="_Toc11793"/>
      <w:bookmarkEnd w:id="269"/>
      <w:bookmarkStart w:id="270" w:name="_Toc32086"/>
      <w:bookmarkStart w:id="271" w:name="_Toc17158"/>
      <w:r>
        <w:rPr>
          <w:rFonts w:hint="eastAsia" w:ascii="黑体" w:hAnsi="黑体" w:eastAsia="黑体" w:cs="黑体"/>
          <w:b w:val="0"/>
          <w:bCs/>
          <w:color w:val="000000"/>
          <w:kern w:val="2"/>
          <w:sz w:val="32"/>
          <w:szCs w:val="32"/>
        </w:rPr>
        <w:t>六、一般公共预算财政拨款支出决算表</w:t>
      </w:r>
      <w:bookmarkEnd w:id="270"/>
      <w:bookmarkEnd w:id="27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72" w:name="_Toc18678"/>
      <w:bookmarkEnd w:id="272"/>
      <w:bookmarkStart w:id="273" w:name="_Toc436"/>
      <w:bookmarkEnd w:id="273"/>
      <w:bookmarkStart w:id="274" w:name="_Toc32278"/>
      <w:bookmarkEnd w:id="274"/>
      <w:bookmarkStart w:id="275" w:name="_Toc8341"/>
      <w:bookmarkEnd w:id="275"/>
      <w:bookmarkStart w:id="276" w:name="_Toc30210"/>
      <w:bookmarkEnd w:id="276"/>
      <w:bookmarkStart w:id="277" w:name="_Toc12709"/>
      <w:bookmarkEnd w:id="277"/>
      <w:bookmarkStart w:id="278" w:name="_Toc703"/>
      <w:bookmarkEnd w:id="278"/>
      <w:bookmarkStart w:id="279" w:name="_Toc14892"/>
      <w:bookmarkEnd w:id="279"/>
      <w:bookmarkStart w:id="280" w:name="_Toc32359"/>
      <w:bookmarkStart w:id="281" w:name="_Toc16968"/>
      <w:r>
        <w:rPr>
          <w:rFonts w:hint="eastAsia" w:ascii="黑体" w:hAnsi="黑体" w:eastAsia="黑体" w:cs="黑体"/>
          <w:b w:val="0"/>
          <w:bCs/>
          <w:color w:val="000000"/>
          <w:kern w:val="2"/>
          <w:sz w:val="32"/>
          <w:szCs w:val="32"/>
        </w:rPr>
        <w:t>七、一般公共预算财政拨款支出决算明细表</w:t>
      </w:r>
      <w:bookmarkEnd w:id="280"/>
      <w:bookmarkEnd w:id="28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82" w:name="_Toc31073"/>
      <w:bookmarkEnd w:id="282"/>
      <w:bookmarkStart w:id="283" w:name="_Toc1164"/>
      <w:bookmarkEnd w:id="283"/>
      <w:bookmarkStart w:id="284" w:name="_Toc18527"/>
      <w:bookmarkEnd w:id="284"/>
      <w:bookmarkStart w:id="285" w:name="_Toc5764"/>
      <w:bookmarkEnd w:id="285"/>
      <w:bookmarkStart w:id="286" w:name="_Toc26772"/>
      <w:bookmarkEnd w:id="286"/>
      <w:bookmarkStart w:id="287" w:name="_Toc6046"/>
      <w:bookmarkEnd w:id="287"/>
      <w:bookmarkStart w:id="288" w:name="_Toc18226"/>
      <w:bookmarkEnd w:id="288"/>
      <w:bookmarkStart w:id="289" w:name="_Toc18964"/>
      <w:bookmarkEnd w:id="289"/>
      <w:bookmarkStart w:id="290" w:name="_Toc5270"/>
      <w:bookmarkStart w:id="291" w:name="_Toc4247"/>
      <w:r>
        <w:rPr>
          <w:rFonts w:hint="eastAsia" w:ascii="黑体" w:hAnsi="黑体" w:eastAsia="黑体" w:cs="黑体"/>
          <w:b w:val="0"/>
          <w:bCs/>
          <w:color w:val="000000"/>
          <w:kern w:val="2"/>
          <w:sz w:val="32"/>
          <w:szCs w:val="32"/>
        </w:rPr>
        <w:t>八、一般公共预算财政拨款基本支出决算表</w:t>
      </w:r>
      <w:bookmarkEnd w:id="290"/>
      <w:bookmarkEnd w:id="29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292" w:name="_Toc27671"/>
      <w:bookmarkEnd w:id="292"/>
      <w:bookmarkStart w:id="293" w:name="_Toc30827"/>
      <w:bookmarkEnd w:id="293"/>
      <w:bookmarkStart w:id="294" w:name="_Toc28196"/>
      <w:bookmarkEnd w:id="294"/>
      <w:bookmarkStart w:id="295" w:name="_Toc19486"/>
      <w:bookmarkEnd w:id="295"/>
      <w:bookmarkStart w:id="296" w:name="_Toc6064"/>
      <w:bookmarkEnd w:id="296"/>
      <w:bookmarkStart w:id="297" w:name="_Toc12630"/>
      <w:bookmarkEnd w:id="297"/>
      <w:bookmarkStart w:id="298" w:name="_Toc23702"/>
      <w:bookmarkEnd w:id="298"/>
      <w:bookmarkStart w:id="299" w:name="_Toc19887"/>
      <w:bookmarkEnd w:id="299"/>
      <w:bookmarkStart w:id="300" w:name="_Toc8213"/>
      <w:bookmarkStart w:id="301" w:name="_Toc472"/>
      <w:r>
        <w:rPr>
          <w:rFonts w:hint="eastAsia" w:ascii="黑体" w:hAnsi="黑体" w:eastAsia="黑体" w:cs="黑体"/>
          <w:b w:val="0"/>
          <w:bCs/>
          <w:color w:val="000000"/>
          <w:kern w:val="2"/>
          <w:sz w:val="32"/>
          <w:szCs w:val="32"/>
        </w:rPr>
        <w:t>九、一般公共预算财政拨款项目支出决算表</w:t>
      </w:r>
      <w:bookmarkEnd w:id="300"/>
      <w:bookmarkEnd w:id="30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302" w:name="_Toc17002"/>
      <w:bookmarkEnd w:id="302"/>
      <w:bookmarkStart w:id="303" w:name="_Toc943"/>
      <w:bookmarkEnd w:id="303"/>
      <w:bookmarkStart w:id="304" w:name="_Toc27261"/>
      <w:bookmarkEnd w:id="304"/>
      <w:bookmarkStart w:id="305" w:name="_Toc4069"/>
      <w:bookmarkEnd w:id="305"/>
      <w:bookmarkStart w:id="306" w:name="_Toc28878"/>
      <w:bookmarkEnd w:id="306"/>
      <w:bookmarkStart w:id="307" w:name="_Toc18221"/>
      <w:bookmarkEnd w:id="307"/>
      <w:bookmarkStart w:id="308" w:name="_Toc6407"/>
      <w:bookmarkEnd w:id="308"/>
      <w:bookmarkStart w:id="309" w:name="_Toc26030"/>
      <w:bookmarkEnd w:id="309"/>
      <w:bookmarkStart w:id="310" w:name="_Toc1248"/>
      <w:bookmarkStart w:id="311" w:name="_Toc6197"/>
      <w:r>
        <w:rPr>
          <w:rFonts w:hint="eastAsia" w:ascii="黑体" w:hAnsi="黑体" w:eastAsia="黑体" w:cs="黑体"/>
          <w:b w:val="0"/>
          <w:bCs/>
          <w:color w:val="000000"/>
          <w:kern w:val="2"/>
          <w:sz w:val="32"/>
          <w:szCs w:val="32"/>
        </w:rPr>
        <w:t>十、政府性基金预算财政拨款收入支出决算表</w:t>
      </w:r>
      <w:bookmarkEnd w:id="310"/>
      <w:bookmarkEnd w:id="31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312" w:name="_Toc30744"/>
      <w:bookmarkEnd w:id="312"/>
      <w:bookmarkStart w:id="313" w:name="_Toc25520"/>
      <w:bookmarkEnd w:id="313"/>
      <w:bookmarkStart w:id="314" w:name="_Toc4295"/>
      <w:bookmarkEnd w:id="314"/>
      <w:bookmarkStart w:id="315" w:name="_Toc30301"/>
      <w:bookmarkEnd w:id="315"/>
      <w:bookmarkStart w:id="316" w:name="_Toc25498"/>
      <w:bookmarkEnd w:id="316"/>
      <w:bookmarkStart w:id="317" w:name="_Toc29602"/>
      <w:bookmarkEnd w:id="317"/>
      <w:bookmarkStart w:id="318" w:name="_Toc25909"/>
      <w:bookmarkEnd w:id="318"/>
      <w:bookmarkStart w:id="319" w:name="_Toc26859"/>
      <w:bookmarkEnd w:id="319"/>
      <w:bookmarkStart w:id="320" w:name="_Toc23214"/>
      <w:bookmarkStart w:id="321" w:name="_Toc11355"/>
      <w:r>
        <w:rPr>
          <w:rFonts w:hint="eastAsia" w:ascii="黑体" w:hAnsi="黑体" w:eastAsia="黑体" w:cs="黑体"/>
          <w:b w:val="0"/>
          <w:bCs/>
          <w:color w:val="000000"/>
          <w:kern w:val="2"/>
          <w:sz w:val="32"/>
          <w:szCs w:val="32"/>
        </w:rPr>
        <w:t>十一、国有资本经营预算财政拨款收入支出决算表</w:t>
      </w:r>
      <w:bookmarkEnd w:id="320"/>
      <w:bookmarkEnd w:id="32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b w:val="0"/>
          <w:bCs/>
          <w:color w:val="000000"/>
          <w:kern w:val="2"/>
          <w:sz w:val="32"/>
          <w:szCs w:val="32"/>
        </w:rPr>
      </w:pPr>
      <w:bookmarkStart w:id="322" w:name="_Toc3190"/>
      <w:bookmarkEnd w:id="322"/>
      <w:bookmarkStart w:id="323" w:name="_Toc16476"/>
      <w:bookmarkEnd w:id="323"/>
      <w:bookmarkStart w:id="324" w:name="_Toc12376"/>
      <w:bookmarkEnd w:id="324"/>
      <w:bookmarkStart w:id="325" w:name="_Toc21085"/>
      <w:bookmarkEnd w:id="325"/>
      <w:bookmarkStart w:id="326" w:name="_Toc9445"/>
      <w:bookmarkEnd w:id="326"/>
      <w:bookmarkStart w:id="327" w:name="_Toc27357"/>
      <w:bookmarkEnd w:id="327"/>
      <w:bookmarkStart w:id="328" w:name="_Toc21067"/>
      <w:bookmarkEnd w:id="328"/>
      <w:bookmarkStart w:id="329" w:name="_Toc30162"/>
      <w:bookmarkEnd w:id="329"/>
      <w:bookmarkStart w:id="330" w:name="_Toc30404"/>
      <w:bookmarkStart w:id="331" w:name="_Toc12617"/>
      <w:r>
        <w:rPr>
          <w:rFonts w:hint="eastAsia" w:ascii="黑体" w:hAnsi="黑体" w:eastAsia="黑体" w:cs="黑体"/>
          <w:b w:val="0"/>
          <w:bCs/>
          <w:color w:val="000000"/>
          <w:kern w:val="2"/>
          <w:sz w:val="32"/>
          <w:szCs w:val="32"/>
        </w:rPr>
        <w:t>十二、国有资本经营预算财政拨款支出决算表</w:t>
      </w:r>
      <w:bookmarkEnd w:id="330"/>
      <w:bookmarkEnd w:id="331"/>
    </w:p>
    <w:p>
      <w:pPr>
        <w:pStyle w:val="6"/>
        <w:keepNext/>
        <w:keepLines/>
        <w:pageBreakBefore w:val="0"/>
        <w:widowControl w:val="0"/>
        <w:suppressLineNumbers w:val="0"/>
        <w:kinsoku/>
        <w:wordWrap/>
        <w:overflowPunct/>
        <w:topLinePunct w:val="0"/>
        <w:bidi w:val="0"/>
        <w:spacing w:before="260" w:beforeAutospacing="0" w:after="260" w:afterAutospacing="0" w:line="560" w:lineRule="exact"/>
        <w:jc w:val="both"/>
        <w:outlineLvl w:val="1"/>
        <w:rPr>
          <w:rFonts w:hint="eastAsia" w:ascii="黑体" w:hAnsi="黑体" w:eastAsia="黑体" w:cs="黑体"/>
          <w:kern w:val="0"/>
          <w:sz w:val="32"/>
          <w:szCs w:val="32"/>
        </w:rPr>
      </w:pPr>
      <w:bookmarkStart w:id="332" w:name="_Toc16289"/>
      <w:bookmarkEnd w:id="332"/>
      <w:bookmarkStart w:id="333" w:name="_Toc32413"/>
      <w:bookmarkEnd w:id="333"/>
      <w:bookmarkStart w:id="334" w:name="_Toc25011"/>
      <w:bookmarkEnd w:id="334"/>
      <w:bookmarkStart w:id="335" w:name="_Toc19775"/>
      <w:bookmarkEnd w:id="335"/>
      <w:bookmarkStart w:id="336" w:name="_Toc4922"/>
      <w:bookmarkEnd w:id="336"/>
      <w:bookmarkStart w:id="337" w:name="_Toc17196"/>
      <w:bookmarkEnd w:id="337"/>
      <w:bookmarkStart w:id="338" w:name="_Toc10463"/>
      <w:bookmarkEnd w:id="338"/>
      <w:bookmarkStart w:id="339" w:name="_Toc11548"/>
      <w:bookmarkEnd w:id="339"/>
      <w:bookmarkStart w:id="340" w:name="_Toc23404"/>
      <w:bookmarkStart w:id="341" w:name="_Toc31117"/>
      <w:r>
        <w:rPr>
          <w:rFonts w:hint="eastAsia" w:ascii="黑体" w:hAnsi="黑体" w:eastAsia="黑体" w:cs="黑体"/>
          <w:b w:val="0"/>
          <w:bCs/>
          <w:color w:val="000000"/>
          <w:kern w:val="2"/>
          <w:sz w:val="32"/>
          <w:szCs w:val="32"/>
        </w:rPr>
        <w:t>十三、财政拨款“三公”经费支出决算表</w:t>
      </w:r>
      <w:bookmarkEnd w:id="340"/>
      <w:bookmarkEnd w:id="341"/>
      <w:r>
        <w:rPr>
          <w:rFonts w:hint="eastAsia" w:ascii="黑体" w:hAnsi="黑体" w:eastAsia="黑体" w:cs="黑体"/>
          <w:kern w:val="0"/>
          <w:sz w:val="32"/>
          <w:szCs w:val="32"/>
        </w:rPr>
        <w:t xml:space="preserve"> </w:t>
      </w:r>
    </w:p>
    <w:p>
      <w:pPr>
        <w:pStyle w:val="6"/>
        <w:keepNext w:val="0"/>
        <w:keepLines w:val="0"/>
        <w:pageBreakBefore w:val="0"/>
        <w:widowControl w:val="0"/>
        <w:suppressLineNumbers w:val="0"/>
        <w:kinsoku/>
        <w:wordWrap/>
        <w:overflowPunct/>
        <w:topLinePunct w:val="0"/>
        <w:bidi w:val="0"/>
        <w:spacing w:before="0" w:beforeAutospacing="0" w:line="560" w:lineRule="exact"/>
        <w:ind w:left="0"/>
        <w:jc w:val="both"/>
        <w:outlineLvl w:val="9"/>
        <w:rPr>
          <w:rFonts w:hint="eastAsia" w:ascii="宋体" w:eastAsia="宋体" w:cs="宋体"/>
          <w:b/>
          <w:bCs/>
          <w:kern w:val="0"/>
          <w:sz w:val="36"/>
          <w:szCs w:val="36"/>
        </w:rPr>
      </w:pPr>
      <w:r>
        <w:rPr>
          <w:rFonts w:hint="eastAsia" w:ascii="宋体" w:eastAsia="宋体" w:cs="宋体"/>
          <w:b/>
          <w:bCs/>
          <w:kern w:val="0"/>
          <w:sz w:val="36"/>
          <w:szCs w:val="36"/>
        </w:rPr>
        <w:t xml:space="preserve"> </w:t>
      </w:r>
    </w:p>
    <w:sectPr>
      <w:footerReference r:id="rId6" w:type="default"/>
      <w:pgSz w:w="11915" w:h="16851"/>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suppressLineNumbers w:val="0"/>
      <w:rPr>
        <w:rFonts w:hint="eastAsia" w:ascii="宋体" w:eastAsia="宋体" w:cs="宋体"/>
        <w:kern w:val="0"/>
        <w:sz w:val="18"/>
        <w:szCs w:val="18"/>
      </w:rPr>
    </w:pPr>
    <w:r>
      <w:rPr>
        <w:rFonts w:hint="eastAsia" w:ascii="宋体" w:eastAsia="宋体" w:cs="宋体"/>
        <w:kern w:val="0"/>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suppressLineNumbers w:val="0"/>
      <w:tabs>
        <w:tab w:val="center" w:pos="4157"/>
      </w:tabs>
      <w:rPr>
        <w:rFonts w:hint="eastAsia" w:ascii="宋体" w:eastAsia="宋体" w:cs="宋体"/>
        <w:kern w:val="0"/>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eastAsia="宋体" w:cs="宋体"/>
        <w:kern w:val="0"/>
        <w:sz w:val="18"/>
        <w:szCs w:val="18"/>
      </w:rPr>
      <w:t xml:space="preserve"> </w:t>
    </w:r>
    <w:r>
      <w:rPr>
        <w:rFonts w:hint="eastAsia" w:cs="宋体"/>
        <w:kern w:val="0"/>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suppressLineNumbers w:val="0"/>
      <w:tabs>
        <w:tab w:val="center" w:pos="4157"/>
      </w:tabs>
      <w:rPr>
        <w:rFonts w:hint="eastAsia" w:ascii="宋体" w:eastAsia="宋体" w:cs="宋体"/>
        <w:kern w:val="0"/>
        <w:sz w:val="18"/>
        <w:szCs w:val="18"/>
        <w:lang w:eastAsia="zh-CN"/>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8"/>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6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k6Uq11QAAAAIBAAAPAAAA&#10;AAAAAAEAIAAAADgAAABkcnMvZG93bnJldi54bWxQSwECFAAUAAAACACHTuJAh9iX0gICAADzAwAA&#10;DgAAAAAAAAABACAAAAA6AQAAZHJzL2Uyb0RvYy54bWxQSwUGAAAAAAYABgBZAQAArgUAAAAA&#10;">
              <v:fill on="f" focussize="0,0"/>
              <v:stroke on="f" weight="0.5pt" joinstyle="round"/>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宋体" w:eastAsia="宋体" w:cs="宋体"/>
        <w:kern w:val="0"/>
        <w:sz w:val="18"/>
        <w:szCs w:val="18"/>
      </w:rPr>
      <w:t xml:space="preserve"> </w:t>
    </w:r>
    <w:r>
      <w:rPr>
        <w:rFonts w:hint="eastAsia" w:cs="宋体"/>
        <w:kern w:val="0"/>
        <w:sz w:val="18"/>
        <w:szCs w:val="18"/>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jRmYzVhMTg2MDdjYTY1YTYzNDNlM2I0M2ZkYWYyNGYifQ=="/>
  </w:docVars>
  <w:rsids>
    <w:rsidRoot w:val="00000000"/>
    <w:rsid w:val="002B06D1"/>
    <w:rsid w:val="003A4DB8"/>
    <w:rsid w:val="00441793"/>
    <w:rsid w:val="005A0F47"/>
    <w:rsid w:val="00645991"/>
    <w:rsid w:val="007818B4"/>
    <w:rsid w:val="00975D66"/>
    <w:rsid w:val="00CF3752"/>
    <w:rsid w:val="00ED5986"/>
    <w:rsid w:val="01042CD0"/>
    <w:rsid w:val="010827C0"/>
    <w:rsid w:val="01466DCF"/>
    <w:rsid w:val="01467D6F"/>
    <w:rsid w:val="014F03EF"/>
    <w:rsid w:val="01710365"/>
    <w:rsid w:val="01747E56"/>
    <w:rsid w:val="017B7436"/>
    <w:rsid w:val="019127B6"/>
    <w:rsid w:val="01973B44"/>
    <w:rsid w:val="01AF70E0"/>
    <w:rsid w:val="01C901A1"/>
    <w:rsid w:val="01EA0118"/>
    <w:rsid w:val="01F23341"/>
    <w:rsid w:val="02187528"/>
    <w:rsid w:val="021F7DC1"/>
    <w:rsid w:val="02226DB8"/>
    <w:rsid w:val="0241242E"/>
    <w:rsid w:val="026954E1"/>
    <w:rsid w:val="027619AC"/>
    <w:rsid w:val="027A76EE"/>
    <w:rsid w:val="028C11CF"/>
    <w:rsid w:val="02987B74"/>
    <w:rsid w:val="02C80459"/>
    <w:rsid w:val="02DA1F3A"/>
    <w:rsid w:val="030516AD"/>
    <w:rsid w:val="030B47EA"/>
    <w:rsid w:val="032338E1"/>
    <w:rsid w:val="03265180"/>
    <w:rsid w:val="032D4760"/>
    <w:rsid w:val="033E071B"/>
    <w:rsid w:val="03675921"/>
    <w:rsid w:val="03716D43"/>
    <w:rsid w:val="039B3DC0"/>
    <w:rsid w:val="03B629A7"/>
    <w:rsid w:val="03E2554B"/>
    <w:rsid w:val="03F11C32"/>
    <w:rsid w:val="03F1578E"/>
    <w:rsid w:val="03F84D6E"/>
    <w:rsid w:val="03FB660C"/>
    <w:rsid w:val="0405748B"/>
    <w:rsid w:val="04194CE4"/>
    <w:rsid w:val="041E2A05"/>
    <w:rsid w:val="0442423B"/>
    <w:rsid w:val="04471852"/>
    <w:rsid w:val="046E5030"/>
    <w:rsid w:val="048B3E34"/>
    <w:rsid w:val="04A86794"/>
    <w:rsid w:val="04B50EB1"/>
    <w:rsid w:val="04DF5F2E"/>
    <w:rsid w:val="04FC1C7C"/>
    <w:rsid w:val="050339CA"/>
    <w:rsid w:val="05085485"/>
    <w:rsid w:val="050D65F7"/>
    <w:rsid w:val="05143E2A"/>
    <w:rsid w:val="051E7DB2"/>
    <w:rsid w:val="054F06BB"/>
    <w:rsid w:val="05634469"/>
    <w:rsid w:val="057C527D"/>
    <w:rsid w:val="057C552B"/>
    <w:rsid w:val="058D14E6"/>
    <w:rsid w:val="05A30D0A"/>
    <w:rsid w:val="05AA653C"/>
    <w:rsid w:val="05CF1AFF"/>
    <w:rsid w:val="06020126"/>
    <w:rsid w:val="060A2EC9"/>
    <w:rsid w:val="061439B5"/>
    <w:rsid w:val="062736E9"/>
    <w:rsid w:val="0639166E"/>
    <w:rsid w:val="063F4ED6"/>
    <w:rsid w:val="06436049"/>
    <w:rsid w:val="06471FDD"/>
    <w:rsid w:val="0659586C"/>
    <w:rsid w:val="065F10D4"/>
    <w:rsid w:val="06624721"/>
    <w:rsid w:val="06692E8A"/>
    <w:rsid w:val="066D79A8"/>
    <w:rsid w:val="06700194"/>
    <w:rsid w:val="06764670"/>
    <w:rsid w:val="06863D99"/>
    <w:rsid w:val="068C59DA"/>
    <w:rsid w:val="068C5C42"/>
    <w:rsid w:val="068D6F85"/>
    <w:rsid w:val="069F7723"/>
    <w:rsid w:val="06A72A7B"/>
    <w:rsid w:val="06B502A7"/>
    <w:rsid w:val="06B56F46"/>
    <w:rsid w:val="06BF6017"/>
    <w:rsid w:val="06CD24E2"/>
    <w:rsid w:val="06D25D4A"/>
    <w:rsid w:val="06D82C35"/>
    <w:rsid w:val="06DF3FC3"/>
    <w:rsid w:val="071C5217"/>
    <w:rsid w:val="072B394E"/>
    <w:rsid w:val="0749768F"/>
    <w:rsid w:val="07502D9F"/>
    <w:rsid w:val="07571DAC"/>
    <w:rsid w:val="07990616"/>
    <w:rsid w:val="07AB0349"/>
    <w:rsid w:val="07B611C8"/>
    <w:rsid w:val="07BD43FF"/>
    <w:rsid w:val="07D7113E"/>
    <w:rsid w:val="07DC326E"/>
    <w:rsid w:val="07F97307"/>
    <w:rsid w:val="08000695"/>
    <w:rsid w:val="081128A2"/>
    <w:rsid w:val="08193344"/>
    <w:rsid w:val="083E11BD"/>
    <w:rsid w:val="085D7896"/>
    <w:rsid w:val="08624EAC"/>
    <w:rsid w:val="08762705"/>
    <w:rsid w:val="08977049"/>
    <w:rsid w:val="08A2799E"/>
    <w:rsid w:val="08C23B9D"/>
    <w:rsid w:val="08D51B22"/>
    <w:rsid w:val="08E7715F"/>
    <w:rsid w:val="08F33D56"/>
    <w:rsid w:val="08FA3336"/>
    <w:rsid w:val="090E6DE2"/>
    <w:rsid w:val="09137F54"/>
    <w:rsid w:val="09304FAA"/>
    <w:rsid w:val="094B38F4"/>
    <w:rsid w:val="09945539"/>
    <w:rsid w:val="099472E7"/>
    <w:rsid w:val="09AC590E"/>
    <w:rsid w:val="09BC6641"/>
    <w:rsid w:val="09C13E54"/>
    <w:rsid w:val="09DF09FE"/>
    <w:rsid w:val="09E0077E"/>
    <w:rsid w:val="09FB1114"/>
    <w:rsid w:val="0A6F3926"/>
    <w:rsid w:val="0A747118"/>
    <w:rsid w:val="0A877197"/>
    <w:rsid w:val="0A995030"/>
    <w:rsid w:val="0AAF0151"/>
    <w:rsid w:val="0AAF1847"/>
    <w:rsid w:val="0ADA51CD"/>
    <w:rsid w:val="0AE55920"/>
    <w:rsid w:val="0AF02C43"/>
    <w:rsid w:val="0AF10769"/>
    <w:rsid w:val="0B00275A"/>
    <w:rsid w:val="0B1F52D6"/>
    <w:rsid w:val="0B293767"/>
    <w:rsid w:val="0B316DB7"/>
    <w:rsid w:val="0B36617C"/>
    <w:rsid w:val="0B446AEB"/>
    <w:rsid w:val="0B4A1806"/>
    <w:rsid w:val="0B4C599F"/>
    <w:rsid w:val="0B584344"/>
    <w:rsid w:val="0B5D195B"/>
    <w:rsid w:val="0B674587"/>
    <w:rsid w:val="0B7D1FFD"/>
    <w:rsid w:val="0B9E444D"/>
    <w:rsid w:val="0BA80E28"/>
    <w:rsid w:val="0C040028"/>
    <w:rsid w:val="0C087B18"/>
    <w:rsid w:val="0C0D512F"/>
    <w:rsid w:val="0C1E2D40"/>
    <w:rsid w:val="0C3703FE"/>
    <w:rsid w:val="0C41302A"/>
    <w:rsid w:val="0C50326D"/>
    <w:rsid w:val="0C505C73"/>
    <w:rsid w:val="0C550884"/>
    <w:rsid w:val="0C6C62F9"/>
    <w:rsid w:val="0C6D2071"/>
    <w:rsid w:val="0C790A16"/>
    <w:rsid w:val="0C942E5E"/>
    <w:rsid w:val="0CAC4948"/>
    <w:rsid w:val="0CC46135"/>
    <w:rsid w:val="0CD93263"/>
    <w:rsid w:val="0CE20369"/>
    <w:rsid w:val="0CE73BD2"/>
    <w:rsid w:val="0D0C188A"/>
    <w:rsid w:val="0D1B387B"/>
    <w:rsid w:val="0D223EE4"/>
    <w:rsid w:val="0D26294C"/>
    <w:rsid w:val="0D604CBC"/>
    <w:rsid w:val="0D692839"/>
    <w:rsid w:val="0D6C40D7"/>
    <w:rsid w:val="0D932D90"/>
    <w:rsid w:val="0D961154"/>
    <w:rsid w:val="0D975F08"/>
    <w:rsid w:val="0DA77262"/>
    <w:rsid w:val="0DB02223"/>
    <w:rsid w:val="0DC108C7"/>
    <w:rsid w:val="0DC65EDD"/>
    <w:rsid w:val="0DCD365A"/>
    <w:rsid w:val="0DDC125D"/>
    <w:rsid w:val="0DEB14A0"/>
    <w:rsid w:val="0DF06AB6"/>
    <w:rsid w:val="0DFF319D"/>
    <w:rsid w:val="0E21625E"/>
    <w:rsid w:val="0E26697C"/>
    <w:rsid w:val="0E2A021A"/>
    <w:rsid w:val="0E455054"/>
    <w:rsid w:val="0E5E7992"/>
    <w:rsid w:val="0E63197E"/>
    <w:rsid w:val="0E653000"/>
    <w:rsid w:val="0E72396F"/>
    <w:rsid w:val="0E7C47EE"/>
    <w:rsid w:val="0E7E0566"/>
    <w:rsid w:val="0E87741A"/>
    <w:rsid w:val="0E8A515C"/>
    <w:rsid w:val="0E8C2C83"/>
    <w:rsid w:val="0E924011"/>
    <w:rsid w:val="0E9E29B6"/>
    <w:rsid w:val="0EA31D7A"/>
    <w:rsid w:val="0EA33B28"/>
    <w:rsid w:val="0EA93835"/>
    <w:rsid w:val="0EAA7F98"/>
    <w:rsid w:val="0EB61AAE"/>
    <w:rsid w:val="0EBB5316"/>
    <w:rsid w:val="0EBD2E3C"/>
    <w:rsid w:val="0EE505E5"/>
    <w:rsid w:val="0EE54141"/>
    <w:rsid w:val="0EF232D3"/>
    <w:rsid w:val="0EF54EE0"/>
    <w:rsid w:val="0F274759"/>
    <w:rsid w:val="0F3B6457"/>
    <w:rsid w:val="0F44355D"/>
    <w:rsid w:val="0F4C0664"/>
    <w:rsid w:val="0F694D72"/>
    <w:rsid w:val="0F713C26"/>
    <w:rsid w:val="0F7200CA"/>
    <w:rsid w:val="0F8B118C"/>
    <w:rsid w:val="0F985657"/>
    <w:rsid w:val="0FA37CB2"/>
    <w:rsid w:val="0FB0474F"/>
    <w:rsid w:val="0FC6203C"/>
    <w:rsid w:val="0FE12B5A"/>
    <w:rsid w:val="0FFA1C12"/>
    <w:rsid w:val="10042CED"/>
    <w:rsid w:val="101271B8"/>
    <w:rsid w:val="10480E2B"/>
    <w:rsid w:val="10525806"/>
    <w:rsid w:val="10606175"/>
    <w:rsid w:val="10645539"/>
    <w:rsid w:val="106D0892"/>
    <w:rsid w:val="106F48CD"/>
    <w:rsid w:val="107439CE"/>
    <w:rsid w:val="10806817"/>
    <w:rsid w:val="10993435"/>
    <w:rsid w:val="10A83678"/>
    <w:rsid w:val="10B95885"/>
    <w:rsid w:val="10BE4C49"/>
    <w:rsid w:val="10C60C3D"/>
    <w:rsid w:val="10D4446D"/>
    <w:rsid w:val="10E04D6F"/>
    <w:rsid w:val="10E87F18"/>
    <w:rsid w:val="10FD39C4"/>
    <w:rsid w:val="110805BA"/>
    <w:rsid w:val="11290C5D"/>
    <w:rsid w:val="11427629"/>
    <w:rsid w:val="114809B7"/>
    <w:rsid w:val="115D4462"/>
    <w:rsid w:val="116B3023"/>
    <w:rsid w:val="119D6F55"/>
    <w:rsid w:val="11A6405B"/>
    <w:rsid w:val="11B06C88"/>
    <w:rsid w:val="11C874AE"/>
    <w:rsid w:val="11CE710E"/>
    <w:rsid w:val="11D72467"/>
    <w:rsid w:val="11D81D3B"/>
    <w:rsid w:val="11DF30C9"/>
    <w:rsid w:val="11FF2F15"/>
    <w:rsid w:val="1226519C"/>
    <w:rsid w:val="122907E8"/>
    <w:rsid w:val="124473D0"/>
    <w:rsid w:val="12512606"/>
    <w:rsid w:val="12521AED"/>
    <w:rsid w:val="125374AC"/>
    <w:rsid w:val="12BB3B36"/>
    <w:rsid w:val="12BC78AF"/>
    <w:rsid w:val="12FC7CAB"/>
    <w:rsid w:val="13061D55"/>
    <w:rsid w:val="130A686C"/>
    <w:rsid w:val="13143247"/>
    <w:rsid w:val="131B45D5"/>
    <w:rsid w:val="133B6A25"/>
    <w:rsid w:val="13561AB1"/>
    <w:rsid w:val="136046DE"/>
    <w:rsid w:val="13651CF4"/>
    <w:rsid w:val="138A5C4E"/>
    <w:rsid w:val="139D148E"/>
    <w:rsid w:val="13A22600"/>
    <w:rsid w:val="13A646F2"/>
    <w:rsid w:val="13B3480E"/>
    <w:rsid w:val="13BC71CB"/>
    <w:rsid w:val="13C44C6D"/>
    <w:rsid w:val="13C51B57"/>
    <w:rsid w:val="13E1581F"/>
    <w:rsid w:val="13E64BE3"/>
    <w:rsid w:val="13E72709"/>
    <w:rsid w:val="13EE3A98"/>
    <w:rsid w:val="13FF7A53"/>
    <w:rsid w:val="140432BB"/>
    <w:rsid w:val="143D0B6E"/>
    <w:rsid w:val="14847F58"/>
    <w:rsid w:val="14891F26"/>
    <w:rsid w:val="14902DA1"/>
    <w:rsid w:val="14BF71E2"/>
    <w:rsid w:val="14CB5B87"/>
    <w:rsid w:val="151632A6"/>
    <w:rsid w:val="154E009A"/>
    <w:rsid w:val="155838BF"/>
    <w:rsid w:val="155E4C4D"/>
    <w:rsid w:val="156A35F2"/>
    <w:rsid w:val="156D4E90"/>
    <w:rsid w:val="158C299F"/>
    <w:rsid w:val="158E72E0"/>
    <w:rsid w:val="15B36D47"/>
    <w:rsid w:val="15BB5BFB"/>
    <w:rsid w:val="162F731B"/>
    <w:rsid w:val="165A5414"/>
    <w:rsid w:val="16677B31"/>
    <w:rsid w:val="168626AD"/>
    <w:rsid w:val="16A9014A"/>
    <w:rsid w:val="16B74615"/>
    <w:rsid w:val="16C94348"/>
    <w:rsid w:val="16CD208A"/>
    <w:rsid w:val="16D927DD"/>
    <w:rsid w:val="16E573D4"/>
    <w:rsid w:val="16E82A20"/>
    <w:rsid w:val="16F07B27"/>
    <w:rsid w:val="16F21AF1"/>
    <w:rsid w:val="17263699"/>
    <w:rsid w:val="172B0B5F"/>
    <w:rsid w:val="174F2A9F"/>
    <w:rsid w:val="17BD20FF"/>
    <w:rsid w:val="17C76AD9"/>
    <w:rsid w:val="17DB2585"/>
    <w:rsid w:val="17E01949"/>
    <w:rsid w:val="17F378CF"/>
    <w:rsid w:val="18020EB0"/>
    <w:rsid w:val="18023FB5"/>
    <w:rsid w:val="181066D2"/>
    <w:rsid w:val="183121A5"/>
    <w:rsid w:val="18367D3E"/>
    <w:rsid w:val="18624A54"/>
    <w:rsid w:val="18707171"/>
    <w:rsid w:val="18714C97"/>
    <w:rsid w:val="18730A0F"/>
    <w:rsid w:val="18770500"/>
    <w:rsid w:val="18814EDA"/>
    <w:rsid w:val="18842C1C"/>
    <w:rsid w:val="18B530E6"/>
    <w:rsid w:val="18B72869"/>
    <w:rsid w:val="18ED07C2"/>
    <w:rsid w:val="19094ED0"/>
    <w:rsid w:val="191B532F"/>
    <w:rsid w:val="191E6BCD"/>
    <w:rsid w:val="19232435"/>
    <w:rsid w:val="193C34F7"/>
    <w:rsid w:val="19540841"/>
    <w:rsid w:val="195645B9"/>
    <w:rsid w:val="19573E8D"/>
    <w:rsid w:val="195E6FCA"/>
    <w:rsid w:val="19C332D1"/>
    <w:rsid w:val="19E576EB"/>
    <w:rsid w:val="19E73463"/>
    <w:rsid w:val="19EA2F53"/>
    <w:rsid w:val="1A1F2BFD"/>
    <w:rsid w:val="1A3F504D"/>
    <w:rsid w:val="1A4E5290"/>
    <w:rsid w:val="1A51591C"/>
    <w:rsid w:val="1A515FF3"/>
    <w:rsid w:val="1A5959E3"/>
    <w:rsid w:val="1A69031C"/>
    <w:rsid w:val="1A7C546D"/>
    <w:rsid w:val="1A7D5B75"/>
    <w:rsid w:val="1A7F18ED"/>
    <w:rsid w:val="1A864A2A"/>
    <w:rsid w:val="1A8C5DB8"/>
    <w:rsid w:val="1A907657"/>
    <w:rsid w:val="1AB84DFF"/>
    <w:rsid w:val="1ABC669E"/>
    <w:rsid w:val="1AD82DAC"/>
    <w:rsid w:val="1AF04599"/>
    <w:rsid w:val="1AF35E37"/>
    <w:rsid w:val="1B0E4A1F"/>
    <w:rsid w:val="1B140288"/>
    <w:rsid w:val="1B2A1BE3"/>
    <w:rsid w:val="1B373F76"/>
    <w:rsid w:val="1B4D40A2"/>
    <w:rsid w:val="1B5F527B"/>
    <w:rsid w:val="1B662AAD"/>
    <w:rsid w:val="1B8276EF"/>
    <w:rsid w:val="1B852F33"/>
    <w:rsid w:val="1B8A054A"/>
    <w:rsid w:val="1BC11A92"/>
    <w:rsid w:val="1BCB46BE"/>
    <w:rsid w:val="1BCD48DA"/>
    <w:rsid w:val="1BD20669"/>
    <w:rsid w:val="1BE4346A"/>
    <w:rsid w:val="1BF70E86"/>
    <w:rsid w:val="1BFB4FA4"/>
    <w:rsid w:val="1C07072D"/>
    <w:rsid w:val="1C2300FD"/>
    <w:rsid w:val="1C393D1E"/>
    <w:rsid w:val="1C3D736A"/>
    <w:rsid w:val="1C47643B"/>
    <w:rsid w:val="1C56667E"/>
    <w:rsid w:val="1C623275"/>
    <w:rsid w:val="1C8754E7"/>
    <w:rsid w:val="1C9C6787"/>
    <w:rsid w:val="1CB03FE0"/>
    <w:rsid w:val="1CBF5FD1"/>
    <w:rsid w:val="1CCC06EE"/>
    <w:rsid w:val="1CD95BE5"/>
    <w:rsid w:val="1CFD2F9D"/>
    <w:rsid w:val="1D01483C"/>
    <w:rsid w:val="1D152095"/>
    <w:rsid w:val="1D196228"/>
    <w:rsid w:val="1D1E3640"/>
    <w:rsid w:val="1D1E53EE"/>
    <w:rsid w:val="1D3E783E"/>
    <w:rsid w:val="1D464944"/>
    <w:rsid w:val="1D4B3D09"/>
    <w:rsid w:val="1D9236E6"/>
    <w:rsid w:val="1D9751A0"/>
    <w:rsid w:val="1DE974C4"/>
    <w:rsid w:val="1DFA0457"/>
    <w:rsid w:val="1E18008F"/>
    <w:rsid w:val="1E195BB5"/>
    <w:rsid w:val="1E37428D"/>
    <w:rsid w:val="1E3D7AF5"/>
    <w:rsid w:val="1E403142"/>
    <w:rsid w:val="1E4A5D6E"/>
    <w:rsid w:val="1E522E75"/>
    <w:rsid w:val="1E5D1F46"/>
    <w:rsid w:val="1E62755C"/>
    <w:rsid w:val="1E6F3A27"/>
    <w:rsid w:val="1EA90CE7"/>
    <w:rsid w:val="1EBD0C36"/>
    <w:rsid w:val="1EBF49AE"/>
    <w:rsid w:val="1ED03F93"/>
    <w:rsid w:val="1EED151B"/>
    <w:rsid w:val="1F046865"/>
    <w:rsid w:val="1F0E3240"/>
    <w:rsid w:val="1F1B770B"/>
    <w:rsid w:val="1F1F544D"/>
    <w:rsid w:val="1F2B3D22"/>
    <w:rsid w:val="1F3709E9"/>
    <w:rsid w:val="1F7173BA"/>
    <w:rsid w:val="1F7E6617"/>
    <w:rsid w:val="1FAF4A23"/>
    <w:rsid w:val="1FB62CA9"/>
    <w:rsid w:val="1FCC29C7"/>
    <w:rsid w:val="1FCD4EA9"/>
    <w:rsid w:val="1FE16BA6"/>
    <w:rsid w:val="1FE67D19"/>
    <w:rsid w:val="1FFB7C68"/>
    <w:rsid w:val="200563F1"/>
    <w:rsid w:val="200C59D1"/>
    <w:rsid w:val="20126D60"/>
    <w:rsid w:val="20254CE5"/>
    <w:rsid w:val="20286583"/>
    <w:rsid w:val="20450EE3"/>
    <w:rsid w:val="207672EF"/>
    <w:rsid w:val="2096173F"/>
    <w:rsid w:val="20B135CD"/>
    <w:rsid w:val="20B56288"/>
    <w:rsid w:val="20CA13E8"/>
    <w:rsid w:val="20CE2C87"/>
    <w:rsid w:val="20D248D8"/>
    <w:rsid w:val="20DA787E"/>
    <w:rsid w:val="20DB1848"/>
    <w:rsid w:val="21292543"/>
    <w:rsid w:val="2129610F"/>
    <w:rsid w:val="212B00D9"/>
    <w:rsid w:val="214B42D7"/>
    <w:rsid w:val="214E366E"/>
    <w:rsid w:val="214E5B76"/>
    <w:rsid w:val="215F5FD5"/>
    <w:rsid w:val="216C787B"/>
    <w:rsid w:val="218477E9"/>
    <w:rsid w:val="219831A2"/>
    <w:rsid w:val="21A32365"/>
    <w:rsid w:val="21A63C04"/>
    <w:rsid w:val="21B75E11"/>
    <w:rsid w:val="21BA76AF"/>
    <w:rsid w:val="21BE719F"/>
    <w:rsid w:val="21D7362A"/>
    <w:rsid w:val="21EF7359"/>
    <w:rsid w:val="221E379A"/>
    <w:rsid w:val="2221328A"/>
    <w:rsid w:val="22244B28"/>
    <w:rsid w:val="22245FA1"/>
    <w:rsid w:val="224B0307"/>
    <w:rsid w:val="225C42C2"/>
    <w:rsid w:val="22721474"/>
    <w:rsid w:val="22891278"/>
    <w:rsid w:val="228A7081"/>
    <w:rsid w:val="22A85759"/>
    <w:rsid w:val="22EC1AEA"/>
    <w:rsid w:val="22FD1499"/>
    <w:rsid w:val="230010F2"/>
    <w:rsid w:val="2309444A"/>
    <w:rsid w:val="23144B9D"/>
    <w:rsid w:val="23294AEC"/>
    <w:rsid w:val="23337719"/>
    <w:rsid w:val="235B60B3"/>
    <w:rsid w:val="236A7E4F"/>
    <w:rsid w:val="2378337E"/>
    <w:rsid w:val="237B69CA"/>
    <w:rsid w:val="23827D58"/>
    <w:rsid w:val="23B02536"/>
    <w:rsid w:val="23C245F9"/>
    <w:rsid w:val="23C95987"/>
    <w:rsid w:val="23DE58D7"/>
    <w:rsid w:val="23E26A49"/>
    <w:rsid w:val="23E629DD"/>
    <w:rsid w:val="240370EB"/>
    <w:rsid w:val="241237D2"/>
    <w:rsid w:val="24443260"/>
    <w:rsid w:val="246758CC"/>
    <w:rsid w:val="246D6C5B"/>
    <w:rsid w:val="24790E1C"/>
    <w:rsid w:val="247C5786"/>
    <w:rsid w:val="24A64E3C"/>
    <w:rsid w:val="24A65394"/>
    <w:rsid w:val="24AD52A9"/>
    <w:rsid w:val="24E24F53"/>
    <w:rsid w:val="24F83040"/>
    <w:rsid w:val="250824DF"/>
    <w:rsid w:val="250B784C"/>
    <w:rsid w:val="2513335E"/>
    <w:rsid w:val="251946ED"/>
    <w:rsid w:val="252E63EA"/>
    <w:rsid w:val="25344F55"/>
    <w:rsid w:val="254A2AF8"/>
    <w:rsid w:val="255F47F5"/>
    <w:rsid w:val="25657932"/>
    <w:rsid w:val="2567213F"/>
    <w:rsid w:val="257A162F"/>
    <w:rsid w:val="25C64874"/>
    <w:rsid w:val="25D24FC7"/>
    <w:rsid w:val="25DA4FD8"/>
    <w:rsid w:val="25DD396C"/>
    <w:rsid w:val="260E3B25"/>
    <w:rsid w:val="263527CB"/>
    <w:rsid w:val="26612BE0"/>
    <w:rsid w:val="266320C3"/>
    <w:rsid w:val="26773DC1"/>
    <w:rsid w:val="2685028B"/>
    <w:rsid w:val="268564DD"/>
    <w:rsid w:val="26AB75C6"/>
    <w:rsid w:val="26B0201E"/>
    <w:rsid w:val="26C03072"/>
    <w:rsid w:val="26C50688"/>
    <w:rsid w:val="26CA2142"/>
    <w:rsid w:val="26E825C8"/>
    <w:rsid w:val="26F86CAF"/>
    <w:rsid w:val="273B6B9C"/>
    <w:rsid w:val="273F6C96"/>
    <w:rsid w:val="274A5031"/>
    <w:rsid w:val="274F43F6"/>
    <w:rsid w:val="27602AA7"/>
    <w:rsid w:val="27693709"/>
    <w:rsid w:val="27702CEA"/>
    <w:rsid w:val="27912C60"/>
    <w:rsid w:val="27985D9D"/>
    <w:rsid w:val="279B763B"/>
    <w:rsid w:val="27AB1F74"/>
    <w:rsid w:val="27B8643F"/>
    <w:rsid w:val="27C941A8"/>
    <w:rsid w:val="27D72D69"/>
    <w:rsid w:val="27DF5779"/>
    <w:rsid w:val="281338B7"/>
    <w:rsid w:val="28177609"/>
    <w:rsid w:val="284A2313"/>
    <w:rsid w:val="28814A83"/>
    <w:rsid w:val="289A78F2"/>
    <w:rsid w:val="28B9246E"/>
    <w:rsid w:val="28BA1D43"/>
    <w:rsid w:val="28BC3D0D"/>
    <w:rsid w:val="28BE7A85"/>
    <w:rsid w:val="28E374EB"/>
    <w:rsid w:val="28EF40E2"/>
    <w:rsid w:val="28EF7C3E"/>
    <w:rsid w:val="28F95A2D"/>
    <w:rsid w:val="292024ED"/>
    <w:rsid w:val="292A336C"/>
    <w:rsid w:val="293146FB"/>
    <w:rsid w:val="29476E2A"/>
    <w:rsid w:val="29543F45"/>
    <w:rsid w:val="29997ECB"/>
    <w:rsid w:val="29A053DC"/>
    <w:rsid w:val="29AC6CED"/>
    <w:rsid w:val="29CE019B"/>
    <w:rsid w:val="29DA08EE"/>
    <w:rsid w:val="29EC6874"/>
    <w:rsid w:val="29FC6AB7"/>
    <w:rsid w:val="2A047EF2"/>
    <w:rsid w:val="2A0E67EA"/>
    <w:rsid w:val="2A12424A"/>
    <w:rsid w:val="2A1A0CEB"/>
    <w:rsid w:val="2A1B4A63"/>
    <w:rsid w:val="2A273408"/>
    <w:rsid w:val="2A53244F"/>
    <w:rsid w:val="2A5D507B"/>
    <w:rsid w:val="2A6B4F40"/>
    <w:rsid w:val="2A842608"/>
    <w:rsid w:val="2A950CB9"/>
    <w:rsid w:val="2A9E191C"/>
    <w:rsid w:val="2AA66A22"/>
    <w:rsid w:val="2AA87F4C"/>
    <w:rsid w:val="2AAE68CB"/>
    <w:rsid w:val="2ACF5F79"/>
    <w:rsid w:val="2AD0584D"/>
    <w:rsid w:val="2AD502F3"/>
    <w:rsid w:val="2AE04541"/>
    <w:rsid w:val="2AEA2DB3"/>
    <w:rsid w:val="2B195446"/>
    <w:rsid w:val="2B285689"/>
    <w:rsid w:val="2B287437"/>
    <w:rsid w:val="2B2D7144"/>
    <w:rsid w:val="2B3E25AB"/>
    <w:rsid w:val="2B603075"/>
    <w:rsid w:val="2B9351F9"/>
    <w:rsid w:val="2BEA0B91"/>
    <w:rsid w:val="2BF57C61"/>
    <w:rsid w:val="2BF823DB"/>
    <w:rsid w:val="2BFB4B4C"/>
    <w:rsid w:val="2C027C88"/>
    <w:rsid w:val="2C180514"/>
    <w:rsid w:val="2C210A56"/>
    <w:rsid w:val="2C681F1F"/>
    <w:rsid w:val="2C771EA7"/>
    <w:rsid w:val="2C7F577D"/>
    <w:rsid w:val="2C840FA8"/>
    <w:rsid w:val="2C8E776E"/>
    <w:rsid w:val="2C98683F"/>
    <w:rsid w:val="2CBA6005"/>
    <w:rsid w:val="2CC3566A"/>
    <w:rsid w:val="2CC43418"/>
    <w:rsid w:val="2CE11F94"/>
    <w:rsid w:val="2CE35D0C"/>
    <w:rsid w:val="2CE77934"/>
    <w:rsid w:val="2D012636"/>
    <w:rsid w:val="2D202ABC"/>
    <w:rsid w:val="2D2105E2"/>
    <w:rsid w:val="2D263E4A"/>
    <w:rsid w:val="2D2D673F"/>
    <w:rsid w:val="2D371BB4"/>
    <w:rsid w:val="2D3C71CA"/>
    <w:rsid w:val="2D4C76E7"/>
    <w:rsid w:val="2D630BFB"/>
    <w:rsid w:val="2D776454"/>
    <w:rsid w:val="2D957F46"/>
    <w:rsid w:val="2D984D48"/>
    <w:rsid w:val="2DA27975"/>
    <w:rsid w:val="2DCE2518"/>
    <w:rsid w:val="2DD60ABC"/>
    <w:rsid w:val="2E0C6363"/>
    <w:rsid w:val="2E113F0C"/>
    <w:rsid w:val="2E3A195C"/>
    <w:rsid w:val="2E3C1B78"/>
    <w:rsid w:val="2E496043"/>
    <w:rsid w:val="2E7175DB"/>
    <w:rsid w:val="2E734E6D"/>
    <w:rsid w:val="2E742A02"/>
    <w:rsid w:val="2E7874BC"/>
    <w:rsid w:val="2E884DBD"/>
    <w:rsid w:val="2EAE2349"/>
    <w:rsid w:val="2EE30245"/>
    <w:rsid w:val="2EF1365D"/>
    <w:rsid w:val="2EF51D26"/>
    <w:rsid w:val="2EFF4953"/>
    <w:rsid w:val="2F0F103A"/>
    <w:rsid w:val="2F124686"/>
    <w:rsid w:val="2F1C72B3"/>
    <w:rsid w:val="2F277269"/>
    <w:rsid w:val="2F307202"/>
    <w:rsid w:val="2F324D29"/>
    <w:rsid w:val="2F5B427F"/>
    <w:rsid w:val="2F650C5A"/>
    <w:rsid w:val="2F762E67"/>
    <w:rsid w:val="2FE51D9B"/>
    <w:rsid w:val="30073ABF"/>
    <w:rsid w:val="300A35B0"/>
    <w:rsid w:val="302A3C52"/>
    <w:rsid w:val="30470360"/>
    <w:rsid w:val="304B42F4"/>
    <w:rsid w:val="304C67C6"/>
    <w:rsid w:val="304F36B8"/>
    <w:rsid w:val="30556F21"/>
    <w:rsid w:val="305B7197"/>
    <w:rsid w:val="305F7E82"/>
    <w:rsid w:val="30656A38"/>
    <w:rsid w:val="30662EDC"/>
    <w:rsid w:val="30744ECD"/>
    <w:rsid w:val="307C26FF"/>
    <w:rsid w:val="30801AC4"/>
    <w:rsid w:val="30956976"/>
    <w:rsid w:val="30AE4883"/>
    <w:rsid w:val="30B023A9"/>
    <w:rsid w:val="30BD0622"/>
    <w:rsid w:val="30C220DC"/>
    <w:rsid w:val="30FC55EE"/>
    <w:rsid w:val="3106021B"/>
    <w:rsid w:val="31140B8A"/>
    <w:rsid w:val="311C359A"/>
    <w:rsid w:val="31466869"/>
    <w:rsid w:val="31660CB9"/>
    <w:rsid w:val="31771119"/>
    <w:rsid w:val="31971FF1"/>
    <w:rsid w:val="319E48F7"/>
    <w:rsid w:val="319F0250"/>
    <w:rsid w:val="31B41A25"/>
    <w:rsid w:val="31B9528D"/>
    <w:rsid w:val="31C0661C"/>
    <w:rsid w:val="31D04385"/>
    <w:rsid w:val="31D43E75"/>
    <w:rsid w:val="31DB3455"/>
    <w:rsid w:val="31F14A27"/>
    <w:rsid w:val="3203475A"/>
    <w:rsid w:val="320F74C2"/>
    <w:rsid w:val="32225C91"/>
    <w:rsid w:val="32252923"/>
    <w:rsid w:val="322748ED"/>
    <w:rsid w:val="32285F6F"/>
    <w:rsid w:val="323668DE"/>
    <w:rsid w:val="32432DA9"/>
    <w:rsid w:val="327D450D"/>
    <w:rsid w:val="32943604"/>
    <w:rsid w:val="32A45F3D"/>
    <w:rsid w:val="32AB72CC"/>
    <w:rsid w:val="32AC094E"/>
    <w:rsid w:val="32AC6E2C"/>
    <w:rsid w:val="32AE2918"/>
    <w:rsid w:val="32B36180"/>
    <w:rsid w:val="32B83797"/>
    <w:rsid w:val="32D60F2A"/>
    <w:rsid w:val="32DB1233"/>
    <w:rsid w:val="332B21BB"/>
    <w:rsid w:val="332B5D17"/>
    <w:rsid w:val="333D0CF3"/>
    <w:rsid w:val="33490893"/>
    <w:rsid w:val="33501C21"/>
    <w:rsid w:val="3350577D"/>
    <w:rsid w:val="33557238"/>
    <w:rsid w:val="336D632F"/>
    <w:rsid w:val="337771AE"/>
    <w:rsid w:val="337E678E"/>
    <w:rsid w:val="33866B91"/>
    <w:rsid w:val="339A5589"/>
    <w:rsid w:val="33AD497E"/>
    <w:rsid w:val="33BD7658"/>
    <w:rsid w:val="33C01934"/>
    <w:rsid w:val="33C543BD"/>
    <w:rsid w:val="340A6274"/>
    <w:rsid w:val="341113B0"/>
    <w:rsid w:val="34452E08"/>
    <w:rsid w:val="34563267"/>
    <w:rsid w:val="345D2F82"/>
    <w:rsid w:val="346C65E7"/>
    <w:rsid w:val="3473581A"/>
    <w:rsid w:val="348C6C89"/>
    <w:rsid w:val="34AC75AB"/>
    <w:rsid w:val="34AE6BFF"/>
    <w:rsid w:val="34CA155F"/>
    <w:rsid w:val="34E268A9"/>
    <w:rsid w:val="34E50E91"/>
    <w:rsid w:val="35076310"/>
    <w:rsid w:val="350E58F0"/>
    <w:rsid w:val="351A4295"/>
    <w:rsid w:val="35374E47"/>
    <w:rsid w:val="353C06AF"/>
    <w:rsid w:val="353C245D"/>
    <w:rsid w:val="35441312"/>
    <w:rsid w:val="35487054"/>
    <w:rsid w:val="35496928"/>
    <w:rsid w:val="354B444E"/>
    <w:rsid w:val="354B460C"/>
    <w:rsid w:val="3560004D"/>
    <w:rsid w:val="357065AB"/>
    <w:rsid w:val="358D4A67"/>
    <w:rsid w:val="35AF70D3"/>
    <w:rsid w:val="35B27AD0"/>
    <w:rsid w:val="35B93AAE"/>
    <w:rsid w:val="35ED7BFB"/>
    <w:rsid w:val="36032F7B"/>
    <w:rsid w:val="36681030"/>
    <w:rsid w:val="367125DA"/>
    <w:rsid w:val="36740863"/>
    <w:rsid w:val="369E0A48"/>
    <w:rsid w:val="36B6623F"/>
    <w:rsid w:val="36C721FA"/>
    <w:rsid w:val="36D733FE"/>
    <w:rsid w:val="36F9612C"/>
    <w:rsid w:val="3702282A"/>
    <w:rsid w:val="3703761B"/>
    <w:rsid w:val="371B42F4"/>
    <w:rsid w:val="372E4027"/>
    <w:rsid w:val="37403D5B"/>
    <w:rsid w:val="375D490D"/>
    <w:rsid w:val="37620175"/>
    <w:rsid w:val="376A42F4"/>
    <w:rsid w:val="376C4F8C"/>
    <w:rsid w:val="3776777C"/>
    <w:rsid w:val="378254C0"/>
    <w:rsid w:val="378C0D4E"/>
    <w:rsid w:val="378E4AC6"/>
    <w:rsid w:val="3790083E"/>
    <w:rsid w:val="37904CE2"/>
    <w:rsid w:val="37971BCD"/>
    <w:rsid w:val="37C4498C"/>
    <w:rsid w:val="380729ED"/>
    <w:rsid w:val="3809239F"/>
    <w:rsid w:val="381B27FE"/>
    <w:rsid w:val="382673F4"/>
    <w:rsid w:val="383438BF"/>
    <w:rsid w:val="38417D8A"/>
    <w:rsid w:val="385B0E4C"/>
    <w:rsid w:val="386121DB"/>
    <w:rsid w:val="386D5023"/>
    <w:rsid w:val="3872263A"/>
    <w:rsid w:val="38A345A1"/>
    <w:rsid w:val="38A722E3"/>
    <w:rsid w:val="38B36EDA"/>
    <w:rsid w:val="38B7004D"/>
    <w:rsid w:val="38E56968"/>
    <w:rsid w:val="38FE486E"/>
    <w:rsid w:val="3914052D"/>
    <w:rsid w:val="39202096"/>
    <w:rsid w:val="392A565E"/>
    <w:rsid w:val="39311BAD"/>
    <w:rsid w:val="395B12C8"/>
    <w:rsid w:val="396C0E37"/>
    <w:rsid w:val="3991089E"/>
    <w:rsid w:val="39934616"/>
    <w:rsid w:val="39A95BE7"/>
    <w:rsid w:val="39CE0309"/>
    <w:rsid w:val="39D53024"/>
    <w:rsid w:val="39DF4537"/>
    <w:rsid w:val="39E6508D"/>
    <w:rsid w:val="39F07CBA"/>
    <w:rsid w:val="39F8091D"/>
    <w:rsid w:val="3A4678DA"/>
    <w:rsid w:val="3A5D7130"/>
    <w:rsid w:val="3A713E42"/>
    <w:rsid w:val="3A742699"/>
    <w:rsid w:val="3A7461F5"/>
    <w:rsid w:val="3A8D5509"/>
    <w:rsid w:val="3A9248CD"/>
    <w:rsid w:val="3AA765CB"/>
    <w:rsid w:val="3AC52EF5"/>
    <w:rsid w:val="3AD2116E"/>
    <w:rsid w:val="3AF13CEA"/>
    <w:rsid w:val="3AF410E4"/>
    <w:rsid w:val="3AFB6916"/>
    <w:rsid w:val="3B037579"/>
    <w:rsid w:val="3B183024"/>
    <w:rsid w:val="3B2F04F9"/>
    <w:rsid w:val="3B3616FD"/>
    <w:rsid w:val="3B4200A1"/>
    <w:rsid w:val="3B424545"/>
    <w:rsid w:val="3B567FF1"/>
    <w:rsid w:val="3B5F50F7"/>
    <w:rsid w:val="3B60677A"/>
    <w:rsid w:val="3B7010B2"/>
    <w:rsid w:val="3B710987"/>
    <w:rsid w:val="3B7346FF"/>
    <w:rsid w:val="3B88798A"/>
    <w:rsid w:val="3BA42B0A"/>
    <w:rsid w:val="3BB32D4D"/>
    <w:rsid w:val="3BC1190E"/>
    <w:rsid w:val="3BC46D08"/>
    <w:rsid w:val="3BCC3E0F"/>
    <w:rsid w:val="3BDA141A"/>
    <w:rsid w:val="3BE63123"/>
    <w:rsid w:val="3BF35840"/>
    <w:rsid w:val="3BF71E06"/>
    <w:rsid w:val="3BF84C04"/>
    <w:rsid w:val="3C017196"/>
    <w:rsid w:val="3C4B567C"/>
    <w:rsid w:val="3C611042"/>
    <w:rsid w:val="3C664263"/>
    <w:rsid w:val="3C687FDC"/>
    <w:rsid w:val="3C727823"/>
    <w:rsid w:val="3C86272E"/>
    <w:rsid w:val="3CC52D38"/>
    <w:rsid w:val="3CF67395"/>
    <w:rsid w:val="3D0C0967"/>
    <w:rsid w:val="3D595B76"/>
    <w:rsid w:val="3D793B23"/>
    <w:rsid w:val="3D89020A"/>
    <w:rsid w:val="3DC5290B"/>
    <w:rsid w:val="3DC8149C"/>
    <w:rsid w:val="3DC94AAA"/>
    <w:rsid w:val="3DEB2DC0"/>
    <w:rsid w:val="3DFD6502"/>
    <w:rsid w:val="3E18333B"/>
    <w:rsid w:val="3E1B0554"/>
    <w:rsid w:val="3E1F46CA"/>
    <w:rsid w:val="3E3B7A33"/>
    <w:rsid w:val="3E491747"/>
    <w:rsid w:val="3E587BDC"/>
    <w:rsid w:val="3E686071"/>
    <w:rsid w:val="3E774506"/>
    <w:rsid w:val="3E99447C"/>
    <w:rsid w:val="3E9956C1"/>
    <w:rsid w:val="3E9C012E"/>
    <w:rsid w:val="3EA01CAF"/>
    <w:rsid w:val="3EA846BF"/>
    <w:rsid w:val="3EAA6689"/>
    <w:rsid w:val="3EBF7C5B"/>
    <w:rsid w:val="3ED437FA"/>
    <w:rsid w:val="3EE002FD"/>
    <w:rsid w:val="3EF47905"/>
    <w:rsid w:val="3EF773F5"/>
    <w:rsid w:val="3F1A6DC8"/>
    <w:rsid w:val="3F281CA4"/>
    <w:rsid w:val="3F3116D1"/>
    <w:rsid w:val="3F43088C"/>
    <w:rsid w:val="3F4C5993"/>
    <w:rsid w:val="3F516D96"/>
    <w:rsid w:val="3F695775"/>
    <w:rsid w:val="3F6F342F"/>
    <w:rsid w:val="3F7A0397"/>
    <w:rsid w:val="3FA806EF"/>
    <w:rsid w:val="3FAF7CCF"/>
    <w:rsid w:val="3FBB48C6"/>
    <w:rsid w:val="3FC7326B"/>
    <w:rsid w:val="3FE45BCB"/>
    <w:rsid w:val="3FE756BB"/>
    <w:rsid w:val="3FE77469"/>
    <w:rsid w:val="3FE931E1"/>
    <w:rsid w:val="3FF658FE"/>
    <w:rsid w:val="400D3374"/>
    <w:rsid w:val="4021297B"/>
    <w:rsid w:val="40302BBE"/>
    <w:rsid w:val="40491ED2"/>
    <w:rsid w:val="40632F94"/>
    <w:rsid w:val="406A323D"/>
    <w:rsid w:val="407D392A"/>
    <w:rsid w:val="40833636"/>
    <w:rsid w:val="40844CB8"/>
    <w:rsid w:val="40AB53E9"/>
    <w:rsid w:val="40DA6FCE"/>
    <w:rsid w:val="40DE6ABE"/>
    <w:rsid w:val="40E8793D"/>
    <w:rsid w:val="40F26EDF"/>
    <w:rsid w:val="410C362B"/>
    <w:rsid w:val="41195D48"/>
    <w:rsid w:val="41540B2E"/>
    <w:rsid w:val="41717932"/>
    <w:rsid w:val="418C651A"/>
    <w:rsid w:val="41B231A0"/>
    <w:rsid w:val="41BB0BAE"/>
    <w:rsid w:val="41CE08E1"/>
    <w:rsid w:val="41D57EC1"/>
    <w:rsid w:val="41E77BF5"/>
    <w:rsid w:val="41E94B9B"/>
    <w:rsid w:val="41F474FD"/>
    <w:rsid w:val="42097B6B"/>
    <w:rsid w:val="423B3A9C"/>
    <w:rsid w:val="425177C5"/>
    <w:rsid w:val="42894808"/>
    <w:rsid w:val="42A41642"/>
    <w:rsid w:val="42A81132"/>
    <w:rsid w:val="42AE24C0"/>
    <w:rsid w:val="42BA2C13"/>
    <w:rsid w:val="42BF647C"/>
    <w:rsid w:val="42CE66BF"/>
    <w:rsid w:val="42DA32B5"/>
    <w:rsid w:val="42F500EF"/>
    <w:rsid w:val="42FA74B4"/>
    <w:rsid w:val="43056584"/>
    <w:rsid w:val="43080199"/>
    <w:rsid w:val="4331074A"/>
    <w:rsid w:val="43364990"/>
    <w:rsid w:val="434C41B3"/>
    <w:rsid w:val="43866F99"/>
    <w:rsid w:val="438C0A54"/>
    <w:rsid w:val="43A86F10"/>
    <w:rsid w:val="43AC4C52"/>
    <w:rsid w:val="43BC29BB"/>
    <w:rsid w:val="43BD6E5F"/>
    <w:rsid w:val="43DF5027"/>
    <w:rsid w:val="43E05472"/>
    <w:rsid w:val="43F42155"/>
    <w:rsid w:val="43F700E9"/>
    <w:rsid w:val="44134942"/>
    <w:rsid w:val="441655A2"/>
    <w:rsid w:val="442C18EF"/>
    <w:rsid w:val="443D37DF"/>
    <w:rsid w:val="4440539A"/>
    <w:rsid w:val="444A6219"/>
    <w:rsid w:val="447119F7"/>
    <w:rsid w:val="44784B34"/>
    <w:rsid w:val="448E5181"/>
    <w:rsid w:val="449179C0"/>
    <w:rsid w:val="44957B12"/>
    <w:rsid w:val="44A1408B"/>
    <w:rsid w:val="44A75419"/>
    <w:rsid w:val="44C1472D"/>
    <w:rsid w:val="44C9538F"/>
    <w:rsid w:val="44CB1108"/>
    <w:rsid w:val="44CD1324"/>
    <w:rsid w:val="44E65F41"/>
    <w:rsid w:val="45244CBC"/>
    <w:rsid w:val="452A0524"/>
    <w:rsid w:val="452B429C"/>
    <w:rsid w:val="45344EFF"/>
    <w:rsid w:val="45385419"/>
    <w:rsid w:val="453F38A4"/>
    <w:rsid w:val="45404BDA"/>
    <w:rsid w:val="4545710C"/>
    <w:rsid w:val="45494171"/>
    <w:rsid w:val="455B692F"/>
    <w:rsid w:val="45660E30"/>
    <w:rsid w:val="456B4699"/>
    <w:rsid w:val="45933E22"/>
    <w:rsid w:val="45B84BF7"/>
    <w:rsid w:val="45C30031"/>
    <w:rsid w:val="45D95AA6"/>
    <w:rsid w:val="46016203"/>
    <w:rsid w:val="4603181D"/>
    <w:rsid w:val="46080139"/>
    <w:rsid w:val="461D3BE5"/>
    <w:rsid w:val="465D0485"/>
    <w:rsid w:val="46603AD2"/>
    <w:rsid w:val="467557CF"/>
    <w:rsid w:val="468477C0"/>
    <w:rsid w:val="469C7200"/>
    <w:rsid w:val="469D0882"/>
    <w:rsid w:val="46A165C4"/>
    <w:rsid w:val="46B8390E"/>
    <w:rsid w:val="46C422B2"/>
    <w:rsid w:val="46C47AC2"/>
    <w:rsid w:val="46D71FE6"/>
    <w:rsid w:val="46FA2178"/>
    <w:rsid w:val="4707219F"/>
    <w:rsid w:val="4710374A"/>
    <w:rsid w:val="47174AD8"/>
    <w:rsid w:val="472158A5"/>
    <w:rsid w:val="472D7E58"/>
    <w:rsid w:val="473332BC"/>
    <w:rsid w:val="474A6C5C"/>
    <w:rsid w:val="47525B10"/>
    <w:rsid w:val="477C2B8D"/>
    <w:rsid w:val="477F442B"/>
    <w:rsid w:val="47863A0C"/>
    <w:rsid w:val="479846BD"/>
    <w:rsid w:val="47A1226A"/>
    <w:rsid w:val="47A83982"/>
    <w:rsid w:val="47D44777"/>
    <w:rsid w:val="480768FB"/>
    <w:rsid w:val="482A083B"/>
    <w:rsid w:val="48483767"/>
    <w:rsid w:val="484C255F"/>
    <w:rsid w:val="485633DE"/>
    <w:rsid w:val="485702AF"/>
    <w:rsid w:val="486024AF"/>
    <w:rsid w:val="4867383D"/>
    <w:rsid w:val="487321E2"/>
    <w:rsid w:val="48853CC3"/>
    <w:rsid w:val="488937B4"/>
    <w:rsid w:val="489A151D"/>
    <w:rsid w:val="489F6B33"/>
    <w:rsid w:val="48A979B2"/>
    <w:rsid w:val="48D367DD"/>
    <w:rsid w:val="48E42798"/>
    <w:rsid w:val="48EB7FCA"/>
    <w:rsid w:val="48FC3F85"/>
    <w:rsid w:val="49060960"/>
    <w:rsid w:val="49064E04"/>
    <w:rsid w:val="490746D8"/>
    <w:rsid w:val="49380D36"/>
    <w:rsid w:val="4938520E"/>
    <w:rsid w:val="493D00FA"/>
    <w:rsid w:val="494E2307"/>
    <w:rsid w:val="497F0713"/>
    <w:rsid w:val="49883A6B"/>
    <w:rsid w:val="49DC3DB7"/>
    <w:rsid w:val="49F27137"/>
    <w:rsid w:val="4A064990"/>
    <w:rsid w:val="4A0B01F8"/>
    <w:rsid w:val="4A203CA4"/>
    <w:rsid w:val="4A275032"/>
    <w:rsid w:val="4A66404E"/>
    <w:rsid w:val="4A69389D"/>
    <w:rsid w:val="4A9106FD"/>
    <w:rsid w:val="4A9E2E1A"/>
    <w:rsid w:val="4AB12B4E"/>
    <w:rsid w:val="4AB368C6"/>
    <w:rsid w:val="4AC72371"/>
    <w:rsid w:val="4AE01685"/>
    <w:rsid w:val="4B1A6945"/>
    <w:rsid w:val="4B201A81"/>
    <w:rsid w:val="4B3D0885"/>
    <w:rsid w:val="4B427C4A"/>
    <w:rsid w:val="4B5D2CD5"/>
    <w:rsid w:val="4B8B15F1"/>
    <w:rsid w:val="4B902345"/>
    <w:rsid w:val="4BB96EE7"/>
    <w:rsid w:val="4BCB1D03"/>
    <w:rsid w:val="4BCF57F6"/>
    <w:rsid w:val="4BE60F1D"/>
    <w:rsid w:val="4BED4059"/>
    <w:rsid w:val="4BFC429C"/>
    <w:rsid w:val="4C0373D9"/>
    <w:rsid w:val="4C094875"/>
    <w:rsid w:val="4C15535E"/>
    <w:rsid w:val="4C297A70"/>
    <w:rsid w:val="4C371778"/>
    <w:rsid w:val="4C520360"/>
    <w:rsid w:val="4C59524B"/>
    <w:rsid w:val="4C5F2E23"/>
    <w:rsid w:val="4C6B4F7E"/>
    <w:rsid w:val="4C7C718B"/>
    <w:rsid w:val="4C7E2F03"/>
    <w:rsid w:val="4C910E89"/>
    <w:rsid w:val="4C9444D5"/>
    <w:rsid w:val="4C9D15DC"/>
    <w:rsid w:val="4CA02E7A"/>
    <w:rsid w:val="4CA961D2"/>
    <w:rsid w:val="4CAC181F"/>
    <w:rsid w:val="4CC748AA"/>
    <w:rsid w:val="4CE74F4D"/>
    <w:rsid w:val="4D04165B"/>
    <w:rsid w:val="4D0F1DAD"/>
    <w:rsid w:val="4D183358"/>
    <w:rsid w:val="4D1A110D"/>
    <w:rsid w:val="4D245BE6"/>
    <w:rsid w:val="4D4C57B5"/>
    <w:rsid w:val="4D565C2E"/>
    <w:rsid w:val="4D5A571F"/>
    <w:rsid w:val="4D7A36CB"/>
    <w:rsid w:val="4D87403A"/>
    <w:rsid w:val="4D950505"/>
    <w:rsid w:val="4DFE254E"/>
    <w:rsid w:val="4E047438"/>
    <w:rsid w:val="4E2D2E33"/>
    <w:rsid w:val="4E2F55B6"/>
    <w:rsid w:val="4E4A12EF"/>
    <w:rsid w:val="4E564138"/>
    <w:rsid w:val="4E65437B"/>
    <w:rsid w:val="4E816CDB"/>
    <w:rsid w:val="4E8D742E"/>
    <w:rsid w:val="4EA74993"/>
    <w:rsid w:val="4EB42C0C"/>
    <w:rsid w:val="4ECE20D4"/>
    <w:rsid w:val="4F0A0A7E"/>
    <w:rsid w:val="4F0C2A48"/>
    <w:rsid w:val="4F473A81"/>
    <w:rsid w:val="4F477F24"/>
    <w:rsid w:val="4F552641"/>
    <w:rsid w:val="4F7242E4"/>
    <w:rsid w:val="4F8F4266"/>
    <w:rsid w:val="4F936CC6"/>
    <w:rsid w:val="4FA233AD"/>
    <w:rsid w:val="4FB54E8E"/>
    <w:rsid w:val="4FC41575"/>
    <w:rsid w:val="4FD33566"/>
    <w:rsid w:val="4FDA48F5"/>
    <w:rsid w:val="4FDF015D"/>
    <w:rsid w:val="4FE85264"/>
    <w:rsid w:val="500D0826"/>
    <w:rsid w:val="50136B1A"/>
    <w:rsid w:val="501F44E6"/>
    <w:rsid w:val="502A762A"/>
    <w:rsid w:val="502D2C76"/>
    <w:rsid w:val="502D3FBD"/>
    <w:rsid w:val="50346FCC"/>
    <w:rsid w:val="503A35E5"/>
    <w:rsid w:val="507E1724"/>
    <w:rsid w:val="508D1967"/>
    <w:rsid w:val="50BB4726"/>
    <w:rsid w:val="50BE5FC4"/>
    <w:rsid w:val="50CA6717"/>
    <w:rsid w:val="50D92DFE"/>
    <w:rsid w:val="50EC48E0"/>
    <w:rsid w:val="50EE4AFC"/>
    <w:rsid w:val="510E0CFA"/>
    <w:rsid w:val="51380283"/>
    <w:rsid w:val="51452242"/>
    <w:rsid w:val="51473C5A"/>
    <w:rsid w:val="514F4E6E"/>
    <w:rsid w:val="51AE428B"/>
    <w:rsid w:val="51AE6039"/>
    <w:rsid w:val="51AF590D"/>
    <w:rsid w:val="51B573C7"/>
    <w:rsid w:val="51BF0246"/>
    <w:rsid w:val="51BF5908"/>
    <w:rsid w:val="51C13FBE"/>
    <w:rsid w:val="51C8534D"/>
    <w:rsid w:val="51D13AD5"/>
    <w:rsid w:val="51D6733E"/>
    <w:rsid w:val="51DD691E"/>
    <w:rsid w:val="51E90E1F"/>
    <w:rsid w:val="51FA127E"/>
    <w:rsid w:val="52020133"/>
    <w:rsid w:val="520E0886"/>
    <w:rsid w:val="52187956"/>
    <w:rsid w:val="521A771A"/>
    <w:rsid w:val="522914F3"/>
    <w:rsid w:val="52354064"/>
    <w:rsid w:val="523A49C0"/>
    <w:rsid w:val="52495D62"/>
    <w:rsid w:val="52770B21"/>
    <w:rsid w:val="52862B12"/>
    <w:rsid w:val="52B551A5"/>
    <w:rsid w:val="52B753C1"/>
    <w:rsid w:val="52D47D21"/>
    <w:rsid w:val="53073C53"/>
    <w:rsid w:val="5322283B"/>
    <w:rsid w:val="53226CDE"/>
    <w:rsid w:val="532A5B93"/>
    <w:rsid w:val="5331525F"/>
    <w:rsid w:val="533B56AA"/>
    <w:rsid w:val="53424C8B"/>
    <w:rsid w:val="53690469"/>
    <w:rsid w:val="537137C2"/>
    <w:rsid w:val="538A03E0"/>
    <w:rsid w:val="538E6122"/>
    <w:rsid w:val="53D37FD9"/>
    <w:rsid w:val="53DA4EC3"/>
    <w:rsid w:val="53F02939"/>
    <w:rsid w:val="53F64C50"/>
    <w:rsid w:val="53F8359B"/>
    <w:rsid w:val="540D34EB"/>
    <w:rsid w:val="541859EC"/>
    <w:rsid w:val="541C54DC"/>
    <w:rsid w:val="542F72A2"/>
    <w:rsid w:val="54493DF7"/>
    <w:rsid w:val="54574766"/>
    <w:rsid w:val="54596122"/>
    <w:rsid w:val="54613836"/>
    <w:rsid w:val="548E3F00"/>
    <w:rsid w:val="54A41E09"/>
    <w:rsid w:val="54A454D1"/>
    <w:rsid w:val="54A830B0"/>
    <w:rsid w:val="54AD25D8"/>
    <w:rsid w:val="54B35714"/>
    <w:rsid w:val="54C31DFB"/>
    <w:rsid w:val="54FC355F"/>
    <w:rsid w:val="54FE4BE1"/>
    <w:rsid w:val="550348EE"/>
    <w:rsid w:val="55050666"/>
    <w:rsid w:val="552A1E7A"/>
    <w:rsid w:val="554C3717"/>
    <w:rsid w:val="556709D9"/>
    <w:rsid w:val="55853555"/>
    <w:rsid w:val="5588094F"/>
    <w:rsid w:val="558A0B6B"/>
    <w:rsid w:val="558E7928"/>
    <w:rsid w:val="55B300C2"/>
    <w:rsid w:val="55E069DD"/>
    <w:rsid w:val="55FA7A9F"/>
    <w:rsid w:val="55FF6E63"/>
    <w:rsid w:val="56076FA5"/>
    <w:rsid w:val="56240464"/>
    <w:rsid w:val="562E4C15"/>
    <w:rsid w:val="56372AA1"/>
    <w:rsid w:val="565A678F"/>
    <w:rsid w:val="567D422C"/>
    <w:rsid w:val="56881EF5"/>
    <w:rsid w:val="568832FC"/>
    <w:rsid w:val="56892BD1"/>
    <w:rsid w:val="569A3030"/>
    <w:rsid w:val="569C6DA8"/>
    <w:rsid w:val="56B37C4E"/>
    <w:rsid w:val="56F42740"/>
    <w:rsid w:val="56FD753C"/>
    <w:rsid w:val="570A1F63"/>
    <w:rsid w:val="574C257C"/>
    <w:rsid w:val="57797211"/>
    <w:rsid w:val="57821E3F"/>
    <w:rsid w:val="57992B37"/>
    <w:rsid w:val="57A51C8C"/>
    <w:rsid w:val="57A71560"/>
    <w:rsid w:val="57B34FD7"/>
    <w:rsid w:val="57E02CC4"/>
    <w:rsid w:val="580A1AEF"/>
    <w:rsid w:val="581666E6"/>
    <w:rsid w:val="58345199"/>
    <w:rsid w:val="58354DBE"/>
    <w:rsid w:val="583F3276"/>
    <w:rsid w:val="584F41FB"/>
    <w:rsid w:val="58791C51"/>
    <w:rsid w:val="58A9755A"/>
    <w:rsid w:val="58C46142"/>
    <w:rsid w:val="58C919AA"/>
    <w:rsid w:val="58E14F46"/>
    <w:rsid w:val="58E30CBE"/>
    <w:rsid w:val="58EA204C"/>
    <w:rsid w:val="58F702C5"/>
    <w:rsid w:val="5915074C"/>
    <w:rsid w:val="591F15CA"/>
    <w:rsid w:val="592442FD"/>
    <w:rsid w:val="59266DFD"/>
    <w:rsid w:val="593C3F2A"/>
    <w:rsid w:val="59576FB6"/>
    <w:rsid w:val="59617E35"/>
    <w:rsid w:val="59626DD3"/>
    <w:rsid w:val="59851D75"/>
    <w:rsid w:val="598F04FE"/>
    <w:rsid w:val="59965D30"/>
    <w:rsid w:val="59D14FBA"/>
    <w:rsid w:val="59DB7BE7"/>
    <w:rsid w:val="59E545C2"/>
    <w:rsid w:val="59E720E8"/>
    <w:rsid w:val="5A04713E"/>
    <w:rsid w:val="5A19426B"/>
    <w:rsid w:val="5A290952"/>
    <w:rsid w:val="5A292701"/>
    <w:rsid w:val="5A2A6479"/>
    <w:rsid w:val="5A312D8C"/>
    <w:rsid w:val="5A3D107F"/>
    <w:rsid w:val="5A4C4641"/>
    <w:rsid w:val="5A560F28"/>
    <w:rsid w:val="5A5B2AD6"/>
    <w:rsid w:val="5A5D684E"/>
    <w:rsid w:val="5A736072"/>
    <w:rsid w:val="5A7A2F5C"/>
    <w:rsid w:val="5A7D2A4C"/>
    <w:rsid w:val="5A8E6A07"/>
    <w:rsid w:val="5AC00FF1"/>
    <w:rsid w:val="5AC468CD"/>
    <w:rsid w:val="5AC97A40"/>
    <w:rsid w:val="5ADF54B5"/>
    <w:rsid w:val="5AE1122D"/>
    <w:rsid w:val="5AE64A95"/>
    <w:rsid w:val="5AEC372E"/>
    <w:rsid w:val="5AF727FF"/>
    <w:rsid w:val="5AFA22EF"/>
    <w:rsid w:val="5B172EA1"/>
    <w:rsid w:val="5B1769FD"/>
    <w:rsid w:val="5B1909C7"/>
    <w:rsid w:val="5B280C0A"/>
    <w:rsid w:val="5B5E63DA"/>
    <w:rsid w:val="5B6836FC"/>
    <w:rsid w:val="5B687259"/>
    <w:rsid w:val="5B8878FB"/>
    <w:rsid w:val="5BB4249E"/>
    <w:rsid w:val="5BD26DC8"/>
    <w:rsid w:val="5BE36C26"/>
    <w:rsid w:val="5BEC7E8A"/>
    <w:rsid w:val="5BED59B0"/>
    <w:rsid w:val="5C272A39"/>
    <w:rsid w:val="5C480E38"/>
    <w:rsid w:val="5C5123E2"/>
    <w:rsid w:val="5C5872CD"/>
    <w:rsid w:val="5C8C341B"/>
    <w:rsid w:val="5C950521"/>
    <w:rsid w:val="5CBB0C7B"/>
    <w:rsid w:val="5CC372E6"/>
    <w:rsid w:val="5CEB0141"/>
    <w:rsid w:val="5D2B2C34"/>
    <w:rsid w:val="5D443CF5"/>
    <w:rsid w:val="5D572F2A"/>
    <w:rsid w:val="5D7A09BD"/>
    <w:rsid w:val="5D8365CC"/>
    <w:rsid w:val="5D8F31C2"/>
    <w:rsid w:val="5D9562FF"/>
    <w:rsid w:val="5D9A3915"/>
    <w:rsid w:val="5DB04BBD"/>
    <w:rsid w:val="5DB42C29"/>
    <w:rsid w:val="5DC34C1A"/>
    <w:rsid w:val="5DC50992"/>
    <w:rsid w:val="5DDE1E37"/>
    <w:rsid w:val="5DEF22E5"/>
    <w:rsid w:val="5DFB598F"/>
    <w:rsid w:val="5E026DD9"/>
    <w:rsid w:val="5E0C4813"/>
    <w:rsid w:val="5E2F405E"/>
    <w:rsid w:val="5E337FF2"/>
    <w:rsid w:val="5E391380"/>
    <w:rsid w:val="5E3E6996"/>
    <w:rsid w:val="5E483371"/>
    <w:rsid w:val="5E525F9E"/>
    <w:rsid w:val="5E5D506F"/>
    <w:rsid w:val="5E895D02"/>
    <w:rsid w:val="5E960581"/>
    <w:rsid w:val="5EA22A81"/>
    <w:rsid w:val="5EA74871"/>
    <w:rsid w:val="5F092B01"/>
    <w:rsid w:val="5F0C558A"/>
    <w:rsid w:val="5F1020E1"/>
    <w:rsid w:val="5F111442"/>
    <w:rsid w:val="5F1B0316"/>
    <w:rsid w:val="5F1C2834"/>
    <w:rsid w:val="5F5D4BFA"/>
    <w:rsid w:val="5F6366B5"/>
    <w:rsid w:val="5F88611B"/>
    <w:rsid w:val="5F9E593F"/>
    <w:rsid w:val="5FC829BC"/>
    <w:rsid w:val="5FD17AC2"/>
    <w:rsid w:val="5FE07D05"/>
    <w:rsid w:val="5FE86BBA"/>
    <w:rsid w:val="5FED1A34"/>
    <w:rsid w:val="600B4656"/>
    <w:rsid w:val="60107EBF"/>
    <w:rsid w:val="602A0F80"/>
    <w:rsid w:val="603D6F06"/>
    <w:rsid w:val="60932FCA"/>
    <w:rsid w:val="609603C4"/>
    <w:rsid w:val="60966616"/>
    <w:rsid w:val="60980C3C"/>
    <w:rsid w:val="60BA67A8"/>
    <w:rsid w:val="60BE4E23"/>
    <w:rsid w:val="60DC6F53"/>
    <w:rsid w:val="60F577E0"/>
    <w:rsid w:val="61001CE1"/>
    <w:rsid w:val="615A3AE7"/>
    <w:rsid w:val="615A656B"/>
    <w:rsid w:val="615C33BC"/>
    <w:rsid w:val="616404C2"/>
    <w:rsid w:val="616557D8"/>
    <w:rsid w:val="61860438"/>
    <w:rsid w:val="61972646"/>
    <w:rsid w:val="61D44F81"/>
    <w:rsid w:val="61DE64C6"/>
    <w:rsid w:val="61E909C7"/>
    <w:rsid w:val="62404A8B"/>
    <w:rsid w:val="625150B4"/>
    <w:rsid w:val="628D3A49"/>
    <w:rsid w:val="6292105F"/>
    <w:rsid w:val="6299419B"/>
    <w:rsid w:val="62A0377C"/>
    <w:rsid w:val="62B611F1"/>
    <w:rsid w:val="62C92CD3"/>
    <w:rsid w:val="62CA0BBD"/>
    <w:rsid w:val="62EC4C13"/>
    <w:rsid w:val="630261E5"/>
    <w:rsid w:val="630737FB"/>
    <w:rsid w:val="63091321"/>
    <w:rsid w:val="634D7948"/>
    <w:rsid w:val="635A392B"/>
    <w:rsid w:val="636447A9"/>
    <w:rsid w:val="636E73D6"/>
    <w:rsid w:val="639C2195"/>
    <w:rsid w:val="63C67212"/>
    <w:rsid w:val="63E458E8"/>
    <w:rsid w:val="63EE6769"/>
    <w:rsid w:val="63F91396"/>
    <w:rsid w:val="64002BE9"/>
    <w:rsid w:val="641E0DFC"/>
    <w:rsid w:val="641F6922"/>
    <w:rsid w:val="64265F03"/>
    <w:rsid w:val="64316D45"/>
    <w:rsid w:val="643A375C"/>
    <w:rsid w:val="644B5969"/>
    <w:rsid w:val="64550596"/>
    <w:rsid w:val="64630F05"/>
    <w:rsid w:val="647153D0"/>
    <w:rsid w:val="647A1F36"/>
    <w:rsid w:val="64923598"/>
    <w:rsid w:val="64A357A5"/>
    <w:rsid w:val="64A81A7D"/>
    <w:rsid w:val="64B11C70"/>
    <w:rsid w:val="64C73242"/>
    <w:rsid w:val="64D23995"/>
    <w:rsid w:val="64EE4C72"/>
    <w:rsid w:val="65006CC3"/>
    <w:rsid w:val="650C50F9"/>
    <w:rsid w:val="651D10B4"/>
    <w:rsid w:val="653B3C30"/>
    <w:rsid w:val="65424FBE"/>
    <w:rsid w:val="65507082"/>
    <w:rsid w:val="655645C6"/>
    <w:rsid w:val="657A0163"/>
    <w:rsid w:val="657A02B4"/>
    <w:rsid w:val="65841133"/>
    <w:rsid w:val="658729D1"/>
    <w:rsid w:val="659A0956"/>
    <w:rsid w:val="65A170E7"/>
    <w:rsid w:val="65A76BCF"/>
    <w:rsid w:val="65C07C91"/>
    <w:rsid w:val="65D57BE0"/>
    <w:rsid w:val="661C580F"/>
    <w:rsid w:val="663366B5"/>
    <w:rsid w:val="663A5C95"/>
    <w:rsid w:val="663F257E"/>
    <w:rsid w:val="66486604"/>
    <w:rsid w:val="664B39FF"/>
    <w:rsid w:val="665E3732"/>
    <w:rsid w:val="66660838"/>
    <w:rsid w:val="6692162D"/>
    <w:rsid w:val="66952ECC"/>
    <w:rsid w:val="66967370"/>
    <w:rsid w:val="66A82BFF"/>
    <w:rsid w:val="66AA4BC9"/>
    <w:rsid w:val="66AB26EF"/>
    <w:rsid w:val="66C64D00"/>
    <w:rsid w:val="66D165FA"/>
    <w:rsid w:val="66DA01A5"/>
    <w:rsid w:val="66E02E1B"/>
    <w:rsid w:val="66E520A5"/>
    <w:rsid w:val="66E92A3D"/>
    <w:rsid w:val="670562A3"/>
    <w:rsid w:val="67065B78"/>
    <w:rsid w:val="670D6F06"/>
    <w:rsid w:val="670F2C7E"/>
    <w:rsid w:val="67334BBF"/>
    <w:rsid w:val="674768BC"/>
    <w:rsid w:val="67530DBD"/>
    <w:rsid w:val="675F3C06"/>
    <w:rsid w:val="67620151"/>
    <w:rsid w:val="677F6056"/>
    <w:rsid w:val="67876CB8"/>
    <w:rsid w:val="67896ED4"/>
    <w:rsid w:val="678E0047"/>
    <w:rsid w:val="679131F5"/>
    <w:rsid w:val="67DB7004"/>
    <w:rsid w:val="67E20393"/>
    <w:rsid w:val="67F00D02"/>
    <w:rsid w:val="680622D3"/>
    <w:rsid w:val="680D18B3"/>
    <w:rsid w:val="68105289"/>
    <w:rsid w:val="6817003C"/>
    <w:rsid w:val="682C160E"/>
    <w:rsid w:val="682D7860"/>
    <w:rsid w:val="68376930"/>
    <w:rsid w:val="684B5F38"/>
    <w:rsid w:val="68646FFA"/>
    <w:rsid w:val="68701E42"/>
    <w:rsid w:val="68727B54"/>
    <w:rsid w:val="687C2595"/>
    <w:rsid w:val="689E69AF"/>
    <w:rsid w:val="68A11FFC"/>
    <w:rsid w:val="68B0223F"/>
    <w:rsid w:val="68BE495C"/>
    <w:rsid w:val="68C31F72"/>
    <w:rsid w:val="68C857DA"/>
    <w:rsid w:val="68DC1286"/>
    <w:rsid w:val="68DF0759"/>
    <w:rsid w:val="68E36170"/>
    <w:rsid w:val="68EF0FB9"/>
    <w:rsid w:val="68F95994"/>
    <w:rsid w:val="690D761B"/>
    <w:rsid w:val="69126A56"/>
    <w:rsid w:val="694F4082"/>
    <w:rsid w:val="695E52C5"/>
    <w:rsid w:val="69643755"/>
    <w:rsid w:val="697D0373"/>
    <w:rsid w:val="69CB37D4"/>
    <w:rsid w:val="69F0323B"/>
    <w:rsid w:val="69F0373D"/>
    <w:rsid w:val="69FB19EF"/>
    <w:rsid w:val="6A1F767C"/>
    <w:rsid w:val="6A204BF3"/>
    <w:rsid w:val="6A31115D"/>
    <w:rsid w:val="6A492049"/>
    <w:rsid w:val="6A49294B"/>
    <w:rsid w:val="6A5D1F52"/>
    <w:rsid w:val="6A6E4160"/>
    <w:rsid w:val="6A753740"/>
    <w:rsid w:val="6A8219B9"/>
    <w:rsid w:val="6A8676FB"/>
    <w:rsid w:val="6A9A3873"/>
    <w:rsid w:val="6AA87672"/>
    <w:rsid w:val="6AD8655A"/>
    <w:rsid w:val="6B064398"/>
    <w:rsid w:val="6B1D005F"/>
    <w:rsid w:val="6B1E5B86"/>
    <w:rsid w:val="6B2904EB"/>
    <w:rsid w:val="6B39476E"/>
    <w:rsid w:val="6B43739A"/>
    <w:rsid w:val="6B7678FF"/>
    <w:rsid w:val="6B7F2AE0"/>
    <w:rsid w:val="6B9931FE"/>
    <w:rsid w:val="6BA047ED"/>
    <w:rsid w:val="6BEA3CBA"/>
    <w:rsid w:val="6C186A79"/>
    <w:rsid w:val="6C1D408F"/>
    <w:rsid w:val="6C270A6A"/>
    <w:rsid w:val="6C2B2308"/>
    <w:rsid w:val="6C303DC2"/>
    <w:rsid w:val="6C553829"/>
    <w:rsid w:val="6C5D448C"/>
    <w:rsid w:val="6C692E30"/>
    <w:rsid w:val="6C7D068A"/>
    <w:rsid w:val="6C7F08A6"/>
    <w:rsid w:val="6C97799E"/>
    <w:rsid w:val="6C9A56E0"/>
    <w:rsid w:val="6CA125CA"/>
    <w:rsid w:val="6CAC2F75"/>
    <w:rsid w:val="6CB17718"/>
    <w:rsid w:val="6CBF6EF4"/>
    <w:rsid w:val="6CE54BAD"/>
    <w:rsid w:val="6CFC5A53"/>
    <w:rsid w:val="6D0019E7"/>
    <w:rsid w:val="6D162FB8"/>
    <w:rsid w:val="6D1A237D"/>
    <w:rsid w:val="6D221361"/>
    <w:rsid w:val="6D63353E"/>
    <w:rsid w:val="6D760E66"/>
    <w:rsid w:val="6D837F22"/>
    <w:rsid w:val="6D943EDD"/>
    <w:rsid w:val="6D970FE2"/>
    <w:rsid w:val="6D9B34BE"/>
    <w:rsid w:val="6D9E6B0A"/>
    <w:rsid w:val="6DA560EA"/>
    <w:rsid w:val="6DAD31F1"/>
    <w:rsid w:val="6DB620A5"/>
    <w:rsid w:val="6DBB3B60"/>
    <w:rsid w:val="6DC02F24"/>
    <w:rsid w:val="6DE22E9A"/>
    <w:rsid w:val="6E0120D9"/>
    <w:rsid w:val="6E02353D"/>
    <w:rsid w:val="6E11552E"/>
    <w:rsid w:val="6E1B63AC"/>
    <w:rsid w:val="6E251EBD"/>
    <w:rsid w:val="6E427DDD"/>
    <w:rsid w:val="6E4753F3"/>
    <w:rsid w:val="6E4771A1"/>
    <w:rsid w:val="6E6B10E2"/>
    <w:rsid w:val="6E8126B3"/>
    <w:rsid w:val="6E934195"/>
    <w:rsid w:val="6EA2087C"/>
    <w:rsid w:val="6EA97E5C"/>
    <w:rsid w:val="6EBE3907"/>
    <w:rsid w:val="6EE82732"/>
    <w:rsid w:val="6EF3178D"/>
    <w:rsid w:val="6F0B4673"/>
    <w:rsid w:val="6F15104E"/>
    <w:rsid w:val="6F285225"/>
    <w:rsid w:val="6F35524C"/>
    <w:rsid w:val="6F40683E"/>
    <w:rsid w:val="6F433E0D"/>
    <w:rsid w:val="6F451933"/>
    <w:rsid w:val="6F467459"/>
    <w:rsid w:val="6F550A04"/>
    <w:rsid w:val="6F552935"/>
    <w:rsid w:val="6F5E29F5"/>
    <w:rsid w:val="6F675D4D"/>
    <w:rsid w:val="6F7950CE"/>
    <w:rsid w:val="6F834209"/>
    <w:rsid w:val="6F890705"/>
    <w:rsid w:val="6F9401C4"/>
    <w:rsid w:val="6F946416"/>
    <w:rsid w:val="6F991C7F"/>
    <w:rsid w:val="6FB10D76"/>
    <w:rsid w:val="6FB46AB9"/>
    <w:rsid w:val="6FB62831"/>
    <w:rsid w:val="6FBD3BBF"/>
    <w:rsid w:val="6FEC0000"/>
    <w:rsid w:val="6FF46EB5"/>
    <w:rsid w:val="700F1FCA"/>
    <w:rsid w:val="70457711"/>
    <w:rsid w:val="70497201"/>
    <w:rsid w:val="704C4F43"/>
    <w:rsid w:val="7060287E"/>
    <w:rsid w:val="70621E82"/>
    <w:rsid w:val="707324D0"/>
    <w:rsid w:val="70785D38"/>
    <w:rsid w:val="708C17E3"/>
    <w:rsid w:val="708C3591"/>
    <w:rsid w:val="708F6BDE"/>
    <w:rsid w:val="709E52EB"/>
    <w:rsid w:val="70A73F27"/>
    <w:rsid w:val="70A767C2"/>
    <w:rsid w:val="70B73BCF"/>
    <w:rsid w:val="70E53128"/>
    <w:rsid w:val="70ED4030"/>
    <w:rsid w:val="7101188A"/>
    <w:rsid w:val="71105F71"/>
    <w:rsid w:val="71211F2C"/>
    <w:rsid w:val="7123505E"/>
    <w:rsid w:val="71436346"/>
    <w:rsid w:val="71500A63"/>
    <w:rsid w:val="71630796"/>
    <w:rsid w:val="71804EA4"/>
    <w:rsid w:val="71813AE6"/>
    <w:rsid w:val="718514D3"/>
    <w:rsid w:val="71864485"/>
    <w:rsid w:val="719426FE"/>
    <w:rsid w:val="71A1306D"/>
    <w:rsid w:val="71B27028"/>
    <w:rsid w:val="71D21EFE"/>
    <w:rsid w:val="71D76A8E"/>
    <w:rsid w:val="71D92806"/>
    <w:rsid w:val="71D945B4"/>
    <w:rsid w:val="71E82A49"/>
    <w:rsid w:val="71F94C57"/>
    <w:rsid w:val="720720EE"/>
    <w:rsid w:val="72084E9A"/>
    <w:rsid w:val="722C6665"/>
    <w:rsid w:val="72347B59"/>
    <w:rsid w:val="723B526F"/>
    <w:rsid w:val="724D7270"/>
    <w:rsid w:val="726C367A"/>
    <w:rsid w:val="72710C91"/>
    <w:rsid w:val="72920575"/>
    <w:rsid w:val="72A746B3"/>
    <w:rsid w:val="72C45265"/>
    <w:rsid w:val="72C7270A"/>
    <w:rsid w:val="72E01973"/>
    <w:rsid w:val="72EF0E8D"/>
    <w:rsid w:val="730E4732"/>
    <w:rsid w:val="73117D7E"/>
    <w:rsid w:val="7315161C"/>
    <w:rsid w:val="731E2BC7"/>
    <w:rsid w:val="73346738"/>
    <w:rsid w:val="73353A6C"/>
    <w:rsid w:val="733A72D5"/>
    <w:rsid w:val="73512670"/>
    <w:rsid w:val="73591E51"/>
    <w:rsid w:val="73614861"/>
    <w:rsid w:val="73697BBA"/>
    <w:rsid w:val="7372081D"/>
    <w:rsid w:val="7375655F"/>
    <w:rsid w:val="737E0335"/>
    <w:rsid w:val="738A025C"/>
    <w:rsid w:val="738D38A8"/>
    <w:rsid w:val="7393335C"/>
    <w:rsid w:val="73DB4659"/>
    <w:rsid w:val="73DC0F4B"/>
    <w:rsid w:val="73E3170E"/>
    <w:rsid w:val="73F9082A"/>
    <w:rsid w:val="73FB6A64"/>
    <w:rsid w:val="741E2752"/>
    <w:rsid w:val="74406B6D"/>
    <w:rsid w:val="74602D6B"/>
    <w:rsid w:val="746D7236"/>
    <w:rsid w:val="748E5B2A"/>
    <w:rsid w:val="7491561A"/>
    <w:rsid w:val="74A470FC"/>
    <w:rsid w:val="74AF6F4E"/>
    <w:rsid w:val="74CC145C"/>
    <w:rsid w:val="74EB6AD9"/>
    <w:rsid w:val="74FB2A94"/>
    <w:rsid w:val="75091655"/>
    <w:rsid w:val="752913AF"/>
    <w:rsid w:val="75590C2B"/>
    <w:rsid w:val="756E3266"/>
    <w:rsid w:val="756E770A"/>
    <w:rsid w:val="75720FA8"/>
    <w:rsid w:val="758D465D"/>
    <w:rsid w:val="75976C60"/>
    <w:rsid w:val="75AB44BA"/>
    <w:rsid w:val="75C94940"/>
    <w:rsid w:val="75E2004B"/>
    <w:rsid w:val="75EB48B6"/>
    <w:rsid w:val="75F93477"/>
    <w:rsid w:val="75FE0A8D"/>
    <w:rsid w:val="76045978"/>
    <w:rsid w:val="760951B9"/>
    <w:rsid w:val="76516E0F"/>
    <w:rsid w:val="766569B4"/>
    <w:rsid w:val="769C049C"/>
    <w:rsid w:val="76B15B00"/>
    <w:rsid w:val="76BB072D"/>
    <w:rsid w:val="76C05D43"/>
    <w:rsid w:val="76C07AF1"/>
    <w:rsid w:val="76C462A3"/>
    <w:rsid w:val="76D90BB3"/>
    <w:rsid w:val="76E53009"/>
    <w:rsid w:val="76E77774"/>
    <w:rsid w:val="76EA2DC0"/>
    <w:rsid w:val="770519A8"/>
    <w:rsid w:val="77100A78"/>
    <w:rsid w:val="77274014"/>
    <w:rsid w:val="773A5AF5"/>
    <w:rsid w:val="774C75D7"/>
    <w:rsid w:val="77505319"/>
    <w:rsid w:val="776D41EB"/>
    <w:rsid w:val="778E7BEF"/>
    <w:rsid w:val="77972F48"/>
    <w:rsid w:val="779F004E"/>
    <w:rsid w:val="77AB07A1"/>
    <w:rsid w:val="77AC443F"/>
    <w:rsid w:val="77F9775E"/>
    <w:rsid w:val="78006D3F"/>
    <w:rsid w:val="78144598"/>
    <w:rsid w:val="781819A2"/>
    <w:rsid w:val="784F399C"/>
    <w:rsid w:val="786C7F30"/>
    <w:rsid w:val="78764A5D"/>
    <w:rsid w:val="788C05D2"/>
    <w:rsid w:val="78970D25"/>
    <w:rsid w:val="78A83DBD"/>
    <w:rsid w:val="78BB2C66"/>
    <w:rsid w:val="78BB4A14"/>
    <w:rsid w:val="78EA52F9"/>
    <w:rsid w:val="78FA7A29"/>
    <w:rsid w:val="79183C14"/>
    <w:rsid w:val="791902B7"/>
    <w:rsid w:val="7928227D"/>
    <w:rsid w:val="7929380A"/>
    <w:rsid w:val="79305402"/>
    <w:rsid w:val="793B7903"/>
    <w:rsid w:val="79472AB1"/>
    <w:rsid w:val="794B3FEA"/>
    <w:rsid w:val="79507852"/>
    <w:rsid w:val="7956298E"/>
    <w:rsid w:val="797846B3"/>
    <w:rsid w:val="797C69C1"/>
    <w:rsid w:val="798E3ED6"/>
    <w:rsid w:val="798F414F"/>
    <w:rsid w:val="79951709"/>
    <w:rsid w:val="799F62BB"/>
    <w:rsid w:val="79A225C5"/>
    <w:rsid w:val="79A90D10"/>
    <w:rsid w:val="79C36276"/>
    <w:rsid w:val="79D51B05"/>
    <w:rsid w:val="79E85CDC"/>
    <w:rsid w:val="79ED6E4F"/>
    <w:rsid w:val="79FF6B82"/>
    <w:rsid w:val="7A462A03"/>
    <w:rsid w:val="7A4B1DC7"/>
    <w:rsid w:val="7A560E98"/>
    <w:rsid w:val="7A684727"/>
    <w:rsid w:val="7AA5772A"/>
    <w:rsid w:val="7AAC0AB8"/>
    <w:rsid w:val="7AB14320"/>
    <w:rsid w:val="7AD85D51"/>
    <w:rsid w:val="7AE44292"/>
    <w:rsid w:val="7AE5221C"/>
    <w:rsid w:val="7AF4245F"/>
    <w:rsid w:val="7B1448AF"/>
    <w:rsid w:val="7B1E128A"/>
    <w:rsid w:val="7B203504"/>
    <w:rsid w:val="7B256ABC"/>
    <w:rsid w:val="7B2965AD"/>
    <w:rsid w:val="7B315461"/>
    <w:rsid w:val="7B3D3E06"/>
    <w:rsid w:val="7B430CF1"/>
    <w:rsid w:val="7B4C4049"/>
    <w:rsid w:val="7B513824"/>
    <w:rsid w:val="7B537186"/>
    <w:rsid w:val="7B7610C6"/>
    <w:rsid w:val="7B917CAE"/>
    <w:rsid w:val="7BB75966"/>
    <w:rsid w:val="7BD55DED"/>
    <w:rsid w:val="7BDF310F"/>
    <w:rsid w:val="7BE424D4"/>
    <w:rsid w:val="7BE6624C"/>
    <w:rsid w:val="7BF70459"/>
    <w:rsid w:val="7C1F175E"/>
    <w:rsid w:val="7C2C4136"/>
    <w:rsid w:val="7C326E2E"/>
    <w:rsid w:val="7C3E2849"/>
    <w:rsid w:val="7C480CB4"/>
    <w:rsid w:val="7C541407"/>
    <w:rsid w:val="7C55517F"/>
    <w:rsid w:val="7C5C650E"/>
    <w:rsid w:val="7C6333F8"/>
    <w:rsid w:val="7C63789C"/>
    <w:rsid w:val="7C7D2F74"/>
    <w:rsid w:val="7C9F686B"/>
    <w:rsid w:val="7CA73C2D"/>
    <w:rsid w:val="7CB73744"/>
    <w:rsid w:val="7CD42548"/>
    <w:rsid w:val="7D0D4954"/>
    <w:rsid w:val="7D250FF6"/>
    <w:rsid w:val="7D3F20B7"/>
    <w:rsid w:val="7D43322A"/>
    <w:rsid w:val="7D4476CE"/>
    <w:rsid w:val="7D4C0330"/>
    <w:rsid w:val="7D6E02A7"/>
    <w:rsid w:val="7D823D52"/>
    <w:rsid w:val="7D9D1940"/>
    <w:rsid w:val="7DB12889"/>
    <w:rsid w:val="7DB303AF"/>
    <w:rsid w:val="7DB61C4E"/>
    <w:rsid w:val="7DBD122E"/>
    <w:rsid w:val="7DC10D1E"/>
    <w:rsid w:val="7DC720AD"/>
    <w:rsid w:val="7DED1BF0"/>
    <w:rsid w:val="7DF804B8"/>
    <w:rsid w:val="7E0522D0"/>
    <w:rsid w:val="7E066731"/>
    <w:rsid w:val="7E094473"/>
    <w:rsid w:val="7E2529F7"/>
    <w:rsid w:val="7E2B263C"/>
    <w:rsid w:val="7E413C0D"/>
    <w:rsid w:val="7E5576B9"/>
    <w:rsid w:val="7E6B47E6"/>
    <w:rsid w:val="7E755665"/>
    <w:rsid w:val="7E957AB5"/>
    <w:rsid w:val="7EA146AC"/>
    <w:rsid w:val="7EA810CD"/>
    <w:rsid w:val="7EB10D93"/>
    <w:rsid w:val="7EBC7738"/>
    <w:rsid w:val="7EC363D0"/>
    <w:rsid w:val="7EF10E29"/>
    <w:rsid w:val="7EF1312B"/>
    <w:rsid w:val="7F005876"/>
    <w:rsid w:val="7F1B445E"/>
    <w:rsid w:val="7F4514DB"/>
    <w:rsid w:val="7F4A4D43"/>
    <w:rsid w:val="7F5160D2"/>
    <w:rsid w:val="7F596D35"/>
    <w:rsid w:val="7F6A7194"/>
    <w:rsid w:val="7F6E48F8"/>
    <w:rsid w:val="7F78540D"/>
    <w:rsid w:val="7F791185"/>
    <w:rsid w:val="7F947D6D"/>
    <w:rsid w:val="7F9D1317"/>
    <w:rsid w:val="7FB81CAD"/>
    <w:rsid w:val="7FC93EBA"/>
    <w:rsid w:val="7FCA00A4"/>
    <w:rsid w:val="7FCD61BB"/>
    <w:rsid w:val="7FDD7966"/>
    <w:rsid w:val="E67E1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Autospacing="0" w:after="0" w:afterAutospacing="0"/>
      <w:ind w:left="0" w:right="0"/>
      <w:jc w:val="left"/>
    </w:pPr>
    <w:rPr>
      <w:rFonts w:ascii="宋体" w:hAnsi="Times New Roman" w:eastAsia="宋体" w:cs="宋体"/>
      <w:kern w:val="0"/>
      <w:sz w:val="24"/>
      <w:szCs w:val="24"/>
      <w:lang w:val="en-US" w:eastAsia="zh-CN" w:bidi="ar-SA"/>
    </w:rPr>
  </w:style>
  <w:style w:type="paragraph" w:styleId="5">
    <w:name w:val="heading 1"/>
    <w:basedOn w:val="1"/>
    <w:next w:val="1"/>
    <w:qFormat/>
    <w:uiPriority w:val="0"/>
    <w:pPr>
      <w:spacing w:before="0" w:beforeAutospacing="1" w:after="0" w:afterAutospacing="1"/>
      <w:ind w:left="0" w:right="0"/>
      <w:jc w:val="left"/>
      <w:outlineLvl w:val="0"/>
    </w:pPr>
    <w:rPr>
      <w:rFonts w:ascii="宋体" w:eastAsia="宋体" w:cs="宋体"/>
      <w:b/>
      <w:bCs/>
      <w:kern w:val="44"/>
      <w:sz w:val="48"/>
      <w:szCs w:val="48"/>
      <w:lang w:val="en-US" w:eastAsia="zh-CN"/>
    </w:rPr>
  </w:style>
  <w:style w:type="paragraph" w:styleId="6">
    <w:name w:val="heading 2"/>
    <w:basedOn w:val="1"/>
    <w:next w:val="1"/>
    <w:qFormat/>
    <w:uiPriority w:val="0"/>
    <w:pPr>
      <w:spacing w:before="0" w:beforeAutospacing="1" w:after="0" w:afterAutospacing="1"/>
      <w:ind w:left="0" w:right="0"/>
      <w:jc w:val="left"/>
      <w:outlineLvl w:val="1"/>
    </w:pPr>
    <w:rPr>
      <w:rFonts w:ascii="宋体" w:eastAsia="宋体" w:cs="宋体"/>
      <w:b/>
      <w:bCs/>
      <w:kern w:val="0"/>
      <w:sz w:val="36"/>
      <w:szCs w:val="36"/>
      <w:lang w:val="en-US" w:eastAsia="zh-CN"/>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ind w:firstLine="200" w:firstLineChars="200"/>
    </w:pPr>
  </w:style>
  <w:style w:type="paragraph" w:styleId="4">
    <w:name w:val="Body Text Indent"/>
    <w:basedOn w:val="1"/>
    <w:next w:val="3"/>
    <w:qFormat/>
    <w:uiPriority w:val="0"/>
    <w:pPr>
      <w:spacing w:after="120"/>
      <w:ind w:left="200" w:leftChars="200"/>
    </w:pPr>
  </w:style>
  <w:style w:type="paragraph" w:styleId="8">
    <w:name w:val="Normal Indent"/>
    <w:basedOn w:val="1"/>
    <w:next w:val="1"/>
    <w:qFormat/>
    <w:uiPriority w:val="0"/>
    <w:pPr>
      <w:widowControl/>
      <w:ind w:firstLine="200" w:firstLineChars="200"/>
      <w:textAlignment w:val="baseline"/>
    </w:pPr>
    <w:rPr>
      <w:rFonts w:ascii="Times New Roman" w:hAnsi="Times New Roman" w:eastAsia="宋体" w:cs="Calibri"/>
      <w:szCs w:val="21"/>
    </w:rPr>
  </w:style>
  <w:style w:type="paragraph" w:styleId="9">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10">
    <w:name w:val="toc 3"/>
    <w:basedOn w:val="1"/>
    <w:next w:val="1"/>
    <w:qFormat/>
    <w:uiPriority w:val="0"/>
    <w:pPr>
      <w:ind w:left="840" w:leftChars="400"/>
    </w:pPr>
  </w:style>
  <w:style w:type="paragraph" w:styleId="11">
    <w:name w:val="footer"/>
    <w:basedOn w:val="1"/>
    <w:next w:val="1"/>
    <w:qFormat/>
    <w:uiPriority w:val="0"/>
    <w:pPr>
      <w:snapToGrid w:val="0"/>
      <w:spacing w:before="0" w:beforeAutospacing="0" w:after="0" w:afterAutospacing="0"/>
      <w:ind w:left="0" w:right="0"/>
      <w:jc w:val="left"/>
    </w:pPr>
    <w:rPr>
      <w:rFonts w:ascii="宋体" w:eastAsia="宋体" w:cs="宋体"/>
      <w:kern w:val="0"/>
      <w:sz w:val="18"/>
      <w:szCs w:val="18"/>
      <w:lang w:val="en-US" w:eastAsia="zh-CN"/>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before="120" w:beforeAutospacing="0" w:after="120" w:afterAutospacing="0"/>
      <w:ind w:left="0" w:right="0"/>
      <w:jc w:val="left"/>
    </w:pPr>
    <w:rPr>
      <w:rFonts w:ascii="等线" w:eastAsia="等线" w:cs="宋体"/>
      <w:b/>
      <w:bCs/>
      <w:caps/>
      <w:kern w:val="0"/>
      <w:sz w:val="20"/>
      <w:szCs w:val="20"/>
      <w:lang w:val="en-US" w:eastAsia="zh-CN"/>
    </w:rPr>
  </w:style>
  <w:style w:type="paragraph" w:styleId="14">
    <w:name w:val="table of figures"/>
    <w:basedOn w:val="1"/>
    <w:next w:val="1"/>
    <w:unhideWhenUsed/>
    <w:qFormat/>
    <w:uiPriority w:val="99"/>
    <w:pPr>
      <w:ind w:left="400" w:leftChars="200" w:hanging="200" w:hangingChars="200"/>
    </w:pPr>
  </w:style>
  <w:style w:type="paragraph" w:styleId="15">
    <w:name w:val="toc 2"/>
    <w:basedOn w:val="1"/>
    <w:next w:val="1"/>
    <w:qFormat/>
    <w:uiPriority w:val="0"/>
    <w:pPr>
      <w:spacing w:before="0" w:beforeAutospacing="0" w:after="0" w:afterAutospacing="0"/>
      <w:ind w:left="200" w:leftChars="200" w:right="0"/>
      <w:jc w:val="left"/>
    </w:pPr>
    <w:rPr>
      <w:rFonts w:ascii="宋体" w:eastAsia="宋体" w:cs="宋体"/>
      <w:kern w:val="0"/>
      <w:sz w:val="24"/>
      <w:szCs w:val="24"/>
      <w:lang w:val="en-US" w:eastAsia="zh-CN"/>
    </w:rPr>
  </w:style>
  <w:style w:type="paragraph" w:styleId="16">
    <w:name w:val="Normal (Web)"/>
    <w:basedOn w:val="1"/>
    <w:qFormat/>
    <w:uiPriority w:val="99"/>
    <w:pPr>
      <w:spacing w:beforeAutospacing="1" w:afterAutospacing="1"/>
    </w:pPr>
    <w:rPr>
      <w:sz w:val="24"/>
      <w:szCs w:val="24"/>
      <w:lang w:eastAsia="zh-C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paragraph" w:customStyle="1" w:styleId="21">
    <w:name w:val="图表目录1"/>
    <w:basedOn w:val="1"/>
    <w:next w:val="1"/>
    <w:qFormat/>
    <w:uiPriority w:val="0"/>
    <w:pPr>
      <w:ind w:left="400" w:leftChars="200" w:hanging="200" w:hangingChars="200"/>
    </w:p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3">
    <w:name w:val="文档正文"/>
    <w:basedOn w:val="1"/>
    <w:qFormat/>
    <w:uiPriority w:val="0"/>
    <w:pPr>
      <w:adjustRightInd w:val="0"/>
      <w:spacing w:before="0" w:beforeAutospacing="0" w:after="0" w:afterAutospacing="0" w:line="480" w:lineRule="atLeast"/>
      <w:ind w:left="0" w:right="0"/>
      <w:jc w:val="left"/>
      <w:textAlignment w:val="baseline"/>
    </w:pPr>
    <w:rPr>
      <w:rFonts w:ascii="宋体" w:eastAsia="宋体" w:cs="宋体"/>
      <w:kern w:val="0"/>
      <w:sz w:val="24"/>
      <w:szCs w:val="24"/>
      <w:lang w:val="en-US" w:eastAsia="zh-CN"/>
    </w:rPr>
  </w:style>
  <w:style w:type="paragraph" w:customStyle="1" w:styleId="24">
    <w:name w:val="普通(网站) Char"/>
    <w:basedOn w:val="1"/>
    <w:qFormat/>
    <w:uiPriority w:val="0"/>
    <w:pPr>
      <w:spacing w:before="0" w:beforeAutospacing="1" w:after="0" w:afterAutospacing="1"/>
      <w:ind w:left="0" w:right="0"/>
      <w:jc w:val="left"/>
    </w:pPr>
    <w:rPr>
      <w:rFonts w:ascii="宋体" w:eastAsia="宋体" w:cs="宋体"/>
      <w:kern w:val="0"/>
      <w:sz w:val="24"/>
      <w:szCs w:val="24"/>
      <w:lang w:val="en-US" w:eastAsia="zh-CN"/>
    </w:rPr>
  </w:style>
  <w:style w:type="character" w:customStyle="1" w:styleId="25">
    <w:name w:val="20"/>
    <w:basedOn w:val="19"/>
    <w:qFormat/>
    <w:uiPriority w:val="0"/>
    <w:rPr>
      <w:rFonts w:ascii="Times New Roman" w:hAnsi="Times New Roman" w:cs="Times New Roman"/>
      <w:b/>
    </w:rPr>
  </w:style>
  <w:style w:type="paragraph" w:customStyle="1" w:styleId="2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仿宋" w:eastAsia="仿宋" w:cs="仿宋"/>
      <w:color w:val="000000"/>
      <w:kern w:val="0"/>
      <w:sz w:val="24"/>
      <w:szCs w:val="24"/>
      <w:lang w:val="en-US" w:eastAsia="zh-CN"/>
    </w:rPr>
  </w:style>
  <w:style w:type="paragraph" w:customStyle="1" w:styleId="27">
    <w:name w:val="四号正文"/>
    <w:basedOn w:val="1"/>
    <w:qFormat/>
    <w:uiPriority w:val="0"/>
    <w:pPr>
      <w:spacing w:before="0" w:beforeAutospacing="0" w:after="0" w:afterAutospacing="0" w:line="360" w:lineRule="auto"/>
      <w:ind w:left="0" w:right="0"/>
      <w:jc w:val="left"/>
    </w:pPr>
    <w:rPr>
      <w:rFonts w:ascii="??" w:hAnsi="??" w:eastAsia="宋体" w:cs="宋体"/>
      <w:color w:val="000000"/>
      <w:kern w:val="0"/>
      <w:sz w:val="28"/>
      <w:szCs w:val="28"/>
      <w:lang w:val="en-US" w:eastAsia="zh-CN"/>
    </w:rPr>
  </w:style>
  <w:style w:type="paragraph" w:customStyle="1" w:styleId="28">
    <w:name w:val="WPSOffice手动目录 1"/>
    <w:qFormat/>
    <w:uiPriority w:val="0"/>
    <w:rPr>
      <w:rFonts w:ascii="Calibri" w:hAnsi="Calibri" w:eastAsia="宋体" w:cs="Arial"/>
      <w:sz w:val="20"/>
      <w:szCs w:val="20"/>
      <w:lang w:val="en-US" w:eastAsia="zh-CN" w:bidi="ar-SA"/>
    </w:rPr>
  </w:style>
  <w:style w:type="paragraph" w:customStyle="1" w:styleId="29">
    <w:name w:val="WPSOffice手动目录 2"/>
    <w:qFormat/>
    <w:uiPriority w:val="0"/>
    <w:pPr>
      <w:ind w:left="200" w:leftChars="200"/>
    </w:pPr>
    <w:rPr>
      <w:rFonts w:ascii="Calibri" w:hAnsi="Calibri" w:eastAsia="宋体" w:cs="Arial"/>
      <w:sz w:val="20"/>
      <w:szCs w:val="20"/>
      <w:lang w:val="en-US" w:eastAsia="zh-CN" w:bidi="ar-SA"/>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character" w:customStyle="1" w:styleId="31">
    <w:name w:val="NormalCharacter"/>
    <w:qFormat/>
    <w:uiPriority w:val="0"/>
    <w:rPr>
      <w:rFonts w:eastAsia="宋体" w:cs="宋体"/>
      <w:sz w:val="21"/>
      <w:szCs w:val="24"/>
      <w:lang w:val="en-US" w:eastAsia="zh-CN" w:bidi="ar-SA"/>
    </w:rPr>
  </w:style>
  <w:style w:type="paragraph" w:customStyle="1" w:styleId="32">
    <w:name w:val="TOC 标题1"/>
    <w:basedOn w:val="5"/>
    <w:next w:val="1"/>
    <w:qFormat/>
    <w:uiPriority w:val="99"/>
    <w:pPr>
      <w:spacing w:before="480" w:after="0" w:line="276" w:lineRule="auto"/>
      <w:outlineLvl w:val="9"/>
    </w:pPr>
    <w:rPr>
      <w:rFonts w:ascii="仿宋" w:hAnsi="仿宋"/>
      <w:color w:val="000000"/>
      <w:kern w:val="0"/>
      <w:szCs w:val="32"/>
    </w:rPr>
  </w:style>
  <w:style w:type="character" w:customStyle="1" w:styleId="33">
    <w:name w:val="font21"/>
    <w:basedOn w:val="19"/>
    <w:qFormat/>
    <w:uiPriority w:val="0"/>
    <w:rPr>
      <w:rFonts w:ascii="宋体" w:hAnsi="宋体" w:eastAsia="宋体" w:cs="宋体"/>
      <w:color w:val="000000"/>
      <w:sz w:val="20"/>
      <w:szCs w:val="20"/>
      <w:u w:val="none"/>
    </w:rPr>
  </w:style>
  <w:style w:type="character" w:customStyle="1" w:styleId="34">
    <w:name w:val="font41"/>
    <w:basedOn w:val="19"/>
    <w:qFormat/>
    <w:uiPriority w:val="0"/>
    <w:rPr>
      <w:rFonts w:ascii="仿宋_GB2312" w:eastAsia="仿宋_GB2312" w:cs="仿宋_GB2312"/>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527777777778"/>
          <c:y val="0.326621097358212"/>
          <c:w val="0.817916666666667"/>
          <c:h val="0.589137262146684"/>
        </c:manualLayout>
      </c:layout>
      <c:barChart>
        <c:barDir val="col"/>
        <c:grouping val="clustered"/>
        <c:varyColors val="0"/>
        <c:ser>
          <c:idx val="0"/>
          <c:order val="0"/>
          <c:tx>
            <c:strRef>
              <c:f>[饼状图本级.xlsx]Sheet1!$C$8</c:f>
              <c:strCache>
                <c:ptCount val="1"/>
                <c:pt idx="0">
                  <c:v>图一.财政拨款收、支总决算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[饼状图本级.xlsx]Sheet1!$B$9:$B$10</c:f>
              <c:strCache>
                <c:ptCount val="2"/>
                <c:pt idx="0">
                  <c:v>2024年</c:v>
                </c:pt>
                <c:pt idx="1">
                  <c:v>2023年</c:v>
                </c:pt>
              </c:strCache>
            </c:strRef>
          </c:cat>
          <c:val>
            <c:numRef>
              <c:f>[饼状图本级.xlsx]Sheet1!$C$9:$C$10</c:f>
              <c:numCache>
                <c:formatCode>#,##0.00</c:formatCode>
                <c:ptCount val="2"/>
                <c:pt idx="0">
                  <c:v>9663.32</c:v>
                </c:pt>
                <c:pt idx="1">
                  <c:v>10444.65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65619031756607"/>
          <c:y val="0.0717970556370812"/>
          <c:w val="0.46375"/>
          <c:h val="0.13301311657121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[饼状图本级.xlsx]Sheet1!$C$20</c:f>
              <c:strCache>
                <c:ptCount val="1"/>
                <c:pt idx="0">
                  <c:v>图二.2024年收入决算结构图</c:v>
                </c:pt>
              </c:strCache>
            </c:strRef>
          </c:tx>
          <c:explosion val="25"/>
          <c:dPt>
            <c:idx val="0"/>
            <c:bubble3D val="0"/>
          </c:dPt>
          <c:dPt>
            <c:idx val="1"/>
            <c:bubble3D val="0"/>
          </c:dPt>
          <c:dLbls>
            <c:delete val="1"/>
          </c:dLbls>
          <c:cat>
            <c:strRef>
              <c:f>[饼状图本级.xlsx]Sheet1!$B$21:$B$22</c:f>
              <c:strCache>
                <c:ptCount val="2"/>
                <c:pt idx="0">
                  <c:v>一般公共预算财政拨款收入占100%</c:v>
                </c:pt>
                <c:pt idx="1">
                  <c:v>政府性基金预算财政拨款收入占0%</c:v>
                </c:pt>
              </c:strCache>
            </c:strRef>
          </c:cat>
          <c:val>
            <c:numRef>
              <c:f>[饼状图本级.xlsx]Sheet1!$C$21:$C$22</c:f>
              <c:numCache>
                <c:formatCode>General</c:formatCode>
                <c:ptCount val="2"/>
                <c:pt idx="0">
                  <c:v>9663.32</c:v>
                </c:pt>
                <c:pt idx="1">
                  <c:v>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[饼状图本级.xlsx]Sheet1!$C$38</c:f>
              <c:strCache>
                <c:ptCount val="1"/>
                <c:pt idx="0">
                  <c:v>图三.2024年支出决算结构图</c:v>
                </c:pt>
              </c:strCache>
            </c:strRef>
          </c:tx>
          <c:explosion val="25"/>
          <c:dPt>
            <c:idx val="0"/>
            <c:bubble3D val="0"/>
          </c:dPt>
          <c:dPt>
            <c:idx val="1"/>
            <c:bubble3D val="0"/>
          </c:dPt>
          <c:dLbls>
            <c:dLbl>
              <c:idx val="0"/>
              <c:layout>
                <c:manualLayout>
                  <c:x val="0.247916666666667"/>
                  <c:y val="0.0416666666666667"/>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4658537130941"/>
                  <c:y val="-0.03648909727732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项目支出占92.7</a:t>
                    </a:r>
                    <a:r>
                      <a:rPr lang="en-US" altLang="zh-CN"/>
                      <a:t>6</a:t>
                    </a:r>
                    <a:r>
                      <a:t>%</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9875"/>
                      <c:h val="0.12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[饼状图本级.xlsx]Sheet1!$B$39:$B$40</c:f>
              <c:strCache>
                <c:ptCount val="2"/>
                <c:pt idx="0">
                  <c:v>基本支出占7.24%</c:v>
                </c:pt>
                <c:pt idx="1">
                  <c:v>项目支出占92.75%</c:v>
                </c:pt>
              </c:strCache>
            </c:strRef>
          </c:cat>
          <c:val>
            <c:numRef>
              <c:f>[饼状图本级.xlsx]Sheet1!$C$39:$C$40</c:f>
              <c:numCache>
                <c:formatCode>0.00_ </c:formatCode>
                <c:ptCount val="2"/>
                <c:pt idx="0">
                  <c:v>699.89</c:v>
                </c:pt>
                <c:pt idx="1" c:formatCode="General">
                  <c:v>8963.43</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527777777778"/>
          <c:y val="0.326621097358212"/>
          <c:w val="0.817916666666667"/>
          <c:h val="0.589137262146684"/>
        </c:manualLayout>
      </c:layout>
      <c:barChart>
        <c:barDir val="col"/>
        <c:grouping val="clustered"/>
        <c:varyColors val="0"/>
        <c:ser>
          <c:idx val="0"/>
          <c:order val="0"/>
          <c:tx>
            <c:strRef>
              <c:f>[饼状图本级.xlsx]Sheet1!$C$8</c:f>
              <c:strCache>
                <c:ptCount val="1"/>
                <c:pt idx="0">
                  <c:v>图四.财政拨款收、支总决算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[饼状图本级.xlsx]Sheet1!$B$9:$B$10</c:f>
              <c:strCache>
                <c:ptCount val="2"/>
                <c:pt idx="0">
                  <c:v>2024年</c:v>
                </c:pt>
                <c:pt idx="1">
                  <c:v>2023年</c:v>
                </c:pt>
              </c:strCache>
            </c:strRef>
          </c:cat>
          <c:val>
            <c:numRef>
              <c:f>[饼状图本级.xlsx]Sheet1!$C$9:$C$10</c:f>
              <c:numCache>
                <c:formatCode>#,##0.00</c:formatCode>
                <c:ptCount val="2"/>
                <c:pt idx="0">
                  <c:v>9663.32</c:v>
                </c:pt>
                <c:pt idx="1">
                  <c:v>10444.65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63245614035088"/>
          <c:y val="0.112278456074718"/>
          <c:w val="0.46375"/>
          <c:h val="0.13301311657121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8611111111111"/>
          <c:y val="0.208333333333333"/>
          <c:w val="0.859861111111111"/>
          <c:h val="0.686111111111111"/>
        </c:manualLayout>
      </c:layout>
      <c:barChart>
        <c:barDir val="col"/>
        <c:grouping val="clustered"/>
        <c:varyColors val="0"/>
        <c:ser>
          <c:idx val="0"/>
          <c:order val="0"/>
          <c:tx>
            <c:strRef>
              <c:f>[饼状图本级.xlsx]Sheet1!$C$77</c:f>
              <c:strCache>
                <c:ptCount val="1"/>
                <c:pt idx="0">
                  <c:v>图五.一般公共预算财政拨款支出决算变动情况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[饼状图本级.xlsx]Sheet1!$B$78:$B$79</c:f>
              <c:strCache>
                <c:ptCount val="2"/>
                <c:pt idx="0">
                  <c:v>2024年</c:v>
                </c:pt>
                <c:pt idx="1">
                  <c:v>2023年</c:v>
                </c:pt>
              </c:strCache>
            </c:strRef>
          </c:cat>
          <c:val>
            <c:numRef>
              <c:f>[饼状图本级.xlsx]Sheet1!$C$78:$C$79</c:f>
              <c:numCache>
                <c:formatCode>General</c:formatCode>
                <c:ptCount val="2"/>
                <c:pt idx="0">
                  <c:v>9663.32</c:v>
                </c:pt>
                <c:pt idx="1">
                  <c:v>10444.65</c:v>
                </c:pt>
              </c:numCache>
            </c:numRef>
          </c:val>
        </c:ser>
        <c:dLbls>
          <c:showLegendKey val="0"/>
          <c:showVal val="1"/>
          <c:showCatName val="0"/>
          <c:showSerName val="0"/>
          <c:showPercent val="0"/>
          <c:showBubbleSize val="0"/>
        </c:dLbls>
        <c:gapWidth val="75"/>
        <c:axId val="73993600"/>
        <c:axId val="73999488"/>
      </c:barChart>
      <c:catAx>
        <c:axId val="73993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9488"/>
        <c:crosses val="autoZero"/>
        <c:auto val="1"/>
        <c:lblAlgn val="ctr"/>
        <c:lblOffset val="100"/>
        <c:noMultiLvlLbl val="0"/>
      </c:catAx>
      <c:valAx>
        <c:axId val="73999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3600"/>
        <c:crosses val="autoZero"/>
        <c:crossBetween val="between"/>
      </c:valAx>
      <c:spPr>
        <a:solidFill>
          <a:schemeClr val="bg1"/>
        </a:solidFill>
        <a:ln>
          <a:noFill/>
        </a:ln>
        <a:effectLst/>
      </c:spPr>
    </c:plotArea>
    <c:legend>
      <c:legendPos val="b"/>
      <c:layout>
        <c:manualLayout>
          <c:xMode val="edge"/>
          <c:yMode val="edge"/>
          <c:x val="0.1"/>
          <c:y val="0.0381944444444444"/>
          <c:w val="0.814583333333333"/>
          <c:h val="0.1284722222222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3245369204511"/>
          <c:y val="0.00622019489944018"/>
        </c:manualLayout>
      </c:layout>
      <c:overlay val="0"/>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32468174514893"/>
          <c:y val="0.231970896640274"/>
          <c:w val="0.840069212705475"/>
          <c:h val="0.727156002567944"/>
        </c:manualLayout>
      </c:layout>
      <c:pie3DChart>
        <c:varyColors val="1"/>
        <c:ser>
          <c:idx val="0"/>
          <c:order val="0"/>
          <c:tx>
            <c:strRef>
              <c:f>[饼状图本级.xlsx]Sheet1!$C$99</c:f>
              <c:strCache>
                <c:ptCount val="1"/>
                <c:pt idx="0">
                  <c:v>图六.2024年一般公共预算财政拨款支出决算结构</c:v>
                </c:pt>
              </c:strCache>
            </c:strRef>
          </c:tx>
          <c:explosion val="0"/>
          <c:dPt>
            <c:idx val="0"/>
            <c:bubble3D val="0"/>
          </c:dPt>
          <c:dPt>
            <c:idx val="1"/>
            <c:bubble3D val="0"/>
          </c:dPt>
          <c:dPt>
            <c:idx val="2"/>
            <c:bubble3D val="0"/>
          </c:dPt>
          <c:dPt>
            <c:idx val="3"/>
            <c:bubble3D val="0"/>
            <c:explosion val="2"/>
          </c:dPt>
          <c:dPt>
            <c:idx val="4"/>
            <c:bubble3D val="0"/>
          </c:dPt>
          <c:dLbls>
            <c:dLbl>
              <c:idx val="0"/>
              <c:layout>
                <c:manualLayout>
                  <c:x val="-0.347331669115304"/>
                  <c:y val="-0.0516380497886496"/>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79097031678723"/>
                      <c:h val="0.160216909046093"/>
                    </c:manualLayout>
                  </c15:layout>
                </c:ext>
              </c:extLst>
            </c:dLbl>
            <c:dLbl>
              <c:idx val="1"/>
              <c:layout>
                <c:manualLayout>
                  <c:x val="0.304435485872776"/>
                  <c:y val="-0.0455990537529695"/>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98428535794462"/>
                      <c:h val="0.168597485826966"/>
                    </c:manualLayout>
                  </c15:layout>
                </c:ext>
              </c:extLst>
            </c:dLbl>
            <c:dLbl>
              <c:idx val="2"/>
              <c:layout>
                <c:manualLayout>
                  <c:x val="0.292627408705215"/>
                  <c:y val="0.17581996718961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40477859482517"/>
                  <c:y val="-0.032967032967033"/>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276743983592347"/>
                  <c:y val="0.103983003762839"/>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7785193424793"/>
                      <c:h val="0.14401883158570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[饼状图本级.xlsx]Sheet1!$B$100:$B$104</c:f>
              <c:strCache>
                <c:ptCount val="5"/>
                <c:pt idx="0">
                  <c:v>科学技术支出占1.50%</c:v>
                </c:pt>
                <c:pt idx="1">
                  <c:v>社会保障和就业支出占0.88%</c:v>
                </c:pt>
                <c:pt idx="2">
                  <c:v>卫生健康支出占0.42%</c:v>
                </c:pt>
                <c:pt idx="3">
                  <c:v>农林水支出占96.65%</c:v>
                </c:pt>
                <c:pt idx="4">
                  <c:v>住房保障支出占0.55%</c:v>
                </c:pt>
              </c:strCache>
            </c:strRef>
          </c:cat>
          <c:val>
            <c:numRef>
              <c:f>[饼状图本级.xlsx]Sheet1!$C$100:$C$104</c:f>
              <c:numCache>
                <c:formatCode>General</c:formatCode>
                <c:ptCount val="5"/>
                <c:pt idx="0">
                  <c:v>145.04</c:v>
                </c:pt>
                <c:pt idx="1" c:formatCode="0.00_ ">
                  <c:v>85.48</c:v>
                </c:pt>
                <c:pt idx="2">
                  <c:v>40.39</c:v>
                </c:pt>
                <c:pt idx="3">
                  <c:v>9339.72</c:v>
                </c:pt>
                <c:pt idx="4" c:formatCode="0.00_ ">
                  <c:v>52.69</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91346877351392"/>
          <c:y val="0.346512077294686"/>
          <c:w val="0.821730624529722"/>
          <c:h val="0.558183574879227"/>
        </c:manualLayout>
      </c:layout>
      <c:pie3DChart>
        <c:varyColors val="1"/>
        <c:ser>
          <c:idx val="0"/>
          <c:order val="0"/>
          <c:tx>
            <c:strRef>
              <c:f>[饼状图本级.xlsx]Sheet1!$C$121</c:f>
              <c:strCache>
                <c:ptCount val="1"/>
                <c:pt idx="0">
                  <c:v>图七.2024年“三公”经费财政拨款支出结构图</c:v>
                </c:pt>
              </c:strCache>
            </c:strRef>
          </c:tx>
          <c:explosion val="25"/>
          <c:dPt>
            <c:idx val="0"/>
            <c:bubble3D val="0"/>
          </c:dPt>
          <c:dPt>
            <c:idx val="1"/>
            <c:bubble3D val="0"/>
          </c:dPt>
          <c:dPt>
            <c:idx val="2"/>
            <c:bubble3D val="0"/>
          </c:dPt>
          <c:dLbls>
            <c:dLbl>
              <c:idx val="1"/>
              <c:layout>
                <c:manualLayout>
                  <c:x val="0.279909706546275"/>
                  <c:y val="-0.0905797101449275"/>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216704288939052"/>
                  <c:y val="-0.0144927536231884"/>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[饼状图本级.xlsx]Sheet1!$B$122:$B$124</c:f>
              <c:strCache>
                <c:ptCount val="3"/>
                <c:pt idx="1">
                  <c:v>公务用车购置及运行维护费支出占89.09%</c:v>
                </c:pt>
                <c:pt idx="2">
                  <c:v>公务接待费支出占10.91%</c:v>
                </c:pt>
              </c:strCache>
            </c:strRef>
          </c:cat>
          <c:val>
            <c:numRef>
              <c:f>[饼状图本级.xlsx]Sheet1!$C$122:$C$124</c:f>
              <c:numCache>
                <c:formatCode>General</c:formatCode>
                <c:ptCount val="3"/>
                <c:pt idx="1" c:formatCode="0.00_ ">
                  <c:v>4</c:v>
                </c:pt>
                <c:pt idx="2">
                  <c:v>0.49</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0.397913333333333</cdr:x>
      <cdr:y>0.11215012192869</cdr:y>
    </cdr:from>
    <cdr:to>
      <cdr:x>0.591663333333333</cdr:x>
      <cdr:y>0.21696012192869</cdr:y>
    </cdr:to>
    <cdr:sp>
      <cdr:nvSpPr>
        <cdr:cNvPr id="2" name="矩形 1"/>
        <cdr:cNvSpPr/>
      </cdr:nvSpPr>
      <cdr:spPr xmlns:a="http://schemas.openxmlformats.org/drawingml/2006/main">
        <a:xfrm xmlns:a="http://schemas.openxmlformats.org/drawingml/2006/main">
          <a:off x="1819260" y="385489"/>
          <a:ext cx="885825" cy="360259"/>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0.397913333333333</cdr:x>
      <cdr:y>0.11215012192869</cdr:y>
    </cdr:from>
    <cdr:to>
      <cdr:x>0.591663333333333</cdr:x>
      <cdr:y>0.21696012192869</cdr:y>
    </cdr:to>
    <cdr:sp>
      <cdr:nvSpPr>
        <cdr:cNvPr id="2" name="矩形 1"/>
        <cdr:cNvSpPr/>
      </cdr:nvSpPr>
      <cdr:spPr xmlns:a="http://schemas.openxmlformats.org/drawingml/2006/main">
        <a:xfrm xmlns:a="http://schemas.openxmlformats.org/drawingml/2006/main">
          <a:off x="1819260" y="385489"/>
          <a:ext cx="885825" cy="360259"/>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32</Pages>
  <Words>9074</Words>
  <Characters>10057</Characters>
  <Lines>1978</Lines>
  <Paragraphs>961</Paragraphs>
  <TotalTime>0</TotalTime>
  <ScaleCrop>false</ScaleCrop>
  <LinksUpToDate>false</LinksUpToDate>
  <CharactersWithSpaces>10204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2023-09-12T17:45:00Z</dcterms:created>
  <dc:creator>Administrator</dc:creator>
  <cp:lastModifiedBy>user</cp:lastModifiedBy>
  <dcterms:modified xsi:type="dcterms:W3CDTF">2026-05-19T08:51:24Z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95CE7395B15D4D66824A42CBCADB366B_12</vt:lpwstr>
  </property>
  <property fmtid="{D5CDD505-2E9C-101B-9397-08002B2CF9AE}" pid="4" name="KSOTemplateDocerSaveRecord">
    <vt:lpwstr>eyJoZGlkIjoiZjRmYzVhMTg2MDdjYTY1YTYzNDNlM2I0M2ZkYWYyNGYiLCJ1c2VySWQiOiI0MTY4Mzk0ODcifQ==</vt:lpwstr>
  </property>
</Properties>
</file>