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jc w:val="center"/>
        <w:rPr>
          <w:rFonts w:ascii="方正小标宋简体" w:eastAsia="方正小标宋简体"/>
          <w:sz w:val="44"/>
          <w:szCs w:val="44"/>
        </w:rPr>
      </w:pPr>
    </w:p>
    <w:p>
      <w:pPr>
        <w:pStyle w:val="18"/>
        <w:jc w:val="center"/>
        <w:rPr>
          <w:rFonts w:ascii="方正小标宋简体" w:eastAsia="方正小标宋简体"/>
          <w:sz w:val="44"/>
          <w:szCs w:val="44"/>
        </w:rPr>
      </w:pPr>
    </w:p>
    <w:p>
      <w:pPr>
        <w:pStyle w:val="18"/>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hint="eastAsia"/>
          <w:sz w:val="44"/>
          <w:szCs w:val="44"/>
          <w:lang w:val="en-US" w:eastAsia="zh-CN"/>
        </w:rPr>
        <w:t>4</w:t>
      </w:r>
      <w:r>
        <w:rPr>
          <w:rFonts w:ascii="方正小标宋简体" w:eastAsia="方正小标宋简体" w:hint="eastAsia"/>
          <w:sz w:val="44"/>
          <w:szCs w:val="44"/>
        </w:rPr>
        <w:t>年度</w:t>
      </w:r>
      <w:bookmarkStart w:id="0" w:name="_Toc15378442"/>
      <w:bookmarkStart w:id="1" w:name="_Toc15396598"/>
      <w:bookmarkStart w:id="2" w:name="_Toc15377426"/>
      <w:bookmarkStart w:id="3" w:name="_Toc15377194"/>
      <w:bookmarkStart w:id="4" w:name="_Toc15396476"/>
      <w:r>
        <w:rPr>
          <w:rFonts w:ascii="方正小标宋简体" w:eastAsia="方正小标宋简体" w:hint="eastAsia"/>
          <w:sz w:val="44"/>
          <w:szCs w:val="44"/>
        </w:rPr>
        <w:t>四川省阿坝州茂县</w:t>
      </w:r>
      <w:bookmarkStart w:id="5" w:name="_Toc15306268"/>
      <w:r>
        <w:rPr>
          <w:rFonts w:ascii="方正小标宋简体" w:eastAsia="方正小标宋简体" w:hint="eastAsia"/>
          <w:sz w:val="44"/>
          <w:szCs w:val="44"/>
        </w:rPr>
        <w:t>民族宗教局部门决算</w:t>
      </w:r>
      <w:bookmarkEnd w:id="0"/>
      <w:bookmarkEnd w:id="1"/>
      <w:bookmarkEnd w:id="2"/>
      <w:bookmarkEnd w:id="3"/>
      <w:bookmarkEnd w:id="4"/>
      <w:bookmarkEnd w:id="5"/>
    </w:p>
    <w:p>
      <w:pPr>
        <w:pStyle w:val="18"/>
        <w:jc w:val="center"/>
        <w:rPr>
          <w:rFonts w:ascii="方正小标宋简体" w:eastAsia="方正小标宋简体"/>
          <w:sz w:val="44"/>
          <w:szCs w:val="44"/>
        </w:rPr>
      </w:pPr>
      <w:r>
        <w:rPr>
          <w:rFonts w:ascii="方正小标宋简体" w:eastAsia="方正小标宋简体" w:hint="eastAsia"/>
          <w:sz w:val="44"/>
          <w:szCs w:val="44"/>
        </w:rPr>
        <w:t>(部门公开)</w:t>
      </w:r>
    </w:p>
    <w:p>
      <w:pPr>
        <w:widowControl/>
        <w:suppressAutoHyphens/>
        <w:rPr>
          <w:rFonts w:ascii="黑体" w:eastAsia="黑体"/>
          <w:sz w:val="44"/>
          <w:szCs w:val="44"/>
        </w:rPr>
      </w:pPr>
      <w:r>
        <w:rPr>
          <w:rFonts w:ascii="方正小标宋简体" w:eastAsia="方正小标宋简体"/>
          <w:sz w:val="36"/>
          <w:szCs w:val="36"/>
        </w:rPr>
        <w:br w:type="page"/>
      </w:r>
      <w:r>
        <w:rPr>
          <w:rFonts w:ascii="方正小标宋简体" w:eastAsia="方正小标宋简体" w:hint="eastAsia"/>
          <w:sz w:val="36"/>
          <w:szCs w:val="36"/>
          <w:lang w:val="en-US" w:eastAsia="zh-CN"/>
        </w:rPr>
        <w:t xml:space="preserve">                </w:t>
      </w:r>
      <w:r>
        <w:rPr>
          <w:rFonts w:ascii="方正小标宋简体" w:eastAsia="方正小标宋简体" w:hint="eastAsia"/>
          <w:sz w:val="44"/>
          <w:szCs w:val="44"/>
          <w:lang w:val="en-US" w:eastAsia="zh-CN"/>
        </w:rPr>
        <w:t xml:space="preserve"> </w:t>
      </w:r>
      <w:r>
        <w:rPr>
          <w:rFonts w:ascii="黑体" w:eastAsia="黑体" w:hint="eastAsia"/>
          <w:sz w:val="44"/>
          <w:szCs w:val="44"/>
        </w:rPr>
        <w:t>目</w:t>
      </w:r>
      <w:r>
        <w:rPr>
          <w:rFonts w:ascii="黑体" w:eastAsia="黑体" w:hint="eastAsia"/>
          <w:sz w:val="44"/>
          <w:szCs w:val="44"/>
          <w:lang w:val="en-US" w:eastAsia="zh-CN"/>
        </w:rPr>
        <w:t xml:space="preserve"> </w:t>
      </w:r>
      <w:r>
        <w:rPr>
          <w:rFonts w:ascii="黑体" w:eastAsia="黑体" w:hint="eastAsia"/>
          <w:sz w:val="44"/>
          <w:szCs w:val="44"/>
        </w:rPr>
        <w:t>录</w:t>
      </w:r>
    </w:p>
    <w:p>
      <w:pPr>
        <w:widowControl/>
        <w:suppressAutoHyphens/>
        <w:jc w:val="center"/>
        <w:rPr>
          <w:rFonts w:ascii="黑体" w:eastAsia="黑体"/>
          <w:sz w:val="28"/>
          <w:szCs w:val="28"/>
        </w:rPr>
      </w:pPr>
    </w:p>
    <w:p>
      <w:pPr>
        <w:pStyle w:val="22"/>
        <w:tabs>
          <w:tab w:val="right" w:leader="dot" w:pos="8296"/>
        </w:tabs>
        <w:rPr>
          <w:rFonts w:ascii="仿宋_GB2312" w:eastAsia="仿宋_GB2312" w:cs="仿宋_GB2312" w:hint="eastAsia"/>
          <w:sz w:val="32"/>
          <w:szCs w:val="32"/>
        </w:rPr>
      </w:pPr>
      <w:r>
        <w:rPr>
          <w:rFonts w:ascii="仿宋_GB2312" w:eastAsia="仿宋_GB2312" w:cs="仿宋_GB2312" w:hint="eastAsia"/>
          <w:sz w:val="32"/>
          <w:szCs w:val="32"/>
        </w:rPr>
        <w:t>公开时间：202</w:t>
      </w:r>
      <w:r>
        <w:rPr>
          <w:rFonts w:ascii="仿宋_GB2312" w:eastAsia="仿宋_GB2312" w:cs="仿宋_GB2312" w:hint="eastAsia"/>
          <w:sz w:val="32"/>
          <w:szCs w:val="32"/>
          <w:lang w:val="en-US" w:eastAsia="zh-CN"/>
        </w:rPr>
        <w:t>4</w:t>
      </w:r>
      <w:r>
        <w:rPr>
          <w:rFonts w:ascii="仿宋_GB2312" w:eastAsia="仿宋_GB2312" w:cs="仿宋_GB2312" w:hint="eastAsia"/>
          <w:sz w:val="32"/>
          <w:szCs w:val="32"/>
        </w:rPr>
        <w:t>年9月25日</w:t>
      </w:r>
    </w:p>
    <w:p/>
    <w:p>
      <w:pPr>
        <w:pStyle w:val="25"/>
        <w:tabs>
          <w:tab w:val="right" w:leader="dot" w:pos="8296"/>
        </w:tabs>
        <w:ind w:leftChars="0" w:left="210"/>
        <w:jc w:val="left"/>
        <w:rPr>
          <w:rFonts w:ascii="仿宋" w:eastAsia="仿宋"/>
          <w:caps w:val="0"/>
          <w:smallCaps/>
          <w:sz w:val="20"/>
          <w:szCs w:val="20"/>
        </w:rPr>
      </w:pPr>
      <w:bookmarkStart w:id="6" w:name="_Toc15396599"/>
      <w:bookmarkStart w:id="7" w:name="_Toc15377196"/>
      <w:r>
        <w:rPr>
          <w:rFonts w:ascii="仿宋" w:eastAsia="仿宋"/>
          <w:caps w:val="0"/>
          <w:smallCaps/>
          <w:sz w:val="20"/>
          <w:szCs w:val="20"/>
        </w:rPr>
        <w:fldChar w:fldCharType="begin"/>
      </w:r>
      <w:r>
        <w:rPr>
          <w:rFonts w:ascii="仿宋" w:eastAsia="仿宋"/>
          <w:caps w:val="0"/>
          <w:smallCaps/>
          <w:sz w:val="20"/>
          <w:szCs w:val="20"/>
        </w:rPr>
        <w:instrText xml:space="preserve">TOC \o "1-2" \h \u </w:instrText>
      </w:r>
      <w:r>
        <w:rPr>
          <w:rFonts w:ascii="仿宋" w:eastAsia="仿宋"/>
          <w:caps w:val="0"/>
          <w:smallCaps/>
          <w:sz w:val="20"/>
          <w:szCs w:val="20"/>
        </w:rPr>
        <w:fldChar w:fldCharType="separate"/>
      </w:r>
      <w:r>
        <w:fldChar w:fldCharType="begin"/>
      </w:r>
      <w:r>
        <w:instrText xml:space="preserve"> HYPERLINK \l "_Toc22950" </w:instrText>
      </w:r>
      <w:r>
        <w:fldChar w:fldCharType="separate"/>
      </w:r>
      <w:r>
        <w:rPr>
          <w:rFonts w:ascii="仿宋" w:eastAsia="仿宋" w:hint="eastAsia"/>
          <w:caps w:val="0"/>
          <w:smallCaps/>
          <w:sz w:val="20"/>
          <w:szCs w:val="20"/>
        </w:rPr>
        <w:t>第一部分 部门概况</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_Toc22950 \h </w:instrText>
      </w:r>
      <w:r>
        <w:rPr>
          <w:rFonts w:ascii="仿宋" w:eastAsia="仿宋"/>
          <w:caps w:val="0"/>
          <w:smallCaps/>
          <w:sz w:val="20"/>
          <w:szCs w:val="20"/>
        </w:rPr>
        <w:fldChar w:fldCharType="separate"/>
      </w:r>
      <w:r>
        <w:rPr>
          <w:rFonts w:ascii="仿宋" w:eastAsia="仿宋"/>
          <w:caps w:val="0"/>
          <w:smallCaps/>
          <w:sz w:val="20"/>
          <w:szCs w:val="20"/>
        </w:rPr>
        <w:t>- 3 -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"_Toc2900" </w:instrText>
      </w:r>
      <w:r>
        <w:fldChar w:fldCharType="separate"/>
      </w:r>
      <w:r>
        <w:rPr>
          <w:rFonts w:ascii="仿宋" w:eastAsia="仿宋" w:hint="eastAsia"/>
          <w:caps w:val="0"/>
          <w:smallCaps/>
          <w:sz w:val="20"/>
          <w:szCs w:val="20"/>
        </w:rPr>
        <w:t>一、 部门职责</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_Toc2900 \h </w:instrText>
      </w:r>
      <w:r>
        <w:rPr>
          <w:rFonts w:ascii="仿宋" w:eastAsia="仿宋"/>
          <w:caps w:val="0"/>
          <w:smallCaps/>
          <w:sz w:val="20"/>
          <w:szCs w:val="20"/>
        </w:rPr>
        <w:fldChar w:fldCharType="separate"/>
      </w:r>
      <w:r>
        <w:rPr>
          <w:rFonts w:ascii="仿宋" w:eastAsia="仿宋"/>
          <w:caps w:val="0"/>
          <w:smallCaps/>
          <w:sz w:val="20"/>
          <w:szCs w:val="20"/>
        </w:rPr>
        <w:t>- 3 -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"_Toc6068" </w:instrText>
      </w:r>
      <w:r>
        <w:fldChar w:fldCharType="separate"/>
      </w:r>
      <w:r>
        <w:rPr>
          <w:rFonts w:ascii="仿宋" w:eastAsia="仿宋" w:hint="eastAsia"/>
          <w:caps w:val="0"/>
          <w:smallCaps/>
          <w:sz w:val="20"/>
          <w:szCs w:val="20"/>
        </w:rPr>
        <w:t>二、机构设置</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_Toc6068 \h </w:instrText>
      </w:r>
      <w:r>
        <w:rPr>
          <w:rFonts w:ascii="仿宋" w:eastAsia="仿宋"/>
          <w:caps w:val="0"/>
          <w:smallCaps/>
          <w:sz w:val="20"/>
          <w:szCs w:val="20"/>
        </w:rPr>
        <w:fldChar w:fldCharType="separate"/>
      </w:r>
      <w:r>
        <w:rPr>
          <w:rFonts w:ascii="仿宋" w:eastAsia="仿宋"/>
          <w:caps w:val="0"/>
          <w:smallCaps/>
          <w:sz w:val="20"/>
          <w:szCs w:val="20"/>
        </w:rPr>
        <w:t>- 3 -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jc w:val="left"/>
        <w:rPr>
          <w:rFonts w:ascii="仿宋" w:eastAsia="仿宋"/>
          <w:caps w:val="0"/>
          <w:smallCaps/>
          <w:sz w:val="20"/>
          <w:szCs w:val="20"/>
        </w:rPr>
      </w:pPr>
      <w:r>
        <w:fldChar w:fldCharType="begin"/>
      </w:r>
      <w:r>
        <w:instrText xml:space="preserve"> HYPERLINK \l "_Toc27273" </w:instrText>
      </w:r>
      <w:r>
        <w:fldChar w:fldCharType="separate"/>
      </w:r>
      <w:r>
        <w:rPr>
          <w:rFonts w:ascii="仿宋" w:eastAsia="仿宋" w:hint="eastAsia"/>
          <w:caps w:val="0"/>
          <w:smallCaps/>
          <w:sz w:val="20"/>
          <w:szCs w:val="20"/>
        </w:rPr>
        <w:t>第二部分 2023年度部门决算情况说明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_Toc27273 \h </w:instrText>
      </w:r>
      <w:r>
        <w:rPr>
          <w:rFonts w:ascii="仿宋" w:eastAsia="仿宋"/>
          <w:caps w:val="0"/>
          <w:smallCaps/>
          <w:sz w:val="20"/>
          <w:szCs w:val="20"/>
        </w:rPr>
        <w:fldChar w:fldCharType="separate"/>
      </w:r>
      <w:r>
        <w:rPr>
          <w:rFonts w:ascii="仿宋" w:eastAsia="仿宋"/>
          <w:caps w:val="0"/>
          <w:smallCaps/>
          <w:sz w:val="20"/>
          <w:szCs w:val="20"/>
        </w:rPr>
        <w:t>- 4 -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"_Toc13727" </w:instrText>
      </w:r>
      <w:r>
        <w:fldChar w:fldCharType="separate"/>
      </w:r>
      <w:r>
        <w:rPr>
          <w:rFonts w:ascii="仿宋" w:eastAsia="仿宋"/>
          <w:caps w:val="0"/>
          <w:smallCaps/>
          <w:sz w:val="20"/>
          <w:szCs w:val="20"/>
        </w:rPr>
        <w:t xml:space="preserve">一、 </w:t>
      </w:r>
      <w:r>
        <w:rPr>
          <w:rFonts w:ascii="仿宋" w:eastAsia="仿宋" w:hint="eastAsia"/>
          <w:caps w:val="0"/>
          <w:smallCaps/>
          <w:sz w:val="20"/>
          <w:szCs w:val="20"/>
        </w:rPr>
        <w:t>收入支出决算总体情况说明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_Toc13727 \h </w:instrText>
      </w:r>
      <w:r>
        <w:rPr>
          <w:rFonts w:ascii="仿宋" w:eastAsia="仿宋"/>
          <w:caps w:val="0"/>
          <w:smallCaps/>
          <w:sz w:val="20"/>
          <w:szCs w:val="20"/>
        </w:rPr>
        <w:fldChar w:fldCharType="separate"/>
      </w:r>
      <w:r>
        <w:rPr>
          <w:rFonts w:ascii="仿宋" w:eastAsia="仿宋"/>
          <w:caps w:val="0"/>
          <w:smallCaps/>
          <w:sz w:val="20"/>
          <w:szCs w:val="20"/>
        </w:rPr>
        <w:t>- 4 -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"_Toc18258" </w:instrText>
      </w:r>
      <w:r>
        <w:fldChar w:fldCharType="separate"/>
      </w:r>
      <w:r>
        <w:rPr>
          <w:rFonts w:ascii="仿宋" w:eastAsia="仿宋"/>
          <w:caps w:val="0"/>
          <w:smallCaps/>
          <w:sz w:val="20"/>
          <w:szCs w:val="20"/>
        </w:rPr>
        <w:t xml:space="preserve">二、 </w:t>
      </w:r>
      <w:r>
        <w:rPr>
          <w:rFonts w:ascii="仿宋" w:eastAsia="仿宋" w:hint="eastAsia"/>
          <w:caps w:val="0"/>
          <w:smallCaps/>
          <w:sz w:val="20"/>
          <w:szCs w:val="20"/>
        </w:rPr>
        <w:t>收入决算情况说明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_Toc18258 \h </w:instrText>
      </w:r>
      <w:r>
        <w:rPr>
          <w:rFonts w:ascii="仿宋" w:eastAsia="仿宋"/>
          <w:caps w:val="0"/>
          <w:smallCaps/>
          <w:sz w:val="20"/>
          <w:szCs w:val="20"/>
        </w:rPr>
        <w:fldChar w:fldCharType="separate"/>
      </w:r>
      <w:r>
        <w:rPr>
          <w:rFonts w:ascii="仿宋" w:eastAsia="仿宋"/>
          <w:caps w:val="0"/>
          <w:smallCaps/>
          <w:sz w:val="20"/>
          <w:szCs w:val="20"/>
        </w:rPr>
        <w:t>- 4 -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"_Toc30305" </w:instrText>
      </w:r>
      <w:r>
        <w:fldChar w:fldCharType="separate"/>
      </w:r>
      <w:r>
        <w:rPr>
          <w:rFonts w:ascii="仿宋" w:eastAsia="仿宋"/>
          <w:caps w:val="0"/>
          <w:smallCaps/>
          <w:sz w:val="20"/>
          <w:szCs w:val="20"/>
        </w:rPr>
        <w:t xml:space="preserve">三、 </w:t>
      </w:r>
      <w:r>
        <w:rPr>
          <w:rFonts w:ascii="仿宋" w:eastAsia="仿宋" w:hint="eastAsia"/>
          <w:caps w:val="0"/>
          <w:smallCaps/>
          <w:sz w:val="20"/>
          <w:szCs w:val="20"/>
        </w:rPr>
        <w:t>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_Toc30305 \h </w:instrText>
      </w:r>
      <w:r>
        <w:rPr>
          <w:rFonts w:ascii="仿宋" w:eastAsia="仿宋"/>
          <w:caps w:val="0"/>
          <w:smallCaps/>
          <w:sz w:val="20"/>
          <w:szCs w:val="20"/>
        </w:rPr>
        <w:fldChar w:fldCharType="separate"/>
      </w:r>
      <w:r>
        <w:rPr>
          <w:rFonts w:ascii="仿宋" w:eastAsia="仿宋"/>
          <w:caps w:val="0"/>
          <w:smallCaps/>
          <w:sz w:val="20"/>
          <w:szCs w:val="20"/>
        </w:rPr>
        <w:t>- 5 -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"_Toc30273" </w:instrText>
      </w:r>
      <w:r>
        <w:fldChar w:fldCharType="separate"/>
      </w:r>
      <w:r>
        <w:rPr>
          <w:rFonts w:ascii="仿宋" w:eastAsia="仿宋" w:hint="eastAsia"/>
          <w:caps w:val="0"/>
          <w:smallCaps/>
          <w:sz w:val="20"/>
          <w:szCs w:val="20"/>
        </w:rPr>
        <w:t>四、财政拨款收入支出决算总体情况说明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_Toc30273 \h </w:instrText>
      </w:r>
      <w:r>
        <w:rPr>
          <w:rFonts w:ascii="仿宋" w:eastAsia="仿宋"/>
          <w:caps w:val="0"/>
          <w:smallCaps/>
          <w:sz w:val="20"/>
          <w:szCs w:val="20"/>
        </w:rPr>
        <w:fldChar w:fldCharType="separate"/>
      </w:r>
      <w:r>
        <w:rPr>
          <w:rFonts w:ascii="仿宋" w:eastAsia="仿宋"/>
          <w:caps w:val="0"/>
          <w:smallCaps/>
          <w:sz w:val="20"/>
          <w:szCs w:val="20"/>
        </w:rPr>
        <w:t>- 5 -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"_Toc32091" </w:instrText>
      </w:r>
      <w:r>
        <w:fldChar w:fldCharType="separate"/>
      </w:r>
      <w:r>
        <w:rPr>
          <w:rFonts w:ascii="仿宋" w:eastAsia="仿宋" w:hint="eastAsia"/>
          <w:caps w:val="0"/>
          <w:smallCaps/>
          <w:sz w:val="20"/>
          <w:szCs w:val="20"/>
        </w:rPr>
        <w:t>五、一般公共预算财政拨款支出决算情况说明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_Toc32091 \h </w:instrText>
      </w:r>
      <w:r>
        <w:rPr>
          <w:rFonts w:ascii="仿宋" w:eastAsia="仿宋"/>
          <w:caps w:val="0"/>
          <w:smallCaps/>
          <w:sz w:val="20"/>
          <w:szCs w:val="20"/>
        </w:rPr>
        <w:fldChar w:fldCharType="separate"/>
      </w:r>
      <w:r>
        <w:rPr>
          <w:rFonts w:ascii="仿宋" w:eastAsia="仿宋"/>
          <w:caps w:val="0"/>
          <w:smallCaps/>
          <w:sz w:val="20"/>
          <w:szCs w:val="20"/>
        </w:rPr>
        <w:t>- 6 -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"_Toc205" </w:instrText>
      </w:r>
      <w:r>
        <w:fldChar w:fldCharType="separate"/>
      </w:r>
      <w:r>
        <w:rPr>
          <w:rFonts w:ascii="仿宋" w:eastAsia="仿宋" w:hint="eastAsia"/>
          <w:caps w:val="0"/>
          <w:smallCaps/>
          <w:sz w:val="20"/>
          <w:szCs w:val="20"/>
        </w:rPr>
        <w:t>六、一般公共预算财政拨款基本支出决算情况说明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_Toc205 \h </w:instrText>
      </w:r>
      <w:r>
        <w:rPr>
          <w:rFonts w:ascii="仿宋" w:eastAsia="仿宋"/>
          <w:caps w:val="0"/>
          <w:smallCaps/>
          <w:sz w:val="20"/>
          <w:szCs w:val="20"/>
        </w:rPr>
        <w:fldChar w:fldCharType="separate"/>
      </w:r>
      <w:r>
        <w:rPr>
          <w:rFonts w:ascii="仿宋" w:eastAsia="仿宋"/>
          <w:caps w:val="0"/>
          <w:smallCaps/>
          <w:sz w:val="20"/>
          <w:szCs w:val="20"/>
        </w:rPr>
        <w:t>- 8 -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"_Toc28067" </w:instrText>
      </w:r>
      <w:r>
        <w:fldChar w:fldCharType="separate"/>
      </w:r>
      <w:r>
        <w:rPr>
          <w:rFonts w:ascii="仿宋" w:eastAsia="仿宋" w:hint="eastAsia"/>
          <w:caps w:val="0"/>
          <w:smallCaps/>
          <w:sz w:val="20"/>
          <w:szCs w:val="20"/>
        </w:rPr>
        <w:t>七、财政拨款“三公”经费支出决算情况说明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_Toc28067 \h </w:instrText>
      </w:r>
      <w:r>
        <w:rPr>
          <w:rFonts w:ascii="仿宋" w:eastAsia="仿宋"/>
          <w:caps w:val="0"/>
          <w:smallCaps/>
          <w:sz w:val="20"/>
          <w:szCs w:val="20"/>
        </w:rPr>
        <w:fldChar w:fldCharType="separate"/>
      </w:r>
      <w:r>
        <w:rPr>
          <w:rFonts w:ascii="仿宋" w:eastAsia="仿宋"/>
          <w:caps w:val="0"/>
          <w:smallCaps/>
          <w:sz w:val="20"/>
          <w:szCs w:val="20"/>
        </w:rPr>
        <w:t>- 9 -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"_Toc15695" </w:instrText>
      </w:r>
      <w:r>
        <w:fldChar w:fldCharType="separate"/>
      </w:r>
      <w:r>
        <w:rPr>
          <w:rFonts w:ascii="仿宋" w:eastAsia="仿宋" w:hint="eastAsia"/>
          <w:caps w:val="0"/>
          <w:smallCaps/>
          <w:sz w:val="20"/>
          <w:szCs w:val="20"/>
        </w:rPr>
        <w:t>八、政府性基金预算支出决算情况说明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_Toc15695 \h </w:instrText>
      </w:r>
      <w:r>
        <w:rPr>
          <w:rFonts w:ascii="仿宋" w:eastAsia="仿宋"/>
          <w:caps w:val="0"/>
          <w:smallCaps/>
          <w:sz w:val="20"/>
          <w:szCs w:val="20"/>
        </w:rPr>
        <w:fldChar w:fldCharType="separate"/>
      </w:r>
      <w:r>
        <w:rPr>
          <w:rFonts w:ascii="仿宋" w:eastAsia="仿宋"/>
          <w:caps w:val="0"/>
          <w:smallCaps/>
          <w:sz w:val="20"/>
          <w:szCs w:val="20"/>
        </w:rPr>
        <w:t>- 10 -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"_Toc22705" </w:instrText>
      </w:r>
      <w:r>
        <w:fldChar w:fldCharType="separate"/>
      </w:r>
      <w:r>
        <w:rPr>
          <w:rFonts w:ascii="仿宋" w:eastAsia="仿宋" w:hint="eastAsia"/>
          <w:caps w:val="0"/>
          <w:smallCaps/>
          <w:sz w:val="20"/>
          <w:szCs w:val="20"/>
        </w:rPr>
        <w:t>九、 国有资本经营预算支出决算情况说明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_Toc22705 \h </w:instrText>
      </w:r>
      <w:r>
        <w:rPr>
          <w:rFonts w:ascii="仿宋" w:eastAsia="仿宋"/>
          <w:caps w:val="0"/>
          <w:smallCaps/>
          <w:sz w:val="20"/>
          <w:szCs w:val="20"/>
        </w:rPr>
        <w:fldChar w:fldCharType="separate"/>
      </w:r>
      <w:r>
        <w:rPr>
          <w:rFonts w:ascii="仿宋" w:eastAsia="仿宋"/>
          <w:caps w:val="0"/>
          <w:smallCaps/>
          <w:sz w:val="20"/>
          <w:szCs w:val="20"/>
        </w:rPr>
        <w:t>- 10 -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"_Toc16524" </w:instrText>
      </w:r>
      <w:r>
        <w:fldChar w:fldCharType="separate"/>
      </w:r>
      <w:r>
        <w:rPr>
          <w:rFonts w:ascii="仿宋" w:eastAsia="仿宋" w:hint="eastAsia"/>
          <w:caps w:val="0"/>
          <w:smallCaps/>
          <w:sz w:val="20"/>
          <w:szCs w:val="20"/>
        </w:rPr>
        <w:t>十、 其他重要事项的情况说明</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_Toc16524 \h </w:instrText>
      </w:r>
      <w:r>
        <w:rPr>
          <w:rFonts w:ascii="仿宋" w:eastAsia="仿宋"/>
          <w:caps w:val="0"/>
          <w:smallCaps/>
          <w:sz w:val="20"/>
          <w:szCs w:val="20"/>
        </w:rPr>
        <w:fldChar w:fldCharType="separate"/>
      </w:r>
      <w:r>
        <w:rPr>
          <w:rFonts w:ascii="仿宋" w:eastAsia="仿宋"/>
          <w:caps w:val="0"/>
          <w:smallCaps/>
          <w:sz w:val="20"/>
          <w:szCs w:val="20"/>
        </w:rPr>
        <w:t>- 10 -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jc w:val="left"/>
        <w:rPr>
          <w:rFonts w:ascii="仿宋" w:eastAsia="仿宋"/>
          <w:caps w:val="0"/>
          <w:smallCaps/>
          <w:sz w:val="20"/>
          <w:szCs w:val="20"/>
        </w:rPr>
      </w:pPr>
      <w:r>
        <w:fldChar w:fldCharType="begin"/>
      </w:r>
      <w:r>
        <w:instrText xml:space="preserve"> HYPERLINK \l "_Toc3941" </w:instrText>
      </w:r>
      <w:r>
        <w:fldChar w:fldCharType="separate"/>
      </w:r>
      <w:r>
        <w:rPr>
          <w:rFonts w:ascii="仿宋" w:eastAsia="仿宋" w:hint="eastAsia"/>
          <w:caps w:val="0"/>
          <w:smallCaps/>
          <w:sz w:val="20"/>
          <w:szCs w:val="20"/>
        </w:rPr>
        <w:t>第三部分 名词解释</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_Toc3941 \h </w:instrText>
      </w:r>
      <w:r>
        <w:rPr>
          <w:rFonts w:ascii="仿宋" w:eastAsia="仿宋"/>
          <w:caps w:val="0"/>
          <w:smallCaps/>
          <w:sz w:val="20"/>
          <w:szCs w:val="20"/>
        </w:rPr>
        <w:fldChar w:fldCharType="separate"/>
      </w:r>
      <w:r>
        <w:rPr>
          <w:rFonts w:ascii="仿宋" w:eastAsia="仿宋"/>
          <w:caps w:val="0"/>
          <w:smallCaps/>
          <w:sz w:val="20"/>
          <w:szCs w:val="20"/>
        </w:rPr>
        <w:t>- 12 -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jc w:val="left"/>
        <w:rPr>
          <w:rFonts w:ascii="仿宋" w:eastAsia="仿宋"/>
          <w:caps w:val="0"/>
          <w:smallCaps/>
          <w:sz w:val="20"/>
          <w:szCs w:val="20"/>
        </w:rPr>
      </w:pPr>
      <w:r>
        <w:fldChar w:fldCharType="begin"/>
      </w:r>
      <w:r>
        <w:instrText xml:space="preserve"> HYPERLINK \l "_Toc27701" </w:instrText>
      </w:r>
      <w:r>
        <w:fldChar w:fldCharType="separate"/>
      </w:r>
      <w:r>
        <w:rPr>
          <w:rFonts w:ascii="仿宋" w:eastAsia="仿宋" w:hint="eastAsia"/>
          <w:caps w:val="0"/>
          <w:smallCaps/>
          <w:sz w:val="20"/>
          <w:szCs w:val="20"/>
        </w:rPr>
        <w:t>第四部分 附件</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_Toc27701 \h </w:instrText>
      </w:r>
      <w:r>
        <w:rPr>
          <w:rFonts w:ascii="仿宋" w:eastAsia="仿宋"/>
          <w:caps w:val="0"/>
          <w:smallCaps/>
          <w:sz w:val="20"/>
          <w:szCs w:val="20"/>
        </w:rPr>
        <w:fldChar w:fldCharType="separate"/>
      </w:r>
      <w:r>
        <w:rPr>
          <w:rFonts w:ascii="仿宋" w:eastAsia="仿宋"/>
          <w:caps w:val="0"/>
          <w:smallCaps/>
          <w:sz w:val="20"/>
          <w:szCs w:val="20"/>
        </w:rPr>
        <w:t>- 16 -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"_Toc26081" </w:instrText>
      </w:r>
      <w:r>
        <w:fldChar w:fldCharType="separate"/>
      </w:r>
      <w:r>
        <w:rPr>
          <w:rFonts w:ascii="仿宋" w:eastAsia="仿宋" w:hint="eastAsia"/>
          <w:caps w:val="0"/>
          <w:smallCaps/>
          <w:sz w:val="20"/>
          <w:szCs w:val="20"/>
        </w:rPr>
        <w:t>附件1.部门预算绩效评价报告</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_Toc26081 \h </w:instrText>
      </w:r>
      <w:r>
        <w:rPr>
          <w:rFonts w:ascii="仿宋" w:eastAsia="仿宋"/>
          <w:caps w:val="0"/>
          <w:smallCaps/>
          <w:sz w:val="20"/>
          <w:szCs w:val="20"/>
        </w:rPr>
        <w:fldChar w:fldCharType="separate"/>
      </w:r>
      <w:r>
        <w:rPr>
          <w:rFonts w:ascii="仿宋" w:eastAsia="仿宋"/>
          <w:caps w:val="0"/>
          <w:smallCaps/>
          <w:sz w:val="20"/>
          <w:szCs w:val="20"/>
        </w:rPr>
        <w:t>- 16 -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200" w:firstLine="420"/>
        <w:jc w:val="left"/>
        <w:rPr>
          <w:rFonts w:ascii="仿宋" w:eastAsia="仿宋"/>
          <w:caps w:val="0"/>
          <w:smallCaps/>
          <w:sz w:val="20"/>
          <w:szCs w:val="20"/>
        </w:rPr>
      </w:pPr>
      <w:r>
        <w:fldChar w:fldCharType="begin"/>
      </w:r>
      <w:r>
        <w:instrText xml:space="preserve"> HYPERLINK \l "_Toc17332" </w:instrText>
      </w:r>
      <w:r>
        <w:fldChar w:fldCharType="separate"/>
      </w:r>
      <w:r>
        <w:rPr>
          <w:rFonts w:ascii="仿宋" w:eastAsia="仿宋" w:hint="eastAsia"/>
          <w:caps w:val="0"/>
          <w:smallCaps/>
          <w:sz w:val="20"/>
          <w:szCs w:val="20"/>
          <w:lang w:val="zh-CN"/>
        </w:rPr>
        <w:t>一、</w:t>
      </w:r>
      <w:r>
        <w:rPr>
          <w:rFonts w:ascii="仿宋" w:eastAsia="仿宋"/>
          <w:caps w:val="0"/>
          <w:smallCaps/>
          <w:sz w:val="20"/>
          <w:szCs w:val="20"/>
          <w:lang w:val="zh-CN"/>
        </w:rPr>
        <w:t>部门（单位）基本情况</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_Toc17332 \h </w:instrText>
      </w:r>
      <w:r>
        <w:rPr>
          <w:rFonts w:ascii="仿宋" w:eastAsia="仿宋"/>
          <w:caps w:val="0"/>
          <w:smallCaps/>
          <w:sz w:val="20"/>
          <w:szCs w:val="20"/>
        </w:rPr>
        <w:fldChar w:fldCharType="separate"/>
      </w:r>
      <w:r>
        <w:rPr>
          <w:rFonts w:ascii="仿宋" w:eastAsia="仿宋"/>
          <w:caps w:val="0"/>
          <w:smallCaps/>
          <w:sz w:val="20"/>
          <w:szCs w:val="20"/>
        </w:rPr>
        <w:t>- 16 -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200" w:firstLine="420"/>
        <w:jc w:val="left"/>
        <w:rPr>
          <w:rFonts w:ascii="仿宋" w:eastAsia="仿宋"/>
          <w:caps w:val="0"/>
          <w:smallCaps/>
          <w:sz w:val="20"/>
          <w:szCs w:val="20"/>
        </w:rPr>
      </w:pPr>
      <w:r>
        <w:fldChar w:fldCharType="begin"/>
      </w:r>
      <w:r>
        <w:instrText xml:space="preserve"> HYPERLINK \l "_Toc7332" </w:instrText>
      </w:r>
      <w:r>
        <w:fldChar w:fldCharType="separate"/>
      </w:r>
      <w:r>
        <w:rPr>
          <w:rFonts w:ascii="仿宋" w:eastAsia="仿宋"/>
          <w:caps w:val="0"/>
          <w:smallCaps/>
          <w:sz w:val="20"/>
          <w:szCs w:val="20"/>
          <w:lang w:val="zh-CN"/>
        </w:rPr>
        <w:t>二、部门资金收支情况</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_Toc7332 \h </w:instrText>
      </w:r>
      <w:r>
        <w:rPr>
          <w:rFonts w:ascii="仿宋" w:eastAsia="仿宋"/>
          <w:caps w:val="0"/>
          <w:smallCaps/>
          <w:sz w:val="20"/>
          <w:szCs w:val="20"/>
        </w:rPr>
        <w:fldChar w:fldCharType="separate"/>
      </w:r>
      <w:r>
        <w:rPr>
          <w:rFonts w:ascii="仿宋" w:eastAsia="仿宋"/>
          <w:caps w:val="0"/>
          <w:smallCaps/>
          <w:sz w:val="20"/>
          <w:szCs w:val="20"/>
        </w:rPr>
        <w:t>- 21 -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200" w:firstLine="420"/>
        <w:jc w:val="left"/>
        <w:rPr>
          <w:rFonts w:ascii="仿宋" w:eastAsia="仿宋"/>
          <w:caps w:val="0"/>
          <w:smallCaps/>
          <w:sz w:val="20"/>
          <w:szCs w:val="20"/>
        </w:rPr>
      </w:pPr>
      <w:r>
        <w:fldChar w:fldCharType="begin"/>
      </w:r>
      <w:r>
        <w:instrText xml:space="preserve"> HYPERLINK \l "_Toc27872" </w:instrText>
      </w:r>
      <w:r>
        <w:fldChar w:fldCharType="separate"/>
      </w:r>
      <w:r>
        <w:rPr>
          <w:rFonts w:ascii="仿宋" w:eastAsia="仿宋"/>
          <w:caps w:val="0"/>
          <w:smallCaps/>
          <w:sz w:val="20"/>
          <w:szCs w:val="20"/>
          <w:lang w:val="zh-CN"/>
        </w:rPr>
        <w:t>三、部门预算绩效分析</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_Toc27872 \h </w:instrText>
      </w:r>
      <w:r>
        <w:rPr>
          <w:rFonts w:ascii="仿宋" w:eastAsia="仿宋"/>
          <w:caps w:val="0"/>
          <w:smallCaps/>
          <w:sz w:val="20"/>
          <w:szCs w:val="20"/>
        </w:rPr>
        <w:fldChar w:fldCharType="separate"/>
      </w:r>
      <w:r>
        <w:rPr>
          <w:rFonts w:ascii="仿宋" w:eastAsia="仿宋"/>
          <w:caps w:val="0"/>
          <w:smallCaps/>
          <w:sz w:val="20"/>
          <w:szCs w:val="20"/>
        </w:rPr>
        <w:t>- 21 -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200" w:firstLine="420"/>
        <w:jc w:val="left"/>
        <w:rPr>
          <w:rFonts w:ascii="仿宋" w:eastAsia="仿宋"/>
          <w:caps w:val="0"/>
          <w:smallCaps/>
          <w:sz w:val="20"/>
          <w:szCs w:val="20"/>
        </w:rPr>
      </w:pPr>
      <w:r>
        <w:fldChar w:fldCharType="begin"/>
      </w:r>
      <w:r>
        <w:instrText xml:space="preserve"> HYPERLINK \l "_Toc23734" </w:instrText>
      </w:r>
      <w:r>
        <w:fldChar w:fldCharType="separate"/>
      </w:r>
      <w:r>
        <w:rPr>
          <w:rFonts w:ascii="仿宋" w:eastAsia="仿宋"/>
          <w:caps w:val="0"/>
          <w:smallCaps/>
          <w:sz w:val="20"/>
          <w:szCs w:val="20"/>
          <w:lang w:val="zh-CN"/>
        </w:rPr>
        <w:t>四、评价结论及建议</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_Toc23734 \h </w:instrText>
      </w:r>
      <w:r>
        <w:rPr>
          <w:rFonts w:ascii="仿宋" w:eastAsia="仿宋"/>
          <w:caps w:val="0"/>
          <w:smallCaps/>
          <w:sz w:val="20"/>
          <w:szCs w:val="20"/>
        </w:rPr>
        <w:fldChar w:fldCharType="separate"/>
      </w:r>
      <w:r>
        <w:rPr>
          <w:rFonts w:ascii="仿宋" w:eastAsia="仿宋"/>
          <w:caps w:val="0"/>
          <w:smallCaps/>
          <w:sz w:val="20"/>
          <w:szCs w:val="20"/>
        </w:rPr>
        <w:t>- 25 -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"_Toc14303" </w:instrText>
      </w:r>
      <w:r>
        <w:fldChar w:fldCharType="separate"/>
      </w:r>
      <w:r>
        <w:rPr>
          <w:rFonts w:ascii="仿宋" w:eastAsia="仿宋" w:hint="eastAsia"/>
          <w:caps w:val="0"/>
          <w:smallCaps/>
          <w:sz w:val="20"/>
          <w:szCs w:val="20"/>
          <w:lang w:val="zh-CN"/>
        </w:rPr>
        <w:t>附件</w:t>
      </w:r>
      <w:r>
        <w:rPr>
          <w:rFonts w:ascii="仿宋" w:eastAsia="仿宋" w:hint="eastAsia"/>
          <w:caps w:val="0"/>
          <w:smallCaps/>
          <w:sz w:val="20"/>
          <w:szCs w:val="20"/>
        </w:rPr>
        <w:t>2.茂县</w:t>
      </w:r>
      <w:r>
        <w:rPr>
          <w:rFonts w:ascii="仿宋" w:eastAsia="仿宋" w:hint="eastAsia"/>
          <w:caps w:val="0"/>
          <w:smallCaps/>
          <w:sz w:val="20"/>
          <w:szCs w:val="20"/>
          <w:lang w:eastAsia="zh-CN"/>
        </w:rPr>
        <w:t>茂县民族宗教局</w:t>
      </w:r>
      <w:r>
        <w:rPr>
          <w:rFonts w:ascii="仿宋" w:eastAsia="仿宋" w:hint="eastAsia"/>
          <w:caps w:val="0"/>
          <w:smallCaps/>
          <w:sz w:val="20"/>
          <w:szCs w:val="20"/>
        </w:rPr>
        <w:t>专项预算项目绩效评价报告</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_Toc14303 \h </w:instrText>
      </w:r>
      <w:r>
        <w:rPr>
          <w:rFonts w:ascii="仿宋" w:eastAsia="仿宋"/>
          <w:caps w:val="0"/>
          <w:smallCaps/>
          <w:sz w:val="20"/>
          <w:szCs w:val="20"/>
        </w:rPr>
        <w:fldChar w:fldCharType="separate"/>
      </w:r>
      <w:r>
        <w:rPr>
          <w:rFonts w:ascii="仿宋" w:eastAsia="仿宋"/>
          <w:caps w:val="0"/>
          <w:smallCaps/>
          <w:sz w:val="20"/>
          <w:szCs w:val="20"/>
        </w:rPr>
        <w:t>- 26 -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jc w:val="left"/>
        <w:rPr>
          <w:rFonts w:ascii="仿宋" w:eastAsia="仿宋"/>
          <w:caps w:val="0"/>
          <w:smallCaps/>
          <w:sz w:val="20"/>
          <w:szCs w:val="20"/>
        </w:rPr>
      </w:pPr>
      <w:r>
        <w:fldChar w:fldCharType="begin"/>
      </w:r>
      <w:r>
        <w:instrText xml:space="preserve"> HYPERLINK \l "_Toc6849" </w:instrText>
      </w:r>
      <w:r>
        <w:fldChar w:fldCharType="separate"/>
      </w:r>
      <w:r>
        <w:rPr>
          <w:rFonts w:ascii="仿宋" w:eastAsia="仿宋" w:hint="eastAsia"/>
          <w:caps w:val="0"/>
          <w:smallCaps/>
          <w:sz w:val="20"/>
          <w:szCs w:val="20"/>
        </w:rPr>
        <w:t>第五部分 附表</w:t>
      </w:r>
      <w:r>
        <w:rPr>
          <w:rFonts w:ascii="仿宋" w:eastAsia="仿宋"/>
          <w:caps w:val="0"/>
          <w:smallCaps/>
          <w:sz w:val="20"/>
          <w:szCs w:val="20"/>
        </w:rPr>
        <w:tab/>
      </w:r>
      <w:r>
        <w:rPr>
          <w:rFonts w:ascii="仿宋" w:eastAsia="仿宋"/>
          <w:caps w:val="0"/>
          <w:smallCaps/>
          <w:sz w:val="20"/>
          <w:szCs w:val="20"/>
        </w:rPr>
        <w:fldChar w:fldCharType="begin"/>
      </w:r>
      <w:r>
        <w:rPr>
          <w:rFonts w:ascii="仿宋" w:eastAsia="仿宋"/>
          <w:caps w:val="0"/>
          <w:smallCaps/>
          <w:sz w:val="20"/>
          <w:szCs w:val="20"/>
        </w:rPr>
        <w:instrText xml:space="preserve"> PAGEREF _Toc6849 \h </w:instrText>
      </w:r>
      <w:r>
        <w:rPr>
          <w:rFonts w:ascii="仿宋" w:eastAsia="仿宋"/>
          <w:caps w:val="0"/>
          <w:smallCaps/>
          <w:sz w:val="20"/>
          <w:szCs w:val="20"/>
        </w:rPr>
        <w:fldChar w:fldCharType="separate"/>
      </w:r>
      <w:r>
        <w:rPr>
          <w:rFonts w:ascii="仿宋" w:eastAsia="仿宋"/>
          <w:caps w:val="0"/>
          <w:smallCaps/>
          <w:sz w:val="20"/>
          <w:szCs w:val="20"/>
        </w:rPr>
        <w:t>- 35 -</w:t>
      </w:r>
      <w:r>
        <w:rPr>
          <w:rFonts w:ascii="仿宋" w:eastAsia="仿宋"/>
          <w:caps w:val="0"/>
          <w:smallCaps/>
          <w:sz w:val="20"/>
          <w:szCs w:val="20"/>
        </w:rPr>
        <w:fldChar w:fldCharType="end"/>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"_Toc636" </w:instrText>
      </w:r>
      <w:r>
        <w:fldChar w:fldCharType="separate"/>
      </w:r>
      <w:r>
        <w:rPr>
          <w:rFonts w:ascii="仿宋" w:eastAsia="仿宋" w:hint="eastAsia"/>
          <w:caps w:val="0"/>
          <w:smallCaps/>
          <w:sz w:val="20"/>
          <w:szCs w:val="20"/>
        </w:rPr>
        <w:t>一、收入支出决算总表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"_Toc3881" </w:instrText>
      </w:r>
      <w:r>
        <w:fldChar w:fldCharType="separate"/>
      </w:r>
      <w:r>
        <w:rPr>
          <w:rFonts w:ascii="仿宋" w:eastAsia="仿宋" w:hint="eastAsia"/>
          <w:caps w:val="0"/>
          <w:smallCaps/>
          <w:sz w:val="20"/>
          <w:szCs w:val="20"/>
        </w:rPr>
        <w:t>二、收入决算表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"_Toc2168" </w:instrText>
      </w:r>
      <w:r>
        <w:fldChar w:fldCharType="separate"/>
      </w:r>
      <w:r>
        <w:rPr>
          <w:rFonts w:ascii="仿宋" w:eastAsia="仿宋" w:hint="eastAsia"/>
          <w:caps w:val="0"/>
          <w:smallCaps/>
          <w:sz w:val="20"/>
          <w:szCs w:val="20"/>
        </w:rPr>
        <w:t>三、支出决算表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"_Toc15800" </w:instrText>
      </w:r>
      <w:r>
        <w:fldChar w:fldCharType="separate"/>
      </w:r>
      <w:r>
        <w:rPr>
          <w:rFonts w:ascii="仿宋" w:eastAsia="仿宋" w:hint="eastAsia"/>
          <w:caps w:val="0"/>
          <w:smallCaps/>
          <w:sz w:val="20"/>
          <w:szCs w:val="20"/>
        </w:rPr>
        <w:t>四、财政拨款收入支出决算总表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"_Toc31967" </w:instrText>
      </w:r>
      <w:r>
        <w:fldChar w:fldCharType="separate"/>
      </w:r>
      <w:r>
        <w:rPr>
          <w:rFonts w:ascii="仿宋" w:eastAsia="仿宋" w:hint="eastAsia"/>
          <w:caps w:val="0"/>
          <w:smallCaps/>
          <w:sz w:val="20"/>
          <w:szCs w:val="20"/>
        </w:rPr>
        <w:t>五、财政拨款支出决算明细表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"_Toc7015" </w:instrText>
      </w:r>
      <w:r>
        <w:fldChar w:fldCharType="separate"/>
      </w:r>
      <w:r>
        <w:rPr>
          <w:rFonts w:ascii="仿宋" w:eastAsia="仿宋" w:hint="eastAsia"/>
          <w:caps w:val="0"/>
          <w:smallCaps/>
          <w:sz w:val="20"/>
          <w:szCs w:val="20"/>
        </w:rPr>
        <w:t>六、一般公共预算财政拨款支出决算表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"_Toc457" </w:instrText>
      </w:r>
      <w:r>
        <w:fldChar w:fldCharType="separate"/>
      </w:r>
      <w:r>
        <w:rPr>
          <w:rFonts w:ascii="仿宋" w:eastAsia="仿宋" w:hint="eastAsia"/>
          <w:caps w:val="0"/>
          <w:smallCaps/>
          <w:sz w:val="20"/>
          <w:szCs w:val="20"/>
        </w:rPr>
        <w:t>七、一般公共预算财政拨款支出决算明细表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"_Toc18148" </w:instrText>
      </w:r>
      <w:r>
        <w:fldChar w:fldCharType="separate"/>
      </w:r>
      <w:r>
        <w:rPr>
          <w:rFonts w:ascii="仿宋" w:eastAsia="仿宋" w:hint="eastAsia"/>
          <w:caps w:val="0"/>
          <w:smallCaps/>
          <w:sz w:val="20"/>
          <w:szCs w:val="20"/>
        </w:rPr>
        <w:t>八、一般公共预算财政拨款基本支出决算表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"_Toc5180" </w:instrText>
      </w:r>
      <w:r>
        <w:fldChar w:fldCharType="separate"/>
      </w:r>
      <w:r>
        <w:rPr>
          <w:rFonts w:ascii="仿宋" w:eastAsia="仿宋" w:hint="eastAsia"/>
          <w:caps w:val="0"/>
          <w:smallCaps/>
          <w:sz w:val="20"/>
          <w:szCs w:val="20"/>
        </w:rPr>
        <w:t>九、一般公共预算财政拨款项目支出决算表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"_Toc1516" </w:instrText>
      </w:r>
      <w:r>
        <w:fldChar w:fldCharType="separate"/>
      </w:r>
      <w:r>
        <w:rPr>
          <w:rFonts w:ascii="仿宋" w:eastAsia="仿宋" w:hint="eastAsia"/>
          <w:caps w:val="0"/>
          <w:smallCaps/>
          <w:sz w:val="20"/>
          <w:szCs w:val="20"/>
        </w:rPr>
        <w:t>十、政府性基金预算财政拨款收入支出决算表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"_Toc21668" </w:instrText>
      </w:r>
      <w:r>
        <w:fldChar w:fldCharType="separate"/>
      </w:r>
      <w:r>
        <w:rPr>
          <w:rFonts w:ascii="仿宋" w:eastAsia="仿宋" w:hint="eastAsia"/>
          <w:caps w:val="0"/>
          <w:smallCaps/>
          <w:sz w:val="20"/>
          <w:szCs w:val="20"/>
        </w:rPr>
        <w:t>十一、国有资本经营预算财政拨款收入支出决算表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"_Toc10831" </w:instrText>
      </w:r>
      <w:r>
        <w:fldChar w:fldCharType="separate"/>
      </w:r>
      <w:r>
        <w:rPr>
          <w:rFonts w:ascii="仿宋" w:eastAsia="仿宋" w:hint="eastAsia"/>
          <w:caps w:val="0"/>
          <w:smallCaps/>
          <w:sz w:val="20"/>
          <w:szCs w:val="20"/>
        </w:rPr>
        <w:t>十二、国有资本经营预算财政拨款支出决算表</w:t>
      </w:r>
      <w:r>
        <w:rPr>
          <w:rFonts w:ascii="仿宋" w:eastAsia="仿宋"/>
          <w:caps w:val="0"/>
          <w:smallCaps/>
          <w:sz w:val="20"/>
          <w:szCs w:val="20"/>
        </w:rPr>
        <w:fldChar w:fldCharType="end"/>
      </w:r>
    </w:p>
    <w:p>
      <w:pPr>
        <w:pStyle w:val="25"/>
        <w:tabs>
          <w:tab w:val="right" w:leader="dot" w:pos="8296"/>
        </w:tabs>
        <w:ind w:leftChars="0" w:left="210" w:firstLineChars="100" w:firstLine="210"/>
        <w:jc w:val="left"/>
        <w:rPr>
          <w:rFonts w:ascii="仿宋" w:eastAsia="仿宋"/>
          <w:caps w:val="0"/>
          <w:smallCaps/>
          <w:sz w:val="20"/>
          <w:szCs w:val="20"/>
        </w:rPr>
      </w:pPr>
      <w:r>
        <w:fldChar w:fldCharType="begin"/>
      </w:r>
      <w:r>
        <w:instrText xml:space="preserve"> HYPERLINK \l "_Toc7237" </w:instrText>
      </w:r>
      <w:r>
        <w:fldChar w:fldCharType="separate"/>
      </w:r>
      <w:r>
        <w:rPr>
          <w:rFonts w:ascii="仿宋" w:eastAsia="仿宋" w:hint="eastAsia"/>
          <w:caps w:val="0"/>
          <w:smallCaps/>
          <w:sz w:val="20"/>
          <w:szCs w:val="20"/>
        </w:rPr>
        <w:t>十三、财政拨款“三公”经费支出决算表</w:t>
      </w:r>
      <w:r>
        <w:rPr>
          <w:rFonts w:ascii="仿宋" w:eastAsia="仿宋"/>
          <w:caps w:val="0"/>
          <w:smallCaps/>
          <w:sz w:val="20"/>
          <w:szCs w:val="20"/>
        </w:rPr>
        <w:fldChar w:fldCharType="end"/>
      </w:r>
    </w:p>
    <w:p>
      <w:pPr>
        <w:pStyle w:val="25"/>
        <w:tabs>
          <w:tab w:val="right" w:leader="dot" w:pos="8296"/>
        </w:tabs>
        <w:ind w:leftChars="0" w:left="210"/>
        <w:jc w:val="center"/>
        <w:rPr>
          <w:rFonts w:ascii="方正小标宋简体" w:eastAsia="方正小标宋简体" w:cs="方正小标宋简体" w:hint="eastAsia"/>
          <w:sz w:val="44"/>
          <w:szCs w:val="44"/>
        </w:rPr>
      </w:pPr>
      <w:r>
        <w:rPr>
          <w:rFonts w:ascii="仿宋" w:eastAsia="仿宋"/>
          <w:caps w:val="0"/>
          <w:smallCaps/>
          <w:sz w:val="20"/>
          <w:szCs w:val="20"/>
        </w:rPr>
        <w:fldChar w:fldCharType="end"/>
      </w:r>
      <w:bookmarkStart w:id="8" w:name="_Toc22950"/>
      <w:r>
        <w:rPr>
          <w:rFonts w:ascii="方正小标宋简体" w:eastAsia="方正小标宋简体" w:cs="方正小标宋简体" w:hint="eastAsia"/>
          <w:b w:val="0"/>
          <w:sz w:val="44"/>
          <w:szCs w:val="44"/>
        </w:rPr>
        <w:t xml:space="preserve">第一部分 </w:t>
      </w:r>
      <w:r>
        <w:rPr>
          <w:rStyle w:val="1Char"/>
          <w:rFonts w:ascii="方正小标宋简体" w:eastAsia="方正小标宋简体" w:cs="方正小标宋简体" w:hint="eastAsia"/>
          <w:b w:val="0"/>
          <w:bCs w:val="0"/>
          <w:sz w:val="44"/>
          <w:szCs w:val="44"/>
        </w:rPr>
        <w:t>部门概况</w:t>
      </w:r>
      <w:bookmarkEnd w:id="6"/>
      <w:bookmarkEnd w:id="7"/>
      <w:bookmarkEnd w:id="8"/>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ind w:left="0" w:firstLineChars="200" w:firstLine="640"/>
        <w:textAlignment w:val="auto"/>
        <w:rPr>
          <w:rFonts w:ascii="黑体" w:eastAsia="黑体"/>
          <w:b w:val="0"/>
        </w:rPr>
      </w:pPr>
      <w:bookmarkStart w:id="9" w:name="_Toc2900"/>
      <w:r>
        <w:rPr>
          <w:rFonts w:ascii="黑体" w:eastAsia="黑体" w:hint="eastAsia"/>
          <w:b w:val="0"/>
          <w:lang w:eastAsia="zh-CN"/>
        </w:rPr>
        <w:t>一、</w:t>
      </w:r>
      <w:r>
        <w:rPr>
          <w:rFonts w:ascii="黑体" w:eastAsia="黑体" w:hint="eastAsia"/>
          <w:b w:val="0"/>
        </w:rPr>
        <w:t>部门职责</w:t>
      </w:r>
      <w:bookmarkEnd w:id="9"/>
    </w:p>
    <w:p>
      <w:pPr>
        <w:pageBreakBefore w:val="0"/>
        <w:widowControl w:val="0"/>
        <w:suppressAutoHyphens/>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color w:val="000000"/>
          <w:sz w:val="32"/>
          <w:szCs w:val="32"/>
        </w:rPr>
      </w:pPr>
      <w:bookmarkStart w:id="10" w:name="_Toc15377200"/>
      <w:bookmarkStart w:id="11" w:name="_Toc6068"/>
      <w:bookmarkStart w:id="12" w:name="_Toc15396601"/>
      <w:r>
        <w:rPr>
          <w:rFonts w:ascii="仿宋_GB2312" w:eastAsia="仿宋_GB2312" w:cs="仿宋_GB2312" w:hint="eastAsia"/>
          <w:color w:val="000000"/>
          <w:sz w:val="32"/>
          <w:szCs w:val="32"/>
        </w:rPr>
        <w:t>负责贯彻执行党和政府关于民族、宗教工作的方针、政策，当好县委、县政府的民族宗教工作方面参谋助手;负责组织开展民族宗教政策、法律法规的宣传教育并督促贯彻执行。负责协调民族关系，加强民族团结进步教育，对有关宗教的法律法规和政策的贯彻实施进行行政管理和监督，确保宗教场所在法律、法规和政策允许的范围内开展活动，防止和制止不法分子利用宗教进行非法、违法活动，及时处理宗教方面等突发事件和影响社会政治稳定的问题，密切配合有关部门抵制、揭露和打击国内外敌对势力利用宗教对我县的渗透破坏活动，维护祖国统一和我县的稳定、团结、繁荣。负责加强国家和省用于扶持民族地区发展的专项资金使用和项目实施情况的检查监督，组织协调对民族地区发展，对口支援，经济技术协作和民族贸易，民族特需用品等的生产，配合承办扶贫开发事宜;负责调查全县宗教现状，掌握动态和发展趋势，及时向县政府报告并提出处理意见和建议，提供政策依据;承办县政府交办的其他工作事项。</w:t>
      </w:r>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ind w:firstLineChars="200" w:firstLine="640"/>
        <w:textAlignment w:val="auto"/>
        <w:rPr>
          <w:rStyle w:val="2Char"/>
          <w:b w:val="0"/>
          <w:bCs w:val="0"/>
        </w:rPr>
      </w:pPr>
      <w:r>
        <w:rPr>
          <w:rFonts w:ascii="黑体" w:eastAsia="黑体" w:hint="eastAsia"/>
          <w:b w:val="0"/>
        </w:rPr>
        <w:t>二、机</w:t>
      </w:r>
      <w:r>
        <w:rPr>
          <w:rStyle w:val="2Char"/>
          <w:rFonts w:ascii="黑体" w:eastAsia="黑体" w:hint="eastAsia"/>
          <w:b w:val="0"/>
          <w:bCs w:val="0"/>
        </w:rPr>
        <w:t>构设置</w:t>
      </w:r>
      <w:bookmarkEnd w:id="10"/>
      <w:bookmarkEnd w:id="11"/>
      <w:bookmarkEnd w:id="12"/>
    </w:p>
    <w:p>
      <w:pPr>
        <w:pageBreakBefore w:val="0"/>
        <w:widowControl w:val="0"/>
        <w:suppressAutoHyphens/>
        <w:kinsoku/>
        <w:wordWrap/>
        <w:overflowPunct/>
        <w:topLinePunct w:val="0"/>
        <w:autoSpaceDE/>
        <w:autoSpaceDN/>
        <w:bidi w:val="0"/>
        <w:adjustRightInd/>
        <w:snapToGrid/>
        <w:spacing w:line="576" w:lineRule="exact"/>
        <w:ind w:firstLineChars="200" w:firstLine="640"/>
        <w:textAlignment w:val="auto"/>
        <w:rPr>
          <w:rFonts w:ascii="仿宋_GB2312" w:eastAsia="仿宋_GB2312" w:cs="仿宋_GB2312" w:hint="eastAsia"/>
          <w:color w:val="000000"/>
          <w:sz w:val="32"/>
          <w:szCs w:val="32"/>
        </w:rPr>
      </w:pPr>
      <w:r>
        <w:rPr>
          <w:rFonts w:ascii="仿宋_GB2312" w:eastAsia="仿宋_GB2312" w:cs="仿宋_GB2312" w:hint="eastAsia"/>
          <w:color w:val="000000"/>
          <w:sz w:val="32"/>
          <w:szCs w:val="32"/>
        </w:rPr>
        <w:t>茂县民族宗教局</w:t>
      </w:r>
      <w:r>
        <w:rPr>
          <w:rFonts w:ascii="仿宋" w:eastAsia="仿宋"/>
          <w:color w:val="000000"/>
          <w:sz w:val="32"/>
          <w:szCs w:val="32"/>
        </w:rPr>
        <w:t>下属二级单位2个，其中行政单位1个，参照公务员法管理的事业单位0个，其他事业单位1个。</w:t>
      </w:r>
      <w:r>
        <w:rPr>
          <w:rFonts w:ascii="仿宋_GB2312" w:eastAsia="仿宋_GB2312" w:cs="仿宋_GB2312" w:hint="eastAsia"/>
          <w:color w:val="000000"/>
          <w:sz w:val="32"/>
          <w:szCs w:val="32"/>
        </w:rPr>
        <w:t>。</w:t>
      </w:r>
    </w:p>
    <w:p>
      <w:pPr>
        <w:spacing w:line="576" w:lineRule="exact"/>
        <w:rPr>
          <w:rFonts w:ascii="仿宋_GB2312" w:eastAsia="仿宋_GB2312" w:cs="仿宋_GB2312" w:hint="eastAsia"/>
          <w:color w:val="000000"/>
          <w:sz w:val="32"/>
          <w:szCs w:val="32"/>
        </w:rPr>
      </w:pPr>
      <w:r>
        <w:rPr>
          <w:rFonts w:ascii="仿宋_GB2312" w:eastAsia="仿宋_GB2312" w:cs="仿宋_GB2312" w:hint="eastAsia"/>
          <w:color w:val="000000"/>
          <w:sz w:val="32"/>
          <w:szCs w:val="32"/>
        </w:rPr>
        <w:t xml:space="preserve">    纳入茂县民族宗教局2023年度部门决算编制范围的二级预算单位包括：</w:t>
      </w:r>
    </w:p>
    <w:p>
      <w:pPr>
        <w:keepNext w:val="0"/>
        <w:keepLines w:val="0"/>
        <w:pageBreakBefore w:val="0"/>
        <w:widowControl w:val="0"/>
        <w:suppressAutoHyphens/>
        <w:kinsoku/>
        <w:wordWrap/>
        <w:overflowPunct/>
        <w:topLinePunct w:val="0"/>
        <w:autoSpaceDE/>
        <w:autoSpaceDN/>
        <w:bidi w:val="0"/>
        <w:adjustRightInd/>
        <w:snapToGrid/>
        <w:spacing w:line="576" w:lineRule="exact"/>
        <w:textAlignment w:val="auto"/>
        <w:rPr>
          <w:rFonts w:ascii="仿宋_GB2312" w:eastAsia="仿宋_GB2312" w:cs="仿宋_GB2312" w:hint="eastAsia"/>
          <w:color w:val="000000"/>
          <w:sz w:val="32"/>
          <w:szCs w:val="32"/>
        </w:rPr>
      </w:pPr>
      <w:r>
        <w:rPr>
          <w:rFonts w:ascii="仿宋" w:eastAsia="仿宋" w:hint="eastAsia"/>
          <w:color w:val="000000"/>
          <w:sz w:val="32"/>
          <w:szCs w:val="32"/>
        </w:rPr>
        <w:t xml:space="preserve"> </w:t>
      </w:r>
      <w:r>
        <w:rPr>
          <w:rFonts w:ascii="仿宋_GB2312" w:eastAsia="仿宋_GB2312" w:cs="仿宋_GB2312" w:hint="eastAsia"/>
          <w:color w:val="000000"/>
          <w:sz w:val="32"/>
          <w:szCs w:val="32"/>
        </w:rPr>
        <w:t xml:space="preserve"> （1）茂县民族宗教局</w:t>
      </w:r>
      <w:r>
        <w:rPr>
          <w:rFonts w:ascii="仿宋_GB2312" w:eastAsia="仿宋_GB2312" w:cs="仿宋_GB2312"/>
          <w:color w:val="000000"/>
          <w:sz w:val="32"/>
          <w:szCs w:val="32"/>
        </w:rPr>
        <w:t>（行政）</w:t>
      </w:r>
    </w:p>
    <w:p>
      <w:pPr>
        <w:keepNext w:val="0"/>
        <w:keepLines w:val="0"/>
        <w:pageBreakBefore w:val="0"/>
        <w:widowControl w:val="0"/>
        <w:suppressAutoHyphens/>
        <w:kinsoku/>
        <w:wordWrap/>
        <w:overflowPunct/>
        <w:topLinePunct w:val="0"/>
        <w:autoSpaceDE/>
        <w:autoSpaceDN/>
        <w:bidi w:val="0"/>
        <w:adjustRightInd/>
        <w:snapToGrid/>
        <w:spacing w:line="576" w:lineRule="exact"/>
        <w:textAlignment w:val="auto"/>
        <w:rPr>
          <w:rFonts w:ascii="仿宋_GB2312" w:eastAsia="仿宋_GB2312" w:cs="仿宋_GB2312" w:hint="eastAsia"/>
          <w:sz w:val="32"/>
          <w:szCs w:val="32"/>
        </w:rPr>
      </w:pPr>
      <w:r>
        <w:rPr>
          <w:rFonts w:ascii="仿宋_GB2312" w:eastAsia="仿宋_GB2312" w:cs="仿宋_GB2312" w:hint="eastAsia"/>
          <w:color w:val="000000"/>
          <w:sz w:val="32"/>
          <w:szCs w:val="32"/>
        </w:rPr>
        <w:t xml:space="preserve">  （2）茂县民族团结服务中心</w:t>
      </w:r>
    </w:p>
    <w:p>
      <w:pPr>
        <w:pStyle w:val="1"/>
        <w:ind w:right="440"/>
        <w:jc w:val="center"/>
        <w:rPr>
          <w:rFonts w:ascii="方正小标宋简体" w:eastAsia="方正小标宋简体" w:cs="方正小标宋简体" w:hint="eastAsia"/>
          <w:sz w:val="44"/>
          <w:szCs w:val="44"/>
        </w:rPr>
      </w:pPr>
      <w:bookmarkStart w:id="13" w:name="_Toc15396602"/>
      <w:bookmarkStart w:id="14" w:name="_Toc27273"/>
      <w:bookmarkStart w:id="15" w:name="_Toc15377204"/>
      <w:r>
        <w:rPr>
          <w:rFonts w:ascii="方正小标宋简体" w:eastAsia="方正小标宋简体" w:cs="方正小标宋简体" w:hint="eastAsia"/>
          <w:b w:val="0"/>
          <w:sz w:val="44"/>
          <w:szCs w:val="44"/>
        </w:rPr>
        <w:t>第二部分 2023年度</w:t>
      </w:r>
      <w:r>
        <w:rPr>
          <w:rStyle w:val="1Char"/>
          <w:rFonts w:ascii="方正小标宋简体" w:eastAsia="方正小标宋简体" w:cs="方正小标宋简体" w:hint="eastAsia"/>
          <w:b w:val="0"/>
          <w:bCs w:val="0"/>
          <w:sz w:val="44"/>
          <w:szCs w:val="44"/>
        </w:rPr>
        <w:t>部门决算情况说明</w:t>
      </w:r>
      <w:bookmarkEnd w:id="13"/>
      <w:bookmarkEnd w:id="14"/>
      <w:bookmarkEnd w:id="15"/>
    </w:p>
    <w:p>
      <w:pPr>
        <w:pStyle w:val="36"/>
        <w:spacing w:line="600" w:lineRule="exact"/>
        <w:ind w:left="640"/>
        <w:outlineLvl w:val="1"/>
        <w:rPr>
          <w:rStyle w:val="2Char"/>
          <w:rFonts w:ascii="黑体" w:eastAsia="黑体"/>
          <w:b w:val="0"/>
        </w:rPr>
      </w:pPr>
      <w:bookmarkStart w:id="16" w:name="_Toc15377205"/>
      <w:bookmarkStart w:id="17" w:name="_Toc15396603"/>
      <w:bookmarkStart w:id="18" w:name="_Toc13727"/>
      <w:r>
        <w:rPr>
          <w:rFonts w:ascii="黑体" w:eastAsia="黑体" w:hint="eastAsia"/>
          <w:sz w:val="32"/>
          <w:szCs w:val="32"/>
          <w:lang w:eastAsia="zh-CN"/>
        </w:rPr>
        <w:t>一、</w:t>
      </w:r>
      <w:r>
        <w:rPr>
          <w:rFonts w:ascii="黑体" w:eastAsia="黑体" w:hint="eastAsia"/>
          <w:sz w:val="32"/>
          <w:szCs w:val="32"/>
        </w:rPr>
        <w:t>收</w:t>
      </w:r>
      <w:r>
        <w:rPr>
          <w:rStyle w:val="2Char"/>
          <w:rFonts w:ascii="黑体" w:eastAsia="黑体" w:hint="eastAsia"/>
          <w:b w:val="0"/>
        </w:rPr>
        <w:t>入支出决算总体情况说明</w:t>
      </w:r>
      <w:bookmarkEnd w:id="16"/>
      <w:bookmarkEnd w:id="17"/>
      <w:bookmarkEnd w:id="18"/>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2023年度收、支总计均为1,295.88万元。与2022年度相比，收、支总计各增加481.62万元，增加59.14%。主要变动原因是人数增加，项目投资增加。</w:t>
      </w:r>
    </w:p>
    <w:p>
      <w:pPr>
        <w:pStyle w:val="18"/>
        <w:rPr>
          <w:rFonts w:ascii="仿宋" w:eastAsia="仿宋"/>
          <w:sz w:val="32"/>
          <w:szCs w:val="32"/>
        </w:rPr>
      </w:pPr>
      <w:r>
        <w:rPr>
          <w:rFonts w:ascii="仿宋" w:eastAsia="仿宋" w:hint="eastAsia"/>
          <w:sz w:val="32"/>
          <w:szCs w:val="32"/>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style="width:394.45pt;height:233.75pt;" o:ole="">
            <v:stroke color="#000000"/>
            <v:imagedata r:id="rId3" o:title="5"/>
            <o:lock aspectratio="t"/>
            <w10:anchorLock/>
          </v:shape>
          <o:OLEObject Type="Embed" ProgID="Package" ShapeID="_x0000_i1" DrawAspect="Content" ObjectID="_1393063351" r:id="rId4"/>
        </w:object>
      </w:r>
    </w:p>
    <w:p>
      <w:pPr>
        <w:pStyle w:val="15"/>
        <w:ind w:leftChars="0" w:left="0" w:firstLineChars="0" w:firstLine="0"/>
        <w:rPr>
          <w:rFonts w:ascii="仿宋_GB2312" w:eastAsia="仿宋_GB2312" w:cs="仿宋_GB2312" w:hint="eastAsia"/>
          <w:sz w:val="32"/>
          <w:szCs w:val="32"/>
        </w:rPr>
      </w:pPr>
      <w:r>
        <w:rPr>
          <w:rFonts w:ascii="仿宋_GB2312" w:eastAsia="仿宋_GB2312" w:cs="仿宋_GB2312" w:hint="eastAsia"/>
          <w:sz w:val="32"/>
          <w:szCs w:val="32"/>
        </w:rPr>
        <w:t>（图1：收、支决算总计变动情况图）（柱状图）单位:万元</w:t>
      </w:r>
    </w:p>
    <w:p>
      <w:pPr>
        <w:pStyle w:val="36"/>
        <w:spacing w:line="600" w:lineRule="exact"/>
        <w:ind w:left="640"/>
        <w:outlineLvl w:val="1"/>
        <w:rPr>
          <w:rStyle w:val="2Char"/>
          <w:rFonts w:ascii="黑体" w:eastAsia="黑体"/>
          <w:b w:val="0"/>
        </w:rPr>
      </w:pPr>
      <w:bookmarkStart w:id="19" w:name="_Toc15377206"/>
      <w:bookmarkStart w:id="20" w:name="_Toc15396604"/>
      <w:bookmarkStart w:id="21" w:name="_Toc18258"/>
      <w:r>
        <w:rPr>
          <w:rFonts w:ascii="黑体" w:eastAsia="黑体" w:hint="eastAsia"/>
          <w:sz w:val="32"/>
          <w:szCs w:val="32"/>
          <w:lang w:eastAsia="zh-CN"/>
        </w:rPr>
        <w:t>二、</w:t>
      </w:r>
      <w:r>
        <w:rPr>
          <w:rFonts w:ascii="黑体" w:eastAsia="黑体" w:hint="eastAsia"/>
          <w:sz w:val="32"/>
          <w:szCs w:val="32"/>
        </w:rPr>
        <w:t>收</w:t>
      </w:r>
      <w:r>
        <w:rPr>
          <w:rStyle w:val="2Char"/>
          <w:rFonts w:ascii="黑体" w:eastAsia="黑体" w:hint="eastAsia"/>
          <w:b w:val="0"/>
        </w:rPr>
        <w:t>入决算情况说明</w:t>
      </w:r>
      <w:bookmarkEnd w:id="19"/>
      <w:bookmarkEnd w:id="20"/>
      <w:bookmarkEnd w:id="21"/>
    </w:p>
    <w:p>
      <w:pPr>
        <w:spacing w:line="600" w:lineRule="exact"/>
        <w:ind w:firstLineChars="200" w:firstLine="640"/>
        <w:outlineLvl w:val="1"/>
        <w:rPr>
          <w:rFonts w:ascii="仿宋_GB2312" w:eastAsia="仿宋_GB2312" w:cs="仿宋_GB2312" w:hint="eastAsia"/>
          <w:sz w:val="32"/>
          <w:szCs w:val="32"/>
        </w:rPr>
      </w:pPr>
      <w:bookmarkStart w:id="22" w:name="_Toc16457"/>
      <w:r>
        <w:rPr>
          <w:rFonts w:ascii="仿宋_GB2312" w:eastAsia="仿宋_GB2312" w:cs="仿宋_GB2312" w:hint="eastAsia"/>
          <w:sz w:val="32"/>
          <w:szCs w:val="32"/>
        </w:rPr>
        <w:t>2023年度本年收入合计1,295.88万元，其中：一般公共预算财政拨款收入1,295.88万元，占100%；政府性基金预算财政拨款收入0万元，占0%。</w:t>
      </w:r>
      <w:bookmarkEnd w:id="22"/>
    </w:p>
    <w:p>
      <w:pPr>
        <w:pStyle w:val="18"/>
        <w:rPr>
          <w:rFonts w:ascii="仿宋" w:eastAsia="仿宋"/>
          <w:sz w:val="32"/>
          <w:szCs w:val="32"/>
        </w:rPr>
      </w:pPr>
    </w:p>
    <w:p>
      <w:pPr>
        <w:pStyle w:val="18"/>
        <w:rPr>
          <w:rFonts w:ascii="仿宋" w:eastAsia="仿宋"/>
          <w:sz w:val="32"/>
          <w:szCs w:val="32"/>
        </w:rPr>
      </w:pPr>
      <w:r>
        <w:rPr>
          <w:rFonts w:ascii="仿宋" w:eastAsia="仿宋" w:hint="eastAsia"/>
          <w:sz w:val="32"/>
          <w:szCs w:val="32"/>
        </w:rPr>
        <w:object>
          <v:shape id="_x0000_i2" type="#_x0000_t75" filled="f" stroked="f" style="width:374.6pt;height:238.95001pt;" o:ole="">
            <v:stroke color="#000000"/>
            <v:imagedata r:id="rId5" o:title="7"/>
            <o:lock aspectratio="t"/>
            <w10:anchorLock/>
          </v:shape>
          <o:OLEObject Type="Embed" ProgID="Package" ShapeID="_x0000_i2" DrawAspect="Content" ObjectID="_1393063352" r:id="rId6"/>
        </w:object>
      </w:r>
    </w:p>
    <w:p>
      <w:pPr>
        <w:spacing w:line="600" w:lineRule="exact"/>
        <w:rPr>
          <w:rFonts w:ascii="仿宋_GB2312" w:eastAsia="仿宋_GB2312" w:cs="仿宋_GB2312" w:hint="eastAsia"/>
          <w:sz w:val="32"/>
          <w:szCs w:val="32"/>
        </w:rPr>
      </w:pPr>
      <w:r>
        <w:rPr>
          <w:rFonts w:ascii="仿宋_GB2312" w:eastAsia="仿宋_GB2312" w:cs="仿宋_GB2312" w:hint="eastAsia"/>
          <w:sz w:val="32"/>
          <w:szCs w:val="32"/>
        </w:rPr>
        <w:t>（图2：收入决算结构图）（饼状图）单位:万元</w:t>
      </w:r>
    </w:p>
    <w:p>
      <w:pPr>
        <w:pStyle w:val="36"/>
        <w:spacing w:line="600" w:lineRule="exact"/>
        <w:ind w:left="630"/>
        <w:outlineLvl w:val="1"/>
        <w:rPr>
          <w:rStyle w:val="2Char"/>
          <w:rFonts w:ascii="黑体" w:eastAsia="黑体"/>
          <w:b w:val="0"/>
        </w:rPr>
      </w:pPr>
      <w:bookmarkStart w:id="23" w:name="_Toc15377207"/>
      <w:bookmarkStart w:id="24" w:name="_Toc15396605"/>
      <w:bookmarkStart w:id="25" w:name="_Toc30305"/>
      <w:r>
        <w:rPr>
          <w:rFonts w:ascii="黑体" w:eastAsia="黑体" w:hint="eastAsia"/>
          <w:sz w:val="32"/>
          <w:szCs w:val="32"/>
          <w:lang w:eastAsia="zh-CN"/>
        </w:rPr>
        <w:t>三、</w:t>
      </w:r>
      <w:r>
        <w:rPr>
          <w:rFonts w:ascii="黑体" w:eastAsia="黑体" w:hint="eastAsia"/>
          <w:sz w:val="32"/>
          <w:szCs w:val="32"/>
        </w:rPr>
        <w:t>支</w:t>
      </w:r>
      <w:r>
        <w:rPr>
          <w:rStyle w:val="2Char"/>
          <w:rFonts w:ascii="黑体" w:eastAsia="黑体" w:hint="eastAsia"/>
          <w:b w:val="0"/>
        </w:rPr>
        <w:t>出决算情况说明</w:t>
      </w:r>
      <w:bookmarkEnd w:id="23"/>
      <w:bookmarkEnd w:id="24"/>
      <w:bookmarkEnd w:id="25"/>
    </w:p>
    <w:p>
      <w:pPr>
        <w:spacing w:line="600" w:lineRule="exact"/>
        <w:ind w:firstLineChars="200" w:firstLine="640"/>
        <w:outlineLvl w:val="1"/>
        <w:rPr>
          <w:rFonts w:ascii="仿宋_GB2312" w:eastAsia="仿宋_GB2312" w:cs="仿宋_GB2312" w:hint="eastAsia"/>
          <w:sz w:val="32"/>
          <w:szCs w:val="32"/>
        </w:rPr>
      </w:pPr>
      <w:bookmarkStart w:id="26" w:name="_Toc12179"/>
      <w:r>
        <w:rPr>
          <w:rFonts w:ascii="仿宋_GB2312" w:eastAsia="仿宋_GB2312" w:cs="仿宋_GB2312" w:hint="eastAsia"/>
          <w:sz w:val="32"/>
          <w:szCs w:val="32"/>
        </w:rPr>
        <w:t>2023年度本年支出合计1,295.88万元，其中：基本支出293.54万元，占23%；项目支出1,002.34万元，占77%；</w:t>
      </w:r>
      <w:bookmarkEnd w:id="26"/>
    </w:p>
    <w:p>
      <w:pPr>
        <w:pStyle w:val="18"/>
      </w:pPr>
      <w:r>
        <w:rPr>
          <w:rFonts w:ascii="仿宋" w:eastAsia="仿宋" w:hint="eastAsia"/>
          <w:sz w:val="32"/>
          <w:szCs w:val="32"/>
        </w:rPr>
        <w:object>
          <v:shape id="_x0000_i3" type="#_x0000_t75" filled="f" stroked="f" style="width:370.45pt;height:241.05pt;" o:ole="">
            <v:stroke color="#000000"/>
            <v:imagedata r:id="rId7" o:title="9"/>
            <o:lock aspectratio="t"/>
            <w10:anchorLock/>
          </v:shape>
          <o:OLEObject Type="Embed" ProgID="Package" ShapeID="_x0000_i3" DrawAspect="Content" ObjectID="_1393063353" r:id="rId8"/>
        </w:object>
      </w:r>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（图3：支出决算结构图）（饼状图）单位：万元</w:t>
      </w:r>
    </w:p>
    <w:p>
      <w:pPr>
        <w:spacing w:line="600" w:lineRule="exact"/>
        <w:ind w:firstLineChars="200" w:firstLine="640"/>
        <w:outlineLvl w:val="1"/>
        <w:rPr>
          <w:rStyle w:val="2Char"/>
          <w:rFonts w:ascii="黑体" w:eastAsia="黑体"/>
          <w:b w:val="0"/>
        </w:rPr>
      </w:pPr>
      <w:bookmarkStart w:id="27" w:name="_Toc15396606"/>
      <w:bookmarkStart w:id="28" w:name="_Toc15377208"/>
      <w:bookmarkStart w:id="29" w:name="_Toc30273"/>
      <w:r>
        <w:rPr>
          <w:rFonts w:ascii="黑体" w:eastAsia="黑体" w:hint="eastAsia"/>
          <w:sz w:val="32"/>
          <w:szCs w:val="32"/>
        </w:rPr>
        <w:t>四、财</w:t>
      </w:r>
      <w:r>
        <w:rPr>
          <w:rStyle w:val="2Char"/>
          <w:rFonts w:ascii="黑体" w:eastAsia="黑体" w:hint="eastAsia"/>
          <w:b w:val="0"/>
        </w:rPr>
        <w:t>政拨款收入支出决算总体情况说明</w:t>
      </w:r>
      <w:bookmarkEnd w:id="27"/>
      <w:bookmarkEnd w:id="28"/>
      <w:bookmarkEnd w:id="29"/>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2023年度财政拨款收、支总计均为1,295.88万元。与2022年度相比，财政拨款收、支总计各增加481.62万元，增长59.14%。主要变动原因是人数增加，项目投资增加。</w:t>
      </w:r>
    </w:p>
    <w:p>
      <w:pPr>
        <w:pStyle w:val="18"/>
      </w:pPr>
      <w:r>
        <w:rPr>
          <w:rFonts w:ascii="仿宋" w:eastAsia="仿宋" w:hint="eastAsia"/>
          <w:sz w:val="32"/>
          <w:szCs w:val="32"/>
        </w:rPr>
        <w:object>
          <v:shape id="_x0000_i4" type="#_x0000_t75" filled="f" stroked="f" style="width:392.35pt;height:230.59999pt;" o:ole="">
            <v:stroke color="#000000"/>
            <v:imagedata r:id="rId9" o:title="11"/>
            <o:lock aspectratio="t"/>
            <w10:anchorLock/>
          </v:shape>
          <o:OLEObject Type="Embed" ProgID="Package" ShapeID="_x0000_i4" DrawAspect="Content" ObjectID="_1393063354" r:id="rId10"/>
        </w:object>
      </w:r>
    </w:p>
    <w:p>
      <w:pPr>
        <w:spacing w:line="600" w:lineRule="exact"/>
        <w:ind w:leftChars="456" w:left="2878" w:hangingChars="600" w:hanging="1920"/>
        <w:rPr>
          <w:rFonts w:ascii="仿宋_GB2312" w:eastAsia="仿宋_GB2312" w:cs="仿宋_GB2312" w:hint="eastAsia"/>
          <w:sz w:val="32"/>
          <w:szCs w:val="32"/>
        </w:rPr>
      </w:pPr>
      <w:r>
        <w:rPr>
          <w:rFonts w:ascii="仿宋_GB2312" w:eastAsia="仿宋_GB2312" w:cs="仿宋_GB2312" w:hint="eastAsia"/>
          <w:sz w:val="32"/>
          <w:szCs w:val="32"/>
        </w:rPr>
        <w:t>（图4：财政拨款收、支决算总计变动情况）</w:t>
      </w:r>
    </w:p>
    <w:p>
      <w:pPr>
        <w:spacing w:line="600" w:lineRule="exact"/>
        <w:ind w:firstLineChars="300" w:firstLine="960"/>
        <w:rPr>
          <w:rFonts w:ascii="仿宋_GB2312" w:eastAsia="仿宋_GB2312" w:cs="仿宋_GB2312" w:hint="eastAsia"/>
          <w:b/>
          <w:sz w:val="32"/>
          <w:szCs w:val="32"/>
        </w:rPr>
      </w:pPr>
      <w:r>
        <w:rPr>
          <w:rFonts w:ascii="仿宋_GB2312" w:eastAsia="仿宋_GB2312" w:cs="仿宋_GB2312" w:hint="eastAsia"/>
          <w:sz w:val="32"/>
          <w:szCs w:val="32"/>
        </w:rPr>
        <w:t>（柱状图）                   单位：万元</w:t>
      </w:r>
    </w:p>
    <w:p>
      <w:pPr>
        <w:spacing w:line="600" w:lineRule="exact"/>
        <w:ind w:firstLineChars="200" w:firstLine="640"/>
        <w:outlineLvl w:val="1"/>
        <w:rPr>
          <w:rStyle w:val="2Char"/>
          <w:rFonts w:ascii="黑体" w:eastAsia="黑体"/>
          <w:b w:val="0"/>
        </w:rPr>
      </w:pPr>
      <w:bookmarkStart w:id="30" w:name="_Toc32091"/>
      <w:bookmarkStart w:id="31" w:name="_Toc15377209"/>
      <w:bookmarkStart w:id="32" w:name="_Toc15396607"/>
      <w:r>
        <w:rPr>
          <w:rFonts w:ascii="黑体" w:eastAsia="黑体" w:hint="eastAsia"/>
          <w:sz w:val="32"/>
          <w:szCs w:val="32"/>
        </w:rPr>
        <w:t>五、</w:t>
      </w:r>
      <w:r>
        <w:rPr>
          <w:rFonts w:ascii="黑体" w:eastAsia="黑体" w:hint="eastAsia"/>
          <w:b/>
          <w:sz w:val="32"/>
          <w:szCs w:val="32"/>
        </w:rPr>
        <w:t>一</w:t>
      </w:r>
      <w:r>
        <w:rPr>
          <w:rStyle w:val="2Char"/>
          <w:rFonts w:ascii="黑体" w:eastAsia="黑体" w:hint="eastAsia"/>
          <w:b w:val="0"/>
        </w:rPr>
        <w:t>般公共预算财政拨款支出决算情况说明</w:t>
      </w:r>
      <w:bookmarkEnd w:id="30"/>
      <w:bookmarkEnd w:id="31"/>
      <w:bookmarkEnd w:id="32"/>
    </w:p>
    <w:p>
      <w:pPr>
        <w:spacing w:line="600" w:lineRule="exact"/>
        <w:ind w:firstLineChars="200" w:firstLine="640"/>
        <w:outlineLvl w:val="2"/>
        <w:rPr>
          <w:rFonts w:ascii="楷体_GB2312" w:eastAsia="楷体_GB2312" w:cs="楷体_GB2312" w:hint="eastAsia"/>
          <w:b/>
          <w:sz w:val="32"/>
          <w:szCs w:val="32"/>
        </w:rPr>
      </w:pPr>
      <w:bookmarkStart w:id="33" w:name="_Toc15377210"/>
      <w:r>
        <w:rPr>
          <w:rFonts w:ascii="楷体_GB2312" w:eastAsia="楷体_GB2312" w:cs="楷体_GB2312" w:hint="eastAsia"/>
          <w:b/>
          <w:sz w:val="32"/>
          <w:szCs w:val="32"/>
        </w:rPr>
        <w:t>（一）一般公共预算财政拨款支出决算总体情况</w:t>
      </w:r>
      <w:bookmarkEnd w:id="33"/>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2023年度一般公共预算财政拨款支出1,295.88万元，占本年支出合计的100%。与2022年度相比，一般公共预算财政拨款支出增加481.62万元，增长59.14%。主要变动原因是主要变动原因是人数增加，项目投资增加。</w:t>
      </w:r>
    </w:p>
    <w:p>
      <w:pPr>
        <w:pStyle w:val="15"/>
        <w:ind w:leftChars="0" w:left="0" w:firstLineChars="0" w:firstLine="0"/>
      </w:pPr>
      <w:r>
        <w:rPr>
          <w:rFonts w:ascii="仿宋" w:eastAsia="仿宋" w:hint="eastAsia"/>
          <w:sz w:val="32"/>
          <w:szCs w:val="32"/>
        </w:rPr>
        <w:object>
          <v:shape id="_x0000_i5" type="#_x0000_t75" filled="f" stroked="f" style="width:397.55pt;height:222.25002pt;" o:ole="">
            <v:stroke color="#000000"/>
            <v:imagedata r:id="rId11" o:title="13"/>
            <o:lock aspectratio="t"/>
            <w10:anchorLock/>
          </v:shape>
          <o:OLEObject Type="Embed" ProgID="Package" ShapeID="_x0000_i5" DrawAspect="Content" ObjectID="_1393063355" r:id="rId12"/>
        </w:object>
      </w:r>
    </w:p>
    <w:p>
      <w:pPr>
        <w:spacing w:line="600" w:lineRule="exact"/>
        <w:ind w:firstLineChars="100" w:firstLine="320"/>
        <w:rPr>
          <w:rFonts w:ascii="仿宋_GB2312" w:eastAsia="仿宋_GB2312" w:cs="仿宋_GB2312" w:hint="eastAsia"/>
          <w:sz w:val="32"/>
          <w:szCs w:val="32"/>
        </w:rPr>
      </w:pPr>
      <w:r>
        <w:rPr>
          <w:rFonts w:ascii="仿宋_GB2312" w:eastAsia="仿宋_GB2312" w:cs="仿宋_GB2312" w:hint="eastAsia"/>
          <w:sz w:val="32"/>
          <w:szCs w:val="32"/>
        </w:rPr>
        <w:t>（图5：一般公共预算财政拨款支出决算变动情况）</w:t>
      </w:r>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（柱状图）                     单位：万元</w:t>
      </w:r>
    </w:p>
    <w:p>
      <w:pPr>
        <w:spacing w:line="600" w:lineRule="exact"/>
        <w:ind w:firstLineChars="200" w:firstLine="640"/>
        <w:outlineLvl w:val="2"/>
        <w:rPr>
          <w:rFonts w:ascii="楷体_GB2312" w:eastAsia="楷体_GB2312" w:cs="楷体_GB2312" w:hint="eastAsia"/>
          <w:b/>
          <w:sz w:val="32"/>
          <w:szCs w:val="32"/>
        </w:rPr>
      </w:pPr>
      <w:bookmarkStart w:id="34" w:name="_Toc15377211"/>
      <w:r>
        <w:rPr>
          <w:rFonts w:ascii="楷体_GB2312" w:eastAsia="楷体_GB2312" w:cs="楷体_GB2312" w:hint="eastAsia"/>
          <w:b/>
          <w:sz w:val="32"/>
          <w:szCs w:val="32"/>
        </w:rPr>
        <w:t>（二）一般公共预算财政拨款支出决算结构情况</w:t>
      </w:r>
      <w:bookmarkEnd w:id="34"/>
    </w:p>
    <w:p>
      <w:pPr>
        <w:spacing w:line="600" w:lineRule="exact"/>
        <w:ind w:firstLine="640"/>
        <w:rPr>
          <w:rFonts w:ascii="仿宋_GB2312" w:eastAsia="仿宋_GB2312" w:cs="仿宋_GB2312" w:hint="eastAsia"/>
          <w:sz w:val="32"/>
          <w:szCs w:val="32"/>
        </w:rPr>
      </w:pPr>
      <w:r>
        <w:rPr>
          <w:rFonts w:ascii="仿宋_GB2312" w:eastAsia="仿宋_GB2312" w:cs="仿宋_GB2312" w:hint="eastAsia"/>
          <w:sz w:val="32"/>
          <w:szCs w:val="32"/>
        </w:rPr>
        <w:t>2023年度一般公共预算财政拨款支出1,295.88万元，主要用于以下方面:</w:t>
      </w:r>
      <w:r>
        <w:rPr>
          <w:rFonts w:ascii="仿宋_GB2312" w:eastAsia="仿宋_GB2312" w:cs="仿宋_GB2312" w:hint="eastAsia"/>
          <w:b/>
          <w:sz w:val="32"/>
          <w:szCs w:val="32"/>
        </w:rPr>
        <w:t>一般公共服务</w:t>
      </w:r>
      <w:r>
        <w:rPr>
          <w:rFonts w:ascii="仿宋_GB2312" w:eastAsia="仿宋_GB2312" w:cs="仿宋_GB2312" w:hint="eastAsia"/>
          <w:b/>
          <w:bCs/>
          <w:sz w:val="32"/>
          <w:szCs w:val="32"/>
        </w:rPr>
        <w:t>支出</w:t>
      </w:r>
      <w:r>
        <w:rPr>
          <w:rFonts w:ascii="仿宋_GB2312" w:eastAsia="仿宋_GB2312" w:cs="仿宋_GB2312" w:hint="eastAsia"/>
          <w:sz w:val="32"/>
          <w:szCs w:val="32"/>
        </w:rPr>
        <w:t>240.56万元，占18.56%；</w:t>
      </w:r>
      <w:r>
        <w:rPr>
          <w:rFonts w:ascii="仿宋_GB2312" w:eastAsia="仿宋_GB2312" w:cs="仿宋_GB2312" w:hint="eastAsia"/>
          <w:b/>
          <w:sz w:val="32"/>
          <w:szCs w:val="32"/>
        </w:rPr>
        <w:t>社会保障和就业</w:t>
      </w:r>
      <w:r>
        <w:rPr>
          <w:rFonts w:ascii="仿宋_GB2312" w:eastAsia="仿宋_GB2312" w:cs="仿宋_GB2312" w:hint="eastAsia"/>
          <w:b/>
          <w:bCs/>
          <w:sz w:val="32"/>
          <w:szCs w:val="32"/>
        </w:rPr>
        <w:t>支出</w:t>
      </w:r>
      <w:r>
        <w:rPr>
          <w:rFonts w:ascii="仿宋_GB2312" w:eastAsia="仿宋_GB2312" w:cs="仿宋_GB2312" w:hint="eastAsia"/>
          <w:b w:val="0"/>
          <w:bCs w:val="0"/>
          <w:sz w:val="32"/>
          <w:szCs w:val="32"/>
        </w:rPr>
        <w:t>40.4</w:t>
      </w:r>
      <w:r>
        <w:rPr>
          <w:rFonts w:ascii="仿宋_GB2312" w:eastAsia="仿宋_GB2312" w:cs="仿宋_GB2312" w:hint="eastAsia"/>
          <w:sz w:val="32"/>
          <w:szCs w:val="32"/>
        </w:rPr>
        <w:t>万元，占3.12%；</w:t>
      </w:r>
      <w:r>
        <w:rPr>
          <w:rFonts w:ascii="仿宋_GB2312" w:eastAsia="仿宋_GB2312" w:cs="仿宋_GB2312" w:hint="eastAsia"/>
          <w:b/>
          <w:bCs/>
          <w:sz w:val="32"/>
          <w:szCs w:val="32"/>
        </w:rPr>
        <w:t>卫生健康支出</w:t>
      </w:r>
      <w:r>
        <w:rPr>
          <w:rFonts w:ascii="仿宋_GB2312" w:eastAsia="仿宋_GB2312" w:cs="仿宋_GB2312" w:hint="eastAsia"/>
          <w:sz w:val="32"/>
          <w:szCs w:val="32"/>
        </w:rPr>
        <w:t>16.01万元，占1.24%；</w:t>
      </w:r>
      <w:r>
        <w:rPr>
          <w:rFonts w:ascii="仿宋_GB2312" w:eastAsia="仿宋_GB2312" w:cs="仿宋_GB2312" w:hint="eastAsia"/>
          <w:b/>
          <w:bCs/>
          <w:sz w:val="32"/>
          <w:szCs w:val="32"/>
        </w:rPr>
        <w:t>住房保障支出</w:t>
      </w:r>
      <w:r>
        <w:rPr>
          <w:rFonts w:ascii="仿宋_GB2312" w:eastAsia="仿宋_GB2312" w:cs="仿宋_GB2312" w:hint="eastAsia"/>
          <w:sz w:val="32"/>
          <w:szCs w:val="32"/>
        </w:rPr>
        <w:t xml:space="preserve">19.68万元，占1.52%； </w:t>
      </w:r>
      <w:r>
        <w:rPr>
          <w:rFonts w:ascii="仿宋_GB2312" w:eastAsia="仿宋_GB2312" w:cs="仿宋_GB2312" w:hint="eastAsia"/>
          <w:b/>
          <w:color w:val="000000"/>
          <w:sz w:val="32"/>
          <w:szCs w:val="32"/>
        </w:rPr>
        <w:t>农林水支出</w:t>
      </w:r>
      <w:r>
        <w:rPr>
          <w:rFonts w:ascii="仿宋_GB2312" w:eastAsia="仿宋_GB2312" w:cs="仿宋_GB2312" w:hint="eastAsia"/>
          <w:color w:val="000000"/>
          <w:sz w:val="32"/>
          <w:szCs w:val="32"/>
        </w:rPr>
        <w:t>支出</w:t>
      </w:r>
      <w:r>
        <w:rPr>
          <w:rFonts w:ascii="仿宋_GB2312" w:eastAsia="仿宋_GB2312" w:cs="仿宋_GB2312" w:hint="eastAsia"/>
          <w:sz w:val="32"/>
          <w:szCs w:val="32"/>
        </w:rPr>
        <w:t>979.23万元，占75.56%。</w:t>
      </w:r>
    </w:p>
    <w:p>
      <w:pPr>
        <w:pStyle w:val="18"/>
        <w:rPr>
          <w:rFonts w:ascii="仿宋" w:eastAsia="仿宋"/>
          <w:sz w:val="32"/>
          <w:szCs w:val="32"/>
        </w:rPr>
      </w:pPr>
      <w:r>
        <w:rPr>
          <w:rFonts w:ascii="仿宋" w:eastAsia="仿宋"/>
          <w:sz w:val="32"/>
          <w:szCs w:val="32"/>
        </w:rPr>
        <w:object>
          <v:shape id="_x0000_i6" type="#_x0000_t75" filled="f" stroked="f" style="width:400.70004pt;height:207.65pt;" o:ole="">
            <v:stroke color="#000000"/>
            <v:imagedata r:id="rId13" o:title="15"/>
            <o:lock aspectratio="t"/>
            <w10:anchorLock/>
          </v:shape>
          <o:OLEObject Type="Embed" ProgID="Package" ShapeID="_x0000_i6" DrawAspect="Content" ObjectID="_1393063356" r:id="rId14"/>
        </w:object>
      </w:r>
    </w:p>
    <w:p>
      <w:pPr>
        <w:pStyle w:val="18"/>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（图6：一般公共预算财政拨款支出决算结构）</w:t>
      </w:r>
    </w:p>
    <w:p>
      <w:pPr>
        <w:pStyle w:val="18"/>
        <w:ind w:firstLineChars="300" w:firstLine="960"/>
        <w:rPr>
          <w:rFonts w:ascii="仿宋_GB2312" w:eastAsia="仿宋_GB2312" w:cs="仿宋_GB2312" w:hint="eastAsia"/>
          <w:sz w:val="32"/>
          <w:szCs w:val="32"/>
        </w:rPr>
      </w:pPr>
      <w:r>
        <w:rPr>
          <w:rFonts w:ascii="仿宋_GB2312" w:eastAsia="仿宋_GB2312" w:cs="仿宋_GB2312" w:hint="eastAsia"/>
          <w:sz w:val="32"/>
          <w:szCs w:val="32"/>
        </w:rPr>
        <w:t>（饼状图）                单位：万元</w:t>
      </w:r>
    </w:p>
    <w:p>
      <w:pPr>
        <w:spacing w:line="600" w:lineRule="exact"/>
        <w:ind w:firstLineChars="200" w:firstLine="640"/>
        <w:outlineLvl w:val="2"/>
        <w:rPr>
          <w:rFonts w:ascii="楷体_GB2312" w:eastAsia="楷体_GB2312" w:cs="楷体_GB2312" w:hint="eastAsia"/>
          <w:b/>
          <w:sz w:val="32"/>
          <w:szCs w:val="32"/>
        </w:rPr>
      </w:pPr>
      <w:bookmarkStart w:id="35" w:name="_Toc15377212"/>
      <w:r>
        <w:rPr>
          <w:rFonts w:ascii="楷体_GB2312" w:eastAsia="楷体_GB2312" w:cs="楷体_GB2312" w:hint="eastAsia"/>
          <w:b/>
          <w:sz w:val="32"/>
          <w:szCs w:val="32"/>
        </w:rPr>
        <w:t>（三）一般公共预算财政拨款支出决算具体情况</w:t>
      </w:r>
      <w:bookmarkEnd w:id="35"/>
    </w:p>
    <w:p>
      <w:pPr>
        <w:spacing w:line="600" w:lineRule="exact"/>
        <w:ind w:firstLineChars="200" w:firstLine="640"/>
        <w:outlineLvl w:val="2"/>
        <w:rPr>
          <w:rFonts w:ascii="仿宋_GB2312" w:eastAsia="仿宋_GB2312" w:cs="仿宋_GB2312" w:hint="eastAsia"/>
          <w:sz w:val="32"/>
          <w:szCs w:val="32"/>
        </w:rPr>
      </w:pPr>
      <w:bookmarkStart w:id="36" w:name="_Toc15378460"/>
      <w:bookmarkStart w:id="37" w:name="_Toc15377213"/>
      <w:bookmarkStart w:id="38" w:name="_Toc15377444"/>
      <w:r>
        <w:rPr>
          <w:rFonts w:ascii="仿宋_GB2312" w:eastAsia="仿宋_GB2312" w:cs="仿宋_GB2312" w:hint="eastAsia"/>
          <w:b/>
          <w:sz w:val="32"/>
          <w:szCs w:val="32"/>
        </w:rPr>
        <w:t>2023年度一般公共预算支出决算数为</w:t>
      </w:r>
      <w:r>
        <w:rPr>
          <w:rFonts w:ascii="仿宋_GB2312" w:eastAsia="仿宋_GB2312" w:cs="仿宋_GB2312" w:hint="eastAsia"/>
          <w:sz w:val="32"/>
          <w:szCs w:val="32"/>
        </w:rPr>
        <w:t>1,295.88万元，</w:t>
      </w:r>
      <w:r>
        <w:rPr>
          <w:rStyle w:val="27"/>
          <w:rFonts w:ascii="仿宋_GB2312" w:eastAsia="仿宋_GB2312" w:cs="仿宋_GB2312" w:hint="eastAsia"/>
          <w:bCs/>
          <w:sz w:val="32"/>
          <w:szCs w:val="32"/>
        </w:rPr>
        <w:t>完成预算100%。其中：</w:t>
      </w:r>
      <w:bookmarkEnd w:id="36"/>
      <w:bookmarkEnd w:id="37"/>
      <w:bookmarkEnd w:id="38"/>
    </w:p>
    <w:p>
      <w:pPr>
        <w:spacing w:line="560" w:lineRule="atLeast"/>
        <w:ind w:firstLineChars="200" w:firstLine="640"/>
        <w:rPr>
          <w:rStyle w:val="27"/>
          <w:rFonts w:ascii="仿宋_GB2312" w:eastAsia="仿宋_GB2312" w:cs="仿宋_GB2312" w:hint="eastAsia"/>
          <w:b w:val="0"/>
          <w:bCs/>
          <w:sz w:val="32"/>
          <w:szCs w:val="32"/>
        </w:rPr>
      </w:pPr>
      <w:r>
        <w:rPr>
          <w:rStyle w:val="27"/>
          <w:rFonts w:ascii="仿宋_GB2312" w:eastAsia="仿宋_GB2312" w:cs="仿宋_GB2312" w:hint="eastAsia"/>
          <w:bCs/>
          <w:sz w:val="32"/>
          <w:szCs w:val="32"/>
        </w:rPr>
        <w:t>1.一般公共服务（201）:</w:t>
      </w:r>
      <w:r>
        <w:rPr>
          <w:rStyle w:val="27"/>
          <w:rFonts w:ascii="仿宋_GB2312" w:eastAsia="仿宋_GB2312" w:cs="仿宋_GB2312" w:hint="eastAsia"/>
          <w:b w:val="0"/>
          <w:bCs/>
          <w:sz w:val="32"/>
          <w:szCs w:val="32"/>
        </w:rPr>
        <w:t>支出决算为</w:t>
      </w:r>
      <w:r>
        <w:rPr>
          <w:rFonts w:ascii="仿宋_GB2312" w:eastAsia="仿宋_GB2312" w:cs="仿宋_GB2312" w:hint="eastAsia"/>
          <w:sz w:val="32"/>
          <w:szCs w:val="32"/>
        </w:rPr>
        <w:t>240.56</w:t>
      </w:r>
      <w:r>
        <w:rPr>
          <w:rStyle w:val="27"/>
          <w:rFonts w:ascii="仿宋_GB2312" w:eastAsia="仿宋_GB2312" w:cs="仿宋_GB2312" w:hint="eastAsia"/>
          <w:b w:val="0"/>
          <w:bCs/>
          <w:sz w:val="32"/>
          <w:szCs w:val="32"/>
        </w:rPr>
        <w:t>万元，完成预算100%。</w:t>
      </w:r>
    </w:p>
    <w:p>
      <w:pPr>
        <w:spacing w:line="600" w:lineRule="exact"/>
        <w:ind w:firstLineChars="200" w:firstLine="640"/>
        <w:rPr>
          <w:rFonts w:ascii="仿宋_GB2312" w:eastAsia="仿宋_GB2312" w:cs="仿宋_GB2312" w:hint="eastAsia"/>
          <w:b/>
          <w:color w:val="000000"/>
          <w:sz w:val="32"/>
          <w:szCs w:val="32"/>
        </w:rPr>
      </w:pPr>
      <w:r>
        <w:rPr>
          <w:rStyle w:val="27"/>
          <w:rFonts w:ascii="仿宋_GB2312" w:eastAsia="仿宋_GB2312" w:cs="仿宋_GB2312" w:hint="eastAsia"/>
          <w:bCs/>
          <w:sz w:val="32"/>
          <w:szCs w:val="32"/>
        </w:rPr>
        <w:t>2.社会保障和就业（</w:t>
      </w:r>
      <w:r>
        <w:rPr>
          <w:rFonts w:ascii="仿宋_GB2312" w:eastAsia="仿宋_GB2312" w:cs="仿宋_GB2312" w:hint="eastAsia"/>
          <w:b/>
          <w:color w:val="000000"/>
          <w:sz w:val="32"/>
          <w:szCs w:val="32"/>
        </w:rPr>
        <w:t>208</w:t>
      </w:r>
      <w:r>
        <w:rPr>
          <w:rStyle w:val="27"/>
          <w:rFonts w:ascii="仿宋_GB2312" w:eastAsia="仿宋_GB2312" w:cs="仿宋_GB2312" w:hint="eastAsia"/>
          <w:bCs/>
          <w:sz w:val="32"/>
          <w:szCs w:val="32"/>
        </w:rPr>
        <w:t>）:</w:t>
      </w:r>
      <w:r>
        <w:rPr>
          <w:rStyle w:val="27"/>
          <w:rFonts w:ascii="仿宋_GB2312" w:eastAsia="仿宋_GB2312" w:cs="仿宋_GB2312" w:hint="eastAsia"/>
          <w:b w:val="0"/>
          <w:bCs/>
          <w:sz w:val="32"/>
          <w:szCs w:val="32"/>
        </w:rPr>
        <w:t>支出决算为</w:t>
      </w:r>
      <w:r>
        <w:rPr>
          <w:rFonts w:ascii="仿宋_GB2312" w:eastAsia="仿宋_GB2312" w:cs="仿宋_GB2312" w:hint="eastAsia"/>
          <w:b w:val="0"/>
          <w:bCs w:val="0"/>
          <w:sz w:val="32"/>
          <w:szCs w:val="32"/>
        </w:rPr>
        <w:t>40.4</w:t>
      </w:r>
      <w:r>
        <w:rPr>
          <w:rStyle w:val="27"/>
          <w:rFonts w:ascii="仿宋_GB2312" w:eastAsia="仿宋_GB2312" w:cs="仿宋_GB2312" w:hint="eastAsia"/>
          <w:b w:val="0"/>
          <w:bCs/>
          <w:sz w:val="32"/>
          <w:szCs w:val="32"/>
        </w:rPr>
        <w:t>万元，完成预算100%</w:t>
      </w:r>
      <w:r>
        <w:rPr>
          <w:rStyle w:val="27"/>
          <w:rFonts w:ascii="仿宋_GB2312" w:eastAsia="仿宋_GB2312" w:cs="仿宋_GB2312" w:hint="eastAsia"/>
          <w:b w:val="0"/>
          <w:bCs/>
          <w:color w:val="000000"/>
          <w:sz w:val="32"/>
          <w:szCs w:val="32"/>
        </w:rPr>
        <w:t>。</w:t>
      </w:r>
    </w:p>
    <w:p>
      <w:pPr>
        <w:spacing w:line="600" w:lineRule="exact"/>
        <w:ind w:firstLineChars="200" w:firstLine="640"/>
        <w:rPr>
          <w:rStyle w:val="27"/>
          <w:rFonts w:ascii="仿宋_GB2312" w:eastAsia="仿宋_GB2312" w:cs="仿宋_GB2312" w:hint="eastAsia"/>
          <w:b w:val="0"/>
          <w:bCs/>
          <w:color w:val="000000"/>
          <w:sz w:val="32"/>
          <w:szCs w:val="32"/>
        </w:rPr>
      </w:pPr>
      <w:r>
        <w:rPr>
          <w:rStyle w:val="27"/>
          <w:rFonts w:ascii="仿宋_GB2312" w:eastAsia="仿宋_GB2312" w:cs="仿宋_GB2312" w:hint="eastAsia"/>
          <w:bCs/>
          <w:sz w:val="32"/>
          <w:szCs w:val="32"/>
        </w:rPr>
        <w:t>3.</w:t>
      </w:r>
      <w:r>
        <w:rPr>
          <w:rFonts w:ascii="仿宋_GB2312" w:eastAsia="仿宋_GB2312" w:cs="仿宋_GB2312" w:hint="eastAsia"/>
          <w:b/>
          <w:bCs/>
          <w:sz w:val="32"/>
          <w:szCs w:val="32"/>
        </w:rPr>
        <w:t>卫生健康</w:t>
      </w:r>
      <w:r>
        <w:rPr>
          <w:rStyle w:val="27"/>
          <w:rFonts w:ascii="仿宋_GB2312" w:eastAsia="仿宋_GB2312" w:cs="仿宋_GB2312" w:hint="eastAsia"/>
          <w:bCs/>
          <w:sz w:val="32"/>
          <w:szCs w:val="32"/>
        </w:rPr>
        <w:t>（</w:t>
      </w:r>
      <w:r>
        <w:rPr>
          <w:rStyle w:val="27"/>
          <w:rFonts w:ascii="仿宋_GB2312" w:eastAsia="仿宋_GB2312" w:cs="仿宋_GB2312" w:hint="eastAsia"/>
          <w:bCs/>
          <w:color w:val="000000"/>
          <w:sz w:val="32"/>
          <w:szCs w:val="32"/>
        </w:rPr>
        <w:t>210</w:t>
      </w:r>
      <w:r>
        <w:rPr>
          <w:rStyle w:val="27"/>
          <w:rFonts w:ascii="仿宋_GB2312" w:eastAsia="仿宋_GB2312" w:cs="仿宋_GB2312" w:hint="eastAsia"/>
          <w:bCs/>
          <w:sz w:val="32"/>
          <w:szCs w:val="32"/>
        </w:rPr>
        <w:t>）:</w:t>
      </w:r>
      <w:r>
        <w:rPr>
          <w:rStyle w:val="27"/>
          <w:rFonts w:ascii="仿宋_GB2312" w:eastAsia="仿宋_GB2312" w:cs="仿宋_GB2312" w:hint="eastAsia"/>
          <w:b w:val="0"/>
          <w:bCs/>
          <w:sz w:val="32"/>
          <w:szCs w:val="32"/>
        </w:rPr>
        <w:t>支出决算为</w:t>
      </w:r>
      <w:r>
        <w:rPr>
          <w:rFonts w:ascii="仿宋_GB2312" w:eastAsia="仿宋_GB2312" w:cs="仿宋_GB2312" w:hint="eastAsia"/>
          <w:sz w:val="32"/>
          <w:szCs w:val="32"/>
        </w:rPr>
        <w:t>16.01</w:t>
      </w:r>
      <w:r>
        <w:rPr>
          <w:rStyle w:val="27"/>
          <w:rFonts w:ascii="仿宋_GB2312" w:eastAsia="仿宋_GB2312" w:cs="仿宋_GB2312" w:hint="eastAsia"/>
          <w:b w:val="0"/>
          <w:bCs/>
          <w:sz w:val="32"/>
          <w:szCs w:val="32"/>
        </w:rPr>
        <w:t>万元，完成预算100%</w:t>
      </w:r>
      <w:r>
        <w:rPr>
          <w:rStyle w:val="27"/>
          <w:rFonts w:ascii="仿宋_GB2312" w:eastAsia="仿宋_GB2312" w:cs="仿宋_GB2312" w:hint="eastAsia"/>
          <w:b w:val="0"/>
          <w:bCs/>
          <w:color w:val="000000"/>
          <w:sz w:val="32"/>
          <w:szCs w:val="32"/>
        </w:rPr>
        <w:t>。</w:t>
      </w:r>
    </w:p>
    <w:p>
      <w:pPr>
        <w:spacing w:line="600" w:lineRule="exact"/>
        <w:ind w:firstLineChars="200" w:firstLine="640"/>
        <w:rPr>
          <w:rFonts w:ascii="仿宋_GB2312" w:eastAsia="仿宋_GB2312" w:cs="仿宋_GB2312" w:hint="eastAsia"/>
          <w:b/>
          <w:color w:val="000000"/>
          <w:sz w:val="32"/>
          <w:szCs w:val="32"/>
        </w:rPr>
      </w:pPr>
      <w:r>
        <w:rPr>
          <w:rStyle w:val="27"/>
          <w:rFonts w:ascii="仿宋_GB2312" w:eastAsia="仿宋_GB2312" w:cs="仿宋_GB2312" w:hint="eastAsia"/>
          <w:bCs/>
          <w:color w:val="000000"/>
          <w:sz w:val="32"/>
          <w:szCs w:val="32"/>
        </w:rPr>
        <w:t>4.农林水支出（</w:t>
      </w:r>
      <w:r>
        <w:rPr>
          <w:rFonts w:ascii="仿宋_GB2312" w:eastAsia="仿宋_GB2312" w:cs="仿宋_GB2312" w:hint="eastAsia"/>
          <w:b/>
          <w:color w:val="000000"/>
          <w:sz w:val="32"/>
          <w:szCs w:val="32"/>
        </w:rPr>
        <w:t>213</w:t>
      </w:r>
      <w:r>
        <w:rPr>
          <w:rStyle w:val="27"/>
          <w:rFonts w:ascii="仿宋_GB2312" w:eastAsia="仿宋_GB2312" w:cs="仿宋_GB2312" w:hint="eastAsia"/>
          <w:bCs/>
          <w:color w:val="000000"/>
          <w:sz w:val="32"/>
          <w:szCs w:val="32"/>
        </w:rPr>
        <w:t>）:</w:t>
      </w:r>
      <w:r>
        <w:rPr>
          <w:rStyle w:val="27"/>
          <w:rFonts w:ascii="仿宋_GB2312" w:eastAsia="仿宋_GB2312" w:cs="仿宋_GB2312" w:hint="eastAsia"/>
          <w:b w:val="0"/>
          <w:bCs/>
          <w:color w:val="000000"/>
          <w:sz w:val="32"/>
          <w:szCs w:val="32"/>
        </w:rPr>
        <w:t>支出决算为</w:t>
      </w:r>
      <w:r>
        <w:rPr>
          <w:rFonts w:ascii="仿宋_GB2312" w:eastAsia="仿宋_GB2312" w:cs="仿宋_GB2312" w:hint="eastAsia"/>
          <w:sz w:val="32"/>
          <w:szCs w:val="32"/>
        </w:rPr>
        <w:t>979.23</w:t>
      </w:r>
      <w:r>
        <w:rPr>
          <w:rStyle w:val="27"/>
          <w:rFonts w:ascii="仿宋_GB2312" w:eastAsia="仿宋_GB2312" w:cs="仿宋_GB2312" w:hint="eastAsia"/>
          <w:b w:val="0"/>
          <w:bCs/>
          <w:color w:val="000000"/>
          <w:sz w:val="32"/>
          <w:szCs w:val="32"/>
        </w:rPr>
        <w:t>万元，完成预算100%。</w:t>
      </w:r>
    </w:p>
    <w:p>
      <w:pPr>
        <w:spacing w:line="600" w:lineRule="exact"/>
        <w:ind w:firstLineChars="200" w:firstLine="640"/>
        <w:rPr>
          <w:rFonts w:ascii="仿宋_GB2312" w:eastAsia="仿宋_GB2312" w:cs="仿宋_GB2312" w:hint="eastAsia"/>
          <w:b/>
          <w:sz w:val="32"/>
          <w:szCs w:val="32"/>
        </w:rPr>
      </w:pPr>
      <w:r>
        <w:rPr>
          <w:rStyle w:val="27"/>
          <w:rFonts w:ascii="仿宋_GB2312" w:eastAsia="仿宋_GB2312" w:cs="仿宋_GB2312" w:hint="eastAsia"/>
          <w:bCs/>
          <w:color w:val="000000"/>
          <w:sz w:val="32"/>
          <w:szCs w:val="32"/>
        </w:rPr>
        <w:t>5.住房保障支出（</w:t>
      </w:r>
      <w:r>
        <w:rPr>
          <w:rFonts w:ascii="仿宋_GB2312" w:eastAsia="仿宋_GB2312" w:cs="仿宋_GB2312" w:hint="eastAsia"/>
          <w:b/>
          <w:color w:val="000000"/>
          <w:sz w:val="32"/>
          <w:szCs w:val="32"/>
        </w:rPr>
        <w:t>221</w:t>
      </w:r>
      <w:r>
        <w:rPr>
          <w:rStyle w:val="27"/>
          <w:rFonts w:ascii="仿宋_GB2312" w:eastAsia="仿宋_GB2312" w:cs="仿宋_GB2312" w:hint="eastAsia"/>
          <w:bCs/>
          <w:color w:val="000000"/>
          <w:sz w:val="32"/>
          <w:szCs w:val="32"/>
        </w:rPr>
        <w:t>）:</w:t>
      </w:r>
      <w:r>
        <w:rPr>
          <w:rStyle w:val="27"/>
          <w:rFonts w:ascii="仿宋_GB2312" w:eastAsia="仿宋_GB2312" w:cs="仿宋_GB2312" w:hint="eastAsia"/>
          <w:b w:val="0"/>
          <w:bCs/>
          <w:color w:val="000000"/>
          <w:sz w:val="32"/>
          <w:szCs w:val="32"/>
        </w:rPr>
        <w:t>支出决算为</w:t>
      </w:r>
      <w:r>
        <w:rPr>
          <w:rFonts w:ascii="仿宋_GB2312" w:eastAsia="仿宋_GB2312" w:cs="仿宋_GB2312" w:hint="eastAsia"/>
          <w:sz w:val="32"/>
          <w:szCs w:val="32"/>
        </w:rPr>
        <w:t>19.68</w:t>
      </w:r>
      <w:r>
        <w:rPr>
          <w:rStyle w:val="27"/>
          <w:rFonts w:ascii="仿宋_GB2312" w:eastAsia="仿宋_GB2312" w:cs="仿宋_GB2312" w:hint="eastAsia"/>
          <w:b w:val="0"/>
          <w:bCs/>
          <w:color w:val="000000"/>
          <w:sz w:val="32"/>
          <w:szCs w:val="32"/>
        </w:rPr>
        <w:t>万元，完成预算100%。</w:t>
      </w:r>
    </w:p>
    <w:p>
      <w:pPr>
        <w:tabs>
          <w:tab w:val="right" w:pos="8306"/>
        </w:tabs>
        <w:spacing w:line="600" w:lineRule="exact"/>
        <w:ind w:firstLine="640"/>
        <w:outlineLvl w:val="1"/>
        <w:rPr>
          <w:rStyle w:val="2Char"/>
        </w:rPr>
      </w:pPr>
      <w:bookmarkStart w:id="39" w:name="_Toc15396608"/>
      <w:bookmarkStart w:id="40" w:name="_Toc205"/>
      <w:bookmarkStart w:id="41" w:name="_Toc15377214"/>
      <w:r>
        <w:rPr>
          <w:rFonts w:ascii="黑体" w:eastAsia="黑体" w:hint="eastAsia"/>
          <w:sz w:val="32"/>
          <w:szCs w:val="32"/>
        </w:rPr>
        <w:t>六</w:t>
      </w:r>
      <w:r>
        <w:rPr>
          <w:rFonts w:ascii="黑体" w:eastAsia="黑体" w:hint="eastAsia"/>
          <w:b/>
          <w:sz w:val="32"/>
          <w:szCs w:val="32"/>
        </w:rPr>
        <w:t>、一</w:t>
      </w:r>
      <w:r>
        <w:rPr>
          <w:rStyle w:val="2Char"/>
          <w:rFonts w:ascii="黑体" w:eastAsia="黑体" w:hint="eastAsia"/>
          <w:b w:val="0"/>
        </w:rPr>
        <w:t>般公共预算财政拨款基本支出决算情况说明</w:t>
      </w:r>
      <w:bookmarkEnd w:id="39"/>
      <w:bookmarkEnd w:id="40"/>
      <w:bookmarkEnd w:id="41"/>
      <w:r>
        <w:rPr>
          <w:rStyle w:val="2Char"/>
          <w:rFonts w:ascii="黑体" w:eastAsia="黑体"/>
          <w:b w:val="0"/>
        </w:rPr>
        <w:tab/>
      </w:r>
    </w:p>
    <w:p>
      <w:pPr>
        <w:spacing w:line="600" w:lineRule="exact"/>
        <w:ind w:firstLine="645"/>
        <w:rPr>
          <w:rFonts w:ascii="仿宋_GB2312" w:eastAsia="仿宋_GB2312" w:cs="仿宋_GB2312" w:hint="eastAsia"/>
          <w:sz w:val="32"/>
          <w:szCs w:val="32"/>
        </w:rPr>
      </w:pPr>
      <w:r>
        <w:rPr>
          <w:rFonts w:ascii="仿宋_GB2312" w:eastAsia="仿宋_GB2312" w:cs="仿宋_GB2312" w:hint="eastAsia"/>
          <w:sz w:val="32"/>
          <w:szCs w:val="32"/>
        </w:rPr>
        <w:t>2023年度一般公共预算财政拨款基本支出293.54万元，其中：</w:t>
      </w:r>
    </w:p>
    <w:p>
      <w:pPr>
        <w:spacing w:line="600" w:lineRule="exact"/>
        <w:ind w:firstLine="645"/>
        <w:rPr>
          <w:rFonts w:ascii="仿宋_GB2312" w:eastAsia="仿宋_GB2312" w:cs="仿宋_GB2312" w:hint="eastAsia"/>
          <w:sz w:val="32"/>
          <w:szCs w:val="32"/>
        </w:rPr>
      </w:pPr>
      <w:r>
        <w:rPr>
          <w:rFonts w:ascii="仿宋_GB2312" w:eastAsia="仿宋_GB2312" w:cs="仿宋_GB2312" w:hint="eastAsia"/>
          <w:sz w:val="32"/>
          <w:szCs w:val="32"/>
        </w:rPr>
        <w:t>人员经费267.29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br/>
        <w:t>　　公用经费15.57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Char"/>
          <w:rFonts w:ascii="黑体" w:eastAsia="黑体"/>
          <w:b w:val="0"/>
        </w:rPr>
      </w:pPr>
      <w:bookmarkStart w:id="42" w:name="_Toc28067"/>
      <w:bookmarkStart w:id="43" w:name="_Toc15396609"/>
      <w:bookmarkStart w:id="44" w:name="_Toc15377215"/>
      <w:r>
        <w:rPr>
          <w:rFonts w:ascii="黑体" w:eastAsia="黑体" w:hint="eastAsia"/>
          <w:sz w:val="32"/>
          <w:szCs w:val="32"/>
        </w:rPr>
        <w:t>七、</w:t>
      </w:r>
      <w:r>
        <w:rPr>
          <w:rStyle w:val="2Char"/>
          <w:rFonts w:ascii="黑体" w:eastAsia="黑体" w:hint="eastAsia"/>
          <w:b w:val="0"/>
        </w:rPr>
        <w:t>财政拨款</w:t>
      </w:r>
      <w:r>
        <w:rPr>
          <w:rStyle w:val="2Char"/>
          <w:rFonts w:ascii="黑体" w:eastAsia="黑体" w:hint="eastAsia"/>
        </w:rPr>
        <w:t>“</w:t>
      </w:r>
      <w:r>
        <w:rPr>
          <w:rStyle w:val="2Char"/>
          <w:rFonts w:ascii="黑体" w:eastAsia="黑体" w:hint="eastAsia"/>
          <w:b w:val="0"/>
        </w:rPr>
        <w:t>三公”经费支出决算情况说明</w:t>
      </w:r>
      <w:bookmarkEnd w:id="42"/>
      <w:bookmarkEnd w:id="43"/>
      <w:bookmarkEnd w:id="44"/>
    </w:p>
    <w:p>
      <w:pPr>
        <w:spacing w:line="600" w:lineRule="exact"/>
        <w:ind w:firstLine="640"/>
        <w:outlineLvl w:val="2"/>
        <w:rPr>
          <w:rFonts w:ascii="楷体_GB2312" w:eastAsia="楷体_GB2312" w:cs="楷体_GB2312" w:hint="eastAsia"/>
          <w:b/>
          <w:sz w:val="32"/>
          <w:szCs w:val="32"/>
        </w:rPr>
      </w:pPr>
      <w:bookmarkStart w:id="45" w:name="_Toc15377216"/>
      <w:r>
        <w:rPr>
          <w:rFonts w:ascii="楷体_GB2312" w:eastAsia="楷体_GB2312" w:cs="楷体_GB2312" w:hint="eastAsia"/>
          <w:b/>
          <w:sz w:val="32"/>
          <w:szCs w:val="32"/>
        </w:rPr>
        <w:t>（一）“三公”经费财政拨款支出决算总体情况说明</w:t>
      </w:r>
      <w:bookmarkEnd w:id="45"/>
    </w:p>
    <w:p>
      <w:pPr>
        <w:spacing w:line="600" w:lineRule="exact"/>
        <w:ind w:firstLine="640"/>
        <w:rPr>
          <w:rFonts w:ascii="仿宋_GB2312" w:eastAsia="仿宋_GB2312" w:cs="仿宋_GB2312" w:hint="eastAsia"/>
          <w:color w:val="000000"/>
          <w:sz w:val="32"/>
          <w:szCs w:val="32"/>
        </w:rPr>
      </w:pPr>
      <w:r>
        <w:rPr>
          <w:rFonts w:ascii="仿宋_GB2312" w:eastAsia="仿宋_GB2312" w:cs="仿宋_GB2312" w:hint="eastAsia"/>
          <w:sz w:val="32"/>
          <w:szCs w:val="32"/>
        </w:rPr>
        <w:t>2023年度“三公”经费财政拨款支出决算为5.27万元，完成预算100%</w:t>
      </w:r>
      <w:r>
        <w:rPr>
          <w:rFonts w:ascii="仿宋_GB2312" w:eastAsia="仿宋_GB2312" w:cs="仿宋_GB2312" w:hint="eastAsia"/>
          <w:color w:val="000000"/>
          <w:sz w:val="32"/>
          <w:szCs w:val="32"/>
        </w:rPr>
        <w:t>。</w:t>
      </w:r>
    </w:p>
    <w:p>
      <w:pPr>
        <w:spacing w:line="600" w:lineRule="exact"/>
        <w:ind w:firstLine="640"/>
        <w:outlineLvl w:val="2"/>
        <w:rPr>
          <w:rFonts w:ascii="楷体_GB2312" w:eastAsia="楷体_GB2312" w:cs="楷体_GB2312" w:hint="eastAsia"/>
          <w:b/>
          <w:sz w:val="32"/>
          <w:szCs w:val="32"/>
        </w:rPr>
      </w:pPr>
      <w:bookmarkStart w:id="46" w:name="_Toc15377217"/>
      <w:r>
        <w:rPr>
          <w:rFonts w:ascii="楷体_GB2312" w:eastAsia="楷体_GB2312" w:cs="楷体_GB2312" w:hint="eastAsia"/>
          <w:b/>
          <w:sz w:val="32"/>
          <w:szCs w:val="32"/>
        </w:rPr>
        <w:t>（二）“三公”经费财政拨款支出决算具体情况说明</w:t>
      </w:r>
      <w:bookmarkEnd w:id="46"/>
    </w:p>
    <w:p>
      <w:pPr>
        <w:spacing w:line="600" w:lineRule="exact"/>
        <w:ind w:firstLine="640"/>
        <w:rPr>
          <w:rFonts w:ascii="仿宋_GB2312" w:eastAsia="仿宋_GB2312" w:cs="仿宋_GB2312" w:hint="eastAsia"/>
          <w:sz w:val="32"/>
          <w:szCs w:val="32"/>
        </w:rPr>
      </w:pPr>
      <w:r>
        <w:rPr>
          <w:rFonts w:ascii="仿宋_GB2312" w:eastAsia="仿宋_GB2312" w:cs="仿宋_GB2312" w:hint="eastAsia"/>
          <w:sz w:val="32"/>
          <w:szCs w:val="32"/>
        </w:rPr>
        <w:t>2023年度“三公”经费财政拨款支出决算中，因公出国（境）费支出决算0万元，占0%；公务用车购置及运行维护费支出决算5.08万元，占96%；公务接待费支出决算0.19万元，占4%。具体情况如下：</w:t>
      </w:r>
    </w:p>
    <w:p>
      <w:pPr>
        <w:spacing w:line="600" w:lineRule="exact"/>
        <w:ind w:firstLineChars="200" w:firstLine="640"/>
        <w:rPr>
          <w:rFonts w:ascii="仿宋_GB2312" w:eastAsia="仿宋_GB2312" w:cs="仿宋_GB2312" w:hint="eastAsia"/>
          <w:sz w:val="32"/>
          <w:szCs w:val="32"/>
        </w:rPr>
      </w:pPr>
      <w:r>
        <w:rPr>
          <w:rFonts w:ascii="仿宋_GB2312" w:eastAsia="仿宋_GB2312" w:cs="仿宋_GB2312" w:hint="eastAsia"/>
          <w:b/>
          <w:sz w:val="32"/>
          <w:szCs w:val="32"/>
        </w:rPr>
        <w:t>1.因公出国（境）经费支出</w:t>
      </w:r>
      <w:r>
        <w:rPr>
          <w:rFonts w:ascii="仿宋_GB2312" w:eastAsia="仿宋_GB2312" w:cs="仿宋_GB2312" w:hint="eastAsia"/>
          <w:sz w:val="32"/>
          <w:szCs w:val="32"/>
        </w:rPr>
        <w:t>0万元，</w:t>
      </w:r>
      <w:r>
        <w:rPr>
          <w:rStyle w:val="27"/>
          <w:rFonts w:ascii="仿宋_GB2312" w:eastAsia="仿宋_GB2312" w:cs="仿宋_GB2312" w:hint="eastAsia"/>
          <w:b w:val="0"/>
          <w:bCs/>
          <w:sz w:val="32"/>
          <w:szCs w:val="32"/>
        </w:rPr>
        <w:t>完成预算0%。</w:t>
      </w:r>
      <w:r>
        <w:rPr>
          <w:rFonts w:ascii="仿宋_GB2312" w:eastAsia="仿宋_GB2312" w:cs="仿宋_GB2312" w:hint="eastAsia"/>
          <w:sz w:val="32"/>
          <w:szCs w:val="32"/>
        </w:rPr>
        <w:t>全年安排因公出国（境）团组0次，出国（境）0人。</w:t>
      </w:r>
    </w:p>
    <w:p>
      <w:pPr>
        <w:spacing w:line="600" w:lineRule="exact"/>
        <w:ind w:firstLineChars="200" w:firstLine="640"/>
        <w:rPr>
          <w:rFonts w:ascii="仿宋_GB2312" w:eastAsia="仿宋_GB2312" w:cs="仿宋_GB2312" w:hint="eastAsia"/>
          <w:b/>
          <w:sz w:val="32"/>
          <w:szCs w:val="32"/>
        </w:rPr>
      </w:pPr>
      <w:r>
        <w:rPr>
          <w:rFonts w:ascii="仿宋_GB2312" w:eastAsia="仿宋_GB2312" w:cs="仿宋_GB2312" w:hint="eastAsia"/>
          <w:b/>
          <w:sz w:val="32"/>
          <w:szCs w:val="32"/>
        </w:rPr>
        <w:t>2.公务用车购置及运行维护费支出</w:t>
      </w:r>
      <w:r>
        <w:rPr>
          <w:rFonts w:ascii="仿宋_GB2312" w:eastAsia="仿宋_GB2312" w:cs="仿宋_GB2312" w:hint="eastAsia"/>
          <w:sz w:val="32"/>
          <w:szCs w:val="32"/>
        </w:rPr>
        <w:t>5.08万元,</w:t>
      </w:r>
      <w:r>
        <w:rPr>
          <w:rStyle w:val="27"/>
          <w:rFonts w:ascii="仿宋_GB2312" w:eastAsia="仿宋_GB2312" w:cs="仿宋_GB2312" w:hint="eastAsia"/>
          <w:b w:val="0"/>
          <w:bCs/>
          <w:sz w:val="32"/>
          <w:szCs w:val="32"/>
        </w:rPr>
        <w:t>完成预算100%。</w:t>
      </w:r>
    </w:p>
    <w:p>
      <w:pPr>
        <w:spacing w:line="600" w:lineRule="exact"/>
        <w:ind w:firstLineChars="200" w:firstLine="640"/>
        <w:rPr>
          <w:rFonts w:ascii="仿宋_GB2312" w:eastAsia="仿宋_GB2312" w:cs="仿宋_GB2312" w:hint="eastAsia"/>
          <w:b/>
          <w:sz w:val="32"/>
          <w:szCs w:val="32"/>
        </w:rPr>
      </w:pPr>
      <w:r>
        <w:rPr>
          <w:rFonts w:ascii="仿宋_GB2312" w:eastAsia="仿宋_GB2312" w:cs="仿宋_GB2312" w:hint="eastAsia"/>
          <w:sz w:val="32"/>
          <w:szCs w:val="32"/>
        </w:rPr>
        <w:t>其中：</w:t>
      </w:r>
      <w:r>
        <w:rPr>
          <w:rFonts w:ascii="仿宋_GB2312" w:eastAsia="仿宋_GB2312" w:cs="仿宋_GB2312" w:hint="eastAsia"/>
          <w:b/>
          <w:sz w:val="32"/>
          <w:szCs w:val="32"/>
        </w:rPr>
        <w:t>公务用车购置支出</w:t>
      </w:r>
      <w:r>
        <w:rPr>
          <w:rFonts w:ascii="仿宋_GB2312" w:eastAsia="仿宋_GB2312" w:cs="仿宋_GB2312" w:hint="eastAsia"/>
          <w:sz w:val="32"/>
          <w:szCs w:val="32"/>
        </w:rPr>
        <w:t>0万元。截至2023年12月31日，单位共有公务用车辆，其中：越野车车1辆。</w:t>
      </w:r>
    </w:p>
    <w:p>
      <w:pPr>
        <w:spacing w:line="600" w:lineRule="exact"/>
        <w:ind w:firstLine="640"/>
        <w:rPr>
          <w:rFonts w:ascii="仿宋_GB2312" w:eastAsia="仿宋_GB2312" w:cs="仿宋_GB2312" w:hint="eastAsia"/>
          <w:sz w:val="32"/>
          <w:szCs w:val="32"/>
        </w:rPr>
      </w:pPr>
      <w:r>
        <w:rPr>
          <w:rFonts w:ascii="仿宋_GB2312" w:eastAsia="仿宋_GB2312" w:cs="仿宋_GB2312" w:hint="eastAsia"/>
          <w:b/>
          <w:sz w:val="32"/>
          <w:szCs w:val="32"/>
        </w:rPr>
        <w:t>公务用车运行维护费支出</w:t>
      </w:r>
      <w:r>
        <w:rPr>
          <w:rFonts w:ascii="仿宋_GB2312" w:eastAsia="仿宋_GB2312" w:cs="仿宋_GB2312" w:hint="eastAsia"/>
          <w:sz w:val="32"/>
          <w:szCs w:val="32"/>
        </w:rPr>
        <w:t>5.08万元。主要用于日常工作所需的公务用车燃料费、维修费、过路过桥费、保险费等支出。</w:t>
      </w:r>
    </w:p>
    <w:p>
      <w:pPr>
        <w:spacing w:line="600" w:lineRule="exact"/>
        <w:ind w:firstLineChars="200" w:firstLine="640"/>
        <w:rPr>
          <w:rStyle w:val="27"/>
          <w:rFonts w:ascii="仿宋_GB2312" w:eastAsia="仿宋_GB2312" w:cs="仿宋_GB2312" w:hint="eastAsia"/>
          <w:b w:val="0"/>
          <w:bCs/>
          <w:sz w:val="32"/>
          <w:szCs w:val="32"/>
        </w:rPr>
      </w:pPr>
      <w:r>
        <w:rPr>
          <w:rFonts w:ascii="仿宋_GB2312" w:eastAsia="仿宋_GB2312" w:cs="仿宋_GB2312" w:hint="eastAsia"/>
          <w:b/>
          <w:sz w:val="32"/>
          <w:szCs w:val="32"/>
        </w:rPr>
        <w:t>3.公务接待费支出</w:t>
      </w:r>
      <w:r>
        <w:rPr>
          <w:rFonts w:ascii="仿宋_GB2312" w:eastAsia="仿宋_GB2312" w:cs="仿宋_GB2312" w:hint="eastAsia"/>
          <w:sz w:val="32"/>
          <w:szCs w:val="32"/>
        </w:rPr>
        <w:t>0.19万元，</w:t>
      </w:r>
      <w:r>
        <w:rPr>
          <w:rStyle w:val="27"/>
          <w:rFonts w:ascii="仿宋_GB2312" w:eastAsia="仿宋_GB2312" w:cs="仿宋_GB2312" w:hint="eastAsia"/>
          <w:b w:val="0"/>
          <w:bCs/>
          <w:sz w:val="32"/>
          <w:szCs w:val="32"/>
        </w:rPr>
        <w:t>完成预算100%。</w:t>
      </w:r>
    </w:p>
    <w:p>
      <w:pPr>
        <w:spacing w:line="600" w:lineRule="exact"/>
        <w:ind w:firstLine="640"/>
        <w:outlineLvl w:val="1"/>
        <w:rPr>
          <w:rStyle w:val="2Char"/>
          <w:rFonts w:ascii="黑体" w:eastAsia="黑体"/>
        </w:rPr>
      </w:pPr>
      <w:bookmarkStart w:id="47" w:name="_Toc15396610"/>
      <w:bookmarkStart w:id="48" w:name="_Toc15695"/>
      <w:bookmarkStart w:id="49" w:name="_Toc15377218"/>
      <w:r>
        <w:rPr>
          <w:rFonts w:ascii="黑体" w:eastAsia="黑体" w:hint="eastAsia"/>
          <w:sz w:val="32"/>
          <w:szCs w:val="32"/>
        </w:rPr>
        <w:t>八、</w:t>
      </w:r>
      <w:r>
        <w:rPr>
          <w:rStyle w:val="2Char"/>
          <w:rFonts w:ascii="黑体" w:eastAsia="黑体" w:hint="eastAsia"/>
          <w:b w:val="0"/>
        </w:rPr>
        <w:t>政府性基金预算支出决算情况说明</w:t>
      </w:r>
      <w:bookmarkEnd w:id="47"/>
      <w:bookmarkEnd w:id="48"/>
      <w:bookmarkEnd w:id="49"/>
    </w:p>
    <w:p>
      <w:pPr>
        <w:spacing w:line="600" w:lineRule="exact"/>
        <w:ind w:firstLine="640"/>
        <w:rPr>
          <w:rFonts w:ascii="仿宋_GB2312" w:eastAsia="仿宋_GB2312"/>
          <w:sz w:val="32"/>
          <w:szCs w:val="32"/>
        </w:rPr>
      </w:pPr>
      <w:r>
        <w:rPr>
          <w:rFonts w:ascii="仿宋_GB2312" w:eastAsia="仿宋_GB2312" w:hint="eastAsia"/>
          <w:sz w:val="32"/>
          <w:szCs w:val="32"/>
        </w:rPr>
        <w:t>2023年度政府性基金预算财政拨款支出0万元。</w:t>
      </w:r>
    </w:p>
    <w:p>
      <w:pPr>
        <w:spacing w:line="600" w:lineRule="exact"/>
        <w:ind w:left="0" w:firstLineChars="200" w:firstLine="640"/>
        <w:outlineLvl w:val="1"/>
        <w:rPr>
          <w:rStyle w:val="2Char"/>
          <w:rFonts w:ascii="黑体" w:eastAsia="黑体"/>
          <w:b w:val="0"/>
        </w:rPr>
      </w:pPr>
      <w:bookmarkStart w:id="50" w:name="_Toc15377219"/>
      <w:bookmarkStart w:id="51" w:name="_Toc22705"/>
      <w:bookmarkStart w:id="52" w:name="_Toc15396611"/>
      <w:r>
        <w:rPr>
          <w:rStyle w:val="2Char"/>
          <w:rFonts w:ascii="黑体" w:eastAsia="黑体" w:hint="eastAsia"/>
          <w:b w:val="0"/>
          <w:lang w:eastAsia="zh-CN"/>
        </w:rPr>
        <w:t>九、</w:t>
      </w:r>
      <w:r>
        <w:rPr>
          <w:rStyle w:val="2Char"/>
          <w:rFonts w:ascii="黑体" w:eastAsia="黑体" w:hint="eastAsia"/>
          <w:b w:val="0"/>
        </w:rPr>
        <w:t>国有资本经营预算支出决算情况说明</w:t>
      </w:r>
      <w:bookmarkEnd w:id="50"/>
      <w:bookmarkEnd w:id="51"/>
      <w:bookmarkEnd w:id="52"/>
    </w:p>
    <w:p>
      <w:pPr>
        <w:spacing w:line="600" w:lineRule="exact"/>
        <w:ind w:firstLine="640"/>
        <w:rPr>
          <w:rFonts w:ascii="方正小标宋简体" w:eastAsia="方正小标宋简体" w:cs="方正小标宋简体"/>
          <w:sz w:val="32"/>
          <w:szCs w:val="32"/>
        </w:rPr>
      </w:pPr>
      <w:r>
        <w:rPr>
          <w:rFonts w:ascii="仿宋_GB2312" w:eastAsia="仿宋_GB2312" w:hint="eastAsia"/>
          <w:sz w:val="32"/>
          <w:szCs w:val="32"/>
        </w:rPr>
        <w:t>2023年度国有资本经营预算财政拨款支出0万元。</w:t>
      </w:r>
    </w:p>
    <w:p>
      <w:pPr>
        <w:spacing w:line="600" w:lineRule="exact"/>
        <w:ind w:left="0" w:firstLineChars="200" w:firstLine="640"/>
        <w:outlineLvl w:val="1"/>
        <w:rPr>
          <w:rStyle w:val="2Char"/>
          <w:rFonts w:ascii="黑体" w:eastAsia="黑体"/>
          <w:b w:val="0"/>
        </w:rPr>
      </w:pPr>
      <w:bookmarkStart w:id="53" w:name="_Toc15396612"/>
      <w:bookmarkStart w:id="54" w:name="_Toc16524"/>
      <w:bookmarkStart w:id="55" w:name="_Toc15377221"/>
      <w:r>
        <w:rPr>
          <w:rStyle w:val="2Char"/>
          <w:rFonts w:ascii="黑体" w:eastAsia="黑体" w:hint="eastAsia"/>
          <w:b w:val="0"/>
          <w:lang w:eastAsia="zh-CN"/>
        </w:rPr>
        <w:t>十、</w:t>
      </w:r>
      <w:r>
        <w:rPr>
          <w:rStyle w:val="2Char"/>
          <w:rFonts w:ascii="黑体" w:eastAsia="黑体" w:hint="eastAsia"/>
          <w:b w:val="0"/>
        </w:rPr>
        <w:t>其他重要事项的情况说明</w:t>
      </w:r>
      <w:bookmarkEnd w:id="53"/>
      <w:bookmarkEnd w:id="54"/>
      <w:bookmarkEnd w:id="55"/>
    </w:p>
    <w:p>
      <w:pPr>
        <w:spacing w:line="600" w:lineRule="exact"/>
        <w:ind w:firstLineChars="200" w:firstLine="640"/>
        <w:outlineLvl w:val="2"/>
        <w:rPr>
          <w:rFonts w:ascii="楷体_GB2312" w:eastAsia="楷体_GB2312" w:cs="楷体_GB2312" w:hint="eastAsia"/>
          <w:sz w:val="32"/>
          <w:szCs w:val="32"/>
        </w:rPr>
      </w:pPr>
      <w:bookmarkStart w:id="56" w:name="_Toc15377222"/>
      <w:r>
        <w:rPr>
          <w:rFonts w:ascii="楷体_GB2312" w:eastAsia="楷体_GB2312" w:cs="楷体_GB2312" w:hint="eastAsia"/>
          <w:b/>
          <w:sz w:val="32"/>
          <w:szCs w:val="32"/>
        </w:rPr>
        <w:t>（一）机关运行经费支出情况</w:t>
      </w:r>
      <w:bookmarkEnd w:id="56"/>
    </w:p>
    <w:p>
      <w:pPr>
        <w:autoSpaceDE w:val="0"/>
        <w:autoSpaceDN w:val="0"/>
        <w:adjustRightInd w:val="0"/>
        <w:spacing w:line="600" w:lineRule="exact"/>
        <w:ind w:firstLineChars="200" w:firstLine="640"/>
        <w:jc w:val="left"/>
        <w:outlineLvl w:val="2"/>
        <w:rPr>
          <w:rFonts w:ascii="仿宋_GB2312" w:eastAsia="仿宋_GB2312" w:cs="Times New Roman" w:hint="eastAsia"/>
          <w:sz w:val="32"/>
          <w:szCs w:val="32"/>
        </w:rPr>
      </w:pPr>
      <w:bookmarkStart w:id="57" w:name="_Toc15377223"/>
      <w:r>
        <w:rPr>
          <w:rFonts w:ascii="仿宋_GB2312" w:eastAsia="仿宋_GB2312" w:cs="Times New Roman" w:hint="eastAsia"/>
          <w:sz w:val="32"/>
          <w:szCs w:val="32"/>
        </w:rPr>
        <w:t>2023年度，茂县民族宗教局机关运行经费支出</w:t>
      </w:r>
      <w:r>
        <w:rPr>
          <w:rFonts w:ascii="仿宋_GB2312" w:eastAsia="仿宋_GB2312" w:cs="Times New Roman" w:hint="eastAsia"/>
          <w:sz w:val="32"/>
          <w:szCs w:val="32"/>
          <w:lang w:val="en-US" w:eastAsia="zh-CN"/>
        </w:rPr>
        <w:t>11.75</w:t>
      </w:r>
      <w:r>
        <w:rPr>
          <w:rFonts w:ascii="仿宋_GB2312" w:eastAsia="仿宋_GB2312" w:cs="Times New Roman" w:hint="eastAsia"/>
          <w:sz w:val="32"/>
          <w:szCs w:val="32"/>
        </w:rPr>
        <w:t>万元，比2022年度增加</w:t>
      </w:r>
      <w:r>
        <w:rPr>
          <w:rFonts w:ascii="仿宋_GB2312" w:eastAsia="仿宋_GB2312" w:cs="Times New Roman" w:hint="eastAsia"/>
          <w:sz w:val="32"/>
          <w:szCs w:val="32"/>
          <w:lang w:val="en-US" w:eastAsia="zh-CN"/>
        </w:rPr>
        <w:t>2.69</w:t>
      </w:r>
      <w:r>
        <w:rPr>
          <w:rFonts w:ascii="仿宋_GB2312" w:eastAsia="仿宋_GB2312" w:cs="Times New Roman" w:hint="eastAsia"/>
          <w:sz w:val="32"/>
          <w:szCs w:val="32"/>
        </w:rPr>
        <w:t>万元，增加</w:t>
      </w:r>
      <w:r>
        <w:rPr>
          <w:rFonts w:ascii="仿宋_GB2312" w:eastAsia="仿宋_GB2312" w:cs="Times New Roman" w:hint="eastAsia"/>
          <w:sz w:val="32"/>
          <w:szCs w:val="32"/>
          <w:lang w:val="en-US" w:eastAsia="zh-CN"/>
        </w:rPr>
        <w:t>21</w:t>
      </w:r>
      <w:r>
        <w:rPr>
          <w:rFonts w:ascii="仿宋_GB2312" w:eastAsia="仿宋_GB2312" w:cs="Times New Roman" w:hint="eastAsia"/>
          <w:sz w:val="32"/>
          <w:szCs w:val="32"/>
        </w:rPr>
        <w:t>%。主要原因是单位人员增加，办公经费支出增加。</w:t>
      </w:r>
    </w:p>
    <w:p>
      <w:pPr>
        <w:autoSpaceDE w:val="0"/>
        <w:autoSpaceDN w:val="0"/>
        <w:adjustRightInd w:val="0"/>
        <w:spacing w:line="600" w:lineRule="exact"/>
        <w:ind w:firstLineChars="200" w:firstLine="640"/>
        <w:jc w:val="left"/>
        <w:outlineLvl w:val="2"/>
        <w:rPr>
          <w:rFonts w:ascii="楷体_GB2312" w:eastAsia="楷体_GB2312" w:cs="楷体_GB2312" w:hint="eastAsia"/>
          <w:b/>
          <w:sz w:val="32"/>
          <w:szCs w:val="32"/>
        </w:rPr>
      </w:pPr>
      <w:r>
        <w:rPr>
          <w:rFonts w:ascii="楷体_GB2312" w:eastAsia="楷体_GB2312" w:cs="楷体_GB2312" w:hint="eastAsia"/>
          <w:b/>
          <w:sz w:val="32"/>
          <w:szCs w:val="32"/>
        </w:rPr>
        <w:t>（二）政府采购支出情况</w:t>
      </w:r>
      <w:bookmarkEnd w:id="57"/>
    </w:p>
    <w:p>
      <w:pPr>
        <w:spacing w:line="600" w:lineRule="exact"/>
        <w:ind w:firstLineChars="200" w:firstLine="640"/>
        <w:rPr>
          <w:rFonts w:ascii="仿宋_GB2312" w:eastAsia="仿宋_GB2312"/>
          <w:sz w:val="32"/>
          <w:szCs w:val="32"/>
        </w:rPr>
      </w:pPr>
      <w:r>
        <w:rPr>
          <w:rFonts w:ascii="仿宋_GB2312" w:eastAsia="仿宋_GB2312" w:hint="eastAsia"/>
          <w:sz w:val="32"/>
          <w:szCs w:val="32"/>
        </w:rPr>
        <w:t>2023年度，</w:t>
      </w:r>
      <w:r>
        <w:rPr>
          <w:rFonts w:ascii="仿宋_GB2312" w:eastAsia="仿宋_GB2312" w:hint="eastAsia"/>
          <w:color w:val="000000"/>
          <w:sz w:val="32"/>
          <w:szCs w:val="32"/>
        </w:rPr>
        <w:t>茂县民族宗教局</w:t>
      </w:r>
      <w:r>
        <w:rPr>
          <w:rFonts w:ascii="仿宋_GB2312" w:eastAsia="仿宋_GB2312" w:hint="eastAsia"/>
          <w:sz w:val="32"/>
          <w:szCs w:val="32"/>
        </w:rPr>
        <w:t>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ascii="仿宋_GB2312" w:eastAsia="仿宋_GB2312" w:hint="eastAsia"/>
          <w:sz w:val="32"/>
          <w:szCs w:val="32"/>
        </w:rPr>
        <w:t>，其中：授予小微企业合同金额0万元，占政府采购支出总额的0</w:t>
      </w:r>
      <w:r>
        <w:rPr>
          <w:rFonts w:ascii="仿宋_GB2312" w:eastAsia="仿宋_GB2312"/>
          <w:sz w:val="32"/>
          <w:szCs w:val="32"/>
        </w:rPr>
        <w:t>%</w:t>
      </w:r>
      <w:r>
        <w:rPr>
          <w:rFonts w:ascii="仿宋_GB2312" w:eastAsia="仿宋_GB2312" w:hint="eastAsia"/>
          <w:sz w:val="32"/>
          <w:szCs w:val="32"/>
        </w:rPr>
        <w:t>。</w:t>
      </w:r>
    </w:p>
    <w:p>
      <w:pPr>
        <w:autoSpaceDE w:val="0"/>
        <w:autoSpaceDN w:val="0"/>
        <w:adjustRightInd w:val="0"/>
        <w:spacing w:line="600" w:lineRule="exact"/>
        <w:ind w:firstLineChars="200" w:firstLine="640"/>
        <w:jc w:val="left"/>
        <w:outlineLvl w:val="2"/>
        <w:rPr>
          <w:rFonts w:ascii="楷体_GB2312" w:eastAsia="楷体_GB2312" w:cs="楷体_GB2312" w:hint="eastAsia"/>
          <w:b/>
          <w:sz w:val="32"/>
          <w:szCs w:val="32"/>
        </w:rPr>
      </w:pPr>
      <w:bookmarkStart w:id="58" w:name="_Toc15377224"/>
      <w:r>
        <w:rPr>
          <w:rFonts w:ascii="楷体_GB2312" w:eastAsia="楷体_GB2312" w:cs="楷体_GB2312" w:hint="eastAsia"/>
          <w:b/>
          <w:sz w:val="32"/>
          <w:szCs w:val="32"/>
        </w:rPr>
        <w:t>（三）国有资产占有使用情况</w:t>
      </w:r>
      <w:bookmarkEnd w:id="58"/>
    </w:p>
    <w:p>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截至2023年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_GB2312" w:eastAsia="仿宋_GB2312" w:hint="eastAsia"/>
          <w:color w:val="000000"/>
          <w:sz w:val="32"/>
          <w:szCs w:val="32"/>
        </w:rPr>
        <w:t>茂县民族宗教局</w:t>
      </w:r>
      <w:r>
        <w:rPr>
          <w:rFonts w:ascii="仿宋_GB2312" w:eastAsia="仿宋_GB2312" w:hint="eastAsia"/>
          <w:sz w:val="32"/>
          <w:szCs w:val="32"/>
        </w:rPr>
        <w:t>共有车辆1辆，其中：主要领导干部用车0辆、机要通信用车0辆、应急保障用车</w:t>
      </w:r>
      <w:r>
        <w:rPr>
          <w:rFonts w:ascii="仿宋_GB2312" w:eastAsia="仿宋_GB2312" w:hint="eastAsia"/>
          <w:sz w:val="32"/>
          <w:szCs w:val="32"/>
          <w:lang w:val="en-US" w:eastAsia="zh-CN"/>
        </w:rPr>
        <w:t>1</w:t>
      </w:r>
      <w:r>
        <w:rPr>
          <w:rFonts w:ascii="仿宋_GB2312" w:eastAsia="仿宋_GB2312" w:hint="eastAsia"/>
          <w:sz w:val="32"/>
          <w:szCs w:val="32"/>
        </w:rPr>
        <w:t>辆、其他用车0辆。单价</w:t>
      </w:r>
      <w:r>
        <w:rPr>
          <w:rFonts w:ascii="仿宋_GB2312" w:eastAsia="仿宋_GB2312"/>
          <w:sz w:val="32"/>
          <w:szCs w:val="32"/>
        </w:rPr>
        <w:t>100</w:t>
      </w:r>
      <w:r>
        <w:rPr>
          <w:rFonts w:ascii="仿宋_GB2312" w:eastAsia="仿宋_GB2312" w:hint="eastAsia"/>
          <w:sz w:val="32"/>
          <w:szCs w:val="32"/>
        </w:rPr>
        <w:t>万元以上设备（不含车辆）0台（套）。</w:t>
      </w:r>
    </w:p>
    <w:p>
      <w:pPr>
        <w:autoSpaceDE w:val="0"/>
        <w:autoSpaceDN w:val="0"/>
        <w:adjustRightInd w:val="0"/>
        <w:spacing w:line="600" w:lineRule="exact"/>
        <w:ind w:firstLineChars="200" w:firstLine="640"/>
        <w:jc w:val="left"/>
        <w:outlineLvl w:val="2"/>
        <w:rPr>
          <w:rFonts w:ascii="楷体_GB2312" w:eastAsia="楷体_GB2312" w:cs="楷体_GB2312" w:hint="eastAsia"/>
          <w:b/>
          <w:sz w:val="32"/>
          <w:szCs w:val="32"/>
        </w:rPr>
      </w:pPr>
      <w:r>
        <w:rPr>
          <w:rFonts w:ascii="楷体_GB2312" w:eastAsia="楷体_GB2312" w:cs="楷体_GB2312" w:hint="eastAsia"/>
          <w:b/>
          <w:sz w:val="32"/>
          <w:szCs w:val="32"/>
        </w:rPr>
        <w:t>（四）预算绩效管理情况</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根据预算绩效管理要求，茂县民族宗教局在2023年度预算编制阶段，组织对44项目开展了预算事前绩效评估，对44个项目编制了绩效目标，预算执行过程中，选取15个项目开展绩效监控。组织对2023年度一般公共预算、政府性基金预算、国有资本经营预算、社会保险基金预算以及资本资产、债券资金等全面开展绩效自评，形成茂县民族宗教局整体（含部门预算项目）绩效自评报告、茂县民族宗教局专项预算项目绩效自评报告，其中，茂县民族宗教局部门整体（含部门预算项目）绩效自评得分为95分，绩效自评综述：从评价情况来看2023年部门整体支出绩效评价自查自评结果良好，全年基本支出保证了正常运行和日常工作的正常开展，项目支出保障了重点工作的开展，绩效目标得到较好实现，绩效管理水平不断提高，绩效指标体系逐渐丰富和完善；茂县民族宗教局专项预算项目绩效自评得分为90分，绩效自评综述：从评价情况来看2023年</w:t>
      </w:r>
      <w:bookmarkStart w:id="59" w:name="_GoBack"/>
      <w:bookmarkEnd w:id="59"/>
      <w:r>
        <w:rPr>
          <w:rFonts w:ascii="仿宋_GB2312" w:eastAsia="仿宋_GB2312" w:hint="eastAsia"/>
          <w:sz w:val="32"/>
          <w:szCs w:val="32"/>
        </w:rPr>
        <w:t>部门专项支出绩效评价自查自评结果良好，做好了财政资金使用情况的动态跟踪管理，确保了各项工作的顺利推进，及时对其中存在的问题进行解决，提高单位整体的绩效水平，控制好运营成本，实现综合效益的提高。绩效自评报告详见附件。</w:t>
      </w:r>
    </w:p>
    <w:p>
      <w:pPr>
        <w:widowControl/>
        <w:suppressAutoHyphens/>
        <w:ind w:firstLineChars="200" w:firstLine="640"/>
        <w:jc w:val="left"/>
        <w:rPr>
          <w:rFonts w:ascii="仿宋_GB2312" w:eastAsia="仿宋_GB2312"/>
          <w:b/>
          <w:sz w:val="32"/>
          <w:szCs w:val="32"/>
        </w:rPr>
      </w:pPr>
    </w:p>
    <w:p>
      <w:pPr>
        <w:rPr>
          <w:rFonts w:ascii="仿宋_GB2312" w:eastAsia="仿宋_GB2312"/>
          <w:b/>
          <w:sz w:val="32"/>
          <w:szCs w:val="32"/>
        </w:rPr>
      </w:pPr>
    </w:p>
    <w:p>
      <w:pPr>
        <w:pStyle w:val="15"/>
      </w:pPr>
    </w:p>
    <w:p>
      <w:pPr>
        <w:spacing w:line="600" w:lineRule="exact"/>
        <w:ind w:left="0" w:firstLineChars="500" w:firstLine="2200"/>
        <w:jc w:val="both"/>
        <w:outlineLvl w:val="0"/>
        <w:rPr>
          <w:rStyle w:val="1Char"/>
          <w:rFonts w:ascii="方正小标宋简体" w:eastAsia="方正小标宋简体" w:cs="方正小标宋简体" w:hint="eastAsia"/>
          <w:b w:val="0"/>
          <w:sz w:val="44"/>
          <w:szCs w:val="44"/>
        </w:rPr>
      </w:pPr>
      <w:bookmarkStart w:id="60" w:name="_Toc15377225"/>
      <w:bookmarkStart w:id="61" w:name="_Toc15396613"/>
      <w:bookmarkStart w:id="62" w:name="_Toc3941"/>
      <w:r>
        <w:rPr>
          <w:rFonts w:ascii="方正小标宋简体" w:eastAsia="方正小标宋简体" w:cs="方正小标宋简体" w:hint="eastAsia"/>
          <w:sz w:val="44"/>
          <w:szCs w:val="44"/>
          <w:lang w:eastAsia="zh-CN"/>
        </w:rPr>
        <w:t>第三部分</w:t>
      </w:r>
      <w:r>
        <w:rPr>
          <w:rFonts w:ascii="方正小标宋简体" w:eastAsia="方正小标宋简体" w:cs="方正小标宋简体" w:hint="eastAsia"/>
          <w:sz w:val="44"/>
          <w:szCs w:val="44"/>
          <w:lang w:val="en-US" w:eastAsia="zh-CN"/>
        </w:rPr>
        <w:t xml:space="preserve"> </w:t>
      </w:r>
      <w:r>
        <w:rPr>
          <w:rFonts w:ascii="方正小标宋简体" w:eastAsia="方正小标宋简体" w:cs="方正小标宋简体" w:hint="eastAsia"/>
          <w:sz w:val="44"/>
          <w:szCs w:val="44"/>
        </w:rPr>
        <w:t>名</w:t>
      </w:r>
      <w:r>
        <w:rPr>
          <w:rStyle w:val="1Char"/>
          <w:rFonts w:ascii="方正小标宋简体" w:eastAsia="方正小标宋简体" w:cs="方正小标宋简体" w:hint="eastAsia"/>
          <w:b w:val="0"/>
          <w:sz w:val="44"/>
          <w:szCs w:val="44"/>
        </w:rPr>
        <w:t>词解释</w:t>
      </w:r>
      <w:bookmarkEnd w:id="60"/>
      <w:bookmarkEnd w:id="61"/>
      <w:bookmarkEnd w:id="62"/>
    </w:p>
    <w:p>
      <w:pPr>
        <w:spacing w:line="600" w:lineRule="exact"/>
        <w:jc w:val="left"/>
        <w:rPr>
          <w:rFonts w:ascii="宋体"/>
          <w:b/>
          <w:sz w:val="44"/>
          <w:szCs w:val="44"/>
        </w:rPr>
      </w:pPr>
    </w:p>
    <w:p>
      <w:pPr>
        <w:pStyle w:val="34"/>
        <w:spacing w:line="560" w:lineRule="exact"/>
        <w:ind w:firstLineChars="200" w:firstLine="640"/>
        <w:outlineLvl w:val="1"/>
        <w:rPr>
          <w:rFonts w:ascii="仿宋_GB2312" w:eastAsia="仿宋_GB2312"/>
          <w:color w:val="auto"/>
          <w:sz w:val="32"/>
          <w:szCs w:val="32"/>
        </w:rPr>
      </w:pPr>
      <w:bookmarkStart w:id="63" w:name="_Toc12880"/>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bookmarkEnd w:id="63"/>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w:t>
      </w:r>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3.</w:t>
      </w:r>
      <w:r>
        <w:rPr>
          <w:rFonts w:ascii="仿宋_GB2312" w:eastAsia="仿宋_GB2312" w:hint="eastAsia"/>
          <w:color w:val="auto"/>
          <w:sz w:val="32"/>
          <w:szCs w:val="32"/>
        </w:rPr>
        <w:t>经营收入：指事业单位在专业业务活动及其辅助活动之外开展非独立核算经营活动取得的收入。</w:t>
      </w:r>
    </w:p>
    <w:p>
      <w:pPr>
        <w:pStyle w:val="34"/>
        <w:spacing w:line="560" w:lineRule="exact"/>
        <w:ind w:firstLineChars="200" w:firstLine="640"/>
        <w:outlineLvl w:val="1"/>
        <w:rPr>
          <w:rFonts w:ascii="仿宋_GB2312" w:eastAsia="仿宋_GB2312"/>
          <w:color w:val="auto"/>
          <w:sz w:val="32"/>
          <w:szCs w:val="32"/>
        </w:rPr>
      </w:pPr>
      <w:bookmarkStart w:id="64" w:name="_Toc29469"/>
      <w:r>
        <w:rPr>
          <w:rFonts w:ascii="仿宋_GB2312" w:eastAsia="仿宋_GB2312"/>
          <w:color w:val="auto"/>
          <w:sz w:val="32"/>
          <w:szCs w:val="32"/>
        </w:rPr>
        <w:t>4.</w:t>
      </w:r>
      <w:r>
        <w:rPr>
          <w:rFonts w:ascii="仿宋_GB2312" w:eastAsia="仿宋_GB2312" w:hint="eastAsia"/>
          <w:color w:val="auto"/>
          <w:sz w:val="32"/>
          <w:szCs w:val="32"/>
        </w:rPr>
        <w:t>其他收入：指单位取得的除上述收入以外的各项收入。</w:t>
      </w:r>
      <w:bookmarkEnd w:id="64"/>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5.</w:t>
      </w:r>
      <w:r>
        <w:rPr>
          <w:rFonts w:ascii="仿宋_GB2312" w:eastAsia="仿宋_GB2312" w:hint="eastAsia"/>
          <w:sz w:val="32"/>
          <w:szCs w:val="32"/>
        </w:rPr>
        <w:t>使用非财政拨款结余（含专用结余）</w:t>
      </w:r>
      <w:r>
        <w:rPr>
          <w:rFonts w:ascii="仿宋_GB2312" w:eastAsia="仿宋_GB2312" w:hint="eastAsia"/>
          <w:color w:val="auto"/>
          <w:sz w:val="32"/>
          <w:szCs w:val="32"/>
        </w:rPr>
        <w:t>：指事业单位使用以前年度积累的非财政拨款结余弥补当年收支差额的金额。</w:t>
      </w:r>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6.</w:t>
      </w:r>
      <w:r>
        <w:rPr>
          <w:rFonts w:ascii="仿宋_GB2312" w:eastAsia="仿宋_GB2312" w:hint="eastAsia"/>
          <w:color w:val="auto"/>
          <w:sz w:val="32"/>
          <w:szCs w:val="32"/>
        </w:rPr>
        <w:t>年初结转和结余：指以前年度尚未完成、结转到本年按有关规定继续使用的资金。</w:t>
      </w:r>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7.</w:t>
      </w:r>
      <w:r>
        <w:rPr>
          <w:rFonts w:ascii="仿宋_GB2312" w:eastAsia="仿宋_GB2312" w:hint="eastAsia"/>
          <w:color w:val="auto"/>
          <w:sz w:val="32"/>
          <w:szCs w:val="32"/>
        </w:rPr>
        <w:t>结余分配：指事业单位按照会计制度规定缴纳的所得税、提取的专用结余以及转入非财政拨款结余的金额等。</w:t>
      </w:r>
    </w:p>
    <w:p>
      <w:pPr>
        <w:pStyle w:val="34"/>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8</w:t>
      </w:r>
      <w:r>
        <w:rPr>
          <w:rFonts w:ascii="仿宋_GB2312" w:eastAsia="仿宋_GB2312" w:hint="eastAsia"/>
          <w:color w:val="auto"/>
          <w:sz w:val="32"/>
          <w:szCs w:val="32"/>
        </w:rPr>
        <w:t>.年末结转和结余：指单位按有关规定结转到下年或以后年度继续使用的资金。</w:t>
      </w:r>
    </w:p>
    <w:p>
      <w:pPr>
        <w:spacing w:line="576" w:lineRule="atLeast"/>
        <w:ind w:firstLineChars="200" w:firstLine="640"/>
        <w:rPr>
          <w:rStyle w:val="27"/>
          <w:rFonts w:ascii="仿宋_GB2312" w:eastAsia="仿宋_GB2312"/>
          <w:b w:val="0"/>
          <w:color w:val="0000FF"/>
          <w:sz w:val="32"/>
          <w:szCs w:val="32"/>
        </w:rPr>
      </w:pPr>
      <w:r>
        <w:rPr>
          <w:rFonts w:ascii="仿宋_GB2312" w:eastAsia="仿宋_GB2312"/>
          <w:sz w:val="32"/>
          <w:szCs w:val="32"/>
        </w:rPr>
        <w:t>9.</w:t>
      </w:r>
      <w:r>
        <w:rPr>
          <w:rStyle w:val="27"/>
          <w:rFonts w:ascii="仿宋_GB2312" w:eastAsia="仿宋_GB2312" w:cs="仿宋_GB2312" w:hint="eastAsia"/>
          <w:b w:val="0"/>
          <w:color w:val="000000"/>
          <w:sz w:val="32"/>
          <w:szCs w:val="32"/>
        </w:rPr>
        <w:t>一般公共服务（类）人大事务（款）人大会议（项）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w:t>
      </w:r>
      <w:r>
        <w:rPr>
          <w:rFonts w:ascii="仿宋_GB2312" w:eastAsia="仿宋_GB2312" w:cs="仿宋_GB2312" w:hint="eastAsia"/>
          <w:color w:val="000000"/>
          <w:sz w:val="32"/>
          <w:szCs w:val="32"/>
        </w:rPr>
        <w:t>单位人大召开人民代表大会等专门会议的支出</w:t>
      </w:r>
      <w:r>
        <w:rPr>
          <w:rStyle w:val="27"/>
          <w:rFonts w:ascii="仿宋_GB2312" w:eastAsia="仿宋_GB2312" w:cs="仿宋_GB2312" w:hint="eastAsia"/>
          <w:b w:val="0"/>
          <w:color w:val="0000FF"/>
          <w:sz w:val="32"/>
          <w:szCs w:val="32"/>
        </w:rPr>
        <w:t>。</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10</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一般公共服务（类）政府办公厅（室）及相关机构事务（款）行政运行（项）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指单位（包括实行公务员管理的事业单位）的基本支出。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11</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一般公共服务（类）财政事务（款）事业运行（项）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w:t>
      </w:r>
      <w:r>
        <w:rPr>
          <w:rFonts w:ascii="仿宋_GB2312" w:eastAsia="仿宋_GB2312" w:cs="仿宋_GB2312" w:hint="eastAsia"/>
          <w:color w:val="000000"/>
          <w:kern w:val="0"/>
          <w:sz w:val="32"/>
          <w:szCs w:val="32"/>
        </w:rPr>
        <w:t>单位机关及参公管理事业单位用于保障机构正常运行、开展日常工作的基本支出</w:t>
      </w:r>
      <w:r>
        <w:rPr>
          <w:rStyle w:val="27"/>
          <w:rFonts w:ascii="仿宋_GB2312" w:eastAsia="仿宋_GB2312" w:cs="仿宋_GB2312" w:hint="eastAsia"/>
          <w:b w:val="0"/>
          <w:color w:val="000000"/>
          <w:sz w:val="32"/>
          <w:szCs w:val="32"/>
        </w:rPr>
        <w:t>。</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12</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一般公共服务（类）党委办公厅（室）及相关机构事务（款）行政运行（项）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指单位</w:t>
      </w:r>
      <w:r>
        <w:rPr>
          <w:rFonts w:ascii="仿宋_GB2312" w:eastAsia="仿宋_GB2312" w:cs="仿宋_GB2312" w:hint="eastAsia"/>
          <w:color w:val="000000"/>
          <w:kern w:val="0"/>
          <w:sz w:val="32"/>
          <w:szCs w:val="32"/>
        </w:rPr>
        <w:t>用于保障机构正常运行、开展日常工作的基本支出</w:t>
      </w:r>
      <w:r>
        <w:rPr>
          <w:rStyle w:val="27"/>
          <w:rFonts w:ascii="仿宋_GB2312" w:eastAsia="仿宋_GB2312" w:cs="仿宋_GB2312" w:hint="eastAsia"/>
          <w:b w:val="0"/>
          <w:color w:val="000000"/>
          <w:sz w:val="32"/>
          <w:szCs w:val="32"/>
        </w:rPr>
        <w:t>。</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13</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国防支出（类）其他国防支出（款）其他国防支出（项）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指单位其他用于国防方面的支出。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14</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社会保障和就业（类）行政事业单位离退休（款）机关事业单位基本养老保险缴费支出（项）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w:t>
      </w:r>
      <w:r>
        <w:rPr>
          <w:rFonts w:ascii="仿宋_GB2312" w:eastAsia="仿宋_GB2312" w:cs="仿宋_GB2312" w:hint="eastAsia"/>
          <w:color w:val="000000"/>
          <w:kern w:val="0"/>
          <w:sz w:val="32"/>
          <w:szCs w:val="32"/>
        </w:rPr>
        <w:t>单位实施养老保险制度由单位缴纳的养老保险费的支出</w:t>
      </w:r>
      <w:r>
        <w:rPr>
          <w:rStyle w:val="27"/>
          <w:rFonts w:ascii="仿宋_GB2312" w:eastAsia="仿宋_GB2312" w:cs="仿宋_GB2312" w:hint="eastAsia"/>
          <w:b w:val="0"/>
          <w:color w:val="000000"/>
          <w:sz w:val="32"/>
          <w:szCs w:val="32"/>
        </w:rPr>
        <w:t>。</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15</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社会保障和就业（类）行政事业单位离退休（款）机关事业单位职业年金缴费支出（项）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w:t>
      </w:r>
      <w:r>
        <w:rPr>
          <w:rFonts w:ascii="仿宋_GB2312" w:eastAsia="仿宋_GB2312" w:cs="仿宋_GB2312" w:hint="eastAsia"/>
          <w:color w:val="000000"/>
          <w:kern w:val="0"/>
          <w:sz w:val="32"/>
          <w:szCs w:val="32"/>
        </w:rPr>
        <w:t>单位实施养老保险制度由单位缴纳的职业年金的支出</w:t>
      </w:r>
      <w:r>
        <w:rPr>
          <w:rStyle w:val="27"/>
          <w:rFonts w:ascii="仿宋_GB2312" w:eastAsia="仿宋_GB2312" w:cs="仿宋_GB2312" w:hint="eastAsia"/>
          <w:b w:val="0"/>
          <w:color w:val="000000"/>
          <w:sz w:val="32"/>
          <w:szCs w:val="32"/>
        </w:rPr>
        <w:t>。</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16</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社会保障和就业（类）社会福利（款）老年福利（项）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指对老年人提供福利服务方面的支出。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17</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社会保障和就业（类）社会福利（款）其他社会福利支出（项）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指除上述项目以外其他用于社会福利方面的支出。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18</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农林水支出（类）农业（款）事业运行（项）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指用于农业事业单位基本支出，事业单位设施、系统运行与资产维护等方面的支出。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19</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农林水支出（类）扶贫（款）农村基础设施建设（项）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指用于农村贫困地区镇村道路、住房、基本农田、水利设施、人</w:t>
      </w:r>
      <w:r>
        <w:rPr>
          <w:rStyle w:val="27"/>
          <w:rFonts w:ascii="仿宋_GB2312" w:eastAsia="仿宋_GB2312" w:cs="仿宋_GB2312"/>
          <w:b w:val="0"/>
          <w:color w:val="000000"/>
          <w:sz w:val="32"/>
          <w:szCs w:val="32"/>
        </w:rPr>
        <w:t>畜</w:t>
      </w:r>
      <w:r>
        <w:rPr>
          <w:rStyle w:val="27"/>
          <w:rFonts w:ascii="仿宋_GB2312" w:eastAsia="仿宋_GB2312" w:cs="仿宋_GB2312" w:hint="eastAsia"/>
          <w:b w:val="0"/>
          <w:color w:val="000000"/>
          <w:sz w:val="32"/>
          <w:szCs w:val="32"/>
        </w:rPr>
        <w:t>饮水、生态环境保护等生产生活条件改善方面的支出。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20</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农林水支出（类）扶贫（款）其他扶贫支出（项）</w:t>
      </w:r>
      <w:r>
        <w:rPr>
          <w:rStyle w:val="27"/>
          <w:rFonts w:ascii="仿宋_GB2312" w:eastAsia="仿宋_GB2312" w:cs="仿宋_GB2312"/>
          <w:b w:val="0"/>
          <w:color w:val="000000"/>
          <w:sz w:val="32"/>
          <w:szCs w:val="32"/>
        </w:rPr>
        <w:t xml:space="preserve">: </w:t>
      </w:r>
      <w:r>
        <w:rPr>
          <w:rStyle w:val="27"/>
          <w:rFonts w:ascii="仿宋_GB2312" w:eastAsia="仿宋_GB2312" w:cs="仿宋_GB2312" w:hint="eastAsia"/>
          <w:b w:val="0"/>
          <w:color w:val="000000"/>
          <w:sz w:val="32"/>
          <w:szCs w:val="32"/>
        </w:rPr>
        <w:t>指农业综合开发部门的其他支出。</w:t>
      </w:r>
    </w:p>
    <w:p>
      <w:pPr>
        <w:spacing w:line="576" w:lineRule="atLeast"/>
        <w:ind w:firstLineChars="200" w:firstLine="640"/>
        <w:rPr>
          <w:rStyle w:val="27"/>
          <w:rFonts w:ascii="仿宋_GB2312" w:eastAsia="仿宋_GB2312"/>
          <w:b w:val="0"/>
          <w:color w:val="000000"/>
          <w:sz w:val="32"/>
          <w:szCs w:val="32"/>
        </w:rPr>
      </w:pPr>
      <w:r>
        <w:rPr>
          <w:rStyle w:val="27"/>
          <w:rFonts w:ascii="仿宋_GB2312" w:eastAsia="仿宋_GB2312" w:cs="仿宋_GB2312" w:hint="eastAsia"/>
          <w:b w:val="0"/>
          <w:color w:val="000000"/>
          <w:sz w:val="32"/>
          <w:szCs w:val="32"/>
        </w:rPr>
        <w:t>21</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农林水支出（类）农村综合改革（款）对村委会和村党支部的补助（项）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指对村民委员会和对村党支部的补助支出，以及支持建立县级基本财力保障机制安排的村级组织运转奖补资金。</w:t>
      </w:r>
    </w:p>
    <w:p>
      <w:pPr>
        <w:spacing w:line="576" w:lineRule="atLeast"/>
        <w:ind w:firstLineChars="200" w:firstLine="640"/>
        <w:rPr>
          <w:rFonts w:ascii="仿宋" w:eastAsia="仿宋"/>
          <w:b/>
          <w:sz w:val="32"/>
          <w:szCs w:val="32"/>
        </w:rPr>
      </w:pPr>
      <w:r>
        <w:rPr>
          <w:rStyle w:val="27"/>
          <w:rFonts w:ascii="仿宋_GB2312" w:eastAsia="仿宋_GB2312" w:cs="仿宋_GB2312" w:hint="eastAsia"/>
          <w:b w:val="0"/>
          <w:color w:val="000000"/>
          <w:sz w:val="32"/>
          <w:szCs w:val="32"/>
        </w:rPr>
        <w:t>22</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住房保障支出（类）住房改革支出（款）住房公积金（项）</w:t>
      </w:r>
      <w:r>
        <w:rPr>
          <w:rStyle w:val="27"/>
          <w:rFonts w:ascii="仿宋_GB2312" w:eastAsia="仿宋_GB2312" w:cs="仿宋_GB2312"/>
          <w:b w:val="0"/>
          <w:color w:val="000000"/>
          <w:sz w:val="32"/>
          <w:szCs w:val="32"/>
        </w:rPr>
        <w:t>:</w:t>
      </w:r>
      <w:r>
        <w:rPr>
          <w:rStyle w:val="27"/>
          <w:rFonts w:ascii="仿宋_GB2312" w:eastAsia="仿宋_GB2312" w:cs="仿宋_GB2312" w:hint="eastAsia"/>
          <w:b w:val="0"/>
          <w:color w:val="000000"/>
          <w:sz w:val="32"/>
          <w:szCs w:val="32"/>
        </w:rPr>
        <w:t>指</w:t>
      </w:r>
      <w:r>
        <w:rPr>
          <w:rFonts w:ascii="仿宋_GB2312" w:eastAsia="仿宋_GB2312" w:cs="仿宋_GB2312" w:hint="eastAsia"/>
          <w:color w:val="000000"/>
          <w:kern w:val="0"/>
          <w:sz w:val="32"/>
          <w:szCs w:val="32"/>
        </w:rPr>
        <w:t>反映行政事业单位按规定为职工缴纳的住房公积金</w:t>
      </w:r>
      <w:r>
        <w:rPr>
          <w:rStyle w:val="27"/>
          <w:rFonts w:ascii="仿宋_GB2312" w:eastAsia="仿宋_GB2312" w:cs="仿宋_GB2312" w:hint="eastAsia"/>
          <w:b w:val="0"/>
          <w:color w:val="000000"/>
          <w:sz w:val="32"/>
          <w:szCs w:val="32"/>
        </w:rPr>
        <w:t>。</w:t>
      </w:r>
    </w:p>
    <w:p>
      <w:pPr>
        <w:ind w:firstLineChars="200" w:firstLine="640"/>
        <w:rPr>
          <w:rFonts w:ascii="仿宋_GB2312" w:eastAsia="仿宋_GB2312"/>
          <w:sz w:val="32"/>
          <w:szCs w:val="32"/>
        </w:rPr>
      </w:pPr>
      <w:r>
        <w:rPr>
          <w:rFonts w:ascii="仿宋_GB2312" w:eastAsia="仿宋_GB2312" w:hint="eastAsia"/>
          <w:sz w:val="32"/>
          <w:szCs w:val="32"/>
        </w:rPr>
        <w:t>23</w:t>
      </w:r>
      <w:r>
        <w:rPr>
          <w:rFonts w:ascii="仿宋_GB2312" w:eastAsia="仿宋_GB2312"/>
          <w:sz w:val="32"/>
          <w:szCs w:val="32"/>
        </w:rPr>
        <w:t>.</w:t>
      </w:r>
      <w:r>
        <w:rPr>
          <w:rFonts w:ascii="仿宋_GB2312" w:eastAsia="仿宋_GB2312" w:hint="eastAsia"/>
          <w:sz w:val="32"/>
          <w:szCs w:val="32"/>
        </w:rPr>
        <w:t>基本支出：指为保障机构正常运转、完成日常工作任务而发生的人员支出和公用支出。</w:t>
      </w:r>
    </w:p>
    <w:p>
      <w:pPr>
        <w:ind w:firstLineChars="200" w:firstLine="640"/>
        <w:rPr>
          <w:rFonts w:ascii="仿宋_GB2312" w:eastAsia="仿宋_GB2312"/>
          <w:sz w:val="32"/>
          <w:szCs w:val="32"/>
        </w:rPr>
      </w:pPr>
      <w:r>
        <w:rPr>
          <w:rFonts w:ascii="仿宋_GB2312" w:eastAsia="仿宋_GB2312" w:hint="eastAsia"/>
          <w:sz w:val="32"/>
          <w:szCs w:val="32"/>
        </w:rPr>
        <w:t>24</w:t>
      </w:r>
      <w:r>
        <w:rPr>
          <w:rFonts w:ascii="仿宋_GB2312" w:eastAsia="仿宋_GB2312"/>
          <w:sz w:val="32"/>
          <w:szCs w:val="32"/>
        </w:rPr>
        <w:t>.</w:t>
      </w:r>
      <w:r>
        <w:rPr>
          <w:rFonts w:ascii="仿宋_GB2312" w:eastAsia="仿宋_GB2312" w:hint="eastAsia"/>
          <w:sz w:val="32"/>
          <w:szCs w:val="32"/>
        </w:rPr>
        <w:t>项目支出：指在基本支出之外为完成特定行政任务和事业发展目标所发生的支出。</w:t>
      </w:r>
    </w:p>
    <w:p>
      <w:pPr>
        <w:ind w:firstLineChars="200" w:firstLine="640"/>
        <w:rPr>
          <w:rFonts w:ascii="仿宋_GB2312" w:eastAsia="仿宋_GB2312"/>
          <w:sz w:val="32"/>
          <w:szCs w:val="32"/>
        </w:rPr>
      </w:pPr>
      <w:r>
        <w:rPr>
          <w:rFonts w:ascii="仿宋_GB2312" w:eastAsia="仿宋_GB2312" w:hint="eastAsia"/>
          <w:sz w:val="32"/>
          <w:szCs w:val="32"/>
        </w:rPr>
        <w:t>25</w:t>
      </w:r>
      <w:r>
        <w:rPr>
          <w:rFonts w:ascii="仿宋_GB2312" w:eastAsia="仿宋_GB2312"/>
          <w:sz w:val="32"/>
          <w:szCs w:val="32"/>
        </w:rPr>
        <w:t>.</w:t>
      </w:r>
      <w:r>
        <w:rPr>
          <w:rFonts w:ascii="仿宋_GB2312" w:eastAsia="仿宋_GB2312" w:hint="eastAsia"/>
          <w:sz w:val="32"/>
          <w:szCs w:val="32"/>
        </w:rPr>
        <w:t>经营支出：指事业单位在专业业务活动及其辅助活动之外开展非独立核算经营活动发生的支出。</w:t>
      </w:r>
    </w:p>
    <w:p>
      <w:pPr>
        <w:pStyle w:val="34"/>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26</w:t>
      </w:r>
      <w:r>
        <w:rPr>
          <w:rFonts w:ascii="仿宋_GB2312" w:eastAsia="仿宋_GB2312"/>
          <w:color w:val="auto"/>
          <w:sz w:val="32"/>
          <w:szCs w:val="32"/>
        </w:rPr>
        <w:t>.</w:t>
      </w:r>
      <w:r>
        <w:rPr>
          <w:rFonts w:ascii="仿宋_GB2312" w:eastAsia="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27</w:t>
      </w:r>
      <w:r>
        <w:rPr>
          <w:rFonts w:ascii="仿宋_GB2312" w:eastAsia="仿宋_GB2312"/>
          <w:color w:val="auto"/>
          <w:sz w:val="32"/>
          <w:szCs w:val="32"/>
        </w:rPr>
        <w:t>.</w:t>
      </w:r>
      <w:r>
        <w:rPr>
          <w:rFonts w:ascii="仿宋_GB2312" w:eastAsia="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4"/>
        <w:spacing w:line="560" w:lineRule="exact"/>
        <w:ind w:firstLineChars="200" w:firstLine="640"/>
        <w:rPr>
          <w:rFonts w:ascii="仿宋_GB2312" w:eastAsia="仿宋_GB2312" w:cs="黑体"/>
          <w:color w:val="auto"/>
          <w:sz w:val="32"/>
          <w:szCs w:val="32"/>
        </w:rPr>
      </w:pPr>
    </w:p>
    <w:p>
      <w:pPr>
        <w:spacing w:line="600" w:lineRule="exact"/>
        <w:ind w:firstLineChars="600" w:firstLine="2640"/>
        <w:jc w:val="both"/>
        <w:outlineLvl w:val="0"/>
        <w:rPr>
          <w:rFonts w:ascii="黑体" w:eastAsia="黑体" w:hint="eastAsia"/>
          <w:sz w:val="44"/>
          <w:szCs w:val="44"/>
        </w:rPr>
      </w:pPr>
      <w:bookmarkStart w:id="65" w:name="_Toc15396614"/>
      <w:bookmarkStart w:id="66" w:name="_Toc27701"/>
      <w:bookmarkStart w:id="67" w:name="_Toc15377226"/>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Fonts w:ascii="黑体" w:eastAsia="黑体" w:hint="eastAsia"/>
          <w:sz w:val="44"/>
          <w:szCs w:val="44"/>
        </w:rPr>
      </w:pPr>
    </w:p>
    <w:p>
      <w:pPr>
        <w:spacing w:line="600" w:lineRule="exact"/>
        <w:ind w:firstLineChars="600" w:firstLine="2640"/>
        <w:jc w:val="both"/>
        <w:outlineLvl w:val="0"/>
        <w:rPr>
          <w:rStyle w:val="1Char"/>
          <w:rFonts w:ascii="方正小标宋简体" w:eastAsia="方正小标宋简体" w:cs="方正小标宋简体" w:hint="eastAsia"/>
          <w:b w:val="0"/>
        </w:rPr>
      </w:pPr>
      <w:r>
        <w:rPr>
          <w:rFonts w:ascii="方正小标宋简体" w:eastAsia="方正小标宋简体" w:cs="方正小标宋简体" w:hint="eastAsia"/>
          <w:sz w:val="44"/>
          <w:szCs w:val="44"/>
        </w:rPr>
        <w:t>第</w:t>
      </w:r>
      <w:r>
        <w:rPr>
          <w:rStyle w:val="1Char"/>
          <w:rFonts w:ascii="方正小标宋简体" w:eastAsia="方正小标宋简体" w:cs="方正小标宋简体" w:hint="eastAsia"/>
          <w:b w:val="0"/>
        </w:rPr>
        <w:t>四部分 附件</w:t>
      </w:r>
      <w:bookmarkEnd w:id="65"/>
      <w:bookmarkEnd w:id="66"/>
    </w:p>
    <w:p>
      <w:pPr>
        <w:spacing w:line="572" w:lineRule="exact"/>
        <w:jc w:val="left"/>
        <w:rPr>
          <w:rFonts w:ascii="黑体" w:eastAsia="黑体" w:cs="黑体"/>
          <w:color w:val="FF0000"/>
          <w:sz w:val="32"/>
          <w:szCs w:val="32"/>
        </w:rPr>
      </w:pPr>
    </w:p>
    <w:p>
      <w:pPr>
        <w:spacing w:line="572" w:lineRule="exact"/>
        <w:jc w:val="left"/>
        <w:outlineLvl w:val="1"/>
        <w:rPr>
          <w:rFonts w:ascii="方正小标宋简体" w:eastAsia="黑体" w:cs="方正小标宋简体" w:hAnsi="方正小标宋简体"/>
          <w:sz w:val="32"/>
          <w:szCs w:val="32"/>
        </w:rPr>
      </w:pPr>
      <w:bookmarkStart w:id="68" w:name="_Toc26081"/>
      <w:r>
        <w:rPr>
          <w:rFonts w:ascii="黑体" w:eastAsia="黑体" w:cs="黑体" w:hint="eastAsia"/>
          <w:sz w:val="32"/>
          <w:szCs w:val="32"/>
        </w:rPr>
        <w:t>附件1</w:t>
      </w:r>
      <w:bookmarkEnd w:id="68"/>
    </w:p>
    <w:p>
      <w:pPr>
        <w:widowControl/>
        <w:suppressAutoHyphens/>
        <w:spacing w:line="578" w:lineRule="exact"/>
        <w:contextualSpacing/>
        <w:jc w:val="center"/>
        <w:rPr>
          <w:rFonts w:ascii="Times New Roman" w:eastAsia="方正小标宋简体" w:hAnsi="Times New Roman"/>
          <w:bCs/>
          <w:sz w:val="44"/>
          <w:szCs w:val="44"/>
          <w:shd w:val="clear" w:color="auto" w:fill="FFFFFF"/>
        </w:rPr>
      </w:pPr>
      <w:r>
        <w:rPr>
          <w:rFonts w:ascii="Times New Roman" w:eastAsia="方正小标宋简体" w:hAnsi="Times New Roman"/>
          <w:bCs/>
          <w:sz w:val="44"/>
          <w:szCs w:val="44"/>
          <w:shd w:val="clear" w:color="auto" w:fill="FFFFFF"/>
        </w:rPr>
        <w:t>部门预算绩效</w:t>
      </w:r>
      <w:r>
        <w:rPr>
          <w:rFonts w:ascii="Times New Roman" w:eastAsia="方正小标宋简体" w:hAnsi="Times New Roman" w:hint="eastAsia"/>
          <w:bCs/>
          <w:sz w:val="44"/>
          <w:szCs w:val="44"/>
          <w:shd w:val="clear" w:color="auto" w:fill="FFFFFF"/>
        </w:rPr>
        <w:t>评价</w:t>
      </w:r>
      <w:r>
        <w:rPr>
          <w:rFonts w:ascii="Times New Roman" w:eastAsia="方正小标宋简体" w:hAnsi="Times New Roman"/>
          <w:bCs/>
          <w:sz w:val="44"/>
          <w:szCs w:val="44"/>
          <w:shd w:val="clear" w:color="auto" w:fill="FFFFFF"/>
        </w:rPr>
        <w:t>报告</w:t>
      </w:r>
    </w:p>
    <w:p>
      <w:pPr>
        <w:widowControl/>
        <w:suppressAutoHyphens/>
        <w:spacing w:line="578" w:lineRule="exact"/>
        <w:contextualSpacing/>
        <w:jc w:val="center"/>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rPr>
        <w:t>茂县民族宗教局</w:t>
      </w:r>
      <w:r>
        <w:rPr>
          <w:rFonts w:ascii="Times New Roman" w:eastAsia="仿宋_GB2312" w:hAnsi="Times New Roman"/>
          <w:sz w:val="32"/>
          <w:szCs w:val="32"/>
          <w:shd w:val="clear" w:color="auto" w:fill="FFFFFF"/>
        </w:rPr>
        <w:t>）</w:t>
      </w:r>
    </w:p>
    <w:p>
      <w:pPr>
        <w:widowControl/>
        <w:suppressAutoHyphens/>
        <w:adjustRightInd w:val="0"/>
        <w:snapToGrid w:val="0"/>
        <w:spacing w:line="578" w:lineRule="exact"/>
        <w:ind w:firstLineChars="200" w:firstLine="480"/>
        <w:contextualSpacing/>
        <w:jc w:val="left"/>
        <w:rPr>
          <w:rFonts w:ascii="Times New Roman" w:eastAsia="黑体" w:hAnsi="Times New Roman"/>
          <w:color w:val="000000"/>
          <w:kern w:val="0"/>
          <w:sz w:val="24"/>
          <w:szCs w:val="32"/>
          <w:shd w:val="clear" w:color="auto" w:fill="FFFFFF"/>
        </w:rPr>
      </w:pPr>
    </w:p>
    <w:p>
      <w:pPr>
        <w:widowControl/>
        <w:suppressAutoHyphens/>
        <w:adjustRightInd w:val="0"/>
        <w:snapToGrid w:val="0"/>
        <w:spacing w:line="578" w:lineRule="exact"/>
        <w:ind w:firstLineChars="200" w:firstLine="640"/>
        <w:contextualSpacing/>
        <w:jc w:val="left"/>
        <w:outlineLvl w:val="1"/>
        <w:rPr>
          <w:rFonts w:eastAsia="黑体"/>
          <w:color w:val="000000"/>
          <w:kern w:val="0"/>
          <w:sz w:val="32"/>
          <w:szCs w:val="32"/>
          <w:shd w:val="clear" w:color="auto" w:fill="FFFFFF"/>
          <w:lang w:val="zh-CN"/>
        </w:rPr>
      </w:pPr>
      <w:bookmarkStart w:id="69" w:name="_Toc17332"/>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bookmarkEnd w:id="69"/>
    </w:p>
    <w:p>
      <w:pPr>
        <w:widowControl/>
        <w:suppressAutoHyphens/>
        <w:adjustRightInd w:val="0"/>
        <w:snapToGrid w:val="0"/>
        <w:spacing w:line="580" w:lineRule="exact"/>
        <w:ind w:firstLineChars="200" w:firstLine="640"/>
        <w:contextualSpacing/>
        <w:jc w:val="left"/>
        <w:rPr>
          <w:rFonts w:ascii="仿宋_GB2312" w:eastAsia="仿宋_GB2312" w:cs="宋体"/>
          <w:color w:val="000000"/>
          <w:kern w:val="0"/>
          <w:sz w:val="32"/>
          <w:szCs w:val="32"/>
          <w:shd w:val="clear" w:color="auto" w:fill="FFFFFF"/>
          <w:lang w:val="zh-CN"/>
        </w:rPr>
      </w:pPr>
      <w:r>
        <w:rPr>
          <w:rFonts w:ascii="Times New Roman" w:eastAsia="楷体_GB2312" w:hAnsi="Times New Roman" w:hint="eastAsia"/>
          <w:b/>
          <w:bCs/>
          <w:color w:val="000000"/>
          <w:kern w:val="0"/>
          <w:sz w:val="32"/>
          <w:szCs w:val="32"/>
          <w:shd w:val="clear" w:color="auto" w:fill="FFFFFF"/>
          <w:lang w:val="zh-CN"/>
        </w:rPr>
        <w:t>（一）</w:t>
      </w:r>
      <w:r>
        <w:rPr>
          <w:rFonts w:ascii="Times New Roman" w:eastAsia="楷体_GB2312" w:hAnsi="Times New Roman"/>
          <w:b/>
          <w:bCs/>
          <w:color w:val="000000"/>
          <w:kern w:val="0"/>
          <w:sz w:val="32"/>
          <w:szCs w:val="32"/>
          <w:shd w:val="clear" w:color="auto" w:fill="FFFFFF"/>
          <w:lang w:val="zh-CN"/>
        </w:rPr>
        <w:t>机构组成</w:t>
      </w:r>
    </w:p>
    <w:p>
      <w:pPr>
        <w:spacing w:line="600" w:lineRule="exact"/>
        <w:ind w:firstLine="636"/>
        <w:rPr>
          <w:rFonts w:ascii="仿宋_GB2312" w:eastAsia="仿宋_GB2312" w:cs="仿宋_GB2312" w:hint="eastAsia"/>
          <w:sz w:val="32"/>
          <w:szCs w:val="32"/>
        </w:rPr>
      </w:pPr>
      <w:r>
        <w:rPr>
          <w:rFonts w:ascii="仿宋_GB2312" w:eastAsia="仿宋_GB2312" w:cs="仿宋_GB2312" w:hint="eastAsia"/>
          <w:sz w:val="32"/>
          <w:szCs w:val="32"/>
        </w:rPr>
        <w:t>茂县民族宗教局设6个内设机构。</w:t>
      </w:r>
    </w:p>
    <w:p>
      <w:pPr>
        <w:spacing w:line="556" w:lineRule="exact"/>
        <w:ind w:firstLineChars="200" w:firstLine="640"/>
        <w:rPr>
          <w:rFonts w:ascii="仿宋_GB2312" w:eastAsia="仿宋_GB2312" w:cs="仿宋_GB2312" w:hint="eastAsia"/>
          <w:sz w:val="32"/>
          <w:szCs w:val="32"/>
        </w:rPr>
      </w:pPr>
      <w:r>
        <w:rPr>
          <w:rFonts w:ascii="仿宋_GB2312" w:eastAsia="仿宋_GB2312" w:cs="仿宋_GB2312" w:hint="eastAsia"/>
          <w:b/>
          <w:sz w:val="32"/>
          <w:szCs w:val="32"/>
        </w:rPr>
        <w:t>1.办公室（行政审批股）</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协助局领导处理日常工作，协调各股室工作；检查督促重大事项的落实；负责委机关政务的综合协调和目标管理工作；负责机关文秘、档案、信访、保密、信息；负责文电、会务、档案、干部人事、机要、后勤管理和对外联络等机关日常运转工作，承担保密、信访、安全、绩效管理、政务公开、史志编撰工作；负责机关财务、审计、国有资产、基本建设、政府采购的管理工作；负责建立民族、宗教工作信息化平台；承担本系统、本部门依法行政工作的组织协调和督促指导，承担行政执法监督、行政复议、行政应诉和行政调解等工作；承担机关有关行政审批工作；完成局领导交办的其他工作。</w:t>
      </w:r>
    </w:p>
    <w:p>
      <w:pPr>
        <w:spacing w:line="556" w:lineRule="exact"/>
        <w:ind w:firstLineChars="200" w:firstLine="640"/>
        <w:rPr>
          <w:rFonts w:ascii="仿宋_GB2312" w:eastAsia="仿宋_GB2312" w:cs="仿宋_GB2312" w:hint="eastAsia"/>
          <w:sz w:val="32"/>
          <w:szCs w:val="32"/>
        </w:rPr>
      </w:pPr>
      <w:r>
        <w:rPr>
          <w:rFonts w:ascii="仿宋_GB2312" w:eastAsia="仿宋_GB2312" w:cs="仿宋_GB2312" w:hint="eastAsia"/>
          <w:b/>
          <w:sz w:val="32"/>
          <w:szCs w:val="32"/>
        </w:rPr>
        <w:t>2.民族事务股</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负责对党和国家的民族法律法规、政策和少数民族发展相关规划贯彻执行的督促检查；负责宣传党的民族政策及法律法规；协调民族关系，办好有关保障少数民族各项权益的事宜；承办民族识别、民族成份管理工作；会同有关部门研究制定我县对外开放、经济发展的特殊政策、措施；协助相关部门组织实施县委县政府有关民族地区民生工作；参与对口支援、扶贫、经济技术合作，指导和协调民族贸易、民族特需用品生产等相关优惠政策的组织实施；负责对国家、省、州用于扶持我县的少数民族经济发展资金的申报、实施、验收等管理和监督；组织开展民族团结进步创建活动，推动民族文化交流合作，参与全县重大民族文化活动；推进民族事务服务体系和民族事务管理信息化建设；开展民族团结进步表彰相关工作；配合有关部门开展涉及少数民族妇儿、老龄、残疾人、双拥等工作；研究提出城市少数民族法治化、社会化管理的政策建议，指导推动城市民族工作，协调流动少数民族服务管理工作、指导协调处理城市涉及民族因素的矛盾纠纷及影响民族关系的重大事件。</w:t>
      </w:r>
    </w:p>
    <w:p>
      <w:pPr>
        <w:spacing w:line="556" w:lineRule="exact"/>
        <w:ind w:firstLineChars="200" w:firstLine="640"/>
        <w:rPr>
          <w:rFonts w:ascii="仿宋_GB2312" w:eastAsia="仿宋_GB2312" w:cs="仿宋_GB2312" w:hint="eastAsia"/>
          <w:b/>
          <w:sz w:val="32"/>
          <w:szCs w:val="32"/>
        </w:rPr>
      </w:pPr>
      <w:r>
        <w:rPr>
          <w:rFonts w:ascii="仿宋_GB2312" w:eastAsia="仿宋_GB2312" w:cs="仿宋_GB2312" w:hint="eastAsia"/>
          <w:b/>
          <w:sz w:val="32"/>
          <w:szCs w:val="32"/>
        </w:rPr>
        <w:t>3.宗教事务股</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负责对党和国家的宗教法律法规、政策贯彻执行的督促检查；负责宣传党的宗教政策及法律法规；承办对县内各宗教寺庙的依法管理工作，研究制定全县宗教事务管理工作计划和措施，并负责组织实施；负责宗教场所、僧尼、宗教活动的管理；准确掌握全县宗教基本情况，对重大问题进行调查研究并提出政策性建议；起草有关宗教工作的综合性重要文稿，为各类决策提供有关依据、建议和措施办法；负责协调推动有关部门履行宗教工作相关职责；做好我县民族宗教突发事件应急预案的实施及维护稳定工作。</w:t>
      </w:r>
    </w:p>
    <w:p>
      <w:pPr>
        <w:spacing w:line="556" w:lineRule="exact"/>
        <w:ind w:firstLineChars="200" w:firstLine="640"/>
        <w:rPr>
          <w:rFonts w:ascii="仿宋_GB2312" w:eastAsia="仿宋_GB2312" w:cs="仿宋_GB2312" w:hint="eastAsia"/>
          <w:b/>
          <w:sz w:val="32"/>
          <w:szCs w:val="32"/>
        </w:rPr>
      </w:pPr>
      <w:r>
        <w:rPr>
          <w:rFonts w:ascii="仿宋_GB2312" w:eastAsia="仿宋_GB2312" w:cs="仿宋_GB2312" w:hint="eastAsia"/>
          <w:b/>
          <w:sz w:val="32"/>
          <w:szCs w:val="32"/>
        </w:rPr>
        <w:t>4.两资管理股</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贯彻执行国家和省、州有关两项资金管理工作的政策和规定，依法管理两项资金投资的项目和资金；协助有关部门制定和实施各类经济和发展计划，负责对援助资金项目进行跟踪、监督、检查，对资金使用情况进行总结和统计；制定实施全县两项资金管理工作的具体办法和意见；负责两项资金项目库建设、项目申报、资金管理、建设实施、验收和档案的整理等全过程的管理和监督。</w:t>
      </w:r>
    </w:p>
    <w:p>
      <w:pPr>
        <w:spacing w:line="556" w:lineRule="exact"/>
        <w:ind w:firstLineChars="200" w:firstLine="640"/>
        <w:rPr>
          <w:rFonts w:ascii="仿宋_GB2312" w:eastAsia="仿宋_GB2312" w:cs="仿宋_GB2312" w:hint="eastAsia"/>
          <w:sz w:val="32"/>
          <w:szCs w:val="32"/>
        </w:rPr>
      </w:pPr>
      <w:r>
        <w:rPr>
          <w:rFonts w:ascii="仿宋_GB2312" w:eastAsia="仿宋_GB2312" w:cs="仿宋_GB2312" w:hint="eastAsia"/>
          <w:b/>
          <w:sz w:val="32"/>
          <w:szCs w:val="32"/>
        </w:rPr>
        <w:t>5.少数民族语言及文化古籍办公室（涉民宗网络监管中心）</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负责我县少数民族语言文字的使用和管理，组织协调民族语言文字规范化、标准化和信息化工作；指导民族古籍的收集整理工作，组织、联络、协调、指导、规划全县少数民族古籍的收集、整理、抢救、保护和研究工作，逐步实施少数民族古籍的开发与利用；负责涉民宗网络监管中心关于互联网上所有涉民宗信息、动态、文章以及宗教活动场所、宗教教职人员言论进行监管的工作。</w:t>
      </w:r>
    </w:p>
    <w:p>
      <w:pPr>
        <w:spacing w:line="556" w:lineRule="exact"/>
        <w:ind w:leftChars="200" w:left="420" w:firstLineChars="100" w:firstLine="320"/>
        <w:rPr>
          <w:rFonts w:ascii="仿宋_GB2312" w:eastAsia="仿宋_GB2312" w:cs="仿宋_GB2312" w:hint="eastAsia"/>
          <w:b/>
          <w:sz w:val="32"/>
          <w:szCs w:val="32"/>
        </w:rPr>
      </w:pPr>
      <w:r>
        <w:rPr>
          <w:rFonts w:ascii="仿宋_GB2312" w:eastAsia="仿宋_GB2312" w:cs="仿宋_GB2312" w:hint="eastAsia"/>
          <w:b/>
          <w:sz w:val="32"/>
          <w:szCs w:val="32"/>
          <w:lang w:val="en-US" w:eastAsia="zh-CN"/>
        </w:rPr>
        <w:t>6.</w:t>
      </w:r>
      <w:r>
        <w:rPr>
          <w:rFonts w:ascii="仿宋_GB2312" w:eastAsia="仿宋_GB2312" w:cs="仿宋_GB2312" w:hint="eastAsia"/>
          <w:b/>
          <w:sz w:val="32"/>
          <w:szCs w:val="32"/>
        </w:rPr>
        <w:t>县民族团结服务中心</w:t>
      </w:r>
    </w:p>
    <w:p>
      <w:pPr>
        <w:spacing w:line="556" w:lineRule="exact"/>
        <w:ind w:firstLineChars="200" w:firstLine="640"/>
        <w:rPr>
          <w:rFonts w:ascii="仿宋_GB2312" w:eastAsia="仿宋_GB2312" w:cs="仿宋"/>
          <w:kern w:val="0"/>
          <w:sz w:val="32"/>
          <w:szCs w:val="32"/>
        </w:rPr>
      </w:pPr>
      <w:r>
        <w:rPr>
          <w:rFonts w:ascii="仿宋_GB2312" w:eastAsia="仿宋_GB2312" w:cs="仿宋" w:hint="eastAsia"/>
          <w:kern w:val="0"/>
          <w:sz w:val="32"/>
          <w:szCs w:val="32"/>
        </w:rPr>
        <w:t>贯彻、宣传党的民族宗教工作方针政策和中央民族工作会议精神；以铸牢中华民族共同体意识为新时代民族工作的主线，开展民族团结进步创建、巩固、提升工作；承担推进中华民族共有精神家园建设的具体工作；协调推进全县新时代党的民族工作高质量发展。</w:t>
      </w:r>
    </w:p>
    <w:p>
      <w:pPr>
        <w:widowControl/>
        <w:suppressAutoHyphens/>
        <w:adjustRightInd w:val="0"/>
        <w:snapToGrid w:val="0"/>
        <w:spacing w:line="580" w:lineRule="exact"/>
        <w:ind w:left="0" w:firstLineChars="200" w:firstLine="640"/>
        <w:contextualSpacing/>
        <w:jc w:val="left"/>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hint="eastAsia"/>
          <w:b/>
          <w:bCs/>
          <w:color w:val="000000"/>
          <w:kern w:val="0"/>
          <w:sz w:val="32"/>
          <w:szCs w:val="32"/>
          <w:shd w:val="clear" w:color="auto" w:fill="FFFFFF"/>
          <w:lang w:val="zh-CN"/>
        </w:rPr>
        <w:t>（二）</w:t>
      </w:r>
      <w:r>
        <w:rPr>
          <w:rFonts w:ascii="Times New Roman" w:eastAsia="楷体_GB2312" w:hAnsi="Times New Roman"/>
          <w:b/>
          <w:bCs/>
          <w:color w:val="000000"/>
          <w:kern w:val="0"/>
          <w:sz w:val="32"/>
          <w:szCs w:val="32"/>
          <w:shd w:val="clear" w:color="auto" w:fill="FFFFFF"/>
          <w:lang w:val="zh-CN"/>
        </w:rPr>
        <w:t>机构职能</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1.贯彻执行党和国家关于民族宗教工作的方针、政策、法律、法规以及县委、县政府的决策部署；协调推进本系统依法行政，落实行政执法责任制；保障少数民族合法权益，贯彻落实民族区域自治法。</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2.组织开展民族宗教理论、政策及重大问题的调查研究；负责民族宗教动态和信息的汇总、分析，提出有关民族宗教工作的政策建议。</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3.负责协调推动有关部门履行民族宗教工作相关职责，推进民族宗教事务法治化、社会化管理工作，促进民族宗教政策在经济发展和社会事业等相关领域的实施、衔接；监督有关民族区域自治制度的建设和《中华人民共和国民族区域自治法》以及《阿坝藏族羌族自治州自治条例》的贯彻实施。</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4.研究提出协调民族关系、宗教关系的工作建议，会同有关部门处理涉及民族关系、宗教关系的重大事项，参与协调民族地区社会稳定工作，促进各民族共同团结奋斗、共同繁荣发展，维护国家统一。</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5.配合有关部门研究提出民族工作方面的具体政策措施；参与拟订我县地区经济社会相关领域的发展规划，促进建立和完善少数民族事业发展综合评价监测体系，推进民族宗教事务服务体系和管理信息化建设。</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6.研究分析全县少数民族和民族地区经济发展、社会事业方面的问题并提出特殊政策建议，组织协调或参与配合实施县委、县政府部署的民族地区民生工程相关工作，配合承办民族地区科技发展、对口支援、经济技术合作和扶贫开发等相关工作。</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7.负责组织指导全县民族宗教方面的法律法规、政策及基本知识的宣传教育工作；组织开展民族团结进步创建活动；协调民族关系，推动民族工作。</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8.负责管理全县少数民族语言文字工作，指导少数民族语言文字的翻译、出版和民族古籍的收集、整理、出版工作。</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9.依法履行宗教事务管理职责，依法保护公民宗教信仰自由和正常的宗教活动，维护宗教界合法权益，促进宗教关系和谐。</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10.指导宗教团体依法依章开展活动，支持宗教团体加强自身建设，推动宗教团体在宗教界开展爱国主义、社会主义和维护祖国统一、民族团结的自我教育，办理宗教团体需由政府解决或协调的有关事务。</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11.密切配合有关部门，坚决抵制、揭露、打击境外敌对势力，利用宗教对我县的渗透破坏活动。及时处理宗教方面的突发事件和影响社会政治稳定的问题，确保宗教工作的一方平安。</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12.负责民族宗教事务方面的外事管理工作，组织指导民族宗教工作领域有关对外和对港澳台的交流、交往与合作；参与涉及民族宗教事务的对外宣传工作。</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13.参与拟订宗教工作队伍建设规划。</w:t>
      </w:r>
    </w:p>
    <w:p>
      <w:pPr>
        <w:spacing w:line="556" w:lineRule="exact"/>
        <w:ind w:firstLineChars="200" w:firstLine="640"/>
        <w:rPr>
          <w:rFonts w:ascii="仿宋_GB2312" w:eastAsia="仿宋_GB2312" w:cs="仿宋_GB2312" w:hint="eastAsia"/>
          <w:kern w:val="0"/>
          <w:sz w:val="32"/>
          <w:szCs w:val="32"/>
        </w:rPr>
      </w:pPr>
      <w:r>
        <w:rPr>
          <w:rFonts w:ascii="仿宋_GB2312" w:eastAsia="仿宋_GB2312" w:cs="仿宋_GB2312" w:hint="eastAsia"/>
          <w:kern w:val="0"/>
          <w:sz w:val="32"/>
          <w:szCs w:val="32"/>
        </w:rPr>
        <w:t>14.承担县政府公布的有关行政审批事项。</w:t>
      </w:r>
    </w:p>
    <w:p>
      <w:pPr>
        <w:spacing w:line="600" w:lineRule="exact"/>
        <w:ind w:firstLine="636"/>
        <w:rPr>
          <w:rFonts w:ascii="仿宋_GB2312" w:eastAsia="仿宋_GB2312" w:cs="仿宋_GB2312" w:hint="eastAsia"/>
          <w:color w:val="000000"/>
          <w:kern w:val="0"/>
          <w:sz w:val="32"/>
          <w:szCs w:val="32"/>
          <w:shd w:val="clear" w:color="auto" w:fill="FFFFFF"/>
          <w:lang w:val="zh-CN"/>
        </w:rPr>
      </w:pPr>
      <w:r>
        <w:rPr>
          <w:rFonts w:ascii="仿宋_GB2312" w:eastAsia="仿宋_GB2312" w:cs="仿宋_GB2312" w:hint="eastAsia"/>
          <w:kern w:val="0"/>
          <w:sz w:val="32"/>
          <w:szCs w:val="32"/>
        </w:rPr>
        <w:t>15.承办县委、县政府交办的其他事项。</w:t>
      </w:r>
    </w:p>
    <w:p>
      <w:pPr>
        <w:spacing w:line="576" w:lineRule="atLeast"/>
        <w:ind w:left="0" w:firstLineChars="200" w:firstLine="640"/>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（三）人员概况</w:t>
      </w:r>
    </w:p>
    <w:p>
      <w:pPr>
        <w:pStyle w:val="18"/>
        <w:keepNext w:val="0"/>
        <w:keepLines w:val="0"/>
        <w:pageBreakBefore w:val="0"/>
        <w:widowControl w:val="0"/>
        <w:suppressAutoHyphens/>
        <w:kinsoku/>
        <w:wordWrap/>
        <w:overflowPunct/>
        <w:topLinePunct w:val="0"/>
        <w:autoSpaceDE/>
        <w:autoSpaceDN/>
        <w:bidi w:val="0"/>
        <w:spacing w:after="0" w:line="576" w:lineRule="exact"/>
        <w:ind w:left="0" w:firstLineChars="200" w:firstLine="640"/>
        <w:jc w:val="both"/>
        <w:textAlignment w:val="auto"/>
        <w:rPr>
          <w:rFonts w:ascii="仿宋_GB2312" w:eastAsia="仿宋_GB2312" w:cs="仿宋"/>
          <w:kern w:val="0"/>
          <w:sz w:val="32"/>
          <w:szCs w:val="32"/>
        </w:rPr>
      </w:pPr>
      <w:r>
        <w:rPr>
          <w:rFonts w:ascii="仿宋_GB2312" w:eastAsia="仿宋_GB2312" w:cs="仿宋" w:hint="eastAsia"/>
          <w:kern w:val="0"/>
          <w:sz w:val="32"/>
          <w:szCs w:val="32"/>
          <w:lang w:val="zh-CN"/>
        </w:rPr>
        <w:t>截止</w:t>
      </w:r>
      <w:r>
        <w:rPr>
          <w:rFonts w:ascii="仿宋_GB2312" w:eastAsia="仿宋_GB2312" w:cs="仿宋" w:hint="eastAsia"/>
          <w:kern w:val="0"/>
          <w:sz w:val="32"/>
          <w:szCs w:val="32"/>
        </w:rPr>
        <w:t>2023年末，县委编办核定总编制15名,其中:行政编制12名，行政工勤1名，事业编制2名。在职人员总数14名，其中：离休人员0人，退休人员0人。</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outlineLvl w:val="1"/>
        <w:rPr>
          <w:rFonts w:eastAsia="黑体"/>
          <w:color w:val="000000"/>
          <w:kern w:val="0"/>
          <w:sz w:val="32"/>
          <w:szCs w:val="32"/>
          <w:shd w:val="clear" w:color="auto" w:fill="FFFFFF"/>
          <w:lang w:val="zh-CN"/>
        </w:rPr>
      </w:pPr>
      <w:bookmarkStart w:id="70" w:name="_Toc7332"/>
      <w:r>
        <w:rPr>
          <w:rFonts w:eastAsia="黑体"/>
          <w:color w:val="000000"/>
          <w:kern w:val="0"/>
          <w:sz w:val="32"/>
          <w:szCs w:val="32"/>
          <w:shd w:val="clear" w:color="auto" w:fill="FFFFFF"/>
          <w:lang w:val="zh-CN"/>
        </w:rPr>
        <w:t>二、部门资金收支情况</w:t>
      </w:r>
      <w:bookmarkEnd w:id="70"/>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Times New Roman" w:eastAsia="楷体_GB2312" w:hAnsi="Times New Roman"/>
          <w:b/>
          <w:bCs/>
          <w:color w:val="000000"/>
          <w:kern w:val="0"/>
          <w:sz w:val="32"/>
          <w:szCs w:val="32"/>
          <w:shd w:val="clear" w:color="auto" w:fill="FFFFFF"/>
          <w:lang w:val="zh-CN"/>
        </w:rPr>
        <w:t>（一）</w:t>
      </w:r>
      <w:r>
        <w:rPr>
          <w:rFonts w:ascii="Times New Roman" w:eastAsia="楷体_GB2312" w:hAnsi="Times New Roman" w:hint="eastAsia"/>
          <w:b/>
          <w:bCs/>
          <w:color w:val="000000"/>
          <w:kern w:val="0"/>
          <w:sz w:val="32"/>
          <w:szCs w:val="32"/>
          <w:shd w:val="clear" w:color="auto" w:fill="FFFFFF"/>
          <w:lang w:val="zh-CN"/>
        </w:rPr>
        <w:t>收入情况</w:t>
      </w:r>
      <w:r>
        <w:rPr>
          <w:rFonts w:ascii="Times New Roman" w:eastAsia="楷体_GB2312" w:hAnsi="Times New Roman"/>
          <w:b/>
          <w:bCs/>
          <w:color w:val="000000"/>
          <w:kern w:val="0"/>
          <w:sz w:val="32"/>
          <w:szCs w:val="32"/>
          <w:shd w:val="clear" w:color="auto" w:fill="FFFFFF"/>
          <w:lang w:val="zh-CN"/>
        </w:rPr>
        <w:t>。</w:t>
      </w:r>
      <w:r>
        <w:rPr>
          <w:rFonts w:ascii="仿宋_GB2312" w:eastAsia="仿宋_GB2312" w:cs="仿宋" w:hint="eastAsia"/>
          <w:kern w:val="0"/>
          <w:sz w:val="32"/>
          <w:szCs w:val="32"/>
          <w:lang w:val="zh-CN"/>
        </w:rPr>
        <w:t>2023年本部门财政拨款收入决算总额为1,295.88万元，其中：当年财政拨款收入1,295.88万元,均为一般公共预算财政拨款。</w:t>
      </w:r>
    </w:p>
    <w:p>
      <w:pPr>
        <w:keepNext w:val="0"/>
        <w:keepLines w:val="0"/>
        <w:pageBreakBefore w:val="0"/>
        <w:widowControl w:val="0"/>
        <w:suppressAutoHyphens/>
        <w:kinsoku/>
        <w:wordWrap/>
        <w:overflowPunct/>
        <w:topLinePunct w:val="0"/>
        <w:autoSpaceDE/>
        <w:autoSpaceDN/>
        <w:bidi w:val="0"/>
        <w:spacing w:line="576" w:lineRule="exact"/>
        <w:ind w:left="0" w:firstLine="640"/>
        <w:jc w:val="both"/>
        <w:textAlignment w:val="auto"/>
        <w:rPr>
          <w:rFonts w:ascii="仿宋_GB2312" w:eastAsia="仿宋_GB2312" w:cs="仿宋_GB2312" w:hint="eastAsia"/>
          <w:sz w:val="32"/>
          <w:szCs w:val="32"/>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二</w:t>
      </w: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支出情况</w:t>
      </w:r>
      <w:r>
        <w:rPr>
          <w:rFonts w:ascii="Times New Roman" w:eastAsia="楷体_GB2312" w:hAnsi="Times New Roman"/>
          <w:b/>
          <w:bCs/>
          <w:color w:val="000000"/>
          <w:kern w:val="0"/>
          <w:sz w:val="32"/>
          <w:szCs w:val="32"/>
          <w:shd w:val="clear" w:color="auto" w:fill="FFFFFF"/>
          <w:lang w:val="zh-CN"/>
        </w:rPr>
        <w:t>。</w:t>
      </w:r>
      <w:r>
        <w:rPr>
          <w:rFonts w:ascii="仿宋_GB2312" w:eastAsia="仿宋_GB2312" w:cs="仿宋_GB2312" w:hint="eastAsia"/>
          <w:sz w:val="32"/>
          <w:szCs w:val="32"/>
        </w:rPr>
        <w:t>2023年度一般公共预算财政拨款支出1,295.88万元，主要用于以下方面:</w:t>
      </w:r>
      <w:r>
        <w:rPr>
          <w:rFonts w:ascii="仿宋_GB2312" w:eastAsia="仿宋_GB2312" w:cs="仿宋_GB2312" w:hint="eastAsia"/>
          <w:b/>
          <w:sz w:val="32"/>
          <w:szCs w:val="32"/>
        </w:rPr>
        <w:t>一般公共服务</w:t>
      </w:r>
      <w:r>
        <w:rPr>
          <w:rFonts w:ascii="仿宋_GB2312" w:eastAsia="仿宋_GB2312" w:cs="仿宋_GB2312" w:hint="eastAsia"/>
          <w:b/>
          <w:bCs/>
          <w:sz w:val="32"/>
          <w:szCs w:val="32"/>
        </w:rPr>
        <w:t>支出</w:t>
      </w:r>
      <w:r>
        <w:rPr>
          <w:rFonts w:ascii="仿宋_GB2312" w:eastAsia="仿宋_GB2312" w:cs="仿宋_GB2312" w:hint="eastAsia"/>
          <w:sz w:val="32"/>
          <w:szCs w:val="32"/>
        </w:rPr>
        <w:t>240.56万元，占18.56%；</w:t>
      </w:r>
      <w:r>
        <w:rPr>
          <w:rFonts w:ascii="仿宋_GB2312" w:eastAsia="仿宋_GB2312" w:cs="仿宋_GB2312" w:hint="eastAsia"/>
          <w:b/>
          <w:sz w:val="32"/>
          <w:szCs w:val="32"/>
        </w:rPr>
        <w:t>社会保障和就业</w:t>
      </w:r>
      <w:r>
        <w:rPr>
          <w:rFonts w:ascii="仿宋_GB2312" w:eastAsia="仿宋_GB2312" w:cs="仿宋_GB2312" w:hint="eastAsia"/>
          <w:b/>
          <w:bCs/>
          <w:sz w:val="32"/>
          <w:szCs w:val="32"/>
        </w:rPr>
        <w:t>支出</w:t>
      </w:r>
      <w:r>
        <w:rPr>
          <w:rFonts w:ascii="仿宋_GB2312" w:eastAsia="仿宋_GB2312" w:cs="仿宋_GB2312" w:hint="eastAsia"/>
          <w:b w:val="0"/>
          <w:bCs w:val="0"/>
          <w:sz w:val="32"/>
          <w:szCs w:val="32"/>
        </w:rPr>
        <w:t>40.4</w:t>
      </w:r>
      <w:r>
        <w:rPr>
          <w:rFonts w:ascii="仿宋_GB2312" w:eastAsia="仿宋_GB2312" w:cs="仿宋_GB2312" w:hint="eastAsia"/>
          <w:sz w:val="32"/>
          <w:szCs w:val="32"/>
        </w:rPr>
        <w:t>万元，占3.12%；</w:t>
      </w:r>
      <w:r>
        <w:rPr>
          <w:rFonts w:ascii="仿宋_GB2312" w:eastAsia="仿宋_GB2312" w:cs="仿宋_GB2312" w:hint="eastAsia"/>
          <w:b/>
          <w:bCs/>
          <w:sz w:val="32"/>
          <w:szCs w:val="32"/>
        </w:rPr>
        <w:t>卫生健康支出</w:t>
      </w:r>
      <w:r>
        <w:rPr>
          <w:rFonts w:ascii="仿宋_GB2312" w:eastAsia="仿宋_GB2312" w:cs="仿宋_GB2312" w:hint="eastAsia"/>
          <w:sz w:val="32"/>
          <w:szCs w:val="32"/>
        </w:rPr>
        <w:t>16.01万元，占1.24%；</w:t>
      </w:r>
      <w:r>
        <w:rPr>
          <w:rFonts w:ascii="仿宋_GB2312" w:eastAsia="仿宋_GB2312" w:cs="仿宋_GB2312" w:hint="eastAsia"/>
          <w:b/>
          <w:bCs/>
          <w:sz w:val="32"/>
          <w:szCs w:val="32"/>
        </w:rPr>
        <w:t>住房保障支出</w:t>
      </w:r>
      <w:r>
        <w:rPr>
          <w:rFonts w:ascii="仿宋_GB2312" w:eastAsia="仿宋_GB2312" w:cs="仿宋_GB2312" w:hint="eastAsia"/>
          <w:sz w:val="32"/>
          <w:szCs w:val="32"/>
        </w:rPr>
        <w:t xml:space="preserve">19.68万元，占1.52%； </w:t>
      </w:r>
      <w:r>
        <w:rPr>
          <w:rFonts w:ascii="仿宋_GB2312" w:eastAsia="仿宋_GB2312" w:cs="仿宋_GB2312" w:hint="eastAsia"/>
          <w:b/>
          <w:color w:val="000000"/>
          <w:sz w:val="32"/>
          <w:szCs w:val="32"/>
        </w:rPr>
        <w:t>农林水支出</w:t>
      </w:r>
      <w:r>
        <w:rPr>
          <w:rFonts w:ascii="仿宋_GB2312" w:eastAsia="仿宋_GB2312" w:cs="仿宋_GB2312" w:hint="eastAsia"/>
          <w:color w:val="000000"/>
          <w:sz w:val="32"/>
          <w:szCs w:val="32"/>
        </w:rPr>
        <w:t>支出</w:t>
      </w:r>
      <w:r>
        <w:rPr>
          <w:rFonts w:ascii="仿宋_GB2312" w:eastAsia="仿宋_GB2312" w:cs="仿宋_GB2312" w:hint="eastAsia"/>
          <w:sz w:val="32"/>
          <w:szCs w:val="32"/>
        </w:rPr>
        <w:t>979.23万元，占75.56%。</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sz w:val="32"/>
          <w:szCs w:val="32"/>
        </w:rPr>
      </w:pPr>
      <w:r>
        <w:rPr>
          <w:rFonts w:ascii="仿宋_GB2312" w:eastAsia="仿宋_GB2312" w:cs="仿宋_GB2312" w:hint="eastAsia"/>
          <w:sz w:val="32"/>
          <w:szCs w:val="32"/>
        </w:rPr>
        <w:t>茂县民族宗教局对</w:t>
      </w:r>
      <w:r>
        <w:rPr>
          <w:rFonts w:ascii="仿宋_GB2312" w:eastAsia="仿宋_GB2312" w:cs="仿宋_GB2312"/>
          <w:sz w:val="32"/>
          <w:szCs w:val="32"/>
        </w:rPr>
        <w:t>20</w:t>
      </w:r>
      <w:r>
        <w:rPr>
          <w:rFonts w:ascii="仿宋_GB2312" w:eastAsia="仿宋_GB2312" w:cs="仿宋_GB2312" w:hint="eastAsia"/>
          <w:sz w:val="32"/>
          <w:szCs w:val="32"/>
        </w:rPr>
        <w:t>23年部门支出合计</w:t>
      </w:r>
      <w:r>
        <w:rPr>
          <w:rFonts w:ascii="仿宋" w:eastAsia="仿宋" w:hint="eastAsia"/>
          <w:sz w:val="32"/>
          <w:szCs w:val="32"/>
        </w:rPr>
        <w:t>1,295.88</w:t>
      </w:r>
      <w:r>
        <w:rPr>
          <w:rFonts w:ascii="仿宋_GB2312" w:eastAsia="仿宋_GB2312" w:cs="仿宋_GB2312" w:hint="eastAsia"/>
          <w:sz w:val="32"/>
          <w:szCs w:val="32"/>
        </w:rPr>
        <w:t>万元。</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sz w:val="32"/>
          <w:szCs w:val="32"/>
        </w:rPr>
      </w:pPr>
      <w:r>
        <w:rPr>
          <w:rFonts w:ascii="仿宋_GB2312" w:eastAsia="仿宋_GB2312" w:cs="仿宋_GB2312" w:hint="eastAsia"/>
          <w:sz w:val="32"/>
          <w:szCs w:val="32"/>
        </w:rPr>
        <w:t>其中：</w:t>
      </w:r>
    </w:p>
    <w:p>
      <w:pPr>
        <w:keepNext w:val="0"/>
        <w:keepLines w:val="0"/>
        <w:pageBreakBefore w:val="0"/>
        <w:widowControl w:val="0"/>
        <w:numPr>
          <w:ilvl w:val="0"/>
          <w:numId w:val="1"/>
        </w:numPr>
        <w:suppressAutoHyphens/>
        <w:kinsoku/>
        <w:wordWrap/>
        <w:overflowPunct/>
        <w:topLinePunct w:val="0"/>
        <w:autoSpaceDE/>
        <w:autoSpaceDN/>
        <w:bidi w:val="0"/>
        <w:spacing w:line="576" w:lineRule="exact"/>
        <w:ind w:left="0" w:firstLineChars="200" w:firstLine="640"/>
        <w:jc w:val="both"/>
        <w:textAlignment w:val="auto"/>
        <w:rPr>
          <w:rFonts w:ascii="仿宋" w:eastAsia="仿宋"/>
          <w:sz w:val="32"/>
          <w:szCs w:val="32"/>
        </w:rPr>
      </w:pPr>
      <w:r>
        <w:rPr>
          <w:rFonts w:ascii="仿宋" w:eastAsia="仿宋" w:hint="eastAsia"/>
          <w:sz w:val="32"/>
          <w:szCs w:val="32"/>
        </w:rPr>
        <w:t>基本支出293.54万元，占23</w:t>
      </w:r>
      <w:r>
        <w:rPr>
          <w:rFonts w:ascii="仿宋" w:eastAsia="仿宋"/>
          <w:sz w:val="32"/>
          <w:szCs w:val="32"/>
        </w:rPr>
        <w:t>%</w:t>
      </w:r>
      <w:r>
        <w:rPr>
          <w:rFonts w:ascii="仿宋" w:eastAsia="仿宋" w:hint="eastAsia"/>
          <w:sz w:val="32"/>
          <w:szCs w:val="32"/>
        </w:rPr>
        <w:t>。</w:t>
      </w:r>
    </w:p>
    <w:p>
      <w:pPr>
        <w:keepNext w:val="0"/>
        <w:keepLines w:val="0"/>
        <w:pageBreakBefore w:val="0"/>
        <w:widowControl w:val="0"/>
        <w:numPr>
          <w:ilvl w:val="0"/>
          <w:numId w:val="1"/>
        </w:numPr>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sz w:val="32"/>
          <w:szCs w:val="32"/>
        </w:rPr>
      </w:pPr>
      <w:r>
        <w:rPr>
          <w:rFonts w:ascii="仿宋" w:eastAsia="仿宋" w:hint="eastAsia"/>
          <w:sz w:val="32"/>
          <w:szCs w:val="32"/>
        </w:rPr>
        <w:t>项目支出1,002.34万元，占77</w:t>
      </w:r>
      <w:r>
        <w:rPr>
          <w:rFonts w:ascii="仿宋" w:eastAsia="仿宋"/>
          <w:sz w:val="32"/>
          <w:szCs w:val="32"/>
        </w:rPr>
        <w:t>%</w:t>
      </w:r>
      <w:r>
        <w:rPr>
          <w:rFonts w:ascii="仿宋" w:eastAsia="仿宋" w:hint="eastAsia"/>
          <w:sz w:val="32"/>
          <w:szCs w:val="32"/>
        </w:rPr>
        <w:t>；</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contextualSpacing/>
        <w:jc w:val="both"/>
        <w:textAlignment w:val="auto"/>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三</w:t>
      </w:r>
      <w:r>
        <w:rPr>
          <w:rFonts w:ascii="Times New Roman" w:eastAsia="楷体_GB2312" w:hAnsi="Times New Roman"/>
          <w:b/>
          <w:bCs/>
          <w:color w:val="000000"/>
          <w:kern w:val="0"/>
          <w:sz w:val="32"/>
          <w:szCs w:val="32"/>
          <w:shd w:val="clear" w:color="auto" w:fill="FFFFFF"/>
          <w:lang w:val="zh-CN"/>
        </w:rPr>
        <w:t>）结余分配和结转结余情况</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contextualSpacing/>
        <w:jc w:val="both"/>
        <w:textAlignment w:val="auto"/>
        <w:rPr>
          <w:rFonts w:ascii="Times New Roman" w:eastAsia="仿宋_GB2312" w:hAnsi="Times New Roman"/>
          <w:sz w:val="32"/>
          <w:szCs w:val="32"/>
          <w:lang w:val="zh-CN"/>
        </w:rPr>
      </w:pPr>
      <w:r>
        <w:rPr>
          <w:rFonts w:ascii="仿宋_GB2312" w:eastAsia="仿宋_GB2312" w:cs="仿宋_GB2312" w:hint="eastAsia"/>
          <w:sz w:val="32"/>
          <w:szCs w:val="32"/>
        </w:rPr>
        <w:t>2023年决算报表结转结余情况：无结转结余。</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outlineLvl w:val="1"/>
        <w:rPr>
          <w:rFonts w:eastAsia="黑体"/>
          <w:color w:val="000000"/>
          <w:kern w:val="0"/>
          <w:sz w:val="32"/>
          <w:szCs w:val="32"/>
          <w:shd w:val="clear" w:color="auto" w:fill="FFFFFF"/>
          <w:lang w:val="zh-CN"/>
        </w:rPr>
      </w:pPr>
      <w:bookmarkStart w:id="71" w:name="_Toc27872"/>
      <w:r>
        <w:rPr>
          <w:rFonts w:eastAsia="黑体"/>
          <w:color w:val="000000"/>
          <w:kern w:val="0"/>
          <w:sz w:val="32"/>
          <w:szCs w:val="32"/>
          <w:shd w:val="clear" w:color="auto" w:fill="FFFFFF"/>
          <w:lang w:val="zh-CN"/>
        </w:rPr>
        <w:t>三、部门预算绩效分析</w:t>
      </w:r>
      <w:bookmarkEnd w:id="71"/>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（一）</w:t>
      </w:r>
      <w:r>
        <w:rPr>
          <w:rFonts w:ascii="Times New Roman" w:eastAsia="楷体_GB2312" w:hAnsi="Times New Roman" w:hint="eastAsia"/>
          <w:b/>
          <w:bCs/>
          <w:color w:val="000000"/>
          <w:kern w:val="0"/>
          <w:sz w:val="32"/>
          <w:szCs w:val="32"/>
          <w:shd w:val="clear" w:color="auto" w:fill="FFFFFF"/>
          <w:lang w:val="zh-CN"/>
        </w:rPr>
        <w:t>部门预算</w:t>
      </w:r>
      <w:r>
        <w:rPr>
          <w:rFonts w:ascii="Times New Roman" w:eastAsia="楷体_GB2312" w:hAnsi="Times New Roman"/>
          <w:b/>
          <w:bCs/>
          <w:color w:val="000000"/>
          <w:kern w:val="0"/>
          <w:sz w:val="32"/>
          <w:szCs w:val="32"/>
          <w:shd w:val="clear" w:color="auto" w:fill="FFFFFF"/>
          <w:lang w:val="zh-CN"/>
        </w:rPr>
        <w:t>总体绩效分析</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b/>
          <w:bCs/>
          <w:kern w:val="0"/>
          <w:sz w:val="32"/>
          <w:szCs w:val="32"/>
          <w:lang w:val="zh-CN"/>
        </w:rPr>
        <w:t>1.履职效能。</w:t>
      </w:r>
      <w:r>
        <w:rPr>
          <w:rFonts w:ascii="仿宋_GB2312" w:eastAsia="仿宋_GB2312" w:cs="仿宋" w:hint="eastAsia"/>
          <w:kern w:val="0"/>
          <w:sz w:val="32"/>
          <w:szCs w:val="32"/>
          <w:lang w:val="zh-CN"/>
        </w:rPr>
        <w:t>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b/>
          <w:bCs/>
          <w:kern w:val="0"/>
          <w:sz w:val="32"/>
          <w:szCs w:val="32"/>
          <w:lang w:val="zh-CN"/>
        </w:rPr>
        <w:t>2.预算管理。</w:t>
      </w:r>
      <w:r>
        <w:rPr>
          <w:rFonts w:ascii="仿宋_GB2312" w:eastAsia="仿宋_GB2312" w:cs="仿宋" w:hint="eastAsia"/>
          <w:kern w:val="0"/>
          <w:sz w:val="32"/>
          <w:szCs w:val="32"/>
          <w:lang w:val="zh-CN"/>
        </w:rPr>
        <w:t>严格按照县级部门预算编制通知和有关要求，按时完成基础库、项目库报送工作，按时完成2024年预算编制工作，并按时提交部门预算草案。按规定编制政府采购预算，预算编制全面、科学。</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b/>
          <w:bCs/>
          <w:kern w:val="0"/>
          <w:sz w:val="32"/>
          <w:szCs w:val="32"/>
          <w:lang w:val="zh-CN"/>
        </w:rPr>
        <w:t>3.财务管理。</w:t>
      </w:r>
      <w:r>
        <w:rPr>
          <w:rFonts w:ascii="仿宋_GB2312" w:eastAsia="仿宋_GB2312" w:cs="仿宋" w:hint="eastAsia"/>
          <w:kern w:val="0"/>
          <w:sz w:val="32"/>
          <w:szCs w:val="32"/>
          <w:lang w:val="zh-CN"/>
        </w:rPr>
        <w:t>在办公室下设财务室，</w:t>
      </w:r>
      <w:r>
        <w:rPr>
          <w:rFonts w:ascii="仿宋_GB2312" w:eastAsia="仿宋_GB2312" w:cs="仿宋"/>
          <w:kern w:val="0"/>
          <w:sz w:val="32"/>
          <w:szCs w:val="32"/>
          <w:lang w:val="zh-CN"/>
        </w:rPr>
        <w:t>分管财务的</w:t>
      </w:r>
      <w:r>
        <w:rPr>
          <w:rFonts w:ascii="仿宋_GB2312" w:eastAsia="仿宋_GB2312" w:cs="仿宋" w:hint="eastAsia"/>
          <w:kern w:val="0"/>
          <w:sz w:val="32"/>
          <w:szCs w:val="32"/>
          <w:lang w:val="zh-CN"/>
        </w:rPr>
        <w:t>副局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b/>
          <w:bCs/>
          <w:kern w:val="0"/>
          <w:sz w:val="32"/>
          <w:szCs w:val="32"/>
          <w:lang w:val="zh-CN"/>
        </w:rPr>
        <w:t>4.资产管理。</w:t>
      </w:r>
      <w:r>
        <w:rPr>
          <w:rFonts w:ascii="仿宋_GB2312" w:eastAsia="仿宋_GB2312" w:cs="仿宋" w:hint="eastAsia"/>
          <w:kern w:val="0"/>
          <w:sz w:val="32"/>
          <w:szCs w:val="32"/>
          <w:lang w:val="zh-CN"/>
        </w:rPr>
        <w:t>加强对固定资产的管理，规范机关固定资产的配置、使用和管理，强化固定资产的管理责任，建立节约型机关。</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b/>
          <w:bCs/>
          <w:kern w:val="0"/>
          <w:sz w:val="32"/>
          <w:szCs w:val="32"/>
          <w:lang w:val="zh-CN"/>
        </w:rPr>
        <w:t>5.采购管理。</w:t>
      </w:r>
      <w:r>
        <w:rPr>
          <w:rFonts w:ascii="仿宋_GB2312" w:eastAsia="仿宋_GB2312" w:cs="仿宋" w:hint="eastAsia"/>
          <w:kern w:val="0"/>
          <w:sz w:val="32"/>
          <w:szCs w:val="32"/>
          <w:lang w:val="zh-CN"/>
        </w:rPr>
        <w:t>确保办理采购业务的不相容岗位相互分离制约和监督，并根据具体情况对办理采购业务的人员定期进行岗位轮换。加强采购业务的记录控制。由档案室负责妥善保管采购业务的相关文件。对于大宗设备、物资或重大服务采购业务需求，由单位领导班子集体研究决定，并成立由单位内部资产、财会、审计、纪检监察等部门人员组成的采购工作小组，形成各部门相互协调、相互制约的机制， 加强对采购业务各个环节的控制。</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（二）部门预算项目绩效分析</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hint="eastAsia"/>
          <w:b/>
          <w:bCs/>
          <w:kern w:val="0"/>
          <w:sz w:val="32"/>
          <w:szCs w:val="32"/>
          <w:lang w:val="zh-CN"/>
        </w:rPr>
      </w:pPr>
      <w:r>
        <w:rPr>
          <w:rFonts w:ascii="仿宋_GB2312" w:eastAsia="仿宋_GB2312" w:cs="仿宋_GB2312" w:hint="eastAsia"/>
          <w:b/>
          <w:bCs/>
          <w:kern w:val="0"/>
          <w:sz w:val="32"/>
          <w:szCs w:val="32"/>
          <w:lang w:val="en-US" w:eastAsia="zh-CN"/>
        </w:rPr>
        <w:t>1.</w:t>
      </w:r>
      <w:r>
        <w:rPr>
          <w:rFonts w:ascii="仿宋_GB2312" w:eastAsia="仿宋_GB2312" w:cs="仿宋_GB2312" w:hint="eastAsia"/>
          <w:b/>
          <w:bCs/>
          <w:kern w:val="0"/>
          <w:sz w:val="32"/>
          <w:szCs w:val="32"/>
          <w:lang w:val="zh-CN"/>
        </w:rPr>
        <w:t>部门预算项目绩效管理</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我单位严格按照财政相关规定制定绩效目标，人员工资、社保等做到及时发放，单位日常运转所需经费按照各股室提出申请，办公室审核，分管领导同意后进行支付。加强项目绩效管理，完善全过程预算绩效管理模式和问责机制。进一步完善贯穿项目实施全过程（绩效目标管理、绩效监控、绩效评价、结果应用）的绩效管理机制，从项目绩效目标编制审核入手，加强财政资金的跟踪问效，及时纠正绩效偏差，延伸财政管理链条，提升精细化管理水平，提高财政资金的使用效益。以立项环节为抓手，建立财政资金管理项目库。作为地方预算编制的依据。建立完善财政项目资金管理绩效考核机制，引入第三方机构或专家小组，独立对财政项目进行评估和论证，改进财政项目资金申报、论证、审批、分配方式。建立规范、高效的财政预算绩效运行机制。进一步加强财政项目资金管理，优化财政资源配置，推进资金统筹使用，提高资金使用效益。严格把关单位各部门差旅费、接待费、办公费、公务用车运行维护费等支出，确保使用合理高效。我单位各预算资金及时按规定支付、无违规记录。</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hint="eastAsia"/>
          <w:b/>
          <w:bCs/>
          <w:kern w:val="0"/>
          <w:sz w:val="32"/>
          <w:szCs w:val="32"/>
          <w:lang w:val="zh-CN"/>
        </w:rPr>
      </w:pPr>
      <w:r>
        <w:rPr>
          <w:rFonts w:ascii="仿宋_GB2312" w:eastAsia="仿宋_GB2312" w:cs="仿宋_GB2312" w:hint="eastAsia"/>
          <w:b/>
          <w:bCs/>
          <w:kern w:val="0"/>
          <w:sz w:val="32"/>
          <w:szCs w:val="32"/>
          <w:lang w:val="en-US" w:eastAsia="zh-CN"/>
        </w:rPr>
        <w:t>2.</w:t>
      </w:r>
      <w:r>
        <w:rPr>
          <w:rFonts w:ascii="仿宋_GB2312" w:eastAsia="仿宋_GB2312" w:cs="仿宋_GB2312" w:hint="eastAsia"/>
          <w:b/>
          <w:bCs/>
          <w:kern w:val="0"/>
          <w:sz w:val="32"/>
          <w:szCs w:val="32"/>
          <w:lang w:val="zh-CN"/>
        </w:rPr>
        <w:t>结果应用情况</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我单位严格按照财务规章制度进行自评，做到自评主动公开，发现问题及时整改。</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_GB2312" w:hint="eastAsia"/>
          <w:b/>
          <w:bCs/>
          <w:kern w:val="0"/>
          <w:sz w:val="32"/>
          <w:szCs w:val="32"/>
          <w:lang w:val="zh-CN"/>
        </w:rPr>
      </w:pPr>
      <w:r>
        <w:rPr>
          <w:rFonts w:ascii="仿宋_GB2312" w:eastAsia="仿宋_GB2312" w:cs="仿宋_GB2312" w:hint="eastAsia"/>
          <w:b/>
          <w:bCs/>
          <w:kern w:val="0"/>
          <w:sz w:val="32"/>
          <w:szCs w:val="32"/>
          <w:lang w:val="en-US" w:eastAsia="zh-CN"/>
        </w:rPr>
        <w:t>3.</w:t>
      </w:r>
      <w:r>
        <w:rPr>
          <w:rFonts w:ascii="仿宋_GB2312" w:eastAsia="仿宋_GB2312" w:cs="仿宋_GB2312" w:hint="eastAsia"/>
          <w:b/>
          <w:bCs/>
          <w:kern w:val="0"/>
          <w:sz w:val="32"/>
          <w:szCs w:val="32"/>
          <w:lang w:val="zh-CN"/>
        </w:rPr>
        <w:t>自评质量</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通过上级部门及本级财政部门的评估检查，本单位财务职责履行结果良好，重点项目绩效评估良好，服务对象及满意度得到上级部门及本级部门的肯定，整体结果良好。</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b/>
          <w:bCs/>
          <w:color w:val="000000"/>
          <w:kern w:val="0"/>
          <w:sz w:val="32"/>
          <w:szCs w:val="32"/>
          <w:shd w:val="clear" w:color="auto" w:fill="FFFFFF"/>
          <w:lang w:val="zh-CN"/>
        </w:rPr>
        <w:t>（</w:t>
      </w:r>
      <w:r>
        <w:rPr>
          <w:rFonts w:ascii="Times New Roman" w:eastAsia="楷体_GB2312" w:hAnsi="Times New Roman" w:hint="eastAsia"/>
          <w:b/>
          <w:bCs/>
          <w:color w:val="000000"/>
          <w:kern w:val="0"/>
          <w:sz w:val="32"/>
          <w:szCs w:val="32"/>
          <w:shd w:val="clear" w:color="auto" w:fill="FFFFFF"/>
          <w:lang w:val="zh-CN"/>
        </w:rPr>
        <w:t>三</w:t>
      </w:r>
      <w:r>
        <w:rPr>
          <w:rFonts w:ascii="Times New Roman" w:eastAsia="楷体_GB2312" w:hAnsi="Times New Roman"/>
          <w:b/>
          <w:bCs/>
          <w:color w:val="000000"/>
          <w:kern w:val="0"/>
          <w:sz w:val="32"/>
          <w:szCs w:val="32"/>
          <w:shd w:val="clear" w:color="auto" w:fill="FFFFFF"/>
          <w:lang w:val="zh-CN"/>
        </w:rPr>
        <w:t>）重点领域绩效分析</w:t>
      </w:r>
    </w:p>
    <w:p>
      <w:pPr>
        <w:pStyle w:val="30"/>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 w:eastAsia="仿宋"/>
          <w:b/>
          <w:bCs/>
          <w:kern w:val="0"/>
          <w:sz w:val="32"/>
          <w:szCs w:val="32"/>
        </w:rPr>
      </w:pPr>
      <w:r>
        <w:rPr>
          <w:rFonts w:ascii="楷体_GB2312" w:eastAsia="楷体_GB2312" w:cs="楷体_GB2312" w:hint="eastAsia"/>
          <w:b/>
          <w:kern w:val="0"/>
          <w:sz w:val="32"/>
          <w:szCs w:val="32"/>
        </w:rPr>
        <w:t>1.</w:t>
      </w:r>
      <w:r>
        <w:rPr>
          <w:rFonts w:ascii="楷体_GB2312" w:eastAsia="楷体_GB2312" w:cs="楷体_GB2312" w:hint="eastAsia"/>
          <w:b/>
          <w:bCs/>
          <w:kern w:val="0"/>
          <w:sz w:val="32"/>
          <w:szCs w:val="32"/>
        </w:rPr>
        <w:t>资产整体情况</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茂县民族宗教局行政单位国有资产3,753.28万元，占100.00%；事业单位国有资产0.00万元，占0.00%。流动资产0.00万元，较上年增长0.00%，占资产总额0.00%；固定资产364.71万元，较上年增长-2.54%, 占资产总额9.72%；在建工程1,352.59万元，较上年增长223.35%，占资产总额36.04%；长期投资0.00万元，占资产总额0.00%；无形资产0.00万元，较上年增长0.00%，占资产总额0.00%；公共基础设施2,035.98万元，占资产总额54.25%；政府储备物资0.00万元，占资产总额0.00%；文物文化资产0.00万元，占资产总额0.00%；保障性住房0.00万元，占资产总额0.00%；其他资产0.00万元，占资产总额0.00%。</w:t>
      </w:r>
    </w:p>
    <w:p>
      <w:pPr>
        <w:keepNext w:val="0"/>
        <w:keepLines w:val="0"/>
        <w:pageBreakBefore w:val="0"/>
        <w:widowControl w:val="0"/>
        <w:suppressAutoHyphens/>
        <w:kinsoku/>
        <w:wordWrap/>
        <w:overflowPunct/>
        <w:topLinePunct w:val="0"/>
        <w:autoSpaceDE/>
        <w:autoSpaceDN/>
        <w:bidi w:val="0"/>
        <w:spacing w:line="576" w:lineRule="exact"/>
        <w:ind w:leftChars="200" w:left="420" w:firstLineChars="100" w:firstLine="320"/>
        <w:jc w:val="both"/>
        <w:textAlignment w:val="auto"/>
        <w:rPr>
          <w:rFonts w:ascii="仿宋" w:eastAsia="仿宋"/>
          <w:b/>
          <w:bCs/>
          <w:sz w:val="32"/>
          <w:szCs w:val="32"/>
        </w:rPr>
      </w:pPr>
      <w:r>
        <w:rPr>
          <w:rFonts w:ascii="仿宋" w:eastAsia="仿宋" w:hint="eastAsia"/>
          <w:b/>
          <w:bCs/>
          <w:sz w:val="32"/>
          <w:szCs w:val="32"/>
          <w:lang w:val="en-US" w:eastAsia="zh-CN"/>
        </w:rPr>
        <w:t>2.</w:t>
      </w:r>
      <w:r>
        <w:rPr>
          <w:rFonts w:ascii="仿宋" w:eastAsia="仿宋" w:hint="eastAsia"/>
          <w:b/>
          <w:bCs/>
          <w:sz w:val="32"/>
          <w:szCs w:val="32"/>
        </w:rPr>
        <w:t>固定资产情况：</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 xml:space="preserve">经盘点统计，截至2023年底本单位固定资产为房屋和构筑物362.52万元，占固定资产的99.40%（其中，房屋362.52万元，占固定资产的99.40%）；设备0.49万元，占0.13%（其中，车辆0.00万元，占0.00%，单价100万（含）以上（不含车辆）设备0.00万元，占0.00%）；文物和陈列品0.00万元，占0.00%；图书和档案0.00万元，占0.00%；家具和用具1.70万元，占0.47%；特种动植物0.00万元，占0.00%。 </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Chars="200" w:left="420" w:firstLineChars="100" w:firstLine="320"/>
        <w:jc w:val="both"/>
        <w:textAlignment w:val="auto"/>
        <w:rPr>
          <w:rFonts w:ascii="Times New Roman" w:eastAsia="楷体_GB2312" w:hAnsi="Times New Roman"/>
          <w:b/>
          <w:bCs/>
          <w:color w:val="000000"/>
          <w:kern w:val="0"/>
          <w:sz w:val="32"/>
          <w:szCs w:val="32"/>
          <w:shd w:val="clear" w:color="auto" w:fill="FFFFFF"/>
          <w:lang w:val="zh-CN"/>
        </w:rPr>
      </w:pPr>
      <w:r>
        <w:rPr>
          <w:rFonts w:ascii="Times New Roman" w:eastAsia="楷体_GB2312" w:hAnsi="Times New Roman" w:hint="eastAsia"/>
          <w:b/>
          <w:bCs/>
          <w:color w:val="000000"/>
          <w:kern w:val="0"/>
          <w:sz w:val="32"/>
          <w:szCs w:val="32"/>
          <w:shd w:val="clear" w:color="auto" w:fill="FFFFFF"/>
          <w:lang w:val="zh-CN"/>
        </w:rPr>
        <w:t>（四）</w:t>
      </w:r>
      <w:r>
        <w:rPr>
          <w:rFonts w:ascii="Times New Roman" w:eastAsia="楷体_GB2312" w:hAnsi="Times New Roman"/>
          <w:b/>
          <w:bCs/>
          <w:color w:val="000000"/>
          <w:kern w:val="0"/>
          <w:sz w:val="32"/>
          <w:szCs w:val="32"/>
          <w:shd w:val="clear" w:color="auto" w:fill="FFFFFF"/>
          <w:lang w:val="zh-CN"/>
        </w:rPr>
        <w:t>绩效结果应用情况</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我单位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w:t>
      </w:r>
      <w:r>
        <w:rPr>
          <w:rFonts w:ascii="仿宋_GB2312" w:eastAsia="仿宋_GB2312" w:cs="仿宋"/>
          <w:kern w:val="0"/>
          <w:sz w:val="32"/>
          <w:szCs w:val="32"/>
          <w:lang w:val="zh-CN"/>
        </w:rPr>
        <w:t>单位</w:t>
      </w:r>
      <w:r>
        <w:rPr>
          <w:rFonts w:ascii="仿宋_GB2312" w:eastAsia="仿宋_GB2312" w:cs="仿宋" w:hint="eastAsia"/>
          <w:kern w:val="0"/>
          <w:sz w:val="32"/>
          <w:szCs w:val="32"/>
          <w:lang w:val="zh-CN"/>
        </w:rPr>
        <w:t>整体绩效管理水平不断提升。</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outlineLvl w:val="1"/>
        <w:rPr>
          <w:rFonts w:eastAsia="黑体"/>
          <w:color w:val="000000"/>
          <w:kern w:val="0"/>
          <w:sz w:val="32"/>
          <w:szCs w:val="32"/>
          <w:shd w:val="clear" w:color="auto" w:fill="FFFFFF"/>
          <w:lang w:val="zh-CN"/>
        </w:rPr>
      </w:pPr>
      <w:bookmarkStart w:id="72" w:name="_Toc23734"/>
      <w:r>
        <w:rPr>
          <w:rFonts w:eastAsia="黑体"/>
          <w:color w:val="000000"/>
          <w:kern w:val="0"/>
          <w:sz w:val="32"/>
          <w:szCs w:val="32"/>
          <w:shd w:val="clear" w:color="auto" w:fill="FFFFFF"/>
          <w:lang w:val="zh-CN"/>
        </w:rPr>
        <w:t>四、评价结论及建议</w:t>
      </w:r>
      <w:bookmarkEnd w:id="72"/>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（一）评价结论</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 w:eastAsia="仿宋" w:cs="仿宋"/>
          <w:sz w:val="32"/>
          <w:szCs w:val="32"/>
          <w:lang w:val="zh-CN"/>
        </w:rPr>
      </w:pPr>
      <w:r>
        <w:rPr>
          <w:rFonts w:ascii="仿宋" w:eastAsia="仿宋" w:cs="仿宋" w:hint="eastAsia"/>
          <w:color w:val="000000"/>
          <w:kern w:val="0"/>
          <w:sz w:val="32"/>
          <w:szCs w:val="32"/>
          <w:shd w:val="clear" w:color="auto" w:fill="FFFFFF"/>
          <w:lang w:val="zh-CN"/>
        </w:rPr>
        <w:t>按照上级部门及本级财政部门的要求及时完成各项工作，我单位自评合格</w:t>
      </w:r>
      <w:r>
        <w:rPr>
          <w:rFonts w:ascii="仿宋" w:eastAsia="仿宋" w:cs="仿宋" w:hint="eastAsia"/>
          <w:color w:val="000000"/>
          <w:kern w:val="0"/>
          <w:sz w:val="32"/>
          <w:szCs w:val="32"/>
          <w:shd w:val="clear" w:color="auto" w:fill="FFFFFF"/>
        </w:rPr>
        <w:t>。</w:t>
      </w:r>
    </w:p>
    <w:p>
      <w:pPr>
        <w:keepNext w:val="0"/>
        <w:keepLines w:val="0"/>
        <w:pageBreakBefore w:val="0"/>
        <w:widowControl/>
        <w:suppressAutoHyphens/>
        <w:kinsoku/>
        <w:wordWrap/>
        <w:overflowPunct/>
        <w:topLinePunct w:val="0"/>
        <w:autoSpaceDE/>
        <w:autoSpaceDN/>
        <w:bidi w:val="0"/>
        <w:adjustRightInd w:val="0"/>
        <w:snapToGrid w:val="0"/>
        <w:spacing w:line="576" w:lineRule="exact"/>
        <w:ind w:left="0" w:firstLineChars="200" w:firstLine="640"/>
        <w:contextualSpacing/>
        <w:jc w:val="both"/>
        <w:textAlignment w:val="auto"/>
        <w:rPr>
          <w:rFonts w:ascii="楷体_GB2312" w:eastAsia="楷体_GB2312" w:cs="楷体_GB2312" w:hint="eastAsia"/>
          <w:b/>
          <w:bCs/>
          <w:color w:val="000000"/>
          <w:kern w:val="0"/>
          <w:sz w:val="32"/>
          <w:szCs w:val="32"/>
          <w:shd w:val="clear" w:color="auto" w:fill="FFFFFF"/>
          <w:lang w:val="zh-CN"/>
        </w:rPr>
      </w:pPr>
      <w:r>
        <w:rPr>
          <w:rFonts w:ascii="楷体_GB2312" w:eastAsia="楷体_GB2312" w:cs="楷体_GB2312" w:hint="eastAsia"/>
          <w:b/>
          <w:bCs/>
          <w:color w:val="000000"/>
          <w:kern w:val="0"/>
          <w:sz w:val="32"/>
          <w:szCs w:val="32"/>
          <w:shd w:val="clear" w:color="auto" w:fill="FFFFFF"/>
          <w:lang w:val="zh-CN"/>
        </w:rPr>
        <w:t>（</w:t>
      </w:r>
      <w:r>
        <w:rPr>
          <w:rFonts w:ascii="楷体_GB2312" w:eastAsia="楷体_GB2312" w:cs="楷体_GB2312" w:hint="eastAsia"/>
          <w:b/>
          <w:bCs/>
          <w:color w:val="000000"/>
          <w:kern w:val="0"/>
          <w:sz w:val="32"/>
          <w:szCs w:val="32"/>
          <w:shd w:val="clear" w:color="auto" w:fill="FFFFFF"/>
        </w:rPr>
        <w:t>二</w:t>
      </w:r>
      <w:r>
        <w:rPr>
          <w:rFonts w:ascii="楷体_GB2312" w:eastAsia="楷体_GB2312" w:cs="楷体_GB2312" w:hint="eastAsia"/>
          <w:b/>
          <w:bCs/>
          <w:color w:val="000000"/>
          <w:kern w:val="0"/>
          <w:sz w:val="32"/>
          <w:szCs w:val="32"/>
          <w:shd w:val="clear" w:color="auto" w:fill="FFFFFF"/>
          <w:lang w:val="zh-CN"/>
        </w:rPr>
        <w:t>）存在问题</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财务效能提升有待加强，我单位将严格按照财经纪律要求，进一步加大对财务各环节的监督检查，健全完善各项规章制度，有效提高财务工作各项效能。</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楷体_GB2312" w:eastAsia="楷体_GB2312" w:cs="楷体_GB2312" w:hint="eastAsia"/>
          <w:b/>
          <w:bCs/>
          <w:kern w:val="0"/>
          <w:sz w:val="32"/>
          <w:szCs w:val="32"/>
          <w:lang w:val="zh-CN"/>
        </w:rPr>
      </w:pPr>
      <w:r>
        <w:rPr>
          <w:rFonts w:ascii="楷体_GB2312" w:eastAsia="楷体_GB2312" w:cs="楷体_GB2312" w:hint="eastAsia"/>
          <w:b/>
          <w:bCs/>
          <w:kern w:val="0"/>
          <w:sz w:val="32"/>
          <w:szCs w:val="32"/>
          <w:lang w:val="zh-CN"/>
        </w:rPr>
        <w:t>（三）改进建议</w:t>
      </w:r>
    </w:p>
    <w:p>
      <w:pPr>
        <w:keepNext w:val="0"/>
        <w:keepLines w:val="0"/>
        <w:pageBreakBefore w:val="0"/>
        <w:widowControl w:val="0"/>
        <w:suppressAutoHyphens/>
        <w:kinsoku/>
        <w:wordWrap/>
        <w:overflowPunct/>
        <w:topLinePunct w:val="0"/>
        <w:autoSpaceDE/>
        <w:autoSpaceDN/>
        <w:bidi w:val="0"/>
        <w:spacing w:line="576" w:lineRule="exact"/>
        <w:ind w:left="0" w:firstLineChars="200" w:firstLine="640"/>
        <w:jc w:val="both"/>
        <w:textAlignment w:val="auto"/>
        <w:rPr>
          <w:rFonts w:ascii="仿宋_GB2312" w:eastAsia="仿宋_GB2312" w:cs="仿宋"/>
          <w:kern w:val="0"/>
          <w:sz w:val="32"/>
          <w:szCs w:val="32"/>
          <w:lang w:val="zh-CN"/>
        </w:rPr>
      </w:pPr>
      <w:r>
        <w:rPr>
          <w:rFonts w:ascii="仿宋_GB2312" w:eastAsia="仿宋_GB2312" w:cs="仿宋" w:hint="eastAsia"/>
          <w:kern w:val="0"/>
          <w:sz w:val="32"/>
          <w:szCs w:val="32"/>
          <w:lang w:val="zh-CN"/>
        </w:rPr>
        <w:t>下一步，我单位将严格按照上级财政部门要求及本级财政部门各项工作任务安排，建立科学、统一、完整的财政绩效评价指标体系，并将绩效理念真正贯穿于工作实践中，让绩效评价工作的成果得以充分广泛利用。</w:t>
      </w:r>
    </w:p>
    <w:p>
      <w:pPr>
        <w:pStyle w:val="15"/>
        <w:keepNext w:val="0"/>
        <w:keepLines w:val="0"/>
        <w:pageBreakBefore w:val="0"/>
        <w:widowControl w:val="0"/>
        <w:suppressAutoHyphens/>
        <w:kinsoku/>
        <w:wordWrap/>
        <w:overflowPunct/>
        <w:topLinePunct w:val="0"/>
        <w:autoSpaceDE/>
        <w:autoSpaceDN/>
        <w:bidi w:val="0"/>
        <w:spacing w:line="576" w:lineRule="exact"/>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pStyle w:val="15"/>
        <w:keepNext w:val="0"/>
        <w:keepLines w:val="0"/>
        <w:pageBreakBefore w:val="0"/>
        <w:widowControl w:val="0"/>
        <w:suppressAutoHyphens/>
        <w:kinsoku/>
        <w:wordWrap/>
        <w:overflowPunct/>
        <w:topLinePunct w:val="0"/>
        <w:autoSpaceDE/>
        <w:autoSpaceDN/>
        <w:bidi w:val="0"/>
        <w:spacing w:line="576" w:lineRule="exact"/>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keepNext w:val="0"/>
        <w:keepLines w:val="0"/>
        <w:pageBreakBefore w:val="0"/>
        <w:widowControl w:val="0"/>
        <w:suppressAutoHyphens/>
        <w:kinsoku/>
        <w:wordWrap/>
        <w:overflowPunct/>
        <w:topLinePunct w:val="0"/>
        <w:autoSpaceDE/>
        <w:autoSpaceDN/>
        <w:bidi w:val="0"/>
        <w:spacing w:line="576" w:lineRule="exact"/>
        <w:ind w:left="0"/>
        <w:jc w:val="both"/>
        <w:textAlignment w:val="auto"/>
        <w:rPr>
          <w:rFonts w:ascii="仿宋_GB2312" w:eastAsia="仿宋_GB2312" w:cs="仿宋"/>
          <w:kern w:val="0"/>
          <w:sz w:val="32"/>
          <w:szCs w:val="32"/>
          <w:lang w:val="zh-CN"/>
        </w:rPr>
      </w:pPr>
    </w:p>
    <w:p>
      <w:pPr>
        <w:spacing w:line="576" w:lineRule="atLeast"/>
        <w:rPr>
          <w:rFonts w:ascii="黑体" w:eastAsia="黑体" w:cs="黑体"/>
          <w:sz w:val="32"/>
          <w:szCs w:val="32"/>
        </w:rPr>
      </w:pPr>
      <w:bookmarkStart w:id="73" w:name="_Toc14303"/>
      <w:r>
        <w:rPr>
          <w:rFonts w:ascii="黑体" w:eastAsia="黑体" w:cs="黑体" w:hint="eastAsia"/>
          <w:kern w:val="0"/>
          <w:sz w:val="32"/>
          <w:szCs w:val="32"/>
          <w:shd w:val="clear" w:color="auto" w:fill="FFFFFF"/>
          <w:lang w:val="zh-CN"/>
        </w:rPr>
        <w:t>附件</w:t>
      </w:r>
      <w:r>
        <w:rPr>
          <w:rFonts w:ascii="黑体" w:eastAsia="黑体" w:cs="黑体" w:hint="eastAsia"/>
          <w:kern w:val="0"/>
          <w:sz w:val="32"/>
          <w:szCs w:val="32"/>
          <w:shd w:val="clear" w:color="auto" w:fill="FFFFFF"/>
        </w:rPr>
        <w:t>2</w:t>
      </w:r>
      <w:bookmarkEnd w:id="73"/>
    </w:p>
    <w:p>
      <w:pPr>
        <w:pStyle w:val="31"/>
        <w:spacing w:line="578"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茂县民族宗教局</w:t>
      </w:r>
    </w:p>
    <w:p>
      <w:pPr>
        <w:pStyle w:val="31"/>
        <w:spacing w:line="578"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专项预算项目绩效评价报告</w:t>
      </w:r>
    </w:p>
    <w:p>
      <w:pPr>
        <w:topLinePunct/>
        <w:snapToGrid w:val="0"/>
        <w:spacing w:line="560" w:lineRule="exact"/>
        <w:ind w:firstLineChars="600" w:firstLine="1920"/>
        <w:rPr>
          <w:rFonts w:ascii="仿宋_GB2312" w:eastAsia="仿宋_GB2312" w:cs="仿宋_GB2312" w:hint="eastAsia"/>
          <w:sz w:val="32"/>
          <w:szCs w:val="32"/>
          <w:lang w:val="zh-CN"/>
        </w:rPr>
      </w:pPr>
      <w:bookmarkStart w:id="74" w:name="_Toc15396618"/>
      <w:r>
        <w:rPr>
          <w:rFonts w:ascii="仿宋_GB2312" w:eastAsia="仿宋_GB2312" w:cs="仿宋_GB2312" w:hint="eastAsia"/>
          <w:sz w:val="32"/>
          <w:szCs w:val="32"/>
          <w:lang w:val="zh-CN"/>
        </w:rPr>
        <w:t>（民族地区春节送温暖活动慰问金）</w:t>
      </w:r>
    </w:p>
    <w:p>
      <w:pPr>
        <w:pStyle w:val="31"/>
        <w:keepNext w:val="0"/>
        <w:keepLines w:val="0"/>
        <w:pageBreakBefore w:val="0"/>
        <w:widowControl w:val="0"/>
        <w:suppressAutoHyphens/>
        <w:kinsoku/>
        <w:wordWrap/>
        <w:overflowPunct/>
        <w:topLinePunct w:val="0"/>
        <w:autoSpaceDE/>
        <w:autoSpaceDN/>
        <w:bidi w:val="0"/>
        <w:spacing w:line="576" w:lineRule="exact"/>
        <w:ind w:firstLine="640"/>
        <w:jc w:val="both"/>
        <w:textAlignment w:val="auto"/>
        <w:rPr>
          <w:rFonts w:ascii="宋体"/>
          <w:color w:val="auto"/>
          <w:kern w:val="2"/>
          <w:sz w:val="32"/>
          <w:szCs w:val="32"/>
          <w:lang w:val="en-US"/>
        </w:rPr>
      </w:pP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both"/>
        <w:textAlignment w:val="auto"/>
        <w:outlineLvl w:val="1"/>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lang w:val="zh-CN"/>
        </w:rPr>
      </w:pPr>
      <w:r>
        <w:rPr>
          <w:rFonts w:ascii="楷体_GB2312" w:eastAsia="楷体_GB2312" w:hint="eastAsia"/>
          <w:b/>
          <w:sz w:val="32"/>
          <w:szCs w:val="32"/>
          <w:lang w:val="zh-CN"/>
        </w:rPr>
        <w:t>（一）设立背景及基本情况。</w:t>
      </w:r>
      <w:r>
        <w:rPr>
          <w:rFonts w:ascii="仿宋_GB2312" w:eastAsia="仿宋_GB2312" w:cs="仿宋_GB2312" w:hint="eastAsia"/>
          <w:sz w:val="32"/>
          <w:szCs w:val="32"/>
          <w:lang w:val="zh-CN"/>
        </w:rPr>
        <w:t>按照《中央和省级财政衔接推进乡村振兴补助资金管理办法》(川财农〔2021〕36号)、《关于加强中央和省级财政衔接推进乡村振兴补助资金使用管理的实施意见》(川财农〔2021〕61号)等文件规定，切实管好用好资金。</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lang w:val="zh-CN"/>
        </w:rPr>
      </w:pPr>
      <w:r>
        <w:rPr>
          <w:rFonts w:ascii="楷体_GB2312" w:eastAsia="楷体_GB2312" w:hint="eastAsia"/>
          <w:b/>
          <w:sz w:val="32"/>
          <w:szCs w:val="32"/>
          <w:lang w:val="zh-CN"/>
        </w:rPr>
        <w:t>（二）实施目的及支持方向。</w:t>
      </w:r>
      <w:r>
        <w:rPr>
          <w:rFonts w:ascii="仿宋_GB2312" w:eastAsia="仿宋_GB2312" w:cs="仿宋_GB2312" w:hint="eastAsia"/>
          <w:sz w:val="32"/>
          <w:szCs w:val="32"/>
          <w:lang w:val="zh-CN"/>
        </w:rPr>
        <w:t>突出衔接资金支持重点，优先支持联农带农富农产业发展，巩固拓展脱贫攻坚成果，增强脱贫地区和脱贫群众内生发展动力。</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rPr>
      </w:pPr>
      <w:r>
        <w:rPr>
          <w:rFonts w:ascii="楷体_GB2312" w:eastAsia="楷体_GB2312" w:hint="eastAsia"/>
          <w:b/>
          <w:sz w:val="32"/>
          <w:szCs w:val="32"/>
          <w:lang w:val="zh-CN"/>
        </w:rPr>
        <w:t>（三）预算安排及分配管理。</w:t>
      </w:r>
      <w:r>
        <w:rPr>
          <w:rFonts w:ascii="仿宋_GB2312" w:eastAsia="仿宋_GB2312" w:cs="仿宋_GB2312" w:hint="eastAsia"/>
          <w:sz w:val="32"/>
          <w:szCs w:val="32"/>
          <w:lang w:val="zh-CN"/>
        </w:rPr>
        <w:t>民族地区春节送温暖活动慰问资金申报20万元，批复20万元，申报与批复资金一致。</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sz w:val="32"/>
          <w:szCs w:val="32"/>
          <w:lang w:val="zh-CN"/>
        </w:rPr>
        <w:t>及时把省委省政府的关怀和温暖传递到农牧民群众心中，认真了解农牧民群众的所需、所盼，带着感情“慰”，怀着真诚“问”，真正做到访贫问苦、问政于民、问需于民、问计于民。保证项目绩效达到预期绩效目标。</w:t>
      </w:r>
    </w:p>
    <w:p>
      <w:pPr>
        <w:keepNext w:val="0"/>
        <w:keepLines w:val="0"/>
        <w:pageBreakBefore w:val="0"/>
        <w:widowControl w:val="0"/>
        <w:suppressAutoHyphens/>
        <w:kinsoku/>
        <w:wordWrap/>
        <w:overflowPunct/>
        <w:topLinePunct w:val="0"/>
        <w:autoSpaceDE/>
        <w:autoSpaceDN/>
        <w:bidi w:val="0"/>
        <w:adjustRightInd w:val="0"/>
        <w:snapToGrid w:val="0"/>
        <w:spacing w:line="576" w:lineRule="exact"/>
        <w:ind w:firstLineChars="200" w:firstLine="640"/>
        <w:jc w:val="both"/>
        <w:textAlignment w:val="auto"/>
        <w:outlineLvl w:val="1"/>
        <w:rPr>
          <w:rFonts w:ascii="黑体" w:eastAsia="黑体"/>
          <w:sz w:val="32"/>
          <w:szCs w:val="32"/>
        </w:rPr>
      </w:pPr>
      <w:r>
        <w:rPr>
          <w:rFonts w:ascii="黑体" w:eastAsia="黑体" w:hint="eastAsia"/>
          <w:sz w:val="32"/>
          <w:szCs w:val="32"/>
        </w:rPr>
        <w:t>二、评价实施</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rPr>
      </w:pPr>
      <w:r>
        <w:rPr>
          <w:rFonts w:ascii="楷体_GB2312" w:eastAsia="楷体_GB2312" w:hint="eastAsia"/>
          <w:b/>
          <w:sz w:val="32"/>
          <w:szCs w:val="32"/>
          <w:lang w:val="zh-CN"/>
        </w:rPr>
        <w:t>（一）评价目的。</w:t>
      </w:r>
      <w:r>
        <w:rPr>
          <w:rFonts w:ascii="仿宋_GB2312" w:eastAsia="仿宋_GB2312" w:cs="仿宋_GB2312" w:hint="eastAsia"/>
          <w:sz w:val="32"/>
          <w:szCs w:val="32"/>
          <w:lang w:val="zh-CN"/>
        </w:rPr>
        <w:t>认真了解农牧民群众的所需、所盼，带着感情“慰”，怀着真诚“问”，真正做到访贫问苦、问政于民、问需于民、问计于民。</w:t>
      </w:r>
    </w:p>
    <w:p>
      <w:pPr>
        <w:pStyle w:val="18"/>
        <w:keepNext w:val="0"/>
        <w:keepLines w:val="0"/>
        <w:pageBreakBefore w:val="0"/>
        <w:widowControl w:val="0"/>
        <w:tabs>
          <w:tab w:val="left" w:pos="2160"/>
        </w:tabs>
        <w:suppressAutoHyphens/>
        <w:kinsoku/>
        <w:wordWrap/>
        <w:overflowPunct/>
        <w:topLinePunct w:val="0"/>
        <w:autoSpaceDE/>
        <w:autoSpaceDN/>
        <w:bidi w:val="0"/>
        <w:spacing w:after="0" w:line="576" w:lineRule="exact"/>
        <w:ind w:firstLineChars="200" w:firstLine="640"/>
        <w:jc w:val="both"/>
        <w:textAlignment w:val="auto"/>
        <w:outlineLvl w:val="1"/>
        <w:rPr>
          <w:rFonts w:ascii="仿宋_GB2312" w:eastAsia="仿宋_GB2312" w:cs="仿宋_GB2312" w:hint="eastAsia"/>
          <w:sz w:val="32"/>
          <w:szCs w:val="32"/>
          <w:lang w:val="zh-CN"/>
        </w:rPr>
      </w:pPr>
      <w:r>
        <w:rPr>
          <w:rFonts w:ascii="楷体_GB2312" w:eastAsia="楷体_GB2312" w:hint="eastAsia"/>
          <w:b/>
          <w:sz w:val="32"/>
          <w:szCs w:val="32"/>
          <w:lang w:val="zh-CN"/>
        </w:rPr>
        <w:t>（二）预设问题及评价重点。</w:t>
      </w:r>
      <w:r>
        <w:rPr>
          <w:rFonts w:ascii="仿宋_GB2312" w:eastAsia="仿宋_GB2312" w:cs="仿宋_GB2312" w:hint="eastAsia"/>
          <w:sz w:val="32"/>
          <w:szCs w:val="32"/>
          <w:lang w:val="zh-CN"/>
        </w:rPr>
        <w:t>无。</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bCs/>
          <w:color w:val="000000"/>
          <w:sz w:val="32"/>
          <w:szCs w:val="32"/>
        </w:rPr>
      </w:pPr>
      <w:r>
        <w:rPr>
          <w:rFonts w:ascii="楷体_GB2312" w:eastAsia="楷体_GB2312" w:hint="eastAsia"/>
          <w:b/>
          <w:sz w:val="32"/>
          <w:szCs w:val="32"/>
          <w:lang w:val="zh-CN"/>
        </w:rPr>
        <w:t>（三）评价选点。</w:t>
      </w:r>
      <w:r>
        <w:rPr>
          <w:rFonts w:ascii="仿宋_GB2312" w:eastAsia="仿宋_GB2312" w:cs="仿宋_GB2312" w:hint="eastAsia"/>
          <w:sz w:val="32"/>
          <w:szCs w:val="32"/>
          <w:lang w:val="zh-CN"/>
        </w:rPr>
        <w:t>在2023年项目中抽取1个样点进行评价。</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bCs/>
          <w:color w:val="000000"/>
          <w:sz w:val="32"/>
          <w:szCs w:val="32"/>
        </w:rPr>
      </w:pPr>
      <w:r>
        <w:rPr>
          <w:rFonts w:ascii="楷体_GB2312" w:eastAsia="楷体_GB2312" w:hint="eastAsia"/>
          <w:b/>
          <w:sz w:val="32"/>
          <w:szCs w:val="32"/>
          <w:lang w:val="zh-CN"/>
        </w:rPr>
        <w:t>（四）评价方法。</w:t>
      </w:r>
      <w:r>
        <w:rPr>
          <w:rFonts w:ascii="仿宋_GB2312" w:eastAsia="仿宋_GB2312" w:cs="仿宋_GB2312" w:hint="eastAsia"/>
          <w:sz w:val="32"/>
          <w:szCs w:val="32"/>
          <w:lang w:val="zh-CN"/>
        </w:rPr>
        <w:t>采用单位自评法、实地勘察法等方法开展评价。</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楷体_GB2312" w:eastAsia="楷体_GB2312" w:hint="eastAsia"/>
          <w:b/>
          <w:sz w:val="32"/>
          <w:szCs w:val="32"/>
          <w:lang w:val="zh-CN"/>
        </w:rPr>
        <w:t>（五）评价组织。</w:t>
      </w:r>
      <w:r>
        <w:rPr>
          <w:rFonts w:ascii="仿宋_GB2312" w:eastAsia="仿宋_GB2312" w:cs="仿宋_GB2312" w:hint="eastAsia"/>
          <w:sz w:val="32"/>
          <w:szCs w:val="32"/>
          <w:lang w:val="zh-CN"/>
        </w:rPr>
        <w:t>采用自评与他评相结合的方式，结合评价内容，做到有计划，有安排，扎实开展本次自评工作。针对申报内容、实施情况、资金拨付、财务管理、社会效益等做出自我评价。</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黑体" w:eastAsia="黑体"/>
          <w:sz w:val="32"/>
          <w:szCs w:val="32"/>
          <w:lang w:val="zh-CN"/>
        </w:rPr>
      </w:pPr>
      <w:r>
        <w:rPr>
          <w:rFonts w:ascii="黑体" w:eastAsia="黑体" w:hint="eastAsia"/>
          <w:sz w:val="32"/>
          <w:szCs w:val="32"/>
        </w:rPr>
        <w:t>三、绩效分析</w:t>
      </w:r>
      <w:r>
        <w:rPr>
          <w:rFonts w:ascii="黑体" w:eastAsia="黑体" w:hint="eastAsia"/>
          <w:sz w:val="32"/>
          <w:szCs w:val="32"/>
          <w:lang w:val="zh-CN"/>
        </w:rPr>
        <w:tab/>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sz w:val="32"/>
          <w:szCs w:val="32"/>
          <w:lang w:val="zh-CN"/>
        </w:rPr>
        <w:t>数量指标下预算金额为20万元，该指标得分为20%；质量指标下完成质量为中等，该指标得分为30%；时效指标下完成时间为1年，该指标得分为20%；社会效益指标下满意度为中度，该指标得分为30%。</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楷体_GB2312" w:eastAsia="楷体_GB2312"/>
          <w:b/>
          <w:sz w:val="32"/>
          <w:szCs w:val="32"/>
          <w:lang w:val="zh-CN"/>
        </w:rPr>
      </w:pPr>
      <w:r>
        <w:rPr>
          <w:rFonts w:ascii="楷体_GB2312" w:eastAsia="楷体_GB2312" w:hint="eastAsia"/>
          <w:b/>
          <w:sz w:val="32"/>
          <w:szCs w:val="32"/>
          <w:lang w:val="zh-CN"/>
        </w:rPr>
        <w:t>（一）通用指标绩效分析</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b/>
          <w:bCs/>
          <w:sz w:val="32"/>
          <w:szCs w:val="32"/>
          <w:lang w:val="zh-CN"/>
        </w:rPr>
        <w:t>1.项目决策。</w:t>
      </w:r>
      <w:r>
        <w:rPr>
          <w:rFonts w:ascii="仿宋_GB2312" w:eastAsia="仿宋_GB2312" w:cs="仿宋_GB2312" w:hint="eastAsia"/>
          <w:sz w:val="32"/>
          <w:szCs w:val="32"/>
          <w:lang w:val="zh-CN"/>
        </w:rPr>
        <w:t>组织各村对项目开展申报工作，通过全面摸底底排查和实地考查项目可行性，并结合实际情况，及时上报镇党委会议研究决定定，会议中对申报项目的真实性、必要性及建设项目内容、资金保障和受益情况进行审核，经公示公告无异议后并报相关部门审批。</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b/>
          <w:bCs/>
          <w:sz w:val="32"/>
          <w:szCs w:val="32"/>
          <w:lang w:val="zh-CN"/>
        </w:rPr>
        <w:t>2.项目管理。</w:t>
      </w:r>
      <w:r>
        <w:rPr>
          <w:rFonts w:ascii="仿宋_GB2312" w:eastAsia="仿宋_GB2312" w:cs="仿宋_GB2312" w:hint="eastAsia"/>
          <w:sz w:val="32"/>
          <w:szCs w:val="32"/>
          <w:lang w:val="zh-CN"/>
        </w:rPr>
        <w:t>项目实施过程中，严格按照相关法律法规及项目管理制度进行管理。</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b/>
          <w:bCs/>
          <w:sz w:val="32"/>
          <w:szCs w:val="32"/>
          <w:lang w:val="zh-CN"/>
        </w:rPr>
        <w:t>3.项目实施。</w:t>
      </w:r>
      <w:r>
        <w:rPr>
          <w:rFonts w:ascii="仿宋_GB2312" w:eastAsia="仿宋_GB2312" w:cs="仿宋_GB2312" w:hint="eastAsia"/>
          <w:sz w:val="32"/>
          <w:szCs w:val="32"/>
          <w:lang w:val="zh-CN"/>
        </w:rPr>
        <w:t>民族地区春节送温暖活动慰问金，现已按要求实施完成。</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b/>
          <w:bCs/>
          <w:sz w:val="32"/>
          <w:szCs w:val="32"/>
          <w:lang w:val="zh-CN"/>
        </w:rPr>
        <w:t>4.项目结果。</w:t>
      </w:r>
      <w:r>
        <w:rPr>
          <w:rFonts w:ascii="仿宋_GB2312" w:eastAsia="仿宋_GB2312" w:cs="仿宋_GB2312" w:hint="eastAsia"/>
          <w:sz w:val="32"/>
          <w:szCs w:val="32"/>
          <w:lang w:val="zh-CN"/>
        </w:rPr>
        <w:t>围绕目标完成、完成时效进行绩效分析。</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楷体_GB2312" w:eastAsia="楷体_GB2312" w:hint="eastAsia"/>
          <w:b/>
          <w:sz w:val="32"/>
          <w:szCs w:val="32"/>
          <w:lang w:val="zh-CN"/>
        </w:rPr>
        <w:t>（二）专用指标绩效分析。</w:t>
      </w:r>
      <w:r>
        <w:rPr>
          <w:rFonts w:ascii="仿宋_GB2312" w:eastAsia="仿宋_GB2312" w:cs="仿宋_GB2312" w:hint="eastAsia"/>
          <w:sz w:val="32"/>
          <w:szCs w:val="32"/>
          <w:lang w:val="zh-CN"/>
        </w:rPr>
        <w:t>无</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楷体_GB2312" w:eastAsia="楷体_GB2312" w:hint="eastAsia"/>
          <w:b/>
          <w:sz w:val="32"/>
          <w:szCs w:val="32"/>
          <w:lang w:val="zh-CN"/>
        </w:rPr>
        <w:t>（三）个性指标绩效分析。</w:t>
      </w:r>
      <w:r>
        <w:rPr>
          <w:rFonts w:ascii="仿宋_GB2312" w:eastAsia="仿宋_GB2312" w:cs="仿宋_GB2312" w:hint="eastAsia"/>
          <w:sz w:val="32"/>
          <w:szCs w:val="32"/>
          <w:lang w:val="zh-CN"/>
        </w:rPr>
        <w:t>无</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黑体" w:eastAsia="黑体"/>
          <w:sz w:val="32"/>
          <w:szCs w:val="32"/>
        </w:rPr>
      </w:pPr>
      <w:r>
        <w:rPr>
          <w:rFonts w:ascii="黑体" w:eastAsia="黑体" w:hint="eastAsia"/>
          <w:sz w:val="32"/>
          <w:szCs w:val="32"/>
        </w:rPr>
        <w:t>四、评价结论</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hint="eastAsia"/>
          <w:sz w:val="32"/>
          <w:szCs w:val="32"/>
          <w:lang w:val="zh-CN"/>
        </w:rPr>
      </w:pPr>
      <w:r>
        <w:rPr>
          <w:rFonts w:ascii="仿宋_GB2312" w:eastAsia="仿宋_GB2312" w:cs="仿宋_GB2312" w:hint="eastAsia"/>
          <w:sz w:val="32"/>
          <w:szCs w:val="32"/>
          <w:lang w:val="zh-CN"/>
        </w:rPr>
        <w:t>项目管理做到管理规范，操作阳光透明，运行有序高效，态度优质，群众满意度高。在项目管理上，通过逐步规范申报审批支付程序，确保资金高效运转。在资金管理上，严格按照财务制度，确保了资金及时到位和使用。有效提升困难家庭居住环境，使受益家庭满意率达到100%。</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黑体" w:eastAsia="黑体"/>
          <w:sz w:val="32"/>
          <w:szCs w:val="32"/>
        </w:rPr>
      </w:pPr>
      <w:r>
        <w:rPr>
          <w:rFonts w:ascii="黑体" w:eastAsia="黑体" w:hint="eastAsia"/>
          <w:sz w:val="32"/>
          <w:szCs w:val="32"/>
        </w:rPr>
        <w:t>五、存在主要问题</w:t>
      </w:r>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eastAsia="仿宋_GB2312" w:cs="仿宋_GB2312"/>
          <w:sz w:val="32"/>
          <w:szCs w:val="32"/>
        </w:rPr>
      </w:pPr>
      <w:r>
        <w:rPr>
          <w:rFonts w:ascii="仿宋_GB2312" w:eastAsia="仿宋_GB2312" w:cs="仿宋_GB2312" w:hint="eastAsia"/>
          <w:sz w:val="32"/>
          <w:szCs w:val="32"/>
        </w:rPr>
        <w:t>无</w:t>
      </w:r>
    </w:p>
    <w:p>
      <w:pPr>
        <w:keepNext w:val="0"/>
        <w:keepLines w:val="0"/>
        <w:pageBreakBefore w:val="0"/>
        <w:widowControl w:val="0"/>
        <w:numPr>
          <w:ilvl w:val="0"/>
          <w:numId w:val="2"/>
        </w:numPr>
        <w:pBdr>
          <w:bottom w:val="single" w:sz="4" w:space="31" w:color="FFFFFF"/>
        </w:pBdr>
        <w:tabs>
          <w:tab w:val="left" w:pos="0"/>
        </w:tabs>
        <w:suppressAutoHyphens/>
        <w:kinsoku/>
        <w:wordWrap/>
        <w:overflowPunct/>
        <w:topLinePunct w:val="0"/>
        <w:autoSpaceDE/>
        <w:autoSpaceDN/>
        <w:bidi w:val="0"/>
        <w:spacing w:line="576" w:lineRule="exact"/>
        <w:ind w:left="0" w:firstLineChars="200" w:firstLine="640"/>
        <w:jc w:val="both"/>
        <w:textAlignment w:val="auto"/>
        <w:rPr>
          <w:rFonts w:ascii="黑体" w:eastAsia="黑体"/>
          <w:sz w:val="32"/>
          <w:szCs w:val="32"/>
          <w:lang w:val="zh-CN"/>
        </w:rPr>
      </w:pPr>
      <w:r>
        <w:rPr>
          <w:rFonts w:ascii="黑体" w:eastAsia="黑体" w:hint="eastAsia"/>
          <w:sz w:val="32"/>
          <w:szCs w:val="32"/>
          <w:lang w:val="zh-CN"/>
        </w:rPr>
        <w:t>改进建议</w:t>
      </w:r>
      <w:bookmarkStart w:id="75" w:name="_Hlk110546638"/>
    </w:p>
    <w:p>
      <w:pPr>
        <w:keepNext w:val="0"/>
        <w:keepLines w:val="0"/>
        <w:pageBreakBefore w:val="0"/>
        <w:widowControl w:val="0"/>
        <w:pBdr>
          <w:bottom w:val="single" w:sz="4" w:space="31" w:color="FFFFFF"/>
        </w:pBdr>
        <w:tabs>
          <w:tab w:val="left" w:pos="0"/>
        </w:tabs>
        <w:suppressAutoHyphens/>
        <w:kinsoku/>
        <w:wordWrap/>
        <w:overflowPunct/>
        <w:topLinePunct w:val="0"/>
        <w:autoSpaceDE/>
        <w:autoSpaceDN/>
        <w:bidi w:val="0"/>
        <w:spacing w:line="576" w:lineRule="exact"/>
        <w:ind w:firstLineChars="200" w:firstLine="640"/>
        <w:jc w:val="both"/>
        <w:textAlignment w:val="auto"/>
        <w:rPr>
          <w:rFonts w:ascii="仿宋_GB2312" w:cs="仿宋_GB2312" w:hAnsi="仿宋_GB2312"/>
          <w:kern w:val="0"/>
        </w:rPr>
      </w:pPr>
      <w:r>
        <w:rPr>
          <w:rFonts w:ascii="仿宋" w:eastAsia="仿宋" w:hint="eastAsia"/>
          <w:sz w:val="32"/>
          <w:szCs w:val="32"/>
          <w:lang w:val="zh-CN"/>
        </w:rPr>
        <w:t>无</w:t>
      </w:r>
    </w:p>
    <w:p>
      <w:pPr>
        <w:keepNext w:val="0"/>
        <w:keepLines w:val="0"/>
        <w:pageBreakBefore w:val="0"/>
        <w:widowControl w:val="0"/>
        <w:suppressAutoHyphens/>
        <w:kinsoku/>
        <w:wordWrap/>
        <w:overflowPunct/>
        <w:topLinePunct w:val="0"/>
        <w:autoSpaceDE/>
        <w:autoSpaceDN/>
        <w:bidi w:val="0"/>
        <w:spacing w:line="576" w:lineRule="exact"/>
        <w:jc w:val="both"/>
        <w:textAlignment w:val="auto"/>
        <w:rPr>
          <w:rFonts w:ascii="黑体" w:eastAsia="黑体"/>
          <w:sz w:val="44"/>
          <w:szCs w:val="44"/>
        </w:rPr>
      </w:pPr>
      <w:bookmarkEnd w:id="75"/>
    </w:p>
    <w:p>
      <w:pPr>
        <w:keepNext w:val="0"/>
        <w:keepLines w:val="0"/>
        <w:pageBreakBefore w:val="0"/>
        <w:widowControl w:val="0"/>
        <w:suppressAutoHyphens/>
        <w:kinsoku/>
        <w:wordWrap/>
        <w:overflowPunct/>
        <w:topLinePunct w:val="0"/>
        <w:autoSpaceDE/>
        <w:autoSpaceDN/>
        <w:bidi w:val="0"/>
        <w:spacing w:line="576" w:lineRule="exact"/>
        <w:jc w:val="both"/>
        <w:textAlignment w:val="auto"/>
        <w:rPr>
          <w:rFonts w:ascii="黑体" w:eastAsia="黑体"/>
          <w:sz w:val="44"/>
          <w:szCs w:val="44"/>
        </w:rPr>
      </w:pPr>
    </w:p>
    <w:p>
      <w:pPr>
        <w:keepNext w:val="0"/>
        <w:keepLines w:val="0"/>
        <w:pageBreakBefore w:val="0"/>
        <w:widowControl w:val="0"/>
        <w:suppressAutoHyphens/>
        <w:kinsoku/>
        <w:wordWrap/>
        <w:overflowPunct/>
        <w:topLinePunct w:val="0"/>
        <w:autoSpaceDE/>
        <w:autoSpaceDN/>
        <w:bidi w:val="0"/>
        <w:spacing w:line="576" w:lineRule="exact"/>
        <w:jc w:val="both"/>
        <w:textAlignment w:val="auto"/>
        <w:rPr>
          <w:rFonts w:ascii="黑体" w:eastAsia="黑体"/>
          <w:sz w:val="44"/>
          <w:szCs w:val="44"/>
        </w:rPr>
      </w:pPr>
    </w:p>
    <w:p>
      <w:pPr>
        <w:keepNext w:val="0"/>
        <w:keepLines w:val="0"/>
        <w:pageBreakBefore w:val="0"/>
        <w:widowControl w:val="0"/>
        <w:suppressAutoHyphens/>
        <w:kinsoku/>
        <w:wordWrap/>
        <w:overflowPunct/>
        <w:topLinePunct w:val="0"/>
        <w:autoSpaceDE/>
        <w:autoSpaceDN/>
        <w:bidi w:val="0"/>
        <w:spacing w:line="576" w:lineRule="exact"/>
        <w:jc w:val="both"/>
        <w:textAlignment w:val="auto"/>
        <w:rPr>
          <w:rFonts w:ascii="黑体" w:eastAsia="黑体"/>
          <w:sz w:val="44"/>
          <w:szCs w:val="44"/>
        </w:rPr>
      </w:pPr>
    </w:p>
    <w:p>
      <w:pPr>
        <w:keepNext w:val="0"/>
        <w:keepLines w:val="0"/>
        <w:pageBreakBefore w:val="0"/>
        <w:widowControl w:val="0"/>
        <w:suppressAutoHyphens/>
        <w:kinsoku/>
        <w:wordWrap/>
        <w:overflowPunct/>
        <w:topLinePunct w:val="0"/>
        <w:autoSpaceDE/>
        <w:autoSpaceDN/>
        <w:bidi w:val="0"/>
        <w:spacing w:line="576" w:lineRule="exact"/>
        <w:jc w:val="both"/>
        <w:textAlignment w:val="auto"/>
        <w:rPr>
          <w:rFonts w:ascii="黑体" w:eastAsia="黑体"/>
          <w:sz w:val="44"/>
          <w:szCs w:val="44"/>
        </w:rPr>
      </w:pPr>
    </w:p>
    <w:p>
      <w:pPr>
        <w:spacing w:line="578" w:lineRule="exact"/>
        <w:rPr>
          <w:rFonts w:ascii="黑体" w:eastAsia="黑体" w:cs="黑体" w:hint="eastAsia"/>
          <w:sz w:val="32"/>
          <w:szCs w:val="32"/>
        </w:rPr>
      </w:pPr>
    </w:p>
    <w:p>
      <w:pPr>
        <w:spacing w:line="578" w:lineRule="exact"/>
        <w:rPr>
          <w:rFonts w:ascii="黑体" w:eastAsia="黑体" w:cs="黑体" w:hint="eastAsia"/>
          <w:sz w:val="32"/>
          <w:szCs w:val="32"/>
        </w:rPr>
      </w:pPr>
    </w:p>
    <w:p>
      <w:pPr>
        <w:spacing w:line="578" w:lineRule="exact"/>
        <w:rPr>
          <w:rFonts w:ascii="黑体" w:eastAsia="黑体" w:cs="黑体" w:hint="eastAsia"/>
          <w:sz w:val="32"/>
          <w:szCs w:val="32"/>
        </w:rPr>
      </w:pPr>
    </w:p>
    <w:p>
      <w:pPr>
        <w:spacing w:line="578" w:lineRule="exact"/>
        <w:rPr>
          <w:rFonts w:ascii="黑体" w:eastAsia="黑体" w:cs="黑体" w:hint="eastAsia"/>
          <w:sz w:val="32"/>
          <w:szCs w:val="32"/>
        </w:rPr>
      </w:pPr>
    </w:p>
    <w:p>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茂县民族宗教局</w:t>
      </w:r>
    </w:p>
    <w:p>
      <w:pPr>
        <w:snapToGrid w:val="0"/>
        <w:spacing w:line="600" w:lineRule="exact"/>
        <w:jc w:val="center"/>
        <w:rPr>
          <w:rFonts w:ascii="方正小标宋简体" w:eastAsia="方正小标宋简体"/>
          <w:sz w:val="44"/>
          <w:szCs w:val="44"/>
        </w:rPr>
      </w:pPr>
      <w:r>
        <w:rPr>
          <w:rFonts w:ascii="方正小标宋简体" w:eastAsia="方正小标宋简体" w:hint="eastAsia"/>
          <w:sz w:val="44"/>
          <w:szCs w:val="44"/>
        </w:rPr>
        <w:t>专项预算项目绩效评价报告</w:t>
      </w:r>
    </w:p>
    <w:p>
      <w:pPr>
        <w:topLinePunct/>
        <w:snapToGrid w:val="0"/>
        <w:spacing w:line="560" w:lineRule="exact"/>
        <w:ind w:firstLineChars="500" w:firstLine="1600"/>
        <w:rPr>
          <w:rFonts w:ascii="仿宋_GB2312" w:eastAsia="仿宋_GB2312"/>
          <w:sz w:val="32"/>
          <w:szCs w:val="32"/>
          <w:lang w:val="zh-CN"/>
        </w:rPr>
      </w:pPr>
      <w:r>
        <w:rPr>
          <w:rFonts w:ascii="仿宋_GB2312" w:eastAsia="仿宋_GB2312" w:hint="eastAsia"/>
          <w:sz w:val="32"/>
          <w:szCs w:val="32"/>
          <w:lang w:val="zh-CN"/>
        </w:rPr>
        <w:t>（富顺镇富顺村产业基础设施提升项目）</w:t>
      </w:r>
    </w:p>
    <w:p>
      <w:pPr>
        <w:pStyle w:val="31"/>
        <w:spacing w:line="578" w:lineRule="exact"/>
        <w:ind w:firstLine="640"/>
        <w:jc w:val="center"/>
        <w:rPr>
          <w:rFonts w:ascii="宋体"/>
          <w:color w:val="auto"/>
          <w:kern w:val="2"/>
          <w:sz w:val="32"/>
          <w:szCs w:val="32"/>
        </w:rPr>
      </w:pPr>
    </w:p>
    <w:p>
      <w:pPr>
        <w:adjustRightInd w:val="0"/>
        <w:snapToGrid w:val="0"/>
        <w:spacing w:line="578" w:lineRule="exact"/>
        <w:ind w:firstLineChars="200" w:firstLine="640"/>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widowControl/>
        <w:suppressAutoHyphens/>
        <w:spacing w:line="560"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（一）设立背景及基本情况。</w:t>
      </w:r>
      <w:r>
        <w:rPr>
          <w:rFonts w:ascii="仿宋_GB2312" w:eastAsia="仿宋_GB2312" w:cs="仿宋_GB2312" w:hint="eastAsia"/>
          <w:sz w:val="32"/>
          <w:szCs w:val="32"/>
          <w:lang w:val="zh-CN"/>
        </w:rPr>
        <w:t>按照《中央和省级财政衔接推进乡村振兴补助资金管理办法》(川财农〔2021〕36号)、《关于加强中央和省级财政衔接推进乡村振兴补助资金使用管理的实施意见》(川财农〔2021〕61号)等文件规定，切实管好用好资金。</w:t>
      </w:r>
    </w:p>
    <w:p>
      <w:pPr>
        <w:widowControl/>
        <w:suppressAutoHyphens/>
        <w:spacing w:line="560"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（二）实施目的及支持方向。</w:t>
      </w:r>
      <w:r>
        <w:rPr>
          <w:rFonts w:ascii="仿宋_GB2312" w:eastAsia="仿宋_GB2312" w:cs="仿宋_GB2312" w:hint="eastAsia"/>
          <w:sz w:val="32"/>
          <w:szCs w:val="32"/>
          <w:lang w:val="zh-CN"/>
        </w:rPr>
        <w:t>突出衔接资金支持重点，优先支持联农带农富农产业发展，巩固拓展脱贫攻坚成果，增强脱贫地区和脱贫群众内生发展动力。</w:t>
      </w:r>
    </w:p>
    <w:p>
      <w:pPr>
        <w:widowControl/>
        <w:suppressAutoHyphens/>
        <w:spacing w:line="560"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（三）预算安排及分配管理。</w:t>
      </w:r>
      <w:r>
        <w:rPr>
          <w:rFonts w:ascii="仿宋_GB2312" w:eastAsia="仿宋_GB2312" w:cs="仿宋_GB2312" w:hint="eastAsia"/>
          <w:sz w:val="32"/>
          <w:szCs w:val="32"/>
          <w:lang w:val="zh-CN"/>
        </w:rPr>
        <w:t>富顺镇富顺村产业基础设施提升项目申报138.2万元，批复138.2万元，申报与批复资金一致。</w:t>
      </w:r>
    </w:p>
    <w:p>
      <w:pPr>
        <w:widowControl/>
        <w:suppressAutoHyphens/>
        <w:spacing w:line="560"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sz w:val="32"/>
          <w:szCs w:val="32"/>
          <w:lang w:val="zh-CN"/>
        </w:rPr>
        <w:t>通过项目的实施，将改善当地基础设施条件，将充分发挥资源、区位两大优势，变自然优势为经济优势，给村民带来更好的经济收益。保证项目绩效达到预期绩效目标。</w:t>
      </w:r>
    </w:p>
    <w:p>
      <w:pPr>
        <w:adjustRightInd w:val="0"/>
        <w:snapToGrid w:val="0"/>
        <w:spacing w:line="578" w:lineRule="exact"/>
        <w:ind w:firstLineChars="200" w:firstLine="640"/>
        <w:outlineLvl w:val="1"/>
        <w:rPr>
          <w:rFonts w:ascii="黑体" w:eastAsia="黑体"/>
          <w:sz w:val="32"/>
          <w:szCs w:val="32"/>
          <w:lang w:val="zh-CN"/>
        </w:rPr>
      </w:pPr>
      <w:r>
        <w:rPr>
          <w:rFonts w:ascii="黑体" w:eastAsia="黑体" w:hint="eastAsia"/>
          <w:sz w:val="32"/>
          <w:szCs w:val="32"/>
          <w:lang w:val="zh-CN"/>
        </w:rPr>
        <w:t>二、评价实施</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（一）评价目的。</w:t>
      </w:r>
      <w:r>
        <w:rPr>
          <w:rFonts w:ascii="仿宋_GB2312" w:eastAsia="仿宋_GB2312" w:cs="仿宋_GB2312" w:hint="eastAsia"/>
          <w:sz w:val="32"/>
          <w:szCs w:val="32"/>
          <w:lang w:val="zh-CN"/>
        </w:rPr>
        <w:t>通过这些项目的实施，补齐了农村产业道路、灌溉等基础设施短板，极大改善了高半山地区群众生产和出行条件，让高半山区农业产业结构调整、转型升级步伐加快，促进了高半山产业发展和群众增收致富；同时，紧紧围绕州委、州政府“川西北生态经济示范区”建设战略部署和县委、县政府建成“川西北高原生态农业发展高地”的目标定位，突出生态资源优势，有效联农带农发展特色水果生态种植、走绿色生态产业化道路，项目的实施，有效的解决了高半山产业设施配套弱、基础设施差的短板，深入项目实施地得到持续稳定增长。</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（二）预设问题及评价重点。</w:t>
      </w:r>
      <w:r>
        <w:rPr>
          <w:rFonts w:ascii="仿宋_GB2312" w:eastAsia="仿宋_GB2312" w:cs="仿宋_GB2312" w:hint="eastAsia"/>
          <w:sz w:val="32"/>
          <w:szCs w:val="32"/>
          <w:lang w:val="zh-CN"/>
        </w:rPr>
        <w:t>无。</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（三）评价选点。</w:t>
      </w:r>
      <w:r>
        <w:rPr>
          <w:rFonts w:ascii="仿宋_GB2312" w:eastAsia="仿宋_GB2312" w:cs="仿宋_GB2312" w:hint="eastAsia"/>
          <w:sz w:val="32"/>
          <w:szCs w:val="32"/>
          <w:lang w:val="zh-CN"/>
        </w:rPr>
        <w:t>在2023年项目中抽取1个样点进行评价。</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（四）评价方法。</w:t>
      </w:r>
      <w:r>
        <w:rPr>
          <w:rFonts w:ascii="仿宋_GB2312" w:eastAsia="仿宋_GB2312" w:cs="仿宋_GB2312" w:hint="eastAsia"/>
          <w:sz w:val="32"/>
          <w:szCs w:val="32"/>
          <w:lang w:val="zh-CN"/>
        </w:rPr>
        <w:t>采用单位自评法、实地勘察法等方法开展评价。</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（五）评价组织。</w:t>
      </w:r>
      <w:r>
        <w:rPr>
          <w:rFonts w:ascii="仿宋_GB2312" w:eastAsia="仿宋_GB2312" w:cs="仿宋_GB2312" w:hint="eastAsia"/>
          <w:sz w:val="32"/>
          <w:szCs w:val="32"/>
          <w:lang w:val="zh-CN"/>
        </w:rPr>
        <w:t>采用自评与他评相结合的方式，结合评价内容，做到有计划，有安排，扎实开展本次自评工作。针对申报内容、实施情况、资金拨付、财务管理、社会效益等做出自我评价。</w:t>
      </w:r>
    </w:p>
    <w:p>
      <w:pPr>
        <w:adjustRightInd w:val="0"/>
        <w:snapToGrid w:val="0"/>
        <w:spacing w:line="578" w:lineRule="exact"/>
        <w:ind w:firstLineChars="200" w:firstLine="640"/>
        <w:rPr>
          <w:rFonts w:ascii="黑体" w:eastAsia="黑体" w:cs="黑体" w:hint="eastAsia"/>
          <w:b w:val="0"/>
          <w:bCs/>
          <w:sz w:val="32"/>
          <w:szCs w:val="32"/>
          <w:lang w:val="zh-CN"/>
        </w:rPr>
      </w:pPr>
      <w:r>
        <w:rPr>
          <w:rFonts w:ascii="黑体" w:eastAsia="黑体" w:cs="黑体" w:hint="eastAsia"/>
          <w:b w:val="0"/>
          <w:bCs/>
          <w:sz w:val="32"/>
          <w:szCs w:val="32"/>
          <w:lang w:val="zh-CN"/>
        </w:rPr>
        <w:t>三、绩效分析</w:t>
        <w:tab/>
      </w:r>
    </w:p>
    <w:p>
      <w:pPr>
        <w:adjustRightInd w:val="0"/>
        <w:snapToGrid w:val="0"/>
        <w:spacing w:line="578"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数量指标下预算金额为138.2万元，该指标得分为20%；质量指标下完成质量为中等，该指标得分为30%；时效指标下完成时间为1年，该指标得分为20%；社会效益指标下满意度为中度，该指标得分为30%。</w:t>
      </w:r>
    </w:p>
    <w:p>
      <w:pPr>
        <w:adjustRightInd w:val="0"/>
        <w:snapToGrid w:val="0"/>
        <w:spacing w:line="578"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（一）通用指标绩效分析</w:t>
      </w:r>
    </w:p>
    <w:p>
      <w:pPr>
        <w:adjustRightInd w:val="0"/>
        <w:snapToGrid w:val="0"/>
        <w:spacing w:line="578" w:lineRule="exact"/>
        <w:ind w:firstLineChars="200" w:firstLine="640"/>
        <w:rPr>
          <w:rFonts w:ascii="仿宋_GB2312" w:eastAsia="仿宋_GB2312" w:cs="仿宋_GB2312"/>
          <w:sz w:val="32"/>
          <w:szCs w:val="32"/>
          <w:lang w:val="zh-CN"/>
        </w:rPr>
      </w:pPr>
      <w:r>
        <w:rPr>
          <w:rFonts w:ascii="仿宋_GB2312" w:eastAsia="仿宋_GB2312" w:cs="仿宋_GB2312" w:hint="eastAsia"/>
          <w:b/>
          <w:bCs/>
          <w:sz w:val="32"/>
          <w:szCs w:val="32"/>
          <w:lang w:val="zh-CN"/>
        </w:rPr>
        <w:t>1.项目决策。</w:t>
      </w:r>
      <w:r>
        <w:rPr>
          <w:rFonts w:ascii="仿宋_GB2312" w:eastAsia="仿宋_GB2312" w:cs="仿宋_GB2312" w:hint="eastAsia"/>
          <w:sz w:val="32"/>
          <w:szCs w:val="32"/>
          <w:lang w:val="zh-CN"/>
        </w:rPr>
        <w:t>组织各村对项目开展申报工作，通过全面摸底底排查和实地考查项目可行性，并结合实际情况，及时上报镇党委会议研究决定定，会议中对申报项目的真实性、必要性及建设项目内容、资金保障和受益情况进行审核，经公示公告无异议后并报相关部门审批。</w:t>
      </w:r>
    </w:p>
    <w:p>
      <w:pPr>
        <w:adjustRightInd w:val="0"/>
        <w:snapToGrid w:val="0"/>
        <w:spacing w:line="578" w:lineRule="exact"/>
        <w:ind w:firstLineChars="200" w:firstLine="640"/>
        <w:rPr>
          <w:rFonts w:ascii="仿宋_GB2312" w:eastAsia="仿宋_GB2312" w:cs="仿宋_GB2312"/>
          <w:sz w:val="32"/>
          <w:szCs w:val="32"/>
          <w:lang w:val="zh-CN"/>
        </w:rPr>
      </w:pPr>
      <w:r>
        <w:rPr>
          <w:rFonts w:ascii="仿宋_GB2312" w:eastAsia="仿宋_GB2312" w:cs="仿宋_GB2312" w:hint="eastAsia"/>
          <w:b/>
          <w:bCs/>
          <w:sz w:val="32"/>
          <w:szCs w:val="32"/>
          <w:lang w:val="zh-CN"/>
        </w:rPr>
        <w:t>2.项目管理。</w:t>
      </w:r>
      <w:r>
        <w:rPr>
          <w:rFonts w:ascii="仿宋_GB2312" w:eastAsia="仿宋_GB2312" w:cs="仿宋_GB2312" w:hint="eastAsia"/>
          <w:sz w:val="32"/>
          <w:szCs w:val="32"/>
          <w:lang w:val="zh-CN"/>
        </w:rPr>
        <w:t>项目实施过程中，严格按照相关法律法规及项目管理制度进行管理。</w:t>
      </w:r>
    </w:p>
    <w:p>
      <w:pPr>
        <w:adjustRightInd w:val="0"/>
        <w:snapToGrid w:val="0"/>
        <w:spacing w:line="578" w:lineRule="exact"/>
        <w:ind w:firstLineChars="200" w:firstLine="640"/>
        <w:rPr>
          <w:rFonts w:ascii="仿宋_GB2312" w:eastAsia="仿宋_GB2312" w:cs="仿宋_GB2312"/>
          <w:sz w:val="32"/>
          <w:szCs w:val="32"/>
          <w:lang w:val="zh-CN"/>
        </w:rPr>
      </w:pPr>
      <w:r>
        <w:rPr>
          <w:rFonts w:ascii="仿宋_GB2312" w:eastAsia="仿宋_GB2312" w:cs="仿宋_GB2312" w:hint="eastAsia"/>
          <w:b/>
          <w:bCs/>
          <w:sz w:val="32"/>
          <w:szCs w:val="32"/>
          <w:lang w:val="zh-CN"/>
        </w:rPr>
        <w:t>3.项目实施。</w:t>
      </w:r>
      <w:r>
        <w:rPr>
          <w:rFonts w:ascii="仿宋_GB2312" w:eastAsia="仿宋_GB2312" w:cs="仿宋_GB2312" w:hint="eastAsia"/>
          <w:sz w:val="32"/>
          <w:szCs w:val="32"/>
          <w:lang w:val="zh-CN"/>
        </w:rPr>
        <w:t>富顺镇富顺村产业基础设施提升项目，现已按要求实施完成，村两委、镇政府及主管部门已验收。</w:t>
      </w:r>
    </w:p>
    <w:p>
      <w:pPr>
        <w:adjustRightInd w:val="0"/>
        <w:snapToGrid w:val="0"/>
        <w:spacing w:line="578" w:lineRule="exact"/>
        <w:ind w:firstLineChars="200" w:firstLine="640"/>
        <w:rPr>
          <w:rFonts w:ascii="仿宋_GB2312" w:eastAsia="仿宋_GB2312" w:cs="仿宋_GB2312"/>
          <w:sz w:val="32"/>
          <w:szCs w:val="32"/>
          <w:lang w:val="zh-CN"/>
        </w:rPr>
      </w:pPr>
      <w:r>
        <w:rPr>
          <w:rFonts w:ascii="仿宋_GB2312" w:eastAsia="仿宋_GB2312" w:cs="仿宋_GB2312" w:hint="eastAsia"/>
          <w:b/>
          <w:bCs/>
          <w:sz w:val="32"/>
          <w:szCs w:val="32"/>
          <w:lang w:val="zh-CN"/>
        </w:rPr>
        <w:t>4.项目结果。</w:t>
      </w:r>
      <w:r>
        <w:rPr>
          <w:rFonts w:ascii="仿宋_GB2312" w:eastAsia="仿宋_GB2312" w:cs="仿宋_GB2312" w:hint="eastAsia"/>
          <w:sz w:val="32"/>
          <w:szCs w:val="32"/>
          <w:lang w:val="zh-CN"/>
        </w:rPr>
        <w:t>围绕目标完成、完成时效进行绩效分析。</w:t>
      </w:r>
    </w:p>
    <w:p>
      <w:pPr>
        <w:adjustRightInd w:val="0"/>
        <w:snapToGrid w:val="0"/>
        <w:spacing w:line="578"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（二）专用指标绩效分析。</w:t>
      </w:r>
      <w:r>
        <w:rPr>
          <w:rFonts w:ascii="仿宋_GB2312" w:eastAsia="仿宋_GB2312" w:cs="仿宋_GB2312" w:hint="eastAsia"/>
          <w:sz w:val="32"/>
          <w:szCs w:val="32"/>
          <w:lang w:val="zh-CN"/>
        </w:rPr>
        <w:t>无</w:t>
      </w:r>
    </w:p>
    <w:p>
      <w:pPr>
        <w:adjustRightInd w:val="0"/>
        <w:snapToGrid w:val="0"/>
        <w:spacing w:line="578" w:lineRule="exact"/>
        <w:ind w:firstLineChars="200" w:firstLine="640"/>
        <w:rPr>
          <w:rFonts w:ascii="仿宋_GB2312" w:eastAsia="仿宋_GB2312" w:cs="仿宋_GB2312"/>
          <w:sz w:val="32"/>
          <w:szCs w:val="32"/>
          <w:lang w:val="zh-CN"/>
        </w:rPr>
      </w:pPr>
      <w:r>
        <w:rPr>
          <w:rFonts w:ascii="楷体_GB2312" w:eastAsia="楷体_GB2312" w:hint="eastAsia"/>
          <w:b/>
          <w:sz w:val="32"/>
          <w:szCs w:val="32"/>
          <w:lang w:val="zh-CN"/>
        </w:rPr>
        <w:t>（三）个性指标绩效分析。</w:t>
      </w:r>
      <w:r>
        <w:rPr>
          <w:rFonts w:ascii="仿宋_GB2312" w:eastAsia="仿宋_GB2312" w:cs="仿宋_GB2312" w:hint="eastAsia"/>
          <w:sz w:val="32"/>
          <w:szCs w:val="32"/>
          <w:lang w:val="zh-CN"/>
        </w:rPr>
        <w:t>无</w:t>
      </w:r>
    </w:p>
    <w:p>
      <w:pPr>
        <w:pStyle w:val="18"/>
        <w:widowControl/>
        <w:tabs>
          <w:tab w:val="left" w:pos="2160"/>
        </w:tabs>
        <w:suppressAutoHyphens/>
        <w:spacing w:after="0" w:line="600" w:lineRule="exact"/>
        <w:ind w:firstLineChars="200" w:firstLine="640"/>
        <w:jc w:val="left"/>
        <w:outlineLvl w:val="1"/>
        <w:rPr>
          <w:rFonts w:ascii="黑体" w:eastAsia="黑体"/>
          <w:kern w:val="0"/>
          <w:position w:val="3"/>
          <w:sz w:val="32"/>
          <w:szCs w:val="32"/>
        </w:rPr>
      </w:pPr>
      <w:r>
        <w:rPr>
          <w:rFonts w:ascii="黑体" w:eastAsia="黑体" w:hint="eastAsia"/>
          <w:kern w:val="0"/>
          <w:position w:val="3"/>
          <w:sz w:val="32"/>
          <w:szCs w:val="32"/>
        </w:rPr>
        <w:t>四、评价结论</w:t>
      </w:r>
    </w:p>
    <w:p>
      <w:pPr>
        <w:pStyle w:val="18"/>
        <w:tabs>
          <w:tab w:val="left" w:pos="2160"/>
        </w:tabs>
        <w:spacing w:line="600" w:lineRule="exact"/>
        <w:ind w:firstLineChars="200" w:firstLine="640"/>
        <w:rPr>
          <w:rFonts w:ascii="黑体" w:hAnsi="黑体"/>
          <w:sz w:val="32"/>
          <w:szCs w:val="32"/>
        </w:rPr>
      </w:pPr>
      <w:r>
        <w:rPr>
          <w:rFonts w:ascii="仿宋_GB2312" w:eastAsia="仿宋_GB2312" w:cs="仿宋_GB2312" w:hint="eastAsia"/>
          <w:color w:val="000000"/>
          <w:sz w:val="32"/>
          <w:szCs w:val="32"/>
        </w:rPr>
        <w:t>项目</w:t>
      </w:r>
      <w:r>
        <w:rPr>
          <w:rFonts w:ascii="仿宋_GB2312" w:eastAsia="仿宋_GB2312" w:cs="仿宋_GB2312" w:hint="eastAsia"/>
          <w:color w:val="000000"/>
          <w:sz w:val="32"/>
          <w:szCs w:val="32"/>
          <w:lang w:val="zh-CN"/>
        </w:rPr>
        <w:t>管理做到管理规范，操作阳光透明，运行有序高效，态度优质，群众满意度高。在项目管理上，通过逐步规范申报审批支付程序，确保资金高效运转。在资金管理上，严格按照财务制度，确保了资金及时到位和使用。</w:t>
      </w:r>
      <w:r>
        <w:rPr>
          <w:rFonts w:ascii="仿宋_GB2312" w:eastAsia="仿宋_GB2312" w:cs="仿宋_GB2312" w:hint="eastAsia"/>
          <w:color w:val="000000"/>
          <w:sz w:val="32"/>
          <w:szCs w:val="32"/>
        </w:rPr>
        <w:t>有效提升困难家庭居住环境，使受益家庭满意率达到100%。</w:t>
      </w:r>
    </w:p>
    <w:p>
      <w:pPr>
        <w:pStyle w:val="18"/>
        <w:widowControl/>
        <w:tabs>
          <w:tab w:val="left" w:pos="2160"/>
        </w:tabs>
        <w:suppressAutoHyphens/>
        <w:spacing w:after="0" w:line="600" w:lineRule="exact"/>
        <w:ind w:firstLineChars="200" w:firstLine="640"/>
        <w:jc w:val="left"/>
        <w:outlineLvl w:val="1"/>
        <w:rPr>
          <w:rFonts w:ascii="黑体" w:eastAsia="黑体"/>
          <w:kern w:val="0"/>
          <w:position w:val="3"/>
          <w:sz w:val="32"/>
          <w:szCs w:val="32"/>
        </w:rPr>
      </w:pPr>
      <w:r>
        <w:rPr>
          <w:rFonts w:ascii="黑体" w:eastAsia="黑体" w:hint="eastAsia"/>
          <w:kern w:val="0"/>
          <w:position w:val="3"/>
          <w:sz w:val="32"/>
          <w:szCs w:val="32"/>
        </w:rPr>
        <w:t>五、存在主要问题</w:t>
      </w:r>
    </w:p>
    <w:p>
      <w:pPr>
        <w:pStyle w:val="18"/>
        <w:tabs>
          <w:tab w:val="right" w:pos="7666"/>
        </w:tabs>
        <w:spacing w:line="600" w:lineRule="exact"/>
        <w:ind w:firstLineChars="200" w:firstLine="640"/>
        <w:rPr>
          <w:rFonts w:ascii="仿宋_GB2312" w:eastAsia="仿宋_GB2312" w:cs="仿宋_GB2312"/>
          <w:sz w:val="32"/>
          <w:szCs w:val="32"/>
        </w:rPr>
      </w:pPr>
      <w:r>
        <w:rPr>
          <w:rFonts w:ascii="仿宋_GB2312" w:eastAsia="仿宋_GB2312" w:cs="仿宋_GB2312" w:hint="eastAsia"/>
          <w:color w:val="000000"/>
          <w:sz w:val="32"/>
          <w:szCs w:val="32"/>
        </w:rPr>
        <w:t>无</w:t>
      </w:r>
      <w:r>
        <w:rPr>
          <w:rFonts w:ascii="仿宋_GB2312" w:eastAsia="仿宋_GB2312" w:cs="仿宋_GB2312" w:hint="eastAsia"/>
          <w:sz w:val="32"/>
          <w:szCs w:val="32"/>
        </w:rPr>
        <w:tab/>
      </w:r>
    </w:p>
    <w:p>
      <w:pPr>
        <w:pStyle w:val="18"/>
        <w:widowControl/>
        <w:tabs>
          <w:tab w:val="left" w:pos="2160"/>
        </w:tabs>
        <w:suppressAutoHyphens/>
        <w:spacing w:after="0" w:line="600" w:lineRule="exact"/>
        <w:ind w:firstLineChars="200" w:firstLine="640"/>
        <w:jc w:val="left"/>
        <w:outlineLvl w:val="1"/>
        <w:rPr>
          <w:rFonts w:ascii="黑体" w:eastAsia="黑体"/>
          <w:kern w:val="0"/>
          <w:position w:val="3"/>
          <w:sz w:val="32"/>
          <w:szCs w:val="32"/>
          <w:lang w:val="zh-CN"/>
        </w:rPr>
      </w:pPr>
      <w:r>
        <w:rPr>
          <w:rFonts w:ascii="黑体" w:eastAsia="黑体" w:hint="eastAsia"/>
          <w:kern w:val="0"/>
          <w:position w:val="3"/>
          <w:sz w:val="32"/>
          <w:szCs w:val="32"/>
          <w:lang w:val="zh-CN"/>
        </w:rPr>
        <w:t>六、改进建议</w:t>
      </w:r>
    </w:p>
    <w:p>
      <w:pPr>
        <w:tabs>
          <w:tab w:val="left" w:pos="1911"/>
        </w:tabs>
        <w:jc w:val="left"/>
        <w:rPr>
          <w:rFonts w:ascii="仿宋_GB2312" w:eastAsia="仿宋_GB2312" w:cs="仿宋_GB2312"/>
          <w:color w:val="000000"/>
          <w:sz w:val="32"/>
          <w:szCs w:val="32"/>
        </w:rPr>
      </w:pPr>
      <w:r>
        <w:rPr>
          <w:rFonts w:ascii="仿宋_GB2312" w:eastAsia="仿宋_GB2312" w:cs="仿宋_GB2312" w:hint="eastAsia"/>
          <w:color w:val="000000"/>
          <w:sz w:val="32"/>
          <w:szCs w:val="32"/>
        </w:rPr>
        <w:t xml:space="preserve">   无</w:t>
      </w:r>
    </w:p>
    <w:p>
      <w:pPr>
        <w:spacing w:line="578" w:lineRule="exact"/>
        <w:rPr>
          <w:rFonts w:ascii="黑体" w:eastAsia="黑体" w:cs="黑体"/>
          <w:sz w:val="32"/>
          <w:szCs w:val="32"/>
        </w:rPr>
      </w:pPr>
    </w:p>
    <w:p>
      <w:pPr>
        <w:spacing w:line="578" w:lineRule="exact"/>
        <w:rPr>
          <w:rFonts w:ascii="黑体" w:eastAsia="黑体" w:cs="黑体"/>
          <w:sz w:val="32"/>
          <w:szCs w:val="32"/>
        </w:rPr>
      </w:pPr>
    </w:p>
    <w:p>
      <w:pPr>
        <w:pStyle w:val="31"/>
        <w:spacing w:line="560" w:lineRule="exact"/>
        <w:jc w:val="center"/>
        <w:rPr>
          <w:rFonts w:ascii="方正小标宋简体" w:eastAsia="方正小标宋简体" w:cs="方正小标宋简体" w:hint="eastAsia"/>
          <w:color w:val="auto"/>
          <w:kern w:val="2"/>
          <w:sz w:val="44"/>
          <w:szCs w:val="44"/>
          <w:lang w:val="en-US"/>
        </w:rPr>
      </w:pPr>
      <w:r>
        <w:rPr>
          <w:rFonts w:ascii="方正小标宋简体" w:eastAsia="方正小标宋简体" w:cs="方正小标宋简体" w:hint="eastAsia"/>
          <w:color w:val="auto"/>
          <w:kern w:val="2"/>
          <w:sz w:val="44"/>
          <w:szCs w:val="44"/>
          <w:lang w:val="en-US"/>
        </w:rPr>
        <w:tab/>
      </w:r>
    </w:p>
    <w:p>
      <w:pPr>
        <w:pStyle w:val="31"/>
        <w:spacing w:line="560"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hint="eastAsia"/>
          <w:sz w:val="44"/>
          <w:szCs w:val="44"/>
          <w:lang w:val="en-US"/>
        </w:rPr>
        <w:t>茂县民族宗教局</w:t>
      </w:r>
    </w:p>
    <w:p>
      <w:pPr>
        <w:pStyle w:val="31"/>
        <w:spacing w:line="578" w:lineRule="exact"/>
        <w:jc w:val="center"/>
        <w:rPr>
          <w:rFonts w:ascii="方正小标宋简体" w:eastAsia="方正小标宋简体" w:cs="方正小标宋简体"/>
          <w:color w:val="auto"/>
          <w:kern w:val="2"/>
          <w:sz w:val="44"/>
          <w:szCs w:val="44"/>
          <w:lang w:val="en-US"/>
        </w:rPr>
      </w:pPr>
      <w:r>
        <w:rPr>
          <w:rFonts w:ascii="方正小标宋简体" w:eastAsia="方正小标宋简体" w:cs="方正小标宋简体" w:hint="eastAsia"/>
          <w:color w:val="auto"/>
          <w:kern w:val="2"/>
          <w:sz w:val="44"/>
          <w:szCs w:val="44"/>
          <w:lang w:val="en-US"/>
        </w:rPr>
        <w:t xml:space="preserve"> 专项预算项目绩效评价报告</w:t>
      </w:r>
    </w:p>
    <w:p>
      <w:pPr>
        <w:topLinePunct/>
        <w:snapToGrid w:val="0"/>
        <w:spacing w:line="560" w:lineRule="exact"/>
        <w:jc w:val="center"/>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lang w:val="zh-CN"/>
        </w:rPr>
        <w:t>沟口镇沟口村少数民族特色村寨提升项目</w:t>
      </w:r>
      <w:r>
        <w:rPr>
          <w:rFonts w:ascii="仿宋_GB2312" w:eastAsia="仿宋_GB2312" w:hint="eastAsia"/>
          <w:sz w:val="32"/>
          <w:szCs w:val="32"/>
        </w:rPr>
        <w:t>）</w:t>
      </w:r>
    </w:p>
    <w:p>
      <w:pPr>
        <w:adjustRightInd w:val="0"/>
        <w:snapToGrid w:val="0"/>
        <w:spacing w:line="578" w:lineRule="exact"/>
        <w:ind w:firstLineChars="200" w:firstLine="640"/>
        <w:rPr>
          <w:rFonts w:ascii="黑体" w:eastAsia="黑体"/>
          <w:sz w:val="32"/>
          <w:szCs w:val="32"/>
        </w:rPr>
      </w:pPr>
    </w:p>
    <w:p>
      <w:pPr>
        <w:adjustRightInd w:val="0"/>
        <w:snapToGrid w:val="0"/>
        <w:spacing w:line="578" w:lineRule="exact"/>
        <w:ind w:firstLineChars="200" w:firstLine="640"/>
        <w:outlineLvl w:val="1"/>
        <w:rPr>
          <w:rFonts w:ascii="黑体" w:eastAsia="黑体"/>
          <w:sz w:val="32"/>
          <w:szCs w:val="32"/>
          <w:lang w:val="zh-CN"/>
        </w:rPr>
      </w:pPr>
      <w:r>
        <w:rPr>
          <w:rFonts w:ascii="黑体" w:eastAsia="黑体" w:hint="eastAsia"/>
          <w:sz w:val="32"/>
          <w:szCs w:val="32"/>
        </w:rPr>
        <w:t>一、</w:t>
      </w:r>
      <w:r>
        <w:rPr>
          <w:rFonts w:ascii="黑体" w:eastAsia="黑体" w:hint="eastAsia"/>
          <w:sz w:val="32"/>
          <w:szCs w:val="32"/>
          <w:lang w:val="zh-CN"/>
        </w:rPr>
        <w:t>项目概况</w:t>
      </w:r>
    </w:p>
    <w:p>
      <w:pPr>
        <w:autoSpaceDN w:val="0"/>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（一）设立背景及基本情况。</w:t>
      </w:r>
      <w:r>
        <w:rPr>
          <w:rFonts w:ascii="仿宋_GB2312" w:eastAsia="仿宋_GB2312" w:cs="仿宋_GB2312" w:hint="eastAsia"/>
          <w:color w:val="000000"/>
          <w:sz w:val="32"/>
          <w:szCs w:val="32"/>
          <w:lang w:val="zh-CN"/>
        </w:rPr>
        <w:t>按照《中央和省级财政衔接推进乡村振兴补助资金管理办法》(川财农〔2021〕36号)、《关于加强中央和省级财政衔接推进乡村振兴补助资金使用管理的实施意见》(川财农〔2021〕61号)等文件规定，切实管好用好资金。</w:t>
      </w:r>
    </w:p>
    <w:p>
      <w:pPr>
        <w:widowControl/>
        <w:suppressAutoHyphens/>
        <w:adjustRightInd w:val="0"/>
        <w:snapToGrid w:val="0"/>
        <w:spacing w:line="578" w:lineRule="exact"/>
        <w:ind w:firstLineChars="200" w:firstLine="640"/>
        <w:contextualSpacing/>
        <w:jc w:val="left"/>
        <w:rPr>
          <w:rFonts w:ascii="仿宋_GB2312" w:hAnsi="仿宋_GB2312"/>
        </w:rPr>
      </w:pPr>
      <w:r>
        <w:rPr>
          <w:rFonts w:ascii="楷体_GB2312" w:eastAsia="楷体_GB2312" w:hint="eastAsia"/>
          <w:b/>
          <w:sz w:val="32"/>
          <w:szCs w:val="32"/>
          <w:lang w:val="zh-CN"/>
        </w:rPr>
        <w:t>（二）实施目的及支持方向。</w:t>
      </w:r>
      <w:r>
        <w:rPr>
          <w:rFonts w:ascii="仿宋_GB2312" w:eastAsia="仿宋_GB2312" w:cs="仿宋_GB2312" w:hint="eastAsia"/>
          <w:color w:val="000000"/>
          <w:sz w:val="32"/>
          <w:szCs w:val="32"/>
          <w:lang w:val="zh-CN"/>
        </w:rPr>
        <w:t>突出衔接资金支持重点，优先支持联农带农富农产业发展，巩固拓展脱贫攻坚成果，增强脱贫地区和脱贫群众内生发展动力。</w:t>
      </w:r>
    </w:p>
    <w:p>
      <w:pPr>
        <w:adjustRightInd w:val="0"/>
        <w:snapToGrid w:val="0"/>
        <w:spacing w:line="560" w:lineRule="exact"/>
        <w:ind w:firstLine="720"/>
        <w:rPr>
          <w:rFonts w:ascii="仿宋_GB2312" w:eastAsia="仿宋_GB2312" w:cs="仿宋_GB2312"/>
          <w:color w:val="000000"/>
          <w:sz w:val="32"/>
          <w:szCs w:val="32"/>
          <w:lang w:val="zh-CN"/>
        </w:rPr>
      </w:pPr>
      <w:r>
        <w:rPr>
          <w:rFonts w:ascii="楷体_GB2312" w:eastAsia="楷体_GB2312" w:hint="eastAsia"/>
          <w:b/>
          <w:sz w:val="32"/>
          <w:szCs w:val="32"/>
          <w:lang w:val="zh-CN"/>
        </w:rPr>
        <w:t>（三）预算安排及分配管理。</w:t>
      </w:r>
      <w:r>
        <w:rPr>
          <w:rFonts w:ascii="仿宋_GB2312" w:eastAsia="仿宋_GB2312" w:cs="仿宋_GB2312" w:hint="eastAsia"/>
          <w:color w:val="000000"/>
          <w:sz w:val="32"/>
          <w:szCs w:val="32"/>
          <w:lang w:val="zh-CN"/>
        </w:rPr>
        <w:t>沟口镇沟口村少数民族特色村寨提升项目资金申报23.74万元，批复23.74万元，申报与批复资金一致。</w:t>
      </w:r>
    </w:p>
    <w:p>
      <w:pPr>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（四）项目绩效目标设置。</w:t>
      </w:r>
      <w:r>
        <w:rPr>
          <w:rFonts w:ascii="仿宋_GB2312" w:eastAsia="仿宋_GB2312" w:cs="仿宋_GB2312" w:hint="eastAsia"/>
          <w:color w:val="000000"/>
          <w:sz w:val="32"/>
          <w:szCs w:val="32"/>
          <w:lang w:val="zh-CN"/>
        </w:rPr>
        <w:t>通过项目的实施，将改善当地基础设施条件，将充分发挥资源、区位两大优势，变自然优势为经济优势，给村民带来更好的经济收益。保证项目绩效达到预期绩效目标。</w:t>
      </w:r>
    </w:p>
    <w:p>
      <w:pPr>
        <w:adjustRightInd w:val="0"/>
        <w:snapToGrid w:val="0"/>
        <w:spacing w:line="578" w:lineRule="exact"/>
        <w:ind w:firstLineChars="200" w:firstLine="640"/>
        <w:outlineLvl w:val="1"/>
        <w:rPr>
          <w:rFonts w:ascii="黑体" w:eastAsia="黑体"/>
          <w:sz w:val="32"/>
          <w:szCs w:val="32"/>
        </w:rPr>
      </w:pPr>
      <w:r>
        <w:rPr>
          <w:rFonts w:ascii="黑体" w:eastAsia="黑体" w:hint="eastAsia"/>
          <w:sz w:val="32"/>
          <w:szCs w:val="32"/>
        </w:rPr>
        <w:t>二、评价实施</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（一）评价目的。</w:t>
      </w:r>
      <w:r>
        <w:rPr>
          <w:rFonts w:ascii="仿宋_GB2312" w:eastAsia="仿宋_GB2312" w:cs="仿宋_GB2312" w:hint="eastAsia"/>
          <w:color w:val="000000"/>
          <w:sz w:val="32"/>
          <w:szCs w:val="32"/>
          <w:lang w:val="zh-CN"/>
        </w:rPr>
        <w:t>通过这些项目的实施，补齐了农村产业道路、灌溉等基础设施短板，极大改善了高半山地区群众生产和出行条件，让高半山区农业产业结构调整、转型升级步伐加快，促进了高半山产业发展和群众增收致富；同时，紧紧围绕州委、州政府“川西北生态经济示范区”建设战略部署和县委、县政府建成“川西北高原生态农业发展高地”的目标定位，突出生态资源优势，有效联农带农发展特色水果生态种植、走绿色生态产业化道路，项目的实施，有效的解决了高半山产业设施配套弱、基础设施差的短板，深入项目实施地得到持续稳定增长。</w:t>
      </w:r>
    </w:p>
    <w:p>
      <w:pPr>
        <w:pBdr>
          <w:bottom w:val="single" w:sz="4" w:space="31" w:color="FFFFFF"/>
        </w:pBdr>
        <w:tabs>
          <w:tab w:val="left" w:pos="0"/>
        </w:tabs>
        <w:spacing w:line="560" w:lineRule="exact"/>
        <w:ind w:firstLineChars="200" w:firstLine="640"/>
        <w:rPr>
          <w:bCs/>
          <w:color w:val="000000"/>
        </w:rPr>
      </w:pPr>
      <w:r>
        <w:rPr>
          <w:rFonts w:ascii="楷体_GB2312" w:eastAsia="楷体_GB2312" w:hint="eastAsia"/>
          <w:b/>
          <w:sz w:val="32"/>
          <w:szCs w:val="32"/>
          <w:lang w:val="zh-CN"/>
        </w:rPr>
        <w:t>（二）预设问题及评价重点。</w:t>
      </w:r>
      <w:r>
        <w:rPr>
          <w:rFonts w:ascii="仿宋_GB2312" w:eastAsia="仿宋_GB2312" w:cs="仿宋_GB2312" w:hint="eastAsia"/>
          <w:color w:val="000000"/>
          <w:sz w:val="32"/>
          <w:szCs w:val="32"/>
          <w:lang w:val="zh-CN"/>
        </w:rPr>
        <w:t>无。</w:t>
      </w:r>
    </w:p>
    <w:p>
      <w:pPr>
        <w:pBdr>
          <w:bottom w:val="single" w:sz="4" w:space="31" w:color="FFFFFF"/>
        </w:pBdr>
        <w:tabs>
          <w:tab w:val="left" w:pos="0"/>
        </w:tabs>
        <w:spacing w:line="560" w:lineRule="exact"/>
        <w:ind w:firstLineChars="200" w:firstLine="640"/>
        <w:rPr>
          <w:bCs/>
          <w:color w:val="000000"/>
        </w:rPr>
      </w:pPr>
      <w:r>
        <w:rPr>
          <w:rFonts w:ascii="楷体_GB2312" w:eastAsia="楷体_GB2312" w:hint="eastAsia"/>
          <w:b/>
          <w:sz w:val="32"/>
          <w:szCs w:val="32"/>
          <w:lang w:val="zh-CN"/>
        </w:rPr>
        <w:t>（三）评价选点。</w:t>
      </w:r>
      <w:r>
        <w:rPr>
          <w:rFonts w:ascii="仿宋_GB2312" w:eastAsia="仿宋_GB2312" w:cs="仿宋_GB2312" w:hint="eastAsia"/>
          <w:color w:val="000000"/>
          <w:sz w:val="32"/>
          <w:szCs w:val="32"/>
          <w:lang w:val="zh-CN"/>
        </w:rPr>
        <w:t>在2023年项目中抽取1个样点进行评价。</w:t>
      </w:r>
    </w:p>
    <w:p>
      <w:pPr>
        <w:pBdr>
          <w:bottom w:val="single" w:sz="4" w:space="31" w:color="FFFFFF"/>
        </w:pBdr>
        <w:tabs>
          <w:tab w:val="left" w:pos="0"/>
        </w:tabs>
        <w:spacing w:line="560" w:lineRule="exact"/>
        <w:ind w:firstLineChars="200" w:firstLine="640"/>
        <w:rPr>
          <w:bCs/>
          <w:color w:val="000000"/>
        </w:rPr>
      </w:pPr>
      <w:r>
        <w:rPr>
          <w:rFonts w:ascii="楷体_GB2312" w:eastAsia="楷体_GB2312" w:hint="eastAsia"/>
          <w:b/>
          <w:sz w:val="32"/>
          <w:szCs w:val="32"/>
          <w:lang w:val="zh-CN"/>
        </w:rPr>
        <w:t>（四）评价方法。</w:t>
      </w:r>
      <w:r>
        <w:rPr>
          <w:rFonts w:ascii="仿宋_GB2312" w:eastAsia="仿宋_GB2312" w:cs="仿宋_GB2312" w:hint="eastAsia"/>
          <w:color w:val="000000"/>
          <w:sz w:val="32"/>
          <w:szCs w:val="32"/>
          <w:lang w:val="zh-CN"/>
        </w:rPr>
        <w:t>采用单位自评法、实地勘察法等方法开展评价。</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（五）评价组织。</w:t>
      </w:r>
      <w:r>
        <w:rPr>
          <w:rFonts w:ascii="仿宋_GB2312" w:eastAsia="仿宋_GB2312" w:cs="仿宋_GB2312" w:hint="eastAsia"/>
          <w:color w:val="000000"/>
          <w:sz w:val="32"/>
          <w:szCs w:val="32"/>
          <w:lang w:val="zh-CN"/>
        </w:rPr>
        <w:t>采用自评与他评相结合的方式，结合评价内容，做到有计划，有安排，扎实开展本次自评工作。针对申报内容、实施情况、资金拨付、财务管理、社会效益等做出自我评价。</w:t>
      </w:r>
    </w:p>
    <w:p>
      <w:pPr>
        <w:pBdr>
          <w:bottom w:val="single" w:sz="4" w:space="31" w:color="FFFFFF"/>
        </w:pBdr>
        <w:tabs>
          <w:tab w:val="left" w:pos="0"/>
        </w:tabs>
        <w:spacing w:line="560" w:lineRule="exact"/>
        <w:ind w:firstLineChars="200" w:firstLine="640"/>
        <w:rPr>
          <w:rFonts w:ascii="黑体" w:eastAsia="黑体"/>
          <w:sz w:val="32"/>
          <w:szCs w:val="32"/>
          <w:lang w:val="zh-CN"/>
        </w:rPr>
      </w:pPr>
      <w:r>
        <w:rPr>
          <w:rFonts w:ascii="黑体" w:eastAsia="黑体" w:hint="eastAsia"/>
          <w:sz w:val="32"/>
          <w:szCs w:val="32"/>
        </w:rPr>
        <w:t>三、绩效分析</w:t>
      </w:r>
      <w:r>
        <w:rPr>
          <w:rFonts w:ascii="黑体" w:eastAsia="黑体" w:hint="eastAsia"/>
          <w:sz w:val="32"/>
          <w:szCs w:val="32"/>
          <w:lang w:val="zh-CN"/>
        </w:rPr>
        <w:tab/>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仿宋_GB2312" w:eastAsia="仿宋_GB2312" w:cs="仿宋_GB2312" w:hint="eastAsia"/>
          <w:color w:val="000000"/>
          <w:sz w:val="32"/>
          <w:szCs w:val="32"/>
          <w:lang w:val="zh-CN"/>
        </w:rPr>
        <w:t>数量指标下预算金额为23.74万元，该指标得分为20%；质量指标下完成质量为中等，该指标得分为30%；时效指标下完成时间为1年，该指标得分为20%；社会效益指标下满意度为中度，该指标得分为30%。</w:t>
      </w:r>
    </w:p>
    <w:p>
      <w:pPr>
        <w:pBdr>
          <w:bottom w:val="single" w:sz="4" w:space="31" w:color="FFFFFF"/>
        </w:pBdr>
        <w:tabs>
          <w:tab w:val="left" w:pos="0"/>
        </w:tabs>
        <w:spacing w:line="560" w:lineRule="exact"/>
        <w:ind w:firstLineChars="200" w:firstLine="640"/>
        <w:rPr>
          <w:rFonts w:ascii="楷体_GB2312" w:eastAsia="楷体_GB2312"/>
          <w:b/>
          <w:sz w:val="32"/>
          <w:szCs w:val="32"/>
          <w:lang w:val="zh-CN"/>
        </w:rPr>
      </w:pPr>
      <w:r>
        <w:rPr>
          <w:rFonts w:ascii="楷体_GB2312" w:eastAsia="楷体_GB2312" w:hint="eastAsia"/>
          <w:b/>
          <w:sz w:val="32"/>
          <w:szCs w:val="32"/>
          <w:lang w:val="zh-CN"/>
        </w:rPr>
        <w:t>（一）通用指标绩效分析</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仿宋_GB2312" w:eastAsia="仿宋_GB2312" w:cs="仿宋_GB2312" w:hint="eastAsia"/>
          <w:b/>
          <w:bCs/>
          <w:color w:val="000000"/>
          <w:sz w:val="32"/>
          <w:szCs w:val="32"/>
          <w:lang w:val="zh-CN"/>
        </w:rPr>
        <w:t>1.项目决策。</w:t>
      </w:r>
      <w:r>
        <w:rPr>
          <w:rFonts w:ascii="仿宋_GB2312" w:eastAsia="仿宋_GB2312" w:cs="仿宋_GB2312" w:hint="eastAsia"/>
          <w:color w:val="000000"/>
          <w:sz w:val="32"/>
          <w:szCs w:val="32"/>
          <w:lang w:val="zh-CN"/>
        </w:rPr>
        <w:t>组织各村对项目开展申报工作，通过全面摸底底排查和实地考查项目可行性，并结合实际情况，及时上报镇党委会议研究决定定，会议中对申报项目的真实性、必要性及建设项目内容、资金保障和受益情况进行审核，经公示公告无异议后并报相关部门审批。</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仿宋_GB2312" w:eastAsia="仿宋_GB2312" w:cs="仿宋_GB2312" w:hint="eastAsia"/>
          <w:b/>
          <w:bCs/>
          <w:color w:val="000000"/>
          <w:sz w:val="32"/>
          <w:szCs w:val="32"/>
          <w:lang w:val="zh-CN"/>
        </w:rPr>
        <w:t>2.项目管理。</w:t>
      </w:r>
      <w:r>
        <w:rPr>
          <w:rFonts w:ascii="仿宋_GB2312" w:eastAsia="仿宋_GB2312" w:cs="仿宋_GB2312" w:hint="eastAsia"/>
          <w:color w:val="000000"/>
          <w:sz w:val="32"/>
          <w:szCs w:val="32"/>
          <w:lang w:val="zh-CN"/>
        </w:rPr>
        <w:t>项目实施过程中，严格按照相关法律法规及项目管理制度进行管理。</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仿宋_GB2312" w:eastAsia="仿宋_GB2312" w:cs="仿宋_GB2312" w:hint="eastAsia"/>
          <w:b/>
          <w:bCs/>
          <w:color w:val="000000"/>
          <w:sz w:val="32"/>
          <w:szCs w:val="32"/>
          <w:lang w:val="zh-CN"/>
        </w:rPr>
        <w:t>3.项目实施。</w:t>
      </w:r>
      <w:r>
        <w:rPr>
          <w:rFonts w:ascii="仿宋_GB2312" w:eastAsia="仿宋_GB2312" w:cs="仿宋_GB2312" w:hint="eastAsia"/>
          <w:color w:val="000000"/>
          <w:sz w:val="32"/>
          <w:szCs w:val="32"/>
          <w:lang w:val="zh-CN"/>
        </w:rPr>
        <w:t>沟口镇沟口村少数民族特色村寨提升项目，现已按要求实施完成，村两委、镇政府及主管部门已验收。</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仿宋_GB2312" w:eastAsia="仿宋_GB2312" w:cs="仿宋_GB2312" w:hint="eastAsia"/>
          <w:b/>
          <w:bCs/>
          <w:color w:val="000000"/>
          <w:sz w:val="32"/>
          <w:szCs w:val="32"/>
          <w:lang w:val="zh-CN"/>
        </w:rPr>
        <w:t>4.项目结果。</w:t>
      </w:r>
      <w:r>
        <w:rPr>
          <w:rFonts w:ascii="仿宋_GB2312" w:eastAsia="仿宋_GB2312" w:cs="仿宋_GB2312" w:hint="eastAsia"/>
          <w:color w:val="000000"/>
          <w:sz w:val="32"/>
          <w:szCs w:val="32"/>
          <w:lang w:val="zh-CN"/>
        </w:rPr>
        <w:t>围绕目标完成、完成时效进行绩效分析。</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（二）专用指标绩效分析。</w:t>
      </w:r>
      <w:r>
        <w:rPr>
          <w:rFonts w:ascii="仿宋_GB2312" w:eastAsia="仿宋_GB2312" w:cs="仿宋_GB2312" w:hint="eastAsia"/>
          <w:color w:val="000000"/>
          <w:sz w:val="32"/>
          <w:szCs w:val="32"/>
          <w:lang w:val="zh-CN"/>
        </w:rPr>
        <w:t>无</w:t>
      </w:r>
    </w:p>
    <w:p>
      <w:pPr>
        <w:pBdr>
          <w:bottom w:val="single" w:sz="4" w:space="31" w:color="FFFFFF"/>
        </w:pBdr>
        <w:tabs>
          <w:tab w:val="left" w:pos="0"/>
        </w:tabs>
        <w:spacing w:line="560" w:lineRule="exact"/>
        <w:ind w:firstLineChars="200" w:firstLine="640"/>
        <w:rPr>
          <w:rFonts w:ascii="仿宋_GB2312" w:eastAsia="仿宋_GB2312" w:cs="仿宋_GB2312"/>
          <w:color w:val="000000"/>
          <w:sz w:val="32"/>
          <w:szCs w:val="32"/>
          <w:lang w:val="zh-CN"/>
        </w:rPr>
      </w:pPr>
      <w:r>
        <w:rPr>
          <w:rFonts w:ascii="楷体_GB2312" w:eastAsia="楷体_GB2312" w:hint="eastAsia"/>
          <w:b/>
          <w:sz w:val="32"/>
          <w:szCs w:val="32"/>
          <w:lang w:val="zh-CN"/>
        </w:rPr>
        <w:t>（三）个性指标绩效分析。</w:t>
      </w:r>
      <w:r>
        <w:rPr>
          <w:rFonts w:ascii="仿宋_GB2312" w:eastAsia="仿宋_GB2312" w:cs="仿宋_GB2312" w:hint="eastAsia"/>
          <w:color w:val="000000"/>
          <w:sz w:val="32"/>
          <w:szCs w:val="32"/>
          <w:lang w:val="zh-CN"/>
        </w:rPr>
        <w:t>无</w:t>
      </w:r>
    </w:p>
    <w:p>
      <w:pPr>
        <w:pBdr>
          <w:bottom w:val="single" w:sz="4" w:space="31" w:color="FFFFFF"/>
        </w:pBdr>
        <w:tabs>
          <w:tab w:val="left" w:pos="0"/>
        </w:tabs>
        <w:spacing w:line="560" w:lineRule="exact"/>
        <w:ind w:firstLineChars="200" w:firstLine="640"/>
        <w:rPr>
          <w:rFonts w:ascii="黑体" w:eastAsia="黑体"/>
          <w:sz w:val="32"/>
          <w:szCs w:val="32"/>
        </w:rPr>
      </w:pPr>
      <w:r>
        <w:rPr>
          <w:rFonts w:ascii="黑体" w:eastAsia="黑体" w:hint="eastAsia"/>
          <w:sz w:val="32"/>
          <w:szCs w:val="32"/>
        </w:rPr>
        <w:t>四、评价结论</w:t>
      </w:r>
    </w:p>
    <w:p>
      <w:pPr>
        <w:pBdr>
          <w:bottom w:val="single" w:sz="4" w:space="31" w:color="FFFFFF"/>
        </w:pBdr>
        <w:tabs>
          <w:tab w:val="left" w:pos="0"/>
        </w:tabs>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项目</w:t>
      </w:r>
      <w:r>
        <w:rPr>
          <w:rFonts w:ascii="Times New Roman" w:eastAsia="仿宋_GB2312" w:hAnsi="Times New Roman" w:hint="eastAsia"/>
          <w:sz w:val="32"/>
          <w:szCs w:val="32"/>
          <w:lang w:val="zh-CN"/>
        </w:rPr>
        <w:t>管理做到管理规范，操作阳光透明，运行有序高效，态度优质，群众满意度高。在项目管理上，通过逐步规范申报审批支付程序，确保资金高效运转。在资金管理上，严格按照财务制度，确保了资金及时到位和使用</w:t>
      </w:r>
      <w:r>
        <w:rPr>
          <w:rFonts w:ascii="仿宋_GB2312" w:eastAsia="仿宋_GB2312" w:cs="仿宋_GB2312" w:hint="eastAsia"/>
          <w:sz w:val="32"/>
          <w:szCs w:val="32"/>
          <w:lang w:val="zh-CN"/>
        </w:rPr>
        <w:t>。</w:t>
      </w:r>
      <w:r>
        <w:rPr>
          <w:rFonts w:ascii="Times New Roman" w:eastAsia="仿宋_GB2312" w:hAnsi="Times New Roman" w:hint="eastAsia"/>
          <w:sz w:val="32"/>
          <w:szCs w:val="32"/>
        </w:rPr>
        <w:t>有效提升困难家庭居住环境，使受益家庭满意率达到100%。</w:t>
      </w:r>
    </w:p>
    <w:p>
      <w:pPr>
        <w:pBdr>
          <w:bottom w:val="single" w:sz="4" w:space="31" w:color="FFFFFF"/>
        </w:pBdr>
        <w:tabs>
          <w:tab w:val="left" w:pos="0"/>
        </w:tabs>
        <w:spacing w:line="560" w:lineRule="exact"/>
        <w:ind w:firstLineChars="200" w:firstLine="640"/>
        <w:rPr>
          <w:rFonts w:ascii="黑体" w:eastAsia="黑体"/>
          <w:sz w:val="32"/>
          <w:szCs w:val="32"/>
        </w:rPr>
      </w:pPr>
      <w:r>
        <w:rPr>
          <w:rFonts w:ascii="黑体" w:eastAsia="黑体" w:hint="eastAsia"/>
          <w:sz w:val="32"/>
          <w:szCs w:val="32"/>
        </w:rPr>
        <w:t>五、存在主要问题</w:t>
      </w:r>
    </w:p>
    <w:p>
      <w:pPr>
        <w:pBdr>
          <w:bottom w:val="single" w:sz="4" w:space="31" w:color="FFFFFF"/>
        </w:pBdr>
        <w:tabs>
          <w:tab w:val="left" w:pos="0"/>
        </w:tabs>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无</w:t>
      </w:r>
    </w:p>
    <w:p>
      <w:pPr>
        <w:numPr>
          <w:ilvl w:val="0"/>
          <w:numId w:val="3"/>
        </w:numPr>
        <w:pBdr>
          <w:bottom w:val="single" w:sz="4" w:space="31" w:color="FFFFFF"/>
        </w:pBdr>
        <w:tabs>
          <w:tab w:val="left" w:pos="0"/>
        </w:tabs>
        <w:spacing w:line="560" w:lineRule="exact"/>
        <w:ind w:left="0" w:firstLineChars="200" w:firstLine="640"/>
        <w:rPr>
          <w:rFonts w:ascii="黑体" w:eastAsia="黑体"/>
          <w:sz w:val="32"/>
          <w:szCs w:val="32"/>
          <w:lang w:val="zh-CN"/>
        </w:rPr>
      </w:pPr>
      <w:r>
        <w:rPr>
          <w:rFonts w:ascii="黑体" w:eastAsia="黑体" w:hint="eastAsia"/>
          <w:sz w:val="32"/>
          <w:szCs w:val="32"/>
          <w:lang w:val="zh-CN"/>
        </w:rPr>
        <w:t>改进建议</w:t>
      </w:r>
    </w:p>
    <w:p>
      <w:pPr>
        <w:pBdr>
          <w:bottom w:val="single" w:sz="4" w:space="31" w:color="FFFFFF"/>
        </w:pBdr>
        <w:tabs>
          <w:tab w:val="left" w:pos="0"/>
        </w:tabs>
        <w:spacing w:line="560" w:lineRule="exact"/>
        <w:ind w:firstLineChars="300" w:firstLine="960"/>
        <w:rPr>
          <w:rFonts w:ascii="仿宋_GB2312" w:eastAsia="仿宋_GB2312" w:cs="仿宋_GB2312"/>
          <w:sz w:val="32"/>
          <w:szCs w:val="32"/>
        </w:rPr>
      </w:pPr>
      <w:r>
        <w:rPr>
          <w:rFonts w:ascii="仿宋_GB2312" w:eastAsia="仿宋_GB2312" w:cs="仿宋_GB2312" w:hint="eastAsia"/>
          <w:sz w:val="32"/>
          <w:szCs w:val="32"/>
        </w:rPr>
        <w:t>无</w:t>
      </w:r>
    </w:p>
    <w:p>
      <w:pPr>
        <w:pStyle w:val="15"/>
      </w:pPr>
    </w:p>
    <w:p>
      <w:pPr>
        <w:widowControl/>
        <w:suppressAutoHyphens/>
        <w:outlineLvl w:val="0"/>
        <w:rPr>
          <w:rFonts w:ascii="黑体" w:eastAsia="黑体"/>
          <w:sz w:val="44"/>
          <w:szCs w:val="44"/>
        </w:rPr>
      </w:pPr>
      <w:bookmarkStart w:id="76" w:name="_Toc6849"/>
    </w:p>
    <w:p>
      <w:pPr>
        <w:widowControl/>
        <w:suppressAutoHyphens/>
        <w:outlineLvl w:val="0"/>
        <w:rPr>
          <w:rFonts w:ascii="黑体" w:eastAsia="黑体" w:hint="eastAsia"/>
          <w:sz w:val="44"/>
          <w:szCs w:val="44"/>
        </w:rPr>
      </w:pPr>
    </w:p>
    <w:p>
      <w:pPr>
        <w:widowControl/>
        <w:suppressAutoHyphens/>
        <w:ind w:firstLineChars="500" w:firstLine="2200"/>
        <w:outlineLvl w:val="0"/>
        <w:rPr>
          <w:rFonts w:ascii="仿宋" w:eastAsia="仿宋"/>
        </w:rPr>
      </w:pPr>
      <w:r>
        <w:rPr>
          <w:rFonts w:ascii="黑体" w:eastAsia="黑体" w:hint="eastAsia"/>
          <w:sz w:val="44"/>
          <w:szCs w:val="44"/>
        </w:rPr>
        <w:t>第</w:t>
      </w:r>
      <w:r>
        <w:rPr>
          <w:rStyle w:val="1Char"/>
          <w:rFonts w:ascii="黑体" w:eastAsia="黑体" w:hint="eastAsia"/>
          <w:b w:val="0"/>
        </w:rPr>
        <w:t>五部分 附表</w:t>
      </w:r>
      <w:bookmarkStart w:id="77" w:name="_Toc15396619"/>
      <w:bookmarkEnd w:id="67"/>
      <w:bookmarkEnd w:id="74"/>
      <w:bookmarkEnd w:id="76"/>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b w:val="0"/>
          <w:sz w:val="32"/>
          <w:szCs w:val="32"/>
        </w:rPr>
      </w:pPr>
      <w:bookmarkStart w:id="78" w:name="_Toc636"/>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r>
        <w:rPr>
          <w:rFonts w:ascii="仿宋_GB2312" w:eastAsia="仿宋_GB2312" w:cs="仿宋_GB2312" w:hint="eastAsia"/>
          <w:b w:val="0"/>
          <w:sz w:val="32"/>
          <w:szCs w:val="32"/>
        </w:rPr>
        <w:t>一、收</w:t>
      </w:r>
      <w:r>
        <w:rPr>
          <w:rStyle w:val="2Char"/>
          <w:rFonts w:ascii="仿宋_GB2312" w:eastAsia="仿宋_GB2312" w:cs="仿宋_GB2312" w:hint="eastAsia"/>
          <w:b w:val="0"/>
          <w:bCs w:val="0"/>
          <w:sz w:val="32"/>
          <w:szCs w:val="32"/>
        </w:rPr>
        <w:t>入支出决算总表</w:t>
      </w:r>
      <w:bookmarkEnd w:id="77"/>
      <w:bookmarkEnd w:id="78"/>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79" w:name="_Toc15396620"/>
      <w:bookmarkStart w:id="80" w:name="_Toc3881"/>
      <w:r>
        <w:rPr>
          <w:rFonts w:ascii="仿宋_GB2312" w:eastAsia="仿宋_GB2312" w:cs="仿宋_GB2312" w:hint="eastAsia"/>
          <w:b w:val="0"/>
          <w:sz w:val="32"/>
          <w:szCs w:val="32"/>
        </w:rPr>
        <w:t>二、收</w:t>
      </w:r>
      <w:r>
        <w:rPr>
          <w:rStyle w:val="2Char"/>
          <w:rFonts w:ascii="仿宋_GB2312" w:eastAsia="仿宋_GB2312" w:cs="仿宋_GB2312" w:hint="eastAsia"/>
          <w:b w:val="0"/>
          <w:bCs w:val="0"/>
          <w:sz w:val="32"/>
          <w:szCs w:val="32"/>
        </w:rPr>
        <w:t>入决算表</w:t>
      </w:r>
      <w:bookmarkEnd w:id="79"/>
      <w:bookmarkEnd w:id="80"/>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81" w:name="_Toc2168"/>
      <w:bookmarkStart w:id="82" w:name="_Toc15396621"/>
      <w:r>
        <w:rPr>
          <w:rStyle w:val="2Char"/>
          <w:rFonts w:ascii="仿宋_GB2312" w:eastAsia="仿宋_GB2312" w:cs="仿宋_GB2312" w:hint="eastAsia"/>
          <w:b w:val="0"/>
          <w:bCs w:val="0"/>
          <w:sz w:val="32"/>
          <w:szCs w:val="32"/>
        </w:rPr>
        <w:t>三、</w:t>
      </w:r>
      <w:r>
        <w:rPr>
          <w:rFonts w:ascii="仿宋_GB2312" w:eastAsia="仿宋_GB2312" w:cs="仿宋_GB2312" w:hint="eastAsia"/>
          <w:b w:val="0"/>
          <w:sz w:val="32"/>
          <w:szCs w:val="32"/>
        </w:rPr>
        <w:t>支</w:t>
      </w:r>
      <w:r>
        <w:rPr>
          <w:rStyle w:val="2Char"/>
          <w:rFonts w:ascii="仿宋_GB2312" w:eastAsia="仿宋_GB2312" w:cs="仿宋_GB2312" w:hint="eastAsia"/>
          <w:b w:val="0"/>
          <w:bCs w:val="0"/>
          <w:sz w:val="32"/>
          <w:szCs w:val="32"/>
        </w:rPr>
        <w:t>出决算表</w:t>
      </w:r>
      <w:bookmarkEnd w:id="81"/>
      <w:bookmarkEnd w:id="82"/>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b w:val="0"/>
          <w:sz w:val="32"/>
          <w:szCs w:val="32"/>
        </w:rPr>
      </w:pPr>
      <w:bookmarkStart w:id="83" w:name="_Toc15800"/>
      <w:bookmarkStart w:id="84" w:name="_Toc15396622"/>
      <w:r>
        <w:rPr>
          <w:rStyle w:val="2Char"/>
          <w:rFonts w:ascii="仿宋_GB2312" w:eastAsia="仿宋_GB2312" w:cs="仿宋_GB2312" w:hint="eastAsia"/>
          <w:b w:val="0"/>
          <w:bCs w:val="0"/>
          <w:sz w:val="32"/>
          <w:szCs w:val="32"/>
        </w:rPr>
        <w:t>四、</w:t>
      </w:r>
      <w:r>
        <w:rPr>
          <w:rFonts w:ascii="仿宋_GB2312" w:eastAsia="仿宋_GB2312" w:cs="仿宋_GB2312" w:hint="eastAsia"/>
          <w:b w:val="0"/>
          <w:sz w:val="32"/>
          <w:szCs w:val="32"/>
        </w:rPr>
        <w:t>财</w:t>
      </w:r>
      <w:r>
        <w:rPr>
          <w:rStyle w:val="2Char"/>
          <w:rFonts w:ascii="仿宋_GB2312" w:eastAsia="仿宋_GB2312" w:cs="仿宋_GB2312" w:hint="eastAsia"/>
          <w:b w:val="0"/>
          <w:bCs w:val="0"/>
          <w:sz w:val="32"/>
          <w:szCs w:val="32"/>
        </w:rPr>
        <w:t>政拨款收入支出决算总表</w:t>
      </w:r>
      <w:bookmarkEnd w:id="83"/>
      <w:bookmarkEnd w:id="84"/>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Style w:val="2Char"/>
          <w:rFonts w:ascii="仿宋_GB2312" w:eastAsia="仿宋_GB2312" w:cs="仿宋_GB2312" w:hint="eastAsia"/>
          <w:b w:val="0"/>
          <w:bCs w:val="0"/>
          <w:sz w:val="32"/>
          <w:szCs w:val="32"/>
        </w:rPr>
      </w:pPr>
      <w:bookmarkStart w:id="85" w:name="_Toc31967"/>
      <w:bookmarkStart w:id="86" w:name="_Toc15396623"/>
      <w:r>
        <w:rPr>
          <w:rStyle w:val="2Char"/>
          <w:rFonts w:ascii="仿宋_GB2312" w:eastAsia="仿宋_GB2312" w:cs="仿宋_GB2312" w:hint="eastAsia"/>
          <w:b w:val="0"/>
          <w:bCs w:val="0"/>
          <w:sz w:val="32"/>
          <w:szCs w:val="32"/>
        </w:rPr>
        <w:t>五、</w:t>
      </w:r>
      <w:r>
        <w:rPr>
          <w:rFonts w:ascii="仿宋_GB2312" w:eastAsia="仿宋_GB2312" w:cs="仿宋_GB2312" w:hint="eastAsia"/>
          <w:b w:val="0"/>
          <w:sz w:val="32"/>
          <w:szCs w:val="32"/>
        </w:rPr>
        <w:t>财</w:t>
      </w:r>
      <w:r>
        <w:rPr>
          <w:rStyle w:val="2Char"/>
          <w:rFonts w:ascii="仿宋_GB2312" w:eastAsia="仿宋_GB2312" w:cs="仿宋_GB2312" w:hint="eastAsia"/>
          <w:b w:val="0"/>
          <w:bCs w:val="0"/>
          <w:sz w:val="32"/>
          <w:szCs w:val="32"/>
        </w:rPr>
        <w:t>政拨款支出决算明细表</w:t>
      </w:r>
      <w:bookmarkStart w:id="87" w:name="_Toc15396624"/>
      <w:bookmarkEnd w:id="85"/>
      <w:bookmarkEnd w:id="86"/>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88" w:name="_Toc7015"/>
      <w:r>
        <w:rPr>
          <w:rStyle w:val="2Char"/>
          <w:rFonts w:ascii="仿宋_GB2312" w:eastAsia="仿宋_GB2312" w:cs="仿宋_GB2312" w:hint="eastAsia"/>
          <w:b w:val="0"/>
          <w:bCs w:val="0"/>
          <w:sz w:val="32"/>
          <w:szCs w:val="32"/>
        </w:rPr>
        <w:t>六、</w:t>
      </w:r>
      <w:r>
        <w:rPr>
          <w:rFonts w:ascii="仿宋_GB2312" w:eastAsia="仿宋_GB2312" w:cs="仿宋_GB2312" w:hint="eastAsia"/>
          <w:b w:val="0"/>
          <w:sz w:val="32"/>
          <w:szCs w:val="32"/>
        </w:rPr>
        <w:t>一</w:t>
      </w:r>
      <w:r>
        <w:rPr>
          <w:rStyle w:val="2Char"/>
          <w:rFonts w:ascii="仿宋_GB2312" w:eastAsia="仿宋_GB2312" w:cs="仿宋_GB2312" w:hint="eastAsia"/>
          <w:b w:val="0"/>
          <w:bCs w:val="0"/>
          <w:sz w:val="32"/>
          <w:szCs w:val="32"/>
        </w:rPr>
        <w:t>般公共预算财政拨款支出决算表</w:t>
      </w:r>
      <w:bookmarkEnd w:id="87"/>
      <w:bookmarkEnd w:id="88"/>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89" w:name="_Toc457"/>
      <w:bookmarkStart w:id="90" w:name="_Toc15396625"/>
      <w:r>
        <w:rPr>
          <w:rStyle w:val="2Char"/>
          <w:rFonts w:ascii="仿宋_GB2312" w:eastAsia="仿宋_GB2312" w:cs="仿宋_GB2312" w:hint="eastAsia"/>
          <w:b w:val="0"/>
          <w:bCs w:val="0"/>
          <w:sz w:val="32"/>
          <w:szCs w:val="32"/>
        </w:rPr>
        <w:t>七、</w:t>
      </w:r>
      <w:r>
        <w:rPr>
          <w:rFonts w:ascii="仿宋_GB2312" w:eastAsia="仿宋_GB2312" w:cs="仿宋_GB2312" w:hint="eastAsia"/>
          <w:b w:val="0"/>
          <w:sz w:val="32"/>
          <w:szCs w:val="32"/>
        </w:rPr>
        <w:t>一</w:t>
      </w:r>
      <w:r>
        <w:rPr>
          <w:rStyle w:val="2Char"/>
          <w:rFonts w:ascii="仿宋_GB2312" w:eastAsia="仿宋_GB2312" w:cs="仿宋_GB2312" w:hint="eastAsia"/>
          <w:b w:val="0"/>
          <w:bCs w:val="0"/>
          <w:sz w:val="32"/>
          <w:szCs w:val="32"/>
        </w:rPr>
        <w:t>般公共预算财政拨款支出决算明细表</w:t>
      </w:r>
      <w:bookmarkEnd w:id="89"/>
      <w:bookmarkEnd w:id="90"/>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91" w:name="_Toc15396626"/>
      <w:bookmarkStart w:id="92" w:name="_Toc18148"/>
      <w:r>
        <w:rPr>
          <w:rStyle w:val="2Char"/>
          <w:rFonts w:ascii="仿宋_GB2312" w:eastAsia="仿宋_GB2312" w:cs="仿宋_GB2312" w:hint="eastAsia"/>
          <w:b w:val="0"/>
          <w:bCs w:val="0"/>
          <w:sz w:val="32"/>
          <w:szCs w:val="32"/>
        </w:rPr>
        <w:t>八、</w:t>
      </w:r>
      <w:r>
        <w:rPr>
          <w:rFonts w:ascii="仿宋_GB2312" w:eastAsia="仿宋_GB2312" w:cs="仿宋_GB2312" w:hint="eastAsia"/>
          <w:b w:val="0"/>
          <w:sz w:val="32"/>
          <w:szCs w:val="32"/>
        </w:rPr>
        <w:t>一</w:t>
      </w:r>
      <w:r>
        <w:rPr>
          <w:rStyle w:val="2Char"/>
          <w:rFonts w:ascii="仿宋_GB2312" w:eastAsia="仿宋_GB2312" w:cs="仿宋_GB2312" w:hint="eastAsia"/>
          <w:b w:val="0"/>
          <w:bCs w:val="0"/>
          <w:sz w:val="32"/>
          <w:szCs w:val="32"/>
        </w:rPr>
        <w:t>般公共预算财政拨款基本支出决算表</w:t>
      </w:r>
      <w:bookmarkEnd w:id="91"/>
      <w:bookmarkEnd w:id="92"/>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93" w:name="_Toc5180"/>
      <w:bookmarkStart w:id="94" w:name="_Toc15396627"/>
      <w:r>
        <w:rPr>
          <w:rStyle w:val="2Char"/>
          <w:rFonts w:ascii="仿宋_GB2312" w:eastAsia="仿宋_GB2312" w:cs="仿宋_GB2312" w:hint="eastAsia"/>
          <w:b w:val="0"/>
          <w:bCs w:val="0"/>
          <w:sz w:val="32"/>
          <w:szCs w:val="32"/>
        </w:rPr>
        <w:t>九、</w:t>
      </w:r>
      <w:r>
        <w:rPr>
          <w:rFonts w:ascii="仿宋_GB2312" w:eastAsia="仿宋_GB2312" w:cs="仿宋_GB2312" w:hint="eastAsia"/>
          <w:b w:val="0"/>
          <w:sz w:val="32"/>
          <w:szCs w:val="32"/>
        </w:rPr>
        <w:t>一</w:t>
      </w:r>
      <w:r>
        <w:rPr>
          <w:rStyle w:val="2Char"/>
          <w:rFonts w:ascii="仿宋_GB2312" w:eastAsia="仿宋_GB2312" w:cs="仿宋_GB2312" w:hint="eastAsia"/>
          <w:b w:val="0"/>
          <w:bCs w:val="0"/>
          <w:sz w:val="32"/>
          <w:szCs w:val="32"/>
        </w:rPr>
        <w:t>般公共预算财政拨款项目支出决算表</w:t>
      </w:r>
      <w:bookmarkEnd w:id="93"/>
      <w:bookmarkEnd w:id="94"/>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95" w:name="_Toc15396628"/>
      <w:bookmarkStart w:id="96" w:name="_Toc1516"/>
      <w:r>
        <w:rPr>
          <w:rStyle w:val="2Char"/>
          <w:rFonts w:ascii="仿宋_GB2312" w:eastAsia="仿宋_GB2312" w:cs="仿宋_GB2312" w:hint="eastAsia"/>
          <w:b w:val="0"/>
          <w:bCs w:val="0"/>
          <w:sz w:val="32"/>
          <w:szCs w:val="32"/>
        </w:rPr>
        <w:t>十、</w:t>
      </w:r>
      <w:bookmarkEnd w:id="95"/>
      <w:r>
        <w:rPr>
          <w:rFonts w:ascii="仿宋_GB2312" w:eastAsia="仿宋_GB2312" w:cs="仿宋_GB2312" w:hint="eastAsia"/>
          <w:b w:val="0"/>
          <w:sz w:val="32"/>
          <w:szCs w:val="32"/>
        </w:rPr>
        <w:t>政</w:t>
      </w:r>
      <w:r>
        <w:rPr>
          <w:rStyle w:val="2Char"/>
          <w:rFonts w:ascii="仿宋_GB2312" w:eastAsia="仿宋_GB2312" w:cs="仿宋_GB2312" w:hint="eastAsia"/>
          <w:b w:val="0"/>
          <w:bCs w:val="0"/>
          <w:sz w:val="32"/>
          <w:szCs w:val="32"/>
        </w:rPr>
        <w:t>府性基金预算财政拨款收入支出决算表</w:t>
      </w:r>
      <w:bookmarkEnd w:id="96"/>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97" w:name="_Toc15396629"/>
      <w:bookmarkStart w:id="98" w:name="_Toc21668"/>
      <w:r>
        <w:rPr>
          <w:rStyle w:val="2Char"/>
          <w:rFonts w:ascii="仿宋_GB2312" w:eastAsia="仿宋_GB2312" w:cs="仿宋_GB2312" w:hint="eastAsia"/>
          <w:b w:val="0"/>
          <w:bCs w:val="0"/>
          <w:sz w:val="32"/>
          <w:szCs w:val="32"/>
        </w:rPr>
        <w:t>十一、</w:t>
      </w:r>
      <w:bookmarkEnd w:id="97"/>
      <w:r>
        <w:rPr>
          <w:rFonts w:ascii="仿宋_GB2312" w:eastAsia="仿宋_GB2312" w:cs="仿宋_GB2312" w:hint="eastAsia"/>
          <w:b w:val="0"/>
          <w:sz w:val="32"/>
          <w:szCs w:val="32"/>
        </w:rPr>
        <w:t>国</w:t>
      </w:r>
      <w:r>
        <w:rPr>
          <w:rStyle w:val="2Char"/>
          <w:rFonts w:ascii="仿宋_GB2312" w:eastAsia="仿宋_GB2312" w:cs="仿宋_GB2312" w:hint="eastAsia"/>
          <w:b w:val="0"/>
          <w:bCs w:val="0"/>
          <w:sz w:val="32"/>
          <w:szCs w:val="32"/>
        </w:rPr>
        <w:t>有资本经营预算财政拨款收入支出决算表</w:t>
      </w:r>
      <w:bookmarkEnd w:id="98"/>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Fonts w:ascii="仿宋_GB2312" w:eastAsia="仿宋_GB2312" w:cs="仿宋_GB2312" w:hint="eastAsia"/>
          <w:sz w:val="32"/>
          <w:szCs w:val="32"/>
        </w:rPr>
      </w:pPr>
      <w:bookmarkStart w:id="99" w:name="_Toc15396630"/>
      <w:bookmarkStart w:id="100" w:name="_Toc10831"/>
      <w:r>
        <w:rPr>
          <w:rStyle w:val="2Char"/>
          <w:rFonts w:ascii="仿宋_GB2312" w:eastAsia="仿宋_GB2312" w:cs="仿宋_GB2312" w:hint="eastAsia"/>
          <w:b w:val="0"/>
          <w:bCs w:val="0"/>
          <w:sz w:val="32"/>
          <w:szCs w:val="32"/>
        </w:rPr>
        <w:t>十二、</w:t>
      </w:r>
      <w:bookmarkEnd w:id="99"/>
      <w:r>
        <w:rPr>
          <w:rStyle w:val="2Char"/>
          <w:rFonts w:ascii="仿宋_GB2312" w:eastAsia="仿宋_GB2312" w:cs="仿宋_GB2312" w:hint="eastAsia"/>
          <w:b w:val="0"/>
          <w:bCs w:val="0"/>
          <w:sz w:val="32"/>
          <w:szCs w:val="32"/>
        </w:rPr>
        <w:t>国有资本经营预算财政拨款支出决算表</w:t>
      </w:r>
      <w:bookmarkEnd w:id="100"/>
    </w:p>
    <w:p>
      <w:pPr>
        <w:pStyle w:val="2"/>
        <w:keepNext/>
        <w:keepLines/>
        <w:pageBreakBefore w:val="0"/>
        <w:widowControl w:val="0"/>
        <w:suppressAutoHyphens/>
        <w:kinsoku/>
        <w:wordWrap/>
        <w:overflowPunct/>
        <w:topLinePunct w:val="0"/>
        <w:autoSpaceDE/>
        <w:autoSpaceDN/>
        <w:bidi w:val="0"/>
        <w:adjustRightInd/>
        <w:snapToGrid/>
        <w:spacing w:before="0" w:after="0" w:line="576" w:lineRule="exact"/>
        <w:textAlignment w:val="auto"/>
        <w:rPr>
          <w:rStyle w:val="2Char"/>
          <w:rFonts w:ascii="仿宋_GB2312" w:eastAsia="仿宋_GB2312" w:cs="仿宋_GB2312" w:hint="eastAsia"/>
          <w:b w:val="0"/>
          <w:bCs w:val="0"/>
          <w:sz w:val="32"/>
          <w:szCs w:val="32"/>
        </w:rPr>
      </w:pPr>
      <w:bookmarkStart w:id="101" w:name="_Toc15396631"/>
      <w:bookmarkStart w:id="102" w:name="_Toc7237"/>
      <w:r>
        <w:rPr>
          <w:rStyle w:val="2Char"/>
          <w:rFonts w:ascii="仿宋_GB2312" w:eastAsia="仿宋_GB2312" w:cs="仿宋_GB2312" w:hint="eastAsia"/>
          <w:b w:val="0"/>
          <w:bCs w:val="0"/>
          <w:sz w:val="32"/>
          <w:szCs w:val="32"/>
        </w:rPr>
        <w:t>十三、</w:t>
      </w:r>
      <w:bookmarkEnd w:id="101"/>
      <w:r>
        <w:rPr>
          <w:rStyle w:val="2Char"/>
          <w:rFonts w:ascii="仿宋_GB2312" w:eastAsia="仿宋_GB2312" w:cs="仿宋_GB2312" w:hint="eastAsia"/>
          <w:b w:val="0"/>
          <w:bCs w:val="0"/>
          <w:sz w:val="32"/>
          <w:szCs w:val="32"/>
        </w:rPr>
        <w:t>财政拨款“三公”经费支出决算表</w:t>
      </w:r>
      <w:bookmarkEnd w:id="102"/>
    </w:p>
    <w:p>
      <w:pPr>
        <w:pageBreakBefore w:val="0"/>
        <w:widowControl w:val="0"/>
        <w:suppressAutoHyphens/>
        <w:kinsoku/>
        <w:wordWrap/>
        <w:overflowPunct/>
        <w:topLinePunct w:val="0"/>
        <w:autoSpaceDE/>
        <w:autoSpaceDN/>
        <w:bidi w:val="0"/>
        <w:adjustRightInd/>
        <w:snapToGrid/>
        <w:spacing w:line="576" w:lineRule="exact"/>
        <w:textAlignment w:val="auto"/>
        <w:rPr>
          <w:rFonts w:ascii="仿宋_GB2312" w:eastAsia="仿宋_GB2312" w:cs="仿宋_GB2312" w:hint="eastAsia"/>
          <w:sz w:val="32"/>
          <w:szCs w:val="32"/>
        </w:rPr>
      </w:pPr>
    </w:p>
    <w:sectPr>
      <w:footerReference w:type="default" r:id="rId2"/>
      <w:pgSz w:w="11906" w:h="16838"/>
      <w:pgMar w:top="1440" w:right="1800" w:bottom="1440" w:left="1800" w:header="720" w:footer="720"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3000509000000000000"/>
    <w:charset w:val="86"/>
    <w:family w:val="script"/>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variable"/>
    <w:sig w:usb0="00000000" w:usb1="0000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auto"/>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Cambria">
    <w:altName w:val="DejaVu Sans"/>
    <w:panose1 w:val="02040503050406030204"/>
    <w:charset w:val="00"/>
    <w:family w:val="roman"/>
    <w:pitch w:val="variable"/>
    <w:sig w:usb0="E00002FF" w:usb1="400004FF" w:usb2="00000000" w:usb3="00000000" w:csb0="2000019F" w:csb1="00000000"/>
  </w:font>
  <w:font w:name="??">
    <w:altName w:val="Times New Roman"/>
    <w:panose1 w:val="00000000000000000000"/>
    <w:charset w:val="00"/>
    <w:family w:val="roman"/>
    <w:pitch w:val="variable"/>
    <w:sig w:usb0="00000000" w:usb1="00000000" w:usb2="00000000" w:usb3="00000000" w:csb0="00040001" w:csb1="00000000"/>
  </w:font>
  <w:font w:name="Liberation Sans">
    <w:altName w:val="宋体"/>
    <w:panose1 w:val="00000000000000000000"/>
    <w:charset w:val="00"/>
    <w:family w:val="swiss"/>
    <w:pitch w:val="variable"/>
    <w:sig w:usb0="00000000" w:usb1="00000000" w:usb2="00000000" w:usb3="00000000" w:csb0="00040001" w:csb1="00000000"/>
  </w:font>
  <w:font w:name="Noto Sans CJK SC Regular">
    <w:altName w:val="宋体"/>
    <w:panose1 w:val="00000000000000000000"/>
    <w:charset w:val="86"/>
    <w:family w:val="auto"/>
    <w:pitch w:val="variable"/>
    <w:sig w:usb0="00000000" w:usb1="00000000" w:usb2="00000016" w:usb3="00000000" w:csb0="602E0107"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pPr>
    <w:r>
      <w:rPr>
        <w:sz w:val="18"/>
      </w:rPr>
      <mc:AlternateContent>
        <mc:Choice Requires="wps">
          <w:drawing>
            <wp:anchor distT="0" distB="0" distL="114298" distR="114298" simplePos="0" relativeHeight="30" behindDoc="0" locked="0" layoutInCell="1" hidden="0" allowOverlap="1">
              <wp:simplePos x="0" y="0"/>
              <wp:positionH relativeFrom="margin">
                <wp:align>center</wp:align>
              </wp:positionH>
              <wp:positionV relativeFrom="paragraph">
                <wp:posOffset>0</wp:posOffset>
              </wp:positionV>
              <wp:extent cx="385114" cy="204648"/>
              <wp:effectExtent l="0" t="0" r="0" b="0"/>
              <wp:wrapNone/>
              <wp:docPr id="1" name="文本框 1025"/>
              <wp:cNvGraphicFramePr>
                <a:graphicFrameLocks noChangeAspect="0"/>
              </wp:cNvGraphicFramePr>
              <a:graphic>
                <a:graphicData uri="http://schemas.microsoft.com/office/word/2010/wordprocessingShape">
                  <wps:wsp>
                    <wps:cNvSpPr/>
                    <wps:spPr>
                      <a:xfrm rot="0">
                        <a:off x="0" y="0"/>
                        <a:ext cx="385114" cy="204648"/>
                      </a:xfrm>
                      <a:prstGeom prst="rect"/>
                      <a:noFill/>
                      <a:ln w="9525" cmpd="sng" cap="flat">
                        <a:noFill/>
                        <a:prstDash val="solid"/>
                        <a:round/>
                      </a:ln>
                    </wps:spPr>
                    <wps:txbx id="2">
                      <w:txbxContent>
                        <w:p>
                          <w:pPr>
                            <w:pStyle w:val="20"/>
                            <w:tabs>
                              <w:tab w:val="center" w:pos="4153"/>
                              <w:tab w:val="right" w:pos="8306"/>
                            </w:tabs>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025 3" o:spid="_x0000_s3" filled="f" stroked="f" style="position:absolute;margin-left:0.0pt;margin-top:0.0pt;width:30.324001pt;height:16.114042pt;z-index:30;mso-position-horizontal:center;mso-position-horizontal-relative:margin;mso-position-vertical:absolute;mso-wrap-distance-left:8.999863pt;mso-wrap-distance-right:8.999863pt;mso-wrap-style:none;">
              <v:stroke color="#000000"/>
              <v:textbox id="854" inset="0mm,0mm,0mm,0mm" o:insetmode="custom" style="layout-flow:horizontal;v-text-anchor:top;mso-fit-shape-to-text:t;">
                <w:txbxContent>
                  <w:p>
                    <w:pPr>
                      <w:pStyle w:val="20"/>
                      <w:tabs>
                        <w:tab w:val="center" w:pos="4153"/>
                        <w:tab w:val="right" w:pos="8306"/>
                      </w:tabs>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AC7280E"/>
    <w:multiLevelType w:val="singleLevel"/>
    <w:tmpl w:val="9AC7280E"/>
    <w:lvl w:ilvl="0">
      <w:start w:val="1"/>
      <w:numFmt w:val="decimal"/>
      <w:lvlRestart w:val="0"/>
      <w:lvlText w:val="%1."/>
      <w:lvlJc w:val="left"/>
      <w:pPr>
        <w:ind w:left="0" w:hanging="0"/>
      </w:pPr>
    </w:lvl>
  </w:abstractNum>
  <w:abstractNum w:abstractNumId="1">
    <w:nsid w:val="341E8561"/>
    <w:multiLevelType w:val="singleLevel"/>
    <w:tmpl w:val="341E8561"/>
    <w:lvl w:ilvl="0">
      <w:start w:val="6"/>
      <w:numFmt w:val="chineseCounting"/>
      <w:lvlRestart w:val="0"/>
      <w:suff w:val="nothing"/>
      <w:lvlText w:val="%1、"/>
      <w:lvlJc w:val="left"/>
      <w:pPr>
        <w:ind w:left="0" w:hanging="0"/>
      </w:pPr>
      <w:rPr>
        <w:rFonts w:hint="eastAsia"/>
      </w:rPr>
    </w:lvl>
  </w:abstractNum>
  <w:abstractNum w:abstractNumId="2">
    <w:nsid w:val="3862DD1C"/>
    <w:multiLevelType w:val="singleLevel"/>
    <w:tmpl w:val="3862DD1C"/>
    <w:lvl w:ilvl="0">
      <w:start w:val="6"/>
      <w:numFmt w:val="chineseCounting"/>
      <w:lvlRestart w:val="0"/>
      <w:suff w:val="nothing"/>
      <w:lvlText w:val="%1、"/>
      <w:lvlJc w:val="left"/>
      <w:pPr>
        <w:ind w:left="0" w:hanging="0"/>
      </w:pPr>
      <w:rPr>
        <w:rFonts w:hint="eastAsia"/>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ocumentProtection w:edit="readOnly" w:enforcement="0"/>
  <w:defaultTabStop w:val="420"/>
  <w:drawingGridHorizontalSpacing w:val="1"/>
  <w:drawingGridVerticalSpacing w:val="1"/>
  <w:doNotUseMarginsForDrawingGridOrigin/>
  <w:drawingGridHorizontalOrigin w:val="0"/>
  <w:drawingGridVerticalOrigin w:val="0"/>
  <w:displayHorizontalDrawingGridEvery w:val="0"/>
  <w:displayVerticalDrawingGridEvery w:val="0"/>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mQ4NmY5YjVjOTFjMDMyYzlhMzNiODNmMGZiNTAwZjA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uppressAutoHyphens/>
      <w:jc w:val="both"/>
    </w:pPr>
    <w:rPr>
      <w:rFonts w:ascii="Calibri" w:eastAsia="宋体" w:cs="Times New Roman" w:hAnsi="Calibri"/>
      <w:kern w:val="2"/>
      <w:sz w:val="21"/>
      <w:szCs w:val="24"/>
      <w:lang w:val="en-US" w:eastAsia="zh-CN" w:bidi="ar-SA"/>
    </w:rPr>
  </w:style>
  <w:style w:type="paragraph" w:styleId="1">
    <w:name w:val="heading 1"/>
    <w:basedOn w:val="0"/>
    <w:next w:val="0"/>
    <w:link w:val="1Char"/>
    <w:pPr>
      <w:keepNext/>
      <w:keepLines/>
      <w:widowControl w:val="0"/>
      <w:suppressAutoHyphen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basedOn w:val="0"/>
    <w:next w:val="0"/>
    <w:link w:val="2Char"/>
    <w:pPr>
      <w:keepNext/>
      <w:keepLines/>
      <w:widowControl w:val="0"/>
      <w:suppressAutoHyphens/>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uppressAutoHyphens/>
      <w:spacing w:before="260" w:after="260" w:line="415" w:lineRule="auto"/>
      <w:outlineLvl w:val="2"/>
    </w:pPr>
    <w:rPr>
      <w:b/>
      <w:bCs/>
      <w:sz w:val="32"/>
      <w:szCs w:val="32"/>
    </w:rPr>
  </w:style>
  <w:style w:type="paragraph" w:styleId="4">
    <w:name w:val="heading 4"/>
    <w:basedOn w:val="0"/>
    <w:next w:val="0"/>
    <w:pPr>
      <w:spacing w:before="100" w:beforeAutospacing="1" w:after="100" w:afterAutospacing="1"/>
      <w:jc w:val="left"/>
      <w:outlineLvl w:val="3"/>
    </w:pPr>
    <w:rPr>
      <w:rFonts w:ascii="宋体" w:cs="宋体"/>
      <w:b/>
      <w:bCs/>
      <w:kern w:val="0"/>
      <w:sz w:val="24"/>
    </w:rPr>
  </w:style>
  <w:style w:type="character" w:default="1" w:styleId="10">
    <w:name w:val="Default Paragraph Font"/>
  </w:style>
  <w:style w:type="paragraph" w:styleId="15">
    <w:name w:val="table of figures"/>
    <w:basedOn w:val="0"/>
    <w:next w:val="0"/>
    <w:pPr>
      <w:ind w:leftChars="200" w:left="400" w:hangingChars="200" w:hanging="200"/>
    </w:pPr>
  </w:style>
  <w:style w:type="paragraph" w:styleId="16">
    <w:name w:val="Normal Indent"/>
    <w:basedOn w:val="0"/>
    <w:pPr>
      <w:ind w:firstLine="680"/>
    </w:pPr>
  </w:style>
  <w:style w:type="paragraph" w:styleId="17">
    <w:name w:val="caption"/>
    <w:basedOn w:val="0"/>
    <w:next w:val="0"/>
    <w:pPr>
      <w:widowControl w:val="0"/>
      <w:suppressLineNumbers/>
      <w:suppressAutoHyphens/>
      <w:spacing w:before="120" w:after="120"/>
    </w:pPr>
    <w:rPr>
      <w:i/>
      <w:iCs/>
      <w:sz w:val="24"/>
    </w:rPr>
  </w:style>
  <w:style w:type="paragraph" w:styleId="18">
    <w:name w:val="Body Text"/>
    <w:basedOn w:val="0"/>
    <w:pPr>
      <w:spacing w:after="140" w:line="276" w:lineRule="auto"/>
    </w:pPr>
  </w:style>
  <w:style w:type="paragraph" w:styleId="19">
    <w:name w:val="Body Text Indent"/>
    <w:basedOn w:val="0"/>
    <w:pPr>
      <w:spacing w:after="120"/>
      <w:ind w:leftChars="200" w:left="200"/>
    </w:pPr>
    <w:rPr>
      <w:rFonts w:ascii="仿宋_GB2312" w:hAnsi="仿宋_GB2312"/>
      <w:szCs w:val="32"/>
    </w:rPr>
  </w:style>
  <w:style w:type="paragraph" w:styleId="20">
    <w:name w:val="footer"/>
    <w:basedOn w:val="0"/>
    <w:pPr>
      <w:tabs>
        <w:tab w:val="center" w:pos="4153"/>
        <w:tab w:val="right" w:pos="8306"/>
      </w:tabs>
      <w:snapToGrid w:val="0"/>
      <w:jc w:val="left"/>
    </w:pPr>
    <w:rPr>
      <w:sz w:val="18"/>
      <w:szCs w:val="18"/>
    </w:rPr>
  </w:style>
  <w:style w:type="paragraph" w:styleId="21">
    <w:name w:val="header"/>
    <w:basedOn w:val="0"/>
    <w:pPr>
      <w:pBdr>
        <w:bottom w:val="single" w:sz="6" w:space="1" w:color="auto"/>
      </w:pBdr>
      <w:tabs>
        <w:tab w:val="center" w:pos="4153"/>
        <w:tab w:val="right" w:pos="8306"/>
      </w:tabs>
      <w:snapToGrid w:val="0"/>
      <w:jc w:val="center"/>
    </w:pPr>
    <w:rPr>
      <w:sz w:val="18"/>
      <w:szCs w:val="18"/>
    </w:rPr>
  </w:style>
  <w:style w:type="paragraph" w:styleId="22">
    <w:name w:val="toc 1"/>
    <w:basedOn w:val="0"/>
    <w:next w:val="0"/>
    <w:pPr>
      <w:tabs>
        <w:tab w:val="right" w:leader="dot" w:pos="8296"/>
      </w:tabs>
      <w:spacing w:before="93"/>
      <w:jc w:val="center"/>
    </w:pPr>
    <w:rPr>
      <w:rFonts w:ascii="仿宋" w:eastAsia="仿宋"/>
      <w:sz w:val="28"/>
      <w:szCs w:val="28"/>
    </w:rPr>
  </w:style>
  <w:style w:type="paragraph" w:styleId="23">
    <w:name w:val="List"/>
    <w:basedOn w:val="18"/>
  </w:style>
  <w:style w:type="paragraph" w:styleId="24">
    <w:name w:val="footnote text"/>
    <w:basedOn w:val="0"/>
    <w:pPr>
      <w:snapToGrid w:val="0"/>
      <w:jc w:val="left"/>
    </w:pPr>
    <w:rPr>
      <w:sz w:val="18"/>
      <w:szCs w:val="18"/>
    </w:rPr>
  </w:style>
  <w:style w:type="paragraph" w:styleId="25">
    <w:name w:val="toc 2"/>
    <w:basedOn w:val="0"/>
    <w:next w:val="0"/>
    <w:pPr>
      <w:tabs>
        <w:tab w:val="right" w:leader="dot" w:pos="8296"/>
      </w:tabs>
      <w:ind w:leftChars="200" w:left="200"/>
    </w:pPr>
  </w:style>
  <w:style w:type="paragraph" w:styleId="26">
    <w:name w:val="Body Text First Indent 2"/>
    <w:basedOn w:val="19"/>
    <w:pPr>
      <w:ind w:firstLineChars="200" w:firstLine="200"/>
    </w:pPr>
  </w:style>
  <w:style w:type="character" w:styleId="27">
    <w:name w:val="Strong"/>
    <w:basedOn w:val="10"/>
    <w:rPr>
      <w:b/>
    </w:rPr>
  </w:style>
  <w:style w:type="character" w:styleId="28">
    <w:name w:val="Hyperlink"/>
    <w:basedOn w:val="10"/>
    <w:rPr>
      <w:color w:val="0000FF"/>
      <w:u w:val="single"/>
    </w:rPr>
  </w:style>
  <w:style w:type="character" w:customStyle="1" w:styleId="29">
    <w:name w:val="默认段落字体1"/>
  </w:style>
  <w:style w:type="paragraph" w:customStyle="1" w:styleId="30">
    <w:name w:val="列出段落1"/>
    <w:basedOn w:val="0"/>
    <w:pPr>
      <w:ind w:firstLineChars="200" w:firstLine="200"/>
    </w:pPr>
  </w:style>
  <w:style w:type="paragraph" w:customStyle="1" w:styleId="31">
    <w:name w:val="四号正文"/>
    <w:basedOn w:val="0"/>
    <w:pPr>
      <w:spacing w:line="360" w:lineRule="auto"/>
    </w:pPr>
    <w:rPr>
      <w:rFonts w:ascii="??" w:hAnsi="??"/>
      <w:color w:val="000000"/>
      <w:kern w:val="0"/>
      <w:sz w:val="28"/>
      <w:szCs w:val="21"/>
      <w:lang w:val="zh-CN"/>
    </w:rPr>
  </w:style>
  <w:style w:type="paragraph" w:customStyle="1" w:styleId="32">
    <w:name w:val="Index"/>
    <w:basedOn w:val="0"/>
    <w:pPr>
      <w:widowControl w:val="0"/>
      <w:suppressLineNumbers/>
      <w:suppressAutoHyphens/>
    </w:pPr>
  </w:style>
  <w:style w:type="paragraph" w:customStyle="1" w:styleId="33">
    <w:name w:val="WPSOffice手动目录 1"/>
    <w:rPr>
      <w:rFonts w:ascii="Times New Roman" w:eastAsia="宋体" w:cs="Times New Roman" w:hAnsi="Times New Roman"/>
      <w:sz w:val="20"/>
      <w:szCs w:val="20"/>
      <w:lang w:val="en-US" w:eastAsia="zh-CN" w:bidi="ar-SA"/>
    </w:rPr>
  </w:style>
  <w:style w:type="paragraph" w:customStyle="1" w:styleId="34">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35">
    <w:name w:val="Heading"/>
    <w:basedOn w:val="0"/>
    <w:next w:val="18"/>
    <w:pPr>
      <w:keepNext/>
      <w:widowControl w:val="0"/>
      <w:suppressAutoHyphens/>
      <w:spacing w:before="240" w:after="120"/>
    </w:pPr>
    <w:rPr>
      <w:rFonts w:ascii="Liberation Sans" w:eastAsia="Noto Sans CJK SC Regular" w:cs="Noto Sans CJK SC Regular" w:hAnsi="Liberation Sans"/>
      <w:sz w:val="28"/>
      <w:szCs w:val="28"/>
    </w:rPr>
  </w:style>
  <w:style w:type="paragraph" w:styleId="36">
    <w:name w:val="List Paragraph"/>
    <w:basedOn w:val="0"/>
    <w:pPr>
      <w:ind w:firstLineChars="200" w:firstLine="200"/>
    </w:pPr>
  </w:style>
  <w:style w:type="paragraph" w:customStyle="1" w:styleId="37">
    <w:name w:val="WPSOffice手动目录 2"/>
    <w:pPr>
      <w:ind w:leftChars="200" w:left="200"/>
    </w:pPr>
    <w:rPr>
      <w:rFonts w:ascii="Times New Roman" w:eastAsia="宋体" w:cs="Times New Roman" w:hAnsi="Times New Roman"/>
      <w:sz w:val="20"/>
      <w:szCs w:val="20"/>
      <w:lang w:val="en-US" w:eastAsia="zh-CN" w:bidi="ar-SA"/>
    </w:rPr>
  </w:style>
  <w:style w:type="paragraph" w:customStyle="1" w:styleId="38">
    <w:name w:val="普通(网站)1"/>
    <w:basedOn w:val="0"/>
    <w:pPr>
      <w:widowControl/>
      <w:suppressAutoHyphens/>
      <w:spacing w:beforeAutospacing="1" w:afterAutospacing="1"/>
      <w:jc w:val="left"/>
    </w:pPr>
    <w:rPr>
      <w:rFonts w:ascii="宋体" w:cs="宋体"/>
      <w:kern w:val="0"/>
      <w:sz w:val="24"/>
      <w:lang w:bidi="bo-CN"/>
    </w:rPr>
  </w:style>
  <w:style w:type="character" w:customStyle="1" w:styleId="39">
    <w:name w:val="NormalCharacte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5.emf"/><Relationship Id="rId4" Type="http://schemas.openxmlformats.org/officeDocument/2006/relationships/oleObject" Target="embeddings/oleObject1.bin"/><Relationship Id="rId5" Type="http://schemas.openxmlformats.org/officeDocument/2006/relationships/image" Target="media/7.emf"/><Relationship Id="rId6" Type="http://schemas.openxmlformats.org/officeDocument/2006/relationships/oleObject" Target="embeddings/oleObject2.bin"/><Relationship Id="rId7" Type="http://schemas.openxmlformats.org/officeDocument/2006/relationships/image" Target="media/9.emf"/><Relationship Id="rId8" Type="http://schemas.openxmlformats.org/officeDocument/2006/relationships/oleObject" Target="embeddings/oleObject3.bin"/><Relationship Id="rId9" Type="http://schemas.openxmlformats.org/officeDocument/2006/relationships/image" Target="media/11.emf"/><Relationship Id="rId10" Type="http://schemas.openxmlformats.org/officeDocument/2006/relationships/oleObject" Target="embeddings/oleObject4.bin"/><Relationship Id="rId11" Type="http://schemas.openxmlformats.org/officeDocument/2006/relationships/image" Target="media/13.emf"/><Relationship Id="rId12" Type="http://schemas.openxmlformats.org/officeDocument/2006/relationships/oleObject" Target="embeddings/oleObject5.bin"/><Relationship Id="rId13" Type="http://schemas.openxmlformats.org/officeDocument/2006/relationships/image" Target="media/15.emf"/><Relationship Id="rId14" Type="http://schemas.openxmlformats.org/officeDocument/2006/relationships/oleObject" Target="embeddings/oleObject6.bin"/><Relationship Id="rId15" Type="http://schemas.openxmlformats.org/officeDocument/2006/relationships/styles" Target="styles.xml"/><Relationship Id="rId16" Type="http://schemas.openxmlformats.org/officeDocument/2006/relationships/numbering" Target="numbering.xml"/><Relationship Id="rId17" Type="http://schemas.openxmlformats.org/officeDocument/2006/relationships/fontTable" Target="fontTable.xml"/></Relationships>
</file>

<file path=docProps/app.xml><?xml version="1.0" encoding="utf-8"?>
<Properties xmlns="http://schemas.openxmlformats.org/officeDocument/2006/extended-properties">
  <Template>Normal.eit</Template>
  <TotalTime>73</TotalTime>
  <Application>Yozo_Office27021597764231179</Application>
  <Pages>35</Pages>
  <Words>13876</Words>
  <Characters>14748</Characters>
  <Lines>765</Lines>
  <Paragraphs>308</Paragraphs>
  <CharactersWithSpaces>14941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2023年度四川省阿坝州茂县民族宗教局部门决算</dc:title>
  <dc:creator>user</dc:creator>
  <cp:lastModifiedBy>user</cp:lastModifiedBy>
  <cp:revision>4</cp:revision>
  <cp:lastPrinted>2024-09-26T07:47:12Z</cp:lastPrinted>
  <dcterms:created xsi:type="dcterms:W3CDTF">2018-11-27T01:47:00Z</dcterms:created>
  <dcterms:modified xsi:type="dcterms:W3CDTF">2024-10-14T02:15:38Z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2052-11.8.2.12094</vt:lpwstr>
  </property>
  <property fmtid="{D5CDD505-2E9C-101B-9397-08002B2CF9AE}" pid="3" name="ICV">
    <vt:lpwstr>28FB10C9757D41979BCDAA4C06D35FE4</vt:lpwstr>
  </property>
</Properties>
</file>