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rPr>
      </w:pPr>
      <w:bookmarkStart w:id="74" w:name="_GoBack"/>
      <w:bookmarkEnd w:id="74"/>
      <w:bookmarkStart w:id="0" w:name="_Toc15396597"/>
      <w:bookmarkStart w:id="1" w:name="_Toc15378441"/>
      <w:bookmarkStart w:id="2" w:name="_Toc15377425"/>
      <w:bookmarkStart w:id="3" w:name="_Toc15396475"/>
      <w:bookmarkStart w:id="4" w:name="_Toc15377193"/>
      <w:bookmarkStart w:id="5" w:name="_Toc15306267"/>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2018年度</w:t>
      </w:r>
      <w:bookmarkEnd w:id="0"/>
      <w:bookmarkEnd w:id="1"/>
      <w:bookmarkEnd w:id="2"/>
      <w:bookmarkEnd w:id="3"/>
      <w:bookmarkEnd w:id="4"/>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color w:val="000000"/>
          <w:sz w:val="44"/>
          <w:szCs w:val="44"/>
        </w:rPr>
        <w:t>四川省</w:t>
      </w:r>
      <w:bookmarkEnd w:id="5"/>
      <w:bookmarkStart w:id="11" w:name="_Toc15306268"/>
      <w:r>
        <w:rPr>
          <w:rFonts w:hint="eastAsia" w:ascii="方正小标宋简体" w:hAnsi="方正小标宋简体" w:eastAsia="方正小标宋简体" w:cs="方正小标宋简体"/>
          <w:color w:val="000000"/>
          <w:sz w:val="44"/>
          <w:szCs w:val="44"/>
        </w:rPr>
        <w:t>茂县森林公安局部门决算</w:t>
      </w:r>
      <w:bookmarkEnd w:id="6"/>
      <w:bookmarkEnd w:id="7"/>
      <w:bookmarkEnd w:id="8"/>
      <w:bookmarkEnd w:id="9"/>
      <w:bookmarkEnd w:id="10"/>
      <w:bookmarkEnd w:id="11"/>
    </w:p>
    <w:p>
      <w:pPr>
        <w:adjustRightInd w:val="0"/>
        <w:snapToGrid w:val="0"/>
        <w:spacing w:line="576" w:lineRule="exact"/>
        <w:jc w:val="center"/>
        <w:outlineLvl w:val="0"/>
        <w:rPr>
          <w:rFonts w:ascii="方正小标宋简体" w:hAnsi="宋体" w:eastAsia="方正小标宋简体"/>
          <w:color w:val="000000"/>
          <w:sz w:val="52"/>
          <w:szCs w:val="52"/>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left"/>
        <w:outlineLvl w:val="0"/>
        <w:rPr>
          <w:rFonts w:hint="eastAsia" w:ascii="方正小标宋简体" w:hAnsi="方正小标宋简体" w:eastAsia="方正小标宋简体" w:cs="方正小标宋简体"/>
          <w:color w:val="000000"/>
          <w:sz w:val="44"/>
          <w:szCs w:val="44"/>
        </w:rPr>
      </w:pP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目录</w:t>
      </w:r>
    </w:p>
    <w:p>
      <w:pPr>
        <w:widowControl/>
        <w:spacing w:line="576" w:lineRule="exact"/>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spacing w:line="576" w:lineRule="exact"/>
        <w:rPr>
          <w:rFonts w:ascii="仿宋" w:hAnsi="仿宋" w:eastAsia="仿宋" w:cs="仿宋"/>
          <w:sz w:val="32"/>
          <w:szCs w:val="32"/>
        </w:rPr>
      </w:pPr>
    </w:p>
    <w:p>
      <w:pPr>
        <w:pStyle w:val="10"/>
        <w:spacing w:line="576" w:lineRule="exact"/>
        <w:rPr>
          <w:rFonts w:cs="仿宋"/>
          <w:sz w:val="32"/>
          <w:szCs w:val="32"/>
        </w:rPr>
      </w:pPr>
      <w:r>
        <w:fldChar w:fldCharType="begin"/>
      </w:r>
      <w:r>
        <w:instrText xml:space="preserve"> HYPERLINK \l "_Toc15396599" </w:instrText>
      </w:r>
      <w:r>
        <w:fldChar w:fldCharType="separate"/>
      </w:r>
      <w:r>
        <w:rPr>
          <w:rStyle w:val="16"/>
          <w:rFonts w:hint="eastAsia" w:cs="仿宋"/>
          <w:sz w:val="32"/>
          <w:szCs w:val="32"/>
        </w:rPr>
        <w:t>第一部分 部门概况</w:t>
      </w:r>
      <w:r>
        <w:rPr>
          <w:rFonts w:hint="eastAsia" w:cs="仿宋"/>
          <w:sz w:val="32"/>
          <w:szCs w:val="32"/>
        </w:rPr>
        <w:tab/>
      </w:r>
      <w:r>
        <w:rPr>
          <w:rFonts w:hint="eastAsia" w:cs="仿宋"/>
          <w:sz w:val="32"/>
          <w:szCs w:val="32"/>
        </w:rPr>
        <w:t>4</w:t>
      </w:r>
      <w:r>
        <w:rPr>
          <w:rFonts w:hint="eastAsia"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"_Toc15396600" </w:instrText>
      </w:r>
      <w:r>
        <w:fldChar w:fldCharType="separate"/>
      </w:r>
      <w:r>
        <w:rPr>
          <w:rStyle w:val="16"/>
          <w:rFonts w:hint="eastAsia" w:ascii="仿宋" w:hAnsi="仿宋" w:eastAsia="仿宋" w:cs="仿宋"/>
          <w:sz w:val="32"/>
          <w:szCs w:val="32"/>
        </w:rPr>
        <w:t>一、基本职能及主要工作</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"_Toc15396601" </w:instrText>
      </w:r>
      <w:r>
        <w:fldChar w:fldCharType="separate"/>
      </w:r>
      <w:r>
        <w:rPr>
          <w:rStyle w:val="16"/>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10"/>
        <w:spacing w:line="576" w:lineRule="exact"/>
        <w:rPr>
          <w:rFonts w:cs="仿宋"/>
          <w:sz w:val="32"/>
          <w:szCs w:val="32"/>
        </w:rPr>
      </w:pPr>
      <w:r>
        <w:fldChar w:fldCharType="begin"/>
      </w:r>
      <w:r>
        <w:instrText xml:space="preserve"> HYPERLINK \l "_Toc15396602" </w:instrText>
      </w:r>
      <w:r>
        <w:fldChar w:fldCharType="separate"/>
      </w:r>
      <w:r>
        <w:rPr>
          <w:rStyle w:val="16"/>
          <w:rFonts w:hint="eastAsia" w:cs="仿宋"/>
          <w:sz w:val="32"/>
          <w:szCs w:val="32"/>
        </w:rPr>
        <w:t>第二部分 2018年度部门决算情况说明</w:t>
      </w:r>
      <w:r>
        <w:rPr>
          <w:rFonts w:hint="eastAsia" w:cs="仿宋"/>
          <w:sz w:val="32"/>
          <w:szCs w:val="32"/>
        </w:rPr>
        <w:tab/>
      </w:r>
      <w:r>
        <w:rPr>
          <w:rFonts w:hint="eastAsia" w:cs="仿宋"/>
          <w:sz w:val="32"/>
          <w:szCs w:val="32"/>
          <w:lang w:val="en-US" w:eastAsia="zh-CN"/>
        </w:rPr>
        <w:t>6</w:t>
      </w:r>
      <w:r>
        <w:rPr>
          <w:rFonts w:hint="eastAsia"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"_Toc15396603" </w:instrText>
      </w:r>
      <w:r>
        <w:fldChar w:fldCharType="separate"/>
      </w:r>
      <w:r>
        <w:rPr>
          <w:rStyle w:val="16"/>
          <w:rFonts w:hint="eastAsia" w:ascii="仿宋" w:hAnsi="仿宋" w:eastAsia="仿宋" w:cs="仿宋"/>
          <w:bCs/>
          <w:sz w:val="32"/>
          <w:szCs w:val="32"/>
        </w:rPr>
        <w:t>一、</w:t>
      </w:r>
      <w:r>
        <w:rPr>
          <w:rStyle w:val="16"/>
          <w:rFonts w:hint="eastAsia" w:ascii="仿宋" w:hAnsi="仿宋" w:eastAsia="仿宋" w:cs="仿宋"/>
          <w:sz w:val="32"/>
          <w:szCs w:val="32"/>
        </w:rPr>
        <w:t>收</w:t>
      </w:r>
      <w:r>
        <w:rPr>
          <w:rStyle w:val="16"/>
          <w:rFonts w:hint="eastAsia" w:ascii="仿宋" w:hAnsi="仿宋" w:eastAsia="仿宋" w:cs="仿宋"/>
          <w:bCs/>
          <w:sz w:val="32"/>
          <w:szCs w:val="32"/>
        </w:rPr>
        <w:t>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"_Toc15396604" </w:instrText>
      </w:r>
      <w:r>
        <w:fldChar w:fldCharType="separate"/>
      </w:r>
      <w:r>
        <w:rPr>
          <w:rStyle w:val="16"/>
          <w:rFonts w:hint="eastAsia" w:ascii="仿宋" w:hAnsi="仿宋" w:eastAsia="仿宋" w:cs="仿宋"/>
          <w:bCs/>
          <w:sz w:val="32"/>
          <w:szCs w:val="32"/>
        </w:rPr>
        <w:t>二、</w:t>
      </w:r>
      <w:r>
        <w:rPr>
          <w:rStyle w:val="16"/>
          <w:rFonts w:hint="eastAsia" w:ascii="仿宋" w:hAnsi="仿宋" w:eastAsia="仿宋" w:cs="仿宋"/>
          <w:sz w:val="32"/>
          <w:szCs w:val="32"/>
        </w:rPr>
        <w:t>收</w:t>
      </w:r>
      <w:r>
        <w:rPr>
          <w:rStyle w:val="16"/>
          <w:rFonts w:hint="eastAsia" w:ascii="仿宋" w:hAnsi="仿宋" w:eastAsia="仿宋" w:cs="仿宋"/>
          <w:bCs/>
          <w:sz w:val="32"/>
          <w:szCs w:val="32"/>
        </w:rPr>
        <w:t>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6</w:t>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"_Toc15396605" </w:instrText>
      </w:r>
      <w:r>
        <w:fldChar w:fldCharType="separate"/>
      </w:r>
      <w:r>
        <w:rPr>
          <w:rStyle w:val="16"/>
          <w:rFonts w:hint="eastAsia" w:ascii="仿宋" w:hAnsi="仿宋" w:eastAsia="仿宋" w:cs="仿宋"/>
          <w:bCs/>
          <w:sz w:val="32"/>
          <w:szCs w:val="32"/>
        </w:rPr>
        <w:t>三、</w:t>
      </w:r>
      <w:r>
        <w:rPr>
          <w:rStyle w:val="16"/>
          <w:rFonts w:hint="eastAsia" w:ascii="仿宋" w:hAnsi="仿宋" w:eastAsia="仿宋" w:cs="仿宋"/>
          <w:sz w:val="32"/>
          <w:szCs w:val="32"/>
        </w:rPr>
        <w:t>支</w:t>
      </w:r>
      <w:r>
        <w:rPr>
          <w:rStyle w:val="16"/>
          <w:rFonts w:hint="eastAsia" w:ascii="仿宋" w:hAnsi="仿宋" w:eastAsia="仿宋" w:cs="仿宋"/>
          <w:bCs/>
          <w:sz w:val="32"/>
          <w:szCs w:val="32"/>
        </w:rPr>
        <w:t>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"_Toc15396606" </w:instrText>
      </w:r>
      <w:r>
        <w:fldChar w:fldCharType="separate"/>
      </w:r>
      <w:r>
        <w:rPr>
          <w:rStyle w:val="16"/>
          <w:rFonts w:hint="eastAsia" w:ascii="仿宋" w:hAnsi="仿宋" w:eastAsia="仿宋" w:cs="仿宋"/>
          <w:sz w:val="32"/>
          <w:szCs w:val="32"/>
        </w:rPr>
        <w:t>四、财</w:t>
      </w:r>
      <w:r>
        <w:rPr>
          <w:rStyle w:val="16"/>
          <w:rFonts w:hint="eastAsia" w:ascii="仿宋" w:hAnsi="仿宋" w:eastAsia="仿宋" w:cs="仿宋"/>
          <w:bCs/>
          <w:sz w:val="32"/>
          <w:szCs w:val="32"/>
        </w:rPr>
        <w:t>政拨款收入支出决算总体情况说明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"_Toc15396607" </w:instrText>
      </w:r>
      <w:r>
        <w:fldChar w:fldCharType="separate"/>
      </w:r>
      <w:r>
        <w:rPr>
          <w:rStyle w:val="16"/>
          <w:rFonts w:hint="eastAsia" w:ascii="仿宋" w:hAnsi="仿宋" w:eastAsia="仿宋" w:cs="仿宋"/>
          <w:sz w:val="32"/>
          <w:szCs w:val="32"/>
        </w:rPr>
        <w:t>五、一</w:t>
      </w:r>
      <w:r>
        <w:rPr>
          <w:rStyle w:val="16"/>
          <w:rFonts w:hint="eastAsia" w:ascii="仿宋" w:hAnsi="仿宋" w:eastAsia="仿宋" w:cs="仿宋"/>
          <w:bCs/>
          <w:sz w:val="32"/>
          <w:szCs w:val="32"/>
        </w:rPr>
        <w:t>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p>
    <w:p>
      <w:pPr>
        <w:pStyle w:val="12"/>
        <w:spacing w:line="576" w:lineRule="exact"/>
        <w:rPr>
          <w:rFonts w:hint="eastAsia" w:ascii="仿宋" w:hAnsi="仿宋" w:eastAsia="仿宋" w:cs="仿宋"/>
          <w:sz w:val="32"/>
          <w:szCs w:val="32"/>
          <w:lang w:val="en-US" w:eastAsia="zh-CN"/>
        </w:rPr>
      </w:pPr>
      <w:r>
        <w:fldChar w:fldCharType="begin"/>
      </w:r>
      <w:r>
        <w:instrText xml:space="preserve"> HYPERLINK \l "_Toc15396608" </w:instrText>
      </w:r>
      <w:r>
        <w:fldChar w:fldCharType="separate"/>
      </w:r>
      <w:r>
        <w:rPr>
          <w:rStyle w:val="16"/>
          <w:rFonts w:hint="eastAsia" w:ascii="仿宋" w:hAnsi="仿宋" w:eastAsia="仿宋" w:cs="仿宋"/>
          <w:sz w:val="32"/>
          <w:szCs w:val="32"/>
        </w:rPr>
        <w:t>六、一</w:t>
      </w:r>
      <w:r>
        <w:rPr>
          <w:rStyle w:val="16"/>
          <w:rFonts w:hint="eastAsia" w:ascii="仿宋" w:hAnsi="仿宋" w:eastAsia="仿宋" w:cs="仿宋"/>
          <w:bCs/>
          <w:sz w:val="32"/>
          <w:szCs w:val="32"/>
        </w:rPr>
        <w:t>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p>
    <w:p>
      <w:pPr>
        <w:pStyle w:val="12"/>
        <w:spacing w:line="576" w:lineRule="exact"/>
        <w:rPr>
          <w:rFonts w:hint="eastAsia" w:ascii="仿宋" w:hAnsi="仿宋" w:eastAsia="仿宋" w:cs="仿宋"/>
          <w:sz w:val="32"/>
          <w:szCs w:val="32"/>
          <w:lang w:val="en-US" w:eastAsia="zh-CN"/>
        </w:rPr>
      </w:pPr>
      <w:r>
        <w:fldChar w:fldCharType="begin"/>
      </w:r>
      <w:r>
        <w:instrText xml:space="preserve"> HYPERLINK \l "_Toc15396609" </w:instrText>
      </w:r>
      <w:r>
        <w:fldChar w:fldCharType="separate"/>
      </w:r>
      <w:r>
        <w:rPr>
          <w:rStyle w:val="16"/>
          <w:rFonts w:hint="eastAsia" w:ascii="仿宋" w:hAnsi="仿宋" w:eastAsia="仿宋" w:cs="仿宋"/>
          <w:sz w:val="32"/>
          <w:szCs w:val="32"/>
        </w:rPr>
        <w:t>七、“</w:t>
      </w:r>
      <w:r>
        <w:rPr>
          <w:rStyle w:val="16"/>
          <w:rFonts w:hint="eastAsia" w:ascii="仿宋" w:hAnsi="仿宋" w:eastAsia="仿宋" w:cs="仿宋"/>
          <w:bCs/>
          <w:sz w:val="32"/>
          <w:szCs w:val="32"/>
        </w:rPr>
        <w:t>三公”经费财政拨款支出决算情况说明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p>
    <w:p>
      <w:pPr>
        <w:pStyle w:val="12"/>
        <w:spacing w:line="576" w:lineRule="exact"/>
        <w:rPr>
          <w:rFonts w:ascii="仿宋" w:hAnsi="仿宋" w:eastAsia="仿宋" w:cs="仿宋"/>
          <w:sz w:val="32"/>
          <w:szCs w:val="32"/>
        </w:rPr>
      </w:pPr>
      <w:r>
        <w:fldChar w:fldCharType="begin"/>
      </w:r>
      <w:r>
        <w:instrText xml:space="preserve"> HYPERLINK \l "_Toc15396610" </w:instrText>
      </w:r>
      <w:r>
        <w:fldChar w:fldCharType="separate"/>
      </w:r>
      <w:r>
        <w:rPr>
          <w:rStyle w:val="16"/>
          <w:rFonts w:hint="eastAsia" w:ascii="仿宋" w:hAnsi="仿宋" w:eastAsia="仿宋" w:cs="仿宋"/>
          <w:sz w:val="32"/>
          <w:szCs w:val="32"/>
        </w:rPr>
        <w:t>八、</w:t>
      </w:r>
      <w:r>
        <w:rPr>
          <w:rStyle w:val="16"/>
          <w:rFonts w:hint="eastAsia" w:ascii="仿宋" w:hAnsi="仿宋" w:eastAsia="仿宋" w:cs="仿宋"/>
          <w:bCs/>
          <w:sz w:val="32"/>
          <w:szCs w:val="32"/>
        </w:rPr>
        <w:t>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_Toc15396610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"_Toc15396611" </w:instrText>
      </w:r>
      <w:r>
        <w:fldChar w:fldCharType="separate"/>
      </w:r>
      <w:r>
        <w:rPr>
          <w:rStyle w:val="16"/>
          <w:rFonts w:hint="eastAsia" w:ascii="仿宋" w:hAnsi="仿宋" w:eastAsia="仿宋" w:cs="仿宋"/>
          <w:bCs/>
          <w:sz w:val="32"/>
          <w:szCs w:val="32"/>
        </w:rPr>
        <w:t>九、</w:t>
      </w:r>
      <w:r>
        <w:rPr>
          <w:rStyle w:val="16"/>
          <w:rFonts w:hint="eastAsia" w:ascii="仿宋" w:hAnsi="仿宋" w:eastAsia="仿宋" w:cs="仿宋"/>
          <w:sz w:val="32"/>
          <w:szCs w:val="32"/>
        </w:rPr>
        <w:t xml:space="preserve"> 国</w:t>
      </w:r>
      <w:r>
        <w:rPr>
          <w:rStyle w:val="16"/>
          <w:rFonts w:hint="eastAsia" w:ascii="仿宋" w:hAnsi="仿宋" w:eastAsia="仿宋" w:cs="仿宋"/>
          <w:bCs/>
          <w:sz w:val="32"/>
          <w:szCs w:val="32"/>
        </w:rPr>
        <w:t>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_Toc15396611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fldChar w:fldCharType="begin"/>
      </w:r>
      <w:r>
        <w:instrText xml:space="preserve"> HYPERLINK \l "_Toc15396611" </w:instrText>
      </w:r>
      <w:r>
        <w:fldChar w:fldCharType="separate"/>
      </w:r>
      <w:r>
        <w:rPr>
          <w:rStyle w:val="16"/>
          <w:rFonts w:hint="eastAsia" w:ascii="仿宋" w:hAnsi="仿宋" w:eastAsia="仿宋" w:cs="仿宋"/>
          <w:bCs/>
          <w:sz w:val="32"/>
          <w:szCs w:val="32"/>
        </w:rPr>
        <w:t>十、</w:t>
      </w:r>
      <w:r>
        <w:rPr>
          <w:rStyle w:val="16"/>
          <w:rFonts w:hint="eastAsia" w:ascii="仿宋" w:hAnsi="仿宋" w:eastAsia="仿宋" w:cs="仿宋"/>
          <w:sz w:val="32"/>
          <w:szCs w:val="32"/>
        </w:rPr>
        <w:t xml:space="preserve"> 预算绩效</w:t>
      </w:r>
      <w:r>
        <w:rPr>
          <w:rStyle w:val="16"/>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_Toc15396611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ind w:left="0" w:leftChars="0" w:firstLine="420" w:firstLineChars="200"/>
        <w:rPr>
          <w:rFonts w:hint="eastAsia" w:ascii="仿宋" w:hAnsi="仿宋" w:eastAsia="仿宋" w:cs="仿宋"/>
          <w:sz w:val="32"/>
          <w:szCs w:val="32"/>
          <w:lang w:val="en-US" w:eastAsia="zh-CN"/>
        </w:rPr>
      </w:pPr>
      <w:r>
        <w:fldChar w:fldCharType="begin"/>
      </w:r>
      <w:r>
        <w:instrText xml:space="preserve"> HYPERLINK \l "_Toc15396612" </w:instrText>
      </w:r>
      <w:r>
        <w:fldChar w:fldCharType="separate"/>
      </w:r>
      <w:r>
        <w:rPr>
          <w:rStyle w:val="16"/>
          <w:rFonts w:hint="eastAsia" w:ascii="仿宋" w:hAnsi="仿宋" w:eastAsia="仿宋" w:cs="仿宋"/>
          <w:sz w:val="32"/>
          <w:szCs w:val="32"/>
        </w:rPr>
        <w:t>十</w:t>
      </w:r>
      <w:r>
        <w:rPr>
          <w:rStyle w:val="16"/>
          <w:rFonts w:hint="eastAsia" w:ascii="仿宋" w:hAnsi="仿宋" w:eastAsia="仿宋" w:cs="仿宋"/>
          <w:bCs/>
          <w:sz w:val="32"/>
          <w:szCs w:val="32"/>
        </w:rPr>
        <w:t>一、其他重要事项的情况说明</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w:t>
      </w:r>
    </w:p>
    <w:p>
      <w:pPr>
        <w:pStyle w:val="10"/>
        <w:spacing w:line="576" w:lineRule="exact"/>
        <w:rPr>
          <w:rFonts w:cs="仿宋"/>
          <w:sz w:val="32"/>
          <w:szCs w:val="32"/>
        </w:rPr>
      </w:pPr>
      <w:r>
        <w:fldChar w:fldCharType="begin"/>
      </w:r>
      <w:r>
        <w:instrText xml:space="preserve"> HYPERLINK \l "_Toc15396613" </w:instrText>
      </w:r>
      <w:r>
        <w:fldChar w:fldCharType="separate"/>
      </w:r>
      <w:r>
        <w:rPr>
          <w:rStyle w:val="16"/>
          <w:rFonts w:hint="eastAsia" w:cs="仿宋"/>
          <w:bCs/>
          <w:kern w:val="44"/>
          <w:sz w:val="32"/>
          <w:szCs w:val="32"/>
        </w:rPr>
        <w:t>第三部分</w:t>
      </w:r>
      <w:r>
        <w:rPr>
          <w:rStyle w:val="16"/>
          <w:rFonts w:hint="eastAsia" w:cs="仿宋"/>
          <w:sz w:val="32"/>
          <w:szCs w:val="32"/>
        </w:rPr>
        <w:t xml:space="preserve"> 名</w:t>
      </w:r>
      <w:r>
        <w:rPr>
          <w:rStyle w:val="16"/>
          <w:rFonts w:hint="eastAsia" w:cs="仿宋"/>
          <w:bCs/>
          <w:kern w:val="44"/>
          <w:sz w:val="32"/>
          <w:szCs w:val="32"/>
        </w:rPr>
        <w:t>词解释</w:t>
      </w:r>
      <w:r>
        <w:rPr>
          <w:rFonts w:hint="eastAsia" w:cs="仿宋"/>
          <w:sz w:val="32"/>
          <w:szCs w:val="32"/>
        </w:rPr>
        <w:tab/>
      </w:r>
      <w:r>
        <w:rPr>
          <w:rFonts w:hint="eastAsia" w:cs="仿宋"/>
          <w:sz w:val="32"/>
          <w:szCs w:val="32"/>
        </w:rPr>
        <w:fldChar w:fldCharType="begin"/>
      </w:r>
      <w:r>
        <w:rPr>
          <w:rFonts w:hint="eastAsia" w:cs="仿宋"/>
          <w:sz w:val="32"/>
          <w:szCs w:val="32"/>
        </w:rPr>
        <w:instrText xml:space="preserve"> PAGEREF _Toc15396613 \h </w:instrText>
      </w:r>
      <w:r>
        <w:rPr>
          <w:rFonts w:hint="eastAsia" w:cs="仿宋"/>
          <w:sz w:val="32"/>
          <w:szCs w:val="32"/>
        </w:rPr>
        <w:fldChar w:fldCharType="separate"/>
      </w:r>
      <w:r>
        <w:rPr>
          <w:rFonts w:hint="eastAsia" w:cs="仿宋"/>
          <w:sz w:val="32"/>
          <w:szCs w:val="32"/>
        </w:rPr>
        <w:t>2</w:t>
      </w:r>
      <w:r>
        <w:rPr>
          <w:rFonts w:hint="eastAsia" w:cs="仿宋"/>
          <w:sz w:val="32"/>
          <w:szCs w:val="32"/>
          <w:lang w:val="en-US" w:eastAsia="zh-CN"/>
        </w:rPr>
        <w:t>2</w:t>
      </w:r>
      <w:r>
        <w:rPr>
          <w:rFonts w:hint="eastAsia" w:cs="仿宋"/>
          <w:sz w:val="32"/>
          <w:szCs w:val="32"/>
        </w:rPr>
        <w:fldChar w:fldCharType="end"/>
      </w:r>
      <w:r>
        <w:rPr>
          <w:rFonts w:hint="eastAsia" w:cs="仿宋"/>
          <w:sz w:val="32"/>
          <w:szCs w:val="32"/>
        </w:rPr>
        <w:fldChar w:fldCharType="end"/>
      </w:r>
    </w:p>
    <w:p>
      <w:pPr>
        <w:pStyle w:val="10"/>
        <w:spacing w:line="576" w:lineRule="exact"/>
        <w:rPr>
          <w:rFonts w:cs="仿宋"/>
          <w:sz w:val="32"/>
          <w:szCs w:val="32"/>
        </w:rPr>
      </w:pPr>
      <w:r>
        <w:fldChar w:fldCharType="begin"/>
      </w:r>
      <w:r>
        <w:instrText xml:space="preserve"> HYPERLINK \l "_Toc15396614" </w:instrText>
      </w:r>
      <w:r>
        <w:fldChar w:fldCharType="separate"/>
      </w:r>
      <w:r>
        <w:rPr>
          <w:rStyle w:val="16"/>
          <w:rFonts w:hint="eastAsia" w:cs="仿宋"/>
          <w:sz w:val="32"/>
          <w:szCs w:val="32"/>
        </w:rPr>
        <w:t>第</w:t>
      </w:r>
      <w:r>
        <w:rPr>
          <w:rStyle w:val="16"/>
          <w:rFonts w:hint="eastAsia" w:cs="仿宋"/>
          <w:bCs/>
          <w:kern w:val="44"/>
          <w:sz w:val="32"/>
          <w:szCs w:val="32"/>
        </w:rPr>
        <w:t>四部分 附件</w:t>
      </w:r>
      <w:r>
        <w:rPr>
          <w:rFonts w:hint="eastAsia" w:cs="仿宋"/>
          <w:sz w:val="32"/>
          <w:szCs w:val="32"/>
        </w:rPr>
        <w:tab/>
      </w:r>
      <w:r>
        <w:rPr>
          <w:rFonts w:hint="eastAsia" w:cs="仿宋"/>
          <w:sz w:val="32"/>
          <w:szCs w:val="32"/>
        </w:rPr>
        <w:fldChar w:fldCharType="begin"/>
      </w:r>
      <w:r>
        <w:rPr>
          <w:rFonts w:hint="eastAsia" w:cs="仿宋"/>
          <w:sz w:val="32"/>
          <w:szCs w:val="32"/>
        </w:rPr>
        <w:instrText xml:space="preserve"> PAGEREF _Toc15396614 \h </w:instrText>
      </w:r>
      <w:r>
        <w:rPr>
          <w:rFonts w:hint="eastAsia" w:cs="仿宋"/>
          <w:sz w:val="32"/>
          <w:szCs w:val="32"/>
        </w:rPr>
        <w:fldChar w:fldCharType="separate"/>
      </w:r>
      <w:r>
        <w:rPr>
          <w:rFonts w:hint="eastAsia" w:cs="仿宋"/>
          <w:sz w:val="32"/>
          <w:szCs w:val="32"/>
        </w:rPr>
        <w:t>2</w:t>
      </w:r>
      <w:r>
        <w:rPr>
          <w:rFonts w:hint="eastAsia" w:cs="仿宋"/>
          <w:sz w:val="32"/>
          <w:szCs w:val="32"/>
          <w:lang w:val="en-US" w:eastAsia="zh-CN"/>
        </w:rPr>
        <w:t>5</w:t>
      </w:r>
      <w:r>
        <w:rPr>
          <w:rFonts w:hint="eastAsia" w:cs="仿宋"/>
          <w:sz w:val="32"/>
          <w:szCs w:val="32"/>
        </w:rPr>
        <w:fldChar w:fldCharType="end"/>
      </w:r>
      <w:r>
        <w:rPr>
          <w:rFonts w:hint="eastAsia" w:cs="仿宋"/>
          <w:sz w:val="32"/>
          <w:szCs w:val="32"/>
        </w:rPr>
        <w:fldChar w:fldCharType="end"/>
      </w:r>
    </w:p>
    <w:p>
      <w:pPr>
        <w:pStyle w:val="10"/>
        <w:spacing w:line="576" w:lineRule="exact"/>
        <w:rPr>
          <w:rFonts w:cs="仿宋"/>
          <w:sz w:val="32"/>
          <w:szCs w:val="32"/>
        </w:rPr>
      </w:pPr>
      <w:r>
        <w:fldChar w:fldCharType="begin"/>
      </w:r>
      <w:r>
        <w:instrText xml:space="preserve"> HYPERLINK \l "_Toc15396618" </w:instrText>
      </w:r>
      <w:r>
        <w:fldChar w:fldCharType="separate"/>
      </w:r>
      <w:r>
        <w:rPr>
          <w:rStyle w:val="16"/>
          <w:rFonts w:hint="eastAsia" w:cs="仿宋"/>
          <w:sz w:val="32"/>
          <w:szCs w:val="32"/>
        </w:rPr>
        <w:t>第</w:t>
      </w:r>
      <w:r>
        <w:rPr>
          <w:rStyle w:val="16"/>
          <w:rFonts w:hint="eastAsia" w:cs="仿宋"/>
          <w:bCs/>
          <w:kern w:val="44"/>
          <w:sz w:val="32"/>
          <w:szCs w:val="32"/>
        </w:rPr>
        <w:t>五部分 附表</w:t>
      </w:r>
      <w:r>
        <w:rPr>
          <w:rFonts w:hint="eastAsia" w:cs="仿宋"/>
          <w:sz w:val="32"/>
          <w:szCs w:val="32"/>
        </w:rPr>
        <w:tab/>
      </w:r>
      <w:r>
        <w:rPr>
          <w:rFonts w:hint="eastAsia" w:cs="仿宋"/>
          <w:sz w:val="32"/>
          <w:szCs w:val="32"/>
        </w:rPr>
        <w:fldChar w:fldCharType="begin"/>
      </w:r>
      <w:r>
        <w:rPr>
          <w:rFonts w:hint="eastAsia" w:cs="仿宋"/>
          <w:sz w:val="32"/>
          <w:szCs w:val="32"/>
        </w:rPr>
        <w:instrText xml:space="preserve"> PAGEREF _Toc15396618 \h </w:instrText>
      </w:r>
      <w:r>
        <w:rPr>
          <w:rFonts w:hint="eastAsia" w:cs="仿宋"/>
          <w:sz w:val="32"/>
          <w:szCs w:val="32"/>
        </w:rPr>
        <w:fldChar w:fldCharType="separate"/>
      </w:r>
      <w:r>
        <w:rPr>
          <w:rFonts w:hint="eastAsia" w:cs="仿宋"/>
          <w:sz w:val="32"/>
          <w:szCs w:val="32"/>
        </w:rPr>
        <w:t>3</w:t>
      </w:r>
      <w:r>
        <w:rPr>
          <w:rFonts w:hint="eastAsia" w:cs="仿宋"/>
          <w:sz w:val="32"/>
          <w:szCs w:val="32"/>
          <w:lang w:val="en-US" w:eastAsia="zh-CN"/>
        </w:rPr>
        <w:t>3</w:t>
      </w:r>
      <w:r>
        <w:rPr>
          <w:rFonts w:hint="eastAsia" w:cs="仿宋"/>
          <w:sz w:val="32"/>
          <w:szCs w:val="32"/>
        </w:rPr>
        <w:fldChar w:fldCharType="end"/>
      </w:r>
      <w:r>
        <w:rPr>
          <w:rFonts w:hint="eastAsia"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一、</w:t>
      </w:r>
      <w:r>
        <w:fldChar w:fldCharType="begin"/>
      </w:r>
      <w:r>
        <w:instrText xml:space="preserve"> HYPERLINK \l "_Toc15396619" </w:instrText>
      </w:r>
      <w:r>
        <w:fldChar w:fldCharType="separate"/>
      </w:r>
      <w:r>
        <w:rPr>
          <w:rStyle w:val="16"/>
          <w:rFonts w:hint="eastAsia" w:ascii="仿宋" w:hAnsi="仿宋" w:eastAsia="仿宋" w:cs="仿宋"/>
          <w:sz w:val="32"/>
          <w:szCs w:val="32"/>
        </w:rPr>
        <w:t>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_Toc15396619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二、</w:t>
      </w:r>
      <w:r>
        <w:fldChar w:fldCharType="begin"/>
      </w:r>
      <w:r>
        <w:instrText xml:space="preserve"> HYPERLINK \l "_Toc15396620" </w:instrText>
      </w:r>
      <w:r>
        <w:fldChar w:fldCharType="separate"/>
      </w:r>
      <w:r>
        <w:rPr>
          <w:rStyle w:val="16"/>
          <w:rFonts w:hint="eastAsia" w:ascii="仿宋" w:hAnsi="仿宋" w:eastAsia="仿宋" w:cs="仿宋"/>
          <w:sz w:val="32"/>
          <w:szCs w:val="32"/>
        </w:rPr>
        <w:t>收入总表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三、</w:t>
      </w:r>
      <w:r>
        <w:fldChar w:fldCharType="begin"/>
      </w:r>
      <w:r>
        <w:instrText xml:space="preserve"> HYPERLINK \l "_Toc15396621" </w:instrText>
      </w:r>
      <w:r>
        <w:fldChar w:fldCharType="separate"/>
      </w:r>
      <w:r>
        <w:rPr>
          <w:rStyle w:val="16"/>
          <w:rFonts w:hint="eastAsia" w:ascii="仿宋" w:hAnsi="仿宋" w:eastAsia="仿宋" w:cs="仿宋"/>
          <w:sz w:val="32"/>
          <w:szCs w:val="32"/>
        </w:rPr>
        <w:t>支出总表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_Toc15396621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四、</w:t>
      </w:r>
      <w:r>
        <w:fldChar w:fldCharType="begin"/>
      </w:r>
      <w:r>
        <w:instrText xml:space="preserve"> HYPERLINK \l "_Toc15396622" </w:instrText>
      </w:r>
      <w:r>
        <w:fldChar w:fldCharType="separate"/>
      </w:r>
      <w:r>
        <w:rPr>
          <w:rStyle w:val="16"/>
          <w:rFonts w:hint="eastAsia" w:ascii="仿宋" w:hAnsi="仿宋" w:eastAsia="仿宋" w:cs="仿宋"/>
          <w:sz w:val="32"/>
          <w:szCs w:val="32"/>
        </w:rPr>
        <w:t>财政拨款收入支出决算总表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_Toc15396622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五、</w:t>
      </w:r>
      <w:r>
        <w:fldChar w:fldCharType="begin"/>
      </w:r>
      <w:r>
        <w:instrText xml:space="preserve"> HYPERLINK \l "_Toc15396623" </w:instrText>
      </w:r>
      <w:r>
        <w:fldChar w:fldCharType="separate"/>
      </w:r>
      <w:r>
        <w:rPr>
          <w:rFonts w:hint="eastAsia" w:ascii="仿宋" w:hAnsi="仿宋" w:eastAsia="仿宋" w:cs="仿宋"/>
          <w:sz w:val="32"/>
          <w:szCs w:val="32"/>
        </w:rPr>
        <w:t>财政拨款支出决算明细表（政府经济分类科目）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六、</w:t>
      </w:r>
      <w:r>
        <w:fldChar w:fldCharType="begin"/>
      </w:r>
      <w:r>
        <w:instrText xml:space="preserve"> HYPERLINK \l "_Toc15396624" </w:instrText>
      </w:r>
      <w:r>
        <w:fldChar w:fldCharType="separate"/>
      </w:r>
      <w:r>
        <w:rPr>
          <w:rStyle w:val="16"/>
          <w:rFonts w:hint="eastAsia" w:ascii="仿宋" w:hAnsi="仿宋" w:eastAsia="仿宋" w:cs="仿宋"/>
          <w:sz w:val="32"/>
          <w:szCs w:val="32"/>
        </w:rPr>
        <w:t>一般公共预算财政拨款支出决算表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_Toc15396624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七、</w:t>
      </w:r>
      <w:r>
        <w:fldChar w:fldCharType="begin"/>
      </w:r>
      <w:r>
        <w:instrText xml:space="preserve"> HYPERLINK \l "_Toc15396625" </w:instrText>
      </w:r>
      <w:r>
        <w:fldChar w:fldCharType="separate"/>
      </w:r>
      <w:r>
        <w:rPr>
          <w:rStyle w:val="16"/>
          <w:rFonts w:hint="eastAsia" w:ascii="仿宋" w:hAnsi="仿宋" w:eastAsia="仿宋" w:cs="仿宋"/>
          <w:sz w:val="32"/>
          <w:szCs w:val="32"/>
        </w:rPr>
        <w:t>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八、</w:t>
      </w:r>
      <w:r>
        <w:fldChar w:fldCharType="begin"/>
      </w:r>
      <w:r>
        <w:instrText xml:space="preserve"> HYPERLINK \l "_Toc15396626" </w:instrText>
      </w:r>
      <w:r>
        <w:fldChar w:fldCharType="separate"/>
      </w:r>
      <w:r>
        <w:rPr>
          <w:rStyle w:val="16"/>
          <w:rFonts w:hint="eastAsia" w:ascii="仿宋" w:hAnsi="仿宋" w:eastAsia="仿宋" w:cs="仿宋"/>
          <w:sz w:val="32"/>
          <w:szCs w:val="32"/>
        </w:rPr>
        <w:t>一般公共预算财政拨款基本支出决算表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九、</w:t>
      </w:r>
      <w:r>
        <w:fldChar w:fldCharType="begin"/>
      </w:r>
      <w:r>
        <w:instrText xml:space="preserve"> HYPERLINK \l "_Toc15396627" </w:instrText>
      </w:r>
      <w:r>
        <w:fldChar w:fldCharType="separate"/>
      </w:r>
      <w:r>
        <w:rPr>
          <w:rStyle w:val="16"/>
          <w:rFonts w:hint="eastAsia" w:ascii="仿宋" w:hAnsi="仿宋" w:eastAsia="仿宋" w:cs="仿宋"/>
          <w:sz w:val="32"/>
          <w:szCs w:val="32"/>
        </w:rPr>
        <w:t>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十、</w:t>
      </w:r>
      <w:r>
        <w:fldChar w:fldCharType="begin"/>
      </w:r>
      <w:r>
        <w:instrText xml:space="preserve"> HYPERLINK \l "_Toc15396628" </w:instrText>
      </w:r>
      <w:r>
        <w:fldChar w:fldCharType="separate"/>
      </w:r>
      <w:r>
        <w:rPr>
          <w:rStyle w:val="16"/>
          <w:rFonts w:hint="eastAsia" w:ascii="仿宋" w:hAnsi="仿宋" w:eastAsia="仿宋" w:cs="仿宋"/>
          <w:sz w:val="32"/>
          <w:szCs w:val="32"/>
        </w:rPr>
        <w:t>一般公共预算财政拨款“三公”经费支出决算表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十一、</w:t>
      </w:r>
      <w:r>
        <w:fldChar w:fldCharType="begin"/>
      </w:r>
      <w:r>
        <w:instrText xml:space="preserve"> HYPERLINK \l "_Toc15396629" </w:instrText>
      </w:r>
      <w:r>
        <w:fldChar w:fldCharType="separate"/>
      </w:r>
      <w:r>
        <w:rPr>
          <w:rStyle w:val="16"/>
          <w:rFonts w:hint="eastAsia" w:ascii="仿宋" w:hAnsi="仿宋" w:eastAsia="仿宋" w:cs="仿宋"/>
          <w:sz w:val="32"/>
          <w:szCs w:val="32"/>
        </w:rPr>
        <w:t>政府性基金预算财政拨款收入支出决算表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_Toc15396629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十二、</w:t>
      </w:r>
      <w:r>
        <w:fldChar w:fldCharType="begin"/>
      </w:r>
      <w:r>
        <w:instrText xml:space="preserve"> HYPERLINK \l "_Toc15396630" </w:instrText>
      </w:r>
      <w:r>
        <w:fldChar w:fldCharType="separate"/>
      </w:r>
      <w:r>
        <w:rPr>
          <w:rStyle w:val="16"/>
          <w:rFonts w:hint="eastAsia" w:ascii="仿宋" w:hAnsi="仿宋" w:eastAsia="仿宋" w:cs="仿宋"/>
          <w:sz w:val="32"/>
          <w:szCs w:val="32"/>
        </w:rPr>
        <w:t>政府性基金预算财政拨款“三公”经费支出决算表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_Toc15396630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spacing w:line="576" w:lineRule="exact"/>
        <w:rPr>
          <w:rFonts w:ascii="仿宋" w:hAnsi="仿宋" w:eastAsia="仿宋" w:cs="仿宋"/>
          <w:sz w:val="32"/>
          <w:szCs w:val="32"/>
        </w:rPr>
      </w:pPr>
      <w:r>
        <w:rPr>
          <w:rFonts w:hint="eastAsia" w:ascii="仿宋" w:hAnsi="仿宋" w:eastAsia="仿宋" w:cs="仿宋"/>
          <w:sz w:val="32"/>
          <w:szCs w:val="32"/>
        </w:rPr>
        <w:t>十三、</w:t>
      </w:r>
      <w:r>
        <w:fldChar w:fldCharType="begin"/>
      </w:r>
      <w:r>
        <w:instrText xml:space="preserve"> HYPERLINK \l "_Toc15396631" </w:instrText>
      </w:r>
      <w:r>
        <w:fldChar w:fldCharType="separate"/>
      </w:r>
      <w:r>
        <w:rPr>
          <w:rStyle w:val="16"/>
          <w:rFonts w:hint="eastAsia" w:ascii="仿宋" w:hAnsi="仿宋" w:eastAsia="仿宋" w:cs="仿宋"/>
          <w:sz w:val="32"/>
          <w:szCs w:val="32"/>
        </w:rPr>
        <w:t>国有资本经营预算支出决算表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_Toc15396631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widowControl/>
        <w:spacing w:line="576" w:lineRule="exact"/>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仿宋" w:hAnsi="仿宋" w:eastAsia="仿宋"/>
          <w:color w:val="000000"/>
          <w:sz w:val="24"/>
        </w:rPr>
      </w:pPr>
    </w:p>
    <w:p>
      <w:pPr>
        <w:widowControl/>
        <w:jc w:val="left"/>
        <w:rPr>
          <w:rFonts w:ascii="仿宋" w:hAnsi="仿宋" w:eastAsia="仿宋"/>
          <w:color w:val="000000"/>
          <w:sz w:val="2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bookmarkStart w:id="12" w:name="_Toc15396599"/>
      <w:bookmarkStart w:id="13" w:name="_Toc15377196"/>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sz w:val="44"/>
          <w:szCs w:val="44"/>
        </w:rPr>
        <w:t xml:space="preserve">第一部分 </w:t>
      </w:r>
      <w:r>
        <w:rPr>
          <w:rStyle w:val="26"/>
          <w:rFonts w:hint="eastAsia" w:ascii="方正小标宋简体" w:hAnsi="方正小标宋简体" w:eastAsia="方正小标宋简体" w:cs="方正小标宋简体"/>
          <w:b w:val="0"/>
          <w:bCs w:val="0"/>
        </w:rPr>
        <w:t>部门概况</w:t>
      </w:r>
      <w:bookmarkEnd w:id="12"/>
      <w:bookmarkEnd w:id="13"/>
      <w:bookmarkStart w:id="14" w:name="_Toc15396600"/>
      <w:bookmarkStart w:id="15" w:name="_Toc15377197"/>
    </w:p>
    <w:p>
      <w:pPr>
        <w:adjustRightInd w:val="0"/>
        <w:snapToGrid w:val="0"/>
        <w:spacing w:line="576" w:lineRule="exact"/>
        <w:ind w:firstLine="640" w:firstLineChars="200"/>
        <w:outlineLvl w:val="0"/>
        <w:rPr>
          <w:rFonts w:ascii="黑体" w:hAnsi="黑体" w:eastAsia="黑体" w:cs="黑体"/>
          <w:color w:val="000000"/>
          <w:sz w:val="32"/>
          <w:szCs w:val="32"/>
        </w:rPr>
      </w:pPr>
    </w:p>
    <w:p>
      <w:pPr>
        <w:adjustRightInd w:val="0"/>
        <w:snapToGrid w:val="0"/>
        <w:spacing w:line="576" w:lineRule="exact"/>
        <w:ind w:firstLine="640" w:firstLineChars="200"/>
        <w:outlineLvl w:val="0"/>
        <w:rPr>
          <w:rFonts w:ascii="黑体" w:hAnsi="黑体" w:eastAsia="黑体"/>
          <w:color w:val="000000"/>
          <w:sz w:val="48"/>
          <w:szCs w:val="48"/>
        </w:rPr>
      </w:pPr>
      <w:r>
        <w:rPr>
          <w:rFonts w:hint="eastAsia" w:ascii="黑体" w:hAnsi="黑体" w:eastAsia="黑体" w:cs="黑体"/>
          <w:color w:val="000000"/>
          <w:sz w:val="32"/>
          <w:szCs w:val="32"/>
        </w:rPr>
        <w:t>一、基</w:t>
      </w:r>
      <w:r>
        <w:rPr>
          <w:rStyle w:val="27"/>
          <w:rFonts w:hint="eastAsia" w:ascii="黑体" w:hAnsi="黑体" w:eastAsia="黑体" w:cs="黑体"/>
          <w:b w:val="0"/>
          <w:bCs w:val="0"/>
        </w:rPr>
        <w:t>本职能及主要工作</w:t>
      </w:r>
      <w:bookmarkEnd w:id="14"/>
      <w:bookmarkEnd w:id="15"/>
      <w:bookmarkStart w:id="16" w:name="_Toc15378445"/>
      <w:bookmarkStart w:id="17" w:name="_Toc15377198"/>
    </w:p>
    <w:p>
      <w:pPr>
        <w:spacing w:line="576" w:lineRule="exact"/>
        <w:ind w:firstLine="480" w:firstLineChars="150"/>
        <w:outlineLvl w:val="1"/>
        <w:rPr>
          <w:rFonts w:ascii="仿宋" w:hAnsi="仿宋" w:eastAsia="仿宋"/>
          <w:bCs/>
          <w:color w:val="000000"/>
          <w:sz w:val="32"/>
          <w:szCs w:val="32"/>
        </w:rPr>
      </w:pPr>
      <w:r>
        <w:rPr>
          <w:rFonts w:hint="eastAsia" w:ascii="楷体_GB2312" w:hAnsi="仿宋" w:eastAsia="楷体_GB2312"/>
          <w:bCs/>
          <w:color w:val="000000"/>
          <w:sz w:val="32"/>
          <w:szCs w:val="32"/>
        </w:rPr>
        <w:t>（一）</w:t>
      </w:r>
      <w:r>
        <w:rPr>
          <w:rFonts w:hint="eastAsia" w:ascii="楷体_GB2312" w:hAnsi="仿宋" w:eastAsia="楷体_GB2312"/>
          <w:bCs/>
          <w:color w:val="000000"/>
          <w:sz w:val="32"/>
          <w:szCs w:val="32"/>
          <w:lang w:eastAsia="zh-CN"/>
        </w:rPr>
        <w:t>基本</w:t>
      </w:r>
      <w:r>
        <w:rPr>
          <w:rFonts w:hint="eastAsia" w:ascii="楷体_GB2312" w:hAnsi="仿宋" w:eastAsia="楷体_GB2312"/>
          <w:bCs/>
          <w:color w:val="000000"/>
          <w:sz w:val="32"/>
          <w:szCs w:val="32"/>
        </w:rPr>
        <w:t>职能</w:t>
      </w:r>
      <w:bookmarkEnd w:id="16"/>
      <w:bookmarkEnd w:id="17"/>
    </w:p>
    <w:p>
      <w:pPr>
        <w:spacing w:line="576" w:lineRule="exact"/>
        <w:ind w:firstLine="640" w:firstLineChars="200"/>
        <w:outlineLvl w:val="1"/>
        <w:rPr>
          <w:rFonts w:ascii="仿宋_GB2312" w:hAnsi="仿宋" w:eastAsia="仿宋_GB2312"/>
          <w:bCs/>
          <w:color w:val="000000"/>
          <w:sz w:val="32"/>
          <w:szCs w:val="32"/>
        </w:rPr>
      </w:pPr>
      <w:r>
        <w:rPr>
          <w:rFonts w:hint="eastAsia" w:ascii="仿宋_GB2312" w:hAnsi="宋体" w:eastAsia="仿宋_GB2312" w:cs="宋体"/>
          <w:kern w:val="0"/>
          <w:sz w:val="32"/>
          <w:szCs w:val="32"/>
        </w:rPr>
        <w:t>负责全县森林和野生动植物资源保护，打击破坏森林和野生动植物资源违法犯罪。</w:t>
      </w:r>
    </w:p>
    <w:p>
      <w:pPr>
        <w:spacing w:line="576" w:lineRule="exact"/>
        <w:ind w:firstLine="640" w:firstLineChars="200"/>
        <w:rPr>
          <w:rStyle w:val="27"/>
          <w:rFonts w:ascii="黑体" w:hAnsi="黑体" w:eastAsia="黑体"/>
          <w:b w:val="0"/>
          <w:bCs w:val="0"/>
        </w:rPr>
      </w:pPr>
      <w:bookmarkStart w:id="18" w:name="_Toc15377199"/>
      <w:bookmarkStart w:id="19" w:name="_Toc15378446"/>
      <w:r>
        <w:rPr>
          <w:rFonts w:hint="eastAsia" w:ascii="楷体_GB2312" w:hAnsi="仿宋" w:eastAsia="楷体_GB2312"/>
          <w:bCs/>
          <w:color w:val="000000"/>
          <w:sz w:val="32"/>
          <w:szCs w:val="32"/>
        </w:rPr>
        <w:t>（二）2018年重点工作完成情况</w:t>
      </w:r>
      <w:bookmarkEnd w:id="18"/>
      <w:bookmarkEnd w:id="19"/>
    </w:p>
    <w:p>
      <w:pPr>
        <w:ind w:firstLine="640" w:firstLineChars="200"/>
        <w:rPr>
          <w:rFonts w:hint="eastAsia" w:ascii="仿宋" w:hAnsi="仿宋" w:eastAsia="仿宋" w:cs="仿宋"/>
        </w:rPr>
      </w:pPr>
      <w:bookmarkStart w:id="20" w:name="_Toc15377200"/>
      <w:bookmarkStart w:id="21" w:name="_Toc15396601"/>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加强法律法规宣传教育，不断提高群众保护生态环境意识。</w:t>
      </w:r>
      <w:r>
        <w:rPr>
          <w:rFonts w:hint="eastAsia" w:ascii="仿宋" w:hAnsi="仿宋" w:eastAsia="仿宋" w:cs="仿宋"/>
          <w:sz w:val="32"/>
          <w:szCs w:val="32"/>
        </w:rPr>
        <w:t>共发放宣传资料</w:t>
      </w:r>
      <w:r>
        <w:rPr>
          <w:rFonts w:hint="eastAsia" w:ascii="仿宋" w:hAnsi="仿宋" w:eastAsia="仿宋" w:cs="仿宋"/>
          <w:sz w:val="32"/>
          <w:szCs w:val="32"/>
          <w:lang w:val="en-US" w:eastAsia="zh-CN"/>
        </w:rPr>
        <w:t>5000</w:t>
      </w:r>
      <w:r>
        <w:rPr>
          <w:rFonts w:hint="eastAsia" w:ascii="仿宋" w:hAnsi="仿宋" w:eastAsia="仿宋" w:cs="仿宋"/>
          <w:sz w:val="32"/>
          <w:szCs w:val="32"/>
        </w:rPr>
        <w:t>余份，开展法律咨询</w:t>
      </w:r>
      <w:r>
        <w:rPr>
          <w:rFonts w:hint="eastAsia" w:ascii="仿宋" w:hAnsi="仿宋" w:eastAsia="仿宋" w:cs="仿宋"/>
          <w:sz w:val="32"/>
          <w:szCs w:val="32"/>
          <w:lang w:val="en-US" w:eastAsia="zh-CN"/>
        </w:rPr>
        <w:t>10</w:t>
      </w:r>
      <w:r>
        <w:rPr>
          <w:rFonts w:hint="eastAsia" w:ascii="仿宋" w:hAnsi="仿宋" w:eastAsia="仿宋" w:cs="仿宋"/>
          <w:sz w:val="32"/>
          <w:szCs w:val="32"/>
        </w:rPr>
        <w:t>余次，出动宣传车辆</w:t>
      </w:r>
      <w:r>
        <w:rPr>
          <w:rFonts w:hint="eastAsia" w:ascii="仿宋" w:hAnsi="仿宋" w:eastAsia="仿宋" w:cs="仿宋"/>
          <w:sz w:val="32"/>
          <w:szCs w:val="32"/>
          <w:lang w:val="en-US" w:eastAsia="zh-CN"/>
        </w:rPr>
        <w:t>6</w:t>
      </w:r>
      <w:r>
        <w:rPr>
          <w:rFonts w:hint="eastAsia" w:ascii="仿宋" w:hAnsi="仿宋" w:eastAsia="仿宋" w:cs="仿宋"/>
          <w:sz w:val="32"/>
          <w:szCs w:val="32"/>
        </w:rPr>
        <w:t>00余台次。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加强森林资源保护，推进生态环境建设。</w:t>
      </w:r>
      <w:r>
        <w:rPr>
          <w:rFonts w:hint="eastAsia" w:ascii="仿宋_GB2312" w:eastAsia="仿宋_GB2312"/>
          <w:sz w:val="32"/>
          <w:szCs w:val="32"/>
        </w:rPr>
        <w:t>先后开展了“</w:t>
      </w:r>
      <w:r>
        <w:rPr>
          <w:rFonts w:hint="eastAsia" w:ascii="仿宋_GB2312" w:eastAsia="仿宋_GB2312"/>
          <w:sz w:val="32"/>
          <w:szCs w:val="32"/>
          <w:lang w:eastAsia="zh-CN"/>
        </w:rPr>
        <w:t>守护绿川</w:t>
      </w:r>
      <w:r>
        <w:rPr>
          <w:rFonts w:hint="eastAsia" w:ascii="仿宋_GB2312" w:eastAsia="仿宋_GB2312"/>
          <w:sz w:val="32"/>
          <w:szCs w:val="32"/>
          <w:lang w:val="en-US" w:eastAsia="zh-CN"/>
        </w:rPr>
        <w:t>2号</w:t>
      </w:r>
      <w:r>
        <w:rPr>
          <w:rFonts w:hint="eastAsia" w:ascii="仿宋_GB2312" w:eastAsia="仿宋_GB2312"/>
          <w:sz w:val="32"/>
          <w:szCs w:val="32"/>
        </w:rPr>
        <w:t>”、“</w:t>
      </w:r>
      <w:r>
        <w:rPr>
          <w:rFonts w:hint="eastAsia" w:ascii="仿宋_GB2312" w:eastAsia="仿宋_GB2312"/>
          <w:sz w:val="32"/>
          <w:szCs w:val="32"/>
          <w:lang w:eastAsia="zh-CN"/>
        </w:rPr>
        <w:t>春雷</w:t>
      </w:r>
      <w:r>
        <w:rPr>
          <w:rFonts w:hint="eastAsia" w:ascii="仿宋_GB2312" w:eastAsia="仿宋_GB2312"/>
          <w:sz w:val="32"/>
          <w:szCs w:val="32"/>
        </w:rPr>
        <w:t>”</w:t>
      </w:r>
      <w:r>
        <w:rPr>
          <w:rFonts w:hint="eastAsia" w:ascii="仿宋_GB2312" w:eastAsia="仿宋_GB2312"/>
          <w:sz w:val="32"/>
          <w:szCs w:val="32"/>
          <w:lang w:eastAsia="zh-CN"/>
        </w:rPr>
        <w:t>、“绿剑</w:t>
      </w:r>
      <w:r>
        <w:rPr>
          <w:rFonts w:hint="eastAsia" w:ascii="仿宋_GB2312" w:eastAsia="仿宋_GB2312"/>
          <w:sz w:val="32"/>
          <w:szCs w:val="32"/>
          <w:lang w:val="en-US" w:eastAsia="zh-CN"/>
        </w:rPr>
        <w:t>2018</w:t>
      </w:r>
      <w:r>
        <w:rPr>
          <w:rFonts w:hint="eastAsia" w:ascii="仿宋_GB2312" w:eastAsia="仿宋_GB2312"/>
          <w:sz w:val="32"/>
          <w:szCs w:val="32"/>
          <w:lang w:eastAsia="zh-CN"/>
        </w:rPr>
        <w:t>”</w:t>
      </w:r>
      <w:r>
        <w:rPr>
          <w:rFonts w:hint="eastAsia" w:ascii="仿宋_GB2312" w:eastAsia="仿宋_GB2312"/>
          <w:sz w:val="32"/>
          <w:szCs w:val="32"/>
        </w:rPr>
        <w:t>等专项行动</w:t>
      </w:r>
      <w:r>
        <w:rPr>
          <w:rFonts w:hint="eastAsia" w:ascii="仿宋_GB2312" w:eastAsia="仿宋_GB2312"/>
          <w:sz w:val="32"/>
          <w:szCs w:val="32"/>
          <w:lang w:eastAsia="zh-CN"/>
        </w:rPr>
        <w:t>，</w:t>
      </w:r>
      <w:r>
        <w:rPr>
          <w:rFonts w:hint="eastAsia" w:ascii="仿宋_GB2312" w:eastAsia="仿宋_GB2312"/>
          <w:sz w:val="32"/>
          <w:szCs w:val="32"/>
        </w:rPr>
        <w:t>共破获各类案件</w:t>
      </w:r>
      <w:r>
        <w:rPr>
          <w:rFonts w:hint="eastAsia" w:ascii="仿宋_GB2312" w:eastAsia="仿宋_GB2312"/>
          <w:sz w:val="32"/>
          <w:szCs w:val="32"/>
          <w:lang w:val="en-US" w:eastAsia="zh-CN"/>
        </w:rPr>
        <w:t>158</w:t>
      </w:r>
      <w:r>
        <w:rPr>
          <w:rFonts w:hint="eastAsia" w:ascii="仿宋_GB2312" w:eastAsia="仿宋_GB2312"/>
          <w:sz w:val="32"/>
          <w:szCs w:val="32"/>
        </w:rPr>
        <w:t>起</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b w:val="0"/>
          <w:bCs w:val="0"/>
          <w:sz w:val="32"/>
          <w:szCs w:val="32"/>
          <w:lang w:val="en-US" w:eastAsia="zh-CN"/>
        </w:rPr>
        <w:t>.开展扫黑除恶专项整治行动。</w:t>
      </w:r>
      <w:r>
        <w:rPr>
          <w:rFonts w:hint="eastAsia" w:ascii="仿宋" w:hAnsi="仿宋" w:eastAsia="仿宋" w:cs="仿宋_GB2312"/>
          <w:kern w:val="0"/>
          <w:sz w:val="32"/>
          <w:szCs w:val="32"/>
        </w:rPr>
        <w:t>严厉打击本区域涉林涉黑恶犯罪</w:t>
      </w:r>
      <w:r>
        <w:rPr>
          <w:rFonts w:hint="eastAsia" w:ascii="仿宋" w:hAnsi="仿宋" w:eastAsia="仿宋" w:cs="仿宋_GB2312"/>
          <w:kern w:val="0"/>
          <w:sz w:val="32"/>
          <w:szCs w:val="32"/>
          <w:lang w:eastAsia="zh-CN"/>
        </w:rPr>
        <w:t>，积极开展扫黑除恶各项工作，并</w:t>
      </w:r>
      <w:r>
        <w:rPr>
          <w:rFonts w:hint="eastAsia" w:ascii="仿宋" w:hAnsi="仿宋" w:eastAsia="仿宋" w:cs="仿宋_GB2312"/>
          <w:kern w:val="0"/>
          <w:sz w:val="32"/>
          <w:szCs w:val="32"/>
          <w:lang w:val="en-US" w:eastAsia="zh-CN"/>
        </w:rPr>
        <w:t>对2012年以来办理的涉林案件进行了梳理排查，全方位摸排、搜集涉林违法犯罪黑恶势力线索。</w:t>
      </w:r>
    </w:p>
    <w:p>
      <w:pPr>
        <w:spacing w:line="576" w:lineRule="exact"/>
        <w:ind w:firstLine="640" w:firstLineChars="200"/>
        <w:rPr>
          <w:rStyle w:val="27"/>
          <w:rFonts w:ascii="仿宋_GB2312" w:hAnsi="Times New Roman" w:eastAsia="仿宋_GB2312" w:cs="Times New Roman"/>
          <w:b w:val="0"/>
          <w:bCs w:val="0"/>
        </w:rPr>
      </w:pPr>
      <w:r>
        <w:rPr>
          <w:rFonts w:hint="eastAsia" w:ascii="黑体" w:eastAsia="黑体"/>
          <w:bCs/>
          <w:color w:val="000000"/>
          <w:sz w:val="32"/>
          <w:szCs w:val="32"/>
        </w:rPr>
        <w:t>二、</w:t>
      </w:r>
      <w:r>
        <w:rPr>
          <w:rFonts w:hint="eastAsia" w:ascii="黑体" w:hAnsi="黑体" w:eastAsia="黑体"/>
          <w:bCs/>
          <w:color w:val="000000"/>
          <w:sz w:val="32"/>
          <w:szCs w:val="32"/>
        </w:rPr>
        <w:t>机</w:t>
      </w:r>
      <w:r>
        <w:rPr>
          <w:rStyle w:val="27"/>
          <w:rFonts w:hint="eastAsia" w:ascii="黑体" w:hAnsi="黑体" w:eastAsia="黑体"/>
          <w:b w:val="0"/>
        </w:rPr>
        <w:t>构设置</w:t>
      </w:r>
      <w:bookmarkEnd w:id="20"/>
      <w:bookmarkEnd w:id="21"/>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茂县森林公安局属于正科级一级预算行政单位</w:t>
      </w:r>
      <w:r>
        <w:rPr>
          <w:rFonts w:hint="eastAsia" w:ascii="仿宋_GB2312" w:hAnsi="仿宋" w:eastAsia="仿宋_GB2312"/>
          <w:sz w:val="32"/>
          <w:szCs w:val="32"/>
          <w:lang w:eastAsia="zh-CN"/>
        </w:rPr>
        <w:t>，</w:t>
      </w:r>
      <w:r>
        <w:rPr>
          <w:rFonts w:hint="eastAsia" w:ascii="仿宋_GB2312" w:hAnsi="仿宋" w:eastAsia="仿宋_GB2312"/>
          <w:sz w:val="32"/>
          <w:szCs w:val="32"/>
        </w:rPr>
        <w:t>内设</w:t>
      </w:r>
      <w:r>
        <w:rPr>
          <w:rFonts w:hint="eastAsia" w:ascii="仿宋_GB2312" w:hAnsi="仿宋" w:eastAsia="仿宋_GB2312"/>
          <w:sz w:val="32"/>
          <w:szCs w:val="32"/>
          <w:lang w:val="en-US" w:eastAsia="zh-CN"/>
        </w:rPr>
        <w:t>4</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办公</w:t>
      </w:r>
      <w:r>
        <w:rPr>
          <w:rFonts w:hint="eastAsia" w:ascii="仿宋_GB2312" w:hAnsi="仿宋" w:eastAsia="仿宋_GB2312"/>
          <w:sz w:val="32"/>
          <w:szCs w:val="32"/>
        </w:rPr>
        <w:t>装备</w:t>
      </w:r>
      <w:r>
        <w:rPr>
          <w:rFonts w:hint="eastAsia" w:ascii="仿宋_GB2312" w:hAnsi="仿宋" w:eastAsia="仿宋_GB2312"/>
          <w:sz w:val="32"/>
          <w:szCs w:val="32"/>
          <w:lang w:eastAsia="zh-CN"/>
        </w:rPr>
        <w:t>财务室</w:t>
      </w:r>
      <w:r>
        <w:rPr>
          <w:rFonts w:hint="eastAsia" w:ascii="仿宋_GB2312" w:hAnsi="仿宋" w:eastAsia="仿宋_GB2312"/>
          <w:sz w:val="32"/>
          <w:szCs w:val="32"/>
        </w:rPr>
        <w:t>、政工科、</w:t>
      </w:r>
      <w:r>
        <w:rPr>
          <w:rFonts w:hint="eastAsia" w:ascii="仿宋_GB2312" w:hAnsi="仿宋" w:eastAsia="仿宋_GB2312"/>
          <w:sz w:val="32"/>
          <w:szCs w:val="32"/>
          <w:lang w:eastAsia="zh-CN"/>
        </w:rPr>
        <w:t>法制科、</w:t>
      </w:r>
      <w:r>
        <w:rPr>
          <w:rFonts w:hint="eastAsia" w:ascii="仿宋_GB2312" w:hAnsi="仿宋" w:eastAsia="仿宋_GB2312"/>
          <w:sz w:val="32"/>
          <w:szCs w:val="32"/>
        </w:rPr>
        <w:t>刑侦科</w:t>
      </w:r>
      <w:r>
        <w:rPr>
          <w:rFonts w:hint="eastAsia" w:ascii="仿宋_GB2312" w:hAnsi="仿宋" w:eastAsia="仿宋_GB2312"/>
          <w:sz w:val="32"/>
          <w:szCs w:val="32"/>
          <w:lang w:eastAsia="zh-CN"/>
        </w:rPr>
        <w:t>，下设</w:t>
      </w:r>
      <w:r>
        <w:rPr>
          <w:rFonts w:hint="eastAsia" w:ascii="仿宋_GB2312" w:hAnsi="仿宋" w:eastAsia="仿宋_GB2312"/>
          <w:sz w:val="32"/>
          <w:szCs w:val="32"/>
        </w:rPr>
        <w:t>三个派出所（赤不苏、宝顶、较场）</w:t>
      </w:r>
      <w:r>
        <w:rPr>
          <w:rFonts w:hint="eastAsia" w:ascii="仿宋_GB2312" w:hAnsi="仿宋" w:eastAsia="仿宋_GB2312"/>
          <w:sz w:val="32"/>
          <w:szCs w:val="32"/>
          <w:lang w:eastAsia="zh-CN"/>
        </w:rPr>
        <w:t>。</w:t>
      </w:r>
      <w:r>
        <w:rPr>
          <w:rFonts w:hint="eastAsia" w:ascii="仿宋_GB2312" w:hAnsi="仿宋" w:eastAsia="仿宋_GB2312"/>
          <w:sz w:val="32"/>
          <w:szCs w:val="32"/>
        </w:rPr>
        <w:t>下属二级单位0个，其中行政单位0个，参照公务员法管理的事业单位</w:t>
      </w:r>
      <w:r>
        <w:rPr>
          <w:rFonts w:hint="eastAsia" w:ascii="仿宋_GB2312" w:hAnsi="仿宋" w:eastAsia="仿宋_GB2312"/>
          <w:bCs/>
          <w:sz w:val="32"/>
          <w:szCs w:val="32"/>
        </w:rPr>
        <w:t>0</w:t>
      </w:r>
      <w:r>
        <w:rPr>
          <w:rFonts w:hint="eastAsia" w:ascii="仿宋_GB2312" w:hAnsi="仿宋" w:eastAsia="仿宋_GB2312"/>
          <w:sz w:val="32"/>
          <w:szCs w:val="32"/>
        </w:rPr>
        <w:t>个，其他事业单位0个。</w:t>
      </w:r>
    </w:p>
    <w:p>
      <w:pPr>
        <w:pStyle w:val="5"/>
        <w:adjustRightInd w:val="0"/>
        <w:snapToGrid w:val="0"/>
        <w:spacing w:before="93" w:line="576" w:lineRule="exact"/>
        <w:ind w:firstLine="672" w:firstLineChars="210"/>
        <w:rPr>
          <w:rFonts w:hAnsi="仿宋"/>
          <w:color w:val="000000"/>
          <w:sz w:val="32"/>
          <w:szCs w:val="32"/>
        </w:rPr>
      </w:pPr>
      <w:r>
        <w:rPr>
          <w:rFonts w:hint="eastAsia" w:hAnsi="仿宋"/>
          <w:color w:val="000000"/>
          <w:sz w:val="32"/>
          <w:szCs w:val="32"/>
        </w:rPr>
        <w:t>纳入茂县森林公安局2018年度部门决算编制范围的二级预算单位0个。</w:t>
      </w:r>
    </w:p>
    <w:p>
      <w:pPr>
        <w:widowControl/>
        <w:spacing w:line="576" w:lineRule="exact"/>
        <w:rPr>
          <w:rFonts w:ascii="仿宋" w:hAnsi="仿宋" w:eastAsia="仿宋"/>
          <w:color w:val="000000"/>
          <w:kern w:val="0"/>
          <w:sz w:val="32"/>
          <w:szCs w:val="32"/>
        </w:rPr>
      </w:pPr>
      <w:bookmarkStart w:id="22" w:name="_Toc15396602"/>
      <w:bookmarkStart w:id="23" w:name="_Toc15377204"/>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rPr>
          <w:rFonts w:ascii="仿宋" w:hAnsi="仿宋" w:eastAsia="仿宋"/>
          <w:color w:val="000000"/>
          <w:kern w:val="0"/>
          <w:sz w:val="32"/>
          <w:szCs w:val="32"/>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color w:val="000000"/>
          <w:sz w:val="44"/>
          <w:szCs w:val="44"/>
        </w:rPr>
      </w:pPr>
    </w:p>
    <w:p>
      <w:pPr>
        <w:widowControl/>
        <w:spacing w:line="576" w:lineRule="exact"/>
        <w:jc w:val="center"/>
        <w:rPr>
          <w:rFonts w:hint="eastAsia" w:ascii="方正小标宋简体" w:hAnsi="方正小标宋简体" w:eastAsia="方正小标宋简体" w:cs="方正小标宋简体"/>
          <w:color w:val="000000"/>
          <w:sz w:val="44"/>
          <w:szCs w:val="44"/>
        </w:rPr>
      </w:pPr>
    </w:p>
    <w:p>
      <w:pPr>
        <w:widowControl/>
        <w:spacing w:line="576" w:lineRule="exact"/>
        <w:jc w:val="center"/>
        <w:rPr>
          <w:rFonts w:hint="eastAsia" w:ascii="方正小标宋简体" w:hAnsi="方正小标宋简体" w:eastAsia="方正小标宋简体" w:cs="方正小标宋简体"/>
          <w:color w:val="000000"/>
          <w:sz w:val="44"/>
          <w:szCs w:val="44"/>
        </w:rPr>
      </w:pPr>
    </w:p>
    <w:p>
      <w:pPr>
        <w:widowControl/>
        <w:spacing w:line="576" w:lineRule="exact"/>
        <w:jc w:val="center"/>
        <w:rPr>
          <w:rFonts w:hint="eastAsia" w:ascii="方正小标宋简体" w:hAnsi="方正小标宋简体" w:eastAsia="方正小标宋简体" w:cs="方正小标宋简体"/>
          <w:color w:val="000000"/>
          <w:sz w:val="44"/>
          <w:szCs w:val="44"/>
        </w:rPr>
      </w:pPr>
    </w:p>
    <w:p>
      <w:pPr>
        <w:widowControl/>
        <w:spacing w:line="576" w:lineRule="exact"/>
        <w:jc w:val="center"/>
        <w:rPr>
          <w:rFonts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color w:val="000000"/>
          <w:sz w:val="44"/>
          <w:szCs w:val="44"/>
        </w:rPr>
        <w:t>第二部分</w:t>
      </w:r>
      <w:r>
        <w:rPr>
          <w:rStyle w:val="26"/>
          <w:rFonts w:hint="eastAsia" w:ascii="方正小标宋简体" w:hAnsi="方正小标宋简体" w:eastAsia="方正小标宋简体" w:cs="方正小标宋简体"/>
          <w:b w:val="0"/>
          <w:bCs w:val="0"/>
        </w:rPr>
        <w:t>2018年度部门决算情</w:t>
      </w:r>
      <w:bookmarkEnd w:id="22"/>
      <w:bookmarkEnd w:id="23"/>
      <w:r>
        <w:rPr>
          <w:rStyle w:val="26"/>
          <w:rFonts w:hint="eastAsia" w:ascii="方正小标宋简体" w:hAnsi="方正小标宋简体" w:eastAsia="方正小标宋简体" w:cs="方正小标宋简体"/>
          <w:b w:val="0"/>
          <w:bCs w:val="0"/>
        </w:rPr>
        <w:t>况</w:t>
      </w:r>
      <w:bookmarkStart w:id="24" w:name="_Toc15377205"/>
      <w:bookmarkStart w:id="25" w:name="_Toc15396603"/>
    </w:p>
    <w:p>
      <w:pPr>
        <w:pStyle w:val="25"/>
        <w:numPr>
          <w:ilvl w:val="0"/>
          <w:numId w:val="1"/>
        </w:numPr>
        <w:spacing w:line="576" w:lineRule="exact"/>
        <w:ind w:firstLineChars="0"/>
        <w:outlineLvl w:val="1"/>
        <w:rPr>
          <w:rStyle w:val="27"/>
          <w:rFonts w:ascii="黑体" w:hAnsi="黑体" w:eastAsia="黑体"/>
          <w:b w:val="0"/>
        </w:rPr>
      </w:pPr>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2018年度茂县森林公安局收、支总计543.19万元。与2017年相比，收、支总计增加90.6万元。主要变动原因一是2018年人员工资及各种保险缴费基数上调，二是拨入省级财政林业生态保护恢复资金。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-2774950</wp:posOffset>
            </wp:positionV>
            <wp:extent cx="5274310" cy="3076575"/>
            <wp:effectExtent l="19050" t="0" r="2159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（图1：收、支决算总计变动情况图）（单位：万元）</w:t>
      </w:r>
    </w:p>
    <w:p>
      <w:pPr>
        <w:pStyle w:val="25"/>
        <w:numPr>
          <w:ilvl w:val="0"/>
          <w:numId w:val="1"/>
        </w:numPr>
        <w:spacing w:line="576" w:lineRule="exact"/>
        <w:ind w:firstLine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576" w:lineRule="exact"/>
        <w:ind w:firstLine="640" w:firstLineChars="200"/>
        <w:outlineLvl w:val="1"/>
        <w:rPr>
          <w:rFonts w:ascii="仿宋" w:hAnsi="仿宋" w:eastAsia="仿宋"/>
          <w:color w:val="000000"/>
          <w:sz w:val="32"/>
          <w:szCs w:val="32"/>
        </w:rPr>
      </w:pPr>
      <w:r>
        <w:rPr>
          <w:rFonts w:hint="eastAsia" w:ascii="仿宋_GB2312" w:hAnsi="仿宋" w:eastAsia="仿宋_GB2312"/>
          <w:color w:val="000000"/>
          <w:sz w:val="32"/>
          <w:szCs w:val="32"/>
        </w:rPr>
        <w:t>2018年本年收入合计528.21万元，其中：一般公共预算财政拨款收入528.21万元，占100%；政府性基金预算财政拨款收入0万元；国有资本经营预算财政拨款收入0万元；事业收入0万元；经营收入0万元；附属单位上缴收入0万；其他收入0万元。</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428625</wp:posOffset>
            </wp:positionH>
            <wp:positionV relativeFrom="paragraph">
              <wp:posOffset>-2600325</wp:posOffset>
            </wp:positionV>
            <wp:extent cx="5038725" cy="2905125"/>
            <wp:effectExtent l="19050" t="0" r="9525"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76"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（图2：收入决算结构图）</w:t>
      </w:r>
    </w:p>
    <w:p>
      <w:pPr>
        <w:pStyle w:val="25"/>
        <w:numPr>
          <w:ilvl w:val="0"/>
          <w:numId w:val="1"/>
        </w:numPr>
        <w:spacing w:line="576"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576"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2018年本年支出合计510.67万元，其中：基本支出481.6万元，占94.3%；项目支出29.06万元，占5.7%；上缴上级支出0万元；经营支出0万元；对附属单位补助支出0万元。</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hAnsi="仿宋" w:eastAsia="仿宋_GB2312"/>
          <w:color w:val="000000" w:themeColor="text1"/>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428625</wp:posOffset>
            </wp:positionH>
            <wp:positionV relativeFrom="paragraph">
              <wp:posOffset>-1733550</wp:posOffset>
            </wp:positionV>
            <wp:extent cx="4591050" cy="2038350"/>
            <wp:effectExtent l="19050" t="0" r="1905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           （</w:t>
      </w:r>
      <w:r>
        <w:rPr>
          <w:rFonts w:hint="eastAsia" w:ascii="仿宋_GB2312" w:hAnsi="仿宋" w:eastAsia="仿宋_GB2312"/>
          <w:color w:val="000000" w:themeColor="text1"/>
          <w:sz w:val="32"/>
          <w:szCs w:val="32"/>
        </w:rPr>
        <w:t>图3：支出决算结构图）</w:t>
      </w:r>
      <w:bookmarkStart w:id="30" w:name="_Toc15396606"/>
      <w:bookmarkStart w:id="31" w:name="_Toc15377208"/>
    </w:p>
    <w:p>
      <w:pPr>
        <w:spacing w:line="576" w:lineRule="exact"/>
        <w:ind w:firstLine="640"/>
        <w:rPr>
          <w:rStyle w:val="27"/>
          <w:rFonts w:ascii="仿宋" w:hAnsi="仿宋" w:eastAsia="仿宋" w:cs="Times New Roman"/>
          <w:b w:val="0"/>
          <w:bCs w:val="0"/>
          <w:color w:val="000000"/>
        </w:rPr>
      </w:pPr>
      <w:r>
        <w:rPr>
          <w:rFonts w:hint="eastAsia" w:ascii="黑体" w:hAnsi="黑体" w:eastAsia="黑体"/>
          <w:color w:val="000000"/>
          <w:sz w:val="32"/>
          <w:szCs w:val="32"/>
        </w:rPr>
        <w:t>四、财</w:t>
      </w:r>
      <w:r>
        <w:rPr>
          <w:rStyle w:val="27"/>
          <w:rFonts w:hint="eastAsia" w:ascii="黑体" w:hAnsi="黑体" w:eastAsia="黑体"/>
          <w:b w:val="0"/>
          <w:bCs w:val="0"/>
        </w:rPr>
        <w:t>政拨款收入支出决算总体情况说明</w:t>
      </w:r>
      <w:bookmarkEnd w:id="30"/>
      <w:bookmarkEnd w:id="31"/>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2018年财政拨款收、支总计543.19万元。与2017年相比，收、支总计增加90.6万元。主要变动原因一是2018年人员工资及各种保险缴费基数上调，二是拨入省级财政林业生态保护恢复资金。</w:t>
      </w:r>
    </w:p>
    <w:p>
      <w:pPr>
        <w:spacing w:line="576"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428625</wp:posOffset>
            </wp:positionH>
            <wp:positionV relativeFrom="paragraph">
              <wp:posOffset>-2770505</wp:posOffset>
            </wp:positionV>
            <wp:extent cx="5274310" cy="3076575"/>
            <wp:effectExtent l="19050" t="0" r="2159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480" w:firstLineChars="1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（图4：财政拨款收、支决算总计变动情况）</w:t>
      </w:r>
      <w:bookmarkStart w:id="32" w:name="_Toc15377209"/>
      <w:bookmarkStart w:id="33" w:name="_Toc15396607"/>
    </w:p>
    <w:p>
      <w:pPr>
        <w:spacing w:line="576" w:lineRule="exact"/>
        <w:ind w:firstLine="640"/>
        <w:rPr>
          <w:rFonts w:ascii="仿宋" w:hAnsi="仿宋" w:eastAsia="仿宋"/>
          <w:b/>
          <w:color w:val="000000" w:themeColor="text1"/>
          <w:sz w:val="32"/>
          <w:szCs w:val="32"/>
        </w:rPr>
      </w:pPr>
      <w:r>
        <w:rPr>
          <w:rFonts w:hint="eastAsia" w:ascii="黑体" w:hAnsi="黑体" w:eastAsia="黑体"/>
          <w:color w:val="000000"/>
          <w:sz w:val="32"/>
          <w:szCs w:val="32"/>
        </w:rPr>
        <w:t>五、一</w:t>
      </w:r>
      <w:r>
        <w:rPr>
          <w:rStyle w:val="27"/>
          <w:rFonts w:hint="eastAsia" w:ascii="黑体" w:hAnsi="黑体" w:eastAsia="黑体"/>
          <w:b w:val="0"/>
          <w:bCs w:val="0"/>
        </w:rPr>
        <w:t>般公共预算财政拨款支出决算情况说明</w:t>
      </w:r>
      <w:bookmarkEnd w:id="32"/>
      <w:bookmarkEnd w:id="33"/>
      <w:bookmarkStart w:id="34" w:name="_Toc15377210"/>
    </w:p>
    <w:p>
      <w:pPr>
        <w:spacing w:line="576" w:lineRule="exact"/>
        <w:ind w:firstLine="480" w:firstLineChars="150"/>
        <w:outlineLvl w:val="1"/>
        <w:rPr>
          <w:rFonts w:hint="eastAsia" w:ascii="楷体" w:hAnsi="楷体" w:eastAsia="楷体" w:cs="楷体"/>
          <w:b/>
          <w:color w:val="000000"/>
          <w:sz w:val="32"/>
          <w:szCs w:val="32"/>
        </w:rPr>
      </w:pPr>
      <w:r>
        <w:rPr>
          <w:rFonts w:hint="eastAsia" w:ascii="楷体" w:hAnsi="楷体" w:eastAsia="楷体" w:cs="楷体"/>
          <w:bCs/>
          <w:color w:val="000000"/>
          <w:sz w:val="32"/>
          <w:szCs w:val="32"/>
        </w:rPr>
        <w:t>（一）一般公共预算财政拨款支出决算总体情况</w:t>
      </w:r>
      <w:bookmarkEnd w:id="34"/>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2018年一般公共预算财政拨款支出543.19万元，占本年支出合计的100%。与2017年相比，一般公共预算财政拨款增加90.6万元，增长20%。主要变动原因是2018年人员工资及各种保险缴费基数上调。</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374015</wp:posOffset>
            </wp:positionH>
            <wp:positionV relativeFrom="paragraph">
              <wp:posOffset>-1057275</wp:posOffset>
            </wp:positionV>
            <wp:extent cx="5274310" cy="3076575"/>
            <wp:effectExtent l="19050" t="0" r="2159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800" w:firstLineChars="25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（图5：一般公共预算财政拨款支出决算变动情况）</w:t>
      </w:r>
    </w:p>
    <w:p>
      <w:pPr>
        <w:spacing w:line="576" w:lineRule="exact"/>
        <w:ind w:firstLine="640" w:firstLineChars="200"/>
        <w:outlineLvl w:val="1"/>
        <w:rPr>
          <w:rFonts w:hint="eastAsia" w:ascii="楷体" w:hAnsi="楷体" w:eastAsia="楷体" w:cs="楷体"/>
          <w:b/>
          <w:color w:val="000000"/>
          <w:sz w:val="32"/>
          <w:szCs w:val="32"/>
        </w:rPr>
      </w:pPr>
      <w:bookmarkStart w:id="35" w:name="_Toc15377211"/>
      <w:r>
        <w:rPr>
          <w:rFonts w:hint="eastAsia" w:ascii="楷体" w:hAnsi="楷体" w:eastAsia="楷体" w:cs="楷体"/>
          <w:bCs/>
          <w:color w:val="000000"/>
          <w:sz w:val="32"/>
          <w:szCs w:val="32"/>
        </w:rPr>
        <w:t>（二）一般公共预算财政拨款支出决算结构情况</w:t>
      </w:r>
      <w:bookmarkEnd w:id="35"/>
    </w:p>
    <w:p>
      <w:pPr>
        <w:spacing w:line="576" w:lineRule="exact"/>
        <w:ind w:firstLine="640"/>
        <w:rPr>
          <w:rFonts w:ascii="仿宋_GB2312" w:hAnsi="仿宋" w:eastAsia="仿宋_GB2312"/>
          <w:color w:val="000000" w:themeColor="text1"/>
          <w:sz w:val="32"/>
          <w:szCs w:val="32"/>
        </w:rPr>
      </w:pPr>
      <w:r>
        <w:rPr>
          <w:rFonts w:hint="eastAsia" w:ascii="仿宋_GB2312" w:hAnsi="仿宋" w:eastAsia="仿宋_GB2312"/>
          <w:color w:val="000000"/>
          <w:sz w:val="32"/>
          <w:szCs w:val="32"/>
        </w:rPr>
        <w:drawing>
          <wp:anchor distT="0" distB="0" distL="114300" distR="114300" simplePos="0" relativeHeight="251664384" behindDoc="0" locked="0" layoutInCell="1" allowOverlap="1">
            <wp:simplePos x="0" y="0"/>
            <wp:positionH relativeFrom="column">
              <wp:posOffset>495300</wp:posOffset>
            </wp:positionH>
            <wp:positionV relativeFrom="paragraph">
              <wp:posOffset>2415540</wp:posOffset>
            </wp:positionV>
            <wp:extent cx="5353050" cy="1981200"/>
            <wp:effectExtent l="19050" t="0" r="19050"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 w:eastAsia="仿宋_GB2312"/>
          <w:color w:val="000000"/>
          <w:sz w:val="32"/>
          <w:szCs w:val="32"/>
        </w:rPr>
        <w:t>2018年一般公共预算财</w:t>
      </w:r>
      <w:r>
        <w:rPr>
          <w:rFonts w:hint="eastAsia" w:ascii="仿宋_GB2312" w:hAnsi="仿宋" w:eastAsia="仿宋_GB2312"/>
          <w:color w:val="000000" w:themeColor="text1"/>
          <w:sz w:val="32"/>
          <w:szCs w:val="32"/>
        </w:rPr>
        <w:t>政拨款支出510.67万元，主要用于以下方面:公共安全支出（类）支出377.64万元，占73.95%；社会保障和就业（类）支出53.04万元，占10.39%；医疗卫生（类）支出20.29万元，占3.97%；住房保障（类）支出34.23万元，占6.7%；农林水支出（类）支出25.46万元，占4.99%。</w:t>
      </w:r>
    </w:p>
    <w:p>
      <w:pPr>
        <w:spacing w:line="576" w:lineRule="exact"/>
        <w:ind w:firstLine="640"/>
        <w:rPr>
          <w:rFonts w:ascii="仿宋_GB2312" w:hAnsi="仿宋" w:eastAsia="仿宋_GB2312"/>
          <w:color w:val="000000" w:themeColor="text1"/>
          <w:sz w:val="32"/>
          <w:szCs w:val="32"/>
        </w:rPr>
      </w:pPr>
    </w:p>
    <w:p>
      <w:pPr>
        <w:spacing w:line="576" w:lineRule="exact"/>
        <w:ind w:firstLine="640"/>
        <w:rPr>
          <w:rFonts w:ascii="仿宋_GB2312" w:hAnsi="仿宋" w:eastAsia="仿宋_GB2312"/>
          <w:color w:val="000000" w:themeColor="text1"/>
          <w:sz w:val="32"/>
          <w:szCs w:val="32"/>
        </w:rPr>
      </w:pPr>
    </w:p>
    <w:p>
      <w:pPr>
        <w:spacing w:line="576" w:lineRule="exact"/>
        <w:ind w:firstLine="640"/>
        <w:rPr>
          <w:rFonts w:ascii="仿宋_GB2312" w:hAnsi="仿宋" w:eastAsia="仿宋_GB2312"/>
          <w:color w:val="000000" w:themeColor="text1"/>
          <w:sz w:val="32"/>
          <w:szCs w:val="32"/>
        </w:rPr>
      </w:pPr>
    </w:p>
    <w:p>
      <w:pPr>
        <w:spacing w:line="576" w:lineRule="exact"/>
        <w:ind w:firstLine="640"/>
        <w:rPr>
          <w:rFonts w:ascii="仿宋_GB2312" w:hAnsi="仿宋" w:eastAsia="仿宋_GB2312"/>
          <w:color w:val="000000" w:themeColor="text1"/>
          <w:sz w:val="32"/>
          <w:szCs w:val="32"/>
        </w:rPr>
      </w:pPr>
    </w:p>
    <w:p>
      <w:pPr>
        <w:spacing w:line="576"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76" w:lineRule="exact"/>
        <w:ind w:firstLine="320" w:firstLineChars="100"/>
        <w:rPr>
          <w:rFonts w:hint="eastAsia" w:ascii="仿宋_GB2312" w:hAnsi="仿宋" w:eastAsia="仿宋_GB2312"/>
          <w:color w:val="000000"/>
          <w:sz w:val="32"/>
          <w:szCs w:val="32"/>
        </w:rPr>
      </w:pPr>
    </w:p>
    <w:p>
      <w:pPr>
        <w:spacing w:line="576"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sz w:val="32"/>
          <w:szCs w:val="32"/>
        </w:rPr>
        <w:t>（图6：一般公共预算财政拨款支出决算结构）</w:t>
      </w:r>
    </w:p>
    <w:p>
      <w:pPr>
        <w:spacing w:line="576" w:lineRule="exact"/>
        <w:ind w:firstLine="640" w:firstLineChars="200"/>
        <w:outlineLvl w:val="1"/>
        <w:rPr>
          <w:rFonts w:hint="eastAsia" w:ascii="楷体_GB2312" w:hAnsi="仿宋" w:eastAsia="楷体_GB2312"/>
          <w:bCs/>
          <w:color w:val="000000"/>
          <w:sz w:val="32"/>
          <w:szCs w:val="32"/>
        </w:rPr>
      </w:pPr>
      <w:bookmarkStart w:id="36" w:name="_Toc15377212"/>
    </w:p>
    <w:p>
      <w:pPr>
        <w:spacing w:line="576" w:lineRule="exact"/>
        <w:ind w:firstLine="480" w:firstLineChars="150"/>
        <w:outlineLvl w:val="1"/>
        <w:rPr>
          <w:rFonts w:hint="eastAsia" w:ascii="楷体" w:hAnsi="楷体" w:eastAsia="楷体" w:cs="楷体"/>
          <w:b/>
          <w:color w:val="000000"/>
          <w:sz w:val="32"/>
          <w:szCs w:val="32"/>
        </w:rPr>
      </w:pPr>
      <w:r>
        <w:rPr>
          <w:rFonts w:hint="eastAsia" w:ascii="楷体" w:hAnsi="楷体" w:eastAsia="楷体" w:cs="楷体"/>
          <w:bCs/>
          <w:color w:val="000000"/>
          <w:sz w:val="32"/>
          <w:szCs w:val="32"/>
        </w:rPr>
        <w:t>（三）一般公共预算财政拨款支出决算具体情况</w:t>
      </w:r>
      <w:bookmarkEnd w:id="36"/>
    </w:p>
    <w:p>
      <w:pPr>
        <w:spacing w:line="576" w:lineRule="exact"/>
        <w:ind w:firstLine="640" w:firstLineChars="200"/>
        <w:outlineLvl w:val="2"/>
        <w:rPr>
          <w:rFonts w:ascii="仿宋_GB2312" w:hAnsi="仿宋" w:eastAsia="仿宋_GB2312"/>
          <w:color w:val="FF0000"/>
          <w:sz w:val="32"/>
          <w:szCs w:val="32"/>
        </w:rPr>
      </w:pPr>
      <w:bookmarkStart w:id="37" w:name="_Toc15377213"/>
      <w:bookmarkStart w:id="38" w:name="_Toc15377444"/>
      <w:bookmarkStart w:id="39" w:name="_Toc15378460"/>
      <w:r>
        <w:rPr>
          <w:rFonts w:hint="eastAsia" w:ascii="仿宋_GB2312" w:hAnsi="仿宋" w:eastAsia="仿宋_GB2312"/>
          <w:bCs/>
          <w:color w:val="000000" w:themeColor="text1"/>
          <w:sz w:val="32"/>
          <w:szCs w:val="32"/>
        </w:rPr>
        <w:t>2018年一般公共预算支出决算数为510.67万元，</w:t>
      </w:r>
      <w:r>
        <w:rPr>
          <w:rStyle w:val="15"/>
          <w:rFonts w:hint="eastAsia" w:ascii="仿宋_GB2312" w:hAnsi="仿宋" w:eastAsia="仿宋_GB2312"/>
          <w:b w:val="0"/>
          <w:bCs/>
          <w:color w:val="000000" w:themeColor="text1"/>
          <w:sz w:val="32"/>
          <w:szCs w:val="32"/>
        </w:rPr>
        <w:t>完成</w:t>
      </w:r>
      <w:r>
        <w:rPr>
          <w:rStyle w:val="15"/>
          <w:rFonts w:hint="eastAsia" w:ascii="仿宋_GB2312" w:hAnsi="仿宋" w:eastAsia="仿宋_GB2312"/>
          <w:b w:val="0"/>
          <w:bCs/>
          <w:color w:val="000000"/>
          <w:sz w:val="32"/>
          <w:szCs w:val="32"/>
        </w:rPr>
        <w:t>预算100%。其中：</w:t>
      </w:r>
      <w:bookmarkEnd w:id="37"/>
      <w:bookmarkEnd w:id="38"/>
      <w:bookmarkEnd w:id="39"/>
    </w:p>
    <w:p>
      <w:pPr>
        <w:spacing w:line="576" w:lineRule="exact"/>
        <w:ind w:firstLine="640" w:firstLineChars="200"/>
        <w:rPr>
          <w:rFonts w:ascii="仿宋_GB2312" w:hAnsi="仿宋" w:eastAsia="仿宋_GB2312"/>
          <w:b/>
          <w:color w:val="000000"/>
          <w:sz w:val="32"/>
          <w:szCs w:val="32"/>
        </w:rPr>
      </w:pPr>
      <w:r>
        <w:rPr>
          <w:rStyle w:val="15"/>
          <w:rFonts w:hint="eastAsia" w:ascii="仿宋_GB2312" w:hAnsi="仿宋" w:eastAsia="仿宋_GB2312"/>
          <w:b w:val="0"/>
          <w:bCs/>
          <w:color w:val="000000"/>
          <w:sz w:val="32"/>
          <w:szCs w:val="32"/>
        </w:rPr>
        <w:t>1.公共安全支出（类）公安（款）行政运行（项）</w:t>
      </w:r>
      <w:r>
        <w:rPr>
          <w:rStyle w:val="15"/>
          <w:rFonts w:hint="eastAsia" w:ascii="仿宋_GB2312" w:hAnsi="仿宋" w:eastAsia="仿宋_GB2312"/>
          <w:bCs/>
          <w:color w:val="000000"/>
          <w:sz w:val="32"/>
          <w:szCs w:val="32"/>
        </w:rPr>
        <w:t>:</w:t>
      </w:r>
      <w:r>
        <w:rPr>
          <w:rStyle w:val="15"/>
          <w:rFonts w:hint="eastAsia" w:ascii="仿宋_GB2312" w:hAnsi="仿宋" w:eastAsia="仿宋_GB2312"/>
          <w:b w:val="0"/>
          <w:bCs/>
          <w:color w:val="000000"/>
          <w:sz w:val="32"/>
          <w:szCs w:val="32"/>
        </w:rPr>
        <w:t xml:space="preserve"> 支出决算为374.64万元，完成预算100%。</w:t>
      </w:r>
    </w:p>
    <w:p>
      <w:pPr>
        <w:spacing w:line="576" w:lineRule="exact"/>
        <w:ind w:firstLine="640" w:firstLineChars="200"/>
        <w:rPr>
          <w:rFonts w:ascii="仿宋_GB2312" w:hAnsi="仿宋" w:eastAsia="仿宋_GB2312"/>
          <w:b/>
          <w:color w:val="000000"/>
          <w:sz w:val="32"/>
          <w:szCs w:val="32"/>
        </w:rPr>
      </w:pPr>
      <w:r>
        <w:rPr>
          <w:rStyle w:val="15"/>
          <w:rFonts w:hint="eastAsia" w:ascii="仿宋_GB2312" w:hAnsi="仿宋" w:eastAsia="仿宋_GB2312"/>
          <w:b w:val="0"/>
          <w:bCs/>
          <w:color w:val="000000"/>
          <w:sz w:val="32"/>
          <w:szCs w:val="32"/>
        </w:rPr>
        <w:t>2.公共安全支出（类）公安（款）一般行政管理事务（项）: 支出决算为3万元，完成预算100%。</w:t>
      </w:r>
    </w:p>
    <w:p>
      <w:pPr>
        <w:spacing w:line="576" w:lineRule="exact"/>
        <w:ind w:firstLine="640" w:firstLineChars="200"/>
        <w:rPr>
          <w:rFonts w:ascii="仿宋_GB2312" w:hAnsi="仿宋" w:eastAsia="仿宋_GB2312"/>
          <w:b/>
          <w:color w:val="000000"/>
          <w:sz w:val="32"/>
          <w:szCs w:val="32"/>
        </w:rPr>
      </w:pPr>
      <w:r>
        <w:rPr>
          <w:rStyle w:val="15"/>
          <w:rFonts w:hint="eastAsia" w:ascii="仿宋_GB2312" w:hAnsi="仿宋" w:eastAsia="仿宋_GB2312"/>
          <w:b w:val="0"/>
          <w:bCs/>
          <w:color w:val="000000"/>
          <w:sz w:val="32"/>
          <w:szCs w:val="32"/>
        </w:rPr>
        <w:t>3.社会保障和就业支出（类）民政管理事务（款）拥军优属（项）: 支出决算为0.6万元，完成预算100%。</w:t>
      </w:r>
    </w:p>
    <w:p>
      <w:pPr>
        <w:spacing w:line="576" w:lineRule="exact"/>
        <w:ind w:firstLine="640" w:firstLineChars="200"/>
        <w:rPr>
          <w:rFonts w:ascii="仿宋_GB2312" w:hAnsi="仿宋" w:eastAsia="仿宋_GB2312"/>
          <w:b/>
          <w:color w:val="000000"/>
          <w:sz w:val="32"/>
          <w:szCs w:val="32"/>
        </w:rPr>
      </w:pPr>
      <w:r>
        <w:rPr>
          <w:rStyle w:val="15"/>
          <w:rFonts w:hint="eastAsia" w:ascii="仿宋_GB2312" w:hAnsi="仿宋" w:eastAsia="仿宋_GB2312"/>
          <w:b w:val="0"/>
          <w:bCs/>
          <w:color w:val="000000"/>
          <w:sz w:val="32"/>
          <w:szCs w:val="32"/>
        </w:rPr>
        <w:t>4.住房保障支出（类）住房改革支出（款）住房公积金（项）: 支出决算为34.23万元，完成预算100%。</w:t>
      </w:r>
    </w:p>
    <w:p>
      <w:pPr>
        <w:spacing w:line="576" w:lineRule="exact"/>
        <w:ind w:firstLine="640" w:firstLineChars="200"/>
        <w:rPr>
          <w:rStyle w:val="15"/>
          <w:rFonts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5.社会保障和就业支出（类）行政事业单位离退休（款）机关事业单位养老保险缴费支出（项）: 支出决算为39.27万元，完成预算100%。</w:t>
      </w:r>
    </w:p>
    <w:p>
      <w:pPr>
        <w:spacing w:line="576" w:lineRule="exact"/>
        <w:ind w:firstLine="640" w:firstLineChars="200"/>
        <w:rPr>
          <w:rStyle w:val="15"/>
          <w:rFonts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6.社会保障和就业支出（类）行政事业单位离退休（款）机关事业单位职业年金缴费支出（项）:支出决算为13.17万元，完成预算100%。</w:t>
      </w:r>
    </w:p>
    <w:p>
      <w:pPr>
        <w:spacing w:line="576" w:lineRule="exact"/>
        <w:ind w:firstLine="640" w:firstLineChars="200"/>
        <w:rPr>
          <w:rFonts w:ascii="仿宋_GB2312" w:hAnsi="仿宋" w:eastAsia="仿宋_GB2312"/>
          <w:b/>
          <w:color w:val="000000"/>
          <w:sz w:val="32"/>
          <w:szCs w:val="32"/>
        </w:rPr>
      </w:pPr>
      <w:r>
        <w:rPr>
          <w:rStyle w:val="15"/>
          <w:rFonts w:hint="eastAsia" w:ascii="仿宋_GB2312" w:hAnsi="仿宋" w:eastAsia="仿宋_GB2312"/>
          <w:b w:val="0"/>
          <w:bCs/>
          <w:color w:val="000000"/>
          <w:sz w:val="32"/>
          <w:szCs w:val="32"/>
        </w:rPr>
        <w:t>7.医疗卫生与计划生育支出（类）行政事业单位医疗（款）行政单位医疗（项）:支出决算为20.29万元，完成预算100%。</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8.农林水支出（类）林业（款）动植物保护（项）：支出决算为4.25万元，完成预算100%。</w:t>
      </w:r>
    </w:p>
    <w:p>
      <w:pPr>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9.农林水支出（类）林业（款）林业执法与监督（项）：支出决算数为21.21万元，完成预算100%。</w:t>
      </w:r>
      <w:bookmarkStart w:id="40" w:name="_Toc15396608"/>
      <w:bookmarkStart w:id="41" w:name="_Toc15377214"/>
    </w:p>
    <w:p>
      <w:pPr>
        <w:spacing w:line="576" w:lineRule="exact"/>
        <w:ind w:firstLine="640" w:firstLineChars="200"/>
        <w:rPr>
          <w:rStyle w:val="27"/>
          <w:rFonts w:ascii="仿宋_GB2312" w:hAnsi="仿宋" w:eastAsia="仿宋_GB2312" w:cs="Times New Roman"/>
          <w:b w:val="0"/>
          <w:bCs w:val="0"/>
          <w:color w:val="000000"/>
        </w:rPr>
      </w:pPr>
      <w:r>
        <w:rPr>
          <w:rFonts w:hint="eastAsia" w:ascii="黑体" w:eastAsia="黑体"/>
          <w:color w:val="000000"/>
          <w:sz w:val="32"/>
          <w:szCs w:val="32"/>
        </w:rPr>
        <w:t>六、</w:t>
      </w:r>
      <w:r>
        <w:rPr>
          <w:rFonts w:hint="eastAsia" w:ascii="黑体" w:hAnsi="黑体" w:eastAsia="黑体"/>
          <w:color w:val="000000"/>
          <w:sz w:val="32"/>
          <w:szCs w:val="32"/>
        </w:rPr>
        <w:t>一</w:t>
      </w:r>
      <w:r>
        <w:rPr>
          <w:rStyle w:val="27"/>
          <w:rFonts w:hint="eastAsia" w:ascii="黑体" w:hAnsi="黑体" w:eastAsia="黑体"/>
          <w:b w:val="0"/>
          <w:bCs w:val="0"/>
        </w:rPr>
        <w:t>般公共预算财政拨款基本支出决算情况说明</w:t>
      </w:r>
      <w:bookmarkEnd w:id="40"/>
      <w:bookmarkEnd w:id="41"/>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2018年一般公共预算财政拨款基本支出481.62万元，其中：</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426.99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公用经费54.63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rPr>
          <w:rStyle w:val="27"/>
          <w:rFonts w:ascii="仿宋" w:hAnsi="仿宋" w:eastAsia="仿宋" w:cs="Times New Roman"/>
          <w:b w:val="0"/>
          <w:bCs w:val="0"/>
          <w:color w:val="000000" w:themeColor="text1"/>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b w:val="0"/>
          <w:bCs w:val="0"/>
        </w:rPr>
        <w:t>“三公”经费财政拨款支出决算情况说明</w:t>
      </w:r>
      <w:bookmarkEnd w:id="42"/>
      <w:bookmarkEnd w:id="43"/>
    </w:p>
    <w:p>
      <w:pPr>
        <w:spacing w:line="576" w:lineRule="exact"/>
        <w:ind w:firstLine="640" w:firstLineChars="200"/>
        <w:outlineLvl w:val="1"/>
        <w:rPr>
          <w:rFonts w:hint="eastAsia" w:ascii="楷体" w:hAnsi="楷体" w:eastAsia="楷体" w:cs="楷体"/>
          <w:bCs/>
          <w:color w:val="000000"/>
          <w:sz w:val="32"/>
          <w:szCs w:val="32"/>
        </w:rPr>
      </w:pPr>
      <w:bookmarkStart w:id="44" w:name="_Toc15377216"/>
      <w:r>
        <w:rPr>
          <w:rFonts w:hint="eastAsia" w:ascii="楷体" w:hAnsi="楷体" w:eastAsia="楷体" w:cs="楷体"/>
          <w:bCs/>
          <w:color w:val="000000"/>
          <w:sz w:val="32"/>
          <w:szCs w:val="32"/>
        </w:rPr>
        <w:t>（一）“三公”经费财政拨款支出决算总体情况说明</w:t>
      </w:r>
      <w:bookmarkEnd w:id="44"/>
    </w:p>
    <w:p>
      <w:pPr>
        <w:spacing w:line="576"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2018年“三公”经费财政拨款支出决算为0万元。</w:t>
      </w:r>
    </w:p>
    <w:p>
      <w:pPr>
        <w:spacing w:line="576" w:lineRule="exact"/>
        <w:ind w:firstLine="640" w:firstLineChars="200"/>
        <w:outlineLvl w:val="1"/>
        <w:rPr>
          <w:rFonts w:hint="eastAsia" w:ascii="楷体" w:hAnsi="楷体" w:eastAsia="楷体" w:cs="楷体"/>
          <w:b/>
          <w:color w:val="000000"/>
          <w:sz w:val="32"/>
          <w:szCs w:val="32"/>
        </w:rPr>
      </w:pPr>
      <w:bookmarkStart w:id="45" w:name="_Toc15377217"/>
      <w:r>
        <w:rPr>
          <w:rFonts w:hint="eastAsia" w:ascii="楷体" w:hAnsi="楷体" w:eastAsia="楷体" w:cs="楷体"/>
          <w:bCs/>
          <w:color w:val="000000"/>
          <w:sz w:val="32"/>
          <w:szCs w:val="32"/>
        </w:rPr>
        <w:t>（二）“三公”经费财政拨款支出决算具体情况说明</w:t>
      </w:r>
      <w:bookmarkEnd w:id="45"/>
    </w:p>
    <w:p>
      <w:pPr>
        <w:spacing w:line="576"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2018年“三公”经费财政拨款支出决算中，因公出国（境）费支出决算0万元；公务用车购置及运行维护费支出决算0万元；公务接待费支出决算0万元。具体情况如下：</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因公出国（境）经费支出0万元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576" w:lineRule="exact"/>
        <w:ind w:firstLine="640"/>
        <w:rPr>
          <w:rFonts w:ascii="仿宋_GB2312" w:eastAsia="仿宋_GB2312"/>
          <w:b/>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公务用车购置及运行维护费支出0万元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其中：公务用车购置支出0万元。全年按规定更新购置公务用车0辆，其中：轿车0辆、金额0万元，越野车0辆、金额0万元，载客汽车0辆、金额0万元。截至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576" w:lineRule="exact"/>
        <w:ind w:firstLine="640"/>
        <w:rPr>
          <w:rFonts w:ascii="仿宋_GB2312" w:eastAsia="仿宋_GB2312"/>
          <w:color w:val="000000"/>
          <w:sz w:val="32"/>
          <w:szCs w:val="32"/>
        </w:rPr>
      </w:pPr>
      <w:r>
        <w:rPr>
          <w:rFonts w:hint="eastAsia" w:ascii="仿宋_GB2312" w:eastAsia="仿宋_GB2312"/>
          <w:color w:val="000000"/>
          <w:sz w:val="32"/>
          <w:szCs w:val="32"/>
        </w:rPr>
        <w:t>公务用车运行维护费支出0万元。</w:t>
      </w:r>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公务接待费支出0万元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7年减少0.35万元。主要原因是厉行节约。</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w:t>
      </w:r>
    </w:p>
    <w:p>
      <w:pPr>
        <w:spacing w:line="576" w:lineRule="exact"/>
        <w:ind w:firstLine="640" w:firstLineChars="200"/>
        <w:rPr>
          <w:rFonts w:ascii="仿宋_GB2312" w:eastAsia="仿宋_GB2312"/>
          <w:color w:val="000000" w:themeColor="text1"/>
          <w:sz w:val="32"/>
          <w:szCs w:val="32"/>
        </w:rPr>
      </w:pPr>
      <w:r>
        <w:rPr>
          <w:rFonts w:hint="eastAsia" w:ascii="仿宋_GB2312" w:hAnsi="仿宋" w:eastAsia="仿宋_GB2312"/>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576" w:lineRule="exact"/>
        <w:ind w:firstLine="640"/>
        <w:rPr>
          <w:rFonts w:ascii="仿宋_GB2312" w:eastAsia="仿宋_GB2312"/>
          <w:color w:val="000000"/>
          <w:sz w:val="32"/>
          <w:szCs w:val="32"/>
        </w:rPr>
      </w:pPr>
      <w:r>
        <w:rPr>
          <w:rFonts w:hint="eastAsia" w:ascii="仿宋_GB2312" w:hAnsi="仿宋" w:eastAsia="仿宋_GB2312"/>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p>
    <w:p>
      <w:pPr>
        <w:spacing w:line="576" w:lineRule="exact"/>
        <w:ind w:firstLine="640"/>
        <w:rPr>
          <w:rFonts w:ascii="仿宋_GB2312" w:eastAsia="仿宋_GB2312"/>
          <w:color w:val="000000"/>
          <w:sz w:val="32"/>
          <w:szCs w:val="32"/>
        </w:rPr>
      </w:pPr>
      <w:r>
        <w:rPr>
          <w:rFonts w:hint="eastAsia" w:ascii="黑体" w:eastAsia="黑体"/>
          <w:color w:val="000000"/>
          <w:sz w:val="32"/>
          <w:szCs w:val="32"/>
        </w:rPr>
        <w:t>八、</w:t>
      </w:r>
      <w:r>
        <w:rPr>
          <w:rStyle w:val="27"/>
          <w:rFonts w:hint="eastAsia" w:ascii="黑体" w:hAnsi="黑体" w:eastAsia="黑体"/>
          <w:b w:val="0"/>
          <w:bCs w:val="0"/>
        </w:rPr>
        <w:t>政府性基金预算支出决算情况说明</w:t>
      </w:r>
      <w:bookmarkEnd w:id="46"/>
      <w:bookmarkEnd w:id="47"/>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茂县森林公安局</w:t>
      </w: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bookmarkStart w:id="48" w:name="_Toc15396611"/>
      <w:bookmarkStart w:id="49" w:name="_Toc15377219"/>
    </w:p>
    <w:p>
      <w:pPr>
        <w:spacing w:line="576" w:lineRule="exact"/>
        <w:ind w:firstLine="640" w:firstLineChars="200"/>
        <w:rPr>
          <w:rStyle w:val="27"/>
          <w:rFonts w:ascii="仿宋_GB2312" w:hAnsi="Times New Roman" w:eastAsia="仿宋_GB2312" w:cs="Times New Roman"/>
          <w:b w:val="0"/>
          <w:bCs w:val="0"/>
          <w:color w:val="000000"/>
        </w:rPr>
      </w:pPr>
      <w:r>
        <w:rPr>
          <w:rStyle w:val="27"/>
          <w:rFonts w:hint="eastAsia" w:ascii="黑体" w:hAnsi="黑体" w:eastAsia="黑体"/>
          <w:b w:val="0"/>
        </w:rPr>
        <w:t>九、国有资本经营预算支出决算情况说明</w:t>
      </w:r>
      <w:bookmarkEnd w:id="48"/>
      <w:bookmarkEnd w:id="49"/>
    </w:p>
    <w:p>
      <w:pPr>
        <w:spacing w:line="576" w:lineRule="exact"/>
        <w:ind w:firstLine="640"/>
        <w:rPr>
          <w:rFonts w:ascii="仿宋_GB2312" w:eastAsia="仿宋_GB2312"/>
          <w:color w:val="000000"/>
          <w:sz w:val="32"/>
          <w:szCs w:val="32"/>
        </w:rPr>
      </w:pPr>
      <w:r>
        <w:rPr>
          <w:rFonts w:hint="eastAsia" w:ascii="仿宋_GB2312" w:eastAsia="仿宋_GB2312"/>
          <w:color w:val="000000"/>
          <w:sz w:val="32"/>
          <w:szCs w:val="32"/>
        </w:rPr>
        <w:t>茂县森林公安局</w:t>
      </w: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pPr>
        <w:spacing w:line="576" w:lineRule="exact"/>
        <w:ind w:firstLine="640"/>
        <w:rPr>
          <w:rStyle w:val="27"/>
          <w:rFonts w:ascii="仿宋_GB2312" w:hAnsi="Times New Roman" w:eastAsia="仿宋_GB2312" w:cs="Times New Roman"/>
          <w:b w:val="0"/>
          <w:bCs w:val="0"/>
          <w:color w:val="000000"/>
        </w:rPr>
      </w:pPr>
      <w:r>
        <w:rPr>
          <w:rStyle w:val="27"/>
          <w:rFonts w:hint="eastAsia" w:ascii="黑体" w:hAnsi="黑体" w:eastAsia="黑体"/>
          <w:b w:val="0"/>
        </w:rPr>
        <w:t>十、预算绩效情况说明</w:t>
      </w:r>
    </w:p>
    <w:p>
      <w:pPr>
        <w:spacing w:line="576" w:lineRule="exact"/>
        <w:ind w:firstLine="640" w:firstLineChars="200"/>
        <w:outlineLvl w:val="1"/>
        <w:rPr>
          <w:rFonts w:hint="eastAsia" w:ascii="楷体" w:hAnsi="楷体" w:eastAsia="楷体" w:cs="楷体"/>
          <w:b/>
          <w:bCs/>
          <w:sz w:val="32"/>
          <w:szCs w:val="32"/>
        </w:rPr>
      </w:pPr>
      <w:r>
        <w:rPr>
          <w:rFonts w:hint="eastAsia" w:ascii="楷体" w:hAnsi="楷体" w:eastAsia="楷体" w:cs="楷体"/>
          <w:sz w:val="32"/>
          <w:szCs w:val="32"/>
        </w:rPr>
        <w:t>（一）预算绩效管理工作开展情况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2018年中央财政林业改革发展资金项目开展了预算事前绩效评估，对5个项目编制了绩效目标，预算执行过程中，选取1个项目开展绩效监控，年终执行完毕后，对5个项目开展了绩效目标完成情况梳理填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2018年茂县森林公安局部门整体支出绩效评价自查自评结果良好，全年基本支出保证了部门的正常运行和日常工作的正常开展，项目支出保障了重点工作的开展，绩效目标得到了较好的实现，绩效管理水平不断提高，绩效指标体系逐渐丰富和完善。</w:t>
      </w:r>
    </w:p>
    <w:p>
      <w:pPr>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（二）项目绩效目标完成情况</w:t>
      </w:r>
      <w:r>
        <w:rPr>
          <w:rFonts w:hint="eastAsia" w:ascii="楷体" w:hAnsi="楷体" w:eastAsia="楷体" w:cs="楷体"/>
          <w:b/>
          <w:bCs/>
          <w:sz w:val="32"/>
          <w:szCs w:val="32"/>
        </w:rPr>
        <w:br w:type="textWrapping"/>
      </w:r>
      <w:r>
        <w:rPr>
          <w:rFonts w:hint="eastAsia" w:ascii="仿宋_GB2312" w:hAnsi="仿宋_GB2312" w:eastAsia="仿宋_GB2312" w:cs="仿宋_GB2312"/>
          <w:sz w:val="32"/>
          <w:szCs w:val="32"/>
        </w:rPr>
        <w:t xml:space="preserve">    本部门在2018年度部门决算中反映“2018年中央财政改革发展资金”、“政法维稳工作经费”、“2018年新春慰问经费”、“2018年省级财政林业生态保护恢复资金”、“动植物保护”5个项目绩效目标实际完成情况。</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1.“2018年中央财政改革发展资金”项目绩效目标完成情况综述。</w:t>
      </w:r>
      <w:r>
        <w:rPr>
          <w:rFonts w:hint="eastAsia" w:ascii="仿宋_GB2312" w:eastAsia="仿宋_GB2312"/>
          <w:sz w:val="32"/>
          <w:szCs w:val="32"/>
        </w:rPr>
        <w:t>按照阿州财农【2018】110号《阿坝州财政局</w:t>
      </w:r>
      <w:r>
        <w:rPr>
          <w:rFonts w:hint="eastAsia" w:ascii="仿宋_GB2312" w:eastAsia="仿宋_GB2312"/>
          <w:sz w:val="32"/>
          <w:szCs w:val="32"/>
          <w:lang w:val="en-US" w:eastAsia="zh-CN"/>
        </w:rPr>
        <w:t xml:space="preserve"> </w:t>
      </w:r>
      <w:r>
        <w:rPr>
          <w:rFonts w:hint="eastAsia" w:ascii="仿宋_GB2312" w:eastAsia="仿宋_GB2312"/>
          <w:sz w:val="32"/>
          <w:szCs w:val="32"/>
        </w:rPr>
        <w:t>阿坝州林业局关于下达2018年中央财政林业补助资金区域绩效目标的通知》文件要求对我单位林业改革发展资金进行绩效目标自评工作。</w:t>
      </w:r>
      <w:r>
        <w:rPr>
          <w:rFonts w:hint="eastAsia" w:ascii="仿宋_GB2312" w:hAnsi="仿宋_GB2312" w:eastAsia="仿宋_GB2312" w:cs="仿宋_GB2312"/>
          <w:sz w:val="32"/>
          <w:szCs w:val="32"/>
        </w:rPr>
        <w:t>项目全年预算数21万元，上年结转数为10.73万元，全年执行数为21.21万元，完成预算的66.85%。</w:t>
      </w:r>
      <w:r>
        <w:rPr>
          <w:rFonts w:hint="eastAsia" w:ascii="仿宋_GB2312" w:hAnsi="宋体" w:eastAsia="仿宋_GB2312" w:cs="宋体"/>
          <w:kern w:val="0"/>
          <w:sz w:val="32"/>
          <w:szCs w:val="32"/>
        </w:rPr>
        <w:t>我单位严格按照林业改革专项资金管理办法进行资金管理。2018年我局共破获各类案件158起，其中：刑事案件4起，治安案件23起，林业行政案件131起；其中：治安处罚23人，林政处罚131人，罚没收入全部上缴财政。我局</w:t>
      </w:r>
      <w:r>
        <w:rPr>
          <w:rFonts w:hint="eastAsia" w:ascii="仿宋_GB2312" w:eastAsia="仿宋_GB2312"/>
          <w:sz w:val="32"/>
          <w:szCs w:val="32"/>
        </w:rPr>
        <w:t>加强补助资金的管理，按照补助资金使用范围，合理开支，规范使用，提高资金利用率，确保了资金的安全运行。发现的主要问题：对绩效管理认识不清。整改意见及措施：进一步科学合理的设定绩效管理目标，加强培训提升对绩效管理的认识。</w:t>
      </w:r>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政法维稳工作经费”项目绩效目标完成情况综述。按照阿州财行（2017）78号关于下达专项经费预算的通知，用于政法维稳工作。项目全年预算数3万元，执行数3万元，完成预算的100%。通过项目实施，保障了政法维稳工作的顺利开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3.“2018年新春慰问经费” 项目绩效目标完成情况综述。根据阿州财社（2017）139号关于下达2018新春慰问经费的通知，用于茂县叠溪镇重大自然灾害慰问金。项目全年预算数0.6万元，执行数0.6万元，完成预算的100%。通过项目实施，体现上级部门对职工的关心关爱。</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4．“2018年省级财政林业生态保护恢复资金” 项目绩效目标完成情况综述。根据阿州财农（2017）165号关于下达2018年省级财政林业生态保护恢复资金的通知，用于自然保护区建设及野生动植物保护。项目全年预算数22万元，由于我局2018年不涉及保护区的建设，该项资金未支付。发现的主要问题：预算安排数较实际执行有偏差。下一步整改意见：进一步提高预算编制准确度，实行全方位绩效评估。</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5.“动植物保护”项目绩效目标完成情况综述。根据阿州财农（2017）108号下达州级财政野生动植物保护专项资金通知，该项目属于2017年财政结转资金，项目预算数为4.25万元，执行数为4.25万元，完成预算的100%。通过对项目的实施，进一步加强对野生动植物的保护，从而提高对林业生态的保护。</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tbl>
      <w:tblPr>
        <w:tblStyle w:val="13"/>
        <w:tblpPr w:leftFromText="180" w:rightFromText="180" w:vertAnchor="text" w:horzAnchor="page" w:tblpXSpec="center" w:tblpY="423"/>
        <w:tblOverlap w:val="never"/>
        <w:tblW w:w="9945" w:type="dxa"/>
        <w:tblInd w:w="0" w:type="dxa"/>
        <w:tblLayout w:type="fixed"/>
        <w:tblCellMar>
          <w:top w:w="0" w:type="dxa"/>
          <w:left w:w="0" w:type="dxa"/>
          <w:bottom w:w="0" w:type="dxa"/>
          <w:right w:w="0" w:type="dxa"/>
        </w:tblCellMar>
      </w:tblPr>
      <w:tblGrid>
        <w:gridCol w:w="582"/>
        <w:gridCol w:w="1160"/>
        <w:gridCol w:w="1025"/>
        <w:gridCol w:w="2392"/>
        <w:gridCol w:w="2394"/>
        <w:gridCol w:w="2392"/>
      </w:tblGrid>
      <w:tr>
        <w:tblPrEx>
          <w:tblCellMar>
            <w:top w:w="0" w:type="dxa"/>
            <w:left w:w="0" w:type="dxa"/>
            <w:bottom w:w="0" w:type="dxa"/>
            <w:right w:w="0" w:type="dxa"/>
          </w:tblCellMar>
        </w:tblPrEx>
        <w:trPr>
          <w:trHeight w:val="1034" w:hRule="atLeast"/>
        </w:trPr>
        <w:tc>
          <w:tcPr>
            <w:tcW w:w="9945" w:type="dxa"/>
            <w:gridSpan w:val="6"/>
            <w:tcMar>
              <w:top w:w="15" w:type="dxa"/>
              <w:left w:w="15" w:type="dxa"/>
              <w:bottom w:w="0" w:type="dxa"/>
              <w:right w:w="15" w:type="dxa"/>
            </w:tcMar>
            <w:vAlign w:val="center"/>
          </w:tcPr>
          <w:p>
            <w:pPr>
              <w:pStyle w:val="25"/>
              <w:widowControl/>
              <w:ind w:left="4015" w:leftChars="1310" w:hanging="1264" w:hangingChars="395"/>
              <w:textAlignment w:val="center"/>
              <w:rPr>
                <w:rFonts w:hint="eastAsia" w:ascii="宋体" w:hAnsi="宋体" w:cs="宋体"/>
                <w:b/>
                <w:bCs/>
                <w:color w:val="000000"/>
                <w:kern w:val="0"/>
                <w:sz w:val="32"/>
                <w:szCs w:val="32"/>
              </w:rPr>
            </w:pPr>
            <w:r>
              <w:rPr>
                <w:rFonts w:hint="eastAsia" w:ascii="黑体" w:hAnsi="黑体" w:eastAsia="黑体" w:cs="宋体"/>
                <w:bCs/>
                <w:color w:val="000000"/>
                <w:kern w:val="0"/>
                <w:sz w:val="32"/>
                <w:szCs w:val="32"/>
              </w:rPr>
              <w:t>项目支出绩效目标完成情况表</w:t>
            </w:r>
          </w:p>
          <w:p>
            <w:pPr>
              <w:pStyle w:val="25"/>
              <w:widowControl/>
              <w:ind w:left="3486" w:leftChars="1660" w:firstLine="320" w:firstLineChars="100"/>
              <w:textAlignment w:val="center"/>
              <w:rPr>
                <w:rFonts w:hint="eastAsia" w:ascii="黑体" w:hAnsi="宋体" w:eastAsia="黑体" w:cs="宋体"/>
                <w:color w:val="000000"/>
                <w:sz w:val="32"/>
                <w:szCs w:val="32"/>
              </w:rPr>
            </w:pPr>
            <w:r>
              <w:rPr>
                <w:rFonts w:hint="eastAsia" w:ascii="黑体" w:hAnsi="宋体" w:eastAsia="黑体" w:cs="宋体"/>
                <w:color w:val="000000"/>
                <w:kern w:val="0"/>
                <w:sz w:val="32"/>
                <w:szCs w:val="32"/>
              </w:rPr>
              <w:t>(2018 年度)</w:t>
            </w:r>
          </w:p>
        </w:tc>
      </w:tr>
      <w:tr>
        <w:tblPrEx>
          <w:tblCellMar>
            <w:top w:w="0" w:type="dxa"/>
            <w:left w:w="0" w:type="dxa"/>
            <w:bottom w:w="0" w:type="dxa"/>
            <w:right w:w="0" w:type="dxa"/>
          </w:tblCellMar>
        </w:tblPrEx>
        <w:trPr>
          <w:trHeight w:val="276" w:hRule="atLeast"/>
        </w:trPr>
        <w:tc>
          <w:tcPr>
            <w:tcW w:w="27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2018年中央财政林业改革发展资金</w:t>
            </w:r>
          </w:p>
        </w:tc>
      </w:tr>
      <w:tr>
        <w:tblPrEx>
          <w:tblCellMar>
            <w:top w:w="0" w:type="dxa"/>
            <w:left w:w="0" w:type="dxa"/>
            <w:bottom w:w="0" w:type="dxa"/>
            <w:right w:w="0" w:type="dxa"/>
          </w:tblCellMar>
        </w:tblPrEx>
        <w:trPr>
          <w:trHeight w:val="276" w:hRule="atLeast"/>
        </w:trPr>
        <w:tc>
          <w:tcPr>
            <w:tcW w:w="276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茂县森林公安局</w:t>
            </w: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预算执行情况(万元)</w:t>
            </w:r>
          </w:p>
        </w:tc>
        <w:tc>
          <w:tcPr>
            <w:tcW w:w="21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10.48万元</w:t>
            </w:r>
          </w:p>
        </w:tc>
      </w:tr>
      <w:tr>
        <w:tblPrEx>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21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10.48万元</w:t>
            </w:r>
          </w:p>
        </w:tc>
      </w:tr>
      <w:tr>
        <w:tblPrEx>
          <w:tblCellMar>
            <w:top w:w="0" w:type="dxa"/>
            <w:left w:w="0" w:type="dxa"/>
            <w:bottom w:w="0" w:type="dxa"/>
            <w:right w:w="0" w:type="dxa"/>
          </w:tblCellMar>
        </w:tblPrEx>
        <w:trPr>
          <w:trHeight w:val="1756"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218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年度目标完成情况</w:t>
            </w:r>
          </w:p>
        </w:tc>
        <w:tc>
          <w:tcPr>
            <w:tcW w:w="45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45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加强补助资金的管理，按照补助资金使用范围，合理开支，规范使用，提高资金利用率，确保了资金的安全运行。保障各类林业工作的顺利开展。</w:t>
            </w:r>
          </w:p>
          <w:p>
            <w:pPr>
              <w:widowControl/>
              <w:jc w:val="center"/>
              <w:textAlignment w:val="center"/>
              <w:rPr>
                <w:rFonts w:ascii="仿宋_GB2312" w:hAnsi="宋体" w:eastAsia="仿宋_GB2312"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加强补助资金的管理，按照补助资金使用范围，合理开支，规范使用，提高资金利用率，确保了资金的安全运行。保障各类林业工作的顺利开展。</w:t>
            </w:r>
          </w:p>
          <w:p>
            <w:pPr>
              <w:widowControl/>
              <w:jc w:val="center"/>
              <w:textAlignment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绩效指标完成情况</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实际完成指标值(包含数字及文字描述)</w:t>
            </w:r>
          </w:p>
        </w:tc>
      </w:tr>
      <w:tr>
        <w:tblPrEx>
          <w:tblCellMar>
            <w:top w:w="0" w:type="dxa"/>
            <w:left w:w="0" w:type="dxa"/>
            <w:bottom w:w="0" w:type="dxa"/>
            <w:right w:w="0" w:type="dxa"/>
          </w:tblCellMar>
        </w:tblPrEx>
        <w:trPr>
          <w:trHeight w:val="1927"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完成案件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破获各类案件125件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hAnsiTheme="minorEastAsia"/>
                <w:color w:val="000000"/>
                <w:sz w:val="24"/>
              </w:rPr>
            </w:pPr>
            <w:r>
              <w:rPr>
                <w:rFonts w:hint="eastAsia" w:ascii="仿宋_GB2312" w:eastAsia="仿宋_GB2312" w:cs="宋体" w:hAnsiTheme="minorEastAsia"/>
                <w:kern w:val="0"/>
                <w:sz w:val="24"/>
              </w:rPr>
              <w:t>2018年我局共破获各类案件158起，其中：刑事案件4起，治安案件23起，林业行政案件131起；其中：治安处罚23人，林政处罚131人</w:t>
            </w:r>
          </w:p>
        </w:tc>
      </w:tr>
      <w:tr>
        <w:tblPrEx>
          <w:tblCellMar>
            <w:top w:w="0" w:type="dxa"/>
            <w:left w:w="0" w:type="dxa"/>
            <w:bottom w:w="0" w:type="dxa"/>
            <w:right w:w="0" w:type="dxa"/>
          </w:tblCellMar>
        </w:tblPrEx>
        <w:trPr>
          <w:trHeight w:val="99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2018年12月18日</w:t>
            </w:r>
          </w:p>
        </w:tc>
      </w:tr>
      <w:tr>
        <w:tblPrEx>
          <w:tblCellMar>
            <w:top w:w="0" w:type="dxa"/>
            <w:left w:w="0" w:type="dxa"/>
            <w:bottom w:w="0" w:type="dxa"/>
            <w:right w:w="0" w:type="dxa"/>
          </w:tblCellMar>
        </w:tblPrEx>
        <w:trPr>
          <w:trHeight w:val="1084"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负责全县森林和野生动植物资源保护，打击破坏森林和野生动植物资源违法犯罪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负责全县森林和野生动植物资源保护，打击破坏森林和野生动植物资源违法犯罪</w:t>
            </w:r>
          </w:p>
        </w:tc>
      </w:tr>
      <w:tr>
        <w:tblPrEx>
          <w:tblCellMar>
            <w:top w:w="0" w:type="dxa"/>
            <w:left w:w="0" w:type="dxa"/>
            <w:bottom w:w="0" w:type="dxa"/>
            <w:right w:w="0" w:type="dxa"/>
          </w:tblCellMar>
        </w:tblPrEx>
        <w:trPr>
          <w:trHeight w:val="105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90%</w:t>
            </w:r>
          </w:p>
        </w:tc>
      </w:tr>
    </w:tbl>
    <w:tbl>
      <w:tblPr>
        <w:tblStyle w:val="13"/>
        <w:tblpPr w:leftFromText="180" w:rightFromText="180" w:vertAnchor="text" w:horzAnchor="margin" w:tblpXSpec="center" w:tblpY="-803"/>
        <w:tblOverlap w:val="never"/>
        <w:tblW w:w="9611" w:type="dxa"/>
        <w:tblInd w:w="0" w:type="dxa"/>
        <w:tblLayout w:type="fixed"/>
        <w:tblCellMar>
          <w:top w:w="0" w:type="dxa"/>
          <w:left w:w="0" w:type="dxa"/>
          <w:bottom w:w="0" w:type="dxa"/>
          <w:right w:w="0" w:type="dxa"/>
        </w:tblCellMar>
      </w:tblPr>
      <w:tblGrid>
        <w:gridCol w:w="239"/>
        <w:gridCol w:w="201"/>
        <w:gridCol w:w="143"/>
        <w:gridCol w:w="273"/>
        <w:gridCol w:w="10"/>
        <w:gridCol w:w="550"/>
        <w:gridCol w:w="996"/>
        <w:gridCol w:w="2429"/>
        <w:gridCol w:w="2386"/>
        <w:gridCol w:w="2384"/>
      </w:tblGrid>
      <w:tr>
        <w:tblPrEx>
          <w:tblCellMar>
            <w:top w:w="0" w:type="dxa"/>
            <w:left w:w="0" w:type="dxa"/>
            <w:bottom w:w="0" w:type="dxa"/>
            <w:right w:w="0" w:type="dxa"/>
          </w:tblCellMar>
        </w:tblPrEx>
        <w:trPr>
          <w:trHeight w:val="1034" w:hRule="atLeast"/>
        </w:trPr>
        <w:tc>
          <w:tcPr>
            <w:tcW w:w="9611" w:type="dxa"/>
            <w:gridSpan w:val="10"/>
            <w:tcMar>
              <w:top w:w="15" w:type="dxa"/>
              <w:left w:w="15" w:type="dxa"/>
              <w:bottom w:w="0" w:type="dxa"/>
              <w:right w:w="15" w:type="dxa"/>
            </w:tcMar>
            <w:vAlign w:val="center"/>
          </w:tcPr>
          <w:p>
            <w:pPr>
              <w:widowControl/>
              <w:textAlignment w:val="center"/>
              <w:rPr>
                <w:rFonts w:hint="eastAsia" w:ascii="宋体" w:hAnsi="宋体" w:cs="宋体"/>
                <w:color w:val="000000"/>
                <w:kern w:val="0"/>
                <w:sz w:val="36"/>
                <w:szCs w:val="36"/>
              </w:rPr>
            </w:pPr>
            <w:r>
              <w:rPr>
                <w:rFonts w:hint="eastAsia" w:ascii="宋体" w:hAnsi="宋体" w:cs="宋体"/>
                <w:b/>
                <w:bCs/>
                <w:color w:val="000000"/>
                <w:kern w:val="0"/>
                <w:sz w:val="32"/>
                <w:szCs w:val="32"/>
              </w:rPr>
              <w:br w:type="textWrapping"/>
            </w:r>
          </w:p>
          <w:p>
            <w:pPr>
              <w:pStyle w:val="25"/>
              <w:widowControl/>
              <w:ind w:left="4015" w:leftChars="1310" w:hanging="1264" w:hangingChars="395"/>
              <w:textAlignment w:val="center"/>
              <w:rPr>
                <w:rFonts w:hint="eastAsia" w:ascii="宋体" w:hAnsi="宋体" w:cs="宋体"/>
                <w:b/>
                <w:bCs/>
                <w:color w:val="000000"/>
                <w:kern w:val="0"/>
                <w:sz w:val="32"/>
                <w:szCs w:val="32"/>
              </w:rPr>
            </w:pPr>
            <w:r>
              <w:rPr>
                <w:rFonts w:hint="eastAsia" w:ascii="黑体" w:hAnsi="黑体" w:eastAsia="黑体" w:cs="宋体"/>
                <w:bCs/>
                <w:color w:val="000000"/>
                <w:kern w:val="0"/>
                <w:sz w:val="32"/>
                <w:szCs w:val="32"/>
              </w:rPr>
              <w:t>项目支出绩效目标完成情况表</w:t>
            </w:r>
          </w:p>
          <w:p>
            <w:pPr>
              <w:widowControl/>
              <w:ind w:firstLine="3520" w:firstLineChars="1100"/>
              <w:textAlignment w:val="center"/>
              <w:rPr>
                <w:rFonts w:ascii="宋体" w:hAnsi="宋体" w:cs="宋体"/>
                <w:color w:val="000000"/>
                <w:kern w:val="0"/>
                <w:sz w:val="36"/>
                <w:szCs w:val="36"/>
              </w:rPr>
            </w:pPr>
            <w:r>
              <w:rPr>
                <w:rFonts w:hint="eastAsia" w:ascii="黑体" w:hAnsi="宋体" w:eastAsia="黑体" w:cs="宋体"/>
                <w:color w:val="000000"/>
                <w:kern w:val="0"/>
                <w:sz w:val="32"/>
                <w:szCs w:val="32"/>
              </w:rPr>
              <w:t>(2018 年度)</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项目名称</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2018年新春维稳经费</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预算单位</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茂县森林公安局</w:t>
            </w:r>
          </w:p>
        </w:tc>
      </w:tr>
      <w:tr>
        <w:tblPrEx>
          <w:tblCellMar>
            <w:top w:w="0" w:type="dxa"/>
            <w:left w:w="0" w:type="dxa"/>
            <w:bottom w:w="0" w:type="dxa"/>
            <w:right w:w="0" w:type="dxa"/>
          </w:tblCellMar>
        </w:tblPrEx>
        <w:trPr>
          <w:trHeight w:val="1008" w:hRule="atLeast"/>
        </w:trPr>
        <w:tc>
          <w:tcPr>
            <w:tcW w:w="86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预算执行情况(万元)</w:t>
            </w:r>
          </w:p>
        </w:tc>
        <w:tc>
          <w:tcPr>
            <w:tcW w:w="15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预算数:</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0.6万元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执行数:</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0.6万元</w:t>
            </w:r>
          </w:p>
        </w:tc>
      </w:tr>
      <w:tr>
        <w:tblPrEx>
          <w:tblCellMar>
            <w:top w:w="0" w:type="dxa"/>
            <w:left w:w="0" w:type="dxa"/>
            <w:bottom w:w="0" w:type="dxa"/>
            <w:right w:w="0" w:type="dxa"/>
          </w:tblCellMar>
        </w:tblPrEx>
        <w:trPr>
          <w:trHeight w:val="276" w:hRule="atLeast"/>
        </w:trPr>
        <w:tc>
          <w:tcPr>
            <w:tcW w:w="4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97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0.6万元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0.6万元</w:t>
            </w:r>
          </w:p>
        </w:tc>
      </w:tr>
      <w:tr>
        <w:tblPrEx>
          <w:tblCellMar>
            <w:top w:w="0" w:type="dxa"/>
            <w:left w:w="0" w:type="dxa"/>
            <w:bottom w:w="0" w:type="dxa"/>
            <w:right w:w="0" w:type="dxa"/>
          </w:tblCellMar>
        </w:tblPrEx>
        <w:trPr>
          <w:trHeight w:val="1511" w:hRule="atLeast"/>
        </w:trPr>
        <w:tc>
          <w:tcPr>
            <w:tcW w:w="4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97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0</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789" w:hRule="atLeast"/>
        </w:trPr>
        <w:tc>
          <w:tcPr>
            <w:tcW w:w="5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年度目标完成情况</w:t>
            </w:r>
          </w:p>
        </w:tc>
        <w:tc>
          <w:tcPr>
            <w:tcW w:w="425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预期目标</w:t>
            </w: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226" w:hRule="atLeast"/>
        </w:trPr>
        <w:tc>
          <w:tcPr>
            <w:tcW w:w="58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425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w:t>
            </w:r>
          </w:p>
          <w:p>
            <w:pPr>
              <w:widowControl/>
              <w:jc w:val="center"/>
              <w:textAlignment w:val="center"/>
              <w:rPr>
                <w:rFonts w:ascii="仿宋_GB2312" w:hAnsi="宋体" w:eastAsia="仿宋_GB2312" w:cs="宋体"/>
                <w:color w:val="000000"/>
                <w:sz w:val="24"/>
              </w:rPr>
            </w:pP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w:t>
            </w:r>
          </w:p>
          <w:p>
            <w:pPr>
              <w:widowControl/>
              <w:jc w:val="center"/>
              <w:textAlignment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85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绩效指标完成情况</w:t>
            </w:r>
          </w:p>
        </w:tc>
        <w:tc>
          <w:tcPr>
            <w:tcW w:w="5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一级指标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二级指标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三级指标</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预期指标值(包含数字及文字描述)</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2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7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数量指标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拨入金额</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新春维稳经费0.6万元</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hAnsiTheme="minorEastAsia"/>
                <w:color w:val="000000"/>
                <w:sz w:val="24"/>
              </w:rPr>
            </w:pPr>
            <w:r>
              <w:rPr>
                <w:rFonts w:hint="eastAsia" w:ascii="仿宋_GB2312" w:eastAsia="仿宋_GB2312" w:cs="宋体" w:hAnsiTheme="minorEastAsia"/>
                <w:kern w:val="0"/>
                <w:sz w:val="24"/>
              </w:rPr>
              <w:t>完成率达到100%</w:t>
            </w:r>
          </w:p>
        </w:tc>
      </w:tr>
      <w:tr>
        <w:tblPrEx>
          <w:tblCellMar>
            <w:top w:w="0" w:type="dxa"/>
            <w:left w:w="0" w:type="dxa"/>
            <w:bottom w:w="0" w:type="dxa"/>
            <w:right w:w="0" w:type="dxa"/>
          </w:tblCellMar>
        </w:tblPrEx>
        <w:trPr>
          <w:trHeight w:val="956" w:hRule="atLeast"/>
        </w:trPr>
        <w:tc>
          <w:tcPr>
            <w:tcW w:w="2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7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时效指标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完成时间</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2018年12月底前</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2018年12月18日</w:t>
            </w:r>
          </w:p>
        </w:tc>
      </w:tr>
      <w:tr>
        <w:tblPrEx>
          <w:tblCellMar>
            <w:top w:w="0" w:type="dxa"/>
            <w:left w:w="0" w:type="dxa"/>
            <w:bottom w:w="0" w:type="dxa"/>
            <w:right w:w="0" w:type="dxa"/>
          </w:tblCellMar>
        </w:tblPrEx>
        <w:trPr>
          <w:trHeight w:val="956" w:hRule="atLeast"/>
        </w:trPr>
        <w:tc>
          <w:tcPr>
            <w:tcW w:w="2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7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效益指标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社会效益指标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拟达成效</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体现上级部门对职工的关心关爱</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体现上级部门对职工的关心关爱</w:t>
            </w:r>
          </w:p>
        </w:tc>
      </w:tr>
      <w:tr>
        <w:tblPrEx>
          <w:tblCellMar>
            <w:top w:w="0" w:type="dxa"/>
            <w:left w:w="0" w:type="dxa"/>
            <w:bottom w:w="0" w:type="dxa"/>
            <w:right w:w="0" w:type="dxa"/>
          </w:tblCellMar>
        </w:tblPrEx>
        <w:trPr>
          <w:trHeight w:val="843" w:hRule="atLeast"/>
        </w:trPr>
        <w:tc>
          <w:tcPr>
            <w:tcW w:w="2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177"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满意度指标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满意度指标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工作满意度</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100%</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100%</w:t>
            </w:r>
          </w:p>
        </w:tc>
      </w:tr>
      <w:tr>
        <w:tblPrEx>
          <w:tblCellMar>
            <w:top w:w="0" w:type="dxa"/>
            <w:left w:w="0" w:type="dxa"/>
            <w:bottom w:w="0" w:type="dxa"/>
            <w:right w:w="0" w:type="dxa"/>
          </w:tblCellMar>
        </w:tblPrEx>
        <w:trPr>
          <w:trHeight w:val="1034" w:hRule="atLeast"/>
        </w:trPr>
        <w:tc>
          <w:tcPr>
            <w:tcW w:w="9611" w:type="dxa"/>
            <w:gridSpan w:val="10"/>
            <w:tcMar>
              <w:top w:w="15" w:type="dxa"/>
              <w:left w:w="15" w:type="dxa"/>
              <w:bottom w:w="0" w:type="dxa"/>
              <w:right w:w="15" w:type="dxa"/>
            </w:tcMar>
            <w:vAlign w:val="center"/>
          </w:tcPr>
          <w:p>
            <w:pPr>
              <w:widowControl/>
              <w:ind w:left="3425" w:leftChars="1250" w:hanging="800" w:hangingChars="250"/>
              <w:textAlignment w:val="center"/>
              <w:rPr>
                <w:rFonts w:hint="eastAsia" w:ascii="宋体" w:hAnsi="宋体" w:cs="宋体"/>
                <w:b/>
                <w:bCs/>
                <w:color w:val="000000"/>
                <w:kern w:val="0"/>
                <w:sz w:val="32"/>
                <w:szCs w:val="32"/>
              </w:rPr>
            </w:pPr>
            <w:r>
              <w:rPr>
                <w:rFonts w:hint="eastAsia" w:ascii="黑体" w:hAnsi="黑体" w:eastAsia="黑体" w:cs="宋体"/>
                <w:bCs/>
                <w:color w:val="000000"/>
                <w:kern w:val="0"/>
                <w:sz w:val="32"/>
                <w:szCs w:val="32"/>
              </w:rPr>
              <w:t>项目支出绩效目标完成情况表</w:t>
            </w:r>
          </w:p>
          <w:p>
            <w:pPr>
              <w:widowControl/>
              <w:ind w:left="3525" w:leftChars="1250" w:hanging="900" w:hangingChars="250"/>
              <w:textAlignment w:val="center"/>
              <w:rPr>
                <w:rFonts w:ascii="宋体" w:hAnsi="宋体" w:cs="宋体"/>
                <w:color w:val="000000"/>
                <w:sz w:val="36"/>
                <w:szCs w:val="36"/>
              </w:rPr>
            </w:pPr>
            <w:r>
              <w:rPr>
                <w:rFonts w:hint="eastAsia" w:ascii="宋体" w:hAnsi="宋体" w:cs="宋体"/>
                <w:color w:val="000000"/>
                <w:kern w:val="0"/>
                <w:sz w:val="36"/>
                <w:szCs w:val="36"/>
              </w:rPr>
              <w:t>( 2018 年度)</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项目名称</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sz w:val="24"/>
              </w:rPr>
            </w:pPr>
            <w:r>
              <w:rPr>
                <w:rFonts w:hint="eastAsia" w:ascii="仿宋_GB2312" w:hAnsi="宋体" w:eastAsia="仿宋_GB2312" w:cs="宋体"/>
                <w:sz w:val="24"/>
              </w:rPr>
              <w:t>2018省级财政林业生态保护恢复资金</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预算单位</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茂县森林公安局</w:t>
            </w:r>
          </w:p>
        </w:tc>
      </w:tr>
      <w:tr>
        <w:tblPrEx>
          <w:tblCellMar>
            <w:top w:w="0" w:type="dxa"/>
            <w:left w:w="0" w:type="dxa"/>
            <w:bottom w:w="0" w:type="dxa"/>
            <w:right w:w="0" w:type="dxa"/>
          </w:tblCellMar>
        </w:tblPrEx>
        <w:trPr>
          <w:trHeight w:val="276" w:hRule="atLeast"/>
        </w:trPr>
        <w:tc>
          <w:tcPr>
            <w:tcW w:w="5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预算执行情况(万元)</w:t>
            </w:r>
          </w:p>
        </w:tc>
        <w:tc>
          <w:tcPr>
            <w:tcW w:w="18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预算数:</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22万元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执行数:</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0万元</w:t>
            </w:r>
          </w:p>
        </w:tc>
      </w:tr>
      <w:tr>
        <w:tblPrEx>
          <w:tblCellMar>
            <w:top w:w="0" w:type="dxa"/>
            <w:left w:w="0" w:type="dxa"/>
            <w:bottom w:w="0" w:type="dxa"/>
            <w:right w:w="0" w:type="dxa"/>
          </w:tblCellMar>
        </w:tblPrEx>
        <w:trPr>
          <w:trHeight w:val="276" w:hRule="atLeast"/>
        </w:trPr>
        <w:tc>
          <w:tcPr>
            <w:tcW w:w="58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8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22万元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万元</w:t>
            </w:r>
          </w:p>
        </w:tc>
      </w:tr>
      <w:tr>
        <w:tblPrEx>
          <w:tblCellMar>
            <w:top w:w="0" w:type="dxa"/>
            <w:left w:w="0" w:type="dxa"/>
            <w:bottom w:w="0" w:type="dxa"/>
            <w:right w:w="0" w:type="dxa"/>
          </w:tblCellMar>
        </w:tblPrEx>
        <w:trPr>
          <w:trHeight w:val="1511" w:hRule="atLeast"/>
        </w:trPr>
        <w:tc>
          <w:tcPr>
            <w:tcW w:w="58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82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0</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276" w:hRule="atLeast"/>
        </w:trPr>
        <w:tc>
          <w:tcPr>
            <w:tcW w:w="86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年度目标完成情况</w:t>
            </w:r>
          </w:p>
        </w:tc>
        <w:tc>
          <w:tcPr>
            <w:tcW w:w="39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预期目标</w:t>
            </w: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2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460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加强资金监管，确保专款专用，无截留、挤占和挪用情况。</w:t>
            </w:r>
          </w:p>
          <w:p>
            <w:pPr>
              <w:widowControl/>
              <w:jc w:val="center"/>
              <w:textAlignment w:val="center"/>
              <w:rPr>
                <w:rFonts w:ascii="仿宋_GB2312" w:hAnsi="宋体" w:eastAsia="仿宋_GB2312" w:cs="宋体"/>
                <w:color w:val="000000"/>
                <w:sz w:val="24"/>
              </w:rPr>
            </w:pP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加强资金监管，确保专款专用，无截留、挤占和挪用情况。2018年我局不涉及保护区建设，资金未使用。</w:t>
            </w:r>
          </w:p>
          <w:p>
            <w:pPr>
              <w:widowControl/>
              <w:jc w:val="center"/>
              <w:textAlignment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034" w:hRule="atLeast"/>
        </w:trPr>
        <w:tc>
          <w:tcPr>
            <w:tcW w:w="9611" w:type="dxa"/>
            <w:gridSpan w:val="10"/>
            <w:tcMar>
              <w:top w:w="15" w:type="dxa"/>
              <w:left w:w="15" w:type="dxa"/>
              <w:bottom w:w="0" w:type="dxa"/>
              <w:right w:w="15" w:type="dxa"/>
            </w:tcMar>
            <w:vAlign w:val="center"/>
          </w:tcPr>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ascii="黑体" w:hAnsi="黑体" w:eastAsia="黑体" w:cs="宋体"/>
                <w:bCs/>
                <w:color w:val="000000"/>
                <w:kern w:val="0"/>
                <w:sz w:val="32"/>
                <w:szCs w:val="32"/>
              </w:rPr>
            </w:pPr>
          </w:p>
          <w:p>
            <w:pPr>
              <w:pStyle w:val="25"/>
              <w:widowControl/>
              <w:ind w:left="4015" w:leftChars="1310" w:hanging="1264" w:hangingChars="395"/>
              <w:textAlignment w:val="center"/>
              <w:rPr>
                <w:rFonts w:hint="eastAsia" w:ascii="黑体" w:hAnsi="黑体" w:eastAsia="黑体" w:cs="宋体"/>
                <w:bCs/>
                <w:color w:val="000000"/>
                <w:kern w:val="0"/>
                <w:sz w:val="32"/>
                <w:szCs w:val="32"/>
              </w:rPr>
            </w:pPr>
          </w:p>
          <w:p>
            <w:pPr>
              <w:pStyle w:val="25"/>
              <w:widowControl/>
              <w:ind w:left="4015" w:leftChars="1310" w:hanging="1264" w:hangingChars="395"/>
              <w:textAlignment w:val="center"/>
              <w:rPr>
                <w:rFonts w:hint="eastAsia" w:ascii="黑体" w:hAnsi="黑体" w:eastAsia="黑体" w:cs="宋体"/>
                <w:bCs/>
                <w:color w:val="000000"/>
                <w:kern w:val="0"/>
                <w:sz w:val="32"/>
                <w:szCs w:val="32"/>
              </w:rPr>
            </w:pPr>
          </w:p>
          <w:p>
            <w:pPr>
              <w:pStyle w:val="25"/>
              <w:widowControl/>
              <w:ind w:left="4015" w:leftChars="1310" w:hanging="1264" w:hangingChars="395"/>
              <w:textAlignment w:val="center"/>
              <w:rPr>
                <w:rFonts w:hint="eastAsia" w:ascii="黑体" w:hAnsi="黑体" w:eastAsia="黑体" w:cs="宋体"/>
                <w:bCs/>
                <w:color w:val="000000"/>
                <w:kern w:val="0"/>
                <w:sz w:val="32"/>
                <w:szCs w:val="32"/>
              </w:rPr>
            </w:pPr>
          </w:p>
          <w:p>
            <w:pPr>
              <w:pStyle w:val="25"/>
              <w:widowControl/>
              <w:ind w:left="4015" w:leftChars="1310" w:hanging="1264" w:hangingChars="395"/>
              <w:textAlignment w:val="center"/>
              <w:rPr>
                <w:rFonts w:hint="eastAsia" w:ascii="黑体" w:hAnsi="黑体" w:eastAsia="黑体" w:cs="宋体"/>
                <w:bCs/>
                <w:color w:val="000000"/>
                <w:kern w:val="0"/>
                <w:sz w:val="32"/>
                <w:szCs w:val="32"/>
              </w:rPr>
            </w:pPr>
          </w:p>
          <w:p>
            <w:pPr>
              <w:pStyle w:val="25"/>
              <w:widowControl/>
              <w:ind w:left="4015" w:leftChars="1310" w:hanging="1264" w:hangingChars="395"/>
              <w:textAlignment w:val="center"/>
              <w:rPr>
                <w:rFonts w:ascii="宋体" w:hAnsi="宋体" w:cs="宋体"/>
                <w:color w:val="000000"/>
                <w:sz w:val="36"/>
                <w:szCs w:val="36"/>
              </w:rPr>
            </w:pPr>
            <w:r>
              <w:rPr>
                <w:rFonts w:hint="eastAsia" w:ascii="黑体" w:hAnsi="黑体" w:eastAsia="黑体" w:cs="宋体"/>
                <w:bCs/>
                <w:color w:val="000000"/>
                <w:kern w:val="0"/>
                <w:sz w:val="32"/>
                <w:szCs w:val="32"/>
              </w:rPr>
              <w:t>项目支出绩效目标完成情况表</w:t>
            </w:r>
            <w:r>
              <w:rPr>
                <w:rStyle w:val="17"/>
                <w:rFonts w:ascii="黑体" w:hAnsi="黑体" w:eastAsia="黑体" w:cs="宋体"/>
                <w:bCs/>
                <w:color w:val="000000"/>
                <w:kern w:val="0"/>
                <w:sz w:val="32"/>
                <w:szCs w:val="32"/>
              </w:rPr>
              <w:footnoteReference w:id="0"/>
            </w:r>
            <w:r>
              <w:rPr>
                <w:rFonts w:hint="eastAsia" w:ascii="宋体" w:hAnsi="宋体" w:cs="宋体"/>
                <w:b/>
                <w:bCs/>
                <w:color w:val="000000"/>
                <w:kern w:val="0"/>
                <w:sz w:val="32"/>
                <w:szCs w:val="32"/>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项目名称</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动植物保护</w:t>
            </w:r>
          </w:p>
        </w:tc>
      </w:tr>
      <w:tr>
        <w:tblPrEx>
          <w:tblCellMar>
            <w:top w:w="0" w:type="dxa"/>
            <w:left w:w="0" w:type="dxa"/>
            <w:bottom w:w="0" w:type="dxa"/>
            <w:right w:w="0" w:type="dxa"/>
          </w:tblCellMar>
        </w:tblPrEx>
        <w:trPr>
          <w:trHeight w:val="276" w:hRule="atLeast"/>
        </w:trPr>
        <w:tc>
          <w:tcPr>
            <w:tcW w:w="2412"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预算单位</w:t>
            </w:r>
          </w:p>
        </w:tc>
        <w:tc>
          <w:tcPr>
            <w:tcW w:w="719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茂县森林公安局</w:t>
            </w:r>
          </w:p>
        </w:tc>
      </w:tr>
      <w:tr>
        <w:tblPrEx>
          <w:tblCellMar>
            <w:top w:w="0" w:type="dxa"/>
            <w:left w:w="0" w:type="dxa"/>
            <w:bottom w:w="0" w:type="dxa"/>
            <w:right w:w="0" w:type="dxa"/>
          </w:tblCellMar>
        </w:tblPrEx>
        <w:trPr>
          <w:trHeight w:val="1589" w:hRule="atLeast"/>
        </w:trPr>
        <w:tc>
          <w:tcPr>
            <w:tcW w:w="86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预算执行情况(万元)</w:t>
            </w:r>
          </w:p>
        </w:tc>
        <w:tc>
          <w:tcPr>
            <w:tcW w:w="15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预算数:</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4.25万元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执行数:</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4.25万元</w:t>
            </w:r>
          </w:p>
        </w:tc>
      </w:tr>
      <w:tr>
        <w:tblPrEx>
          <w:tblCellMar>
            <w:top w:w="0" w:type="dxa"/>
            <w:left w:w="0" w:type="dxa"/>
            <w:bottom w:w="0" w:type="dxa"/>
            <w:right w:w="0" w:type="dxa"/>
          </w:tblCellMar>
        </w:tblPrEx>
        <w:trPr>
          <w:trHeight w:val="276" w:hRule="atLeast"/>
        </w:trPr>
        <w:tc>
          <w:tcPr>
            <w:tcW w:w="85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55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4.25万元</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4.25万元</w:t>
            </w:r>
          </w:p>
        </w:tc>
      </w:tr>
      <w:tr>
        <w:tblPrEx>
          <w:tblCellMar>
            <w:top w:w="0" w:type="dxa"/>
            <w:left w:w="0" w:type="dxa"/>
            <w:bottom w:w="0" w:type="dxa"/>
            <w:right w:w="0" w:type="dxa"/>
          </w:tblCellMar>
        </w:tblPrEx>
        <w:trPr>
          <w:trHeight w:val="1017" w:hRule="atLeast"/>
        </w:trPr>
        <w:tc>
          <w:tcPr>
            <w:tcW w:w="85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55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0</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0</w:t>
            </w:r>
          </w:p>
        </w:tc>
      </w:tr>
      <w:tr>
        <w:tblPrEx>
          <w:tblCellMar>
            <w:top w:w="0" w:type="dxa"/>
            <w:left w:w="0" w:type="dxa"/>
            <w:bottom w:w="0" w:type="dxa"/>
            <w:right w:w="0" w:type="dxa"/>
          </w:tblCellMar>
        </w:tblPrEx>
        <w:trPr>
          <w:trHeight w:val="276" w:hRule="atLeast"/>
        </w:trPr>
        <w:tc>
          <w:tcPr>
            <w:tcW w:w="86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年度目标完成情况</w:t>
            </w:r>
          </w:p>
        </w:tc>
        <w:tc>
          <w:tcPr>
            <w:tcW w:w="39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预期目标</w:t>
            </w: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889" w:hRule="atLeast"/>
        </w:trPr>
        <w:tc>
          <w:tcPr>
            <w:tcW w:w="856"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strike w:val="0"/>
                <w:dstrike w:val="0"/>
                <w:color w:val="000000"/>
                <w:sz w:val="24"/>
              </w:rPr>
            </w:pPr>
          </w:p>
          <w:p>
            <w:pPr>
              <w:widowControl/>
              <w:jc w:val="left"/>
              <w:rPr>
                <w:rFonts w:ascii="仿宋_GB2312" w:hAnsi="宋体" w:eastAsia="仿宋_GB2312" w:cs="宋体"/>
                <w:strike w:val="0"/>
                <w:dstrike w:val="0"/>
                <w:color w:val="000000"/>
                <w:sz w:val="24"/>
              </w:rPr>
            </w:pPr>
          </w:p>
          <w:p>
            <w:pPr>
              <w:widowControl/>
              <w:jc w:val="left"/>
              <w:rPr>
                <w:rFonts w:ascii="仿宋_GB2312" w:hAnsi="宋体" w:eastAsia="仿宋_GB2312" w:cs="宋体"/>
                <w:strike w:val="0"/>
                <w:dstrike w:val="0"/>
                <w:color w:val="000000"/>
                <w:sz w:val="24"/>
              </w:rPr>
            </w:pPr>
          </w:p>
        </w:tc>
        <w:tc>
          <w:tcPr>
            <w:tcW w:w="398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strike w:val="0"/>
                <w:dstrike w:val="0"/>
                <w:sz w:val="24"/>
                <w:u w:val="none"/>
              </w:rPr>
            </w:pPr>
            <w:r>
              <w:rPr>
                <w:rFonts w:hint="eastAsia" w:ascii="仿宋_GB2312" w:eastAsia="仿宋_GB2312"/>
                <w:strike w:val="0"/>
                <w:dstrike w:val="0"/>
                <w:sz w:val="24"/>
                <w:u w:val="none"/>
              </w:rPr>
              <w:t>加强资金监管，确保专款专用，无截留、挤占和挪用情况。</w:t>
            </w:r>
          </w:p>
          <w:p>
            <w:pPr>
              <w:widowControl/>
              <w:jc w:val="center"/>
              <w:textAlignment w:val="center"/>
              <w:rPr>
                <w:rFonts w:hint="eastAsia" w:ascii="仿宋_GB2312" w:eastAsia="仿宋_GB2312"/>
                <w:strike w:val="0"/>
                <w:dstrike w:val="0"/>
                <w:sz w:val="24"/>
                <w:u w:val="none"/>
              </w:rPr>
            </w:pPr>
          </w:p>
        </w:tc>
        <w:tc>
          <w:tcPr>
            <w:tcW w:w="47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加强资金监管，确保专款专用，无截留、挤占和挪用情况。</w:t>
            </w:r>
          </w:p>
          <w:p>
            <w:pPr>
              <w:widowControl/>
              <w:jc w:val="center"/>
              <w:textAlignment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86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绩效指标完成情况</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一级指标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二级指标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三级指标</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预期指标值(包含数字及文字描述)</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866"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数量指标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拨入金额</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2017年结转资金4.25万元</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hAnsiTheme="minorEastAsia"/>
                <w:color w:val="000000"/>
                <w:sz w:val="24"/>
              </w:rPr>
            </w:pPr>
            <w:r>
              <w:rPr>
                <w:rFonts w:hint="eastAsia" w:ascii="仿宋_GB2312" w:eastAsia="仿宋_GB2312" w:cs="宋体" w:hAnsiTheme="minorEastAsia"/>
                <w:kern w:val="0"/>
                <w:sz w:val="24"/>
              </w:rPr>
              <w:t>完成率达到100%</w:t>
            </w:r>
          </w:p>
        </w:tc>
      </w:tr>
      <w:tr>
        <w:tblPrEx>
          <w:tblCellMar>
            <w:top w:w="0" w:type="dxa"/>
            <w:left w:w="0" w:type="dxa"/>
            <w:bottom w:w="0" w:type="dxa"/>
            <w:right w:w="0" w:type="dxa"/>
          </w:tblCellMar>
        </w:tblPrEx>
        <w:trPr>
          <w:trHeight w:val="1136" w:hRule="atLeast"/>
        </w:trPr>
        <w:tc>
          <w:tcPr>
            <w:tcW w:w="866"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时效指标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完成时间</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2018年12月底前</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2018年12月18日</w:t>
            </w:r>
          </w:p>
        </w:tc>
      </w:tr>
      <w:tr>
        <w:tblPrEx>
          <w:tblCellMar>
            <w:top w:w="0" w:type="dxa"/>
            <w:left w:w="0" w:type="dxa"/>
            <w:bottom w:w="0" w:type="dxa"/>
            <w:right w:w="0" w:type="dxa"/>
          </w:tblCellMar>
        </w:tblPrEx>
        <w:trPr>
          <w:trHeight w:val="1042" w:hRule="atLeast"/>
        </w:trPr>
        <w:tc>
          <w:tcPr>
            <w:tcW w:w="866"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效益指标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社会效益指标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拟达成效</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进一步加强对野生动植物的保护，从而提高对林业生态的保护</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进一步加强对野生动植物的保护，从而提高对林业生态的保护</w:t>
            </w:r>
          </w:p>
        </w:tc>
      </w:tr>
      <w:tr>
        <w:tblPrEx>
          <w:tblCellMar>
            <w:top w:w="0" w:type="dxa"/>
            <w:left w:w="0" w:type="dxa"/>
            <w:bottom w:w="0" w:type="dxa"/>
            <w:right w:w="0" w:type="dxa"/>
          </w:tblCellMar>
        </w:tblPrEx>
        <w:trPr>
          <w:trHeight w:val="1050" w:hRule="atLeast"/>
        </w:trPr>
        <w:tc>
          <w:tcPr>
            <w:tcW w:w="866" w:type="dxa"/>
            <w:gridSpan w:val="5"/>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满意度指标</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满意度指标</w:t>
            </w:r>
          </w:p>
        </w:tc>
        <w:tc>
          <w:tcPr>
            <w:tcW w:w="24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工作满意度</w:t>
            </w:r>
          </w:p>
        </w:tc>
        <w:tc>
          <w:tcPr>
            <w:tcW w:w="23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95%</w:t>
            </w:r>
          </w:p>
        </w:tc>
        <w:tc>
          <w:tcPr>
            <w:tcW w:w="23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95%</w:t>
            </w:r>
          </w:p>
        </w:tc>
      </w:tr>
    </w:tbl>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5"/>
              <w:widowControl/>
              <w:ind w:left="4015" w:leftChars="1310" w:hanging="1264" w:hangingChars="395"/>
              <w:textAlignment w:val="center"/>
              <w:rPr>
                <w:rFonts w:ascii="宋体" w:hAnsi="宋体" w:cs="宋体"/>
                <w:color w:val="000000"/>
                <w:sz w:val="36"/>
                <w:szCs w:val="36"/>
              </w:rPr>
            </w:pPr>
            <w:r>
              <w:rPr>
                <w:rFonts w:hint="eastAsia" w:ascii="黑体" w:hAnsi="黑体" w:eastAsia="黑体" w:cs="宋体"/>
                <w:bCs/>
                <w:color w:val="000000"/>
                <w:kern w:val="0"/>
                <w:sz w:val="32"/>
                <w:szCs w:val="32"/>
              </w:rPr>
              <w:t>项目支出绩效目标完成情况表</w:t>
            </w:r>
            <w:r>
              <w:rPr>
                <w:rFonts w:hint="eastAsia" w:ascii="宋体" w:hAnsi="宋体" w:cs="宋体"/>
                <w:b/>
                <w:bCs/>
                <w:color w:val="000000"/>
                <w:kern w:val="0"/>
                <w:sz w:val="32"/>
                <w:szCs w:val="32"/>
              </w:rPr>
              <w:br w:type="textWrapping"/>
            </w:r>
            <w:r>
              <w:rPr>
                <w:rFonts w:hint="eastAsia" w:ascii="宋体" w:hAnsi="宋体" w:cs="宋体"/>
                <w:color w:val="000000"/>
                <w:kern w:val="0"/>
                <w:sz w:val="36"/>
                <w:szCs w:val="36"/>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政法维稳工作经费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茂县森林公安局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3万元</w:t>
            </w:r>
          </w:p>
        </w:tc>
      </w:tr>
      <w:tr>
        <w:tblPrEx>
          <w:tblCellMar>
            <w:top w:w="0" w:type="dxa"/>
            <w:left w:w="0" w:type="dxa"/>
            <w:bottom w:w="0" w:type="dxa"/>
            <w:right w:w="0" w:type="dxa"/>
          </w:tblCellMar>
        </w:tblPrEx>
        <w:trPr>
          <w:trHeight w:val="13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加强资金监管，确保专款专用，无截留、挤占和挪用情况。</w:t>
            </w:r>
          </w:p>
          <w:p>
            <w:pPr>
              <w:widowControl/>
              <w:jc w:val="center"/>
              <w:textAlignment w:val="center"/>
              <w:rPr>
                <w:rFonts w:ascii="仿宋_GB2312" w:hAnsi="宋体" w:eastAsia="仿宋_GB2312"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80" w:firstLineChars="200"/>
              <w:rPr>
                <w:rFonts w:ascii="仿宋_GB2312" w:eastAsia="仿宋_GB2312"/>
                <w:sz w:val="24"/>
              </w:rPr>
            </w:pPr>
            <w:r>
              <w:rPr>
                <w:rFonts w:hint="eastAsia" w:ascii="仿宋_GB2312" w:eastAsia="仿宋_GB2312"/>
                <w:sz w:val="24"/>
              </w:rPr>
              <w:t>加强资金监管，确保专款专用，无截留、挤占和挪用情况。</w:t>
            </w:r>
          </w:p>
          <w:p>
            <w:pPr>
              <w:widowControl/>
              <w:jc w:val="center"/>
              <w:textAlignment w:val="center"/>
              <w:rPr>
                <w:rFonts w:ascii="仿宋_GB2312"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拨入金额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维稳工作经费3万元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hAnsiTheme="minorEastAsia"/>
                <w:color w:val="000000"/>
                <w:sz w:val="24"/>
              </w:rPr>
            </w:pPr>
            <w:r>
              <w:rPr>
                <w:rFonts w:hint="eastAsia" w:ascii="仿宋_GB2312" w:eastAsia="仿宋_GB2312" w:cs="宋体" w:hAnsiTheme="minorEastAsia"/>
                <w:kern w:val="0"/>
                <w:sz w:val="24"/>
              </w:rPr>
              <w:t>完成率达到100%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2018年12月18日</w:t>
            </w:r>
          </w:p>
        </w:tc>
      </w:tr>
      <w:tr>
        <w:tblPrEx>
          <w:tblCellMar>
            <w:top w:w="0" w:type="dxa"/>
            <w:left w:w="0" w:type="dxa"/>
            <w:bottom w:w="0" w:type="dxa"/>
            <w:right w:w="0" w:type="dxa"/>
          </w:tblCellMar>
        </w:tblPrEx>
        <w:trPr>
          <w:trHeight w:val="93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保障了政法维稳工作的顺利开展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保障了政法维稳工作的顺利开展</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宋体" w:eastAsia="仿宋_GB2312" w:cs="宋体"/>
                <w:color w:val="000000"/>
                <w:sz w:val="24"/>
              </w:rPr>
            </w:pPr>
            <w:r>
              <w:rPr>
                <w:rFonts w:hint="eastAsia" w:ascii="仿宋_GB2312" w:hAnsi="宋体" w:cs="宋体"/>
                <w:color w:val="000000"/>
                <w:sz w:val="24"/>
              </w:rPr>
              <w:t>﹥</w:t>
            </w:r>
            <w:r>
              <w:rPr>
                <w:rFonts w:hint="eastAsia" w:ascii="仿宋_GB2312" w:hAnsi="宋体" w:eastAsia="仿宋_GB2312" w:cs="宋体"/>
                <w:color w:val="000000"/>
                <w:sz w:val="24"/>
              </w:rPr>
              <w:t>95%</w:t>
            </w:r>
          </w:p>
        </w:tc>
      </w:tr>
    </w:tbl>
    <w:p>
      <w:pPr>
        <w:rPr>
          <w:rFonts w:ascii="Calibri" w:hAnsi="Calibri"/>
        </w:rPr>
      </w:pPr>
    </w:p>
    <w:p>
      <w:pPr>
        <w:rPr>
          <w:rFonts w:ascii="Calibri" w:hAnsi="Calibri"/>
        </w:rPr>
      </w:pPr>
    </w:p>
    <w:p>
      <w:pPr>
        <w:rPr>
          <w:rFonts w:ascii="Calibri" w:hAnsi="Calibri"/>
        </w:rPr>
      </w:pPr>
    </w:p>
    <w:p>
      <w:pPr>
        <w:rPr>
          <w:rFonts w:ascii="Calibri" w:hAnsi="Calibri"/>
        </w:rPr>
      </w:pPr>
    </w:p>
    <w:p>
      <w:pPr>
        <w:spacing w:line="580" w:lineRule="exact"/>
        <w:rPr>
          <w:rFonts w:ascii="仿宋_GB2312" w:hAnsi="仿宋_GB2312" w:eastAsia="仿宋_GB2312" w:cs="仿宋_GB2312"/>
          <w:sz w:val="32"/>
          <w:szCs w:val="32"/>
        </w:rPr>
      </w:pPr>
    </w:p>
    <w:p>
      <w:pPr>
        <w:spacing w:line="576" w:lineRule="exact"/>
        <w:ind w:firstLine="480" w:firstLineChars="150"/>
        <w:outlineLvl w:val="1"/>
        <w:rPr>
          <w:rFonts w:hint="eastAsia" w:ascii="楷体" w:hAnsi="楷体" w:eastAsia="楷体" w:cs="楷体"/>
          <w:sz w:val="32"/>
          <w:szCs w:val="32"/>
        </w:rPr>
      </w:pPr>
      <w:r>
        <w:rPr>
          <w:rFonts w:hint="eastAsia" w:ascii="楷体" w:hAnsi="楷体" w:eastAsia="楷体" w:cs="楷体"/>
          <w:sz w:val="32"/>
          <w:szCs w:val="32"/>
        </w:rPr>
        <w:t>（三）部门开展绩效评价结果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本部门按要求对2018年部门整体支出绩效评价情况开展自评，《茂县森林公安局2018年部门整体支出绩效评价报告》见附件。</w:t>
      </w:r>
    </w:p>
    <w:p>
      <w:pPr>
        <w:spacing w:line="576" w:lineRule="exact"/>
        <w:ind w:firstLine="800" w:firstLineChars="250"/>
        <w:outlineLvl w:val="1"/>
        <w:rPr>
          <w:rStyle w:val="2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7"/>
          <w:rFonts w:hint="eastAsia" w:ascii="黑体" w:hAnsi="黑体" w:eastAsia="黑体"/>
          <w:b w:val="0"/>
          <w:bCs w:val="0"/>
        </w:rPr>
        <w:t>一、其他重要事项的情况说明</w:t>
      </w:r>
      <w:bookmarkEnd w:id="50"/>
      <w:bookmarkEnd w:id="51"/>
    </w:p>
    <w:p>
      <w:pPr>
        <w:spacing w:line="576" w:lineRule="exact"/>
        <w:ind w:firstLine="640" w:firstLineChars="200"/>
        <w:outlineLvl w:val="2"/>
        <w:rPr>
          <w:rFonts w:hint="eastAsia" w:ascii="楷体" w:hAnsi="楷体" w:eastAsia="楷体" w:cs="楷体"/>
          <w:bCs/>
          <w:color w:val="000000"/>
          <w:sz w:val="32"/>
          <w:szCs w:val="32"/>
        </w:rPr>
      </w:pPr>
      <w:bookmarkStart w:id="52" w:name="_Toc15377222"/>
      <w:r>
        <w:rPr>
          <w:rFonts w:hint="eastAsia" w:ascii="楷体" w:hAnsi="楷体" w:eastAsia="楷体" w:cs="楷体"/>
          <w:bCs/>
          <w:color w:val="000000"/>
          <w:sz w:val="32"/>
          <w:szCs w:val="32"/>
        </w:rPr>
        <w:t>（一）机关运行经费支出情况</w:t>
      </w:r>
      <w:bookmarkEnd w:id="52"/>
    </w:p>
    <w:p>
      <w:pPr>
        <w:spacing w:line="576" w:lineRule="exact"/>
        <w:ind w:firstLine="800" w:firstLineChars="25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8年，茂县森林</w:t>
      </w:r>
      <w:r>
        <w:rPr>
          <w:rFonts w:hint="default" w:ascii="仿宋_GB2312" w:eastAsia="仿宋_GB2312"/>
          <w:color w:val="000000"/>
          <w:sz w:val="32"/>
          <w:szCs w:val="32"/>
        </w:rPr>
        <w:t>公安机关</w:t>
      </w:r>
      <w:r>
        <w:rPr>
          <w:rFonts w:hint="eastAsia" w:ascii="仿宋_GB2312" w:eastAsia="仿宋_GB2312"/>
          <w:color w:val="000000"/>
          <w:sz w:val="32"/>
          <w:szCs w:val="32"/>
        </w:rPr>
        <w:t>运行经费支出54.63万元，比</w:t>
      </w:r>
      <w:r>
        <w:rPr>
          <w:rFonts w:ascii="仿宋_GB2312" w:eastAsia="仿宋_GB2312"/>
          <w:color w:val="000000"/>
          <w:sz w:val="32"/>
          <w:szCs w:val="32"/>
        </w:rPr>
        <w:t>201</w:t>
      </w:r>
      <w:r>
        <w:rPr>
          <w:rFonts w:hint="eastAsia" w:ascii="仿宋_GB2312" w:eastAsia="仿宋_GB2312"/>
          <w:color w:val="000000"/>
          <w:sz w:val="32"/>
          <w:szCs w:val="32"/>
        </w:rPr>
        <w:t>7年减少2.37万元，下降4.16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主要原因是2018年退休1人。</w:t>
      </w:r>
    </w:p>
    <w:p>
      <w:pPr>
        <w:spacing w:line="576" w:lineRule="exact"/>
        <w:ind w:firstLine="640" w:firstLineChars="200"/>
        <w:outlineLvl w:val="1"/>
        <w:rPr>
          <w:rFonts w:hint="eastAsia" w:ascii="楷体" w:hAnsi="楷体" w:eastAsia="楷体" w:cs="楷体"/>
          <w:b/>
          <w:color w:val="000000"/>
          <w:sz w:val="32"/>
          <w:szCs w:val="32"/>
        </w:rPr>
      </w:pPr>
      <w:bookmarkStart w:id="53" w:name="_Toc15377223"/>
      <w:r>
        <w:rPr>
          <w:rFonts w:hint="eastAsia" w:ascii="楷体" w:hAnsi="楷体" w:eastAsia="楷体" w:cs="楷体"/>
          <w:bCs/>
          <w:color w:val="000000"/>
          <w:sz w:val="32"/>
          <w:szCs w:val="32"/>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8年，茂县森林公安局政府采购支出总额0万元，其中：政府采购货物支出0万元、政府采购工程支出0万元、政府采购服务支出0万元。授予中小企业合同金额0万元，其中：授予小微企业合同金额0万元。</w:t>
      </w:r>
    </w:p>
    <w:p>
      <w:pPr>
        <w:spacing w:line="576" w:lineRule="exact"/>
        <w:ind w:firstLine="640" w:firstLineChars="200"/>
        <w:outlineLvl w:val="1"/>
        <w:rPr>
          <w:rFonts w:hint="eastAsia" w:ascii="楷体" w:hAnsi="楷体" w:eastAsia="楷体" w:cs="楷体"/>
          <w:bCs/>
          <w:color w:val="000000"/>
          <w:sz w:val="32"/>
          <w:szCs w:val="32"/>
        </w:rPr>
      </w:pPr>
      <w:bookmarkStart w:id="54" w:name="_Toc15377224"/>
      <w:r>
        <w:rPr>
          <w:rFonts w:hint="eastAsia" w:ascii="楷体" w:hAnsi="楷体" w:eastAsia="楷体" w:cs="楷体"/>
          <w:bCs/>
          <w:color w:val="000000"/>
          <w:sz w:val="32"/>
          <w:szCs w:val="32"/>
        </w:rPr>
        <w:t>（三）国有资产占有使用情况</w:t>
      </w:r>
      <w:bookmarkEnd w:id="54"/>
    </w:p>
    <w:p>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仿宋" w:hAnsi="仿宋" w:eastAsia="仿宋"/>
          <w:b/>
          <w:color w:val="000000"/>
          <w:sz w:val="32"/>
          <w:szCs w:val="32"/>
        </w:rPr>
      </w:pPr>
    </w:p>
    <w:p>
      <w:pPr>
        <w:spacing w:line="600" w:lineRule="exact"/>
        <w:jc w:val="center"/>
        <w:outlineLvl w:val="0"/>
        <w:rPr>
          <w:rFonts w:hint="eastAsia" w:ascii="方正小标宋简体" w:hAnsi="方正小标宋简体" w:eastAsia="方正小标宋简体" w:cs="方正小标宋简体"/>
          <w:bCs/>
          <w:kern w:val="44"/>
          <w:sz w:val="44"/>
          <w:szCs w:val="44"/>
        </w:rPr>
      </w:pPr>
      <w:bookmarkStart w:id="55" w:name="_Toc15396613"/>
      <w:bookmarkStart w:id="56" w:name="_Toc15377225"/>
    </w:p>
    <w:p>
      <w:pPr>
        <w:spacing w:line="600" w:lineRule="exact"/>
        <w:outlineLvl w:val="0"/>
        <w:rPr>
          <w:rFonts w:hint="eastAsia" w:ascii="方正小标宋简体" w:hAnsi="方正小标宋简体" w:eastAsia="方正小标宋简体" w:cs="方正小标宋简体"/>
          <w:bCs/>
          <w:kern w:val="44"/>
          <w:sz w:val="44"/>
          <w:szCs w:val="44"/>
        </w:rPr>
      </w:pPr>
    </w:p>
    <w:p>
      <w:pPr>
        <w:spacing w:line="600" w:lineRule="exact"/>
        <w:outlineLvl w:val="0"/>
        <w:rPr>
          <w:rFonts w:hint="eastAsia" w:ascii="方正小标宋简体" w:hAnsi="方正小标宋简体" w:eastAsia="方正小标宋简体" w:cs="方正小标宋简体"/>
          <w:bCs/>
          <w:kern w:val="44"/>
          <w:sz w:val="44"/>
          <w:szCs w:val="44"/>
        </w:rPr>
      </w:pPr>
    </w:p>
    <w:p>
      <w:pPr>
        <w:spacing w:line="600" w:lineRule="exact"/>
        <w:ind w:firstLine="2200" w:firstLineChars="500"/>
        <w:outlineLvl w:val="0"/>
        <w:rPr>
          <w:rStyle w:val="26"/>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bCs/>
          <w:color w:val="000000"/>
          <w:sz w:val="44"/>
          <w:szCs w:val="44"/>
        </w:rPr>
        <w:t>第三部分名</w:t>
      </w:r>
      <w:r>
        <w:rPr>
          <w:rStyle w:val="26"/>
          <w:rFonts w:hint="eastAsia" w:ascii="方正小标宋简体" w:hAnsi="方正小标宋简体" w:eastAsia="方正小标宋简体" w:cs="方正小标宋简体"/>
          <w:b w:val="0"/>
        </w:rPr>
        <w:t>词解释</w:t>
      </w:r>
      <w:bookmarkEnd w:id="55"/>
      <w:bookmarkEnd w:id="56"/>
    </w:p>
    <w:p>
      <w:pPr>
        <w:pStyle w:val="24"/>
        <w:spacing w:line="576" w:lineRule="exact"/>
        <w:ind w:firstLine="640" w:firstLineChars="200"/>
        <w:rPr>
          <w:rFonts w:ascii="仿宋_GB2312" w:eastAsia="仿宋_GB2312"/>
          <w:sz w:val="32"/>
          <w:szCs w:val="32"/>
        </w:rPr>
      </w:pPr>
    </w:p>
    <w:p>
      <w:pPr>
        <w:pStyle w:val="24"/>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公共安全支出（类）公安（款）行政运行（项）:指反映政府维护社会公共安全方面的支出。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社会保障和就业支出（类）行政事业单位离退休（款）机关事业单位养老保险缴费支出（项）:指反映政府在社会保障与就业方面的支出。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医疗卫生与计划生育（类）行政事业单位医疗（款）行政单位医疗（项）:指反映政府卫生健康和计划生育方面的支出。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农林水支出（类）林业（款）林业执法与监督:指反映政府农林水事务的支出。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76"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bookmarkStart w:id="57" w:name="_Toc15396614"/>
      <w:bookmarkStart w:id="58" w:name="_Toc15377226"/>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Fonts w:hint="eastAsia" w:ascii="方正小标宋简体" w:hAnsi="方正小标宋简体" w:eastAsia="方正小标宋简体" w:cs="方正小标宋简体"/>
          <w:bCs/>
          <w:color w:val="000000"/>
          <w:sz w:val="44"/>
          <w:szCs w:val="44"/>
        </w:rPr>
      </w:pPr>
    </w:p>
    <w:p>
      <w:pPr>
        <w:tabs>
          <w:tab w:val="left" w:pos="3966"/>
          <w:tab w:val="center" w:pos="5533"/>
        </w:tabs>
        <w:spacing w:line="576" w:lineRule="exact"/>
        <w:jc w:val="center"/>
        <w:outlineLvl w:val="0"/>
        <w:rPr>
          <w:rStyle w:val="26"/>
          <w:rFonts w:asciiTheme="majorEastAsia" w:hAnsiTheme="majorEastAsia" w:eastAsiaTheme="majorEastAsia"/>
          <w:b w:val="0"/>
        </w:rPr>
      </w:pPr>
      <w:r>
        <w:rPr>
          <w:rFonts w:hint="eastAsia" w:ascii="方正小标宋简体" w:hAnsi="方正小标宋简体" w:eastAsia="方正小标宋简体" w:cs="方正小标宋简体"/>
          <w:bCs/>
          <w:color w:val="000000"/>
          <w:sz w:val="44"/>
          <w:szCs w:val="44"/>
        </w:rPr>
        <w:t>第四部分</w:t>
      </w:r>
      <w:r>
        <w:rPr>
          <w:rFonts w:hint="eastAsia" w:ascii="宋体"/>
          <w:bCs/>
          <w:color w:val="000000"/>
          <w:sz w:val="44"/>
          <w:szCs w:val="44"/>
        </w:rPr>
        <w:t xml:space="preserve"> </w:t>
      </w:r>
      <w:r>
        <w:rPr>
          <w:rStyle w:val="26"/>
          <w:rFonts w:hint="eastAsia" w:ascii="方正小标宋简体" w:hAnsi="方正小标宋简体" w:eastAsia="方正小标宋简体" w:cs="方正小标宋简体"/>
          <w:b w:val="0"/>
        </w:rPr>
        <w:t>附件</w:t>
      </w:r>
      <w:bookmarkEnd w:id="57"/>
    </w:p>
    <w:p>
      <w:pPr>
        <w:spacing w:line="576" w:lineRule="exact"/>
        <w:jc w:val="center"/>
        <w:outlineLvl w:val="0"/>
        <w:rPr>
          <w:rFonts w:hint="eastAsia" w:ascii="方正小标宋简体" w:hAnsi="方正小标宋简体" w:eastAsia="方正小标宋简体" w:cs="方正小标宋简体"/>
          <w:bCs/>
          <w:sz w:val="44"/>
          <w:szCs w:val="44"/>
        </w:rPr>
      </w:pPr>
      <w:bookmarkStart w:id="59" w:name="_Toc15396616"/>
    </w:p>
    <w:p>
      <w:pPr>
        <w:spacing w:line="576"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茂县森林公安局</w:t>
      </w:r>
    </w:p>
    <w:p>
      <w:pPr>
        <w:spacing w:line="576"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2018年部门整体支出绩效评价报告</w:t>
      </w:r>
      <w:bookmarkEnd w:id="59"/>
    </w:p>
    <w:p>
      <w:pPr>
        <w:spacing w:line="576"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一、部门概况</w:t>
      </w:r>
    </w:p>
    <w:p>
      <w:pPr>
        <w:spacing w:line="576" w:lineRule="exact"/>
        <w:ind w:firstLine="640" w:firstLineChars="200"/>
        <w:jc w:val="left"/>
        <w:outlineLvl w:val="0"/>
        <w:rPr>
          <w:rFonts w:ascii="楷体_GB2312" w:hAnsi="仿宋" w:eastAsia="楷体_GB2312" w:cs="仿宋_GB2312"/>
          <w:sz w:val="32"/>
          <w:szCs w:val="32"/>
        </w:rPr>
      </w:pPr>
      <w:r>
        <w:rPr>
          <w:rFonts w:hint="eastAsia" w:ascii="楷体_GB2312" w:hAnsi="仿宋" w:eastAsia="楷体_GB2312" w:cs="仿宋_GB2312"/>
          <w:sz w:val="32"/>
          <w:szCs w:val="32"/>
        </w:rPr>
        <w:t>（一）机构组成</w:t>
      </w:r>
    </w:p>
    <w:p>
      <w:pPr>
        <w:spacing w:line="576" w:lineRule="exact"/>
        <w:ind w:left="315" w:leftChars="150" w:firstLine="640" w:firstLineChars="200"/>
        <w:rPr>
          <w:rFonts w:ascii="仿宋_GB2312" w:hAnsi="仿宋" w:eastAsia="仿宋_GB2312"/>
          <w:sz w:val="32"/>
          <w:szCs w:val="32"/>
        </w:rPr>
      </w:pPr>
      <w:r>
        <w:rPr>
          <w:rFonts w:hint="eastAsia" w:ascii="仿宋_GB2312" w:hAnsi="仿宋" w:eastAsia="仿宋_GB2312"/>
          <w:sz w:val="32"/>
          <w:szCs w:val="32"/>
        </w:rPr>
        <w:t>茂县森林公安局属于正科级一级预算行政单位，内设</w:t>
      </w:r>
      <w:r>
        <w:rPr>
          <w:rFonts w:hint="eastAsia" w:ascii="仿宋_GB2312" w:hAnsi="仿宋" w:eastAsia="仿宋_GB2312"/>
          <w:sz w:val="32"/>
          <w:szCs w:val="32"/>
          <w:lang w:val="en-US" w:eastAsia="zh-CN"/>
        </w:rPr>
        <w:t>4</w:t>
      </w:r>
      <w:r>
        <w:rPr>
          <w:rFonts w:hint="eastAsia" w:ascii="仿宋_GB2312" w:hAnsi="仿宋" w:eastAsia="仿宋_GB2312"/>
          <w:sz w:val="32"/>
          <w:szCs w:val="32"/>
        </w:rPr>
        <w:t>个职能股室：</w:t>
      </w:r>
      <w:r>
        <w:rPr>
          <w:rFonts w:hint="eastAsia" w:ascii="仿宋_GB2312" w:hAnsi="仿宋" w:eastAsia="仿宋_GB2312"/>
          <w:sz w:val="32"/>
          <w:szCs w:val="32"/>
          <w:lang w:eastAsia="zh-CN"/>
        </w:rPr>
        <w:t>办公</w:t>
      </w:r>
      <w:r>
        <w:rPr>
          <w:rFonts w:hint="eastAsia" w:ascii="仿宋_GB2312" w:hAnsi="仿宋" w:eastAsia="仿宋_GB2312"/>
          <w:sz w:val="32"/>
          <w:szCs w:val="32"/>
        </w:rPr>
        <w:t>装备</w:t>
      </w:r>
      <w:r>
        <w:rPr>
          <w:rFonts w:hint="eastAsia" w:ascii="仿宋_GB2312" w:hAnsi="仿宋" w:eastAsia="仿宋_GB2312"/>
          <w:sz w:val="32"/>
          <w:szCs w:val="32"/>
          <w:lang w:eastAsia="zh-CN"/>
        </w:rPr>
        <w:t>财务室、</w:t>
      </w:r>
      <w:r>
        <w:rPr>
          <w:rFonts w:hint="eastAsia" w:ascii="仿宋_GB2312" w:hAnsi="仿宋" w:eastAsia="仿宋_GB2312"/>
          <w:sz w:val="32"/>
          <w:szCs w:val="32"/>
        </w:rPr>
        <w:t>政工科、</w:t>
      </w:r>
      <w:r>
        <w:rPr>
          <w:rFonts w:hint="eastAsia" w:ascii="仿宋_GB2312" w:hAnsi="仿宋" w:eastAsia="仿宋_GB2312"/>
          <w:sz w:val="32"/>
          <w:szCs w:val="32"/>
          <w:lang w:eastAsia="zh-CN"/>
        </w:rPr>
        <w:t>法制科、</w:t>
      </w:r>
      <w:r>
        <w:rPr>
          <w:rFonts w:hint="eastAsia" w:ascii="仿宋_GB2312" w:hAnsi="仿宋" w:eastAsia="仿宋_GB2312"/>
          <w:sz w:val="32"/>
          <w:szCs w:val="32"/>
        </w:rPr>
        <w:t>刑侦科</w:t>
      </w:r>
      <w:r>
        <w:rPr>
          <w:rFonts w:hint="eastAsia" w:ascii="仿宋_GB2312" w:hAnsi="仿宋" w:eastAsia="仿宋_GB2312"/>
          <w:sz w:val="32"/>
          <w:szCs w:val="32"/>
          <w:lang w:eastAsia="zh-CN"/>
        </w:rPr>
        <w:t>，下设</w:t>
      </w:r>
      <w:r>
        <w:rPr>
          <w:rFonts w:hint="eastAsia" w:ascii="仿宋_GB2312" w:hAnsi="仿宋" w:eastAsia="仿宋_GB2312"/>
          <w:sz w:val="32"/>
          <w:szCs w:val="32"/>
        </w:rPr>
        <w:t>三个派出所（赤不苏、宝顶、较场）。</w:t>
      </w:r>
    </w:p>
    <w:p>
      <w:pPr>
        <w:spacing w:line="576"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（二）机构职能</w:t>
      </w:r>
    </w:p>
    <w:p>
      <w:pPr>
        <w:widowControl/>
        <w:spacing w:line="576"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负责全县森林和野生动植物资源保护，打击破坏森林和野生动植物资源违法犯罪。</w:t>
      </w:r>
    </w:p>
    <w:p>
      <w:pPr>
        <w:widowControl/>
        <w:spacing w:line="576" w:lineRule="exact"/>
        <w:ind w:firstLine="640" w:firstLineChars="200"/>
        <w:jc w:val="left"/>
        <w:rPr>
          <w:rFonts w:ascii="楷体_GB2312" w:hAnsi="仿宋" w:eastAsia="楷体_GB2312" w:cs="仿宋_GB2312"/>
          <w:sz w:val="32"/>
          <w:szCs w:val="32"/>
        </w:rPr>
      </w:pPr>
      <w:r>
        <w:rPr>
          <w:rFonts w:hint="eastAsia" w:ascii="楷体_GB2312" w:hAnsi="仿宋" w:eastAsia="楷体_GB2312" w:cs="仿宋_GB2312"/>
          <w:sz w:val="32"/>
          <w:szCs w:val="3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茂县森林公安局为行政单位，现有行政编制22人，2018年在职职工21人，退休人员1人，其中：行政人员19人，行政工勤2人。</w:t>
      </w:r>
    </w:p>
    <w:p>
      <w:pPr>
        <w:spacing w:line="576" w:lineRule="exact"/>
        <w:ind w:firstLine="800" w:firstLineChars="250"/>
        <w:rPr>
          <w:rFonts w:ascii="仿宋_GB2312" w:eastAsia="仿宋_GB2312"/>
          <w:sz w:val="32"/>
          <w:szCs w:val="32"/>
        </w:rPr>
      </w:pPr>
      <w:r>
        <w:rPr>
          <w:rFonts w:ascii="黑体" w:hAnsi="黑体" w:eastAsia="黑体" w:cs="黑体"/>
          <w:sz w:val="32"/>
          <w:szCs w:val="32"/>
        </w:rPr>
        <w:t>二、部门财政资金收支情况</w:t>
      </w:r>
    </w:p>
    <w:p>
      <w:pPr>
        <w:spacing w:line="576"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（一）部门财政资金收入情况</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2018年茂县森林公安局财政资金拨款总收入：543.19万元，其中财政拨款收入为：528.21万元，年初财政结转14.97万元。无其他收入。</w:t>
      </w:r>
    </w:p>
    <w:p>
      <w:pPr>
        <w:spacing w:line="576"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（二）部门财政资金支出情况</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2018年茂县森林公安局财政资金总支出：510.67万元，其中工资福利支出426.80万元，商品和服务支出83.66万元，对个人和家庭的补助0.2万元。2018年茂县森林公安局财政资金拨款总收入：543.19万元，其中行政运行374.64万元，一般行政管理事务：3万元，拥军优属：0.6万元，机关事业单位基本养老保险缴费支出39.27万元，机关事业单位职业年金缴费支出13.17万元，行政单位医疗20.29万元，其他节能环保支出22万元，林业执法与监督31.73万元（其中年初结转结余10.73万元），动植物保护年初结转结余4.25万元，住房公积金34.23万元。2018年茂县森林公安局财政决算总支出为：510.67万元，其中行政运行374.64万元，一般行政管理事务：3万元，拥军优属：0.6万元，机关事业单位养老保险缴费支出39.27万元，机关事业单位职业年金缴费支出13.17万元，行政单位医疗20.29万元，林业执法与监督21.21万元，动植物保护：4.25万元，住房公积金34.23万元。</w:t>
      </w:r>
    </w:p>
    <w:p>
      <w:pPr>
        <w:spacing w:line="576" w:lineRule="exact"/>
        <w:ind w:firstLine="640" w:firstLineChars="200"/>
        <w:rPr>
          <w:rStyle w:val="27"/>
          <w:rFonts w:ascii="黑体" w:hAnsi="黑体" w:eastAsia="黑体"/>
        </w:rPr>
      </w:pPr>
      <w:r>
        <w:rPr>
          <w:rFonts w:ascii="黑体" w:hAnsi="黑体" w:eastAsia="黑体" w:cs="黑体"/>
          <w:sz w:val="32"/>
          <w:szCs w:val="32"/>
        </w:rPr>
        <w:t>三、部门整体预算绩效管理情况</w:t>
      </w:r>
    </w:p>
    <w:p>
      <w:pPr>
        <w:spacing w:line="576" w:lineRule="exact"/>
        <w:ind w:firstLine="480" w:firstLineChars="150"/>
        <w:rPr>
          <w:rFonts w:ascii="仿宋_GB2312" w:hAnsi="仿宋" w:eastAsia="仿宋_GB2312" w:cs="仿宋_GB2312"/>
          <w:sz w:val="32"/>
          <w:szCs w:val="32"/>
        </w:rPr>
      </w:pPr>
      <w:r>
        <w:rPr>
          <w:rFonts w:hint="eastAsia" w:ascii="楷体_GB2312" w:hAnsi="仿宋" w:eastAsia="楷体_GB2312" w:cs="仿宋_GB2312"/>
          <w:sz w:val="32"/>
          <w:szCs w:val="32"/>
        </w:rPr>
        <w:t>（一）部门预算管理</w:t>
      </w:r>
    </w:p>
    <w:p>
      <w:pPr>
        <w:spacing w:line="576" w:lineRule="exact"/>
        <w:ind w:firstLine="640" w:firstLineChars="200"/>
        <w:rPr>
          <w:rFonts w:ascii="仿宋_GB2312" w:hAnsi="仿宋" w:eastAsia="仿宋_GB2312" w:cs="仿宋_GB2312"/>
          <w:sz w:val="32"/>
          <w:szCs w:val="32"/>
        </w:rPr>
      </w:pPr>
      <w:r>
        <w:rPr>
          <w:rFonts w:hint="eastAsia" w:ascii="仿宋_GB2312" w:hAnsi="宋体" w:eastAsia="仿宋_GB2312" w:cs="宋体"/>
          <w:color w:val="000000"/>
          <w:kern w:val="0"/>
          <w:sz w:val="32"/>
          <w:szCs w:val="32"/>
          <w:lang w:val="zh-CN"/>
        </w:rPr>
        <w:t>我单位认真学习贯彻党的十九大精神，按照2018年部门预算绩效编审要求，严格按照政府采购管理办法，制定本单位采购管理及内部控制管理办法，按照采购管理流程采购固定资产，制定内部财务管理制度、内部财务审核会签制度、收支管理、预算管理、资产管理等制度。预决算信息按要求在“中国.茂县”门户网站财政预决算栏目进行公开。按照财政部门要求对单位整体支出进行绩效评价并严格按照《中华人民共和国会计法》、《中华人民共和国预算法》、《行政单位会计制度》、《事业单位会计制度》、《会计基础工作规范》及所属行业的相关财务制度等规定，规范财务管理，自觉接受财政及相关部门的监督。规范票据管理，按规定用途及相关资金管理办法安排使用财政资金，专款专用，不挤占、挪用、截留，擅自扩大资金使用范围。将依法取得的罚没收入等非税收入，按规定及时足额上缴国库，无隐瞒、截留、挤占、挪用、坐支、私分等现象，不存在乱发钱物、私设“小金库”等违规问题。</w:t>
      </w:r>
    </w:p>
    <w:p>
      <w:pPr>
        <w:spacing w:line="576" w:lineRule="exact"/>
        <w:ind w:firstLine="480" w:firstLineChars="150"/>
        <w:rPr>
          <w:rFonts w:ascii="仿宋" w:hAnsi="仿宋" w:eastAsia="仿宋" w:cs="仿宋_GB2312"/>
          <w:sz w:val="32"/>
          <w:szCs w:val="32"/>
        </w:rPr>
      </w:pPr>
      <w:r>
        <w:rPr>
          <w:rFonts w:hint="eastAsia" w:ascii="楷体_GB2312" w:hAnsi="仿宋" w:eastAsia="楷体_GB2312" w:cs="仿宋_GB2312"/>
          <w:sz w:val="32"/>
          <w:szCs w:val="32"/>
        </w:rPr>
        <w:t>（二）专项预算管理</w:t>
      </w:r>
    </w:p>
    <w:p>
      <w:pPr>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2018年茂县森林公安局不涉及专项预算。</w:t>
      </w:r>
    </w:p>
    <w:p>
      <w:pPr>
        <w:spacing w:line="576" w:lineRule="exact"/>
        <w:ind w:firstLine="480" w:firstLineChars="150"/>
        <w:rPr>
          <w:rFonts w:ascii="仿宋" w:hAnsi="仿宋" w:eastAsia="仿宋" w:cs="仿宋_GB2312"/>
          <w:sz w:val="32"/>
          <w:szCs w:val="32"/>
        </w:rPr>
      </w:pPr>
      <w:r>
        <w:rPr>
          <w:rFonts w:hint="eastAsia" w:ascii="楷体_GB2312" w:hAnsi="仿宋" w:eastAsia="楷体_GB2312" w:cs="仿宋_GB2312"/>
          <w:bCs/>
          <w:sz w:val="32"/>
          <w:szCs w:val="32"/>
        </w:rPr>
        <w:t>（三）结果应用情况</w:t>
      </w:r>
    </w:p>
    <w:p>
      <w:pPr>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茂县森林公安局对部门预算绩效管理工作开展情况认真进行了自查自评，绩效评价自查开展覆盖部门整体支出及重点支出，将评价结果作为预算安排的重要依据，参照项目年度预算执行情况，保障重点支出，调整支出结构，不断强化绩效理念，推动我单位部门整体绩效管理水平不断提升。</w:t>
      </w:r>
    </w:p>
    <w:p>
      <w:pPr>
        <w:spacing w:line="576" w:lineRule="exact"/>
        <w:ind w:firstLine="800" w:firstLineChars="250"/>
        <w:rPr>
          <w:rStyle w:val="27"/>
          <w:rFonts w:ascii="黑体" w:hAnsi="黑体" w:eastAsia="黑体"/>
        </w:rPr>
      </w:pPr>
      <w:r>
        <w:rPr>
          <w:rFonts w:ascii="黑体" w:hAnsi="黑体" w:eastAsia="黑体" w:cs="黑体"/>
          <w:sz w:val="32"/>
          <w:szCs w:val="32"/>
        </w:rPr>
        <w:t>四、评价结论及建议</w:t>
      </w:r>
    </w:p>
    <w:p>
      <w:pPr>
        <w:spacing w:line="576" w:lineRule="exact"/>
        <w:ind w:firstLine="640" w:firstLineChars="200"/>
        <w:rPr>
          <w:rStyle w:val="27"/>
          <w:rFonts w:ascii="仿宋_GB2312" w:hAnsi="仿宋" w:eastAsia="仿宋_GB2312" w:cs="仿宋_GB2312"/>
          <w:b w:val="0"/>
          <w:bCs w:val="0"/>
        </w:rPr>
      </w:pPr>
      <w:r>
        <w:rPr>
          <w:rFonts w:hint="eastAsia" w:ascii="楷体_GB2312" w:hAnsi="仿宋" w:eastAsia="楷体_GB2312" w:cs="仿宋_GB2312"/>
          <w:sz w:val="32"/>
          <w:szCs w:val="32"/>
        </w:rPr>
        <w:t>（一）评价结论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2018年我单位部门整体绩效评价得分98.5分。茂县森林公安局按照《茂县财政局关于开展2019年财政支出绩效评价工作的通知》茂财发【2019】38号文件</w:t>
      </w:r>
      <w:r>
        <w:rPr>
          <w:rFonts w:hint="eastAsia" w:ascii="仿宋_GB2312" w:hAnsi="宋体" w:eastAsia="仿宋_GB2312" w:cs="宋体"/>
          <w:color w:val="000000"/>
          <w:kern w:val="0"/>
          <w:sz w:val="32"/>
          <w:szCs w:val="32"/>
          <w:lang w:val="zh-CN"/>
        </w:rPr>
        <w:t>要求，对本单位财政支出进行全面绩效评价工作，</w:t>
      </w:r>
      <w:r>
        <w:rPr>
          <w:rFonts w:hint="eastAsia" w:ascii="仿宋_GB2312" w:eastAsia="仿宋_GB2312"/>
          <w:sz w:val="32"/>
          <w:szCs w:val="32"/>
        </w:rPr>
        <w:t>根据阿坝州森林公安局、县公安局2018年初统一部署，结合我县实际，在全县先后开展了“2018利剑行动”、“守护绿川行动”、“守护青山”等专项行动，全面清理全县非法占用林地、毁坏退耕还林地各类违法行为,积极参与县公安局部署的综合整治、“反盗窃”等专项行动。森林公安局2018年度公用经费52.25万元，包括办公费、差旅费、公务用车运行维护费、培训费等，主要用于森林公安民警下乡办理各类林政案件、打击各类破环野生动植物犯罪活动、查处全县滥砍滥伐、毁林开荒等案件，</w:t>
      </w:r>
      <w:r>
        <w:rPr>
          <w:rFonts w:hint="eastAsia" w:ascii="仿宋_GB2312" w:hAnsi="宋体" w:eastAsia="仿宋_GB2312" w:cs="宋体"/>
          <w:kern w:val="0"/>
          <w:sz w:val="32"/>
          <w:szCs w:val="32"/>
        </w:rPr>
        <w:t>2018年我局共破获各类案件158起，其中：刑事案件4起，治安案件23起，林业行政案件131起；其中：治安处罚23人，林政处罚131人，罚没收入全部上缴财政。</w:t>
      </w:r>
    </w:p>
    <w:p>
      <w:pPr>
        <w:widowControl/>
        <w:spacing w:line="576" w:lineRule="exact"/>
        <w:ind w:firstLine="640" w:firstLineChars="200"/>
        <w:jc w:val="left"/>
        <w:rPr>
          <w:rStyle w:val="27"/>
          <w:rFonts w:ascii="仿宋_GB2312" w:hAnsi="宋体" w:eastAsia="仿宋_GB2312" w:cs="宋体"/>
          <w:b w:val="0"/>
          <w:bCs w:val="0"/>
          <w:kern w:val="0"/>
        </w:rPr>
      </w:pPr>
      <w:r>
        <w:rPr>
          <w:rFonts w:hint="eastAsia" w:ascii="楷体_GB2312" w:hAnsi="仿宋" w:eastAsia="楷体_GB2312" w:cs="仿宋_GB2312"/>
          <w:sz w:val="32"/>
          <w:szCs w:val="32"/>
        </w:rPr>
        <w:t>（二）存在问题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一是对绩效管理认识不清；二是绩效管理流程不全；三是绩效管理的跟踪反馈不足；四是绩效考核关系不够合理；五是绩效管理申诉与评估系统不健全。</w:t>
      </w:r>
    </w:p>
    <w:p>
      <w:pPr>
        <w:spacing w:line="576" w:lineRule="exact"/>
        <w:ind w:firstLine="640" w:firstLineChars="200"/>
        <w:rPr>
          <w:rFonts w:ascii="仿宋_GB2312" w:eastAsia="仿宋_GB2312"/>
          <w:sz w:val="32"/>
          <w:szCs w:val="32"/>
        </w:rPr>
      </w:pPr>
      <w:r>
        <w:rPr>
          <w:rFonts w:hint="eastAsia" w:ascii="楷体_GB2312" w:hAnsi="仿宋" w:eastAsia="楷体_GB2312" w:cs="仿宋_GB2312"/>
          <w:sz w:val="32"/>
          <w:szCs w:val="32"/>
        </w:rPr>
        <w:t>（三）改进建议</w:t>
      </w:r>
    </w:p>
    <w:p>
      <w:pPr>
        <w:spacing w:line="576" w:lineRule="exact"/>
        <w:ind w:firstLine="800" w:firstLineChars="250"/>
        <w:rPr>
          <w:rFonts w:ascii="仿宋_GB2312" w:hAnsi="仿宋" w:eastAsia="仿宋_GB2312" w:cs="仿宋_GB2312"/>
          <w:sz w:val="32"/>
          <w:szCs w:val="32"/>
        </w:rPr>
      </w:pPr>
      <w:r>
        <w:rPr>
          <w:rFonts w:hint="eastAsia" w:ascii="仿宋_GB2312" w:hAnsi="仿宋" w:eastAsia="仿宋_GB2312" w:cs="仿宋_GB2312"/>
          <w:sz w:val="32"/>
          <w:szCs w:val="32"/>
        </w:rPr>
        <w:t>针对绩效管理存在的问题，我局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单位的绩效管理工作会得到持续改进，从而确保整体绩效的提高。</w:t>
      </w:r>
    </w:p>
    <w:tbl>
      <w:tblPr>
        <w:tblStyle w:val="13"/>
        <w:tblW w:w="17140" w:type="dxa"/>
        <w:tblInd w:w="93" w:type="dxa"/>
        <w:tblLayout w:type="fixed"/>
        <w:tblCellMar>
          <w:top w:w="0" w:type="dxa"/>
          <w:left w:w="108" w:type="dxa"/>
          <w:bottom w:w="0" w:type="dxa"/>
          <w:right w:w="108" w:type="dxa"/>
        </w:tblCellMar>
      </w:tblPr>
      <w:tblGrid>
        <w:gridCol w:w="616"/>
        <w:gridCol w:w="820"/>
        <w:gridCol w:w="1420"/>
        <w:gridCol w:w="2020"/>
        <w:gridCol w:w="580"/>
        <w:gridCol w:w="540"/>
        <w:gridCol w:w="2780"/>
        <w:gridCol w:w="4419"/>
        <w:gridCol w:w="3945"/>
      </w:tblGrid>
      <w:tr>
        <w:tblPrEx>
          <w:tblCellMar>
            <w:top w:w="0" w:type="dxa"/>
            <w:left w:w="108" w:type="dxa"/>
            <w:bottom w:w="0" w:type="dxa"/>
            <w:right w:w="108" w:type="dxa"/>
          </w:tblCellMar>
        </w:tblPrEx>
        <w:trPr>
          <w:trHeight w:val="855" w:hRule="atLeast"/>
        </w:trPr>
        <w:tc>
          <w:tcPr>
            <w:tcW w:w="616"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820" w:type="dxa"/>
            <w:tcBorders>
              <w:top w:val="nil"/>
              <w:left w:val="nil"/>
              <w:bottom w:val="nil"/>
              <w:right w:val="nil"/>
            </w:tcBorders>
            <w:shd w:val="clear" w:color="auto" w:fill="auto"/>
            <w:noWrap/>
            <w:vAlign w:val="center"/>
          </w:tcPr>
          <w:p>
            <w:pPr>
              <w:widowControl/>
              <w:jc w:val="center"/>
              <w:rPr>
                <w:rFonts w:ascii="宋体" w:hAnsi="宋体" w:cs="宋体"/>
                <w:kern w:val="0"/>
                <w:sz w:val="24"/>
              </w:rPr>
            </w:pPr>
          </w:p>
        </w:tc>
        <w:tc>
          <w:tcPr>
            <w:tcW w:w="14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20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580" w:type="dxa"/>
            <w:tcBorders>
              <w:top w:val="nil"/>
              <w:left w:val="nil"/>
              <w:bottom w:val="nil"/>
              <w:right w:val="nil"/>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　</w:t>
            </w:r>
          </w:p>
        </w:tc>
        <w:tc>
          <w:tcPr>
            <w:tcW w:w="540" w:type="dxa"/>
            <w:tcBorders>
              <w:top w:val="nil"/>
              <w:left w:val="nil"/>
              <w:bottom w:val="nil"/>
              <w:right w:val="nil"/>
            </w:tcBorders>
            <w:shd w:val="clear" w:color="000000" w:fill="FFFFFF"/>
            <w:noWrap/>
            <w:vAlign w:val="center"/>
          </w:tcPr>
          <w:p>
            <w:pPr>
              <w:widowControl/>
              <w:jc w:val="left"/>
              <w:rPr>
                <w:rFonts w:ascii="宋体" w:hAnsi="宋体" w:cs="宋体"/>
                <w:kern w:val="0"/>
                <w:sz w:val="24"/>
              </w:rPr>
            </w:pPr>
            <w:r>
              <w:rPr>
                <w:rFonts w:hint="eastAsia" w:ascii="宋体" w:hAnsi="宋体" w:cs="宋体"/>
                <w:kern w:val="0"/>
                <w:sz w:val="24"/>
              </w:rPr>
              <w:t>　</w:t>
            </w:r>
          </w:p>
        </w:tc>
        <w:tc>
          <w:tcPr>
            <w:tcW w:w="27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600" w:hRule="atLeast"/>
        </w:trPr>
        <w:tc>
          <w:tcPr>
            <w:tcW w:w="8776" w:type="dxa"/>
            <w:gridSpan w:val="7"/>
            <w:tcBorders>
              <w:top w:val="nil"/>
              <w:left w:val="nil"/>
              <w:bottom w:val="single" w:color="auto" w:sz="4" w:space="0"/>
              <w:right w:val="nil"/>
            </w:tcBorders>
            <w:shd w:val="clear" w:color="auto" w:fill="auto"/>
            <w:noWrap/>
            <w:vAlign w:val="center"/>
          </w:tcPr>
          <w:p>
            <w:pPr>
              <w:widowControl/>
              <w:rPr>
                <w:rFonts w:hint="eastAsia" w:ascii="宋体" w:hAnsi="宋体" w:cs="宋体"/>
                <w:b/>
                <w:bCs/>
                <w:kern w:val="0"/>
                <w:sz w:val="28"/>
                <w:szCs w:val="28"/>
              </w:rPr>
            </w:pPr>
          </w:p>
          <w:p>
            <w:pPr>
              <w:widowControl/>
              <w:jc w:val="center"/>
              <w:rPr>
                <w:rFonts w:ascii="宋体" w:hAnsi="宋体" w:cs="宋体"/>
                <w:b/>
                <w:bCs/>
                <w:kern w:val="0"/>
                <w:sz w:val="28"/>
                <w:szCs w:val="28"/>
              </w:rPr>
            </w:pPr>
            <w:r>
              <w:rPr>
                <w:rFonts w:hint="eastAsia" w:ascii="宋体" w:hAnsi="宋体" w:cs="宋体"/>
                <w:b/>
                <w:bCs/>
                <w:kern w:val="0"/>
                <w:sz w:val="28"/>
                <w:szCs w:val="28"/>
              </w:rPr>
              <w:t>201</w:t>
            </w:r>
            <w:r>
              <w:rPr>
                <w:rFonts w:hint="eastAsia" w:ascii="宋体" w:hAnsi="宋体" w:cs="宋体"/>
                <w:b/>
                <w:bCs/>
                <w:kern w:val="0"/>
                <w:sz w:val="28"/>
                <w:szCs w:val="28"/>
                <w:lang w:val="en-US" w:eastAsia="zh-CN"/>
              </w:rPr>
              <w:t>8</w:t>
            </w:r>
            <w:r>
              <w:rPr>
                <w:rFonts w:hint="eastAsia" w:ascii="宋体" w:hAnsi="宋体" w:cs="宋体"/>
                <w:b/>
                <w:bCs/>
                <w:kern w:val="0"/>
                <w:sz w:val="28"/>
                <w:szCs w:val="28"/>
              </w:rPr>
              <w:t>年县级部门整体支出绩效评价指标体系</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525"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一级指标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二级指标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三级指标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指标解释</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扣分</w:t>
            </w:r>
          </w:p>
        </w:tc>
        <w:tc>
          <w:tcPr>
            <w:tcW w:w="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扣分理由</w:t>
            </w:r>
          </w:p>
        </w:tc>
        <w:tc>
          <w:tcPr>
            <w:tcW w:w="2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计分标准（备注）</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870" w:hRule="atLeast"/>
        </w:trPr>
        <w:tc>
          <w:tcPr>
            <w:tcW w:w="616"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预算编制（10分）</w:t>
            </w: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报送时效（2分）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基础信息更新（2分）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部门是否按照县级部门预算编制通知和有关要求，按时完成基础库、项目库报送工作</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超过规定5个工作日扣0.5分，10个工作日扣1分，以此类推，直至扣完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35" w:hRule="atLeast"/>
        </w:trPr>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编制质量（3分）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预算编制准确（2分）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（预算资金总来源-中期评估调整取消资金-预算结余注销资金）÷预算资金总来源*指标分值</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其中：预算资金总来源是指县级年初预算与执行中追加预算（不含当年专款）总和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65" w:hRule="atLeast"/>
        </w:trPr>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部门预算审查（1分）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根据县人大财经委对预算草案审查结果进行考核</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对财经委审查后提出并确需修改的问题，每个问题扣0.02分，直至扣完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840" w:hRule="atLeast"/>
        </w:trPr>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绩效目标（5分）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部门整体绩效目标（2分）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部门整体绩效目标编制完整、合理</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部门整体绩效目标能完整、合理反映部门年度职责履行情况的得分，否则不得分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750" w:hRule="atLeast"/>
        </w:trPr>
        <w:tc>
          <w:tcPr>
            <w:tcW w:w="616"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重点项目绩效目标（3分）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项目绩效目标编制明确、量化</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项目支出绩效目标编制不明确和量化的发现一个扣0.5分，直至扣完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35" w:hRule="atLeast"/>
        </w:trPr>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预算执行（20分）</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执行进度（10分）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财力专项预算分配时限（4分）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按规定及时分配财力专项预算</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按《预算法》规定时限完成分配的考核得分，否则不得分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675" w:hRule="atLeast"/>
        </w:trPr>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部门预算执行进度（6分）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部门按要求严格预算执行管理</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部门预算实际列支数÷部门预算总额*指标分值</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960" w:hRule="atLeast"/>
        </w:trPr>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预算调整（4分）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执行中期评估（4分）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部门中期评估调整取消资金÷(中期评估调整取消资金+预算结余注销资金）*指标分值</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当中期评估调整取消资金与结余注销资金之和为零时，得满分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720" w:hRule="atLeast"/>
        </w:trPr>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行政成本（6分）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三公经费（6分）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严格执行“三公经费”预算</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部门“三公”经费决算数一项超预算扣1分，两项超预算扣2分，以此类推，直至扣完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630" w:hRule="atLeast"/>
        </w:trPr>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综合管理（40分）</w:t>
            </w: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政府采购实施计划（4分）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政府采购实施计划编制（2）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实施计划与政府采购预算的一致性</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（1-调整或细化资金/政府采购预算资金）*分值</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6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政府采购实施计划的执行（2）</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执行的实施计划与备案的实施计划的一致性</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（1-实施计划备案后的调整或细化资金/实施计划备案后的资金）*分值</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20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资产管理（6分）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资产管理信息系统建设情况（2分）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考核部门和单位将国有资产纳入资产信息系统管理情况</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①未将所属单位国有资产纳入系统管理，每少一个单位扣1分。②未将资产变动情况及时录入系统，每次扣0.5分。③未落实人员负责管理系统，扣1分。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216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行政事业单位资产清查开展情况（2分）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考核行政事业单位按要求及时、准确、全面开展资产清查工作情况</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44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行政事业单位资产报表上报情况（2分）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考核行政事业单位上报国有资产报表数据的真实性、准确性、全面性</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①未落实专人负责资产报表，未及时上报资产报表扣1分。②报表填报不规范，内容不完整，数据不真实，扣1分。③未提交分析报告，对资产变动情况未作分析说明，扣1分。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4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tcBorders>
              <w:top w:val="nil"/>
              <w:left w:val="nil"/>
              <w:bottom w:val="nil"/>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内控制度管理（4分）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内部控制度健全完整（4分）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考核部门内部控制制度的设置和执行情况</w:t>
            </w:r>
          </w:p>
        </w:tc>
        <w:tc>
          <w:tcPr>
            <w:tcW w:w="58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1分</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还不够完善</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41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信息公开（10分）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预算公开（4分）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除涉密信息外，各部门要在财政部门批复后二十日内向社会公开本部门预算（含所有财政资金安排的“三公”经费、机关运行经费的安排、使用情况等）</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按县财政通知要求公开预算，未按要求公开的，发现一处扣0.5分，直至扣完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159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决算公开（4分）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除涉密信息外，各部门要在财政部门批复二十日内向社会公开本部门决算（含所有财政资金安排的“三公”经费、机关运行经费的安排、使用情况等）</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未按要求公开的，发现一处问题0.5分，直至扣完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02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绩效信息公开（2分）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按要求公开部门整体支出绩效自评报告及其他按要求应公开的绩效信息</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未按要求公开的，发现一处问题0.5分，直至扣完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53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绩效评价（10分）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评价项目覆盖率（2分）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评价覆盖率=实施绩效评价项目数量/部门管理专项预算项目数量×100%</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8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评价层次（2分）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部门（单位）是否对单位内部股室开展整体绩效评价</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对单位内部实施评价的得分，否则不得分</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52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评价结果报告（2分）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部门是否按要求向财政部门报告自评报告等相关绩效信息</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未按要求报送的，发现一处扣0.5分，直至扣完。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75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整改完成率（4分）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部门是否按要求针对绩效评价发现问题制定整改措施，并整改落实到位</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完成率=应制定整改措施的项目数量/部门实际制定整改措施项目数量×100%。</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66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依法接受财政监督（6分）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是否按要求开展自查自纠（2分）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根据相关自查自纠报告、报表报送时效和质量进行考核</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未在规定时间内报送自查自纠相关材料（包括：纸质和电子版）的，扣0.5分；报告内容不完整，扣1分；报表质量差（如：数据、逻辑、勾稽关系错误）等扣0.5分；直至扣完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88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重点检查发现违规违纪问题（2分）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根据检查组提供的工作底稿、检查报告等资料进行考核</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专项检查发现的违纪违规问题，每个问题扣0.5分，直至扣完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84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存在问题整改是否到位（2分）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根据相关整改报告、凭证依据等相关证明材料进行考核</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未在规定时间内完成整改，并提供相关证明材料的，每个问题0.5分，直至扣完</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630" w:hRule="atLeast"/>
        </w:trPr>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整体效益（30分）</w:t>
            </w: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部门整体绩效（30分）</w:t>
            </w:r>
          </w:p>
        </w:tc>
        <w:tc>
          <w:tcPr>
            <w:tcW w:w="1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重点项目绩效评价结果（10分）</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部门实施重大项目的经济、社会效益</w:t>
            </w:r>
          </w:p>
        </w:tc>
        <w:tc>
          <w:tcPr>
            <w:tcW w:w="5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根据县财政组织实施项目绩效评价结果换算</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31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部门职能完成情况特性指标（20分）</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5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0.5分</w:t>
            </w:r>
          </w:p>
        </w:tc>
        <w:tc>
          <w:tcPr>
            <w:tcW w:w="54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还需进一步加强</w:t>
            </w:r>
          </w:p>
        </w:tc>
        <w:tc>
          <w:tcPr>
            <w:tcW w:w="2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部门和评价组根据部门实际设置</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blPrEx>
          <w:tblCellMar>
            <w:top w:w="0" w:type="dxa"/>
            <w:left w:w="108" w:type="dxa"/>
            <w:bottom w:w="0" w:type="dxa"/>
            <w:right w:w="108" w:type="dxa"/>
          </w:tblCellMar>
        </w:tblPrEx>
        <w:trPr>
          <w:trHeight w:val="14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4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5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5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r>
        <w:trPr>
          <w:trHeight w:val="420" w:hRule="atLeast"/>
        </w:trPr>
        <w:tc>
          <w:tcPr>
            <w:tcW w:w="8776" w:type="dxa"/>
            <w:gridSpan w:val="7"/>
            <w:tcBorders>
              <w:top w:val="single" w:color="auto" w:sz="4" w:space="0"/>
              <w:left w:val="nil"/>
              <w:bottom w:val="nil"/>
              <w:right w:val="nil"/>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注：若某部门不存在某项评价内容或评价指标，则该评价内容或评价指标不计入该部门考核评价范围，即该部门评价总分＝不含该评价内容或指标的评价总分/（100-该评价内容或指标所占分值）*100。</w:t>
            </w:r>
          </w:p>
        </w:tc>
        <w:tc>
          <w:tcPr>
            <w:tcW w:w="4419" w:type="dxa"/>
            <w:tcBorders>
              <w:top w:val="nil"/>
              <w:left w:val="nil"/>
              <w:bottom w:val="nil"/>
              <w:right w:val="nil"/>
            </w:tcBorders>
            <w:shd w:val="clear" w:color="auto" w:fill="auto"/>
            <w:vAlign w:val="center"/>
          </w:tcPr>
          <w:p>
            <w:pPr>
              <w:widowControl/>
              <w:jc w:val="left"/>
              <w:rPr>
                <w:rFonts w:ascii="宋体" w:hAnsi="宋体" w:cs="宋体"/>
                <w:kern w:val="0"/>
                <w:sz w:val="24"/>
              </w:rPr>
            </w:pPr>
          </w:p>
        </w:tc>
        <w:tc>
          <w:tcPr>
            <w:tcW w:w="3945" w:type="dxa"/>
            <w:tcBorders>
              <w:top w:val="nil"/>
              <w:left w:val="nil"/>
              <w:bottom w:val="nil"/>
              <w:right w:val="nil"/>
            </w:tcBorders>
            <w:shd w:val="clear" w:color="auto" w:fill="auto"/>
            <w:vAlign w:val="center"/>
          </w:tcPr>
          <w:p>
            <w:pPr>
              <w:widowControl/>
              <w:jc w:val="left"/>
              <w:rPr>
                <w:rFonts w:ascii="宋体" w:hAnsi="宋体" w:cs="宋体"/>
                <w:kern w:val="0"/>
                <w:sz w:val="16"/>
                <w:szCs w:val="16"/>
              </w:rPr>
            </w:pPr>
          </w:p>
        </w:tc>
      </w:tr>
    </w:tbl>
    <w:p>
      <w:pPr>
        <w:widowControl/>
        <w:spacing w:line="576" w:lineRule="exact"/>
        <w:jc w:val="left"/>
        <w:rPr>
          <w:rStyle w:val="26"/>
          <w:rFonts w:ascii="方正小标宋简体" w:hAnsi="方正小标宋简体" w:eastAsia="方正小标宋简体" w:cs="方正小标宋简体"/>
          <w:b w:val="0"/>
          <w:bCs w:val="0"/>
          <w:kern w:val="2"/>
        </w:rPr>
      </w:pPr>
    </w:p>
    <w:p>
      <w:pPr>
        <w:widowControl/>
        <w:spacing w:line="576" w:lineRule="exact"/>
        <w:jc w:val="left"/>
        <w:rPr>
          <w:rStyle w:val="26"/>
          <w:rFonts w:ascii="方正小标宋简体" w:hAnsi="方正小标宋简体" w:eastAsia="方正小标宋简体" w:cs="方正小标宋简体"/>
          <w:b w:val="0"/>
          <w:bCs w:val="0"/>
          <w:kern w:val="2"/>
        </w:rPr>
      </w:pPr>
    </w:p>
    <w:p>
      <w:pPr>
        <w:spacing w:line="576" w:lineRule="exact"/>
        <w:jc w:val="center"/>
        <w:rPr>
          <w:rStyle w:val="26"/>
          <w:rFonts w:hint="eastAsia" w:ascii="方正小标宋简体" w:hAnsi="方正小标宋简体" w:eastAsia="方正小标宋简体" w:cs="方正小标宋简体"/>
          <w:b w:val="0"/>
        </w:rPr>
      </w:pPr>
      <w:bookmarkStart w:id="60" w:name="_Toc15396618"/>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center"/>
        <w:rPr>
          <w:rStyle w:val="26"/>
          <w:rFonts w:hint="eastAsia" w:ascii="方正小标宋简体" w:hAnsi="方正小标宋简体" w:eastAsia="方正小标宋简体" w:cs="方正小标宋简体"/>
          <w:b w:val="0"/>
        </w:rPr>
      </w:pPr>
    </w:p>
    <w:p>
      <w:pPr>
        <w:spacing w:line="576" w:lineRule="exact"/>
        <w:jc w:val="both"/>
        <w:rPr>
          <w:rStyle w:val="26"/>
          <w:rFonts w:hint="eastAsia" w:ascii="方正小标宋简体" w:hAnsi="方正小标宋简体" w:eastAsia="方正小标宋简体" w:cs="方正小标宋简体"/>
          <w:b w:val="0"/>
        </w:rPr>
      </w:pPr>
    </w:p>
    <w:p>
      <w:pPr>
        <w:spacing w:line="576" w:lineRule="exact"/>
        <w:jc w:val="center"/>
        <w:rPr>
          <w:rStyle w:val="26"/>
          <w:rFonts w:ascii="方正小标宋简体" w:hAnsi="方正小标宋简体" w:eastAsia="方正小标宋简体" w:cs="方正小标宋简体"/>
          <w:b w:val="0"/>
        </w:rPr>
      </w:pPr>
      <w:r>
        <w:rPr>
          <w:rStyle w:val="26"/>
          <w:rFonts w:hint="eastAsia" w:ascii="方正小标宋简体" w:hAnsi="方正小标宋简体" w:eastAsia="方正小标宋简体" w:cs="方正小标宋简体"/>
          <w:b w:val="0"/>
        </w:rPr>
        <w:t>第五部分 附表</w:t>
      </w:r>
      <w:bookmarkEnd w:id="58"/>
      <w:bookmarkEnd w:id="60"/>
      <w:bookmarkStart w:id="61" w:name="_Toc15396619"/>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一、收入支出决算总表</w:t>
      </w:r>
      <w:bookmarkEnd w:id="61"/>
      <w:bookmarkStart w:id="62" w:name="_Toc15396620"/>
    </w:p>
    <w:p>
      <w:pPr>
        <w:spacing w:line="576" w:lineRule="exact"/>
        <w:ind w:firstLine="640" w:firstLineChars="200"/>
        <w:rPr>
          <w:rStyle w:val="27"/>
          <w:rFonts w:ascii="仿宋_GB2312" w:hAnsi="仿宋" w:eastAsia="仿宋_GB2312" w:cs="仿宋"/>
          <w:b w:val="0"/>
          <w:bCs w:val="0"/>
        </w:rPr>
      </w:pPr>
      <w:r>
        <w:rPr>
          <w:rFonts w:hint="eastAsia" w:ascii="仿宋_GB2312" w:hAnsi="仿宋" w:eastAsia="仿宋_GB2312" w:cs="仿宋"/>
          <w:color w:val="000000"/>
          <w:sz w:val="32"/>
          <w:szCs w:val="32"/>
        </w:rPr>
        <w:t>二、收</w:t>
      </w:r>
      <w:r>
        <w:rPr>
          <w:rStyle w:val="27"/>
          <w:rFonts w:hint="eastAsia" w:ascii="仿宋_GB2312" w:hAnsi="仿宋" w:eastAsia="仿宋_GB2312" w:cs="仿宋"/>
          <w:b w:val="0"/>
          <w:bCs w:val="0"/>
        </w:rPr>
        <w:t>入总表</w:t>
      </w:r>
      <w:bookmarkEnd w:id="62"/>
      <w:bookmarkStart w:id="63" w:name="_Toc15396621"/>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三、</w:t>
      </w:r>
      <w:r>
        <w:rPr>
          <w:rFonts w:hint="eastAsia" w:ascii="仿宋_GB2312" w:hAnsi="仿宋" w:eastAsia="仿宋_GB2312" w:cs="仿宋"/>
          <w:color w:val="000000"/>
          <w:sz w:val="32"/>
          <w:szCs w:val="32"/>
        </w:rPr>
        <w:t>支</w:t>
      </w:r>
      <w:r>
        <w:rPr>
          <w:rStyle w:val="27"/>
          <w:rFonts w:hint="eastAsia" w:ascii="仿宋_GB2312" w:hAnsi="仿宋" w:eastAsia="仿宋_GB2312" w:cs="仿宋"/>
          <w:b w:val="0"/>
          <w:bCs w:val="0"/>
        </w:rPr>
        <w:t>出总表</w:t>
      </w:r>
      <w:bookmarkEnd w:id="63"/>
      <w:bookmarkStart w:id="64" w:name="_Toc15396622"/>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四、</w:t>
      </w:r>
      <w:r>
        <w:rPr>
          <w:rFonts w:hint="eastAsia" w:ascii="仿宋_GB2312" w:hAnsi="仿宋" w:eastAsia="仿宋_GB2312" w:cs="仿宋"/>
          <w:color w:val="000000"/>
          <w:sz w:val="32"/>
          <w:szCs w:val="32"/>
        </w:rPr>
        <w:t>财</w:t>
      </w:r>
      <w:r>
        <w:rPr>
          <w:rStyle w:val="27"/>
          <w:rFonts w:hint="eastAsia" w:ascii="仿宋_GB2312" w:hAnsi="仿宋" w:eastAsia="仿宋_GB2312" w:cs="仿宋"/>
          <w:b w:val="0"/>
          <w:bCs w:val="0"/>
        </w:rPr>
        <w:t>政拨款收入支出决算总表</w:t>
      </w:r>
      <w:bookmarkEnd w:id="64"/>
      <w:bookmarkStart w:id="65" w:name="_Toc15396623"/>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五、</w:t>
      </w:r>
      <w:r>
        <w:rPr>
          <w:rFonts w:hint="eastAsia" w:ascii="仿宋_GB2312" w:hAnsi="仿宋" w:eastAsia="仿宋_GB2312" w:cs="仿宋"/>
          <w:color w:val="000000"/>
          <w:sz w:val="32"/>
          <w:szCs w:val="32"/>
        </w:rPr>
        <w:t>财</w:t>
      </w:r>
      <w:r>
        <w:rPr>
          <w:rStyle w:val="27"/>
          <w:rFonts w:hint="eastAsia" w:ascii="仿宋_GB2312" w:hAnsi="仿宋" w:eastAsia="仿宋_GB2312" w:cs="仿宋"/>
          <w:b w:val="0"/>
          <w:bCs w:val="0"/>
        </w:rPr>
        <w:t>政拨款支出决算明细表（政府经济分类科目）</w:t>
      </w:r>
      <w:bookmarkEnd w:id="65"/>
      <w:bookmarkStart w:id="66" w:name="_Toc15396624"/>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六、</w:t>
      </w:r>
      <w:r>
        <w:rPr>
          <w:rFonts w:hint="eastAsia" w:ascii="仿宋_GB2312" w:hAnsi="仿宋" w:eastAsia="仿宋_GB2312" w:cs="仿宋"/>
          <w:color w:val="000000"/>
          <w:sz w:val="32"/>
          <w:szCs w:val="32"/>
        </w:rPr>
        <w:t>一</w:t>
      </w:r>
      <w:r>
        <w:rPr>
          <w:rStyle w:val="27"/>
          <w:rFonts w:hint="eastAsia" w:ascii="仿宋_GB2312" w:hAnsi="仿宋" w:eastAsia="仿宋_GB2312" w:cs="仿宋"/>
          <w:b w:val="0"/>
          <w:bCs w:val="0"/>
        </w:rPr>
        <w:t>般公共预算财政拨款支出决算表</w:t>
      </w:r>
      <w:bookmarkEnd w:id="66"/>
      <w:bookmarkStart w:id="67" w:name="_Toc15396625"/>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七、</w:t>
      </w:r>
      <w:r>
        <w:rPr>
          <w:rFonts w:hint="eastAsia" w:ascii="仿宋_GB2312" w:hAnsi="仿宋" w:eastAsia="仿宋_GB2312" w:cs="仿宋"/>
          <w:color w:val="000000"/>
          <w:sz w:val="32"/>
          <w:szCs w:val="32"/>
        </w:rPr>
        <w:t>一</w:t>
      </w:r>
      <w:r>
        <w:rPr>
          <w:rStyle w:val="27"/>
          <w:rFonts w:hint="eastAsia" w:ascii="仿宋_GB2312" w:hAnsi="仿宋" w:eastAsia="仿宋_GB2312" w:cs="仿宋"/>
          <w:b w:val="0"/>
          <w:bCs w:val="0"/>
        </w:rPr>
        <w:t>般公共预算财政拨款支出决算明细表</w:t>
      </w:r>
      <w:bookmarkEnd w:id="67"/>
      <w:bookmarkStart w:id="68" w:name="_Toc15396626"/>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八、</w:t>
      </w:r>
      <w:r>
        <w:rPr>
          <w:rFonts w:hint="eastAsia" w:ascii="仿宋_GB2312" w:hAnsi="仿宋" w:eastAsia="仿宋_GB2312" w:cs="仿宋"/>
          <w:color w:val="000000"/>
          <w:sz w:val="32"/>
          <w:szCs w:val="32"/>
        </w:rPr>
        <w:t>一</w:t>
      </w:r>
      <w:r>
        <w:rPr>
          <w:rStyle w:val="27"/>
          <w:rFonts w:hint="eastAsia" w:ascii="仿宋_GB2312" w:hAnsi="仿宋" w:eastAsia="仿宋_GB2312" w:cs="仿宋"/>
          <w:b w:val="0"/>
          <w:bCs w:val="0"/>
        </w:rPr>
        <w:t>般公共预算财政拨款基本支出决算表</w:t>
      </w:r>
      <w:bookmarkEnd w:id="68"/>
      <w:bookmarkStart w:id="69" w:name="_Toc15396627"/>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九、</w:t>
      </w:r>
      <w:r>
        <w:rPr>
          <w:rFonts w:hint="eastAsia" w:ascii="仿宋_GB2312" w:hAnsi="仿宋" w:eastAsia="仿宋_GB2312" w:cs="仿宋"/>
          <w:color w:val="000000"/>
          <w:sz w:val="32"/>
          <w:szCs w:val="32"/>
        </w:rPr>
        <w:t>一</w:t>
      </w:r>
      <w:r>
        <w:rPr>
          <w:rStyle w:val="27"/>
          <w:rFonts w:hint="eastAsia" w:ascii="仿宋_GB2312" w:hAnsi="仿宋" w:eastAsia="仿宋_GB2312" w:cs="仿宋"/>
          <w:b w:val="0"/>
          <w:bCs w:val="0"/>
        </w:rPr>
        <w:t>般公共预算财政拨款项目支出决算表</w:t>
      </w:r>
      <w:bookmarkEnd w:id="69"/>
      <w:bookmarkStart w:id="70" w:name="_Toc15396628"/>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十、</w:t>
      </w:r>
      <w:r>
        <w:rPr>
          <w:rFonts w:hint="eastAsia" w:ascii="仿宋_GB2312" w:hAnsi="仿宋" w:eastAsia="仿宋_GB2312" w:cs="仿宋"/>
          <w:color w:val="000000"/>
          <w:sz w:val="32"/>
          <w:szCs w:val="32"/>
        </w:rPr>
        <w:t>一</w:t>
      </w:r>
      <w:r>
        <w:rPr>
          <w:rStyle w:val="27"/>
          <w:rFonts w:hint="eastAsia" w:ascii="仿宋_GB2312" w:hAnsi="仿宋" w:eastAsia="仿宋_GB2312" w:cs="仿宋"/>
          <w:b w:val="0"/>
          <w:bCs w:val="0"/>
        </w:rPr>
        <w:t>般公共预算财政拨款“三公”经费支出决算表</w:t>
      </w:r>
      <w:bookmarkEnd w:id="70"/>
      <w:bookmarkStart w:id="71" w:name="_Toc15396629"/>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十一、</w:t>
      </w:r>
      <w:r>
        <w:rPr>
          <w:rFonts w:hint="eastAsia" w:ascii="仿宋_GB2312" w:hAnsi="仿宋" w:eastAsia="仿宋_GB2312" w:cs="仿宋"/>
          <w:color w:val="000000"/>
          <w:sz w:val="32"/>
          <w:szCs w:val="32"/>
        </w:rPr>
        <w:t>政</w:t>
      </w:r>
      <w:r>
        <w:rPr>
          <w:rStyle w:val="27"/>
          <w:rFonts w:hint="eastAsia" w:ascii="仿宋_GB2312" w:hAnsi="仿宋" w:eastAsia="仿宋_GB2312" w:cs="仿宋"/>
          <w:b w:val="0"/>
          <w:bCs w:val="0"/>
        </w:rPr>
        <w:t>府性基金预算财政拨款收入支出决算表</w:t>
      </w:r>
      <w:bookmarkEnd w:id="71"/>
      <w:bookmarkStart w:id="72" w:name="_Toc15396630"/>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十二、</w:t>
      </w:r>
      <w:r>
        <w:rPr>
          <w:rFonts w:hint="eastAsia" w:ascii="仿宋_GB2312" w:hAnsi="仿宋" w:eastAsia="仿宋_GB2312" w:cs="仿宋"/>
          <w:color w:val="000000"/>
          <w:sz w:val="32"/>
          <w:szCs w:val="32"/>
        </w:rPr>
        <w:t>政</w:t>
      </w:r>
      <w:r>
        <w:rPr>
          <w:rStyle w:val="27"/>
          <w:rFonts w:hint="eastAsia" w:ascii="仿宋_GB2312" w:hAnsi="仿宋" w:eastAsia="仿宋_GB2312" w:cs="仿宋"/>
          <w:b w:val="0"/>
          <w:bCs w:val="0"/>
        </w:rPr>
        <w:t>府性基金预算财政拨款“三公”经费支出决算表</w:t>
      </w:r>
      <w:bookmarkEnd w:id="72"/>
      <w:bookmarkStart w:id="73" w:name="_Toc15396631"/>
    </w:p>
    <w:p>
      <w:pPr>
        <w:spacing w:line="576" w:lineRule="exact"/>
        <w:ind w:firstLine="640" w:firstLineChars="200"/>
        <w:rPr>
          <w:rStyle w:val="27"/>
          <w:rFonts w:ascii="仿宋_GB2312" w:hAnsi="仿宋" w:eastAsia="仿宋_GB2312" w:cs="仿宋"/>
          <w:b w:val="0"/>
          <w:bCs w:val="0"/>
        </w:rPr>
      </w:pPr>
      <w:r>
        <w:rPr>
          <w:rStyle w:val="27"/>
          <w:rFonts w:hint="eastAsia" w:ascii="仿宋_GB2312" w:hAnsi="仿宋" w:eastAsia="仿宋_GB2312" w:cs="仿宋"/>
          <w:b w:val="0"/>
          <w:bCs w:val="0"/>
        </w:rPr>
        <w:t>十三、</w:t>
      </w:r>
      <w:r>
        <w:rPr>
          <w:rFonts w:hint="eastAsia" w:ascii="仿宋_GB2312" w:hAnsi="仿宋" w:eastAsia="仿宋_GB2312" w:cs="仿宋"/>
          <w:color w:val="000000"/>
          <w:sz w:val="32"/>
          <w:szCs w:val="32"/>
        </w:rPr>
        <w:t>国</w:t>
      </w:r>
      <w:r>
        <w:rPr>
          <w:rStyle w:val="27"/>
          <w:rFonts w:hint="eastAsia" w:ascii="仿宋_GB2312" w:hAnsi="仿宋" w:eastAsia="仿宋_GB2312" w:cs="仿宋"/>
          <w:b w:val="0"/>
          <w:bCs w:val="0"/>
        </w:rPr>
        <w:t>有资本经营预算支出决算表</w:t>
      </w:r>
      <w:bookmarkEnd w:id="73"/>
    </w:p>
    <w:p>
      <w:pPr>
        <w:spacing w:line="576" w:lineRule="exact"/>
        <w:ind w:firstLine="640" w:firstLineChars="200"/>
        <w:rPr>
          <w:rStyle w:val="27"/>
          <w:rFonts w:ascii="仿宋_GB2312" w:hAnsi="仿宋" w:eastAsia="仿宋_GB2312" w:cs="仿宋"/>
          <w:b w:val="0"/>
          <w:bCs w:val="0"/>
        </w:rPr>
      </w:pPr>
    </w:p>
    <w:p>
      <w:pPr>
        <w:spacing w:line="576" w:lineRule="exact"/>
        <w:ind w:firstLine="640" w:firstLineChars="200"/>
        <w:rPr>
          <w:rStyle w:val="27"/>
          <w:rFonts w:ascii="仿宋_GB2312" w:hAnsi="仿宋" w:eastAsia="仿宋_GB2312" w:cs="仿宋"/>
          <w:b w:val="0"/>
          <w:bCs w:val="0"/>
        </w:rPr>
      </w:pPr>
    </w:p>
    <w:p>
      <w:pPr>
        <w:spacing w:line="576" w:lineRule="exact"/>
        <w:ind w:firstLine="5600" w:firstLineChars="1750"/>
        <w:rPr>
          <w:rStyle w:val="27"/>
          <w:rFonts w:ascii="仿宋_GB2312" w:hAnsi="仿宋" w:eastAsia="仿宋_GB2312" w:cs="仿宋"/>
          <w:b w:val="0"/>
          <w:bCs w:val="0"/>
        </w:rPr>
      </w:pPr>
    </w:p>
    <w:p>
      <w:pPr>
        <w:spacing w:line="576" w:lineRule="exact"/>
        <w:ind w:firstLine="5440" w:firstLineChars="1700"/>
        <w:rPr>
          <w:rStyle w:val="27"/>
          <w:rFonts w:ascii="仿宋_GB2312" w:hAnsi="仿宋" w:eastAsia="仿宋_GB2312" w:cs="仿宋"/>
          <w:b w:val="0"/>
          <w:bCs w:val="0"/>
        </w:rPr>
      </w:pPr>
    </w:p>
    <w:sectPr>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rPr>
          <w:strike w:val="0"/>
          <w:dstrike w:val="0"/>
          <w:highlight w:val="gre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07F63"/>
    <w:rsid w:val="00011F6C"/>
    <w:rsid w:val="000222C6"/>
    <w:rsid w:val="0002549F"/>
    <w:rsid w:val="00043D38"/>
    <w:rsid w:val="00046B8C"/>
    <w:rsid w:val="00051733"/>
    <w:rsid w:val="0005578C"/>
    <w:rsid w:val="00064533"/>
    <w:rsid w:val="0006487A"/>
    <w:rsid w:val="00065F8F"/>
    <w:rsid w:val="00075D6E"/>
    <w:rsid w:val="000768F2"/>
    <w:rsid w:val="00084AE0"/>
    <w:rsid w:val="0009184B"/>
    <w:rsid w:val="0009593C"/>
    <w:rsid w:val="000A62C6"/>
    <w:rsid w:val="000B047F"/>
    <w:rsid w:val="000B3F60"/>
    <w:rsid w:val="000B5923"/>
    <w:rsid w:val="000B5A48"/>
    <w:rsid w:val="000B6FF3"/>
    <w:rsid w:val="000C0F6A"/>
    <w:rsid w:val="000C3467"/>
    <w:rsid w:val="000C3CA6"/>
    <w:rsid w:val="000D1267"/>
    <w:rsid w:val="000D17D3"/>
    <w:rsid w:val="000D1D50"/>
    <w:rsid w:val="000D5782"/>
    <w:rsid w:val="000E6613"/>
    <w:rsid w:val="000E7119"/>
    <w:rsid w:val="000F1998"/>
    <w:rsid w:val="001121D9"/>
    <w:rsid w:val="00114E9B"/>
    <w:rsid w:val="00117AAA"/>
    <w:rsid w:val="0013177E"/>
    <w:rsid w:val="001379A7"/>
    <w:rsid w:val="0014729F"/>
    <w:rsid w:val="00157696"/>
    <w:rsid w:val="00157BAB"/>
    <w:rsid w:val="001654D1"/>
    <w:rsid w:val="00166CCD"/>
    <w:rsid w:val="0018052F"/>
    <w:rsid w:val="0018106D"/>
    <w:rsid w:val="001877A7"/>
    <w:rsid w:val="00191536"/>
    <w:rsid w:val="00196687"/>
    <w:rsid w:val="001C0962"/>
    <w:rsid w:val="001C77C1"/>
    <w:rsid w:val="001D3780"/>
    <w:rsid w:val="001D7531"/>
    <w:rsid w:val="001E737D"/>
    <w:rsid w:val="001F0592"/>
    <w:rsid w:val="001F0B89"/>
    <w:rsid w:val="001F3A4F"/>
    <w:rsid w:val="001F7506"/>
    <w:rsid w:val="002006CD"/>
    <w:rsid w:val="00202B36"/>
    <w:rsid w:val="00204B7A"/>
    <w:rsid w:val="00206201"/>
    <w:rsid w:val="0021101A"/>
    <w:rsid w:val="0021690E"/>
    <w:rsid w:val="00220536"/>
    <w:rsid w:val="00234318"/>
    <w:rsid w:val="00235629"/>
    <w:rsid w:val="002359D6"/>
    <w:rsid w:val="0023721F"/>
    <w:rsid w:val="00237AE5"/>
    <w:rsid w:val="00242CC3"/>
    <w:rsid w:val="00242E62"/>
    <w:rsid w:val="0025228B"/>
    <w:rsid w:val="00260C38"/>
    <w:rsid w:val="002616C0"/>
    <w:rsid w:val="002654FE"/>
    <w:rsid w:val="002662AA"/>
    <w:rsid w:val="00276B95"/>
    <w:rsid w:val="00280496"/>
    <w:rsid w:val="00284AAD"/>
    <w:rsid w:val="00295495"/>
    <w:rsid w:val="002B2613"/>
    <w:rsid w:val="002B6CDB"/>
    <w:rsid w:val="002F1818"/>
    <w:rsid w:val="002F567B"/>
    <w:rsid w:val="003137FC"/>
    <w:rsid w:val="003216A9"/>
    <w:rsid w:val="00322653"/>
    <w:rsid w:val="00327A38"/>
    <w:rsid w:val="0037013F"/>
    <w:rsid w:val="00371F42"/>
    <w:rsid w:val="00380C92"/>
    <w:rsid w:val="003855D1"/>
    <w:rsid w:val="003904EB"/>
    <w:rsid w:val="003A484F"/>
    <w:rsid w:val="003B0BE0"/>
    <w:rsid w:val="003B0C1B"/>
    <w:rsid w:val="003B5FBA"/>
    <w:rsid w:val="003B688C"/>
    <w:rsid w:val="003C0291"/>
    <w:rsid w:val="003C39AE"/>
    <w:rsid w:val="003C5E9F"/>
    <w:rsid w:val="003C7279"/>
    <w:rsid w:val="003C78E5"/>
    <w:rsid w:val="003C7B60"/>
    <w:rsid w:val="003D1FB2"/>
    <w:rsid w:val="003D2C4B"/>
    <w:rsid w:val="003D66DA"/>
    <w:rsid w:val="003E1310"/>
    <w:rsid w:val="003E34B0"/>
    <w:rsid w:val="003E6F55"/>
    <w:rsid w:val="003F2878"/>
    <w:rsid w:val="003F50D1"/>
    <w:rsid w:val="003F6C2F"/>
    <w:rsid w:val="00406254"/>
    <w:rsid w:val="004223DE"/>
    <w:rsid w:val="00426F2C"/>
    <w:rsid w:val="00434489"/>
    <w:rsid w:val="00437085"/>
    <w:rsid w:val="00440C43"/>
    <w:rsid w:val="00443880"/>
    <w:rsid w:val="00445997"/>
    <w:rsid w:val="004464F4"/>
    <w:rsid w:val="00460321"/>
    <w:rsid w:val="0046039E"/>
    <w:rsid w:val="00471401"/>
    <w:rsid w:val="00473F31"/>
    <w:rsid w:val="00482131"/>
    <w:rsid w:val="0048263A"/>
    <w:rsid w:val="004839E3"/>
    <w:rsid w:val="00487E5D"/>
    <w:rsid w:val="00492220"/>
    <w:rsid w:val="00492622"/>
    <w:rsid w:val="004A6945"/>
    <w:rsid w:val="004A711F"/>
    <w:rsid w:val="004B199D"/>
    <w:rsid w:val="004B4690"/>
    <w:rsid w:val="004B7630"/>
    <w:rsid w:val="004C30A4"/>
    <w:rsid w:val="004D33B6"/>
    <w:rsid w:val="004E0A2D"/>
    <w:rsid w:val="004E206B"/>
    <w:rsid w:val="004E6DF7"/>
    <w:rsid w:val="004F0FBD"/>
    <w:rsid w:val="00505A47"/>
    <w:rsid w:val="00512FDA"/>
    <w:rsid w:val="005209CD"/>
    <w:rsid w:val="00520DA0"/>
    <w:rsid w:val="0053294B"/>
    <w:rsid w:val="00541481"/>
    <w:rsid w:val="005521C0"/>
    <w:rsid w:val="005664BB"/>
    <w:rsid w:val="0057481D"/>
    <w:rsid w:val="00576554"/>
    <w:rsid w:val="00577F89"/>
    <w:rsid w:val="0058486E"/>
    <w:rsid w:val="005933F8"/>
    <w:rsid w:val="005D1C8B"/>
    <w:rsid w:val="005D5CED"/>
    <w:rsid w:val="005E0A88"/>
    <w:rsid w:val="005E788B"/>
    <w:rsid w:val="005F1A4C"/>
    <w:rsid w:val="00605688"/>
    <w:rsid w:val="00606DAD"/>
    <w:rsid w:val="006070AF"/>
    <w:rsid w:val="00607E6C"/>
    <w:rsid w:val="006101B1"/>
    <w:rsid w:val="00614E44"/>
    <w:rsid w:val="00622830"/>
    <w:rsid w:val="00630AEF"/>
    <w:rsid w:val="006325F8"/>
    <w:rsid w:val="00634C9A"/>
    <w:rsid w:val="00635F70"/>
    <w:rsid w:val="006440E4"/>
    <w:rsid w:val="0065098A"/>
    <w:rsid w:val="00654879"/>
    <w:rsid w:val="00662018"/>
    <w:rsid w:val="0066343B"/>
    <w:rsid w:val="00664777"/>
    <w:rsid w:val="006748A4"/>
    <w:rsid w:val="00683E73"/>
    <w:rsid w:val="006842C9"/>
    <w:rsid w:val="00697260"/>
    <w:rsid w:val="006A3141"/>
    <w:rsid w:val="006A49A1"/>
    <w:rsid w:val="006A5E34"/>
    <w:rsid w:val="006A7302"/>
    <w:rsid w:val="006B04BC"/>
    <w:rsid w:val="006B2422"/>
    <w:rsid w:val="006B2B9A"/>
    <w:rsid w:val="006B4887"/>
    <w:rsid w:val="006C1937"/>
    <w:rsid w:val="006C6495"/>
    <w:rsid w:val="006E6934"/>
    <w:rsid w:val="006E6E7F"/>
    <w:rsid w:val="006F020C"/>
    <w:rsid w:val="007127B7"/>
    <w:rsid w:val="00712C80"/>
    <w:rsid w:val="00735BCF"/>
    <w:rsid w:val="007416B6"/>
    <w:rsid w:val="00746F48"/>
    <w:rsid w:val="0075404D"/>
    <w:rsid w:val="0076182A"/>
    <w:rsid w:val="00767B7E"/>
    <w:rsid w:val="007770C3"/>
    <w:rsid w:val="00782C5B"/>
    <w:rsid w:val="00784D24"/>
    <w:rsid w:val="00785FBA"/>
    <w:rsid w:val="00786E4A"/>
    <w:rsid w:val="007875EB"/>
    <w:rsid w:val="0079426B"/>
    <w:rsid w:val="007A0BE1"/>
    <w:rsid w:val="007A5BAC"/>
    <w:rsid w:val="007A5FD9"/>
    <w:rsid w:val="007B4931"/>
    <w:rsid w:val="007D18F7"/>
    <w:rsid w:val="007D312A"/>
    <w:rsid w:val="007D3F19"/>
    <w:rsid w:val="007E23B0"/>
    <w:rsid w:val="007E5F55"/>
    <w:rsid w:val="007F1991"/>
    <w:rsid w:val="007F2C2F"/>
    <w:rsid w:val="007F55FC"/>
    <w:rsid w:val="007F5665"/>
    <w:rsid w:val="00800112"/>
    <w:rsid w:val="00806F52"/>
    <w:rsid w:val="00812344"/>
    <w:rsid w:val="00815348"/>
    <w:rsid w:val="008253BB"/>
    <w:rsid w:val="00830A43"/>
    <w:rsid w:val="008322E2"/>
    <w:rsid w:val="00834A2D"/>
    <w:rsid w:val="0083706E"/>
    <w:rsid w:val="008423A5"/>
    <w:rsid w:val="00850625"/>
    <w:rsid w:val="00853718"/>
    <w:rsid w:val="00855221"/>
    <w:rsid w:val="00860645"/>
    <w:rsid w:val="00861C3F"/>
    <w:rsid w:val="00863317"/>
    <w:rsid w:val="00871F71"/>
    <w:rsid w:val="00885AF4"/>
    <w:rsid w:val="00886BDA"/>
    <w:rsid w:val="00892FC0"/>
    <w:rsid w:val="008939CD"/>
    <w:rsid w:val="008A0634"/>
    <w:rsid w:val="008A1EBB"/>
    <w:rsid w:val="008B71E9"/>
    <w:rsid w:val="008B768C"/>
    <w:rsid w:val="008C4DB1"/>
    <w:rsid w:val="008C4EAF"/>
    <w:rsid w:val="008C5176"/>
    <w:rsid w:val="008C7FD0"/>
    <w:rsid w:val="008D44CE"/>
    <w:rsid w:val="008D6F58"/>
    <w:rsid w:val="008E03A2"/>
    <w:rsid w:val="008E1DE7"/>
    <w:rsid w:val="008E3FAD"/>
    <w:rsid w:val="008E4C50"/>
    <w:rsid w:val="008E707C"/>
    <w:rsid w:val="00900B08"/>
    <w:rsid w:val="009011B2"/>
    <w:rsid w:val="00902155"/>
    <w:rsid w:val="00902FA3"/>
    <w:rsid w:val="00920FAD"/>
    <w:rsid w:val="00923564"/>
    <w:rsid w:val="0092392E"/>
    <w:rsid w:val="00923CA2"/>
    <w:rsid w:val="009315F9"/>
    <w:rsid w:val="00931AE5"/>
    <w:rsid w:val="00946945"/>
    <w:rsid w:val="00951248"/>
    <w:rsid w:val="0095152F"/>
    <w:rsid w:val="00954C49"/>
    <w:rsid w:val="0096317D"/>
    <w:rsid w:val="0097099F"/>
    <w:rsid w:val="00971997"/>
    <w:rsid w:val="00971FFC"/>
    <w:rsid w:val="0097452A"/>
    <w:rsid w:val="00980C4D"/>
    <w:rsid w:val="0098660A"/>
    <w:rsid w:val="00986D00"/>
    <w:rsid w:val="009931C3"/>
    <w:rsid w:val="00995AD0"/>
    <w:rsid w:val="009B2C43"/>
    <w:rsid w:val="009B4EAE"/>
    <w:rsid w:val="009B62C5"/>
    <w:rsid w:val="009B7573"/>
    <w:rsid w:val="009C22F4"/>
    <w:rsid w:val="009C2E98"/>
    <w:rsid w:val="009D3447"/>
    <w:rsid w:val="009D4711"/>
    <w:rsid w:val="009E7CD3"/>
    <w:rsid w:val="009F1185"/>
    <w:rsid w:val="009F18CD"/>
    <w:rsid w:val="009F2A13"/>
    <w:rsid w:val="00A02AAA"/>
    <w:rsid w:val="00A04EB0"/>
    <w:rsid w:val="00A05C13"/>
    <w:rsid w:val="00A13CC1"/>
    <w:rsid w:val="00A16847"/>
    <w:rsid w:val="00A21F0C"/>
    <w:rsid w:val="00A237D8"/>
    <w:rsid w:val="00A268C4"/>
    <w:rsid w:val="00A307CD"/>
    <w:rsid w:val="00A40A00"/>
    <w:rsid w:val="00A4142F"/>
    <w:rsid w:val="00A55329"/>
    <w:rsid w:val="00A56DF2"/>
    <w:rsid w:val="00A61C83"/>
    <w:rsid w:val="00A6637E"/>
    <w:rsid w:val="00A67AB5"/>
    <w:rsid w:val="00A70260"/>
    <w:rsid w:val="00A76B50"/>
    <w:rsid w:val="00A87770"/>
    <w:rsid w:val="00A91760"/>
    <w:rsid w:val="00A93B00"/>
    <w:rsid w:val="00A93C21"/>
    <w:rsid w:val="00AA00D1"/>
    <w:rsid w:val="00AB4233"/>
    <w:rsid w:val="00AC3C6A"/>
    <w:rsid w:val="00AC4095"/>
    <w:rsid w:val="00AD1A8B"/>
    <w:rsid w:val="00AD21A0"/>
    <w:rsid w:val="00AD2398"/>
    <w:rsid w:val="00AD4CD8"/>
    <w:rsid w:val="00AD5620"/>
    <w:rsid w:val="00AD7C1B"/>
    <w:rsid w:val="00AE16BA"/>
    <w:rsid w:val="00AE1EBE"/>
    <w:rsid w:val="00AF492A"/>
    <w:rsid w:val="00B03C9D"/>
    <w:rsid w:val="00B060AE"/>
    <w:rsid w:val="00B06A4C"/>
    <w:rsid w:val="00B10517"/>
    <w:rsid w:val="00B14E76"/>
    <w:rsid w:val="00B161B8"/>
    <w:rsid w:val="00B2048C"/>
    <w:rsid w:val="00B227AA"/>
    <w:rsid w:val="00B235BC"/>
    <w:rsid w:val="00B24E0A"/>
    <w:rsid w:val="00B310B9"/>
    <w:rsid w:val="00B35F3F"/>
    <w:rsid w:val="00B36CBB"/>
    <w:rsid w:val="00B41068"/>
    <w:rsid w:val="00B425E0"/>
    <w:rsid w:val="00B440AA"/>
    <w:rsid w:val="00B44B70"/>
    <w:rsid w:val="00B457C2"/>
    <w:rsid w:val="00B45981"/>
    <w:rsid w:val="00B53C56"/>
    <w:rsid w:val="00B73990"/>
    <w:rsid w:val="00B7606B"/>
    <w:rsid w:val="00B77EA6"/>
    <w:rsid w:val="00B81598"/>
    <w:rsid w:val="00B841F1"/>
    <w:rsid w:val="00B944D6"/>
    <w:rsid w:val="00BB4DF0"/>
    <w:rsid w:val="00BC289F"/>
    <w:rsid w:val="00BC5361"/>
    <w:rsid w:val="00BC5460"/>
    <w:rsid w:val="00BC6B50"/>
    <w:rsid w:val="00BD0E25"/>
    <w:rsid w:val="00BD4B29"/>
    <w:rsid w:val="00BF31A8"/>
    <w:rsid w:val="00BF5BD6"/>
    <w:rsid w:val="00C03E31"/>
    <w:rsid w:val="00C124BC"/>
    <w:rsid w:val="00C21387"/>
    <w:rsid w:val="00C33E72"/>
    <w:rsid w:val="00C354B2"/>
    <w:rsid w:val="00C35554"/>
    <w:rsid w:val="00C42709"/>
    <w:rsid w:val="00C533CC"/>
    <w:rsid w:val="00C5751C"/>
    <w:rsid w:val="00C61BFC"/>
    <w:rsid w:val="00C62B85"/>
    <w:rsid w:val="00C65438"/>
    <w:rsid w:val="00C8684B"/>
    <w:rsid w:val="00C91CBB"/>
    <w:rsid w:val="00CA0EFF"/>
    <w:rsid w:val="00CB31CC"/>
    <w:rsid w:val="00CB6DD7"/>
    <w:rsid w:val="00CC09B6"/>
    <w:rsid w:val="00CC666F"/>
    <w:rsid w:val="00CD1E3F"/>
    <w:rsid w:val="00CD2FED"/>
    <w:rsid w:val="00CE2955"/>
    <w:rsid w:val="00CE3DFA"/>
    <w:rsid w:val="00CE44F6"/>
    <w:rsid w:val="00CE49DA"/>
    <w:rsid w:val="00CE500B"/>
    <w:rsid w:val="00CE7B61"/>
    <w:rsid w:val="00D00095"/>
    <w:rsid w:val="00D13BDC"/>
    <w:rsid w:val="00D20620"/>
    <w:rsid w:val="00D2071A"/>
    <w:rsid w:val="00D26091"/>
    <w:rsid w:val="00D34E7C"/>
    <w:rsid w:val="00D35489"/>
    <w:rsid w:val="00D3692D"/>
    <w:rsid w:val="00D4723A"/>
    <w:rsid w:val="00D47603"/>
    <w:rsid w:val="00D51276"/>
    <w:rsid w:val="00D524B9"/>
    <w:rsid w:val="00D6191C"/>
    <w:rsid w:val="00D7035F"/>
    <w:rsid w:val="00D7458B"/>
    <w:rsid w:val="00D7676E"/>
    <w:rsid w:val="00D8099C"/>
    <w:rsid w:val="00D870D6"/>
    <w:rsid w:val="00D87994"/>
    <w:rsid w:val="00DA65AC"/>
    <w:rsid w:val="00DB1913"/>
    <w:rsid w:val="00DB718D"/>
    <w:rsid w:val="00DC410D"/>
    <w:rsid w:val="00DC68CA"/>
    <w:rsid w:val="00DC7CBA"/>
    <w:rsid w:val="00DD73B7"/>
    <w:rsid w:val="00DD79E2"/>
    <w:rsid w:val="00DE216E"/>
    <w:rsid w:val="00DF28BC"/>
    <w:rsid w:val="00DF34B9"/>
    <w:rsid w:val="00E01053"/>
    <w:rsid w:val="00E07ACF"/>
    <w:rsid w:val="00E10460"/>
    <w:rsid w:val="00E13322"/>
    <w:rsid w:val="00E152CC"/>
    <w:rsid w:val="00E331A1"/>
    <w:rsid w:val="00E33202"/>
    <w:rsid w:val="00E336A9"/>
    <w:rsid w:val="00E50624"/>
    <w:rsid w:val="00E51CA1"/>
    <w:rsid w:val="00E568DF"/>
    <w:rsid w:val="00E64269"/>
    <w:rsid w:val="00E82267"/>
    <w:rsid w:val="00E8441A"/>
    <w:rsid w:val="00EA010F"/>
    <w:rsid w:val="00EB2EBE"/>
    <w:rsid w:val="00EB7398"/>
    <w:rsid w:val="00EC6C57"/>
    <w:rsid w:val="00EC75D7"/>
    <w:rsid w:val="00ED0C5B"/>
    <w:rsid w:val="00ED160E"/>
    <w:rsid w:val="00ED1B63"/>
    <w:rsid w:val="00ED3C1F"/>
    <w:rsid w:val="00ED4085"/>
    <w:rsid w:val="00ED420E"/>
    <w:rsid w:val="00EE0D5E"/>
    <w:rsid w:val="00EE2F57"/>
    <w:rsid w:val="00EE7D18"/>
    <w:rsid w:val="00EF4C34"/>
    <w:rsid w:val="00EF77C6"/>
    <w:rsid w:val="00F00ADE"/>
    <w:rsid w:val="00F05438"/>
    <w:rsid w:val="00F05FE6"/>
    <w:rsid w:val="00F1361C"/>
    <w:rsid w:val="00F160C7"/>
    <w:rsid w:val="00F36D8F"/>
    <w:rsid w:val="00F417B1"/>
    <w:rsid w:val="00F4490E"/>
    <w:rsid w:val="00F46DC1"/>
    <w:rsid w:val="00F54A8F"/>
    <w:rsid w:val="00F56A25"/>
    <w:rsid w:val="00F572F3"/>
    <w:rsid w:val="00F602DF"/>
    <w:rsid w:val="00F81FD9"/>
    <w:rsid w:val="00F841AA"/>
    <w:rsid w:val="00F90037"/>
    <w:rsid w:val="00F92726"/>
    <w:rsid w:val="00FA23E8"/>
    <w:rsid w:val="00FA2D87"/>
    <w:rsid w:val="00FA343A"/>
    <w:rsid w:val="00FA5E8E"/>
    <w:rsid w:val="00FB0D33"/>
    <w:rsid w:val="00FC4A15"/>
    <w:rsid w:val="00FD3CC1"/>
    <w:rsid w:val="00FF1E02"/>
    <w:rsid w:val="00FF30B4"/>
    <w:rsid w:val="07827509"/>
    <w:rsid w:val="0D3C403E"/>
    <w:rsid w:val="10C055FF"/>
    <w:rsid w:val="132C4C31"/>
    <w:rsid w:val="16BB723D"/>
    <w:rsid w:val="22F13A41"/>
    <w:rsid w:val="240371BF"/>
    <w:rsid w:val="29D23E1C"/>
    <w:rsid w:val="29FD04D3"/>
    <w:rsid w:val="2AD06749"/>
    <w:rsid w:val="319F7F4E"/>
    <w:rsid w:val="3AC82B41"/>
    <w:rsid w:val="3DAD610B"/>
    <w:rsid w:val="3F884A96"/>
    <w:rsid w:val="406730F7"/>
    <w:rsid w:val="41B4472F"/>
    <w:rsid w:val="4B841C0C"/>
    <w:rsid w:val="4D2343AE"/>
    <w:rsid w:val="4EE81164"/>
    <w:rsid w:val="503F2D09"/>
    <w:rsid w:val="50BB618D"/>
    <w:rsid w:val="55F955B8"/>
    <w:rsid w:val="5BF82C4F"/>
    <w:rsid w:val="5F29492E"/>
    <w:rsid w:val="660B43A6"/>
    <w:rsid w:val="6B056575"/>
    <w:rsid w:val="70D169D2"/>
    <w:rsid w:val="7BDA47D0"/>
    <w:rsid w:val="7D901A64"/>
    <w:rsid w:val="FB7FB265"/>
    <w:rsid w:val="FE7FD9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link w:val="31"/>
    <w:semiHidden/>
    <w:unhideWhenUsed/>
    <w:qFormat/>
    <w:uiPriority w:val="99"/>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styleId="17">
    <w:name w:val="footnote reference"/>
    <w:basedOn w:val="14"/>
    <w:semiHidden/>
    <w:unhideWhenUsed/>
    <w:qFormat/>
    <w:uiPriority w:val="99"/>
    <w:rPr>
      <w:vertAlign w:val="superscript"/>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rFonts w:ascii="Calibri" w:hAnsi="Calibri"/>
      <w:sz w:val="18"/>
      <w:szCs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character" w:customStyle="1" w:styleId="31">
    <w:name w:val="脚注文本 Char"/>
    <w:basedOn w:val="14"/>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2017</c:v>
                </c:pt>
                <c:pt idx="1">
                  <c:v>2018</c:v>
                </c:pt>
              </c:numCache>
            </c:numRef>
          </c:cat>
          <c:val>
            <c:numRef>
              <c:f>Sheet1!$B$2:$B$3</c:f>
              <c:numCache>
                <c:formatCode>General</c:formatCode>
                <c:ptCount val="2"/>
                <c:pt idx="0">
                  <c:v>452.59</c:v>
                </c:pt>
                <c:pt idx="1">
                  <c:v>543.19</c:v>
                </c:pt>
              </c:numCache>
            </c:numRef>
          </c:val>
        </c:ser>
        <c:ser>
          <c:idx val="1"/>
          <c:order val="1"/>
          <c:tx>
            <c:strRef>
              <c:f>Sheet1!$C$1</c:f>
              <c:strCache>
                <c:ptCount val="1"/>
                <c:pt idx="0">
                  <c:v>列1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2017</c:v>
                </c:pt>
                <c:pt idx="1">
                  <c:v>2018</c:v>
                </c:pt>
              </c:numCache>
            </c:numRef>
          </c:cat>
          <c:val>
            <c:numRef>
              <c:f>Sheet1!$C$2:$C$3</c:f>
              <c:numCache>
                <c:formatCode>General</c:formatCode>
                <c:ptCount val="2"/>
              </c:numCache>
            </c:numRef>
          </c:val>
        </c:ser>
        <c:dLbls>
          <c:showLegendKey val="0"/>
          <c:showVal val="1"/>
          <c:showCatName val="0"/>
          <c:showSerName val="0"/>
          <c:showPercent val="0"/>
          <c:showBubbleSize val="0"/>
        </c:dLbls>
        <c:gapWidth val="75"/>
        <c:axId val="162861824"/>
        <c:axId val="162863360"/>
      </c:barChart>
      <c:catAx>
        <c:axId val="1628618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863360"/>
        <c:crosses val="autoZero"/>
        <c:auto val="1"/>
        <c:lblAlgn val="ctr"/>
        <c:lblOffset val="100"/>
        <c:noMultiLvlLbl val="0"/>
      </c:catAx>
      <c:valAx>
        <c:axId val="16286336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8618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528.21</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附属单位补助支出</c:v>
                </c:pt>
              </c:strCache>
            </c:strRef>
          </c:cat>
          <c:val>
            <c:numRef>
              <c:f>Sheet1!$B$2:$B$6</c:f>
              <c:numCache>
                <c:formatCode>General</c:formatCode>
                <c:ptCount val="5"/>
                <c:pt idx="0">
                  <c:v>481.6</c:v>
                </c:pt>
                <c:pt idx="1">
                  <c:v>29.06</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2017年</c:v>
                </c:pt>
                <c:pt idx="1">
                  <c:v>2018年</c:v>
                </c:pt>
              </c:strCache>
            </c:strRef>
          </c:cat>
          <c:val>
            <c:numRef>
              <c:f>Sheet1!$B$2:$B$3</c:f>
              <c:numCache>
                <c:formatCode>General</c:formatCode>
                <c:ptCount val="2"/>
                <c:pt idx="0">
                  <c:v>452.59</c:v>
                </c:pt>
                <c:pt idx="1">
                  <c:v>543.19</c:v>
                </c:pt>
              </c:numCache>
            </c:numRef>
          </c:val>
        </c:ser>
        <c:dLbls>
          <c:showLegendKey val="0"/>
          <c:showVal val="1"/>
          <c:showCatName val="0"/>
          <c:showSerName val="0"/>
          <c:showPercent val="0"/>
          <c:showBubbleSize val="0"/>
        </c:dLbls>
        <c:gapWidth val="150"/>
        <c:overlap val="-25"/>
        <c:axId val="163227136"/>
        <c:axId val="163228672"/>
      </c:barChart>
      <c:catAx>
        <c:axId val="16322713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228672"/>
        <c:crosses val="autoZero"/>
        <c:auto val="1"/>
        <c:lblAlgn val="ctr"/>
        <c:lblOffset val="100"/>
        <c:noMultiLvlLbl val="0"/>
      </c:catAx>
      <c:valAx>
        <c:axId val="163228672"/>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22713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2017年</c:v>
                </c:pt>
                <c:pt idx="1">
                  <c:v>2018年</c:v>
                </c:pt>
              </c:strCache>
            </c:strRef>
          </c:cat>
          <c:val>
            <c:numRef>
              <c:f>Sheet1!$B$2:$B$3</c:f>
              <c:numCache>
                <c:formatCode>General</c:formatCode>
                <c:ptCount val="2"/>
                <c:pt idx="0">
                  <c:v>452.59</c:v>
                </c:pt>
                <c:pt idx="1">
                  <c:v>543.19</c:v>
                </c:pt>
              </c:numCache>
            </c:numRef>
          </c:val>
        </c:ser>
        <c:dLbls>
          <c:showLegendKey val="0"/>
          <c:showVal val="1"/>
          <c:showCatName val="0"/>
          <c:showSerName val="0"/>
          <c:showPercent val="0"/>
          <c:showBubbleSize val="0"/>
        </c:dLbls>
        <c:gapWidth val="150"/>
        <c:overlap val="-25"/>
        <c:axId val="163388032"/>
        <c:axId val="163393920"/>
      </c:barChart>
      <c:catAx>
        <c:axId val="1633880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393920"/>
        <c:crosses val="autoZero"/>
        <c:auto val="1"/>
        <c:lblAlgn val="ctr"/>
        <c:lblOffset val="100"/>
        <c:noMultiLvlLbl val="0"/>
      </c:catAx>
      <c:valAx>
        <c:axId val="16339392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33880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公共安全支出</c:v>
                </c:pt>
                <c:pt idx="1">
                  <c:v>社会保障和就业</c:v>
                </c:pt>
                <c:pt idx="2">
                  <c:v>医疗卫生支出</c:v>
                </c:pt>
                <c:pt idx="3">
                  <c:v>住房保障支出</c:v>
                </c:pt>
                <c:pt idx="4">
                  <c:v>农林水支出</c:v>
                </c:pt>
              </c:strCache>
            </c:strRef>
          </c:cat>
          <c:val>
            <c:numRef>
              <c:f>Sheet1!$B$2:$B$6</c:f>
              <c:numCache>
                <c:formatCode>General</c:formatCode>
                <c:ptCount val="5"/>
                <c:pt idx="0">
                  <c:v>377.64</c:v>
                </c:pt>
                <c:pt idx="1">
                  <c:v>53.04</c:v>
                </c:pt>
                <c:pt idx="2">
                  <c:v>20.29</c:v>
                </c:pt>
                <c:pt idx="3">
                  <c:v>34.23</c:v>
                </c:pt>
                <c:pt idx="4">
                  <c:v>25.46</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11942</Words>
  <Characters>3816</Characters>
  <Lines>31</Lines>
  <Paragraphs>31</Paragraphs>
  <TotalTime>1</TotalTime>
  <ScaleCrop>false</ScaleCrop>
  <LinksUpToDate>false</LinksUpToDate>
  <CharactersWithSpaces>15727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user</cp:lastModifiedBy>
  <cp:lastPrinted>2019-09-25T00:49:00Z</cp:lastPrinted>
  <dcterms:modified xsi:type="dcterms:W3CDTF">2026-04-17T10:35:32Z</dcterms:modified>
  <dc:title>四川省***</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