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71" w:name="_GoBack"/>
      <w:bookmarkEnd w:id="71"/>
      <w:bookmarkStart w:id="0" w:name="_Toc15306267"/>
      <w:bookmarkStart w:id="1" w:name="_Toc15377196"/>
      <w:bookmarkStart w:id="2" w:name="_Toc15396599"/>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44"/>
          <w:szCs w:val="44"/>
        </w:rPr>
      </w:pPr>
      <w:bookmarkStart w:id="3" w:name="_Toc15396597"/>
      <w:bookmarkStart w:id="4" w:name="_Toc15377193"/>
      <w:bookmarkStart w:id="5" w:name="_Toc15396475"/>
      <w:bookmarkStart w:id="6" w:name="_Toc15377425"/>
      <w:bookmarkStart w:id="7" w:name="_Toc15378441"/>
      <w:r>
        <w:rPr>
          <w:rFonts w:hint="eastAsia" w:ascii="方正小标宋简体" w:hAnsi="黑体" w:eastAsia="方正小标宋简体"/>
          <w:color w:val="000000"/>
          <w:sz w:val="44"/>
          <w:szCs w:val="44"/>
        </w:rPr>
        <w:t>2019</w:t>
      </w:r>
      <w:r>
        <w:rPr>
          <w:rFonts w:hint="eastAsia" w:ascii="方正小标宋简体" w:hAnsi="宋体" w:eastAsia="方正小标宋简体"/>
          <w:color w:val="000000"/>
          <w:sz w:val="44"/>
          <w:szCs w:val="44"/>
        </w:rPr>
        <w:t>年度</w:t>
      </w:r>
      <w:bookmarkEnd w:id="3"/>
      <w:bookmarkEnd w:id="4"/>
      <w:bookmarkEnd w:id="5"/>
      <w:bookmarkEnd w:id="6"/>
      <w:bookmarkEnd w:id="7"/>
    </w:p>
    <w:p>
      <w:pPr>
        <w:adjustRightInd w:val="0"/>
        <w:snapToGrid w:val="0"/>
        <w:spacing w:line="360" w:lineRule="auto"/>
        <w:jc w:val="center"/>
        <w:outlineLvl w:val="0"/>
        <w:rPr>
          <w:rFonts w:ascii="方正小标宋简体" w:hAnsi="宋体" w:eastAsia="方正小标宋简体"/>
          <w:color w:val="000000"/>
          <w:sz w:val="72"/>
          <w:szCs w:val="72"/>
        </w:rPr>
      </w:pPr>
      <w:bookmarkStart w:id="8" w:name="_Toc15377194"/>
      <w:bookmarkStart w:id="9" w:name="_Toc15377426"/>
      <w:bookmarkStart w:id="10" w:name="_Toc15396476"/>
      <w:bookmarkStart w:id="11" w:name="_Toc15396598"/>
      <w:bookmarkStart w:id="12" w:name="_Toc15378442"/>
      <w:r>
        <w:rPr>
          <w:rFonts w:hint="eastAsia" w:ascii="方正小标宋简体" w:hAnsi="宋体" w:eastAsia="方正小标宋简体"/>
          <w:color w:val="000000"/>
          <w:sz w:val="44"/>
          <w:szCs w:val="44"/>
        </w:rPr>
        <w:t>四川省阿坝州</w:t>
      </w:r>
      <w:bookmarkEnd w:id="0"/>
      <w:bookmarkStart w:id="13" w:name="_Toc15306268"/>
      <w:r>
        <w:rPr>
          <w:rFonts w:hint="eastAsia" w:ascii="方正小标宋简体" w:hAnsi="宋体" w:eastAsia="方正小标宋简体"/>
          <w:color w:val="000000"/>
          <w:sz w:val="44"/>
          <w:szCs w:val="44"/>
        </w:rPr>
        <w:t>茂县民政局部门决算</w:t>
      </w:r>
      <w:bookmarkEnd w:id="8"/>
      <w:bookmarkEnd w:id="9"/>
      <w:bookmarkEnd w:id="10"/>
      <w:bookmarkEnd w:id="11"/>
      <w:bookmarkEnd w:id="12"/>
      <w:bookmarkEnd w:id="13"/>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firstLine="1276"/>
        <w:jc w:val="left"/>
        <w:rPr>
          <w:rFonts w:hint="eastAsia" w:ascii="仿宋_GB2312" w:hAnsi="Calibri" w:eastAsia="仿宋_GB2312" w:cs="仿宋_GB2312"/>
          <w:sz w:val="32"/>
          <w:szCs w:val="32"/>
        </w:rPr>
      </w:pPr>
      <w:r>
        <w:rPr>
          <w:rFonts w:hint="eastAsia" w:ascii="仿宋_GB2312" w:hAnsi="Calibri" w:eastAsia="仿宋_GB2312" w:cs="仿宋_GB2312"/>
          <w:sz w:val="32"/>
          <w:szCs w:val="32"/>
        </w:rPr>
        <w:t>保密审查情况：</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w:t>
      </w:r>
    </w:p>
    <w:p>
      <w:pPr>
        <w:pStyle w:val="10"/>
        <w:adjustRightInd w:val="0"/>
        <w:snapToGrid w:val="0"/>
        <w:spacing w:before="0" w:line="440" w:lineRule="exact"/>
        <w:jc w:val="both"/>
        <w:rPr>
          <w:rFonts w:hint="default" w:ascii="仿宋_GB2312" w:hAnsi="仿宋_GB2312" w:eastAsia="仿宋_GB2312" w:cs="仿宋_GB2312"/>
          <w:sz w:val="32"/>
          <w:szCs w:val="32"/>
          <w:lang w:val="en-US" w:eastAsia="zh-CN"/>
        </w:rPr>
      </w:pPr>
      <w:r>
        <w:rPr>
          <w:rFonts w:ascii="方正小标宋简体" w:hAnsi="宋体" w:eastAsia="方正小标宋简体"/>
          <w:sz w:val="36"/>
          <w:szCs w:val="36"/>
        </w:rPr>
        <w:br w:type="page"/>
      </w:r>
      <w:r>
        <w:rPr>
          <w:rFonts w:hint="eastAsia" w:ascii="仿宋_GB2312" w:hAnsi="仿宋_GB2312" w:eastAsia="仿宋_GB2312" w:cs="仿宋_GB2312"/>
          <w:sz w:val="32"/>
          <w:szCs w:val="32"/>
        </w:rPr>
        <w:t>第一部分 部门概况</w:t>
      </w:r>
      <w:r>
        <w:rPr>
          <w:rFonts w:hint="eastAsia" w:ascii="仿宋_GB2312" w:hAnsi="仿宋_GB2312" w:eastAsia="仿宋_GB2312" w:cs="仿宋_GB2312"/>
          <w:sz w:val="32"/>
          <w:szCs w:val="32"/>
          <w:lang w:val="en-US" w:eastAsia="zh-CN"/>
        </w:rPr>
        <w:t xml:space="preserve">  .............................. .1          </w:t>
      </w:r>
    </w:p>
    <w:p>
      <w:pPr>
        <w:pStyle w:val="11"/>
        <w:adjustRightInd w:val="0"/>
        <w:snapToGrid w:val="0"/>
        <w:spacing w:line="44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一、基本职能及主要工作</w:t>
      </w:r>
      <w:r>
        <w:rPr>
          <w:rFonts w:hint="eastAsia" w:ascii="仿宋_GB2312" w:hAnsi="仿宋_GB2312" w:eastAsia="仿宋_GB2312" w:cs="仿宋_GB2312"/>
          <w:sz w:val="32"/>
          <w:szCs w:val="32"/>
          <w:lang w:val="en-US" w:eastAsia="zh-CN"/>
        </w:rPr>
        <w:t>..........................4</w:t>
      </w:r>
    </w:p>
    <w:p>
      <w:pPr>
        <w:pStyle w:val="11"/>
        <w:adjustRightInd w:val="0"/>
        <w:snapToGrid w:val="0"/>
        <w:spacing w:line="44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lang w:val="en-US" w:eastAsia="zh-CN"/>
        </w:rPr>
        <w:t>....................................4</w:t>
      </w:r>
    </w:p>
    <w:p>
      <w:pPr>
        <w:pStyle w:val="10"/>
        <w:adjustRightInd w:val="0"/>
        <w:snapToGrid w:val="0"/>
        <w:spacing w:before="0" w:line="44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第二部分度部门决算情况说明</w:t>
      </w:r>
      <w:r>
        <w:rPr>
          <w:rFonts w:hint="eastAsia" w:ascii="仿宋_GB2312" w:hAnsi="仿宋_GB2312" w:eastAsia="仿宋_GB2312" w:cs="仿宋_GB2312"/>
          <w:sz w:val="32"/>
          <w:szCs w:val="32"/>
          <w:lang w:val="en-US" w:eastAsia="zh-CN"/>
        </w:rPr>
        <w:t>........................6</w:t>
      </w:r>
    </w:p>
    <w:p>
      <w:pPr>
        <w:pStyle w:val="11"/>
        <w:adjustRightInd w:val="0"/>
        <w:snapToGrid w:val="0"/>
        <w:spacing w:line="44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lang w:val="en-US" w:eastAsia="zh-CN"/>
        </w:rPr>
        <w:t>....................6</w:t>
      </w:r>
    </w:p>
    <w:p>
      <w:pPr>
        <w:pStyle w:val="11"/>
        <w:adjustRightInd w:val="0"/>
        <w:snapToGrid w:val="0"/>
        <w:spacing w:line="44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lang w:val="en-US" w:eastAsia="zh-CN"/>
        </w:rPr>
        <w:t>............................6</w:t>
      </w:r>
    </w:p>
    <w:p>
      <w:pPr>
        <w:pStyle w:val="11"/>
        <w:adjustRightInd w:val="0"/>
        <w:snapToGrid w:val="0"/>
        <w:spacing w:line="44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lang w:val="en-US" w:eastAsia="zh-CN"/>
        </w:rPr>
        <w:t>............................7</w:t>
      </w:r>
    </w:p>
    <w:p>
      <w:pPr>
        <w:pStyle w:val="11"/>
        <w:adjustRightInd w:val="0"/>
        <w:snapToGrid w:val="0"/>
        <w:spacing w:line="44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lang w:val="en-US" w:eastAsia="zh-CN"/>
        </w:rPr>
        <w:t>............8</w:t>
      </w:r>
    </w:p>
    <w:p>
      <w:pPr>
        <w:pStyle w:val="11"/>
        <w:adjustRightInd w:val="0"/>
        <w:snapToGrid w:val="0"/>
        <w:spacing w:line="44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lang w:val="en-US" w:eastAsia="zh-CN"/>
        </w:rPr>
        <w:t>........9</w:t>
      </w:r>
    </w:p>
    <w:p>
      <w:pPr>
        <w:pStyle w:val="11"/>
        <w:adjustRightInd w:val="0"/>
        <w:snapToGrid w:val="0"/>
        <w:spacing w:line="44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lang w:val="en-US" w:eastAsia="zh-CN"/>
        </w:rPr>
        <w:t>...15</w:t>
      </w:r>
    </w:p>
    <w:p>
      <w:pPr>
        <w:pStyle w:val="11"/>
        <w:adjustRightInd w:val="0"/>
        <w:snapToGrid w:val="0"/>
        <w:spacing w:line="44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七、“三公”经费财政拨款支出决算情况说明</w:t>
      </w:r>
      <w:r>
        <w:rPr>
          <w:rFonts w:hint="eastAsia" w:ascii="仿宋_GB2312" w:hAnsi="仿宋_GB2312" w:eastAsia="仿宋_GB2312" w:cs="仿宋_GB2312"/>
          <w:sz w:val="32"/>
          <w:szCs w:val="32"/>
          <w:lang w:val="en-US" w:eastAsia="zh-CN"/>
        </w:rPr>
        <w:t>.......15</w:t>
      </w:r>
    </w:p>
    <w:p>
      <w:pPr>
        <w:pStyle w:val="11"/>
        <w:adjustRightInd w:val="0"/>
        <w:snapToGrid w:val="0"/>
        <w:spacing w:line="44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lang w:val="en-US" w:eastAsia="zh-CN"/>
        </w:rPr>
        <w:t>.............17</w:t>
      </w:r>
    </w:p>
    <w:p>
      <w:pPr>
        <w:pStyle w:val="11"/>
        <w:adjustRightInd w:val="0"/>
        <w:snapToGrid w:val="0"/>
        <w:spacing w:line="440" w:lineRule="exact"/>
        <w:ind w:left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lang w:val="en-US" w:eastAsia="zh-CN"/>
        </w:rPr>
        <w:t>...........17</w:t>
      </w:r>
    </w:p>
    <w:p>
      <w:pPr>
        <w:adjustRightInd w:val="0"/>
        <w:snapToGrid w:val="0"/>
        <w:spacing w:line="440" w:lineRule="exact"/>
        <w:ind w:firstLine="320" w:firstLineChars="100"/>
        <w:jc w:val="both"/>
        <w:rPr>
          <w:rFonts w:hint="default" w:ascii="仿宋_GB2312" w:hAnsi="仿宋_GB2312" w:eastAsia="仿宋_GB2312" w:cs="仿宋_GB2312"/>
          <w:sz w:val="32"/>
          <w:szCs w:val="32"/>
          <w:lang w:val="en-US" w:eastAsia="zh-CN"/>
        </w:rPr>
      </w:pPr>
      <w:r>
        <w:rPr>
          <w:rStyle w:val="16"/>
          <w:rFonts w:hint="eastAsia" w:ascii="仿宋_GB2312" w:hAnsi="仿宋_GB2312" w:eastAsia="仿宋_GB2312" w:cs="仿宋_GB2312"/>
          <w:color w:val="000000" w:themeColor="text1"/>
          <w:sz w:val="32"/>
          <w:szCs w:val="32"/>
          <w:u w:val="none"/>
          <w14:textFill>
            <w14:solidFill>
              <w14:schemeClr w14:val="tx1"/>
            </w14:solidFill>
          </w14:textFill>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w:t>
      </w:r>
    </w:p>
    <w:p>
      <w:pPr>
        <w:pStyle w:val="10"/>
        <w:adjustRightInd w:val="0"/>
        <w:snapToGrid w:val="0"/>
        <w:spacing w:before="0" w:line="44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第三部分 名词解释</w:t>
      </w:r>
      <w:r>
        <w:rPr>
          <w:rFonts w:hint="eastAsia" w:ascii="仿宋_GB2312" w:hAnsi="仿宋_GB2312" w:eastAsia="仿宋_GB2312" w:cs="仿宋_GB2312"/>
          <w:sz w:val="32"/>
          <w:szCs w:val="32"/>
          <w:lang w:val="en-US" w:eastAsia="zh-CN"/>
        </w:rPr>
        <w:t>................................28</w:t>
      </w:r>
    </w:p>
    <w:p>
      <w:pPr>
        <w:pStyle w:val="10"/>
        <w:adjustRightInd w:val="0"/>
        <w:snapToGrid w:val="0"/>
        <w:spacing w:before="0" w:line="44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第四部分 附件</w:t>
      </w:r>
      <w:r>
        <w:rPr>
          <w:rFonts w:hint="eastAsia" w:ascii="仿宋_GB2312" w:hAnsi="仿宋_GB2312" w:eastAsia="仿宋_GB2312" w:cs="仿宋_GB2312"/>
          <w:sz w:val="32"/>
          <w:szCs w:val="32"/>
          <w:lang w:eastAsia="zh-CN"/>
        </w:rPr>
        <w:t>：民政局部门</w:t>
      </w:r>
      <w:r>
        <w:rPr>
          <w:rFonts w:hint="eastAsia" w:ascii="仿宋_GB2312" w:hAnsi="仿宋_GB2312" w:eastAsia="仿宋_GB2312" w:cs="仿宋_GB2312"/>
          <w:sz w:val="32"/>
          <w:szCs w:val="32"/>
          <w:lang w:val="en-US" w:eastAsia="zh-CN"/>
        </w:rPr>
        <w:t>2019年部门整体支出绩效评价报告.............................................35</w:t>
      </w:r>
    </w:p>
    <w:p>
      <w:pPr>
        <w:pStyle w:val="10"/>
        <w:adjustRightInd w:val="0"/>
        <w:snapToGrid w:val="0"/>
        <w:spacing w:before="0" w:line="44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第五部分 附表</w:t>
      </w:r>
      <w:r>
        <w:rPr>
          <w:rFonts w:hint="eastAsia" w:ascii="仿宋_GB2312" w:hAnsi="仿宋_GB2312" w:eastAsia="仿宋_GB2312" w:cs="仿宋_GB2312"/>
          <w:sz w:val="32"/>
          <w:szCs w:val="32"/>
          <w:lang w:val="en-US" w:eastAsia="zh-CN"/>
        </w:rPr>
        <w:t>....................................40</w:t>
      </w:r>
    </w:p>
    <w:p>
      <w:pPr>
        <w:pStyle w:val="11"/>
        <w:adjustRightInd w:val="0"/>
        <w:snapToGrid w:val="0"/>
        <w:spacing w:line="44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1"/>
        <w:adjustRightInd w:val="0"/>
        <w:snapToGrid w:val="0"/>
        <w:spacing w:line="44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1"/>
        <w:adjustRightInd w:val="0"/>
        <w:snapToGrid w:val="0"/>
        <w:spacing w:line="44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1"/>
        <w:adjustRightInd w:val="0"/>
        <w:snapToGrid w:val="0"/>
        <w:spacing w:line="44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1"/>
        <w:adjustRightInd w:val="0"/>
        <w:snapToGrid w:val="0"/>
        <w:spacing w:line="44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1"/>
        <w:adjustRightInd w:val="0"/>
        <w:snapToGrid w:val="0"/>
        <w:spacing w:line="44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1"/>
        <w:adjustRightInd w:val="0"/>
        <w:snapToGrid w:val="0"/>
        <w:spacing w:line="44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1"/>
        <w:adjustRightInd w:val="0"/>
        <w:snapToGrid w:val="0"/>
        <w:spacing w:line="44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1"/>
        <w:adjustRightInd w:val="0"/>
        <w:snapToGrid w:val="0"/>
        <w:spacing w:line="44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1"/>
        <w:adjustRightInd w:val="0"/>
        <w:snapToGrid w:val="0"/>
        <w:spacing w:line="44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1"/>
        <w:adjustRightInd w:val="0"/>
        <w:snapToGrid w:val="0"/>
        <w:spacing w:line="44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1"/>
        <w:adjustRightInd w:val="0"/>
        <w:snapToGrid w:val="0"/>
        <w:spacing w:line="44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1"/>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十三、国有资本经营预算支出决算表</w:t>
      </w:r>
    </w:p>
    <w:p>
      <w:pPr>
        <w:pStyle w:val="2"/>
        <w:spacing w:before="0" w:after="0" w:line="576" w:lineRule="exact"/>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
      <w:bookmarkEnd w:id="2"/>
    </w:p>
    <w:p>
      <w:pPr>
        <w:pStyle w:val="3"/>
        <w:spacing w:before="0" w:after="0" w:line="576" w:lineRule="exact"/>
        <w:ind w:firstLine="640" w:firstLineChars="200"/>
        <w:rPr>
          <w:rFonts w:ascii="黑体" w:hAnsi="黑体" w:eastAsia="黑体"/>
          <w:b w:val="0"/>
          <w:color w:val="000000"/>
        </w:rPr>
      </w:pPr>
      <w:bookmarkStart w:id="14" w:name="_Toc15377197"/>
      <w:bookmarkStart w:id="15" w:name="_Toc15396600"/>
    </w:p>
    <w:p>
      <w:pPr>
        <w:pStyle w:val="3"/>
        <w:spacing w:before="0" w:after="0" w:line="576" w:lineRule="exact"/>
        <w:ind w:firstLine="640" w:firstLineChars="200"/>
        <w:rPr>
          <w:rStyle w:val="26"/>
          <w:rFonts w:hint="eastAsia" w:ascii="黑体" w:hAnsi="黑体" w:eastAsia="黑体" w:cs="黑体"/>
          <w:b w:val="0"/>
          <w:bCs w:val="0"/>
        </w:rPr>
      </w:pPr>
      <w:r>
        <w:rPr>
          <w:rFonts w:hint="eastAsia" w:ascii="黑体" w:hAnsi="黑体" w:eastAsia="黑体" w:cs="黑体"/>
          <w:b w:val="0"/>
          <w:color w:val="000000"/>
        </w:rPr>
        <w:t>一、基</w:t>
      </w:r>
      <w:r>
        <w:rPr>
          <w:rStyle w:val="26"/>
          <w:rFonts w:hint="eastAsia" w:ascii="黑体" w:hAnsi="黑体" w:eastAsia="黑体" w:cs="黑体"/>
          <w:b w:val="0"/>
          <w:bCs w:val="0"/>
        </w:rPr>
        <w:t>本职能及主要工作</w:t>
      </w:r>
      <w:bookmarkEnd w:id="14"/>
      <w:bookmarkEnd w:id="15"/>
      <w:bookmarkStart w:id="16" w:name="_Toc15378446"/>
      <w:bookmarkStart w:id="17" w:name="_Toc15377199"/>
    </w:p>
    <w:p>
      <w:pPr>
        <w:pStyle w:val="3"/>
        <w:spacing w:before="0" w:after="0" w:line="576" w:lineRule="exact"/>
        <w:ind w:firstLine="640" w:firstLineChars="200"/>
        <w:rPr>
          <w:rFonts w:ascii="仿宋_GB2312" w:eastAsia="仿宋_GB2312"/>
          <w:b w:val="0"/>
        </w:rPr>
      </w:pPr>
      <w:r>
        <w:rPr>
          <w:rFonts w:hint="eastAsia" w:ascii="仿宋_GB2312" w:eastAsia="仿宋_GB2312"/>
          <w:b w:val="0"/>
        </w:rPr>
        <w:t>（一）贯彻执行民政工作民族自治法规，拟订全县民政事业发展规划、工作计划，负责组织实施和监督检查全县民政事业政策、标准。</w:t>
      </w:r>
    </w:p>
    <w:p>
      <w:pPr>
        <w:pStyle w:val="3"/>
        <w:spacing w:before="0" w:after="0" w:line="576" w:lineRule="exact"/>
        <w:ind w:firstLine="640" w:firstLineChars="200"/>
        <w:rPr>
          <w:rFonts w:ascii="仿宋_GB2312" w:eastAsia="仿宋_GB2312"/>
          <w:b w:val="0"/>
        </w:rPr>
      </w:pPr>
      <w:r>
        <w:rPr>
          <w:rFonts w:hint="eastAsia" w:ascii="仿宋_GB2312" w:eastAsia="仿宋_GB2312"/>
          <w:b w:val="0"/>
        </w:rPr>
        <w:t>（二）承担对社会团体、基金会、社会服务机构等社会组织登记和监督管理办法并组织实施，依法对社会组织进行登记管理和执法监督。</w:t>
      </w:r>
    </w:p>
    <w:p>
      <w:pPr>
        <w:pStyle w:val="3"/>
        <w:spacing w:before="0" w:after="0" w:line="576" w:lineRule="exact"/>
        <w:ind w:firstLine="640" w:firstLineChars="200"/>
        <w:rPr>
          <w:rFonts w:ascii="仿宋_GB2312" w:eastAsia="仿宋_GB2312"/>
          <w:b w:val="0"/>
        </w:rPr>
      </w:pPr>
      <w:r>
        <w:rPr>
          <w:rFonts w:hint="eastAsia" w:ascii="仿宋_GB2312" w:eastAsia="仿宋_GB2312"/>
          <w:b w:val="0"/>
        </w:rPr>
        <w:t>（三）牵头实施和执行社会救助规划、政策和标准，统筹推进社会救助体系建设，负责城乡居民最低生活保障、特困人员救助供养、临时救助、生活无着流浪乞讨人员救助工作。</w:t>
      </w:r>
    </w:p>
    <w:p>
      <w:pPr>
        <w:pStyle w:val="3"/>
        <w:spacing w:before="0" w:after="0" w:line="576" w:lineRule="exact"/>
        <w:ind w:firstLine="640" w:firstLineChars="200"/>
        <w:rPr>
          <w:rFonts w:ascii="仿宋_GB2312" w:eastAsia="仿宋_GB2312"/>
          <w:b w:val="0"/>
        </w:rPr>
      </w:pPr>
      <w:r>
        <w:rPr>
          <w:rFonts w:hint="eastAsia" w:ascii="仿宋_GB2312" w:eastAsia="仿宋_GB2312"/>
          <w:b w:val="0"/>
        </w:rPr>
        <w:t>（四）负责指导实施城乡基层群众自治建设和社区治理政策，指导城乡社区治理体系、服务体系和治理能力建设，提出加强和改进城乡基层政权建设的建议，推动基层民主政治建设。</w:t>
      </w:r>
    </w:p>
    <w:p>
      <w:pPr>
        <w:pStyle w:val="3"/>
        <w:spacing w:before="0" w:after="0" w:line="576" w:lineRule="exact"/>
        <w:ind w:firstLine="640" w:firstLineChars="200"/>
        <w:rPr>
          <w:rFonts w:ascii="仿宋_GB2312" w:eastAsia="仿宋_GB2312"/>
          <w:b w:val="0"/>
        </w:rPr>
      </w:pPr>
      <w:r>
        <w:rPr>
          <w:rFonts w:hint="eastAsia" w:ascii="仿宋_GB2312" w:eastAsia="仿宋_GB2312"/>
          <w:b w:val="0"/>
        </w:rPr>
        <w:t>（五）负责实施全县行政区划管理政策和行政区域界线、地名管理办法，负责全县行政区域的设立、命名、撤销、变更和政府驻地迁移审核上报工作。组织并指导全县行政区域界线的勘定、管理工作，调处行政区域边界争议，负责地名管理工作。</w:t>
      </w:r>
    </w:p>
    <w:p>
      <w:pPr>
        <w:pStyle w:val="3"/>
        <w:spacing w:before="0" w:after="0" w:line="576" w:lineRule="exact"/>
        <w:ind w:firstLine="640" w:firstLineChars="200"/>
        <w:rPr>
          <w:rFonts w:ascii="仿宋_GB2312" w:eastAsia="仿宋_GB2312"/>
          <w:b w:val="0"/>
        </w:rPr>
      </w:pPr>
      <w:r>
        <w:rPr>
          <w:rFonts w:hint="eastAsia" w:ascii="仿宋_GB2312" w:eastAsia="仿宋_GB2312"/>
          <w:b w:val="0"/>
        </w:rPr>
        <w:t>（六）负责组织实施婚姻管理政策，推进婚俗改革。</w:t>
      </w:r>
    </w:p>
    <w:p>
      <w:pPr>
        <w:pStyle w:val="3"/>
        <w:spacing w:before="0" w:after="0" w:line="576" w:lineRule="exact"/>
        <w:ind w:firstLine="640" w:firstLineChars="200"/>
        <w:rPr>
          <w:rFonts w:ascii="仿宋_GB2312" w:eastAsia="仿宋_GB2312"/>
          <w:b w:val="0"/>
        </w:rPr>
      </w:pPr>
      <w:r>
        <w:rPr>
          <w:rFonts w:hint="eastAsia" w:ascii="仿宋_GB2312" w:eastAsia="仿宋_GB2312"/>
          <w:b w:val="0"/>
        </w:rPr>
        <w:t>（七）负责组织实施殡葬管理政策并规范服务，负责殡葬管理、救助服务机构管理工作，推进殡葬改革。</w:t>
      </w:r>
    </w:p>
    <w:p>
      <w:pPr>
        <w:pStyle w:val="3"/>
        <w:spacing w:before="0" w:after="0" w:line="576" w:lineRule="exact"/>
        <w:ind w:firstLine="640" w:firstLineChars="200"/>
        <w:rPr>
          <w:rFonts w:ascii="仿宋_GB2312" w:eastAsia="仿宋_GB2312"/>
          <w:b w:val="0"/>
        </w:rPr>
      </w:pPr>
      <w:r>
        <w:rPr>
          <w:rFonts w:hint="eastAsia" w:ascii="仿宋_GB2312" w:eastAsia="仿宋_GB2312"/>
          <w:b w:val="0"/>
        </w:rPr>
        <w:t>（八）负责实施社会福利事业发展规划、政策和标准，负责拟订社会福利机构管理办法并指导实施。负责监督实施残疾人权益保护政策。统筹推进残疾人福利制度建设和康复辅助器具产业发展。</w:t>
      </w:r>
    </w:p>
    <w:p>
      <w:pPr>
        <w:pStyle w:val="3"/>
        <w:spacing w:before="0" w:after="0" w:line="576" w:lineRule="exact"/>
        <w:ind w:firstLine="640" w:firstLineChars="200"/>
        <w:rPr>
          <w:rFonts w:ascii="仿宋_GB2312" w:eastAsia="仿宋_GB2312"/>
          <w:b w:val="0"/>
        </w:rPr>
      </w:pPr>
      <w:r>
        <w:rPr>
          <w:rFonts w:hint="eastAsia" w:ascii="仿宋_GB2312" w:eastAsia="仿宋_GB2312"/>
          <w:b w:val="0"/>
        </w:rPr>
        <w:t>（九）统筹推进、督促指导、监督管理养老服务工作，组织实施养老服务体系建设规划、政策、标准，承担老年人福利和特殊困难老年人救助工作，协调推进农村留守老年人关爱服务工作，承担城乡老年社会组织管理工作。负责做好老年大学（学校）管理指导工作。</w:t>
      </w:r>
    </w:p>
    <w:p>
      <w:pPr>
        <w:pStyle w:val="3"/>
        <w:spacing w:before="0" w:after="0" w:line="576" w:lineRule="exact"/>
        <w:ind w:firstLine="640" w:firstLineChars="200"/>
        <w:rPr>
          <w:rFonts w:ascii="仿宋_GB2312" w:eastAsia="仿宋_GB2312"/>
          <w:b w:val="0"/>
        </w:rPr>
      </w:pPr>
      <w:r>
        <w:rPr>
          <w:rFonts w:hint="eastAsia" w:ascii="仿宋_GB2312" w:eastAsia="仿宋_GB2312"/>
          <w:b w:val="0"/>
        </w:rPr>
        <w:t>（十）负责组织实施儿童福利、孤弃儿童保障、儿童收养、儿童救助保护政策和标准，健全农村留守儿童关爱服务体系和困境儿童保障制度。</w:t>
      </w:r>
    </w:p>
    <w:p>
      <w:pPr>
        <w:pStyle w:val="3"/>
        <w:spacing w:before="0" w:after="0" w:line="576" w:lineRule="exact"/>
        <w:ind w:firstLine="640" w:firstLineChars="200"/>
        <w:rPr>
          <w:rFonts w:ascii="仿宋_GB2312" w:eastAsia="仿宋_GB2312"/>
          <w:b w:val="0"/>
        </w:rPr>
      </w:pPr>
      <w:r>
        <w:rPr>
          <w:rFonts w:hint="eastAsia" w:ascii="仿宋_GB2312" w:eastAsia="仿宋_GB2312"/>
          <w:b w:val="0"/>
        </w:rPr>
        <w:t>（十一）组织实施促进慈善事业发展政策，指导社会捐助工作。</w:t>
      </w:r>
    </w:p>
    <w:p>
      <w:pPr>
        <w:pStyle w:val="3"/>
        <w:spacing w:before="0" w:after="0" w:line="576" w:lineRule="exact"/>
        <w:ind w:firstLine="640" w:firstLineChars="200"/>
        <w:rPr>
          <w:rFonts w:ascii="仿宋_GB2312" w:eastAsia="仿宋_GB2312"/>
          <w:b w:val="0"/>
        </w:rPr>
      </w:pPr>
      <w:r>
        <w:rPr>
          <w:rFonts w:hint="eastAsia" w:ascii="仿宋_GB2312" w:eastAsia="仿宋_GB2312"/>
          <w:b w:val="0"/>
        </w:rPr>
        <w:t>（十二）负责组织实施社会工作、志愿服务政策和标准，会同有关部门推进社会工作人才队伍建设和志愿者队伍建设。</w:t>
      </w:r>
    </w:p>
    <w:p>
      <w:pPr>
        <w:pStyle w:val="3"/>
        <w:spacing w:before="0" w:after="0" w:line="576" w:lineRule="exact"/>
        <w:ind w:firstLine="640" w:firstLineChars="200"/>
        <w:rPr>
          <w:rFonts w:ascii="仿宋_GB2312" w:eastAsia="仿宋_GB2312"/>
          <w:b w:val="0"/>
        </w:rPr>
      </w:pPr>
      <w:r>
        <w:rPr>
          <w:rFonts w:hint="eastAsia" w:ascii="仿宋_GB2312" w:eastAsia="仿宋_GB2312"/>
          <w:b w:val="0"/>
        </w:rPr>
        <w:t>（十三）依法依规负责社会福利、养老服务、救助管理、殡葬服务机构的安全生产监督管理工作。负责职责范围内的意识形态、职业健康、生态环境保护、审批服务便民化工作。</w:t>
      </w:r>
    </w:p>
    <w:p>
      <w:pPr>
        <w:pStyle w:val="3"/>
        <w:spacing w:before="0" w:after="0" w:line="576" w:lineRule="exact"/>
        <w:ind w:firstLine="640" w:firstLineChars="200"/>
        <w:rPr>
          <w:rFonts w:ascii="仿宋_GB2312" w:eastAsia="仿宋_GB2312"/>
          <w:b w:val="0"/>
        </w:rPr>
      </w:pPr>
      <w:r>
        <w:rPr>
          <w:rFonts w:hint="eastAsia" w:ascii="仿宋_GB2312" w:eastAsia="仿宋_GB2312"/>
          <w:b w:val="0"/>
        </w:rPr>
        <w:t>（十四）完成县委、县政府交办的其他任务。</w:t>
      </w:r>
    </w:p>
    <w:p>
      <w:pPr>
        <w:pStyle w:val="3"/>
        <w:spacing w:before="0" w:after="0" w:line="576" w:lineRule="exact"/>
        <w:ind w:firstLine="640" w:firstLineChars="200"/>
        <w:rPr>
          <w:rFonts w:ascii="仿宋_GB2312" w:hAnsi="黑体" w:eastAsia="仿宋_GB2312"/>
          <w:b w:val="0"/>
          <w:bCs w:val="0"/>
        </w:rPr>
      </w:pPr>
      <w:r>
        <w:rPr>
          <w:rFonts w:hint="eastAsia" w:ascii="仿宋_GB2312" w:hAnsi="仿宋" w:eastAsia="仿宋_GB2312"/>
          <w:b w:val="0"/>
          <w:color w:val="000000"/>
        </w:rPr>
        <w:t>2019年重点工作完成情况</w:t>
      </w:r>
      <w:bookmarkEnd w:id="16"/>
      <w:bookmarkEnd w:id="17"/>
      <w:r>
        <w:rPr>
          <w:rFonts w:hint="eastAsia" w:ascii="仿宋_GB2312" w:hAnsi="仿宋" w:eastAsia="仿宋_GB2312"/>
          <w:b w:val="0"/>
          <w:color w:val="000000"/>
        </w:rPr>
        <w:t>：</w:t>
      </w:r>
      <w:r>
        <w:rPr>
          <w:rFonts w:hint="eastAsia" w:ascii="仿宋_GB2312" w:eastAsia="仿宋_GB2312"/>
          <w:b w:val="0"/>
        </w:rPr>
        <w:t>为全面贯彻脱贫攻坚工作精神，茂县民政立足部门职能职责，突出工作重点，切实推进脱贫攻坚各项工作。一是精心制定</w:t>
      </w:r>
      <w:r>
        <w:rPr>
          <w:rFonts w:hint="eastAsia" w:ascii="仿宋_GB2312" w:eastAsia="仿宋_GB2312"/>
          <w:b w:val="0"/>
          <w:lang w:eastAsia="zh-CN"/>
        </w:rPr>
        <w:t>了扶贫专项</w:t>
      </w:r>
      <w:r>
        <w:rPr>
          <w:rFonts w:hint="eastAsia" w:ascii="仿宋_GB2312" w:eastAsia="仿宋_GB2312"/>
          <w:b w:val="0"/>
        </w:rPr>
        <w:t>方案，对全县脱贫攻坚社会保障扶贫的对象范围、目标任务、进度安排、重点工作、保障措施、资金筹措等作出规划和部署，明确责任分工和工作举措。二是清理核查到位。为切实搞好农村低保和兜底对象的清理核查，为全县社会保障脱贫攻坚打下扎实基础。椐据农村低保兜底对象清理核查相关文件精神，茂县民政坚持实事求是的工作作风和公正、公平、公开的原则，采取实地调查、邻里走访、信息比对及横向比较等方法，重点对农村低保和社会保障兜底对象是否准确、申报程序是否规范、资金发放是否到位、备案制度是否到位进行了清理核查。三是政策落实到位。对社会救助、残疾人保障、老龄、特困供养等社会保障扶贫工作严格按照政策规定精准识别对象、足额保障标准，确保资金安全高效发放到位。同时，对群众反映的社会保障兜底问题，及时调查、及时处理、及时回复。四是精神领会到位。按照县委、</w:t>
      </w:r>
      <w:r>
        <w:rPr>
          <w:rFonts w:hint="eastAsia" w:ascii="仿宋_GB2312" w:eastAsia="仿宋_GB2312"/>
          <w:b w:val="0"/>
          <w:lang w:eastAsia="zh-CN"/>
        </w:rPr>
        <w:t>县</w:t>
      </w:r>
      <w:r>
        <w:rPr>
          <w:rFonts w:hint="eastAsia" w:ascii="仿宋_GB2312" w:eastAsia="仿宋_GB2312"/>
          <w:b w:val="0"/>
        </w:rPr>
        <w:t>政府及省、州业务主管部门安排部署，及时将习近平总书记的讲话精神及中央、省、州、县有关脱贫攻坚的法律法规、政策、重大决策部署及时传达到全局干部职工，认真组织干部职工学习，不断提高政治站位和责任意识。2019年，组织干部职工学习脱贫攻坚会议15余场次，组织人社、残联等部门主要领导专题分析研究扶贫专项会议3次，专题研究协调扶贫专项工作5次，县民政局党组专题研究社会保障扶贫工作会议每月不少于1次，下基层检查指导扶贫专项工作76人次，在全县上下形成了浓厚的脱贫攻坚政治氛围。五是组织领导到位。成立了由分管副县长为组长，责任部门主要领导为常务副组长，分管副局长为副组长，具体经办人员为成员的社会保障扶贫工作领导小组、社会保障兜底脱贫对象认定工作领导小组、农村低保和社会障兜底脱贫对象认定清理整顿工作等领导小组，建立了社会保障兜底脱贫工作联席会议制度，组织、协调、指导各项具体业务工作开展，积极推动低保制度与扶贫政策的有效对接，切实推进行业脱贫工作。六是工作保障到位。抽调3名业务骨干同志专职负责社会保障脱贫攻坚工作，统一配备必要的办公设备。并选派1名工作能力强、业务熟练的同志到联系村永和乡利里村担任“第一书记”，同时，严格按照政策落实选派干部的生活补贴和交通补贴，解决选派干部后顾之忧。七是制度健全完善。建立健全了临时救助制度，针对建档立卡对象，优化临时救助程序、增强救助时效，加大临时救助力度，着力完善临时救助对贫困群众的救济救难功能，实现最低生活保障制度与临时救助制度的无缝对接。在按现行低保政策月保障标准的基础上，按国家贫困线的标准，对全县年收入低于扶贫标准的农村低保对象补发差额，全面实现低保保障标准和扶贫标准“两线合一”。</w:t>
      </w:r>
      <w:bookmarkStart w:id="18" w:name="_Toc15396601"/>
      <w:bookmarkStart w:id="19" w:name="_Toc15377200"/>
    </w:p>
    <w:p>
      <w:pPr>
        <w:pStyle w:val="3"/>
        <w:spacing w:before="0" w:after="0" w:line="576" w:lineRule="exact"/>
        <w:ind w:firstLine="640" w:firstLineChars="200"/>
        <w:rPr>
          <w:rStyle w:val="26"/>
          <w:rFonts w:ascii="黑体" w:hAnsi="黑体" w:eastAsia="黑体"/>
          <w:b w:val="0"/>
          <w:bCs w:val="0"/>
        </w:rPr>
      </w:pPr>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18"/>
      <w:bookmarkEnd w:id="19"/>
    </w:p>
    <w:p>
      <w:pPr>
        <w:pStyle w:val="3"/>
        <w:spacing w:before="0" w:after="0" w:line="576" w:lineRule="exact"/>
        <w:ind w:firstLine="640" w:firstLineChars="200"/>
        <w:rPr>
          <w:rFonts w:ascii="仿宋_GB2312" w:hAnsi="黑体" w:eastAsia="仿宋_GB2312"/>
          <w:b w:val="0"/>
          <w:bCs w:val="0"/>
        </w:rPr>
      </w:pPr>
      <w:r>
        <w:rPr>
          <w:rFonts w:hint="eastAsia" w:ascii="仿宋_GB2312" w:eastAsia="仿宋_GB2312"/>
          <w:b w:val="0"/>
        </w:rPr>
        <w:t>本单位属于行政编制，一级预算单位</w:t>
      </w:r>
      <w:r>
        <w:rPr>
          <w:rFonts w:ascii="仿宋_GB2312" w:eastAsia="仿宋_GB2312"/>
          <w:b w:val="0"/>
        </w:rPr>
        <w:t>,</w:t>
      </w:r>
      <w:r>
        <w:rPr>
          <w:rFonts w:hint="eastAsia" w:ascii="仿宋_GB2312" w:eastAsia="仿宋_GB2312"/>
          <w:b w:val="0"/>
        </w:rPr>
        <w:t>下属事业部门</w:t>
      </w:r>
      <w:r>
        <w:rPr>
          <w:rFonts w:ascii="仿宋_GB2312" w:eastAsia="仿宋_GB2312"/>
          <w:b w:val="0"/>
        </w:rPr>
        <w:t xml:space="preserve"> 3 </w:t>
      </w:r>
      <w:r>
        <w:rPr>
          <w:rFonts w:hint="eastAsia" w:ascii="仿宋_GB2312" w:eastAsia="仿宋_GB2312"/>
          <w:b w:val="0"/>
        </w:rPr>
        <w:t>个，其中内设机构3个，核定编制27名，其中</w:t>
      </w:r>
      <w:r>
        <w:rPr>
          <w:rFonts w:ascii="仿宋_GB2312" w:eastAsia="仿宋_GB2312"/>
          <w:b w:val="0"/>
        </w:rPr>
        <w:t>:</w:t>
      </w:r>
      <w:r>
        <w:rPr>
          <w:rFonts w:hint="eastAsia" w:ascii="仿宋_GB2312" w:eastAsia="仿宋_GB2312"/>
          <w:b w:val="0"/>
        </w:rPr>
        <w:t>行政编制6</w:t>
      </w:r>
      <w:r>
        <w:rPr>
          <w:rFonts w:ascii="仿宋_GB2312" w:eastAsia="仿宋_GB2312"/>
          <w:b w:val="0"/>
        </w:rPr>
        <w:t xml:space="preserve"> </w:t>
      </w:r>
      <w:r>
        <w:rPr>
          <w:rFonts w:hint="eastAsia" w:ascii="仿宋_GB2312" w:eastAsia="仿宋_GB2312"/>
          <w:b w:val="0"/>
        </w:rPr>
        <w:t>名</w:t>
      </w:r>
      <w:r>
        <w:rPr>
          <w:rFonts w:ascii="仿宋_GB2312" w:eastAsia="仿宋_GB2312"/>
          <w:b w:val="0"/>
        </w:rPr>
        <w:t>,</w:t>
      </w:r>
      <w:r>
        <w:rPr>
          <w:rFonts w:hint="eastAsia" w:ascii="仿宋_GB2312" w:eastAsia="仿宋_GB2312"/>
          <w:b w:val="0"/>
        </w:rPr>
        <w:t>行政工勤编制</w:t>
      </w:r>
      <w:r>
        <w:rPr>
          <w:rFonts w:ascii="仿宋_GB2312" w:eastAsia="仿宋_GB2312"/>
          <w:b w:val="0"/>
        </w:rPr>
        <w:t xml:space="preserve"> </w:t>
      </w:r>
      <w:r>
        <w:rPr>
          <w:rFonts w:hint="eastAsia" w:ascii="仿宋_GB2312" w:eastAsia="仿宋_GB2312"/>
          <w:b w:val="0"/>
        </w:rPr>
        <w:t>2名，事业编制</w:t>
      </w:r>
      <w:r>
        <w:rPr>
          <w:rFonts w:ascii="仿宋_GB2312" w:eastAsia="仿宋_GB2312"/>
          <w:b w:val="0"/>
        </w:rPr>
        <w:t xml:space="preserve"> 19 </w:t>
      </w:r>
      <w:r>
        <w:rPr>
          <w:rFonts w:hint="eastAsia" w:ascii="仿宋_GB2312" w:eastAsia="仿宋_GB2312"/>
          <w:b w:val="0"/>
        </w:rPr>
        <w:t>名。实有人员31名其中：行政人员13名，行政工勤人员</w:t>
      </w:r>
      <w:r>
        <w:rPr>
          <w:rFonts w:ascii="仿宋_GB2312" w:eastAsia="仿宋_GB2312"/>
          <w:b w:val="0"/>
        </w:rPr>
        <w:t xml:space="preserve">2  </w:t>
      </w:r>
      <w:r>
        <w:rPr>
          <w:rFonts w:hint="eastAsia" w:ascii="仿宋_GB2312" w:eastAsia="仿宋_GB2312"/>
          <w:b w:val="0"/>
        </w:rPr>
        <w:t>名；事业人员16名。</w:t>
      </w:r>
    </w:p>
    <w:p>
      <w:pPr>
        <w:widowControl/>
        <w:spacing w:line="576" w:lineRule="exact"/>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spacing w:before="0" w:after="0" w:line="576" w:lineRule="exact"/>
        <w:ind w:right="440"/>
        <w:jc w:val="right"/>
        <w:rPr>
          <w:rStyle w:val="25"/>
          <w:rFonts w:ascii="黑体" w:hAnsi="黑体" w:eastAsia="黑体"/>
          <w:b w:val="0"/>
          <w:bCs w:val="0"/>
        </w:rPr>
      </w:pPr>
      <w:bookmarkStart w:id="20" w:name="_Toc15377204"/>
      <w:bookmarkStart w:id="21"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2019年度部门决算情况说明</w:t>
      </w:r>
      <w:bookmarkEnd w:id="20"/>
      <w:bookmarkEnd w:id="21"/>
    </w:p>
    <w:p>
      <w:pPr>
        <w:spacing w:line="576" w:lineRule="exact"/>
      </w:pPr>
    </w:p>
    <w:p>
      <w:pPr>
        <w:spacing w:line="576" w:lineRule="exact"/>
        <w:ind w:firstLine="640" w:firstLineChars="200"/>
        <w:outlineLvl w:val="1"/>
        <w:rPr>
          <w:rStyle w:val="26"/>
          <w:rFonts w:ascii="黑体" w:hAnsi="黑体" w:eastAsia="黑体"/>
          <w:b w:val="0"/>
        </w:rPr>
      </w:pPr>
      <w:bookmarkStart w:id="22" w:name="_Toc15377205"/>
      <w:bookmarkStart w:id="23" w:name="_Toc15396603"/>
      <w:r>
        <w:rPr>
          <w:rFonts w:hint="eastAsia" w:ascii="黑体" w:hAnsi="黑体" w:eastAsia="黑体"/>
          <w:color w:val="000000"/>
          <w:sz w:val="32"/>
          <w:szCs w:val="32"/>
        </w:rPr>
        <w:t>一、收</w:t>
      </w:r>
      <w:r>
        <w:rPr>
          <w:rStyle w:val="26"/>
          <w:rFonts w:hint="eastAsia" w:ascii="黑体" w:hAnsi="黑体" w:eastAsia="黑体"/>
          <w:b w:val="0"/>
        </w:rPr>
        <w:t>入支出决算总体情况说明</w:t>
      </w:r>
      <w:bookmarkEnd w:id="22"/>
      <w:bookmarkEnd w:id="23"/>
    </w:p>
    <w:p>
      <w:pPr>
        <w:spacing w:line="576" w:lineRule="exact"/>
        <w:ind w:firstLine="640" w:firstLineChars="200"/>
        <w:outlineLvl w:val="1"/>
        <w:rPr>
          <w:rFonts w:ascii="仿宋_GB2312" w:hAnsi="黑体" w:eastAsia="仿宋_GB2312" w:cstheme="majorBidi"/>
          <w:bCs/>
          <w:sz w:val="32"/>
          <w:szCs w:val="32"/>
        </w:rPr>
      </w:pPr>
      <w:r>
        <w:rPr>
          <w:rFonts w:hint="eastAsia" w:ascii="仿宋_GB2312" w:hAnsi="仿宋" w:eastAsia="仿宋_GB2312"/>
          <w:color w:val="000000"/>
          <w:sz w:val="32"/>
          <w:szCs w:val="32"/>
        </w:rPr>
        <w:t>2019年度收、支总计</w:t>
      </w:r>
      <w:r>
        <w:rPr>
          <w:rFonts w:hint="eastAsia" w:ascii="仿宋_GB2312" w:hAnsi="仿宋" w:eastAsia="仿宋_GB2312"/>
          <w:color w:val="000000"/>
          <w:sz w:val="32"/>
          <w:szCs w:val="32"/>
          <w:lang w:val="en-US" w:eastAsia="zh-CN"/>
        </w:rPr>
        <w:t>4239.98</w:t>
      </w:r>
      <w:r>
        <w:rPr>
          <w:rFonts w:hint="eastAsia" w:ascii="仿宋_GB2312" w:hAnsi="仿宋" w:eastAsia="仿宋_GB2312"/>
          <w:color w:val="000000"/>
          <w:sz w:val="32"/>
          <w:szCs w:val="32"/>
        </w:rPr>
        <w:t>万元。与2018年相比，收、支总计各增加</w:t>
      </w:r>
      <w:r>
        <w:rPr>
          <w:rFonts w:hint="eastAsia" w:ascii="仿宋_GB2312" w:hAnsi="仿宋" w:eastAsia="仿宋_GB2312"/>
          <w:color w:val="000000"/>
          <w:sz w:val="32"/>
          <w:szCs w:val="32"/>
          <w:lang w:val="en-US" w:eastAsia="zh-CN"/>
        </w:rPr>
        <w:t>1157.36</w:t>
      </w:r>
      <w:r>
        <w:rPr>
          <w:rFonts w:hint="eastAsia" w:ascii="仿宋_GB2312" w:hAnsi="仿宋" w:eastAsia="仿宋_GB2312"/>
          <w:color w:val="000000"/>
          <w:sz w:val="32"/>
          <w:szCs w:val="32"/>
        </w:rPr>
        <w:t>万元，增长</w:t>
      </w:r>
      <w:r>
        <w:rPr>
          <w:rFonts w:hint="eastAsia" w:ascii="仿宋_GB2312" w:hAnsi="仿宋" w:eastAsia="仿宋_GB2312"/>
          <w:color w:val="000000"/>
          <w:sz w:val="32"/>
          <w:szCs w:val="32"/>
          <w:lang w:val="en-US" w:eastAsia="zh-CN"/>
        </w:rPr>
        <w:t>37.54</w:t>
      </w:r>
      <w:r>
        <w:rPr>
          <w:rFonts w:hint="eastAsia" w:ascii="仿宋_GB2312" w:hAnsi="仿宋" w:eastAsia="仿宋_GB2312"/>
          <w:color w:val="000000"/>
          <w:sz w:val="32"/>
          <w:szCs w:val="32"/>
        </w:rPr>
        <w:t>%。主要变动原因：</w:t>
      </w:r>
      <w:r>
        <w:rPr>
          <w:rFonts w:hint="eastAsia" w:ascii="仿宋_GB2312" w:eastAsia="仿宋_GB2312"/>
          <w:sz w:val="32"/>
          <w:szCs w:val="32"/>
        </w:rPr>
        <w:t>1.增加了困难群众临时生活救助项目；2.补贴发放标准增加。</w:t>
      </w:r>
    </w:p>
    <w:p>
      <w:pPr>
        <w:spacing w:line="576"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（图1：收、支决算总计变动情况图）（单位：万元）</w:t>
      </w:r>
    </w:p>
    <w:p>
      <w:pPr>
        <w:spacing w:line="576" w:lineRule="exact"/>
        <w:ind w:firstLine="420" w:firstLineChars="200"/>
        <w:jc w:val="left"/>
        <w:rPr>
          <w:rFonts w:ascii="仿宋_GB2312" w:eastAsia="仿宋_GB2312"/>
          <w:color w:val="000000"/>
          <w:sz w:val="32"/>
          <w:szCs w:val="32"/>
        </w:rPr>
      </w:pPr>
      <w:r>
        <w:drawing>
          <wp:anchor distT="0" distB="0" distL="114300" distR="114300" simplePos="0" relativeHeight="251664384" behindDoc="0" locked="0" layoutInCell="1" allowOverlap="1">
            <wp:simplePos x="0" y="0"/>
            <wp:positionH relativeFrom="column">
              <wp:posOffset>975995</wp:posOffset>
            </wp:positionH>
            <wp:positionV relativeFrom="paragraph">
              <wp:posOffset>196215</wp:posOffset>
            </wp:positionV>
            <wp:extent cx="3211195" cy="2324735"/>
            <wp:effectExtent l="4445" t="4445" r="22860" b="13970"/>
            <wp:wrapSquare wrapText="bothSides"/>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576" w:lineRule="exact"/>
        <w:ind w:firstLine="640" w:firstLineChars="200"/>
        <w:jc w:val="left"/>
        <w:rPr>
          <w:rFonts w:ascii="仿宋_GB2312" w:eastAsia="仿宋_GB2312"/>
          <w:color w:val="000000"/>
          <w:sz w:val="32"/>
          <w:szCs w:val="32"/>
        </w:rPr>
      </w:pPr>
    </w:p>
    <w:p>
      <w:pPr>
        <w:spacing w:line="576" w:lineRule="exact"/>
        <w:ind w:firstLine="640" w:firstLineChars="200"/>
        <w:jc w:val="left"/>
        <w:rPr>
          <w:rFonts w:ascii="仿宋_GB2312" w:eastAsia="仿宋_GB2312"/>
          <w:color w:val="000000"/>
          <w:sz w:val="32"/>
          <w:szCs w:val="32"/>
        </w:rPr>
      </w:pPr>
    </w:p>
    <w:p>
      <w:pPr>
        <w:spacing w:line="576" w:lineRule="exact"/>
        <w:ind w:firstLine="640" w:firstLineChars="200"/>
        <w:jc w:val="left"/>
        <w:rPr>
          <w:rFonts w:ascii="仿宋_GB2312" w:eastAsia="仿宋_GB2312"/>
          <w:color w:val="000000"/>
          <w:sz w:val="32"/>
          <w:szCs w:val="32"/>
        </w:rPr>
      </w:pPr>
    </w:p>
    <w:p>
      <w:pPr>
        <w:spacing w:line="576" w:lineRule="exact"/>
        <w:ind w:firstLine="640" w:firstLineChars="200"/>
        <w:jc w:val="left"/>
        <w:rPr>
          <w:rFonts w:ascii="仿宋_GB2312" w:eastAsia="仿宋_GB2312"/>
          <w:color w:val="000000"/>
          <w:sz w:val="32"/>
          <w:szCs w:val="32"/>
        </w:rPr>
      </w:pPr>
    </w:p>
    <w:p>
      <w:pPr>
        <w:spacing w:line="576" w:lineRule="exact"/>
        <w:ind w:firstLine="640" w:firstLineChars="200"/>
        <w:jc w:val="left"/>
        <w:rPr>
          <w:rFonts w:ascii="仿宋_GB2312" w:eastAsia="仿宋_GB2312"/>
          <w:color w:val="000000"/>
          <w:sz w:val="32"/>
          <w:szCs w:val="32"/>
        </w:rPr>
      </w:pPr>
    </w:p>
    <w:p>
      <w:pPr>
        <w:spacing w:line="576" w:lineRule="exact"/>
        <w:jc w:val="left"/>
        <w:rPr>
          <w:rFonts w:ascii="仿宋_GB2312" w:eastAsia="仿宋_GB2312"/>
          <w:color w:val="000000"/>
          <w:sz w:val="32"/>
          <w:szCs w:val="32"/>
        </w:rPr>
      </w:pPr>
    </w:p>
    <w:p>
      <w:pPr>
        <w:pStyle w:val="24"/>
        <w:numPr>
          <w:ilvl w:val="0"/>
          <w:numId w:val="1"/>
        </w:numPr>
        <w:spacing w:line="576" w:lineRule="exact"/>
        <w:ind w:firstLineChars="0"/>
        <w:outlineLvl w:val="1"/>
        <w:rPr>
          <w:rStyle w:val="26"/>
          <w:rFonts w:ascii="黑体" w:hAnsi="黑体" w:eastAsia="黑体"/>
          <w:b w:val="0"/>
        </w:rPr>
      </w:pPr>
      <w:bookmarkStart w:id="24" w:name="_Toc15377206"/>
      <w:bookmarkStart w:id="25" w:name="_Toc15396604"/>
      <w:r>
        <w:rPr>
          <w:rFonts w:hint="eastAsia" w:ascii="黑体" w:hAnsi="黑体" w:eastAsia="黑体"/>
          <w:color w:val="000000"/>
          <w:sz w:val="32"/>
          <w:szCs w:val="32"/>
        </w:rPr>
        <w:t>收</w:t>
      </w:r>
      <w:r>
        <w:rPr>
          <w:rStyle w:val="26"/>
          <w:rFonts w:hint="eastAsia" w:ascii="黑体" w:hAnsi="黑体" w:eastAsia="黑体"/>
          <w:b w:val="0"/>
        </w:rPr>
        <w:t>入决算情况说明</w:t>
      </w:r>
      <w:bookmarkEnd w:id="24"/>
      <w:bookmarkEnd w:id="25"/>
    </w:p>
    <w:p>
      <w:pPr>
        <w:spacing w:line="576" w:lineRule="exact"/>
        <w:ind w:firstLine="640" w:firstLineChars="200"/>
        <w:outlineLvl w:val="1"/>
        <w:rPr>
          <w:rFonts w:ascii="仿宋_GB2312" w:hAnsi="仿宋" w:eastAsia="仿宋_GB2312"/>
          <w:color w:val="000000"/>
          <w:sz w:val="32"/>
          <w:szCs w:val="32"/>
        </w:rPr>
      </w:pPr>
      <w:r>
        <w:rPr>
          <w:rFonts w:hint="eastAsia" w:ascii="仿宋_GB2312" w:hAnsi="仿宋" w:eastAsia="仿宋_GB2312"/>
          <w:color w:val="000000"/>
          <w:sz w:val="32"/>
          <w:szCs w:val="32"/>
        </w:rPr>
        <w:t>2019年本年收入合计3821.1万元，其中：一般公共预算财政拨款收入3695.12万元，占96.7%；政府性基金预算财政拨款收入125.98万元，占3.3%；</w:t>
      </w:r>
      <w:r>
        <w:rPr>
          <w:rFonts w:hint="eastAsia" w:ascii="仿宋_GB2312" w:hAnsi="仿宋" w:eastAsia="仿宋_GB2312"/>
          <w:color w:val="000000" w:themeColor="text1"/>
          <w:sz w:val="32"/>
          <w:szCs w:val="32"/>
          <w14:textFill>
            <w14:solidFill>
              <w14:schemeClr w14:val="tx1"/>
            </w14:solidFill>
          </w14:textFill>
        </w:rPr>
        <w:t>上级补助收入3821.1</w:t>
      </w:r>
      <w:r>
        <w:rPr>
          <w:rFonts w:hint="eastAsia" w:ascii="仿宋_GB2312" w:hAnsi="仿宋" w:eastAsia="仿宋_GB2312"/>
          <w:color w:val="000000"/>
          <w:sz w:val="32"/>
          <w:szCs w:val="32"/>
        </w:rPr>
        <w:t>万元，占100%；事业收入0万元，占0%；经营收入0万元，占0%；附属单位上缴收入0万元，占0%；其他收入0万元，占0%。</w:t>
      </w:r>
    </w:p>
    <w:p>
      <w:pPr>
        <w:spacing w:line="576" w:lineRule="exact"/>
        <w:ind w:firstLine="640" w:firstLineChars="200"/>
        <w:outlineLvl w:val="1"/>
        <w:rPr>
          <w:rFonts w:ascii="仿宋" w:hAnsi="仿宋" w:eastAsia="仿宋"/>
          <w:color w:val="000000"/>
          <w:sz w:val="32"/>
          <w:szCs w:val="32"/>
        </w:rPr>
      </w:pPr>
    </w:p>
    <w:p>
      <w:pPr>
        <w:spacing w:line="576"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（图2：收入决算结构图）（单位：万元）</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420" w:firstLineChars="200"/>
        <w:rPr>
          <w:rFonts w:ascii="仿宋" w:hAnsi="仿宋" w:eastAsia="仿宋"/>
          <w:color w:val="000000" w:themeColor="text1"/>
          <w:sz w:val="32"/>
          <w:szCs w:val="32"/>
          <w14:textFill>
            <w14:solidFill>
              <w14:schemeClr w14:val="tx1"/>
            </w14:solidFill>
          </w14:textFill>
        </w:rPr>
      </w:pPr>
      <w:r>
        <w:drawing>
          <wp:anchor distT="0" distB="0" distL="114300" distR="114300" simplePos="0" relativeHeight="251659264" behindDoc="0" locked="0" layoutInCell="1" allowOverlap="1">
            <wp:simplePos x="0" y="0"/>
            <wp:positionH relativeFrom="column">
              <wp:posOffset>547370</wp:posOffset>
            </wp:positionH>
            <wp:positionV relativeFrom="paragraph">
              <wp:posOffset>80645</wp:posOffset>
            </wp:positionV>
            <wp:extent cx="3372485" cy="2743200"/>
            <wp:effectExtent l="4445" t="4445" r="13970" b="14605"/>
            <wp:wrapTopAndBottom/>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576" w:lineRule="exact"/>
        <w:ind w:firstLine="640" w:firstLineChars="200"/>
        <w:rPr>
          <w:rFonts w:ascii="仿宋" w:hAnsi="仿宋" w:eastAsia="仿宋"/>
          <w:color w:val="000000" w:themeColor="text1"/>
          <w:sz w:val="32"/>
          <w:szCs w:val="32"/>
          <w14:textFill>
            <w14:solidFill>
              <w14:schemeClr w14:val="tx1"/>
            </w14:solidFill>
          </w14:textFill>
        </w:rPr>
      </w:pPr>
    </w:p>
    <w:p>
      <w:pPr>
        <w:spacing w:line="576" w:lineRule="exact"/>
        <w:rPr>
          <w:rFonts w:ascii="仿宋_GB2312" w:eastAsia="仿宋_GB2312"/>
          <w:color w:val="FF0000"/>
          <w:sz w:val="32"/>
          <w:szCs w:val="32"/>
        </w:rPr>
      </w:pPr>
    </w:p>
    <w:p>
      <w:pPr>
        <w:pStyle w:val="24"/>
        <w:numPr>
          <w:ilvl w:val="0"/>
          <w:numId w:val="1"/>
        </w:numPr>
        <w:spacing w:line="576" w:lineRule="exact"/>
        <w:ind w:firstLineChars="0"/>
        <w:outlineLvl w:val="1"/>
        <w:rPr>
          <w:rStyle w:val="26"/>
          <w:rFonts w:ascii="黑体" w:hAnsi="黑体" w:eastAsia="黑体"/>
          <w:b w:val="0"/>
        </w:rPr>
      </w:pPr>
      <w:bookmarkStart w:id="26" w:name="_Toc15396605"/>
      <w:bookmarkStart w:id="27" w:name="_Toc15377207"/>
      <w:r>
        <w:rPr>
          <w:rFonts w:hint="eastAsia" w:ascii="黑体" w:hAnsi="黑体" w:eastAsia="黑体"/>
          <w:color w:val="000000"/>
          <w:sz w:val="32"/>
          <w:szCs w:val="32"/>
        </w:rPr>
        <w:t>支</w:t>
      </w:r>
      <w:r>
        <w:rPr>
          <w:rStyle w:val="26"/>
          <w:rFonts w:hint="eastAsia" w:ascii="黑体" w:hAnsi="黑体" w:eastAsia="黑体"/>
          <w:b w:val="0"/>
        </w:rPr>
        <w:t>出决算情况说明</w:t>
      </w:r>
      <w:bookmarkEnd w:id="26"/>
      <w:bookmarkEnd w:id="27"/>
    </w:p>
    <w:p>
      <w:pPr>
        <w:spacing w:line="576" w:lineRule="exact"/>
        <w:ind w:firstLine="640" w:firstLineChars="200"/>
        <w:outlineLvl w:val="1"/>
        <w:rPr>
          <w:rFonts w:ascii="仿宋_GB2312" w:hAnsi="仿宋" w:eastAsia="仿宋_GB2312"/>
          <w:color w:val="000000"/>
          <w:sz w:val="32"/>
          <w:szCs w:val="32"/>
        </w:rPr>
      </w:pPr>
      <w:r>
        <w:rPr>
          <w:rFonts w:hint="eastAsia" w:ascii="仿宋_GB2312" w:hAnsi="仿宋" w:eastAsia="仿宋_GB2312"/>
          <w:color w:val="000000"/>
          <w:sz w:val="32"/>
          <w:szCs w:val="32"/>
        </w:rPr>
        <w:t>2019年本年支出合计3452.92万元，其中：基本支出504.45万元，占14.61%；项目支出2948.47万元，占85.39%；上缴上级支出0万元，占0%；经营支出0万元，占0%；对附属单位补助支出0万元，占0%。</w:t>
      </w:r>
    </w:p>
    <w:p>
      <w:pPr>
        <w:spacing w:line="576"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（图3：支出决算结构图）（单位：万元）</w:t>
      </w:r>
    </w:p>
    <w:p>
      <w:pPr>
        <w:spacing w:line="576" w:lineRule="exact"/>
        <w:ind w:firstLine="640" w:firstLineChars="200"/>
        <w:rPr>
          <w:rFonts w:ascii="仿宋" w:hAnsi="仿宋" w:eastAsia="仿宋"/>
          <w:color w:val="000000" w:themeColor="text1"/>
          <w:sz w:val="32"/>
          <w:szCs w:val="32"/>
          <w14:textFill>
            <w14:solidFill>
              <w14:schemeClr w14:val="tx1"/>
            </w14:solidFill>
          </w14:textFill>
        </w:rPr>
      </w:pPr>
    </w:p>
    <w:p>
      <w:pPr>
        <w:spacing w:line="576"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420" w:firstLineChars="200"/>
        <w:rPr>
          <w:rFonts w:ascii="仿宋_GB2312" w:eastAsia="仿宋_GB2312"/>
          <w:color w:val="FF0000"/>
          <w:sz w:val="32"/>
          <w:szCs w:val="32"/>
        </w:rPr>
      </w:pPr>
      <w:r>
        <w:drawing>
          <wp:anchor distT="0" distB="0" distL="114300" distR="114300" simplePos="0" relativeHeight="251660288" behindDoc="0" locked="0" layoutInCell="1" allowOverlap="1">
            <wp:simplePos x="0" y="0"/>
            <wp:positionH relativeFrom="column">
              <wp:posOffset>57150</wp:posOffset>
            </wp:positionH>
            <wp:positionV relativeFrom="paragraph">
              <wp:posOffset>-67310</wp:posOffset>
            </wp:positionV>
            <wp:extent cx="3714750" cy="2771775"/>
            <wp:effectExtent l="19050" t="0" r="19050" b="0"/>
            <wp:wrapTopAndBottom/>
            <wp:docPr id="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576" w:lineRule="exact"/>
        <w:ind w:firstLine="640" w:firstLineChars="200"/>
        <w:outlineLvl w:val="1"/>
        <w:rPr>
          <w:rStyle w:val="26"/>
          <w:rFonts w:ascii="黑体" w:hAnsi="黑体" w:eastAsia="黑体"/>
          <w:b w:val="0"/>
        </w:rPr>
      </w:pPr>
      <w:bookmarkStart w:id="28" w:name="_Toc15396606"/>
      <w:bookmarkStart w:id="29" w:name="_Toc15377208"/>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28"/>
      <w:bookmarkEnd w:id="29"/>
    </w:p>
    <w:p>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2019年财政拨款收、支总计</w:t>
      </w:r>
      <w:r>
        <w:rPr>
          <w:rFonts w:hint="eastAsia" w:ascii="仿宋_GB2312" w:hAnsi="仿宋" w:eastAsia="仿宋_GB2312"/>
          <w:color w:val="000000"/>
          <w:sz w:val="32"/>
          <w:szCs w:val="32"/>
          <w:lang w:val="en-US" w:eastAsia="zh-CN"/>
        </w:rPr>
        <w:t>4239.98</w:t>
      </w:r>
      <w:r>
        <w:rPr>
          <w:rFonts w:hint="eastAsia" w:ascii="仿宋_GB2312" w:hAnsi="仿宋" w:eastAsia="仿宋_GB2312"/>
          <w:color w:val="000000"/>
          <w:sz w:val="32"/>
          <w:szCs w:val="32"/>
        </w:rPr>
        <w:t>万元。与2018年相比，财政拨款收、支总计各增加</w:t>
      </w:r>
      <w:r>
        <w:rPr>
          <w:rFonts w:hint="eastAsia" w:ascii="仿宋_GB2312" w:hAnsi="仿宋" w:eastAsia="仿宋_GB2312"/>
          <w:color w:val="000000"/>
          <w:sz w:val="32"/>
          <w:szCs w:val="32"/>
          <w:lang w:val="en-US" w:eastAsia="zh-CN"/>
        </w:rPr>
        <w:t>1157.36</w:t>
      </w:r>
      <w:r>
        <w:rPr>
          <w:rFonts w:hint="eastAsia" w:ascii="仿宋_GB2312" w:hAnsi="仿宋" w:eastAsia="仿宋_GB2312"/>
          <w:color w:val="000000"/>
          <w:sz w:val="32"/>
          <w:szCs w:val="32"/>
        </w:rPr>
        <w:t>万元，增长</w:t>
      </w:r>
      <w:r>
        <w:rPr>
          <w:rFonts w:hint="eastAsia" w:ascii="仿宋_GB2312" w:hAnsi="仿宋" w:eastAsia="仿宋_GB2312"/>
          <w:color w:val="000000"/>
          <w:sz w:val="32"/>
          <w:szCs w:val="32"/>
          <w:lang w:val="en-US" w:eastAsia="zh-CN"/>
        </w:rPr>
        <w:t>37.54</w:t>
      </w:r>
      <w:r>
        <w:rPr>
          <w:rFonts w:hint="eastAsia" w:ascii="仿宋_GB2312" w:hAnsi="仿宋" w:eastAsia="仿宋_GB2312"/>
          <w:color w:val="000000"/>
          <w:sz w:val="32"/>
          <w:szCs w:val="32"/>
        </w:rPr>
        <w:t>%。主要变动原因是：</w:t>
      </w:r>
      <w:r>
        <w:rPr>
          <w:rFonts w:hint="eastAsia" w:ascii="仿宋_GB2312" w:eastAsia="仿宋_GB2312"/>
          <w:sz w:val="32"/>
          <w:szCs w:val="32"/>
        </w:rPr>
        <w:t>1.增加了困难群众临时生活救助项目；2.补贴发放标准增加。</w:t>
      </w:r>
    </w:p>
    <w:p>
      <w:pPr>
        <w:spacing w:line="576" w:lineRule="exact"/>
        <w:ind w:firstLine="420" w:firstLineChars="200"/>
        <w:rPr>
          <w:rFonts w:ascii="仿宋_GB2312" w:hAnsi="仿宋" w:eastAsia="仿宋_GB2312"/>
          <w:color w:val="000000" w:themeColor="text1"/>
          <w:sz w:val="32"/>
          <w:szCs w:val="32"/>
          <w14:textFill>
            <w14:solidFill>
              <w14:schemeClr w14:val="tx1"/>
            </w14:solidFill>
          </w14:textFill>
        </w:rPr>
      </w:pPr>
      <w:r>
        <w:drawing>
          <wp:anchor distT="0" distB="0" distL="114300" distR="114300" simplePos="0" relativeHeight="251665408" behindDoc="0" locked="0" layoutInCell="1" allowOverlap="1">
            <wp:simplePos x="0" y="0"/>
            <wp:positionH relativeFrom="column">
              <wp:posOffset>823595</wp:posOffset>
            </wp:positionH>
            <wp:positionV relativeFrom="paragraph">
              <wp:posOffset>709295</wp:posOffset>
            </wp:positionV>
            <wp:extent cx="3211195" cy="2324735"/>
            <wp:effectExtent l="4445" t="4445" r="22860" b="1397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hAnsi="仿宋" w:eastAsia="仿宋_GB2312"/>
          <w:color w:val="000000" w:themeColor="text1"/>
          <w:sz w:val="32"/>
          <w:szCs w:val="32"/>
          <w14:textFill>
            <w14:solidFill>
              <w14:schemeClr w14:val="tx1"/>
            </w14:solidFill>
          </w14:textFill>
        </w:rPr>
        <w:t>（图4：财政拨款收、支决算总计变动情况）（单位：万元）</w:t>
      </w:r>
    </w:p>
    <w:p>
      <w:pPr>
        <w:spacing w:line="600" w:lineRule="exact"/>
        <w:ind w:firstLine="640"/>
      </w:pPr>
    </w:p>
    <w:p>
      <w:pPr>
        <w:spacing w:line="600" w:lineRule="exact"/>
        <w:ind w:firstLine="640"/>
      </w:pPr>
    </w:p>
    <w:p>
      <w:pPr>
        <w:spacing w:line="600" w:lineRule="exact"/>
        <w:ind w:firstLine="640"/>
      </w:pPr>
    </w:p>
    <w:p>
      <w:pPr>
        <w:spacing w:line="600" w:lineRule="exact"/>
        <w:ind w:firstLine="640"/>
      </w:pPr>
    </w:p>
    <w:p>
      <w:pPr>
        <w:spacing w:line="600" w:lineRule="exact"/>
        <w:ind w:firstLine="640"/>
      </w:pPr>
    </w:p>
    <w:p>
      <w:pPr>
        <w:spacing w:line="600" w:lineRule="exact"/>
        <w:ind w:firstLine="640"/>
      </w:pPr>
    </w:p>
    <w:p>
      <w:pPr>
        <w:spacing w:line="600" w:lineRule="exact"/>
        <w:ind w:firstLine="640"/>
      </w:pPr>
    </w:p>
    <w:p>
      <w:pPr>
        <w:spacing w:line="576" w:lineRule="exact"/>
        <w:ind w:firstLine="640" w:firstLineChars="200"/>
        <w:outlineLvl w:val="1"/>
        <w:rPr>
          <w:rStyle w:val="26"/>
          <w:rFonts w:ascii="黑体" w:hAnsi="黑体" w:eastAsia="黑体"/>
          <w:b w:val="0"/>
        </w:rPr>
      </w:pPr>
      <w:bookmarkStart w:id="30" w:name="_Toc15396607"/>
      <w:bookmarkStart w:id="31"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0"/>
      <w:bookmarkEnd w:id="31"/>
      <w:bookmarkStart w:id="32" w:name="_Toc15377210"/>
    </w:p>
    <w:p>
      <w:pPr>
        <w:spacing w:line="576" w:lineRule="exact"/>
        <w:ind w:firstLine="642" w:firstLineChars="200"/>
        <w:outlineLvl w:val="1"/>
        <w:rPr>
          <w:rFonts w:ascii="黑体" w:hAnsi="黑体" w:eastAsia="黑体" w:cstheme="majorBidi"/>
          <w:bCs/>
          <w:sz w:val="32"/>
          <w:szCs w:val="32"/>
        </w:rPr>
      </w:pPr>
      <w:r>
        <w:rPr>
          <w:rFonts w:hint="eastAsia" w:ascii="楷体_GB2312" w:hAnsi="仿宋" w:eastAsia="楷体_GB2312"/>
          <w:b/>
          <w:color w:val="000000"/>
          <w:sz w:val="32"/>
          <w:szCs w:val="32"/>
        </w:rPr>
        <w:t>（一）一般公共预算财政拨款支出决算总体情况</w:t>
      </w:r>
      <w:bookmarkEnd w:id="32"/>
    </w:p>
    <w:p>
      <w:pPr>
        <w:spacing w:line="576" w:lineRule="exact"/>
        <w:ind w:firstLine="640" w:firstLineChars="200"/>
        <w:outlineLvl w:val="1"/>
        <w:rPr>
          <w:rFonts w:ascii="仿宋_GB2312" w:hAnsi="黑体" w:eastAsia="仿宋_GB2312" w:cstheme="majorBidi"/>
          <w:bCs/>
          <w:sz w:val="32"/>
          <w:szCs w:val="32"/>
        </w:rPr>
      </w:pPr>
      <w:r>
        <w:rPr>
          <w:rFonts w:hint="eastAsia" w:ascii="仿宋_GB2312" w:hAnsi="仿宋" w:eastAsia="仿宋_GB2312"/>
          <w:color w:val="000000"/>
          <w:sz w:val="32"/>
          <w:szCs w:val="32"/>
        </w:rPr>
        <w:t>2019年一般公共预算财政拨款支出3442.78万元，占本年支出合计的99.71%。与2018年相比，一般公共预算财政拨款增加844.37万元，增长32.49%。主要变动原因是：</w:t>
      </w:r>
      <w:r>
        <w:rPr>
          <w:rFonts w:hint="eastAsia" w:ascii="仿宋_GB2312" w:hAnsi="仿宋" w:eastAsia="仿宋_GB2312" w:cs="仿宋"/>
          <w:sz w:val="32"/>
          <w:szCs w:val="32"/>
        </w:rPr>
        <w:t>（1）2019年城市最低社会保障金由财政拨款支付（2）是民政困难群众临时价格补贴（3）是增加叠溪镇新磨村党群中心建设费（4）增加了社会福利院适老化改造项目。</w:t>
      </w:r>
    </w:p>
    <w:p>
      <w:pPr>
        <w:spacing w:line="576" w:lineRule="exact"/>
        <w:ind w:firstLine="640" w:firstLineChars="200"/>
        <w:outlineLvl w:val="1"/>
        <w:rPr>
          <w:rFonts w:ascii="仿宋_GB2312" w:hAnsi="黑体" w:eastAsia="仿宋_GB2312" w:cstheme="majorBidi"/>
          <w:bCs/>
          <w:sz w:val="32"/>
          <w:szCs w:val="32"/>
        </w:rPr>
      </w:pPr>
      <w:r>
        <w:rPr>
          <w:rFonts w:hint="eastAsia" w:ascii="仿宋_GB2312" w:hAnsi="仿宋" w:eastAsia="仿宋_GB2312"/>
          <w:color w:val="000000" w:themeColor="text1"/>
          <w:sz w:val="32"/>
          <w:szCs w:val="32"/>
          <w14:textFill>
            <w14:solidFill>
              <w14:schemeClr w14:val="tx1"/>
            </w14:solidFill>
          </w14:textFill>
        </w:rPr>
        <w:t>（图5：一般公共预算财政拨款支出决算变动情况）（单位：万元）</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420" w:firstLineChars="200"/>
        <w:rPr>
          <w:rFonts w:ascii="仿宋" w:hAnsi="仿宋" w:eastAsia="仿宋"/>
          <w:color w:val="000000" w:themeColor="text1"/>
          <w:sz w:val="32"/>
          <w:szCs w:val="32"/>
          <w14:textFill>
            <w14:solidFill>
              <w14:schemeClr w14:val="tx1"/>
            </w14:solidFill>
          </w14:textFill>
        </w:rPr>
      </w:pPr>
      <w:r>
        <w:drawing>
          <wp:anchor distT="0" distB="0" distL="114300" distR="114300" simplePos="0" relativeHeight="251661312" behindDoc="0" locked="0" layoutInCell="1" allowOverlap="1">
            <wp:simplePos x="0" y="0"/>
            <wp:positionH relativeFrom="column">
              <wp:posOffset>423545</wp:posOffset>
            </wp:positionH>
            <wp:positionV relativeFrom="paragraph">
              <wp:posOffset>5715</wp:posOffset>
            </wp:positionV>
            <wp:extent cx="4353560" cy="2733040"/>
            <wp:effectExtent l="4445" t="4445" r="23495" b="5715"/>
            <wp:wrapTopAndBottom/>
            <wp:docPr id="5"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576" w:lineRule="exact"/>
        <w:ind w:firstLine="642" w:firstLineChars="200"/>
        <w:outlineLvl w:val="2"/>
        <w:rPr>
          <w:rFonts w:ascii="楷体_GB2312" w:hAnsi="仿宋" w:eastAsia="楷体_GB2312"/>
          <w:b/>
          <w:color w:val="000000"/>
          <w:sz w:val="32"/>
          <w:szCs w:val="32"/>
        </w:rPr>
      </w:pPr>
      <w:bookmarkStart w:id="33" w:name="_Toc15377211"/>
      <w:r>
        <w:rPr>
          <w:rFonts w:hint="eastAsia" w:ascii="楷体_GB2312" w:hAnsi="仿宋" w:eastAsia="楷体_GB2312"/>
          <w:b/>
          <w:color w:val="000000"/>
          <w:sz w:val="32"/>
          <w:szCs w:val="32"/>
        </w:rPr>
        <w:t>（二）一般公共预算财政拨款支出决算结构情况</w:t>
      </w:r>
      <w:bookmarkEnd w:id="33"/>
    </w:p>
    <w:p>
      <w:pPr>
        <w:spacing w:line="576" w:lineRule="exact"/>
        <w:ind w:firstLine="64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sz w:val="32"/>
          <w:szCs w:val="32"/>
        </w:rPr>
        <w:t>2019年一般公共预算财</w:t>
      </w:r>
      <w:r>
        <w:rPr>
          <w:rFonts w:hint="eastAsia" w:ascii="仿宋_GB2312" w:hAnsi="仿宋" w:eastAsia="仿宋_GB2312"/>
          <w:color w:val="000000" w:themeColor="text1"/>
          <w:sz w:val="32"/>
          <w:szCs w:val="32"/>
          <w14:textFill>
            <w14:solidFill>
              <w14:schemeClr w14:val="tx1"/>
            </w14:solidFill>
          </w14:textFill>
        </w:rPr>
        <w:t>政拨款支出3442.78万元，主要用于以下方面:</w:t>
      </w:r>
      <w:r>
        <w:rPr>
          <w:rFonts w:hint="eastAsia" w:ascii="仿宋_GB2312" w:hAnsi="仿宋" w:eastAsia="仿宋_GB2312"/>
          <w:b/>
          <w:color w:val="000000" w:themeColor="text1"/>
          <w:sz w:val="32"/>
          <w:szCs w:val="32"/>
          <w14:textFill>
            <w14:solidFill>
              <w14:schemeClr w14:val="tx1"/>
            </w14:solidFill>
          </w14:textFill>
        </w:rPr>
        <w:t>一般公共服务（类）</w:t>
      </w:r>
      <w:r>
        <w:rPr>
          <w:rFonts w:hint="eastAsia" w:ascii="仿宋_GB2312" w:hAnsi="仿宋" w:eastAsia="仿宋_GB2312"/>
          <w:color w:val="000000" w:themeColor="text1"/>
          <w:sz w:val="32"/>
          <w:szCs w:val="32"/>
          <w14:textFill>
            <w14:solidFill>
              <w14:schemeClr w14:val="tx1"/>
            </w14:solidFill>
          </w14:textFill>
        </w:rPr>
        <w:t>支出0万元，占0%；</w:t>
      </w:r>
      <w:r>
        <w:rPr>
          <w:rFonts w:hint="eastAsia" w:ascii="仿宋_GB2312" w:hAnsi="仿宋" w:eastAsia="仿宋_GB2312"/>
          <w:b/>
          <w:color w:val="000000" w:themeColor="text1"/>
          <w:sz w:val="32"/>
          <w:szCs w:val="32"/>
          <w14:textFill>
            <w14:solidFill>
              <w14:schemeClr w14:val="tx1"/>
            </w14:solidFill>
          </w14:textFill>
        </w:rPr>
        <w:t>教育支出（类）</w:t>
      </w:r>
      <w:r>
        <w:rPr>
          <w:rFonts w:hint="eastAsia" w:ascii="仿宋_GB2312" w:hAnsi="仿宋" w:eastAsia="仿宋_GB2312"/>
          <w:color w:val="000000" w:themeColor="text1"/>
          <w:sz w:val="32"/>
          <w:szCs w:val="32"/>
          <w14:textFill>
            <w14:solidFill>
              <w14:schemeClr w14:val="tx1"/>
            </w14:solidFill>
          </w14:textFill>
        </w:rPr>
        <w:t>0万元，占0%；</w:t>
      </w:r>
      <w:r>
        <w:rPr>
          <w:rFonts w:hint="eastAsia" w:ascii="仿宋_GB2312" w:hAnsi="仿宋" w:eastAsia="仿宋_GB2312"/>
          <w:b/>
          <w:color w:val="000000" w:themeColor="text1"/>
          <w:sz w:val="32"/>
          <w:szCs w:val="32"/>
          <w14:textFill>
            <w14:solidFill>
              <w14:schemeClr w14:val="tx1"/>
            </w14:solidFill>
          </w14:textFill>
        </w:rPr>
        <w:t>科学技术（类）</w:t>
      </w:r>
      <w:r>
        <w:rPr>
          <w:rFonts w:hint="eastAsia" w:ascii="仿宋_GB2312" w:hAnsi="仿宋" w:eastAsia="仿宋_GB2312"/>
          <w:color w:val="000000" w:themeColor="text1"/>
          <w:sz w:val="32"/>
          <w:szCs w:val="32"/>
          <w14:textFill>
            <w14:solidFill>
              <w14:schemeClr w14:val="tx1"/>
            </w14:solidFill>
          </w14:textFill>
        </w:rPr>
        <w:t>支出0万元，占0%；</w:t>
      </w:r>
      <w:r>
        <w:rPr>
          <w:rFonts w:hint="eastAsia" w:ascii="仿宋_GB2312" w:hAnsi="仿宋" w:eastAsia="仿宋_GB2312"/>
          <w:b/>
          <w:bCs/>
          <w:color w:val="000000" w:themeColor="text1"/>
          <w:sz w:val="32"/>
          <w:szCs w:val="32"/>
          <w14:textFill>
            <w14:solidFill>
              <w14:schemeClr w14:val="tx1"/>
            </w14:solidFill>
          </w14:textFill>
        </w:rPr>
        <w:t>文化旅游体育与传媒（类）支出0万元，占0%</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b/>
          <w:color w:val="000000" w:themeColor="text1"/>
          <w:sz w:val="32"/>
          <w:szCs w:val="32"/>
          <w14:textFill>
            <w14:solidFill>
              <w14:schemeClr w14:val="tx1"/>
            </w14:solidFill>
          </w14:textFill>
        </w:rPr>
        <w:t>社会保障和就业（类）</w:t>
      </w:r>
      <w:r>
        <w:rPr>
          <w:rFonts w:hint="eastAsia" w:ascii="仿宋_GB2312" w:hAnsi="仿宋" w:eastAsia="仿宋_GB2312"/>
          <w:color w:val="000000" w:themeColor="text1"/>
          <w:sz w:val="32"/>
          <w:szCs w:val="32"/>
          <w14:textFill>
            <w14:solidFill>
              <w14:schemeClr w14:val="tx1"/>
            </w14:solidFill>
          </w14:textFill>
        </w:rPr>
        <w:t>支出3047.05万元，占88.51%；</w:t>
      </w:r>
      <w:r>
        <w:rPr>
          <w:rFonts w:hint="eastAsia" w:ascii="仿宋_GB2312" w:hAnsi="仿宋" w:eastAsia="仿宋_GB2312"/>
          <w:b/>
          <w:bCs/>
          <w:color w:val="000000" w:themeColor="text1"/>
          <w:sz w:val="32"/>
          <w:szCs w:val="32"/>
          <w14:textFill>
            <w14:solidFill>
              <w14:schemeClr w14:val="tx1"/>
            </w14:solidFill>
          </w14:textFill>
        </w:rPr>
        <w:t>卫生健康支出</w:t>
      </w:r>
      <w:r>
        <w:rPr>
          <w:rFonts w:hint="eastAsia" w:ascii="仿宋_GB2312" w:hAnsi="仿宋" w:eastAsia="仿宋_GB2312"/>
          <w:color w:val="000000" w:themeColor="text1"/>
          <w:sz w:val="32"/>
          <w:szCs w:val="32"/>
          <w14:textFill>
            <w14:solidFill>
              <w14:schemeClr w14:val="tx1"/>
            </w14:solidFill>
          </w14:textFill>
        </w:rPr>
        <w:t>34.01万元，占0.99%；</w:t>
      </w:r>
      <w:r>
        <w:rPr>
          <w:rFonts w:hint="eastAsia" w:ascii="仿宋_GB2312" w:hAnsi="仿宋" w:eastAsia="仿宋_GB2312"/>
          <w:sz w:val="32"/>
          <w:szCs w:val="32"/>
        </w:rPr>
        <w:t>农林水支出（类）0.6万元，占0.01%；</w:t>
      </w:r>
      <w:r>
        <w:rPr>
          <w:rFonts w:hint="eastAsia" w:ascii="仿宋_GB2312" w:hAnsi="仿宋" w:eastAsia="仿宋_GB2312"/>
          <w:color w:val="000000" w:themeColor="text1"/>
          <w:sz w:val="32"/>
          <w:szCs w:val="32"/>
          <w14:textFill>
            <w14:solidFill>
              <w14:schemeClr w14:val="tx1"/>
            </w14:solidFill>
          </w14:textFill>
        </w:rPr>
        <w:t>住房保障支出40.32万元，占1.17%；灾害防治及应急管理支出320.8万元，占9.32%。</w:t>
      </w:r>
    </w:p>
    <w:p>
      <w:pPr>
        <w:spacing w:line="576" w:lineRule="exact"/>
        <w:ind w:left="319" w:leftChars="152" w:firstLine="320" w:firstLineChars="100"/>
        <w:rPr>
          <w:rFonts w:ascii="仿宋_GB2312" w:hAnsi="仿宋" w:eastAsia="仿宋_GB2312"/>
          <w:color w:val="000000"/>
          <w:sz w:val="32"/>
          <w:szCs w:val="32"/>
        </w:rPr>
      </w:pPr>
      <w:r>
        <w:rPr>
          <w:rFonts w:hint="eastAsia" w:ascii="仿宋_GB2312" w:hAnsi="仿宋" w:eastAsia="仿宋_GB2312"/>
          <w:color w:val="000000"/>
          <w:sz w:val="32"/>
          <w:szCs w:val="32"/>
        </w:rPr>
        <w:t>（图6：一般公共预算财政拨款支出决算结构）      （单位：万元）</w:t>
      </w: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2336" behindDoc="0" locked="0" layoutInCell="1" allowOverlap="1">
            <wp:simplePos x="0" y="0"/>
            <wp:positionH relativeFrom="column">
              <wp:posOffset>461645</wp:posOffset>
            </wp:positionH>
            <wp:positionV relativeFrom="paragraph">
              <wp:posOffset>80010</wp:posOffset>
            </wp:positionV>
            <wp:extent cx="3885565" cy="3389630"/>
            <wp:effectExtent l="4445" t="4445" r="15240" b="15875"/>
            <wp:wrapTopAndBottom/>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576" w:lineRule="exact"/>
        <w:ind w:firstLine="642" w:firstLineChars="200"/>
        <w:outlineLvl w:val="2"/>
        <w:rPr>
          <w:rFonts w:ascii="楷体_GB2312" w:hAnsi="仿宋" w:eastAsia="楷体_GB2312"/>
          <w:b/>
          <w:color w:val="000000"/>
          <w:sz w:val="32"/>
          <w:szCs w:val="32"/>
        </w:rPr>
      </w:pPr>
      <w:bookmarkStart w:id="34" w:name="_Toc15377212"/>
      <w:r>
        <w:rPr>
          <w:rFonts w:hint="eastAsia" w:ascii="楷体_GB2312" w:hAnsi="仿宋" w:eastAsia="楷体_GB2312"/>
          <w:b/>
          <w:color w:val="000000"/>
          <w:sz w:val="32"/>
          <w:szCs w:val="32"/>
        </w:rPr>
        <w:t>（三）一般公共预算财政拨款支出决算具体情况</w:t>
      </w:r>
      <w:bookmarkEnd w:id="34"/>
      <w:bookmarkStart w:id="35" w:name="_Toc15377213"/>
      <w:bookmarkStart w:id="36" w:name="_Toc15378460"/>
      <w:bookmarkStart w:id="37" w:name="_Toc15377444"/>
    </w:p>
    <w:p>
      <w:pPr>
        <w:spacing w:line="576" w:lineRule="exact"/>
        <w:ind w:firstLine="642" w:firstLineChars="200"/>
        <w:outlineLvl w:val="2"/>
        <w:rPr>
          <w:rFonts w:ascii="楷体_GB2312" w:hAnsi="仿宋" w:eastAsia="楷体_GB2312"/>
          <w:b/>
          <w:color w:val="000000"/>
          <w:sz w:val="32"/>
          <w:szCs w:val="32"/>
        </w:rPr>
      </w:pPr>
      <w:r>
        <w:rPr>
          <w:rFonts w:hint="eastAsia" w:ascii="楷体_GB2312" w:hAnsi="仿宋" w:eastAsia="楷体_GB2312"/>
          <w:b/>
          <w:color w:val="000000" w:themeColor="text1"/>
          <w:sz w:val="32"/>
          <w:szCs w:val="32"/>
          <w14:textFill>
            <w14:solidFill>
              <w14:schemeClr w14:val="tx1"/>
            </w14:solidFill>
          </w14:textFill>
        </w:rPr>
        <w:t>2019年一般公共预算支出决算数为3442.78万元</w:t>
      </w:r>
      <w:r>
        <w:rPr>
          <w:rFonts w:hint="eastAsia" w:ascii="楷体_GB2312" w:hAnsi="仿宋" w:eastAsia="楷体_GB2312"/>
          <w:color w:val="000000" w:themeColor="text1"/>
          <w:sz w:val="32"/>
          <w:szCs w:val="32"/>
          <w14:textFill>
            <w14:solidFill>
              <w14:schemeClr w14:val="tx1"/>
            </w14:solidFill>
          </w14:textFill>
        </w:rPr>
        <w:t>，</w:t>
      </w:r>
      <w:r>
        <w:rPr>
          <w:rStyle w:val="15"/>
          <w:rFonts w:hint="eastAsia" w:ascii="楷体_GB2312" w:hAnsi="仿宋" w:eastAsia="楷体_GB2312"/>
          <w:bCs/>
          <w:color w:val="000000" w:themeColor="text1"/>
          <w:sz w:val="32"/>
          <w:szCs w:val="32"/>
          <w14:textFill>
            <w14:solidFill>
              <w14:schemeClr w14:val="tx1"/>
            </w14:solidFill>
          </w14:textFill>
        </w:rPr>
        <w:t>完成</w:t>
      </w:r>
      <w:r>
        <w:rPr>
          <w:rStyle w:val="15"/>
          <w:rFonts w:hint="eastAsia" w:ascii="楷体_GB2312" w:hAnsi="仿宋" w:eastAsia="楷体_GB2312"/>
          <w:bCs/>
          <w:color w:val="000000"/>
          <w:sz w:val="32"/>
          <w:szCs w:val="32"/>
        </w:rPr>
        <w:t>预算84%。其中：</w:t>
      </w:r>
      <w:bookmarkEnd w:id="35"/>
      <w:bookmarkEnd w:id="36"/>
      <w:bookmarkEnd w:id="37"/>
    </w:p>
    <w:p>
      <w:pPr>
        <w:spacing w:line="576" w:lineRule="exact"/>
        <w:ind w:firstLine="642" w:firstLineChars="200"/>
        <w:outlineLvl w:val="2"/>
        <w:rPr>
          <w:rStyle w:val="15"/>
          <w:rFonts w:ascii="楷体_GB2312" w:hAnsi="仿宋" w:eastAsia="楷体_GB2312"/>
          <w:color w:val="000000"/>
          <w:sz w:val="32"/>
          <w:szCs w:val="32"/>
        </w:rPr>
      </w:pPr>
      <w:r>
        <w:rPr>
          <w:rStyle w:val="15"/>
          <w:rFonts w:hint="eastAsia" w:ascii="仿宋_GB2312" w:hAnsi="仿宋" w:eastAsia="仿宋_GB2312"/>
          <w:bCs/>
          <w:color w:val="000000"/>
          <w:sz w:val="32"/>
          <w:szCs w:val="32"/>
        </w:rPr>
        <w:t>1.社会保障和就业（类）民政管理事务（款）行政运行（项）:</w:t>
      </w:r>
      <w:r>
        <w:rPr>
          <w:rStyle w:val="15"/>
          <w:rFonts w:hint="eastAsia" w:ascii="仿宋_GB2312" w:hAnsi="仿宋" w:eastAsia="仿宋_GB2312"/>
          <w:b w:val="0"/>
          <w:bCs/>
          <w:color w:val="000000"/>
          <w:sz w:val="32"/>
          <w:szCs w:val="32"/>
        </w:rPr>
        <w:t xml:space="preserve"> </w:t>
      </w:r>
      <w:r>
        <w:rPr>
          <w:rFonts w:hint="eastAsia" w:ascii="仿宋_GB2312" w:hAnsi="仿宋" w:eastAsia="仿宋_GB2312"/>
          <w:sz w:val="32"/>
          <w:szCs w:val="32"/>
        </w:rPr>
        <w:t>支出决算为261.51万元，完成预算97.91%。决算数小于预算数的主要原因是结转资金至下一年度继续使用。</w:t>
      </w:r>
    </w:p>
    <w:p>
      <w:pPr>
        <w:spacing w:line="576" w:lineRule="exact"/>
        <w:ind w:firstLine="642" w:firstLineChars="200"/>
        <w:outlineLvl w:val="2"/>
        <w:rPr>
          <w:rStyle w:val="15"/>
          <w:rFonts w:ascii="楷体_GB2312" w:hAnsi="仿宋" w:eastAsia="楷体_GB2312"/>
          <w:color w:val="000000"/>
          <w:sz w:val="32"/>
          <w:szCs w:val="32"/>
        </w:rPr>
      </w:pPr>
      <w:r>
        <w:rPr>
          <w:rStyle w:val="15"/>
          <w:rFonts w:hint="eastAsia" w:ascii="仿宋_GB2312" w:hAnsi="仿宋" w:eastAsia="仿宋_GB2312"/>
          <w:bCs/>
          <w:color w:val="000000"/>
          <w:sz w:val="32"/>
          <w:szCs w:val="32"/>
        </w:rPr>
        <w:t>2.社会保障和就业（类）民政管理事务（款）其他民政管理事务支出（项）:</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支出决算为199.53万元，完成预算87.66</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hAnsi="仿宋" w:eastAsia="仿宋_GB2312"/>
          <w:sz w:val="32"/>
          <w:szCs w:val="32"/>
        </w:rPr>
        <w:t>决算数小于预算数的主要原因是事业人员绩效工资结转至下一年度发放。</w:t>
      </w:r>
    </w:p>
    <w:p>
      <w:pPr>
        <w:spacing w:line="576" w:lineRule="exact"/>
        <w:ind w:firstLine="642" w:firstLineChars="200"/>
        <w:outlineLvl w:val="2"/>
        <w:rPr>
          <w:rFonts w:ascii="楷体_GB2312" w:hAnsi="仿宋" w:eastAsia="楷体_GB2312"/>
          <w:b/>
          <w:color w:val="000000"/>
          <w:sz w:val="32"/>
          <w:szCs w:val="32"/>
        </w:rPr>
      </w:pPr>
      <w:r>
        <w:rPr>
          <w:rStyle w:val="15"/>
          <w:rFonts w:hint="eastAsia" w:ascii="仿宋_GB2312" w:hAnsi="仿宋" w:eastAsia="仿宋_GB2312"/>
          <w:bCs/>
          <w:color w:val="000000"/>
          <w:sz w:val="32"/>
          <w:szCs w:val="32"/>
        </w:rPr>
        <w:t>3.社会保障和就业（类）行政事业单位离退休（款）机关事业单位基本养老保险支出（项）:</w:t>
      </w:r>
      <w:r>
        <w:rPr>
          <w:rStyle w:val="15"/>
          <w:rFonts w:hint="eastAsia" w:ascii="仿宋_GB2312" w:hAnsi="仿宋" w:eastAsia="仿宋_GB2312"/>
          <w:b w:val="0"/>
          <w:bCs/>
          <w:color w:val="000000"/>
          <w:sz w:val="32"/>
          <w:szCs w:val="32"/>
        </w:rPr>
        <w:t xml:space="preserve"> </w:t>
      </w:r>
      <w:r>
        <w:rPr>
          <w:rFonts w:hint="eastAsia" w:ascii="仿宋_GB2312" w:hAnsi="仿宋" w:eastAsia="仿宋_GB2312"/>
          <w:sz w:val="32"/>
          <w:szCs w:val="32"/>
        </w:rPr>
        <w:t>支出决算为</w:t>
      </w:r>
      <w:r>
        <w:rPr>
          <w:rFonts w:hint="eastAsia" w:ascii="仿宋_GB2312" w:hAnsi="仿宋" w:eastAsia="仿宋_GB2312"/>
          <w:sz w:val="32"/>
          <w:szCs w:val="32"/>
          <w:lang w:val="en-US" w:eastAsia="zh-CN"/>
        </w:rPr>
        <w:t>42.05</w:t>
      </w:r>
      <w:r>
        <w:rPr>
          <w:rFonts w:hint="eastAsia" w:ascii="仿宋_GB2312" w:hAnsi="仿宋" w:eastAsia="仿宋_GB2312"/>
          <w:sz w:val="32"/>
          <w:szCs w:val="32"/>
        </w:rPr>
        <w:t>万元，完成预算100%。</w:t>
      </w:r>
    </w:p>
    <w:p>
      <w:pPr>
        <w:spacing w:line="576" w:lineRule="exact"/>
        <w:ind w:firstLine="642" w:firstLineChars="200"/>
        <w:rPr>
          <w:rFonts w:ascii="仿宋_GB2312" w:hAnsi="仿宋" w:eastAsia="仿宋_GB2312"/>
          <w:sz w:val="32"/>
          <w:szCs w:val="32"/>
        </w:rPr>
      </w:pPr>
      <w:r>
        <w:rPr>
          <w:rStyle w:val="15"/>
          <w:rFonts w:hint="eastAsia" w:ascii="仿宋_GB2312" w:hAnsi="仿宋" w:eastAsia="仿宋_GB2312"/>
          <w:bCs/>
          <w:color w:val="000000"/>
          <w:sz w:val="32"/>
          <w:szCs w:val="32"/>
        </w:rPr>
        <w:t>4.社会保障和就业（类）行政事业单位离退休（款）机关事业单位职业年金缴费支出（项）:</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w:t>
      </w:r>
      <w:r>
        <w:rPr>
          <w:rFonts w:hint="eastAsia" w:ascii="仿宋_GB2312" w:hAnsi="仿宋" w:eastAsia="仿宋_GB2312"/>
          <w:sz w:val="32"/>
          <w:szCs w:val="32"/>
        </w:rPr>
        <w:t>出决算为19.29万元，完成预算100%。</w:t>
      </w:r>
    </w:p>
    <w:p>
      <w:pPr>
        <w:spacing w:line="576" w:lineRule="exact"/>
        <w:ind w:firstLine="642" w:firstLineChars="200"/>
        <w:rPr>
          <w:rFonts w:ascii="仿宋_GB2312" w:hAnsi="仿宋" w:eastAsia="仿宋_GB2312"/>
          <w:sz w:val="32"/>
          <w:szCs w:val="32"/>
        </w:rPr>
      </w:pPr>
      <w:r>
        <w:rPr>
          <w:rStyle w:val="15"/>
          <w:rFonts w:hint="eastAsia" w:ascii="仿宋_GB2312" w:hAnsi="仿宋" w:eastAsia="仿宋_GB2312"/>
          <w:bCs/>
          <w:color w:val="000000"/>
          <w:sz w:val="32"/>
          <w:szCs w:val="32"/>
        </w:rPr>
        <w:t>5.社会保障和就业（类）抚恤（款）死亡抚恤（项）:</w:t>
      </w:r>
      <w:r>
        <w:rPr>
          <w:rStyle w:val="15"/>
          <w:rFonts w:ascii="仿宋" w:hAnsi="仿宋" w:eastAsia="仿宋"/>
          <w:b w:val="0"/>
          <w:bCs/>
          <w:color w:val="000000"/>
          <w:sz w:val="32"/>
          <w:szCs w:val="32"/>
        </w:rPr>
        <w:t xml:space="preserve"> </w:t>
      </w:r>
      <w:r>
        <w:rPr>
          <w:rFonts w:hint="eastAsia" w:ascii="仿宋_GB2312" w:hAnsi="仿宋" w:eastAsia="仿宋_GB2312"/>
          <w:sz w:val="32"/>
          <w:szCs w:val="32"/>
        </w:rPr>
        <w:t>支出决算为11.39万元，完成预算100%。</w:t>
      </w:r>
    </w:p>
    <w:p>
      <w:pPr>
        <w:spacing w:line="576" w:lineRule="exact"/>
        <w:ind w:firstLine="642" w:firstLineChars="200"/>
        <w:rPr>
          <w:rFonts w:ascii="仿宋_GB2312" w:hAnsi="仿宋" w:eastAsia="仿宋_GB2312"/>
          <w:sz w:val="32"/>
          <w:szCs w:val="32"/>
        </w:rPr>
      </w:pPr>
      <w:r>
        <w:rPr>
          <w:rStyle w:val="15"/>
          <w:rFonts w:hint="eastAsia" w:ascii="仿宋_GB2312" w:hAnsi="仿宋" w:eastAsia="仿宋_GB2312"/>
          <w:bCs/>
          <w:color w:val="000000"/>
          <w:sz w:val="32"/>
          <w:szCs w:val="32"/>
        </w:rPr>
        <w:t>6.社会保障和就业（类）抚恤（款）伤残抚恤（项）:</w:t>
      </w:r>
      <w:r>
        <w:rPr>
          <w:rStyle w:val="15"/>
          <w:rFonts w:hint="eastAsia" w:ascii="仿宋_GB2312" w:hAnsi="仿宋" w:eastAsia="仿宋_GB2312"/>
          <w:b w:val="0"/>
          <w:bCs/>
          <w:color w:val="000000"/>
          <w:sz w:val="32"/>
          <w:szCs w:val="32"/>
        </w:rPr>
        <w:t xml:space="preserve"> </w:t>
      </w:r>
      <w:r>
        <w:rPr>
          <w:rFonts w:hint="eastAsia" w:ascii="仿宋_GB2312" w:hAnsi="仿宋" w:eastAsia="仿宋_GB2312"/>
          <w:sz w:val="32"/>
          <w:szCs w:val="32"/>
        </w:rPr>
        <w:t>支出决算为11.76万元，完成预算100%。</w:t>
      </w:r>
    </w:p>
    <w:p>
      <w:pPr>
        <w:spacing w:line="576" w:lineRule="exact"/>
        <w:ind w:firstLine="642" w:firstLineChars="200"/>
        <w:rPr>
          <w:rFonts w:ascii="仿宋_GB2312" w:hAnsi="仿宋" w:eastAsia="仿宋_GB2312"/>
          <w:sz w:val="32"/>
          <w:szCs w:val="32"/>
        </w:rPr>
      </w:pPr>
      <w:r>
        <w:rPr>
          <w:rStyle w:val="15"/>
          <w:rFonts w:hint="eastAsia" w:ascii="仿宋_GB2312" w:hAnsi="仿宋" w:eastAsia="仿宋_GB2312"/>
          <w:bCs/>
          <w:color w:val="000000"/>
          <w:sz w:val="32"/>
          <w:szCs w:val="32"/>
        </w:rPr>
        <w:t>7.社会保障和就业（类）抚恤（款）在乡复员、退伍军人生活补助（项）:</w:t>
      </w:r>
      <w:r>
        <w:rPr>
          <w:rStyle w:val="15"/>
          <w:rFonts w:hint="eastAsia" w:ascii="仿宋_GB2312" w:hAnsi="仿宋" w:eastAsia="仿宋_GB2312"/>
          <w:b w:val="0"/>
          <w:bCs/>
          <w:color w:val="000000"/>
          <w:sz w:val="32"/>
          <w:szCs w:val="32"/>
        </w:rPr>
        <w:t xml:space="preserve"> </w:t>
      </w:r>
      <w:r>
        <w:rPr>
          <w:rFonts w:hint="eastAsia" w:ascii="仿宋_GB2312" w:hAnsi="仿宋" w:eastAsia="仿宋_GB2312"/>
          <w:sz w:val="32"/>
          <w:szCs w:val="32"/>
        </w:rPr>
        <w:t>支出决算为23.7</w:t>
      </w:r>
      <w:r>
        <w:rPr>
          <w:rFonts w:hint="eastAsia" w:ascii="仿宋_GB2312" w:hAnsi="仿宋" w:eastAsia="仿宋_GB2312"/>
          <w:sz w:val="32"/>
          <w:szCs w:val="32"/>
          <w:lang w:val="en-US" w:eastAsia="zh-CN"/>
        </w:rPr>
        <w:t>9</w:t>
      </w:r>
      <w:r>
        <w:rPr>
          <w:rFonts w:hint="eastAsia" w:ascii="仿宋_GB2312" w:hAnsi="仿宋" w:eastAsia="仿宋_GB2312"/>
          <w:sz w:val="32"/>
          <w:szCs w:val="32"/>
        </w:rPr>
        <w:t>万元，完成预算100%。</w:t>
      </w:r>
    </w:p>
    <w:p>
      <w:pPr>
        <w:spacing w:line="576" w:lineRule="exact"/>
        <w:ind w:firstLine="642" w:firstLineChars="200"/>
        <w:rPr>
          <w:rStyle w:val="15"/>
          <w:rFonts w:ascii="仿宋_GB2312" w:hAnsi="仿宋" w:eastAsia="仿宋_GB2312"/>
          <w:b w:val="0"/>
          <w:sz w:val="32"/>
          <w:szCs w:val="32"/>
        </w:rPr>
      </w:pPr>
      <w:r>
        <w:rPr>
          <w:rStyle w:val="15"/>
          <w:rFonts w:hint="eastAsia" w:ascii="仿宋_GB2312" w:hAnsi="仿宋" w:eastAsia="仿宋_GB2312"/>
          <w:bCs/>
          <w:color w:val="000000"/>
          <w:sz w:val="32"/>
          <w:szCs w:val="32"/>
        </w:rPr>
        <w:t>8.社会保障和就业（类）抚恤（款）优抚事业单位支出（项）:</w:t>
      </w:r>
      <w:r>
        <w:rPr>
          <w:rStyle w:val="15"/>
          <w:rFonts w:hint="eastAsia" w:ascii="仿宋_GB2312" w:hAnsi="仿宋" w:eastAsia="仿宋_GB2312"/>
          <w:b w:val="0"/>
          <w:bCs/>
          <w:color w:val="000000"/>
          <w:sz w:val="32"/>
          <w:szCs w:val="32"/>
        </w:rPr>
        <w:t xml:space="preserve"> </w:t>
      </w:r>
      <w:r>
        <w:rPr>
          <w:rFonts w:hint="eastAsia" w:ascii="仿宋_GB2312" w:hAnsi="仿宋" w:eastAsia="仿宋_GB2312"/>
          <w:sz w:val="32"/>
          <w:szCs w:val="32"/>
        </w:rPr>
        <w:t>支出决算为1.04万元，完成预算100%</w:t>
      </w:r>
      <w:r>
        <w:rPr>
          <w:rStyle w:val="15"/>
          <w:rFonts w:hint="eastAsia" w:ascii="仿宋" w:hAnsi="仿宋" w:eastAsia="仿宋"/>
          <w:b w:val="0"/>
          <w:bCs/>
          <w:color w:val="000000"/>
          <w:sz w:val="32"/>
          <w:szCs w:val="32"/>
        </w:rPr>
        <w:t>。</w:t>
      </w:r>
    </w:p>
    <w:p>
      <w:pPr>
        <w:spacing w:line="576" w:lineRule="exact"/>
        <w:ind w:firstLine="642" w:firstLineChars="200"/>
        <w:rPr>
          <w:rFonts w:ascii="仿宋_GB2312" w:hAnsi="仿宋" w:eastAsia="仿宋_GB2312"/>
          <w:sz w:val="32"/>
          <w:szCs w:val="32"/>
        </w:rPr>
      </w:pPr>
      <w:r>
        <w:rPr>
          <w:rStyle w:val="15"/>
          <w:rFonts w:hint="eastAsia" w:ascii="仿宋_GB2312" w:hAnsi="仿宋" w:eastAsia="仿宋_GB2312"/>
          <w:bCs/>
          <w:color w:val="000000"/>
          <w:sz w:val="32"/>
          <w:szCs w:val="32"/>
        </w:rPr>
        <w:t>9.社会保障和就业（类）抚恤（款）义务兵优待（项）:</w:t>
      </w:r>
      <w:r>
        <w:rPr>
          <w:rStyle w:val="15"/>
          <w:rFonts w:hint="eastAsia" w:ascii="仿宋_GB2312" w:hAnsi="仿宋" w:eastAsia="仿宋_GB2312"/>
          <w:b w:val="0"/>
          <w:bCs/>
          <w:color w:val="000000"/>
          <w:sz w:val="32"/>
          <w:szCs w:val="32"/>
        </w:rPr>
        <w:t xml:space="preserve"> </w:t>
      </w:r>
      <w:r>
        <w:rPr>
          <w:rFonts w:hint="eastAsia" w:ascii="仿宋_GB2312" w:hAnsi="仿宋" w:eastAsia="仿宋_GB2312"/>
          <w:sz w:val="32"/>
          <w:szCs w:val="32"/>
        </w:rPr>
        <w:t>支出决算为98.35万元，完成预算100%。</w:t>
      </w:r>
    </w:p>
    <w:p>
      <w:pPr>
        <w:spacing w:line="576" w:lineRule="exact"/>
        <w:ind w:firstLine="642" w:firstLineChars="200"/>
        <w:rPr>
          <w:rFonts w:ascii="仿宋_GB2312" w:hAnsi="仿宋" w:eastAsia="仿宋_GB2312"/>
          <w:sz w:val="32"/>
          <w:szCs w:val="32"/>
        </w:rPr>
      </w:pPr>
      <w:r>
        <w:rPr>
          <w:rStyle w:val="15"/>
          <w:rFonts w:hint="eastAsia" w:ascii="仿宋_GB2312" w:hAnsi="仿宋" w:eastAsia="仿宋_GB2312"/>
          <w:bCs/>
          <w:color w:val="000000"/>
          <w:sz w:val="32"/>
          <w:szCs w:val="32"/>
        </w:rPr>
        <w:t>10.社会保障和就业（类）抚恤（款）农村籍退役士兵老年生活补助（项）:</w:t>
      </w:r>
      <w:r>
        <w:rPr>
          <w:rStyle w:val="15"/>
          <w:rFonts w:ascii="仿宋" w:hAnsi="仿宋" w:eastAsia="仿宋"/>
          <w:b w:val="0"/>
          <w:bCs/>
          <w:color w:val="000000"/>
          <w:sz w:val="32"/>
          <w:szCs w:val="32"/>
        </w:rPr>
        <w:t xml:space="preserve"> </w:t>
      </w:r>
      <w:r>
        <w:rPr>
          <w:rFonts w:hint="eastAsia" w:ascii="仿宋_GB2312" w:hAnsi="仿宋" w:eastAsia="仿宋_GB2312"/>
          <w:sz w:val="32"/>
          <w:szCs w:val="32"/>
        </w:rPr>
        <w:t>支出决算为7.3</w:t>
      </w:r>
      <w:r>
        <w:rPr>
          <w:rFonts w:hint="eastAsia" w:ascii="仿宋_GB2312" w:hAnsi="仿宋" w:eastAsia="仿宋_GB2312"/>
          <w:sz w:val="32"/>
          <w:szCs w:val="32"/>
          <w:lang w:val="en-US" w:eastAsia="zh-CN"/>
        </w:rPr>
        <w:t>9</w:t>
      </w:r>
      <w:r>
        <w:rPr>
          <w:rFonts w:hint="eastAsia" w:ascii="仿宋_GB2312" w:hAnsi="仿宋" w:eastAsia="仿宋_GB2312"/>
          <w:sz w:val="32"/>
          <w:szCs w:val="32"/>
        </w:rPr>
        <w:t xml:space="preserve">万元，完成预算100%。 </w:t>
      </w:r>
    </w:p>
    <w:p>
      <w:pPr>
        <w:spacing w:line="576" w:lineRule="exact"/>
        <w:ind w:firstLine="642" w:firstLineChars="200"/>
        <w:rPr>
          <w:rFonts w:ascii="仿宋_GB2312" w:hAnsi="仿宋" w:eastAsia="仿宋_GB2312"/>
          <w:sz w:val="32"/>
          <w:szCs w:val="32"/>
        </w:rPr>
      </w:pPr>
      <w:r>
        <w:rPr>
          <w:rStyle w:val="15"/>
          <w:rFonts w:hint="eastAsia" w:ascii="仿宋_GB2312" w:hAnsi="仿宋" w:eastAsia="仿宋_GB2312"/>
          <w:bCs/>
          <w:color w:val="000000"/>
          <w:sz w:val="32"/>
          <w:szCs w:val="32"/>
        </w:rPr>
        <w:t>11.社会保障和就业（类）抚恤（款）其他优抚支出（项）:</w:t>
      </w:r>
      <w:r>
        <w:rPr>
          <w:rStyle w:val="15"/>
          <w:rFonts w:hint="eastAsia" w:ascii="仿宋_GB2312" w:hAnsi="仿宋" w:eastAsia="仿宋_GB2312"/>
          <w:b w:val="0"/>
          <w:bCs/>
          <w:color w:val="000000"/>
          <w:sz w:val="32"/>
          <w:szCs w:val="32"/>
        </w:rPr>
        <w:t xml:space="preserve"> </w:t>
      </w:r>
      <w:r>
        <w:rPr>
          <w:rFonts w:hint="eastAsia" w:ascii="仿宋_GB2312" w:hAnsi="仿宋" w:eastAsia="仿宋_GB2312"/>
          <w:sz w:val="32"/>
          <w:szCs w:val="32"/>
        </w:rPr>
        <w:t xml:space="preserve">支出决算为35.64万元，完成预算100%。                        </w:t>
      </w:r>
    </w:p>
    <w:p>
      <w:pPr>
        <w:spacing w:line="576" w:lineRule="exact"/>
        <w:ind w:firstLine="642" w:firstLineChars="200"/>
        <w:rPr>
          <w:rFonts w:ascii="仿宋_GB2312" w:hAnsi="仿宋" w:eastAsia="仿宋_GB2312"/>
          <w:sz w:val="32"/>
          <w:szCs w:val="32"/>
        </w:rPr>
      </w:pPr>
      <w:r>
        <w:rPr>
          <w:rStyle w:val="15"/>
          <w:rFonts w:hint="eastAsia" w:ascii="仿宋_GB2312" w:hAnsi="仿宋" w:eastAsia="仿宋_GB2312"/>
          <w:bCs/>
          <w:color w:val="000000"/>
          <w:sz w:val="32"/>
          <w:szCs w:val="32"/>
        </w:rPr>
        <w:t>12.社会保障和就业（类）退役安置（款）军队移交政府的离退休人员安置（项）:</w:t>
      </w:r>
      <w:r>
        <w:rPr>
          <w:rStyle w:val="15"/>
          <w:rFonts w:ascii="仿宋" w:hAnsi="仿宋" w:eastAsia="仿宋"/>
          <w:b w:val="0"/>
          <w:bCs/>
          <w:color w:val="000000"/>
          <w:sz w:val="32"/>
          <w:szCs w:val="32"/>
        </w:rPr>
        <w:t xml:space="preserve"> </w:t>
      </w:r>
      <w:r>
        <w:rPr>
          <w:rFonts w:hint="eastAsia" w:ascii="仿宋_GB2312" w:hAnsi="仿宋" w:eastAsia="仿宋_GB2312"/>
          <w:sz w:val="32"/>
          <w:szCs w:val="32"/>
        </w:rPr>
        <w:t>支出决算为16.79万元，完成预算100%。</w:t>
      </w:r>
    </w:p>
    <w:p>
      <w:pPr>
        <w:spacing w:line="576" w:lineRule="exact"/>
        <w:ind w:firstLine="642" w:firstLineChars="200"/>
        <w:rPr>
          <w:rFonts w:ascii="仿宋_GB2312" w:hAnsi="仿宋" w:eastAsia="仿宋_GB2312"/>
          <w:sz w:val="32"/>
          <w:szCs w:val="32"/>
        </w:rPr>
      </w:pPr>
      <w:r>
        <w:rPr>
          <w:rStyle w:val="15"/>
          <w:rFonts w:hint="eastAsia" w:ascii="仿宋_GB2312" w:hAnsi="仿宋" w:eastAsia="仿宋_GB2312"/>
          <w:bCs/>
          <w:color w:val="000000"/>
          <w:sz w:val="32"/>
          <w:szCs w:val="32"/>
        </w:rPr>
        <w:t>13.社会保障和就业（类）退役安置（款）军队移交政府离退休干部管理机构（项）:</w:t>
      </w:r>
      <w:r>
        <w:rPr>
          <w:rStyle w:val="15"/>
          <w:rFonts w:hint="eastAsia" w:ascii="仿宋_GB2312" w:hAnsi="仿宋" w:eastAsia="仿宋_GB2312"/>
          <w:b w:val="0"/>
          <w:bCs/>
          <w:color w:val="000000"/>
          <w:sz w:val="32"/>
          <w:szCs w:val="32"/>
        </w:rPr>
        <w:t xml:space="preserve"> </w:t>
      </w:r>
      <w:r>
        <w:rPr>
          <w:rFonts w:hint="eastAsia" w:ascii="仿宋_GB2312" w:hAnsi="仿宋" w:eastAsia="仿宋_GB2312"/>
          <w:sz w:val="32"/>
          <w:szCs w:val="32"/>
        </w:rPr>
        <w:t>支出决算为0.25万元，完成预算100%。</w:t>
      </w:r>
    </w:p>
    <w:p>
      <w:pPr>
        <w:spacing w:line="576" w:lineRule="exact"/>
        <w:ind w:firstLine="642" w:firstLineChars="200"/>
        <w:rPr>
          <w:rFonts w:ascii="仿宋_GB2312" w:hAnsi="仿宋" w:eastAsia="仿宋_GB2312"/>
          <w:sz w:val="32"/>
          <w:szCs w:val="32"/>
        </w:rPr>
      </w:pPr>
      <w:r>
        <w:rPr>
          <w:rStyle w:val="15"/>
          <w:rFonts w:hint="eastAsia" w:ascii="仿宋_GB2312" w:hAnsi="仿宋" w:eastAsia="仿宋_GB2312"/>
          <w:bCs/>
          <w:color w:val="000000"/>
          <w:sz w:val="32"/>
          <w:szCs w:val="32"/>
        </w:rPr>
        <w:t>14.社会保障和就业（类）社会福利（款）儿童福利（项）:</w:t>
      </w:r>
      <w:r>
        <w:rPr>
          <w:rStyle w:val="15"/>
          <w:rFonts w:hint="eastAsia" w:ascii="仿宋_GB2312" w:hAnsi="仿宋" w:eastAsia="仿宋_GB2312"/>
          <w:b w:val="0"/>
          <w:bCs/>
          <w:color w:val="000000"/>
          <w:sz w:val="32"/>
          <w:szCs w:val="32"/>
        </w:rPr>
        <w:t xml:space="preserve"> </w:t>
      </w:r>
      <w:r>
        <w:rPr>
          <w:rFonts w:hint="eastAsia" w:ascii="仿宋_GB2312" w:hAnsi="仿宋" w:eastAsia="仿宋_GB2312"/>
          <w:sz w:val="32"/>
          <w:szCs w:val="32"/>
        </w:rPr>
        <w:t>支出决算为28.62万元，完成预算55.04%。决算数小于预算数的主要原因是项目未完工资金结转至下一年度继续使用。</w:t>
      </w:r>
    </w:p>
    <w:p>
      <w:pPr>
        <w:spacing w:line="576" w:lineRule="exact"/>
        <w:ind w:firstLine="642" w:firstLineChars="200"/>
        <w:rPr>
          <w:rStyle w:val="15"/>
          <w:rFonts w:ascii="仿宋_GB2312" w:hAnsi="仿宋" w:eastAsia="仿宋_GB2312"/>
          <w:b w:val="0"/>
          <w:sz w:val="32"/>
          <w:szCs w:val="32"/>
        </w:rPr>
      </w:pPr>
      <w:r>
        <w:rPr>
          <w:rStyle w:val="15"/>
          <w:rFonts w:hint="eastAsia" w:ascii="仿宋_GB2312" w:hAnsi="仿宋" w:eastAsia="仿宋_GB2312"/>
          <w:bCs/>
          <w:color w:val="000000"/>
          <w:sz w:val="32"/>
          <w:szCs w:val="32"/>
        </w:rPr>
        <w:t>15.社会保障和就业（类）社会福利（款）老年福利（项）:</w:t>
      </w:r>
      <w:r>
        <w:rPr>
          <w:rStyle w:val="15"/>
          <w:rFonts w:hint="eastAsia" w:ascii="仿宋_GB2312" w:hAnsi="仿宋" w:eastAsia="仿宋_GB2312"/>
          <w:b w:val="0"/>
          <w:bCs/>
          <w:color w:val="000000"/>
          <w:sz w:val="32"/>
          <w:szCs w:val="32"/>
        </w:rPr>
        <w:t xml:space="preserve"> </w:t>
      </w:r>
      <w:r>
        <w:rPr>
          <w:rFonts w:hint="eastAsia" w:ascii="仿宋_GB2312" w:hAnsi="仿宋" w:eastAsia="仿宋_GB2312"/>
          <w:sz w:val="32"/>
          <w:szCs w:val="32"/>
        </w:rPr>
        <w:t>支出决算为167万元，完成预算100%。</w:t>
      </w:r>
    </w:p>
    <w:p>
      <w:pPr>
        <w:spacing w:line="576" w:lineRule="exact"/>
        <w:ind w:firstLine="642" w:firstLineChars="200"/>
        <w:rPr>
          <w:rFonts w:ascii="仿宋_GB2312" w:hAnsi="仿宋" w:eastAsia="仿宋_GB2312"/>
          <w:sz w:val="32"/>
          <w:szCs w:val="32"/>
        </w:rPr>
      </w:pPr>
      <w:r>
        <w:rPr>
          <w:rStyle w:val="15"/>
          <w:rFonts w:hint="eastAsia" w:ascii="仿宋_GB2312" w:hAnsi="仿宋" w:eastAsia="仿宋_GB2312"/>
          <w:bCs/>
          <w:color w:val="000000"/>
          <w:sz w:val="32"/>
          <w:szCs w:val="32"/>
        </w:rPr>
        <w:t>16.社会保障和就业（类）社会福利（款）社会福利事业单位（项）:</w:t>
      </w:r>
      <w:r>
        <w:rPr>
          <w:rStyle w:val="15"/>
          <w:rFonts w:hint="eastAsia" w:ascii="仿宋_GB2312" w:hAnsi="仿宋" w:eastAsia="仿宋_GB2312"/>
          <w:b w:val="0"/>
          <w:bCs/>
          <w:color w:val="000000"/>
          <w:sz w:val="32"/>
          <w:szCs w:val="32"/>
        </w:rPr>
        <w:t xml:space="preserve"> </w:t>
      </w:r>
      <w:r>
        <w:rPr>
          <w:rFonts w:hint="eastAsia" w:ascii="仿宋_GB2312" w:hAnsi="仿宋" w:eastAsia="仿宋_GB2312"/>
          <w:sz w:val="32"/>
          <w:szCs w:val="32"/>
        </w:rPr>
        <w:t>支出决算为72.73万元，完成预算100%。</w:t>
      </w:r>
    </w:p>
    <w:p>
      <w:pPr>
        <w:spacing w:line="576" w:lineRule="exact"/>
        <w:ind w:firstLine="642" w:firstLineChars="200"/>
        <w:rPr>
          <w:rFonts w:ascii="仿宋_GB2312" w:hAnsi="仿宋" w:eastAsia="仿宋_GB2312"/>
          <w:sz w:val="32"/>
          <w:szCs w:val="32"/>
        </w:rPr>
      </w:pPr>
      <w:r>
        <w:rPr>
          <w:rStyle w:val="15"/>
          <w:rFonts w:hint="eastAsia" w:ascii="仿宋_GB2312" w:hAnsi="仿宋" w:eastAsia="仿宋_GB2312"/>
          <w:bCs/>
          <w:color w:val="000000"/>
          <w:sz w:val="32"/>
          <w:szCs w:val="32"/>
        </w:rPr>
        <w:t>17.社会保障和就业（类）社会福利（款）其他社会福利支出（项）:</w:t>
      </w:r>
      <w:r>
        <w:rPr>
          <w:rStyle w:val="15"/>
          <w:rFonts w:ascii="仿宋" w:hAnsi="仿宋" w:eastAsia="仿宋"/>
          <w:b w:val="0"/>
          <w:bCs/>
          <w:color w:val="000000"/>
          <w:sz w:val="32"/>
          <w:szCs w:val="32"/>
        </w:rPr>
        <w:t xml:space="preserve"> </w:t>
      </w:r>
      <w:r>
        <w:rPr>
          <w:rFonts w:hint="eastAsia" w:ascii="仿宋_GB2312" w:hAnsi="仿宋" w:eastAsia="仿宋_GB2312"/>
          <w:sz w:val="32"/>
          <w:szCs w:val="32"/>
        </w:rPr>
        <w:t>支出决算为60.12万元，完成预算54.65%。决算数小于预算数的主要原因是项目未完工资金结转至下一年度继续使用。</w:t>
      </w:r>
    </w:p>
    <w:p>
      <w:pPr>
        <w:spacing w:line="576" w:lineRule="exact"/>
        <w:ind w:firstLine="642" w:firstLineChars="200"/>
        <w:rPr>
          <w:rFonts w:ascii="仿宋_GB2312" w:hAnsi="仿宋" w:eastAsia="仿宋_GB2312"/>
          <w:sz w:val="32"/>
          <w:szCs w:val="32"/>
        </w:rPr>
      </w:pPr>
      <w:r>
        <w:rPr>
          <w:rStyle w:val="15"/>
          <w:rFonts w:hint="eastAsia" w:ascii="仿宋_GB2312" w:hAnsi="仿宋" w:eastAsia="仿宋_GB2312"/>
          <w:bCs/>
          <w:color w:val="000000"/>
          <w:sz w:val="32"/>
          <w:szCs w:val="32"/>
        </w:rPr>
        <w:t>18.社会保障和就业（类）残疾人事业（款）残疾人生活和护理补贴（项）:</w:t>
      </w:r>
      <w:r>
        <w:rPr>
          <w:rStyle w:val="15"/>
          <w:rFonts w:hint="eastAsia" w:ascii="仿宋_GB2312" w:hAnsi="仿宋" w:eastAsia="仿宋_GB2312"/>
          <w:b w:val="0"/>
          <w:bCs/>
          <w:color w:val="000000"/>
          <w:sz w:val="32"/>
          <w:szCs w:val="32"/>
        </w:rPr>
        <w:t xml:space="preserve"> </w:t>
      </w:r>
      <w:r>
        <w:rPr>
          <w:rFonts w:hint="eastAsia" w:ascii="仿宋_GB2312" w:hAnsi="仿宋" w:eastAsia="仿宋_GB2312"/>
          <w:sz w:val="32"/>
          <w:szCs w:val="32"/>
        </w:rPr>
        <w:t>支出决算为115.54万元，完成预算100%。</w:t>
      </w:r>
    </w:p>
    <w:p>
      <w:pPr>
        <w:spacing w:line="576" w:lineRule="exact"/>
        <w:ind w:firstLine="642" w:firstLineChars="200"/>
        <w:rPr>
          <w:rStyle w:val="15"/>
          <w:rFonts w:ascii="仿宋_GB2312" w:hAnsi="仿宋" w:eastAsia="仿宋_GB2312"/>
          <w:b w:val="0"/>
          <w:sz w:val="32"/>
          <w:szCs w:val="32"/>
        </w:rPr>
      </w:pPr>
      <w:r>
        <w:rPr>
          <w:rStyle w:val="15"/>
          <w:rFonts w:hint="eastAsia" w:ascii="仿宋_GB2312" w:hAnsi="仿宋" w:eastAsia="仿宋_GB2312"/>
          <w:bCs/>
          <w:color w:val="000000"/>
          <w:sz w:val="32"/>
          <w:szCs w:val="32"/>
        </w:rPr>
        <w:t>19.社会保障和就业（类）最低生活保障（款）城市最低生活保障金支出（项）:</w:t>
      </w:r>
      <w:r>
        <w:rPr>
          <w:rStyle w:val="15"/>
          <w:rFonts w:ascii="仿宋" w:hAnsi="仿宋" w:eastAsia="仿宋"/>
          <w:b w:val="0"/>
          <w:bCs/>
          <w:color w:val="000000"/>
          <w:sz w:val="32"/>
          <w:szCs w:val="32"/>
        </w:rPr>
        <w:t xml:space="preserve"> </w:t>
      </w:r>
      <w:r>
        <w:rPr>
          <w:rFonts w:hint="eastAsia" w:ascii="仿宋_GB2312" w:hAnsi="仿宋" w:eastAsia="仿宋_GB2312"/>
          <w:sz w:val="32"/>
          <w:szCs w:val="32"/>
        </w:rPr>
        <w:t>支出决算为1297.43万元，完成预算99.12%。决算数小于预算数的主要原因是临时价格补贴资金结转至下一年度继续使用。</w:t>
      </w:r>
    </w:p>
    <w:p>
      <w:pPr>
        <w:spacing w:line="576" w:lineRule="exact"/>
        <w:ind w:firstLine="642" w:firstLineChars="200"/>
        <w:rPr>
          <w:rFonts w:ascii="仿宋_GB2312" w:hAnsi="仿宋" w:eastAsia="仿宋_GB2312"/>
          <w:sz w:val="32"/>
          <w:szCs w:val="32"/>
        </w:rPr>
      </w:pPr>
      <w:r>
        <w:rPr>
          <w:rStyle w:val="15"/>
          <w:rFonts w:hint="eastAsia" w:ascii="仿宋_GB2312" w:hAnsi="仿宋" w:eastAsia="仿宋_GB2312"/>
          <w:bCs/>
          <w:color w:val="000000"/>
          <w:sz w:val="32"/>
          <w:szCs w:val="32"/>
        </w:rPr>
        <w:t>20.社会保障和就业（类）最低生活保障（款）农村最低生活保障金支出（项）:</w:t>
      </w:r>
      <w:r>
        <w:rPr>
          <w:rStyle w:val="15"/>
          <w:rFonts w:hint="eastAsia" w:ascii="仿宋_GB2312" w:hAnsi="仿宋" w:eastAsia="仿宋_GB2312"/>
          <w:b w:val="0"/>
          <w:bCs/>
          <w:color w:val="000000"/>
          <w:sz w:val="32"/>
          <w:szCs w:val="32"/>
        </w:rPr>
        <w:t xml:space="preserve"> </w:t>
      </w:r>
      <w:r>
        <w:rPr>
          <w:rFonts w:hint="eastAsia" w:ascii="仿宋_GB2312" w:hAnsi="仿宋" w:eastAsia="仿宋_GB2312"/>
          <w:sz w:val="32"/>
          <w:szCs w:val="32"/>
        </w:rPr>
        <w:t>支出决算为13.03万元，完成预算92.34%。决算数小于预算数的主要原因是临时价格补贴资金结转至下一年度继续使用。</w:t>
      </w:r>
    </w:p>
    <w:p>
      <w:pPr>
        <w:spacing w:line="576" w:lineRule="exact"/>
        <w:ind w:firstLine="642" w:firstLineChars="200"/>
        <w:rPr>
          <w:rFonts w:ascii="仿宋_GB2312" w:hAnsi="仿宋" w:eastAsia="仿宋_GB2312"/>
          <w:sz w:val="32"/>
          <w:szCs w:val="32"/>
        </w:rPr>
      </w:pPr>
      <w:r>
        <w:rPr>
          <w:rStyle w:val="15"/>
          <w:rFonts w:hint="eastAsia" w:ascii="仿宋_GB2312" w:hAnsi="仿宋" w:eastAsia="仿宋_GB2312"/>
          <w:bCs/>
          <w:color w:val="000000"/>
          <w:sz w:val="32"/>
          <w:szCs w:val="32"/>
        </w:rPr>
        <w:t>21.社会保障和就业（类）临时救助（款）临时救助支出（项）:</w:t>
      </w:r>
      <w:r>
        <w:rPr>
          <w:rStyle w:val="15"/>
          <w:rFonts w:ascii="仿宋" w:hAnsi="仿宋" w:eastAsia="仿宋"/>
          <w:b w:val="0"/>
          <w:bCs/>
          <w:color w:val="000000"/>
          <w:sz w:val="32"/>
          <w:szCs w:val="32"/>
        </w:rPr>
        <w:t xml:space="preserve"> </w:t>
      </w:r>
      <w:r>
        <w:rPr>
          <w:rFonts w:hint="eastAsia" w:ascii="仿宋_GB2312" w:hAnsi="仿宋" w:eastAsia="仿宋_GB2312"/>
          <w:sz w:val="32"/>
          <w:szCs w:val="32"/>
        </w:rPr>
        <w:t>支出决算为43.67万元，完成预算14.42%。决算数小于预算数的主要原因是临时救助资金动态化结转至下一年度继续使用。</w:t>
      </w:r>
    </w:p>
    <w:p>
      <w:pPr>
        <w:spacing w:line="576" w:lineRule="exact"/>
        <w:ind w:firstLine="642" w:firstLineChars="200"/>
        <w:rPr>
          <w:rFonts w:ascii="仿宋_GB2312" w:hAnsi="仿宋" w:eastAsia="仿宋_GB2312"/>
          <w:sz w:val="32"/>
          <w:szCs w:val="32"/>
        </w:rPr>
      </w:pPr>
      <w:r>
        <w:rPr>
          <w:rStyle w:val="15"/>
          <w:rFonts w:hint="eastAsia" w:ascii="仿宋_GB2312" w:hAnsi="仿宋" w:eastAsia="仿宋_GB2312"/>
          <w:bCs/>
          <w:color w:val="000000"/>
          <w:sz w:val="32"/>
          <w:szCs w:val="32"/>
        </w:rPr>
        <w:t>22.社会保障和就业（类）特困人员救助供养（款）城市特困人员救助供养支出（项）:</w:t>
      </w:r>
      <w:r>
        <w:rPr>
          <w:rStyle w:val="15"/>
          <w:rFonts w:ascii="仿宋" w:hAnsi="仿宋" w:eastAsia="仿宋"/>
          <w:b w:val="0"/>
          <w:bCs/>
          <w:color w:val="000000"/>
          <w:sz w:val="32"/>
          <w:szCs w:val="32"/>
        </w:rPr>
        <w:t xml:space="preserve"> </w:t>
      </w:r>
      <w:r>
        <w:rPr>
          <w:rFonts w:hint="eastAsia" w:ascii="仿宋_GB2312" w:hAnsi="仿宋" w:eastAsia="仿宋_GB2312"/>
          <w:sz w:val="32"/>
          <w:szCs w:val="32"/>
        </w:rPr>
        <w:t>支出决算为64.9</w:t>
      </w:r>
      <w:r>
        <w:rPr>
          <w:rFonts w:hint="eastAsia" w:ascii="仿宋_GB2312" w:hAnsi="仿宋" w:eastAsia="仿宋_GB2312"/>
          <w:sz w:val="32"/>
          <w:szCs w:val="32"/>
          <w:lang w:val="en-US" w:eastAsia="zh-CN"/>
        </w:rPr>
        <w:t>8</w:t>
      </w:r>
      <w:r>
        <w:rPr>
          <w:rFonts w:hint="eastAsia" w:ascii="仿宋_GB2312" w:hAnsi="仿宋" w:eastAsia="仿宋_GB2312"/>
          <w:sz w:val="32"/>
          <w:szCs w:val="32"/>
        </w:rPr>
        <w:t>万元，完成预算49.37%。决算数小于预算数的主要原因是资金结转至下一年度继续使用。</w:t>
      </w:r>
    </w:p>
    <w:p>
      <w:pPr>
        <w:spacing w:line="576" w:lineRule="exact"/>
        <w:ind w:firstLine="642" w:firstLineChars="200"/>
        <w:rPr>
          <w:rFonts w:ascii="仿宋_GB2312" w:hAnsi="仿宋" w:eastAsia="仿宋_GB2312"/>
          <w:sz w:val="32"/>
          <w:szCs w:val="32"/>
        </w:rPr>
      </w:pPr>
      <w:r>
        <w:rPr>
          <w:rStyle w:val="15"/>
          <w:rFonts w:hint="eastAsia" w:ascii="仿宋_GB2312" w:hAnsi="仿宋" w:eastAsia="仿宋_GB2312"/>
          <w:bCs/>
          <w:color w:val="000000"/>
          <w:sz w:val="32"/>
          <w:szCs w:val="32"/>
        </w:rPr>
        <w:t>23.社会保障和就业（类）特困人员救助供养（款）农村特困人员救助供养支出（项）:</w:t>
      </w:r>
      <w:r>
        <w:rPr>
          <w:rStyle w:val="15"/>
          <w:rFonts w:hint="eastAsia" w:ascii="仿宋_GB2312" w:hAnsi="仿宋" w:eastAsia="仿宋_GB2312"/>
          <w:b w:val="0"/>
          <w:bCs/>
          <w:color w:val="000000"/>
          <w:sz w:val="32"/>
          <w:szCs w:val="32"/>
        </w:rPr>
        <w:t xml:space="preserve"> </w:t>
      </w:r>
      <w:r>
        <w:rPr>
          <w:rFonts w:hint="eastAsia" w:ascii="仿宋_GB2312" w:hAnsi="仿宋" w:eastAsia="仿宋_GB2312"/>
          <w:sz w:val="32"/>
          <w:szCs w:val="32"/>
        </w:rPr>
        <w:t>支出决算为218.64万元，完成预算57.98%。决算数小于预算数的主要原因是资金结转至下一年度继续使用。</w:t>
      </w:r>
    </w:p>
    <w:p>
      <w:pPr>
        <w:spacing w:line="576" w:lineRule="exact"/>
        <w:ind w:firstLine="642" w:firstLineChars="200"/>
        <w:rPr>
          <w:rFonts w:ascii="仿宋_GB2312" w:hAnsi="仿宋" w:eastAsia="仿宋_GB2312"/>
          <w:sz w:val="32"/>
          <w:szCs w:val="32"/>
        </w:rPr>
      </w:pPr>
      <w:r>
        <w:rPr>
          <w:rStyle w:val="15"/>
          <w:rFonts w:hint="eastAsia" w:ascii="仿宋_GB2312" w:hAnsi="仿宋" w:eastAsia="仿宋_GB2312"/>
          <w:bCs/>
          <w:color w:val="000000"/>
          <w:sz w:val="32"/>
          <w:szCs w:val="32"/>
        </w:rPr>
        <w:t>24.社会保障和就业（类）其他生活救助（款）其他农村生活救助（项）:</w:t>
      </w:r>
      <w:r>
        <w:rPr>
          <w:rStyle w:val="15"/>
          <w:rFonts w:hint="eastAsia" w:ascii="仿宋_GB2312" w:hAnsi="仿宋" w:eastAsia="仿宋_GB2312"/>
          <w:b w:val="0"/>
          <w:bCs/>
          <w:color w:val="000000"/>
          <w:sz w:val="32"/>
          <w:szCs w:val="32"/>
        </w:rPr>
        <w:t xml:space="preserve"> </w:t>
      </w:r>
      <w:r>
        <w:rPr>
          <w:rFonts w:hint="eastAsia" w:ascii="仿宋_GB2312" w:hAnsi="仿宋" w:eastAsia="仿宋_GB2312"/>
          <w:sz w:val="32"/>
          <w:szCs w:val="32"/>
        </w:rPr>
        <w:t>支出决算为229.5</w:t>
      </w:r>
      <w:r>
        <w:rPr>
          <w:rFonts w:hint="eastAsia" w:ascii="仿宋_GB2312" w:hAnsi="仿宋" w:eastAsia="仿宋_GB2312"/>
          <w:sz w:val="32"/>
          <w:szCs w:val="32"/>
          <w:lang w:val="en-US" w:eastAsia="zh-CN"/>
        </w:rPr>
        <w:t>4</w:t>
      </w:r>
      <w:r>
        <w:rPr>
          <w:rFonts w:hint="eastAsia" w:ascii="仿宋_GB2312" w:hAnsi="仿宋" w:eastAsia="仿宋_GB2312"/>
          <w:sz w:val="32"/>
          <w:szCs w:val="32"/>
        </w:rPr>
        <w:t>万元，完成预算100%。</w:t>
      </w:r>
    </w:p>
    <w:p>
      <w:pPr>
        <w:spacing w:line="576" w:lineRule="exact"/>
        <w:ind w:firstLine="642" w:firstLineChars="200"/>
        <w:rPr>
          <w:rFonts w:ascii="仿宋_GB2312" w:hAnsi="仿宋" w:eastAsia="仿宋_GB2312"/>
          <w:sz w:val="32"/>
          <w:szCs w:val="32"/>
        </w:rPr>
      </w:pPr>
      <w:r>
        <w:rPr>
          <w:rStyle w:val="15"/>
          <w:rFonts w:hint="eastAsia" w:ascii="仿宋_GB2312" w:hAnsi="仿宋" w:eastAsia="仿宋_GB2312"/>
          <w:bCs/>
          <w:color w:val="000000"/>
          <w:sz w:val="32"/>
          <w:szCs w:val="32"/>
        </w:rPr>
        <w:t>25.社会保障和就业（类）退役军人管理事务（款）拥军优属（项）:</w:t>
      </w:r>
      <w:r>
        <w:rPr>
          <w:rStyle w:val="15"/>
          <w:rFonts w:hint="eastAsia" w:ascii="仿宋_GB2312" w:hAnsi="仿宋" w:eastAsia="仿宋_GB2312"/>
          <w:b w:val="0"/>
          <w:bCs/>
          <w:color w:val="000000"/>
          <w:sz w:val="32"/>
          <w:szCs w:val="32"/>
        </w:rPr>
        <w:t xml:space="preserve"> </w:t>
      </w:r>
      <w:r>
        <w:rPr>
          <w:rFonts w:hint="eastAsia" w:ascii="仿宋_GB2312" w:hAnsi="仿宋" w:eastAsia="仿宋_GB2312"/>
          <w:sz w:val="32"/>
          <w:szCs w:val="32"/>
        </w:rPr>
        <w:t>支出决算为5.4万元，完成预算100%。</w:t>
      </w:r>
    </w:p>
    <w:p>
      <w:pPr>
        <w:spacing w:line="576" w:lineRule="exact"/>
        <w:ind w:firstLine="642" w:firstLineChars="200"/>
        <w:rPr>
          <w:rFonts w:ascii="仿宋_GB2312" w:hAnsi="仿宋" w:eastAsia="仿宋_GB2312"/>
          <w:sz w:val="30"/>
          <w:szCs w:val="30"/>
        </w:rPr>
      </w:pPr>
      <w:r>
        <w:rPr>
          <w:rStyle w:val="15"/>
          <w:rFonts w:hint="eastAsia" w:ascii="仿宋_GB2312" w:hAnsi="仿宋" w:eastAsia="仿宋_GB2312"/>
          <w:bCs/>
          <w:color w:val="000000"/>
          <w:sz w:val="32"/>
          <w:szCs w:val="32"/>
        </w:rPr>
        <w:t>26.社会保障和就业（类）其他社会保障和就业支出（款）其他社会保障和就业支出（项）:</w:t>
      </w:r>
      <w:r>
        <w:rPr>
          <w:rStyle w:val="15"/>
          <w:rFonts w:hint="eastAsia" w:ascii="仿宋_GB2312" w:hAnsi="仿宋" w:eastAsia="仿宋_GB2312"/>
          <w:b w:val="0"/>
          <w:bCs/>
          <w:color w:val="000000"/>
          <w:sz w:val="32"/>
          <w:szCs w:val="32"/>
        </w:rPr>
        <w:t xml:space="preserve"> </w:t>
      </w:r>
      <w:r>
        <w:rPr>
          <w:rFonts w:hint="eastAsia" w:ascii="仿宋_GB2312" w:hAnsi="仿宋" w:eastAsia="仿宋_GB2312"/>
          <w:sz w:val="30"/>
          <w:szCs w:val="30"/>
        </w:rPr>
        <w:t>支出决算为1.54万元，完成预算92.77%。决算数小于预算数的主要原因是结转资金至下一年度继续使用。</w:t>
      </w:r>
    </w:p>
    <w:p>
      <w:pPr>
        <w:spacing w:line="576" w:lineRule="exact"/>
        <w:ind w:firstLine="642" w:firstLineChars="200"/>
        <w:rPr>
          <w:rFonts w:ascii="仿宋_GB2312" w:hAnsi="仿宋" w:eastAsia="仿宋_GB2312"/>
          <w:sz w:val="32"/>
          <w:szCs w:val="32"/>
        </w:rPr>
      </w:pPr>
      <w:r>
        <w:rPr>
          <w:rStyle w:val="15"/>
          <w:rFonts w:hint="eastAsia" w:ascii="仿宋_GB2312" w:hAnsi="仿宋" w:eastAsia="仿宋_GB2312"/>
          <w:bCs/>
          <w:color w:val="000000"/>
          <w:sz w:val="32"/>
          <w:szCs w:val="32"/>
        </w:rPr>
        <w:t>27.卫生健康支出（类）行政事业单位医疗（款）行政单位医疗（项）:</w:t>
      </w:r>
      <w:r>
        <w:rPr>
          <w:rFonts w:hint="eastAsia" w:ascii="仿宋_GB2312" w:hAnsi="仿宋" w:eastAsia="仿宋_GB2312"/>
          <w:sz w:val="32"/>
          <w:szCs w:val="32"/>
        </w:rPr>
        <w:t>支出决算为16.</w:t>
      </w:r>
      <w:r>
        <w:rPr>
          <w:rFonts w:hint="eastAsia" w:ascii="仿宋_GB2312" w:hAnsi="仿宋" w:eastAsia="仿宋_GB2312"/>
          <w:sz w:val="32"/>
          <w:szCs w:val="32"/>
          <w:lang w:val="en-US" w:eastAsia="zh-CN"/>
        </w:rPr>
        <w:t>30</w:t>
      </w:r>
      <w:r>
        <w:rPr>
          <w:rFonts w:hint="eastAsia" w:ascii="仿宋_GB2312" w:hAnsi="仿宋" w:eastAsia="仿宋_GB2312"/>
          <w:sz w:val="32"/>
          <w:szCs w:val="32"/>
        </w:rPr>
        <w:t>万元，完成预算100%。</w:t>
      </w:r>
    </w:p>
    <w:p>
      <w:pPr>
        <w:spacing w:line="576" w:lineRule="exact"/>
        <w:ind w:firstLine="642" w:firstLineChars="200"/>
        <w:rPr>
          <w:rStyle w:val="15"/>
          <w:rFonts w:ascii="仿宋_GB2312" w:hAnsi="仿宋" w:eastAsia="仿宋_GB2312"/>
          <w:b w:val="0"/>
          <w:bCs/>
          <w:color w:val="000000"/>
          <w:sz w:val="32"/>
          <w:szCs w:val="32"/>
        </w:rPr>
      </w:pPr>
      <w:r>
        <w:rPr>
          <w:rStyle w:val="15"/>
          <w:rFonts w:hint="eastAsia" w:ascii="仿宋_GB2312" w:hAnsi="仿宋" w:eastAsia="仿宋_GB2312"/>
          <w:bCs/>
          <w:color w:val="000000"/>
          <w:sz w:val="32"/>
          <w:szCs w:val="32"/>
        </w:rPr>
        <w:t>28.卫生健康支出（类）行政事业单位医疗（款）事业单位医疗（项）:</w:t>
      </w:r>
      <w:r>
        <w:rPr>
          <w:rFonts w:hint="eastAsia" w:ascii="仿宋_GB2312" w:hAnsi="仿宋" w:eastAsia="仿宋_GB2312"/>
          <w:sz w:val="32"/>
          <w:szCs w:val="32"/>
        </w:rPr>
        <w:t>支出决算为13.80万元，完成预算100%。</w:t>
      </w:r>
    </w:p>
    <w:p>
      <w:pPr>
        <w:spacing w:line="576" w:lineRule="exact"/>
        <w:ind w:firstLine="642" w:firstLineChars="200"/>
        <w:rPr>
          <w:rFonts w:ascii="仿宋_GB2312" w:hAnsi="仿宋" w:eastAsia="仿宋_GB2312"/>
          <w:sz w:val="32"/>
          <w:szCs w:val="32"/>
        </w:rPr>
      </w:pPr>
      <w:r>
        <w:rPr>
          <w:rStyle w:val="15"/>
          <w:rFonts w:hint="eastAsia" w:ascii="仿宋_GB2312" w:hAnsi="仿宋" w:eastAsia="仿宋_GB2312"/>
          <w:bCs/>
          <w:color w:val="000000"/>
          <w:sz w:val="32"/>
          <w:szCs w:val="32"/>
        </w:rPr>
        <w:t>29.卫生健康支出（类）优抚对象医疗（款）优抚对象医疗补助（项）:</w:t>
      </w:r>
      <w:r>
        <w:rPr>
          <w:rFonts w:hint="eastAsia" w:ascii="仿宋_GB2312" w:hAnsi="仿宋" w:eastAsia="仿宋_GB2312"/>
          <w:sz w:val="32"/>
          <w:szCs w:val="32"/>
        </w:rPr>
        <w:t>支出决算为0.91万元，完成预算100%。</w:t>
      </w:r>
    </w:p>
    <w:p>
      <w:pPr>
        <w:spacing w:line="576" w:lineRule="exact"/>
        <w:ind w:firstLine="642" w:firstLineChars="200"/>
        <w:rPr>
          <w:rFonts w:ascii="仿宋_GB2312" w:hAnsi="仿宋" w:eastAsia="仿宋_GB2312"/>
          <w:sz w:val="32"/>
          <w:szCs w:val="32"/>
        </w:rPr>
      </w:pPr>
      <w:r>
        <w:rPr>
          <w:rStyle w:val="15"/>
          <w:rFonts w:hint="eastAsia" w:ascii="仿宋_GB2312" w:hAnsi="仿宋" w:eastAsia="仿宋_GB2312"/>
          <w:bCs/>
          <w:color w:val="000000"/>
          <w:sz w:val="32"/>
          <w:szCs w:val="32"/>
        </w:rPr>
        <w:t>30.卫生健康支出（类）老龄健康卫生事务（款）老龄健康卫生事务（项）:</w:t>
      </w:r>
      <w:r>
        <w:rPr>
          <w:rFonts w:hint="eastAsia" w:ascii="仿宋_GB2312" w:hAnsi="仿宋" w:eastAsia="仿宋_GB2312"/>
          <w:sz w:val="32"/>
          <w:szCs w:val="32"/>
        </w:rPr>
        <w:t>支出决算为3万元，完成预算100%。</w:t>
      </w:r>
    </w:p>
    <w:p>
      <w:pPr>
        <w:spacing w:line="576" w:lineRule="exact"/>
        <w:ind w:firstLine="642" w:firstLineChars="200"/>
        <w:rPr>
          <w:rFonts w:ascii="仿宋_GB2312" w:hAnsi="仿宋" w:eastAsia="仿宋_GB2312"/>
          <w:sz w:val="32"/>
          <w:szCs w:val="32"/>
        </w:rPr>
      </w:pPr>
      <w:r>
        <w:rPr>
          <w:rStyle w:val="15"/>
          <w:rFonts w:hint="eastAsia" w:ascii="仿宋_GB2312" w:hAnsi="仿宋" w:eastAsia="仿宋_GB2312"/>
          <w:bCs/>
          <w:color w:val="000000"/>
          <w:sz w:val="32"/>
          <w:szCs w:val="32"/>
        </w:rPr>
        <w:t>31.农林水支出（类）扶贫（款）其他扶贫支出（项）:</w:t>
      </w:r>
      <w:r>
        <w:rPr>
          <w:rFonts w:hint="eastAsia" w:ascii="仿宋_GB2312" w:hAnsi="仿宋" w:eastAsia="仿宋_GB2312"/>
          <w:sz w:val="32"/>
          <w:szCs w:val="32"/>
        </w:rPr>
        <w:t>支出决算为0.6万元，完成预算43.47%。决算数小于预算数的主要原因是结转资金至下一年度继续使用。</w:t>
      </w:r>
    </w:p>
    <w:p>
      <w:pPr>
        <w:spacing w:line="576" w:lineRule="exact"/>
        <w:ind w:firstLine="642" w:firstLineChars="200"/>
        <w:rPr>
          <w:rStyle w:val="15"/>
          <w:rFonts w:ascii="仿宋_GB2312" w:hAnsi="仿宋" w:eastAsia="仿宋_GB2312"/>
          <w:b w:val="0"/>
          <w:bCs/>
          <w:color w:val="000000"/>
          <w:sz w:val="32"/>
          <w:szCs w:val="32"/>
        </w:rPr>
      </w:pPr>
      <w:r>
        <w:rPr>
          <w:rStyle w:val="15"/>
          <w:rFonts w:hint="eastAsia" w:ascii="仿宋_GB2312" w:hAnsi="仿宋" w:eastAsia="仿宋_GB2312"/>
          <w:bCs/>
          <w:color w:val="000000"/>
          <w:sz w:val="32"/>
          <w:szCs w:val="32"/>
        </w:rPr>
        <w:t>32.住房保障支出（类）住房改革支出（款）住房公积金（项）:</w:t>
      </w:r>
      <w:r>
        <w:rPr>
          <w:rFonts w:hint="eastAsia" w:ascii="仿宋_GB2312" w:hAnsi="仿宋" w:eastAsia="仿宋_GB2312"/>
          <w:sz w:val="32"/>
          <w:szCs w:val="32"/>
        </w:rPr>
        <w:t>支出决算为40.3</w:t>
      </w:r>
      <w:r>
        <w:rPr>
          <w:rFonts w:hint="eastAsia" w:ascii="仿宋_GB2312" w:hAnsi="仿宋" w:eastAsia="仿宋_GB2312"/>
          <w:sz w:val="32"/>
          <w:szCs w:val="32"/>
          <w:lang w:val="en-US" w:eastAsia="zh-CN"/>
        </w:rPr>
        <w:t>2</w:t>
      </w:r>
      <w:r>
        <w:rPr>
          <w:rFonts w:hint="eastAsia" w:ascii="仿宋_GB2312" w:hAnsi="仿宋" w:eastAsia="仿宋_GB2312"/>
          <w:sz w:val="32"/>
          <w:szCs w:val="32"/>
        </w:rPr>
        <w:t>万元，完成预算100%。</w:t>
      </w:r>
    </w:p>
    <w:p>
      <w:pPr>
        <w:spacing w:line="576" w:lineRule="exact"/>
        <w:ind w:firstLine="642" w:firstLineChars="200"/>
        <w:rPr>
          <w:rFonts w:ascii="仿宋_GB2312" w:hAnsi="仿宋" w:eastAsia="仿宋_GB2312"/>
          <w:sz w:val="32"/>
          <w:szCs w:val="32"/>
        </w:rPr>
      </w:pPr>
      <w:r>
        <w:rPr>
          <w:rStyle w:val="15"/>
          <w:rFonts w:hint="eastAsia" w:ascii="仿宋_GB2312" w:hAnsi="仿宋" w:eastAsia="仿宋_GB2312"/>
          <w:bCs/>
          <w:color w:val="000000"/>
          <w:sz w:val="32"/>
          <w:szCs w:val="32"/>
        </w:rPr>
        <w:t>33.灾害防治及应急管理支出（类）自然灾害救灾及恢复重建支出（款）中央自然灾害生活补助（项）:</w:t>
      </w:r>
      <w:r>
        <w:rPr>
          <w:rFonts w:hint="eastAsia" w:ascii="仿宋_GB2312" w:hAnsi="仿宋" w:eastAsia="仿宋_GB2312"/>
          <w:sz w:val="32"/>
          <w:szCs w:val="32"/>
        </w:rPr>
        <w:t>支出决算为266.07万元，完成预算92.18%。决算数小于预算数的主要原因是结转资金至下一年度继续使用。</w:t>
      </w:r>
    </w:p>
    <w:p>
      <w:pPr>
        <w:spacing w:line="576" w:lineRule="exact"/>
        <w:ind w:firstLine="642" w:firstLineChars="200"/>
        <w:rPr>
          <w:rFonts w:ascii="仿宋_GB2312" w:hAnsi="仿宋" w:eastAsia="仿宋_GB2312"/>
          <w:sz w:val="32"/>
          <w:szCs w:val="32"/>
        </w:rPr>
      </w:pPr>
      <w:r>
        <w:rPr>
          <w:rStyle w:val="15"/>
          <w:rFonts w:hint="eastAsia" w:ascii="仿宋_GB2312" w:hAnsi="仿宋" w:eastAsia="仿宋_GB2312"/>
          <w:bCs/>
          <w:color w:val="000000"/>
          <w:sz w:val="32"/>
          <w:szCs w:val="32"/>
        </w:rPr>
        <w:t>34.灾害防治及应急管理支出（类）自然灾害救灾及恢复重建支出（款）地方自然灾害生活补助（项）:</w:t>
      </w:r>
      <w:r>
        <w:rPr>
          <w:rFonts w:hint="eastAsia" w:ascii="仿宋_GB2312" w:hAnsi="仿宋" w:eastAsia="仿宋_GB2312"/>
          <w:sz w:val="32"/>
          <w:szCs w:val="32"/>
        </w:rPr>
        <w:t>支出决算为27.95万元，完成预算100%。</w:t>
      </w:r>
    </w:p>
    <w:p>
      <w:pPr>
        <w:spacing w:line="576" w:lineRule="exact"/>
        <w:ind w:firstLine="642" w:firstLineChars="200"/>
        <w:rPr>
          <w:rFonts w:ascii="仿宋_GB2312" w:hAnsi="仿宋" w:eastAsia="仿宋_GB2312"/>
          <w:sz w:val="32"/>
          <w:szCs w:val="32"/>
        </w:rPr>
      </w:pPr>
      <w:r>
        <w:rPr>
          <w:rStyle w:val="15"/>
          <w:rFonts w:hint="eastAsia" w:ascii="仿宋_GB2312" w:hAnsi="仿宋" w:eastAsia="仿宋_GB2312"/>
          <w:bCs/>
          <w:color w:val="000000"/>
          <w:sz w:val="32"/>
          <w:szCs w:val="32"/>
        </w:rPr>
        <w:t>35.灾害防治及应急管理支出（类）自然灾害救灾及恢复重建支出（款）自然灾害灾后重建补助（项）:</w:t>
      </w:r>
      <w:r>
        <w:rPr>
          <w:rFonts w:hint="eastAsia" w:ascii="仿宋_GB2312" w:hAnsi="仿宋" w:eastAsia="仿宋_GB2312"/>
          <w:sz w:val="32"/>
          <w:szCs w:val="32"/>
        </w:rPr>
        <w:t>支出决算为26.7</w:t>
      </w:r>
      <w:r>
        <w:rPr>
          <w:rFonts w:hint="eastAsia" w:ascii="仿宋_GB2312" w:hAnsi="仿宋" w:eastAsia="仿宋_GB2312"/>
          <w:sz w:val="32"/>
          <w:szCs w:val="32"/>
          <w:lang w:val="en-US" w:eastAsia="zh-CN"/>
        </w:rPr>
        <w:t>8</w:t>
      </w:r>
      <w:r>
        <w:rPr>
          <w:rFonts w:hint="eastAsia" w:ascii="仿宋_GB2312" w:hAnsi="仿宋" w:eastAsia="仿宋_GB2312"/>
          <w:sz w:val="32"/>
          <w:szCs w:val="32"/>
        </w:rPr>
        <w:t>万元，完成预算50.65%。决算数小于预算数的主要原因是结转资金至下一年度继续使用。</w:t>
      </w:r>
    </w:p>
    <w:p>
      <w:pPr>
        <w:tabs>
          <w:tab w:val="right" w:pos="8306"/>
        </w:tabs>
        <w:spacing w:line="576" w:lineRule="exact"/>
        <w:ind w:firstLine="640"/>
        <w:outlineLvl w:val="1"/>
        <w:rPr>
          <w:rStyle w:val="26"/>
        </w:rPr>
      </w:pPr>
      <w:bookmarkStart w:id="38" w:name="_Toc15396608"/>
      <w:bookmarkStart w:id="39"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38"/>
      <w:bookmarkEnd w:id="39"/>
      <w:r>
        <w:rPr>
          <w:rStyle w:val="26"/>
          <w:rFonts w:ascii="黑体" w:hAnsi="黑体" w:eastAsia="黑体"/>
          <w:b w:val="0"/>
        </w:rPr>
        <w:tab/>
      </w:r>
    </w:p>
    <w:p>
      <w:pPr>
        <w:spacing w:line="576"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2019年一般公共预算财政拨款基本支出504.45万元，其中：</w:t>
      </w:r>
    </w:p>
    <w:p>
      <w:pPr>
        <w:spacing w:line="576"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人员经费477.61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日常公用经费26.84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bookmarkStart w:id="40" w:name="_Toc15396609"/>
      <w:bookmarkStart w:id="41" w:name="_Toc15377215"/>
    </w:p>
    <w:p>
      <w:pPr>
        <w:spacing w:line="576" w:lineRule="exact"/>
        <w:ind w:firstLine="645"/>
        <w:rPr>
          <w:rStyle w:val="26"/>
          <w:rFonts w:ascii="仿宋_GB2312" w:hAnsi="仿宋" w:eastAsia="仿宋_GB2312" w:cs="Times New Roman"/>
          <w:b w:val="0"/>
          <w:bCs w:val="0"/>
          <w:color w:val="000000"/>
        </w:rPr>
      </w:pPr>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0"/>
      <w:bookmarkEnd w:id="41"/>
      <w:bookmarkStart w:id="42" w:name="_Toc15377216"/>
    </w:p>
    <w:p>
      <w:pPr>
        <w:spacing w:line="576" w:lineRule="exact"/>
        <w:ind w:firstLine="645"/>
        <w:rPr>
          <w:rFonts w:ascii="楷体_GB2312" w:hAnsi="仿宋" w:eastAsia="楷体_GB2312"/>
          <w:color w:val="000000"/>
          <w:sz w:val="32"/>
          <w:szCs w:val="32"/>
        </w:rPr>
      </w:pPr>
      <w:r>
        <w:rPr>
          <w:rFonts w:hint="eastAsia" w:ascii="楷体_GB2312" w:hAnsi="仿宋" w:eastAsia="楷体_GB2312"/>
          <w:b/>
          <w:color w:val="000000"/>
          <w:sz w:val="32"/>
          <w:szCs w:val="32"/>
        </w:rPr>
        <w:t>（一）“三公”经费财政拨款支出决算总体情况说明</w:t>
      </w:r>
      <w:bookmarkEnd w:id="42"/>
    </w:p>
    <w:p>
      <w:pPr>
        <w:spacing w:line="576"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2019年“三公”经费财政拨款支出决算为3.82万元，完成预算100%。</w:t>
      </w:r>
      <w:bookmarkStart w:id="43" w:name="_Toc15377217"/>
    </w:p>
    <w:p>
      <w:pPr>
        <w:spacing w:line="576" w:lineRule="exact"/>
        <w:ind w:firstLine="640"/>
        <w:rPr>
          <w:rFonts w:hint="eastAsia" w:ascii="楷体_GB2312" w:hAnsi="仿宋" w:eastAsia="楷体_GB2312"/>
          <w:b/>
          <w:color w:val="000000"/>
          <w:sz w:val="32"/>
          <w:szCs w:val="32"/>
        </w:rPr>
      </w:pPr>
      <w:r>
        <w:rPr>
          <w:rFonts w:hint="eastAsia" w:ascii="楷体_GB2312" w:hAnsi="仿宋" w:eastAsia="楷体_GB2312"/>
          <w:b/>
          <w:color w:val="000000"/>
          <w:sz w:val="32"/>
          <w:szCs w:val="32"/>
        </w:rPr>
        <w:t>（二）“三公”经费财政拨款支出决算具体情况说明</w:t>
      </w:r>
      <w:bookmarkEnd w:id="43"/>
    </w:p>
    <w:p>
      <w:pPr>
        <w:spacing w:line="576"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2019年“三公”经费财政拨款支出决算中，因公出国（境）费支出决算0万元，占0%；公务用车购置及运行维护费支出决算3.78万元，占98.95%；公务接待费支出决算0.04万元，占1.05%。具体情况如下：</w:t>
      </w:r>
    </w:p>
    <w:p>
      <w:pPr>
        <w:spacing w:line="576" w:lineRule="exact"/>
        <w:rPr>
          <w:rFonts w:ascii="仿宋_GB2312" w:hAnsi="仿宋" w:eastAsia="仿宋_GB2312"/>
          <w:color w:val="000000"/>
          <w:sz w:val="32"/>
          <w:szCs w:val="32"/>
        </w:rPr>
      </w:pPr>
      <w:r>
        <w:rPr>
          <w:rFonts w:hint="eastAsia" w:ascii="仿宋_GB2312" w:eastAsia="仿宋_GB2312"/>
        </w:rPr>
        <w:drawing>
          <wp:anchor distT="0" distB="0" distL="114300" distR="114300" simplePos="0" relativeHeight="251663360" behindDoc="0" locked="0" layoutInCell="1" allowOverlap="1">
            <wp:simplePos x="0" y="0"/>
            <wp:positionH relativeFrom="column">
              <wp:posOffset>515620</wp:posOffset>
            </wp:positionH>
            <wp:positionV relativeFrom="paragraph">
              <wp:posOffset>812165</wp:posOffset>
            </wp:positionV>
            <wp:extent cx="3447415" cy="2171065"/>
            <wp:effectExtent l="4445" t="4445" r="15240" b="15240"/>
            <wp:wrapTopAndBottom/>
            <wp:docPr id="6"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_GB2312" w:hAnsi="仿宋" w:eastAsia="仿宋_GB2312"/>
          <w:color w:val="000000"/>
          <w:sz w:val="32"/>
          <w:szCs w:val="32"/>
        </w:rPr>
        <w:t>（图7：“三公”经费财政拨款支出结构）（单位:万元）</w:t>
      </w:r>
    </w:p>
    <w:p>
      <w:pPr>
        <w:spacing w:line="576" w:lineRule="exact"/>
        <w:rPr>
          <w:rFonts w:ascii="仿宋" w:hAnsi="仿宋" w:eastAsia="仿宋"/>
          <w:color w:val="000000"/>
          <w:sz w:val="32"/>
          <w:szCs w:val="32"/>
        </w:rPr>
      </w:pPr>
    </w:p>
    <w:p>
      <w:pPr>
        <w:tabs>
          <w:tab w:val="left" w:pos="312"/>
        </w:tabs>
        <w:spacing w:line="576" w:lineRule="exact"/>
        <w:ind w:firstLine="642" w:firstLineChars="200"/>
        <w:rPr>
          <w:rFonts w:ascii="仿宋_GB2312" w:eastAsia="仿宋_GB2312"/>
          <w:color w:val="000000"/>
          <w:sz w:val="32"/>
          <w:szCs w:val="32"/>
        </w:rPr>
      </w:pPr>
      <w:r>
        <w:rPr>
          <w:rFonts w:hint="eastAsia" w:ascii="仿宋_GB2312" w:eastAsia="仿宋_GB2312"/>
          <w:b/>
          <w:color w:val="000000"/>
          <w:sz w:val="32"/>
          <w:szCs w:val="32"/>
        </w:rPr>
        <w:t>1.因公出国（境）经费支出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w:t>
      </w:r>
    </w:p>
    <w:p>
      <w:pPr>
        <w:spacing w:line="600" w:lineRule="exact"/>
        <w:ind w:firstLine="642" w:firstLineChars="200"/>
        <w:rPr>
          <w:rFonts w:ascii="仿宋_GB2312" w:eastAsia="仿宋_GB2312"/>
          <w:color w:val="000000"/>
          <w:sz w:val="32"/>
          <w:szCs w:val="32"/>
        </w:rPr>
      </w:pPr>
      <w:r>
        <w:rPr>
          <w:rFonts w:hint="eastAsia" w:ascii="仿宋_GB2312" w:eastAsia="仿宋_GB2312"/>
          <w:b/>
          <w:color w:val="000000"/>
          <w:sz w:val="32"/>
          <w:szCs w:val="32"/>
        </w:rPr>
        <w:t>2.公务用车购置及运行维护费支出</w:t>
      </w:r>
      <w:r>
        <w:rPr>
          <w:rFonts w:hint="eastAsia" w:ascii="仿宋_GB2312" w:eastAsia="仿宋_GB2312"/>
          <w:color w:val="000000"/>
          <w:sz w:val="32"/>
          <w:szCs w:val="32"/>
        </w:rPr>
        <w:t>3.78万元,</w:t>
      </w:r>
      <w:r>
        <w:rPr>
          <w:rStyle w:val="15"/>
          <w:rFonts w:hint="eastAsia" w:ascii="仿宋" w:hAnsi="仿宋" w:eastAsia="仿宋"/>
          <w:b w:val="0"/>
          <w:bCs/>
          <w:color w:val="000000"/>
          <w:sz w:val="32"/>
          <w:szCs w:val="32"/>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8年减少0.22万元，下降5.5</w:t>
      </w:r>
      <w:r>
        <w:rPr>
          <w:rFonts w:ascii="仿宋_GB2312" w:eastAsia="仿宋_GB2312"/>
          <w:color w:val="000000"/>
          <w:sz w:val="32"/>
          <w:szCs w:val="32"/>
        </w:rPr>
        <w:t>%</w:t>
      </w:r>
      <w:r>
        <w:rPr>
          <w:rFonts w:hint="eastAsia" w:ascii="仿宋_GB2312" w:eastAsia="仿宋_GB2312"/>
          <w:color w:val="000000"/>
          <w:sz w:val="32"/>
          <w:szCs w:val="32"/>
        </w:rPr>
        <w:t>。主要原因是厉行节约。其中：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s="仿宋_GB2312"/>
          <w:color w:val="000000"/>
          <w:sz w:val="32"/>
          <w:szCs w:val="32"/>
        </w:rPr>
        <w:t>截至</w:t>
      </w:r>
      <w:r>
        <w:rPr>
          <w:rFonts w:ascii="仿宋_GB2312" w:eastAsia="仿宋_GB2312" w:cs="仿宋_GB2312"/>
          <w:color w:val="000000"/>
          <w:sz w:val="32"/>
          <w:szCs w:val="32"/>
        </w:rPr>
        <w:t>2019</w:t>
      </w:r>
      <w:r>
        <w:rPr>
          <w:rFonts w:hint="eastAsia" w:ascii="仿宋_GB2312" w:eastAsia="仿宋_GB2312" w:cs="仿宋_GB2312"/>
          <w:color w:val="000000"/>
          <w:sz w:val="32"/>
          <w:szCs w:val="32"/>
        </w:rPr>
        <w:t>年</w:t>
      </w:r>
      <w:r>
        <w:rPr>
          <w:rFonts w:ascii="仿宋_GB2312" w:eastAsia="仿宋_GB2312" w:cs="仿宋_GB2312"/>
          <w:color w:val="000000"/>
          <w:sz w:val="32"/>
          <w:szCs w:val="32"/>
        </w:rPr>
        <w:t>12</w:t>
      </w:r>
      <w:r>
        <w:rPr>
          <w:rFonts w:hint="eastAsia" w:ascii="仿宋_GB2312" w:eastAsia="仿宋_GB2312" w:cs="仿宋_GB2312"/>
          <w:color w:val="000000"/>
          <w:sz w:val="32"/>
          <w:szCs w:val="32"/>
        </w:rPr>
        <w:t>月底，单位共有公务用车</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辆，其中：主要领导干部用车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辆、机要通信用车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辆、应急保障用车</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辆、执法执勤用车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w:t>
      </w:r>
    </w:p>
    <w:p>
      <w:pPr>
        <w:tabs>
          <w:tab w:val="left" w:pos="312"/>
        </w:tabs>
        <w:spacing w:line="576" w:lineRule="exact"/>
        <w:ind w:firstLine="642" w:firstLineChars="20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3.78万元。主要用于</w:t>
      </w:r>
      <w:r>
        <w:rPr>
          <w:rFonts w:hint="eastAsia" w:ascii="仿宋_GB2312" w:hAnsi="仿宋" w:eastAsia="仿宋_GB2312"/>
          <w:sz w:val="30"/>
          <w:szCs w:val="30"/>
        </w:rPr>
        <w:t>乡</w:t>
      </w:r>
      <w:r>
        <w:rPr>
          <w:rFonts w:hint="eastAsia" w:ascii="仿宋_GB2312" w:eastAsia="仿宋_GB2312"/>
          <w:color w:val="000000"/>
          <w:sz w:val="32"/>
          <w:szCs w:val="32"/>
        </w:rPr>
        <w:t>镇走访、核实、慰问民政对象等所需的公务用车燃料费、维修费、过路过桥费、保险费等支出。</w:t>
      </w:r>
    </w:p>
    <w:p>
      <w:pPr>
        <w:tabs>
          <w:tab w:val="left" w:pos="312"/>
        </w:tabs>
        <w:spacing w:line="576" w:lineRule="exact"/>
        <w:ind w:firstLine="642" w:firstLineChars="20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0.04万元，</w:t>
      </w:r>
      <w:r>
        <w:rPr>
          <w:rStyle w:val="15"/>
          <w:rFonts w:hint="eastAsia" w:ascii="仿宋" w:hAnsi="仿宋" w:eastAsia="仿宋"/>
          <w:b w:val="0"/>
          <w:bCs/>
          <w:color w:val="000000"/>
          <w:sz w:val="32"/>
          <w:szCs w:val="32"/>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8年减少0.46万元，下降92</w:t>
      </w:r>
      <w:r>
        <w:rPr>
          <w:rFonts w:ascii="仿宋_GB2312" w:eastAsia="仿宋_GB2312"/>
          <w:color w:val="000000"/>
          <w:sz w:val="32"/>
          <w:szCs w:val="32"/>
        </w:rPr>
        <w:t>%</w:t>
      </w:r>
      <w:r>
        <w:rPr>
          <w:rFonts w:hint="eastAsia" w:ascii="仿宋_GB2312" w:eastAsia="仿宋_GB2312"/>
          <w:color w:val="000000"/>
          <w:sz w:val="32"/>
          <w:szCs w:val="32"/>
        </w:rPr>
        <w:t>。主要原因是厉行节俭开支。</w:t>
      </w:r>
    </w:p>
    <w:p>
      <w:pPr>
        <w:tabs>
          <w:tab w:val="left" w:pos="312"/>
        </w:tabs>
        <w:spacing w:line="576" w:lineRule="exact"/>
        <w:ind w:firstLine="642" w:firstLineChars="200"/>
        <w:rPr>
          <w:rFonts w:ascii="仿宋_GB2312" w:eastAsia="仿宋_GB2312"/>
          <w:color w:val="000000"/>
          <w:sz w:val="32"/>
          <w:szCs w:val="32"/>
        </w:rPr>
      </w:pPr>
      <w:r>
        <w:rPr>
          <w:rFonts w:hint="eastAsia" w:ascii="仿宋_GB2312" w:hAnsi="仿宋" w:eastAsia="仿宋_GB2312"/>
          <w:b/>
          <w:color w:val="000000"/>
          <w:sz w:val="32"/>
          <w:szCs w:val="32"/>
        </w:rPr>
        <w:t>国内公务接待支出</w:t>
      </w:r>
      <w:r>
        <w:rPr>
          <w:rFonts w:hint="eastAsia" w:ascii="仿宋" w:hAnsi="仿宋" w:eastAsia="仿宋"/>
          <w:color w:val="000000"/>
          <w:sz w:val="32"/>
          <w:szCs w:val="32"/>
        </w:rPr>
        <w:t>0.04</w:t>
      </w:r>
      <w:r>
        <w:rPr>
          <w:rFonts w:hint="eastAsia" w:ascii="仿宋_GB2312" w:eastAsia="仿宋_GB2312"/>
          <w:color w:val="000000"/>
          <w:sz w:val="32"/>
          <w:szCs w:val="32"/>
        </w:rPr>
        <w:t>万元，主要用于检查民政工作(执行公务、开展业务活动开支的交通费、住宿费、用餐费等)。国内公务接待1批次，6人次（不包括陪同人员），共计支出0.04万元，具体内容包括：民政对象核查。</w:t>
      </w:r>
    </w:p>
    <w:p>
      <w:pPr>
        <w:spacing w:line="576" w:lineRule="exact"/>
        <w:ind w:firstLine="640"/>
        <w:outlineLvl w:val="1"/>
        <w:rPr>
          <w:rStyle w:val="26"/>
          <w:rFonts w:ascii="黑体" w:hAnsi="黑体" w:eastAsia="黑体"/>
        </w:rPr>
      </w:pPr>
      <w:bookmarkStart w:id="44" w:name="_Toc15377218"/>
      <w:bookmarkStart w:id="45" w:name="_Toc15396610"/>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4"/>
      <w:bookmarkEnd w:id="45"/>
    </w:p>
    <w:p>
      <w:pPr>
        <w:spacing w:line="576"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9年政府性基金预算拨款支出125.98万元。</w:t>
      </w:r>
    </w:p>
    <w:p>
      <w:pPr>
        <w:numPr>
          <w:ilvl w:val="0"/>
          <w:numId w:val="2"/>
        </w:numPr>
        <w:spacing w:line="576" w:lineRule="exact"/>
        <w:ind w:firstLine="640"/>
        <w:outlineLvl w:val="1"/>
        <w:rPr>
          <w:rStyle w:val="26"/>
          <w:rFonts w:ascii="黑体" w:hAnsi="黑体" w:eastAsia="黑体"/>
          <w:b w:val="0"/>
        </w:rPr>
      </w:pPr>
      <w:bookmarkStart w:id="46" w:name="_Toc15396611"/>
      <w:bookmarkStart w:id="47" w:name="_Toc15377219"/>
      <w:r>
        <w:rPr>
          <w:rStyle w:val="26"/>
          <w:rFonts w:hint="eastAsia" w:ascii="黑体" w:hAnsi="黑体" w:eastAsia="黑体"/>
          <w:b w:val="0"/>
        </w:rPr>
        <w:t>国有资本经营预算支出决算情况说明</w:t>
      </w:r>
      <w:bookmarkEnd w:id="46"/>
      <w:bookmarkEnd w:id="47"/>
    </w:p>
    <w:p>
      <w:pPr>
        <w:spacing w:line="576"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bookmarkStart w:id="48" w:name="_Toc15377221"/>
      <w:bookmarkStart w:id="49" w:name="_Toc15396612"/>
    </w:p>
    <w:p>
      <w:pPr>
        <w:spacing w:line="576" w:lineRule="exact"/>
        <w:ind w:firstLine="640"/>
        <w:rPr>
          <w:rStyle w:val="26"/>
          <w:rFonts w:ascii="仿宋_GB2312" w:hAnsi="Times New Roman" w:eastAsia="仿宋_GB2312" w:cs="Times New Roman"/>
          <w:b w:val="0"/>
          <w:bCs w:val="0"/>
          <w:color w:val="000000"/>
        </w:rPr>
      </w:pPr>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48"/>
      <w:bookmarkEnd w:id="49"/>
      <w:bookmarkStart w:id="50" w:name="_Toc15377222"/>
    </w:p>
    <w:p>
      <w:pPr>
        <w:spacing w:line="576" w:lineRule="exact"/>
        <w:ind w:firstLine="640"/>
        <w:rPr>
          <w:rFonts w:ascii="楷体_GB2312" w:eastAsia="楷体_GB2312"/>
          <w:color w:val="000000"/>
          <w:sz w:val="32"/>
          <w:szCs w:val="32"/>
        </w:rPr>
      </w:pPr>
      <w:r>
        <w:rPr>
          <w:rFonts w:hint="eastAsia" w:ascii="楷体_GB2312" w:hAnsi="仿宋" w:eastAsia="楷体_GB2312"/>
          <w:b/>
          <w:color w:val="000000"/>
          <w:sz w:val="32"/>
          <w:szCs w:val="32"/>
        </w:rPr>
        <w:t>（一）机关运行经费支出情况</w:t>
      </w:r>
      <w:bookmarkEnd w:id="50"/>
    </w:p>
    <w:p>
      <w:pPr>
        <w:spacing w:line="576"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9年，民政局机关运行经费支出17.14万元，比</w:t>
      </w:r>
      <w:r>
        <w:rPr>
          <w:rFonts w:ascii="仿宋_GB2312" w:eastAsia="仿宋_GB2312"/>
          <w:color w:val="000000"/>
          <w:sz w:val="32"/>
          <w:szCs w:val="32"/>
        </w:rPr>
        <w:t>201</w:t>
      </w:r>
      <w:r>
        <w:rPr>
          <w:rFonts w:hint="eastAsia" w:ascii="仿宋_GB2312" w:eastAsia="仿宋_GB2312"/>
          <w:color w:val="000000"/>
          <w:sz w:val="32"/>
          <w:szCs w:val="32"/>
        </w:rPr>
        <w:t>8年增加1.03万元，增长6.38</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主要原因是机构改革，职能划转。</w:t>
      </w:r>
    </w:p>
    <w:p>
      <w:pPr>
        <w:autoSpaceDE w:val="0"/>
        <w:autoSpaceDN w:val="0"/>
        <w:adjustRightInd w:val="0"/>
        <w:spacing w:line="576" w:lineRule="exact"/>
        <w:ind w:firstLine="642" w:firstLineChars="200"/>
        <w:jc w:val="left"/>
        <w:outlineLvl w:val="2"/>
        <w:rPr>
          <w:rFonts w:ascii="楷体_GB2312" w:hAnsi="仿宋" w:eastAsia="楷体_GB2312"/>
          <w:b/>
          <w:color w:val="000000"/>
          <w:sz w:val="32"/>
          <w:szCs w:val="32"/>
        </w:rPr>
      </w:pPr>
      <w:bookmarkStart w:id="51" w:name="_Toc15377223"/>
      <w:r>
        <w:rPr>
          <w:rFonts w:hint="eastAsia" w:ascii="楷体_GB2312" w:hAnsi="仿宋" w:eastAsia="楷体_GB2312"/>
          <w:b/>
          <w:color w:val="000000"/>
          <w:sz w:val="32"/>
          <w:szCs w:val="32"/>
        </w:rPr>
        <w:t>（二）政府采购支出情况</w:t>
      </w:r>
      <w:bookmarkEnd w:id="51"/>
    </w:p>
    <w:p>
      <w:pPr>
        <w:spacing w:line="576" w:lineRule="exact"/>
        <w:ind w:firstLine="640" w:firstLineChars="200"/>
        <w:rPr>
          <w:rFonts w:ascii="仿宋" w:hAnsi="仿宋" w:eastAsia="仿宋_GB2312"/>
          <w:b/>
          <w:color w:val="FF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9年，民政局无政府采购支出。</w:t>
      </w:r>
    </w:p>
    <w:p>
      <w:pPr>
        <w:autoSpaceDE w:val="0"/>
        <w:autoSpaceDN w:val="0"/>
        <w:adjustRightInd w:val="0"/>
        <w:spacing w:line="576" w:lineRule="exact"/>
        <w:ind w:firstLine="642" w:firstLineChars="200"/>
        <w:jc w:val="left"/>
        <w:outlineLvl w:val="2"/>
        <w:rPr>
          <w:rFonts w:ascii="楷体_GB2312" w:hAnsi="仿宋" w:eastAsia="楷体_GB2312"/>
          <w:b/>
          <w:color w:val="000000"/>
          <w:sz w:val="32"/>
          <w:szCs w:val="32"/>
        </w:rPr>
      </w:pPr>
      <w:bookmarkStart w:id="52" w:name="_Toc15377224"/>
      <w:r>
        <w:rPr>
          <w:rFonts w:hint="eastAsia" w:ascii="楷体_GB2312" w:hAnsi="仿宋" w:eastAsia="楷体_GB2312"/>
          <w:b/>
          <w:color w:val="000000"/>
          <w:sz w:val="32"/>
          <w:szCs w:val="32"/>
        </w:rPr>
        <w:t>（三）国有资产占有使用情况</w:t>
      </w:r>
      <w:bookmarkEnd w:id="52"/>
    </w:p>
    <w:p>
      <w:pPr>
        <w:autoSpaceDE w:val="0"/>
        <w:autoSpaceDN w:val="0"/>
        <w:adjustRightInd w:val="0"/>
        <w:spacing w:line="576"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日，民政局共有车辆4辆，其中：主要领导干部用车0辆、机要通信用车0辆、应急保障用车</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themeColor="text1"/>
          <w:sz w:val="32"/>
          <w:szCs w:val="32"/>
          <w14:textFill>
            <w14:solidFill>
              <w14:schemeClr w14:val="tx1"/>
            </w14:solidFill>
          </w14:textFill>
        </w:rPr>
        <w:t>其他用车主要是用于开展民政工作。单价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万元以上通用设备0台（套），单价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万元以上专用设备0台（套）。</w:t>
      </w:r>
    </w:p>
    <w:p>
      <w:pPr>
        <w:autoSpaceDE w:val="0"/>
        <w:autoSpaceDN w:val="0"/>
        <w:adjustRightInd w:val="0"/>
        <w:spacing w:line="576" w:lineRule="exact"/>
        <w:ind w:firstLine="642" w:firstLineChars="200"/>
        <w:jc w:val="left"/>
        <w:outlineLvl w:val="2"/>
        <w:rPr>
          <w:rFonts w:ascii="楷体_GB2312" w:hAnsi="仿宋" w:eastAsia="楷体_GB2312"/>
          <w:b/>
          <w:color w:val="000000"/>
          <w:sz w:val="32"/>
          <w:szCs w:val="32"/>
        </w:rPr>
      </w:pPr>
      <w:r>
        <w:rPr>
          <w:rFonts w:hint="eastAsia" w:ascii="楷体_GB2312" w:hAnsi="仿宋" w:eastAsia="楷体_GB2312"/>
          <w:b/>
          <w:color w:val="000000"/>
          <w:sz w:val="32"/>
          <w:szCs w:val="32"/>
        </w:rPr>
        <w:t>（四）预算绩效管理情况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27项目开展了预算事前绩效评估，25个项目编制了绩效目标，预算执行过程中，选取5个项目开展绩效监控，年终执行完毕后，对5个项目开展了绩效目标完成情况自评。</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w:t>
      </w:r>
      <w:r>
        <w:rPr>
          <w:rFonts w:hint="eastAsia" w:ascii="仿宋_GB2312" w:hAnsi="仿宋" w:eastAsia="仿宋_GB2312" w:cs="仿宋"/>
          <w:color w:val="000000"/>
          <w:kern w:val="0"/>
          <w:sz w:val="32"/>
          <w:szCs w:val="32"/>
        </w:rPr>
        <w:t>自</w:t>
      </w:r>
      <w:r>
        <w:rPr>
          <w:rFonts w:hint="eastAsia" w:ascii="仿宋_GB2312" w:hAnsi="仿宋_GB2312" w:eastAsia="仿宋_GB2312" w:cs="仿宋_GB2312"/>
          <w:sz w:val="32"/>
          <w:szCs w:val="32"/>
        </w:rPr>
        <w:t xml:space="preserve">查自评结果良好，全年基本支出保证了部门的正常运行和日常工作的正常开展，项目支出保障了重点工作的开展，绩效目标得到较好实现，绩效管理水平不断提高，绩效指标体系逐渐 丰富和完善。 </w:t>
      </w:r>
    </w:p>
    <w:p>
      <w:pPr>
        <w:widowControl/>
        <w:spacing w:line="576" w:lineRule="exact"/>
        <w:ind w:firstLine="642" w:firstLineChars="200"/>
        <w:jc w:val="left"/>
        <w:rPr>
          <w:rFonts w:ascii="仿宋_GB2312" w:hAnsi="楷体_GB2312" w:eastAsia="仿宋_GB2312" w:cs="楷体_GB2312"/>
          <w:b/>
          <w:sz w:val="32"/>
          <w:szCs w:val="32"/>
        </w:rPr>
      </w:pPr>
      <w:r>
        <w:rPr>
          <w:rFonts w:hint="eastAsia" w:ascii="仿宋_GB2312" w:hAnsi="楷体_GB2312" w:eastAsia="仿宋_GB2312" w:cs="楷体_GB2312"/>
          <w:b/>
          <w:sz w:val="32"/>
          <w:szCs w:val="32"/>
        </w:rPr>
        <w:t>1.项目绩效目标完成情况</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本部门在2019年度部门决算中反映“残疾人生活和护理补贴</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“高龄津贴”“特困人员救助供养”等5个项目绩效目标实际完成情况。</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残疾人生活和护理补贴项目绩效目标完成情况综述。项目全年预算数115.54万元，执行数为115.54万元，完成预算的100%。通过项目实施，提高了困难残疾人的基本生活，解决了残疾人特殊生活困难和长期照护困难，保障残疾人生存发展权益。</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（2）高龄津贴项目绩效目标完成情况综述。项目全年预算数167万元，执行数为167万元，完成预算的100%。通过项目实施，保障了高龄老人老有所养、老有所依、老有所乐，提高了高龄老人生活</w:t>
      </w:r>
      <w:r>
        <w:rPr>
          <w:rFonts w:hint="eastAsia" w:ascii="仿宋_GB2312" w:eastAsia="仿宋_GB2312"/>
          <w:bCs/>
          <w:sz w:val="32"/>
          <w:szCs w:val="32"/>
        </w:rPr>
        <w:t>水平。</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（3）特困人员救助供养项目绩效目标完成情况综述。项目全年预算数508.65万元，执行数为283.62万元，完成预算的55.76%。通过项目实施，切实保障特困人员基本生活。</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最低生活保障金项目绩效目标完成情况综述。项目全年预算数1323.04万元，执行数为1310.46万元，完成预算的99.05%。通过项目实施，切实保障城乡低保人群基本生活，让城乡低保人员感受到国家的温暖，促进社会和谐进步。</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（5）临时救助生活补助项目绩效目标完成情况综述。项目全年预算数302.89万元，执行数为43.67万元，完成预算的14.42%。通过项目实施，切实保障困难群众临时性生活困难。</w:t>
      </w:r>
    </w:p>
    <w:tbl>
      <w:tblPr>
        <w:tblStyle w:val="13"/>
        <w:tblpPr w:leftFromText="180" w:rightFromText="180" w:vertAnchor="text" w:horzAnchor="page" w:tblpX="907"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残疾人生活和护理补贴</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茂县民政局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115.54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115.54</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115.54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115.54</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kern w:val="0"/>
                <w:sz w:val="18"/>
                <w:szCs w:val="18"/>
              </w:rPr>
              <w:t>保障困难残疾人生活补贴和重度残疾人护理补贴支出</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kern w:val="0"/>
                <w:sz w:val="18"/>
                <w:szCs w:val="18"/>
              </w:rPr>
              <w:t>保障了2019年困难残疾人生活补贴和重度残疾人护理补贴支出</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享受困难残疾人生活和护理补贴人数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根据上一年度人数推算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2019年共发放补贴14149人次</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困难残疾人生活补贴标准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不低于90元/月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每人每月90元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一级重度残疾人护理补贴标准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不低于100元/月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每人每月100元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二级重度残疾人护理补贴标准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不低于70元/月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每人每月70元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资金拨付及时率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每月按实际拨付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支付率100%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受助人员基本生活</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保障基本生活</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有效保障其基本生活</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受助困难残疾人和护理补贴人员满意度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760" w:firstLineChars="400"/>
              <w:jc w:val="left"/>
            </w:pPr>
            <w:r>
              <w:rPr>
                <w:rFonts w:ascii="TimesNewRomanPSMT" w:hAnsi="TimesNewRomanPSMT" w:eastAsia="TimesNewRomanPSMT" w:cs="TimesNewRomanPSMT"/>
                <w:color w:val="000000"/>
                <w:kern w:val="0"/>
                <w:sz w:val="19"/>
                <w:szCs w:val="19"/>
              </w:rPr>
              <w:t>&gt;9</w:t>
            </w:r>
            <w:r>
              <w:rPr>
                <w:rFonts w:hint="eastAsia" w:ascii="TimesNewRomanPSMT" w:hAnsi="TimesNewRomanPSMT" w:eastAsia="TimesNewRomanPSMT" w:cs="TimesNewRomanPSMT"/>
                <w:color w:val="000000"/>
                <w:kern w:val="0"/>
                <w:sz w:val="19"/>
                <w:szCs w:val="19"/>
              </w:rPr>
              <w:t>5</w:t>
            </w:r>
            <w:r>
              <w:rPr>
                <w:rFonts w:ascii="TimesNewRomanPSMT" w:hAnsi="TimesNewRomanPSMT" w:eastAsia="TimesNewRomanPSMT" w:cs="TimesNewRomanPSMT"/>
                <w:color w:val="000000"/>
                <w:kern w:val="0"/>
                <w:sz w:val="19"/>
                <w:szCs w:val="19"/>
              </w:rPr>
              <w:t>%</w:t>
            </w:r>
          </w:p>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80" w:firstLineChars="200"/>
              <w:jc w:val="left"/>
            </w:pPr>
            <w:r>
              <w:rPr>
                <w:rFonts w:ascii="TimesNewRomanPSMT" w:hAnsi="TimesNewRomanPSMT" w:eastAsia="TimesNewRomanPSMT" w:cs="TimesNewRomanPSMT"/>
                <w:color w:val="000000"/>
                <w:kern w:val="0"/>
                <w:sz w:val="19"/>
                <w:szCs w:val="19"/>
              </w:rPr>
              <w:t>&gt;9</w:t>
            </w:r>
            <w:r>
              <w:rPr>
                <w:rFonts w:hint="eastAsia" w:ascii="TimesNewRomanPSMT" w:hAnsi="TimesNewRomanPSMT" w:eastAsia="TimesNewRomanPSMT" w:cs="TimesNewRomanPSMT"/>
                <w:color w:val="000000"/>
                <w:kern w:val="0"/>
                <w:sz w:val="19"/>
                <w:szCs w:val="19"/>
              </w:rPr>
              <w:t>5</w:t>
            </w:r>
            <w:r>
              <w:rPr>
                <w:rFonts w:ascii="TimesNewRomanPSMT" w:hAnsi="TimesNewRomanPSMT" w:eastAsia="TimesNewRomanPSMT" w:cs="TimesNewRomanPSMT"/>
                <w:color w:val="000000"/>
                <w:kern w:val="0"/>
                <w:sz w:val="19"/>
                <w:szCs w:val="19"/>
              </w:rPr>
              <w:t>%</w:t>
            </w:r>
          </w:p>
          <w:p>
            <w:pPr>
              <w:widowControl/>
              <w:textAlignment w:val="center"/>
              <w:rPr>
                <w:rFonts w:ascii="宋体" w:hAnsi="宋体" w:cs="宋体"/>
                <w:color w:val="000000"/>
                <w:sz w:val="24"/>
              </w:rPr>
            </w:pPr>
          </w:p>
        </w:tc>
      </w:tr>
    </w:tbl>
    <w:tbl>
      <w:tblPr>
        <w:tblStyle w:val="13"/>
        <w:tblpPr w:leftFromText="180" w:rightFromText="180" w:vertAnchor="text" w:horzAnchor="page" w:tblpX="922" w:tblpY="404"/>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widowControl/>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高龄津贴</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茂县民政局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167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167</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167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167</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kern w:val="0"/>
                <w:sz w:val="18"/>
                <w:szCs w:val="18"/>
              </w:rPr>
              <w:t>保障高龄老人生活补贴支出</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kern w:val="0"/>
                <w:sz w:val="18"/>
                <w:szCs w:val="18"/>
              </w:rPr>
              <w:t>保障了2019年80-100岁以上高龄老人敬老金支出</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享受高龄津贴人数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根据上一年度人数推算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2019年共发放补贴6126人次</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80-89岁补贴标准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不低于80元/月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每人每月80元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90-99岁补贴标准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不低于150元/月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每人每月150元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百岁以上补贴标准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不低于400元/月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每人每月400元</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资金拨付及时率</w:t>
            </w:r>
          </w:p>
        </w:tc>
        <w:tc>
          <w:tcPr>
            <w:tcW w:w="2394"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每季度按实际拨付</w:t>
            </w:r>
          </w:p>
        </w:tc>
        <w:tc>
          <w:tcPr>
            <w:tcW w:w="2392"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支付率100%</w:t>
            </w:r>
          </w:p>
        </w:tc>
      </w:tr>
      <w:tr>
        <w:tblPrEx>
          <w:tblCellMar>
            <w:top w:w="0" w:type="dxa"/>
            <w:left w:w="0" w:type="dxa"/>
            <w:bottom w:w="0" w:type="dxa"/>
            <w:right w:w="0" w:type="dxa"/>
          </w:tblCellMar>
        </w:tblPrEx>
        <w:trPr>
          <w:trHeight w:val="1050" w:hRule="atLeast"/>
        </w:trPr>
        <w:tc>
          <w:tcPr>
            <w:tcW w:w="39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受助人员基本生活</w:t>
            </w:r>
          </w:p>
        </w:tc>
        <w:tc>
          <w:tcPr>
            <w:tcW w:w="23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保障基本生活</w:t>
            </w:r>
          </w:p>
        </w:tc>
        <w:tc>
          <w:tcPr>
            <w:tcW w:w="23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有效保障其基本生活</w:t>
            </w:r>
          </w:p>
        </w:tc>
      </w:tr>
      <w:tr>
        <w:tblPrEx>
          <w:tblCellMar>
            <w:top w:w="0" w:type="dxa"/>
            <w:left w:w="0" w:type="dxa"/>
            <w:bottom w:w="0" w:type="dxa"/>
            <w:right w:w="0" w:type="dxa"/>
          </w:tblCellMar>
        </w:tblPrEx>
        <w:trPr>
          <w:trHeight w:val="1050" w:hRule="atLeast"/>
        </w:trPr>
        <w:tc>
          <w:tcPr>
            <w:tcW w:w="39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受助高龄补贴人员满意度</w:t>
            </w:r>
          </w:p>
        </w:tc>
        <w:tc>
          <w:tcPr>
            <w:tcW w:w="2394" w:type="dxa"/>
            <w:tcBorders>
              <w:top w:val="single" w:color="auto" w:sz="4" w:space="0"/>
              <w:left w:val="single" w:color="auto" w:sz="4" w:space="0"/>
              <w:bottom w:val="single" w:color="auto" w:sz="4" w:space="0"/>
              <w:right w:val="single" w:color="auto" w:sz="4" w:space="0"/>
            </w:tcBorders>
            <w:vAlign w:val="center"/>
          </w:tcPr>
          <w:p>
            <w:pPr>
              <w:widowControl/>
              <w:ind w:firstLine="760" w:firstLineChars="400"/>
              <w:jc w:val="left"/>
            </w:pPr>
            <w:r>
              <w:rPr>
                <w:rFonts w:ascii="TimesNewRomanPSMT" w:hAnsi="TimesNewRomanPSMT" w:eastAsia="TimesNewRomanPSMT" w:cs="TimesNewRomanPSMT"/>
                <w:color w:val="000000"/>
                <w:kern w:val="0"/>
                <w:sz w:val="19"/>
                <w:szCs w:val="19"/>
              </w:rPr>
              <w:t>&gt;9</w:t>
            </w:r>
            <w:r>
              <w:rPr>
                <w:rFonts w:hint="eastAsia" w:ascii="TimesNewRomanPSMT" w:hAnsi="TimesNewRomanPSMT" w:eastAsia="TimesNewRomanPSMT" w:cs="TimesNewRomanPSMT"/>
                <w:color w:val="000000"/>
                <w:kern w:val="0"/>
                <w:sz w:val="19"/>
                <w:szCs w:val="19"/>
              </w:rPr>
              <w:t>5</w:t>
            </w:r>
            <w:r>
              <w:rPr>
                <w:rFonts w:ascii="TimesNewRomanPSMT" w:hAnsi="TimesNewRomanPSMT" w:eastAsia="TimesNewRomanPSMT" w:cs="TimesNewRomanPSMT"/>
                <w:color w:val="000000"/>
                <w:kern w:val="0"/>
                <w:sz w:val="19"/>
                <w:szCs w:val="19"/>
              </w:rPr>
              <w:t>%</w:t>
            </w:r>
          </w:p>
          <w:p>
            <w:pPr>
              <w:widowControl/>
              <w:jc w:val="center"/>
              <w:textAlignment w:val="center"/>
              <w:rPr>
                <w:rFonts w:ascii="宋体" w:hAnsi="宋体" w:cs="宋体"/>
                <w:color w:val="000000"/>
                <w:sz w:val="24"/>
              </w:rPr>
            </w:pPr>
          </w:p>
        </w:tc>
        <w:tc>
          <w:tcPr>
            <w:tcW w:w="2392" w:type="dxa"/>
            <w:tcBorders>
              <w:top w:val="single" w:color="auto" w:sz="4" w:space="0"/>
              <w:left w:val="single" w:color="auto" w:sz="4" w:space="0"/>
              <w:bottom w:val="single" w:color="auto" w:sz="4" w:space="0"/>
              <w:right w:val="single" w:color="auto" w:sz="4" w:space="0"/>
            </w:tcBorders>
            <w:vAlign w:val="center"/>
          </w:tcPr>
          <w:p>
            <w:pPr>
              <w:widowControl/>
              <w:ind w:firstLine="380" w:firstLineChars="200"/>
              <w:jc w:val="left"/>
            </w:pPr>
            <w:r>
              <w:rPr>
                <w:rFonts w:ascii="TimesNewRomanPSMT" w:hAnsi="TimesNewRomanPSMT" w:eastAsia="TimesNewRomanPSMT" w:cs="TimesNewRomanPSMT"/>
                <w:color w:val="000000"/>
                <w:kern w:val="0"/>
                <w:sz w:val="19"/>
                <w:szCs w:val="19"/>
              </w:rPr>
              <w:t>&gt;9</w:t>
            </w:r>
            <w:r>
              <w:rPr>
                <w:rFonts w:hint="eastAsia" w:ascii="TimesNewRomanPSMT" w:hAnsi="TimesNewRomanPSMT" w:eastAsia="TimesNewRomanPSMT" w:cs="TimesNewRomanPSMT"/>
                <w:color w:val="000000"/>
                <w:kern w:val="0"/>
                <w:sz w:val="19"/>
                <w:szCs w:val="19"/>
              </w:rPr>
              <w:t>5</w:t>
            </w:r>
            <w:r>
              <w:rPr>
                <w:rFonts w:ascii="TimesNewRomanPSMT" w:hAnsi="TimesNewRomanPSMT" w:eastAsia="TimesNewRomanPSMT" w:cs="TimesNewRomanPSMT"/>
                <w:color w:val="000000"/>
                <w:kern w:val="0"/>
                <w:sz w:val="19"/>
                <w:szCs w:val="19"/>
              </w:rPr>
              <w:t>%</w:t>
            </w:r>
          </w:p>
          <w:p>
            <w:pPr>
              <w:widowControl/>
              <w:textAlignment w:val="center"/>
              <w:rPr>
                <w:rFonts w:ascii="宋体" w:hAnsi="宋体" w:cs="宋体"/>
                <w:color w:val="000000"/>
                <w:sz w:val="24"/>
              </w:rPr>
            </w:pPr>
          </w:p>
        </w:tc>
      </w:tr>
    </w:tbl>
    <w:tbl>
      <w:tblPr>
        <w:tblStyle w:val="13"/>
        <w:tblpPr w:leftFromText="180" w:rightFromText="180" w:vertAnchor="text" w:horzAnchor="page" w:tblpX="877" w:tblpY="170"/>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特困人员救助供养</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茂县民政局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275.28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275.28</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275.28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275.28</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仿宋_GB2312" w:hAnsi="宋体" w:eastAsia="仿宋_GB2312" w:cs="宋体"/>
                <w:kern w:val="0"/>
                <w:sz w:val="24"/>
              </w:rPr>
              <w:t>特困人员救助供养城乡统筹</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kern w:val="0"/>
                <w:sz w:val="18"/>
                <w:szCs w:val="18"/>
              </w:rPr>
              <w:t>保障了2019年特困人员供养生活补助支出</w:t>
            </w:r>
          </w:p>
        </w:tc>
      </w:tr>
      <w:tr>
        <w:tblPrEx>
          <w:tblCellMar>
            <w:top w:w="0" w:type="dxa"/>
            <w:left w:w="0" w:type="dxa"/>
            <w:bottom w:w="0" w:type="dxa"/>
            <w:right w:w="0" w:type="dxa"/>
          </w:tblCellMar>
        </w:tblPrEx>
        <w:trPr>
          <w:trHeight w:val="910"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享受特困人员供养补贴人数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根据上一年度人数推算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2019年共发放补贴5820人次</w:t>
            </w:r>
          </w:p>
        </w:tc>
      </w:tr>
      <w:tr>
        <w:tblPrEx>
          <w:tblCellMar>
            <w:top w:w="0" w:type="dxa"/>
            <w:left w:w="0" w:type="dxa"/>
            <w:bottom w:w="0" w:type="dxa"/>
            <w:right w:w="0" w:type="dxa"/>
          </w:tblCellMar>
        </w:tblPrEx>
        <w:trPr>
          <w:trHeight w:val="9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特困供养人员生活补贴标准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农村不低于500元/月；</w:t>
            </w:r>
          </w:p>
          <w:p>
            <w:pPr>
              <w:widowControl/>
              <w:jc w:val="center"/>
              <w:textAlignment w:val="center"/>
              <w:rPr>
                <w:rFonts w:ascii="宋体" w:hAnsi="宋体" w:cs="宋体"/>
                <w:color w:val="000000"/>
                <w:sz w:val="24"/>
              </w:rPr>
            </w:pPr>
            <w:r>
              <w:rPr>
                <w:rFonts w:hint="eastAsia" w:ascii="宋体" w:hAnsi="宋体" w:cs="宋体"/>
                <w:color w:val="000000"/>
                <w:sz w:val="24"/>
              </w:rPr>
              <w:t>城市不低于600元/月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农村特困每人每月500元；城市特困每人每月600元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资金拨付及时率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每月按实际拨付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支付率100%</w:t>
            </w:r>
          </w:p>
        </w:tc>
      </w:tr>
      <w:tr>
        <w:tblPrEx>
          <w:tblCellMar>
            <w:top w:w="0" w:type="dxa"/>
            <w:left w:w="0" w:type="dxa"/>
            <w:bottom w:w="0" w:type="dxa"/>
            <w:right w:w="0" w:type="dxa"/>
          </w:tblCellMar>
        </w:tblPrEx>
        <w:trPr>
          <w:trHeight w:val="75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受助人员基本生活</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保障基本生活</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有效保障基本生活</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特困供养人员满意度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760" w:firstLineChars="400"/>
              <w:jc w:val="left"/>
            </w:pPr>
            <w:r>
              <w:rPr>
                <w:rFonts w:ascii="TimesNewRomanPSMT" w:hAnsi="TimesNewRomanPSMT" w:eastAsia="TimesNewRomanPSMT" w:cs="TimesNewRomanPSMT"/>
                <w:color w:val="000000"/>
                <w:kern w:val="0"/>
                <w:sz w:val="19"/>
                <w:szCs w:val="19"/>
              </w:rPr>
              <w:t>&gt;</w:t>
            </w:r>
            <w:r>
              <w:rPr>
                <w:rFonts w:hint="eastAsia" w:ascii="TimesNewRomanPSMT" w:hAnsi="TimesNewRomanPSMT" w:eastAsia="TimesNewRomanPSMT" w:cs="TimesNewRomanPSMT"/>
                <w:color w:val="000000"/>
                <w:kern w:val="0"/>
                <w:sz w:val="19"/>
                <w:szCs w:val="19"/>
              </w:rPr>
              <w:t>100</w:t>
            </w:r>
            <w:r>
              <w:rPr>
                <w:rFonts w:ascii="TimesNewRomanPSMT" w:hAnsi="TimesNewRomanPSMT" w:eastAsia="TimesNewRomanPSMT" w:cs="TimesNewRomanPSMT"/>
                <w:color w:val="000000"/>
                <w:kern w:val="0"/>
                <w:sz w:val="19"/>
                <w:szCs w:val="19"/>
              </w:rPr>
              <w:t>%</w:t>
            </w:r>
          </w:p>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80" w:firstLineChars="200"/>
              <w:jc w:val="left"/>
            </w:pPr>
            <w:r>
              <w:rPr>
                <w:rFonts w:ascii="TimesNewRomanPSMT" w:hAnsi="TimesNewRomanPSMT" w:eastAsia="TimesNewRomanPSMT" w:cs="TimesNewRomanPSMT"/>
                <w:color w:val="000000"/>
                <w:kern w:val="0"/>
                <w:sz w:val="19"/>
                <w:szCs w:val="19"/>
              </w:rPr>
              <w:t>&gt;</w:t>
            </w:r>
            <w:r>
              <w:rPr>
                <w:rFonts w:hint="eastAsia" w:ascii="TimesNewRomanPSMT" w:hAnsi="TimesNewRomanPSMT" w:eastAsia="TimesNewRomanPSMT" w:cs="TimesNewRomanPSMT"/>
                <w:color w:val="000000"/>
                <w:kern w:val="0"/>
                <w:sz w:val="19"/>
                <w:szCs w:val="19"/>
              </w:rPr>
              <w:t>100</w:t>
            </w:r>
            <w:r>
              <w:rPr>
                <w:rFonts w:ascii="TimesNewRomanPSMT" w:hAnsi="TimesNewRomanPSMT" w:eastAsia="TimesNewRomanPSMT" w:cs="TimesNewRomanPSMT"/>
                <w:color w:val="000000"/>
                <w:kern w:val="0"/>
                <w:sz w:val="19"/>
                <w:szCs w:val="19"/>
              </w:rPr>
              <w:t>%</w:t>
            </w:r>
          </w:p>
          <w:p>
            <w:pPr>
              <w:widowControl/>
              <w:textAlignment w:val="center"/>
              <w:rPr>
                <w:rFonts w:ascii="宋体" w:hAnsi="宋体" w:cs="宋体"/>
                <w:color w:val="000000"/>
                <w:sz w:val="24"/>
              </w:rPr>
            </w:pP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4"/>
              <w:widowControl/>
              <w:ind w:left="4173" w:leftChars="1310" w:hanging="1422" w:hangingChars="395"/>
              <w:textAlignment w:val="center"/>
              <w:rPr>
                <w:rFonts w:ascii="黑体" w:hAnsi="黑体" w:eastAsia="黑体" w:cs="宋体"/>
                <w:bCs/>
                <w:color w:val="000000"/>
                <w:kern w:val="0"/>
                <w:sz w:val="36"/>
                <w:szCs w:val="36"/>
              </w:rPr>
            </w:pPr>
          </w:p>
          <w:p>
            <w:pPr>
              <w:pStyle w:val="24"/>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临时救助生活补助</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茂县民政局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15.9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15.9</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15.9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15.9</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仿宋_GB2312" w:hAnsi="宋体" w:eastAsia="仿宋_GB2312" w:cs="宋体"/>
                <w:kern w:val="0"/>
                <w:sz w:val="24"/>
              </w:rPr>
              <w:t>临时救助及时高效，救急解难</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仿宋_GB2312" w:cs="宋体"/>
                <w:color w:val="000000"/>
                <w:sz w:val="24"/>
              </w:rPr>
            </w:pPr>
            <w:r>
              <w:rPr>
                <w:rFonts w:hint="eastAsia" w:ascii="仿宋_GB2312" w:hAnsi="宋体" w:eastAsia="仿宋_GB2312" w:cs="宋体"/>
                <w:kern w:val="0"/>
                <w:sz w:val="24"/>
              </w:rPr>
              <w:t>完成了临时救助及时高效，救急解难问题</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临时救助人次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根据上一年度人数推算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2019年共发放临时救助761人次</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发放救助资金与政策相关比率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资金拨付及时率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按实际拨付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支付率100%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仿宋_GB2312" w:hAnsi="宋体" w:eastAsia="仿宋_GB2312" w:cs="宋体"/>
                <w:kern w:val="0"/>
                <w:sz w:val="24"/>
              </w:rPr>
              <w:t>临时困难群众生活水平提升情况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效果显著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仿宋_GB2312" w:hAnsi="宋体" w:eastAsia="仿宋_GB2312" w:cs="宋体"/>
                <w:kern w:val="0"/>
                <w:sz w:val="24"/>
              </w:rPr>
              <w:t>稳步提升，</w:t>
            </w:r>
            <w:r>
              <w:rPr>
                <w:rFonts w:hint="eastAsia" w:ascii="宋体" w:hAnsi="宋体" w:cs="宋体"/>
                <w:color w:val="000000"/>
                <w:sz w:val="24"/>
              </w:rPr>
              <w:t>效果显著</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救助人员满意度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760" w:firstLineChars="400"/>
              <w:jc w:val="left"/>
            </w:pPr>
            <w:r>
              <w:rPr>
                <w:rFonts w:ascii="TimesNewRomanPSMT" w:hAnsi="TimesNewRomanPSMT" w:eastAsia="TimesNewRomanPSMT" w:cs="TimesNewRomanPSMT"/>
                <w:color w:val="000000"/>
                <w:kern w:val="0"/>
                <w:sz w:val="19"/>
                <w:szCs w:val="19"/>
              </w:rPr>
              <w:t>&gt;</w:t>
            </w:r>
            <w:r>
              <w:rPr>
                <w:rFonts w:hint="eastAsia" w:ascii="TimesNewRomanPSMT" w:hAnsi="TimesNewRomanPSMT" w:eastAsia="TimesNewRomanPSMT" w:cs="TimesNewRomanPSMT"/>
                <w:color w:val="000000"/>
                <w:kern w:val="0"/>
                <w:sz w:val="19"/>
                <w:szCs w:val="19"/>
              </w:rPr>
              <w:t>100</w:t>
            </w:r>
            <w:r>
              <w:rPr>
                <w:rFonts w:ascii="TimesNewRomanPSMT" w:hAnsi="TimesNewRomanPSMT" w:eastAsia="TimesNewRomanPSMT" w:cs="TimesNewRomanPSMT"/>
                <w:color w:val="000000"/>
                <w:kern w:val="0"/>
                <w:sz w:val="19"/>
                <w:szCs w:val="19"/>
              </w:rPr>
              <w:t>%</w:t>
            </w:r>
          </w:p>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80" w:firstLineChars="200"/>
              <w:jc w:val="left"/>
            </w:pPr>
            <w:r>
              <w:rPr>
                <w:rFonts w:ascii="TimesNewRomanPSMT" w:hAnsi="TimesNewRomanPSMT" w:eastAsia="TimesNewRomanPSMT" w:cs="TimesNewRomanPSMT"/>
                <w:color w:val="000000"/>
                <w:kern w:val="0"/>
                <w:sz w:val="19"/>
                <w:szCs w:val="19"/>
              </w:rPr>
              <w:t>&gt;</w:t>
            </w:r>
            <w:r>
              <w:rPr>
                <w:rFonts w:hint="eastAsia" w:ascii="TimesNewRomanPSMT" w:hAnsi="TimesNewRomanPSMT" w:eastAsia="TimesNewRomanPSMT" w:cs="TimesNewRomanPSMT"/>
                <w:color w:val="000000"/>
                <w:kern w:val="0"/>
                <w:sz w:val="19"/>
                <w:szCs w:val="19"/>
              </w:rPr>
              <w:t>100</w:t>
            </w:r>
            <w:r>
              <w:rPr>
                <w:rFonts w:ascii="TimesNewRomanPSMT" w:hAnsi="TimesNewRomanPSMT" w:eastAsia="TimesNewRomanPSMT" w:cs="TimesNewRomanPSMT"/>
                <w:color w:val="000000"/>
                <w:kern w:val="0"/>
                <w:sz w:val="19"/>
                <w:szCs w:val="19"/>
              </w:rPr>
              <w:t>%</w:t>
            </w:r>
          </w:p>
          <w:p>
            <w:pPr>
              <w:widowControl/>
              <w:textAlignment w:val="center"/>
              <w:rPr>
                <w:rFonts w:ascii="宋体" w:hAnsi="宋体" w:cs="宋体"/>
                <w:color w:val="000000"/>
                <w:sz w:val="24"/>
              </w:rPr>
            </w:pPr>
          </w:p>
        </w:tc>
      </w:tr>
    </w:tbl>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textAlignment w:val="center"/>
              <w:rPr>
                <w:rFonts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最低生活保障</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茂县民政局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1323.04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1310.46</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1323.04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1310.46</w:t>
            </w:r>
          </w:p>
        </w:tc>
      </w:tr>
      <w:tr>
        <w:tblPrEx>
          <w:tblCellMar>
            <w:top w:w="0" w:type="dxa"/>
            <w:left w:w="0" w:type="dxa"/>
            <w:bottom w:w="0" w:type="dxa"/>
            <w:right w:w="0" w:type="dxa"/>
          </w:tblCellMar>
        </w:tblPrEx>
        <w:trPr>
          <w:trHeight w:val="45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加强困难群众救助，将符合条件的困难群众纳入城乡最低生活保章，切实保障困难群众基本生活</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加强困难群众救助，将符合条件的困难群众纳入城乡最低生活保章，切实保障困难群众基本生活</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
                <w:color w:val="000000"/>
                <w:kern w:val="0"/>
                <w:sz w:val="24"/>
              </w:rPr>
              <w:t>指标值</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
                <w:color w:val="000000"/>
                <w:kern w:val="0"/>
                <w:sz w:val="24"/>
              </w:rPr>
              <w:t>全年实际值</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产出指标</w:t>
            </w: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农村低保保障人数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15739人次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xml:space="preserve">  15739人次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10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城市低保保障人数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114140人次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114140人次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困难群众救助补助标准达标率（**%）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&gt;=100%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&gt;=100%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救助资金发放及时率（**%）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&gt;=100%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&gt;=100%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最低生活保障补助标准（补差）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kern w:val="0"/>
                <w:sz w:val="24"/>
              </w:rPr>
            </w:pPr>
            <w:r>
              <w:rPr>
                <w:rFonts w:hint="eastAsia" w:ascii="宋体" w:hAnsi="宋体" w:cs="宋体"/>
                <w:color w:val="000000"/>
                <w:kern w:val="0"/>
                <w:sz w:val="24"/>
              </w:rPr>
              <w:t>城市低保每人每月540元补差；</w:t>
            </w:r>
          </w:p>
          <w:p>
            <w:pPr>
              <w:widowControl/>
              <w:textAlignment w:val="center"/>
              <w:rPr>
                <w:rFonts w:ascii="宋体" w:hAnsi="宋体" w:cs="宋体"/>
                <w:color w:val="000000"/>
                <w:kern w:val="0"/>
                <w:sz w:val="24"/>
              </w:rPr>
            </w:pPr>
            <w:r>
              <w:rPr>
                <w:rFonts w:hint="eastAsia" w:ascii="宋体" w:hAnsi="宋体" w:cs="宋体"/>
                <w:color w:val="000000"/>
                <w:kern w:val="0"/>
                <w:sz w:val="24"/>
              </w:rPr>
              <w:t>农村低保每人每月350元补差。</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kern w:val="0"/>
                <w:sz w:val="24"/>
              </w:rPr>
            </w:pPr>
            <w:r>
              <w:rPr>
                <w:rFonts w:hint="eastAsia" w:ascii="宋体" w:hAnsi="宋体" w:cs="宋体"/>
                <w:color w:val="000000"/>
                <w:kern w:val="0"/>
                <w:sz w:val="24"/>
              </w:rPr>
              <w:t>城市低保每人每月540元补差；</w:t>
            </w:r>
          </w:p>
          <w:p>
            <w:pPr>
              <w:widowControl/>
              <w:textAlignment w:val="center"/>
              <w:rPr>
                <w:rFonts w:ascii="宋体" w:hAnsi="宋体" w:cs="宋体"/>
                <w:color w:val="000000"/>
                <w:sz w:val="24"/>
              </w:rPr>
            </w:pPr>
            <w:r>
              <w:rPr>
                <w:rFonts w:hint="eastAsia" w:ascii="宋体" w:hAnsi="宋体" w:cs="宋体"/>
                <w:color w:val="000000"/>
                <w:kern w:val="0"/>
                <w:sz w:val="24"/>
              </w:rPr>
              <w:t>农村低保每人每月350元补差。</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困难群众基本生活水平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稳步提升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稳步提升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10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政策知晓率（≥**%）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&gt;=95%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&gt;=95%</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困难群众满意度（≥**%）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&gt;=95%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&gt;=95%</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b/>
          <w:sz w:val="32"/>
          <w:szCs w:val="32"/>
        </w:rPr>
      </w:pPr>
      <w:r>
        <w:rPr>
          <w:rFonts w:hint="eastAsia" w:ascii="楷体_GB2312" w:hAnsi="楷体_GB2312" w:eastAsia="楷体_GB2312" w:cs="楷体_GB2312"/>
          <w:b/>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本部门按要求对2019年部门整体支出绩效评价情况开展自评，《民政局部门2019年部门整体支出绩效评价报告》见附件（附件1）。</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576" w:lineRule="exact"/>
        <w:ind w:firstLine="660" w:firstLineChars="150"/>
        <w:jc w:val="center"/>
        <w:outlineLvl w:val="0"/>
        <w:rPr>
          <w:rStyle w:val="25"/>
          <w:rFonts w:ascii="黑体" w:hAnsi="黑体" w:eastAsia="黑体"/>
          <w:b w:val="0"/>
        </w:rPr>
      </w:pPr>
      <w:bookmarkStart w:id="53" w:name="_Toc15396613"/>
      <w:bookmarkStart w:id="54" w:name="_Toc15377225"/>
      <w:r>
        <w:rPr>
          <w:rFonts w:hint="eastAsia" w:ascii="黑体" w:hAnsi="黑体" w:eastAsia="黑体"/>
          <w:color w:val="000000"/>
          <w:sz w:val="44"/>
          <w:szCs w:val="44"/>
        </w:rPr>
        <w:t>名</w:t>
      </w:r>
      <w:r>
        <w:rPr>
          <w:rStyle w:val="25"/>
          <w:rFonts w:hint="eastAsia" w:ascii="黑体" w:hAnsi="黑体" w:eastAsia="黑体"/>
          <w:b w:val="0"/>
        </w:rPr>
        <w:t>词解释</w:t>
      </w:r>
      <w:bookmarkEnd w:id="53"/>
      <w:bookmarkEnd w:id="54"/>
    </w:p>
    <w:p>
      <w:pPr>
        <w:spacing w:line="576" w:lineRule="exact"/>
        <w:jc w:val="left"/>
        <w:rPr>
          <w:rFonts w:ascii="宋体"/>
          <w:b/>
          <w:color w:val="000000"/>
          <w:sz w:val="44"/>
          <w:szCs w:val="44"/>
        </w:rPr>
      </w:pPr>
    </w:p>
    <w:p>
      <w:pPr>
        <w:pStyle w:val="23"/>
        <w:spacing w:line="576" w:lineRule="exact"/>
        <w:ind w:firstLine="640" w:firstLineChars="200"/>
        <w:rPr>
          <w:rFonts w:ascii="仿宋_GB2312" w:eastAsia="仿宋_GB2312"/>
          <w:sz w:val="32"/>
          <w:szCs w:val="32"/>
        </w:rPr>
      </w:pPr>
      <w:bookmarkStart w:id="55" w:name="_Toc15396614"/>
      <w:bookmarkStart w:id="56" w:name="_Toc15377226"/>
      <w:r>
        <w:rPr>
          <w:rFonts w:hint="eastAsia" w:ascii="仿宋_GB2312" w:eastAsia="仿宋_GB2312"/>
          <w:sz w:val="32"/>
          <w:szCs w:val="32"/>
        </w:rPr>
        <w:t>1.财政拨款收入：指单位从同级财政部门取得的财政预算资金。</w:t>
      </w:r>
    </w:p>
    <w:p>
      <w:pPr>
        <w:pStyle w:val="23"/>
        <w:spacing w:line="576"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2.事业收入：指事业单位开展专业业务活动及辅助活动取得的收入。</w:t>
      </w:r>
    </w:p>
    <w:p>
      <w:pPr>
        <w:pStyle w:val="23"/>
        <w:spacing w:line="576"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23"/>
        <w:spacing w:line="576" w:lineRule="exact"/>
        <w:ind w:firstLine="640" w:firstLineChars="200"/>
        <w:rPr>
          <w:rFonts w:ascii="仿宋_GB2312" w:eastAsia="仿宋_GB2312"/>
          <w:sz w:val="32"/>
          <w:szCs w:val="32"/>
        </w:rPr>
      </w:pPr>
      <w:r>
        <w:rPr>
          <w:rFonts w:hint="eastAsia" w:ascii="仿宋_GB2312" w:eastAsia="仿宋_GB2312"/>
          <w:sz w:val="32"/>
          <w:szCs w:val="32"/>
        </w:rPr>
        <w:t xml:space="preserve">4.其他收入：指单位取得的除上述收入以外的各项收入。 </w:t>
      </w:r>
    </w:p>
    <w:p>
      <w:pPr>
        <w:pStyle w:val="23"/>
        <w:spacing w:line="576" w:lineRule="exact"/>
        <w:ind w:firstLine="640" w:firstLineChars="200"/>
        <w:rPr>
          <w:rFonts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3"/>
        <w:spacing w:line="576" w:lineRule="exact"/>
        <w:ind w:firstLine="640" w:firstLineChars="200"/>
        <w:rPr>
          <w:rFonts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pPr>
        <w:pStyle w:val="23"/>
        <w:spacing w:line="576" w:lineRule="exact"/>
        <w:ind w:firstLine="640" w:firstLineChars="200"/>
        <w:rPr>
          <w:rFonts w:ascii="仿宋_GB2312" w:eastAsia="仿宋_GB2312"/>
          <w:sz w:val="32"/>
          <w:szCs w:val="32"/>
        </w:rPr>
      </w:pPr>
      <w:r>
        <w:rPr>
          <w:rFonts w:hint="eastAsia" w:ascii="仿宋_GB2312" w:eastAsia="仿宋_GB2312"/>
          <w:sz w:val="32"/>
          <w:szCs w:val="32"/>
        </w:rPr>
        <w:t>7.结余分配：指事业单位按照事业单位会计制度的规定从非财政补助结余中分配的事业基金和职工福利基金等。</w:t>
      </w:r>
    </w:p>
    <w:p>
      <w:pPr>
        <w:pStyle w:val="23"/>
        <w:spacing w:line="576" w:lineRule="exact"/>
        <w:ind w:firstLine="640" w:firstLineChars="200"/>
        <w:rPr>
          <w:rFonts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9.一般公共服务（类）其他一般公共服务支出（款）其他一般公共服务支出（项）：指反映除上述项目以外的其他一般公共服务支出。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10.社会保障和就业（类）民政管理事务（款）行政运行（项）：指行政单位（包括实行公务员管理的事业单位）的基本支出。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11.社会保障和就业（类）  民政管理事务（款）其他民政管理事务支出（项）：指民政部门接待来访、法制建设、政策宣传方面的支出，以及开展优抚安置、救灾减灾、社会救助、社会福利、婚姻登记、社会事务、信息化建设等专项业务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12.社会保障和就业（类）行政事业单位离退休（款）机关事业单位基本养老保险缴费支出（项）：指机关事业单位实施养老保险制度由单位缴纳的基本养老保险费支出。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13.社会保障和就业（类）行政事业单位离退休（款）机关事业单位职业年金缴费支出（项）：指机关事业单位实施养老保险制度由单位实际缴纳的职业年金支出。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14.社会保障和就业（类）抚恤（款）死亡抚恤（项）：指按规定用于烈士和牺牲、病故人员家属的一次性和定期抚恤金以及丧葬补助费。</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15.社会保障和就业（类）抚恤（款）伤残抚恤（项）：指按规定用于伤残人员的抚恤金和按规定开支的各种伤残补助费。</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社会保障和就业（类）抚恤（款）在乡复员、退伍军人生活保障（项）：指在乡复员退伍红军老战士（含西路军红军老战士、红军失散人员）、1954年10月31日前入伍的在乡复员军人、按规定办理带病回乡手续的退伍军人生活补助。</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17.社会保障和就业（类）抚恤（款）优抚事业单位支出（项）：指民政部门管理的优抚事业单位支出，对集体优抚事业单位的补助，对烈士纪念设施的维修改造和管理保护支出，以及全国重点军供站设施维修改造和设备更新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18.社会保障和就业（类）抚恤（款）义务兵优待（项）：指用于义务兵优待方面的支出。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19.社会保障和就业（类）抚恤（款）农村籍退役士兵老年生活补助（项）：指反映1954年11月1日试行义务兵役制后至《退役士兵安置条例》实施前入伍、年龄在60周岁以上（含60周岁）、未享受到国家定期抚恤补助的农村籍退役士兵的老年生活补助。</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20.社会保障和就业（类）抚恤（款）其他优抚支出（项）：指除上述项目以外其他用于优抚方面的支出。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21.社会保障和就业（类）退役安置（款）军队移交政府的离退休人员安置（项）：指移交政府的军队离退休人员安置支出。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22.社会保障和就业（类）退役安置（款）军队移交政府的离退休干部管理机构（项）：指民政部门管理的军队移交政府安置的离退休干部管理机构列入事业编制的人员经费、公用经费以及管理机构用房建设经费等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23.社会保障和就业（类）退役安置（款）其他退役安置支出（项）：指除上述项目以外其他用于退役安置方面的支出。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24.社会保障和就业（类）社会福利（款）儿童福利（项）：指对儿童提供服务福利方面的支出。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25.社会保障和就业（类）社会福利（款）老年福利（项）：指对老年人提供服务福利方面的支出。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26.社会保障和就业（类）社会福利（款）社会福利事业单位（项）：指民政部门举办的社会福利事业单位的支出，以及对集体社会福利事业单位的补助费。</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27.社会保障和就业（类）社会福利（款）其他社会福利支出（项）：指除上述项目以外其他用于社会福利方面的支出。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28.社会保障和就业（类）残疾人事业（款）残疾人生活和护理补贴（项）：指困难残疾人生活补贴和重度残疾人护理补贴的支出。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29.社保障和就业（类）最低生活保障（款）城市最低生活保障金支出（项）：指城市最低生活保障对象的最低生活保障金支出。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30.社保障和就业（类）最低生活保障（款）农村最低生活保障金支出（项）：指农村最低生活保障对象的最低生活保障金支出。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31.社保障和就业（类）临时救助（款）临时救助支出（项）：指用于城乡困难居民的临时救助支出。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32.社保障和就业（类）特困人员救助供养（款）城市特困人员救助供养支出（项）：指城市特困人员救助供养支出。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33.社保障和就业（类）特困人员救助供养（款）农村特困人员救助供养支出（项）：指农村特困人员救助供养支出。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34.社保障和就业（类）其他生活救助（款）其他农村生活救助（项）：指除最低生活保障、临时救助、特困人员供养、自然灾害生活救助外，用于农村生活困难居民生活救助的其他支出。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35.社保障和就业（类）其他社会保障和就业支出（款）其他社会保障和就业支出（项）：指除上述项目以外其他用于社会保障和就业方面的支出。</w:t>
      </w:r>
    </w:p>
    <w:p>
      <w:pPr>
        <w:widowControl/>
        <w:spacing w:line="576"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36.卫生健康支出（类）行政事业单位医疗（款）行政单位医疗（项）：指机关及参公管理事业单位用于缴纳单位基本医疗保险支出。</w:t>
      </w:r>
    </w:p>
    <w:p>
      <w:pPr>
        <w:widowControl/>
        <w:spacing w:line="576"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37.卫生健康支出（类）行政事业单位医疗（款）行政单位医疗（项）：指事业单位用于缴纳单位基本医疗保险支出。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38.卫生健康支出（类）优抚对象医疗（款）优抚对象医疗补助（项）：指按规定补助优抚对象的医疗经费。</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39.卫生健康支出（类）老龄卫生健康事务（款）老龄卫生健康事务（项）：指反映老龄卫生健康事务方面的支出。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40.农林水支出（类）扶贫（款）其他扶贫支出（项）：指反映除上述项目以外其他用于扶贫方面的支出。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41.住房保障支出（类）住房改革支出（款）住房公积金（项）：指行政事业单位按人力资源和社会保障部、财政部规定的基本工资和津贴补贴以及规定比例为职工缴纳的住房公积金。</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42.灾害防治及应急管理支出（类）自然灾害救灾及恢复重建支出（款）中央自然灾害生活补助（项）：指中央预算对遭受特大自然灾害地区的地方政府在安排受灾群众吃、穿、住和抢救、转移、安置、治病等经费发生困难时给予的专项补助，以及为抗御特大自然灾害而设立的中央级救灾物资储备资金。</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43.灾害防治及应急管理支出（类）自然灾害救灾及恢复重建支出（款）地方自然灾害生活补助（项）：指地方预算安排的解决受灾群众吃、穿、住等困难的救济费和发生自燃灾害时的抢救、转移、安置、治病等支出，以及为抵御自然灾害而设立的地方救灾储备物资采购资金。</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44.灾害防治及应急管理支出（类）自然灾害救灾及恢复重建支出（款）自然灾害灾后重建补助（项）：指政府预算安排用于自然灾害恢复重建的补助支出。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45.其他支出（类）彩票公益金及对应专项债务收入安排的支出（款）用于社会福利的彩票公益金支出（项）：指用于社会福利和社会救助的彩票公益金支出。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46.基本支出：指为保障机构正常运转、完成日常工作任务而发生的人员支出和公用支出。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47.项目支出：指在基本支出之外为完成特定行政任务和事业发展目标所发生的支出。 </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48.经营支出：指事业单位在专业业务活动及其辅助活动之外开展非独立核算经营活动发生的支出。</w:t>
      </w:r>
    </w:p>
    <w:p>
      <w:pPr>
        <w:pStyle w:val="23"/>
        <w:spacing w:line="576" w:lineRule="exact"/>
        <w:ind w:firstLine="640" w:firstLineChars="200"/>
        <w:rPr>
          <w:rFonts w:ascii="仿宋_GB2312" w:eastAsia="仿宋_GB2312"/>
          <w:sz w:val="32"/>
          <w:szCs w:val="32"/>
        </w:rPr>
      </w:pPr>
      <w:r>
        <w:rPr>
          <w:rFonts w:hint="eastAsia" w:ascii="仿宋_GB2312" w:eastAsia="仿宋_GB2312"/>
          <w:sz w:val="32"/>
          <w:szCs w:val="32"/>
        </w:rPr>
        <w:t>49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76" w:lineRule="exact"/>
        <w:ind w:firstLine="640" w:firstLineChars="200"/>
        <w:rPr>
          <w:rFonts w:ascii="仿宋_GB2312" w:eastAsia="仿宋_GB2312"/>
          <w:sz w:val="32"/>
          <w:szCs w:val="32"/>
        </w:rPr>
      </w:pPr>
      <w:r>
        <w:rPr>
          <w:rFonts w:hint="eastAsia" w:ascii="仿宋_GB2312" w:eastAsia="仿宋_GB2312"/>
          <w:sz w:val="32"/>
          <w:szCs w:val="32"/>
        </w:rPr>
        <w:t>50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76" w:lineRule="exact"/>
        <w:jc w:val="center"/>
        <w:outlineLvl w:val="0"/>
        <w:rPr>
          <w:rStyle w:val="25"/>
          <w:rFonts w:ascii="黑体" w:hAnsi="黑体" w:eastAsia="黑体"/>
          <w:b w:val="0"/>
        </w:rPr>
      </w:pPr>
      <w:r>
        <w:rPr>
          <w:rFonts w:hint="eastAsia" w:ascii="仿宋_GB2312" w:eastAsia="仿宋_GB2312"/>
          <w:b/>
          <w:color w:val="000000"/>
          <w:sz w:val="32"/>
          <w:szCs w:val="32"/>
        </w:rPr>
        <w:br w:type="page"/>
      </w:r>
      <w:r>
        <w:rPr>
          <w:rFonts w:hint="eastAsia" w:ascii="黑体" w:hAnsi="黑体" w:eastAsia="黑体"/>
          <w:color w:val="000000"/>
          <w:sz w:val="44"/>
          <w:szCs w:val="44"/>
        </w:rPr>
        <w:t>第</w:t>
      </w:r>
      <w:r>
        <w:rPr>
          <w:rStyle w:val="25"/>
          <w:rFonts w:hint="eastAsia" w:ascii="黑体" w:hAnsi="黑体" w:eastAsia="黑体"/>
          <w:b w:val="0"/>
        </w:rPr>
        <w:t>四部分 附件</w:t>
      </w:r>
      <w:bookmarkEnd w:id="55"/>
    </w:p>
    <w:p>
      <w:pPr>
        <w:spacing w:line="576" w:lineRule="exact"/>
        <w:jc w:val="left"/>
        <w:outlineLvl w:val="0"/>
        <w:rPr>
          <w:rFonts w:ascii="仿宋_GB2312" w:hAnsi="方正小标宋简体" w:eastAsia="仿宋_GB2312" w:cs="方正小标宋简体"/>
          <w:sz w:val="32"/>
          <w:szCs w:val="32"/>
        </w:rPr>
      </w:pPr>
      <w:r>
        <w:rPr>
          <w:rFonts w:hint="eastAsia" w:ascii="仿宋_GB2312" w:hAnsi="黑体" w:eastAsia="仿宋_GB2312" w:cs="黑体"/>
          <w:sz w:val="32"/>
          <w:szCs w:val="32"/>
        </w:rPr>
        <w:t>附件1</w:t>
      </w:r>
    </w:p>
    <w:p>
      <w:pPr>
        <w:spacing w:line="576" w:lineRule="exact"/>
        <w:jc w:val="center"/>
        <w:rPr>
          <w:rFonts w:ascii="方正小标宋简体" w:hAnsi="方正小标宋简体" w:eastAsia="方正小标宋简体" w:cs="方正小标宋简体"/>
          <w:sz w:val="44"/>
          <w:szCs w:val="44"/>
        </w:rPr>
      </w:pPr>
    </w:p>
    <w:p>
      <w:pPr>
        <w:spacing w:line="576"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民政局</w:t>
      </w:r>
      <w:r>
        <w:rPr>
          <w:rFonts w:hint="eastAsia" w:ascii="方正小标宋简体" w:hAnsi="宋体" w:eastAsia="方正小标宋简体"/>
          <w:color w:val="000000"/>
          <w:kern w:val="0"/>
          <w:sz w:val="44"/>
          <w:szCs w:val="44"/>
          <w:lang w:val="zh-CN"/>
        </w:rPr>
        <w:t>部门</w:t>
      </w:r>
      <w:r>
        <w:rPr>
          <w:rFonts w:ascii="方正小标宋简体" w:hAnsi="宋体" w:eastAsia="方正小标宋简体"/>
          <w:color w:val="000000"/>
          <w:kern w:val="0"/>
          <w:sz w:val="44"/>
          <w:szCs w:val="44"/>
        </w:rPr>
        <w:t>2019年部门</w:t>
      </w:r>
      <w:r>
        <w:rPr>
          <w:rFonts w:hint="eastAsia" w:ascii="方正小标宋简体" w:hAnsi="宋体" w:eastAsia="方正小标宋简体"/>
          <w:color w:val="000000"/>
          <w:kern w:val="0"/>
          <w:sz w:val="44"/>
          <w:szCs w:val="44"/>
          <w:lang w:val="zh-CN"/>
        </w:rPr>
        <w:t>整体支出绩效评价报告</w:t>
      </w:r>
    </w:p>
    <w:p>
      <w:pPr>
        <w:widowControl/>
        <w:adjustRightInd w:val="0"/>
        <w:snapToGrid w:val="0"/>
        <w:spacing w:line="576"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76"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spacing w:line="576" w:lineRule="exact"/>
        <w:ind w:firstLine="642" w:firstLineChars="200"/>
        <w:outlineLvl w:val="1"/>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（一）机构组成</w:t>
      </w:r>
    </w:p>
    <w:p>
      <w:pPr>
        <w:spacing w:line="576" w:lineRule="exact"/>
        <w:ind w:firstLine="640" w:firstLineChars="200"/>
        <w:outlineLvl w:val="1"/>
        <w:rPr>
          <w:rFonts w:eastAsia="仿宋_GB2312"/>
          <w:b/>
          <w:sz w:val="32"/>
          <w:szCs w:val="32"/>
        </w:rPr>
      </w:pPr>
      <w:r>
        <w:rPr>
          <w:rFonts w:hint="eastAsia" w:ascii="仿宋_GB2312" w:eastAsia="仿宋_GB2312"/>
          <w:sz w:val="32"/>
          <w:szCs w:val="32"/>
        </w:rPr>
        <w:t>根据《茂县机构改革方案》（茂委〔2019〕10号）和《关于&lt;茂县机构改革方案&gt;的实施意见》（茂机改〔2019〕1号），制定本规定。</w:t>
      </w:r>
    </w:p>
    <w:p>
      <w:pPr>
        <w:widowControl/>
        <w:adjustRightInd w:val="0"/>
        <w:snapToGrid w:val="0"/>
        <w:spacing w:line="576" w:lineRule="exact"/>
        <w:ind w:firstLine="642" w:firstLineChars="200"/>
        <w:contextualSpacing/>
        <w:jc w:val="left"/>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（二）机构职能</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（1）贯彻执行民政工作民族自治法规，拟订全县民政事业发展规划、工作计划，负责组织实施和监督检查全县民政事业政策、标准。</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（2）承担对社会团体、基金会、社会服务机构等社会组织登记和监督管理办法并组织实施，依法对社会组织进行登记管理和执法监督。</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（3）牵头实施和执行社会救助规划、政策和标准，统筹推进社会救助体系建设，负责城乡居民最低生活保障、特困人员救助供养、临时救助、生活无着流浪乞讨人员救助工作。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（4）负责指导实施城乡基层群众自治建设和社区治理政策，指导城乡社区治理体系、服务体系和治理能力建设，提出加强和改进城乡基层政权建设的建议，推动基层民主政治建设。</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5）负责实施全县行政区划管理政策和行政区域界线、地名管理办法，负责全县行政区域的设立、命名、撤销、变更和政府驻地迁移审核上报工作。组织并指导全县行政区域界线的勘定、管理工作，调处行政区域边界争议，负责地名管理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（6）负责组织实施婚姻管理政策，推进婚俗改革。</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（7）负责组织实施殡葬管理政策并规范服务，负责殡葬管理、救助服务机构管理工作，推进殡葬改革。</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（8）负责实施社会福利事业发展规划、政策和标准，负责拟订社会福利机构管理办法并指导实施。负责监督实施残疾人权益保护政策。统筹推进残疾人福利制度建设和康复辅助器具产业发展。</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9）统筹推进、督促指导、监督管理养老服务工作，组织实施养老服务体系建设规划、政策、标准，承担老年人福利和特殊困难老年人救助工作，协调推进农村留守老年人关爱服务工作，承担城乡老年社会组织管理工作。负责做好老年大学（学校）管理指导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（10）负责组织实施儿童福利、孤弃儿童保障、儿童收养、儿童救助保护政策和标准，健全农村留守儿童关爱服务体系和困境儿童保障制度。</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（11）组织实施促进慈善事业发展政策，指导社会捐助工作。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（12）负责组织实施社会工作、志愿服务政策和标准，会同有关部门推进社会工作人才队伍建设和志愿者队伍建设。</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（13）依法依规负责社会福利、养老服务、救助管理、殡葬服务机构的安全生产监督管理工作。负责职责范围内的意识形态、职业健康、生态环境保护、审批服务便民化工作。</w:t>
      </w:r>
    </w:p>
    <w:p>
      <w:pPr>
        <w:snapToGrid w:val="0"/>
        <w:spacing w:line="576"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eastAsia="仿宋_GB2312"/>
          <w:sz w:val="32"/>
          <w:szCs w:val="32"/>
        </w:rPr>
        <w:t>（14）完成县委、县人民政府交办的其他任务。</w:t>
      </w:r>
    </w:p>
    <w:p>
      <w:pPr>
        <w:pStyle w:val="24"/>
        <w:widowControl/>
        <w:numPr>
          <w:ilvl w:val="0"/>
          <w:numId w:val="4"/>
        </w:numPr>
        <w:adjustRightInd w:val="0"/>
        <w:snapToGrid w:val="0"/>
        <w:spacing w:line="576" w:lineRule="exact"/>
        <w:ind w:firstLineChars="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人员概况</w:t>
      </w:r>
    </w:p>
    <w:p>
      <w:pPr>
        <w:pStyle w:val="12"/>
        <w:spacing w:before="0" w:beforeAutospacing="0" w:after="0" w:afterAutospacing="0" w:line="576" w:lineRule="exact"/>
        <w:ind w:firstLine="640" w:firstLineChars="200"/>
        <w:rPr>
          <w:rFonts w:ascii="仿宋_GB2312" w:hAnsi="Calibri" w:eastAsia="仿宋_GB2312" w:cs="仿宋"/>
          <w:color w:val="000000"/>
          <w:sz w:val="32"/>
          <w:szCs w:val="32"/>
        </w:rPr>
      </w:pPr>
      <w:r>
        <w:rPr>
          <w:rFonts w:hint="eastAsia" w:ascii="仿宋_GB2312" w:hAnsi="Calibri" w:eastAsia="仿宋_GB2312" w:cs="仿宋"/>
          <w:color w:val="000000"/>
          <w:sz w:val="32"/>
          <w:szCs w:val="32"/>
        </w:rPr>
        <w:t>茂县民政局属行政机关单位，下属3个事业部门。在职人员总数31人，其中：行政人员15人，其他事业人员16人。</w:t>
      </w:r>
    </w:p>
    <w:p>
      <w:pPr>
        <w:pStyle w:val="12"/>
        <w:spacing w:before="0" w:beforeAutospacing="0" w:after="0" w:afterAutospacing="0" w:line="576" w:lineRule="exact"/>
        <w:ind w:firstLine="640" w:firstLineChars="200"/>
        <w:rPr>
          <w:rFonts w:ascii="黑体" w:eastAsia="黑体"/>
          <w:color w:val="000000"/>
          <w:sz w:val="32"/>
          <w:szCs w:val="32"/>
          <w:shd w:val="clear" w:color="auto" w:fill="FFFFFF"/>
        </w:rPr>
      </w:pPr>
      <w:r>
        <w:rPr>
          <w:rFonts w:hint="eastAsia" w:ascii="黑体" w:eastAsia="黑体"/>
          <w:color w:val="000000"/>
          <w:sz w:val="32"/>
          <w:szCs w:val="32"/>
          <w:shd w:val="clear" w:color="auto" w:fill="FFFFFF"/>
        </w:rPr>
        <w:t>二、部门财政资金收支情况</w:t>
      </w:r>
    </w:p>
    <w:p>
      <w:pPr>
        <w:pStyle w:val="12"/>
        <w:spacing w:before="0" w:beforeAutospacing="0" w:after="0" w:afterAutospacing="0" w:line="576" w:lineRule="exact"/>
        <w:ind w:firstLine="642" w:firstLineChars="200"/>
        <w:rPr>
          <w:rFonts w:hint="eastAsia" w:ascii="楷体" w:hAnsi="楷体" w:eastAsia="楷体" w:cs="楷体"/>
          <w:b/>
          <w:bCs/>
          <w:color w:val="000000"/>
          <w:kern w:val="0"/>
          <w:sz w:val="32"/>
          <w:szCs w:val="32"/>
          <w:shd w:val="clear" w:color="auto" w:fill="FFFFFF"/>
          <w:lang w:val="zh-CN" w:eastAsia="zh-CN" w:bidi="ar-SA"/>
        </w:rPr>
      </w:pPr>
      <w:r>
        <w:rPr>
          <w:rFonts w:hint="eastAsia" w:ascii="楷体" w:hAnsi="楷体" w:eastAsia="楷体" w:cs="楷体"/>
          <w:b/>
          <w:bCs/>
          <w:color w:val="000000"/>
          <w:kern w:val="0"/>
          <w:sz w:val="32"/>
          <w:szCs w:val="32"/>
          <w:shd w:val="clear" w:color="auto" w:fill="FFFFFF"/>
          <w:lang w:val="zh-CN" w:eastAsia="zh-CN" w:bidi="ar-SA"/>
        </w:rPr>
        <w:t>（一）部门财政资金收入情况</w:t>
      </w:r>
    </w:p>
    <w:p>
      <w:pPr>
        <w:widowControl/>
        <w:adjustRightInd w:val="0"/>
        <w:snapToGrid w:val="0"/>
        <w:spacing w:line="576" w:lineRule="exact"/>
        <w:ind w:firstLine="640" w:firstLineChars="200"/>
        <w:contextualSpacing/>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2019年单位财政补助收入共计3821.1万元，无非财政补助收入、事业收入、经营收入、其他收入。</w:t>
      </w:r>
    </w:p>
    <w:p>
      <w:pPr>
        <w:pStyle w:val="12"/>
        <w:spacing w:before="0" w:beforeAutospacing="0" w:after="0" w:afterAutospacing="0" w:line="576" w:lineRule="exact"/>
        <w:ind w:firstLine="642" w:firstLineChars="200"/>
        <w:rPr>
          <w:rFonts w:hint="eastAsia" w:ascii="楷体" w:hAnsi="楷体" w:eastAsia="楷体" w:cs="楷体"/>
          <w:b/>
          <w:bCs/>
          <w:color w:val="000000"/>
          <w:kern w:val="0"/>
          <w:sz w:val="32"/>
          <w:szCs w:val="32"/>
          <w:shd w:val="clear" w:color="auto" w:fill="FFFFFF"/>
          <w:lang w:val="zh-CN" w:eastAsia="zh-CN" w:bidi="ar-SA"/>
        </w:rPr>
      </w:pPr>
      <w:r>
        <w:rPr>
          <w:rFonts w:hint="eastAsia" w:ascii="楷体" w:hAnsi="楷体" w:eastAsia="楷体" w:cs="楷体"/>
          <w:b/>
          <w:bCs/>
          <w:color w:val="000000"/>
          <w:kern w:val="0"/>
          <w:sz w:val="32"/>
          <w:szCs w:val="32"/>
          <w:shd w:val="clear" w:color="auto" w:fill="FFFFFF"/>
          <w:lang w:val="zh-CN" w:eastAsia="zh-CN" w:bidi="ar-SA"/>
        </w:rPr>
        <w:t>（二）部门财政资金支出情况</w:t>
      </w:r>
    </w:p>
    <w:p>
      <w:pPr>
        <w:widowControl/>
        <w:adjustRightInd w:val="0"/>
        <w:snapToGrid w:val="0"/>
        <w:spacing w:line="576" w:lineRule="exact"/>
        <w:ind w:firstLine="640" w:firstLineChars="200"/>
        <w:contextualSpacing/>
        <w:jc w:val="left"/>
        <w:rPr>
          <w:rFonts w:ascii="仿宋_GB2312" w:hAnsi="Calibri" w:eastAsia="仿宋_GB2312" w:cs="仿宋"/>
          <w:color w:val="000000"/>
          <w:sz w:val="32"/>
          <w:szCs w:val="32"/>
        </w:rPr>
      </w:pPr>
      <w:r>
        <w:rPr>
          <w:rFonts w:hint="eastAsia" w:ascii="仿宋_GB2312" w:hAnsi="Calibri" w:eastAsia="仿宋_GB2312" w:cs="仿宋"/>
          <w:color w:val="000000"/>
          <w:sz w:val="32"/>
          <w:szCs w:val="32"/>
        </w:rPr>
        <w:t>2019年单位支出共计3452.92万元，均为财政补助支出。</w:t>
      </w:r>
    </w:p>
    <w:p>
      <w:pPr>
        <w:widowControl/>
        <w:adjustRightInd w:val="0"/>
        <w:snapToGrid w:val="0"/>
        <w:spacing w:line="576" w:lineRule="exact"/>
        <w:ind w:firstLine="640" w:firstLineChars="200"/>
        <w:contextualSpacing/>
        <w:jc w:val="left"/>
        <w:rPr>
          <w:rFonts w:ascii="仿宋_GB2312" w:hAnsi="Calibri" w:eastAsia="仿宋_GB2312" w:cs="仿宋"/>
          <w:color w:val="000000"/>
          <w:sz w:val="32"/>
          <w:szCs w:val="32"/>
        </w:rPr>
      </w:pPr>
      <w:r>
        <w:rPr>
          <w:rFonts w:hint="eastAsia" w:ascii="仿宋_GB2312" w:hAnsi="Calibri" w:eastAsia="仿宋_GB2312" w:cs="仿宋"/>
          <w:color w:val="000000"/>
          <w:sz w:val="32"/>
          <w:szCs w:val="32"/>
        </w:rPr>
        <w:t>1.本年财政补助支出按功能科目分类包括：社会保障和就业支出3047.05万元；卫生健康支出34.01万元；城乡社区支出10.14万元；农林水支出0.6万元；住房保障支出40.32万元；灾害防治及应急管理支出320.8万元。</w:t>
      </w:r>
    </w:p>
    <w:p>
      <w:pPr>
        <w:widowControl/>
        <w:adjustRightInd w:val="0"/>
        <w:snapToGrid w:val="0"/>
        <w:spacing w:line="576" w:lineRule="exact"/>
        <w:ind w:firstLine="640" w:firstLineChars="200"/>
        <w:contextualSpacing/>
        <w:jc w:val="left"/>
        <w:rPr>
          <w:rFonts w:ascii="仿宋_GB2312" w:hAnsi="Calibri" w:eastAsia="仿宋_GB2312" w:cs="仿宋"/>
          <w:color w:val="000000"/>
          <w:sz w:val="32"/>
          <w:szCs w:val="32"/>
        </w:rPr>
      </w:pPr>
      <w:r>
        <w:rPr>
          <w:rFonts w:hint="eastAsia" w:ascii="仿宋_GB2312" w:hAnsi="Calibri" w:eastAsia="仿宋_GB2312" w:cs="仿宋"/>
          <w:color w:val="000000"/>
          <w:sz w:val="32"/>
          <w:szCs w:val="32"/>
        </w:rPr>
        <w:t>2.本年财政补助支出按经济科目分类包括：工资福利支出404.1万元；商品和服务支出168.61万元；对家庭和个人补助2810.16万元；资本性支出70.04万元。</w:t>
      </w:r>
    </w:p>
    <w:p>
      <w:pPr>
        <w:widowControl/>
        <w:adjustRightInd w:val="0"/>
        <w:snapToGrid w:val="0"/>
        <w:spacing w:line="576" w:lineRule="exact"/>
        <w:ind w:firstLine="640" w:firstLineChars="200"/>
        <w:contextualSpacing/>
        <w:jc w:val="left"/>
        <w:rPr>
          <w:rFonts w:ascii="楷体_GB2312" w:hAnsi="宋体" w:eastAsia="楷体_GB2312" w:cs="宋体"/>
          <w:b/>
          <w:color w:val="000000"/>
          <w:kern w:val="0"/>
          <w:sz w:val="32"/>
          <w:szCs w:val="32"/>
          <w:shd w:val="clear" w:color="auto" w:fill="FFFFFF"/>
          <w:lang w:val="zh-CN"/>
        </w:rPr>
      </w:pPr>
      <w:r>
        <w:rPr>
          <w:rFonts w:hint="eastAsia" w:ascii="仿宋_GB2312" w:hAnsi="Calibri" w:eastAsia="仿宋_GB2312" w:cs="仿宋"/>
          <w:color w:val="000000"/>
          <w:sz w:val="32"/>
          <w:szCs w:val="32"/>
        </w:rPr>
        <w:t>3. 本年财政补助支出按支出性质分类包括：1.基本支出504.45万元（其中：人员经费477.62万元；日常公用经费26.83万元）；2.项目支出2948.47万元。</w:t>
      </w:r>
    </w:p>
    <w:p>
      <w:pPr>
        <w:widowControl/>
        <w:adjustRightInd w:val="0"/>
        <w:snapToGrid w:val="0"/>
        <w:spacing w:line="576" w:lineRule="exact"/>
        <w:ind w:firstLine="640" w:firstLineChars="200"/>
        <w:contextualSpacing/>
        <w:jc w:val="left"/>
        <w:rPr>
          <w:rFonts w:ascii="楷体_GB2312" w:hAnsi="宋体" w:eastAsia="楷体_GB2312" w:cs="宋体"/>
          <w:b/>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三、部门整体预算绩效管理情况</w:t>
      </w:r>
    </w:p>
    <w:p>
      <w:pPr>
        <w:pStyle w:val="12"/>
        <w:spacing w:before="0" w:beforeAutospacing="0" w:after="0" w:afterAutospacing="0" w:line="576" w:lineRule="exact"/>
        <w:ind w:firstLine="642" w:firstLineChars="200"/>
        <w:rPr>
          <w:rFonts w:hint="eastAsia" w:ascii="楷体" w:hAnsi="楷体" w:eastAsia="楷体" w:cs="楷体"/>
          <w:b/>
          <w:bCs/>
          <w:color w:val="000000"/>
          <w:kern w:val="0"/>
          <w:sz w:val="32"/>
          <w:szCs w:val="32"/>
          <w:shd w:val="clear" w:color="auto" w:fill="FFFFFF"/>
          <w:lang w:val="zh-CN" w:eastAsia="zh-CN" w:bidi="ar-SA"/>
        </w:rPr>
      </w:pPr>
      <w:r>
        <w:rPr>
          <w:rFonts w:hint="eastAsia" w:ascii="楷体" w:hAnsi="楷体" w:eastAsia="楷体" w:cs="楷体"/>
          <w:b/>
          <w:bCs/>
          <w:color w:val="000000"/>
          <w:kern w:val="0"/>
          <w:sz w:val="32"/>
          <w:szCs w:val="32"/>
          <w:shd w:val="clear" w:color="auto" w:fill="FFFFFF"/>
          <w:lang w:val="zh-CN" w:eastAsia="zh-CN" w:bidi="ar-SA"/>
        </w:rPr>
        <w:t>（一）部门预算管理</w:t>
      </w:r>
    </w:p>
    <w:p>
      <w:pPr>
        <w:widowControl/>
        <w:adjustRightInd w:val="0"/>
        <w:snapToGrid w:val="0"/>
        <w:spacing w:line="576" w:lineRule="exact"/>
        <w:ind w:firstLine="640" w:firstLineChars="200"/>
        <w:contextualSpacing/>
        <w:jc w:val="left"/>
        <w:rPr>
          <w:rFonts w:ascii="仿宋_GB2312" w:hAnsi="宋体" w:eastAsia="仿宋_GB2312" w:cs="宋体"/>
          <w:b/>
          <w:color w:val="000000"/>
          <w:kern w:val="0"/>
          <w:sz w:val="32"/>
          <w:szCs w:val="32"/>
          <w:shd w:val="clear" w:color="auto" w:fill="FFFFFF"/>
          <w:lang w:val="zh-CN"/>
        </w:rPr>
      </w:pPr>
      <w:r>
        <w:rPr>
          <w:rFonts w:hint="eastAsia" w:ascii="仿宋_GB2312" w:hAnsi="Tahoma" w:eastAsia="仿宋_GB2312" w:cs="Tahoma"/>
          <w:sz w:val="32"/>
          <w:szCs w:val="32"/>
        </w:rPr>
        <w:t>单</w:t>
      </w:r>
      <w:r>
        <w:rPr>
          <w:rFonts w:hint="eastAsia" w:ascii="仿宋_GB2312" w:hAnsi="Calibri" w:eastAsia="仿宋_GB2312" w:cs="仿宋"/>
          <w:color w:val="000000"/>
          <w:sz w:val="32"/>
          <w:szCs w:val="32"/>
        </w:rPr>
        <w:t>位严格按照县财政部门预算编制通知和有关文件要求，秉承强化规划约束、坚持限额控制、实时滚动管理、强化绩效管理的基本编制原则在县财政部门规定的时间内于部门预算管理系统中以上年度9月份单位人员情况完成单位基本信息表及基础资料表。同时，根据“定员定额”标准并结合本单位实际项目安排批准情况填制收支总表及支出项目录入表。单位预算编制工作完成后按“二上二下”的编制程序提交县财政支出管理股室进行审核后下达批复。</w:t>
      </w:r>
    </w:p>
    <w:p>
      <w:pPr>
        <w:widowControl/>
        <w:adjustRightInd w:val="0"/>
        <w:snapToGrid w:val="0"/>
        <w:spacing w:line="576" w:lineRule="exact"/>
        <w:ind w:firstLine="642" w:firstLineChars="200"/>
        <w:contextualSpacing/>
        <w:jc w:val="left"/>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（二）结果应用情况</w:t>
      </w:r>
    </w:p>
    <w:p>
      <w:pPr>
        <w:widowControl/>
        <w:spacing w:line="576" w:lineRule="exact"/>
        <w:ind w:firstLine="640" w:firstLineChars="20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 xml:space="preserve">我局对部门预算绩效管理工作开展情况认真进行了自查自评。绩效评价自查开展覆盖重点支出，将评价结果作为预算安排的重要依据，参照项目年度预算执行情况、“三年滚动规划”执行情况统筹项目支出需求，保障重点支出，调整支出结构，优化财政资金配置，不断强化绩效理念，推动我厅部门整体绩效管理水平不断提升。 </w:t>
      </w:r>
    </w:p>
    <w:p>
      <w:pPr>
        <w:widowControl/>
        <w:spacing w:line="576" w:lineRule="exact"/>
        <w:ind w:firstLine="640" w:firstLineChars="200"/>
        <w:jc w:val="left"/>
        <w:rPr>
          <w:rFonts w:ascii="黑体" w:hAnsi="黑体" w:eastAsia="黑体" w:cs="仿宋"/>
          <w:color w:val="000000"/>
          <w:kern w:val="0"/>
          <w:sz w:val="32"/>
          <w:szCs w:val="32"/>
        </w:rPr>
      </w:pPr>
      <w:r>
        <w:rPr>
          <w:rFonts w:hint="eastAsia" w:ascii="黑体" w:hAnsi="黑体" w:eastAsia="黑体" w:cs="宋体"/>
          <w:color w:val="000000"/>
          <w:kern w:val="0"/>
          <w:sz w:val="32"/>
          <w:szCs w:val="32"/>
          <w:shd w:val="clear" w:color="auto" w:fill="FFFFFF"/>
        </w:rPr>
        <w:t>四、评价结论及建议</w:t>
      </w:r>
    </w:p>
    <w:p>
      <w:pPr>
        <w:widowControl/>
        <w:adjustRightInd w:val="0"/>
        <w:snapToGrid w:val="0"/>
        <w:spacing w:line="576" w:lineRule="exact"/>
        <w:ind w:firstLine="642" w:firstLineChars="200"/>
        <w:contextualSpacing/>
        <w:jc w:val="left"/>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（一）评价结论</w:t>
      </w:r>
    </w:p>
    <w:p>
      <w:pPr>
        <w:widowControl/>
        <w:spacing w:line="576" w:lineRule="exact"/>
        <w:ind w:firstLine="640" w:firstLineChars="200"/>
        <w:jc w:val="left"/>
        <w:rPr>
          <w:rFonts w:ascii="仿宋_GB2312" w:hAnsi="宋体" w:eastAsia="仿宋_GB2312" w:cs="宋体"/>
          <w:color w:val="000000"/>
          <w:kern w:val="0"/>
          <w:sz w:val="32"/>
          <w:szCs w:val="32"/>
          <w:shd w:val="clear" w:color="auto" w:fill="FFFFFF"/>
          <w:lang w:val="zh-CN"/>
        </w:rPr>
      </w:pPr>
      <w:r>
        <w:rPr>
          <w:rFonts w:hint="eastAsia" w:ascii="仿宋_GB2312" w:hAnsi="Calibri" w:eastAsia="仿宋_GB2312" w:cs="仿宋"/>
          <w:color w:val="000000"/>
          <w:kern w:val="0"/>
          <w:sz w:val="32"/>
          <w:szCs w:val="32"/>
        </w:rPr>
        <w:t>单位对照《县级部门整体支出绩效评价指标体系表》中各项具体指标认真开展自评工作，经自评，单位部门整体支出均按照相应的规章制度和要求执行办理，不存在扣分事项。</w:t>
      </w:r>
    </w:p>
    <w:p>
      <w:pPr>
        <w:widowControl/>
        <w:spacing w:line="576" w:lineRule="exact"/>
        <w:ind w:firstLine="642" w:firstLineChars="200"/>
        <w:jc w:val="left"/>
        <w:rPr>
          <w:rFonts w:ascii="仿宋_GB2312" w:hAnsi="宋体" w:eastAsia="仿宋_GB2312" w:cs="宋体"/>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（二）存在问题</w:t>
      </w:r>
    </w:p>
    <w:p>
      <w:pPr>
        <w:widowControl/>
        <w:spacing w:line="576" w:lineRule="exact"/>
        <w:ind w:firstLine="640" w:firstLineChars="200"/>
        <w:jc w:val="left"/>
        <w:rPr>
          <w:rFonts w:ascii="仿宋_GB2312" w:hAnsi="宋体" w:eastAsia="仿宋_GB2312" w:cs="宋体"/>
          <w:color w:val="000000"/>
          <w:kern w:val="0"/>
          <w:sz w:val="32"/>
          <w:szCs w:val="32"/>
          <w:shd w:val="clear" w:color="auto" w:fill="FFFFFF"/>
          <w:lang w:val="zh-CN"/>
        </w:rPr>
      </w:pPr>
      <w:r>
        <w:rPr>
          <w:rFonts w:hint="eastAsia" w:ascii="仿宋_GB2312" w:hAnsi="Calibri" w:eastAsia="仿宋_GB2312" w:cs="仿宋"/>
          <w:color w:val="000000"/>
          <w:kern w:val="0"/>
          <w:sz w:val="32"/>
          <w:szCs w:val="32"/>
        </w:rPr>
        <w:t>单位对部门支出相关规章制度落实力度不够，执行能力不强，在票据报销规范性方面的管理不够严谨细致。</w:t>
      </w:r>
    </w:p>
    <w:p>
      <w:pPr>
        <w:widowControl/>
        <w:spacing w:line="576" w:lineRule="exact"/>
        <w:ind w:firstLine="642" w:firstLineChars="200"/>
        <w:jc w:val="left"/>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（三）改进建议</w:t>
      </w:r>
    </w:p>
    <w:p>
      <w:pPr>
        <w:widowControl/>
        <w:spacing w:line="576" w:lineRule="exact"/>
        <w:ind w:firstLine="640" w:firstLineChars="200"/>
        <w:jc w:val="left"/>
        <w:rPr>
          <w:rFonts w:ascii="仿宋_GB2312" w:hAnsi="宋体" w:eastAsia="仿宋_GB2312" w:cs="宋体"/>
          <w:color w:val="000000"/>
          <w:kern w:val="0"/>
          <w:sz w:val="32"/>
          <w:szCs w:val="32"/>
          <w:shd w:val="clear" w:color="auto" w:fill="FFFFFF"/>
          <w:lang w:val="zh-CN"/>
        </w:rPr>
      </w:pPr>
      <w:r>
        <w:rPr>
          <w:rFonts w:hint="eastAsia" w:ascii="仿宋_GB2312" w:hAnsi="Calibri" w:eastAsia="仿宋_GB2312" w:cs="仿宋"/>
          <w:color w:val="000000"/>
          <w:kern w:val="0"/>
          <w:sz w:val="32"/>
          <w:szCs w:val="32"/>
        </w:rPr>
        <w:t>单位财务人员在今后工作中要按照有关文件及规章制度的要求严格管理各项经费支出，细化财务审批程序，加大对报销票据的审核把关力度，落实岗位职责，坚守职业道德，重点对“三公”经费开支范围及标准进行准确核算，确保财务原始凭证的规范性、完整性、真实性。</w:t>
      </w:r>
    </w:p>
    <w:p>
      <w:pPr>
        <w:spacing w:line="576" w:lineRule="exact"/>
        <w:ind w:firstLine="640" w:firstLineChars="200"/>
        <w:rPr>
          <w:rFonts w:ascii="仿宋" w:hAnsi="仿宋" w:eastAsia="仿宋" w:cs="仿宋_GB2312"/>
          <w:sz w:val="32"/>
          <w:szCs w:val="32"/>
        </w:rPr>
      </w:pPr>
    </w:p>
    <w:p>
      <w:pPr>
        <w:spacing w:line="576" w:lineRule="exact"/>
        <w:ind w:firstLine="640" w:firstLineChars="200"/>
        <w:rPr>
          <w:rFonts w:ascii="仿宋_GB2312" w:hAnsi="仿宋_GB2312" w:eastAsia="仿宋_GB2312" w:cs="仿宋_GB2312"/>
          <w:sz w:val="32"/>
          <w:szCs w:val="32"/>
        </w:rPr>
      </w:pPr>
    </w:p>
    <w:p>
      <w:pPr>
        <w:widowControl/>
        <w:spacing w:line="576" w:lineRule="exact"/>
        <w:jc w:val="left"/>
        <w:rPr>
          <w:rStyle w:val="25"/>
          <w:rFonts w:ascii="黑体" w:hAnsi="黑体" w:eastAsia="黑体"/>
          <w:b w:val="0"/>
        </w:rPr>
      </w:pPr>
      <w:r>
        <w:rPr>
          <w:rStyle w:val="25"/>
          <w:rFonts w:ascii="黑体" w:hAnsi="黑体" w:eastAsia="黑体"/>
          <w:b w:val="0"/>
        </w:rPr>
        <w:br w:type="page"/>
      </w:r>
    </w:p>
    <w:p>
      <w:pPr>
        <w:spacing w:line="576" w:lineRule="exact"/>
        <w:jc w:val="center"/>
        <w:outlineLvl w:val="0"/>
        <w:rPr>
          <w:rStyle w:val="25"/>
          <w:rFonts w:ascii="黑体" w:hAnsi="黑体" w:eastAsia="黑体"/>
          <w:b w:val="0"/>
        </w:rPr>
      </w:pPr>
      <w:bookmarkStart w:id="57"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6"/>
      <w:bookmarkEnd w:id="57"/>
    </w:p>
    <w:p>
      <w:pPr>
        <w:spacing w:line="576" w:lineRule="exact"/>
        <w:jc w:val="center"/>
        <w:outlineLvl w:val="0"/>
        <w:rPr>
          <w:rFonts w:ascii="仿宋_GB2312" w:hAnsi="仿宋" w:eastAsia="仿宋_GB2312"/>
          <w:b/>
          <w:color w:val="000000"/>
          <w:sz w:val="44"/>
          <w:szCs w:val="44"/>
        </w:rPr>
      </w:pPr>
    </w:p>
    <w:p>
      <w:pPr>
        <w:pStyle w:val="3"/>
        <w:spacing w:before="0" w:after="0" w:line="576" w:lineRule="exact"/>
        <w:rPr>
          <w:rFonts w:ascii="仿宋_GB2312" w:hAnsi="仿宋" w:eastAsia="仿宋_GB2312"/>
          <w:color w:val="000000"/>
        </w:rPr>
      </w:pPr>
      <w:bookmarkStart w:id="58" w:name="_Toc15396619"/>
      <w:r>
        <w:rPr>
          <w:rFonts w:hint="eastAsia" w:ascii="仿宋_GB2312" w:hAnsi="仿宋" w:eastAsia="仿宋_GB2312"/>
          <w:b w:val="0"/>
          <w:color w:val="000000"/>
        </w:rPr>
        <w:t>一、收</w:t>
      </w:r>
      <w:r>
        <w:rPr>
          <w:rStyle w:val="26"/>
          <w:rFonts w:hint="eastAsia" w:ascii="仿宋_GB2312" w:hAnsi="仿宋" w:eastAsia="仿宋_GB2312"/>
          <w:b w:val="0"/>
          <w:bCs w:val="0"/>
        </w:rPr>
        <w:t>入支出决算总表</w:t>
      </w:r>
      <w:bookmarkEnd w:id="58"/>
    </w:p>
    <w:p>
      <w:pPr>
        <w:pStyle w:val="3"/>
        <w:spacing w:before="0" w:after="0" w:line="576" w:lineRule="exact"/>
        <w:rPr>
          <w:rFonts w:ascii="仿宋_GB2312" w:hAnsi="仿宋" w:eastAsia="仿宋_GB2312"/>
          <w:color w:val="000000"/>
        </w:rPr>
      </w:pPr>
      <w:bookmarkStart w:id="59" w:name="_Toc15396620"/>
      <w:r>
        <w:rPr>
          <w:rFonts w:hint="eastAsia" w:ascii="仿宋_GB2312" w:hAnsi="仿宋" w:eastAsia="仿宋_GB2312"/>
          <w:b w:val="0"/>
          <w:color w:val="000000"/>
        </w:rPr>
        <w:t>二、收</w:t>
      </w:r>
      <w:r>
        <w:rPr>
          <w:rStyle w:val="26"/>
          <w:rFonts w:hint="eastAsia" w:ascii="仿宋_GB2312" w:hAnsi="仿宋" w:eastAsia="仿宋_GB2312"/>
          <w:b w:val="0"/>
          <w:bCs w:val="0"/>
        </w:rPr>
        <w:t>入决算表</w:t>
      </w:r>
      <w:bookmarkEnd w:id="59"/>
    </w:p>
    <w:p>
      <w:pPr>
        <w:pStyle w:val="3"/>
        <w:spacing w:before="0" w:after="0" w:line="576" w:lineRule="exact"/>
        <w:rPr>
          <w:rFonts w:ascii="仿宋_GB2312" w:hAnsi="仿宋" w:eastAsia="仿宋_GB2312"/>
          <w:color w:val="000000"/>
        </w:rPr>
      </w:pPr>
      <w:bookmarkStart w:id="60" w:name="_Toc15396621"/>
      <w:r>
        <w:rPr>
          <w:rStyle w:val="26"/>
          <w:rFonts w:hint="eastAsia" w:ascii="仿宋_GB2312" w:hAnsi="仿宋" w:eastAsia="仿宋_GB2312"/>
          <w:b w:val="0"/>
          <w:bCs w:val="0"/>
        </w:rPr>
        <w:t>三、</w:t>
      </w:r>
      <w:r>
        <w:rPr>
          <w:rFonts w:hint="eastAsia" w:ascii="仿宋_GB2312" w:hAnsi="仿宋" w:eastAsia="仿宋_GB2312"/>
          <w:b w:val="0"/>
          <w:color w:val="000000"/>
        </w:rPr>
        <w:t>支</w:t>
      </w:r>
      <w:r>
        <w:rPr>
          <w:rStyle w:val="26"/>
          <w:rFonts w:hint="eastAsia" w:ascii="仿宋_GB2312" w:hAnsi="仿宋" w:eastAsia="仿宋_GB2312"/>
          <w:b w:val="0"/>
          <w:bCs w:val="0"/>
        </w:rPr>
        <w:t>出决算表</w:t>
      </w:r>
      <w:bookmarkEnd w:id="60"/>
    </w:p>
    <w:p>
      <w:pPr>
        <w:pStyle w:val="3"/>
        <w:spacing w:before="0" w:after="0" w:line="576" w:lineRule="exact"/>
        <w:rPr>
          <w:rFonts w:ascii="仿宋_GB2312" w:hAnsi="仿宋" w:eastAsia="仿宋_GB2312"/>
          <w:b w:val="0"/>
          <w:color w:val="000000"/>
        </w:rPr>
      </w:pPr>
      <w:bookmarkStart w:id="61" w:name="_Toc15396622"/>
      <w:r>
        <w:rPr>
          <w:rStyle w:val="26"/>
          <w:rFonts w:hint="eastAsia" w:ascii="仿宋_GB2312" w:hAnsi="仿宋" w:eastAsia="仿宋_GB2312"/>
          <w:b w:val="0"/>
          <w:bCs w:val="0"/>
        </w:rPr>
        <w:t>四、</w:t>
      </w:r>
      <w:r>
        <w:rPr>
          <w:rFonts w:hint="eastAsia" w:ascii="仿宋_GB2312" w:hAnsi="仿宋" w:eastAsia="仿宋_GB2312"/>
          <w:b w:val="0"/>
          <w:color w:val="000000"/>
        </w:rPr>
        <w:t>财</w:t>
      </w:r>
      <w:r>
        <w:rPr>
          <w:rStyle w:val="26"/>
          <w:rFonts w:hint="eastAsia" w:ascii="仿宋_GB2312" w:hAnsi="仿宋" w:eastAsia="仿宋_GB2312"/>
          <w:b w:val="0"/>
          <w:bCs w:val="0"/>
        </w:rPr>
        <w:t>政拨款收入支出决算总表</w:t>
      </w:r>
      <w:bookmarkEnd w:id="61"/>
    </w:p>
    <w:p>
      <w:pPr>
        <w:pStyle w:val="3"/>
        <w:spacing w:before="0" w:after="0" w:line="576" w:lineRule="exact"/>
        <w:rPr>
          <w:rStyle w:val="26"/>
          <w:rFonts w:ascii="仿宋_GB2312" w:hAnsi="仿宋" w:eastAsia="仿宋_GB2312"/>
          <w:b w:val="0"/>
          <w:bCs w:val="0"/>
        </w:rPr>
      </w:pPr>
      <w:bookmarkStart w:id="62" w:name="_Toc15396623"/>
      <w:r>
        <w:rPr>
          <w:rStyle w:val="26"/>
          <w:rFonts w:hint="eastAsia" w:ascii="仿宋_GB2312" w:hAnsi="仿宋" w:eastAsia="仿宋_GB2312"/>
          <w:b w:val="0"/>
          <w:bCs w:val="0"/>
        </w:rPr>
        <w:t>五、</w:t>
      </w:r>
      <w:r>
        <w:rPr>
          <w:rFonts w:hint="eastAsia" w:ascii="仿宋_GB2312" w:hAnsi="仿宋" w:eastAsia="仿宋_GB2312"/>
          <w:b w:val="0"/>
          <w:color w:val="000000"/>
        </w:rPr>
        <w:t>财</w:t>
      </w:r>
      <w:r>
        <w:rPr>
          <w:rStyle w:val="26"/>
          <w:rFonts w:hint="eastAsia" w:ascii="仿宋_GB2312" w:hAnsi="仿宋" w:eastAsia="仿宋_GB2312"/>
          <w:b w:val="0"/>
          <w:bCs w:val="0"/>
        </w:rPr>
        <w:t>政拨款支出决算明细表</w:t>
      </w:r>
      <w:bookmarkEnd w:id="62"/>
      <w:bookmarkStart w:id="63" w:name="_Toc15396624"/>
    </w:p>
    <w:p>
      <w:pPr>
        <w:pStyle w:val="3"/>
        <w:spacing w:before="0" w:after="0" w:line="576" w:lineRule="exact"/>
        <w:rPr>
          <w:rFonts w:ascii="仿宋_GB2312" w:hAnsi="仿宋" w:eastAsia="仿宋_GB2312"/>
          <w:color w:val="000000"/>
        </w:rPr>
      </w:pPr>
      <w:r>
        <w:rPr>
          <w:rStyle w:val="26"/>
          <w:rFonts w:hint="eastAsia" w:ascii="仿宋_GB2312" w:hAnsi="仿宋" w:eastAsia="仿宋_GB2312"/>
          <w:b w:val="0"/>
          <w:bCs w:val="0"/>
        </w:rPr>
        <w:t>六、</w:t>
      </w:r>
      <w:r>
        <w:rPr>
          <w:rFonts w:hint="eastAsia" w:ascii="仿宋_GB2312" w:hAnsi="仿宋" w:eastAsia="仿宋_GB2312"/>
          <w:b w:val="0"/>
          <w:color w:val="000000"/>
        </w:rPr>
        <w:t>一</w:t>
      </w:r>
      <w:r>
        <w:rPr>
          <w:rStyle w:val="26"/>
          <w:rFonts w:hint="eastAsia" w:ascii="仿宋_GB2312" w:hAnsi="仿宋" w:eastAsia="仿宋_GB2312"/>
          <w:b w:val="0"/>
          <w:bCs w:val="0"/>
        </w:rPr>
        <w:t>般公共预算财政拨款支出决算表</w:t>
      </w:r>
      <w:bookmarkEnd w:id="63"/>
    </w:p>
    <w:p>
      <w:pPr>
        <w:pStyle w:val="3"/>
        <w:spacing w:before="0" w:after="0" w:line="576" w:lineRule="exact"/>
        <w:rPr>
          <w:rFonts w:ascii="仿宋_GB2312" w:hAnsi="仿宋" w:eastAsia="仿宋_GB2312"/>
          <w:color w:val="000000"/>
        </w:rPr>
      </w:pPr>
      <w:bookmarkStart w:id="64" w:name="_Toc15396625"/>
      <w:r>
        <w:rPr>
          <w:rStyle w:val="26"/>
          <w:rFonts w:hint="eastAsia" w:ascii="仿宋_GB2312" w:hAnsi="仿宋" w:eastAsia="仿宋_GB2312"/>
          <w:b w:val="0"/>
          <w:bCs w:val="0"/>
        </w:rPr>
        <w:t>七、</w:t>
      </w:r>
      <w:r>
        <w:rPr>
          <w:rFonts w:hint="eastAsia" w:ascii="仿宋_GB2312" w:hAnsi="仿宋" w:eastAsia="仿宋_GB2312"/>
          <w:b w:val="0"/>
          <w:color w:val="000000"/>
        </w:rPr>
        <w:t>一</w:t>
      </w:r>
      <w:r>
        <w:rPr>
          <w:rStyle w:val="26"/>
          <w:rFonts w:hint="eastAsia" w:ascii="仿宋_GB2312" w:hAnsi="仿宋" w:eastAsia="仿宋_GB2312"/>
          <w:b w:val="0"/>
          <w:bCs w:val="0"/>
        </w:rPr>
        <w:t>般公共预算财政拨款支出决算明细表</w:t>
      </w:r>
      <w:bookmarkEnd w:id="64"/>
    </w:p>
    <w:p>
      <w:pPr>
        <w:pStyle w:val="3"/>
        <w:spacing w:before="0" w:after="0" w:line="576" w:lineRule="exact"/>
        <w:rPr>
          <w:rFonts w:ascii="仿宋_GB2312" w:hAnsi="仿宋" w:eastAsia="仿宋_GB2312"/>
          <w:color w:val="000000"/>
        </w:rPr>
      </w:pPr>
      <w:bookmarkStart w:id="65" w:name="_Toc15396626"/>
      <w:r>
        <w:rPr>
          <w:rStyle w:val="26"/>
          <w:rFonts w:hint="eastAsia" w:ascii="仿宋_GB2312" w:hAnsi="仿宋" w:eastAsia="仿宋_GB2312"/>
          <w:b w:val="0"/>
          <w:bCs w:val="0"/>
        </w:rPr>
        <w:t>八、</w:t>
      </w:r>
      <w:r>
        <w:rPr>
          <w:rFonts w:hint="eastAsia" w:ascii="仿宋_GB2312" w:hAnsi="仿宋" w:eastAsia="仿宋_GB2312"/>
          <w:b w:val="0"/>
          <w:color w:val="000000"/>
        </w:rPr>
        <w:t>一</w:t>
      </w:r>
      <w:r>
        <w:rPr>
          <w:rStyle w:val="26"/>
          <w:rFonts w:hint="eastAsia" w:ascii="仿宋_GB2312" w:hAnsi="仿宋" w:eastAsia="仿宋_GB2312"/>
          <w:b w:val="0"/>
          <w:bCs w:val="0"/>
        </w:rPr>
        <w:t>般公共预算财政拨款基本支出决算表</w:t>
      </w:r>
      <w:bookmarkEnd w:id="65"/>
    </w:p>
    <w:p>
      <w:pPr>
        <w:pStyle w:val="3"/>
        <w:spacing w:before="0" w:after="0" w:line="576" w:lineRule="exact"/>
        <w:rPr>
          <w:rFonts w:ascii="仿宋_GB2312" w:hAnsi="仿宋" w:eastAsia="仿宋_GB2312"/>
          <w:color w:val="000000"/>
        </w:rPr>
      </w:pPr>
      <w:bookmarkStart w:id="66" w:name="_Toc15396627"/>
      <w:r>
        <w:rPr>
          <w:rStyle w:val="26"/>
          <w:rFonts w:hint="eastAsia" w:ascii="仿宋_GB2312" w:hAnsi="仿宋" w:eastAsia="仿宋_GB2312"/>
          <w:b w:val="0"/>
          <w:bCs w:val="0"/>
        </w:rPr>
        <w:t>九、</w:t>
      </w:r>
      <w:r>
        <w:rPr>
          <w:rFonts w:hint="eastAsia" w:ascii="仿宋_GB2312" w:hAnsi="仿宋" w:eastAsia="仿宋_GB2312"/>
          <w:b w:val="0"/>
          <w:color w:val="000000"/>
        </w:rPr>
        <w:t>一</w:t>
      </w:r>
      <w:r>
        <w:rPr>
          <w:rStyle w:val="26"/>
          <w:rFonts w:hint="eastAsia" w:ascii="仿宋_GB2312" w:hAnsi="仿宋" w:eastAsia="仿宋_GB2312"/>
          <w:b w:val="0"/>
          <w:bCs w:val="0"/>
        </w:rPr>
        <w:t>般公共预算财政拨款项目支出决算表</w:t>
      </w:r>
      <w:bookmarkEnd w:id="66"/>
    </w:p>
    <w:p>
      <w:pPr>
        <w:pStyle w:val="3"/>
        <w:spacing w:before="0" w:after="0" w:line="576" w:lineRule="exact"/>
        <w:rPr>
          <w:rFonts w:ascii="仿宋_GB2312" w:hAnsi="仿宋" w:eastAsia="仿宋_GB2312"/>
          <w:color w:val="000000"/>
        </w:rPr>
      </w:pPr>
      <w:bookmarkStart w:id="67" w:name="_Toc15396628"/>
      <w:r>
        <w:rPr>
          <w:rStyle w:val="26"/>
          <w:rFonts w:hint="eastAsia" w:ascii="仿宋_GB2312" w:hAnsi="仿宋" w:eastAsia="仿宋_GB2312"/>
          <w:b w:val="0"/>
          <w:bCs w:val="0"/>
        </w:rPr>
        <w:t>十、</w:t>
      </w:r>
      <w:r>
        <w:rPr>
          <w:rFonts w:hint="eastAsia" w:ascii="仿宋_GB2312" w:hAnsi="仿宋" w:eastAsia="仿宋_GB2312"/>
          <w:b w:val="0"/>
          <w:color w:val="000000"/>
        </w:rPr>
        <w:t>一</w:t>
      </w:r>
      <w:r>
        <w:rPr>
          <w:rStyle w:val="26"/>
          <w:rFonts w:hint="eastAsia" w:ascii="仿宋_GB2312" w:hAnsi="仿宋" w:eastAsia="仿宋_GB2312"/>
          <w:b w:val="0"/>
          <w:bCs w:val="0"/>
        </w:rPr>
        <w:t>般公共预算财政拨款“三公”经费支出决算表</w:t>
      </w:r>
      <w:bookmarkEnd w:id="67"/>
    </w:p>
    <w:p>
      <w:pPr>
        <w:pStyle w:val="3"/>
        <w:spacing w:before="0" w:after="0" w:line="576" w:lineRule="exact"/>
        <w:rPr>
          <w:rFonts w:ascii="仿宋_GB2312" w:hAnsi="仿宋" w:eastAsia="仿宋_GB2312"/>
          <w:color w:val="000000"/>
        </w:rPr>
      </w:pPr>
      <w:bookmarkStart w:id="68" w:name="_Toc15396629"/>
      <w:r>
        <w:rPr>
          <w:rStyle w:val="26"/>
          <w:rFonts w:hint="eastAsia" w:ascii="仿宋_GB2312" w:hAnsi="仿宋" w:eastAsia="仿宋_GB2312"/>
          <w:b w:val="0"/>
          <w:bCs w:val="0"/>
        </w:rPr>
        <w:t>十一、</w:t>
      </w:r>
      <w:r>
        <w:rPr>
          <w:rFonts w:hint="eastAsia" w:ascii="仿宋_GB2312" w:hAnsi="仿宋" w:eastAsia="仿宋_GB2312"/>
          <w:b w:val="0"/>
          <w:color w:val="000000"/>
        </w:rPr>
        <w:t>政</w:t>
      </w:r>
      <w:r>
        <w:rPr>
          <w:rStyle w:val="26"/>
          <w:rFonts w:hint="eastAsia" w:ascii="仿宋_GB2312" w:hAnsi="仿宋" w:eastAsia="仿宋_GB2312"/>
          <w:b w:val="0"/>
          <w:bCs w:val="0"/>
        </w:rPr>
        <w:t>府性基金预算财政拨款收入支出决算表</w:t>
      </w:r>
      <w:bookmarkEnd w:id="68"/>
    </w:p>
    <w:p>
      <w:pPr>
        <w:pStyle w:val="3"/>
        <w:spacing w:before="0" w:after="0" w:line="576" w:lineRule="exact"/>
        <w:rPr>
          <w:rFonts w:ascii="仿宋_GB2312" w:hAnsi="仿宋" w:eastAsia="仿宋_GB2312"/>
          <w:color w:val="000000"/>
        </w:rPr>
      </w:pPr>
      <w:bookmarkStart w:id="69" w:name="_Toc15396630"/>
      <w:r>
        <w:rPr>
          <w:rStyle w:val="26"/>
          <w:rFonts w:hint="eastAsia" w:ascii="仿宋_GB2312" w:hAnsi="仿宋" w:eastAsia="仿宋_GB2312"/>
          <w:b w:val="0"/>
          <w:bCs w:val="0"/>
        </w:rPr>
        <w:t>十二、</w:t>
      </w:r>
      <w:r>
        <w:rPr>
          <w:rFonts w:hint="eastAsia" w:ascii="仿宋_GB2312" w:hAnsi="仿宋" w:eastAsia="仿宋_GB2312"/>
          <w:b w:val="0"/>
          <w:color w:val="000000"/>
        </w:rPr>
        <w:t>政</w:t>
      </w:r>
      <w:r>
        <w:rPr>
          <w:rStyle w:val="26"/>
          <w:rFonts w:hint="eastAsia" w:ascii="仿宋_GB2312" w:hAnsi="仿宋" w:eastAsia="仿宋_GB2312"/>
          <w:b w:val="0"/>
          <w:bCs w:val="0"/>
        </w:rPr>
        <w:t>府性基金预算财政拨款“三公”经费支出决算表</w:t>
      </w:r>
      <w:bookmarkEnd w:id="69"/>
    </w:p>
    <w:p>
      <w:pPr>
        <w:pStyle w:val="3"/>
        <w:spacing w:before="0" w:after="0" w:line="576" w:lineRule="exact"/>
        <w:rPr>
          <w:rFonts w:ascii="仿宋_GB2312" w:hAnsi="仿宋" w:eastAsia="仿宋_GB2312"/>
          <w:color w:val="000000" w:themeColor="text1"/>
          <w14:textFill>
            <w14:solidFill>
              <w14:schemeClr w14:val="tx1"/>
            </w14:solidFill>
          </w14:textFill>
        </w:rPr>
      </w:pPr>
      <w:bookmarkStart w:id="70" w:name="_Toc15396631"/>
      <w:r>
        <w:rPr>
          <w:rStyle w:val="26"/>
          <w:rFonts w:hint="eastAsia" w:ascii="仿宋_GB2312" w:hAnsi="仿宋" w:eastAsia="仿宋_GB2312"/>
          <w:b w:val="0"/>
          <w:bCs w:val="0"/>
        </w:rPr>
        <w:t>十三、</w:t>
      </w:r>
      <w:r>
        <w:rPr>
          <w:rFonts w:hint="eastAsia" w:ascii="仿宋_GB2312" w:hAnsi="仿宋" w:eastAsia="仿宋_GB2312"/>
          <w:b w:val="0"/>
          <w:color w:val="000000"/>
        </w:rPr>
        <w:t>国</w:t>
      </w:r>
      <w:r>
        <w:rPr>
          <w:rStyle w:val="26"/>
          <w:rFonts w:hint="eastAsia" w:ascii="仿宋_GB2312" w:hAnsi="仿宋" w:eastAsia="仿宋_GB2312"/>
          <w:b w:val="0"/>
          <w:bCs w:val="0"/>
        </w:rPr>
        <w:t>有资本经营预算支出决算表</w:t>
      </w:r>
      <w:bookmarkEnd w:id="70"/>
    </w:p>
    <w:sectPr>
      <w:footerReference r:id="rId5" w:type="first"/>
      <w:headerReference r:id="rId3" w:type="default"/>
      <w:footerReference r:id="rId4" w:type="default"/>
      <w:pgSz w:w="11906" w:h="16838"/>
      <w:pgMar w:top="1440" w:right="1800" w:bottom="1440" w:left="1800" w:header="851" w:footer="992" w:gutter="0"/>
      <w:pgNumType w:start="3"/>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NewRomanPSMT">
    <w:altName w:val="Nimbus Roman No9 L"/>
    <w:panose1 w:val="00000000000000000000"/>
    <w:charset w:val="00"/>
    <w:family w:val="auto"/>
    <w:pitch w:val="default"/>
    <w:sig w:usb0="00000000" w:usb1="00000000" w:usb2="00000000" w:usb3="00000000" w:csb0="00000000" w:csb1="00000000"/>
  </w:font>
  <w:font w:name="楷体">
    <w:altName w:val="方正楷体_GBK"/>
    <w:panose1 w:val="02010609060101010101"/>
    <w:charset w:val="86"/>
    <w:family w:val="auto"/>
    <w:pitch w:val="default"/>
    <w:sig w:usb0="00000000" w:usb1="00000000" w:usb2="00000016"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6907789"/>
      <w:docPartObj>
        <w:docPartGallery w:val="autotext"/>
      </w:docPartObj>
    </w:sdtPr>
    <w:sdtContent>
      <w:p>
        <w:pPr>
          <w:pStyle w:val="8"/>
          <w:jc w:val="center"/>
        </w:pP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4CAD3FC9"/>
    <w:multiLevelType w:val="multilevel"/>
    <w:tmpl w:val="4CAD3FC9"/>
    <w:lvl w:ilvl="0" w:tentative="0">
      <w:start w:val="2"/>
      <w:numFmt w:val="japaneseCounting"/>
      <w:lvlText w:val="%1、"/>
      <w:lvlJc w:val="left"/>
      <w:pPr>
        <w:ind w:left="1360" w:hanging="720"/>
      </w:pPr>
      <w:rPr>
        <w:rFonts w:hint="default" w:cs="Times New Roman"/>
        <w:color w:val="00000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F1E3313"/>
    <w:multiLevelType w:val="multilevel"/>
    <w:tmpl w:val="6F1E3313"/>
    <w:lvl w:ilvl="0" w:tentative="0">
      <w:start w:val="3"/>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051B"/>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4A27"/>
    <w:rsid w:val="00196687"/>
    <w:rsid w:val="001C0962"/>
    <w:rsid w:val="001D7531"/>
    <w:rsid w:val="001E737D"/>
    <w:rsid w:val="001F0592"/>
    <w:rsid w:val="001F7506"/>
    <w:rsid w:val="002006CD"/>
    <w:rsid w:val="00202B36"/>
    <w:rsid w:val="00204B7A"/>
    <w:rsid w:val="00204CDE"/>
    <w:rsid w:val="00207516"/>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2DBA"/>
    <w:rsid w:val="00784D24"/>
    <w:rsid w:val="00785FBA"/>
    <w:rsid w:val="00786E4A"/>
    <w:rsid w:val="007875EB"/>
    <w:rsid w:val="007930AB"/>
    <w:rsid w:val="0079426B"/>
    <w:rsid w:val="007B46E2"/>
    <w:rsid w:val="007D1682"/>
    <w:rsid w:val="007D312A"/>
    <w:rsid w:val="007D3F19"/>
    <w:rsid w:val="007E23B0"/>
    <w:rsid w:val="007F14CE"/>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02EB"/>
    <w:rsid w:val="00AC3C6A"/>
    <w:rsid w:val="00AD0F83"/>
    <w:rsid w:val="00AD5620"/>
    <w:rsid w:val="00AD656B"/>
    <w:rsid w:val="00AD7C1B"/>
    <w:rsid w:val="00AE16BA"/>
    <w:rsid w:val="00AE1EBE"/>
    <w:rsid w:val="00AF37A0"/>
    <w:rsid w:val="00AF7320"/>
    <w:rsid w:val="00B03C9D"/>
    <w:rsid w:val="00B051F5"/>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164C"/>
    <w:rsid w:val="00C02078"/>
    <w:rsid w:val="00C03E31"/>
    <w:rsid w:val="00C30E69"/>
    <w:rsid w:val="00C33E72"/>
    <w:rsid w:val="00C354B2"/>
    <w:rsid w:val="00C35554"/>
    <w:rsid w:val="00C42709"/>
    <w:rsid w:val="00C533CC"/>
    <w:rsid w:val="00C5751C"/>
    <w:rsid w:val="00C61BFC"/>
    <w:rsid w:val="00C61D86"/>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4D8D"/>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A1B85"/>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5D1EDE"/>
    <w:rsid w:val="073D40F2"/>
    <w:rsid w:val="07A8656E"/>
    <w:rsid w:val="07FF1E18"/>
    <w:rsid w:val="0806021D"/>
    <w:rsid w:val="0895305B"/>
    <w:rsid w:val="08A00F85"/>
    <w:rsid w:val="08E0285A"/>
    <w:rsid w:val="09B27599"/>
    <w:rsid w:val="0DE9367A"/>
    <w:rsid w:val="0E3425E2"/>
    <w:rsid w:val="10C055FF"/>
    <w:rsid w:val="13F82147"/>
    <w:rsid w:val="14213B17"/>
    <w:rsid w:val="16BB723D"/>
    <w:rsid w:val="19C471DF"/>
    <w:rsid w:val="1E037545"/>
    <w:rsid w:val="20106C1A"/>
    <w:rsid w:val="240371BF"/>
    <w:rsid w:val="29FD04D3"/>
    <w:rsid w:val="2A314CD3"/>
    <w:rsid w:val="2AA448B8"/>
    <w:rsid w:val="2C264154"/>
    <w:rsid w:val="2C9F66B8"/>
    <w:rsid w:val="2EAF77D4"/>
    <w:rsid w:val="2F790589"/>
    <w:rsid w:val="302F6608"/>
    <w:rsid w:val="31472D3E"/>
    <w:rsid w:val="319F7F4E"/>
    <w:rsid w:val="31D82664"/>
    <w:rsid w:val="31EE1699"/>
    <w:rsid w:val="36E47FC8"/>
    <w:rsid w:val="39BC0884"/>
    <w:rsid w:val="3A161155"/>
    <w:rsid w:val="3A4B0CAD"/>
    <w:rsid w:val="3DAF6AA3"/>
    <w:rsid w:val="40627967"/>
    <w:rsid w:val="42FC6A87"/>
    <w:rsid w:val="45970BB3"/>
    <w:rsid w:val="45E251D3"/>
    <w:rsid w:val="4AA62970"/>
    <w:rsid w:val="4AC94E7C"/>
    <w:rsid w:val="4CE526C6"/>
    <w:rsid w:val="4E7547B5"/>
    <w:rsid w:val="4ECE2238"/>
    <w:rsid w:val="4F214427"/>
    <w:rsid w:val="4F45222F"/>
    <w:rsid w:val="4FB84DA9"/>
    <w:rsid w:val="5074689A"/>
    <w:rsid w:val="507A7447"/>
    <w:rsid w:val="547C6721"/>
    <w:rsid w:val="56431F0C"/>
    <w:rsid w:val="574E179D"/>
    <w:rsid w:val="5ADC3F87"/>
    <w:rsid w:val="62C103D3"/>
    <w:rsid w:val="67BB2BB4"/>
    <w:rsid w:val="69177703"/>
    <w:rsid w:val="6CF84DA6"/>
    <w:rsid w:val="6DEF3DC0"/>
    <w:rsid w:val="6FA4548E"/>
    <w:rsid w:val="70030F3B"/>
    <w:rsid w:val="716D2944"/>
    <w:rsid w:val="71D54527"/>
    <w:rsid w:val="72734D90"/>
    <w:rsid w:val="75E94AC8"/>
    <w:rsid w:val="7602332E"/>
    <w:rsid w:val="7CDD3A28"/>
    <w:rsid w:val="7F276D54"/>
    <w:rsid w:val="7FA84EEC"/>
    <w:rsid w:val="EF3FD7A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4"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4"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[工作簿4]Sheet1!$H$3</c:f>
              <c:strCache>
                <c:ptCount val="1"/>
                <c:pt idx="0">
                  <c:v>2018 年收、支总计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[工作簿4]Sheet1!$I$3:$J$3</c:f>
              <c:numCache>
                <c:formatCode>General</c:formatCode>
                <c:ptCount val="2"/>
                <c:pt idx="1">
                  <c:v>3082.62</c:v>
                </c:pt>
              </c:numCache>
            </c:numRef>
          </c:val>
        </c:ser>
        <c:ser>
          <c:idx val="1"/>
          <c:order val="1"/>
          <c:tx>
            <c:strRef>
              <c:f>[工作簿4]Sheet1!$H$4</c:f>
              <c:strCache>
                <c:ptCount val="1"/>
                <c:pt idx="0">
                  <c:v>2019 年收、支总计</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[工作簿4]Sheet1!$I$4:$J$4</c:f>
              <c:numCache>
                <c:formatCode>General</c:formatCode>
                <c:ptCount val="2"/>
                <c:pt idx="1">
                  <c:v>4239.98</c:v>
                </c:pt>
              </c:numCache>
            </c:numRef>
          </c:val>
        </c:ser>
        <c:dLbls>
          <c:showLegendKey val="0"/>
          <c:showVal val="1"/>
          <c:showCatName val="0"/>
          <c:showSerName val="0"/>
          <c:showPercent val="0"/>
          <c:showBubbleSize val="0"/>
        </c:dLbls>
        <c:gapWidth val="219"/>
        <c:overlap val="-27"/>
        <c:axId val="904418193"/>
        <c:axId val="324649470"/>
      </c:barChart>
      <c:catAx>
        <c:axId val="90441819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4649470"/>
        <c:crosses val="autoZero"/>
        <c:auto val="1"/>
        <c:lblAlgn val="ctr"/>
        <c:lblOffset val="100"/>
        <c:noMultiLvlLbl val="0"/>
      </c:catAx>
      <c:valAx>
        <c:axId val="32464947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441819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a:noFill/>
              </a:ln>
              <a:effectLst/>
            </c:spPr>
          </c:dPt>
          <c:dPt>
            <c:idx val="1"/>
            <c:bubble3D val="0"/>
            <c:spPr>
              <a:solidFill>
                <a:schemeClr val="accent2"/>
              </a:solidFill>
              <a:ln>
                <a:noFill/>
              </a:ln>
              <a:effectLst/>
            </c:spPr>
          </c:dPt>
          <c:dLbls>
            <c:dLbl>
              <c:idx val="0"/>
              <c:layout/>
              <c:tx>
                <c:rich>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r>
                      <a:t>一般公共预算财政拨款收入, 3695.12, 9</a:t>
                    </a:r>
                    <a:r>
                      <a:rPr lang="en-US" altLang="zh-CN"/>
                      <a:t>6.7</a:t>
                    </a:r>
                    <a:r>
                      <a:t>%</a:t>
                    </a:r>
                  </a:p>
                </c:rich>
              </c:tx>
              <c:dLblPos val="inEnd"/>
              <c:showLegendKey val="0"/>
              <c:showVal val="1"/>
              <c:showCatName val="1"/>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r>
                      <a:t>政府性基金预算财政拨款收入, 125.98, 3</a:t>
                    </a:r>
                    <a:r>
                      <a:rPr lang="en-US" altLang="zh-CN"/>
                      <a:t>.3</a:t>
                    </a:r>
                    <a:r>
                      <a:t>%</a:t>
                    </a:r>
                  </a:p>
                </c:rich>
              </c:tx>
              <c:dLblPos val="inEnd"/>
              <c:showLegendKey val="0"/>
              <c:showVal val="1"/>
              <c:showCatName val="1"/>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[工作簿1]Sheet1!$A$1:$B$1</c:f>
              <c:strCache>
                <c:ptCount val="2"/>
                <c:pt idx="0">
                  <c:v>一般公共预算财政拨款收入</c:v>
                </c:pt>
                <c:pt idx="1">
                  <c:v>政府性基金预算财政拨款收入</c:v>
                </c:pt>
              </c:strCache>
            </c:strRef>
          </c:cat>
          <c:val>
            <c:numRef>
              <c:f>[工作簿1]Sheet1!$A$2:$B$2</c:f>
              <c:numCache>
                <c:formatCode>General</c:formatCode>
                <c:ptCount val="2"/>
                <c:pt idx="0">
                  <c:v>3695.12</c:v>
                </c:pt>
                <c:pt idx="1">
                  <c:v>125.98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0"/>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explosion val="25"/>
            <c:spPr>
              <a:solidFill>
                <a:schemeClr val="accent2"/>
              </a:solidFill>
              <a:ln>
                <a:noFill/>
              </a:ln>
              <a:effectLst>
                <a:outerShdw blurRad="2540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t>基本支出, 504.45, 1</a:t>
                    </a:r>
                    <a:r>
                      <a:rPr lang="en-US" altLang="zh-CN"/>
                      <a:t>4.61</a:t>
                    </a:r>
                    <a:r>
                      <a:t>%</a:t>
                    </a:r>
                  </a:p>
                </c:rich>
              </c:tx>
              <c:dLblPos val="ctr"/>
              <c:showLegendKey val="0"/>
              <c:showVal val="1"/>
              <c:showCatName val="1"/>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t>项目支出, 2948.47, 85</a:t>
                    </a:r>
                    <a:r>
                      <a:rPr lang="en-US" altLang="zh-CN"/>
                      <a:t>.39</a:t>
                    </a:r>
                    <a:r>
                      <a:t>%</a:t>
                    </a:r>
                  </a:p>
                </c:rich>
              </c:tx>
              <c:dLblPos val="ctr"/>
              <c:showLegendKey val="0"/>
              <c:showVal val="1"/>
              <c:showCatName val="1"/>
              <c:showSerName val="0"/>
              <c:showPercent val="1"/>
              <c:showBubbleSize val="0"/>
              <c:extLst>
                <c:ext xmlns:c15="http://schemas.microsoft.com/office/drawing/2012/chart" uri="{CE6537A1-D6FC-4f65-9D91-7224C49458BB}"/>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[工作簿1]Sheet1!$A$1:$B$1</c:f>
              <c:strCache>
                <c:ptCount val="2"/>
                <c:pt idx="0">
                  <c:v>基本支出</c:v>
                </c:pt>
                <c:pt idx="1">
                  <c:v>项目支出</c:v>
                </c:pt>
              </c:strCache>
            </c:strRef>
          </c:cat>
          <c:val>
            <c:numRef>
              <c:f>[工作簿1]Sheet1!$A$2:$B$2</c:f>
              <c:numCache>
                <c:formatCode>General</c:formatCode>
                <c:ptCount val="2"/>
                <c:pt idx="0">
                  <c:v>504.45</c:v>
                </c:pt>
                <c:pt idx="1">
                  <c:v>2948.47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0"/>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[工作簿4]Sheet1!$H$3</c:f>
              <c:strCache>
                <c:ptCount val="1"/>
                <c:pt idx="0">
                  <c:v>2018 年收、支总计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[工作簿4]Sheet1!$I$3:$J$3</c:f>
              <c:numCache>
                <c:formatCode>General</c:formatCode>
                <c:ptCount val="2"/>
                <c:pt idx="1">
                  <c:v>3082.62</c:v>
                </c:pt>
              </c:numCache>
            </c:numRef>
          </c:val>
        </c:ser>
        <c:ser>
          <c:idx val="1"/>
          <c:order val="1"/>
          <c:tx>
            <c:strRef>
              <c:f>[工作簿4]Sheet1!$H$4</c:f>
              <c:strCache>
                <c:ptCount val="1"/>
                <c:pt idx="0">
                  <c:v>2019 年收、支总计</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[工作簿4]Sheet1!$I$4:$J$4</c:f>
              <c:numCache>
                <c:formatCode>General</c:formatCode>
                <c:ptCount val="2"/>
                <c:pt idx="1">
                  <c:v>4239.98</c:v>
                </c:pt>
              </c:numCache>
            </c:numRef>
          </c:val>
        </c:ser>
        <c:dLbls>
          <c:showLegendKey val="0"/>
          <c:showVal val="1"/>
          <c:showCatName val="0"/>
          <c:showSerName val="0"/>
          <c:showPercent val="0"/>
          <c:showBubbleSize val="0"/>
        </c:dLbls>
        <c:gapWidth val="219"/>
        <c:overlap val="-27"/>
        <c:axId val="904418193"/>
        <c:axId val="324649470"/>
      </c:barChart>
      <c:catAx>
        <c:axId val="90441819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4649470"/>
        <c:crosses val="autoZero"/>
        <c:auto val="1"/>
        <c:lblAlgn val="ctr"/>
        <c:lblOffset val="100"/>
        <c:noMultiLvlLbl val="0"/>
      </c:catAx>
      <c:valAx>
        <c:axId val="32464947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441819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w="19050">
              <a:solidFill>
                <a:schemeClr val="lt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[工作簿1]Sheet1!$A$1:$B$1</c:f>
              <c:strCache>
                <c:ptCount val="2"/>
                <c:pt idx="0">
                  <c:v>2018年</c:v>
                </c:pt>
                <c:pt idx="1">
                  <c:v>2019年</c:v>
                </c:pt>
              </c:strCache>
            </c:strRef>
          </c:cat>
          <c:val>
            <c:numRef>
              <c:f>[工作簿1]Sheet1!$A$2:$B$2</c:f>
              <c:numCache>
                <c:formatCode>General</c:formatCode>
                <c:ptCount val="2"/>
                <c:pt idx="0">
                  <c:v>2598.41</c:v>
                </c:pt>
                <c:pt idx="1">
                  <c:v>3442.78</c:v>
                </c:pt>
              </c:numCache>
            </c:numRef>
          </c:val>
        </c:ser>
        <c:dLbls>
          <c:showLegendKey val="0"/>
          <c:showVal val="1"/>
          <c:showCatName val="1"/>
          <c:showSerName val="0"/>
          <c:showPercent val="0"/>
          <c:showBubbleSize val="0"/>
        </c:dLbls>
        <c:gapWidth val="150"/>
        <c:axId val="117310976"/>
        <c:axId val="117547776"/>
      </c:barChart>
      <c:catAx>
        <c:axId val="117310976"/>
        <c:scaling>
          <c:orientation val="minMax"/>
        </c:scaling>
        <c:delete val="0"/>
        <c:axPos val="b"/>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7547776"/>
        <c:crosses val="autoZero"/>
        <c:auto val="1"/>
        <c:lblAlgn val="ctr"/>
        <c:lblOffset val="100"/>
        <c:noMultiLvlLbl val="0"/>
      </c:catAx>
      <c:valAx>
        <c:axId val="1175477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7310976"/>
        <c:crosses val="autoZero"/>
        <c:crossBetween val="between"/>
      </c:valAx>
      <c:spPr>
        <a:noFill/>
        <a:ln>
          <a:noFill/>
        </a:ln>
        <a:effectLst/>
      </c:spPr>
    </c:plotArea>
    <c:plotVisOnly val="0"/>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社会保障和就业支出, 3047.05, 8</a:t>
                    </a:r>
                    <a:r>
                      <a:rPr lang="en-US" altLang="zh-CN"/>
                      <a:t>8.51</a:t>
                    </a:r>
                    <a:r>
                      <a:t>%</a:t>
                    </a:r>
                  </a:p>
                </c:rich>
              </c:tx>
              <c:dLblPos val="inEnd"/>
              <c:showLegendKey val="0"/>
              <c:showVal val="1"/>
              <c:showCatName val="1"/>
              <c:showSerName val="0"/>
              <c:showPercent val="1"/>
              <c:showBubbleSize val="0"/>
              <c:extLst>
                <c:ext xmlns:c15="http://schemas.microsoft.com/office/drawing/2012/chart" uri="{CE6537A1-D6FC-4f65-9D91-7224C49458BB}"/>
              </c:extLst>
            </c:dLbl>
            <c:dLbl>
              <c:idx val="1"/>
              <c:layout>
                <c:manualLayout>
                  <c:x val="-0.0635288848607808"/>
                  <c:y val="0.114408661259623"/>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卫生健康支出, 34.01, </a:t>
                    </a:r>
                    <a:r>
                      <a:rPr lang="en-US" altLang="zh-CN"/>
                      <a:t>0.99</a:t>
                    </a:r>
                    <a:r>
                      <a:t>%</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100596715348161"/>
                  <c:y val="0.0353911215795896"/>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农林水支出, 0.6, 0</a:t>
                    </a:r>
                    <a:r>
                      <a:rPr lang="en-US" altLang="zh-CN"/>
                      <a:t>.01</a:t>
                    </a:r>
                    <a:r>
                      <a:t>%</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059098566504549"/>
                  <c:y val="-0.113002383309761"/>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住房保障支出, 40.32, 1</a:t>
                    </a:r>
                    <a:r>
                      <a:rPr lang="en-US" altLang="zh-CN"/>
                      <a:t>.17</a:t>
                    </a:r>
                    <a:r>
                      <a:t>%</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4"/>
              <c:layout>
                <c:manualLayout>
                  <c:x val="0.00229601564847583"/>
                  <c:y val="-0.00305904967351891"/>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灾害防治及应急管理支出, 320.8, 9</a:t>
                    </a:r>
                    <a:r>
                      <a:rPr lang="en-US" altLang="zh-CN"/>
                      <a:t>.32</a:t>
                    </a:r>
                    <a:r>
                      <a:t>%</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[工作簿1]Sheet1!$A$1:$E$1</c:f>
              <c:strCache>
                <c:ptCount val="5"/>
                <c:pt idx="0">
                  <c:v>社会保障和就业支出</c:v>
                </c:pt>
                <c:pt idx="1">
                  <c:v>卫生健康支出</c:v>
                </c:pt>
                <c:pt idx="2">
                  <c:v>农林水支出</c:v>
                </c:pt>
                <c:pt idx="3">
                  <c:v>住房保障支出</c:v>
                </c:pt>
                <c:pt idx="4">
                  <c:v>灾害防治及应急管理支出</c:v>
                </c:pt>
              </c:strCache>
            </c:strRef>
          </c:cat>
          <c:val>
            <c:numRef>
              <c:f>[工作簿1]Sheet1!$A$2:$E$2</c:f>
              <c:numCache>
                <c:formatCode>General</c:formatCode>
                <c:ptCount val="5"/>
                <c:pt idx="0">
                  <c:v>3047.05</c:v>
                </c:pt>
                <c:pt idx="1">
                  <c:v>34.01</c:v>
                </c:pt>
                <c:pt idx="2">
                  <c:v>0.600000000000001</c:v>
                </c:pt>
                <c:pt idx="3">
                  <c:v>40.32</c:v>
                </c:pt>
                <c:pt idx="4">
                  <c:v>320.8</c:v>
                </c:pt>
              </c:numCache>
            </c:numRef>
          </c:val>
        </c:ser>
        <c:dLbls>
          <c:showLegendKey val="0"/>
          <c:showVal val="1"/>
          <c:showCatName val="1"/>
          <c:showSerName val="0"/>
          <c:showPercent val="1"/>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公务接待费, 0.04, 1</a:t>
                    </a:r>
                    <a:r>
                      <a:rPr lang="en-US" altLang="zh-CN"/>
                      <a:t>.05</a:t>
                    </a:r>
                    <a:r>
                      <a:t>%</a:t>
                    </a:r>
                  </a:p>
                </c:rich>
              </c:tx>
              <c:dLblPos val="inEnd"/>
              <c:showLegendKey val="0"/>
              <c:showVal val="1"/>
              <c:showCatName val="1"/>
              <c:showSerName val="0"/>
              <c:showPercent val="1"/>
              <c:showBubbleSize val="0"/>
              <c:extLst>
                <c:ext xmlns:c15="http://schemas.microsoft.com/office/drawing/2012/chart" uri="{CE6537A1-D6FC-4f65-9D91-7224C49458BB}"/>
              </c:extLst>
            </c:dLbl>
            <c:dLbl>
              <c:idx val="1"/>
              <c:layout>
                <c:manualLayout>
                  <c:x val="-0.0635288848607808"/>
                  <c:y val="0.114408661259623"/>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公务用车运行与维护费, 3.78, 9</a:t>
                    </a:r>
                    <a:r>
                      <a:rPr lang="en-US" altLang="zh-CN"/>
                      <a:t>8.95</a:t>
                    </a:r>
                    <a:r>
                      <a:t>%</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100596715348161"/>
                  <c:y val="0.0353911215795896"/>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059098566504549"/>
                  <c:y val="-0.113002383309761"/>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4"/>
              <c:layout>
                <c:manualLayout>
                  <c:x val="0.00229601564847583"/>
                  <c:y val="-0.00305904967351891"/>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[工作簿1]Sheet1!$A$1:$E$1</c:f>
              <c:strCache>
                <c:ptCount val="5"/>
                <c:pt idx="0">
                  <c:v>公务接待费</c:v>
                </c:pt>
                <c:pt idx="1">
                  <c:v>公务用车运行与维护费</c:v>
                </c:pt>
              </c:strCache>
            </c:strRef>
          </c:cat>
          <c:val>
            <c:numRef>
              <c:f>[工作簿1]Sheet1!$A$2:$E$2</c:f>
              <c:numCache>
                <c:formatCode>General</c:formatCode>
                <c:ptCount val="5"/>
                <c:pt idx="0">
                  <c:v>0.04</c:v>
                </c:pt>
                <c:pt idx="1">
                  <c:v>3.78</c:v>
                </c:pt>
              </c:numCache>
            </c:numRef>
          </c:val>
        </c:ser>
        <c:dLbls>
          <c:showLegendKey val="0"/>
          <c:showVal val="1"/>
          <c:showCatName val="1"/>
          <c:showSerName val="0"/>
          <c:showPercent val="1"/>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43</Pages>
  <Words>2565</Words>
  <Characters>14625</Characters>
  <Lines>121</Lines>
  <Paragraphs>34</Paragraphs>
  <TotalTime>22</TotalTime>
  <ScaleCrop>false</ScaleCrop>
  <LinksUpToDate>false</LinksUpToDate>
  <CharactersWithSpaces>17156</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2020-08-04T09:49:00Z</dcterms:created>
  <dc:creator>曹颖</dc:creator>
  <cp:lastModifiedBy>user</cp:lastModifiedBy>
  <cp:lastPrinted>2020-09-24T11:12:00Z</cp:lastPrinted>
  <dcterms:modified xsi:type="dcterms:W3CDTF">2026-04-21T17:05:34Z</dcterms:modified>
  <dc:title>四川省***</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2A25D621117F47A6A0C44D42C11F0E71</vt:lpwstr>
  </property>
</Properties>
</file>