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bookmarkStart w:id="1" w:name="_Toc15377196"/>
      <w:bookmarkStart w:id="2" w:name="_Toc15396599"/>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bidi w:val="0"/>
        <w:jc w:val="center"/>
        <w:rPr>
          <w:rFonts w:hint="eastAsia" w:asciiTheme="minorEastAsia" w:hAnsiTheme="minorEastAsia" w:eastAsiaTheme="minorEastAsia" w:cstheme="minorEastAsia"/>
          <w:sz w:val="44"/>
          <w:szCs w:val="44"/>
          <w:lang w:val="en-US" w:eastAsia="zh-CN"/>
        </w:rPr>
      </w:pPr>
      <w:bookmarkStart w:id="3" w:name="_Toc15377425"/>
      <w:bookmarkStart w:id="4" w:name="_Toc15396475"/>
      <w:bookmarkStart w:id="5" w:name="_Toc15377193"/>
      <w:bookmarkStart w:id="6" w:name="_Toc15378441"/>
      <w:bookmarkStart w:id="7" w:name="_Toc15396597"/>
      <w:r>
        <w:rPr>
          <w:rFonts w:hint="eastAsia" w:asciiTheme="minorEastAsia" w:hAnsiTheme="minorEastAsia" w:eastAsiaTheme="minorEastAsia" w:cstheme="minorEastAsia"/>
          <w:sz w:val="44"/>
          <w:szCs w:val="44"/>
          <w:lang w:val="en-US" w:eastAsia="zh-CN"/>
        </w:rPr>
        <w:t>2021年度</w:t>
      </w:r>
      <w:bookmarkEnd w:id="3"/>
      <w:bookmarkEnd w:id="4"/>
      <w:bookmarkEnd w:id="5"/>
      <w:bookmarkEnd w:id="6"/>
      <w:bookmarkEnd w:id="7"/>
    </w:p>
    <w:p>
      <w:pPr>
        <w:bidi w:val="0"/>
        <w:jc w:val="center"/>
        <w:rPr>
          <w:rFonts w:hint="eastAsia" w:asciiTheme="minorEastAsia" w:hAnsiTheme="minorEastAsia" w:eastAsiaTheme="minorEastAsia" w:cstheme="minorEastAsia"/>
          <w:sz w:val="44"/>
          <w:szCs w:val="44"/>
          <w:lang w:val="en-US" w:eastAsia="zh-CN"/>
        </w:rPr>
      </w:pPr>
      <w:bookmarkStart w:id="8" w:name="_Toc15377194"/>
      <w:bookmarkStart w:id="9" w:name="_Toc15378442"/>
      <w:bookmarkStart w:id="10" w:name="_Toc15396476"/>
      <w:bookmarkStart w:id="11" w:name="_Toc15377426"/>
      <w:bookmarkStart w:id="12" w:name="_Toc15396598"/>
      <w:r>
        <w:rPr>
          <w:rFonts w:hint="eastAsia" w:asciiTheme="minorEastAsia" w:hAnsiTheme="minorEastAsia" w:eastAsiaTheme="minorEastAsia" w:cstheme="minorEastAsia"/>
          <w:sz w:val="44"/>
          <w:szCs w:val="44"/>
          <w:lang w:val="en-US" w:eastAsia="zh-CN"/>
        </w:rPr>
        <w:t>四川省阿坝州</w:t>
      </w:r>
      <w:bookmarkEnd w:id="0"/>
      <w:bookmarkStart w:id="13" w:name="_Toc15306268"/>
      <w:r>
        <w:rPr>
          <w:rFonts w:hint="eastAsia" w:asciiTheme="minorEastAsia" w:hAnsiTheme="minorEastAsia" w:eastAsiaTheme="minorEastAsia" w:cstheme="minorEastAsia"/>
          <w:sz w:val="44"/>
          <w:szCs w:val="44"/>
          <w:lang w:val="en-US" w:eastAsia="zh-CN"/>
        </w:rPr>
        <w:t>茂县民政局(行政)部门决算</w:t>
      </w:r>
      <w:bookmarkEnd w:id="8"/>
      <w:bookmarkEnd w:id="9"/>
      <w:bookmarkEnd w:id="10"/>
      <w:bookmarkEnd w:id="11"/>
      <w:bookmarkEnd w:id="12"/>
      <w:bookmarkEnd w:id="13"/>
    </w:p>
    <w:p>
      <w:pPr>
        <w:pStyle w:val="4"/>
        <w:bidi w:val="0"/>
        <w:jc w:val="center"/>
        <w:rPr>
          <w:rFonts w:hint="eastAsia" w:ascii="方正小标宋简体" w:hAnsi="宋体" w:eastAsia="方正小标宋简体" w:cs="Times New Roman"/>
          <w:b w:val="0"/>
          <w:bCs w:val="0"/>
          <w:kern w:val="2"/>
          <w:sz w:val="44"/>
          <w:szCs w:val="44"/>
          <w:lang w:val="en-US" w:eastAsia="zh-CN" w:bidi="ar-SA"/>
        </w:rPr>
      </w:pPr>
      <w:bookmarkStart w:id="226" w:name="_GoBack"/>
      <w:bookmarkEnd w:id="226"/>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hint="eastAsia" w:ascii="仿宋_GB2312" w:hAnsi="Calibri" w:eastAsia="仿宋_GB2312" w:cs="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2"/>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2</w:t>
      </w:r>
      <w:r>
        <w:rPr>
          <w:rFonts w:hint="eastAsia" w:hAnsiTheme="minorHAnsi"/>
          <w:b w:val="0"/>
          <w:bCs w:val="0"/>
          <w:sz w:val="24"/>
          <w:szCs w:val="24"/>
        </w:rPr>
        <w:t>年</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27</w:t>
      </w:r>
      <w:r>
        <w:rPr>
          <w:rFonts w:hint="eastAsia" w:hAnsiTheme="minorHAnsi"/>
          <w:b w:val="0"/>
          <w:bCs w:val="0"/>
          <w:sz w:val="24"/>
          <w:szCs w:val="24"/>
        </w:rPr>
        <w:t>日</w:t>
      </w:r>
    </w:p>
    <w:p/>
    <w:p>
      <w:pPr>
        <w:pStyle w:val="12"/>
        <w:adjustRightInd w:val="0"/>
        <w:snapToGrid w:val="0"/>
        <w:spacing w:line="440" w:lineRule="exact"/>
        <w:jc w:val="left"/>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_Toc24639 </w:instrText>
      </w:r>
      <w:r>
        <w:rPr>
          <w:rFonts w:hint="eastAsia" w:ascii="仿宋_GB2312" w:hAnsi="仿宋_GB2312" w:eastAsia="仿宋_GB2312" w:cs="仿宋_GB2312"/>
          <w:szCs w:val="32"/>
        </w:rPr>
        <w:fldChar w:fldCharType="separate"/>
      </w:r>
      <w:r>
        <w:rPr>
          <w:rFonts w:hint="eastAsia"/>
          <w:lang w:val="en-US" w:eastAsia="zh-CN"/>
        </w:rPr>
        <w:t>第一部分 部门概况</w:t>
      </w:r>
      <w:r>
        <w:tab/>
      </w:r>
      <w:r>
        <w:fldChar w:fldCharType="begin"/>
      </w:r>
      <w:r>
        <w:instrText xml:space="preserve"> PAGEREF _Toc24639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_Toc16764 </w:instrText>
      </w:r>
      <w:r>
        <w:rPr>
          <w:rFonts w:hint="eastAsia" w:ascii="仿宋_GB2312" w:hAnsi="仿宋_GB2312" w:eastAsia="仿宋_GB2312" w:cs="仿宋_GB2312"/>
          <w:szCs w:val="32"/>
        </w:rPr>
        <w:fldChar w:fldCharType="separate"/>
      </w:r>
      <w:r>
        <w:rPr>
          <w:rFonts w:hint="eastAsia" w:ascii="黑体" w:hAnsi="黑体" w:eastAsia="黑体" w:cs="黑体"/>
          <w:bCs w:val="0"/>
        </w:rPr>
        <w:t xml:space="preserve">一、 </w:t>
      </w:r>
      <w:r>
        <w:rPr>
          <w:rFonts w:hint="eastAsia" w:ascii="黑体" w:hAnsi="黑体" w:eastAsia="黑体" w:cs="黑体"/>
        </w:rPr>
        <w:t>基</w:t>
      </w:r>
      <w:r>
        <w:rPr>
          <w:rFonts w:hint="eastAsia" w:ascii="黑体" w:hAnsi="黑体" w:eastAsia="黑体" w:cs="黑体"/>
          <w:bCs w:val="0"/>
        </w:rPr>
        <w:t>本职能及主要工作</w:t>
      </w:r>
      <w:r>
        <w:tab/>
      </w:r>
      <w:r>
        <w:fldChar w:fldCharType="begin"/>
      </w:r>
      <w:r>
        <w:instrText xml:space="preserve"> PAGEREF _Toc16764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_Toc26450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(一)基本职能</w:t>
      </w:r>
      <w:r>
        <w:tab/>
      </w:r>
      <w:r>
        <w:fldChar w:fldCharType="begin"/>
      </w:r>
      <w:r>
        <w:instrText xml:space="preserve"> PAGEREF _Toc26450 </w:instrText>
      </w:r>
      <w:r>
        <w:fldChar w:fldCharType="separate"/>
      </w:r>
      <w:r>
        <w:t>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_Toc30108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（二）2021年重点工作完成情况</w:t>
      </w:r>
      <w:r>
        <w:tab/>
      </w:r>
      <w:r>
        <w:fldChar w:fldCharType="begin"/>
      </w:r>
      <w:r>
        <w:instrText xml:space="preserve"> PAGEREF _Toc30108 </w:instrText>
      </w:r>
      <w:r>
        <w:fldChar w:fldCharType="separate"/>
      </w:r>
      <w:r>
        <w:t>6</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_Toc30222 </w:instrText>
      </w:r>
      <w:r>
        <w:rPr>
          <w:rFonts w:hint="eastAsia" w:ascii="仿宋_GB2312" w:hAnsi="仿宋_GB2312" w:eastAsia="仿宋_GB2312" w:cs="仿宋_GB2312"/>
          <w:szCs w:val="32"/>
        </w:rPr>
        <w:fldChar w:fldCharType="separate"/>
      </w:r>
      <w:r>
        <w:rPr>
          <w:rFonts w:hint="eastAsia" w:ascii="黑体" w:hAnsi="黑体" w:eastAsia="黑体" w:cs="黑体"/>
        </w:rPr>
        <w:t>二、 机构设置</w:t>
      </w:r>
      <w:r>
        <w:tab/>
      </w:r>
      <w:r>
        <w:fldChar w:fldCharType="begin"/>
      </w:r>
      <w:r>
        <w:instrText xml:space="preserve"> PAGEREF _Toc30222 </w:instrText>
      </w:r>
      <w:r>
        <w:fldChar w:fldCharType="separate"/>
      </w:r>
      <w:r>
        <w:t>7</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_Toc12986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第二部分 2021年度部门决算情况说明</w:t>
      </w:r>
      <w:r>
        <w:tab/>
      </w:r>
      <w:r>
        <w:fldChar w:fldCharType="begin"/>
      </w:r>
      <w:r>
        <w:instrText xml:space="preserve"> PAGEREF _Toc12986 </w:instrText>
      </w:r>
      <w:r>
        <w:fldChar w:fldCharType="separate"/>
      </w:r>
      <w:r>
        <w:t>8</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_Toc17119 </w:instrText>
      </w:r>
      <w:r>
        <w:rPr>
          <w:rFonts w:hint="eastAsia" w:ascii="仿宋_GB2312" w:hAnsi="仿宋_GB2312" w:eastAsia="仿宋_GB2312" w:cs="仿宋_GB2312"/>
          <w:szCs w:val="32"/>
        </w:rPr>
        <w:fldChar w:fldCharType="separate"/>
      </w:r>
      <w:r>
        <w:rPr>
          <w:rFonts w:hint="eastAsia" w:ascii="黑体" w:hAnsi="黑体" w:eastAsia="黑体"/>
          <w:lang w:eastAsia="zh-CN"/>
        </w:rPr>
        <w:t>一、收入支出决算总体情况说明</w:t>
      </w:r>
      <w:r>
        <w:tab/>
      </w:r>
      <w:r>
        <w:fldChar w:fldCharType="begin"/>
      </w:r>
      <w:r>
        <w:instrText xml:space="preserve"> PAGEREF _Toc17119 </w:instrText>
      </w:r>
      <w:r>
        <w:fldChar w:fldCharType="separate"/>
      </w:r>
      <w:r>
        <w:t>8</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_Toc32611 </w:instrText>
      </w:r>
      <w:r>
        <w:rPr>
          <w:rFonts w:hint="eastAsia" w:ascii="仿宋_GB2312" w:hAnsi="仿宋_GB2312" w:eastAsia="仿宋_GB2312" w:cs="仿宋_GB2312"/>
          <w:szCs w:val="32"/>
        </w:rPr>
        <w:fldChar w:fldCharType="separate"/>
      </w:r>
      <w:r>
        <w:rPr>
          <w:rFonts w:hint="eastAsia" w:ascii="黑体" w:hAnsi="黑体" w:eastAsia="黑体"/>
          <w:lang w:eastAsia="zh-CN"/>
        </w:rPr>
        <w:t>二、</w:t>
      </w:r>
      <w:r>
        <w:rPr>
          <w:rFonts w:hint="eastAsia" w:ascii="黑体" w:hAnsi="黑体" w:eastAsia="黑体"/>
        </w:rPr>
        <w:t>收入决算情况说明</w:t>
      </w:r>
      <w:r>
        <w:tab/>
      </w:r>
      <w:r>
        <w:fldChar w:fldCharType="begin"/>
      </w:r>
      <w:r>
        <w:instrText xml:space="preserve"> PAGEREF _Toc32611 </w:instrText>
      </w:r>
      <w:r>
        <w:fldChar w:fldCharType="separate"/>
      </w:r>
      <w:r>
        <w:t>8</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_Toc1193 </w:instrText>
      </w:r>
      <w:r>
        <w:rPr>
          <w:rFonts w:hint="eastAsia" w:ascii="仿宋_GB2312" w:hAnsi="仿宋_GB2312" w:eastAsia="仿宋_GB2312" w:cs="仿宋_GB2312"/>
          <w:szCs w:val="32"/>
        </w:rPr>
        <w:fldChar w:fldCharType="separate"/>
      </w:r>
      <w:r>
        <w:rPr>
          <w:rFonts w:hint="eastAsia" w:ascii="黑体" w:hAnsi="黑体" w:eastAsia="黑体"/>
          <w:lang w:eastAsia="zh-CN"/>
        </w:rPr>
        <w:t>三、支出决算情况说明</w:t>
      </w:r>
      <w:r>
        <w:tab/>
      </w:r>
      <w:r>
        <w:fldChar w:fldCharType="begin"/>
      </w:r>
      <w:r>
        <w:instrText xml:space="preserve"> PAGEREF _Toc1193 </w:instrText>
      </w:r>
      <w:r>
        <w:fldChar w:fldCharType="separate"/>
      </w:r>
      <w:r>
        <w:t>9</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_Toc32595 </w:instrText>
      </w:r>
      <w:r>
        <w:rPr>
          <w:rFonts w:hint="eastAsia" w:ascii="仿宋_GB2312" w:hAnsi="仿宋_GB2312" w:eastAsia="仿宋_GB2312" w:cs="仿宋_GB2312"/>
          <w:szCs w:val="32"/>
        </w:rPr>
        <w:fldChar w:fldCharType="separate"/>
      </w:r>
      <w:r>
        <w:rPr>
          <w:rFonts w:hint="eastAsia" w:ascii="黑体" w:hAnsi="黑体" w:eastAsia="黑体"/>
        </w:rPr>
        <w:t>四、财政拨款收入支出决算总体情况说明</w:t>
      </w:r>
      <w:r>
        <w:tab/>
      </w:r>
      <w:r>
        <w:fldChar w:fldCharType="begin"/>
      </w:r>
      <w:r>
        <w:instrText xml:space="preserve"> PAGEREF _Toc32595 </w:instrText>
      </w:r>
      <w:r>
        <w:fldChar w:fldCharType="separate"/>
      </w:r>
      <w:r>
        <w:t>9</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_Toc32535 </w:instrText>
      </w:r>
      <w:r>
        <w:rPr>
          <w:rFonts w:hint="eastAsia" w:ascii="仿宋_GB2312" w:hAnsi="仿宋_GB2312" w:eastAsia="仿宋_GB2312" w:cs="仿宋_GB2312"/>
          <w:szCs w:val="32"/>
        </w:rPr>
        <w:fldChar w:fldCharType="separate"/>
      </w:r>
      <w:r>
        <w:rPr>
          <w:rFonts w:hint="eastAsia" w:ascii="黑体" w:hAnsi="黑体" w:eastAsia="黑体"/>
        </w:rPr>
        <w:t>五、</w:t>
      </w:r>
      <w:r>
        <w:rPr>
          <w:rFonts w:hint="eastAsia" w:ascii="黑体" w:hAnsi="黑体" w:eastAsia="黑体"/>
          <w:szCs w:val="32"/>
        </w:rPr>
        <w:t>一</w:t>
      </w:r>
      <w:r>
        <w:rPr>
          <w:rFonts w:hint="eastAsia" w:ascii="黑体" w:hAnsi="黑体" w:eastAsia="黑体"/>
        </w:rPr>
        <w:t>般公共预算财政拨款支出决算情况说明</w:t>
      </w:r>
      <w:r>
        <w:tab/>
      </w:r>
      <w:r>
        <w:fldChar w:fldCharType="begin"/>
      </w:r>
      <w:r>
        <w:instrText xml:space="preserve"> PAGEREF _Toc32535 </w:instrText>
      </w:r>
      <w:r>
        <w:fldChar w:fldCharType="separate"/>
      </w:r>
      <w:r>
        <w:t>10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_Toc17141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（一）一般公共预算财政拨款支出决算总体情况</w:t>
      </w:r>
      <w:r>
        <w:tab/>
      </w:r>
      <w:r>
        <w:fldChar w:fldCharType="begin"/>
      </w:r>
      <w:r>
        <w:instrText xml:space="preserve"> PAGEREF _Toc17141 </w:instrText>
      </w:r>
      <w:r>
        <w:fldChar w:fldCharType="separate"/>
      </w:r>
      <w:r>
        <w:t>10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_Toc13963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（二）一般公共预算财政拨款支出决算结构情况</w:t>
      </w:r>
      <w:r>
        <w:tab/>
      </w:r>
      <w:r>
        <w:fldChar w:fldCharType="begin"/>
      </w:r>
      <w:r>
        <w:instrText xml:space="preserve"> PAGEREF _Toc13963 </w:instrText>
      </w:r>
      <w:r>
        <w:fldChar w:fldCharType="separate"/>
      </w:r>
      <w:r>
        <w:t>11</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_Toc17447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bCs w:val="0"/>
          <w:kern w:val="2"/>
          <w:szCs w:val="32"/>
          <w:lang w:val="en-US" w:eastAsia="zh-CN" w:bidi="ar-SA"/>
        </w:rPr>
        <w:t>（三） 一般公共预算财政拨款支出决算具体情况</w:t>
      </w:r>
      <w:r>
        <w:tab/>
      </w:r>
      <w:r>
        <w:fldChar w:fldCharType="begin"/>
      </w:r>
      <w:r>
        <w:instrText xml:space="preserve"> PAGEREF _Toc17447 </w:instrText>
      </w:r>
      <w:r>
        <w:fldChar w:fldCharType="separate"/>
      </w:r>
      <w:r>
        <w:t>11</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_Toc12394 </w:instrText>
      </w:r>
      <w:r>
        <w:rPr>
          <w:rFonts w:hint="eastAsia" w:ascii="仿宋_GB2312" w:hAnsi="仿宋_GB2312" w:eastAsia="仿宋_GB2312" w:cs="仿宋_GB2312"/>
          <w:szCs w:val="32"/>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_Toc12394 </w:instrText>
      </w:r>
      <w:r>
        <w:fldChar w:fldCharType="separate"/>
      </w:r>
      <w:r>
        <w:t>14</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_Toc460 </w:instrText>
      </w:r>
      <w:r>
        <w:rPr>
          <w:rFonts w:hint="eastAsia" w:ascii="仿宋_GB2312" w:hAnsi="仿宋_GB2312" w:eastAsia="仿宋_GB2312" w:cs="仿宋_GB2312"/>
          <w:szCs w:val="32"/>
        </w:rPr>
        <w:fldChar w:fldCharType="separate"/>
      </w:r>
      <w:r>
        <w:rPr>
          <w:rFonts w:hint="eastAsia" w:ascii="黑体" w:hAnsi="Times New Roman" w:eastAsia="黑体" w:cs="Times New Roman"/>
          <w:bCs w:val="0"/>
          <w:kern w:val="2"/>
          <w:szCs w:val="32"/>
          <w:lang w:val="en-US" w:eastAsia="zh-CN" w:bidi="ar-SA"/>
        </w:rPr>
        <w:t>七、“三公”经费财政拨款支出决算情况说明</w:t>
      </w:r>
      <w:r>
        <w:tab/>
      </w:r>
      <w:r>
        <w:fldChar w:fldCharType="begin"/>
      </w:r>
      <w:r>
        <w:instrText xml:space="preserve"> PAGEREF _Toc460 </w:instrText>
      </w:r>
      <w:r>
        <w:fldChar w:fldCharType="separate"/>
      </w:r>
      <w:r>
        <w:t>15</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_Toc2770 </w:instrText>
      </w:r>
      <w:r>
        <w:rPr>
          <w:rFonts w:hint="eastAsia" w:ascii="仿宋_GB2312" w:hAnsi="仿宋_GB2312" w:eastAsia="仿宋_GB2312" w:cs="仿宋_GB2312"/>
          <w:szCs w:val="32"/>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_Toc2770 </w:instrText>
      </w:r>
      <w:r>
        <w:fldChar w:fldCharType="separate"/>
      </w:r>
      <w:r>
        <w:t>16</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_Toc31023 </w:instrText>
      </w:r>
      <w:r>
        <w:rPr>
          <w:rFonts w:hint="eastAsia" w:ascii="仿宋_GB2312" w:hAnsi="仿宋_GB2312" w:eastAsia="仿宋_GB2312" w:cs="仿宋_GB2312"/>
          <w:szCs w:val="32"/>
        </w:rPr>
        <w:fldChar w:fldCharType="separate"/>
      </w:r>
      <w:r>
        <w:rPr>
          <w:rFonts w:hint="eastAsia" w:ascii="黑体" w:hAnsi="黑体" w:eastAsia="黑体"/>
        </w:rPr>
        <w:t>九、 国有资本经营预算支出决算情况说明</w:t>
      </w:r>
      <w:r>
        <w:tab/>
      </w:r>
      <w:r>
        <w:fldChar w:fldCharType="begin"/>
      </w:r>
      <w:r>
        <w:instrText xml:space="preserve"> PAGEREF _Toc31023 </w:instrText>
      </w:r>
      <w:r>
        <w:fldChar w:fldCharType="separate"/>
      </w:r>
      <w:r>
        <w:t>16</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_Toc20223 </w:instrText>
      </w:r>
      <w:r>
        <w:rPr>
          <w:rFonts w:hint="eastAsia" w:ascii="仿宋_GB2312" w:hAnsi="仿宋_GB2312" w:eastAsia="仿宋_GB2312" w:cs="仿宋_GB2312"/>
          <w:szCs w:val="32"/>
        </w:rPr>
        <w:fldChar w:fldCharType="separate"/>
      </w:r>
      <w:r>
        <w:rPr>
          <w:rFonts w:hint="eastAsia" w:ascii="黑体" w:hAnsi="黑体" w:eastAsia="黑体"/>
        </w:rPr>
        <w:t>十、其他重要事项的情况说明</w:t>
      </w:r>
      <w:r>
        <w:tab/>
      </w:r>
      <w:r>
        <w:fldChar w:fldCharType="begin"/>
      </w:r>
      <w:r>
        <w:instrText xml:space="preserve"> PAGEREF _Toc20223 </w:instrText>
      </w:r>
      <w:r>
        <w:fldChar w:fldCharType="separate"/>
      </w:r>
      <w:r>
        <w:t>16</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_Toc29512 </w:instrText>
      </w:r>
      <w:r>
        <w:rPr>
          <w:rFonts w:hint="eastAsia" w:ascii="仿宋_GB2312" w:hAnsi="仿宋_GB2312" w:eastAsia="仿宋_GB2312" w:cs="仿宋_GB2312"/>
          <w:szCs w:val="32"/>
        </w:rPr>
        <w:fldChar w:fldCharType="separate"/>
      </w:r>
      <w:r>
        <w:rPr>
          <w:rFonts w:hint="eastAsia" w:ascii="楷体_GB2312" w:hAnsi="仿宋" w:eastAsia="楷体_GB2312" w:cs="Times New Roman"/>
          <w:szCs w:val="32"/>
        </w:rPr>
        <w:t>（一）机关运行经费支出情况</w:t>
      </w:r>
      <w:r>
        <w:tab/>
      </w:r>
      <w:r>
        <w:fldChar w:fldCharType="begin"/>
      </w:r>
      <w:r>
        <w:instrText xml:space="preserve"> PAGEREF _Toc29512 </w:instrText>
      </w:r>
      <w:r>
        <w:fldChar w:fldCharType="separate"/>
      </w:r>
      <w:r>
        <w:t>16</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_Toc15344 </w:instrText>
      </w:r>
      <w:r>
        <w:rPr>
          <w:rFonts w:hint="eastAsia" w:ascii="仿宋_GB2312" w:hAnsi="仿宋_GB2312" w:eastAsia="仿宋_GB2312" w:cs="仿宋_GB2312"/>
          <w:szCs w:val="32"/>
        </w:rPr>
        <w:fldChar w:fldCharType="separate"/>
      </w:r>
      <w:r>
        <w:rPr>
          <w:rFonts w:hint="eastAsia" w:ascii="楷体_GB2312" w:hAnsi="仿宋" w:eastAsia="楷体_GB2312"/>
          <w:szCs w:val="32"/>
        </w:rPr>
        <w:t>（二）政府采购支出情况</w:t>
      </w:r>
      <w:r>
        <w:tab/>
      </w:r>
      <w:r>
        <w:fldChar w:fldCharType="begin"/>
      </w:r>
      <w:r>
        <w:instrText xml:space="preserve"> PAGEREF _Toc15344 </w:instrText>
      </w:r>
      <w:r>
        <w:fldChar w:fldCharType="separate"/>
      </w:r>
      <w:r>
        <w:t>16</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_Toc3424 </w:instrText>
      </w:r>
      <w:r>
        <w:rPr>
          <w:rFonts w:hint="eastAsia" w:ascii="仿宋_GB2312" w:hAnsi="仿宋_GB2312" w:eastAsia="仿宋_GB2312" w:cs="仿宋_GB2312"/>
          <w:szCs w:val="32"/>
        </w:rPr>
        <w:fldChar w:fldCharType="separate"/>
      </w:r>
      <w:r>
        <w:rPr>
          <w:rFonts w:hint="eastAsia" w:ascii="楷体_GB2312" w:hAnsi="仿宋" w:eastAsia="楷体_GB2312"/>
          <w:szCs w:val="32"/>
        </w:rPr>
        <w:t>（三）国有资产占有使用情况</w:t>
      </w:r>
      <w:r>
        <w:tab/>
      </w:r>
      <w:r>
        <w:fldChar w:fldCharType="begin"/>
      </w:r>
      <w:r>
        <w:instrText xml:space="preserve"> PAGEREF _Toc3424 </w:instrText>
      </w:r>
      <w:r>
        <w:fldChar w:fldCharType="separate"/>
      </w:r>
      <w:r>
        <w:t>16</w:t>
      </w:r>
      <w:r>
        <w:fldChar w:fldCharType="end"/>
      </w:r>
      <w:r>
        <w:rPr>
          <w:rFonts w:hint="eastAsia" w:ascii="仿宋_GB2312" w:hAnsi="仿宋_GB2312" w:eastAsia="仿宋_GB2312" w:cs="仿宋_GB2312"/>
          <w:szCs w:val="32"/>
        </w:rPr>
        <w:fldChar w:fldCharType="end"/>
      </w:r>
    </w:p>
    <w:p>
      <w:pPr>
        <w:pStyle w:val="8"/>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_Toc29444 </w:instrText>
      </w:r>
      <w:r>
        <w:rPr>
          <w:rFonts w:hint="eastAsia" w:ascii="仿宋_GB2312" w:hAnsi="仿宋_GB2312" w:eastAsia="仿宋_GB2312" w:cs="仿宋_GB2312"/>
          <w:szCs w:val="32"/>
        </w:rPr>
        <w:fldChar w:fldCharType="separate"/>
      </w:r>
      <w:r>
        <w:rPr>
          <w:rFonts w:hint="eastAsia" w:ascii="楷体_GB2312" w:hAnsi="仿宋" w:eastAsia="楷体_GB2312"/>
          <w:szCs w:val="32"/>
        </w:rPr>
        <w:t>（四）预算绩效管理情况</w:t>
      </w:r>
      <w:r>
        <w:tab/>
      </w:r>
      <w:r>
        <w:fldChar w:fldCharType="begin"/>
      </w:r>
      <w:r>
        <w:instrText xml:space="preserve"> PAGEREF _Toc29444 </w:instrText>
      </w:r>
      <w:r>
        <w:fldChar w:fldCharType="separate"/>
      </w:r>
      <w:r>
        <w:t>17</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_Toc24494 </w:instrText>
      </w:r>
      <w:r>
        <w:rPr>
          <w:rFonts w:hint="eastAsia" w:ascii="仿宋_GB2312" w:hAnsi="仿宋_GB2312" w:eastAsia="仿宋_GB2312" w:cs="仿宋_GB2312"/>
          <w:szCs w:val="32"/>
        </w:rP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_Toc24494 </w:instrText>
      </w:r>
      <w:r>
        <w:fldChar w:fldCharType="separate"/>
      </w:r>
      <w:r>
        <w:t>28</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_Toc32420 </w:instrText>
      </w:r>
      <w:r>
        <w:rPr>
          <w:rFonts w:hint="eastAsia" w:ascii="仿宋_GB2312" w:hAnsi="仿宋_GB2312" w:eastAsia="仿宋_GB2312" w:cs="仿宋_GB2312"/>
          <w:szCs w:val="32"/>
        </w:rP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_Toc32420 </w:instrText>
      </w:r>
      <w:r>
        <w:fldChar w:fldCharType="separate"/>
      </w:r>
      <w:r>
        <w:t>33</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_Toc31187 </w:instrText>
      </w:r>
      <w:r>
        <w:rPr>
          <w:rFonts w:hint="eastAsia" w:ascii="仿宋_GB2312" w:hAnsi="仿宋_GB2312" w:eastAsia="仿宋_GB2312" w:cs="仿宋_GB2312"/>
          <w:szCs w:val="32"/>
        </w:rPr>
        <w:fldChar w:fldCharType="separate"/>
      </w:r>
      <w:r>
        <w:rPr>
          <w:rFonts w:hint="eastAsia" w:ascii="仿宋_GB2312" w:hAnsi="黑体" w:eastAsia="仿宋_GB2312" w:cs="黑体"/>
          <w:szCs w:val="32"/>
        </w:rPr>
        <w:t>附件1</w:t>
      </w:r>
      <w:r>
        <w:tab/>
      </w:r>
      <w:r>
        <w:fldChar w:fldCharType="begin"/>
      </w:r>
      <w:r>
        <w:instrText xml:space="preserve"> PAGEREF _Toc31187 </w:instrText>
      </w:r>
      <w:r>
        <w:fldChar w:fldCharType="separate"/>
      </w:r>
      <w:r>
        <w:t>33</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rPr>
          <w:rFonts w:hint="default" w:eastAsia="仿宋_GB2312"/>
          <w:lang w:val="en-US" w:eastAsia="zh-CN"/>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_Toc11074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茂县民政局2021年部门</w:t>
      </w:r>
      <w:r>
        <w:rPr>
          <w:rFonts w:hint="eastAsia" w:ascii="方正小标宋简体" w:hAnsi="宋体" w:eastAsia="方正小标宋简体" w:cs="Times New Roman"/>
          <w:bCs w:val="0"/>
          <w:kern w:val="2"/>
          <w:szCs w:val="44"/>
          <w:lang w:val="zh-CN" w:eastAsia="zh-CN" w:bidi="ar-SA"/>
        </w:rPr>
        <w:t>整体支出绩效评价报告</w:t>
      </w:r>
      <w:r>
        <w:tab/>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lang w:val="en-US" w:eastAsia="zh-CN"/>
        </w:rPr>
        <w:t>33</w:t>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_Toc27760 </w:instrText>
      </w:r>
      <w:r>
        <w:rPr>
          <w:rFonts w:hint="eastAsia" w:ascii="仿宋_GB2312" w:hAnsi="仿宋_GB2312" w:eastAsia="仿宋_GB2312" w:cs="仿宋_GB2312"/>
          <w:szCs w:val="32"/>
        </w:rPr>
        <w:fldChar w:fldCharType="separate"/>
      </w:r>
      <w:r>
        <w:rPr>
          <w:rFonts w:hint="eastAsia" w:ascii="仿宋_GB2312" w:hAnsi="黑体" w:eastAsia="仿宋_GB2312" w:cs="黑体"/>
          <w:szCs w:val="32"/>
        </w:rPr>
        <w:t>附件</w:t>
      </w:r>
      <w:r>
        <w:rPr>
          <w:rFonts w:hint="eastAsia" w:ascii="仿宋_GB2312" w:hAnsi="黑体" w:eastAsia="仿宋_GB2312" w:cs="黑体"/>
          <w:szCs w:val="32"/>
          <w:lang w:val="en-US" w:eastAsia="zh-CN"/>
        </w:rPr>
        <w:t>2</w:t>
      </w:r>
      <w:r>
        <w:tab/>
      </w:r>
      <w:r>
        <w:fldChar w:fldCharType="begin"/>
      </w:r>
      <w:r>
        <w:instrText xml:space="preserve"> PAGEREF _Toc27760 </w:instrText>
      </w:r>
      <w:r>
        <w:fldChar w:fldCharType="separate"/>
      </w:r>
      <w:r>
        <w:t>41</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方正小标宋简体" w:hAnsi="宋体" w:eastAsia="方正小标宋简体" w:cs="Times New Roman"/>
          <w:bCs w:val="0"/>
          <w:kern w:val="2"/>
          <w:szCs w:val="44"/>
          <w:lang w:val="en-US" w:eastAsia="zh-CN" w:bidi="ar-SA"/>
        </w:rPr>
        <w:t>茂县民政局</w:t>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_Toc11561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2021年敬老金项目支出绩效自评报告</w:t>
      </w:r>
      <w:r>
        <w:tab/>
      </w:r>
      <w:r>
        <w:fldChar w:fldCharType="begin"/>
      </w:r>
      <w:r>
        <w:instrText xml:space="preserve"> PAGEREF _Toc11561 </w:instrText>
      </w:r>
      <w:r>
        <w:fldChar w:fldCharType="separate"/>
      </w:r>
      <w:r>
        <w:t>41</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_Toc4132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附件3</w:t>
      </w:r>
      <w:r>
        <w:rPr>
          <w:rFonts w:hint="eastAsia" w:ascii="仿宋_GB2312" w:hAnsi="仿宋_GB2312" w:eastAsia="仿宋_GB2312" w:cs="仿宋_GB2312"/>
          <w:bCs w:val="0"/>
          <w:kern w:val="2"/>
          <w:szCs w:val="44"/>
          <w:lang w:val="en-US" w:eastAsia="zh-CN" w:bidi="ar-SA"/>
        </w:rPr>
        <w:t>：</w:t>
      </w:r>
      <w:r>
        <w:tab/>
      </w:r>
      <w:r>
        <w:fldChar w:fldCharType="begin"/>
      </w:r>
      <w:r>
        <w:instrText xml:space="preserve"> PAGEREF _Toc4132 </w:instrText>
      </w:r>
      <w:r>
        <w:fldChar w:fldCharType="separate"/>
      </w:r>
      <w:r>
        <w:t>45</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rPr>
          <w:rFonts w:hint="default" w:eastAsia="仿宋_GB2312"/>
          <w:lang w:val="en-US" w:eastAsia="zh-CN"/>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_Toc8692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茂县民政局2021年残疾人两项补贴支出绩效自评报告</w:t>
      </w:r>
      <w:r>
        <w:tab/>
      </w:r>
      <w:r>
        <w:rPr>
          <w:rFonts w:hint="eastAsia" w:ascii="仿宋_GB2312" w:hAnsi="仿宋_GB2312" w:eastAsia="仿宋_GB2312" w:cs="仿宋_GB2312"/>
          <w:szCs w:val="32"/>
        </w:rPr>
        <w:fldChar w:fldCharType="end"/>
      </w:r>
      <w:r>
        <w:rPr>
          <w:rFonts w:hint="eastAsia" w:ascii="仿宋_GB2312" w:hAnsi="仿宋_GB2312" w:eastAsia="仿宋_GB2312" w:cs="仿宋_GB2312"/>
          <w:szCs w:val="32"/>
          <w:lang w:val="en-US" w:eastAsia="zh-CN"/>
        </w:rPr>
        <w:t>45</w:t>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_Toc32175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kern w:val="2"/>
          <w:szCs w:val="32"/>
          <w:lang w:val="en-US" w:eastAsia="zh-CN" w:bidi="ar-SA"/>
        </w:rPr>
        <w:t>附件4：</w:t>
      </w:r>
      <w:r>
        <w:tab/>
      </w:r>
      <w:r>
        <w:fldChar w:fldCharType="begin"/>
      </w:r>
      <w:r>
        <w:instrText xml:space="preserve"> PAGEREF _Toc32175 </w:instrText>
      </w:r>
      <w:r>
        <w:fldChar w:fldCharType="separate"/>
      </w:r>
      <w:r>
        <w:t>49</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_Toc12973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茂县民政局2021年农村特困供养支出绩效自评报告</w:t>
      </w:r>
      <w:r>
        <w:tab/>
      </w:r>
      <w:r>
        <w:fldChar w:fldCharType="begin"/>
      </w:r>
      <w:r>
        <w:instrText xml:space="preserve"> PAGEREF _Toc12973 </w:instrText>
      </w:r>
      <w:r>
        <w:fldChar w:fldCharType="separate"/>
      </w:r>
      <w:r>
        <w:t>49</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_Toc2072 </w:instrText>
      </w:r>
      <w:r>
        <w:rPr>
          <w:rFonts w:hint="eastAsia" w:ascii="仿宋_GB2312" w:hAnsi="仿宋_GB2312" w:eastAsia="仿宋_GB2312" w:cs="仿宋_GB2312"/>
          <w:szCs w:val="32"/>
        </w:rPr>
        <w:fldChar w:fldCharType="separate"/>
      </w:r>
      <w:r>
        <w:rPr>
          <w:rFonts w:hint="eastAsia" w:ascii="仿宋_GB2312" w:hAnsi="微软雅黑" w:eastAsia="仿宋_GB2312" w:cs="Times New Roman"/>
          <w:bCs w:val="0"/>
          <w:kern w:val="2"/>
          <w:szCs w:val="24"/>
          <w:lang w:val="en-US" w:eastAsia="zh-CN" w:bidi="ar-SA"/>
        </w:rPr>
        <w:t>附件5：</w:t>
      </w:r>
      <w:r>
        <w:tab/>
      </w:r>
      <w:r>
        <w:fldChar w:fldCharType="begin"/>
      </w:r>
      <w:r>
        <w:instrText xml:space="preserve"> PAGEREF _Toc2072 </w:instrText>
      </w:r>
      <w:r>
        <w:fldChar w:fldCharType="separate"/>
      </w:r>
      <w:r>
        <w:t>54</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_Toc985 </w:instrText>
      </w:r>
      <w:r>
        <w:rPr>
          <w:rFonts w:hint="eastAsia" w:ascii="仿宋_GB2312" w:hAnsi="仿宋_GB2312" w:eastAsia="仿宋_GB2312" w:cs="仿宋_GB2312"/>
          <w:szCs w:val="32"/>
        </w:rPr>
        <w:fldChar w:fldCharType="separate"/>
      </w:r>
      <w:r>
        <w:rPr>
          <w:rFonts w:hint="eastAsia" w:ascii="方正小标宋简体" w:hAnsi="宋体" w:eastAsia="方正小标宋简体" w:cs="Times New Roman"/>
          <w:bCs w:val="0"/>
          <w:kern w:val="2"/>
          <w:szCs w:val="44"/>
          <w:lang w:val="en-US" w:eastAsia="zh-CN" w:bidi="ar-SA"/>
        </w:rPr>
        <w:t>茂县民政局2021年福彩公益金支出绩效自评报告</w:t>
      </w:r>
      <w:r>
        <w:tab/>
      </w:r>
      <w:r>
        <w:fldChar w:fldCharType="begin"/>
      </w:r>
      <w:r>
        <w:instrText xml:space="preserve"> PAGEREF _Toc985 </w:instrText>
      </w:r>
      <w:r>
        <w:fldChar w:fldCharType="separate"/>
      </w:r>
      <w:r>
        <w:t>54</w:t>
      </w:r>
      <w:r>
        <w:fldChar w:fldCharType="end"/>
      </w:r>
      <w:r>
        <w:rPr>
          <w:rFonts w:hint="eastAsia" w:ascii="仿宋_GB2312" w:hAnsi="仿宋_GB2312" w:eastAsia="仿宋_GB2312" w:cs="仿宋_GB2312"/>
          <w:szCs w:val="32"/>
        </w:rPr>
        <w:fldChar w:fldCharType="end"/>
      </w:r>
    </w:p>
    <w:p>
      <w:pPr>
        <w:pStyle w:val="12"/>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_Toc20734 </w:instrText>
      </w:r>
      <w:r>
        <w:rPr>
          <w:rFonts w:hint="eastAsia" w:ascii="仿宋_GB2312" w:hAnsi="仿宋_GB2312" w:eastAsia="仿宋_GB2312" w:cs="仿宋_GB2312"/>
          <w:szCs w:val="32"/>
        </w:rP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_Toc20734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_Toc19204 </w:instrText>
      </w:r>
      <w:r>
        <w:rPr>
          <w:rFonts w:hint="eastAsia" w:ascii="仿宋_GB2312" w:hAnsi="仿宋_GB2312" w:eastAsia="仿宋_GB2312" w:cs="仿宋_GB2312"/>
          <w:szCs w:val="32"/>
        </w:rPr>
        <w:fldChar w:fldCharType="separate"/>
      </w:r>
      <w:r>
        <w:rPr>
          <w:rFonts w:hint="eastAsia" w:ascii="仿宋_GB2312" w:hAnsi="仿宋" w:eastAsia="仿宋_GB2312"/>
        </w:rPr>
        <w:t>一、收</w:t>
      </w:r>
      <w:r>
        <w:rPr>
          <w:rFonts w:hint="eastAsia" w:ascii="仿宋_GB2312" w:hAnsi="仿宋" w:eastAsia="仿宋_GB2312"/>
          <w:bCs w:val="0"/>
        </w:rPr>
        <w:t>入支出决算总表</w:t>
      </w:r>
      <w:r>
        <w:tab/>
      </w:r>
      <w:r>
        <w:fldChar w:fldCharType="begin"/>
      </w:r>
      <w:r>
        <w:instrText xml:space="preserve"> PAGEREF _Toc19204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_Toc4226 </w:instrText>
      </w:r>
      <w:r>
        <w:rPr>
          <w:rFonts w:hint="eastAsia" w:ascii="仿宋_GB2312" w:hAnsi="仿宋_GB2312" w:eastAsia="仿宋_GB2312" w:cs="仿宋_GB2312"/>
          <w:szCs w:val="32"/>
        </w:rPr>
        <w:fldChar w:fldCharType="separate"/>
      </w:r>
      <w:r>
        <w:rPr>
          <w:rFonts w:hint="eastAsia" w:ascii="仿宋_GB2312" w:hAnsi="仿宋" w:eastAsia="仿宋_GB2312"/>
        </w:rPr>
        <w:t>二、收</w:t>
      </w:r>
      <w:r>
        <w:rPr>
          <w:rFonts w:hint="eastAsia" w:ascii="仿宋_GB2312" w:hAnsi="仿宋" w:eastAsia="仿宋_GB2312"/>
          <w:bCs w:val="0"/>
        </w:rPr>
        <w:t>入决算表</w:t>
      </w:r>
      <w:r>
        <w:tab/>
      </w:r>
      <w:r>
        <w:fldChar w:fldCharType="begin"/>
      </w:r>
      <w:r>
        <w:instrText xml:space="preserve"> PAGEREF _Toc4226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_Toc23944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三、</w:t>
      </w:r>
      <w:r>
        <w:rPr>
          <w:rFonts w:hint="eastAsia" w:ascii="仿宋_GB2312" w:hAnsi="仿宋" w:eastAsia="仿宋_GB2312"/>
        </w:rPr>
        <w:t>支</w:t>
      </w:r>
      <w:r>
        <w:rPr>
          <w:rFonts w:hint="eastAsia" w:ascii="仿宋_GB2312" w:hAnsi="仿宋" w:eastAsia="仿宋_GB2312"/>
          <w:bCs w:val="0"/>
        </w:rPr>
        <w:t>出决算表</w:t>
      </w:r>
      <w:r>
        <w:tab/>
      </w:r>
      <w:r>
        <w:fldChar w:fldCharType="begin"/>
      </w:r>
      <w:r>
        <w:instrText xml:space="preserve"> PAGEREF _Toc23944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_Toc13673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四、</w:t>
      </w:r>
      <w:r>
        <w:rPr>
          <w:rFonts w:hint="eastAsia" w:ascii="仿宋_GB2312" w:hAnsi="仿宋" w:eastAsia="仿宋_GB2312"/>
        </w:rPr>
        <w:t>财</w:t>
      </w:r>
      <w:r>
        <w:rPr>
          <w:rFonts w:hint="eastAsia" w:ascii="仿宋_GB2312" w:hAnsi="仿宋" w:eastAsia="仿宋_GB2312"/>
          <w:bCs w:val="0"/>
        </w:rPr>
        <w:t>政拨款收入支出决算总表</w:t>
      </w:r>
      <w:r>
        <w:tab/>
      </w:r>
      <w:r>
        <w:fldChar w:fldCharType="begin"/>
      </w:r>
      <w:r>
        <w:instrText xml:space="preserve"> PAGEREF _Toc13673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_Toc27294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五、</w:t>
      </w:r>
      <w:r>
        <w:rPr>
          <w:rFonts w:hint="eastAsia" w:ascii="仿宋_GB2312" w:hAnsi="仿宋" w:eastAsia="仿宋_GB2312"/>
        </w:rPr>
        <w:t>财</w:t>
      </w:r>
      <w:r>
        <w:rPr>
          <w:rFonts w:hint="eastAsia" w:ascii="仿宋_GB2312" w:hAnsi="仿宋" w:eastAsia="仿宋_GB2312"/>
          <w:bCs w:val="0"/>
        </w:rPr>
        <w:t>政拨款支出决算明细表</w:t>
      </w:r>
      <w:r>
        <w:tab/>
      </w:r>
      <w:r>
        <w:fldChar w:fldCharType="begin"/>
      </w:r>
      <w:r>
        <w:instrText xml:space="preserve"> PAGEREF _Toc27294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_Toc26471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六、</w:t>
      </w:r>
      <w:r>
        <w:rPr>
          <w:rFonts w:hint="eastAsia" w:ascii="仿宋_GB2312" w:hAnsi="仿宋" w:eastAsia="仿宋_GB2312"/>
        </w:rPr>
        <w:t>一</w:t>
      </w:r>
      <w:r>
        <w:rPr>
          <w:rFonts w:hint="eastAsia" w:ascii="仿宋_GB2312" w:hAnsi="仿宋" w:eastAsia="仿宋_GB2312"/>
          <w:bCs w:val="0"/>
        </w:rPr>
        <w:t>般公共预算财政拨款支出决算表</w:t>
      </w:r>
      <w:r>
        <w:tab/>
      </w:r>
      <w:r>
        <w:fldChar w:fldCharType="begin"/>
      </w:r>
      <w:r>
        <w:instrText xml:space="preserve"> PAGEREF _Toc26471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_Toc25348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七、</w:t>
      </w:r>
      <w:r>
        <w:rPr>
          <w:rFonts w:hint="eastAsia" w:ascii="仿宋_GB2312" w:hAnsi="仿宋" w:eastAsia="仿宋_GB2312"/>
        </w:rPr>
        <w:t>一</w:t>
      </w:r>
      <w:r>
        <w:rPr>
          <w:rFonts w:hint="eastAsia" w:ascii="仿宋_GB2312" w:hAnsi="仿宋" w:eastAsia="仿宋_GB2312"/>
          <w:bCs w:val="0"/>
        </w:rPr>
        <w:t>般公共预算财政拨款支出决算明细表</w:t>
      </w:r>
      <w:r>
        <w:tab/>
      </w:r>
      <w:r>
        <w:fldChar w:fldCharType="begin"/>
      </w:r>
      <w:r>
        <w:instrText xml:space="preserve"> PAGEREF _Toc25348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_Toc1206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八、</w:t>
      </w:r>
      <w:r>
        <w:rPr>
          <w:rFonts w:hint="eastAsia" w:ascii="仿宋_GB2312" w:hAnsi="仿宋" w:eastAsia="仿宋_GB2312"/>
        </w:rPr>
        <w:t>一</w:t>
      </w:r>
      <w:r>
        <w:rPr>
          <w:rFonts w:hint="eastAsia" w:ascii="仿宋_GB2312" w:hAnsi="仿宋" w:eastAsia="仿宋_GB2312"/>
          <w:bCs w:val="0"/>
        </w:rPr>
        <w:t>般公共预算财政拨款基本支出决算表</w:t>
      </w:r>
      <w:r>
        <w:tab/>
      </w:r>
      <w:r>
        <w:fldChar w:fldCharType="begin"/>
      </w:r>
      <w:r>
        <w:instrText xml:space="preserve"> PAGEREF _Toc1206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_Toc25270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九、</w:t>
      </w:r>
      <w:r>
        <w:rPr>
          <w:rFonts w:hint="eastAsia" w:ascii="仿宋_GB2312" w:hAnsi="仿宋" w:eastAsia="仿宋_GB2312"/>
        </w:rPr>
        <w:t>一</w:t>
      </w:r>
      <w:r>
        <w:rPr>
          <w:rFonts w:hint="eastAsia" w:ascii="仿宋_GB2312" w:hAnsi="仿宋" w:eastAsia="仿宋_GB2312"/>
          <w:bCs w:val="0"/>
        </w:rPr>
        <w:t>般公共预算财政拨款项目支出决算表</w:t>
      </w:r>
      <w:r>
        <w:tab/>
      </w:r>
      <w:r>
        <w:fldChar w:fldCharType="begin"/>
      </w:r>
      <w:r>
        <w:instrText xml:space="preserve"> PAGEREF _Toc25270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_Toc15712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w:t>
      </w:r>
      <w:r>
        <w:rPr>
          <w:rFonts w:hint="eastAsia" w:ascii="仿宋_GB2312" w:hAnsi="仿宋" w:eastAsia="仿宋_GB2312"/>
        </w:rPr>
        <w:t>一</w:t>
      </w:r>
      <w:r>
        <w:rPr>
          <w:rFonts w:hint="eastAsia" w:ascii="仿宋_GB2312" w:hAnsi="仿宋" w:eastAsia="仿宋_GB2312"/>
          <w:bCs w:val="0"/>
        </w:rPr>
        <w:t>般公共预算财政拨款“三公”经费支出决算表</w:t>
      </w:r>
      <w:r>
        <w:tab/>
      </w:r>
      <w:r>
        <w:fldChar w:fldCharType="begin"/>
      </w:r>
      <w:r>
        <w:instrText xml:space="preserve"> PAGEREF _Toc15712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_Toc21904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十一、</w:t>
      </w:r>
      <w:r>
        <w:rPr>
          <w:rFonts w:hint="eastAsia" w:ascii="仿宋_GB2312" w:hAnsi="仿宋" w:eastAsia="仿宋_GB2312"/>
        </w:rPr>
        <w:t>政</w:t>
      </w:r>
      <w:r>
        <w:rPr>
          <w:rFonts w:hint="eastAsia" w:ascii="仿宋_GB2312" w:hAnsi="仿宋" w:eastAsia="仿宋_GB2312"/>
          <w:bCs w:val="0"/>
        </w:rPr>
        <w:t>府性基金预算财政拨款收入支出决算表</w:t>
      </w:r>
      <w:r>
        <w:tab/>
      </w:r>
      <w:r>
        <w:fldChar w:fldCharType="begin"/>
      </w:r>
      <w:r>
        <w:instrText xml:space="preserve"> PAGEREF _Toc21904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_Toc16874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十二、</w:t>
      </w:r>
      <w:r>
        <w:rPr>
          <w:rFonts w:hint="eastAsia" w:ascii="仿宋_GB2312" w:hAnsi="仿宋" w:eastAsia="仿宋_GB2312"/>
        </w:rPr>
        <w:t>政</w:t>
      </w:r>
      <w:r>
        <w:rPr>
          <w:rFonts w:hint="eastAsia" w:ascii="仿宋_GB2312" w:hAnsi="仿宋" w:eastAsia="仿宋_GB2312"/>
          <w:bCs w:val="0"/>
        </w:rPr>
        <w:t>府性基金预算财政拨款“三公”经费支出决算表</w:t>
      </w:r>
      <w:r>
        <w:tab/>
      </w:r>
      <w:r>
        <w:fldChar w:fldCharType="begin"/>
      </w:r>
      <w:r>
        <w:instrText xml:space="preserve"> PAGEREF _Toc16874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_Toc5581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十三、</w:t>
      </w:r>
      <w:r>
        <w:rPr>
          <w:rFonts w:hint="eastAsia" w:ascii="仿宋_GB2312" w:hAnsi="仿宋" w:eastAsia="仿宋_GB2312"/>
        </w:rPr>
        <w:t>国</w:t>
      </w:r>
      <w:r>
        <w:rPr>
          <w:rFonts w:hint="eastAsia" w:ascii="仿宋_GB2312" w:hAnsi="仿宋" w:eastAsia="仿宋_GB2312"/>
          <w:bCs w:val="0"/>
        </w:rPr>
        <w:t>有资本经营预算</w:t>
      </w:r>
      <w:r>
        <w:rPr>
          <w:rFonts w:hint="eastAsia" w:ascii="仿宋_GB2312" w:hAnsi="仿宋" w:eastAsia="仿宋_GB2312"/>
          <w:bCs w:val="0"/>
          <w:lang w:eastAsia="zh-CN"/>
        </w:rPr>
        <w:t>财政拨款收入</w:t>
      </w:r>
      <w:r>
        <w:rPr>
          <w:rFonts w:hint="eastAsia" w:ascii="仿宋_GB2312" w:hAnsi="仿宋" w:eastAsia="仿宋_GB2312"/>
          <w:bCs w:val="0"/>
        </w:rPr>
        <w:t>支出决算表</w:t>
      </w:r>
      <w:r>
        <w:tab/>
      </w:r>
      <w:r>
        <w:fldChar w:fldCharType="begin"/>
      </w:r>
      <w:r>
        <w:instrText xml:space="preserve"> PAGEREF _Toc5581 </w:instrText>
      </w:r>
      <w:r>
        <w:fldChar w:fldCharType="separate"/>
      </w:r>
      <w:r>
        <w:t>60</w:t>
      </w:r>
      <w:r>
        <w:fldChar w:fldCharType="end"/>
      </w:r>
      <w:r>
        <w:rPr>
          <w:rFonts w:hint="eastAsia" w:ascii="仿宋_GB2312" w:hAnsi="仿宋_GB2312" w:eastAsia="仿宋_GB2312" w:cs="仿宋_GB2312"/>
          <w:szCs w:val="32"/>
        </w:rPr>
        <w:fldChar w:fldCharType="end"/>
      </w:r>
    </w:p>
    <w:p>
      <w:pPr>
        <w:pStyle w:val="14"/>
        <w:tabs>
          <w:tab w:val="right" w:leader="dot" w:pos="8306"/>
          <w:tab w:val="clear" w:pos="829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_Toc26688 </w:instrText>
      </w:r>
      <w:r>
        <w:rPr>
          <w:rFonts w:hint="eastAsia" w:ascii="仿宋_GB2312" w:hAnsi="仿宋_GB2312" w:eastAsia="仿宋_GB2312" w:cs="仿宋_GB2312"/>
          <w:szCs w:val="32"/>
        </w:rPr>
        <w:fldChar w:fldCharType="separate"/>
      </w:r>
      <w:r>
        <w:rPr>
          <w:rFonts w:hint="eastAsia" w:ascii="仿宋_GB2312" w:hAnsi="仿宋" w:eastAsia="仿宋_GB2312"/>
          <w:bCs w:val="0"/>
        </w:rPr>
        <w:t>十</w:t>
      </w:r>
      <w:r>
        <w:rPr>
          <w:rFonts w:hint="eastAsia" w:ascii="仿宋_GB2312" w:hAnsi="仿宋" w:eastAsia="仿宋_GB2312"/>
          <w:bCs w:val="0"/>
          <w:lang w:eastAsia="zh-CN"/>
        </w:rPr>
        <w:t>四</w:t>
      </w:r>
      <w:r>
        <w:rPr>
          <w:rFonts w:hint="eastAsia" w:ascii="仿宋_GB2312" w:hAnsi="仿宋" w:eastAsia="仿宋_GB2312"/>
          <w:bCs w:val="0"/>
        </w:rPr>
        <w:t>、</w:t>
      </w:r>
      <w:r>
        <w:rPr>
          <w:rFonts w:hint="eastAsia" w:ascii="仿宋_GB2312" w:hAnsi="仿宋" w:eastAsia="仿宋_GB2312"/>
        </w:rPr>
        <w:t>国</w:t>
      </w:r>
      <w:r>
        <w:rPr>
          <w:rFonts w:hint="eastAsia" w:ascii="仿宋_GB2312" w:hAnsi="仿宋" w:eastAsia="仿宋_GB2312"/>
          <w:bCs w:val="0"/>
        </w:rPr>
        <w:t>有资本经营预算</w:t>
      </w:r>
      <w:r>
        <w:rPr>
          <w:rFonts w:hint="eastAsia" w:ascii="仿宋_GB2312" w:hAnsi="仿宋" w:eastAsia="仿宋_GB2312"/>
          <w:bCs w:val="0"/>
          <w:lang w:eastAsia="zh-CN"/>
        </w:rPr>
        <w:t>财政拨款</w:t>
      </w:r>
      <w:r>
        <w:rPr>
          <w:rFonts w:hint="eastAsia" w:ascii="仿宋_GB2312" w:hAnsi="仿宋" w:eastAsia="仿宋_GB2312"/>
          <w:bCs w:val="0"/>
        </w:rPr>
        <w:t>支出决算表</w:t>
      </w:r>
      <w:r>
        <w:tab/>
      </w:r>
      <w:r>
        <w:fldChar w:fldCharType="begin"/>
      </w:r>
      <w:r>
        <w:instrText xml:space="preserve"> PAGEREF _Toc26688 </w:instrText>
      </w:r>
      <w:r>
        <w:fldChar w:fldCharType="separate"/>
      </w:r>
      <w:r>
        <w:t>60</w:t>
      </w:r>
      <w:r>
        <w:fldChar w:fldCharType="end"/>
      </w:r>
      <w:r>
        <w:rPr>
          <w:rFonts w:hint="eastAsia" w:ascii="仿宋_GB2312" w:hAnsi="仿宋_GB2312" w:eastAsia="仿宋_GB2312" w:cs="仿宋_GB2312"/>
          <w:szCs w:val="32"/>
        </w:rPr>
        <w:fldChar w:fldCharType="end"/>
      </w:r>
    </w:p>
    <w:p>
      <w:pPr>
        <w:pStyle w:val="14"/>
        <w:adjustRightInd w:val="0"/>
        <w:snapToGrid w:val="0"/>
        <w:spacing w:line="440" w:lineRule="exact"/>
        <w:jc w:val="left"/>
        <w:rPr>
          <w:rFonts w:hint="eastAsia" w:ascii="黑体" w:hAnsi="黑体" w:eastAsia="黑体"/>
          <w:b w:val="0"/>
        </w:rPr>
      </w:pPr>
      <w:r>
        <w:rPr>
          <w:rFonts w:hint="eastAsia" w:ascii="仿宋_GB2312" w:hAnsi="仿宋_GB2312" w:eastAsia="仿宋_GB2312" w:cs="仿宋_GB2312"/>
          <w:szCs w:val="32"/>
        </w:rPr>
        <w:fldChar w:fldCharType="end"/>
      </w:r>
    </w:p>
    <w:p>
      <w:pPr>
        <w:bidi w:val="0"/>
        <w:jc w:val="center"/>
        <w:rPr>
          <w:rFonts w:hint="eastAsia"/>
          <w:sz w:val="44"/>
          <w:szCs w:val="44"/>
          <w:lang w:val="en-US" w:eastAsia="zh-CN"/>
        </w:rPr>
      </w:pPr>
      <w:bookmarkStart w:id="14" w:name="_Toc14372"/>
      <w:bookmarkStart w:id="15" w:name="_Toc23267"/>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center"/>
        <w:rPr>
          <w:rFonts w:hint="eastAsia"/>
          <w:sz w:val="44"/>
          <w:szCs w:val="44"/>
          <w:lang w:val="en-US" w:eastAsia="zh-CN"/>
        </w:rPr>
      </w:pPr>
    </w:p>
    <w:p>
      <w:pPr>
        <w:bidi w:val="0"/>
        <w:jc w:val="both"/>
        <w:rPr>
          <w:rFonts w:hint="eastAsia"/>
          <w:sz w:val="44"/>
          <w:szCs w:val="44"/>
          <w:lang w:val="en-US" w:eastAsia="zh-CN"/>
        </w:rPr>
      </w:pPr>
    </w:p>
    <w:p>
      <w:pPr>
        <w:pStyle w:val="4"/>
        <w:jc w:val="center"/>
        <w:rPr>
          <w:rFonts w:hint="eastAsia"/>
          <w:szCs w:val="44"/>
          <w:lang w:val="en-US" w:eastAsia="zh-CN"/>
        </w:rPr>
      </w:pPr>
      <w:bookmarkStart w:id="16" w:name="_Toc24639"/>
      <w:r>
        <w:rPr>
          <w:rFonts w:hint="eastAsia"/>
          <w:lang w:val="en-US" w:eastAsia="zh-CN"/>
        </w:rPr>
        <w:t>第一部分 部门概况</w:t>
      </w:r>
      <w:bookmarkEnd w:id="1"/>
      <w:bookmarkEnd w:id="2"/>
      <w:bookmarkEnd w:id="14"/>
      <w:bookmarkEnd w:id="15"/>
      <w:bookmarkEnd w:id="16"/>
    </w:p>
    <w:p>
      <w:pPr>
        <w:pStyle w:val="5"/>
        <w:spacing w:before="0" w:after="0" w:line="576" w:lineRule="exact"/>
        <w:ind w:firstLine="640" w:firstLineChars="200"/>
        <w:outlineLvl w:val="9"/>
        <w:rPr>
          <w:rFonts w:ascii="黑体" w:hAnsi="黑体" w:eastAsia="黑体"/>
          <w:b w:val="0"/>
          <w:color w:val="000000"/>
        </w:rPr>
      </w:pPr>
      <w:bookmarkStart w:id="17" w:name="_Toc15377197"/>
      <w:bookmarkStart w:id="18" w:name="_Toc15396600"/>
    </w:p>
    <w:p>
      <w:pPr>
        <w:pStyle w:val="5"/>
        <w:numPr>
          <w:ilvl w:val="0"/>
          <w:numId w:val="1"/>
        </w:numPr>
        <w:spacing w:before="0" w:after="0" w:line="576" w:lineRule="exact"/>
        <w:ind w:firstLine="640" w:firstLineChars="200"/>
        <w:rPr>
          <w:rStyle w:val="30"/>
          <w:rFonts w:hint="eastAsia" w:ascii="黑体" w:hAnsi="黑体" w:eastAsia="黑体" w:cs="黑体"/>
          <w:b w:val="0"/>
          <w:bCs w:val="0"/>
        </w:rPr>
      </w:pPr>
      <w:bookmarkStart w:id="19" w:name="_Toc16764"/>
      <w:bookmarkStart w:id="20" w:name="_Toc2177"/>
      <w:bookmarkStart w:id="21" w:name="_Toc23007"/>
      <w:r>
        <w:rPr>
          <w:rFonts w:hint="eastAsia" w:ascii="黑体" w:hAnsi="黑体" w:eastAsia="黑体" w:cs="黑体"/>
          <w:b w:val="0"/>
          <w:color w:val="000000"/>
        </w:rPr>
        <w:t>基</w:t>
      </w:r>
      <w:r>
        <w:rPr>
          <w:rStyle w:val="30"/>
          <w:rFonts w:hint="eastAsia" w:ascii="黑体" w:hAnsi="黑体" w:eastAsia="黑体" w:cs="黑体"/>
          <w:b w:val="0"/>
          <w:bCs w:val="0"/>
        </w:rPr>
        <w:t>本职能及主要工作</w:t>
      </w:r>
      <w:bookmarkEnd w:id="17"/>
      <w:bookmarkEnd w:id="18"/>
      <w:bookmarkEnd w:id="19"/>
      <w:bookmarkEnd w:id="20"/>
      <w:bookmarkEnd w:id="21"/>
      <w:bookmarkStart w:id="22" w:name="_Toc15377199"/>
      <w:bookmarkStart w:id="23" w:name="_Toc15378446"/>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24" w:name="_Toc32235"/>
      <w:bookmarkStart w:id="25" w:name="_Toc23000"/>
      <w:bookmarkStart w:id="26" w:name="_Toc26450"/>
      <w:r>
        <w:rPr>
          <w:rFonts w:hint="eastAsia" w:ascii="楷体_GB2312" w:hAnsi="仿宋" w:eastAsia="楷体_GB2312" w:cs="Times New Roman"/>
          <w:b/>
          <w:bCs w:val="0"/>
          <w:color w:val="000000"/>
          <w:kern w:val="2"/>
          <w:sz w:val="32"/>
          <w:szCs w:val="32"/>
          <w:lang w:val="en-US" w:eastAsia="zh-CN" w:bidi="ar-SA"/>
        </w:rPr>
        <w:t>(一)基本职能</w:t>
      </w:r>
      <w:bookmarkEnd w:id="24"/>
      <w:bookmarkEnd w:id="25"/>
      <w:bookmarkEnd w:id="26"/>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（1）贯彻执行民政工作民族自治法规，拟订全县民政事业发展规划、工作计划，负责组织实施和监督检查全县民政事业政策、标准。</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（2）承担对社会团体、基金会、社会服务机构等社会组织登记和监督管理办法并组织实施，依法对社会组织进行登记管理和执法监督。</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（3）牵头实施和执行社会救助规划、政策和标准，统筹推进社会救助体系建设，负责城乡居民最低生活保障、特困人员救助供养、临时救助、生活无着流浪乞讨人员救助工作。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（4）负责指导实施城乡基层群众自治建设和社区治理政策，指导城乡社区治理体系、服务体系和治理能力建设，提出加强和改进城乡基层政权建设的建议，推动基层民主政治建设。</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5）负责实施全县行政区划管理政策和行政区域界线、地名管理办法，负责全县行政区域的设立、命名、撤销、变更和政府驻地迁移审核上报工作。组织并指导全县行政区域界线的勘定、管理工作，调处行政区域边界争议，负责地名管理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（6）负责组织实施婚姻管理政策，推进婚俗改革。</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（7）负责组织实施殡葬管理政策并规范服务，负责殡葬管理、救助服务机构管理工作，推进殡葬改革。</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（8）负责实施社会福利事业发展规划、政策和标准，负责拟订社会福利机构管理办法并指导实施。负责监督实施残疾人权益保护政策。统筹推进残疾人福利制度建设和康复辅助器具产业发展。</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9）统筹推进、督促指导、监督管理养老服务工作，组织实施养老服务体系建设规划、政策、标准，承担老年人福利和特殊困难老年人救助工作，协调推进农村留守老年人关爱服务工作，承担城乡老年社会组织管理工作。负责做好老年大学（学校）管理指导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（10）负责组织实施儿童福利、孤弃儿童保障、儿童收养、儿童救助保护政策和标准，健全农村留守儿童关爱服务体系和困境儿童保障制度。</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（11）组织实施促进慈善事业发展政策，指导社会捐助工作。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（12）负责组织实施社会工作、志愿服务政策和标准，会同有关部门推进社会工作人才队伍建设和志愿者队伍建设。</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（13）依法依规负责社会福利、养老服务、救助管理、殡葬服务机构的安全生产监督管理工作。负责职责范围内的意识形态、职业健康、生态环境保护、审批服务便民化工作。</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（14）完成县委、县政府交办的其他任务。</w:t>
      </w:r>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27" w:name="_Toc26525"/>
      <w:bookmarkStart w:id="28" w:name="_Toc11606"/>
      <w:bookmarkStart w:id="29" w:name="_Toc30108"/>
      <w:r>
        <w:rPr>
          <w:rFonts w:hint="eastAsia" w:ascii="楷体_GB2312" w:hAnsi="仿宋" w:eastAsia="楷体_GB2312" w:cs="Times New Roman"/>
          <w:b/>
          <w:bCs w:val="0"/>
          <w:color w:val="000000"/>
          <w:kern w:val="2"/>
          <w:sz w:val="32"/>
          <w:szCs w:val="32"/>
          <w:lang w:val="en-US" w:eastAsia="zh-CN" w:bidi="ar-SA"/>
        </w:rPr>
        <w:t>（二）2021年重点工作完成情况</w:t>
      </w:r>
      <w:bookmarkEnd w:id="22"/>
      <w:bookmarkEnd w:id="23"/>
      <w:bookmarkEnd w:id="27"/>
      <w:bookmarkEnd w:id="28"/>
      <w:bookmarkEnd w:id="29"/>
      <w:bookmarkStart w:id="30" w:name="_Toc15396601"/>
      <w:bookmarkStart w:id="31" w:name="_Toc15377200"/>
    </w:p>
    <w:p>
      <w:pPr>
        <w:numPr>
          <w:ilvl w:val="0"/>
          <w:numId w:val="0"/>
        </w:numPr>
        <w:snapToGrid w:val="0"/>
        <w:spacing w:line="576" w:lineRule="exact"/>
        <w:ind w:firstLine="640" w:firstLineChars="200"/>
        <w:rPr>
          <w:rFonts w:hint="eastAsia" w:ascii="仿宋_GB2312" w:eastAsia="仿宋_GB2312" w:cs="宋体"/>
          <w:kern w:val="0"/>
          <w:sz w:val="32"/>
          <w:szCs w:val="32"/>
          <w:lang w:bidi="ar-SA"/>
        </w:rPr>
      </w:pPr>
      <w:r>
        <w:rPr>
          <w:rFonts w:hint="eastAsia" w:ascii="仿宋_GB2312" w:eastAsia="仿宋_GB2312" w:cs="宋体"/>
          <w:kern w:val="0"/>
          <w:sz w:val="32"/>
          <w:szCs w:val="32"/>
          <w:lang w:val="en-US" w:eastAsia="zh-CN" w:bidi="ar-SA"/>
        </w:rPr>
        <w:t>1.</w:t>
      </w:r>
      <w:r>
        <w:rPr>
          <w:rFonts w:hint="eastAsia" w:ascii="仿宋_GB2312" w:eastAsia="仿宋_GB2312" w:cs="宋体"/>
          <w:kern w:val="0"/>
          <w:sz w:val="32"/>
          <w:szCs w:val="32"/>
          <w:lang w:bidi="ar-SA"/>
        </w:rPr>
        <w:t>社会救助能力明显增强。通过不断努力，茂县社会救助体系建设日趋完善，在建立民生保障长效机制、提高城乡社会救助水平等方面成效明显，较好地保障了困难群体、弱势群体和特殊群体的基本生活，社会救助规范化、精细化、科学化水平全面提升。</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2.</w:t>
      </w:r>
      <w:r>
        <w:rPr>
          <w:rFonts w:hint="eastAsia" w:ascii="仿宋_GB2312" w:eastAsia="仿宋_GB2312" w:cs="方正小标宋简体"/>
          <w:sz w:val="32"/>
          <w:szCs w:val="32"/>
          <w:lang w:bidi="ar-SA"/>
        </w:rPr>
        <w:t>养老服务事业快速发展</w:t>
      </w:r>
      <w:r>
        <w:rPr>
          <w:rFonts w:hint="eastAsia" w:ascii="仿宋_GB2312" w:eastAsia="仿宋_GB2312" w:cs="方正小标宋简体"/>
          <w:sz w:val="32"/>
          <w:szCs w:val="32"/>
          <w:lang w:eastAsia="zh-CN" w:bidi="ar-SA"/>
        </w:rPr>
        <w:t>。</w:t>
      </w:r>
      <w:r>
        <w:rPr>
          <w:rFonts w:hint="eastAsia" w:ascii="仿宋_GB2312" w:eastAsia="仿宋_GB2312" w:cs="方正小标宋简体"/>
          <w:sz w:val="32"/>
          <w:szCs w:val="32"/>
          <w:lang w:bidi="ar-SA"/>
        </w:rPr>
        <w:t>进</w:t>
      </w:r>
      <w:r>
        <w:rPr>
          <w:rFonts w:hint="eastAsia" w:ascii="仿宋_GB2312" w:eastAsia="仿宋_GB2312"/>
          <w:sz w:val="32"/>
          <w:szCs w:val="32"/>
        </w:rPr>
        <w:t>一</w:t>
      </w:r>
      <w:r>
        <w:rPr>
          <w:rFonts w:hint="eastAsia" w:ascii="仿宋_GB2312" w:eastAsia="仿宋_GB2312" w:cs="方正小标宋简体"/>
          <w:sz w:val="32"/>
          <w:szCs w:val="32"/>
          <w:lang w:bidi="ar-SA"/>
        </w:rPr>
        <w:t>步提升养老服务能力，切实抓好居家养老服务工作，扎实推进政府购买居家养老服务工作开展。</w:t>
      </w:r>
    </w:p>
    <w:p>
      <w:pPr>
        <w:numPr>
          <w:ilvl w:val="0"/>
          <w:numId w:val="0"/>
        </w:numPr>
        <w:snapToGrid w:val="0"/>
        <w:spacing w:line="576" w:lineRule="exact"/>
        <w:ind w:firstLine="640" w:firstLineChars="200"/>
        <w:rPr>
          <w:rFonts w:hint="eastAsia" w:ascii="仿宋_GB2312" w:eastAsia="仿宋_GB2312"/>
          <w:sz w:val="32"/>
          <w:szCs w:val="32"/>
        </w:rPr>
      </w:pPr>
      <w:r>
        <w:rPr>
          <w:rFonts w:hint="eastAsia" w:ascii="仿宋_GB2312" w:eastAsia="仿宋_GB2312" w:hAnsiTheme="majorHAnsi" w:cstheme="majorBidi"/>
          <w:b w:val="0"/>
          <w:bCs/>
          <w:kern w:val="2"/>
          <w:sz w:val="32"/>
          <w:szCs w:val="32"/>
          <w:lang w:val="en-US" w:eastAsia="zh-CN" w:bidi="ar-SA"/>
        </w:rPr>
        <w:t>3.</w:t>
      </w:r>
      <w:r>
        <w:rPr>
          <w:rFonts w:hint="eastAsia" w:ascii="仿宋_GB2312" w:eastAsia="仿宋_GB2312"/>
          <w:sz w:val="32"/>
          <w:szCs w:val="32"/>
        </w:rPr>
        <w:t>有序推进基层社会治理和民主建设。为切实体现党和政府对基层干部的关怀和温暖，促进农村社会和谐、民族团结。进一步建立健全机制，创新举措，促进农村社会和谐，基层民主管理显著提高。</w:t>
      </w:r>
    </w:p>
    <w:p>
      <w:pPr>
        <w:pStyle w:val="2"/>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专项社会事务管理服务水平明显提高。以保障和改善民生、促进社会公平正义为根本目的，坚持“民政爱民、民政为民”的服务理念，不断加大工作力度，创新举措，扎实开展社会事务工作。</w:t>
      </w:r>
    </w:p>
    <w:p>
      <w:pPr>
        <w:pStyle w:val="2"/>
        <w:rPr>
          <w:rFonts w:hint="default" w:ascii="仿宋_GB2312" w:eastAsia="仿宋_GB2312"/>
          <w:sz w:val="32"/>
          <w:szCs w:val="32"/>
          <w:lang w:val="en-US" w:eastAsia="zh-CN"/>
        </w:rPr>
      </w:pPr>
      <w:r>
        <w:rPr>
          <w:rFonts w:hint="eastAsia"/>
          <w:sz w:val="32"/>
          <w:szCs w:val="32"/>
          <w:lang w:val="en-US" w:eastAsia="zh-CN"/>
        </w:rPr>
        <w:t>5.</w:t>
      </w:r>
      <w:r>
        <w:rPr>
          <w:rFonts w:hint="eastAsia" w:ascii="仿宋_GB2312" w:eastAsia="仿宋_GB2312" w:cs="宋体"/>
          <w:color w:val="000000"/>
          <w:kern w:val="0"/>
          <w:sz w:val="32"/>
          <w:szCs w:val="32"/>
          <w:lang w:bidi="ar-SA"/>
        </w:rPr>
        <w:t>社会福利工作服务能力明显增强。采取发放资料、公开栏、广播、电视等新闻媒体宣传的方式，全面宣传困难群众各项生活补贴的重要意义，明确责任，做到不漏一人，确实把党和政府的惠民举措落实到位。</w:t>
      </w:r>
    </w:p>
    <w:p>
      <w:pPr>
        <w:pStyle w:val="5"/>
        <w:numPr>
          <w:ilvl w:val="0"/>
          <w:numId w:val="1"/>
        </w:numPr>
        <w:spacing w:before="0" w:after="0" w:line="576" w:lineRule="exact"/>
        <w:ind w:firstLine="640" w:firstLineChars="200"/>
        <w:rPr>
          <w:rFonts w:hint="eastAsia" w:ascii="黑体" w:hAnsi="黑体" w:eastAsia="黑体" w:cs="黑体"/>
          <w:b w:val="0"/>
          <w:color w:val="000000"/>
        </w:rPr>
      </w:pPr>
      <w:bookmarkStart w:id="32" w:name="_Toc6671"/>
      <w:bookmarkStart w:id="33" w:name="_Toc5228"/>
      <w:bookmarkStart w:id="34" w:name="_Toc30222"/>
      <w:r>
        <w:rPr>
          <w:rFonts w:hint="eastAsia" w:ascii="黑体" w:hAnsi="黑体" w:eastAsia="黑体" w:cs="黑体"/>
          <w:b w:val="0"/>
          <w:color w:val="000000"/>
        </w:rPr>
        <w:t>机构设置</w:t>
      </w:r>
      <w:bookmarkEnd w:id="30"/>
      <w:bookmarkEnd w:id="31"/>
      <w:bookmarkEnd w:id="32"/>
      <w:bookmarkEnd w:id="33"/>
      <w:bookmarkEnd w:id="34"/>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本单位属于行政编制，一级预算单位,其中内设机构3个，核定编制8名，其中:行政编制6 名,行政工勤编制 2名。实有人员8名，其中：行政人员6名，行政工勤人员2 名。</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br w:type="page"/>
      </w:r>
    </w:p>
    <w:p>
      <w:pPr>
        <w:pStyle w:val="4"/>
        <w:pageBreakBefore w:val="0"/>
        <w:widowControl w:val="0"/>
        <w:kinsoku/>
        <w:wordWrap/>
        <w:overflowPunct/>
        <w:topLinePunct w:val="0"/>
        <w:autoSpaceDE/>
        <w:autoSpaceDN/>
        <w:bidi w:val="0"/>
        <w:adjustRightInd/>
        <w:snapToGrid/>
        <w:spacing w:before="0" w:after="0" w:line="576" w:lineRule="exact"/>
        <w:ind w:right="440"/>
        <w:jc w:val="right"/>
        <w:textAlignment w:val="auto"/>
        <w:rPr>
          <w:rFonts w:hint="eastAsia" w:ascii="黑体" w:hAnsi="黑体" w:eastAsia="黑体"/>
          <w:color w:val="000000"/>
          <w:sz w:val="32"/>
          <w:szCs w:val="32"/>
          <w:lang w:eastAsia="zh-CN"/>
        </w:rPr>
      </w:pPr>
      <w:bookmarkStart w:id="35" w:name="_Toc12986"/>
      <w:bookmarkStart w:id="36" w:name="_Toc15377204"/>
      <w:bookmarkStart w:id="37" w:name="_Toc15396602"/>
      <w:bookmarkStart w:id="38" w:name="_Toc14652"/>
      <w:bookmarkStart w:id="39" w:name="_Toc14842"/>
      <w:r>
        <w:rPr>
          <w:rFonts w:hint="eastAsia" w:ascii="方正小标宋简体" w:hAnsi="宋体" w:eastAsia="方正小标宋简体" w:cs="Times New Roman"/>
          <w:b w:val="0"/>
          <w:bCs w:val="0"/>
          <w:kern w:val="2"/>
          <w:sz w:val="44"/>
          <w:szCs w:val="44"/>
          <w:lang w:val="en-US" w:eastAsia="zh-CN" w:bidi="ar-SA"/>
        </w:rPr>
        <w:t>第二部分 2021年度部门决算情况说明</w:t>
      </w:r>
      <w:bookmarkEnd w:id="35"/>
      <w:bookmarkEnd w:id="36"/>
      <w:bookmarkEnd w:id="37"/>
      <w:bookmarkEnd w:id="38"/>
      <w:bookmarkEnd w:id="39"/>
      <w:bookmarkStart w:id="40" w:name="_Toc15377205"/>
      <w:bookmarkStart w:id="41" w:name="_Toc5350"/>
      <w:bookmarkStart w:id="42" w:name="_Toc15396603"/>
      <w:bookmarkStart w:id="43" w:name="_Toc20030"/>
    </w:p>
    <w:p>
      <w:pPr>
        <w:numPr>
          <w:ilvl w:val="0"/>
          <w:numId w:val="0"/>
        </w:numPr>
        <w:snapToGrid w:val="0"/>
        <w:spacing w:line="576" w:lineRule="exact"/>
        <w:ind w:firstLine="640" w:firstLineChars="200"/>
        <w:rPr>
          <w:rStyle w:val="30"/>
          <w:rFonts w:hint="eastAsia" w:ascii="黑体" w:hAnsi="黑体" w:eastAsia="黑体"/>
          <w:b w:val="0"/>
          <w:lang w:val="en-US" w:eastAsia="zh-CN"/>
        </w:rPr>
      </w:pPr>
      <w:bookmarkStart w:id="44" w:name="_Toc17119"/>
      <w:r>
        <w:rPr>
          <w:rStyle w:val="30"/>
          <w:rFonts w:hint="eastAsia" w:ascii="黑体" w:hAnsi="黑体" w:eastAsia="黑体"/>
          <w:b w:val="0"/>
          <w:lang w:eastAsia="zh-CN"/>
        </w:rPr>
        <w:t>一、收入支出决算总体情况说明</w:t>
      </w:r>
      <w:bookmarkEnd w:id="40"/>
      <w:bookmarkEnd w:id="41"/>
      <w:bookmarkEnd w:id="42"/>
      <w:bookmarkEnd w:id="43"/>
      <w:bookmarkStart w:id="45" w:name="_Toc13654"/>
      <w:bookmarkStart w:id="46" w:name="_Toc19788"/>
    </w:p>
    <w:bookmarkEnd w:id="44"/>
    <w:p>
      <w:pPr>
        <w:spacing w:line="576" w:lineRule="exact"/>
        <w:ind w:firstLine="640"/>
        <w:rPr>
          <w:rFonts w:hint="eastAsia" w:ascii="仿宋_GB2312" w:eastAsia="仿宋_GB2312" w:hAnsiTheme="majorHAnsi" w:cstheme="majorBidi"/>
          <w:b w:val="0"/>
          <w:bCs/>
          <w:kern w:val="2"/>
          <w:sz w:val="32"/>
          <w:szCs w:val="32"/>
          <w:lang w:val="en-US" w:eastAsia="zh-CN" w:bidi="ar-SA"/>
        </w:rPr>
      </w:pPr>
      <w:bookmarkStart w:id="47" w:name="_Toc2647"/>
      <w:r>
        <w:rPr>
          <w:rFonts w:hint="eastAsia" w:ascii="仿宋_GB2312" w:eastAsia="仿宋_GB2312" w:hAnsiTheme="majorHAnsi" w:cstheme="majorBidi"/>
          <w:b w:val="0"/>
          <w:bCs/>
          <w:kern w:val="2"/>
          <w:sz w:val="32"/>
          <w:szCs w:val="32"/>
          <w:lang w:val="en-US" w:eastAsia="zh-CN" w:bidi="ar-SA"/>
        </w:rPr>
        <w:t>2021年度收、支总计4684.46万元。与2020年相比，收、支总计各减少2128.23万元，减少31.23%。主要变动原因：</w:t>
      </w:r>
      <w:bookmarkEnd w:id="45"/>
      <w:bookmarkEnd w:id="46"/>
      <w:bookmarkEnd w:id="47"/>
      <w:bookmarkStart w:id="48" w:name="_Toc15465"/>
      <w:bookmarkStart w:id="49" w:name="_Toc7435"/>
      <w:r>
        <w:rPr>
          <w:rFonts w:hint="eastAsia" w:ascii="仿宋_GB2312" w:hAnsi="仿宋" w:eastAsia="仿宋_GB2312" w:cs="Times New Roman"/>
          <w:color w:val="000000"/>
          <w:sz w:val="32"/>
          <w:szCs w:val="32"/>
        </w:rPr>
        <w:t>（1）20</w:t>
      </w:r>
      <w:r>
        <w:rPr>
          <w:rFonts w:hint="eastAsia" w:ascii="仿宋_GB2312" w:hAnsi="仿宋" w:eastAsia="仿宋_GB2312" w:cs="Times New Roman"/>
          <w:color w:val="000000"/>
          <w:sz w:val="32"/>
          <w:szCs w:val="32"/>
          <w:lang w:val="en-US" w:eastAsia="zh-CN"/>
        </w:rPr>
        <w:t>21</w:t>
      </w:r>
      <w:r>
        <w:rPr>
          <w:rFonts w:hint="eastAsia" w:ascii="仿宋_GB2312" w:hAnsi="仿宋" w:eastAsia="仿宋_GB2312" w:cs="Times New Roman"/>
          <w:color w:val="000000"/>
          <w:sz w:val="32"/>
          <w:szCs w:val="32"/>
        </w:rPr>
        <w:t>年</w:t>
      </w:r>
      <w:r>
        <w:rPr>
          <w:rFonts w:hint="eastAsia" w:ascii="仿宋_GB2312" w:hAnsi="仿宋" w:eastAsia="仿宋_GB2312" w:cs="Times New Roman"/>
          <w:color w:val="000000"/>
          <w:sz w:val="32"/>
          <w:szCs w:val="32"/>
          <w:lang w:eastAsia="zh-CN"/>
        </w:rPr>
        <w:t>度减少了</w:t>
      </w:r>
      <w:r>
        <w:rPr>
          <w:rFonts w:hint="eastAsia" w:ascii="仿宋_GB2312" w:hAnsi="仿宋" w:eastAsia="仿宋_GB2312" w:cs="Times New Roman"/>
          <w:color w:val="000000"/>
          <w:sz w:val="32"/>
          <w:szCs w:val="32"/>
        </w:rPr>
        <w:t>民政困难群众临时价格补贴（2）是</w:t>
      </w:r>
      <w:r>
        <w:rPr>
          <w:rFonts w:hint="eastAsia" w:ascii="仿宋_GB2312" w:hAnsi="仿宋" w:eastAsia="仿宋_GB2312" w:cs="Times New Roman"/>
          <w:color w:val="000000"/>
          <w:sz w:val="32"/>
          <w:szCs w:val="32"/>
          <w:lang w:eastAsia="zh-CN"/>
        </w:rPr>
        <w:t>县级殡仪馆项目</w:t>
      </w:r>
      <w:r>
        <w:rPr>
          <w:rFonts w:hint="eastAsia" w:ascii="仿宋_GB2312" w:hAnsi="仿宋" w:eastAsia="仿宋_GB2312" w:cs="Times New Roman"/>
          <w:color w:val="000000"/>
          <w:sz w:val="32"/>
          <w:szCs w:val="32"/>
        </w:rPr>
        <w:t>建设</w:t>
      </w:r>
      <w:r>
        <w:rPr>
          <w:rFonts w:hint="eastAsia" w:ascii="仿宋_GB2312" w:hAnsi="仿宋" w:eastAsia="仿宋_GB2312" w:cs="Times New Roman"/>
          <w:color w:val="000000"/>
          <w:sz w:val="32"/>
          <w:szCs w:val="32"/>
          <w:lang w:eastAsia="zh-CN"/>
        </w:rPr>
        <w:t>完工（</w:t>
      </w: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lang w:eastAsia="zh-CN"/>
        </w:rPr>
        <w:t>）城乡低保对象减少。</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0" w:name="_Toc4066"/>
      <w:r>
        <w:rPr>
          <w:rFonts w:hint="eastAsia" w:ascii="仿宋_GB2312" w:eastAsia="仿宋_GB2312" w:hAnsiTheme="majorHAnsi" w:cstheme="majorBidi"/>
          <w:b w:val="0"/>
          <w:bCs/>
          <w:kern w:val="2"/>
          <w:sz w:val="32"/>
          <w:szCs w:val="32"/>
          <w:lang w:val="en-US" w:eastAsia="zh-CN" w:bidi="ar-SA"/>
        </w:rPr>
        <w:t>（图1：收、支决算总计变动情况图）（单位：万元）</w:t>
      </w:r>
      <w:bookmarkEnd w:id="48"/>
      <w:bookmarkEnd w:id="49"/>
      <w:bookmarkEnd w:id="50"/>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color w:val="000000"/>
          <w:sz w:val="32"/>
          <w:szCs w:val="32"/>
        </w:rPr>
      </w:pPr>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p>
    <w:p>
      <w:pPr>
        <w:pStyle w:val="2"/>
        <w:pageBreakBefore w:val="0"/>
        <w:widowControl w:val="0"/>
        <w:kinsoku/>
        <w:wordWrap/>
        <w:overflowPunct/>
        <w:topLinePunct w:val="0"/>
        <w:autoSpaceDE/>
        <w:autoSpaceDN/>
        <w:bidi w:val="0"/>
        <w:adjustRightInd/>
        <w:snapToGrid/>
        <w:spacing w:beforeLines="0" w:afterLines="0" w:line="576" w:lineRule="exact"/>
        <w:textAlignment w:val="auto"/>
      </w:pPr>
    </w:p>
    <w:p>
      <w:pPr>
        <w:pageBreakBefore w:val="0"/>
        <w:widowControl w:val="0"/>
        <w:kinsoku/>
        <w:wordWrap/>
        <w:overflowPunct/>
        <w:topLinePunct w:val="0"/>
        <w:autoSpaceDE/>
        <w:autoSpaceDN/>
        <w:bidi w:val="0"/>
        <w:adjustRightInd/>
        <w:snapToGrid/>
        <w:spacing w:line="576" w:lineRule="exact"/>
        <w:jc w:val="left"/>
        <w:textAlignment w:val="auto"/>
        <w:rPr>
          <w:rFonts w:ascii="仿宋_GB2312" w:eastAsia="仿宋_GB2312"/>
          <w:color w:val="000000"/>
          <w:sz w:val="32"/>
          <w:szCs w:val="32"/>
        </w:rPr>
      </w:pPr>
    </w:p>
    <w:p>
      <w:pPr>
        <w:numPr>
          <w:ilvl w:val="0"/>
          <w:numId w:val="0"/>
        </w:numPr>
        <w:snapToGrid w:val="0"/>
        <w:spacing w:line="576" w:lineRule="exact"/>
        <w:ind w:firstLine="420" w:firstLineChars="200"/>
        <w:rPr>
          <w:rStyle w:val="30"/>
          <w:rFonts w:hint="eastAsia" w:ascii="黑体" w:hAnsi="黑体" w:eastAsia="黑体"/>
          <w:b w:val="0"/>
          <w:lang w:eastAsia="zh-CN"/>
        </w:rPr>
      </w:pPr>
      <w:bookmarkStart w:id="51" w:name="_Toc15396604"/>
      <w:bookmarkStart w:id="52" w:name="_Toc32611"/>
      <w:bookmarkStart w:id="53" w:name="_Toc15377206"/>
      <w:bookmarkStart w:id="54" w:name="_Toc9740"/>
      <w:bookmarkStart w:id="55" w:name="_Toc1450"/>
      <w:r>
        <w:drawing>
          <wp:anchor distT="0" distB="0" distL="114300" distR="114300" simplePos="0" relativeHeight="251661312" behindDoc="0" locked="0" layoutInCell="1" allowOverlap="1">
            <wp:simplePos x="0" y="0"/>
            <wp:positionH relativeFrom="column">
              <wp:posOffset>271145</wp:posOffset>
            </wp:positionH>
            <wp:positionV relativeFrom="paragraph">
              <wp:posOffset>-2217420</wp:posOffset>
            </wp:positionV>
            <wp:extent cx="3486785" cy="2496185"/>
            <wp:effectExtent l="4445" t="4445" r="13970" b="1397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Style w:val="30"/>
          <w:rFonts w:hint="eastAsia" w:ascii="黑体" w:hAnsi="黑体" w:eastAsia="黑体"/>
          <w:b w:val="0"/>
          <w:lang w:eastAsia="zh-CN"/>
        </w:rPr>
        <w:t>二、</w:t>
      </w:r>
      <w:r>
        <w:rPr>
          <w:rStyle w:val="30"/>
          <w:rFonts w:hint="eastAsia" w:ascii="黑体" w:hAnsi="黑体" w:eastAsia="黑体"/>
          <w:b w:val="0"/>
        </w:rPr>
        <w:t>收入决算情况说明</w:t>
      </w:r>
      <w:bookmarkEnd w:id="51"/>
      <w:bookmarkEnd w:id="52"/>
      <w:bookmarkEnd w:id="53"/>
      <w:bookmarkEnd w:id="54"/>
      <w:bookmarkEnd w:id="55"/>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6" w:name="_Toc15398"/>
      <w:bookmarkStart w:id="57" w:name="_Toc4287"/>
      <w:r>
        <w:rPr>
          <w:rFonts w:hint="eastAsia" w:ascii="仿宋_GB2312" w:eastAsia="仿宋_GB2312" w:hAnsiTheme="majorHAnsi" w:cstheme="majorBidi"/>
          <w:b w:val="0"/>
          <w:bCs/>
          <w:kern w:val="2"/>
          <w:sz w:val="32"/>
          <w:szCs w:val="32"/>
          <w:lang w:val="en-US" w:eastAsia="zh-CN" w:bidi="ar-SA"/>
        </w:rPr>
        <w:t>2021年本年收入合计4201.13万元，其中：一般公共预算财政拨款收入3823.79万元，占91%；政府性基金预算财政拨款收入377.34万元，占9%；上级补助收入0万元；事业收入0万元；经营收入0万元；附属单位上缴收入0万元；其他收入0万元。</w:t>
      </w:r>
      <w:bookmarkEnd w:id="56"/>
      <w:bookmarkEnd w:id="57"/>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58" w:name="_Toc11580"/>
      <w:bookmarkStart w:id="59" w:name="_Toc8153"/>
      <w:r>
        <w:rPr>
          <w:rFonts w:hint="eastAsia" w:ascii="仿宋_GB2312" w:eastAsia="仿宋_GB2312" w:hAnsiTheme="majorHAnsi" w:cstheme="majorBidi"/>
          <w:b w:val="0"/>
          <w:bCs/>
          <w:kern w:val="2"/>
          <w:sz w:val="32"/>
          <w:szCs w:val="32"/>
          <w:lang w:val="en-US" w:eastAsia="zh-CN" w:bidi="ar-SA"/>
        </w:rPr>
        <w:t>（图2：收入决算结构图）（单位：万元）</w:t>
      </w:r>
      <w:bookmarkEnd w:id="58"/>
      <w:bookmarkEnd w:id="59"/>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420" w:firstLineChars="200"/>
        <w:textAlignment w:val="auto"/>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420370</wp:posOffset>
            </wp:positionH>
            <wp:positionV relativeFrom="paragraph">
              <wp:posOffset>-548005</wp:posOffset>
            </wp:positionV>
            <wp:extent cx="3571875" cy="2771775"/>
            <wp:effectExtent l="4445" t="4445" r="5080" b="508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beforeLines="0" w:afterLines="0" w:line="576" w:lineRule="exact"/>
        <w:textAlignment w:val="auto"/>
        <w:rPr>
          <w:rFonts w:ascii="仿宋" w:hAnsi="仿宋" w:eastAsia="仿宋"/>
          <w:color w:val="000000" w:themeColor="text1"/>
          <w:sz w:val="32"/>
          <w:szCs w:val="32"/>
          <w14:textFill>
            <w14:solidFill>
              <w14:schemeClr w14:val="tx1"/>
            </w14:solidFill>
          </w14:textFill>
        </w:rPr>
      </w:pPr>
    </w:p>
    <w:p>
      <w:pPr>
        <w:pStyle w:val="2"/>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rFonts w:ascii="仿宋" w:hAnsi="仿宋" w:eastAsia="仿宋"/>
          <w:color w:val="000000" w:themeColor="text1"/>
          <w:sz w:val="32"/>
          <w:szCs w:val="32"/>
          <w14:textFill>
            <w14:solidFill>
              <w14:schemeClr w14:val="tx1"/>
            </w14:solidFill>
          </w14:textFill>
        </w:rPr>
      </w:pPr>
    </w:p>
    <w:p>
      <w:pPr>
        <w:numPr>
          <w:ilvl w:val="0"/>
          <w:numId w:val="0"/>
        </w:numPr>
        <w:snapToGrid w:val="0"/>
        <w:spacing w:line="576" w:lineRule="exact"/>
        <w:ind w:firstLine="640" w:firstLineChars="200"/>
        <w:rPr>
          <w:rStyle w:val="30"/>
          <w:rFonts w:hint="eastAsia" w:ascii="黑体" w:hAnsi="黑体" w:eastAsia="黑体"/>
          <w:b w:val="0"/>
          <w:lang w:eastAsia="zh-CN"/>
        </w:rPr>
      </w:pPr>
      <w:bookmarkStart w:id="60" w:name="_Toc5819"/>
      <w:bookmarkStart w:id="61" w:name="_Toc1973"/>
      <w:bookmarkStart w:id="62" w:name="_Toc15396605"/>
      <w:bookmarkStart w:id="63" w:name="_Toc15377207"/>
      <w:bookmarkStart w:id="64" w:name="_Toc1193"/>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Style w:val="30"/>
          <w:rFonts w:hint="eastAsia" w:ascii="黑体" w:hAnsi="黑体" w:eastAsia="黑体"/>
          <w:b w:val="0"/>
          <w:lang w:eastAsia="zh-CN"/>
        </w:rPr>
        <w:t>三、支出决算情况说明</w:t>
      </w:r>
      <w:bookmarkEnd w:id="60"/>
      <w:bookmarkEnd w:id="61"/>
      <w:bookmarkEnd w:id="62"/>
      <w:bookmarkEnd w:id="63"/>
      <w:bookmarkEnd w:id="64"/>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65" w:name="_Toc22382"/>
      <w:bookmarkStart w:id="66" w:name="_Toc26070"/>
      <w:r>
        <w:rPr>
          <w:rFonts w:hint="eastAsia" w:ascii="仿宋_GB2312" w:eastAsia="仿宋_GB2312" w:hAnsiTheme="majorHAnsi" w:cstheme="majorBidi"/>
          <w:b w:val="0"/>
          <w:bCs/>
          <w:kern w:val="2"/>
          <w:sz w:val="32"/>
          <w:szCs w:val="32"/>
          <w:lang w:val="en-US" w:eastAsia="zh-CN" w:bidi="ar-SA"/>
        </w:rPr>
        <w:t>2021年本年支出合计4684.46万元，其中：基本支出187.65万元，占4%；项目支出4496.81万元，占96%；上缴上级支出0万元；经营支出0万元；对附属单位补助支出0万元。</w:t>
      </w:r>
      <w:bookmarkEnd w:id="65"/>
      <w:bookmarkEnd w:id="66"/>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（图3：支出决算结构图）（单位：万元）</w:t>
      </w:r>
    </w:p>
    <w:p>
      <w:pPr>
        <w:pageBreakBefore w:val="0"/>
        <w:widowControl w:val="0"/>
        <w:kinsoku/>
        <w:wordWrap/>
        <w:overflowPunct/>
        <w:topLinePunct w:val="0"/>
        <w:autoSpaceDE/>
        <w:autoSpaceDN/>
        <w:bidi w:val="0"/>
        <w:adjustRightInd/>
        <w:snapToGrid/>
        <w:spacing w:line="576" w:lineRule="exact"/>
        <w:ind w:firstLine="420" w:firstLineChars="200"/>
        <w:textAlignment w:val="auto"/>
        <w:rPr>
          <w:rFonts w:ascii="仿宋" w:hAnsi="仿宋" w:eastAsia="仿宋"/>
          <w:color w:val="000000" w:themeColor="text1"/>
          <w:sz w:val="32"/>
          <w:szCs w:val="32"/>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509270</wp:posOffset>
            </wp:positionH>
            <wp:positionV relativeFrom="paragraph">
              <wp:posOffset>247650</wp:posOffset>
            </wp:positionV>
            <wp:extent cx="3352800" cy="2800350"/>
            <wp:effectExtent l="4445" t="4445" r="14605" b="1460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FF0000"/>
          <w:sz w:val="32"/>
          <w:szCs w:val="32"/>
        </w:rPr>
      </w:pP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bookmarkStart w:id="67" w:name="_Toc20532"/>
      <w:bookmarkStart w:id="68" w:name="_Toc32595"/>
      <w:bookmarkStart w:id="69" w:name="_Toc15396606"/>
      <w:bookmarkStart w:id="70" w:name="_Toc15880"/>
      <w:bookmarkStart w:id="71" w:name="_Toc15377208"/>
      <w:r>
        <w:rPr>
          <w:rStyle w:val="30"/>
          <w:rFonts w:hint="eastAsia" w:ascii="黑体" w:hAnsi="黑体" w:eastAsia="黑体"/>
          <w:b w:val="0"/>
        </w:rPr>
        <w:t>四、财政拨款收入支出决算总体情况说明</w:t>
      </w:r>
      <w:bookmarkEnd w:id="67"/>
      <w:bookmarkEnd w:id="68"/>
      <w:bookmarkEnd w:id="69"/>
      <w:bookmarkEnd w:id="70"/>
      <w:bookmarkEnd w:id="71"/>
    </w:p>
    <w:p>
      <w:pPr>
        <w:spacing w:line="576" w:lineRule="exact"/>
        <w:ind w:firstLine="640"/>
        <w:rPr>
          <w:rFonts w:hint="eastAsia" w:ascii="仿宋_GB2312" w:eastAsia="仿宋_GB2312" w:hAnsiTheme="majorHAnsi" w:cstheme="majorBidi"/>
          <w:b w:val="0"/>
          <w:bCs/>
          <w:kern w:val="2"/>
          <w:sz w:val="32"/>
          <w:szCs w:val="32"/>
          <w:lang w:val="en-US" w:eastAsia="zh-CN" w:bidi="ar-SA"/>
        </w:rPr>
      </w:pPr>
      <w:bookmarkStart w:id="72" w:name="_Toc28985"/>
      <w:bookmarkStart w:id="73" w:name="_Toc28502"/>
      <w:r>
        <w:rPr>
          <w:rFonts w:hint="eastAsia" w:ascii="仿宋_GB2312" w:eastAsia="仿宋_GB2312" w:hAnsiTheme="majorHAnsi" w:cstheme="majorBidi"/>
          <w:b w:val="0"/>
          <w:bCs/>
          <w:kern w:val="2"/>
          <w:sz w:val="32"/>
          <w:szCs w:val="32"/>
          <w:lang w:val="en-US" w:eastAsia="zh-CN" w:bidi="ar-SA"/>
        </w:rPr>
        <w:t>2021年度收、支总计</w:t>
      </w:r>
      <w:bookmarkEnd w:id="72"/>
      <w:bookmarkEnd w:id="73"/>
      <w:r>
        <w:rPr>
          <w:rFonts w:hint="eastAsia" w:ascii="仿宋_GB2312" w:eastAsia="仿宋_GB2312" w:hAnsiTheme="majorHAnsi" w:cstheme="majorBidi"/>
          <w:b w:val="0"/>
          <w:bCs/>
          <w:kern w:val="2"/>
          <w:sz w:val="32"/>
          <w:szCs w:val="32"/>
          <w:lang w:val="en-US" w:eastAsia="zh-CN" w:bidi="ar-SA"/>
        </w:rPr>
        <w:t>4684.46万元。与2020年相比，收、支总计各减少2128.23万元，减少31.23%。主要变动原因：</w:t>
      </w:r>
      <w:r>
        <w:rPr>
          <w:rFonts w:hint="eastAsia" w:ascii="仿宋_GB2312" w:hAnsi="仿宋" w:eastAsia="仿宋_GB2312" w:cs="Times New Roman"/>
          <w:color w:val="000000"/>
          <w:sz w:val="32"/>
          <w:szCs w:val="32"/>
        </w:rPr>
        <w:t>（1）20</w:t>
      </w:r>
      <w:r>
        <w:rPr>
          <w:rFonts w:hint="eastAsia" w:ascii="仿宋_GB2312" w:hAnsi="仿宋" w:eastAsia="仿宋_GB2312" w:cs="Times New Roman"/>
          <w:color w:val="000000"/>
          <w:sz w:val="32"/>
          <w:szCs w:val="32"/>
          <w:lang w:val="en-US" w:eastAsia="zh-CN"/>
        </w:rPr>
        <w:t>21</w:t>
      </w:r>
      <w:r>
        <w:rPr>
          <w:rFonts w:hint="eastAsia" w:ascii="仿宋_GB2312" w:hAnsi="仿宋" w:eastAsia="仿宋_GB2312" w:cs="Times New Roman"/>
          <w:color w:val="000000"/>
          <w:sz w:val="32"/>
          <w:szCs w:val="32"/>
        </w:rPr>
        <w:t>年</w:t>
      </w:r>
      <w:r>
        <w:rPr>
          <w:rFonts w:hint="eastAsia" w:ascii="仿宋_GB2312" w:hAnsi="仿宋" w:eastAsia="仿宋_GB2312" w:cs="Times New Roman"/>
          <w:color w:val="000000"/>
          <w:sz w:val="32"/>
          <w:szCs w:val="32"/>
          <w:lang w:eastAsia="zh-CN"/>
        </w:rPr>
        <w:t>度减少了</w:t>
      </w:r>
      <w:r>
        <w:rPr>
          <w:rFonts w:hint="eastAsia" w:ascii="仿宋_GB2312" w:hAnsi="仿宋" w:eastAsia="仿宋_GB2312" w:cs="Times New Roman"/>
          <w:color w:val="000000"/>
          <w:sz w:val="32"/>
          <w:szCs w:val="32"/>
        </w:rPr>
        <w:t>民政困难群众临时价格补贴（2）是</w:t>
      </w:r>
      <w:r>
        <w:rPr>
          <w:rFonts w:hint="eastAsia" w:ascii="仿宋_GB2312" w:hAnsi="仿宋" w:eastAsia="仿宋_GB2312" w:cs="Times New Roman"/>
          <w:color w:val="000000"/>
          <w:sz w:val="32"/>
          <w:szCs w:val="32"/>
          <w:lang w:eastAsia="zh-CN"/>
        </w:rPr>
        <w:t>县级殡仪馆项目</w:t>
      </w:r>
      <w:r>
        <w:rPr>
          <w:rFonts w:hint="eastAsia" w:ascii="仿宋_GB2312" w:hAnsi="仿宋" w:eastAsia="仿宋_GB2312" w:cs="Times New Roman"/>
          <w:color w:val="000000"/>
          <w:sz w:val="32"/>
          <w:szCs w:val="32"/>
        </w:rPr>
        <w:t>建设</w:t>
      </w:r>
      <w:r>
        <w:rPr>
          <w:rFonts w:hint="eastAsia" w:ascii="仿宋_GB2312" w:hAnsi="仿宋" w:eastAsia="仿宋_GB2312" w:cs="Times New Roman"/>
          <w:color w:val="000000"/>
          <w:sz w:val="32"/>
          <w:szCs w:val="32"/>
          <w:lang w:eastAsia="zh-CN"/>
        </w:rPr>
        <w:t>完工（</w:t>
      </w: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lang w:eastAsia="zh-CN"/>
        </w:rPr>
        <w:t>）城乡低保对象减少。</w:t>
      </w:r>
    </w:p>
    <w:p>
      <w:pPr>
        <w:numPr>
          <w:ilvl w:val="0"/>
          <w:numId w:val="0"/>
        </w:numPr>
        <w:snapToGrid w:val="0"/>
        <w:spacing w:line="576" w:lineRule="exact"/>
        <w:ind w:firstLine="640" w:firstLineChars="200"/>
        <w:rPr>
          <w:rFonts w:hint="eastAsia" w:ascii="仿宋_GB2312" w:eastAsia="仿宋_GB2312" w:hAnsiTheme="majorHAnsi" w:cstheme="majorBidi"/>
          <w:b w:val="0"/>
          <w:bCs/>
          <w:kern w:val="2"/>
          <w:sz w:val="32"/>
          <w:szCs w:val="32"/>
          <w:lang w:val="en-US" w:eastAsia="zh-CN" w:bidi="ar-SA"/>
        </w:rPr>
      </w:pPr>
      <w:r>
        <w:rPr>
          <w:rFonts w:hint="eastAsia" w:ascii="仿宋_GB2312" w:eastAsia="仿宋_GB2312" w:hAnsiTheme="majorHAnsi" w:cstheme="majorBidi"/>
          <w:b w:val="0"/>
          <w:bCs/>
          <w:kern w:val="2"/>
          <w:sz w:val="32"/>
          <w:szCs w:val="32"/>
          <w:lang w:val="en-US" w:eastAsia="zh-CN" w:bidi="ar-SA"/>
        </w:rPr>
        <w:t>（图4：财政拨款收、支决算总计变动情况）（单位：万元）</w:t>
      </w:r>
    </w:p>
    <w:p>
      <w:pPr>
        <w:spacing w:line="600" w:lineRule="exact"/>
      </w:pPr>
      <w:r>
        <w:drawing>
          <wp:anchor distT="0" distB="0" distL="114300" distR="114300" simplePos="0" relativeHeight="251664384" behindDoc="0" locked="0" layoutInCell="1" allowOverlap="1">
            <wp:simplePos x="0" y="0"/>
            <wp:positionH relativeFrom="column">
              <wp:posOffset>623570</wp:posOffset>
            </wp:positionH>
            <wp:positionV relativeFrom="paragraph">
              <wp:posOffset>135255</wp:posOffset>
            </wp:positionV>
            <wp:extent cx="3505835" cy="2427605"/>
            <wp:effectExtent l="4445" t="4445" r="13970" b="6350"/>
            <wp:wrapSquare wrapText="bothSides"/>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pPr>
    </w:p>
    <w:p>
      <w:pPr>
        <w:spacing w:line="576" w:lineRule="exact"/>
        <w:outlineLvl w:val="1"/>
        <w:rPr>
          <w:rStyle w:val="30"/>
          <w:rFonts w:hint="eastAsia" w:ascii="黑体" w:hAnsi="黑体" w:eastAsia="黑体"/>
          <w:b w:val="0"/>
        </w:rPr>
      </w:pPr>
      <w:bookmarkStart w:id="74" w:name="_Toc32535"/>
      <w:bookmarkStart w:id="75" w:name="_Toc15396607"/>
      <w:bookmarkStart w:id="76" w:name="_Toc30780"/>
      <w:bookmarkStart w:id="77" w:name="_Toc15377209"/>
      <w:bookmarkStart w:id="78" w:name="_Toc14538"/>
    </w:p>
    <w:p>
      <w:pPr>
        <w:spacing w:line="576" w:lineRule="exact"/>
        <w:ind w:firstLine="640" w:firstLineChars="200"/>
        <w:outlineLvl w:val="1"/>
        <w:rPr>
          <w:rStyle w:val="30"/>
          <w:rFonts w:ascii="黑体" w:hAnsi="黑体" w:eastAsia="黑体"/>
          <w:b w:val="0"/>
        </w:rPr>
      </w:pPr>
      <w:r>
        <w:rPr>
          <w:rStyle w:val="30"/>
          <w:rFonts w:hint="eastAsia" w:ascii="黑体" w:hAnsi="黑体" w:eastAsia="黑体"/>
          <w:b w:val="0"/>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74"/>
      <w:bookmarkEnd w:id="75"/>
      <w:bookmarkEnd w:id="76"/>
      <w:bookmarkEnd w:id="77"/>
      <w:bookmarkEnd w:id="78"/>
      <w:bookmarkStart w:id="79" w:name="_Toc15377210"/>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80" w:name="_Toc17141"/>
      <w:bookmarkStart w:id="81" w:name="_Toc24133"/>
      <w:bookmarkStart w:id="82" w:name="_Toc17842"/>
      <w:r>
        <w:rPr>
          <w:rFonts w:hint="eastAsia" w:ascii="楷体_GB2312" w:hAnsi="仿宋" w:eastAsia="楷体_GB2312" w:cs="Times New Roman"/>
          <w:b/>
          <w:bCs w:val="0"/>
          <w:color w:val="000000"/>
          <w:kern w:val="2"/>
          <w:sz w:val="32"/>
          <w:szCs w:val="32"/>
          <w:lang w:val="en-US" w:eastAsia="zh-CN" w:bidi="ar-SA"/>
        </w:rPr>
        <w:t>（一）一般公共预算财政拨款支出决算总体情况</w:t>
      </w:r>
      <w:bookmarkEnd w:id="79"/>
      <w:bookmarkEnd w:id="80"/>
      <w:bookmarkEnd w:id="81"/>
      <w:bookmarkEnd w:id="82"/>
    </w:p>
    <w:p>
      <w:pPr>
        <w:spacing w:line="576" w:lineRule="exact"/>
        <w:ind w:firstLine="640"/>
        <w:rPr>
          <w:rFonts w:hint="eastAsia" w:ascii="仿宋_GB2312" w:hAnsi="仿宋" w:eastAsia="仿宋_GB2312" w:cs="Times New Roman"/>
          <w:color w:val="000000"/>
          <w:sz w:val="32"/>
          <w:szCs w:val="32"/>
          <w:lang w:eastAsia="zh-CN"/>
        </w:rPr>
      </w:pPr>
      <w:bookmarkStart w:id="83" w:name="_Toc23168"/>
      <w:bookmarkStart w:id="84" w:name="_Toc5058"/>
      <w:r>
        <w:rPr>
          <w:rFonts w:hint="eastAsia" w:ascii="仿宋_GB2312" w:hAnsi="仿宋" w:eastAsia="仿宋_GB2312" w:cs="Times New Roman"/>
          <w:color w:val="000000"/>
          <w:sz w:val="32"/>
          <w:szCs w:val="32"/>
        </w:rPr>
        <w:t>20</w:t>
      </w:r>
      <w:r>
        <w:rPr>
          <w:rFonts w:hint="eastAsia" w:ascii="仿宋_GB2312" w:hAnsi="仿宋" w:eastAsia="仿宋_GB2312" w:cs="Times New Roman"/>
          <w:color w:val="000000"/>
          <w:sz w:val="32"/>
          <w:szCs w:val="32"/>
          <w:lang w:val="en-US" w:eastAsia="zh-CN"/>
        </w:rPr>
        <w:t>21</w:t>
      </w:r>
      <w:r>
        <w:rPr>
          <w:rFonts w:hint="eastAsia" w:ascii="仿宋_GB2312" w:hAnsi="仿宋" w:eastAsia="仿宋_GB2312" w:cs="Times New Roman"/>
          <w:color w:val="000000"/>
          <w:sz w:val="32"/>
          <w:szCs w:val="32"/>
        </w:rPr>
        <w:t>年一般公共预算财政拨款支出</w:t>
      </w:r>
      <w:r>
        <w:rPr>
          <w:rFonts w:hint="eastAsia" w:ascii="仿宋_GB2312" w:hAnsi="仿宋" w:eastAsia="仿宋_GB2312" w:cs="Times New Roman"/>
          <w:color w:val="000000"/>
          <w:sz w:val="32"/>
          <w:szCs w:val="32"/>
          <w:lang w:val="en-US" w:eastAsia="zh-CN"/>
        </w:rPr>
        <w:t>4295.81</w:t>
      </w:r>
      <w:r>
        <w:rPr>
          <w:rFonts w:hint="eastAsia" w:ascii="仿宋_GB2312" w:hAnsi="仿宋" w:eastAsia="仿宋_GB2312" w:cs="Times New Roman"/>
          <w:color w:val="000000"/>
          <w:sz w:val="32"/>
          <w:szCs w:val="32"/>
        </w:rPr>
        <w:t>万元，占本年支出合计的</w:t>
      </w:r>
      <w:r>
        <w:rPr>
          <w:rFonts w:hint="eastAsia" w:ascii="仿宋_GB2312" w:hAnsi="仿宋" w:eastAsia="仿宋_GB2312" w:cs="Times New Roman"/>
          <w:color w:val="000000"/>
          <w:sz w:val="32"/>
          <w:szCs w:val="32"/>
          <w:lang w:val="en-US" w:eastAsia="zh-CN"/>
        </w:rPr>
        <w:t>91.7</w:t>
      </w:r>
      <w:r>
        <w:rPr>
          <w:rFonts w:hint="eastAsia" w:ascii="仿宋_GB2312" w:hAnsi="仿宋" w:eastAsia="仿宋_GB2312" w:cs="Times New Roman"/>
          <w:color w:val="000000"/>
          <w:sz w:val="32"/>
          <w:szCs w:val="32"/>
        </w:rPr>
        <w:t>%。与20</w:t>
      </w:r>
      <w:r>
        <w:rPr>
          <w:rFonts w:hint="eastAsia" w:ascii="仿宋_GB2312" w:hAnsi="仿宋" w:eastAsia="仿宋_GB2312" w:cs="Times New Roman"/>
          <w:color w:val="000000"/>
          <w:sz w:val="32"/>
          <w:szCs w:val="32"/>
          <w:lang w:val="en-US" w:eastAsia="zh-CN"/>
        </w:rPr>
        <w:t>20</w:t>
      </w:r>
      <w:r>
        <w:rPr>
          <w:rFonts w:hint="eastAsia" w:ascii="仿宋_GB2312" w:hAnsi="仿宋" w:eastAsia="仿宋_GB2312" w:cs="Times New Roman"/>
          <w:color w:val="000000"/>
          <w:sz w:val="32"/>
          <w:szCs w:val="32"/>
        </w:rPr>
        <w:t>年相比，一般公共预算财政拨款</w:t>
      </w:r>
      <w:r>
        <w:rPr>
          <w:rFonts w:hint="eastAsia" w:ascii="仿宋_GB2312" w:hAnsi="仿宋" w:eastAsia="仿宋_GB2312" w:cs="Times New Roman"/>
          <w:color w:val="000000"/>
          <w:sz w:val="32"/>
          <w:szCs w:val="32"/>
          <w:lang w:eastAsia="zh-CN"/>
        </w:rPr>
        <w:t>减少</w:t>
      </w:r>
      <w:r>
        <w:rPr>
          <w:rFonts w:hint="eastAsia" w:ascii="仿宋_GB2312" w:hAnsi="仿宋" w:eastAsia="仿宋_GB2312" w:cs="Times New Roman"/>
          <w:color w:val="000000"/>
          <w:sz w:val="32"/>
          <w:szCs w:val="32"/>
          <w:lang w:val="en-US" w:eastAsia="zh-CN"/>
        </w:rPr>
        <w:t>1891.58</w:t>
      </w:r>
      <w:r>
        <w:rPr>
          <w:rFonts w:hint="eastAsia" w:ascii="仿宋_GB2312" w:hAnsi="仿宋" w:eastAsia="仿宋_GB2312" w:cs="Times New Roman"/>
          <w:color w:val="000000"/>
          <w:sz w:val="32"/>
          <w:szCs w:val="32"/>
        </w:rPr>
        <w:t>万元，</w:t>
      </w:r>
      <w:r>
        <w:rPr>
          <w:rFonts w:hint="eastAsia" w:ascii="仿宋_GB2312" w:hAnsi="仿宋" w:eastAsia="仿宋_GB2312" w:cs="Times New Roman"/>
          <w:color w:val="000000"/>
          <w:sz w:val="32"/>
          <w:szCs w:val="32"/>
          <w:lang w:eastAsia="zh-CN"/>
        </w:rPr>
        <w:t>减少</w:t>
      </w:r>
      <w:r>
        <w:rPr>
          <w:rFonts w:hint="eastAsia" w:ascii="仿宋_GB2312" w:hAnsi="仿宋" w:eastAsia="仿宋_GB2312" w:cs="Times New Roman"/>
          <w:color w:val="000000"/>
          <w:sz w:val="32"/>
          <w:szCs w:val="32"/>
          <w:lang w:val="en-US" w:eastAsia="zh-CN"/>
        </w:rPr>
        <w:t>30.57</w:t>
      </w:r>
      <w:r>
        <w:rPr>
          <w:rFonts w:hint="eastAsia" w:ascii="仿宋_GB2312" w:hAnsi="仿宋" w:eastAsia="仿宋_GB2312" w:cs="Times New Roman"/>
          <w:color w:val="000000"/>
          <w:sz w:val="32"/>
          <w:szCs w:val="32"/>
        </w:rPr>
        <w:t>%。</w:t>
      </w:r>
      <w:bookmarkEnd w:id="83"/>
      <w:bookmarkEnd w:id="84"/>
      <w:bookmarkStart w:id="85" w:name="_Toc2362"/>
      <w:bookmarkStart w:id="86" w:name="_Toc11367"/>
      <w:r>
        <w:rPr>
          <w:rFonts w:hint="eastAsia" w:ascii="仿宋_GB2312" w:eastAsia="仿宋_GB2312" w:hAnsiTheme="majorHAnsi" w:cstheme="majorBidi"/>
          <w:b w:val="0"/>
          <w:bCs/>
          <w:kern w:val="2"/>
          <w:sz w:val="32"/>
          <w:szCs w:val="32"/>
          <w:lang w:val="en-US" w:eastAsia="zh-CN" w:bidi="ar-SA"/>
        </w:rPr>
        <w:t>主要变动原因：</w:t>
      </w:r>
      <w:r>
        <w:rPr>
          <w:rFonts w:hint="eastAsia" w:ascii="仿宋_GB2312" w:hAnsi="仿宋" w:eastAsia="仿宋_GB2312" w:cs="Times New Roman"/>
          <w:color w:val="000000"/>
          <w:sz w:val="32"/>
          <w:szCs w:val="32"/>
        </w:rPr>
        <w:t>（1）20</w:t>
      </w:r>
      <w:r>
        <w:rPr>
          <w:rFonts w:hint="eastAsia" w:ascii="仿宋_GB2312" w:hAnsi="仿宋" w:eastAsia="仿宋_GB2312" w:cs="Times New Roman"/>
          <w:color w:val="000000"/>
          <w:sz w:val="32"/>
          <w:szCs w:val="32"/>
          <w:lang w:val="en-US" w:eastAsia="zh-CN"/>
        </w:rPr>
        <w:t>21</w:t>
      </w:r>
      <w:r>
        <w:rPr>
          <w:rFonts w:hint="eastAsia" w:ascii="仿宋_GB2312" w:hAnsi="仿宋" w:eastAsia="仿宋_GB2312" w:cs="Times New Roman"/>
          <w:color w:val="000000"/>
          <w:sz w:val="32"/>
          <w:szCs w:val="32"/>
        </w:rPr>
        <w:t>年</w:t>
      </w:r>
      <w:r>
        <w:rPr>
          <w:rFonts w:hint="eastAsia" w:ascii="仿宋_GB2312" w:hAnsi="仿宋" w:eastAsia="仿宋_GB2312" w:cs="Times New Roman"/>
          <w:color w:val="000000"/>
          <w:sz w:val="32"/>
          <w:szCs w:val="32"/>
          <w:lang w:eastAsia="zh-CN"/>
        </w:rPr>
        <w:t>度减少了</w:t>
      </w:r>
      <w:r>
        <w:rPr>
          <w:rFonts w:hint="eastAsia" w:ascii="仿宋_GB2312" w:hAnsi="仿宋" w:eastAsia="仿宋_GB2312" w:cs="Times New Roman"/>
          <w:color w:val="000000"/>
          <w:sz w:val="32"/>
          <w:szCs w:val="32"/>
        </w:rPr>
        <w:t>民政困难群众临时价格补贴</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lang w:eastAsia="zh-CN"/>
        </w:rPr>
        <w:t>）城乡低保对象减少。</w:t>
      </w:r>
    </w:p>
    <w:p>
      <w:pPr>
        <w:spacing w:line="576" w:lineRule="exact"/>
        <w:ind w:firstLine="64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（图5：一般公共预算财政拨款支出决算变动情况）（单位：万元）</w:t>
      </w:r>
      <w:bookmarkEnd w:id="85"/>
      <w:bookmarkEnd w:id="86"/>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576" w:lineRule="exact"/>
        <w:ind w:firstLine="642" w:firstLineChars="200"/>
        <w:outlineLvl w:val="9"/>
        <w:rPr>
          <w:rFonts w:hint="eastAsia" w:ascii="楷体_GB2312" w:hAnsi="仿宋" w:eastAsia="楷体_GB2312"/>
          <w:b/>
          <w:color w:val="000000"/>
          <w:sz w:val="32"/>
          <w:szCs w:val="32"/>
        </w:rPr>
      </w:pPr>
      <w:bookmarkStart w:id="87" w:name="_Toc15377211"/>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420" w:firstLineChars="200"/>
        <w:outlineLvl w:val="9"/>
        <w:rPr>
          <w:rFonts w:hint="eastAsia" w:ascii="楷体_GB2312" w:hAnsi="仿宋" w:eastAsia="楷体_GB2312"/>
          <w:b/>
          <w:color w:val="000000"/>
          <w:sz w:val="32"/>
          <w:szCs w:val="32"/>
        </w:rPr>
      </w:pPr>
      <w:r>
        <w:drawing>
          <wp:anchor distT="0" distB="0" distL="114300" distR="114300" simplePos="0" relativeHeight="251665408" behindDoc="0" locked="0" layoutInCell="1" allowOverlap="1">
            <wp:simplePos x="0" y="0"/>
            <wp:positionH relativeFrom="column">
              <wp:posOffset>271145</wp:posOffset>
            </wp:positionH>
            <wp:positionV relativeFrom="paragraph">
              <wp:posOffset>-2617470</wp:posOffset>
            </wp:positionV>
            <wp:extent cx="4305300" cy="2905125"/>
            <wp:effectExtent l="4445" t="4445" r="14605" b="5080"/>
            <wp:wrapSquare wrapText="bothSides"/>
            <wp:docPr id="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5"/>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88" w:name="_Toc5749"/>
      <w:bookmarkStart w:id="89" w:name="_Toc10092"/>
      <w:bookmarkStart w:id="90" w:name="_Toc13963"/>
      <w:r>
        <w:rPr>
          <w:rFonts w:hint="eastAsia" w:ascii="楷体_GB2312" w:hAnsi="仿宋" w:eastAsia="楷体_GB2312" w:cs="Times New Roman"/>
          <w:b/>
          <w:bCs w:val="0"/>
          <w:color w:val="000000"/>
          <w:kern w:val="2"/>
          <w:sz w:val="32"/>
          <w:szCs w:val="32"/>
          <w:lang w:val="en-US" w:eastAsia="zh-CN" w:bidi="ar-SA"/>
        </w:rPr>
        <w:t>（二）一般公共预算财政拨款支出决算结构情况</w:t>
      </w:r>
      <w:bookmarkEnd w:id="87"/>
      <w:bookmarkEnd w:id="88"/>
      <w:bookmarkEnd w:id="89"/>
      <w:bookmarkEnd w:id="90"/>
    </w:p>
    <w:p>
      <w:pPr>
        <w:spacing w:line="576" w:lineRule="exact"/>
        <w:ind w:firstLine="64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年一般公共预算财</w:t>
      </w:r>
      <w:r>
        <w:rPr>
          <w:rFonts w:hint="eastAsia" w:ascii="仿宋_GB2312" w:hAnsi="仿宋" w:eastAsia="仿宋_GB2312"/>
          <w:color w:val="000000" w:themeColor="text1"/>
          <w:sz w:val="32"/>
          <w:szCs w:val="32"/>
          <w14:textFill>
            <w14:solidFill>
              <w14:schemeClr w14:val="tx1"/>
            </w14:solidFill>
          </w14:textFill>
        </w:rPr>
        <w:t>政拨款支出</w:t>
      </w:r>
      <w:r>
        <w:rPr>
          <w:rFonts w:hint="eastAsia" w:ascii="仿宋_GB2312" w:hAnsi="仿宋" w:eastAsia="仿宋_GB2312"/>
          <w:color w:val="000000" w:themeColor="text1"/>
          <w:sz w:val="32"/>
          <w:szCs w:val="32"/>
          <w:lang w:val="en-US" w:eastAsia="zh-CN"/>
          <w14:textFill>
            <w14:solidFill>
              <w14:schemeClr w14:val="tx1"/>
            </w14:solidFill>
          </w14:textFill>
        </w:rPr>
        <w:t>4295.81</w:t>
      </w:r>
      <w:r>
        <w:rPr>
          <w:rFonts w:hint="eastAsia" w:ascii="仿宋_GB2312" w:hAnsi="仿宋" w:eastAsia="仿宋_GB2312"/>
          <w:color w:val="000000" w:themeColor="text1"/>
          <w:sz w:val="32"/>
          <w:szCs w:val="32"/>
          <w14:textFill>
            <w14:solidFill>
              <w14:schemeClr w14:val="tx1"/>
            </w14:solidFill>
          </w14:textFill>
        </w:rPr>
        <w:t>万元，主要用于以下方面:</w:t>
      </w:r>
      <w:r>
        <w:rPr>
          <w:rFonts w:hint="eastAsia" w:ascii="仿宋_GB2312" w:hAnsi="仿宋" w:eastAsia="仿宋_GB2312"/>
          <w:b/>
          <w:color w:val="000000" w:themeColor="text1"/>
          <w:sz w:val="32"/>
          <w:szCs w:val="32"/>
          <w14:textFill>
            <w14:solidFill>
              <w14:schemeClr w14:val="tx1"/>
            </w14:solidFill>
          </w14:textFill>
        </w:rPr>
        <w:t>社会保障和就业（类）</w:t>
      </w:r>
      <w:r>
        <w:rPr>
          <w:rFonts w:hint="eastAsia" w:ascii="仿宋_GB2312" w:hAnsi="仿宋" w:eastAsia="仿宋_GB2312"/>
          <w:color w:val="000000" w:themeColor="text1"/>
          <w:sz w:val="32"/>
          <w:szCs w:val="32"/>
          <w14:textFill>
            <w14:solidFill>
              <w14:schemeClr w14:val="tx1"/>
            </w14:solidFill>
          </w14:textFill>
        </w:rPr>
        <w:t>支出</w:t>
      </w:r>
      <w:r>
        <w:rPr>
          <w:rFonts w:hint="eastAsia" w:ascii="仿宋_GB2312" w:hAnsi="仿宋" w:eastAsia="仿宋_GB2312"/>
          <w:color w:val="000000" w:themeColor="text1"/>
          <w:sz w:val="32"/>
          <w:szCs w:val="32"/>
          <w:lang w:val="en-US" w:eastAsia="zh-CN"/>
          <w14:textFill>
            <w14:solidFill>
              <w14:schemeClr w14:val="tx1"/>
            </w14:solidFill>
          </w14:textFill>
        </w:rPr>
        <w:t>4274.37</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99.5</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卫生健康支出</w:t>
      </w:r>
      <w:r>
        <w:rPr>
          <w:rFonts w:hint="eastAsia" w:ascii="仿宋_GB2312" w:hAnsi="仿宋" w:eastAsia="仿宋_GB2312"/>
          <w:color w:val="000000" w:themeColor="text1"/>
          <w:sz w:val="32"/>
          <w:szCs w:val="32"/>
          <w:lang w:val="en-US" w:eastAsia="zh-CN"/>
          <w14:textFill>
            <w14:solidFill>
              <w14:schemeClr w14:val="tx1"/>
            </w14:solidFill>
          </w14:textFill>
        </w:rPr>
        <w:t>9.02</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0.21</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b/>
          <w:bCs/>
          <w:color w:val="000000" w:themeColor="text1"/>
          <w:sz w:val="32"/>
          <w:szCs w:val="32"/>
          <w14:textFill>
            <w14:solidFill>
              <w14:schemeClr w14:val="tx1"/>
            </w14:solidFill>
          </w14:textFill>
        </w:rPr>
        <w:t>农林水支出（类）</w:t>
      </w:r>
      <w:r>
        <w:rPr>
          <w:rFonts w:hint="eastAsia" w:ascii="仿宋_GB2312" w:hAnsi="仿宋" w:eastAsia="仿宋_GB2312"/>
          <w:sz w:val="32"/>
          <w:szCs w:val="32"/>
          <w:lang w:val="en-US" w:eastAsia="zh-CN"/>
        </w:rPr>
        <w:t>0.84</w:t>
      </w:r>
      <w:r>
        <w:rPr>
          <w:rFonts w:hint="eastAsia" w:ascii="仿宋_GB2312" w:hAnsi="仿宋" w:eastAsia="仿宋_GB2312"/>
          <w:sz w:val="32"/>
          <w:szCs w:val="32"/>
        </w:rPr>
        <w:t>万元，占0.0</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b/>
          <w:bCs/>
          <w:color w:val="000000" w:themeColor="text1"/>
          <w:sz w:val="32"/>
          <w:szCs w:val="32"/>
          <w14:textFill>
            <w14:solidFill>
              <w14:schemeClr w14:val="tx1"/>
            </w14:solidFill>
          </w14:textFill>
        </w:rPr>
        <w:t>住房保障支出（类）</w:t>
      </w:r>
      <w:r>
        <w:rPr>
          <w:rFonts w:hint="eastAsia" w:ascii="仿宋_GB2312" w:hAnsi="仿宋" w:eastAsia="仿宋_GB2312"/>
          <w:color w:val="000000" w:themeColor="text1"/>
          <w:sz w:val="32"/>
          <w:szCs w:val="32"/>
          <w:lang w:val="en-US" w:eastAsia="zh-CN"/>
          <w14:textFill>
            <w14:solidFill>
              <w14:schemeClr w14:val="tx1"/>
            </w14:solidFill>
          </w14:textFill>
        </w:rPr>
        <w:t>11.59</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0.27</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w:t>
      </w:r>
    </w:p>
    <w:p>
      <w:pPr>
        <w:spacing w:line="576" w:lineRule="exact"/>
        <w:ind w:left="319" w:leftChars="152" w:firstLine="320" w:firstLineChars="10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      （单位：万元）</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6432" behindDoc="0" locked="0" layoutInCell="1" allowOverlap="1">
            <wp:simplePos x="0" y="0"/>
            <wp:positionH relativeFrom="column">
              <wp:posOffset>756920</wp:posOffset>
            </wp:positionH>
            <wp:positionV relativeFrom="paragraph">
              <wp:posOffset>268605</wp:posOffset>
            </wp:positionV>
            <wp:extent cx="3554095" cy="2646680"/>
            <wp:effectExtent l="4445" t="4445" r="22860" b="15875"/>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576" w:lineRule="exact"/>
        <w:ind w:firstLine="642" w:firstLineChars="200"/>
        <w:outlineLvl w:val="9"/>
        <w:rPr>
          <w:rFonts w:hint="eastAsia" w:ascii="楷体_GB2312" w:hAnsi="仿宋" w:eastAsia="楷体_GB2312"/>
          <w:b/>
          <w:color w:val="000000"/>
          <w:sz w:val="32"/>
          <w:szCs w:val="32"/>
        </w:rPr>
      </w:pPr>
      <w:bookmarkStart w:id="91" w:name="_Toc15377212"/>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spacing w:line="576" w:lineRule="exact"/>
        <w:ind w:firstLine="642" w:firstLineChars="200"/>
        <w:outlineLvl w:val="9"/>
        <w:rPr>
          <w:rFonts w:hint="eastAsia" w:ascii="楷体_GB2312" w:hAnsi="仿宋" w:eastAsia="楷体_GB2312"/>
          <w:b/>
          <w:color w:val="000000"/>
          <w:sz w:val="32"/>
          <w:szCs w:val="32"/>
        </w:rPr>
      </w:pPr>
    </w:p>
    <w:p>
      <w:pPr>
        <w:pStyle w:val="5"/>
        <w:numPr>
          <w:ilvl w:val="0"/>
          <w:numId w:val="2"/>
        </w:numPr>
        <w:spacing w:before="0" w:after="0" w:line="576" w:lineRule="exact"/>
        <w:ind w:firstLine="642" w:firstLineChars="200"/>
        <w:rPr>
          <w:rFonts w:hint="eastAsia" w:ascii="楷体_GB2312" w:hAnsi="仿宋" w:eastAsia="楷体_GB2312" w:cs="Times New Roman"/>
          <w:b/>
          <w:bCs w:val="0"/>
          <w:color w:val="000000"/>
          <w:kern w:val="2"/>
          <w:sz w:val="32"/>
          <w:szCs w:val="32"/>
          <w:lang w:val="en-US" w:eastAsia="zh-CN" w:bidi="ar-SA"/>
        </w:rPr>
      </w:pPr>
      <w:bookmarkStart w:id="92" w:name="_Toc17447"/>
      <w:bookmarkStart w:id="93" w:name="_Toc22395"/>
      <w:bookmarkStart w:id="94" w:name="_Toc16182"/>
      <w:r>
        <w:rPr>
          <w:rFonts w:hint="eastAsia" w:ascii="楷体_GB2312" w:hAnsi="仿宋" w:eastAsia="楷体_GB2312" w:cs="Times New Roman"/>
          <w:b/>
          <w:bCs w:val="0"/>
          <w:color w:val="000000"/>
          <w:kern w:val="2"/>
          <w:sz w:val="32"/>
          <w:szCs w:val="32"/>
          <w:lang w:val="en-US" w:eastAsia="zh-CN" w:bidi="ar-SA"/>
        </w:rPr>
        <w:t>一般公共预算财政拨款支出决算具体情况</w:t>
      </w:r>
      <w:bookmarkEnd w:id="91"/>
      <w:bookmarkEnd w:id="92"/>
      <w:bookmarkEnd w:id="93"/>
      <w:bookmarkEnd w:id="94"/>
      <w:bookmarkStart w:id="95" w:name="_Toc31605"/>
      <w:bookmarkStart w:id="96" w:name="_Toc15377444"/>
      <w:bookmarkStart w:id="97" w:name="_Toc15377213"/>
      <w:bookmarkStart w:id="98" w:name="_Toc5691"/>
      <w:bookmarkStart w:id="99" w:name="_Toc15378460"/>
    </w:p>
    <w:p>
      <w:pPr>
        <w:bidi w:val="0"/>
        <w:ind w:firstLine="642"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val="en-US" w:eastAsia="zh-CN"/>
        </w:rPr>
        <w:t>2021年一</w:t>
      </w:r>
      <w:r>
        <w:rPr>
          <w:rFonts w:hint="eastAsia" w:ascii="仿宋_GB2312" w:hAnsi="仿宋" w:eastAsia="仿宋_GB2312" w:cs="Times New Roman"/>
          <w:b/>
          <w:bCs/>
          <w:sz w:val="32"/>
          <w:szCs w:val="32"/>
        </w:rPr>
        <w:t>般公共预算支出决算数为</w:t>
      </w:r>
      <w:r>
        <w:rPr>
          <w:rFonts w:hint="eastAsia" w:ascii="仿宋_GB2312" w:hAnsi="仿宋" w:eastAsia="仿宋_GB2312" w:cs="Times New Roman"/>
          <w:b/>
          <w:bCs/>
          <w:sz w:val="32"/>
          <w:szCs w:val="32"/>
          <w:lang w:val="en-US" w:eastAsia="zh-CN"/>
        </w:rPr>
        <w:t>4295.81</w:t>
      </w:r>
      <w:r>
        <w:rPr>
          <w:rFonts w:hint="eastAsia" w:ascii="仿宋_GB2312" w:hAnsi="仿宋" w:eastAsia="仿宋_GB2312" w:cs="Times New Roman"/>
          <w:b/>
          <w:bCs/>
          <w:sz w:val="32"/>
          <w:szCs w:val="32"/>
        </w:rPr>
        <w:t>万元，完成预算</w:t>
      </w:r>
      <w:r>
        <w:rPr>
          <w:rFonts w:hint="eastAsia" w:ascii="仿宋_GB2312" w:hAnsi="仿宋" w:eastAsia="仿宋_GB2312" w:cs="Times New Roman"/>
          <w:b/>
          <w:bCs/>
          <w:sz w:val="32"/>
          <w:szCs w:val="32"/>
          <w:lang w:val="en-US" w:eastAsia="zh-CN"/>
        </w:rPr>
        <w:t>100</w:t>
      </w:r>
      <w:r>
        <w:rPr>
          <w:rFonts w:hint="eastAsia" w:ascii="仿宋_GB2312" w:hAnsi="仿宋" w:eastAsia="仿宋_GB2312" w:cs="Times New Roman"/>
          <w:b/>
          <w:bCs/>
          <w:sz w:val="32"/>
          <w:szCs w:val="32"/>
        </w:rPr>
        <w:t>%。其中：</w:t>
      </w:r>
      <w:bookmarkEnd w:id="95"/>
      <w:bookmarkEnd w:id="96"/>
      <w:bookmarkEnd w:id="97"/>
      <w:bookmarkEnd w:id="98"/>
      <w:bookmarkEnd w:id="99"/>
      <w:bookmarkStart w:id="100" w:name="_Toc14035"/>
      <w:bookmarkStart w:id="101" w:name="_Toc19250"/>
    </w:p>
    <w:p>
      <w:pPr>
        <w:numPr>
          <w:ilvl w:val="0"/>
          <w:numId w:val="0"/>
        </w:numPr>
        <w:bidi w:val="0"/>
        <w:ind w:firstLine="642" w:firstLineChars="200"/>
        <w:rPr>
          <w:rFonts w:hint="eastAsia" w:ascii="仿宋_GB2312" w:hAnsi="仿宋" w:eastAsia="仿宋_GB2312"/>
          <w:sz w:val="32"/>
          <w:szCs w:val="32"/>
        </w:rPr>
      </w:pPr>
      <w:r>
        <w:rPr>
          <w:rFonts w:hint="eastAsia" w:ascii="仿宋_GB2312" w:hAnsi="仿宋" w:eastAsia="仿宋_GB2312" w:cs="Times New Roman"/>
          <w:b/>
          <w:bCs/>
          <w:sz w:val="32"/>
          <w:szCs w:val="32"/>
          <w:lang w:val="en-US" w:eastAsia="zh-CN"/>
        </w:rPr>
        <w:t>1.</w:t>
      </w:r>
      <w:r>
        <w:rPr>
          <w:rFonts w:hint="eastAsia" w:ascii="仿宋_GB2312" w:hAnsi="仿宋" w:eastAsia="仿宋_GB2312" w:cs="Times New Roman"/>
          <w:b/>
          <w:bCs/>
          <w:sz w:val="32"/>
          <w:szCs w:val="32"/>
        </w:rPr>
        <w:t xml:space="preserve">社会保障和就业（类）民政管理事务（款）行政运行（项）: </w:t>
      </w:r>
      <w:r>
        <w:rPr>
          <w:rFonts w:hint="eastAsia" w:ascii="仿宋_GB2312" w:hAnsi="仿宋" w:eastAsia="仿宋_GB2312"/>
          <w:sz w:val="32"/>
          <w:szCs w:val="32"/>
        </w:rPr>
        <w:t>支出决算为</w:t>
      </w:r>
      <w:r>
        <w:rPr>
          <w:rFonts w:hint="eastAsia" w:ascii="仿宋_GB2312" w:hAnsi="仿宋" w:eastAsia="仿宋_GB2312"/>
          <w:sz w:val="32"/>
          <w:szCs w:val="32"/>
          <w:lang w:val="en-US" w:eastAsia="zh-CN"/>
        </w:rPr>
        <w:t>149.87</w:t>
      </w:r>
      <w:r>
        <w:rPr>
          <w:rFonts w:hint="eastAsia" w:ascii="仿宋_GB2312" w:hAnsi="仿宋" w:eastAsia="仿宋_GB2312"/>
          <w:sz w:val="32"/>
          <w:szCs w:val="32"/>
        </w:rPr>
        <w:t>万元，完成预算</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bookmarkEnd w:id="100"/>
      <w:bookmarkEnd w:id="101"/>
      <w:bookmarkStart w:id="102" w:name="_Toc14728"/>
      <w:bookmarkStart w:id="103" w:name="_Toc32428"/>
    </w:p>
    <w:bookmarkEnd w:id="102"/>
    <w:bookmarkEnd w:id="103"/>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2.社会保障和就业（类）民政管理事务（款）其他民政管理事务支出（项）: </w:t>
      </w:r>
      <w:r>
        <w:rPr>
          <w:rFonts w:hint="eastAsia" w:ascii="仿宋_GB2312" w:hAnsi="仿宋" w:eastAsia="仿宋_GB2312" w:cs="Times New Roman"/>
          <w:sz w:val="32"/>
          <w:szCs w:val="32"/>
          <w:lang w:val="en-US" w:eastAsia="zh-CN"/>
        </w:rPr>
        <w:t>支出决算为70.67万元，完成预算100%。</w:t>
      </w:r>
      <w:bookmarkStart w:id="104" w:name="_Toc8811"/>
      <w:bookmarkStart w:id="105" w:name="_Toc20901"/>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3.社会保障和就业（类）行政事业单位养老支出（款）机关事业单位基本养老保险缴费支出（项）: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支出决算为11.45万元，完成预算100%。</w:t>
      </w:r>
      <w:bookmarkEnd w:id="104"/>
      <w:bookmarkEnd w:id="105"/>
    </w:p>
    <w:p>
      <w:pPr>
        <w:numPr>
          <w:ilvl w:val="0"/>
          <w:numId w:val="0"/>
        </w:numPr>
        <w:bidi w:val="0"/>
        <w:ind w:firstLine="642" w:firstLineChars="200"/>
        <w:rPr>
          <w:rStyle w:val="18"/>
          <w:rFonts w:hint="eastAsia" w:ascii="仿宋_GB2312" w:hAnsi="仿宋" w:eastAsia="仿宋_GB2312" w:cs="Times New Roman"/>
          <w:bCs/>
          <w:color w:val="000000"/>
          <w:sz w:val="32"/>
          <w:szCs w:val="32"/>
          <w:lang w:val="en-US" w:eastAsia="zh-CN"/>
        </w:rPr>
      </w:pPr>
      <w:r>
        <w:rPr>
          <w:rFonts w:hint="eastAsia" w:ascii="仿宋_GB2312" w:hAnsi="仿宋" w:eastAsia="仿宋_GB2312" w:cs="Times New Roman"/>
          <w:b/>
          <w:bCs/>
          <w:sz w:val="32"/>
          <w:szCs w:val="32"/>
          <w:lang w:val="en-US" w:eastAsia="zh-CN"/>
        </w:rPr>
        <w:t xml:space="preserve">4.社会保障和就业（类）行政事业单位养老支出（款）机关事业单位职业年金缴费支出（项）: </w:t>
      </w:r>
      <w:r>
        <w:rPr>
          <w:rFonts w:hint="eastAsia" w:ascii="仿宋_GB2312" w:hAnsi="仿宋" w:eastAsia="仿宋_GB2312" w:cs="Times New Roman"/>
          <w:sz w:val="32"/>
          <w:szCs w:val="32"/>
          <w:lang w:val="en-US" w:eastAsia="zh-CN"/>
        </w:rPr>
        <w:t>支出决算为5.73万元，完成预算100%。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5.社会保障和就业（类）社会福利（款）儿童福利（项）: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支出决算为26.46万元，完成预算100%。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6.社会保障和就业（类）社会福利（款）老年福利（项）: </w:t>
      </w:r>
      <w:r>
        <w:rPr>
          <w:rFonts w:hint="eastAsia" w:ascii="仿宋_GB2312" w:hAnsi="仿宋" w:eastAsia="仿宋_GB2312" w:cs="Times New Roman"/>
          <w:sz w:val="32"/>
          <w:szCs w:val="32"/>
          <w:lang w:val="en-US" w:eastAsia="zh-CN"/>
        </w:rPr>
        <w:t>支出决算为212.71万元，完成预算100%。</w:t>
      </w:r>
    </w:p>
    <w:p>
      <w:pPr>
        <w:numPr>
          <w:ilvl w:val="0"/>
          <w:numId w:val="0"/>
        </w:numPr>
        <w:bidi w:val="0"/>
        <w:ind w:firstLine="642" w:firstLineChars="200"/>
        <w:rPr>
          <w:rFonts w:hint="default"/>
          <w:lang w:val="en-US" w:eastAsia="zh-CN"/>
        </w:rPr>
      </w:pPr>
      <w:r>
        <w:rPr>
          <w:rFonts w:hint="eastAsia" w:ascii="仿宋_GB2312" w:hAnsi="仿宋" w:eastAsia="仿宋_GB2312" w:cs="Times New Roman"/>
          <w:b/>
          <w:bCs/>
          <w:sz w:val="32"/>
          <w:szCs w:val="32"/>
          <w:lang w:val="en-US" w:eastAsia="zh-CN"/>
        </w:rPr>
        <w:t xml:space="preserve">7.社会保障和就业（类）社会福利（款）养老服务（项）: </w:t>
      </w:r>
      <w:r>
        <w:rPr>
          <w:rFonts w:hint="eastAsia" w:ascii="仿宋_GB2312" w:hAnsi="仿宋" w:eastAsia="仿宋_GB2312" w:cs="Times New Roman"/>
          <w:sz w:val="32"/>
          <w:szCs w:val="32"/>
          <w:lang w:val="en-US" w:eastAsia="zh-CN"/>
        </w:rPr>
        <w:t>支出决算为0.98万元，完成预算100%。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8.社会保障和就业（类）残疾人事业（款）残疾人生活和护理补贴（项）: </w:t>
      </w:r>
      <w:r>
        <w:rPr>
          <w:rFonts w:hint="eastAsia" w:ascii="仿宋_GB2312" w:hAnsi="仿宋" w:eastAsia="仿宋_GB2312" w:cs="Times New Roman"/>
          <w:sz w:val="32"/>
          <w:szCs w:val="32"/>
          <w:lang w:val="en-US" w:eastAsia="zh-CN"/>
        </w:rPr>
        <w:t>支出决算为122.9万元，完成预算100%。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9.社会保障和就业（类）最低生活保障（款）城市最低生活保障金支出（项）: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支出决算为2187.01万元，完成预算100%。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10.社会保障和就业（类）最低生活保障（款）农村最低生活保障金支出（项）: </w:t>
      </w:r>
      <w:r>
        <w:rPr>
          <w:rFonts w:hint="eastAsia" w:ascii="仿宋_GB2312" w:hAnsi="仿宋" w:eastAsia="仿宋_GB2312" w:cs="Times New Roman"/>
          <w:sz w:val="32"/>
          <w:szCs w:val="32"/>
          <w:lang w:val="en-US" w:eastAsia="zh-CN"/>
        </w:rPr>
        <w:t>支出决算为271.99万元，完成预算100%。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11.社会保障和就业（类）临时救助（款）临时救助支出（项）: </w:t>
      </w:r>
      <w:r>
        <w:rPr>
          <w:rFonts w:hint="eastAsia" w:ascii="仿宋_GB2312" w:hAnsi="仿宋" w:eastAsia="仿宋_GB2312" w:cs="Times New Roman"/>
          <w:sz w:val="32"/>
          <w:szCs w:val="32"/>
          <w:lang w:val="en-US" w:eastAsia="zh-CN"/>
        </w:rPr>
        <w:t>支出决算为51.38万元，完成预算100%。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12.社会保障和就业（类）临时救助（款）流浪乞讨人员救助支出（项）: </w:t>
      </w:r>
      <w:r>
        <w:rPr>
          <w:rFonts w:hint="eastAsia" w:ascii="仿宋_GB2312" w:hAnsi="仿宋" w:eastAsia="仿宋_GB2312" w:cs="Times New Roman"/>
          <w:sz w:val="32"/>
          <w:szCs w:val="32"/>
          <w:lang w:val="en-US" w:eastAsia="zh-CN"/>
        </w:rPr>
        <w:t>支出决算为2.44万元，完成预算100%。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13.社会保障和就业（类）特困人员救助供养（款）城市特困人员救助供养支出（项）: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支出决算为95.9万元，完成预算100%。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14.社会保障和就业（类）特困人员救助供养（款）农村特困人员救助供养支出（项）:</w:t>
      </w:r>
      <w:r>
        <w:rPr>
          <w:rStyle w:val="18"/>
          <w:rFonts w:hint="eastAsia" w:ascii="仿宋_GB2312" w:hAnsi="仿宋" w:eastAsia="仿宋_GB2312" w:cs="Times New Roman"/>
          <w:bCs/>
          <w:color w:val="000000"/>
          <w:sz w:val="32"/>
          <w:szCs w:val="32"/>
          <w:lang w:val="en-US" w:eastAsia="zh-CN"/>
        </w:rPr>
        <w:t xml:space="preserve"> </w:t>
      </w:r>
      <w:r>
        <w:rPr>
          <w:rFonts w:hint="eastAsia" w:ascii="仿宋_GB2312" w:hAnsi="仿宋" w:eastAsia="仿宋_GB2312" w:cs="Times New Roman"/>
          <w:sz w:val="32"/>
          <w:szCs w:val="32"/>
          <w:lang w:val="en-US" w:eastAsia="zh-CN"/>
        </w:rPr>
        <w:t>支出决算为365.43万元，完成预算100%。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15.社会保障和就业（类）其他生活救助（款）其他城市生活救助（项）: </w:t>
      </w:r>
      <w:r>
        <w:rPr>
          <w:rFonts w:hint="eastAsia" w:ascii="仿宋_GB2312" w:hAnsi="仿宋" w:eastAsia="仿宋_GB2312" w:cs="Times New Roman"/>
          <w:sz w:val="32"/>
          <w:szCs w:val="32"/>
          <w:lang w:val="en-US" w:eastAsia="zh-CN"/>
        </w:rPr>
        <w:t>支出决算为234.77万元，完成预算100%。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16.社会保障和就业（类）其他生活救助（款）其他农村生活救助（项）: </w:t>
      </w:r>
      <w:r>
        <w:rPr>
          <w:rFonts w:hint="eastAsia" w:ascii="仿宋_GB2312" w:hAnsi="仿宋" w:eastAsia="仿宋_GB2312" w:cs="Times New Roman"/>
          <w:sz w:val="32"/>
          <w:szCs w:val="32"/>
          <w:lang w:val="en-US" w:eastAsia="zh-CN"/>
        </w:rPr>
        <w:t xml:space="preserve">支出决算为218.22万元，完成预算100%。          </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 xml:space="preserve">17.社会保障和就业（类）退役军人管理事务（款）拥军优属（项）: </w:t>
      </w:r>
      <w:r>
        <w:rPr>
          <w:rFonts w:hint="eastAsia" w:ascii="仿宋_GB2312" w:hAnsi="仿宋" w:eastAsia="仿宋_GB2312" w:cs="Times New Roman"/>
          <w:sz w:val="32"/>
          <w:szCs w:val="32"/>
          <w:lang w:val="en-US" w:eastAsia="zh-CN"/>
        </w:rPr>
        <w:t>支出决算为3.48万元，完成预算100%。</w:t>
      </w:r>
    </w:p>
    <w:p>
      <w:pPr>
        <w:numPr>
          <w:ilvl w:val="0"/>
          <w:numId w:val="0"/>
        </w:numPr>
        <w:bidi w:val="0"/>
        <w:ind w:firstLine="642" w:firstLineChars="200"/>
        <w:rPr>
          <w:rStyle w:val="18"/>
          <w:rFonts w:hint="eastAsia" w:ascii="仿宋_GB2312" w:hAnsi="仿宋" w:eastAsia="仿宋_GB2312" w:cs="Times New Roman"/>
          <w:bCs/>
          <w:color w:val="000000"/>
          <w:sz w:val="32"/>
          <w:szCs w:val="32"/>
          <w:lang w:val="en-US" w:eastAsia="zh-CN"/>
        </w:rPr>
      </w:pPr>
      <w:r>
        <w:rPr>
          <w:rFonts w:hint="eastAsia" w:ascii="仿宋_GB2312" w:hAnsi="仿宋" w:eastAsia="仿宋_GB2312" w:cs="Times New Roman"/>
          <w:b/>
          <w:bCs/>
          <w:sz w:val="32"/>
          <w:szCs w:val="32"/>
          <w:lang w:val="en-US" w:eastAsia="zh-CN"/>
        </w:rPr>
        <w:t xml:space="preserve">18.社会保障和就业（类）其他社会保障和就业支出（款）其他社会保障和就业支出（项）: </w:t>
      </w:r>
      <w:r>
        <w:rPr>
          <w:rFonts w:hint="eastAsia" w:ascii="仿宋_GB2312" w:hAnsi="仿宋" w:eastAsia="仿宋_GB2312" w:cs="Times New Roman"/>
          <w:sz w:val="32"/>
          <w:szCs w:val="32"/>
          <w:lang w:val="en-US" w:eastAsia="zh-CN"/>
        </w:rPr>
        <w:t>支出决算为242.98万元，完成预算100%。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19.卫生健康支出（类）行政事业单位医疗（款）行政单位医疗（项）:</w:t>
      </w:r>
      <w:r>
        <w:rPr>
          <w:rFonts w:hint="eastAsia" w:ascii="仿宋_GB2312" w:hAnsi="仿宋" w:eastAsia="仿宋_GB2312" w:cs="Times New Roman"/>
          <w:sz w:val="32"/>
          <w:szCs w:val="32"/>
          <w:lang w:val="en-US" w:eastAsia="zh-CN"/>
        </w:rPr>
        <w:t>支出决算为9.02万元，完成预算100%。</w:t>
      </w:r>
    </w:p>
    <w:p>
      <w:pPr>
        <w:numPr>
          <w:ilvl w:val="0"/>
          <w:numId w:val="0"/>
        </w:numPr>
        <w:bidi w:val="0"/>
        <w:ind w:firstLine="642"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b/>
          <w:bCs/>
          <w:sz w:val="32"/>
          <w:szCs w:val="32"/>
          <w:lang w:val="en-US" w:eastAsia="zh-CN"/>
        </w:rPr>
        <w:t>20.农林水支出（类）扶贫（款）其他扶贫支出（项）:</w:t>
      </w:r>
      <w:r>
        <w:rPr>
          <w:rFonts w:hint="eastAsia" w:ascii="仿宋_GB2312" w:hAnsi="仿宋" w:eastAsia="仿宋_GB2312" w:cs="Times New Roman"/>
          <w:sz w:val="32"/>
          <w:szCs w:val="32"/>
          <w:lang w:val="en-US" w:eastAsia="zh-CN"/>
        </w:rPr>
        <w:t>支出决算为0.84万元，完成预算100%。</w:t>
      </w:r>
    </w:p>
    <w:p>
      <w:pPr>
        <w:numPr>
          <w:ilvl w:val="0"/>
          <w:numId w:val="0"/>
        </w:numPr>
        <w:bidi w:val="0"/>
        <w:ind w:firstLine="642" w:firstLineChars="200"/>
        <w:rPr>
          <w:rStyle w:val="18"/>
          <w:rFonts w:hint="eastAsia" w:ascii="仿宋_GB2312" w:hAnsi="仿宋" w:eastAsia="仿宋_GB2312" w:cs="Times New Roman"/>
          <w:bCs/>
          <w:color w:val="000000"/>
          <w:sz w:val="32"/>
          <w:szCs w:val="32"/>
          <w:lang w:val="en-US" w:eastAsia="zh-CN"/>
        </w:rPr>
      </w:pPr>
      <w:r>
        <w:rPr>
          <w:rFonts w:hint="eastAsia" w:ascii="仿宋_GB2312" w:hAnsi="仿宋" w:eastAsia="仿宋_GB2312" w:cs="Times New Roman"/>
          <w:b/>
          <w:bCs/>
          <w:sz w:val="32"/>
          <w:szCs w:val="32"/>
          <w:lang w:val="en-US" w:eastAsia="zh-CN"/>
        </w:rPr>
        <w:t>21.住房保障支出（类）住房改革支出（款）住房公积金（项）:</w:t>
      </w:r>
      <w:r>
        <w:rPr>
          <w:rFonts w:hint="eastAsia" w:ascii="仿宋_GB2312" w:hAnsi="仿宋" w:eastAsia="仿宋_GB2312" w:cs="Times New Roman"/>
          <w:sz w:val="32"/>
          <w:szCs w:val="32"/>
          <w:lang w:val="en-US" w:eastAsia="zh-CN"/>
        </w:rPr>
        <w:t>支出决算为11.59万元，完成预算100%。</w:t>
      </w:r>
    </w:p>
    <w:p>
      <w:pPr>
        <w:tabs>
          <w:tab w:val="right" w:pos="8306"/>
        </w:tabs>
        <w:spacing w:line="576" w:lineRule="exact"/>
        <w:ind w:firstLine="640"/>
        <w:outlineLvl w:val="1"/>
        <w:rPr>
          <w:rStyle w:val="30"/>
        </w:rPr>
      </w:pPr>
      <w:bookmarkStart w:id="106" w:name="_Toc12394"/>
      <w:bookmarkStart w:id="107" w:name="_Toc3219"/>
      <w:bookmarkStart w:id="108" w:name="_Toc15377214"/>
      <w:bookmarkStart w:id="109" w:name="_Toc15396608"/>
      <w:bookmarkStart w:id="110" w:name="_Toc8289"/>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106"/>
      <w:bookmarkEnd w:id="107"/>
      <w:bookmarkEnd w:id="108"/>
      <w:bookmarkEnd w:id="109"/>
      <w:bookmarkEnd w:id="110"/>
      <w:r>
        <w:rPr>
          <w:rStyle w:val="30"/>
          <w:rFonts w:ascii="黑体" w:hAnsi="黑体" w:eastAsia="黑体"/>
          <w:b w:val="0"/>
        </w:rPr>
        <w:tab/>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年一般公共预算财政拨款基本支出</w:t>
      </w:r>
      <w:r>
        <w:rPr>
          <w:rFonts w:hint="eastAsia" w:ascii="仿宋_GB2312" w:hAnsi="仿宋" w:eastAsia="仿宋_GB2312"/>
          <w:color w:val="000000"/>
          <w:sz w:val="32"/>
          <w:szCs w:val="32"/>
          <w:lang w:val="en-US" w:eastAsia="zh-CN"/>
        </w:rPr>
        <w:t>187.65</w:t>
      </w:r>
      <w:r>
        <w:rPr>
          <w:rFonts w:hint="eastAsia" w:ascii="仿宋_GB2312" w:hAnsi="仿宋" w:eastAsia="仿宋_GB2312"/>
          <w:color w:val="000000"/>
          <w:sz w:val="32"/>
          <w:szCs w:val="32"/>
        </w:rPr>
        <w:t>万元，其中：</w:t>
      </w:r>
    </w:p>
    <w:p>
      <w:pPr>
        <w:spacing w:line="576" w:lineRule="exact"/>
        <w:ind w:firstLine="645"/>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人员经费</w:t>
      </w:r>
      <w:r>
        <w:rPr>
          <w:rFonts w:hint="eastAsia" w:ascii="仿宋_GB2312" w:hAnsi="仿宋" w:eastAsia="仿宋_GB2312"/>
          <w:color w:val="000000"/>
          <w:sz w:val="32"/>
          <w:szCs w:val="32"/>
          <w:lang w:val="en-US" w:eastAsia="zh-CN"/>
        </w:rPr>
        <w:t>180.15</w:t>
      </w:r>
      <w:r>
        <w:rPr>
          <w:rFonts w:hint="eastAsia" w:ascii="仿宋_GB2312" w:hAnsi="仿宋"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日常公用经费</w:t>
      </w:r>
      <w:r>
        <w:rPr>
          <w:rFonts w:hint="eastAsia" w:ascii="仿宋_GB2312" w:hAnsi="仿宋" w:eastAsia="仿宋_GB2312"/>
          <w:color w:val="000000"/>
          <w:sz w:val="32"/>
          <w:szCs w:val="32"/>
          <w:lang w:val="en-US" w:eastAsia="zh-CN"/>
        </w:rPr>
        <w:t>7.5</w:t>
      </w:r>
      <w:r>
        <w:rPr>
          <w:rFonts w:hint="eastAsia" w:ascii="仿宋_GB2312" w:hAnsi="仿宋"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111" w:name="_Toc15396609"/>
      <w:bookmarkStart w:id="112" w:name="_Toc15377215"/>
    </w:p>
    <w:p>
      <w:pPr>
        <w:pStyle w:val="5"/>
        <w:bidi w:val="0"/>
        <w:rPr>
          <w:rFonts w:hint="eastAsia" w:ascii="黑体" w:hAnsi="Times New Roman" w:eastAsia="黑体" w:cs="Times New Roman"/>
          <w:b w:val="0"/>
          <w:bCs w:val="0"/>
          <w:color w:val="000000"/>
          <w:kern w:val="2"/>
          <w:sz w:val="32"/>
          <w:szCs w:val="32"/>
          <w:lang w:val="en-US" w:eastAsia="zh-CN" w:bidi="ar-SA"/>
        </w:rPr>
      </w:pPr>
      <w:bookmarkStart w:id="113" w:name="_Toc460"/>
      <w:r>
        <w:rPr>
          <w:rFonts w:hint="eastAsia" w:ascii="黑体" w:hAnsi="Times New Roman" w:eastAsia="黑体" w:cs="Times New Roman"/>
          <w:b w:val="0"/>
          <w:bCs w:val="0"/>
          <w:color w:val="000000"/>
          <w:kern w:val="2"/>
          <w:sz w:val="32"/>
          <w:szCs w:val="32"/>
          <w:lang w:val="en-US" w:eastAsia="zh-CN" w:bidi="ar-SA"/>
        </w:rPr>
        <w:t>七、“三公”经费财政拨款支出决算情况说明</w:t>
      </w:r>
      <w:bookmarkEnd w:id="111"/>
      <w:bookmarkEnd w:id="112"/>
      <w:bookmarkEnd w:id="113"/>
      <w:bookmarkStart w:id="114" w:name="_Toc15377216"/>
    </w:p>
    <w:p>
      <w:pPr>
        <w:spacing w:line="576" w:lineRule="exact"/>
        <w:ind w:firstLine="645"/>
        <w:rPr>
          <w:rFonts w:ascii="楷体_GB2312" w:hAnsi="仿宋" w:eastAsia="楷体_GB2312"/>
          <w:color w:val="000000"/>
          <w:sz w:val="32"/>
          <w:szCs w:val="32"/>
        </w:rPr>
      </w:pPr>
      <w:r>
        <w:rPr>
          <w:rFonts w:hint="eastAsia" w:ascii="楷体_GB2312" w:hAnsi="仿宋" w:eastAsia="楷体_GB2312"/>
          <w:b/>
          <w:color w:val="000000"/>
          <w:sz w:val="32"/>
          <w:szCs w:val="32"/>
        </w:rPr>
        <w:t>（一）“三公”经费财政拨款支出决算总体情况说明</w:t>
      </w:r>
      <w:bookmarkEnd w:id="114"/>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年“三公”经费财政拨款支出决算为</w:t>
      </w:r>
      <w:r>
        <w:rPr>
          <w:rFonts w:hint="eastAsia" w:ascii="仿宋_GB2312" w:hAnsi="仿宋" w:eastAsia="仿宋_GB2312"/>
          <w:color w:val="000000"/>
          <w:sz w:val="32"/>
          <w:szCs w:val="32"/>
          <w:lang w:val="en-US" w:eastAsia="zh-CN"/>
        </w:rPr>
        <w:t>5.95</w:t>
      </w:r>
      <w:r>
        <w:rPr>
          <w:rFonts w:hint="eastAsia" w:ascii="仿宋_GB2312" w:hAnsi="仿宋" w:eastAsia="仿宋_GB2312"/>
          <w:color w:val="000000"/>
          <w:sz w:val="32"/>
          <w:szCs w:val="32"/>
        </w:rPr>
        <w:t>万元，完成预算100%。</w:t>
      </w:r>
      <w:bookmarkStart w:id="115" w:name="_Toc15377217"/>
    </w:p>
    <w:p>
      <w:pPr>
        <w:spacing w:line="576" w:lineRule="exact"/>
        <w:ind w:firstLine="640"/>
        <w:rPr>
          <w:rFonts w:hint="eastAsia" w:ascii="楷体_GB2312" w:hAnsi="仿宋" w:eastAsia="楷体_GB2312"/>
          <w:b/>
          <w:color w:val="000000"/>
          <w:sz w:val="32"/>
          <w:szCs w:val="32"/>
        </w:rPr>
      </w:pPr>
      <w:r>
        <w:rPr>
          <w:rFonts w:hint="eastAsia" w:ascii="楷体_GB2312" w:hAnsi="仿宋" w:eastAsia="楷体_GB2312"/>
          <w:b/>
          <w:color w:val="000000"/>
          <w:sz w:val="32"/>
          <w:szCs w:val="32"/>
        </w:rPr>
        <w:t>（二）“三公”经费财政拨款支出决算具体情况说明</w:t>
      </w:r>
      <w:bookmarkEnd w:id="115"/>
    </w:p>
    <w:p>
      <w:pPr>
        <w:spacing w:line="576"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21</w:t>
      </w:r>
      <w:r>
        <w:rPr>
          <w:rFonts w:hint="eastAsia" w:ascii="仿宋_GB2312" w:hAnsi="仿宋" w:eastAsia="仿宋_GB2312"/>
          <w:color w:val="000000"/>
          <w:sz w:val="32"/>
          <w:szCs w:val="32"/>
        </w:rPr>
        <w:t>年“三公”经费财政拨款支出决算中，因公出国（境）费支出决算0万元；公务用车购置及运行维护费支出决算</w:t>
      </w:r>
      <w:r>
        <w:rPr>
          <w:rFonts w:hint="eastAsia" w:ascii="仿宋_GB2312" w:hAnsi="仿宋" w:eastAsia="仿宋_GB2312"/>
          <w:color w:val="000000"/>
          <w:sz w:val="32"/>
          <w:szCs w:val="32"/>
          <w:lang w:val="en-US" w:eastAsia="zh-CN"/>
        </w:rPr>
        <w:t>5.91</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99.33</w:t>
      </w:r>
      <w:r>
        <w:rPr>
          <w:rFonts w:hint="eastAsia" w:ascii="仿宋_GB2312" w:hAnsi="仿宋" w:eastAsia="仿宋_GB2312"/>
          <w:color w:val="000000"/>
          <w:sz w:val="32"/>
          <w:szCs w:val="32"/>
        </w:rPr>
        <w:t>%；公务接待费支出决算</w:t>
      </w:r>
      <w:r>
        <w:rPr>
          <w:rFonts w:hint="eastAsia" w:ascii="仿宋_GB2312" w:hAnsi="仿宋" w:eastAsia="仿宋_GB2312"/>
          <w:color w:val="000000"/>
          <w:sz w:val="32"/>
          <w:szCs w:val="32"/>
          <w:lang w:val="en-US" w:eastAsia="zh-CN"/>
        </w:rPr>
        <w:t>0.04</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0.67</w:t>
      </w:r>
      <w:r>
        <w:rPr>
          <w:rFonts w:hint="eastAsia" w:ascii="仿宋_GB2312" w:hAnsi="仿宋" w:eastAsia="仿宋_GB2312"/>
          <w:color w:val="000000"/>
          <w:sz w:val="32"/>
          <w:szCs w:val="32"/>
        </w:rPr>
        <w:t>%。具体情况如下：</w:t>
      </w:r>
    </w:p>
    <w:p>
      <w:pPr>
        <w:spacing w:line="576" w:lineRule="exact"/>
        <w:rPr>
          <w:rFonts w:ascii="仿宋_GB2312" w:hAnsi="仿宋" w:eastAsia="仿宋_GB2312"/>
          <w:color w:val="000000"/>
          <w:sz w:val="32"/>
          <w:szCs w:val="32"/>
        </w:rPr>
      </w:pPr>
      <w:r>
        <w:rPr>
          <w:rFonts w:hint="eastAsia" w:ascii="仿宋_GB2312" w:hAnsi="仿宋" w:eastAsia="仿宋_GB2312"/>
          <w:color w:val="000000"/>
          <w:sz w:val="32"/>
          <w:szCs w:val="32"/>
        </w:rPr>
        <w:t>（图7：“三公”经费财政拨款支出结构）（单位:万元）</w:t>
      </w:r>
    </w:p>
    <w:p>
      <w:pPr>
        <w:spacing w:line="576" w:lineRule="exact"/>
        <w:rPr>
          <w:rFonts w:ascii="仿宋" w:hAnsi="仿宋" w:eastAsia="仿宋"/>
          <w:color w:val="000000"/>
          <w:sz w:val="32"/>
          <w:szCs w:val="32"/>
        </w:rPr>
      </w:pPr>
    </w:p>
    <w:p>
      <w:pPr>
        <w:pStyle w:val="2"/>
        <w:rPr>
          <w:rFonts w:ascii="仿宋" w:hAnsi="仿宋" w:eastAsia="仿宋"/>
          <w:color w:val="000000"/>
          <w:sz w:val="32"/>
          <w:szCs w:val="32"/>
        </w:rPr>
      </w:pPr>
      <w:r>
        <w:drawing>
          <wp:inline distT="0" distB="0" distL="114300" distR="114300">
            <wp:extent cx="3639185" cy="2781300"/>
            <wp:effectExtent l="4445" t="4445" r="13970"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tabs>
          <w:tab w:val="left" w:pos="312"/>
        </w:tabs>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lang w:val="en-US" w:eastAsia="zh-CN"/>
        </w:rPr>
        <w:t>5.91</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1.74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41.72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两项改革“后半篇”下乡次数增多</w:t>
      </w: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辆、执法执勤用车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w:t>
      </w:r>
    </w:p>
    <w:p>
      <w:pPr>
        <w:tabs>
          <w:tab w:val="left" w:pos="312"/>
        </w:tabs>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5.91</w:t>
      </w:r>
      <w:r>
        <w:rPr>
          <w:rFonts w:hint="eastAsia" w:ascii="仿宋_GB2312" w:eastAsia="仿宋_GB2312"/>
          <w:color w:val="000000"/>
          <w:sz w:val="32"/>
          <w:szCs w:val="32"/>
        </w:rPr>
        <w:t>万元。主要用于</w:t>
      </w:r>
      <w:r>
        <w:rPr>
          <w:rFonts w:hint="eastAsia" w:ascii="仿宋_GB2312" w:hAnsi="仿宋" w:eastAsia="仿宋_GB2312"/>
          <w:sz w:val="30"/>
          <w:szCs w:val="30"/>
        </w:rPr>
        <w:t>乡</w:t>
      </w:r>
      <w:r>
        <w:rPr>
          <w:rFonts w:hint="eastAsia" w:ascii="仿宋_GB2312" w:eastAsia="仿宋_GB2312"/>
          <w:color w:val="000000"/>
          <w:sz w:val="32"/>
          <w:szCs w:val="32"/>
        </w:rPr>
        <w:t>镇走访、核实、慰问民政对象</w:t>
      </w:r>
      <w:r>
        <w:rPr>
          <w:rFonts w:hint="eastAsia" w:ascii="仿宋_GB2312" w:eastAsia="仿宋_GB2312"/>
          <w:color w:val="000000"/>
          <w:sz w:val="32"/>
          <w:szCs w:val="32"/>
          <w:lang w:eastAsia="zh-CN"/>
        </w:rPr>
        <w:t>及两项改革“后半篇”</w:t>
      </w:r>
      <w:r>
        <w:rPr>
          <w:rFonts w:hint="eastAsia" w:ascii="仿宋_GB2312" w:eastAsia="仿宋_GB2312"/>
          <w:color w:val="000000"/>
          <w:sz w:val="32"/>
          <w:szCs w:val="32"/>
        </w:rPr>
        <w:t>等所需的公务用车燃料费、维修费、过路过桥费、保险费等支出。</w:t>
      </w:r>
    </w:p>
    <w:p>
      <w:pPr>
        <w:tabs>
          <w:tab w:val="left" w:pos="312"/>
        </w:tabs>
        <w:spacing w:line="576" w:lineRule="exact"/>
        <w:ind w:firstLine="642" w:firstLineChars="200"/>
        <w:rPr>
          <w:rFonts w:ascii="仿宋_GB2312" w:eastAsia="仿宋_GB2312"/>
          <w:color w:val="000000"/>
          <w:sz w:val="32"/>
          <w:szCs w:val="32"/>
          <w:highlight w:val="none"/>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0.04</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0.04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。主要上级检查接待增加</w:t>
      </w:r>
      <w:r>
        <w:rPr>
          <w:rFonts w:hint="eastAsia" w:ascii="仿宋_GB2312" w:eastAsia="仿宋_GB2312"/>
          <w:color w:val="000000"/>
          <w:sz w:val="32"/>
          <w:szCs w:val="32"/>
          <w:lang w:eastAsia="zh-CN"/>
        </w:rPr>
        <w:t>。</w:t>
      </w:r>
      <w:r>
        <w:rPr>
          <w:rFonts w:hint="eastAsia" w:ascii="仿宋" w:eastAsia="仿宋"/>
          <w:b/>
          <w:color w:val="000000"/>
          <w:sz w:val="32"/>
          <w:szCs w:val="32"/>
        </w:rPr>
        <w:t>国内公务接待支出</w:t>
      </w:r>
      <w:r>
        <w:rPr>
          <w:rFonts w:ascii="仿宋" w:eastAsia="仿宋"/>
          <w:color w:val="000000"/>
          <w:sz w:val="32"/>
          <w:szCs w:val="32"/>
        </w:rPr>
        <w:t>0.</w:t>
      </w:r>
      <w:r>
        <w:rPr>
          <w:rFonts w:hint="eastAsia" w:ascii="仿宋" w:eastAsia="仿宋"/>
          <w:color w:val="000000"/>
          <w:sz w:val="32"/>
          <w:szCs w:val="32"/>
          <w:lang w:val="en-US" w:eastAsia="zh-CN"/>
        </w:rPr>
        <w:t>04</w:t>
      </w:r>
      <w:r>
        <w:rPr>
          <w:rFonts w:hint="eastAsia" w:ascii="仿宋_GB2312" w:eastAsia="仿宋_GB2312"/>
          <w:color w:val="000000"/>
          <w:sz w:val="32"/>
          <w:szCs w:val="32"/>
        </w:rPr>
        <w:t>万元，主要用于执行公务、开展业务活动开支的用餐费。国内公务接待</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批</w:t>
      </w:r>
      <w:r>
        <w:rPr>
          <w:rFonts w:hint="eastAsia" w:ascii="仿宋_GB2312" w:eastAsia="仿宋_GB2312"/>
          <w:color w:val="auto"/>
          <w:sz w:val="32"/>
          <w:szCs w:val="32"/>
        </w:rPr>
        <w:t>次，</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人次</w:t>
      </w:r>
      <w:r>
        <w:rPr>
          <w:rFonts w:hint="eastAsia" w:ascii="仿宋_GB2312" w:eastAsia="仿宋_GB2312"/>
          <w:color w:val="auto"/>
          <w:sz w:val="32"/>
          <w:szCs w:val="32"/>
          <w:lang w:eastAsia="zh-CN"/>
        </w:rPr>
        <w:t>，</w:t>
      </w:r>
      <w:r>
        <w:rPr>
          <w:rFonts w:hint="eastAsia" w:ascii="仿宋_GB2312" w:eastAsia="仿宋_GB2312"/>
          <w:color w:val="auto"/>
          <w:sz w:val="32"/>
          <w:szCs w:val="32"/>
        </w:rPr>
        <w:t>具体内容包括：</w:t>
      </w:r>
      <w:r>
        <w:rPr>
          <w:rFonts w:hint="eastAsia" w:ascii="仿宋_GB2312" w:eastAsia="仿宋_GB2312"/>
          <w:color w:val="auto"/>
          <w:sz w:val="32"/>
          <w:szCs w:val="32"/>
          <w:lang w:eastAsia="zh-CN"/>
        </w:rPr>
        <w:t>州民政局到我县开展调研工作。</w:t>
      </w:r>
    </w:p>
    <w:p>
      <w:pPr>
        <w:spacing w:line="576" w:lineRule="exact"/>
        <w:ind w:firstLine="640"/>
        <w:outlineLvl w:val="1"/>
        <w:rPr>
          <w:rStyle w:val="30"/>
          <w:rFonts w:ascii="黑体" w:hAnsi="黑体" w:eastAsia="黑体"/>
        </w:rPr>
      </w:pPr>
      <w:bookmarkStart w:id="116" w:name="_Toc15377218"/>
      <w:bookmarkStart w:id="117" w:name="_Toc15396610"/>
      <w:bookmarkStart w:id="118" w:name="_Toc31204"/>
      <w:bookmarkStart w:id="119" w:name="_Toc25296"/>
      <w:bookmarkStart w:id="120" w:name="_Toc2770"/>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116"/>
      <w:bookmarkEnd w:id="117"/>
      <w:bookmarkEnd w:id="118"/>
      <w:bookmarkEnd w:id="119"/>
      <w:bookmarkEnd w:id="120"/>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187.31</w:t>
      </w:r>
      <w:r>
        <w:rPr>
          <w:rFonts w:hint="eastAsia" w:ascii="仿宋_GB2312" w:eastAsia="仿宋_GB2312"/>
          <w:color w:val="000000"/>
          <w:sz w:val="32"/>
          <w:szCs w:val="32"/>
        </w:rPr>
        <w:t>万元。</w:t>
      </w:r>
    </w:p>
    <w:p>
      <w:pPr>
        <w:numPr>
          <w:ilvl w:val="0"/>
          <w:numId w:val="3"/>
        </w:numPr>
        <w:spacing w:line="576" w:lineRule="exact"/>
        <w:ind w:firstLine="640"/>
        <w:outlineLvl w:val="1"/>
        <w:rPr>
          <w:rStyle w:val="30"/>
          <w:rFonts w:ascii="黑体" w:hAnsi="黑体" w:eastAsia="黑体"/>
          <w:b w:val="0"/>
        </w:rPr>
      </w:pPr>
      <w:bookmarkStart w:id="121" w:name="_Toc8575"/>
      <w:bookmarkStart w:id="122" w:name="_Toc15396611"/>
      <w:bookmarkStart w:id="123" w:name="_Toc31023"/>
      <w:bookmarkStart w:id="124" w:name="_Toc15377219"/>
      <w:bookmarkStart w:id="125" w:name="_Toc11604"/>
      <w:r>
        <w:rPr>
          <w:rStyle w:val="30"/>
          <w:rFonts w:hint="eastAsia" w:ascii="黑体" w:hAnsi="黑体" w:eastAsia="黑体"/>
          <w:b w:val="0"/>
        </w:rPr>
        <w:t>国有资本经营预算支出决算情况说明</w:t>
      </w:r>
      <w:bookmarkEnd w:id="121"/>
      <w:bookmarkEnd w:id="122"/>
      <w:bookmarkEnd w:id="123"/>
      <w:bookmarkEnd w:id="124"/>
      <w:bookmarkEnd w:id="125"/>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年国有资本经营预算拨款支出0万元。</w:t>
      </w:r>
      <w:bookmarkStart w:id="126" w:name="_Toc15377221"/>
      <w:bookmarkStart w:id="127" w:name="_Toc15396612"/>
    </w:p>
    <w:p>
      <w:pPr>
        <w:spacing w:line="576" w:lineRule="exact"/>
        <w:ind w:firstLine="640"/>
        <w:rPr>
          <w:rStyle w:val="30"/>
          <w:rFonts w:ascii="仿宋_GB2312" w:hAnsi="Times New Roman" w:eastAsia="仿宋_GB2312" w:cs="Times New Roman"/>
          <w:b w:val="0"/>
          <w:bCs w:val="0"/>
          <w:color w:val="000000"/>
        </w:rPr>
      </w:pPr>
      <w:bookmarkStart w:id="128" w:name="_Toc20223"/>
      <w:r>
        <w:rPr>
          <w:rStyle w:val="30"/>
          <w:rFonts w:hint="eastAsia" w:ascii="黑体" w:hAnsi="黑体" w:eastAsia="黑体"/>
          <w:b w:val="0"/>
        </w:rPr>
        <w:t>十、其他重要事项的情况说明</w:t>
      </w:r>
      <w:bookmarkEnd w:id="126"/>
      <w:bookmarkEnd w:id="127"/>
      <w:bookmarkStart w:id="129" w:name="_Toc15377222"/>
    </w:p>
    <w:bookmarkEnd w:id="128"/>
    <w:p>
      <w:pPr>
        <w:autoSpaceDE w:val="0"/>
        <w:autoSpaceDN w:val="0"/>
        <w:adjustRightInd w:val="0"/>
        <w:spacing w:line="576" w:lineRule="exact"/>
        <w:ind w:firstLine="642" w:firstLineChars="200"/>
        <w:jc w:val="left"/>
        <w:outlineLvl w:val="2"/>
        <w:rPr>
          <w:rFonts w:hint="eastAsia" w:ascii="楷体_GB2312" w:hAnsi="仿宋" w:eastAsia="楷体_GB2312" w:cs="Times New Roman"/>
          <w:b/>
          <w:color w:val="000000"/>
          <w:sz w:val="32"/>
          <w:szCs w:val="32"/>
        </w:rPr>
      </w:pPr>
      <w:bookmarkStart w:id="130" w:name="_Toc29512"/>
      <w:r>
        <w:rPr>
          <w:rFonts w:hint="eastAsia" w:ascii="楷体_GB2312" w:hAnsi="仿宋" w:eastAsia="楷体_GB2312" w:cs="Times New Roman"/>
          <w:b/>
          <w:color w:val="000000"/>
          <w:sz w:val="32"/>
          <w:szCs w:val="32"/>
        </w:rPr>
        <w:t>（一）机关运行经费支出情况</w:t>
      </w:r>
      <w:bookmarkEnd w:id="129"/>
      <w:bookmarkEnd w:id="130"/>
    </w:p>
    <w:p>
      <w:pPr>
        <w:spacing w:line="576"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年，民政局机关运行经费支出</w:t>
      </w:r>
      <w:r>
        <w:rPr>
          <w:rFonts w:hint="eastAsia" w:ascii="仿宋_GB2312" w:eastAsia="仿宋_GB2312"/>
          <w:color w:val="000000"/>
          <w:sz w:val="32"/>
          <w:szCs w:val="32"/>
          <w:lang w:val="en-US" w:eastAsia="zh-CN"/>
        </w:rPr>
        <w:t>7.5</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7.2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48.99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厉行节约。</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131" w:name="_Toc24524"/>
      <w:bookmarkStart w:id="132" w:name="_Toc15377223"/>
      <w:bookmarkStart w:id="133" w:name="_Toc15344"/>
      <w:bookmarkStart w:id="134" w:name="_Toc25267"/>
      <w:r>
        <w:rPr>
          <w:rFonts w:hint="eastAsia" w:ascii="楷体_GB2312" w:hAnsi="仿宋" w:eastAsia="楷体_GB2312"/>
          <w:b/>
          <w:color w:val="000000"/>
          <w:sz w:val="32"/>
          <w:szCs w:val="32"/>
        </w:rPr>
        <w:t>（二）政府采购支出情况</w:t>
      </w:r>
      <w:bookmarkEnd w:id="131"/>
      <w:bookmarkEnd w:id="132"/>
      <w:bookmarkEnd w:id="133"/>
      <w:bookmarkEnd w:id="134"/>
    </w:p>
    <w:p>
      <w:pPr>
        <w:spacing w:line="576" w:lineRule="exact"/>
        <w:ind w:firstLine="640" w:firstLineChars="200"/>
        <w:rPr>
          <w:rFonts w:ascii="仿宋" w:hAnsi="仿宋" w:eastAsia="仿宋_GB2312"/>
          <w:b/>
          <w:color w:val="FF0000"/>
          <w:sz w:val="32"/>
          <w:szCs w:val="32"/>
        </w:rPr>
      </w:pP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年，民政局无政府采购支出。</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135" w:name="_Toc3424"/>
      <w:bookmarkStart w:id="136" w:name="_Toc15377224"/>
      <w:bookmarkStart w:id="137" w:name="_Toc25918"/>
      <w:bookmarkStart w:id="138" w:name="_Toc14785"/>
      <w:r>
        <w:rPr>
          <w:rFonts w:hint="eastAsia" w:ascii="楷体_GB2312" w:hAnsi="仿宋" w:eastAsia="楷体_GB2312"/>
          <w:b/>
          <w:color w:val="000000"/>
          <w:sz w:val="32"/>
          <w:szCs w:val="32"/>
        </w:rPr>
        <w:t>（三）国有资产占有使用情况</w:t>
      </w:r>
      <w:bookmarkEnd w:id="135"/>
      <w:bookmarkEnd w:id="136"/>
      <w:bookmarkEnd w:id="137"/>
      <w:bookmarkEnd w:id="138"/>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日，民政局共有车辆4辆，其中：主要领导干部用车0辆、机要通信用车0辆、应急保障用车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lang w:eastAsia="zh-CN"/>
          <w14:textFill>
            <w14:solidFill>
              <w14:schemeClr w14:val="tx1"/>
            </w14:solidFill>
          </w14:textFill>
        </w:rPr>
        <w:t>应急保障用车</w:t>
      </w:r>
      <w:r>
        <w:rPr>
          <w:rFonts w:hint="eastAsia" w:ascii="仿宋_GB2312" w:eastAsia="仿宋_GB2312"/>
          <w:color w:val="000000" w:themeColor="text1"/>
          <w:sz w:val="32"/>
          <w:szCs w:val="32"/>
          <w14:textFill>
            <w14:solidFill>
              <w14:schemeClr w14:val="tx1"/>
            </w14:solidFill>
          </w14:textFill>
        </w:rPr>
        <w:t>主要是用于开展民政工作。单价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576" w:lineRule="exact"/>
        <w:ind w:firstLine="642" w:firstLineChars="200"/>
        <w:jc w:val="left"/>
        <w:outlineLvl w:val="2"/>
        <w:rPr>
          <w:rFonts w:ascii="楷体_GB2312" w:hAnsi="仿宋" w:eastAsia="楷体_GB2312"/>
          <w:b/>
          <w:color w:val="000000"/>
          <w:sz w:val="32"/>
          <w:szCs w:val="32"/>
        </w:rPr>
      </w:pPr>
      <w:bookmarkStart w:id="139" w:name="_Toc13512"/>
      <w:bookmarkStart w:id="140" w:name="_Toc29444"/>
      <w:bookmarkStart w:id="141" w:name="_Toc27974"/>
      <w:r>
        <w:rPr>
          <w:rFonts w:hint="eastAsia" w:ascii="楷体_GB2312" w:hAnsi="仿宋" w:eastAsia="楷体_GB2312"/>
          <w:b/>
          <w:color w:val="000000"/>
          <w:sz w:val="32"/>
          <w:szCs w:val="32"/>
        </w:rPr>
        <w:t>（四）预算绩效管理情况</w:t>
      </w:r>
      <w:bookmarkEnd w:id="139"/>
      <w:bookmarkEnd w:id="140"/>
      <w:bookmarkEnd w:id="141"/>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项目开展了预算事前绩效评估，</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个项目编制了绩效目标，预算执行过程中，选取5个项目开展绩效监控，年终执行完毕后，对5个项目开展了绩效目标完成情况自评。</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年部门整体支出开展绩效自评，</w:t>
      </w:r>
      <w:r>
        <w:rPr>
          <w:rFonts w:hint="eastAsia" w:ascii="仿宋_GB2312" w:hAnsi="仿宋" w:eastAsia="仿宋_GB2312" w:cs="仿宋"/>
          <w:color w:val="000000"/>
          <w:kern w:val="0"/>
          <w:sz w:val="32"/>
          <w:szCs w:val="32"/>
        </w:rPr>
        <w:t>自</w:t>
      </w:r>
      <w:r>
        <w:rPr>
          <w:rFonts w:hint="eastAsia" w:ascii="仿宋_GB2312" w:hAnsi="仿宋_GB2312" w:eastAsia="仿宋_GB2312" w:cs="仿宋_GB2312"/>
          <w:sz w:val="32"/>
          <w:szCs w:val="32"/>
        </w:rPr>
        <w:t xml:space="preserve">查自评结果良好，全年基本支出保证了部门的正常运行和日常工作的正常开展，项目支出保障了重点工作的开展，绩效目标得到较好实现，绩效管理水平不断提高，绩效指标体系逐渐 丰富和完善。 </w:t>
      </w:r>
    </w:p>
    <w:p>
      <w:pPr>
        <w:widowControl/>
        <w:spacing w:line="576" w:lineRule="exact"/>
        <w:ind w:firstLine="642" w:firstLineChars="200"/>
        <w:jc w:val="left"/>
        <w:rPr>
          <w:rFonts w:ascii="仿宋_GB2312" w:hAnsi="楷体_GB2312" w:eastAsia="仿宋_GB2312" w:cs="楷体_GB2312"/>
          <w:b/>
          <w:sz w:val="32"/>
          <w:szCs w:val="32"/>
        </w:rPr>
      </w:pPr>
      <w:r>
        <w:rPr>
          <w:rFonts w:hint="eastAsia" w:ascii="仿宋_GB2312" w:hAnsi="楷体_GB2312" w:eastAsia="仿宋_GB2312" w:cs="楷体_GB2312"/>
          <w:b/>
          <w:sz w:val="32"/>
          <w:szCs w:val="32"/>
        </w:rPr>
        <w:t>1.项目绩效目标完成情况</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年度部门决算中反映“残疾人生活和护理补贴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“高龄津贴”“特困人员救助供养”等5个项目绩效目标实际完成情况。</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（1）残疾人生活和护理补贴项目绩效目标完成情况综述。项目全年预算数</w:t>
      </w:r>
      <w:r>
        <w:rPr>
          <w:rFonts w:hint="eastAsia" w:ascii="仿宋_GB2312" w:hAnsi="仿宋_GB2312" w:eastAsia="仿宋_GB2312" w:cs="仿宋_GB2312"/>
          <w:sz w:val="32"/>
          <w:szCs w:val="32"/>
          <w:lang w:val="en-US" w:eastAsia="zh-CN"/>
        </w:rPr>
        <w:t>122.9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122.9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%。通过项目实施，提高了困难残疾人的基本生活，解决了残疾人特殊生活困难和长期照护困难，保障残疾人生存发展权益。</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（2）高龄津贴项目绩效目标完成情况综述。项目全年预算数</w:t>
      </w:r>
      <w:r>
        <w:rPr>
          <w:rFonts w:hint="eastAsia" w:ascii="仿宋_GB2312" w:hAnsi="仿宋_GB2312" w:eastAsia="仿宋_GB2312" w:cs="仿宋_GB2312"/>
          <w:sz w:val="32"/>
          <w:szCs w:val="32"/>
          <w:lang w:val="en-US" w:eastAsia="zh-CN"/>
        </w:rPr>
        <w:t>212.71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212.71</w:t>
      </w:r>
      <w:r>
        <w:rPr>
          <w:rFonts w:hint="eastAsia" w:ascii="仿宋_GB2312" w:hAnsi="仿宋_GB2312" w:eastAsia="仿宋_GB2312" w:cs="仿宋_GB2312"/>
          <w:sz w:val="32"/>
          <w:szCs w:val="32"/>
        </w:rPr>
        <w:t>万元，完成预算的100%。通过项目实施，保障了高龄老人老有所养、老有所依、老有所乐，提高了高龄老人生活</w:t>
      </w:r>
      <w:r>
        <w:rPr>
          <w:rFonts w:hint="eastAsia" w:ascii="仿宋_GB2312" w:eastAsia="仿宋_GB2312"/>
          <w:bCs/>
          <w:sz w:val="32"/>
          <w:szCs w:val="32"/>
        </w:rPr>
        <w:t>水平。</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（3）特困人员救助供养项目绩效目标完成情况综述。项目全年预算数</w:t>
      </w:r>
      <w:r>
        <w:rPr>
          <w:rFonts w:hint="eastAsia" w:ascii="仿宋_GB2312" w:hAnsi="仿宋_GB2312" w:eastAsia="仿宋_GB2312" w:cs="仿宋_GB2312"/>
          <w:sz w:val="32"/>
          <w:szCs w:val="32"/>
          <w:lang w:val="en-US" w:eastAsia="zh-CN"/>
        </w:rPr>
        <w:t>461.33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461.33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%。通过项目实施，切实保障特困人员基本生活。</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（4）最低生活保障金项目绩效目标完成情况综述。项目全年预算数</w:t>
      </w:r>
      <w:r>
        <w:rPr>
          <w:rFonts w:hint="eastAsia" w:ascii="仿宋_GB2312" w:hAnsi="仿宋_GB2312" w:eastAsia="仿宋_GB2312" w:cs="仿宋_GB2312"/>
          <w:sz w:val="32"/>
          <w:szCs w:val="32"/>
          <w:lang w:val="en-US" w:eastAsia="zh-CN"/>
        </w:rPr>
        <w:t>2459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2459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%。通过项目实施，切实保障城乡低保人群基本生活，让城乡低保人员感受到国家的温暖，促进社会和谐进步。</w:t>
      </w:r>
    </w:p>
    <w:p>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（5）临时救助生活补助项目绩效目标完成情况综述。项目全年预算数</w:t>
      </w:r>
      <w:r>
        <w:rPr>
          <w:rFonts w:hint="eastAsia" w:ascii="仿宋_GB2312" w:hAnsi="仿宋_GB2312" w:eastAsia="仿宋_GB2312" w:cs="仿宋_GB2312"/>
          <w:sz w:val="32"/>
          <w:szCs w:val="32"/>
          <w:lang w:val="en-US" w:eastAsia="zh-CN"/>
        </w:rPr>
        <w:t>51.38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51.38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%。通过项目实施，切实保障困难群众临时性生活困难。</w:t>
      </w:r>
    </w:p>
    <w:p>
      <w:pPr>
        <w:pStyle w:val="2"/>
      </w:pPr>
    </w:p>
    <w:p>
      <w:pPr>
        <w:pStyle w:val="2"/>
      </w:pPr>
    </w:p>
    <w:p>
      <w:pPr>
        <w:pStyle w:val="2"/>
      </w:pPr>
    </w:p>
    <w:p>
      <w:pPr>
        <w:pStyle w:val="2"/>
      </w:pPr>
    </w:p>
    <w:tbl>
      <w:tblPr>
        <w:tblStyle w:val="16"/>
        <w:tblpPr w:leftFromText="180" w:rightFromText="180" w:vertAnchor="text" w:horzAnchor="page" w:tblpX="907"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0" w:leftChars="0" w:firstLine="0" w:firstLineChars="0"/>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28"/>
              <w:widowControl/>
              <w:ind w:left="4170" w:leftChars="1823" w:hanging="342" w:hangingChars="95"/>
              <w:textAlignment w:val="center"/>
              <w:rPr>
                <w:rFonts w:ascii="宋体" w:hAnsi="宋体" w:cs="宋体"/>
                <w:color w:val="000000"/>
                <w:sz w:val="36"/>
                <w:szCs w:val="36"/>
              </w:rPr>
            </w:pPr>
            <w:r>
              <w:rPr>
                <w:rFonts w:hint="eastAsia" w:ascii="宋体" w:hAnsi="宋体" w:cs="宋体"/>
                <w:color w:val="000000"/>
                <w:kern w:val="0"/>
                <w:sz w:val="36"/>
                <w:szCs w:val="36"/>
              </w:rPr>
              <w:t>(</w:t>
            </w:r>
            <w:r>
              <w:rPr>
                <w:rFonts w:hint="eastAsia" w:ascii="宋体" w:hAnsi="宋体" w:cs="宋体"/>
                <w:color w:val="000000"/>
                <w:kern w:val="0"/>
                <w:sz w:val="36"/>
                <w:szCs w:val="36"/>
                <w:lang w:val="en-US" w:eastAsia="zh-CN"/>
              </w:rPr>
              <w:t>2021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残疾人生活和护理补贴</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122.9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122.9</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122.9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122.9</w:t>
            </w:r>
          </w:p>
        </w:tc>
      </w:tr>
      <w:tr>
        <w:tblPrEx>
          <w:tblCellMar>
            <w:top w:w="0" w:type="dxa"/>
            <w:left w:w="0" w:type="dxa"/>
            <w:bottom w:w="0" w:type="dxa"/>
            <w:right w:w="0" w:type="dxa"/>
          </w:tblCellMar>
        </w:tblPrEx>
        <w:trPr>
          <w:trHeight w:val="143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60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保障困难残疾人生活补贴和重度残疾人护理补贴支出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保障了</w:t>
            </w:r>
            <w:r>
              <w:rPr>
                <w:rFonts w:hint="eastAsia" w:ascii="宋体" w:hAnsi="宋体" w:cs="宋体"/>
                <w:kern w:val="0"/>
                <w:sz w:val="18"/>
                <w:szCs w:val="18"/>
                <w:lang w:val="en-US" w:eastAsia="zh-CN"/>
              </w:rPr>
              <w:t>2021</w:t>
            </w:r>
            <w:r>
              <w:rPr>
                <w:rFonts w:hint="eastAsia" w:ascii="宋体" w:hAnsi="宋体" w:cs="宋体"/>
                <w:kern w:val="0"/>
                <w:sz w:val="18"/>
                <w:szCs w:val="18"/>
              </w:rPr>
              <w:t>年困难残疾人生活补贴和重度残疾人护理补贴支出</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享受困难残疾人生活和护理补贴人数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2021</w:t>
            </w:r>
            <w:r>
              <w:rPr>
                <w:rFonts w:hint="eastAsia" w:ascii="宋体" w:hAnsi="宋体" w:cs="宋体"/>
                <w:color w:val="000000"/>
                <w:sz w:val="24"/>
              </w:rPr>
              <w:t>年共发放补贴</w:t>
            </w:r>
            <w:r>
              <w:rPr>
                <w:rFonts w:hint="eastAsia" w:ascii="宋体" w:hAnsi="宋体" w:cs="宋体"/>
                <w:color w:val="000000"/>
                <w:sz w:val="24"/>
                <w:lang w:val="en-US" w:eastAsia="zh-CN"/>
              </w:rPr>
              <w:t>13856</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困难残疾人生活补贴标准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w:t>
            </w:r>
            <w:r>
              <w:rPr>
                <w:rFonts w:hint="eastAsia" w:ascii="宋体" w:hAnsi="宋体" w:cs="宋体"/>
                <w:color w:val="000000"/>
                <w:sz w:val="24"/>
                <w:lang w:val="en-US" w:eastAsia="zh-CN"/>
              </w:rPr>
              <w:t>100</w:t>
            </w:r>
            <w:r>
              <w:rPr>
                <w:rFonts w:hint="eastAsia" w:ascii="宋体" w:hAnsi="宋体" w:cs="宋体"/>
                <w:color w:val="000000"/>
                <w:sz w:val="24"/>
              </w:rPr>
              <w:t>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w:t>
            </w:r>
            <w:r>
              <w:rPr>
                <w:rFonts w:hint="eastAsia" w:ascii="宋体" w:hAnsi="宋体" w:cs="宋体"/>
                <w:color w:val="000000"/>
                <w:sz w:val="24"/>
                <w:lang w:val="en-US" w:eastAsia="zh-CN"/>
              </w:rPr>
              <w:t>100</w:t>
            </w:r>
            <w:r>
              <w:rPr>
                <w:rFonts w:hint="eastAsia" w:ascii="宋体" w:hAnsi="宋体" w:cs="宋体"/>
                <w:color w:val="000000"/>
                <w:sz w:val="24"/>
              </w:rPr>
              <w:t>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一级重度残疾人护理补贴标准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不低于100元/月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每人每月100元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二级重度残疾人护理补贴标准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不低于70元/月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每人每月70元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有效保障其基本生活</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受助困难残疾人和护理补贴人员满意度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bl>
    <w:tbl>
      <w:tblPr>
        <w:tblStyle w:val="16"/>
        <w:tblpPr w:leftFromText="180" w:rightFromText="180" w:vertAnchor="text" w:horzAnchor="page" w:tblpX="922" w:tblpY="404"/>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widowControl/>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28"/>
              <w:widowControl/>
              <w:ind w:left="4171" w:leftChars="1652" w:hanging="702" w:hangingChars="195"/>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高龄津贴</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212.71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212.71</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212.71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212.71</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7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保障高龄老人生活补贴支出</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保障了20</w:t>
            </w:r>
            <w:r>
              <w:rPr>
                <w:rFonts w:hint="eastAsia" w:ascii="宋体" w:hAnsi="宋体" w:cs="宋体"/>
                <w:kern w:val="0"/>
                <w:sz w:val="18"/>
                <w:szCs w:val="18"/>
                <w:lang w:val="en-US" w:eastAsia="zh-CN"/>
              </w:rPr>
              <w:t>21</w:t>
            </w:r>
            <w:r>
              <w:rPr>
                <w:rFonts w:hint="eastAsia" w:ascii="宋体" w:hAnsi="宋体" w:cs="宋体"/>
                <w:kern w:val="0"/>
                <w:sz w:val="18"/>
                <w:szCs w:val="18"/>
              </w:rPr>
              <w:t>年80-100岁以上高龄老人敬老金支出</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享受高龄津贴人数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22</w:t>
            </w:r>
            <w:r>
              <w:rPr>
                <w:rFonts w:hint="eastAsia" w:ascii="宋体" w:hAnsi="宋体" w:cs="宋体"/>
                <w:color w:val="000000"/>
                <w:sz w:val="24"/>
              </w:rPr>
              <w:t>年共发放补贴</w:t>
            </w:r>
            <w:r>
              <w:rPr>
                <w:rFonts w:hint="eastAsia" w:ascii="宋体" w:hAnsi="宋体" w:cs="宋体"/>
                <w:color w:val="000000"/>
                <w:sz w:val="24"/>
                <w:lang w:val="en-US" w:eastAsia="zh-CN"/>
              </w:rPr>
              <w:t>8076</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80-89岁补贴标准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不低于80元/月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每人每月80元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90-99岁补贴标准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不低于150元/月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每人每月150元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百岁以上补贴标准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不低于400元/月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每人每月400元</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每季度按实际拨付</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1050" w:hRule="atLeast"/>
        </w:trPr>
        <w:tc>
          <w:tcPr>
            <w:tcW w:w="39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受助人员基本生活</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保障基本生活</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有效保障其基本生活</w:t>
            </w:r>
          </w:p>
        </w:tc>
      </w:tr>
      <w:tr>
        <w:tblPrEx>
          <w:tblCellMar>
            <w:top w:w="0" w:type="dxa"/>
            <w:left w:w="0" w:type="dxa"/>
            <w:bottom w:w="0" w:type="dxa"/>
            <w:right w:w="0" w:type="dxa"/>
          </w:tblCellMar>
        </w:tblPrEx>
        <w:trPr>
          <w:trHeight w:val="1050" w:hRule="atLeast"/>
        </w:trPr>
        <w:tc>
          <w:tcPr>
            <w:tcW w:w="39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受助高龄补贴人员满意度</w:t>
            </w:r>
          </w:p>
        </w:tc>
        <w:tc>
          <w:tcPr>
            <w:tcW w:w="2394" w:type="dxa"/>
            <w:tcBorders>
              <w:top w:val="single" w:color="auto" w:sz="4" w:space="0"/>
              <w:left w:val="single" w:color="auto" w:sz="4" w:space="0"/>
              <w:bottom w:val="single" w:color="auto" w:sz="4" w:space="0"/>
              <w:right w:val="single" w:color="auto" w:sz="4" w:space="0"/>
            </w:tcBorders>
            <w:vAlign w:val="center"/>
          </w:tcPr>
          <w:p>
            <w:pPr>
              <w:widowControl/>
              <w:ind w:firstLine="760" w:firstLineChars="4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auto" w:sz="4" w:space="0"/>
              <w:left w:val="single" w:color="auto" w:sz="4" w:space="0"/>
              <w:bottom w:val="single" w:color="auto" w:sz="4" w:space="0"/>
              <w:right w:val="single" w:color="auto" w:sz="4" w:space="0"/>
            </w:tcBorders>
            <w:vAlign w:val="center"/>
          </w:tcPr>
          <w:p>
            <w:pPr>
              <w:widowControl/>
              <w:ind w:firstLine="380" w:firstLineChars="200"/>
              <w:jc w:val="left"/>
            </w:pPr>
            <w:r>
              <w:rPr>
                <w:rFonts w:ascii="TimesNewRomanPSMT" w:hAnsi="TimesNewRomanPSMT" w:eastAsia="TimesNewRomanPSMT" w:cs="TimesNewRomanPSMT"/>
                <w:color w:val="000000"/>
                <w:kern w:val="0"/>
                <w:sz w:val="19"/>
                <w:szCs w:val="19"/>
              </w:rPr>
              <w:t>&gt;9</w:t>
            </w:r>
            <w:r>
              <w:rPr>
                <w:rFonts w:hint="eastAsia" w:ascii="TimesNewRomanPSMT" w:hAnsi="TimesNewRomanPSMT" w:eastAsia="TimesNewRomanPSMT" w:cs="TimesNewRomanPSMT"/>
                <w:color w:val="000000"/>
                <w:kern w:val="0"/>
                <w:sz w:val="19"/>
                <w:szCs w:val="19"/>
              </w:rPr>
              <w:t>5</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bl>
    <w:tbl>
      <w:tblPr>
        <w:tblStyle w:val="16"/>
        <w:tblpPr w:leftFromText="180" w:rightFromText="180" w:vertAnchor="text" w:horzAnchor="page" w:tblpX="877" w:tblpY="170"/>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28"/>
              <w:widowControl/>
              <w:ind w:left="4171" w:leftChars="1652" w:hanging="702" w:hangingChars="195"/>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特困人员救助供养</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461.33</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461.33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461.33</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特困人员救助供养城乡统筹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kern w:val="0"/>
                <w:sz w:val="18"/>
                <w:szCs w:val="18"/>
              </w:rPr>
              <w:t>保障了</w:t>
            </w:r>
            <w:r>
              <w:rPr>
                <w:rFonts w:hint="eastAsia" w:ascii="宋体" w:hAnsi="宋体" w:cs="宋体"/>
                <w:kern w:val="0"/>
                <w:sz w:val="18"/>
                <w:szCs w:val="18"/>
                <w:lang w:val="en-US" w:eastAsia="zh-CN"/>
              </w:rPr>
              <w:t>2021</w:t>
            </w:r>
            <w:r>
              <w:rPr>
                <w:rFonts w:hint="eastAsia" w:ascii="宋体" w:hAnsi="宋体" w:cs="宋体"/>
                <w:kern w:val="0"/>
                <w:sz w:val="18"/>
                <w:szCs w:val="18"/>
              </w:rPr>
              <w:t>年特困人员供养生活补助支出</w:t>
            </w:r>
          </w:p>
        </w:tc>
      </w:tr>
      <w:tr>
        <w:tblPrEx>
          <w:tblCellMar>
            <w:top w:w="0" w:type="dxa"/>
            <w:left w:w="0" w:type="dxa"/>
            <w:bottom w:w="0" w:type="dxa"/>
            <w:right w:w="0" w:type="dxa"/>
          </w:tblCellMar>
        </w:tblPrEx>
        <w:trPr>
          <w:trHeight w:val="91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享受特困人员供养补贴人数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w:t>
            </w:r>
            <w:r>
              <w:rPr>
                <w:rFonts w:hint="eastAsia" w:ascii="宋体" w:hAnsi="宋体" w:cs="宋体"/>
                <w:color w:val="000000"/>
                <w:sz w:val="24"/>
                <w:lang w:val="en-US" w:eastAsia="zh-CN"/>
              </w:rPr>
              <w:t>21</w:t>
            </w:r>
            <w:r>
              <w:rPr>
                <w:rFonts w:hint="eastAsia" w:ascii="宋体" w:hAnsi="宋体" w:cs="宋体"/>
                <w:color w:val="000000"/>
                <w:sz w:val="24"/>
              </w:rPr>
              <w:t>年共发放补贴</w:t>
            </w:r>
            <w:r>
              <w:rPr>
                <w:rFonts w:hint="eastAsia" w:ascii="宋体" w:hAnsi="宋体" w:cs="宋体"/>
                <w:color w:val="000000"/>
                <w:sz w:val="24"/>
                <w:lang w:val="en-US" w:eastAsia="zh-CN"/>
              </w:rPr>
              <w:t>5484</w:t>
            </w:r>
            <w:r>
              <w:rPr>
                <w:rFonts w:hint="eastAsia" w:ascii="宋体" w:hAnsi="宋体" w:cs="宋体"/>
                <w:color w:val="000000"/>
                <w:sz w:val="24"/>
              </w:rPr>
              <w:t>人次</w:t>
            </w:r>
          </w:p>
        </w:tc>
      </w:tr>
      <w:tr>
        <w:tblPrEx>
          <w:tblCellMar>
            <w:top w:w="0" w:type="dxa"/>
            <w:left w:w="0" w:type="dxa"/>
            <w:bottom w:w="0" w:type="dxa"/>
            <w:right w:w="0" w:type="dxa"/>
          </w:tblCellMar>
        </w:tblPrEx>
        <w:trPr>
          <w:trHeight w:val="9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特困供养人员生活补贴标准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农村不低于</w:t>
            </w:r>
            <w:r>
              <w:rPr>
                <w:rFonts w:hint="eastAsia" w:ascii="宋体" w:hAnsi="宋体" w:cs="宋体"/>
                <w:color w:val="000000"/>
                <w:sz w:val="24"/>
                <w:highlight w:val="none"/>
                <w:lang w:val="en-US" w:eastAsia="zh-CN"/>
              </w:rPr>
              <w:t>600</w:t>
            </w:r>
            <w:r>
              <w:rPr>
                <w:rFonts w:hint="eastAsia" w:ascii="宋体" w:hAnsi="宋体" w:cs="宋体"/>
                <w:color w:val="000000"/>
                <w:sz w:val="24"/>
                <w:highlight w:val="none"/>
              </w:rPr>
              <w:t>元/月；</w:t>
            </w:r>
          </w:p>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城市不低于</w:t>
            </w:r>
            <w:r>
              <w:rPr>
                <w:rFonts w:hint="eastAsia" w:ascii="宋体" w:hAnsi="宋体" w:cs="宋体"/>
                <w:color w:val="000000"/>
                <w:sz w:val="24"/>
                <w:highlight w:val="none"/>
                <w:lang w:val="en-US" w:eastAsia="zh-CN"/>
              </w:rPr>
              <w:t>770</w:t>
            </w:r>
            <w:r>
              <w:rPr>
                <w:rFonts w:hint="eastAsia" w:ascii="宋体" w:hAnsi="宋体" w:cs="宋体"/>
                <w:color w:val="000000"/>
                <w:sz w:val="24"/>
                <w:highlight w:val="none"/>
              </w:rPr>
              <w:t>元/月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sz w:val="24"/>
                <w:highlight w:val="none"/>
              </w:rPr>
              <w:t>农村特困每人每月</w:t>
            </w:r>
            <w:r>
              <w:rPr>
                <w:rFonts w:hint="eastAsia" w:ascii="宋体" w:hAnsi="宋体" w:cs="宋体"/>
                <w:color w:val="000000"/>
                <w:sz w:val="24"/>
                <w:highlight w:val="none"/>
                <w:lang w:val="en-US" w:eastAsia="zh-CN"/>
              </w:rPr>
              <w:t>60</w:t>
            </w:r>
            <w:r>
              <w:rPr>
                <w:rFonts w:hint="eastAsia" w:ascii="宋体" w:hAnsi="宋体" w:cs="宋体"/>
                <w:color w:val="000000"/>
                <w:sz w:val="24"/>
                <w:highlight w:val="none"/>
              </w:rPr>
              <w:t>0元；城市特困每人每月</w:t>
            </w:r>
            <w:r>
              <w:rPr>
                <w:rFonts w:hint="eastAsia" w:ascii="宋体" w:hAnsi="宋体" w:cs="宋体"/>
                <w:color w:val="000000"/>
                <w:sz w:val="24"/>
                <w:highlight w:val="none"/>
                <w:lang w:val="en-US" w:eastAsia="zh-CN"/>
              </w:rPr>
              <w:t>770</w:t>
            </w:r>
            <w:r>
              <w:rPr>
                <w:rFonts w:hint="eastAsia" w:ascii="宋体" w:hAnsi="宋体" w:cs="宋体"/>
                <w:color w:val="000000"/>
                <w:sz w:val="24"/>
                <w:highlight w:val="none"/>
              </w:rPr>
              <w:t>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受助人员基本生活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保障基本生活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有效保障基本生活</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特困供养人员满意度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8"/>
              <w:widowControl/>
              <w:ind w:left="4173" w:leftChars="1310" w:hanging="1422" w:hangingChars="395"/>
              <w:textAlignment w:val="center"/>
              <w:rPr>
                <w:rFonts w:ascii="黑体" w:hAnsi="黑体" w:eastAsia="黑体" w:cs="宋体"/>
                <w:bCs/>
                <w:color w:val="000000"/>
                <w:kern w:val="0"/>
                <w:sz w:val="36"/>
                <w:szCs w:val="36"/>
              </w:rPr>
            </w:pPr>
          </w:p>
          <w:p>
            <w:pPr>
              <w:pStyle w:val="28"/>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pPr>
              <w:pStyle w:val="28"/>
              <w:widowControl/>
              <w:ind w:left="4170" w:leftChars="1823" w:hanging="342" w:hangingChars="95"/>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临时救助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51.38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51.38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51.38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51.38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仿宋_GB2312" w:hAnsi="仿宋_GB2312" w:cs="仿宋_GB2312"/>
                <w:szCs w:val="32"/>
              </w:rPr>
              <w:t>有效保障了临时困难群众的基本生活</w:t>
            </w:r>
            <w:r>
              <w:rPr>
                <w:rFonts w:hint="eastAsia" w:ascii="仿宋_GB2312" w:hAnsi="仿宋_GB2312" w:cs="仿宋_GB2312"/>
                <w:szCs w:val="32"/>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360" w:lineRule="auto"/>
              <w:ind w:left="720"/>
              <w:jc w:val="left"/>
              <w:rPr>
                <w:rFonts w:hint="eastAsia" w:ascii="仿宋_GB2312" w:hAnsi="宋体" w:eastAsia="宋体" w:cs="Arial"/>
                <w:szCs w:val="32"/>
                <w:lang w:eastAsia="zh-CN"/>
              </w:rPr>
            </w:pPr>
            <w:r>
              <w:rPr>
                <w:rFonts w:hint="eastAsia" w:ascii="仿宋_GB2312" w:hAnsi="仿宋_GB2312" w:cs="仿宋_GB2312"/>
                <w:szCs w:val="32"/>
              </w:rPr>
              <w:t>有效保障了临时困难群众的基本生活</w:t>
            </w:r>
            <w:r>
              <w:rPr>
                <w:rFonts w:hint="eastAsia" w:ascii="仿宋_GB2312" w:hAnsi="仿宋_GB2312" w:cs="仿宋_GB2312"/>
                <w:szCs w:val="32"/>
                <w:lang w:eastAsia="zh-CN"/>
              </w:rPr>
              <w:t>。</w:t>
            </w:r>
          </w:p>
          <w:p>
            <w:pPr>
              <w:widowControl/>
              <w:jc w:val="center"/>
              <w:textAlignment w:val="center"/>
              <w:rPr>
                <w:rFonts w:ascii="宋体" w:hAnsi="宋体" w:eastAsia="仿宋_GB2312"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临时</w:t>
            </w:r>
            <w:r>
              <w:rPr>
                <w:rFonts w:hint="eastAsia" w:ascii="宋体" w:hAnsi="宋体" w:cs="宋体"/>
                <w:color w:val="000000"/>
                <w:sz w:val="24"/>
                <w:lang w:eastAsia="zh-CN"/>
              </w:rPr>
              <w:t>救助</w:t>
            </w:r>
            <w:r>
              <w:rPr>
                <w:rFonts w:hint="eastAsia" w:ascii="宋体" w:hAnsi="宋体" w:cs="宋体"/>
                <w:color w:val="000000"/>
                <w:sz w:val="24"/>
              </w:rPr>
              <w:t>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2021</w:t>
            </w:r>
            <w:r>
              <w:rPr>
                <w:rFonts w:hint="eastAsia" w:ascii="宋体" w:hAnsi="宋体" w:cs="宋体"/>
                <w:color w:val="000000"/>
                <w:sz w:val="24"/>
              </w:rPr>
              <w:t>年共发放临时救助</w:t>
            </w:r>
            <w:r>
              <w:rPr>
                <w:rFonts w:hint="eastAsia" w:ascii="宋体" w:hAnsi="宋体" w:cs="宋体"/>
                <w:color w:val="000000"/>
                <w:sz w:val="24"/>
                <w:lang w:val="en-US" w:eastAsia="zh-CN"/>
              </w:rPr>
              <w:t>574</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临时</w:t>
            </w:r>
            <w:r>
              <w:rPr>
                <w:rFonts w:hint="eastAsia" w:ascii="宋体" w:hAnsi="宋体" w:cs="宋体"/>
                <w:color w:val="000000"/>
                <w:sz w:val="24"/>
                <w:lang w:eastAsia="zh-CN"/>
              </w:rPr>
              <w:t>价格补助</w:t>
            </w:r>
            <w:r>
              <w:rPr>
                <w:rFonts w:hint="eastAsia" w:ascii="宋体" w:hAnsi="宋体" w:cs="宋体"/>
                <w:color w:val="000000"/>
                <w:sz w:val="24"/>
              </w:rPr>
              <w:t>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根据上一年度人数推算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2021</w:t>
            </w:r>
            <w:r>
              <w:rPr>
                <w:rFonts w:hint="eastAsia" w:ascii="宋体" w:hAnsi="宋体" w:cs="宋体"/>
                <w:color w:val="000000"/>
                <w:sz w:val="24"/>
              </w:rPr>
              <w:t>年共发放临时救助</w:t>
            </w:r>
            <w:r>
              <w:rPr>
                <w:rFonts w:hint="eastAsia" w:ascii="宋体" w:hAnsi="宋体" w:cs="宋体"/>
                <w:color w:val="000000"/>
                <w:sz w:val="24"/>
                <w:lang w:val="en-US" w:eastAsia="zh-CN"/>
              </w:rPr>
              <w:t>3070</w:t>
            </w:r>
            <w:r>
              <w:rPr>
                <w:rFonts w:hint="eastAsia" w:ascii="宋体" w:hAnsi="宋体" w:cs="宋体"/>
                <w:color w:val="000000"/>
                <w:sz w:val="24"/>
              </w:rPr>
              <w:t>人次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w:t>
            </w:r>
            <w:r>
              <w:rPr>
                <w:rFonts w:hint="eastAsia" w:ascii="宋体" w:hAnsi="宋体" w:cs="宋体"/>
                <w:color w:val="000000"/>
                <w:sz w:val="24"/>
                <w:lang w:eastAsia="zh-CN"/>
              </w:rPr>
              <w:t>补贴</w:t>
            </w:r>
            <w:r>
              <w:rPr>
                <w:rFonts w:hint="eastAsia" w:ascii="宋体" w:hAnsi="宋体" w:cs="宋体"/>
                <w:color w:val="000000"/>
                <w:sz w:val="24"/>
              </w:rPr>
              <w:t>资金与政策相关比率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资金拨付及时率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按实际拨付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支付率100%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困难群众生活水平提升情况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效果显著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宋体" w:eastAsia="仿宋_GB2312" w:cs="宋体"/>
                <w:kern w:val="0"/>
                <w:sz w:val="24"/>
              </w:rPr>
              <w:t>稳步提升，</w:t>
            </w:r>
            <w:r>
              <w:rPr>
                <w:rFonts w:hint="eastAsia" w:ascii="宋体" w:hAnsi="宋体" w:cs="宋体"/>
                <w:color w:val="000000"/>
                <w:sz w:val="24"/>
              </w:rPr>
              <w:t>效果显著</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补贴</w:t>
            </w:r>
            <w:r>
              <w:rPr>
                <w:rFonts w:hint="eastAsia" w:ascii="宋体" w:hAnsi="宋体" w:cs="宋体"/>
                <w:color w:val="000000"/>
                <w:sz w:val="24"/>
              </w:rPr>
              <w:t>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60" w:firstLineChars="4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80" w:firstLineChars="200"/>
              <w:jc w:val="left"/>
            </w:pPr>
            <w:r>
              <w:rPr>
                <w:rFonts w:ascii="TimesNewRomanPSMT" w:hAnsi="TimesNewRomanPSMT" w:eastAsia="TimesNewRomanPSMT" w:cs="TimesNewRomanPSMT"/>
                <w:color w:val="000000"/>
                <w:kern w:val="0"/>
                <w:sz w:val="19"/>
                <w:szCs w:val="19"/>
              </w:rPr>
              <w:t>&gt;</w:t>
            </w:r>
            <w:r>
              <w:rPr>
                <w:rFonts w:hint="eastAsia" w:ascii="TimesNewRomanPSMT" w:hAnsi="TimesNewRomanPSMT" w:eastAsia="TimesNewRomanPSMT" w:cs="TimesNewRomanPSMT"/>
                <w:color w:val="000000"/>
                <w:kern w:val="0"/>
                <w:sz w:val="19"/>
                <w:szCs w:val="19"/>
              </w:rPr>
              <w:t>100</w:t>
            </w:r>
            <w:r>
              <w:rPr>
                <w:rFonts w:ascii="TimesNewRomanPSMT" w:hAnsi="TimesNewRomanPSMT" w:eastAsia="TimesNewRomanPSMT" w:cs="TimesNewRomanPSMT"/>
                <w:color w:val="000000"/>
                <w:kern w:val="0"/>
                <w:sz w:val="19"/>
                <w:szCs w:val="19"/>
              </w:rPr>
              <w:t>%</w:t>
            </w:r>
          </w:p>
          <w:p>
            <w:pPr>
              <w:widowControl/>
              <w:textAlignment w:val="center"/>
              <w:rPr>
                <w:rFonts w:ascii="宋体" w:hAnsi="宋体" w:cs="宋体"/>
                <w:color w:val="000000"/>
                <w:sz w:val="24"/>
              </w:rPr>
            </w:pPr>
          </w:p>
        </w:tc>
      </w:tr>
    </w:tbl>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hAnsi="宋体" w:cs="宋体"/>
                <w:b/>
                <w:bCs/>
                <w:color w:val="000000"/>
                <w:kern w:val="0"/>
                <w:sz w:val="36"/>
                <w:szCs w:val="36"/>
              </w:rPr>
            </w:pPr>
          </w:p>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21</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最低生活保障</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茂县民政局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2459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2459</w:t>
            </w:r>
          </w:p>
        </w:tc>
      </w:tr>
      <w:tr>
        <w:tblPrEx>
          <w:tblCellMar>
            <w:top w:w="0" w:type="dxa"/>
            <w:left w:w="0" w:type="dxa"/>
            <w:bottom w:w="0" w:type="dxa"/>
            <w:right w:w="0" w:type="dxa"/>
          </w:tblCellMar>
        </w:tblPrEx>
        <w:trPr>
          <w:trHeight w:val="45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加强困难群众救助，将符合条件的困难群众纳入城乡最低</w:t>
            </w:r>
            <w:r>
              <w:rPr>
                <w:rFonts w:hint="eastAsia" w:ascii="宋体" w:hAnsi="宋体" w:cs="宋体"/>
                <w:color w:val="000000"/>
                <w:sz w:val="24"/>
                <w:lang w:eastAsia="zh-CN"/>
              </w:rPr>
              <w:t>生活保障</w:t>
            </w:r>
            <w:r>
              <w:rPr>
                <w:rFonts w:hint="eastAsia" w:ascii="宋体" w:hAnsi="宋体" w:cs="宋体"/>
                <w:color w:val="000000"/>
                <w:sz w:val="24"/>
              </w:rPr>
              <w:t>，切实保障困难群众基本生活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加强困难群众救助，将符合条件的困难群众纳入城乡最低</w:t>
            </w:r>
            <w:r>
              <w:rPr>
                <w:rFonts w:hint="eastAsia" w:ascii="宋体" w:hAnsi="宋体" w:cs="宋体"/>
                <w:color w:val="000000"/>
                <w:sz w:val="24"/>
                <w:lang w:eastAsia="zh-CN"/>
              </w:rPr>
              <w:t>生活保障</w:t>
            </w:r>
            <w:r>
              <w:rPr>
                <w:rFonts w:hint="eastAsia" w:ascii="宋体" w:hAnsi="宋体" w:cs="宋体"/>
                <w:color w:val="000000"/>
                <w:sz w:val="24"/>
              </w:rPr>
              <w:t>，切实保障困难群众基本生活</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指标值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b/>
                <w:color w:val="000000"/>
                <w:kern w:val="0"/>
                <w:sz w:val="24"/>
              </w:rPr>
              <w:t>全年实际值</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产出指标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农村低保保障人数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val="en-US" w:eastAsia="zh-CN"/>
              </w:rPr>
              <w:t>15723</w:t>
            </w:r>
            <w:r>
              <w:rPr>
                <w:rFonts w:hint="eastAsia" w:ascii="宋体" w:hAnsi="宋体" w:cs="宋体"/>
                <w:color w:val="000000"/>
                <w:kern w:val="0"/>
                <w:sz w:val="24"/>
              </w:rPr>
              <w:t>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15723</w:t>
            </w:r>
            <w:r>
              <w:rPr>
                <w:rFonts w:hint="eastAsia" w:ascii="宋体" w:hAnsi="宋体" w:cs="宋体"/>
                <w:color w:val="000000"/>
                <w:kern w:val="0"/>
                <w:sz w:val="24"/>
              </w:rPr>
              <w:t>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城市低保保障人数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lang w:val="en-US" w:eastAsia="zh-CN"/>
              </w:rPr>
              <w:t>79600</w:t>
            </w:r>
            <w:r>
              <w:rPr>
                <w:rFonts w:hint="eastAsia" w:ascii="宋体" w:hAnsi="宋体" w:cs="宋体"/>
                <w:color w:val="000000"/>
                <w:kern w:val="0"/>
                <w:sz w:val="24"/>
              </w:rPr>
              <w:t>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lang w:val="en-US" w:eastAsia="zh-CN"/>
              </w:rPr>
              <w:t>79600</w:t>
            </w:r>
            <w:r>
              <w:rPr>
                <w:rFonts w:hint="eastAsia" w:ascii="宋体" w:hAnsi="宋体" w:cs="宋体"/>
                <w:color w:val="000000"/>
                <w:kern w:val="0"/>
                <w:sz w:val="24"/>
              </w:rPr>
              <w:t>人次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困难群众救助补助标准达标率（**%）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救助资金发放及时率（**%）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最低生活保障补助标准（补差）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城市低保每人每月5</w:t>
            </w:r>
            <w:r>
              <w:rPr>
                <w:rFonts w:hint="eastAsia" w:ascii="宋体" w:hAnsi="宋体" w:cs="宋体"/>
                <w:color w:val="000000"/>
                <w:kern w:val="0"/>
                <w:sz w:val="24"/>
                <w:lang w:val="en-US" w:eastAsia="zh-CN"/>
              </w:rPr>
              <w:t>90</w:t>
            </w:r>
            <w:r>
              <w:rPr>
                <w:rFonts w:hint="eastAsia" w:ascii="宋体" w:hAnsi="宋体" w:cs="宋体"/>
                <w:color w:val="000000"/>
                <w:kern w:val="0"/>
                <w:sz w:val="24"/>
              </w:rPr>
              <w:t>元补差；</w:t>
            </w:r>
          </w:p>
          <w:p>
            <w:pPr>
              <w:widowControl/>
              <w:textAlignment w:val="center"/>
              <w:rPr>
                <w:rFonts w:ascii="宋体" w:hAnsi="宋体" w:cs="宋体"/>
                <w:color w:val="000000"/>
                <w:kern w:val="0"/>
                <w:sz w:val="24"/>
              </w:rPr>
            </w:pPr>
            <w:r>
              <w:rPr>
                <w:rFonts w:hint="eastAsia" w:ascii="宋体" w:hAnsi="宋体" w:cs="宋体"/>
                <w:color w:val="000000"/>
                <w:kern w:val="0"/>
                <w:sz w:val="24"/>
              </w:rPr>
              <w:t>农村低保每人每月</w:t>
            </w:r>
            <w:r>
              <w:rPr>
                <w:rFonts w:hint="eastAsia" w:ascii="宋体" w:hAnsi="宋体" w:cs="宋体"/>
                <w:color w:val="000000"/>
                <w:kern w:val="0"/>
                <w:sz w:val="24"/>
                <w:lang w:val="en-US" w:eastAsia="zh-CN"/>
              </w:rPr>
              <w:t>390</w:t>
            </w:r>
            <w:r>
              <w:rPr>
                <w:rFonts w:hint="eastAsia" w:ascii="宋体" w:hAnsi="宋体" w:cs="宋体"/>
                <w:color w:val="000000"/>
                <w:kern w:val="0"/>
                <w:sz w:val="24"/>
              </w:rPr>
              <w:t>元补差。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rPr>
              <w:t>城市低保每人每月</w:t>
            </w:r>
            <w:r>
              <w:rPr>
                <w:rFonts w:hint="eastAsia" w:ascii="宋体" w:hAnsi="宋体" w:cs="宋体"/>
                <w:color w:val="000000"/>
                <w:kern w:val="0"/>
                <w:sz w:val="24"/>
                <w:lang w:val="en-US" w:eastAsia="zh-CN"/>
              </w:rPr>
              <w:t>590</w:t>
            </w:r>
            <w:r>
              <w:rPr>
                <w:rFonts w:hint="eastAsia" w:ascii="宋体" w:hAnsi="宋体" w:cs="宋体"/>
                <w:color w:val="000000"/>
                <w:kern w:val="0"/>
                <w:sz w:val="24"/>
              </w:rPr>
              <w:t>元补差；</w:t>
            </w:r>
          </w:p>
          <w:p>
            <w:pPr>
              <w:widowControl/>
              <w:textAlignment w:val="center"/>
              <w:rPr>
                <w:rFonts w:ascii="宋体" w:hAnsi="宋体" w:cs="宋体"/>
                <w:color w:val="000000"/>
                <w:sz w:val="24"/>
              </w:rPr>
            </w:pPr>
            <w:r>
              <w:rPr>
                <w:rFonts w:hint="eastAsia" w:ascii="宋体" w:hAnsi="宋体" w:cs="宋体"/>
                <w:color w:val="000000"/>
                <w:kern w:val="0"/>
                <w:sz w:val="24"/>
              </w:rPr>
              <w:t>农村低保每人每月</w:t>
            </w:r>
            <w:r>
              <w:rPr>
                <w:rFonts w:hint="eastAsia" w:ascii="宋体" w:hAnsi="宋体" w:cs="宋体"/>
                <w:color w:val="000000"/>
                <w:kern w:val="0"/>
                <w:sz w:val="24"/>
                <w:lang w:val="en-US" w:eastAsia="zh-CN"/>
              </w:rPr>
              <w:t>390</w:t>
            </w:r>
            <w:r>
              <w:rPr>
                <w:rFonts w:hint="eastAsia" w:ascii="宋体" w:hAnsi="宋体" w:cs="宋体"/>
                <w:color w:val="000000"/>
                <w:kern w:val="0"/>
                <w:sz w:val="24"/>
              </w:rPr>
              <w:t>元补差。</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困难群众基本生活水平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稳步提升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稳步提升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政策知晓率（≥**%）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困难群众满意度（≥**%）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&gt;=95%</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b/>
          <w:sz w:val="32"/>
          <w:szCs w:val="32"/>
        </w:rPr>
      </w:pPr>
      <w:r>
        <w:rPr>
          <w:rFonts w:hint="eastAsia" w:ascii="楷体_GB2312" w:hAnsi="楷体_GB2312" w:eastAsia="楷体_GB2312" w:cs="楷体_GB2312"/>
          <w:b/>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年部门整体支出绩效评价情况开展自评，《民政局部门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年部门整体支出绩效评价报告》见附件（附件1）。</w:t>
      </w:r>
    </w:p>
    <w:p>
      <w:pPr>
        <w:widowControl/>
        <w:ind w:firstLine="640" w:firstLineChars="200"/>
        <w:jc w:val="left"/>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高龄津贴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残疾人两项补贴、农村特困供养项目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民政局高龄津贴</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民政局残疾人两项补贴</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民政局农村特困供养人员生活补助</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民政局福利彩票公益金</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年绩效评价报告》见附件（附件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ascii="仿宋_GB2312" w:eastAsia="仿宋_GB2312"/>
          <w:b/>
          <w:color w:val="000000"/>
          <w:sz w:val="32"/>
          <w:szCs w:val="32"/>
        </w:rPr>
        <w:br w:type="page"/>
      </w:r>
    </w:p>
    <w:p>
      <w:pPr>
        <w:widowControl/>
        <w:jc w:val="left"/>
        <w:rPr>
          <w:rFonts w:ascii="Times New Roman" w:hAnsi="Times New Roman" w:eastAsia="宋体" w:cs="Times New Roman"/>
          <w:kern w:val="2"/>
          <w:sz w:val="21"/>
          <w:szCs w:val="24"/>
          <w:lang w:val="en-US" w:eastAsia="zh-CN" w:bidi="ar-SA"/>
        </w:rPr>
      </w:pPr>
    </w:p>
    <w:p>
      <w:pPr>
        <w:numPr>
          <w:ilvl w:val="0"/>
          <w:numId w:val="4"/>
        </w:numPr>
        <w:spacing w:line="576" w:lineRule="exact"/>
        <w:ind w:firstLine="660" w:firstLineChars="150"/>
        <w:jc w:val="center"/>
        <w:outlineLvl w:val="0"/>
        <w:rPr>
          <w:rStyle w:val="29"/>
          <w:rFonts w:ascii="黑体" w:hAnsi="黑体" w:eastAsia="黑体"/>
          <w:b w:val="0"/>
        </w:rPr>
      </w:pPr>
      <w:bookmarkStart w:id="142" w:name="_Toc24494"/>
      <w:bookmarkStart w:id="143" w:name="_Toc15377225"/>
      <w:bookmarkStart w:id="144" w:name="_Toc15396613"/>
      <w:bookmarkStart w:id="145" w:name="_Toc17211"/>
      <w:bookmarkStart w:id="146" w:name="_Toc20117"/>
      <w:r>
        <w:rPr>
          <w:rFonts w:hint="eastAsia" w:ascii="黑体" w:hAnsi="黑体" w:eastAsia="黑体"/>
          <w:color w:val="000000"/>
          <w:sz w:val="44"/>
          <w:szCs w:val="44"/>
        </w:rPr>
        <w:t>名</w:t>
      </w:r>
      <w:r>
        <w:rPr>
          <w:rStyle w:val="29"/>
          <w:rFonts w:hint="eastAsia" w:ascii="黑体" w:hAnsi="黑体" w:eastAsia="黑体"/>
          <w:b w:val="0"/>
        </w:rPr>
        <w:t>词解释</w:t>
      </w:r>
      <w:bookmarkEnd w:id="142"/>
      <w:bookmarkEnd w:id="143"/>
      <w:bookmarkEnd w:id="144"/>
      <w:bookmarkEnd w:id="145"/>
      <w:bookmarkEnd w:id="146"/>
    </w:p>
    <w:p>
      <w:pPr>
        <w:spacing w:line="576" w:lineRule="exact"/>
        <w:jc w:val="left"/>
        <w:rPr>
          <w:rFonts w:ascii="宋体"/>
          <w:b/>
          <w:color w:val="000000"/>
          <w:sz w:val="44"/>
          <w:szCs w:val="44"/>
        </w:rPr>
      </w:pPr>
    </w:p>
    <w:p>
      <w:pPr>
        <w:pStyle w:val="27"/>
        <w:spacing w:line="576" w:lineRule="exact"/>
        <w:ind w:firstLine="640" w:firstLineChars="200"/>
        <w:rPr>
          <w:rFonts w:ascii="仿宋_GB2312" w:eastAsia="仿宋_GB2312"/>
          <w:sz w:val="32"/>
          <w:szCs w:val="32"/>
        </w:rPr>
      </w:pPr>
      <w:bookmarkStart w:id="147" w:name="_Toc15396614"/>
      <w:bookmarkStart w:id="148" w:name="_Toc15377226"/>
      <w:r>
        <w:rPr>
          <w:rFonts w:hint="eastAsia" w:ascii="仿宋_GB2312" w:eastAsia="仿宋_GB2312"/>
          <w:sz w:val="32"/>
          <w:szCs w:val="32"/>
        </w:rPr>
        <w:t>1.财政拨款收入：指单位从同级财政部门取得的财政预算资金。</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9.一般公共服务（类）其他一般公共服务支出（款）其他一般公共服务支出（项）：指反映除上述项目以外的其他一般公共服务支出。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10.社会保障和就业（类）民政管理事务（款）行政运行（项）：指行政单位（包括实行公务员管理的事业单位）的基本支出。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社会保障和就业（类）民政管理事务（款）其他民政管理事务支出（项）：指民政部门接待来访、法制建设、政策宣传方面的支出，以及开展优抚安置、救灾减灾、社会救助、社会福利、婚姻登记、社会事务、信息化建设等专项业务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12.社会保障和就业（类）行政事业单位离退休（款）机关事业单位基本养老保险缴费支出（项）：指机关事业单位实施养老保险制度由单位缴纳的基本养老保险费支出。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13.社会保障和就业（类）行政事业单位离退休（款）机关事业单位职业年金缴费支出（项）：指机关事业单位实施养老保险制度由单位实际缴纳的职业年金支出。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4.社会保障和就业（类）社会福利（款）儿童福利（项）：指对儿童提供服务福利方面的支出。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5.社会保障和就业（类）社会福利（款）老年福利（项）：指对老年人提供服务福利方面的支出。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.社会保障和就业（类）社会福利（款）其他社会福利支出（项）：指除上述项目以外其他用于社会福利方面的支出。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.社会保障和就业（类）残疾人事业（款）残疾人生活和护理补贴（项）：指困难残疾人生活补贴和重度残疾人护理补贴的支出。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（类）最低生活保障（款）城市最低生活保障金支出（项）：指城市最低生活保障对象的最低生活保障金支出。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（类）最低生活保障（款）农村最低生活保障金支出（项）：指农村最低生活保障对象的最低生活保障金支出。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（类）临时救助（款）临时救助支出（项）：指用于城乡困难居民的临时救助支出。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（类）特困人员救助供养（款）城市特困人员救助供养支出（项）：指城市特困人员救助供养支出。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（类）特困人员救助供养（款）农村特困人员救助供养支出（项）：指农村特困人员救助供养支出。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（类）其他生活救助（款）其他农村生活救助（项）：指除最低生活保障、临时救助、特困人员供养、自然灾害生活救助外，用于农村生活困难居民生活救助的其他支出。</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w:t>
      </w:r>
      <w:r>
        <w:rPr>
          <w:rFonts w:hint="eastAsia" w:ascii="仿宋_GB2312" w:eastAsia="仿宋_GB2312"/>
          <w:color w:val="000000"/>
          <w:sz w:val="32"/>
          <w:szCs w:val="32"/>
          <w:lang w:eastAsia="zh-CN"/>
        </w:rPr>
        <w:t>退役军人管理事务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拥军优属</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指开展拥军优属活动的支出。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（类）其他社会保障和就业支出（款）其他社会保障和就业支出（项）：指除上述项目以外其他用于社会保障和就业方面的支出。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6.卫生健康支出（类）行政事业单位医疗（款）行政单位医疗（项）：指机关及参公管理事业单位用于缴纳单位基本医疗保险支出。</w:t>
      </w:r>
    </w:p>
    <w:p>
      <w:pPr>
        <w:widowControl/>
        <w:spacing w:line="576"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7.卫生健康支出（类）行政事业单位医疗（款）</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单位医疗（项）：指事业单位用于缴纳单位基本医疗保险支出。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.农林水支出（类）扶贫（款）其他扶贫支出（项）：指反映除上述项目以外其他用于扶贫方面的支出。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住房保障支出（类）住房改革支出（款）</w:t>
      </w:r>
      <w:r>
        <w:rPr>
          <w:rFonts w:hint="eastAsia" w:ascii="仿宋_GB2312" w:eastAsia="仿宋_GB2312"/>
          <w:color w:val="000000"/>
          <w:sz w:val="32"/>
          <w:szCs w:val="32"/>
          <w:lang w:eastAsia="zh-CN"/>
        </w:rPr>
        <w:t>购房补贴</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指按房改政策规定，行政事业单位向符合条件职工（含离退休人员）、军队（含武警）向转役复员离退休人员发放的用于购买住房的补贴。</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灾害防治及应急管理支出（类）自然灾害救灾及恢复重建支出（款）中央自然灾害生活补助（项）：指中央预算对遭受特大自然灾害地区的地方政府在安排受灾群众吃、穿、住和抢救、转移、安置、治病等经费发生困难时给予的专项补助，以及为抗御特大自然灾害而设立的中央级救灾物资储备资金。</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.其他支出（类）彩票公益金安排的支出（款）用于社会福利的彩票公益金支出（项）：指用于社会福利和社会救助的彩票公益金支出。</w:t>
      </w:r>
    </w:p>
    <w:p>
      <w:pPr>
        <w:spacing w:line="576"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.其他支出（类）</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指用于其他支出。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.经营支出：指事业单位在专业业务活动及其辅助活动之外开展非独立核算经营活动发生的支出。</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29"/>
          <w:rFonts w:ascii="黑体" w:hAnsi="黑体" w:eastAsia="黑体"/>
          <w:b w:val="0"/>
        </w:rPr>
      </w:pPr>
      <w:r>
        <w:rPr>
          <w:rFonts w:hint="eastAsia" w:ascii="仿宋_GB2312" w:eastAsia="仿宋_GB2312"/>
          <w:b/>
          <w:color w:val="000000"/>
          <w:sz w:val="32"/>
          <w:szCs w:val="32"/>
        </w:rPr>
        <w:br w:type="page"/>
      </w:r>
      <w:bookmarkStart w:id="149" w:name="_Toc2717"/>
      <w:bookmarkStart w:id="150" w:name="_Toc1343"/>
      <w:bookmarkStart w:id="151" w:name="_Toc32420"/>
      <w:r>
        <w:rPr>
          <w:rFonts w:hint="eastAsia" w:ascii="黑体" w:hAnsi="黑体" w:eastAsia="黑体"/>
          <w:color w:val="000000"/>
          <w:sz w:val="44"/>
          <w:szCs w:val="44"/>
        </w:rPr>
        <w:t>第</w:t>
      </w:r>
      <w:r>
        <w:rPr>
          <w:rStyle w:val="29"/>
          <w:rFonts w:hint="eastAsia" w:ascii="黑体" w:hAnsi="黑体" w:eastAsia="黑体"/>
          <w:b w:val="0"/>
        </w:rPr>
        <w:t>四部分 附件</w:t>
      </w:r>
      <w:bookmarkEnd w:id="147"/>
      <w:bookmarkEnd w:id="149"/>
      <w:bookmarkEnd w:id="150"/>
      <w:bookmarkEnd w:id="151"/>
    </w:p>
    <w:p>
      <w:pPr>
        <w:spacing w:line="576" w:lineRule="exact"/>
        <w:jc w:val="left"/>
        <w:outlineLvl w:val="0"/>
        <w:rPr>
          <w:rFonts w:ascii="仿宋_GB2312" w:hAnsi="方正小标宋简体" w:eastAsia="仿宋_GB2312" w:cs="方正小标宋简体"/>
          <w:sz w:val="32"/>
          <w:szCs w:val="32"/>
        </w:rPr>
      </w:pPr>
      <w:bookmarkStart w:id="152" w:name="_Toc31187"/>
      <w:bookmarkStart w:id="153" w:name="_Toc24183"/>
      <w:bookmarkStart w:id="154" w:name="_Toc9967"/>
      <w:r>
        <w:rPr>
          <w:rFonts w:hint="eastAsia" w:ascii="仿宋_GB2312" w:hAnsi="黑体" w:eastAsia="仿宋_GB2312" w:cs="黑体"/>
          <w:sz w:val="32"/>
          <w:szCs w:val="32"/>
        </w:rPr>
        <w:t>附件1</w:t>
      </w:r>
      <w:bookmarkEnd w:id="152"/>
      <w:bookmarkEnd w:id="153"/>
      <w:bookmarkEnd w:id="154"/>
    </w:p>
    <w:p>
      <w:pPr>
        <w:spacing w:line="576" w:lineRule="exact"/>
        <w:jc w:val="center"/>
        <w:rPr>
          <w:rFonts w:ascii="方正小标宋简体" w:hAnsi="方正小标宋简体" w:eastAsia="方正小标宋简体" w:cs="方正小标宋简体"/>
          <w:sz w:val="44"/>
          <w:szCs w:val="44"/>
        </w:rPr>
      </w:pPr>
    </w:p>
    <w:p>
      <w:pPr>
        <w:pStyle w:val="4"/>
        <w:jc w:val="center"/>
        <w:rPr>
          <w:rFonts w:hint="eastAsia" w:ascii="方正小标宋简体" w:hAnsi="宋体" w:eastAsia="方正小标宋简体"/>
          <w:b w:val="0"/>
          <w:bCs w:val="0"/>
          <w:kern w:val="2"/>
        </w:rPr>
      </w:pPr>
      <w:bookmarkStart w:id="155" w:name="_Toc12425"/>
      <w:bookmarkStart w:id="156" w:name="_Toc10285"/>
      <w:bookmarkStart w:id="157" w:name="_Toc7770"/>
      <w:r>
        <w:rPr>
          <w:rFonts w:hint="eastAsia" w:ascii="方正小标宋简体" w:hAnsi="宋体" w:eastAsia="方正小标宋简体"/>
          <w:b w:val="0"/>
          <w:bCs w:val="0"/>
          <w:kern w:val="2"/>
        </w:rPr>
        <w:t>茂县民政局</w:t>
      </w:r>
    </w:p>
    <w:p>
      <w:pPr>
        <w:pStyle w:val="4"/>
        <w:jc w:val="center"/>
        <w:rPr>
          <w:rFonts w:hint="eastAsia" w:ascii="方正小标宋简体" w:hAnsi="宋体" w:eastAsia="方正小标宋简体"/>
          <w:b w:val="0"/>
          <w:bCs w:val="0"/>
          <w:kern w:val="2"/>
        </w:rPr>
      </w:pPr>
      <w:r>
        <w:rPr>
          <w:rFonts w:hint="eastAsia" w:ascii="方正小标宋简体" w:hAnsi="宋体" w:eastAsia="方正小标宋简体"/>
          <w:b w:val="0"/>
          <w:bCs w:val="0"/>
          <w:kern w:val="2"/>
        </w:rPr>
        <w:t>2021年部门</w:t>
      </w:r>
      <w:r>
        <w:rPr>
          <w:rFonts w:hint="eastAsia" w:ascii="方正小标宋简体" w:hAnsi="宋体" w:eastAsia="方正小标宋简体"/>
          <w:b w:val="0"/>
          <w:bCs w:val="0"/>
          <w:kern w:val="2"/>
          <w:lang w:val="zh-CN"/>
        </w:rPr>
        <w:t>整体支出绩效评价报告</w:t>
      </w:r>
      <w:bookmarkEnd w:id="155"/>
      <w:bookmarkEnd w:id="156"/>
      <w:bookmarkEnd w:id="157"/>
    </w:p>
    <w:p>
      <w:pPr>
        <w:widowControl/>
        <w:adjustRightInd w:val="0"/>
        <w:snapToGrid w:val="0"/>
        <w:spacing w:line="576"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部门概况</w:t>
      </w:r>
    </w:p>
    <w:p>
      <w:pPr>
        <w:spacing w:line="576"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（一）机构组成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根据《茂县机构改革方案》（茂委〔2019〕10号）和《关于&lt;茂县机构改革方案&gt;的实施意见》（茂机改〔2019〕1号），制定本规定。</w:t>
      </w:r>
    </w:p>
    <w:p>
      <w:pPr>
        <w:spacing w:line="576"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（二）机构职能</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（1）贯彻执行民政工作民族自治法规，拟订全县民政事业发展规划、工作计划，负责组织实施和监督检查全县民政事业政策、标准。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（2）承担对社会团体、基金会、社会服务机构等社会组织登记和监督管理办法并组织实施，依法对社会组织进行登记管理和执法监督。</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（3）牵头实施和执行社会救助规划、政策和标准，统筹推进社会救助体系建设，负责城乡居民最低生活保障、特困人员救助供养、临时救助、生活无着流浪乞讨人员救助工作。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（4）负责指导实施城乡基层群众自治建设和社区治理政策，指导城乡社区治理体系、服务体系和治理能力建设，提出加强和改进城乡基层政权建设的建议，推动基层民主政治建设。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负责实施全县行政区划管理政策和行政区域界线、地名管理办法，负责全县行政区域的设立、命名、撤销、变更和政府驻地迁移审核上报工作。组织并指导全县行政区域界线的勘定、管理工作，调处行政区域边界争议，负责地名管理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（6）负责组织实施婚姻管理政策，推进婚俗改革。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（7）负责组织实施殡葬管理政策并规范服务，负责殡葬管理、救助服务机构管理工作，推进殡葬改革。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（8）负责实施社会福利事业发展规划、政策和标准，负责拟订社会福利机构管理办法并指导实施。负责监督实施残疾人权益保护政策。统筹推进残疾人福利制度建设和康复辅助器具产业发展。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9）统筹推进、督促指导、监督管理养老服务工作，组织实施养老服务体系建设规划、政策、标准，承担老年人福利和特殊困难老年人救助工作，协调推进农村留守老年人关爱服务工作，承担城乡老年社会组织管理工作。负责做好老年大学（学校）管理指导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（10）负责组织实施儿童福利、孤弃儿童保障、儿童收养、儿童救助保护政策和标准，健全农村留守儿童关爱服务体系和困境儿童保障制度。</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（11）组织实施促进慈善事业发展政策，指导社会捐助工作。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（12）负责组织实施社会工作、志愿服务政策和标准，会同有关部门推进社会工作人才队伍建设和志愿者队伍建设。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（13）依法依规负责社会福利、养老服务、救助管理、殡葬服务机构的安全生产监督管理工作。负责职责范围内的意识形态、职业健康、生态环境保护、审批服务便民化工作。</w:t>
      </w:r>
    </w:p>
    <w:p>
      <w:pPr>
        <w:snapToGrid w:val="0"/>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eastAsia="仿宋_GB2312"/>
          <w:sz w:val="32"/>
          <w:szCs w:val="32"/>
        </w:rPr>
        <w:t>（14）完成县委、县人民政府交办的其他任务。</w:t>
      </w:r>
    </w:p>
    <w:p>
      <w:pPr>
        <w:pStyle w:val="28"/>
        <w:widowControl/>
        <w:numPr>
          <w:ilvl w:val="0"/>
          <w:numId w:val="5"/>
        </w:numPr>
        <w:adjustRightInd w:val="0"/>
        <w:snapToGrid w:val="0"/>
        <w:spacing w:line="576" w:lineRule="exact"/>
        <w:ind w:firstLineChars="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人员概况</w:t>
      </w:r>
    </w:p>
    <w:p>
      <w:pPr>
        <w:pStyle w:val="15"/>
        <w:spacing w:before="0" w:beforeAutospacing="0" w:after="0" w:afterAutospacing="0" w:line="576" w:lineRule="exact"/>
        <w:ind w:firstLine="640" w:firstLineChars="200"/>
        <w:rPr>
          <w:rFonts w:ascii="仿宋_GB2312" w:hAnsi="Calibri" w:eastAsia="仿宋_GB2312" w:cs="仿宋"/>
          <w:color w:val="000000"/>
          <w:sz w:val="32"/>
          <w:szCs w:val="32"/>
        </w:rPr>
      </w:pPr>
      <w:r>
        <w:rPr>
          <w:rFonts w:hint="eastAsia" w:ascii="仿宋_GB2312" w:hAnsi="Calibri" w:eastAsia="仿宋_GB2312" w:cs="仿宋"/>
          <w:color w:val="000000"/>
          <w:sz w:val="32"/>
          <w:szCs w:val="32"/>
        </w:rPr>
        <w:t>茂县民政局属行政机关单位，下属3个事业部门。在职人员总数26人，其中：行政人员8人，其他事业人员18人。</w:t>
      </w:r>
    </w:p>
    <w:p>
      <w:pPr>
        <w:pStyle w:val="15"/>
        <w:spacing w:before="0" w:beforeAutospacing="0" w:after="0" w:afterAutospacing="0" w:line="576" w:lineRule="exact"/>
        <w:ind w:firstLine="640" w:firstLineChars="200"/>
        <w:rPr>
          <w:rFonts w:ascii="黑体" w:eastAsia="黑体"/>
          <w:color w:val="000000"/>
          <w:sz w:val="32"/>
          <w:szCs w:val="32"/>
          <w:shd w:val="clear" w:color="auto" w:fill="FFFFFF"/>
        </w:rPr>
      </w:pPr>
      <w:r>
        <w:rPr>
          <w:rFonts w:hint="eastAsia" w:ascii="黑体" w:eastAsia="黑体"/>
          <w:color w:val="000000"/>
          <w:sz w:val="32"/>
          <w:szCs w:val="32"/>
          <w:shd w:val="clear" w:color="auto" w:fill="FFFFFF"/>
        </w:rPr>
        <w:t>二、部门财政资金收支情况</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（一）部门财政资金收入情况</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2021年单位财政补助收入共计</w:t>
      </w:r>
      <w:r>
        <w:rPr>
          <w:rFonts w:hint="eastAsia" w:ascii="仿宋_GB2312" w:hAnsi="Calibri" w:eastAsia="仿宋_GB2312" w:cs="仿宋"/>
          <w:color w:val="000000"/>
          <w:kern w:val="0"/>
          <w:sz w:val="32"/>
          <w:szCs w:val="32"/>
          <w:lang w:val="en-US" w:eastAsia="zh-CN"/>
        </w:rPr>
        <w:t>4684.46</w:t>
      </w:r>
      <w:r>
        <w:rPr>
          <w:rFonts w:hint="eastAsia" w:ascii="仿宋_GB2312" w:hAnsi="Calibri" w:eastAsia="仿宋_GB2312" w:cs="仿宋"/>
          <w:color w:val="000000"/>
          <w:kern w:val="0"/>
          <w:sz w:val="32"/>
          <w:szCs w:val="32"/>
        </w:rPr>
        <w:t>万元，无非财政补助收入、事业收入、经营收入、其他收入。</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（二）部门财政资金支出情况</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2021年单位财政资金支出决算数为支出共计</w:t>
      </w:r>
      <w:r>
        <w:rPr>
          <w:rFonts w:hint="eastAsia" w:ascii="仿宋_GB2312" w:hAnsi="Calibri" w:eastAsia="仿宋_GB2312" w:cs="仿宋"/>
          <w:color w:val="000000"/>
          <w:sz w:val="32"/>
          <w:szCs w:val="32"/>
          <w:lang w:val="en-US" w:eastAsia="zh-CN"/>
        </w:rPr>
        <w:t>4684.46</w:t>
      </w:r>
      <w:r>
        <w:rPr>
          <w:rFonts w:hint="eastAsia" w:ascii="仿宋_GB2312" w:hAnsi="Calibri" w:eastAsia="仿宋_GB2312" w:cs="仿宋"/>
          <w:color w:val="000000"/>
          <w:sz w:val="32"/>
          <w:szCs w:val="32"/>
        </w:rPr>
        <w:t>万元，均为财政补助支出。</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1.本年财政补助支出按功能科目分类包括：社会保障和就业支出</w:t>
      </w:r>
      <w:r>
        <w:rPr>
          <w:rFonts w:hint="eastAsia" w:ascii="仿宋_GB2312" w:hAnsi="Calibri" w:eastAsia="仿宋_GB2312" w:cs="仿宋"/>
          <w:color w:val="000000"/>
          <w:sz w:val="32"/>
          <w:szCs w:val="32"/>
          <w:lang w:val="en-US" w:eastAsia="zh-CN"/>
        </w:rPr>
        <w:t>4274.36</w:t>
      </w:r>
      <w:r>
        <w:rPr>
          <w:rFonts w:hint="eastAsia" w:ascii="仿宋_GB2312" w:hAnsi="Calibri" w:eastAsia="仿宋_GB2312" w:cs="仿宋"/>
          <w:color w:val="000000"/>
          <w:sz w:val="32"/>
          <w:szCs w:val="32"/>
        </w:rPr>
        <w:t>万元；卫生健康支出</w:t>
      </w:r>
      <w:r>
        <w:rPr>
          <w:rFonts w:hint="eastAsia" w:ascii="仿宋_GB2312" w:hAnsi="Calibri" w:eastAsia="仿宋_GB2312" w:cs="仿宋"/>
          <w:color w:val="000000"/>
          <w:sz w:val="32"/>
          <w:szCs w:val="32"/>
          <w:lang w:val="en-US" w:eastAsia="zh-CN"/>
        </w:rPr>
        <w:t>9.02</w:t>
      </w:r>
      <w:r>
        <w:rPr>
          <w:rFonts w:hint="eastAsia" w:ascii="仿宋_GB2312" w:hAnsi="Calibri" w:eastAsia="仿宋_GB2312" w:cs="仿宋"/>
          <w:color w:val="000000"/>
          <w:sz w:val="32"/>
          <w:szCs w:val="32"/>
        </w:rPr>
        <w:t>万元；农林水支出0.84万元；住房保障支出</w:t>
      </w:r>
      <w:r>
        <w:rPr>
          <w:rFonts w:hint="eastAsia" w:ascii="仿宋_GB2312" w:hAnsi="Calibri" w:eastAsia="仿宋_GB2312" w:cs="仿宋"/>
          <w:color w:val="000000"/>
          <w:sz w:val="32"/>
          <w:szCs w:val="32"/>
          <w:lang w:val="en-US" w:eastAsia="zh-CN"/>
        </w:rPr>
        <w:t>11.59</w:t>
      </w:r>
      <w:r>
        <w:rPr>
          <w:rFonts w:hint="eastAsia" w:ascii="仿宋_GB2312" w:hAnsi="Calibri" w:eastAsia="仿宋_GB2312" w:cs="仿宋"/>
          <w:color w:val="000000"/>
          <w:sz w:val="32"/>
          <w:szCs w:val="32"/>
        </w:rPr>
        <w:t>万元；其他支出187.31万元。</w:t>
      </w:r>
    </w:p>
    <w:p>
      <w:pPr>
        <w:widowControl/>
        <w:adjustRightInd w:val="0"/>
        <w:snapToGrid w:val="0"/>
        <w:spacing w:line="576" w:lineRule="exact"/>
        <w:ind w:firstLine="640" w:firstLineChars="200"/>
        <w:contextualSpacing/>
        <w:jc w:val="left"/>
        <w:rPr>
          <w:rFonts w:ascii="仿宋_GB2312" w:hAnsi="Calibri" w:eastAsia="仿宋_GB2312" w:cs="仿宋"/>
          <w:color w:val="000000"/>
          <w:sz w:val="32"/>
          <w:szCs w:val="32"/>
        </w:rPr>
      </w:pPr>
      <w:r>
        <w:rPr>
          <w:rFonts w:hint="eastAsia" w:ascii="仿宋_GB2312" w:hAnsi="Calibri" w:eastAsia="仿宋_GB2312" w:cs="仿宋"/>
          <w:color w:val="000000"/>
          <w:sz w:val="32"/>
          <w:szCs w:val="32"/>
        </w:rPr>
        <w:t>2.本年财政补助支出按经济科目分类包括：工资福利支出</w:t>
      </w:r>
      <w:r>
        <w:rPr>
          <w:rFonts w:hint="eastAsia" w:ascii="仿宋_GB2312" w:hAnsi="Calibri" w:eastAsia="仿宋_GB2312" w:cs="仿宋"/>
          <w:color w:val="000000"/>
          <w:sz w:val="32"/>
          <w:szCs w:val="32"/>
          <w:lang w:val="en-US" w:eastAsia="zh-CN"/>
        </w:rPr>
        <w:t>153.44</w:t>
      </w:r>
      <w:r>
        <w:rPr>
          <w:rFonts w:hint="eastAsia" w:ascii="仿宋_GB2312" w:hAnsi="Calibri" w:eastAsia="仿宋_GB2312" w:cs="仿宋"/>
          <w:color w:val="000000"/>
          <w:sz w:val="32"/>
          <w:szCs w:val="32"/>
        </w:rPr>
        <w:t>万元；商品和服务支出</w:t>
      </w:r>
      <w:r>
        <w:rPr>
          <w:rFonts w:hint="eastAsia" w:ascii="仿宋_GB2312" w:hAnsi="Calibri" w:eastAsia="仿宋_GB2312" w:cs="仿宋"/>
          <w:color w:val="000000"/>
          <w:sz w:val="32"/>
          <w:szCs w:val="32"/>
          <w:lang w:val="en-US" w:eastAsia="zh-CN"/>
        </w:rPr>
        <w:t>25.49</w:t>
      </w:r>
      <w:r>
        <w:rPr>
          <w:rFonts w:hint="eastAsia" w:ascii="仿宋_GB2312" w:hAnsi="Calibri" w:eastAsia="仿宋_GB2312" w:cs="仿宋"/>
          <w:color w:val="000000"/>
          <w:sz w:val="32"/>
          <w:szCs w:val="32"/>
        </w:rPr>
        <w:t>万元；对家庭和个人补助4038.</w:t>
      </w:r>
      <w:r>
        <w:rPr>
          <w:rFonts w:hint="eastAsia" w:ascii="仿宋_GB2312" w:hAnsi="Calibri" w:eastAsia="仿宋_GB2312" w:cs="仿宋"/>
          <w:color w:val="000000"/>
          <w:sz w:val="32"/>
          <w:szCs w:val="32"/>
          <w:lang w:val="en-US" w:eastAsia="zh-CN"/>
        </w:rPr>
        <w:t>9</w:t>
      </w:r>
      <w:r>
        <w:rPr>
          <w:rFonts w:hint="eastAsia" w:ascii="仿宋_GB2312" w:hAnsi="Calibri" w:eastAsia="仿宋_GB2312" w:cs="仿宋"/>
          <w:color w:val="000000"/>
          <w:sz w:val="32"/>
          <w:szCs w:val="32"/>
        </w:rPr>
        <w:t>万元；资本性支出466.63万元。</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sz w:val="32"/>
          <w:szCs w:val="32"/>
        </w:rPr>
      </w:pPr>
      <w:r>
        <w:rPr>
          <w:rFonts w:hint="eastAsia" w:ascii="仿宋_GB2312" w:hAnsi="Calibri" w:eastAsia="仿宋_GB2312" w:cs="仿宋"/>
          <w:color w:val="000000"/>
          <w:sz w:val="32"/>
          <w:szCs w:val="32"/>
        </w:rPr>
        <w:t>3. 本年财政补助支出按支出性质分类包括：1.基本支出</w:t>
      </w:r>
      <w:r>
        <w:rPr>
          <w:rFonts w:hint="eastAsia" w:ascii="仿宋_GB2312" w:hAnsi="Calibri" w:eastAsia="仿宋_GB2312" w:cs="仿宋"/>
          <w:color w:val="000000"/>
          <w:sz w:val="32"/>
          <w:szCs w:val="32"/>
          <w:lang w:val="en-US" w:eastAsia="zh-CN"/>
        </w:rPr>
        <w:t>187.65</w:t>
      </w:r>
      <w:r>
        <w:rPr>
          <w:rFonts w:hint="eastAsia" w:ascii="仿宋_GB2312" w:hAnsi="Calibri" w:eastAsia="仿宋_GB2312" w:cs="仿宋"/>
          <w:color w:val="000000"/>
          <w:sz w:val="32"/>
          <w:szCs w:val="32"/>
        </w:rPr>
        <w:t>万元（其中：人员经费</w:t>
      </w:r>
      <w:r>
        <w:rPr>
          <w:rFonts w:hint="eastAsia" w:ascii="仿宋_GB2312" w:hAnsi="Calibri" w:eastAsia="仿宋_GB2312" w:cs="仿宋"/>
          <w:color w:val="000000"/>
          <w:sz w:val="32"/>
          <w:szCs w:val="32"/>
          <w:lang w:val="en-US" w:eastAsia="zh-CN"/>
        </w:rPr>
        <w:t>180.15</w:t>
      </w:r>
      <w:r>
        <w:rPr>
          <w:rFonts w:hint="eastAsia" w:ascii="仿宋_GB2312" w:hAnsi="Calibri" w:eastAsia="仿宋_GB2312" w:cs="仿宋"/>
          <w:color w:val="000000"/>
          <w:sz w:val="32"/>
          <w:szCs w:val="32"/>
        </w:rPr>
        <w:t>万元；日常公用经费</w:t>
      </w:r>
      <w:r>
        <w:rPr>
          <w:rFonts w:hint="eastAsia" w:ascii="仿宋_GB2312" w:hAnsi="Calibri" w:eastAsia="仿宋_GB2312" w:cs="仿宋"/>
          <w:color w:val="000000"/>
          <w:sz w:val="32"/>
          <w:szCs w:val="32"/>
          <w:lang w:val="en-US" w:eastAsia="zh-CN"/>
        </w:rPr>
        <w:t>7.5</w:t>
      </w:r>
      <w:r>
        <w:rPr>
          <w:rFonts w:hint="eastAsia" w:ascii="仿宋_GB2312" w:hAnsi="Calibri" w:eastAsia="仿宋_GB2312" w:cs="仿宋"/>
          <w:color w:val="000000"/>
          <w:sz w:val="32"/>
          <w:szCs w:val="32"/>
        </w:rPr>
        <w:t>万元）；2.项目支出4496.81万元。</w:t>
      </w:r>
    </w:p>
    <w:p>
      <w:pPr>
        <w:widowControl/>
        <w:adjustRightInd w:val="0"/>
        <w:snapToGrid w:val="0"/>
        <w:spacing w:line="576" w:lineRule="exact"/>
        <w:ind w:firstLine="640"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三、部门整体预算绩效管理情况</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（一）部门预算管理</w:t>
      </w:r>
    </w:p>
    <w:p>
      <w:pPr>
        <w:widowControl/>
        <w:adjustRightInd w:val="0"/>
        <w:snapToGrid w:val="0"/>
        <w:spacing w:line="576" w:lineRule="exact"/>
        <w:ind w:firstLine="640" w:firstLineChars="200"/>
        <w:contextualSpacing/>
        <w:jc w:val="left"/>
        <w:rPr>
          <w:rFonts w:hint="eastAsia" w:ascii="仿宋_GB2312" w:hAnsi="Calibri" w:eastAsia="仿宋_GB2312" w:cs="仿宋"/>
          <w:color w:val="000000"/>
          <w:sz w:val="32"/>
          <w:szCs w:val="32"/>
        </w:rPr>
      </w:pPr>
      <w:r>
        <w:rPr>
          <w:rFonts w:hint="eastAsia" w:ascii="仿宋_GB2312" w:hAnsi="Tahoma" w:eastAsia="仿宋_GB2312" w:cs="Tahoma"/>
          <w:sz w:val="32"/>
          <w:szCs w:val="32"/>
        </w:rPr>
        <w:t>单</w:t>
      </w:r>
      <w:r>
        <w:rPr>
          <w:rFonts w:hint="eastAsia" w:ascii="仿宋_GB2312" w:hAnsi="Calibri" w:eastAsia="仿宋_GB2312" w:cs="仿宋"/>
          <w:color w:val="000000"/>
          <w:sz w:val="32"/>
          <w:szCs w:val="32"/>
        </w:rPr>
        <w:t>位严格按照县财政部门预算编制通知和有关文件要求，秉承强化规划约束、坚持限额控制、实时滚动管理、强化绩效管理的基本编制原则在县财政部门规定的时间内于部门预算管理系统中以上年度10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pStyle w:val="15"/>
        <w:spacing w:before="0" w:beforeAutospacing="0" w:after="0" w:afterAutospacing="0" w:line="576" w:lineRule="exact"/>
        <w:ind w:firstLine="642" w:firstLineChars="200"/>
        <w:rPr>
          <w:rFonts w:hint="eastAsia" w:ascii="楷体" w:hAnsi="楷体" w:eastAsia="楷体" w:cs="楷体"/>
          <w:b/>
          <w:bCs/>
          <w:color w:val="000000"/>
          <w:sz w:val="32"/>
          <w:szCs w:val="32"/>
          <w:shd w:val="clear" w:color="auto" w:fill="FFFFFF"/>
          <w:lang w:val="zh-CN"/>
        </w:rPr>
      </w:pPr>
      <w:r>
        <w:rPr>
          <w:rFonts w:hint="eastAsia" w:ascii="楷体" w:hAnsi="楷体" w:eastAsia="楷体" w:cs="楷体"/>
          <w:b/>
          <w:bCs/>
          <w:color w:val="000000"/>
          <w:sz w:val="32"/>
          <w:szCs w:val="32"/>
          <w:shd w:val="clear" w:color="auto" w:fill="FFFFFF"/>
          <w:lang w:val="zh-CN"/>
        </w:rPr>
        <w:t>（二）综合管理情况</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（1）政府采购实施计划</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单位在2021年未发生政府采购行为，为进一步加强我局政府采购监督管理和规范政府采购行为，我局已建立相应的政府采购制度。</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（2）资产管理</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 w:hAnsi="仿宋" w:eastAsia="仿宋"/>
          <w:sz w:val="32"/>
          <w:szCs w:val="32"/>
        </w:rPr>
        <w:t>截止202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30日，我单位</w:t>
      </w:r>
      <w:r>
        <w:rPr>
          <w:rFonts w:hint="eastAsia" w:ascii="仿宋" w:hAnsi="仿宋" w:eastAsia="仿宋"/>
          <w:sz w:val="32"/>
          <w:szCs w:val="32"/>
        </w:rPr>
        <w:t>固定资产原值</w:t>
      </w:r>
      <w:r>
        <w:rPr>
          <w:rFonts w:hint="eastAsia" w:ascii="仿宋" w:hAnsi="仿宋" w:eastAsia="仿宋"/>
          <w:sz w:val="32"/>
          <w:szCs w:val="32"/>
          <w:lang w:val="en-US" w:eastAsia="zh-CN"/>
        </w:rPr>
        <w:t>11197.78万</w:t>
      </w:r>
      <w:r>
        <w:rPr>
          <w:rFonts w:hint="eastAsia" w:ascii="仿宋" w:hAnsi="仿宋" w:eastAsia="仿宋"/>
          <w:sz w:val="32"/>
          <w:szCs w:val="32"/>
        </w:rPr>
        <w:t>元，累计折旧</w:t>
      </w:r>
      <w:r>
        <w:rPr>
          <w:rFonts w:hint="eastAsia" w:ascii="仿宋" w:hAnsi="仿宋" w:eastAsia="仿宋"/>
          <w:sz w:val="32"/>
          <w:szCs w:val="32"/>
          <w:lang w:val="en-US" w:eastAsia="zh-CN"/>
        </w:rPr>
        <w:t>3975.98万</w:t>
      </w:r>
      <w:r>
        <w:rPr>
          <w:rFonts w:hint="eastAsia" w:ascii="仿宋" w:hAnsi="仿宋" w:eastAsia="仿宋"/>
          <w:sz w:val="32"/>
          <w:szCs w:val="32"/>
        </w:rPr>
        <w:t>元，净值</w:t>
      </w:r>
      <w:r>
        <w:rPr>
          <w:rFonts w:hint="eastAsia" w:ascii="仿宋" w:hAnsi="仿宋" w:eastAsia="仿宋"/>
          <w:sz w:val="32"/>
          <w:szCs w:val="32"/>
          <w:lang w:val="en-US" w:eastAsia="zh-CN"/>
        </w:rPr>
        <w:t>7221.81万</w:t>
      </w:r>
      <w:r>
        <w:rPr>
          <w:rFonts w:hint="eastAsia" w:ascii="仿宋" w:hAnsi="仿宋" w:eastAsia="仿宋"/>
          <w:sz w:val="32"/>
          <w:szCs w:val="32"/>
        </w:rPr>
        <w:t>元，</w:t>
      </w:r>
      <w:r>
        <w:rPr>
          <w:rFonts w:hint="eastAsia" w:ascii="仿宋_GB2312" w:hAnsi="Tahoma" w:eastAsia="仿宋_GB2312" w:cs="Tahoma"/>
          <w:sz w:val="32"/>
          <w:szCs w:val="32"/>
        </w:rPr>
        <w:t>单位所有固定资产由专人负责登记管理，办公室负责对单位固定资产实物情况进行全面管理；单位财务人员负责对固定资产账面价值进行审核统计并录入资产管理系统，对资产盘盈、盘亏、报废、清理等处置业务在获得有关部门审核批准后及时办理相应手续。通过对现有固定资产进行账物实物清查盘点，并按要求在四川省资产管理系统中准确、真实、完整地录入相关数据并上报。</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 xml:space="preserve"> (3)内控制度管理</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我局高度重视内部控制制度建设工作，切实加强对内部控制制度建设的组织领导，切实强化内部控制制度的建设工作。通过强化内部控制制度建设，切实做到有章可行，有据可依。</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(4)信息公开</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单位严格按照相关部门的要求保质保量完成年度预决算公开工作，按时将公开材料数据报送县委宣传部并在茂县政府信息网站上公布。按月及时向财政部门报送经费报表、贯彻落实中央八项规定和省委省政府十项规定经费支出情况统计表并由相关股室进行审核。根据财政部门文件要求及时开展单位经费使用情况自查自纠工作，撰写自查自纠报告并及时报送。</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rPr>
      </w:pPr>
      <w:r>
        <w:rPr>
          <w:rFonts w:hint="eastAsia" w:ascii="仿宋_GB2312" w:hAnsi="Tahoma" w:eastAsia="仿宋_GB2312" w:cs="Tahoma"/>
          <w:sz w:val="32"/>
          <w:szCs w:val="32"/>
        </w:rPr>
        <w:t>(5) 绩效评价及依法接受财政监督情况等</w:t>
      </w:r>
    </w:p>
    <w:p>
      <w:pPr>
        <w:widowControl/>
        <w:adjustRightInd w:val="0"/>
        <w:snapToGrid w:val="0"/>
        <w:spacing w:line="576" w:lineRule="exact"/>
        <w:ind w:firstLine="640" w:firstLineChars="200"/>
        <w:contextualSpacing/>
        <w:jc w:val="left"/>
        <w:rPr>
          <w:rFonts w:hint="eastAsia" w:ascii="仿宋_GB2312" w:hAnsi="Tahoma" w:eastAsia="仿宋_GB2312" w:cs="Tahoma"/>
          <w:sz w:val="32"/>
          <w:szCs w:val="32"/>
          <w:lang w:val="zh-CN"/>
        </w:rPr>
      </w:pPr>
      <w:r>
        <w:rPr>
          <w:rFonts w:hint="eastAsia" w:ascii="仿宋_GB2312" w:hAnsi="Tahoma" w:eastAsia="仿宋_GB2312" w:cs="Tahoma"/>
          <w:sz w:val="32"/>
          <w:szCs w:val="32"/>
        </w:rPr>
        <w:t>每年按县财政文件要求根据自身工作实际做好财政支出绩效评价自评及前期准备工作，同时撰写绩效自评报告及填写绩效评价指标体系并自评分数，说明扣分理由。按时将相应评价资料报送相应的财政部门支出管理股室。单位严格落实工作责任，积极协调配合财政部门绩效评价小组对本单位进行实地评价。同时针对在绩效评价中发现的问题和不足认真整改落实，并将整改情况报送财政部门绩效评价小组。</w:t>
      </w:r>
    </w:p>
    <w:p>
      <w:pPr>
        <w:pStyle w:val="15"/>
        <w:spacing w:before="0" w:beforeAutospacing="0" w:after="0" w:afterAutospacing="0" w:line="576" w:lineRule="exact"/>
        <w:ind w:firstLine="642" w:firstLineChars="200"/>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（二）结果应用情况</w:t>
      </w:r>
    </w:p>
    <w:p>
      <w:pPr>
        <w:widowControl/>
        <w:spacing w:line="576" w:lineRule="exact"/>
        <w:ind w:firstLine="640" w:firstLineChars="200"/>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我局对部门预算绩效管理工作开展情况认真进行了自查自评。绩效评价自查开展覆盖重点支出，将评价结果作为预算安排的重要依据，参照项目年度预算执行情况、“三年滚动规划”执行情况统筹项目支出需求，保障重点支出，调整支出结构，优化财政资金配置，不断强化绩效理念，推动我厅部门整体绩效管理水平不断提升。 </w:t>
      </w:r>
    </w:p>
    <w:p>
      <w:pPr>
        <w:widowControl/>
        <w:adjustRightInd w:val="0"/>
        <w:snapToGrid w:val="0"/>
        <w:spacing w:line="576"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（三）整体绩效</w:t>
      </w:r>
    </w:p>
    <w:p>
      <w:pPr>
        <w:widowControl/>
        <w:shd w:val="clear" w:color="auto" w:fill="FFFFFF"/>
        <w:spacing w:line="600" w:lineRule="atLeas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1.部门职能完成数量和质量。2021年，在县委县政府的正确领导下，我单位较好的履行了部门职责，完成年度目标任务。</w:t>
      </w:r>
      <w:r>
        <w:rPr>
          <w:rFonts w:hint="eastAsia" w:ascii="仿宋_GB2312" w:hAnsi="仿宋_GB2312" w:eastAsia="仿宋_GB2312" w:cs="仿宋_GB2312"/>
          <w:sz w:val="32"/>
          <w:szCs w:val="32"/>
        </w:rPr>
        <w:t>本单位按要求对2021年部门整体支出开展绩效自评，从评价情况来看，2021年我单位整体绩效自查自评良好，全年基本支出保证了部门的正常运行和日常工作正常开展，项目支出保障了重大工作的开展、绩效目标较好的实行，绩效管理水平不断提高，绩效指标体系逐渐丰富和完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lang w:bidi="ar"/>
        </w:rPr>
        <w:t>2.重点项目绩效评价结果。</w:t>
      </w:r>
      <w:r>
        <w:rPr>
          <w:rFonts w:hint="eastAsia" w:ascii="仿宋_GB2312" w:hAnsi="仿宋_GB2312" w:eastAsia="仿宋_GB2312" w:cs="仿宋_GB2312"/>
          <w:sz w:val="32"/>
          <w:szCs w:val="32"/>
        </w:rPr>
        <w:t>根据预算绩效管理要求，本单位在年初预算编制阶段，组织对1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项目开展了预算事前绩效评估，1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个项目编制了绩效目标，预算执行过程中，选取5个项目开展绩效监控，年终执行完毕后，对5个项目开展了绩效目标完成情况自评。</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残疾人生活和护理补贴项目绩效目标完成情况综述。项目全年预算数122.9万元，执行数为122.9万元，完成预算的100%。通过项目实施，提高了困难残疾人的基本生活，解决了残疾人特殊生活困难和长期照护困难，保障残疾人生存发展权益。</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（2）高龄津贴项目绩效目标完成情况综述。项目全年预算数212.71万元，执行数为212.71万元，完成预算的100%。通过项目实施，保障了高龄老人老有所养、老有所依、老有所乐，提高了高龄老人生活</w:t>
      </w:r>
      <w:r>
        <w:rPr>
          <w:rFonts w:hint="eastAsia" w:ascii="仿宋_GB2312" w:eastAsia="仿宋_GB2312"/>
          <w:bCs/>
          <w:sz w:val="32"/>
          <w:szCs w:val="32"/>
        </w:rPr>
        <w:t>水平。</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（3）特困人员救助供养项目绩效目标完成情况综述。项目全年预算数461.33万元，执行数为461.33万元，完成预算的100%。通过项目实施，切实保障特困人员基本生活。</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最低生活保障金项目绩效目标完成情况综述。项目全年预算数2459万元，执行数为2459万元，完成预算的100%。通过项目实施，切实保障城乡低保人群基本生活，让城乡低保人员感受到国家的温暖，促进社会和谐进步。</w:t>
      </w:r>
    </w:p>
    <w:p>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（5）临时救助生活补助项目绩效目标完成情况综述。项目全年预算数45万元，执行数为45万元，完成预算的100%。通过项目实施，切实保障困难群众临时性生活困难。</w:t>
      </w:r>
    </w:p>
    <w:p>
      <w:pPr>
        <w:widowControl/>
        <w:spacing w:line="576" w:lineRule="exact"/>
        <w:ind w:firstLine="640" w:firstLineChars="200"/>
        <w:jc w:val="left"/>
        <w:rPr>
          <w:rFonts w:ascii="黑体" w:hAnsi="黑体" w:eastAsia="黑体" w:cs="仿宋"/>
          <w:color w:val="000000"/>
          <w:kern w:val="0"/>
          <w:sz w:val="32"/>
          <w:szCs w:val="32"/>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76" w:lineRule="exact"/>
        <w:ind w:firstLine="642" w:firstLineChars="200"/>
        <w:contextualSpacing/>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（一）评价结论</w:t>
      </w:r>
    </w:p>
    <w:p>
      <w:pPr>
        <w:widowControl/>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单位对照《县级部门整体支出绩效评价指标体系表》中各项具体指标认真开展自评工作，经自评，单位部门整体支出均按照相应的规章制度和要求执行办理，</w:t>
      </w:r>
      <w:r>
        <w:rPr>
          <w:rFonts w:hint="eastAsia" w:ascii="仿宋_GB2312" w:hAnsi="仿宋_GB2312" w:eastAsia="仿宋_GB2312" w:cs="仿宋_GB2312"/>
          <w:color w:val="000000"/>
          <w:kern w:val="0"/>
          <w:sz w:val="32"/>
          <w:szCs w:val="32"/>
          <w:shd w:val="clear" w:color="auto" w:fill="FFFFFF"/>
        </w:rPr>
        <w:t>达到预期绩效目标</w:t>
      </w:r>
      <w:r>
        <w:rPr>
          <w:rFonts w:hint="eastAsia" w:ascii="仿宋_GB2312" w:hAnsi="Calibri" w:eastAsia="仿宋_GB2312" w:cs="仿宋"/>
          <w:color w:val="000000"/>
          <w:kern w:val="0"/>
          <w:sz w:val="32"/>
          <w:szCs w:val="32"/>
        </w:rPr>
        <w:t>。</w:t>
      </w:r>
    </w:p>
    <w:p>
      <w:pPr>
        <w:widowControl/>
        <w:spacing w:line="576" w:lineRule="exact"/>
        <w:ind w:firstLine="642" w:firstLineChars="200"/>
        <w:jc w:val="left"/>
        <w:rPr>
          <w:rFonts w:ascii="仿宋_GB2312" w:hAnsi="宋体" w:eastAsia="仿宋_GB2312" w:cs="宋体"/>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（二）存在问题</w:t>
      </w:r>
    </w:p>
    <w:p>
      <w:pPr>
        <w:widowControl/>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单位对部门支出相关规章制度落实力度不够，执行能力不强，在票据报销规范性方面的管理不够严谨细致。</w:t>
      </w:r>
    </w:p>
    <w:p>
      <w:pPr>
        <w:widowControl/>
        <w:spacing w:line="576" w:lineRule="exact"/>
        <w:ind w:firstLine="642" w:firstLineChars="200"/>
        <w:jc w:val="left"/>
        <w:rPr>
          <w:rFonts w:ascii="楷体_GB2312" w:hAnsi="宋体" w:eastAsia="楷体_GB2312" w:cs="宋体"/>
          <w:b/>
          <w:color w:val="000000"/>
          <w:kern w:val="0"/>
          <w:sz w:val="32"/>
          <w:szCs w:val="32"/>
          <w:shd w:val="clear" w:color="auto" w:fill="FFFFFF"/>
          <w:lang w:val="zh-CN"/>
        </w:rPr>
      </w:pPr>
      <w:r>
        <w:rPr>
          <w:rFonts w:hint="eastAsia" w:ascii="楷体_GB2312" w:hAnsi="宋体" w:eastAsia="楷体_GB2312" w:cs="宋体"/>
          <w:b/>
          <w:color w:val="000000"/>
          <w:kern w:val="0"/>
          <w:sz w:val="32"/>
          <w:szCs w:val="32"/>
          <w:shd w:val="clear" w:color="auto" w:fill="FFFFFF"/>
          <w:lang w:val="zh-CN"/>
        </w:rPr>
        <w:t>（三）改进建议</w:t>
      </w:r>
    </w:p>
    <w:p>
      <w:pPr>
        <w:widowControl/>
        <w:spacing w:line="576"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单位财务人员在今后工作中要按照有关文件及规章制度的要求严格管理各项经费支出，细化财务审批程序，加大对报销票据的审核把关力度，落实岗位职责，坚守职业道德，重点对“三公”经费开支范围及标准进行准确核算，确保财务原始凭证的规范性、完整性、真实性。</w:t>
      </w:r>
    </w:p>
    <w:p>
      <w:pPr>
        <w:spacing w:line="576" w:lineRule="exact"/>
        <w:ind w:firstLine="640" w:firstLineChars="200"/>
        <w:rPr>
          <w:rFonts w:ascii="仿宋" w:hAnsi="仿宋" w:eastAsia="仿宋"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jc w:val="left"/>
        <w:outlineLvl w:val="0"/>
        <w:rPr>
          <w:rFonts w:hint="eastAsia" w:ascii="仿宋_GB2312" w:hAnsi="黑体" w:eastAsia="仿宋_GB2312" w:cs="黑体"/>
          <w:sz w:val="32"/>
          <w:szCs w:val="32"/>
        </w:rPr>
      </w:pPr>
      <w:bookmarkStart w:id="158" w:name="_Toc22311"/>
      <w:bookmarkStart w:id="159" w:name="_Toc18889"/>
      <w:bookmarkStart w:id="160" w:name="_Toc27760"/>
    </w:p>
    <w:p>
      <w:pPr>
        <w:spacing w:line="576" w:lineRule="exact"/>
        <w:jc w:val="left"/>
        <w:outlineLvl w:val="0"/>
        <w:rPr>
          <w:rFonts w:hint="eastAsia" w:ascii="仿宋_GB2312" w:hAnsi="黑体" w:eastAsia="仿宋_GB2312" w:cs="黑体"/>
          <w:sz w:val="32"/>
          <w:szCs w:val="32"/>
        </w:rPr>
      </w:pPr>
    </w:p>
    <w:p>
      <w:pPr>
        <w:spacing w:line="576" w:lineRule="exact"/>
        <w:jc w:val="left"/>
        <w:outlineLvl w:val="0"/>
        <w:rPr>
          <w:rFonts w:hint="eastAsia" w:ascii="仿宋_GB2312" w:hAnsi="黑体" w:eastAsia="仿宋_GB2312" w:cs="黑体"/>
          <w:sz w:val="32"/>
          <w:szCs w:val="32"/>
        </w:rPr>
      </w:pPr>
    </w:p>
    <w:p>
      <w:pPr>
        <w:spacing w:line="576" w:lineRule="exact"/>
        <w:jc w:val="left"/>
        <w:outlineLvl w:val="0"/>
        <w:rPr>
          <w:rFonts w:hint="eastAsia" w:ascii="仿宋_GB2312" w:hAnsi="黑体" w:eastAsia="仿宋_GB2312" w:cs="黑体"/>
          <w:sz w:val="32"/>
          <w:szCs w:val="32"/>
        </w:rPr>
      </w:pPr>
    </w:p>
    <w:p>
      <w:pPr>
        <w:pStyle w:val="2"/>
        <w:rPr>
          <w:rFonts w:hint="eastAsia" w:ascii="仿宋_GB2312" w:hAnsi="黑体" w:eastAsia="仿宋_GB2312" w:cs="黑体"/>
          <w:sz w:val="32"/>
          <w:szCs w:val="32"/>
        </w:rPr>
      </w:pPr>
    </w:p>
    <w:p>
      <w:pPr>
        <w:pStyle w:val="2"/>
        <w:rPr>
          <w:rFonts w:hint="eastAsia" w:ascii="仿宋_GB2312" w:hAnsi="黑体" w:eastAsia="仿宋_GB2312" w:cs="黑体"/>
          <w:sz w:val="32"/>
          <w:szCs w:val="32"/>
        </w:rPr>
      </w:pPr>
    </w:p>
    <w:p>
      <w:pPr>
        <w:pStyle w:val="2"/>
        <w:rPr>
          <w:rFonts w:hint="eastAsia" w:ascii="仿宋_GB2312" w:hAnsi="黑体" w:eastAsia="仿宋_GB2312" w:cs="黑体"/>
          <w:sz w:val="32"/>
          <w:szCs w:val="32"/>
        </w:rPr>
      </w:pPr>
    </w:p>
    <w:p>
      <w:pPr>
        <w:pStyle w:val="2"/>
        <w:rPr>
          <w:rFonts w:hint="eastAsia" w:ascii="仿宋_GB2312" w:hAnsi="黑体" w:eastAsia="仿宋_GB2312" w:cs="黑体"/>
          <w:sz w:val="32"/>
          <w:szCs w:val="32"/>
        </w:rPr>
      </w:pPr>
    </w:p>
    <w:p>
      <w:pPr>
        <w:pStyle w:val="2"/>
        <w:rPr>
          <w:rFonts w:hint="eastAsia" w:ascii="仿宋_GB2312" w:hAnsi="黑体" w:eastAsia="仿宋_GB2312" w:cs="黑体"/>
          <w:sz w:val="32"/>
          <w:szCs w:val="32"/>
        </w:rPr>
      </w:pPr>
    </w:p>
    <w:p>
      <w:pPr>
        <w:pStyle w:val="2"/>
        <w:rPr>
          <w:rFonts w:hint="eastAsia" w:ascii="仿宋_GB2312" w:hAnsi="黑体" w:eastAsia="仿宋_GB2312" w:cs="黑体"/>
          <w:sz w:val="32"/>
          <w:szCs w:val="32"/>
        </w:rPr>
      </w:pPr>
    </w:p>
    <w:p>
      <w:pPr>
        <w:spacing w:line="576" w:lineRule="exact"/>
        <w:jc w:val="left"/>
        <w:outlineLvl w:val="0"/>
        <w:rPr>
          <w:rFonts w:hint="eastAsia" w:ascii="仿宋_GB2312" w:hAnsi="方正小标宋简体" w:eastAsia="仿宋_GB2312" w:cs="方正小标宋简体"/>
          <w:sz w:val="32"/>
          <w:szCs w:val="32"/>
          <w:lang w:eastAsia="zh-CN"/>
        </w:rPr>
      </w:pPr>
      <w:r>
        <w:rPr>
          <w:rFonts w:hint="eastAsia" w:ascii="仿宋_GB2312" w:hAnsi="黑体" w:eastAsia="仿宋_GB2312" w:cs="黑体"/>
          <w:sz w:val="32"/>
          <w:szCs w:val="32"/>
        </w:rPr>
        <w:t>附件</w:t>
      </w:r>
      <w:r>
        <w:rPr>
          <w:rFonts w:hint="eastAsia" w:ascii="仿宋_GB2312" w:hAnsi="黑体" w:eastAsia="仿宋_GB2312" w:cs="黑体"/>
          <w:sz w:val="32"/>
          <w:szCs w:val="32"/>
          <w:lang w:val="en-US" w:eastAsia="zh-CN"/>
        </w:rPr>
        <w:t>2</w:t>
      </w:r>
      <w:bookmarkEnd w:id="158"/>
      <w:bookmarkEnd w:id="159"/>
      <w:bookmarkEnd w:id="160"/>
    </w:p>
    <w:p>
      <w:pPr>
        <w:pStyle w:val="4"/>
        <w:bidi w:val="0"/>
        <w:jc w:val="center"/>
        <w:rPr>
          <w:rFonts w:hint="eastAsia" w:ascii="方正小标宋简体" w:hAnsi="宋体" w:eastAsia="方正小标宋简体" w:cs="Times New Roman"/>
          <w:b w:val="0"/>
          <w:bCs w:val="0"/>
          <w:kern w:val="2"/>
          <w:sz w:val="44"/>
          <w:szCs w:val="44"/>
          <w:lang w:val="en-US" w:eastAsia="zh-CN" w:bidi="ar-SA"/>
        </w:rPr>
      </w:pPr>
      <w:bookmarkStart w:id="161" w:name="_Toc11561"/>
      <w:r>
        <w:rPr>
          <w:rFonts w:hint="eastAsia" w:ascii="方正小标宋简体" w:hAnsi="宋体" w:eastAsia="方正小标宋简体" w:cs="Times New Roman"/>
          <w:b w:val="0"/>
          <w:bCs w:val="0"/>
          <w:kern w:val="2"/>
          <w:sz w:val="44"/>
          <w:szCs w:val="44"/>
          <w:lang w:val="en-US" w:eastAsia="zh-CN" w:bidi="ar-SA"/>
        </w:rPr>
        <w:t>茂县民政局2021年敬老金项目支出绩效   自评报告</w:t>
      </w:r>
    </w:p>
    <w:bookmarkEnd w:id="161"/>
    <w:p>
      <w:pPr>
        <w:adjustRightInd w:val="0"/>
        <w:snapToGrid w:val="0"/>
        <w:spacing w:beforeLines="0" w:afterLines="0" w:line="560" w:lineRule="exact"/>
        <w:ind w:firstLine="720"/>
        <w:rPr>
          <w:rFonts w:hint="eastAsia" w:ascii="黑体" w:hAnsi="宋体" w:eastAsia="黑体"/>
          <w:sz w:val="32"/>
          <w:szCs w:val="24"/>
          <w:lang w:val="zh-CN"/>
        </w:rPr>
      </w:pPr>
      <w:r>
        <w:rPr>
          <w:rFonts w:hint="eastAsia" w:ascii="黑体" w:hAnsi="宋体" w:eastAsia="黑体"/>
          <w:sz w:val="32"/>
          <w:szCs w:val="24"/>
        </w:rPr>
        <w:t>一、</w:t>
      </w:r>
      <w:r>
        <w:rPr>
          <w:rFonts w:hint="eastAsia" w:ascii="黑体" w:hAnsi="宋体" w:eastAsia="黑体"/>
          <w:sz w:val="32"/>
          <w:szCs w:val="24"/>
          <w:lang w:val="zh-CN"/>
        </w:rPr>
        <w:t>项目概况</w:t>
      </w:r>
    </w:p>
    <w:p>
      <w:pPr>
        <w:pStyle w:val="15"/>
        <w:snapToGrid w:val="0"/>
        <w:spacing w:before="0" w:beforeLines="0" w:beforeAutospacing="0" w:after="0" w:afterLines="0" w:afterAutospacing="0" w:line="576" w:lineRule="exact"/>
        <w:ind w:firstLine="600"/>
        <w:rPr>
          <w:rFonts w:hint="eastAsia" w:ascii="仿宋_GB2312" w:hAnsi="仿宋" w:eastAsia="仿宋_GB2312" w:cs="Times New Roman"/>
          <w:kern w:val="2"/>
          <w:sz w:val="32"/>
          <w:szCs w:val="32"/>
        </w:rPr>
      </w:pPr>
      <w:r>
        <w:rPr>
          <w:rFonts w:hint="eastAsia" w:ascii="仿宋_GB2312" w:hAnsi="仿宋" w:eastAsia="仿宋_GB2312"/>
          <w:sz w:val="32"/>
          <w:szCs w:val="32"/>
        </w:rPr>
        <w:t>为积极应对人口老龄化，切实做好老年人优待工作</w:t>
      </w:r>
      <w:r>
        <w:rPr>
          <w:rFonts w:hint="eastAsia" w:ascii="仿宋_GB2312" w:hAnsi="仿宋" w:eastAsia="仿宋_GB2312" w:cs="Times New Roman"/>
          <w:kern w:val="2"/>
          <w:sz w:val="32"/>
          <w:szCs w:val="32"/>
        </w:rPr>
        <w:t>，进一步增进老年人福祉，维护老年人的合法权益，</w:t>
      </w:r>
      <w:r>
        <w:rPr>
          <w:rFonts w:hint="eastAsia" w:ascii="仿宋_GB2312" w:hAnsi="仿宋" w:eastAsia="仿宋_GB2312"/>
          <w:sz w:val="32"/>
          <w:szCs w:val="32"/>
        </w:rPr>
        <w:t>我县严格遵循“党政主导、社会参与、全民关怀”的工作方针，全面提高老龄事业发展水平，让全县老年人生活得更加幸福，</w:t>
      </w:r>
      <w:r>
        <w:rPr>
          <w:rFonts w:hint="eastAsia" w:ascii="仿宋_GB2312" w:hAnsi="仿宋" w:eastAsia="仿宋_GB2312" w:cs="Times New Roman"/>
          <w:kern w:val="2"/>
          <w:sz w:val="32"/>
          <w:szCs w:val="32"/>
        </w:rPr>
        <w:t>确保了老年人“老有所养”，安享晚年。</w:t>
      </w:r>
    </w:p>
    <w:p>
      <w:pPr>
        <w:numPr>
          <w:ilvl w:val="0"/>
          <w:numId w:val="6"/>
        </w:numPr>
        <w:spacing w:beforeLines="0" w:afterLines="0" w:line="520" w:lineRule="exact"/>
        <w:ind w:firstLine="642" w:firstLineChars="200"/>
        <w:rPr>
          <w:rFonts w:hint="eastAsia" w:ascii="仿宋_GB2312" w:hAnsi="宋体"/>
          <w:sz w:val="32"/>
          <w:szCs w:val="24"/>
        </w:rPr>
      </w:pPr>
      <w:r>
        <w:rPr>
          <w:rFonts w:hint="eastAsia" w:ascii="楷体_GB2312" w:hAnsi="宋体" w:eastAsia="楷体_GB2312"/>
          <w:b/>
          <w:sz w:val="32"/>
          <w:szCs w:val="24"/>
          <w:lang w:val="zh-CN"/>
        </w:rPr>
        <w:t>项目资金申报及批复情况</w:t>
      </w:r>
      <w:r>
        <w:rPr>
          <w:rFonts w:hint="eastAsia" w:ascii="仿宋_GB2312" w:hAnsi="宋体"/>
          <w:sz w:val="32"/>
          <w:szCs w:val="24"/>
        </w:rPr>
        <w:t xml:space="preserve">      </w:t>
      </w:r>
    </w:p>
    <w:p>
      <w:pPr>
        <w:numPr>
          <w:ilvl w:val="0"/>
          <w:numId w:val="0"/>
        </w:numPr>
        <w:spacing w:beforeLines="0" w:afterLines="0" w:line="520" w:lineRule="exact"/>
        <w:ind w:firstLine="640" w:firstLineChars="200"/>
        <w:rPr>
          <w:rFonts w:hint="default"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为认真贯彻落实《阿坝州人民政府办公室关于做好全州高龄津贴全面提标工作的通知》（阿府办发〔2012〕42号）《阿坝州民政局 阿坝州财政局 阿坝州老龄办关于提高高龄津贴发放标准的通知》（阿州民政〔2018〕175号）的精神，坚持“以民为本、为民解困”的宗旨，切实保障我县高龄老人的基本生活。高龄津贴资金来源按照州、县财政纳入财政预算，采取分级负担的办法解决。即：80周岁至99周岁老年人每年所需的经费由州财政承担30%，各县财政承担70%。100周岁以上老年人按州、县财政各50%的标准分级承担。津贴发放标准80周岁至89周岁老年人每人每月80元；90-99周岁老年人每人每月150元；100周岁以上老年人每人每月400元。</w:t>
      </w:r>
    </w:p>
    <w:p>
      <w:pPr>
        <w:numPr>
          <w:ilvl w:val="0"/>
          <w:numId w:val="0"/>
        </w:numPr>
        <w:spacing w:beforeLines="0" w:afterLines="0" w:line="520" w:lineRule="exact"/>
        <w:ind w:firstLine="640" w:firstLineChars="20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2021年州、县按相关政策要求州级以阿州财社（2021)20号下达配套资金59万元，县按相应比例配套资金153.711万元，全年共计212.711万元。</w:t>
      </w:r>
    </w:p>
    <w:p>
      <w:pPr>
        <w:numPr>
          <w:ilvl w:val="0"/>
          <w:numId w:val="6"/>
        </w:numPr>
        <w:adjustRightInd w:val="0"/>
        <w:snapToGrid w:val="0"/>
        <w:spacing w:beforeLines="0" w:afterLines="0" w:line="560" w:lineRule="exact"/>
        <w:ind w:firstLine="642" w:firstLineChars="200"/>
        <w:rPr>
          <w:rFonts w:hint="eastAsia" w:ascii="仿宋_GB2312" w:hAnsi="仿宋_GB2312"/>
          <w:sz w:val="32"/>
          <w:szCs w:val="24"/>
        </w:rPr>
      </w:pPr>
      <w:r>
        <w:rPr>
          <w:rFonts w:hint="eastAsia" w:ascii="楷体_GB2312" w:hAnsi="宋体" w:eastAsia="楷体_GB2312"/>
          <w:b/>
          <w:sz w:val="32"/>
          <w:szCs w:val="24"/>
          <w:lang w:val="zh-CN"/>
        </w:rPr>
        <w:t>项目绩效目标</w:t>
      </w:r>
    </w:p>
    <w:p>
      <w:pPr>
        <w:spacing w:beforeLines="0" w:afterLines="0" w:line="520" w:lineRule="exact"/>
        <w:ind w:firstLine="640" w:firstLineChars="200"/>
        <w:rPr>
          <w:rFonts w:hint="eastAsia" w:ascii="仿宋_GB2312" w:hAnsi="仿宋_GB2312"/>
          <w:sz w:val="32"/>
          <w:szCs w:val="24"/>
        </w:rPr>
      </w:pPr>
      <w:r>
        <w:rPr>
          <w:rFonts w:hint="eastAsia" w:ascii="仿宋_GB2312" w:hAnsi="仿宋" w:eastAsia="仿宋_GB2312" w:cs="宋体"/>
          <w:kern w:val="0"/>
          <w:sz w:val="32"/>
          <w:szCs w:val="32"/>
          <w:lang w:val="en-US" w:eastAsia="zh-CN" w:bidi="ar-SA"/>
        </w:rPr>
        <w:t>凡具有阿坝州户籍、年龄在80周岁以上（含80周岁）的老年人，均可享受高龄津贴，对80周岁以上老年人发放“高龄津贴”，是州委、州政府贯彻落实科学发展观，是大力宣传中华民族敬老爱老助老传统美德，呼吁全社会关心关注老年人和老龄事业，努力营造社会关心关爱老年人的浓厚氛围的要求，是解决民生、落实民利、维护民权的重要举措。</w:t>
      </w:r>
    </w:p>
    <w:p>
      <w:pPr>
        <w:numPr>
          <w:ilvl w:val="0"/>
          <w:numId w:val="0"/>
        </w:numPr>
        <w:tabs>
          <w:tab w:val="left" w:pos="1577"/>
        </w:tabs>
        <w:adjustRightInd w:val="0"/>
        <w:snapToGrid w:val="0"/>
        <w:spacing w:beforeLines="0" w:afterLines="0" w:line="560" w:lineRule="exact"/>
        <w:ind w:leftChars="200"/>
        <w:rPr>
          <w:rFonts w:hint="eastAsia" w:ascii="仿宋_GB2312" w:hAnsi="宋体"/>
          <w:sz w:val="32"/>
          <w:szCs w:val="24"/>
          <w:lang w:val="zh-CN"/>
        </w:rPr>
      </w:pPr>
      <w:r>
        <w:rPr>
          <w:rFonts w:hint="eastAsia" w:ascii="楷体_GB2312" w:hAnsi="宋体" w:eastAsia="楷体_GB2312"/>
          <w:b/>
          <w:sz w:val="32"/>
          <w:szCs w:val="24"/>
          <w:lang w:val="zh-CN"/>
        </w:rPr>
        <w:t>（</w:t>
      </w:r>
      <w:r>
        <w:rPr>
          <w:rFonts w:hint="eastAsia" w:ascii="楷体_GB2312" w:hAnsi="宋体" w:eastAsia="楷体_GB2312"/>
          <w:b/>
          <w:sz w:val="32"/>
          <w:szCs w:val="24"/>
        </w:rPr>
        <w:t>三</w:t>
      </w:r>
      <w:r>
        <w:rPr>
          <w:rFonts w:hint="eastAsia" w:ascii="楷体_GB2312" w:hAnsi="宋体" w:eastAsia="楷体_GB2312"/>
          <w:b/>
          <w:sz w:val="32"/>
          <w:szCs w:val="24"/>
          <w:lang w:val="zh-CN"/>
        </w:rPr>
        <w:t>）项目资金申报相符性</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en-US" w:eastAsia="zh-CN" w:bidi="ar-SA"/>
        </w:rPr>
        <w:t>高龄津贴发放工作按照个人申请、村（居）委会调查核实、乡（镇）审核、县老龄办审批、州老龄办备案的程序进行，实行三级审批、张榜公示，接受群众监督，做到公开、公正、透明。各乡（镇）人民政府每季度20日前将本地享受高龄津贴人员的新增、变更、注销等情况报县老龄办，县老龄办每季25日前将本辖区享受高龄津贴人员的新增、变更、注销等情况汇总后，报县财政部门，经财政部门审核后，确定本季度高龄津贴发发放金额。</w:t>
      </w:r>
    </w:p>
    <w:p>
      <w:pPr>
        <w:adjustRightInd w:val="0"/>
        <w:snapToGrid w:val="0"/>
        <w:spacing w:beforeLines="0" w:afterLines="0" w:line="560" w:lineRule="exact"/>
        <w:ind w:firstLine="720"/>
        <w:rPr>
          <w:rFonts w:hint="eastAsia" w:ascii="黑体" w:hAnsi="宋体" w:eastAsia="黑体"/>
          <w:sz w:val="32"/>
          <w:szCs w:val="24"/>
        </w:rPr>
      </w:pPr>
      <w:r>
        <w:rPr>
          <w:rFonts w:hint="eastAsia" w:ascii="黑体" w:hAnsi="宋体" w:eastAsia="黑体"/>
          <w:sz w:val="32"/>
          <w:szCs w:val="24"/>
        </w:rPr>
        <w:t>二、项目实施及管理情况</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仿宋_GB2312" w:hAnsi="宋体"/>
          <w:sz w:val="32"/>
          <w:szCs w:val="24"/>
          <w:lang w:val="zh-CN"/>
        </w:rPr>
        <w:tab/>
      </w:r>
      <w:r>
        <w:rPr>
          <w:rFonts w:hint="eastAsia" w:ascii="楷体_GB2312" w:hAnsi="宋体" w:eastAsia="楷体_GB2312"/>
          <w:b/>
          <w:sz w:val="32"/>
          <w:szCs w:val="24"/>
          <w:lang w:val="zh-CN"/>
        </w:rPr>
        <w:t>（一）资金计划、到位及使用情况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1、资金计划及到位：</w:t>
      </w:r>
      <w:r>
        <w:rPr>
          <w:rFonts w:hint="eastAsia" w:ascii="仿宋_GB2312" w:hAnsi="仿宋" w:eastAsia="仿宋_GB2312" w:cs="宋体"/>
          <w:kern w:val="0"/>
          <w:sz w:val="32"/>
          <w:szCs w:val="32"/>
          <w:lang w:val="en-US" w:eastAsia="zh-CN" w:bidi="ar-SA"/>
        </w:rPr>
        <w:t>2021年州、县按相关政策要求州以阿州财社（2021)20号下达配套资金59万元，县按相应比例配套资金153.711万元，全年共计212.711万元。</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2、资金使用：</w:t>
      </w:r>
      <w:r>
        <w:rPr>
          <w:rFonts w:hint="eastAsia" w:ascii="仿宋_GB2312" w:hAnsi="仿宋" w:eastAsia="仿宋_GB2312" w:cs="宋体"/>
          <w:kern w:val="0"/>
          <w:sz w:val="32"/>
          <w:szCs w:val="32"/>
          <w:lang w:val="en-US" w:eastAsia="zh-CN" w:bidi="ar-SA"/>
        </w:rPr>
        <w:t>2021年按照高龄津贴的使用性质全年支付情况为8076人次212.711万元，其中80-89岁共计发放7196人次171.896万元；90-99岁共计发放846人次37.955万元；100岁共计24人次2.86万元。</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（二）项目财务管理情况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高龄津贴发放工作按照个人申请、村（居）委会调查核实、乡（镇）审核、县老龄办审批、各乡（镇）人民政府每季度20日前将本地享受高龄津贴人员的新增、变更、注销等情况报县老龄办，县老龄办每季25日前将本辖区享受高龄津贴人员的新增、变更、注销等情况汇总后，按相关政策核实计算本季度全县高龄津贴发放金额，经本部门财务复审后，报县财政部门，经财政部门审核后，发放本季度高龄津贴发。</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（三）项目组织实施情况</w:t>
      </w:r>
    </w:p>
    <w:p>
      <w:pPr>
        <w:spacing w:beforeLines="0" w:afterLines="0" w:line="520" w:lineRule="exact"/>
        <w:rPr>
          <w:rFonts w:hint="eastAsia" w:ascii="仿宋_GB2312" w:hAnsi="仿宋" w:eastAsia="仿宋_GB2312" w:cs="宋体"/>
          <w:kern w:val="0"/>
          <w:sz w:val="32"/>
          <w:szCs w:val="32"/>
          <w:lang w:val="zh-CN" w:eastAsia="zh-CN" w:bidi="ar-SA"/>
        </w:rPr>
      </w:pPr>
      <w:r>
        <w:rPr>
          <w:rFonts w:hint="eastAsia" w:ascii="仿宋_GB2312" w:hAnsi="仿宋_GB2312"/>
          <w:sz w:val="32"/>
          <w:szCs w:val="24"/>
        </w:rPr>
        <w:t xml:space="preserve">   </w:t>
      </w:r>
      <w:r>
        <w:rPr>
          <w:rFonts w:hint="eastAsia" w:ascii="仿宋_GB2312" w:hAnsi="仿宋" w:eastAsia="仿宋_GB2312" w:cs="宋体"/>
          <w:kern w:val="0"/>
          <w:sz w:val="32"/>
          <w:szCs w:val="32"/>
          <w:lang w:val="zh-CN" w:eastAsia="zh-CN" w:bidi="ar-SA"/>
        </w:rPr>
        <w:t>加大对“高龄津贴”的宣传力度，使之家喻户晓，人人皆知，确保符合条件对象均能及时享受优惠政策。又要坚决维护政策实施的严肃性，杜绝弄虚作假、虚报瞒报。发放“高龄津贴”，是一项长期工作，涉及对象数额庞大、变动较多，实行动态化管理，建立发放数据库，确保发放工作落实到位。</w:t>
      </w:r>
    </w:p>
    <w:p>
      <w:pPr>
        <w:adjustRightInd w:val="0"/>
        <w:snapToGrid w:val="0"/>
        <w:spacing w:beforeLines="0" w:afterLines="0" w:line="560" w:lineRule="exact"/>
        <w:ind w:firstLine="720"/>
        <w:rPr>
          <w:rFonts w:hint="eastAsia" w:ascii="仿宋_GB2312" w:hAnsi="宋体"/>
          <w:sz w:val="32"/>
          <w:szCs w:val="24"/>
          <w:lang w:val="zh-CN"/>
        </w:rPr>
      </w:pPr>
      <w:r>
        <w:rPr>
          <w:rFonts w:hint="eastAsia" w:ascii="黑体" w:hAnsi="宋体" w:eastAsia="黑体"/>
          <w:sz w:val="32"/>
          <w:szCs w:val="24"/>
        </w:rPr>
        <w:t>三、项目绩效情况</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（一）项目完成情况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en-US" w:eastAsia="zh-CN" w:bidi="ar-SA"/>
        </w:rPr>
        <w:t>2021年州、县</w:t>
      </w:r>
      <w:r>
        <w:rPr>
          <w:rFonts w:hint="default" w:ascii="仿宋_GB2312" w:hAnsi="仿宋" w:eastAsia="仿宋_GB2312" w:cs="宋体"/>
          <w:kern w:val="0"/>
          <w:sz w:val="32"/>
          <w:szCs w:val="32"/>
          <w:lang w:val="en-US" w:eastAsia="zh-CN" w:bidi="ar-SA"/>
        </w:rPr>
        <w:t>按照</w:t>
      </w:r>
      <w:r>
        <w:rPr>
          <w:rFonts w:hint="eastAsia" w:ascii="仿宋_GB2312" w:hAnsi="仿宋" w:eastAsia="仿宋_GB2312" w:cs="宋体"/>
          <w:kern w:val="0"/>
          <w:sz w:val="32"/>
          <w:szCs w:val="32"/>
          <w:lang w:val="en-US" w:eastAsia="zh-CN" w:bidi="ar-SA"/>
        </w:rPr>
        <w:t>相关政策比例要求州级下达配套资金59万元，县按相应比例配套资金153.711万元，全年共计212.711万元。按照高龄津贴的使用性质全年支付情况为8076人次212.711万元，其中80-89岁共计发放7196人次171.896万元；90-99岁共计发放846人次37.955万元；100岁共计24人次2.86万元。</w:t>
      </w:r>
    </w:p>
    <w:p>
      <w:pPr>
        <w:adjustRightInd w:val="0"/>
        <w:snapToGrid w:val="0"/>
        <w:spacing w:beforeLines="0" w:afterLines="0" w:line="560" w:lineRule="exact"/>
        <w:ind w:firstLine="642" w:firstLineChars="200"/>
        <w:rPr>
          <w:rFonts w:hint="eastAsia" w:ascii="楷体_GB2312" w:hAnsi="宋体" w:eastAsia="楷体_GB2312"/>
          <w:b/>
          <w:sz w:val="32"/>
          <w:szCs w:val="24"/>
          <w:lang w:val="zh-CN"/>
        </w:rPr>
      </w:pPr>
      <w:r>
        <w:rPr>
          <w:rFonts w:hint="eastAsia" w:ascii="楷体_GB2312" w:hAnsi="宋体" w:eastAsia="楷体_GB2312"/>
          <w:b/>
          <w:sz w:val="32"/>
          <w:szCs w:val="24"/>
          <w:lang w:val="zh-CN"/>
        </w:rPr>
        <w:t>（二）项目效益情况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对80周岁以上老年人发放“高龄津贴”，是让老年人充分享受改革开放发展成果的具体体现，是解决民生、落实民利、维护民权重要措施落实的表现，是贯彻落实科学发展观，大力宣传中华民族敬老爱老助老传统美德的延伸，是全力助推全社会关心关注老年人和老龄事业发展的重要举措。</w:t>
      </w:r>
    </w:p>
    <w:p>
      <w:pPr>
        <w:adjustRightInd w:val="0"/>
        <w:snapToGrid w:val="0"/>
        <w:spacing w:beforeLines="0" w:afterLines="0" w:line="560" w:lineRule="exact"/>
        <w:ind w:firstLine="720"/>
        <w:rPr>
          <w:rFonts w:hint="eastAsia" w:ascii="黑体" w:hAnsi="宋体" w:eastAsia="黑体"/>
          <w:sz w:val="32"/>
          <w:szCs w:val="24"/>
        </w:rPr>
      </w:pPr>
      <w:r>
        <w:rPr>
          <w:rFonts w:hint="eastAsia" w:ascii="黑体" w:hAnsi="宋体" w:eastAsia="黑体"/>
          <w:sz w:val="32"/>
          <w:szCs w:val="24"/>
        </w:rPr>
        <w:t>四、问题及建议</w:t>
      </w:r>
    </w:p>
    <w:p>
      <w:pPr>
        <w:adjustRightInd w:val="0"/>
        <w:snapToGrid w:val="0"/>
        <w:spacing w:beforeLines="0" w:afterLines="0" w:line="56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（一）存在的问题</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1.高龄津贴涉及对象数额庞大、变动较多，核实困难。</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2.高龄津贴享受对象多数体弱、多病，对政策了解不多，申报困难。</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3.基层工作缺少工作人员，政策宣传不到位，兼职人员多责任心不强。</w:t>
      </w:r>
    </w:p>
    <w:p>
      <w:pPr>
        <w:adjustRightInd w:val="0"/>
        <w:snapToGrid w:val="0"/>
        <w:spacing w:beforeLines="0" w:afterLines="0" w:line="560" w:lineRule="exact"/>
        <w:ind w:firstLine="642" w:firstLineChars="200"/>
        <w:rPr>
          <w:rFonts w:hint="eastAsia" w:ascii="楷体_GB2312" w:hAnsi="宋体" w:eastAsia="楷体_GB2312"/>
          <w:b/>
          <w:sz w:val="32"/>
          <w:szCs w:val="24"/>
          <w:lang w:val="zh-CN"/>
        </w:rPr>
      </w:pPr>
      <w:r>
        <w:rPr>
          <w:rFonts w:hint="eastAsia" w:ascii="楷体_GB2312" w:hAnsi="宋体" w:eastAsia="楷体_GB2312"/>
          <w:b/>
          <w:sz w:val="32"/>
          <w:szCs w:val="24"/>
          <w:lang w:val="zh-CN"/>
        </w:rPr>
        <w:t>（二）相关建议</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1.配备相应的工作人员。</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2.加强相关的政策宣传。</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3.本项工作纳入各基层年终目标考核。</w:t>
      </w:r>
    </w:p>
    <w:p>
      <w:pPr>
        <w:adjustRightInd w:val="0"/>
        <w:snapToGrid w:val="0"/>
        <w:spacing w:beforeLines="0" w:afterLines="0" w:line="560" w:lineRule="exact"/>
        <w:ind w:firstLine="720"/>
        <w:rPr>
          <w:rFonts w:hint="eastAsia" w:ascii="楷体_GB2312" w:hAnsi="宋体" w:eastAsia="楷体_GB2312"/>
          <w:b/>
          <w:sz w:val="32"/>
          <w:szCs w:val="24"/>
          <w:lang w:val="zh-CN"/>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hint="eastAsia" w:ascii="黑体" w:hAnsi="黑体" w:eastAsia="黑体"/>
          <w:b w:val="0"/>
          <w:lang w:eastAsia="zh-CN"/>
        </w:rPr>
      </w:pPr>
    </w:p>
    <w:p>
      <w:pPr>
        <w:pStyle w:val="4"/>
        <w:bidi w:val="0"/>
        <w:rPr>
          <w:rFonts w:hint="eastAsia" w:ascii="宋体" w:hAnsi="宋体" w:eastAsia="宋体"/>
          <w:sz w:val="30"/>
          <w:szCs w:val="30"/>
        </w:rPr>
      </w:pPr>
      <w:bookmarkStart w:id="162" w:name="_Toc4132"/>
      <w:bookmarkStart w:id="163" w:name="_Toc1456"/>
      <w:bookmarkStart w:id="164" w:name="_Toc26508"/>
      <w:r>
        <w:rPr>
          <w:rFonts w:hint="eastAsia" w:ascii="仿宋_GB2312" w:hAnsi="仿宋_GB2312" w:eastAsia="仿宋_GB2312" w:cs="仿宋_GB2312"/>
          <w:b w:val="0"/>
          <w:bCs w:val="0"/>
          <w:kern w:val="2"/>
          <w:sz w:val="32"/>
          <w:szCs w:val="32"/>
          <w:lang w:val="en-US" w:eastAsia="zh-CN" w:bidi="ar-SA"/>
        </w:rPr>
        <w:t>附件3</w:t>
      </w:r>
      <w:bookmarkEnd w:id="162"/>
      <w:bookmarkEnd w:id="163"/>
      <w:bookmarkEnd w:id="164"/>
    </w:p>
    <w:p>
      <w:pPr>
        <w:spacing w:line="580" w:lineRule="exact"/>
        <w:jc w:val="center"/>
        <w:rPr>
          <w:rFonts w:ascii="仿宋_GB2312" w:hAnsi="宋体"/>
        </w:rPr>
      </w:pPr>
      <w:r>
        <w:rPr>
          <w:rFonts w:hint="eastAsia" w:ascii="方正小标宋简体" w:hAnsi="宋体" w:eastAsia="方正小标宋简体"/>
          <w:sz w:val="44"/>
          <w:szCs w:val="44"/>
        </w:rPr>
        <w:t>茂县民政局2021年度残疾人两项补贴支出绩效自评报告</w:t>
      </w:r>
    </w:p>
    <w:p>
      <w:pPr>
        <w:pStyle w:val="36"/>
        <w:spacing w:line="580" w:lineRule="exact"/>
        <w:jc w:val="center"/>
        <w:rPr>
          <w:rFonts w:ascii="宋体" w:hAnsi="宋体"/>
          <w:color w:val="auto"/>
          <w:kern w:val="2"/>
          <w:sz w:val="32"/>
          <w:szCs w:val="32"/>
        </w:rPr>
      </w:pPr>
    </w:p>
    <w:p>
      <w:pPr>
        <w:numPr>
          <w:ilvl w:val="0"/>
          <w:numId w:val="7"/>
        </w:numPr>
        <w:adjustRightInd w:val="0"/>
        <w:snapToGrid w:val="0"/>
        <w:spacing w:beforeLines="0" w:afterLines="0" w:line="580" w:lineRule="exact"/>
        <w:ind w:left="120" w:leftChars="0" w:firstLine="720" w:firstLineChars="0"/>
        <w:rPr>
          <w:rFonts w:hint="eastAsia" w:ascii="黑体" w:hAnsi="宋体" w:eastAsia="黑体"/>
          <w:sz w:val="32"/>
          <w:szCs w:val="32"/>
          <w:lang w:val="zh-CN" w:eastAsia="zh-CN"/>
        </w:rPr>
      </w:pPr>
      <w:r>
        <w:rPr>
          <w:rFonts w:hint="eastAsia" w:ascii="黑体" w:hAnsi="宋体" w:eastAsia="黑体"/>
          <w:sz w:val="32"/>
          <w:szCs w:val="32"/>
          <w:lang w:val="zh-CN" w:eastAsia="zh-CN"/>
        </w:rPr>
        <w:t>项目概况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建立残疾人两项补贴制度是落实以习近平</w:t>
      </w:r>
      <w:r>
        <w:rPr>
          <w:rFonts w:hint="eastAsia" w:ascii="仿宋_GB2312" w:hAnsi="仿宋" w:eastAsia="仿宋_GB2312" w:cs="宋体"/>
          <w:kern w:val="0"/>
          <w:sz w:val="32"/>
          <w:szCs w:val="32"/>
          <w:lang w:val="en-US" w:eastAsia="zh-CN" w:bidi="ar-SA"/>
        </w:rPr>
        <w:t>同志为核心</w:t>
      </w:r>
      <w:r>
        <w:rPr>
          <w:rFonts w:hint="eastAsia" w:ascii="仿宋_GB2312" w:hAnsi="仿宋" w:eastAsia="仿宋_GB2312" w:cs="宋体"/>
          <w:kern w:val="0"/>
          <w:sz w:val="32"/>
          <w:szCs w:val="32"/>
          <w:lang w:val="zh-CN" w:eastAsia="zh-CN" w:bidi="ar-SA"/>
        </w:rPr>
        <w:t>的党中央关于残疾人事业新部署的重大措施，是加快残疾人小康进程迈出的坚实有力步伐。残疾人两项补贴制度的全面建立，是第一次在国家层面建立的残疾人专项福利制度，具有填补残疾人社会保障体系空白的重要意义；是以全国残疾人基本服务状况与需求调查、残疾人状况监测为依据，针对广大残疾人迫切需要而推出的重大惠民举措，填补了残疾人福利制度的空白，有助于巩固提升家庭对残疾人的照顾功能，促进家庭社会和谐稳定。</w:t>
      </w:r>
    </w:p>
    <w:p>
      <w:pPr>
        <w:numPr>
          <w:ilvl w:val="0"/>
          <w:numId w:val="8"/>
        </w:numPr>
        <w:adjustRightInd w:val="0"/>
        <w:snapToGrid w:val="0"/>
        <w:spacing w:beforeLines="0" w:afterLines="0" w:line="580" w:lineRule="exact"/>
        <w:ind w:left="-90" w:leftChars="0" w:firstLine="720" w:firstLineChars="0"/>
        <w:rPr>
          <w:rFonts w:hint="eastAsia" w:ascii="仿宋_GB2312" w:hAnsi="仿宋" w:eastAsia="仿宋_GB2312" w:cs="宋体"/>
          <w:kern w:val="0"/>
          <w:sz w:val="32"/>
          <w:szCs w:val="32"/>
          <w:lang w:val="zh-CN" w:eastAsia="zh-CN" w:bidi="ar-SA"/>
        </w:rPr>
      </w:pPr>
      <w:r>
        <w:rPr>
          <w:rFonts w:hint="eastAsia" w:ascii="楷体_GB2312" w:hAnsi="楷体_GB2312" w:eastAsia="楷体_GB2312" w:cs="楷体_GB2312"/>
          <w:b/>
          <w:sz w:val="32"/>
          <w:szCs w:val="32"/>
          <w:lang w:val="zh-CN"/>
        </w:rPr>
        <w:t>项目资金申报及批复情况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根据《四川省民政厅 四川省财政厅 四川省残疾人联合会&lt;关于建立困难残疾人生活补贴和重度残疾人护理补贴&gt;的通知》（川民发〔2015〕195号）规定，对我县残疾人当中持有《残疾证》第二代证一级、二级的人员建立护理补贴对象的发放。发放标准为：一级重度残疾人按每人每月不低于80元的标准给予护理费用补贴，二级重度残疾人按每人每月不低于50元的标准给予护理费用补贴。2021年发放标准为重度残疾人一级残疾每人每月100元，二级残疾每人每月70元。困难残疾人生活补贴的对象为持有第二代残疾人证的具有我县户籍的低保对象，从2016年1月1日起全省建立实施困难残疾人生活补贴，2016年按照每人每月60元执行，2017年-2020年每年提高10元，到2021年达到每人每月100元。</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残疾人两项补贴所需资金纳入地方财政预算安排，省级财政按照50%总体补助水平对市县给予补助（其中：对三州和扩权县补助比例为55%，对其他县市补助比例为40%），总额包干。州、县按4:6配套资金。</w:t>
      </w:r>
    </w:p>
    <w:p>
      <w:pPr>
        <w:numPr>
          <w:ilvl w:val="0"/>
          <w:numId w:val="8"/>
        </w:numPr>
        <w:adjustRightInd w:val="0"/>
        <w:snapToGrid w:val="0"/>
        <w:spacing w:beforeLines="0" w:afterLines="0" w:line="580" w:lineRule="exact"/>
        <w:ind w:left="-90" w:leftChars="0" w:firstLine="720" w:firstLineChars="0"/>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项目绩效目标</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残疾人两项补贴的对象是弱势群体，改善残疾人生存发展现状，保障残疾人权益，促进残疾人事业全面发展，体现各级党委、政府的关心，保障了他们的基本生活，维护了社会稳定。残疾人两项补贴实属于动态管理，实行“一卡通”发放加快推进残疾人同步进入小康社会。</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（三）</w:t>
      </w:r>
      <w:r>
        <w:rPr>
          <w:rFonts w:hint="eastAsia" w:ascii="楷体_GB2312" w:hAnsi="宋体" w:eastAsia="楷体_GB2312"/>
          <w:b/>
          <w:sz w:val="32"/>
          <w:szCs w:val="32"/>
          <w:lang w:val="zh-CN" w:eastAsia="zh-CN"/>
        </w:rPr>
        <w:t>项目资金申报相符性</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我局严格按照《四川省民政厅 财政厅 省残联关于建立困难残疾人生活补贴和重度残疾人护理补贴的通知》开展残疾人两项补贴工作，项目申报内容是否与具体实施内容相符、申报目标是合理可行。</w:t>
      </w:r>
    </w:p>
    <w:p>
      <w:pPr>
        <w:spacing w:beforeLines="0" w:afterLines="0" w:line="520" w:lineRule="exact"/>
        <w:ind w:firstLine="642" w:firstLineChars="200"/>
        <w:rPr>
          <w:rFonts w:hint="eastAsia" w:ascii="黑体" w:hAnsi="黑体" w:eastAsia="黑体" w:cs="黑体"/>
          <w:b/>
          <w:bCs/>
          <w:kern w:val="0"/>
          <w:sz w:val="32"/>
          <w:szCs w:val="32"/>
          <w:lang w:val="zh-CN" w:eastAsia="zh-CN" w:bidi="ar-SA"/>
        </w:rPr>
      </w:pPr>
      <w:r>
        <w:rPr>
          <w:rFonts w:hint="eastAsia" w:ascii="黑体" w:hAnsi="黑体" w:eastAsia="黑体" w:cs="黑体"/>
          <w:b/>
          <w:bCs/>
          <w:kern w:val="0"/>
          <w:sz w:val="32"/>
          <w:szCs w:val="32"/>
          <w:lang w:val="zh-CN" w:eastAsia="zh-CN" w:bidi="ar-SA"/>
        </w:rPr>
        <w:t>二、项目实施及管理情况</w:t>
      </w:r>
    </w:p>
    <w:p>
      <w:pPr>
        <w:spacing w:beforeLines="0" w:afterLines="0" w:line="520" w:lineRule="exact"/>
        <w:ind w:firstLine="321" w:firstLineChars="1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（一）</w:t>
      </w:r>
      <w:r>
        <w:rPr>
          <w:rFonts w:hint="eastAsia" w:ascii="楷体_GB2312" w:hAnsi="宋体" w:eastAsia="楷体_GB2312"/>
          <w:b/>
          <w:sz w:val="32"/>
          <w:szCs w:val="32"/>
          <w:lang w:val="zh-CN" w:eastAsia="zh-CN"/>
        </w:rPr>
        <w:t>资金计划、到位及使用情况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1.资金计划及到位</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2021年到位资金121.3174万元（阿州财社【2021】35号80万元、阿州财社【2021】89号5.37万元、茂财发【2021】16号35.3938万元、茂财预金【2021】12083号0.5536万元。其中：省级下拨48.37万元，州配套37万元，县级配套35.9474万元，资金到位率为100%。上年度正常结转1.5846万元用重度残疾人护理补贴。</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2.资金使用</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截止2021年12月31日重度残疾人护理补贴9453人次，累计发放重度残疾人护理补贴78.872万元，困难残疾人生活补贴4403人次，累计发放困难残疾人生活补助44.03万元。</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（二）</w:t>
      </w:r>
      <w:r>
        <w:rPr>
          <w:rFonts w:hint="eastAsia" w:ascii="楷体_GB2312" w:hAnsi="宋体" w:eastAsia="楷体_GB2312"/>
          <w:b/>
          <w:sz w:val="32"/>
          <w:szCs w:val="32"/>
          <w:lang w:val="zh-CN" w:eastAsia="zh-CN"/>
        </w:rPr>
        <w:t>项目财务管理情况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在资金的管理方面马尔康局民政局严格按照《会计法》和相关的法律法规的要求，设立账簿和会计核算科目，历来对民政专项资金坚持“专款专用，专户管理，决不挪用，及时足额”的原则，在工作中严格按照专项资金的要求发放，做到发放手续齐全，做到账、表、档、证相符，绝无随意分配、优亲厚友、损失浪费、弄虚作假、截留挪用、贪污私分等严重违纪违规操作，以对党和人民高度负责的精神，切实做好资金的管理、使用工作。</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（三）</w:t>
      </w:r>
      <w:r>
        <w:rPr>
          <w:rFonts w:hint="eastAsia" w:ascii="楷体_GB2312" w:hAnsi="宋体" w:eastAsia="楷体_GB2312"/>
          <w:b/>
          <w:sz w:val="32"/>
          <w:szCs w:val="32"/>
          <w:lang w:val="zh-CN" w:eastAsia="zh-CN"/>
        </w:rPr>
        <w:t>项目组织实施情况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我局严格按照《四川省民政厅 财政厅 省残联关于建立困难残疾人生活补贴和重度残疾人护理补贴的通知》开展重度残疾人护理补贴工作，每季度初下发民政局《关于城乡低保、特困人员、残疾人两项补贴及高龄老人复核工作的通知》，要求各乡镇复核清理不符合残疾人两项补贴对象人员及需纳入新申请的残疾人两项补贴对象人员。</w:t>
      </w:r>
    </w:p>
    <w:p>
      <w:pPr>
        <w:spacing w:beforeLines="0" w:afterLines="0" w:line="520" w:lineRule="exact"/>
        <w:ind w:firstLine="642" w:firstLineChars="200"/>
        <w:rPr>
          <w:rFonts w:hint="eastAsia" w:ascii="黑体" w:hAnsi="黑体" w:eastAsia="黑体" w:cs="黑体"/>
          <w:b/>
          <w:bCs/>
          <w:kern w:val="0"/>
          <w:sz w:val="32"/>
          <w:szCs w:val="32"/>
          <w:lang w:val="zh-CN" w:eastAsia="zh-CN" w:bidi="ar-SA"/>
        </w:rPr>
      </w:pPr>
      <w:r>
        <w:rPr>
          <w:rFonts w:hint="eastAsia" w:ascii="黑体" w:hAnsi="黑体" w:eastAsia="黑体" w:cs="黑体"/>
          <w:b/>
          <w:bCs/>
          <w:kern w:val="0"/>
          <w:sz w:val="32"/>
          <w:szCs w:val="32"/>
          <w:lang w:val="zh-CN" w:eastAsia="zh-CN" w:bidi="ar-SA"/>
        </w:rPr>
        <w:t>四、项目绩效情况</w:t>
      </w:r>
      <w:r>
        <w:rPr>
          <w:rFonts w:hint="eastAsia" w:ascii="黑体" w:hAnsi="黑体" w:eastAsia="黑体" w:cs="黑体"/>
          <w:b/>
          <w:bCs/>
          <w:kern w:val="0"/>
          <w:sz w:val="32"/>
          <w:szCs w:val="32"/>
          <w:lang w:val="zh-CN" w:eastAsia="zh-CN" w:bidi="ar-SA"/>
        </w:rPr>
        <w:tab/>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（一）</w:t>
      </w:r>
      <w:r>
        <w:rPr>
          <w:rFonts w:hint="eastAsia" w:ascii="楷体_GB2312" w:hAnsi="宋体" w:eastAsia="楷体_GB2312"/>
          <w:b/>
          <w:sz w:val="32"/>
          <w:szCs w:val="32"/>
          <w:lang w:val="zh-CN" w:eastAsia="zh-CN"/>
        </w:rPr>
        <w:t>项目完成情况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2021年共支出残疾人两项补贴资金122.902万元，保障标准：重度残疾人一级残疾每人每月100元，二级残疾每人每月70元。困难残疾人生活补贴每人每月100元，残疾人两项补贴补贴标准达标率100%，补助资金及时发放率100%。</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（二）</w:t>
      </w:r>
      <w:r>
        <w:rPr>
          <w:rFonts w:hint="eastAsia" w:ascii="楷体_GB2312" w:hAnsi="宋体" w:eastAsia="楷体_GB2312"/>
          <w:b/>
          <w:sz w:val="32"/>
          <w:szCs w:val="32"/>
          <w:lang w:val="zh-CN" w:eastAsia="zh-CN"/>
        </w:rPr>
        <w:t>项目效益情况</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通过实施“残疾人两项补贴政策”项目，切实缓解了城乡困难群众因残致贫、因残返贫的生活压力，为构建和谐社会作出了应有的贡献，同时也筑牢民生保障底线，缩短重度残疾人生活状况及社会水平的差距，进一步提高和改善重度残疾的生活质量。</w:t>
      </w:r>
    </w:p>
    <w:p>
      <w:pPr>
        <w:spacing w:beforeLines="0" w:afterLines="0" w:line="520" w:lineRule="exact"/>
        <w:ind w:firstLine="640" w:firstLineChars="200"/>
        <w:rPr>
          <w:rFonts w:hint="eastAsia" w:ascii="黑体" w:hAnsi="黑体" w:eastAsia="黑体" w:cs="黑体"/>
          <w:kern w:val="0"/>
          <w:sz w:val="32"/>
          <w:szCs w:val="32"/>
          <w:lang w:val="zh-CN" w:eastAsia="zh-CN" w:bidi="ar-SA"/>
        </w:rPr>
      </w:pPr>
      <w:r>
        <w:rPr>
          <w:rFonts w:hint="eastAsia" w:ascii="黑体" w:hAnsi="黑体" w:eastAsia="黑体" w:cs="黑体"/>
          <w:kern w:val="0"/>
          <w:sz w:val="32"/>
          <w:szCs w:val="32"/>
          <w:lang w:val="zh-CN" w:eastAsia="zh-CN" w:bidi="ar-SA"/>
        </w:rPr>
        <w:t>五、问题及建议</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（一）</w:t>
      </w:r>
      <w:r>
        <w:rPr>
          <w:rFonts w:hint="eastAsia" w:ascii="楷体_GB2312" w:hAnsi="宋体" w:eastAsia="楷体_GB2312"/>
          <w:b/>
          <w:sz w:val="32"/>
          <w:szCs w:val="32"/>
          <w:lang w:val="zh-CN" w:eastAsia="zh-CN"/>
        </w:rPr>
        <w:t>存在的问题</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　社会救助工作量大面广，民政局和各镇社会救助工作人员缺乏。</w:t>
      </w:r>
    </w:p>
    <w:p>
      <w:pPr>
        <w:spacing w:beforeLines="0" w:afterLines="0" w:line="520" w:lineRule="exact"/>
        <w:ind w:firstLine="642" w:firstLineChars="200"/>
        <w:rPr>
          <w:rFonts w:hint="eastAsia" w:ascii="楷体" w:hAnsi="楷体" w:eastAsia="楷体" w:cs="楷体"/>
          <w:b/>
          <w:bCs/>
          <w:kern w:val="0"/>
          <w:sz w:val="32"/>
          <w:szCs w:val="32"/>
          <w:lang w:val="zh-CN" w:eastAsia="zh-CN" w:bidi="ar-SA"/>
        </w:rPr>
      </w:pPr>
      <w:r>
        <w:rPr>
          <w:rFonts w:hint="eastAsia" w:ascii="楷体" w:hAnsi="楷体" w:eastAsia="楷体" w:cs="楷体"/>
          <w:b/>
          <w:bCs/>
          <w:kern w:val="0"/>
          <w:sz w:val="32"/>
          <w:szCs w:val="32"/>
          <w:lang w:val="zh-CN" w:eastAsia="zh-CN" w:bidi="ar-SA"/>
        </w:rPr>
        <w:t>（二）</w:t>
      </w:r>
      <w:r>
        <w:rPr>
          <w:rFonts w:hint="eastAsia" w:ascii="楷体_GB2312" w:hAnsi="宋体" w:eastAsia="楷体_GB2312"/>
          <w:b/>
          <w:sz w:val="32"/>
          <w:szCs w:val="32"/>
          <w:lang w:val="zh-CN" w:eastAsia="zh-CN"/>
        </w:rPr>
        <w:t>相关建议</w:t>
      </w:r>
    </w:p>
    <w:p>
      <w:pPr>
        <w:spacing w:beforeLines="0" w:afterLines="0" w:line="520" w:lineRule="exact"/>
        <w:ind w:firstLine="640" w:firstLineChars="200"/>
        <w:rPr>
          <w:rFonts w:hint="eastAsia" w:ascii="仿宋_GB2312" w:hAnsi="仿宋" w:eastAsia="仿宋_GB2312" w:cs="宋体"/>
          <w:kern w:val="0"/>
          <w:sz w:val="32"/>
          <w:szCs w:val="32"/>
          <w:lang w:val="zh-CN" w:eastAsia="zh-CN" w:bidi="ar-SA"/>
        </w:rPr>
      </w:pPr>
      <w:r>
        <w:rPr>
          <w:rFonts w:hint="eastAsia" w:ascii="仿宋_GB2312" w:hAnsi="仿宋" w:eastAsia="仿宋_GB2312" w:cs="宋体"/>
          <w:kern w:val="0"/>
          <w:sz w:val="32"/>
          <w:szCs w:val="32"/>
          <w:lang w:val="zh-CN" w:eastAsia="zh-CN" w:bidi="ar-SA"/>
        </w:rPr>
        <w:t>配备社会救助专职工作人员，匹配相应的工作经费，以保障社会救助工作各项全面有序开展。</w:t>
      </w:r>
    </w:p>
    <w:p>
      <w:pPr>
        <w:pStyle w:val="4"/>
        <w:bidi w:val="0"/>
        <w:rPr>
          <w:rFonts w:hint="eastAsia" w:ascii="仿宋_GB2312" w:hAnsi="仿宋_GB2312" w:eastAsia="仿宋_GB2312" w:cs="仿宋_GB2312"/>
          <w:b w:val="0"/>
          <w:bCs w:val="0"/>
          <w:kern w:val="2"/>
          <w:sz w:val="32"/>
          <w:szCs w:val="32"/>
          <w:lang w:val="en-US" w:eastAsia="zh-CN" w:bidi="ar-SA"/>
        </w:rPr>
      </w:pPr>
      <w:bookmarkStart w:id="165" w:name="_Toc32175"/>
    </w:p>
    <w:p>
      <w:pPr>
        <w:rPr>
          <w:rFonts w:hint="eastAsia" w:ascii="仿宋_GB2312" w:hAnsi="仿宋_GB2312" w:eastAsia="仿宋_GB2312" w:cs="仿宋_GB2312"/>
          <w:b w:val="0"/>
          <w:bCs w:val="0"/>
          <w:kern w:val="2"/>
          <w:sz w:val="32"/>
          <w:szCs w:val="32"/>
          <w:lang w:val="en-US" w:eastAsia="zh-CN" w:bidi="ar-SA"/>
        </w:rPr>
      </w:pPr>
    </w:p>
    <w:p>
      <w:pPr>
        <w:pStyle w:val="2"/>
        <w:rPr>
          <w:rFonts w:hint="eastAsia" w:ascii="仿宋_GB2312" w:hAnsi="仿宋_GB2312" w:eastAsia="仿宋_GB2312" w:cs="仿宋_GB2312"/>
          <w:b w:val="0"/>
          <w:bCs w:val="0"/>
          <w:kern w:val="2"/>
          <w:sz w:val="32"/>
          <w:szCs w:val="32"/>
          <w:lang w:val="en-US" w:eastAsia="zh-CN" w:bidi="ar-SA"/>
        </w:rPr>
      </w:pPr>
    </w:p>
    <w:p>
      <w:pPr>
        <w:pStyle w:val="2"/>
        <w:rPr>
          <w:rFonts w:hint="eastAsia" w:ascii="仿宋_GB2312" w:hAnsi="仿宋_GB2312" w:eastAsia="仿宋_GB2312" w:cs="仿宋_GB2312"/>
          <w:b w:val="0"/>
          <w:bCs w:val="0"/>
          <w:kern w:val="2"/>
          <w:sz w:val="32"/>
          <w:szCs w:val="32"/>
          <w:lang w:val="en-US" w:eastAsia="zh-CN" w:bidi="ar-SA"/>
        </w:rPr>
      </w:pPr>
    </w:p>
    <w:p>
      <w:pPr>
        <w:pStyle w:val="2"/>
        <w:rPr>
          <w:rFonts w:hint="eastAsia" w:ascii="仿宋_GB2312" w:hAnsi="仿宋_GB2312" w:eastAsia="仿宋_GB2312" w:cs="仿宋_GB2312"/>
          <w:b w:val="0"/>
          <w:bCs w:val="0"/>
          <w:kern w:val="2"/>
          <w:sz w:val="32"/>
          <w:szCs w:val="32"/>
          <w:lang w:val="en-US" w:eastAsia="zh-CN" w:bidi="ar-SA"/>
        </w:rPr>
      </w:pPr>
    </w:p>
    <w:p>
      <w:pPr>
        <w:pStyle w:val="2"/>
        <w:rPr>
          <w:rFonts w:hint="eastAsia"/>
          <w:lang w:val="en-US" w:eastAsia="zh-CN"/>
        </w:rPr>
      </w:pPr>
    </w:p>
    <w:p>
      <w:pPr>
        <w:pStyle w:val="4"/>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附件4</w:t>
      </w:r>
      <w:bookmarkEnd w:id="165"/>
    </w:p>
    <w:p>
      <w:pPr>
        <w:snapToGrid w:val="0"/>
        <w:spacing w:beforeLines="0" w:afterLines="0" w:line="580" w:lineRule="exact"/>
        <w:jc w:val="center"/>
        <w:rPr>
          <w:rFonts w:hint="eastAsia" w:hAnsi="宋体"/>
          <w:sz w:val="32"/>
          <w:szCs w:val="32"/>
        </w:rPr>
      </w:pPr>
      <w:bookmarkStart w:id="166" w:name="_Toc12973"/>
      <w:r>
        <w:rPr>
          <w:rFonts w:hint="eastAsia" w:ascii="方正小标宋简体" w:hAnsi="黑体" w:eastAsia="方正小标宋简体"/>
          <w:sz w:val="44"/>
          <w:szCs w:val="44"/>
          <w:lang w:eastAsia="zh-CN"/>
        </w:rPr>
        <w:t>茂县民政局</w:t>
      </w: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1</w:t>
      </w:r>
      <w:r>
        <w:rPr>
          <w:rFonts w:hint="eastAsia" w:ascii="方正小标宋简体" w:hAnsi="黑体" w:eastAsia="方正小标宋简体"/>
          <w:sz w:val="44"/>
          <w:szCs w:val="44"/>
        </w:rPr>
        <w:t>年农村特困人员生活补助支出绩效评价报告</w:t>
      </w:r>
    </w:p>
    <w:p>
      <w:pPr>
        <w:numPr>
          <w:ilvl w:val="0"/>
          <w:numId w:val="9"/>
        </w:numPr>
        <w:tabs>
          <w:tab w:val="left" w:pos="3885"/>
        </w:tabs>
        <w:snapToGrid w:val="0"/>
        <w:spacing w:beforeLines="0" w:afterLines="0" w:line="580" w:lineRule="exact"/>
        <w:ind w:firstLine="640" w:firstLineChars="200"/>
        <w:jc w:val="left"/>
        <w:rPr>
          <w:rFonts w:hint="eastAsia" w:ascii="仿宋_GB2312"/>
          <w:sz w:val="32"/>
          <w:szCs w:val="32"/>
        </w:rPr>
      </w:pPr>
      <w:r>
        <w:rPr>
          <w:rFonts w:hint="eastAsia" w:eastAsia="黑体"/>
          <w:sz w:val="32"/>
          <w:szCs w:val="32"/>
        </w:rPr>
        <w:t>财政政策基本情况</w:t>
      </w:r>
      <w:r>
        <w:rPr>
          <w:rFonts w:hint="eastAsia"/>
          <w:sz w:val="32"/>
          <w:szCs w:val="32"/>
        </w:rPr>
        <w:tab/>
      </w:r>
    </w:p>
    <w:p>
      <w:pPr>
        <w:numPr>
          <w:ilvl w:val="0"/>
          <w:numId w:val="0"/>
        </w:numPr>
        <w:tabs>
          <w:tab w:val="left" w:pos="3885"/>
        </w:tabs>
        <w:snapToGrid w:val="0"/>
        <w:spacing w:beforeLines="0" w:afterLines="0" w:line="580" w:lineRule="exact"/>
        <w:ind w:firstLine="640" w:firstLineChars="200"/>
        <w:jc w:val="left"/>
        <w:rPr>
          <w:rFonts w:hint="eastAsia" w:ascii="仿宋_GB2312"/>
          <w:sz w:val="32"/>
          <w:szCs w:val="32"/>
        </w:rPr>
      </w:pPr>
      <w:r>
        <w:rPr>
          <w:rFonts w:hint="eastAsia" w:ascii="仿宋_GB2312" w:hAnsi="Times New Roman" w:eastAsia="仿宋_GB2312" w:cs="Times New Roman"/>
          <w:color w:val="auto"/>
          <w:kern w:val="2"/>
          <w:sz w:val="32"/>
          <w:szCs w:val="32"/>
        </w:rPr>
        <w:t>根据</w:t>
      </w:r>
      <w:r>
        <w:rPr>
          <w:rFonts w:hint="eastAsia" w:ascii="仿宋_GB2312" w:hAnsi="Times New Roman" w:eastAsia="仿宋_GB2312" w:cs="Times New Roman"/>
          <w:color w:val="auto"/>
          <w:kern w:val="2"/>
          <w:sz w:val="32"/>
          <w:szCs w:val="32"/>
          <w:lang w:val="zh-CN"/>
        </w:rPr>
        <w:t>四川省民政厅发</w:t>
      </w:r>
      <w:r>
        <w:rPr>
          <w:rFonts w:hint="eastAsia" w:ascii="仿宋_GB2312" w:hAnsi="Times New Roman" w:eastAsia="仿宋_GB2312" w:cs="Times New Roman"/>
          <w:color w:val="auto"/>
          <w:kern w:val="2"/>
          <w:sz w:val="32"/>
          <w:szCs w:val="32"/>
        </w:rPr>
        <w:t>《四川省特困人员救助供养工作规程》（川民发〔2017〕155号），特困人员救助供养坚持托底供养、属地管理、城乡统筹、适度保障、社会参与的原则。把城乡老年人、残疾人以及未满16周岁的未成年人，同时具备无劳动能力、无生活来源和无法定赡养、抚养、扶养义务人或者其法定义务人无履行义务能力的，应当依法纳入特困人员救助供养范围。</w:t>
      </w:r>
    </w:p>
    <w:p>
      <w:pPr>
        <w:snapToGrid w:val="0"/>
        <w:spacing w:beforeLines="0" w:afterLines="0" w:line="580" w:lineRule="exact"/>
        <w:ind w:firstLine="640" w:firstLineChars="200"/>
        <w:rPr>
          <w:rFonts w:hint="eastAsia"/>
          <w:sz w:val="32"/>
          <w:szCs w:val="32"/>
        </w:rPr>
      </w:pPr>
      <w:r>
        <w:rPr>
          <w:rFonts w:hint="eastAsia" w:eastAsia="黑体"/>
          <w:sz w:val="32"/>
          <w:szCs w:val="32"/>
        </w:rPr>
        <w:t>二、评价工作开展情况</w:t>
      </w:r>
    </w:p>
    <w:p>
      <w:p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（一）现场评价抽样选点情况</w:t>
      </w:r>
    </w:p>
    <w:p>
      <w:pPr>
        <w:snapToGrid w:val="0"/>
        <w:spacing w:beforeLines="0" w:afterLines="0" w:line="580" w:lineRule="exact"/>
        <w:ind w:firstLine="640" w:firstLineChars="200"/>
        <w:rPr>
          <w:rFonts w:hint="eastAsia" w:ascii="楷体_GB2312" w:eastAsia="楷体_GB2312"/>
          <w:b/>
          <w:sz w:val="32"/>
          <w:szCs w:val="32"/>
        </w:rPr>
      </w:pPr>
      <w:r>
        <w:rPr>
          <w:rFonts w:hint="eastAsia" w:hAnsi="宋体" w:eastAsia="仿宋_GB2312"/>
          <w:sz w:val="32"/>
          <w:szCs w:val="32"/>
        </w:rPr>
        <w:t>农村特困人员覆盖全县11个乡镇，其中分散供养314人，集中供养50人。</w:t>
      </w:r>
    </w:p>
    <w:p>
      <w:pPr>
        <w:numPr>
          <w:ilvl w:val="0"/>
          <w:numId w:val="10"/>
        </w:num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政策总体评价</w:t>
      </w:r>
    </w:p>
    <w:p>
      <w:pPr>
        <w:numPr>
          <w:ilvl w:val="0"/>
          <w:numId w:val="0"/>
        </w:numPr>
        <w:snapToGrid w:val="0"/>
        <w:spacing w:beforeLines="0" w:afterLines="0" w:line="580" w:lineRule="exact"/>
        <w:ind w:firstLine="640" w:firstLineChars="200"/>
        <w:rPr>
          <w:rFonts w:hint="eastAsia" w:hAnsi="宋体" w:eastAsia="仿宋_GB2312"/>
          <w:sz w:val="32"/>
          <w:szCs w:val="32"/>
        </w:rPr>
      </w:pPr>
      <w:r>
        <w:rPr>
          <w:rFonts w:hint="eastAsia" w:hAnsi="宋体" w:eastAsia="仿宋_GB2312"/>
          <w:sz w:val="32"/>
          <w:szCs w:val="32"/>
        </w:rPr>
        <w:t>2021年度“特困供养”补助资金项目管理制度规范、全面、合规，项目实施遵守相关法律法规和业务管理规定，项目质量要求采取的措施完整、有效。项目资金做到专款专用，专项资金用于为特困人员提供基本生活、照料服务、殡葬服务和医疗费用等方面保障，资金拨付及时，符合资金使用标准。特困供养补助资金对于维护社会稳定、促进经济建设和社会和谐都起着至关重要的作用。</w:t>
      </w:r>
    </w:p>
    <w:p>
      <w:pPr>
        <w:snapToGrid w:val="0"/>
        <w:spacing w:beforeLines="0" w:afterLines="0" w:line="580" w:lineRule="exact"/>
        <w:ind w:firstLine="640" w:firstLineChars="200"/>
        <w:rPr>
          <w:rFonts w:hint="eastAsia"/>
          <w:sz w:val="32"/>
          <w:szCs w:val="32"/>
        </w:rPr>
      </w:pPr>
      <w:r>
        <w:rPr>
          <w:rFonts w:hint="eastAsia" w:eastAsia="黑体"/>
          <w:sz w:val="32"/>
          <w:szCs w:val="32"/>
        </w:rPr>
        <w:t>三、政策绩效情况</w:t>
      </w:r>
    </w:p>
    <w:p>
      <w:p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（一）政策设计</w:t>
      </w:r>
    </w:p>
    <w:p>
      <w:pPr>
        <w:adjustRightInd w:val="0"/>
        <w:spacing w:beforeLines="0" w:afterLines="0" w:line="576" w:lineRule="exact"/>
        <w:ind w:firstLine="640" w:firstLineChars="200"/>
        <w:rPr>
          <w:rFonts w:hint="eastAsia"/>
          <w:color w:val="000000"/>
          <w:sz w:val="32"/>
          <w:szCs w:val="32"/>
        </w:rPr>
      </w:pPr>
      <w:r>
        <w:rPr>
          <w:rFonts w:hint="eastAsia" w:eastAsia="仿宋_GB2312"/>
          <w:color w:val="000000"/>
          <w:sz w:val="32"/>
          <w:szCs w:val="32"/>
        </w:rPr>
        <w:t>根据救助供养内容提供基本生活条件，包括供给粮油、副食品、生活用燃料、服装、被褥等日常生活用品和零用钱，可通过实物或者现金的方式予以保障。对生活不能自理的给予照料，包括日常生活、住院期间的必要照料等基本服务。提供疾病治疗，全额资助参加居民基本医疗保险的个人缴费部分，医疗费用按照基本医疗保险、大病保险和医疗救助等医疗保障制度规定支付后仍有不足的，由困难群众救助补助资金予以支持。办理丧葬事宜，丧葬补助费从困难群众救助补助资金中支出，据实限额报销，总额不超过死者生前一年的基本生活供养标准经费。</w:t>
      </w:r>
    </w:p>
    <w:p>
      <w:p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（二）政策执行</w:t>
      </w:r>
    </w:p>
    <w:p>
      <w:pPr>
        <w:snapToGrid w:val="0"/>
        <w:spacing w:beforeLines="0" w:afterLines="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1.实施对象精准：“特困人员”是指生活最困难的群体，包括现有农村五保供养对象，城市“三无”人员供养对象，还包括</w:t>
      </w:r>
      <w:r>
        <w:rPr>
          <w:rFonts w:hint="eastAsia" w:ascii="仿宋_GB2312" w:hAnsi="仿宋_GB2312" w:eastAsia="仿宋_GB2312" w:cs="仿宋_GB2312"/>
          <w:sz w:val="32"/>
          <w:szCs w:val="32"/>
          <w:lang w:val="zh-CN"/>
        </w:rPr>
        <w:t>四川省民政厅发</w:t>
      </w:r>
      <w:r>
        <w:rPr>
          <w:rFonts w:hint="eastAsia" w:ascii="仿宋_GB2312" w:hAnsi="仿宋_GB2312" w:eastAsia="仿宋_GB2312" w:cs="仿宋_GB2312"/>
          <w:sz w:val="32"/>
          <w:szCs w:val="32"/>
        </w:rPr>
        <w:t>《四川省特困人员救助供养工作规程》（川民发〔2017〕155号）认定的符合条件的城乡老年人、残疾人和未满16周岁的未成年人。</w:t>
      </w:r>
    </w:p>
    <w:p>
      <w:pPr>
        <w:snapToGrid w:val="0"/>
        <w:spacing w:beforeLines="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2.政策调整及时：根据阿坝州民政局、财政局《关于调整特困人员救助供养标准的通知》</w:t>
      </w:r>
      <w:r>
        <w:rPr>
          <w:rFonts w:hint="eastAsia" w:ascii="仿宋_GB2312" w:hAnsi="仿宋_GB2312" w:eastAsia="仿宋_GB2312" w:cs="仿宋_GB2312"/>
          <w:sz w:val="32"/>
          <w:szCs w:val="32"/>
        </w:rPr>
        <w:t>（阿州民政〔2019〕117号）全州特困人员供养范围不再区分集中供养和分散供养，供养标准按照不低于城乡最低生活保障的1.3倍，且不低于现行标准执行，农村特困人员供养标准每人每月600元；</w:t>
      </w:r>
      <w:r>
        <w:rPr>
          <w:rFonts w:hint="eastAsia" w:ascii="仿宋_GB2312" w:hAnsi="宋体" w:eastAsia="仿宋_GB2312"/>
          <w:sz w:val="32"/>
          <w:szCs w:val="32"/>
        </w:rPr>
        <w:t>特困供养人员护理补贴按全自理、半自理和不能自理每人每月80元、130元、160元补助。</w:t>
      </w:r>
    </w:p>
    <w:p>
      <w:pPr>
        <w:snapToGrid w:val="0"/>
        <w:spacing w:beforeLines="0" w:afterLines="0" w:line="580" w:lineRule="exact"/>
        <w:ind w:firstLine="640" w:firstLineChars="200"/>
        <w:rPr>
          <w:rFonts w:hint="eastAsia" w:ascii="仿宋_GB2312" w:eastAsia="仿宋_GB2312"/>
          <w:sz w:val="32"/>
          <w:szCs w:val="32"/>
        </w:rPr>
      </w:pPr>
      <w:r>
        <w:rPr>
          <w:rFonts w:hint="eastAsia" w:ascii="仿宋_GB2312" w:eastAsia="仿宋_GB2312"/>
          <w:sz w:val="32"/>
          <w:szCs w:val="32"/>
        </w:rPr>
        <w:t>3.执行机制同向：</w:t>
      </w:r>
      <w:r>
        <w:rPr>
          <w:rFonts w:hint="eastAsia" w:ascii="仿宋_GB2312" w:hAnsi="宋体" w:eastAsia="仿宋_GB2312"/>
          <w:sz w:val="32"/>
          <w:szCs w:val="32"/>
          <w:lang w:val="zh-CN"/>
        </w:rPr>
        <w:t>申报完全符合</w:t>
      </w:r>
      <w:r>
        <w:rPr>
          <w:rFonts w:hint="eastAsia" w:ascii="仿宋_GB2312" w:hAnsi="宋体" w:eastAsia="仿宋_GB2312"/>
          <w:sz w:val="32"/>
          <w:szCs w:val="32"/>
        </w:rPr>
        <w:t>民政专项资金管理办法的</w:t>
      </w:r>
      <w:r>
        <w:rPr>
          <w:rFonts w:hint="eastAsia" w:ascii="仿宋_GB2312" w:hAnsi="宋体" w:eastAsia="仿宋_GB2312"/>
          <w:sz w:val="32"/>
          <w:szCs w:val="32"/>
          <w:lang w:val="zh-CN"/>
        </w:rPr>
        <w:t>相关规定。项目申报内容与具体实施内容相符、申报目标合理可行</w:t>
      </w:r>
      <w:r>
        <w:rPr>
          <w:rFonts w:hint="eastAsia" w:ascii="仿宋_GB2312" w:hAnsi="宋体" w:eastAsia="仿宋_GB2312"/>
          <w:sz w:val="32"/>
          <w:szCs w:val="32"/>
        </w:rPr>
        <w:t>,</w:t>
      </w:r>
      <w:r>
        <w:rPr>
          <w:rFonts w:hint="eastAsia" w:ascii="仿宋_GB2312" w:eastAsia="仿宋_GB2312"/>
          <w:sz w:val="32"/>
          <w:szCs w:val="32"/>
        </w:rPr>
        <w:t>严格按照政策专项实施，不存在相悖或不合理。</w:t>
      </w:r>
    </w:p>
    <w:p>
      <w:pPr>
        <w:adjustRightInd w:val="0"/>
        <w:snapToGrid w:val="0"/>
        <w:spacing w:beforeLines="0" w:afterLines="0" w:line="560" w:lineRule="exact"/>
        <w:ind w:firstLine="640" w:firstLineChars="200"/>
        <w:rPr>
          <w:rFonts w:hint="eastAsia" w:ascii="仿宋_GB2312" w:eastAsia="仿宋_GB2312"/>
          <w:sz w:val="32"/>
          <w:szCs w:val="32"/>
        </w:rPr>
      </w:pPr>
      <w:r>
        <w:rPr>
          <w:rFonts w:hint="eastAsia" w:ascii="仿宋_GB2312" w:eastAsia="仿宋_GB2312"/>
          <w:sz w:val="32"/>
          <w:szCs w:val="32"/>
        </w:rPr>
        <w:t>4.政策执行质量：</w:t>
      </w:r>
      <w:r>
        <w:rPr>
          <w:rFonts w:hint="eastAsia" w:ascii="仿宋_GB2312" w:hAnsi="宋体" w:eastAsia="仿宋_GB2312"/>
          <w:sz w:val="32"/>
          <w:szCs w:val="32"/>
        </w:rPr>
        <w:t>2021年度财政预算安排我县农村特困人员生活补助资金365.42万元，其中县级部门预算资金279.19万元，上一年度财返资金86.23万元。</w:t>
      </w:r>
      <w:r>
        <w:rPr>
          <w:rFonts w:hint="eastAsia" w:ascii="仿宋_GB2312" w:hAnsi="宋体" w:eastAsia="仿宋_GB2312"/>
          <w:sz w:val="32"/>
          <w:szCs w:val="32"/>
          <w:lang w:val="zh-CN"/>
        </w:rPr>
        <w:t>截至20</w:t>
      </w:r>
      <w:r>
        <w:rPr>
          <w:rFonts w:hint="eastAsia" w:ascii="仿宋_GB2312" w:hAnsi="宋体" w:eastAsia="仿宋_GB2312"/>
          <w:sz w:val="32"/>
          <w:szCs w:val="32"/>
        </w:rPr>
        <w:t>21</w:t>
      </w:r>
      <w:r>
        <w:rPr>
          <w:rFonts w:hint="eastAsia" w:ascii="仿宋_GB2312" w:hAnsi="宋体" w:eastAsia="仿宋_GB2312"/>
          <w:sz w:val="32"/>
          <w:szCs w:val="32"/>
          <w:lang w:val="zh-CN"/>
        </w:rPr>
        <w:t>年12月31日，累计农村特困人员生活补助资金支出</w:t>
      </w:r>
      <w:r>
        <w:rPr>
          <w:rFonts w:hint="eastAsia" w:ascii="仿宋_GB2312" w:hAnsi="宋体" w:eastAsia="仿宋_GB2312"/>
          <w:sz w:val="32"/>
          <w:szCs w:val="32"/>
        </w:rPr>
        <w:t>365.42</w:t>
      </w:r>
      <w:r>
        <w:rPr>
          <w:rFonts w:hint="eastAsia" w:ascii="仿宋_GB2312" w:hAnsi="宋体" w:eastAsia="仿宋_GB2312"/>
          <w:sz w:val="32"/>
          <w:szCs w:val="32"/>
          <w:lang w:val="zh-CN"/>
        </w:rPr>
        <w:t>万元，本</w:t>
      </w:r>
      <w:r>
        <w:rPr>
          <w:rFonts w:hint="eastAsia" w:ascii="仿宋_GB2312" w:hAnsi="宋体" w:eastAsia="仿宋_GB2312"/>
          <w:sz w:val="32"/>
          <w:szCs w:val="32"/>
        </w:rPr>
        <w:t>年结转结余0万元。</w:t>
      </w:r>
      <w:r>
        <w:rPr>
          <w:rFonts w:hint="eastAsia" w:ascii="仿宋_GB2312" w:hAnsi="宋体" w:eastAsia="仿宋_GB2312"/>
          <w:sz w:val="32"/>
          <w:szCs w:val="32"/>
          <w:lang w:val="zh-CN"/>
        </w:rPr>
        <w:t>项目支出标准、支付依据合规合法，资金支付与预算相符。</w:t>
      </w:r>
    </w:p>
    <w:p>
      <w:pPr>
        <w:snapToGrid w:val="0"/>
        <w:spacing w:beforeLines="0" w:afterLines="0" w:line="580" w:lineRule="exact"/>
        <w:ind w:firstLine="642" w:firstLineChars="200"/>
        <w:rPr>
          <w:rFonts w:hint="eastAsia" w:ascii="楷体_GB2312" w:eastAsia="楷体_GB2312"/>
          <w:b/>
          <w:sz w:val="32"/>
          <w:szCs w:val="32"/>
        </w:rPr>
      </w:pPr>
      <w:r>
        <w:rPr>
          <w:rFonts w:hint="eastAsia" w:ascii="楷体_GB2312" w:eastAsia="楷体_GB2312"/>
          <w:b/>
          <w:sz w:val="32"/>
          <w:szCs w:val="32"/>
        </w:rPr>
        <w:t>（三）政策效果</w:t>
      </w:r>
    </w:p>
    <w:p>
      <w:pPr>
        <w:widowControl/>
        <w:spacing w:beforeLines="0" w:afterLines="0" w:line="560" w:lineRule="atLeast"/>
        <w:ind w:firstLine="600"/>
        <w:rPr>
          <w:rFonts w:hint="eastAsia" w:ascii="仿宋" w:hAnsi="仿宋" w:eastAsia="仿宋" w:cs="仿宋"/>
          <w:color w:val="000000"/>
          <w:kern w:val="0"/>
          <w:sz w:val="32"/>
          <w:szCs w:val="32"/>
          <w:lang w:val="zh-CN" w:bidi="ar"/>
        </w:rPr>
      </w:pPr>
      <w:r>
        <w:rPr>
          <w:rFonts w:hint="eastAsia" w:ascii="仿宋" w:hAnsi="仿宋" w:eastAsia="仿宋" w:cs="仿宋"/>
          <w:color w:val="000000"/>
          <w:kern w:val="0"/>
          <w:sz w:val="32"/>
          <w:szCs w:val="32"/>
          <w:lang w:bidi="ar"/>
        </w:rPr>
        <w:t>1.</w:t>
      </w:r>
      <w:r>
        <w:rPr>
          <w:rFonts w:hint="eastAsia" w:ascii="仿宋" w:hAnsi="仿宋" w:eastAsia="仿宋" w:cs="仿宋"/>
          <w:color w:val="000000"/>
          <w:kern w:val="0"/>
          <w:sz w:val="32"/>
          <w:szCs w:val="32"/>
          <w:lang w:val="zh-CN" w:bidi="ar"/>
        </w:rPr>
        <w:t>项目组织架构及实施流程</w:t>
      </w:r>
    </w:p>
    <w:p>
      <w:pPr>
        <w:widowControl/>
        <w:spacing w:beforeLines="0" w:afterLines="0" w:line="560" w:lineRule="atLeast"/>
        <w:ind w:firstLine="600"/>
        <w:rPr>
          <w:rFonts w:hint="eastAsia" w:ascii="仿宋_GB2312" w:hAnsi="宋体" w:eastAsia="仿宋_GB2312"/>
          <w:color w:val="auto"/>
          <w:sz w:val="32"/>
          <w:szCs w:val="32"/>
          <w:lang w:val="zh-CN"/>
        </w:rPr>
      </w:pPr>
      <w:r>
        <w:rPr>
          <w:rFonts w:hint="eastAsia" w:ascii="仿宋" w:hAnsi="仿宋" w:eastAsia="仿宋" w:cs="仿宋"/>
          <w:color w:val="000000"/>
          <w:kern w:val="0"/>
          <w:sz w:val="32"/>
          <w:szCs w:val="32"/>
          <w:lang w:val="zh-CN" w:bidi="ar"/>
        </w:rPr>
        <w:t>该</w:t>
      </w:r>
      <w:r>
        <w:rPr>
          <w:rFonts w:hint="eastAsia" w:ascii="仿宋_GB2312" w:hAnsi="宋体" w:eastAsia="仿宋_GB2312"/>
          <w:color w:val="auto"/>
          <w:sz w:val="32"/>
          <w:szCs w:val="32"/>
          <w:lang w:val="zh-CN"/>
        </w:rPr>
        <w:t>项补助资金主要采用因素法进行分配。按照四川省民政厅发《四川省特困人员救助供养工作规程》（川民发〔2017〕155号），将城乡老年人、残疾人以及未满16周岁的未成年人，同时具备无劳动能力、无生活来源和无法定赡养、抚养、扶养义务人或者其法定义务人无履行义务能力的，纳入特困供养。由本人申请，乡镇人民政府自受理申请后，通过信息核对、入户调查等方式，对申请人的经济状况、实际生活状况以及赡养、抚养、扶养状况等进行调查核实，并组织开展民主评议，提出审核意见。将审核意见及时在申请人所在村（社区）公示7天。公示期满无异议的，由乡镇人民政府（街道办事处）将审核意见连同申请、调查核实、民主评议等相关材料报送县民政局审批。县民政局根据审核意见和公示情况，按照不低于申报人数的</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zh-CN"/>
        </w:rPr>
        <w:t>%抽取核查户数，安排专人再次入户实地核查。县民政局审批后，通过惠民惠农“一卡通”系统直接支付到补贴对象社保卡上。集中供养对象的生活费及护理支出统一支付到第三方委托公司账户。</w:t>
      </w:r>
    </w:p>
    <w:p>
      <w:pPr>
        <w:widowControl/>
        <w:spacing w:beforeLines="0" w:afterLines="0" w:line="560" w:lineRule="atLeast"/>
        <w:ind w:firstLine="640" w:firstLineChars="200"/>
        <w:jc w:val="left"/>
        <w:rPr>
          <w:rFonts w:hint="eastAsia"/>
          <w:sz w:val="32"/>
          <w:szCs w:val="32"/>
        </w:rPr>
      </w:pPr>
      <w:r>
        <w:rPr>
          <w:rFonts w:hint="eastAsia" w:ascii="仿宋" w:hAnsi="仿宋" w:eastAsia="仿宋" w:cs="仿宋"/>
          <w:color w:val="000000"/>
          <w:kern w:val="0"/>
          <w:sz w:val="32"/>
          <w:szCs w:val="32"/>
          <w:lang w:bidi="ar"/>
        </w:rPr>
        <w:t>2.产出指标完成情况分析</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（1）项目完成数量</w:t>
      </w:r>
    </w:p>
    <w:p>
      <w:pPr>
        <w:widowControl/>
        <w:spacing w:beforeLines="0" w:afterLines="0" w:line="560" w:lineRule="atLeast"/>
        <w:ind w:firstLine="640"/>
        <w:jc w:val="left"/>
        <w:rPr>
          <w:rFonts w:hint="eastAsia"/>
          <w:sz w:val="32"/>
          <w:szCs w:val="32"/>
        </w:rPr>
      </w:pPr>
      <w:r>
        <w:rPr>
          <w:rFonts w:hint="eastAsia" w:ascii="仿宋_GB2312" w:hAnsi="微软雅黑" w:eastAsia="仿宋_GB2312" w:cs="仿宋_GB2312"/>
          <w:color w:val="000000"/>
          <w:kern w:val="0"/>
          <w:sz w:val="32"/>
          <w:szCs w:val="32"/>
          <w:lang w:bidi="ar"/>
        </w:rPr>
        <w:t>我县</w:t>
      </w:r>
      <w:r>
        <w:rPr>
          <w:rFonts w:hint="eastAsia" w:ascii="仿宋_GB2312" w:eastAsia="仿宋_GB2312" w:cs="仿宋_GB2312"/>
          <w:color w:val="000000"/>
          <w:kern w:val="0"/>
          <w:sz w:val="32"/>
          <w:szCs w:val="32"/>
          <w:lang w:bidi="ar"/>
        </w:rPr>
        <w:t>累计发放</w:t>
      </w:r>
      <w:r>
        <w:rPr>
          <w:rFonts w:hint="eastAsia" w:ascii="仿宋_GB2312" w:hAnsi="微软雅黑" w:eastAsia="仿宋_GB2312" w:cs="仿宋_GB2312"/>
          <w:color w:val="000000"/>
          <w:kern w:val="0"/>
          <w:sz w:val="32"/>
          <w:szCs w:val="32"/>
          <w:lang w:bidi="ar"/>
        </w:rPr>
        <w:t>农村</w:t>
      </w:r>
      <w:r>
        <w:rPr>
          <w:rFonts w:hint="eastAsia" w:ascii="仿宋_GB2312" w:eastAsia="仿宋_GB2312" w:cs="仿宋_GB2312"/>
          <w:color w:val="000000"/>
          <w:kern w:val="0"/>
          <w:sz w:val="32"/>
          <w:szCs w:val="32"/>
          <w:lang w:bidi="ar"/>
        </w:rPr>
        <w:t>特困人员基本救助供养金</w:t>
      </w:r>
      <w:r>
        <w:rPr>
          <w:rFonts w:hint="eastAsia" w:ascii="仿宋_GB2312" w:hAnsi="微软雅黑" w:eastAsia="仿宋_GB2312" w:cs="仿宋_GB2312"/>
          <w:color w:val="000000"/>
          <w:kern w:val="0"/>
          <w:sz w:val="32"/>
          <w:szCs w:val="32"/>
          <w:lang w:bidi="ar"/>
        </w:rPr>
        <w:t>365.42</w:t>
      </w:r>
      <w:r>
        <w:rPr>
          <w:rFonts w:hint="eastAsia" w:ascii="仿宋_GB2312" w:eastAsia="仿宋_GB2312" w:cs="仿宋_GB2312"/>
          <w:color w:val="000000"/>
          <w:kern w:val="0"/>
          <w:sz w:val="32"/>
          <w:szCs w:val="32"/>
          <w:lang w:bidi="ar"/>
        </w:rPr>
        <w:t>万元（其中分散农村特困人员生活补助及护理补贴271.22万元；集中农村特困人员生活补助及护理补贴35.44万元；特困人员医疗费43.36万元；特困人员丧葬费15.84万元）</w:t>
      </w:r>
      <w:r>
        <w:rPr>
          <w:rFonts w:hint="eastAsia" w:ascii="仿宋_GB2312" w:hAnsi="微软雅黑" w:eastAsia="仿宋_GB2312" w:cs="仿宋_GB2312"/>
          <w:color w:val="000000"/>
          <w:kern w:val="0"/>
          <w:sz w:val="32"/>
          <w:szCs w:val="32"/>
          <w:lang w:bidi="ar"/>
        </w:rPr>
        <w:t>，</w:t>
      </w:r>
      <w:r>
        <w:rPr>
          <w:rFonts w:hint="eastAsia" w:ascii="仿宋_GB2312" w:eastAsia="仿宋_GB2312" w:cs="仿宋_GB2312"/>
          <w:color w:val="000000"/>
          <w:kern w:val="0"/>
          <w:sz w:val="32"/>
          <w:szCs w:val="32"/>
          <w:lang w:bidi="ar"/>
        </w:rPr>
        <w:t>累计发放</w:t>
      </w:r>
      <w:r>
        <w:rPr>
          <w:rFonts w:hint="eastAsia" w:ascii="仿宋_GB2312" w:hAnsi="微软雅黑" w:eastAsia="仿宋_GB2312" w:cs="仿宋_GB2312"/>
          <w:color w:val="000000"/>
          <w:kern w:val="0"/>
          <w:sz w:val="32"/>
          <w:szCs w:val="32"/>
          <w:lang w:bidi="ar"/>
        </w:rPr>
        <w:t>4374</w:t>
      </w:r>
      <w:r>
        <w:rPr>
          <w:rFonts w:hint="eastAsia" w:ascii="仿宋_GB2312" w:eastAsia="仿宋_GB2312" w:cs="仿宋_GB2312"/>
          <w:color w:val="000000"/>
          <w:kern w:val="0"/>
          <w:sz w:val="32"/>
          <w:szCs w:val="32"/>
          <w:lang w:bidi="ar"/>
        </w:rPr>
        <w:t>人次</w:t>
      </w:r>
      <w:r>
        <w:rPr>
          <w:rFonts w:hint="eastAsia" w:ascii="仿宋_GB2312" w:hAnsi="微软雅黑" w:eastAsia="仿宋_GB2312" w:cs="仿宋_GB2312"/>
          <w:color w:val="000000"/>
          <w:kern w:val="0"/>
          <w:sz w:val="32"/>
          <w:szCs w:val="32"/>
          <w:lang w:bidi="ar"/>
        </w:rPr>
        <w:t>。</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（2）项目完成质量</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2021年救助农村特困人员补助率100%。</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（3）项目实施进度</w:t>
      </w:r>
    </w:p>
    <w:p>
      <w:pPr>
        <w:widowControl/>
        <w:spacing w:beforeLines="0" w:afterLines="0" w:line="560" w:lineRule="atLeast"/>
        <w:ind w:firstLine="600"/>
        <w:jc w:val="left"/>
        <w:rPr>
          <w:rFonts w:hint="eastAsia" w:eastAsia="仿宋_GB2312"/>
          <w:sz w:val="32"/>
          <w:szCs w:val="32"/>
          <w:lang w:val="zh-CN"/>
        </w:rPr>
      </w:pPr>
      <w:r>
        <w:rPr>
          <w:rFonts w:hint="eastAsia" w:ascii="仿宋" w:hAnsi="仿宋" w:eastAsia="仿宋" w:cs="仿宋"/>
          <w:color w:val="000000"/>
          <w:kern w:val="0"/>
          <w:sz w:val="32"/>
          <w:szCs w:val="32"/>
          <w:lang w:bidi="ar"/>
        </w:rPr>
        <w:t>农村特困人员补助发放及时率100%，确保困难群众的基本生活。</w:t>
      </w:r>
    </w:p>
    <w:p>
      <w:pPr>
        <w:widowControl/>
        <w:numPr>
          <w:ilvl w:val="0"/>
          <w:numId w:val="0"/>
        </w:numPr>
        <w:spacing w:beforeLines="0" w:afterLines="0" w:line="560" w:lineRule="atLeast"/>
        <w:ind w:left="6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3.效益指标完成情况分析</w:t>
      </w:r>
    </w:p>
    <w:p>
      <w:pPr>
        <w:widowControl/>
        <w:numPr>
          <w:ilvl w:val="0"/>
          <w:numId w:val="0"/>
        </w:numPr>
        <w:spacing w:beforeLines="0" w:afterLines="0" w:line="560" w:lineRule="atLeast"/>
        <w:ind w:left="600"/>
        <w:rPr>
          <w:rFonts w:hint="eastAsia"/>
          <w:sz w:val="32"/>
          <w:szCs w:val="32"/>
        </w:rPr>
      </w:pPr>
      <w:r>
        <w:rPr>
          <w:rFonts w:hint="eastAsia" w:ascii="仿宋" w:hAnsi="仿宋" w:eastAsia="仿宋" w:cs="仿宋"/>
          <w:color w:val="000000"/>
          <w:kern w:val="0"/>
          <w:sz w:val="32"/>
          <w:szCs w:val="32"/>
          <w:lang w:bidi="ar"/>
        </w:rPr>
        <w:t>（1）项目实施的经济效益和社会效益分析</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切实开展民生政策落实工作，努力解决群众关注的热点、难点问题，促进了民政部门“以民为本、为民解困、为民服务”工作宗旨的落实</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（2）项目实施的可持续影响分析</w:t>
      </w:r>
    </w:p>
    <w:p>
      <w:pPr>
        <w:widowControl/>
        <w:spacing w:beforeLines="0" w:afterLines="0" w:line="560" w:lineRule="atLeast"/>
        <w:ind w:firstLine="600"/>
        <w:jc w:val="left"/>
        <w:rPr>
          <w:rFonts w:hint="eastAsia"/>
          <w:sz w:val="32"/>
          <w:szCs w:val="32"/>
        </w:rPr>
      </w:pPr>
      <w:r>
        <w:rPr>
          <w:rFonts w:hint="eastAsia" w:ascii="仿宋" w:hAnsi="仿宋" w:eastAsia="仿宋" w:cs="仿宋"/>
          <w:color w:val="000000"/>
          <w:kern w:val="0"/>
          <w:sz w:val="32"/>
          <w:szCs w:val="32"/>
          <w:lang w:bidi="ar"/>
        </w:rPr>
        <w:t>健全社会救助监督机制。严格执行特困操作规程，规范审核审批程序，严格把好群众申请关、入户调查关、民主评议关、公示监督关、审核确认关，强化审核结果公示以及审批结果公示做到全方位、多途经接受社会监督，建立“谁调查、谁负责，谁签字、谁负责，谁审批、谁负责”的责任追究制度，细化分清县民政部门、乡镇政府（街道办）在社会救助审核审批和动态管理工作中的主体责任，推动了城乡特困救助供养的规范化管理。</w:t>
      </w:r>
    </w:p>
    <w:p>
      <w:pPr>
        <w:widowControl/>
        <w:spacing w:beforeLines="0" w:afterLines="0" w:line="560" w:lineRule="atLeast"/>
        <w:ind w:firstLine="640" w:firstLineChars="200"/>
        <w:jc w:val="left"/>
        <w:rPr>
          <w:rFonts w:hint="eastAsia"/>
          <w:sz w:val="32"/>
          <w:szCs w:val="32"/>
        </w:rPr>
      </w:pPr>
      <w:r>
        <w:rPr>
          <w:rFonts w:hint="eastAsia" w:ascii="仿宋" w:hAnsi="仿宋" w:eastAsia="仿宋" w:cs="仿宋"/>
          <w:color w:val="000000"/>
          <w:kern w:val="0"/>
          <w:sz w:val="32"/>
          <w:szCs w:val="32"/>
          <w:lang w:bidi="ar"/>
        </w:rPr>
        <w:t>4.满意度指标完成情况分析。</w:t>
      </w:r>
    </w:p>
    <w:p>
      <w:pPr>
        <w:pStyle w:val="15"/>
        <w:spacing w:beforeLines="0" w:afterLines="0"/>
        <w:ind w:firstLine="640" w:firstLineChars="200"/>
        <w:jc w:val="both"/>
        <w:rPr>
          <w:rFonts w:hint="eastAsia"/>
          <w:sz w:val="21"/>
          <w:szCs w:val="32"/>
          <w:lang w:val="zh-CN"/>
        </w:rPr>
      </w:pPr>
      <w:r>
        <w:rPr>
          <w:rFonts w:hint="eastAsia" w:hAnsi="仿宋" w:cs="仿宋"/>
          <w:sz w:val="32"/>
          <w:szCs w:val="32"/>
        </w:rPr>
        <w:t>项目的实施收到良好的效果，</w:t>
      </w:r>
      <w:r>
        <w:rPr>
          <w:rFonts w:hint="eastAsia" w:hAnsi="仿宋" w:cs="仿宋"/>
          <w:sz w:val="32"/>
          <w:szCs w:val="32"/>
          <w:lang w:bidi="ar"/>
        </w:rPr>
        <w:t>救助对象满意度100%。</w:t>
      </w:r>
    </w:p>
    <w:p>
      <w:pPr>
        <w:numPr>
          <w:ilvl w:val="0"/>
          <w:numId w:val="11"/>
        </w:numPr>
        <w:snapToGrid w:val="0"/>
        <w:spacing w:beforeLines="0" w:afterLines="0" w:line="580" w:lineRule="exact"/>
        <w:ind w:firstLine="640" w:firstLineChars="200"/>
        <w:rPr>
          <w:rFonts w:hint="eastAsia"/>
          <w:sz w:val="32"/>
          <w:szCs w:val="32"/>
        </w:rPr>
      </w:pPr>
      <w:r>
        <w:rPr>
          <w:rFonts w:hint="eastAsia" w:eastAsia="黑体"/>
          <w:sz w:val="32"/>
          <w:szCs w:val="32"/>
        </w:rPr>
        <w:t>存在问题</w:t>
      </w:r>
    </w:p>
    <w:p>
      <w:pPr>
        <w:pStyle w:val="2"/>
        <w:numPr>
          <w:ilvl w:val="0"/>
          <w:numId w:val="0"/>
        </w:numPr>
        <w:spacing w:beforeLines="0" w:afterLines="0"/>
        <w:ind w:leftChars="200" w:right="-509" w:firstLine="0"/>
        <w:rPr>
          <w:rFonts w:hint="eastAsia"/>
          <w:sz w:val="32"/>
          <w:szCs w:val="32"/>
        </w:rPr>
      </w:pPr>
      <w:r>
        <w:rPr>
          <w:rFonts w:hint="eastAsia"/>
          <w:sz w:val="32"/>
          <w:szCs w:val="32"/>
        </w:rPr>
        <w:t>无</w:t>
      </w:r>
    </w:p>
    <w:p>
      <w:pPr>
        <w:numPr>
          <w:ilvl w:val="0"/>
          <w:numId w:val="11"/>
        </w:numPr>
        <w:snapToGrid w:val="0"/>
        <w:spacing w:beforeLines="0" w:afterLines="0" w:line="580" w:lineRule="exact"/>
        <w:ind w:firstLine="640" w:firstLineChars="200"/>
        <w:rPr>
          <w:rFonts w:hint="eastAsia"/>
          <w:sz w:val="32"/>
          <w:szCs w:val="32"/>
        </w:rPr>
      </w:pPr>
      <w:r>
        <w:rPr>
          <w:rFonts w:hint="eastAsia" w:eastAsia="黑体"/>
          <w:sz w:val="32"/>
          <w:szCs w:val="32"/>
        </w:rPr>
        <w:t>相关建议</w:t>
      </w:r>
    </w:p>
    <w:p>
      <w:pPr>
        <w:pStyle w:val="2"/>
        <w:numPr>
          <w:ilvl w:val="0"/>
          <w:numId w:val="0"/>
        </w:numPr>
        <w:spacing w:beforeLines="0" w:afterLines="0"/>
        <w:ind w:leftChars="200" w:right="-509" w:firstLine="0"/>
        <w:rPr>
          <w:rFonts w:hint="eastAsia"/>
          <w:sz w:val="32"/>
          <w:szCs w:val="32"/>
        </w:rPr>
      </w:pPr>
      <w:r>
        <w:rPr>
          <w:rFonts w:hint="eastAsia"/>
          <w:sz w:val="32"/>
          <w:szCs w:val="32"/>
        </w:rPr>
        <w:t>无</w:t>
      </w:r>
    </w:p>
    <w:p>
      <w:pPr>
        <w:snapToGrid w:val="0"/>
        <w:spacing w:line="580" w:lineRule="exact"/>
        <w:jc w:val="center"/>
        <w:rPr>
          <w:rFonts w:hint="eastAsia" w:ascii="方正小标宋简体" w:hAnsi="黑体" w:eastAsia="方正小标宋简体"/>
          <w:sz w:val="44"/>
          <w:szCs w:val="44"/>
        </w:rPr>
      </w:pPr>
    </w:p>
    <w:p>
      <w:pPr>
        <w:snapToGrid w:val="0"/>
        <w:spacing w:line="580" w:lineRule="exact"/>
        <w:jc w:val="center"/>
        <w:rPr>
          <w:rFonts w:hint="eastAsia" w:ascii="方正小标宋简体" w:hAnsi="黑体" w:eastAsia="方正小标宋简体"/>
          <w:sz w:val="44"/>
          <w:szCs w:val="44"/>
        </w:rPr>
      </w:pPr>
    </w:p>
    <w:p>
      <w:pPr>
        <w:pStyle w:val="2"/>
        <w:rPr>
          <w:rFonts w:hint="eastAsia"/>
        </w:rPr>
      </w:pPr>
    </w:p>
    <w:p>
      <w:pPr>
        <w:snapToGrid w:val="0"/>
        <w:spacing w:line="580" w:lineRule="exact"/>
        <w:jc w:val="center"/>
        <w:rPr>
          <w:rFonts w:hint="eastAsia" w:ascii="方正小标宋简体" w:hAnsi="黑体" w:eastAsia="方正小标宋简体"/>
          <w:sz w:val="44"/>
          <w:szCs w:val="44"/>
        </w:rPr>
      </w:pPr>
    </w:p>
    <w:bookmarkEnd w:id="166"/>
    <w:p>
      <w:pPr>
        <w:pStyle w:val="4"/>
        <w:bidi w:val="0"/>
        <w:rPr>
          <w:rFonts w:hint="eastAsia" w:ascii="仿宋_GB2312" w:hAnsi="微软雅黑" w:eastAsia="仿宋_GB2312" w:cs="Times New Roman"/>
          <w:b w:val="0"/>
          <w:bCs w:val="0"/>
          <w:color w:val="333333"/>
          <w:kern w:val="2"/>
          <w:sz w:val="32"/>
          <w:szCs w:val="24"/>
          <w:lang w:val="en-US" w:eastAsia="zh-CN" w:bidi="ar-SA"/>
        </w:rPr>
      </w:pPr>
      <w:bookmarkStart w:id="167" w:name="_Toc2072"/>
      <w:r>
        <w:rPr>
          <w:rFonts w:hint="eastAsia" w:ascii="仿宋_GB2312" w:hAnsi="微软雅黑" w:eastAsia="仿宋_GB2312" w:cs="Times New Roman"/>
          <w:b w:val="0"/>
          <w:bCs w:val="0"/>
          <w:color w:val="333333"/>
          <w:kern w:val="2"/>
          <w:sz w:val="32"/>
          <w:szCs w:val="24"/>
          <w:lang w:val="en-US" w:eastAsia="zh-CN" w:bidi="ar-SA"/>
        </w:rPr>
        <w:t>附件5</w:t>
      </w:r>
      <w:bookmarkEnd w:id="167"/>
    </w:p>
    <w:p>
      <w:pPr>
        <w:spacing w:beforeLines="0" w:afterLines="0" w:line="600" w:lineRule="exact"/>
        <w:ind w:left="1"/>
        <w:jc w:val="center"/>
        <w:textAlignment w:val="bottom"/>
        <w:rPr>
          <w:rFonts w:hint="eastAsia" w:ascii="宋体" w:hAnsi="宋体" w:eastAsia="宋体" w:cs="宋体"/>
          <w:b/>
          <w:sz w:val="44"/>
          <w:szCs w:val="44"/>
        </w:rPr>
      </w:pPr>
      <w:bookmarkStart w:id="168" w:name="_Toc985"/>
      <w:r>
        <w:rPr>
          <w:rFonts w:hint="eastAsia" w:ascii="仿宋_GB2312" w:hAnsi="宋体" w:eastAsia="宋体" w:cs="Times New Roman"/>
          <w:b/>
          <w:color w:val="auto"/>
          <w:kern w:val="0"/>
          <w:sz w:val="44"/>
          <w:szCs w:val="44"/>
        </w:rPr>
        <w:t>茂县民政局</w:t>
      </w:r>
      <w:r>
        <w:rPr>
          <w:rFonts w:hint="eastAsia" w:ascii="仿宋_GB2312" w:hAnsi="宋体" w:cs="Times New Roman"/>
          <w:b/>
          <w:color w:val="auto"/>
          <w:kern w:val="0"/>
          <w:sz w:val="44"/>
          <w:szCs w:val="44"/>
          <w:lang w:val="en-US" w:eastAsia="zh-CN"/>
        </w:rPr>
        <w:t>2021年</w:t>
      </w:r>
      <w:r>
        <w:rPr>
          <w:rFonts w:hint="eastAsia" w:ascii="仿宋_GB2312" w:hAnsi="宋体" w:eastAsia="宋体" w:cs="Times New Roman"/>
          <w:b/>
          <w:color w:val="auto"/>
          <w:kern w:val="0"/>
          <w:sz w:val="44"/>
          <w:szCs w:val="44"/>
        </w:rPr>
        <w:t>福彩公益金项</w:t>
      </w:r>
      <w:r>
        <w:rPr>
          <w:rFonts w:hint="eastAsia" w:ascii="宋体" w:hAnsi="宋体" w:eastAsia="宋体" w:cs="宋体"/>
          <w:b/>
          <w:sz w:val="44"/>
          <w:szCs w:val="44"/>
        </w:rPr>
        <w:t>目支出</w:t>
      </w:r>
      <w:r>
        <w:rPr>
          <w:rFonts w:hint="eastAsia" w:ascii="宋体" w:hAnsi="宋体" w:cs="宋体"/>
          <w:b/>
          <w:sz w:val="44"/>
          <w:szCs w:val="44"/>
          <w:lang w:val="en-US" w:eastAsia="zh-CN"/>
        </w:rPr>
        <w:t xml:space="preserve">  </w:t>
      </w:r>
      <w:r>
        <w:rPr>
          <w:rFonts w:hint="eastAsia" w:ascii="宋体" w:hAnsi="宋体" w:eastAsia="宋体" w:cs="宋体"/>
          <w:b/>
          <w:sz w:val="44"/>
          <w:szCs w:val="44"/>
        </w:rPr>
        <w:t>绩效自评报告</w:t>
      </w:r>
    </w:p>
    <w:p>
      <w:pPr>
        <w:pStyle w:val="36"/>
        <w:spacing w:beforeLines="0" w:afterLines="0" w:line="240" w:lineRule="auto"/>
        <w:jc w:val="center"/>
        <w:rPr>
          <w:rFonts w:hint="eastAsia" w:ascii="仿宋_GB2312" w:hAnsi="仿宋_GB2312" w:eastAsia="仿宋_GB2312" w:cs="仿宋_GB2312"/>
          <w:color w:val="auto"/>
          <w:kern w:val="2"/>
          <w:sz w:val="32"/>
          <w:szCs w:val="32"/>
        </w:rPr>
      </w:pPr>
    </w:p>
    <w:p>
      <w:pPr>
        <w:adjustRightInd w:val="0"/>
        <w:snapToGrid w:val="0"/>
        <w:spacing w:beforeLines="0" w:afterLines="0" w:line="560" w:lineRule="exact"/>
        <w:ind w:firstLine="72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县民政局属财政全额拨款行政单位，为县政府职能部门。主要涉及殡葬，残疾人重度护理补贴，其他城市生活救助，乞讨人员救助，高龄老年人生活补贴，基本养老服务补贴，社区居家养老服务站经费，敬老院管理工作经费，最低生活保障，特困人员供养，其他农村生活救助等。</w:t>
      </w:r>
    </w:p>
    <w:p>
      <w:pPr>
        <w:spacing w:beforeLines="0" w:afterLines="0" w:line="540" w:lineRule="exact"/>
        <w:ind w:firstLine="642" w:firstLineChars="200"/>
        <w:jc w:val="left"/>
        <w:rPr>
          <w:rFonts w:hint="eastAsia" w:ascii="楷体_GB2312" w:hAnsi="宋体" w:eastAsia="楷体_GB2312"/>
          <w:b/>
          <w:sz w:val="32"/>
          <w:szCs w:val="24"/>
          <w:lang w:val="zh-CN"/>
        </w:rPr>
      </w:pPr>
      <w:r>
        <w:rPr>
          <w:rFonts w:hint="eastAsia" w:ascii="楷体_GB2312" w:hAnsi="宋体" w:eastAsia="楷体_GB2312"/>
          <w:b/>
          <w:sz w:val="32"/>
          <w:szCs w:val="24"/>
          <w:lang w:val="zh-CN"/>
        </w:rPr>
        <w:t>（一）项目资金申报及批复情况</w:t>
      </w:r>
    </w:p>
    <w:p>
      <w:pPr>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根据阿坝州财政局阿坝州民政局《关于下达20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年中央和省级财政福利彩票公益金的通知》（阿州财社</w:t>
      </w:r>
      <w:r>
        <w:rPr>
          <w:rFonts w:hint="eastAsia" w:ascii="仿宋_GB2312" w:hAnsi="仿宋_GB2312" w:eastAsia="仿宋_GB2312" w:cs="仿宋_GB2312"/>
          <w:sz w:val="32"/>
          <w:szCs w:val="32"/>
        </w:rPr>
        <w:t>﹝2021﹞33</w:t>
      </w:r>
      <w:r>
        <w:rPr>
          <w:rFonts w:hint="eastAsia" w:ascii="仿宋_GB2312" w:hAnsi="仿宋_GB2312" w:eastAsia="仿宋_GB2312" w:cs="仿宋_GB2312"/>
          <w:sz w:val="32"/>
          <w:szCs w:val="32"/>
          <w:lang w:val="zh-CN"/>
        </w:rPr>
        <w:t>号、</w:t>
      </w:r>
      <w:r>
        <w:rPr>
          <w:rFonts w:hint="eastAsia" w:ascii="仿宋_GB2312" w:hAnsi="仿宋_GB2312" w:eastAsia="仿宋_GB2312" w:cs="仿宋_GB2312"/>
          <w:sz w:val="32"/>
          <w:szCs w:val="32"/>
        </w:rPr>
        <w:t>90号</w:t>
      </w:r>
      <w:r>
        <w:rPr>
          <w:rFonts w:hint="eastAsia" w:ascii="仿宋_GB2312" w:hAnsi="仿宋_GB2312" w:eastAsia="仿宋_GB2312" w:cs="仿宋_GB2312"/>
          <w:sz w:val="32"/>
          <w:szCs w:val="32"/>
          <w:lang w:val="zh-CN"/>
        </w:rPr>
        <w:t>），《关于下达州级福彩公益金的通知》（阿州财综</w:t>
      </w:r>
      <w:r>
        <w:rPr>
          <w:rFonts w:hint="eastAsia" w:ascii="仿宋_GB2312" w:hAnsi="仿宋_GB2312" w:eastAsia="仿宋_GB2312" w:cs="仿宋_GB2312"/>
          <w:sz w:val="32"/>
          <w:szCs w:val="32"/>
        </w:rPr>
        <w:t>﹝2021﹞7号</w:t>
      </w:r>
      <w:r>
        <w:rPr>
          <w:rFonts w:hint="eastAsia" w:ascii="仿宋_GB2312" w:hAnsi="仿宋_GB2312" w:eastAsia="仿宋_GB2312" w:cs="仿宋_GB2312"/>
          <w:sz w:val="32"/>
          <w:szCs w:val="32"/>
          <w:lang w:val="zh-CN"/>
        </w:rPr>
        <w:t>），《关于下达20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年中央专项彩票公益金支持地方社会公益事业发展资金的通知》（阿州财综</w:t>
      </w:r>
      <w:r>
        <w:rPr>
          <w:rFonts w:hint="eastAsia" w:ascii="仿宋_GB2312" w:hAnsi="仿宋_GB2312" w:eastAsia="仿宋_GB2312" w:cs="仿宋_GB2312"/>
          <w:sz w:val="32"/>
          <w:szCs w:val="32"/>
        </w:rPr>
        <w:t>﹝2021﹞16号</w:t>
      </w:r>
      <w:r>
        <w:rPr>
          <w:rFonts w:hint="eastAsia" w:ascii="仿宋_GB2312" w:hAnsi="仿宋_GB2312" w:eastAsia="仿宋_GB2312" w:cs="仿宋_GB2312"/>
          <w:sz w:val="32"/>
          <w:szCs w:val="32"/>
          <w:lang w:val="zh-CN"/>
        </w:rPr>
        <w:t>），《关于下达20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年养老服务业发展资金的通知》</w:t>
      </w:r>
      <w:r>
        <w:rPr>
          <w:rFonts w:hint="eastAsia" w:ascii="仿宋_GB2312" w:eastAsia="仿宋_GB2312"/>
          <w:sz w:val="32"/>
          <w:szCs w:val="24"/>
        </w:rPr>
        <w:t>阿州财社（2021）36号</w:t>
      </w:r>
      <w:r>
        <w:rPr>
          <w:rFonts w:hint="eastAsia" w:ascii="仿宋_GB2312" w:hAnsi="仿宋_GB2312" w:eastAsia="仿宋_GB2312" w:cs="仿宋_GB2312"/>
          <w:sz w:val="32"/>
          <w:szCs w:val="32"/>
        </w:rPr>
        <w:t>文件精神，此项目资金</w:t>
      </w:r>
      <w:r>
        <w:rPr>
          <w:rFonts w:hint="eastAsia" w:ascii="仿宋_GB2312" w:hAnsi="仿宋_GB2312" w:eastAsia="仿宋_GB2312" w:cs="仿宋_GB2312"/>
          <w:sz w:val="32"/>
          <w:szCs w:val="32"/>
          <w:lang w:val="zh-CN"/>
        </w:rPr>
        <w:t>主要用于</w:t>
      </w:r>
      <w:r>
        <w:rPr>
          <w:rFonts w:hint="eastAsia" w:ascii="仿宋_GB2312" w:hAnsi="仿宋_GB2312" w:eastAsia="仿宋_GB2312" w:cs="仿宋_GB2312"/>
          <w:sz w:val="32"/>
          <w:szCs w:val="32"/>
        </w:rPr>
        <w:t>老年人福利、残疾人福利、儿童福利、社会公益四个</w:t>
      </w:r>
      <w:r>
        <w:rPr>
          <w:rFonts w:hint="eastAsia" w:ascii="仿宋_GB2312" w:hAnsi="仿宋_GB2312" w:eastAsia="仿宋_GB2312" w:cs="仿宋_GB2312"/>
          <w:sz w:val="32"/>
          <w:szCs w:val="32"/>
          <w:lang w:val="zh-CN"/>
        </w:rPr>
        <w:t>方面。对于符合《政府采购法》规定条件的按照政府采购有关规定购置。此项目经县财政局审核，由县民政局负责此项目的招投标和使用，县财政安排中央、省州级财政专项彩票公益金</w:t>
      </w:r>
      <w:r>
        <w:rPr>
          <w:rFonts w:hint="eastAsia" w:ascii="仿宋_GB2312" w:hAnsi="仿宋_GB2312" w:eastAsia="仿宋_GB2312" w:cs="仿宋_GB2312"/>
          <w:sz w:val="32"/>
          <w:szCs w:val="32"/>
        </w:rPr>
        <w:t>183.35</w:t>
      </w:r>
      <w:r>
        <w:rPr>
          <w:rFonts w:hint="eastAsia" w:ascii="仿宋_GB2312" w:hAnsi="仿宋_GB2312" w:eastAsia="仿宋_GB2312" w:cs="仿宋_GB2312"/>
          <w:sz w:val="32"/>
          <w:szCs w:val="32"/>
          <w:lang w:val="zh-CN"/>
        </w:rPr>
        <w:t>万元。</w:t>
      </w:r>
    </w:p>
    <w:p>
      <w:pPr>
        <w:numPr>
          <w:ilvl w:val="0"/>
          <w:numId w:val="12"/>
        </w:numPr>
        <w:adjustRightInd w:val="0"/>
        <w:snapToGrid w:val="0"/>
        <w:spacing w:beforeLines="0" w:afterLines="0" w:line="560" w:lineRule="exact"/>
        <w:ind w:firstLine="642" w:firstLineChars="200"/>
        <w:rPr>
          <w:rFonts w:hint="eastAsia" w:ascii="楷体_GB2312" w:hAnsi="宋体" w:eastAsia="楷体_GB2312"/>
          <w:b/>
          <w:sz w:val="32"/>
          <w:szCs w:val="24"/>
          <w:lang w:val="zh-CN"/>
        </w:rPr>
      </w:pPr>
      <w:r>
        <w:rPr>
          <w:rFonts w:hint="eastAsia" w:ascii="楷体_GB2312" w:hAnsi="宋体" w:eastAsia="楷体_GB2312"/>
          <w:b/>
          <w:sz w:val="32"/>
          <w:szCs w:val="24"/>
          <w:lang w:val="zh-CN"/>
        </w:rPr>
        <w:t>项目绩效目标</w:t>
      </w:r>
    </w:p>
    <w:p>
      <w:pPr>
        <w:numPr>
          <w:ilvl w:val="0"/>
          <w:numId w:val="0"/>
        </w:numPr>
        <w:adjustRightInd w:val="0"/>
        <w:snapToGrid w:val="0"/>
        <w:spacing w:beforeLines="0" w:afterLines="0" w:line="560" w:lineRule="exact"/>
        <w:ind w:firstLine="640" w:firstLineChars="200"/>
        <w:rPr>
          <w:rFonts w:hint="eastAsia"/>
          <w:sz w:val="32"/>
          <w:szCs w:val="24"/>
        </w:rPr>
      </w:pPr>
      <w:r>
        <w:rPr>
          <w:rFonts w:hint="eastAsia" w:ascii="仿宋_GB2312" w:hAnsi="仿宋_GB2312" w:eastAsia="仿宋_GB2312" w:cs="仿宋_GB2312"/>
          <w:sz w:val="32"/>
          <w:szCs w:val="32"/>
        </w:rPr>
        <w:t>1、通过福彩圆梦.孤儿助学工程，资助了我县年满18周岁就读于普通全日制本科、专科、中等职业院校的孤儿完成学业。我县有8名孤儿就读于中职以上院校，福彩助学金切实解决了就读问题，在学校生活上有了很大的改变。这充分体现了党和政府对特殊儿童的关心关爱。</w:t>
      </w:r>
    </w:p>
    <w:p>
      <w:pPr>
        <w:spacing w:beforeLines="0" w:afterLines="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2、居家养老项目的主要内容是通过政府购买社会化服务为老年人提供生活照料、家政服务、安全看护、医疗保健、精神慰藉、文化娱乐等为主要内容的社会化服务，使老人更幸福，社会更加和谐</w:t>
      </w:r>
      <w:r>
        <w:rPr>
          <w:rFonts w:hint="eastAsia" w:ascii="仿宋_GB2312" w:hAnsi="仿宋_GB2312" w:eastAsia="仿宋_GB2312" w:cs="仿宋_GB2312"/>
          <w:color w:val="000000"/>
          <w:sz w:val="32"/>
          <w:szCs w:val="32"/>
          <w:shd w:val="clear" w:color="auto" w:fill="FFFFFF"/>
        </w:rPr>
        <w:t>。</w:t>
      </w:r>
    </w:p>
    <w:p>
      <w:pPr>
        <w:spacing w:beforeLines="0" w:afterLines="0" w:line="540" w:lineRule="exac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切实解决老年人养老服务需求，带动和提升我县居家养老服务工作水平，牢固构建我县养老服务体系建设网络，更好</w:t>
      </w:r>
      <w:r>
        <w:rPr>
          <w:rFonts w:hint="eastAsia" w:ascii="仿宋_GB2312" w:hAnsi="仿宋_GB2312" w:eastAsia="仿宋_GB2312" w:cs="仿宋_GB2312"/>
          <w:color w:val="000000"/>
          <w:sz w:val="32"/>
          <w:szCs w:val="32"/>
          <w:shd w:val="clear" w:color="auto" w:fill="FFFFFF"/>
          <w:lang w:eastAsia="zh-CN"/>
        </w:rPr>
        <w:t>地</w:t>
      </w:r>
      <w:r>
        <w:rPr>
          <w:rFonts w:hint="eastAsia" w:ascii="仿宋_GB2312" w:hAnsi="仿宋_GB2312" w:eastAsia="仿宋_GB2312" w:cs="仿宋_GB2312"/>
          <w:color w:val="000000"/>
          <w:sz w:val="32"/>
          <w:szCs w:val="32"/>
          <w:shd w:val="clear" w:color="auto" w:fill="FFFFFF"/>
        </w:rPr>
        <w:t>为老年人群提供优质的养老服务，稳定社会发展。</w:t>
      </w:r>
    </w:p>
    <w:p>
      <w:pPr>
        <w:pStyle w:val="13"/>
        <w:numPr>
          <w:ilvl w:val="0"/>
          <w:numId w:val="0"/>
        </w:numPr>
        <w:spacing w:beforeLines="0" w:afterLines="0" w:line="54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eastAsia="仿宋_GB2312" w:cs="仿宋_GB2312"/>
          <w:sz w:val="32"/>
          <w:szCs w:val="32"/>
        </w:rPr>
        <w:t>3、凤仪镇儿童之家的建成为儿童及其家庭提供游戏、娱乐、教育</w:t>
      </w:r>
      <w:r>
        <w:rPr>
          <w:rFonts w:hint="eastAsia" w:ascii="仿宋_GB2312" w:hAnsi="仿宋_GB2312" w:eastAsia="仿宋_GB2312" w:cs="仿宋_GB2312"/>
          <w:color w:val="000000"/>
          <w:sz w:val="32"/>
          <w:szCs w:val="32"/>
          <w:shd w:val="clear" w:color="auto" w:fill="FFFFFF"/>
        </w:rPr>
        <w:t>、卫生、社会心理支持和中介等服务的“儿童之家”，提高了为儿童服务水平和城区家庭教育工作水平，贯彻落实了科学发展观，为儿童健康成长创造更加有利的社会环境。</w:t>
      </w:r>
    </w:p>
    <w:p>
      <w:pPr>
        <w:pStyle w:val="13"/>
        <w:numPr>
          <w:ilvl w:val="0"/>
          <w:numId w:val="0"/>
        </w:numPr>
        <w:spacing w:beforeLines="0" w:afterLines="0" w:line="540" w:lineRule="exact"/>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eastAsia="仿宋_GB2312" w:cs="仿宋_GB2312"/>
          <w:sz w:val="32"/>
          <w:szCs w:val="32"/>
        </w:rPr>
        <w:t>4、茂县凤仪镇宗渠村公益性墓地提升改造项目的建成，在一定程度上规范了农村墓地的乱建，提升了丧葬公共服务能力和水平，推进移风易俗工作，促进了丧葬改革，推进社会主义精神文明建设。</w:t>
      </w:r>
    </w:p>
    <w:p>
      <w:pPr>
        <w:numPr>
          <w:ilvl w:val="0"/>
          <w:numId w:val="12"/>
        </w:numPr>
        <w:adjustRightInd w:val="0"/>
        <w:snapToGrid w:val="0"/>
        <w:spacing w:beforeLines="0" w:afterLines="0" w:line="560" w:lineRule="exact"/>
        <w:ind w:firstLine="642" w:firstLineChars="200"/>
        <w:rPr>
          <w:rFonts w:hint="eastAsia" w:ascii="仿宋_GB2312" w:hAnsi="仿宋_GB2312" w:eastAsia="仿宋_GB2312" w:cs="仿宋_GB2312"/>
          <w:b/>
          <w:sz w:val="32"/>
          <w:szCs w:val="32"/>
          <w:lang w:val="zh-CN"/>
        </w:rPr>
      </w:pPr>
      <w:r>
        <w:rPr>
          <w:rFonts w:hint="eastAsia" w:ascii="楷体_GB2312" w:hAnsi="楷体_GB2312" w:eastAsia="楷体_GB2312" w:cs="楷体_GB2312"/>
          <w:b/>
          <w:sz w:val="32"/>
          <w:szCs w:val="32"/>
          <w:lang w:val="zh-CN"/>
        </w:rPr>
        <w:t>项目资金申报相符性</w:t>
      </w:r>
    </w:p>
    <w:p>
      <w:pPr>
        <w:numPr>
          <w:ilvl w:val="0"/>
          <w:numId w:val="0"/>
        </w:numPr>
        <w:adjustRightInd w:val="0"/>
        <w:snapToGrid w:val="0"/>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福利彩票公益金项目</w:t>
      </w:r>
      <w:r>
        <w:rPr>
          <w:rFonts w:hint="eastAsia" w:ascii="仿宋_GB2312" w:hAnsi="仿宋_GB2312" w:eastAsia="仿宋_GB2312" w:cs="仿宋_GB2312"/>
          <w:sz w:val="32"/>
          <w:szCs w:val="32"/>
          <w:lang w:val="zh-CN"/>
        </w:rPr>
        <w:t>申报内容与具体实施内容相符、申报目标合理可行。</w:t>
      </w:r>
    </w:p>
    <w:p>
      <w:pPr>
        <w:adjustRightInd w:val="0"/>
        <w:snapToGrid w:val="0"/>
        <w:spacing w:beforeLines="0" w:afterLines="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beforeLines="0" w:afterLines="0" w:line="560" w:lineRule="exact"/>
        <w:ind w:firstLine="642" w:firstLineChars="20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（一）资金计划、到位及使用情况</w:t>
      </w:r>
    </w:p>
    <w:p>
      <w:pPr>
        <w:adjustRightInd w:val="0"/>
        <w:snapToGrid w:val="0"/>
        <w:spacing w:beforeLines="0" w:afterLines="0"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zh-CN"/>
        </w:rPr>
        <w:t>1、资金计划及到位</w:t>
      </w:r>
    </w:p>
    <w:p>
      <w:pPr>
        <w:numPr>
          <w:ilvl w:val="0"/>
          <w:numId w:val="0"/>
        </w:numPr>
        <w:adjustRightInd w:val="0"/>
        <w:snapToGrid w:val="0"/>
        <w:spacing w:beforeLines="0" w:afterLines="0" w:line="600" w:lineRule="exact"/>
        <w:ind w:firstLine="640" w:firstLineChars="20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根据阿州财社</w:t>
      </w:r>
      <w:r>
        <w:rPr>
          <w:rFonts w:hint="eastAsia" w:ascii="仿宋" w:hAnsi="仿宋" w:eastAsia="仿宋"/>
          <w:sz w:val="32"/>
          <w:szCs w:val="24"/>
        </w:rPr>
        <w:t>﹝</w:t>
      </w:r>
      <w:r>
        <w:rPr>
          <w:rFonts w:hint="eastAsia" w:ascii="仿宋_GB2312" w:hAnsi="仿宋_GB2312" w:eastAsia="仿宋_GB2312" w:cs="仿宋_GB2312"/>
          <w:sz w:val="32"/>
          <w:szCs w:val="24"/>
        </w:rPr>
        <w:t>2021</w:t>
      </w:r>
      <w:r>
        <w:rPr>
          <w:rFonts w:hint="eastAsia" w:ascii="仿宋" w:hAnsi="仿宋" w:eastAsia="仿宋"/>
          <w:sz w:val="32"/>
          <w:szCs w:val="24"/>
        </w:rPr>
        <w:t>﹞</w:t>
      </w:r>
      <w:r>
        <w:rPr>
          <w:rFonts w:hint="eastAsia" w:ascii="仿宋_GB2312" w:hAnsi="仿宋_GB2312" w:eastAsia="仿宋_GB2312" w:cs="仿宋_GB2312"/>
          <w:color w:val="000000"/>
          <w:kern w:val="0"/>
          <w:sz w:val="32"/>
          <w:szCs w:val="32"/>
        </w:rPr>
        <w:t>33、90、36</w:t>
      </w:r>
      <w:r>
        <w:rPr>
          <w:rFonts w:hint="eastAsia" w:ascii="仿宋_GB2312" w:hAnsi="仿宋_GB2312" w:eastAsia="仿宋_GB2312" w:cs="仿宋_GB2312"/>
          <w:color w:val="000000"/>
          <w:kern w:val="0"/>
          <w:sz w:val="32"/>
          <w:szCs w:val="32"/>
          <w:lang w:val="zh-CN"/>
        </w:rPr>
        <w:t>号、阿州财综</w:t>
      </w:r>
      <w:r>
        <w:rPr>
          <w:rFonts w:hint="eastAsia" w:ascii="仿宋" w:hAnsi="仿宋" w:eastAsia="仿宋"/>
          <w:sz w:val="32"/>
          <w:szCs w:val="24"/>
        </w:rPr>
        <w:t>﹝</w:t>
      </w:r>
      <w:r>
        <w:rPr>
          <w:rFonts w:hint="eastAsia" w:ascii="仿宋_GB2312" w:hAnsi="仿宋_GB2312" w:eastAsia="仿宋_GB2312" w:cs="仿宋_GB2312"/>
          <w:sz w:val="32"/>
          <w:szCs w:val="24"/>
        </w:rPr>
        <w:t>2021</w:t>
      </w:r>
      <w:r>
        <w:rPr>
          <w:rFonts w:hint="eastAsia" w:ascii="仿宋" w:hAnsi="仿宋" w:eastAsia="仿宋"/>
          <w:sz w:val="32"/>
          <w:szCs w:val="24"/>
        </w:rPr>
        <w:t>﹞</w:t>
      </w:r>
      <w:r>
        <w:rPr>
          <w:rFonts w:hint="eastAsia" w:ascii="仿宋_GB2312" w:hAnsi="仿宋_GB2312" w:eastAsia="仿宋_GB2312" w:cs="仿宋_GB2312"/>
          <w:color w:val="000000"/>
          <w:kern w:val="0"/>
          <w:sz w:val="32"/>
          <w:szCs w:val="32"/>
        </w:rPr>
        <w:t>7、16号文件</w:t>
      </w:r>
      <w:r>
        <w:rPr>
          <w:rFonts w:hint="eastAsia" w:ascii="仿宋_GB2312" w:hAnsi="仿宋_GB2312" w:eastAsia="仿宋_GB2312" w:cs="仿宋_GB2312"/>
          <w:color w:val="000000"/>
          <w:kern w:val="0"/>
          <w:sz w:val="32"/>
          <w:szCs w:val="32"/>
          <w:lang w:val="zh-CN"/>
        </w:rPr>
        <w:t>，</w:t>
      </w:r>
      <w:r>
        <w:rPr>
          <w:rFonts w:hint="eastAsia" w:ascii="仿宋_GB2312" w:hAnsi="宋体" w:eastAsia="仿宋_GB2312"/>
          <w:sz w:val="32"/>
          <w:szCs w:val="24"/>
        </w:rPr>
        <w:t>2021年度财政预算安排我县福利彩票公益金183.35万元，</w:t>
      </w:r>
      <w:r>
        <w:rPr>
          <w:rFonts w:hint="eastAsia" w:ascii="仿宋_GB2312" w:hAnsi="宋体" w:eastAsia="仿宋_GB2312"/>
          <w:sz w:val="32"/>
          <w:szCs w:val="24"/>
          <w:lang w:val="zh-CN"/>
        </w:rPr>
        <w:t>其中：中央资金</w:t>
      </w:r>
      <w:r>
        <w:rPr>
          <w:rFonts w:hint="eastAsia" w:ascii="仿宋_GB2312" w:hAnsi="宋体" w:eastAsia="仿宋_GB2312"/>
          <w:sz w:val="32"/>
          <w:szCs w:val="24"/>
        </w:rPr>
        <w:t>126</w:t>
      </w:r>
      <w:r>
        <w:rPr>
          <w:rFonts w:hint="eastAsia" w:ascii="仿宋_GB2312" w:hAnsi="宋体" w:eastAsia="仿宋_GB2312"/>
          <w:sz w:val="32"/>
          <w:szCs w:val="24"/>
          <w:lang w:val="zh-CN"/>
        </w:rPr>
        <w:t>万元、省级资金</w:t>
      </w:r>
      <w:r>
        <w:rPr>
          <w:rFonts w:hint="eastAsia" w:ascii="仿宋_GB2312" w:hAnsi="宋体" w:eastAsia="仿宋_GB2312"/>
          <w:sz w:val="32"/>
          <w:szCs w:val="24"/>
        </w:rPr>
        <w:t>5.35万元、州级资金52万元。</w:t>
      </w:r>
      <w:r>
        <w:rPr>
          <w:rFonts w:hint="eastAsia" w:ascii="仿宋_GB2312" w:hAnsi="仿宋_GB2312" w:eastAsia="仿宋_GB2312" w:cs="仿宋_GB2312"/>
          <w:color w:val="auto"/>
          <w:sz w:val="32"/>
          <w:szCs w:val="32"/>
        </w:rPr>
        <w:t>到位资金183.35万元</w:t>
      </w:r>
      <w:r>
        <w:rPr>
          <w:rFonts w:hint="eastAsia" w:ascii="仿宋_GB2312" w:hAnsi="宋体" w:eastAsia="仿宋_GB2312"/>
          <w:sz w:val="32"/>
          <w:szCs w:val="24"/>
        </w:rPr>
        <w:t>。</w:t>
      </w:r>
      <w:r>
        <w:rPr>
          <w:rFonts w:hint="eastAsia" w:ascii="仿宋_GB2312" w:hAnsi="宋体" w:eastAsia="仿宋_GB2312"/>
          <w:sz w:val="32"/>
          <w:szCs w:val="24"/>
          <w:lang w:val="zh-CN"/>
        </w:rPr>
        <w:t>实际拨付资金与预算相符，项目资金全部及时到位，到位率</w:t>
      </w:r>
      <w:r>
        <w:rPr>
          <w:rFonts w:hint="eastAsia" w:ascii="仿宋_GB2312" w:hAnsi="宋体" w:eastAsia="仿宋_GB2312"/>
          <w:sz w:val="32"/>
          <w:szCs w:val="24"/>
        </w:rPr>
        <w:t>100%</w:t>
      </w:r>
      <w:r>
        <w:rPr>
          <w:rFonts w:hint="eastAsia" w:ascii="仿宋_GB2312" w:hAnsi="宋体" w:eastAsia="仿宋_GB2312"/>
          <w:sz w:val="32"/>
          <w:szCs w:val="24"/>
          <w:lang w:val="zh-CN"/>
        </w:rPr>
        <w:t>。</w:t>
      </w:r>
    </w:p>
    <w:p>
      <w:pPr>
        <w:numPr>
          <w:ilvl w:val="0"/>
          <w:numId w:val="0"/>
        </w:numPr>
        <w:spacing w:beforeLines="0" w:afterLines="0" w:line="59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 xml:space="preserve"> </w:t>
      </w:r>
    </w:p>
    <w:p>
      <w:pPr>
        <w:numPr>
          <w:ilvl w:val="0"/>
          <w:numId w:val="0"/>
        </w:numPr>
        <w:spacing w:beforeLines="0" w:afterLines="0"/>
        <w:ind w:firstLine="640" w:firstLineChars="200"/>
        <w:outlineLvl w:val="0"/>
        <w:rPr>
          <w:rFonts w:hint="eastAsia" w:ascii="仿宋_GB2312" w:eastAsia="仿宋_GB2312"/>
          <w:sz w:val="32"/>
          <w:szCs w:val="24"/>
        </w:rPr>
      </w:pPr>
      <w:r>
        <w:rPr>
          <w:rFonts w:hint="eastAsia" w:ascii="仿宋_GB2312" w:eastAsia="仿宋_GB2312"/>
          <w:sz w:val="32"/>
          <w:szCs w:val="24"/>
        </w:rPr>
        <w:t>（1）居家养老专项补助省级资金5.35万元，已全部支出，支出率100%。</w:t>
      </w:r>
    </w:p>
    <w:p>
      <w:pPr>
        <w:numPr>
          <w:ilvl w:val="0"/>
          <w:numId w:val="0"/>
        </w:numPr>
        <w:spacing w:beforeLines="0" w:afterLines="0"/>
        <w:ind w:firstLine="640" w:firstLineChars="200"/>
        <w:outlineLvl w:val="0"/>
        <w:rPr>
          <w:rFonts w:hint="eastAsia" w:ascii="仿宋_GB2312" w:eastAsia="仿宋_GB2312"/>
          <w:sz w:val="32"/>
          <w:szCs w:val="24"/>
        </w:rPr>
      </w:pPr>
      <w:r>
        <w:rPr>
          <w:rFonts w:hint="eastAsia" w:ascii="仿宋_GB2312" w:eastAsia="仿宋_GB2312"/>
          <w:sz w:val="32"/>
          <w:szCs w:val="24"/>
        </w:rPr>
        <w:t>（2）茂县公益性墓地提升改造州级资金50万元，截</w:t>
      </w:r>
      <w:r>
        <w:rPr>
          <w:rFonts w:hint="eastAsia" w:ascii="仿宋_GB2312" w:eastAsia="仿宋_GB2312"/>
          <w:sz w:val="32"/>
          <w:szCs w:val="24"/>
          <w:lang w:eastAsia="zh-CN"/>
        </w:rPr>
        <w:t>至</w:t>
      </w:r>
      <w:r>
        <w:rPr>
          <w:rFonts w:hint="eastAsia" w:ascii="仿宋_GB2312" w:eastAsia="仿宋_GB2312"/>
          <w:sz w:val="32"/>
          <w:szCs w:val="24"/>
        </w:rPr>
        <w:t>目前已支付46.69万元，支出率93%，剩余资金待质保期满后支付。</w:t>
      </w:r>
    </w:p>
    <w:p>
      <w:pPr>
        <w:numPr>
          <w:ilvl w:val="0"/>
          <w:numId w:val="0"/>
        </w:numPr>
        <w:adjustRightInd w:val="0"/>
        <w:snapToGrid w:val="0"/>
        <w:spacing w:beforeLines="0" w:afterLines="0" w:line="560" w:lineRule="exact"/>
        <w:ind w:firstLine="640" w:firstLineChars="200"/>
        <w:rPr>
          <w:rFonts w:hint="eastAsia" w:ascii="宋体" w:hAnsi="宋体" w:eastAsia="仿宋_GB2312"/>
          <w:sz w:val="32"/>
          <w:szCs w:val="24"/>
        </w:rPr>
      </w:pPr>
      <w:r>
        <w:rPr>
          <w:rFonts w:hint="eastAsia" w:ascii="仿宋_GB2312" w:eastAsia="仿宋_GB2312"/>
          <w:sz w:val="32"/>
          <w:szCs w:val="24"/>
        </w:rPr>
        <w:t>（3）茂县凤仪镇宗渠村农村公益性墓地中央资金120万元，因资金到达时间较晚，</w:t>
      </w:r>
      <w:r>
        <w:rPr>
          <w:rFonts w:hint="eastAsia" w:ascii="仿宋_GB2312" w:hAnsi="仿宋_GB2312" w:eastAsia="仿宋_GB2312" w:cs="仿宋_GB2312"/>
          <w:sz w:val="32"/>
          <w:szCs w:val="32"/>
        </w:rPr>
        <w:t>我局于2022年年初进行了前期工作，制定了实施方案等，该项目于2022年开始实施。</w:t>
      </w:r>
    </w:p>
    <w:p>
      <w:pPr>
        <w:numPr>
          <w:ilvl w:val="0"/>
          <w:numId w:val="0"/>
        </w:numPr>
        <w:spacing w:beforeLines="0" w:afterLines="0"/>
        <w:ind w:firstLine="640" w:firstLineChars="200"/>
        <w:outlineLvl w:val="0"/>
        <w:rPr>
          <w:rFonts w:hint="eastAsia" w:ascii="宋体" w:hAnsi="宋体" w:eastAsia="仿宋_GB2312"/>
          <w:sz w:val="32"/>
          <w:szCs w:val="24"/>
        </w:rPr>
      </w:pPr>
      <w:r>
        <w:rPr>
          <w:rFonts w:hint="eastAsia" w:ascii="仿宋_GB2312" w:eastAsia="仿宋_GB2312"/>
          <w:sz w:val="32"/>
          <w:szCs w:val="24"/>
        </w:rPr>
        <w:t>（4）福彩圆梦孤儿助学工程款6万元，已全部支出，支出率100%。</w:t>
      </w:r>
    </w:p>
    <w:p>
      <w:pPr>
        <w:numPr>
          <w:ilvl w:val="0"/>
          <w:numId w:val="0"/>
        </w:numPr>
        <w:spacing w:beforeLines="0" w:afterLines="0"/>
        <w:ind w:firstLine="640" w:firstLineChars="200"/>
        <w:outlineLvl w:val="0"/>
        <w:rPr>
          <w:rFonts w:hint="eastAsia" w:ascii="仿宋_GB2312" w:eastAsia="仿宋_GB2312"/>
          <w:sz w:val="32"/>
          <w:szCs w:val="24"/>
        </w:rPr>
      </w:pPr>
      <w:r>
        <w:rPr>
          <w:rFonts w:hint="eastAsia" w:ascii="仿宋_GB2312" w:eastAsia="仿宋_GB2312"/>
          <w:sz w:val="32"/>
          <w:szCs w:val="24"/>
        </w:rPr>
        <w:t>（5）儿童之家购买服务州级补助资金2万元，已全部支出，支出率100%。</w:t>
      </w:r>
    </w:p>
    <w:p>
      <w:pPr>
        <w:adjustRightInd w:val="0"/>
        <w:snapToGrid w:val="0"/>
        <w:spacing w:beforeLines="0" w:afterLines="0" w:line="560" w:lineRule="exact"/>
        <w:ind w:firstLine="642" w:firstLineChars="20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pPr>
        <w:adjustRightInd w:val="0"/>
        <w:snapToGrid w:val="0"/>
        <w:spacing w:beforeLines="0" w:afterLines="0"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项目资金按照“公开、公平、公正”原则实施管理、专款专用、</w:t>
      </w:r>
      <w:r>
        <w:rPr>
          <w:rFonts w:hint="eastAsia" w:ascii="仿宋_GB2312" w:hAnsi="仿宋_GB2312" w:eastAsia="仿宋_GB2312" w:cs="仿宋_GB2312"/>
          <w:sz w:val="32"/>
          <w:szCs w:val="32"/>
        </w:rPr>
        <w:t xml:space="preserve">无贪污、挤占、挪用、套取、克扣、多头申报、冒领、私分、擅自扩大或缩小资金使用范围、改变补助标准等行为，各专项资金按规定报帐制，严格会计核算管理、真实规范。 </w:t>
      </w:r>
    </w:p>
    <w:p>
      <w:pPr>
        <w:adjustRightInd w:val="0"/>
        <w:snapToGrid w:val="0"/>
        <w:spacing w:beforeLines="0" w:afterLines="0" w:line="56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（三）项目组织实施情况</w:t>
      </w:r>
    </w:p>
    <w:p>
      <w:pPr>
        <w:adjustRightInd w:val="0"/>
        <w:snapToGrid w:val="0"/>
        <w:spacing w:beforeLines="0" w:afterLines="0"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1、居家养老项目，采取政府向社会购买服务的方式，签订协议，资金的支付严格按照协议的内容执行。</w:t>
      </w:r>
    </w:p>
    <w:p>
      <w:pPr>
        <w:adjustRightInd w:val="0"/>
        <w:snapToGrid w:val="0"/>
        <w:spacing w:beforeLines="0" w:afterLines="0"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2、公益性墓地提升改造项目，通过采取竞争性谈判的方式进行政府采购。资金的支付严格按照协议的内容执行。</w:t>
      </w:r>
    </w:p>
    <w:p>
      <w:pPr>
        <w:pStyle w:val="13"/>
        <w:spacing w:beforeLines="0" w:afterLines="0"/>
        <w:rPr>
          <w:rFonts w:hint="eastAsia" w:ascii="仿宋_GB2312" w:eastAsia="仿宋_GB2312"/>
          <w:sz w:val="32"/>
          <w:szCs w:val="24"/>
        </w:rPr>
      </w:pPr>
      <w:r>
        <w:rPr>
          <w:rFonts w:hint="eastAsia" w:ascii="仿宋_GB2312" w:hAnsi="仿宋_GB2312" w:eastAsia="仿宋_GB2312" w:cs="仿宋_GB2312"/>
          <w:sz w:val="32"/>
          <w:szCs w:val="32"/>
        </w:rPr>
        <w:t>3、</w:t>
      </w:r>
      <w:r>
        <w:rPr>
          <w:rFonts w:hint="eastAsia" w:ascii="仿宋_GB2312" w:eastAsia="仿宋_GB2312"/>
          <w:sz w:val="32"/>
          <w:szCs w:val="24"/>
        </w:rPr>
        <w:t>福彩圆梦孤儿助学工程款通过社会化方式统一发放。</w:t>
      </w:r>
    </w:p>
    <w:p>
      <w:pPr>
        <w:spacing w:beforeLines="0" w:afterLines="0"/>
        <w:ind w:firstLine="640" w:firstLineChars="200"/>
        <w:rPr>
          <w:rFonts w:hint="eastAsia"/>
          <w:sz w:val="32"/>
          <w:szCs w:val="24"/>
        </w:rPr>
      </w:pPr>
      <w:r>
        <w:rPr>
          <w:rFonts w:hint="eastAsia" w:ascii="仿宋_GB2312" w:eastAsia="仿宋_GB2312"/>
          <w:sz w:val="32"/>
          <w:szCs w:val="24"/>
        </w:rPr>
        <w:t>4、儿童之家购买服务</w:t>
      </w:r>
      <w:r>
        <w:rPr>
          <w:rFonts w:hint="eastAsia" w:ascii="仿宋_GB2312" w:hAnsi="仿宋_GB2312" w:eastAsia="仿宋_GB2312" w:cs="仿宋_GB2312"/>
          <w:sz w:val="32"/>
          <w:szCs w:val="32"/>
        </w:rPr>
        <w:t>通过采取竞争性谈判的方式进行政府采购。资金的支付严格按照协议的内容执行。</w:t>
      </w:r>
    </w:p>
    <w:p>
      <w:pPr>
        <w:adjustRightInd w:val="0"/>
        <w:snapToGrid w:val="0"/>
        <w:spacing w:beforeLines="0" w:afterLines="0"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三、项目绩效情况</w:t>
      </w:r>
    </w:p>
    <w:p>
      <w:pPr>
        <w:adjustRightInd w:val="0"/>
        <w:snapToGrid w:val="0"/>
        <w:spacing w:beforeLines="0" w:afterLines="0" w:line="56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（一）项目完成情况</w:t>
      </w:r>
    </w:p>
    <w:p>
      <w:pPr>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居家养老、儿童之家、</w:t>
      </w:r>
      <w:r>
        <w:rPr>
          <w:rFonts w:hint="eastAsia" w:ascii="仿宋_GB2312" w:eastAsia="仿宋_GB2312"/>
          <w:sz w:val="32"/>
          <w:szCs w:val="24"/>
        </w:rPr>
        <w:t>福彩圆梦孤儿助学金</w:t>
      </w:r>
      <w:r>
        <w:rPr>
          <w:rFonts w:hint="eastAsia" w:ascii="仿宋_GB2312" w:hAnsi="仿宋_GB2312" w:eastAsia="仿宋_GB2312" w:cs="仿宋_GB2312"/>
          <w:sz w:val="32"/>
          <w:szCs w:val="32"/>
        </w:rPr>
        <w:t>项目完成率100%。茂县凤仪镇宗渠村公益性墓地</w:t>
      </w:r>
      <w:r>
        <w:rPr>
          <w:rFonts w:hint="eastAsia" w:ascii="仿宋_GB2312" w:eastAsia="仿宋_GB2312"/>
          <w:sz w:val="32"/>
          <w:szCs w:val="24"/>
        </w:rPr>
        <w:t>公益性墓地提升改造</w:t>
      </w:r>
      <w:r>
        <w:rPr>
          <w:rFonts w:hint="eastAsia" w:ascii="仿宋_GB2312" w:hAnsi="仿宋_GB2312" w:eastAsia="仿宋_GB2312" w:cs="仿宋_GB2312"/>
          <w:sz w:val="32"/>
          <w:szCs w:val="32"/>
        </w:rPr>
        <w:t>项目已完成93%，</w:t>
      </w:r>
      <w:r>
        <w:rPr>
          <w:rFonts w:hint="eastAsia" w:ascii="仿宋_GB2312" w:eastAsia="仿宋_GB2312"/>
          <w:sz w:val="32"/>
          <w:szCs w:val="24"/>
        </w:rPr>
        <w:t>茂县凤仪镇宗渠村农村公益性墓地</w:t>
      </w:r>
      <w:r>
        <w:rPr>
          <w:rFonts w:hint="eastAsia" w:ascii="仿宋_GB2312" w:hAnsi="仿宋_GB2312" w:eastAsia="仿宋_GB2312" w:cs="仿宋_GB2312"/>
          <w:sz w:val="32"/>
          <w:szCs w:val="32"/>
        </w:rPr>
        <w:t>正在实施阶段，未完工。</w:t>
      </w:r>
    </w:p>
    <w:p>
      <w:pPr>
        <w:spacing w:beforeLines="0" w:afterLines="0" w:line="560" w:lineRule="exact"/>
        <w:ind w:firstLine="640" w:firstLineChars="200"/>
        <w:rPr>
          <w:rFonts w:hint="eastAsia" w:ascii="楷体_GB2312" w:hAnsi="楷体_GB2312" w:eastAsia="楷体_GB2312" w:cs="楷体_GB2312"/>
          <w:b/>
          <w:sz w:val="32"/>
          <w:szCs w:val="32"/>
          <w:lang w:val="zh-CN"/>
        </w:rPr>
      </w:pPr>
      <w:r>
        <w:rPr>
          <w:rFonts w:hint="eastAsia" w:ascii="仿宋_GB2312" w:hAnsi="仿宋_GB2312" w:eastAsia="仿宋_GB2312" w:cs="仿宋_GB2312"/>
          <w:sz w:val="32"/>
          <w:szCs w:val="32"/>
        </w:rPr>
        <w:t>居家养老、儿童之家、</w:t>
      </w:r>
      <w:r>
        <w:rPr>
          <w:rFonts w:hint="eastAsia" w:ascii="仿宋_GB2312" w:eastAsia="仿宋_GB2312"/>
          <w:sz w:val="32"/>
          <w:szCs w:val="24"/>
        </w:rPr>
        <w:t>福彩圆梦孤儿助学金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zh-CN"/>
        </w:rPr>
        <w:t>达到质量目标，</w:t>
      </w:r>
      <w:r>
        <w:rPr>
          <w:rFonts w:hint="eastAsia" w:ascii="仿宋_GB2312" w:hAnsi="仿宋_GB2312" w:eastAsia="仿宋_GB2312" w:cs="仿宋_GB2312"/>
          <w:sz w:val="32"/>
          <w:szCs w:val="32"/>
        </w:rPr>
        <w:t>各项指标达标</w:t>
      </w:r>
      <w:r>
        <w:rPr>
          <w:rFonts w:hint="eastAsia" w:ascii="仿宋_GB2312" w:hAnsi="仿宋_GB2312" w:eastAsia="仿宋_GB2312" w:cs="仿宋_GB2312"/>
          <w:sz w:val="32"/>
          <w:szCs w:val="32"/>
          <w:lang w:val="zh-CN"/>
        </w:rPr>
        <w:t>率100%。</w:t>
      </w:r>
      <w:r>
        <w:rPr>
          <w:rFonts w:hint="eastAsia" w:ascii="仿宋_GB2312" w:hAnsi="仿宋_GB2312" w:eastAsia="仿宋_GB2312" w:cs="仿宋_GB2312"/>
          <w:sz w:val="32"/>
          <w:szCs w:val="32"/>
        </w:rPr>
        <w:t>茂县凤仪镇宗渠村公益性墓地项目正在实施阶段。</w:t>
      </w:r>
    </w:p>
    <w:p>
      <w:pPr>
        <w:spacing w:beforeLines="0" w:afterLines="0"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居家养老、儿童之家、</w:t>
      </w:r>
      <w:r>
        <w:rPr>
          <w:rFonts w:hint="eastAsia" w:ascii="仿宋_GB2312" w:eastAsia="仿宋_GB2312"/>
          <w:sz w:val="32"/>
          <w:szCs w:val="24"/>
        </w:rPr>
        <w:t>福彩圆梦孤儿助学金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zh-CN"/>
        </w:rPr>
        <w:t>按期完成，达到</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茂县凤仪镇宗渠村公益性墓地项目正在实施阶段。</w:t>
      </w:r>
    </w:p>
    <w:p>
      <w:pPr>
        <w:adjustRightInd w:val="0"/>
        <w:snapToGrid w:val="0"/>
        <w:spacing w:beforeLines="0" w:afterLines="0" w:line="560" w:lineRule="exact"/>
        <w:ind w:firstLine="72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（二）项目效益情况</w:t>
      </w:r>
    </w:p>
    <w:p>
      <w:pPr>
        <w:pBdr>
          <w:bottom w:val="single" w:color="FFFFFF" w:sz="4" w:space="13"/>
        </w:pBdr>
        <w:spacing w:beforeLines="0" w:afterLines="0" w:line="59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儿童之家、</w:t>
      </w:r>
      <w:r>
        <w:rPr>
          <w:rFonts w:hint="eastAsia" w:ascii="仿宋_GB2312" w:eastAsia="仿宋_GB2312"/>
          <w:sz w:val="32"/>
          <w:szCs w:val="24"/>
        </w:rPr>
        <w:t>福彩圆梦孤儿助学金</w:t>
      </w:r>
      <w:r>
        <w:rPr>
          <w:rFonts w:hint="eastAsia" w:ascii="仿宋_GB2312" w:hAnsi="仿宋_GB2312" w:eastAsia="仿宋_GB2312" w:cs="仿宋_GB2312"/>
          <w:sz w:val="32"/>
          <w:szCs w:val="32"/>
        </w:rPr>
        <w:t>项目，以推进“精准扶贫”为目的，力图让每一位贫困山区留守儿童、贫困学生在物质上得到关怀、心灵上得到关心、学业上得到关爱、成长上得到关注，促使贫困学子在关爱中顺利完成学业，茁壮成长，夯实脱贫致富的良好基础。</w:t>
      </w:r>
    </w:p>
    <w:p>
      <w:pPr>
        <w:pBdr>
          <w:bottom w:val="single" w:color="FFFFFF" w:sz="4" w:space="13"/>
        </w:pBdr>
        <w:spacing w:beforeLines="0" w:afterLines="0" w:line="596" w:lineRule="exact"/>
        <w:ind w:firstLine="645"/>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居家养老服务工作开展以来，让我县失能、失智、残疾、空巢、高龄等老人感受到了党和人民的关怀，通过社会化专业服务，为老人提供了精神上的慰藉，心理上的辅导，生活上的照料，为服务对象提供助洁，助餐等服务，在一定程度上解决了他（她）们因年老休弱、丧失劳动能力，生存条件恶劣带来的许多实际困难，让高龄老人在生活上得到了基本生活保障，从而改善老年人生存和生活基本要求。对社会经济效益、社会效益、可持续效益起到推进作用。 </w:t>
      </w:r>
    </w:p>
    <w:p>
      <w:pPr>
        <w:pBdr>
          <w:bottom w:val="single" w:color="FFFFFF" w:sz="4" w:space="13"/>
        </w:pBdr>
        <w:spacing w:beforeLines="0" w:afterLines="0" w:line="596" w:lineRule="exact"/>
        <w:ind w:firstLine="645"/>
        <w:rPr>
          <w:rFonts w:hint="eastAsia" w:eastAsia="仿宋_GB2312" w:cs="仿宋_GB2312"/>
          <w:sz w:val="32"/>
          <w:szCs w:val="32"/>
        </w:rPr>
      </w:pPr>
      <w:r>
        <w:rPr>
          <w:rFonts w:hint="eastAsia" w:eastAsia="仿宋_GB2312" w:cs="仿宋_GB2312"/>
          <w:sz w:val="32"/>
          <w:szCs w:val="32"/>
        </w:rPr>
        <w:t>公益性墓地提升改造项目的建成，在一定程度上规范了农村墓地的乱建，提升了丧葬公共服务能力和水平，推进移风易俗工作，促进了丧葬改革，推进社会主义精神文明建设。</w:t>
      </w:r>
    </w:p>
    <w:p>
      <w:pPr>
        <w:pBdr>
          <w:bottom w:val="single" w:color="FFFFFF" w:sz="4" w:space="13"/>
        </w:pBdr>
        <w:spacing w:beforeLines="0" w:afterLines="0" w:line="596" w:lineRule="exact"/>
        <w:ind w:firstLine="645"/>
        <w:rPr>
          <w:rFonts w:hint="eastAsia" w:ascii="黑体" w:hAnsi="黑体" w:eastAsia="黑体" w:cs="黑体"/>
          <w:sz w:val="32"/>
          <w:szCs w:val="32"/>
        </w:rPr>
      </w:pPr>
      <w:r>
        <w:rPr>
          <w:rFonts w:hint="eastAsia" w:ascii="黑体" w:hAnsi="黑体" w:eastAsia="黑体" w:cs="黑体"/>
          <w:sz w:val="32"/>
          <w:szCs w:val="32"/>
        </w:rPr>
        <w:t>四、评价结论及建议</w:t>
      </w:r>
    </w:p>
    <w:p>
      <w:pPr>
        <w:adjustRightInd w:val="0"/>
        <w:snapToGrid w:val="0"/>
        <w:spacing w:beforeLines="0" w:afterLines="0" w:line="600" w:lineRule="exact"/>
        <w:ind w:firstLine="720"/>
        <w:rPr>
          <w:rFonts w:hint="eastAsia" w:ascii="楷体_GB2312" w:hAnsi="宋体" w:eastAsia="楷体_GB2312"/>
          <w:b/>
          <w:sz w:val="32"/>
          <w:szCs w:val="24"/>
          <w:lang w:val="zh-CN"/>
        </w:rPr>
      </w:pPr>
      <w:r>
        <w:rPr>
          <w:rFonts w:hint="eastAsia" w:ascii="楷体_GB2312" w:hAnsi="宋体" w:eastAsia="楷体_GB2312"/>
          <w:b/>
          <w:sz w:val="32"/>
          <w:szCs w:val="24"/>
          <w:lang w:val="zh-CN"/>
        </w:rPr>
        <w:t>（一）评价结论</w:t>
      </w:r>
    </w:p>
    <w:p>
      <w:pPr>
        <w:adjustRightInd w:val="0"/>
        <w:snapToGrid w:val="0"/>
        <w:spacing w:beforeLines="0" w:afterLines="0" w:line="560" w:lineRule="exact"/>
        <w:ind w:firstLine="640" w:firstLineChars="200"/>
        <w:rPr>
          <w:rFonts w:hint="eastAsia" w:ascii="楷体_GB2312" w:hAnsi="楷体_GB2312" w:eastAsia="楷体_GB2312" w:cs="楷体_GB2312"/>
          <w:b/>
          <w:sz w:val="32"/>
          <w:szCs w:val="32"/>
          <w:lang w:val="zh-CN"/>
        </w:rPr>
      </w:pPr>
      <w:r>
        <w:rPr>
          <w:rFonts w:hint="eastAsia" w:ascii="仿宋_GB2312" w:hAnsi="宋体" w:eastAsia="仿宋_GB2312"/>
          <w:sz w:val="32"/>
          <w:szCs w:val="24"/>
          <w:lang w:val="zh-CN"/>
        </w:rPr>
        <w:t>严格按照文件要求</w:t>
      </w:r>
      <w:r>
        <w:rPr>
          <w:rFonts w:hint="eastAsia" w:ascii="仿宋_GB2312" w:hAnsi="宋体" w:eastAsia="仿宋_GB2312" w:cs="Times New Roman"/>
          <w:sz w:val="32"/>
          <w:szCs w:val="24"/>
        </w:rPr>
        <w:t xml:space="preserve">总体绩效评价良好，自评得分：95分，自评等级：良好。 </w:t>
      </w:r>
    </w:p>
    <w:p>
      <w:pPr>
        <w:pBdr>
          <w:bottom w:val="single" w:color="FFFFFF" w:sz="4" w:space="13"/>
        </w:pBdr>
        <w:spacing w:beforeLines="0" w:afterLines="0" w:line="596" w:lineRule="exact"/>
        <w:ind w:firstLine="642" w:firstLineChars="200"/>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（二）存在的问题</w:t>
      </w:r>
    </w:p>
    <w:p>
      <w:pPr>
        <w:pBdr>
          <w:bottom w:val="single" w:color="FFFFFF" w:sz="4" w:space="13"/>
        </w:pBdr>
        <w:spacing w:beforeLines="0" w:afterLines="0" w:line="596"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我县属于少数民族地区，大部分老百姓的养老意识还存在于家庭式养老，对社会养老认识不够。</w:t>
      </w:r>
    </w:p>
    <w:p>
      <w:pPr>
        <w:pBdr>
          <w:bottom w:val="single" w:color="FFFFFF" w:sz="4" w:space="13"/>
        </w:pBdr>
        <w:spacing w:beforeLines="0" w:afterLines="0" w:line="59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2、项目管理业务水平不够高。</w:t>
      </w:r>
    </w:p>
    <w:p>
      <w:pPr>
        <w:pBdr>
          <w:bottom w:val="single" w:color="FFFFFF" w:sz="4" w:space="13"/>
        </w:pBdr>
        <w:spacing w:beforeLines="0" w:afterLines="0" w:line="596" w:lineRule="exact"/>
        <w:ind w:firstLine="645"/>
        <w:rPr>
          <w:rFonts w:hint="eastAsia"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（三）相关建议</w:t>
      </w:r>
    </w:p>
    <w:p>
      <w:pPr>
        <w:pBdr>
          <w:bottom w:val="single" w:color="FFFFFF" w:sz="4" w:space="13"/>
        </w:pBdr>
        <w:spacing w:beforeLines="0" w:afterLines="0" w:line="59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加强组织动员，广泛宣传发动，吸引多方力量参与，共同谋划和推进福利彩票公益金事业发展，使老年人福利、残疾人福利、儿童福利、社会公益四个</w:t>
      </w:r>
      <w:r>
        <w:rPr>
          <w:rFonts w:hint="eastAsia" w:ascii="仿宋_GB2312" w:hAnsi="仿宋_GB2312" w:eastAsia="仿宋_GB2312" w:cs="仿宋_GB2312"/>
          <w:sz w:val="32"/>
          <w:szCs w:val="32"/>
          <w:lang w:val="zh-CN"/>
        </w:rPr>
        <w:t>方面的</w:t>
      </w:r>
      <w:r>
        <w:rPr>
          <w:rFonts w:hint="eastAsia" w:ascii="仿宋_GB2312" w:hAnsi="仿宋_GB2312" w:eastAsia="仿宋_GB2312" w:cs="仿宋_GB2312"/>
          <w:sz w:val="32"/>
          <w:szCs w:val="32"/>
        </w:rPr>
        <w:t>建设成为党政重视、社会参与、群众关心的一件大事，推动福彩公益金又好又快发展。</w:t>
      </w:r>
    </w:p>
    <w:p>
      <w:pPr>
        <w:pStyle w:val="4"/>
        <w:bidi w:val="0"/>
        <w:jc w:val="center"/>
        <w:rPr>
          <w:rFonts w:hint="eastAsia" w:ascii="方正小标宋简体" w:hAnsi="宋体" w:eastAsia="方正小标宋简体" w:cs="Times New Roman"/>
          <w:b w:val="0"/>
          <w:bCs w:val="0"/>
          <w:kern w:val="2"/>
          <w:sz w:val="44"/>
          <w:szCs w:val="44"/>
          <w:lang w:val="en-US" w:eastAsia="zh-CN" w:bidi="ar-SA"/>
        </w:rPr>
      </w:pPr>
    </w:p>
    <w:bookmarkEnd w:id="168"/>
    <w:p>
      <w:pPr>
        <w:widowControl/>
        <w:spacing w:line="576" w:lineRule="exact"/>
        <w:jc w:val="left"/>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pStyle w:val="2"/>
        <w:rPr>
          <w:rStyle w:val="29"/>
          <w:rFonts w:ascii="黑体" w:hAnsi="黑体" w:eastAsia="黑体"/>
          <w:b w:val="0"/>
        </w:rPr>
      </w:pPr>
    </w:p>
    <w:p>
      <w:pPr>
        <w:widowControl/>
        <w:spacing w:line="576" w:lineRule="exact"/>
        <w:jc w:val="left"/>
        <w:rPr>
          <w:rStyle w:val="29"/>
          <w:rFonts w:ascii="黑体" w:hAnsi="黑体" w:eastAsia="黑体"/>
          <w:b w:val="0"/>
        </w:rPr>
      </w:pPr>
    </w:p>
    <w:p>
      <w:pPr>
        <w:widowControl/>
        <w:spacing w:line="576" w:lineRule="exact"/>
        <w:jc w:val="left"/>
        <w:rPr>
          <w:rStyle w:val="29"/>
          <w:rFonts w:ascii="黑体" w:hAnsi="黑体" w:eastAsia="黑体"/>
          <w:b w:val="0"/>
        </w:rPr>
      </w:pPr>
    </w:p>
    <w:p>
      <w:pPr>
        <w:spacing w:line="576" w:lineRule="exact"/>
        <w:jc w:val="center"/>
        <w:outlineLvl w:val="0"/>
        <w:rPr>
          <w:rStyle w:val="29"/>
          <w:rFonts w:ascii="黑体" w:hAnsi="黑体" w:eastAsia="黑体"/>
          <w:b w:val="0"/>
        </w:rPr>
      </w:pPr>
      <w:bookmarkStart w:id="169" w:name="_Toc13079"/>
      <w:bookmarkStart w:id="170" w:name="_Toc15396618"/>
      <w:bookmarkStart w:id="171" w:name="_Toc32044"/>
      <w:bookmarkStart w:id="172" w:name="_Toc20734"/>
      <w:r>
        <w:rPr>
          <w:rFonts w:hint="eastAsia" w:ascii="黑体" w:hAnsi="黑体" w:eastAsia="黑体"/>
          <w:color w:val="000000"/>
          <w:sz w:val="44"/>
          <w:szCs w:val="44"/>
        </w:rPr>
        <w:t>第</w:t>
      </w:r>
      <w:r>
        <w:rPr>
          <w:rStyle w:val="29"/>
          <w:rFonts w:hint="eastAsia" w:ascii="黑体" w:hAnsi="黑体" w:eastAsia="黑体"/>
          <w:b w:val="0"/>
        </w:rPr>
        <w:t>五部分 附表</w:t>
      </w:r>
      <w:bookmarkEnd w:id="148"/>
      <w:bookmarkEnd w:id="169"/>
      <w:bookmarkEnd w:id="170"/>
      <w:bookmarkEnd w:id="171"/>
      <w:bookmarkEnd w:id="172"/>
    </w:p>
    <w:p>
      <w:pPr>
        <w:spacing w:line="576" w:lineRule="exact"/>
        <w:jc w:val="center"/>
        <w:outlineLvl w:val="9"/>
        <w:rPr>
          <w:rFonts w:ascii="仿宋_GB2312" w:hAnsi="仿宋" w:eastAsia="仿宋_GB2312"/>
          <w:b/>
          <w:color w:val="000000"/>
          <w:sz w:val="44"/>
          <w:szCs w:val="44"/>
        </w:rPr>
      </w:pPr>
    </w:p>
    <w:p>
      <w:pPr>
        <w:pStyle w:val="5"/>
        <w:spacing w:before="0" w:after="0" w:line="576" w:lineRule="exact"/>
        <w:rPr>
          <w:rFonts w:ascii="仿宋_GB2312" w:hAnsi="仿宋" w:eastAsia="仿宋_GB2312"/>
          <w:color w:val="000000"/>
        </w:rPr>
      </w:pPr>
      <w:bookmarkStart w:id="173" w:name="_Toc4042"/>
      <w:bookmarkStart w:id="174" w:name="_Toc19204"/>
      <w:bookmarkStart w:id="175" w:name="_Toc19393"/>
      <w:bookmarkStart w:id="176" w:name="_Toc15396619"/>
      <w:r>
        <w:rPr>
          <w:rFonts w:hint="eastAsia" w:ascii="仿宋_GB2312" w:hAnsi="仿宋" w:eastAsia="仿宋_GB2312"/>
          <w:b w:val="0"/>
          <w:color w:val="000000"/>
        </w:rPr>
        <w:t>一、收</w:t>
      </w:r>
      <w:r>
        <w:rPr>
          <w:rStyle w:val="30"/>
          <w:rFonts w:hint="eastAsia" w:ascii="仿宋_GB2312" w:hAnsi="仿宋" w:eastAsia="仿宋_GB2312"/>
          <w:b w:val="0"/>
          <w:bCs w:val="0"/>
        </w:rPr>
        <w:t>入支出决算总表</w:t>
      </w:r>
      <w:bookmarkEnd w:id="173"/>
      <w:bookmarkEnd w:id="174"/>
      <w:bookmarkEnd w:id="175"/>
      <w:bookmarkEnd w:id="176"/>
    </w:p>
    <w:p>
      <w:pPr>
        <w:pStyle w:val="5"/>
        <w:spacing w:before="0" w:after="0" w:line="576" w:lineRule="exact"/>
        <w:rPr>
          <w:rFonts w:ascii="仿宋_GB2312" w:hAnsi="仿宋" w:eastAsia="仿宋_GB2312"/>
          <w:color w:val="000000"/>
        </w:rPr>
      </w:pPr>
      <w:bookmarkStart w:id="177" w:name="_Toc15396620"/>
      <w:bookmarkStart w:id="178" w:name="_Toc23830"/>
      <w:bookmarkStart w:id="179" w:name="_Toc23343"/>
      <w:bookmarkStart w:id="180" w:name="_Toc4226"/>
      <w:r>
        <w:rPr>
          <w:rFonts w:hint="eastAsia" w:ascii="仿宋_GB2312" w:hAnsi="仿宋" w:eastAsia="仿宋_GB2312"/>
          <w:b w:val="0"/>
          <w:color w:val="000000"/>
        </w:rPr>
        <w:t>二、收</w:t>
      </w:r>
      <w:r>
        <w:rPr>
          <w:rStyle w:val="30"/>
          <w:rFonts w:hint="eastAsia" w:ascii="仿宋_GB2312" w:hAnsi="仿宋" w:eastAsia="仿宋_GB2312"/>
          <w:b w:val="0"/>
          <w:bCs w:val="0"/>
        </w:rPr>
        <w:t>入决算表</w:t>
      </w:r>
      <w:bookmarkEnd w:id="177"/>
      <w:bookmarkEnd w:id="178"/>
      <w:bookmarkEnd w:id="179"/>
      <w:bookmarkEnd w:id="180"/>
    </w:p>
    <w:p>
      <w:pPr>
        <w:pStyle w:val="5"/>
        <w:spacing w:before="0" w:after="0" w:line="576" w:lineRule="exact"/>
        <w:rPr>
          <w:rFonts w:ascii="仿宋_GB2312" w:hAnsi="仿宋" w:eastAsia="仿宋_GB2312"/>
          <w:color w:val="000000"/>
        </w:rPr>
      </w:pPr>
      <w:bookmarkStart w:id="181" w:name="_Toc15396621"/>
      <w:bookmarkStart w:id="182" w:name="_Toc28556"/>
      <w:bookmarkStart w:id="183" w:name="_Toc25592"/>
      <w:bookmarkStart w:id="184" w:name="_Toc23944"/>
      <w:r>
        <w:rPr>
          <w:rStyle w:val="30"/>
          <w:rFonts w:hint="eastAsia" w:ascii="仿宋_GB2312" w:hAnsi="仿宋" w:eastAsia="仿宋_GB2312"/>
          <w:b w:val="0"/>
          <w:bCs w:val="0"/>
        </w:rPr>
        <w:t>三、</w:t>
      </w:r>
      <w:r>
        <w:rPr>
          <w:rFonts w:hint="eastAsia" w:ascii="仿宋_GB2312" w:hAnsi="仿宋" w:eastAsia="仿宋_GB2312"/>
          <w:b w:val="0"/>
          <w:color w:val="000000"/>
        </w:rPr>
        <w:t>支</w:t>
      </w:r>
      <w:r>
        <w:rPr>
          <w:rStyle w:val="30"/>
          <w:rFonts w:hint="eastAsia" w:ascii="仿宋_GB2312" w:hAnsi="仿宋" w:eastAsia="仿宋_GB2312"/>
          <w:b w:val="0"/>
          <w:bCs w:val="0"/>
        </w:rPr>
        <w:t>出决算表</w:t>
      </w:r>
      <w:bookmarkEnd w:id="181"/>
      <w:bookmarkEnd w:id="182"/>
      <w:bookmarkEnd w:id="183"/>
      <w:bookmarkEnd w:id="184"/>
    </w:p>
    <w:p>
      <w:pPr>
        <w:pStyle w:val="5"/>
        <w:spacing w:before="0" w:after="0" w:line="576" w:lineRule="exact"/>
        <w:rPr>
          <w:rFonts w:ascii="仿宋_GB2312" w:hAnsi="仿宋" w:eastAsia="仿宋_GB2312"/>
          <w:b w:val="0"/>
          <w:color w:val="000000"/>
        </w:rPr>
      </w:pPr>
      <w:bookmarkStart w:id="185" w:name="_Toc15396622"/>
      <w:bookmarkStart w:id="186" w:name="_Toc13673"/>
      <w:bookmarkStart w:id="187" w:name="_Toc6755"/>
      <w:bookmarkStart w:id="188" w:name="_Toc27577"/>
      <w:r>
        <w:rPr>
          <w:rStyle w:val="30"/>
          <w:rFonts w:hint="eastAsia" w:ascii="仿宋_GB2312" w:hAnsi="仿宋" w:eastAsia="仿宋_GB2312"/>
          <w:b w:val="0"/>
          <w:bCs w:val="0"/>
        </w:rPr>
        <w:t>四、</w:t>
      </w:r>
      <w:r>
        <w:rPr>
          <w:rFonts w:hint="eastAsia" w:ascii="仿宋_GB2312" w:hAnsi="仿宋" w:eastAsia="仿宋_GB2312"/>
          <w:b w:val="0"/>
          <w:color w:val="000000"/>
        </w:rPr>
        <w:t>财</w:t>
      </w:r>
      <w:r>
        <w:rPr>
          <w:rStyle w:val="30"/>
          <w:rFonts w:hint="eastAsia" w:ascii="仿宋_GB2312" w:hAnsi="仿宋" w:eastAsia="仿宋_GB2312"/>
          <w:b w:val="0"/>
          <w:bCs w:val="0"/>
        </w:rPr>
        <w:t>政拨款收入支出决算总表</w:t>
      </w:r>
      <w:bookmarkEnd w:id="185"/>
      <w:bookmarkEnd w:id="186"/>
      <w:bookmarkEnd w:id="187"/>
      <w:bookmarkEnd w:id="188"/>
    </w:p>
    <w:p>
      <w:pPr>
        <w:pStyle w:val="5"/>
        <w:spacing w:before="0" w:after="0" w:line="576" w:lineRule="exact"/>
        <w:rPr>
          <w:rStyle w:val="30"/>
          <w:rFonts w:ascii="仿宋_GB2312" w:hAnsi="仿宋" w:eastAsia="仿宋_GB2312"/>
          <w:b w:val="0"/>
          <w:bCs w:val="0"/>
        </w:rPr>
      </w:pPr>
      <w:bookmarkStart w:id="189" w:name="_Toc1968"/>
      <w:bookmarkStart w:id="190" w:name="_Toc27294"/>
      <w:bookmarkStart w:id="191" w:name="_Toc15396623"/>
      <w:bookmarkStart w:id="192" w:name="_Toc4033"/>
      <w:r>
        <w:rPr>
          <w:rStyle w:val="30"/>
          <w:rFonts w:hint="eastAsia" w:ascii="仿宋_GB2312" w:hAnsi="仿宋" w:eastAsia="仿宋_GB2312"/>
          <w:b w:val="0"/>
          <w:bCs w:val="0"/>
        </w:rPr>
        <w:t>五、</w:t>
      </w:r>
      <w:r>
        <w:rPr>
          <w:rFonts w:hint="eastAsia" w:ascii="仿宋_GB2312" w:hAnsi="仿宋" w:eastAsia="仿宋_GB2312"/>
          <w:b w:val="0"/>
          <w:color w:val="000000"/>
        </w:rPr>
        <w:t>财</w:t>
      </w:r>
      <w:r>
        <w:rPr>
          <w:rStyle w:val="30"/>
          <w:rFonts w:hint="eastAsia" w:ascii="仿宋_GB2312" w:hAnsi="仿宋" w:eastAsia="仿宋_GB2312"/>
          <w:b w:val="0"/>
          <w:bCs w:val="0"/>
        </w:rPr>
        <w:t>政拨款支出决算明细表</w:t>
      </w:r>
      <w:bookmarkEnd w:id="189"/>
      <w:bookmarkEnd w:id="190"/>
      <w:bookmarkEnd w:id="191"/>
      <w:bookmarkEnd w:id="192"/>
      <w:bookmarkStart w:id="193" w:name="_Toc15396624"/>
    </w:p>
    <w:p>
      <w:pPr>
        <w:pStyle w:val="5"/>
        <w:spacing w:before="0" w:after="0" w:line="576" w:lineRule="exact"/>
        <w:rPr>
          <w:rFonts w:ascii="仿宋_GB2312" w:hAnsi="仿宋" w:eastAsia="仿宋_GB2312"/>
          <w:color w:val="000000"/>
        </w:rPr>
      </w:pPr>
      <w:bookmarkStart w:id="194" w:name="_Toc26471"/>
      <w:bookmarkStart w:id="195" w:name="_Toc1276"/>
      <w:bookmarkStart w:id="196" w:name="_Toc16582"/>
      <w:r>
        <w:rPr>
          <w:rStyle w:val="30"/>
          <w:rFonts w:hint="eastAsia" w:ascii="仿宋_GB2312" w:hAnsi="仿宋" w:eastAsia="仿宋_GB2312"/>
          <w:b w:val="0"/>
          <w:bCs w:val="0"/>
        </w:rPr>
        <w:t>六、</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般公共预算财政拨款支出决算表</w:t>
      </w:r>
      <w:bookmarkEnd w:id="193"/>
      <w:bookmarkEnd w:id="194"/>
      <w:bookmarkEnd w:id="195"/>
      <w:bookmarkEnd w:id="196"/>
    </w:p>
    <w:p>
      <w:pPr>
        <w:pStyle w:val="5"/>
        <w:spacing w:before="0" w:after="0" w:line="576" w:lineRule="exact"/>
        <w:rPr>
          <w:rFonts w:ascii="仿宋_GB2312" w:hAnsi="仿宋" w:eastAsia="仿宋_GB2312"/>
          <w:color w:val="000000"/>
        </w:rPr>
      </w:pPr>
      <w:bookmarkStart w:id="197" w:name="_Toc25348"/>
      <w:bookmarkStart w:id="198" w:name="_Toc29510"/>
      <w:bookmarkStart w:id="199" w:name="_Toc15396625"/>
      <w:bookmarkStart w:id="200" w:name="_Toc1977"/>
      <w:r>
        <w:rPr>
          <w:rStyle w:val="30"/>
          <w:rFonts w:hint="eastAsia" w:ascii="仿宋_GB2312" w:hAnsi="仿宋" w:eastAsia="仿宋_GB2312"/>
          <w:b w:val="0"/>
          <w:bCs w:val="0"/>
        </w:rPr>
        <w:t>七、</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般公共预算财政拨款支出决算明细表</w:t>
      </w:r>
      <w:bookmarkEnd w:id="197"/>
      <w:bookmarkEnd w:id="198"/>
      <w:bookmarkEnd w:id="199"/>
      <w:bookmarkEnd w:id="200"/>
    </w:p>
    <w:p>
      <w:pPr>
        <w:pStyle w:val="5"/>
        <w:spacing w:before="0" w:after="0" w:line="576" w:lineRule="exact"/>
        <w:rPr>
          <w:rFonts w:ascii="仿宋_GB2312" w:hAnsi="仿宋" w:eastAsia="仿宋_GB2312"/>
          <w:color w:val="000000"/>
        </w:rPr>
      </w:pPr>
      <w:bookmarkStart w:id="201" w:name="_Toc28902"/>
      <w:bookmarkStart w:id="202" w:name="_Toc29804"/>
      <w:bookmarkStart w:id="203" w:name="_Toc15396626"/>
      <w:bookmarkStart w:id="204" w:name="_Toc1206"/>
      <w:r>
        <w:rPr>
          <w:rStyle w:val="30"/>
          <w:rFonts w:hint="eastAsia" w:ascii="仿宋_GB2312" w:hAnsi="仿宋" w:eastAsia="仿宋_GB2312"/>
          <w:b w:val="0"/>
          <w:bCs w:val="0"/>
        </w:rPr>
        <w:t>八、</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般公共预算财政拨款基本支出决算表</w:t>
      </w:r>
      <w:bookmarkEnd w:id="201"/>
      <w:bookmarkEnd w:id="202"/>
      <w:bookmarkEnd w:id="203"/>
      <w:bookmarkEnd w:id="204"/>
    </w:p>
    <w:p>
      <w:pPr>
        <w:pStyle w:val="5"/>
        <w:spacing w:before="0" w:after="0" w:line="576" w:lineRule="exact"/>
        <w:rPr>
          <w:rFonts w:ascii="仿宋_GB2312" w:hAnsi="仿宋" w:eastAsia="仿宋_GB2312"/>
          <w:color w:val="000000"/>
        </w:rPr>
      </w:pPr>
      <w:bookmarkStart w:id="205" w:name="_Toc22305"/>
      <w:bookmarkStart w:id="206" w:name="_Toc15396627"/>
      <w:bookmarkStart w:id="207" w:name="_Toc25270"/>
      <w:bookmarkStart w:id="208" w:name="_Toc20794"/>
      <w:r>
        <w:rPr>
          <w:rStyle w:val="30"/>
          <w:rFonts w:hint="eastAsia" w:ascii="仿宋_GB2312" w:hAnsi="仿宋" w:eastAsia="仿宋_GB2312"/>
          <w:b w:val="0"/>
          <w:bCs w:val="0"/>
        </w:rPr>
        <w:t>九、</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般公共预算财政拨款项目支出决算表</w:t>
      </w:r>
      <w:bookmarkEnd w:id="205"/>
      <w:bookmarkEnd w:id="206"/>
      <w:bookmarkEnd w:id="207"/>
      <w:bookmarkEnd w:id="208"/>
    </w:p>
    <w:p>
      <w:pPr>
        <w:pStyle w:val="5"/>
        <w:spacing w:before="0" w:after="0" w:line="576" w:lineRule="exact"/>
        <w:rPr>
          <w:rFonts w:ascii="仿宋_GB2312" w:hAnsi="仿宋" w:eastAsia="仿宋_GB2312"/>
          <w:color w:val="000000"/>
        </w:rPr>
      </w:pPr>
      <w:bookmarkStart w:id="209" w:name="_Toc15712"/>
      <w:bookmarkStart w:id="210" w:name="_Toc7515"/>
      <w:bookmarkStart w:id="211" w:name="_Toc23419"/>
      <w:bookmarkStart w:id="212" w:name="_Toc15396628"/>
      <w:r>
        <w:rPr>
          <w:rStyle w:val="30"/>
          <w:rFonts w:hint="eastAsia" w:ascii="仿宋_GB2312" w:hAnsi="仿宋" w:eastAsia="仿宋_GB2312"/>
          <w:b w:val="0"/>
          <w:bCs w:val="0"/>
        </w:rPr>
        <w:t>十、</w:t>
      </w:r>
      <w:r>
        <w:rPr>
          <w:rFonts w:hint="eastAsia" w:ascii="仿宋_GB2312" w:hAnsi="仿宋" w:eastAsia="仿宋_GB2312"/>
          <w:b w:val="0"/>
          <w:color w:val="000000"/>
        </w:rPr>
        <w:t>一</w:t>
      </w:r>
      <w:r>
        <w:rPr>
          <w:rStyle w:val="30"/>
          <w:rFonts w:hint="eastAsia" w:ascii="仿宋_GB2312" w:hAnsi="仿宋" w:eastAsia="仿宋_GB2312"/>
          <w:b w:val="0"/>
          <w:bCs w:val="0"/>
        </w:rPr>
        <w:t>般公共预算财政拨款“三公”经费支出决算表</w:t>
      </w:r>
      <w:bookmarkEnd w:id="209"/>
      <w:bookmarkEnd w:id="210"/>
      <w:bookmarkEnd w:id="211"/>
      <w:bookmarkEnd w:id="212"/>
    </w:p>
    <w:p>
      <w:pPr>
        <w:pStyle w:val="5"/>
        <w:spacing w:before="0" w:after="0" w:line="576" w:lineRule="exact"/>
        <w:rPr>
          <w:rFonts w:ascii="仿宋_GB2312" w:hAnsi="仿宋" w:eastAsia="仿宋_GB2312"/>
          <w:color w:val="000000"/>
        </w:rPr>
      </w:pPr>
      <w:bookmarkStart w:id="213" w:name="_Toc22118"/>
      <w:bookmarkStart w:id="214" w:name="_Toc1372"/>
      <w:bookmarkStart w:id="215" w:name="_Toc21904"/>
      <w:bookmarkStart w:id="216" w:name="_Toc15396629"/>
      <w:r>
        <w:rPr>
          <w:rStyle w:val="30"/>
          <w:rFonts w:hint="eastAsia" w:ascii="仿宋_GB2312" w:hAnsi="仿宋" w:eastAsia="仿宋_GB2312"/>
          <w:b w:val="0"/>
          <w:bCs w:val="0"/>
        </w:rPr>
        <w:t>十一、</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府性基金预算财政拨款收入支出决算表</w:t>
      </w:r>
      <w:bookmarkEnd w:id="213"/>
      <w:bookmarkEnd w:id="214"/>
      <w:bookmarkEnd w:id="215"/>
      <w:bookmarkEnd w:id="216"/>
    </w:p>
    <w:p>
      <w:pPr>
        <w:pStyle w:val="5"/>
        <w:spacing w:before="0" w:after="0" w:line="576" w:lineRule="exact"/>
        <w:rPr>
          <w:rFonts w:ascii="仿宋_GB2312" w:hAnsi="仿宋" w:eastAsia="仿宋_GB2312"/>
          <w:color w:val="000000"/>
        </w:rPr>
      </w:pPr>
      <w:bookmarkStart w:id="217" w:name="_Toc27899"/>
      <w:bookmarkStart w:id="218" w:name="_Toc25995"/>
      <w:bookmarkStart w:id="219" w:name="_Toc16874"/>
      <w:bookmarkStart w:id="220" w:name="_Toc15396630"/>
      <w:r>
        <w:rPr>
          <w:rStyle w:val="30"/>
          <w:rFonts w:hint="eastAsia" w:ascii="仿宋_GB2312" w:hAnsi="仿宋" w:eastAsia="仿宋_GB2312"/>
          <w:b w:val="0"/>
          <w:bCs w:val="0"/>
        </w:rPr>
        <w:t>十二、</w:t>
      </w:r>
      <w:r>
        <w:rPr>
          <w:rFonts w:hint="eastAsia" w:ascii="仿宋_GB2312" w:hAnsi="仿宋" w:eastAsia="仿宋_GB2312"/>
          <w:b w:val="0"/>
          <w:color w:val="000000"/>
        </w:rPr>
        <w:t>政</w:t>
      </w:r>
      <w:r>
        <w:rPr>
          <w:rStyle w:val="30"/>
          <w:rFonts w:hint="eastAsia" w:ascii="仿宋_GB2312" w:hAnsi="仿宋" w:eastAsia="仿宋_GB2312"/>
          <w:b w:val="0"/>
          <w:bCs w:val="0"/>
        </w:rPr>
        <w:t>府性基金预算财政拨款“三公”经费支出决算表</w:t>
      </w:r>
      <w:bookmarkEnd w:id="217"/>
      <w:bookmarkEnd w:id="218"/>
      <w:bookmarkEnd w:id="219"/>
      <w:bookmarkEnd w:id="220"/>
    </w:p>
    <w:p>
      <w:pPr>
        <w:pStyle w:val="5"/>
        <w:spacing w:before="0" w:after="0" w:line="576" w:lineRule="exact"/>
        <w:rPr>
          <w:rStyle w:val="30"/>
          <w:rFonts w:hint="eastAsia" w:ascii="仿宋_GB2312" w:hAnsi="仿宋" w:eastAsia="仿宋_GB2312"/>
          <w:b w:val="0"/>
          <w:bCs w:val="0"/>
        </w:rPr>
      </w:pPr>
      <w:bookmarkStart w:id="221" w:name="_Toc4512"/>
      <w:bookmarkStart w:id="222" w:name="_Toc15396631"/>
      <w:bookmarkStart w:id="223" w:name="_Toc10286"/>
      <w:bookmarkStart w:id="224" w:name="_Toc5581"/>
      <w:r>
        <w:rPr>
          <w:rStyle w:val="30"/>
          <w:rFonts w:hint="eastAsia" w:ascii="仿宋_GB2312" w:hAnsi="仿宋" w:eastAsia="仿宋_GB2312"/>
          <w:b w:val="0"/>
          <w:bCs w:val="0"/>
        </w:rPr>
        <w:t>十三、</w:t>
      </w:r>
      <w:r>
        <w:rPr>
          <w:rFonts w:hint="eastAsia" w:ascii="仿宋_GB2312" w:hAnsi="仿宋" w:eastAsia="仿宋_GB2312"/>
          <w:b w:val="0"/>
          <w:color w:val="000000"/>
        </w:rPr>
        <w:t>国</w:t>
      </w:r>
      <w:r>
        <w:rPr>
          <w:rStyle w:val="30"/>
          <w:rFonts w:hint="eastAsia" w:ascii="仿宋_GB2312" w:hAnsi="仿宋" w:eastAsia="仿宋_GB2312"/>
          <w:b w:val="0"/>
          <w:bCs w:val="0"/>
        </w:rPr>
        <w:t>有资本经营预算</w:t>
      </w:r>
      <w:r>
        <w:rPr>
          <w:rStyle w:val="30"/>
          <w:rFonts w:hint="eastAsia" w:ascii="仿宋_GB2312" w:hAnsi="仿宋" w:eastAsia="仿宋_GB2312"/>
          <w:b w:val="0"/>
          <w:bCs w:val="0"/>
          <w:lang w:eastAsia="zh-CN"/>
        </w:rPr>
        <w:t>财政拨款收入</w:t>
      </w:r>
      <w:r>
        <w:rPr>
          <w:rStyle w:val="30"/>
          <w:rFonts w:hint="eastAsia" w:ascii="仿宋_GB2312" w:hAnsi="仿宋" w:eastAsia="仿宋_GB2312"/>
          <w:b w:val="0"/>
          <w:bCs w:val="0"/>
        </w:rPr>
        <w:t>支出决算表</w:t>
      </w:r>
      <w:bookmarkEnd w:id="221"/>
      <w:bookmarkEnd w:id="222"/>
      <w:bookmarkEnd w:id="223"/>
      <w:bookmarkEnd w:id="224"/>
    </w:p>
    <w:p>
      <w:pPr>
        <w:pStyle w:val="5"/>
        <w:spacing w:before="0" w:after="0" w:line="576" w:lineRule="exact"/>
        <w:rPr>
          <w:rStyle w:val="30"/>
          <w:rFonts w:hint="eastAsia" w:ascii="仿宋_GB2312" w:hAnsi="仿宋" w:eastAsia="仿宋_GB2312"/>
          <w:b w:val="0"/>
          <w:bCs w:val="0"/>
        </w:rPr>
      </w:pPr>
      <w:bookmarkStart w:id="225" w:name="_Toc26688"/>
      <w:r>
        <w:rPr>
          <w:rStyle w:val="30"/>
          <w:rFonts w:hint="eastAsia" w:ascii="仿宋_GB2312" w:hAnsi="仿宋" w:eastAsia="仿宋_GB2312"/>
          <w:b w:val="0"/>
          <w:bCs w:val="0"/>
        </w:rPr>
        <w:t>十</w:t>
      </w:r>
      <w:r>
        <w:rPr>
          <w:rStyle w:val="30"/>
          <w:rFonts w:hint="eastAsia" w:ascii="仿宋_GB2312" w:hAnsi="仿宋" w:eastAsia="仿宋_GB2312"/>
          <w:b w:val="0"/>
          <w:bCs w:val="0"/>
          <w:lang w:eastAsia="zh-CN"/>
        </w:rPr>
        <w:t>四</w:t>
      </w:r>
      <w:r>
        <w:rPr>
          <w:rStyle w:val="30"/>
          <w:rFonts w:hint="eastAsia" w:ascii="仿宋_GB2312" w:hAnsi="仿宋" w:eastAsia="仿宋_GB2312"/>
          <w:b w:val="0"/>
          <w:bCs w:val="0"/>
        </w:rPr>
        <w:t>、</w:t>
      </w:r>
      <w:r>
        <w:rPr>
          <w:rFonts w:hint="eastAsia" w:ascii="仿宋_GB2312" w:hAnsi="仿宋" w:eastAsia="仿宋_GB2312"/>
          <w:b w:val="0"/>
          <w:color w:val="000000"/>
        </w:rPr>
        <w:t>国</w:t>
      </w:r>
      <w:r>
        <w:rPr>
          <w:rStyle w:val="30"/>
          <w:rFonts w:hint="eastAsia" w:ascii="仿宋_GB2312" w:hAnsi="仿宋" w:eastAsia="仿宋_GB2312"/>
          <w:b w:val="0"/>
          <w:bCs w:val="0"/>
        </w:rPr>
        <w:t>有资本经营预算</w:t>
      </w:r>
      <w:r>
        <w:rPr>
          <w:rStyle w:val="30"/>
          <w:rFonts w:hint="eastAsia" w:ascii="仿宋_GB2312" w:hAnsi="仿宋" w:eastAsia="仿宋_GB2312"/>
          <w:b w:val="0"/>
          <w:bCs w:val="0"/>
          <w:lang w:eastAsia="zh-CN"/>
        </w:rPr>
        <w:t>财政拨款</w:t>
      </w:r>
      <w:r>
        <w:rPr>
          <w:rStyle w:val="30"/>
          <w:rFonts w:hint="eastAsia" w:ascii="仿宋_GB2312" w:hAnsi="仿宋" w:eastAsia="仿宋_GB2312"/>
          <w:b w:val="0"/>
          <w:bCs w:val="0"/>
        </w:rPr>
        <w:t>支出决算表</w:t>
      </w:r>
      <w:bookmarkEnd w:id="225"/>
    </w:p>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华文仿宋">
    <w:altName w:val="方正仿宋_GBK"/>
    <w:panose1 w:val="0201060004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王羲之行书体">
    <w:panose1 w:val="02010609000101010101"/>
    <w:charset w:val="00"/>
    <w:family w:val="auto"/>
    <w:pitch w:val="default"/>
    <w:sig w:usb0="00000000" w:usb1="00000000" w:usb2="00000000" w:usb3="00000000" w:csb0="00003F00" w:csb1="0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sdt>
      <w:sdtPr>
        <w:id w:val="1156907789"/>
        <w:docPartObj>
          <w:docPartGallery w:val="autotext"/>
        </w:docPartObj>
      </w:sdtPr>
      <w:sdtContent/>
    </w:sdt>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36E55"/>
    <w:multiLevelType w:val="singleLevel"/>
    <w:tmpl w:val="AB436E55"/>
    <w:lvl w:ilvl="0" w:tentative="0">
      <w:start w:val="3"/>
      <w:numFmt w:val="chineseCounting"/>
      <w:suff w:val="nothing"/>
      <w:lvlText w:val="（%1）"/>
      <w:lvlJc w:val="left"/>
      <w:rPr>
        <w:rFonts w:hint="eastAsia"/>
      </w:rPr>
    </w:lvl>
  </w:abstractNum>
  <w:abstractNum w:abstractNumId="1">
    <w:nsid w:val="B4DE9C45"/>
    <w:multiLevelType w:val="singleLevel"/>
    <w:tmpl w:val="B4DE9C45"/>
    <w:lvl w:ilvl="0" w:tentative="0">
      <w:start w:val="1"/>
      <w:numFmt w:val="chineseCounting"/>
      <w:suff w:val="nothing"/>
      <w:lvlText w:val="%1、"/>
      <w:lvlJc w:val="left"/>
      <w:rPr>
        <w:rFonts w:hint="eastAsia"/>
      </w:rPr>
    </w:lvl>
  </w:abstractNum>
  <w:abstractNum w:abstractNumId="2">
    <w:nsid w:val="CC10F31B"/>
    <w:multiLevelType w:val="multilevel"/>
    <w:tmpl w:val="CC10F31B"/>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3D76841"/>
    <w:multiLevelType w:val="multilevel"/>
    <w:tmpl w:val="D3D76841"/>
    <w:lvl w:ilvl="0" w:tentative="0">
      <w:start w:val="1"/>
      <w:numFmt w:val="chineseCounting"/>
      <w:suff w:val="nothing"/>
      <w:lvlText w:val="（%1）"/>
      <w:lvlJc w:val="left"/>
      <w:pPr>
        <w:ind w:left="-90"/>
      </w:pPr>
      <w:rPr>
        <w:rFonts w:hint="eastAsia" w:ascii="楷体" w:hAnsi="楷体" w:eastAsia="楷体" w:cs="楷体"/>
        <w:u w:val="none" w:color="auto"/>
      </w:rPr>
    </w:lvl>
    <w:lvl w:ilvl="1" w:tentative="0">
      <w:start w:val="1"/>
      <w:numFmt w:val="decimal"/>
      <w:lvlText w:val=""/>
      <w:lvlJc w:val="left"/>
      <w:pPr>
        <w:ind w:left="540"/>
      </w:pPr>
    </w:lvl>
    <w:lvl w:ilvl="2" w:tentative="0">
      <w:start w:val="1"/>
      <w:numFmt w:val="decimal"/>
      <w:lvlText w:val=""/>
      <w:lvlJc w:val="left"/>
      <w:pPr>
        <w:ind w:left="540"/>
      </w:pPr>
    </w:lvl>
    <w:lvl w:ilvl="3" w:tentative="0">
      <w:start w:val="1"/>
      <w:numFmt w:val="decimal"/>
      <w:lvlText w:val=""/>
      <w:lvlJc w:val="left"/>
      <w:pPr>
        <w:ind w:left="540"/>
      </w:pPr>
    </w:lvl>
    <w:lvl w:ilvl="4" w:tentative="0">
      <w:start w:val="1"/>
      <w:numFmt w:val="decimal"/>
      <w:lvlText w:val=""/>
      <w:lvlJc w:val="left"/>
      <w:pPr>
        <w:ind w:left="540"/>
      </w:pPr>
    </w:lvl>
    <w:lvl w:ilvl="5" w:tentative="0">
      <w:start w:val="1"/>
      <w:numFmt w:val="decimal"/>
      <w:lvlText w:val=""/>
      <w:lvlJc w:val="left"/>
      <w:pPr>
        <w:ind w:left="540"/>
      </w:pPr>
    </w:lvl>
    <w:lvl w:ilvl="6" w:tentative="0">
      <w:start w:val="1"/>
      <w:numFmt w:val="decimal"/>
      <w:lvlText w:val=""/>
      <w:lvlJc w:val="left"/>
      <w:pPr>
        <w:ind w:left="540"/>
      </w:pPr>
    </w:lvl>
    <w:lvl w:ilvl="7" w:tentative="0">
      <w:start w:val="1"/>
      <w:numFmt w:val="decimal"/>
      <w:lvlText w:val=""/>
      <w:lvlJc w:val="left"/>
      <w:pPr>
        <w:ind w:left="540"/>
      </w:pPr>
    </w:lvl>
    <w:lvl w:ilvl="8" w:tentative="0">
      <w:start w:val="1"/>
      <w:numFmt w:val="decimal"/>
      <w:lvlText w:val=""/>
      <w:lvlJc w:val="left"/>
      <w:pPr>
        <w:ind w:left="540"/>
      </w:p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4954EC6"/>
    <w:multiLevelType w:val="multilevel"/>
    <w:tmpl w:val="F4954EC6"/>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F67BCEF7"/>
    <w:multiLevelType w:val="multilevel"/>
    <w:tmpl w:val="F67BCEF7"/>
    <w:lvl w:ilvl="0" w:tentative="0">
      <w:start w:val="1"/>
      <w:numFmt w:val="chineseCounting"/>
      <w:suff w:val="nothing"/>
      <w:lvlText w:val="%1、"/>
      <w:lvlJc w:val="left"/>
      <w:pPr>
        <w:ind w:left="12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3A4289F3"/>
    <w:multiLevelType w:val="multilevel"/>
    <w:tmpl w:val="3A4289F3"/>
    <w:lvl w:ilvl="0" w:tentative="0">
      <w:start w:val="4"/>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D733688"/>
    <w:multiLevelType w:val="multilevel"/>
    <w:tmpl w:val="5D733688"/>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6F1E3313"/>
    <w:multiLevelType w:val="multilevel"/>
    <w:tmpl w:val="6F1E3313"/>
    <w:lvl w:ilvl="0" w:tentative="0">
      <w:start w:val="3"/>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D20C256"/>
    <w:multiLevelType w:val="multilevel"/>
    <w:tmpl w:val="7D20C256"/>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 w:numId="3">
    <w:abstractNumId w:val="3"/>
  </w:num>
  <w:num w:numId="4">
    <w:abstractNumId w:val="5"/>
  </w:num>
  <w:num w:numId="5">
    <w:abstractNumId w:val="10"/>
  </w:num>
  <w:num w:numId="6">
    <w:abstractNumId w:val="6"/>
  </w:num>
  <w:num w:numId="7">
    <w:abstractNumId w:val="7"/>
  </w:num>
  <w:num w:numId="8">
    <w:abstractNumId w:val="4"/>
  </w:num>
  <w:num w:numId="9">
    <w:abstractNumId w:val="11"/>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TI2OWEyNjQxYzlhMzAzOTZlYWM5ZDEzOTFkZjYifQ=="/>
  </w:docVars>
  <w:rsids>
    <w:rsidRoot w:val="00172A27"/>
    <w:rsid w:val="000222C6"/>
    <w:rsid w:val="0002549F"/>
    <w:rsid w:val="000468DB"/>
    <w:rsid w:val="0006487A"/>
    <w:rsid w:val="00065F8F"/>
    <w:rsid w:val="00070A43"/>
    <w:rsid w:val="000768F2"/>
    <w:rsid w:val="0009184B"/>
    <w:rsid w:val="00094236"/>
    <w:rsid w:val="0009593C"/>
    <w:rsid w:val="00097322"/>
    <w:rsid w:val="000A051B"/>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4A27"/>
    <w:rsid w:val="00196687"/>
    <w:rsid w:val="001C0962"/>
    <w:rsid w:val="001D7531"/>
    <w:rsid w:val="001E737D"/>
    <w:rsid w:val="001F0592"/>
    <w:rsid w:val="001F7506"/>
    <w:rsid w:val="002006CD"/>
    <w:rsid w:val="00202B36"/>
    <w:rsid w:val="00204B7A"/>
    <w:rsid w:val="00204CDE"/>
    <w:rsid w:val="00207516"/>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6DD6"/>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2DBA"/>
    <w:rsid w:val="00784D24"/>
    <w:rsid w:val="00785FBA"/>
    <w:rsid w:val="00786E4A"/>
    <w:rsid w:val="007875EB"/>
    <w:rsid w:val="007930AB"/>
    <w:rsid w:val="0079426B"/>
    <w:rsid w:val="007B46E2"/>
    <w:rsid w:val="007D1682"/>
    <w:rsid w:val="007D312A"/>
    <w:rsid w:val="007D3F19"/>
    <w:rsid w:val="007E23B0"/>
    <w:rsid w:val="007F14CE"/>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02EB"/>
    <w:rsid w:val="00AC3C6A"/>
    <w:rsid w:val="00AD0F83"/>
    <w:rsid w:val="00AD5620"/>
    <w:rsid w:val="00AD656B"/>
    <w:rsid w:val="00AD7C1B"/>
    <w:rsid w:val="00AE16BA"/>
    <w:rsid w:val="00AE1EBE"/>
    <w:rsid w:val="00AF37A0"/>
    <w:rsid w:val="00AF7320"/>
    <w:rsid w:val="00B03C9D"/>
    <w:rsid w:val="00B051F5"/>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164C"/>
    <w:rsid w:val="00C02078"/>
    <w:rsid w:val="00C03E31"/>
    <w:rsid w:val="00C30E69"/>
    <w:rsid w:val="00C33E72"/>
    <w:rsid w:val="00C354B2"/>
    <w:rsid w:val="00C35554"/>
    <w:rsid w:val="00C42709"/>
    <w:rsid w:val="00C533CC"/>
    <w:rsid w:val="00C5751C"/>
    <w:rsid w:val="00C61BFC"/>
    <w:rsid w:val="00C61D86"/>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4D8D"/>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A1B8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D7042"/>
    <w:rsid w:val="026324D4"/>
    <w:rsid w:val="028642E4"/>
    <w:rsid w:val="02ED4536"/>
    <w:rsid w:val="03D40EF1"/>
    <w:rsid w:val="045D1EDE"/>
    <w:rsid w:val="04A722F0"/>
    <w:rsid w:val="04D60471"/>
    <w:rsid w:val="05D00C60"/>
    <w:rsid w:val="061229E5"/>
    <w:rsid w:val="065A0042"/>
    <w:rsid w:val="06D647B2"/>
    <w:rsid w:val="073D40F2"/>
    <w:rsid w:val="074D3A73"/>
    <w:rsid w:val="0770259A"/>
    <w:rsid w:val="07A8656E"/>
    <w:rsid w:val="07FF1E18"/>
    <w:rsid w:val="0806021D"/>
    <w:rsid w:val="0895305B"/>
    <w:rsid w:val="08A00F85"/>
    <w:rsid w:val="08E0285A"/>
    <w:rsid w:val="09B27599"/>
    <w:rsid w:val="0BAA5F1B"/>
    <w:rsid w:val="0BE94F9B"/>
    <w:rsid w:val="0C98413D"/>
    <w:rsid w:val="0D9102BF"/>
    <w:rsid w:val="0DE9367A"/>
    <w:rsid w:val="0E3425E2"/>
    <w:rsid w:val="0E375B47"/>
    <w:rsid w:val="0E940129"/>
    <w:rsid w:val="1083042A"/>
    <w:rsid w:val="10841FDC"/>
    <w:rsid w:val="10AD2ED9"/>
    <w:rsid w:val="10C055FF"/>
    <w:rsid w:val="1110228C"/>
    <w:rsid w:val="11C37DD0"/>
    <w:rsid w:val="12A7079D"/>
    <w:rsid w:val="13360CC0"/>
    <w:rsid w:val="13864471"/>
    <w:rsid w:val="13883572"/>
    <w:rsid w:val="13B06987"/>
    <w:rsid w:val="13F82147"/>
    <w:rsid w:val="14213B17"/>
    <w:rsid w:val="15B2723F"/>
    <w:rsid w:val="1671034E"/>
    <w:rsid w:val="16886FCA"/>
    <w:rsid w:val="16B06CC3"/>
    <w:rsid w:val="16BB723D"/>
    <w:rsid w:val="16D1187D"/>
    <w:rsid w:val="17297656"/>
    <w:rsid w:val="17915608"/>
    <w:rsid w:val="19C471DF"/>
    <w:rsid w:val="1AEE7ABE"/>
    <w:rsid w:val="1B6B2773"/>
    <w:rsid w:val="1BEC0792"/>
    <w:rsid w:val="1C5D607B"/>
    <w:rsid w:val="1E037545"/>
    <w:rsid w:val="1E0C32E6"/>
    <w:rsid w:val="1E6A3C6E"/>
    <w:rsid w:val="1F8B209E"/>
    <w:rsid w:val="20106C1A"/>
    <w:rsid w:val="201A1689"/>
    <w:rsid w:val="20AB4C08"/>
    <w:rsid w:val="216E0802"/>
    <w:rsid w:val="22221183"/>
    <w:rsid w:val="2288244E"/>
    <w:rsid w:val="228C4C60"/>
    <w:rsid w:val="22E70030"/>
    <w:rsid w:val="240371BF"/>
    <w:rsid w:val="24C12C5F"/>
    <w:rsid w:val="258E72E5"/>
    <w:rsid w:val="26387359"/>
    <w:rsid w:val="26D70D98"/>
    <w:rsid w:val="28B00C68"/>
    <w:rsid w:val="28BF4DC1"/>
    <w:rsid w:val="29FD04D3"/>
    <w:rsid w:val="2A314CD3"/>
    <w:rsid w:val="2AA448B8"/>
    <w:rsid w:val="2AB22F6C"/>
    <w:rsid w:val="2AEC1B09"/>
    <w:rsid w:val="2B122BEE"/>
    <w:rsid w:val="2B867D3E"/>
    <w:rsid w:val="2BC2333A"/>
    <w:rsid w:val="2BD54F01"/>
    <w:rsid w:val="2C264154"/>
    <w:rsid w:val="2C3E2891"/>
    <w:rsid w:val="2C8655F7"/>
    <w:rsid w:val="2C9F66B8"/>
    <w:rsid w:val="2D0E6808"/>
    <w:rsid w:val="2D6B15D6"/>
    <w:rsid w:val="2DD32259"/>
    <w:rsid w:val="2E9152F7"/>
    <w:rsid w:val="2E976DAE"/>
    <w:rsid w:val="2EAF77D4"/>
    <w:rsid w:val="2F790589"/>
    <w:rsid w:val="2FB874AE"/>
    <w:rsid w:val="2FF6144F"/>
    <w:rsid w:val="302F6608"/>
    <w:rsid w:val="3030227D"/>
    <w:rsid w:val="304B6114"/>
    <w:rsid w:val="305A7FF5"/>
    <w:rsid w:val="308160F5"/>
    <w:rsid w:val="31472D3E"/>
    <w:rsid w:val="319F7F4E"/>
    <w:rsid w:val="31D82664"/>
    <w:rsid w:val="31EE1699"/>
    <w:rsid w:val="32110093"/>
    <w:rsid w:val="32744470"/>
    <w:rsid w:val="328141C5"/>
    <w:rsid w:val="33EB05F3"/>
    <w:rsid w:val="34CF7C58"/>
    <w:rsid w:val="350556D8"/>
    <w:rsid w:val="3509652C"/>
    <w:rsid w:val="36E47FC8"/>
    <w:rsid w:val="38E56878"/>
    <w:rsid w:val="38F76902"/>
    <w:rsid w:val="39BA4581"/>
    <w:rsid w:val="39BC0884"/>
    <w:rsid w:val="39F85DB1"/>
    <w:rsid w:val="3A161155"/>
    <w:rsid w:val="3A395B8A"/>
    <w:rsid w:val="3A4B0CAD"/>
    <w:rsid w:val="3AEC4E77"/>
    <w:rsid w:val="3B347CA6"/>
    <w:rsid w:val="3BD35184"/>
    <w:rsid w:val="3C5D7EEE"/>
    <w:rsid w:val="3D4D1D0F"/>
    <w:rsid w:val="3DAF6AA3"/>
    <w:rsid w:val="3EEE0947"/>
    <w:rsid w:val="3FD86E37"/>
    <w:rsid w:val="40627967"/>
    <w:rsid w:val="40730CFD"/>
    <w:rsid w:val="40C27A93"/>
    <w:rsid w:val="4228794F"/>
    <w:rsid w:val="42FC6A87"/>
    <w:rsid w:val="43A36A14"/>
    <w:rsid w:val="44D87CAB"/>
    <w:rsid w:val="44FA19ED"/>
    <w:rsid w:val="45970BB3"/>
    <w:rsid w:val="45E251D3"/>
    <w:rsid w:val="465A6590"/>
    <w:rsid w:val="467E58C4"/>
    <w:rsid w:val="46A42981"/>
    <w:rsid w:val="46B60AE6"/>
    <w:rsid w:val="475C31A1"/>
    <w:rsid w:val="47B00647"/>
    <w:rsid w:val="47D26C51"/>
    <w:rsid w:val="47EE3726"/>
    <w:rsid w:val="47EF8C39"/>
    <w:rsid w:val="48921B7A"/>
    <w:rsid w:val="48E17F63"/>
    <w:rsid w:val="4A463310"/>
    <w:rsid w:val="4A8718F0"/>
    <w:rsid w:val="4AA62970"/>
    <w:rsid w:val="4AC94E7C"/>
    <w:rsid w:val="4C0F2131"/>
    <w:rsid w:val="4C6C3121"/>
    <w:rsid w:val="4CE526C6"/>
    <w:rsid w:val="4D2C0F03"/>
    <w:rsid w:val="4D3F0D05"/>
    <w:rsid w:val="4D80420A"/>
    <w:rsid w:val="4E7547B5"/>
    <w:rsid w:val="4E9529FD"/>
    <w:rsid w:val="4ECE2238"/>
    <w:rsid w:val="4F214427"/>
    <w:rsid w:val="4F386381"/>
    <w:rsid w:val="4F45222F"/>
    <w:rsid w:val="4FB84DA9"/>
    <w:rsid w:val="50645C57"/>
    <w:rsid w:val="5074689A"/>
    <w:rsid w:val="507A7447"/>
    <w:rsid w:val="52574178"/>
    <w:rsid w:val="54591177"/>
    <w:rsid w:val="547C6721"/>
    <w:rsid w:val="54E57CA4"/>
    <w:rsid w:val="557A45DA"/>
    <w:rsid w:val="56114DE8"/>
    <w:rsid w:val="56431F0C"/>
    <w:rsid w:val="574B0859"/>
    <w:rsid w:val="574E179D"/>
    <w:rsid w:val="594C5732"/>
    <w:rsid w:val="59721FDC"/>
    <w:rsid w:val="5A253005"/>
    <w:rsid w:val="5ADC3F87"/>
    <w:rsid w:val="5AE161E3"/>
    <w:rsid w:val="5C617BA9"/>
    <w:rsid w:val="5C7D6D93"/>
    <w:rsid w:val="5D0E1AC0"/>
    <w:rsid w:val="5D6C0043"/>
    <w:rsid w:val="5E5879A9"/>
    <w:rsid w:val="5F710B42"/>
    <w:rsid w:val="608A15EF"/>
    <w:rsid w:val="60BF58CA"/>
    <w:rsid w:val="61105A85"/>
    <w:rsid w:val="61B7124D"/>
    <w:rsid w:val="61DE57F1"/>
    <w:rsid w:val="61DF4654"/>
    <w:rsid w:val="621C04FE"/>
    <w:rsid w:val="622A3834"/>
    <w:rsid w:val="62C103D3"/>
    <w:rsid w:val="631D0A07"/>
    <w:rsid w:val="63F32E66"/>
    <w:rsid w:val="646E670E"/>
    <w:rsid w:val="650C3222"/>
    <w:rsid w:val="651147A1"/>
    <w:rsid w:val="6703424A"/>
    <w:rsid w:val="67BB2BB4"/>
    <w:rsid w:val="6818326D"/>
    <w:rsid w:val="68265AFD"/>
    <w:rsid w:val="68607AB2"/>
    <w:rsid w:val="69177703"/>
    <w:rsid w:val="697E60A4"/>
    <w:rsid w:val="6B287FF4"/>
    <w:rsid w:val="6B46242D"/>
    <w:rsid w:val="6BB01A05"/>
    <w:rsid w:val="6CB4092C"/>
    <w:rsid w:val="6CDF6C8F"/>
    <w:rsid w:val="6CF84DA6"/>
    <w:rsid w:val="6DB7042A"/>
    <w:rsid w:val="6DEF3DC0"/>
    <w:rsid w:val="6E4167D1"/>
    <w:rsid w:val="6EBE4555"/>
    <w:rsid w:val="6FA4548E"/>
    <w:rsid w:val="70030F3B"/>
    <w:rsid w:val="70582021"/>
    <w:rsid w:val="706C5A30"/>
    <w:rsid w:val="715F5214"/>
    <w:rsid w:val="716D2944"/>
    <w:rsid w:val="71743D3E"/>
    <w:rsid w:val="71830459"/>
    <w:rsid w:val="71BD10A8"/>
    <w:rsid w:val="71D54527"/>
    <w:rsid w:val="71E92A61"/>
    <w:rsid w:val="72734D90"/>
    <w:rsid w:val="7306161B"/>
    <w:rsid w:val="740E2540"/>
    <w:rsid w:val="74EE4E1A"/>
    <w:rsid w:val="7544575F"/>
    <w:rsid w:val="75E94AC8"/>
    <w:rsid w:val="7602332E"/>
    <w:rsid w:val="76890A1B"/>
    <w:rsid w:val="769D4C7F"/>
    <w:rsid w:val="76F200D1"/>
    <w:rsid w:val="774F6942"/>
    <w:rsid w:val="77581F62"/>
    <w:rsid w:val="787B346E"/>
    <w:rsid w:val="788B6A35"/>
    <w:rsid w:val="795E3A14"/>
    <w:rsid w:val="795F2938"/>
    <w:rsid w:val="79F944D9"/>
    <w:rsid w:val="7A117F28"/>
    <w:rsid w:val="7A1E7266"/>
    <w:rsid w:val="7AAF7546"/>
    <w:rsid w:val="7ABF3AD5"/>
    <w:rsid w:val="7B0F4082"/>
    <w:rsid w:val="7B26607A"/>
    <w:rsid w:val="7B791F64"/>
    <w:rsid w:val="7BAB035A"/>
    <w:rsid w:val="7BAD50E1"/>
    <w:rsid w:val="7BDE67FE"/>
    <w:rsid w:val="7BE95D3C"/>
    <w:rsid w:val="7CB944E6"/>
    <w:rsid w:val="7CDD3A28"/>
    <w:rsid w:val="7D0E5599"/>
    <w:rsid w:val="7D3669E2"/>
    <w:rsid w:val="7D4B74A5"/>
    <w:rsid w:val="7D6E4E80"/>
    <w:rsid w:val="7F276D54"/>
    <w:rsid w:val="7FA84EEC"/>
    <w:rsid w:val="7FABCED3"/>
    <w:rsid w:val="7FD63F54"/>
    <w:rsid w:val="B73FD72A"/>
    <w:rsid w:val="FF9E7B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Lines="0" w:afterLines="0"/>
      <w:ind w:firstLine="420"/>
    </w:pPr>
    <w:rPr>
      <w:rFonts w:hint="eastAsia"/>
      <w:sz w:val="32"/>
      <w:szCs w:val="32"/>
    </w:rPr>
  </w:style>
  <w:style w:type="paragraph" w:styleId="3">
    <w:name w:val="Body Text Indent"/>
    <w:basedOn w:val="1"/>
    <w:unhideWhenUsed/>
    <w:qFormat/>
    <w:uiPriority w:val="0"/>
    <w:pPr>
      <w:spacing w:beforeLines="0" w:afterLines="0"/>
      <w:ind w:right="-334" w:rightChars="-159" w:firstLine="640" w:firstLineChars="200"/>
      <w:jc w:val="left"/>
    </w:pPr>
    <w:rPr>
      <w:rFonts w:hint="eastAsia" w:ascii="仿宋_GB2312" w:hAnsi="仿宋_GB2312" w:eastAsia="仿宋_GB2312"/>
      <w:sz w:val="32"/>
      <w:szCs w:val="32"/>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unhideWhenUsed/>
    <w:qFormat/>
    <w:uiPriority w:val="0"/>
    <w:pPr>
      <w:spacing w:beforeLines="0" w:afterLines="0"/>
      <w:ind w:leftChars="200" w:hanging="200" w:hangingChars="200"/>
    </w:pPr>
    <w:rPr>
      <w:rFonts w:hint="eastAsia"/>
      <w:sz w:val="32"/>
      <w:szCs w:val="24"/>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page number"/>
    <w:basedOn w:val="17"/>
    <w:unhideWhenUsed/>
    <w:qFormat/>
    <w:uiPriority w:val="0"/>
    <w:rPr>
      <w:rFonts w:hint="default"/>
      <w:sz w:val="24"/>
      <w:szCs w:val="24"/>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unhideWhenUsed/>
    <w:qFormat/>
    <w:uiPriority w:val="0"/>
    <w:pPr>
      <w:spacing w:beforeLines="0" w:afterLines="0" w:line="360" w:lineRule="auto"/>
    </w:pPr>
    <w:rPr>
      <w:rFonts w:hint="default" w:ascii="??" w:hAnsi="??" w:eastAsia="宋体" w:cs="宋体"/>
      <w:color w:val="000000"/>
      <w:kern w:val="0"/>
      <w:sz w:val="28"/>
      <w:szCs w:val="21"/>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021&#37096;&#38376;&#20915;&#31639;&#20844;&#24320;&#36164;&#26009;\2021&#24180;&#20915;&#31639;&#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021&#37096;&#38376;&#20915;&#31639;&#20844;&#24320;&#36164;&#26009;\2021&#24180;&#20915;&#31639;&#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021&#37096;&#38376;&#20915;&#31639;&#20844;&#24320;&#36164;&#26009;\2021&#24180;&#20915;&#31639;&#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021&#37096;&#38376;&#20915;&#31639;&#20844;&#24320;&#36164;&#26009;\2021&#24180;&#20915;&#31639;&#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2021&#37096;&#38376;&#20915;&#31639;&#20844;&#24320;&#36164;&#26009;\2021&#24180;&#20915;&#31639;&#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021&#37096;&#38376;&#20915;&#31639;&#20844;&#24320;&#36164;&#26009;\2021&#24180;&#20915;&#31639;&#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lenovo\Desktop\2021&#37096;&#38376;&#20915;&#31639;&#20844;&#24320;&#36164;&#26009;\2021&#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[2021年决算图表.xlsx]Sheet1!$A$1</c:f>
              <c:strCache>
                <c:ptCount val="1"/>
                <c:pt idx="0">
                  <c:v>2020 年收、支总计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[2021年决算图表.xlsx]Sheet1!$B$1</c:f>
              <c:numCache>
                <c:formatCode>General</c:formatCode>
                <c:ptCount val="1"/>
                <c:pt idx="0">
                  <c:v>6812.69</c:v>
                </c:pt>
              </c:numCache>
            </c:numRef>
          </c:val>
        </c:ser>
        <c:ser>
          <c:idx val="1"/>
          <c:order val="1"/>
          <c:tx>
            <c:strRef>
              <c:f>[2021年决算图表.xlsx]Sheet1!$A$2</c:f>
              <c:strCache>
                <c:ptCount val="1"/>
                <c:pt idx="0">
                  <c:v>2021年收、支总计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[2021年决算图表.xlsx]Sheet1!$B$2</c:f>
              <c:numCache>
                <c:formatCode>General</c:formatCode>
                <c:ptCount val="1"/>
                <c:pt idx="0">
                  <c:v>4684.46</c:v>
                </c:pt>
              </c:numCache>
            </c:numRef>
          </c:val>
        </c:ser>
        <c:dLbls>
          <c:showLegendKey val="0"/>
          <c:showVal val="1"/>
          <c:showCatName val="0"/>
          <c:showSerName val="0"/>
          <c:showPercent val="0"/>
          <c:showBubbleSize val="0"/>
        </c:dLbls>
        <c:gapWidth val="219"/>
        <c:overlap val="-27"/>
        <c:axId val="206329640"/>
        <c:axId val="84797869"/>
      </c:barChart>
      <c:catAx>
        <c:axId val="206329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97869"/>
        <c:crosses val="autoZero"/>
        <c:auto val="1"/>
        <c:lblAlgn val="ctr"/>
        <c:lblOffset val="100"/>
        <c:noMultiLvlLbl val="0"/>
      </c:catAx>
      <c:valAx>
        <c:axId val="847978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3296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29166666666667"/>
                  <c:y val="-0.18402777777777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[2021年决算图表.xlsx]Sheet1!$A$11:$B$11</c:f>
              <c:strCache>
                <c:ptCount val="2"/>
                <c:pt idx="0">
                  <c:v>一般公共预算财政拨款收入</c:v>
                </c:pt>
                <c:pt idx="1">
                  <c:v>政府性基金预算财政拨款收入</c:v>
                </c:pt>
              </c:strCache>
            </c:strRef>
          </c:cat>
          <c:val>
            <c:numRef>
              <c:f>[2021年决算图表.xlsx]Sheet1!$A$12:$B$12</c:f>
              <c:numCache>
                <c:formatCode>General</c:formatCode>
                <c:ptCount val="2"/>
                <c:pt idx="0">
                  <c:v>3823.79</c:v>
                </c:pt>
                <c:pt idx="1">
                  <c:v>377.34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[2021年决算图表.xlsx]Sheet1!$A$19:$B$19</c:f>
              <c:strCache>
                <c:ptCount val="2"/>
                <c:pt idx="0">
                  <c:v>基本支出</c:v>
                </c:pt>
                <c:pt idx="1">
                  <c:v>项目支出</c:v>
                </c:pt>
              </c:strCache>
            </c:strRef>
          </c:cat>
          <c:val>
            <c:numRef>
              <c:f>[2021年决算图表.xlsx]Sheet1!$A$20:$B$20</c:f>
              <c:numCache>
                <c:formatCode>General</c:formatCode>
                <c:ptCount val="2"/>
                <c:pt idx="0">
                  <c:v>187.65</c:v>
                </c:pt>
                <c:pt idx="1">
                  <c:v>4496.81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[2021年决算图表.xlsx]Sheet1!$A$23:$A$24</c:f>
              <c:strCache>
                <c:ptCount val="2"/>
                <c:pt idx="0">
                  <c:v>2020年财政拨款收、支总计</c:v>
                </c:pt>
                <c:pt idx="1">
                  <c:v>2021年财政拨款收、支总计</c:v>
                </c:pt>
              </c:strCache>
            </c:strRef>
          </c:cat>
          <c:val>
            <c:numRef>
              <c:f>[2021年决算图表.xlsx]Sheet1!$B$23:$B$24</c:f>
              <c:numCache>
                <c:formatCode>General</c:formatCode>
                <c:ptCount val="2"/>
                <c:pt idx="0">
                  <c:v>6812.69</c:v>
                </c:pt>
                <c:pt idx="1">
                  <c:v>4684.46</c:v>
                </c:pt>
              </c:numCache>
            </c:numRef>
          </c:val>
        </c:ser>
        <c:dLbls>
          <c:showLegendKey val="0"/>
          <c:showVal val="1"/>
          <c:showCatName val="0"/>
          <c:showSerName val="0"/>
          <c:showPercent val="0"/>
          <c:showBubbleSize val="0"/>
        </c:dLbls>
        <c:gapWidth val="150"/>
        <c:overlap val="100"/>
        <c:axId val="579103416"/>
        <c:axId val="65991225"/>
      </c:barChart>
      <c:catAx>
        <c:axId val="5791034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91225"/>
        <c:crosses val="autoZero"/>
        <c:auto val="1"/>
        <c:lblAlgn val="ctr"/>
        <c:lblOffset val="100"/>
        <c:noMultiLvlLbl val="0"/>
      </c:catAx>
      <c:valAx>
        <c:axId val="659912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9103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[2021年决算图表.xlsx]Sheet1!$A$28:$A$29</c:f>
              <c:strCache>
                <c:ptCount val="2"/>
                <c:pt idx="0">
                  <c:v>2020年一般公共预算财政拨款支出</c:v>
                </c:pt>
                <c:pt idx="1">
                  <c:v>2021年一般公共预算财政拨款支出</c:v>
                </c:pt>
              </c:strCache>
            </c:strRef>
          </c:cat>
          <c:val>
            <c:numRef>
              <c:f>[2021年决算图表.xlsx]Sheet1!$B$28:$B$29</c:f>
              <c:numCache>
                <c:formatCode>General</c:formatCode>
                <c:ptCount val="2"/>
                <c:pt idx="0">
                  <c:v>6187.39</c:v>
                </c:pt>
                <c:pt idx="1">
                  <c:v>4295.81</c:v>
                </c:pt>
              </c:numCache>
            </c:numRef>
          </c:val>
        </c:ser>
        <c:dLbls>
          <c:showLegendKey val="0"/>
          <c:showVal val="1"/>
          <c:showCatName val="0"/>
          <c:showSerName val="0"/>
          <c:showPercent val="0"/>
          <c:showBubbleSize val="0"/>
        </c:dLbls>
        <c:gapWidth val="219"/>
        <c:overlap val="-27"/>
        <c:axId val="220503209"/>
        <c:axId val="793238330"/>
      </c:barChart>
      <c:catAx>
        <c:axId val="2205032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3238330"/>
        <c:crosses val="autoZero"/>
        <c:auto val="1"/>
        <c:lblAlgn val="ctr"/>
        <c:lblOffset val="100"/>
        <c:noMultiLvlLbl val="0"/>
      </c:catAx>
      <c:valAx>
        <c:axId val="7932383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50320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144764846109249"/>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560627125216029"/>
                  <c:y val="0"/>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272784598498018"/>
                  <c:y val="0.0026322829408762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[2021年决算图表.xlsx]Sheet1!$A$31:$D$31</c:f>
              <c:strCache>
                <c:ptCount val="4"/>
                <c:pt idx="0">
                  <c:v>社会保障和就业支出</c:v>
                </c:pt>
                <c:pt idx="1">
                  <c:v>卫生健康支出</c:v>
                </c:pt>
                <c:pt idx="2">
                  <c:v>农林水支出</c:v>
                </c:pt>
                <c:pt idx="3">
                  <c:v>住房保障支出</c:v>
                </c:pt>
              </c:strCache>
            </c:strRef>
          </c:cat>
          <c:val>
            <c:numRef>
              <c:f>[2021年决算图表.xlsx]Sheet1!$A$32:$D$32</c:f>
              <c:numCache>
                <c:formatCode>General</c:formatCode>
                <c:ptCount val="4"/>
                <c:pt idx="0">
                  <c:v>4274.37</c:v>
                </c:pt>
                <c:pt idx="1">
                  <c:v>9.02</c:v>
                </c:pt>
                <c:pt idx="2">
                  <c:v>0.84</c:v>
                </c:pt>
                <c:pt idx="3">
                  <c:v>11.59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[2021年决算图表.xlsx]Sheet1!$A$42:$B$42</c:f>
              <c:strCache>
                <c:ptCount val="2"/>
                <c:pt idx="0">
                  <c:v>公务用车与维护费</c:v>
                </c:pt>
                <c:pt idx="1">
                  <c:v>公务接待费</c:v>
                </c:pt>
              </c:strCache>
            </c:strRef>
          </c:cat>
          <c:val>
            <c:numRef>
              <c:f>[2021年决算图表.xlsx]Sheet1!$A$43:$B$43</c:f>
              <c:numCache>
                <c:formatCode>General</c:formatCode>
                <c:ptCount val="2"/>
                <c:pt idx="0">
                  <c:v>5.91</c:v>
                </c:pt>
                <c:pt idx="1">
                  <c:v>0.04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60</Pages>
  <Words>6923</Words>
  <Characters>7675</Characters>
  <Lines>121</Lines>
  <Paragraphs>34</Paragraphs>
  <TotalTime>17</TotalTime>
  <ScaleCrop>false</ScaleCrop>
  <LinksUpToDate>false</LinksUpToDate>
  <CharactersWithSpaces>7776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2021-09-27T10:54:00Z</cp:lastPrinted>
  <dcterms:modified xsi:type="dcterms:W3CDTF">2026-04-22T09:50:30Z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69FD6E65A52046A9A38A8F55C36BEE17</vt:lpwstr>
  </property>
  <property fmtid="{D5CDD505-2E9C-101B-9397-08002B2CF9AE}" pid="4" name="KSOTemplateDocerSaveRecord">
    <vt:lpwstr>eyJoZGlkIjoiYjllZGNkZWEzYjg0NDNmNTQ5MjkzNjk0ODlhNmVkYzAiLCJ1c2VySWQiOiI0MTAxMDQ4MDkifQ==</vt:lpwstr>
  </property>
</Properties>
</file>