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b/>
          <w:sz w:val="72"/>
          <w:szCs w:val="72"/>
        </w:rPr>
      </w:pPr>
      <w:bookmarkStart w:id="0" w:name="_Toc15396597"/>
      <w:bookmarkStart w:id="1" w:name="_Toc15378441"/>
      <w:bookmarkStart w:id="2" w:name="_Toc15377425"/>
      <w:bookmarkStart w:id="3" w:name="_Toc15377193"/>
      <w:bookmarkStart w:id="4" w:name="_Toc15396475"/>
      <w:bookmarkStart w:id="5" w:name="_Toc15306267"/>
      <w:bookmarkStart w:id="132" w:name="_GoBack"/>
      <w:bookmarkEnd w:id="132"/>
    </w:p>
    <w:p>
      <w:pPr>
        <w:pStyle w:val="2"/>
        <w:ind w:firstLine="0"/>
      </w:pP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2021年度</w:t>
      </w:r>
      <w:bookmarkEnd w:id="0"/>
      <w:bookmarkEnd w:id="1"/>
      <w:bookmarkEnd w:id="2"/>
      <w:bookmarkEnd w:id="3"/>
      <w:bookmarkEnd w:id="4"/>
    </w:p>
    <w:bookmarkEnd w:id="5"/>
    <w:p>
      <w:pPr>
        <w:jc w:val="center"/>
        <w:rPr>
          <w:rFonts w:asciiTheme="minorEastAsia" w:hAnsiTheme="minorEastAsia" w:eastAsiaTheme="minorEastAsia"/>
          <w:b/>
          <w:sz w:val="72"/>
          <w:szCs w:val="72"/>
        </w:rPr>
      </w:pPr>
      <w:bookmarkStart w:id="6" w:name="_Toc15396476"/>
      <w:bookmarkStart w:id="7" w:name="_Toc15378442"/>
      <w:bookmarkStart w:id="8" w:name="_Toc15396598"/>
      <w:bookmarkStart w:id="9" w:name="_Toc15377426"/>
      <w:bookmarkStart w:id="10" w:name="_Toc15377194"/>
      <w:bookmarkStart w:id="11" w:name="_Toc15306268"/>
      <w:r>
        <w:rPr>
          <w:rFonts w:asciiTheme="minorEastAsia" w:hAnsiTheme="minorEastAsia" w:eastAsiaTheme="minorEastAsia"/>
          <w:b/>
          <w:sz w:val="72"/>
          <w:szCs w:val="72"/>
        </w:rPr>
        <w:t>阿坝州茂县司法局</w:t>
      </w:r>
      <w:r>
        <w:rPr>
          <w:rFonts w:hint="eastAsia" w:asciiTheme="minorEastAsia" w:hAnsiTheme="minorEastAsia" w:eastAsiaTheme="minorEastAsia"/>
          <w:b/>
          <w:sz w:val="72"/>
          <w:szCs w:val="72"/>
        </w:rPr>
        <w:t>部门决算</w:t>
      </w:r>
      <w:bookmarkEnd w:id="6"/>
      <w:bookmarkEnd w:id="7"/>
      <w:bookmarkEnd w:id="8"/>
      <w:bookmarkEnd w:id="9"/>
      <w:bookmarkEnd w:id="10"/>
      <w:bookmarkEnd w:id="11"/>
      <w:r>
        <w:rPr>
          <w:rFonts w:hint="eastAsia" w:asciiTheme="minorEastAsia" w:hAnsiTheme="minorEastAsia" w:eastAsiaTheme="minorEastAsia"/>
          <w:b/>
          <w:sz w:val="72"/>
          <w:szCs w:val="72"/>
        </w:rPr>
        <w:t>编制说明</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tabs>
          <w:tab w:val="left" w:pos="3600"/>
        </w:tabs>
      </w:pPr>
      <w:r>
        <w:tab/>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bookmarkStart w:id="12" w:name="_Toc15377196"/>
    </w:p>
    <w:p>
      <w:pPr>
        <w:pStyle w:val="12"/>
        <w:rPr>
          <w:rFonts w:asciiTheme="minorHAnsi" w:hAnsiTheme="minorHAnsi" w:eastAsiaTheme="minorEastAsia" w:cstheme="minorBidi"/>
          <w:sz w:val="21"/>
          <w:szCs w:val="22"/>
        </w:rPr>
      </w:pPr>
      <w:r>
        <w:rPr>
          <w:smallCaps/>
          <w:sz w:val="20"/>
          <w:szCs w:val="20"/>
        </w:rPr>
        <w:fldChar w:fldCharType="begin"/>
      </w:r>
      <w:r>
        <w:rPr>
          <w:smallCaps/>
          <w:sz w:val="20"/>
          <w:szCs w:val="20"/>
        </w:rPr>
        <w:instrText xml:space="preserve"> TOC \o "1-2" \h \z \u </w:instrText>
      </w:r>
      <w:r>
        <w:rPr>
          <w:smallCaps/>
          <w:sz w:val="20"/>
          <w:szCs w:val="20"/>
        </w:rPr>
        <w:fldChar w:fldCharType="separate"/>
      </w:r>
      <w:r>
        <w:fldChar w:fldCharType="begin"/>
      </w:r>
      <w:r>
        <w:instrText xml:space="preserve"> HYPERLINK \l "_Toc113981009" </w:instrText>
      </w:r>
      <w:r>
        <w:fldChar w:fldCharType="separate"/>
      </w:r>
      <w:r>
        <w:rPr>
          <w:rStyle w:val="18"/>
          <w:rFonts w:ascii="黑体" w:hAnsi="黑体" w:eastAsia="黑体" w:cs="黑体"/>
        </w:rPr>
        <w:t>第一部分 部门概况</w:t>
      </w:r>
      <w:r>
        <w:tab/>
      </w:r>
      <w:r>
        <w:fldChar w:fldCharType="begin"/>
      </w:r>
      <w:r>
        <w:instrText xml:space="preserve"> PAGEREF _Toc113981009 \h </w:instrText>
      </w:r>
      <w:r>
        <w:fldChar w:fldCharType="separate"/>
      </w:r>
      <w:r>
        <w:t>3</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"_Toc113981010" </w:instrText>
      </w:r>
      <w:r>
        <w:fldChar w:fldCharType="separate"/>
      </w:r>
      <w:r>
        <w:rPr>
          <w:rStyle w:val="18"/>
          <w:rFonts w:ascii="黑体" w:eastAsia="黑体"/>
        </w:rPr>
        <w:t>一、基本职能及主要工作</w:t>
      </w:r>
      <w:r>
        <w:tab/>
      </w:r>
      <w:r>
        <w:fldChar w:fldCharType="begin"/>
      </w:r>
      <w:r>
        <w:instrText xml:space="preserve"> PAGEREF _Toc113981010 \h </w:instrText>
      </w:r>
      <w:r>
        <w:fldChar w:fldCharType="separate"/>
      </w:r>
      <w:r>
        <w:t>3</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"_Toc113981011" </w:instrText>
      </w:r>
      <w:r>
        <w:fldChar w:fldCharType="separate"/>
      </w:r>
      <w:r>
        <w:rPr>
          <w:rStyle w:val="18"/>
          <w:rFonts w:ascii="黑体" w:eastAsia="黑体"/>
        </w:rPr>
        <w:t>二、机构设置</w:t>
      </w:r>
      <w:r>
        <w:tab/>
      </w:r>
      <w:r>
        <w:fldChar w:fldCharType="begin"/>
      </w:r>
      <w:r>
        <w:instrText xml:space="preserve"> PAGEREF _Toc113981011 \h </w:instrText>
      </w:r>
      <w:r>
        <w:fldChar w:fldCharType="separate"/>
      </w:r>
      <w:r>
        <w:t>3</w:t>
      </w:r>
      <w:r>
        <w:fldChar w:fldCharType="end"/>
      </w:r>
      <w:r>
        <w:fldChar w:fldCharType="end"/>
      </w:r>
    </w:p>
    <w:p>
      <w:pPr>
        <w:pStyle w:val="12"/>
        <w:rPr>
          <w:rFonts w:asciiTheme="minorHAnsi" w:hAnsiTheme="minorHAnsi" w:eastAsiaTheme="minorEastAsia" w:cstheme="minorBidi"/>
          <w:sz w:val="21"/>
          <w:szCs w:val="22"/>
        </w:rPr>
      </w:pPr>
      <w:r>
        <w:fldChar w:fldCharType="begin"/>
      </w:r>
      <w:r>
        <w:instrText xml:space="preserve"> HYPERLINK \l "_Toc113981012" </w:instrText>
      </w:r>
      <w:r>
        <w:fldChar w:fldCharType="separate"/>
      </w:r>
      <w:r>
        <w:rPr>
          <w:rStyle w:val="18"/>
          <w:rFonts w:hint="eastAsia" w:ascii="黑体" w:hAnsi="黑体" w:eastAsia="黑体" w:cs="黑体"/>
        </w:rPr>
        <w:t>第二部分</w:t>
      </w:r>
      <w:r>
        <w:rPr>
          <w:rStyle w:val="18"/>
          <w:rFonts w:ascii="黑体" w:hAnsi="黑体" w:eastAsia="黑体" w:cs="黑体"/>
        </w:rPr>
        <w:t xml:space="preserve"> 2021年度部门决算情况说明</w:t>
      </w:r>
      <w:r>
        <w:tab/>
      </w:r>
      <w:r>
        <w:fldChar w:fldCharType="begin"/>
      </w:r>
      <w:r>
        <w:instrText xml:space="preserve"> PAGEREF _Toc113981012 \h </w:instrText>
      </w:r>
      <w:r>
        <w:fldChar w:fldCharType="separate"/>
      </w:r>
      <w:r>
        <w:t>4</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"_Toc113981013" </w:instrText>
      </w:r>
      <w:r>
        <w:fldChar w:fldCharType="separate"/>
      </w:r>
      <w:r>
        <w:rPr>
          <w:rStyle w:val="18"/>
          <w:rFonts w:ascii="黑体" w:eastAsia="黑体"/>
        </w:rPr>
        <w:t>一、收入支出决算总体情况说明</w:t>
      </w:r>
      <w:r>
        <w:tab/>
      </w:r>
      <w:r>
        <w:fldChar w:fldCharType="begin"/>
      </w:r>
      <w:r>
        <w:instrText xml:space="preserve"> PAGEREF _Toc113981013 \h </w:instrText>
      </w:r>
      <w:r>
        <w:fldChar w:fldCharType="separate"/>
      </w:r>
      <w:r>
        <w:t>4</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"_Toc113981014" </w:instrText>
      </w:r>
      <w:r>
        <w:fldChar w:fldCharType="separate"/>
      </w:r>
      <w:r>
        <w:rPr>
          <w:rStyle w:val="18"/>
          <w:rFonts w:ascii="黑体" w:eastAsia="黑体"/>
        </w:rPr>
        <w:t>二、收入决算情况说明</w:t>
      </w:r>
      <w:r>
        <w:tab/>
      </w:r>
      <w:r>
        <w:fldChar w:fldCharType="begin"/>
      </w:r>
      <w:r>
        <w:instrText xml:space="preserve"> PAGEREF _Toc113981014 \h </w:instrText>
      </w:r>
      <w:r>
        <w:fldChar w:fldCharType="separate"/>
      </w:r>
      <w:r>
        <w:t>4</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"_Toc113981015" </w:instrText>
      </w:r>
      <w:r>
        <w:fldChar w:fldCharType="separate"/>
      </w:r>
      <w:r>
        <w:rPr>
          <w:rStyle w:val="18"/>
          <w:rFonts w:ascii="黑体" w:eastAsia="黑体"/>
        </w:rPr>
        <w:t>三、支出决算情况说明</w:t>
      </w:r>
      <w:r>
        <w:tab/>
      </w:r>
      <w:r>
        <w:fldChar w:fldCharType="begin"/>
      </w:r>
      <w:r>
        <w:instrText xml:space="preserve"> PAGEREF _Toc113981015 \h </w:instrText>
      </w:r>
      <w:r>
        <w:fldChar w:fldCharType="separate"/>
      </w:r>
      <w:r>
        <w:t>5</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"_Toc113981016" </w:instrText>
      </w:r>
      <w:r>
        <w:fldChar w:fldCharType="separate"/>
      </w:r>
      <w:r>
        <w:rPr>
          <w:rStyle w:val="18"/>
          <w:rFonts w:ascii="黑体" w:eastAsia="黑体"/>
        </w:rPr>
        <w:t>四、财政拨款收入支出决算总体情况说明</w:t>
      </w:r>
      <w:r>
        <w:tab/>
      </w:r>
      <w:r>
        <w:fldChar w:fldCharType="begin"/>
      </w:r>
      <w:r>
        <w:instrText xml:space="preserve"> PAGEREF _Toc113981016 \h </w:instrText>
      </w:r>
      <w:r>
        <w:fldChar w:fldCharType="separate"/>
      </w:r>
      <w:r>
        <w:t>6</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"_Toc113981017" </w:instrText>
      </w:r>
      <w:r>
        <w:fldChar w:fldCharType="separate"/>
      </w:r>
      <w:r>
        <w:rPr>
          <w:rStyle w:val="18"/>
          <w:rFonts w:ascii="黑体" w:eastAsia="黑体"/>
        </w:rPr>
        <w:t>五、一般公共预算财政拨款支出决算情况说明</w:t>
      </w:r>
      <w:r>
        <w:tab/>
      </w:r>
      <w:r>
        <w:fldChar w:fldCharType="begin"/>
      </w:r>
      <w:r>
        <w:instrText xml:space="preserve"> PAGEREF _Toc113981017 \h </w:instrText>
      </w:r>
      <w:r>
        <w:fldChar w:fldCharType="separate"/>
      </w:r>
      <w:r>
        <w:t>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"_Toc113981018" </w:instrText>
      </w:r>
      <w:r>
        <w:fldChar w:fldCharType="separate"/>
      </w:r>
      <w:r>
        <w:rPr>
          <w:rStyle w:val="18"/>
          <w:rFonts w:ascii="黑体" w:eastAsia="黑体"/>
        </w:rPr>
        <w:t>六、一般公共预算财政拨款基本支出决算情况说明</w:t>
      </w:r>
      <w:r>
        <w:tab/>
      </w:r>
      <w:r>
        <w:fldChar w:fldCharType="begin"/>
      </w:r>
      <w:r>
        <w:instrText xml:space="preserve"> PAGEREF _Toc113981018 \h </w:instrText>
      </w:r>
      <w:r>
        <w:fldChar w:fldCharType="separate"/>
      </w:r>
      <w:r>
        <w:t>9</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"_Toc113981019" </w:instrText>
      </w:r>
      <w:r>
        <w:fldChar w:fldCharType="separate"/>
      </w:r>
      <w:r>
        <w:rPr>
          <w:rStyle w:val="18"/>
          <w:rFonts w:ascii="黑体" w:eastAsia="黑体"/>
        </w:rPr>
        <w:t>七、“三公”经费财政拨款支出决算情况说明</w:t>
      </w:r>
      <w:r>
        <w:tab/>
      </w:r>
      <w:r>
        <w:fldChar w:fldCharType="begin"/>
      </w:r>
      <w:r>
        <w:instrText xml:space="preserve"> PAGEREF _Toc113981019 \h </w:instrText>
      </w:r>
      <w:r>
        <w:fldChar w:fldCharType="separate"/>
      </w:r>
      <w:r>
        <w:t>9</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"_Toc113981020" </w:instrText>
      </w:r>
      <w:r>
        <w:fldChar w:fldCharType="separate"/>
      </w:r>
      <w:r>
        <w:rPr>
          <w:rStyle w:val="18"/>
          <w:rFonts w:ascii="黑体" w:eastAsia="黑体"/>
        </w:rPr>
        <w:t>八、政府性基金预算支出决算情况说明</w:t>
      </w:r>
      <w:r>
        <w:tab/>
      </w:r>
      <w:r>
        <w:fldChar w:fldCharType="begin"/>
      </w:r>
      <w:r>
        <w:instrText xml:space="preserve"> PAGEREF _Toc113981020 \h </w:instrText>
      </w:r>
      <w:r>
        <w:fldChar w:fldCharType="separate"/>
      </w:r>
      <w:r>
        <w:t>11</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"_Toc113981021" </w:instrText>
      </w:r>
      <w:r>
        <w:fldChar w:fldCharType="separate"/>
      </w:r>
      <w:r>
        <w:rPr>
          <w:rStyle w:val="18"/>
          <w:rFonts w:ascii="黑体" w:eastAsia="黑体"/>
        </w:rPr>
        <w:t>九、国有资本经营预算支出决算情况说明</w:t>
      </w:r>
      <w:r>
        <w:tab/>
      </w:r>
      <w:r>
        <w:fldChar w:fldCharType="begin"/>
      </w:r>
      <w:r>
        <w:instrText xml:space="preserve"> PAGEREF _Toc113981021 \h </w:instrText>
      </w:r>
      <w:r>
        <w:fldChar w:fldCharType="separate"/>
      </w:r>
      <w:r>
        <w:t>12</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"_Toc113981022" </w:instrText>
      </w:r>
      <w:r>
        <w:fldChar w:fldCharType="separate"/>
      </w:r>
      <w:r>
        <w:rPr>
          <w:rStyle w:val="18"/>
          <w:rFonts w:ascii="黑体" w:eastAsia="黑体"/>
        </w:rPr>
        <w:t>十、其他重要事项的情况说明</w:t>
      </w:r>
      <w:r>
        <w:tab/>
      </w:r>
      <w:r>
        <w:fldChar w:fldCharType="begin"/>
      </w:r>
      <w:r>
        <w:instrText xml:space="preserve"> PAGEREF _Toc113981022 \h </w:instrText>
      </w:r>
      <w:r>
        <w:fldChar w:fldCharType="separate"/>
      </w:r>
      <w:r>
        <w:t>12</w:t>
      </w:r>
      <w:r>
        <w:fldChar w:fldCharType="end"/>
      </w:r>
      <w:r>
        <w:fldChar w:fldCharType="end"/>
      </w:r>
    </w:p>
    <w:p>
      <w:pPr>
        <w:pStyle w:val="12"/>
        <w:rPr>
          <w:rFonts w:asciiTheme="minorHAnsi" w:hAnsiTheme="minorHAnsi" w:eastAsiaTheme="minorEastAsia" w:cstheme="minorBidi"/>
          <w:sz w:val="21"/>
          <w:szCs w:val="22"/>
        </w:rPr>
      </w:pPr>
      <w:r>
        <w:fldChar w:fldCharType="begin"/>
      </w:r>
      <w:r>
        <w:instrText xml:space="preserve"> HYPERLINK \l "_Toc113981023" </w:instrText>
      </w:r>
      <w:r>
        <w:fldChar w:fldCharType="separate"/>
      </w:r>
      <w:r>
        <w:rPr>
          <w:rStyle w:val="18"/>
          <w:rFonts w:ascii="黑体" w:hAnsi="黑体" w:eastAsia="黑体" w:cs="黑体"/>
        </w:rPr>
        <w:t>第三部分 名词解释</w:t>
      </w:r>
      <w:r>
        <w:tab/>
      </w:r>
      <w:r>
        <w:fldChar w:fldCharType="begin"/>
      </w:r>
      <w:r>
        <w:instrText xml:space="preserve"> PAGEREF _Toc113981023 \h </w:instrText>
      </w:r>
      <w:r>
        <w:fldChar w:fldCharType="separate"/>
      </w:r>
      <w:r>
        <w:t>14</w:t>
      </w:r>
      <w:r>
        <w:fldChar w:fldCharType="end"/>
      </w:r>
      <w:r>
        <w:fldChar w:fldCharType="end"/>
      </w:r>
    </w:p>
    <w:p>
      <w:pPr>
        <w:pStyle w:val="12"/>
        <w:rPr>
          <w:rFonts w:asciiTheme="minorHAnsi" w:hAnsiTheme="minorHAnsi" w:eastAsiaTheme="minorEastAsia" w:cstheme="minorBidi"/>
          <w:sz w:val="21"/>
          <w:szCs w:val="22"/>
        </w:rPr>
      </w:pPr>
      <w:r>
        <w:fldChar w:fldCharType="begin"/>
      </w:r>
      <w:r>
        <w:instrText xml:space="preserve"> HYPERLINK \l "_Toc113981024" </w:instrText>
      </w:r>
      <w:r>
        <w:fldChar w:fldCharType="separate"/>
      </w:r>
      <w:r>
        <w:rPr>
          <w:rStyle w:val="18"/>
          <w:rFonts w:ascii="黑体" w:hAnsi="黑体" w:eastAsia="黑体" w:cs="黑体"/>
        </w:rPr>
        <w:t>第四部分 附件</w:t>
      </w:r>
      <w:r>
        <w:tab/>
      </w:r>
      <w:r>
        <w:fldChar w:fldCharType="begin"/>
      </w:r>
      <w:r>
        <w:instrText xml:space="preserve"> PAGEREF _Toc113981024 \h </w:instrText>
      </w:r>
      <w:r>
        <w:fldChar w:fldCharType="separate"/>
      </w:r>
      <w:r>
        <w:t>16</w:t>
      </w:r>
      <w:r>
        <w:fldChar w:fldCharType="end"/>
      </w:r>
      <w:r>
        <w:fldChar w:fldCharType="end"/>
      </w:r>
    </w:p>
    <w:p>
      <w:pPr>
        <w:pStyle w:val="12"/>
        <w:rPr>
          <w:rFonts w:asciiTheme="minorHAnsi" w:hAnsiTheme="minorHAnsi" w:eastAsiaTheme="minorEastAsia" w:cstheme="minorBidi"/>
          <w:sz w:val="21"/>
          <w:szCs w:val="22"/>
        </w:rPr>
      </w:pPr>
      <w:r>
        <w:fldChar w:fldCharType="begin"/>
      </w:r>
      <w:r>
        <w:instrText xml:space="preserve"> HYPERLINK \l "_Toc113981025" </w:instrText>
      </w:r>
      <w:r>
        <w:fldChar w:fldCharType="separate"/>
      </w:r>
      <w:r>
        <w:rPr>
          <w:rStyle w:val="18"/>
          <w:rFonts w:ascii="黑体" w:hAnsi="黑体" w:eastAsia="黑体" w:cs="黑体"/>
        </w:rPr>
        <w:t>第五部分 附表</w:t>
      </w:r>
      <w:r>
        <w:tab/>
      </w:r>
      <w:r>
        <w:fldChar w:fldCharType="begin"/>
      </w:r>
      <w:r>
        <w:instrText xml:space="preserve"> PAGEREF _Toc113981025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"_Toc113981026" </w:instrText>
      </w:r>
      <w:r>
        <w:fldChar w:fldCharType="separate"/>
      </w:r>
      <w:r>
        <w:rPr>
          <w:rStyle w:val="18"/>
          <w:rFonts w:ascii="黑体" w:eastAsia="黑体"/>
        </w:rPr>
        <w:t>一、收入支出决算总表</w:t>
      </w:r>
      <w:r>
        <w:tab/>
      </w:r>
      <w:r>
        <w:fldChar w:fldCharType="begin"/>
      </w:r>
      <w:r>
        <w:instrText xml:space="preserve"> PAGEREF _Toc113981026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"_Toc113981027" </w:instrText>
      </w:r>
      <w:r>
        <w:fldChar w:fldCharType="separate"/>
      </w:r>
      <w:r>
        <w:rPr>
          <w:rStyle w:val="18"/>
          <w:rFonts w:ascii="黑体" w:eastAsia="黑体"/>
        </w:rPr>
        <w:t>二、收入决算表</w:t>
      </w:r>
      <w:r>
        <w:tab/>
      </w:r>
      <w:r>
        <w:fldChar w:fldCharType="begin"/>
      </w:r>
      <w:r>
        <w:instrText xml:space="preserve"> PAGEREF _Toc113981027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"_Toc113981028" </w:instrText>
      </w:r>
      <w:r>
        <w:fldChar w:fldCharType="separate"/>
      </w:r>
      <w:r>
        <w:rPr>
          <w:rStyle w:val="18"/>
          <w:rFonts w:ascii="黑体" w:eastAsia="黑体"/>
        </w:rPr>
        <w:t>三、支出决算表</w:t>
      </w:r>
      <w:r>
        <w:tab/>
      </w:r>
      <w:r>
        <w:fldChar w:fldCharType="begin"/>
      </w:r>
      <w:r>
        <w:instrText xml:space="preserve"> PAGEREF _Toc113981028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"_Toc113981029" </w:instrText>
      </w:r>
      <w:r>
        <w:fldChar w:fldCharType="separate"/>
      </w:r>
      <w:r>
        <w:rPr>
          <w:rStyle w:val="18"/>
          <w:rFonts w:ascii="黑体" w:eastAsia="黑体"/>
        </w:rPr>
        <w:t>四、财政拨款收入支出决算总表</w:t>
      </w:r>
      <w:r>
        <w:tab/>
      </w:r>
      <w:r>
        <w:fldChar w:fldCharType="begin"/>
      </w:r>
      <w:r>
        <w:instrText xml:space="preserve"> PAGEREF _Toc113981029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"_Toc113981030" </w:instrText>
      </w:r>
      <w:r>
        <w:fldChar w:fldCharType="separate"/>
      </w:r>
      <w:r>
        <w:rPr>
          <w:rStyle w:val="18"/>
          <w:rFonts w:ascii="黑体" w:eastAsia="黑体"/>
        </w:rPr>
        <w:t>五、财政拨款支出决算明细表</w:t>
      </w:r>
      <w:r>
        <w:tab/>
      </w:r>
      <w:r>
        <w:fldChar w:fldCharType="begin"/>
      </w:r>
      <w:r>
        <w:instrText xml:space="preserve"> PAGEREF _Toc113981030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"_Toc113981031" </w:instrText>
      </w:r>
      <w:r>
        <w:fldChar w:fldCharType="separate"/>
      </w:r>
      <w:r>
        <w:rPr>
          <w:rStyle w:val="18"/>
          <w:rFonts w:ascii="黑体" w:eastAsia="黑体"/>
        </w:rPr>
        <w:t>六、一般公共预算财政拨款支出决算表</w:t>
      </w:r>
      <w:r>
        <w:tab/>
      </w:r>
      <w:r>
        <w:fldChar w:fldCharType="begin"/>
      </w:r>
      <w:r>
        <w:instrText xml:space="preserve"> PAGEREF _Toc113981031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"_Toc113981032" </w:instrText>
      </w:r>
      <w:r>
        <w:fldChar w:fldCharType="separate"/>
      </w:r>
      <w:r>
        <w:rPr>
          <w:rStyle w:val="18"/>
          <w:rFonts w:ascii="黑体" w:eastAsia="黑体"/>
        </w:rPr>
        <w:t>七、一般公共预算财政拨款支出决算明细表</w:t>
      </w:r>
      <w:r>
        <w:tab/>
      </w:r>
      <w:r>
        <w:fldChar w:fldCharType="begin"/>
      </w:r>
      <w:r>
        <w:instrText xml:space="preserve"> PAGEREF _Toc113981032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"_Toc113981033" </w:instrText>
      </w:r>
      <w:r>
        <w:fldChar w:fldCharType="separate"/>
      </w:r>
      <w:r>
        <w:rPr>
          <w:rStyle w:val="18"/>
          <w:rFonts w:ascii="黑体" w:eastAsia="黑体"/>
        </w:rPr>
        <w:t>八、一般公共预算财政拨款基本支出决算表</w:t>
      </w:r>
      <w:r>
        <w:tab/>
      </w:r>
      <w:r>
        <w:fldChar w:fldCharType="begin"/>
      </w:r>
      <w:r>
        <w:instrText xml:space="preserve"> PAGEREF _Toc113981033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"_Toc113981034" </w:instrText>
      </w:r>
      <w:r>
        <w:fldChar w:fldCharType="separate"/>
      </w:r>
      <w:r>
        <w:rPr>
          <w:rStyle w:val="18"/>
          <w:rFonts w:ascii="黑体" w:eastAsia="黑体"/>
        </w:rPr>
        <w:t>九、一般公共预算财政拨款项目支出决算表</w:t>
      </w:r>
      <w:r>
        <w:tab/>
      </w:r>
      <w:r>
        <w:fldChar w:fldCharType="begin"/>
      </w:r>
      <w:r>
        <w:instrText xml:space="preserve"> PAGEREF _Toc113981034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"_Toc113981035" </w:instrText>
      </w:r>
      <w:r>
        <w:fldChar w:fldCharType="separate"/>
      </w:r>
      <w:r>
        <w:rPr>
          <w:rStyle w:val="18"/>
          <w:rFonts w:ascii="黑体" w:eastAsia="黑体"/>
        </w:rPr>
        <w:t>十、一般公共预算财政拨款“三公”经费支出决算表</w:t>
      </w:r>
      <w:r>
        <w:tab/>
      </w:r>
      <w:r>
        <w:fldChar w:fldCharType="begin"/>
      </w:r>
      <w:r>
        <w:instrText xml:space="preserve"> PAGEREF _Toc113981035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"_Toc113981036" </w:instrText>
      </w:r>
      <w:r>
        <w:fldChar w:fldCharType="separate"/>
      </w:r>
      <w:r>
        <w:rPr>
          <w:rStyle w:val="18"/>
          <w:rFonts w:ascii="黑体" w:eastAsia="黑体"/>
        </w:rPr>
        <w:t>十一、政府性基金预算财政拨款收入支出决算表</w:t>
      </w:r>
      <w:r>
        <w:tab/>
      </w:r>
      <w:r>
        <w:fldChar w:fldCharType="begin"/>
      </w:r>
      <w:r>
        <w:instrText xml:space="preserve"> PAGEREF _Toc113981036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"_Toc113981037" </w:instrText>
      </w:r>
      <w:r>
        <w:fldChar w:fldCharType="separate"/>
      </w:r>
      <w:r>
        <w:rPr>
          <w:rStyle w:val="18"/>
          <w:rFonts w:ascii="黑体" w:eastAsia="黑体"/>
        </w:rPr>
        <w:t>十二、政府性基金预算财政拨款“三公”经费支出决算表</w:t>
      </w:r>
      <w:r>
        <w:tab/>
      </w:r>
      <w:r>
        <w:fldChar w:fldCharType="begin"/>
      </w:r>
      <w:r>
        <w:instrText xml:space="preserve"> PAGEREF _Toc113981037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"_Toc113981038" </w:instrText>
      </w:r>
      <w:r>
        <w:fldChar w:fldCharType="separate"/>
      </w:r>
      <w:r>
        <w:rPr>
          <w:rStyle w:val="18"/>
          <w:rFonts w:ascii="黑体" w:eastAsia="黑体"/>
        </w:rPr>
        <w:t>十三、国有资本经营预算财政拨款收入支出决算表</w:t>
      </w:r>
      <w:r>
        <w:tab/>
      </w:r>
      <w:r>
        <w:fldChar w:fldCharType="begin"/>
      </w:r>
      <w:r>
        <w:instrText xml:space="preserve"> PAGEREF _Toc113981038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"_Toc113981039" </w:instrText>
      </w:r>
      <w:r>
        <w:fldChar w:fldCharType="separate"/>
      </w:r>
      <w:r>
        <w:rPr>
          <w:rStyle w:val="18"/>
          <w:rFonts w:ascii="黑体" w:eastAsia="黑体"/>
        </w:rPr>
        <w:t>十四、国有资本经营预算财政拨款支出决算表</w:t>
      </w:r>
      <w:r>
        <w:tab/>
      </w:r>
      <w:r>
        <w:fldChar w:fldCharType="begin"/>
      </w:r>
      <w:r>
        <w:instrText xml:space="preserve"> PAGEREF _Toc113981039 \h </w:instrText>
      </w:r>
      <w:r>
        <w:fldChar w:fldCharType="separate"/>
      </w:r>
      <w:r>
        <w:t>17</w:t>
      </w:r>
      <w:r>
        <w:fldChar w:fldCharType="end"/>
      </w:r>
      <w:r>
        <w:fldChar w:fldCharType="end"/>
      </w:r>
    </w:p>
    <w:p>
      <w:pPr>
        <w:pStyle w:val="2"/>
      </w:pPr>
      <w:r>
        <w:rPr>
          <w:smallCaps/>
          <w:szCs w:val="20"/>
        </w:rPr>
        <w:fldChar w:fldCharType="end"/>
      </w:r>
    </w:p>
    <w:p>
      <w:pPr>
        <w:pStyle w:val="3"/>
        <w:jc w:val="center"/>
        <w:rPr>
          <w:rFonts w:ascii="黑体" w:hAnsi="黑体" w:eastAsia="黑体" w:cs="黑体"/>
          <w:b w:val="0"/>
          <w:bCs w:val="0"/>
        </w:rPr>
      </w:pPr>
      <w:bookmarkStart w:id="13" w:name="_Toc113981009"/>
      <w:bookmarkStart w:id="14" w:name="_Toc111208495"/>
      <w:r>
        <w:rPr>
          <w:rFonts w:hint="eastAsia" w:ascii="黑体" w:hAnsi="黑体" w:eastAsia="黑体" w:cs="黑体"/>
        </w:rPr>
        <w:t xml:space="preserve">第一部分 </w:t>
      </w:r>
      <w:r>
        <w:rPr>
          <w:rStyle w:val="28"/>
          <w:rFonts w:hint="eastAsia" w:ascii="黑体" w:hAnsi="黑体" w:eastAsia="黑体" w:cs="黑体"/>
          <w:b/>
          <w:bCs w:val="0"/>
        </w:rPr>
        <w:t>部门概况</w:t>
      </w:r>
      <w:bookmarkEnd w:id="12"/>
      <w:bookmarkEnd w:id="13"/>
      <w:bookmarkEnd w:id="14"/>
    </w:p>
    <w:p>
      <w:pPr>
        <w:pStyle w:val="4"/>
        <w:ind w:firstLine="642" w:firstLineChars="200"/>
        <w:rPr>
          <w:rFonts w:ascii="黑体" w:eastAsia="黑体" w:cs="Times New Roman"/>
          <w:bCs w:val="0"/>
          <w:color w:val="000000"/>
        </w:rPr>
      </w:pPr>
      <w:bookmarkStart w:id="15" w:name="_Toc15377197"/>
      <w:bookmarkStart w:id="16" w:name="_Toc111208496"/>
      <w:bookmarkStart w:id="17" w:name="_Toc113981010"/>
      <w:r>
        <w:rPr>
          <w:rFonts w:hint="eastAsia" w:ascii="黑体" w:eastAsia="黑体" w:cs="Times New Roman"/>
          <w:bCs w:val="0"/>
          <w:color w:val="000000"/>
        </w:rPr>
        <w:t>一、基本职能及主要工作</w:t>
      </w:r>
      <w:bookmarkEnd w:id="15"/>
      <w:bookmarkEnd w:id="16"/>
      <w:bookmarkEnd w:id="17"/>
      <w:bookmarkStart w:id="18" w:name="_Toc15377198"/>
      <w:bookmarkStart w:id="19" w:name="_Toc15378445"/>
    </w:p>
    <w:p>
      <w:pPr>
        <w:spacing w:line="600" w:lineRule="exact"/>
        <w:ind w:firstLine="642" w:firstLineChars="200"/>
        <w:outlineLvl w:val="2"/>
        <w:rPr>
          <w:rFonts w:hint="eastAsia" w:ascii="仿宋" w:hAnsi="仿宋" w:eastAsia="仿宋"/>
          <w:color w:val="000000"/>
          <w:sz w:val="32"/>
          <w:szCs w:val="32"/>
          <w:lang w:eastAsia="zh-CN"/>
        </w:rPr>
      </w:pPr>
      <w:r>
        <w:rPr>
          <w:rFonts w:hint="eastAsia" w:ascii="仿宋" w:hAnsi="仿宋" w:eastAsia="仿宋"/>
          <w:b/>
          <w:color w:val="000000"/>
          <w:sz w:val="32"/>
          <w:szCs w:val="32"/>
        </w:rPr>
        <w:t>（一）主要职能</w:t>
      </w:r>
      <w:bookmarkEnd w:id="18"/>
      <w:bookmarkEnd w:id="19"/>
    </w:p>
    <w:p>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w:t>
      </w:r>
      <w:r>
        <w:rPr>
          <w:rFonts w:ascii="仿宋" w:hAnsi="仿宋" w:eastAsia="仿宋"/>
          <w:color w:val="000000"/>
          <w:sz w:val="32"/>
          <w:szCs w:val="32"/>
        </w:rPr>
        <w:t>承担全面依法治国、依法治省、依法治州、依法治县重大问题的政策研究，协调有关方面提出全面依法治县规划建议,负责有关重大决策部署督察工作。
</w:t>
      </w:r>
    </w:p>
    <w:p>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2.</w:t>
      </w:r>
      <w:r>
        <w:rPr>
          <w:rFonts w:ascii="仿宋" w:hAnsi="仿宋" w:eastAsia="仿宋"/>
          <w:color w:val="000000"/>
          <w:sz w:val="32"/>
          <w:szCs w:val="32"/>
        </w:rPr>
        <w:t>负责县人民政府规范性文件、重大行政决策的合法性审查。承办县人民政府发布规范性文件的报送备案工作。负责各乡(镇)人民政府和县人民政府各部门规范性文件报送县人民政府的备案审查工作。组织开展规范性文件清理。
</w:t>
      </w:r>
    </w:p>
    <w:p>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3.</w:t>
      </w:r>
      <w:r>
        <w:rPr>
          <w:rFonts w:ascii="仿宋" w:hAnsi="仿宋" w:eastAsia="仿宋"/>
          <w:color w:val="000000"/>
          <w:sz w:val="32"/>
          <w:szCs w:val="32"/>
        </w:rPr>
        <w:t>承担统筹推进法治政府建设的责任。指导监督县人民政府各部门、各乡(镇)人民政府依法行政工作。负责综合协调监督检査行政执法,协助推进行政执法体制改革有关工作,推进严格规范公正文明执法。指导监督全县行政复议、行政应诉和行政赔偿工作,承办向县人民政府申请的行政复议、行政赔偿案件代理县人民政府行政应诉案件。
</w:t>
      </w:r>
    </w:p>
    <w:p>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4.</w:t>
      </w:r>
      <w:r>
        <w:rPr>
          <w:rFonts w:ascii="仿宋" w:hAnsi="仿宋" w:eastAsia="仿宋"/>
          <w:color w:val="000000"/>
          <w:sz w:val="32"/>
          <w:szCs w:val="32"/>
        </w:rPr>
        <w:t>承担统筹规划法治社会建设的责任。负责拟订法治宣传教育规划,组织实施普法宣传工作,组织对外法治宣传。推动人民参与和促进法治建设。统筹推进全县依法治理和法治创建工作。指导调解工作。协助人民监督员的选任管理工作。负责并指导人民陪审员选任工作。推进司法所建设。将环境保护、安全生产、职业健康法律法规纳入公民普法教育重要内容并会同有关部门开展宣传普及工作,做好职责范围内的安全生产工作。
</w:t>
      </w:r>
    </w:p>
    <w:p>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5.</w:t>
      </w:r>
      <w:r>
        <w:rPr>
          <w:rFonts w:ascii="仿宋" w:hAnsi="仿宋" w:eastAsia="仿宋"/>
          <w:color w:val="000000"/>
          <w:sz w:val="32"/>
          <w:szCs w:val="32"/>
        </w:rPr>
        <w:t>负责管理社区矫正日常工作。指导、协调有关部门对刑满释放人员的帮教安置工作。
</w:t>
      </w:r>
    </w:p>
    <w:p>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6.</w:t>
      </w:r>
      <w:r>
        <w:rPr>
          <w:rFonts w:ascii="仿宋" w:hAnsi="仿宋" w:eastAsia="仿宋"/>
          <w:color w:val="000000"/>
          <w:sz w:val="32"/>
          <w:szCs w:val="32"/>
        </w:rPr>
        <w:t>负责全县公共法律服务体系建设的规划实施。负责监督管理律师、公证、法律援助、司法鉴定、仲裁和基层法律服务工作。协助上级部门开展国家统一法律职业资格考试的组织实工作。 
</w:t>
      </w:r>
    </w:p>
    <w:p>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7.</w:t>
      </w:r>
      <w:r>
        <w:rPr>
          <w:rFonts w:ascii="仿宋" w:hAnsi="仿宋" w:eastAsia="仿宋"/>
          <w:color w:val="000000"/>
          <w:sz w:val="32"/>
          <w:szCs w:val="32"/>
        </w:rPr>
        <w:t>负责本单位服装和警车管理工作。负责本单位财务、装备、设施、场所等保障工作。 
</w:t>
      </w:r>
    </w:p>
    <w:p>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8.</w:t>
      </w:r>
      <w:r>
        <w:rPr>
          <w:rFonts w:ascii="仿宋" w:hAnsi="仿宋" w:eastAsia="仿宋"/>
          <w:color w:val="000000"/>
          <w:sz w:val="32"/>
          <w:szCs w:val="32"/>
        </w:rPr>
        <w:t>规划、协调法治人才队伍建设相关工作，负责本单位队伍建设。 
</w:t>
      </w:r>
    </w:p>
    <w:p>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9.</w:t>
      </w:r>
      <w:r>
        <w:rPr>
          <w:rFonts w:ascii="仿宋" w:hAnsi="仿宋" w:eastAsia="仿宋"/>
          <w:color w:val="000000"/>
          <w:sz w:val="32"/>
          <w:szCs w:val="32"/>
        </w:rPr>
        <w:t>负责本单位行政审批工作。负责全县外来企业投诉处理和民营企业法律服务工作。 
</w:t>
      </w:r>
    </w:p>
    <w:p>
      <w:pPr>
        <w:ind w:firstLine="640" w:firstLineChars="200"/>
      </w:pPr>
      <w:r>
        <w:rPr>
          <w:rFonts w:hint="eastAsia" w:ascii="仿宋" w:hAnsi="仿宋" w:eastAsia="仿宋"/>
          <w:color w:val="000000"/>
          <w:sz w:val="32"/>
          <w:szCs w:val="32"/>
          <w:lang w:val="en-US" w:eastAsia="zh-CN"/>
        </w:rPr>
        <w:t>10.</w:t>
      </w:r>
      <w:r>
        <w:rPr>
          <w:rFonts w:ascii="仿宋" w:hAnsi="仿宋" w:eastAsia="仿宋"/>
          <w:color w:val="000000"/>
          <w:sz w:val="32"/>
          <w:szCs w:val="32"/>
        </w:rPr>
        <w:t>完成县委、县人民政府交办的其他任务。</w:t>
      </w:r>
    </w:p>
    <w:p>
      <w:pPr>
        <w:spacing w:line="600" w:lineRule="exact"/>
        <w:ind w:firstLine="642" w:firstLineChars="200"/>
        <w:outlineLvl w:val="2"/>
        <w:rPr>
          <w:rFonts w:hint="eastAsia" w:ascii="仿宋" w:hAnsi="仿宋" w:eastAsia="仿宋"/>
          <w:color w:val="000000"/>
          <w:sz w:val="32"/>
          <w:szCs w:val="32"/>
          <w:lang w:eastAsia="zh-CN"/>
        </w:rPr>
      </w:pPr>
      <w:bookmarkStart w:id="20" w:name="_Toc15377199"/>
      <w:bookmarkStart w:id="21" w:name="_Toc15378446"/>
      <w:r>
        <w:rPr>
          <w:rFonts w:hint="eastAsia" w:ascii="仿宋" w:hAnsi="仿宋" w:eastAsia="仿宋"/>
          <w:b/>
          <w:color w:val="000000"/>
          <w:sz w:val="32"/>
          <w:szCs w:val="32"/>
        </w:rPr>
        <w:t>（二）</w:t>
      </w:r>
      <w:r>
        <w:rPr>
          <w:rFonts w:ascii="仿宋" w:hAnsi="仿宋" w:eastAsia="仿宋"/>
          <w:b/>
          <w:color w:val="000000"/>
          <w:sz w:val="32"/>
          <w:szCs w:val="32"/>
        </w:rPr>
        <w:t>2021</w:t>
      </w:r>
      <w:r>
        <w:rPr>
          <w:rFonts w:hint="eastAsia" w:ascii="仿宋" w:hAnsi="仿宋" w:eastAsia="仿宋"/>
          <w:b/>
          <w:color w:val="000000"/>
          <w:sz w:val="32"/>
          <w:szCs w:val="32"/>
        </w:rPr>
        <w:t>重点工作完成情况</w:t>
      </w:r>
      <w:bookmarkEnd w:id="20"/>
      <w:bookmarkEnd w:id="21"/>
      <w:bookmarkStart w:id="22" w:name="_Toc15377200"/>
    </w:p>
    <w:p>
      <w:pPr>
        <w:numPr>
          <w:ilvl w:val="0"/>
          <w:numId w:val="0"/>
        </w:num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w:t>
      </w:r>
      <w:r>
        <w:rPr>
          <w:rFonts w:ascii="仿宋" w:hAnsi="仿宋" w:eastAsia="仿宋"/>
          <w:color w:val="000000"/>
          <w:sz w:val="32"/>
          <w:szCs w:val="32"/>
        </w:rPr>
        <w:t>聚焦中心、抓住关键、精准发力，深入推进法治茂县建设。坚持规范服务，确保行政合法合规，以深化两项改革“后半篇”文章为抓手，大力推进“最多跑一次”“不见面审批”等改革，认真落实“一次就做对”工作法，服务环境进一步优化。
</w:t>
      </w:r>
    </w:p>
    <w:p>
      <w:pPr>
        <w:numPr>
          <w:ilvl w:val="0"/>
          <w:numId w:val="0"/>
        </w:num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2.</w:t>
      </w:r>
      <w:r>
        <w:rPr>
          <w:rFonts w:ascii="仿宋" w:hAnsi="仿宋" w:eastAsia="仿宋"/>
          <w:color w:val="000000"/>
          <w:sz w:val="32"/>
          <w:szCs w:val="32"/>
        </w:rPr>
        <w:t>当好参谋顾问，深入推进法治政府建设工作。认真开展合法性审查工作，内容涉及规范性文件制定、重大行政决策、合同协议、行政通告等方面，为政府全面依法行政提供了有力保障。</w:t>
      </w:r>
    </w:p>
    <w:p>
      <w:pPr>
        <w:numPr>
          <w:ilvl w:val="0"/>
          <w:numId w:val="0"/>
        </w:num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3.</w:t>
      </w:r>
      <w:r>
        <w:rPr>
          <w:rFonts w:ascii="仿宋" w:hAnsi="仿宋" w:eastAsia="仿宋"/>
          <w:color w:val="000000"/>
          <w:sz w:val="32"/>
          <w:szCs w:val="32"/>
        </w:rPr>
        <w:t>普法治理工作有序开展。召开“法律政策七进”工作联系会，对2021年的普法依法治理工作进行了再细化再推进再落实；大力开展民法典、返乡农民工、森林草原防灭火、反电信诈骗、疫情防控、农民工工资支付条例等多个专项法治宣传活动和 “一月一主题”宣传活动。
</w:t>
      </w:r>
    </w:p>
    <w:p>
      <w:pPr>
        <w:numPr>
          <w:ilvl w:val="0"/>
          <w:numId w:val="0"/>
        </w:numPr>
        <w:ind w:firstLine="640" w:firstLineChars="200"/>
        <w:rPr>
          <w:rFonts w:ascii="仿宋" w:hAnsi="仿宋" w:eastAsia="仿宋"/>
          <w:color w:val="000000"/>
          <w:sz w:val="32"/>
          <w:szCs w:val="32"/>
        </w:rPr>
      </w:pPr>
      <w:r>
        <w:rPr>
          <w:rFonts w:ascii="仿宋" w:hAnsi="仿宋" w:eastAsia="仿宋"/>
          <w:color w:val="000000"/>
          <w:sz w:val="32"/>
          <w:szCs w:val="32"/>
        </w:rPr>
        <w:t>4.持续优化基层司法所布局。按照政法队伍教育整顿“五大行动”要求，结合推进基层治理体系和治理能力现代化；按照两项改革“后半篇”文章要求完成了“法治小院”叠溪司法所的打造。
</w:t>
      </w:r>
    </w:p>
    <w:p>
      <w:pPr>
        <w:numPr>
          <w:ilvl w:val="0"/>
          <w:numId w:val="0"/>
        </w:numPr>
        <w:ind w:firstLine="640" w:firstLineChars="200"/>
        <w:rPr>
          <w:rFonts w:ascii="仿宋" w:hAnsi="仿宋" w:eastAsia="仿宋"/>
          <w:color w:val="000000"/>
          <w:sz w:val="32"/>
          <w:szCs w:val="32"/>
        </w:rPr>
      </w:pPr>
      <w:r>
        <w:rPr>
          <w:rFonts w:ascii="仿宋" w:hAnsi="仿宋" w:eastAsia="仿宋"/>
          <w:color w:val="000000"/>
          <w:sz w:val="32"/>
          <w:szCs w:val="32"/>
        </w:rPr>
        <w:t>5.有效排查化解矛盾纠纷，坚持“专项+日常”相结合扎实开展矛盾纠纷隐患排查调处工作，切实做到排查纠纷经常化、制度化，为辖区经济发展创造了稳定的社会环境，公正的法治环境，优质的服务环境。
</w:t>
      </w:r>
    </w:p>
    <w:p>
      <w:pPr>
        <w:numPr>
          <w:ilvl w:val="0"/>
          <w:numId w:val="0"/>
        </w:numPr>
        <w:ind w:firstLine="640" w:firstLineChars="200"/>
        <w:rPr>
          <w:rFonts w:ascii="仿宋" w:hAnsi="仿宋" w:eastAsia="仿宋"/>
          <w:color w:val="000000"/>
          <w:sz w:val="32"/>
          <w:szCs w:val="32"/>
        </w:rPr>
      </w:pPr>
      <w:r>
        <w:rPr>
          <w:rFonts w:ascii="仿宋" w:hAnsi="仿宋" w:eastAsia="仿宋"/>
          <w:color w:val="000000"/>
          <w:sz w:val="32"/>
          <w:szCs w:val="32"/>
        </w:rPr>
        <w:t>6.以服务人民为中心，大力推进公共法律服务规范化、便民化。紧紧围绕推进法治建设，服务人民，方便群众的主线，进一步梳理规章制度、工作流程，研究制定更细化的公共法律服务审批、服务程序，切实践行“一次就做对”工作法，让群众少跑路，有力提升公共法律服务质量，提高群众满意度。
</w:t>
      </w:r>
    </w:p>
    <w:p>
      <w:pPr>
        <w:numPr>
          <w:ilvl w:val="0"/>
          <w:numId w:val="0"/>
        </w:numPr>
        <w:ind w:firstLine="640" w:firstLineChars="200"/>
        <w:rPr>
          <w:rFonts w:ascii="仿宋" w:hAnsi="仿宋" w:eastAsia="仿宋"/>
          <w:color w:val="000000"/>
          <w:sz w:val="32"/>
          <w:szCs w:val="32"/>
        </w:rPr>
      </w:pPr>
      <w:r>
        <w:rPr>
          <w:rFonts w:ascii="仿宋" w:hAnsi="仿宋" w:eastAsia="仿宋"/>
          <w:color w:val="000000"/>
          <w:sz w:val="32"/>
          <w:szCs w:val="32"/>
        </w:rPr>
        <w:t>7.依法开展好社区矫正日常工作，认真开展社区矫正审前社会调查，及时做好衔接接收工作，及时完成社区矫正对象接收手续和落实信息化核查手机，随时掌握社区矫正对象的动态，确保社区矫正对象不脱管、不失控，并重点预防其重新犯罪。
</w:t>
      </w:r>
    </w:p>
    <w:p>
      <w:pPr>
        <w:pStyle w:val="4"/>
        <w:ind w:firstLine="642" w:firstLineChars="200"/>
        <w:rPr>
          <w:rFonts w:hint="eastAsia" w:ascii="仿宋" w:hAnsi="仿宋" w:eastAsia="仿宋"/>
          <w:color w:val="000000"/>
          <w:sz w:val="32"/>
          <w:szCs w:val="32"/>
          <w:lang w:eastAsia="zh-CN"/>
        </w:rPr>
      </w:pPr>
      <w:bookmarkStart w:id="23" w:name="_Toc113981011"/>
      <w:bookmarkStart w:id="24" w:name="_Toc111208497"/>
      <w:r>
        <w:rPr>
          <w:rFonts w:hint="eastAsia" w:ascii="黑体" w:eastAsia="黑体" w:cs="Times New Roman"/>
          <w:bCs w:val="0"/>
          <w:color w:val="000000"/>
        </w:rPr>
        <w:t>二、机构设置</w:t>
      </w:r>
      <w:bookmarkEnd w:id="22"/>
      <w:bookmarkEnd w:id="23"/>
      <w:bookmarkEnd w:id="24"/>
    </w:p>
    <w:p>
      <w:pPr>
        <w:ind w:firstLine="640" w:firstLineChars="200"/>
        <w:rPr>
          <w:rFonts w:ascii="仿宋" w:hAnsi="仿宋" w:eastAsia="仿宋"/>
          <w:color w:val="000000"/>
          <w:sz w:val="32"/>
          <w:szCs w:val="32"/>
        </w:rPr>
      </w:pPr>
      <w:r>
        <w:rPr>
          <w:rFonts w:ascii="仿宋" w:hAnsi="仿宋" w:eastAsia="仿宋"/>
          <w:color w:val="000000"/>
          <w:sz w:val="32"/>
          <w:szCs w:val="32"/>
        </w:rPr>
        <w:t>茂县司法局属一级预算单位，单位性质为行政，下属2个二级预算单位，为茂县司法局（本级）和茂县法律援助中心。</w:t>
      </w:r>
    </w:p>
    <w:p>
      <w:pPr>
        <w:widowControl/>
        <w:jc w:val="left"/>
        <w:rPr>
          <w:rFonts w:ascii="仿宋_GB2312" w:hAnsi="黑体" w:eastAsia="仿宋_GB2312"/>
          <w:b/>
          <w:bCs/>
          <w:color w:val="000000"/>
          <w:kern w:val="44"/>
          <w:sz w:val="44"/>
          <w:szCs w:val="44"/>
        </w:rPr>
      </w:pPr>
      <w:bookmarkStart w:id="25" w:name="_Toc15377204"/>
      <w:r>
        <w:rPr>
          <w:rFonts w:ascii="仿宋_GB2312" w:hAnsi="黑体" w:eastAsia="仿宋_GB2312"/>
          <w:color w:val="000000"/>
        </w:rPr>
        <w:br w:type="page"/>
      </w:r>
    </w:p>
    <w:p>
      <w:pPr>
        <w:pStyle w:val="3"/>
        <w:jc w:val="center"/>
        <w:rPr>
          <w:rFonts w:ascii="黑体" w:hAnsi="黑体" w:eastAsia="黑体" w:cs="黑体"/>
        </w:rPr>
      </w:pPr>
      <w:bookmarkStart w:id="26" w:name="_Toc113981012"/>
      <w:bookmarkStart w:id="27" w:name="_Toc111208498"/>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2021年度部门决算情况说明</w:t>
      </w:r>
      <w:bookmarkEnd w:id="25"/>
      <w:bookmarkEnd w:id="26"/>
      <w:bookmarkEnd w:id="27"/>
    </w:p>
    <w:p>
      <w:pPr>
        <w:pStyle w:val="4"/>
        <w:ind w:firstLine="642" w:firstLineChars="200"/>
        <w:rPr>
          <w:rFonts w:ascii="黑体" w:eastAsia="黑体" w:cs="Times New Roman"/>
          <w:bCs w:val="0"/>
          <w:color w:val="000000"/>
        </w:rPr>
      </w:pPr>
      <w:bookmarkStart w:id="28" w:name="_Toc15377205"/>
      <w:bookmarkStart w:id="29" w:name="_Toc113981013"/>
      <w:bookmarkStart w:id="30" w:name="_Toc111208499"/>
      <w:r>
        <w:rPr>
          <w:rFonts w:hint="eastAsia" w:ascii="黑体" w:eastAsia="黑体" w:cs="Times New Roman"/>
          <w:bCs w:val="0"/>
          <w:color w:val="000000"/>
        </w:rPr>
        <w:t>一、收入支出决算总体情况说</w:t>
      </w:r>
      <w:bookmarkEnd w:id="28"/>
      <w:r>
        <w:rPr>
          <w:rFonts w:hint="eastAsia" w:ascii="黑体" w:eastAsia="黑体" w:cs="Times New Roman"/>
          <w:bCs w:val="0"/>
          <w:color w:val="000000"/>
        </w:rPr>
        <w:t>明</w:t>
      </w:r>
      <w:bookmarkEnd w:id="29"/>
      <w:bookmarkEnd w:id="30"/>
    </w:p>
    <w:p>
      <w:pPr>
        <w:spacing w:line="600" w:lineRule="exact"/>
        <w:ind w:firstLine="640" w:firstLineChars="200"/>
        <w:rPr>
          <w:rFonts w:ascii="仿宋_GB2312" w:hAnsi="仿宋" w:eastAsia="仿宋_GB2312"/>
          <w:color w:val="00B0F0"/>
          <w:sz w:val="32"/>
          <w:szCs w:val="32"/>
        </w:rPr>
      </w:pPr>
      <w:r>
        <w:rPr>
          <w:rFonts w:ascii="仿宋" w:hAnsi="仿宋" w:eastAsia="仿宋"/>
          <w:color w:val="000000"/>
          <w:sz w:val="32"/>
          <w:szCs w:val="32"/>
        </w:rPr>
        <w:t>2021</w:t>
      </w:r>
      <w:r>
        <w:rPr>
          <w:rFonts w:hint="eastAsia" w:ascii="仿宋" w:hAnsi="仿宋" w:eastAsia="仿宋"/>
          <w:color w:val="000000"/>
          <w:sz w:val="32"/>
          <w:szCs w:val="32"/>
        </w:rPr>
        <w:t>年度收、支总计</w:t>
      </w:r>
      <w:r>
        <w:rPr>
          <w:rFonts w:ascii="仿宋" w:hAnsi="仿宋" w:eastAsia="仿宋"/>
          <w:color w:val="000000"/>
          <w:sz w:val="32"/>
          <w:szCs w:val="32"/>
        </w:rPr>
        <w:t>1176.03</w:t>
      </w:r>
      <w:r>
        <w:rPr>
          <w:rFonts w:hint="eastAsia" w:ascii="仿宋" w:hAnsi="仿宋" w:eastAsia="仿宋"/>
          <w:color w:val="000000"/>
          <w:sz w:val="32"/>
          <w:szCs w:val="32"/>
        </w:rPr>
        <w:t>万元。与</w:t>
      </w:r>
      <w:r>
        <w:rPr>
          <w:rFonts w:ascii="仿宋" w:hAnsi="仿宋" w:eastAsia="仿宋"/>
          <w:color w:val="000000"/>
          <w:sz w:val="32"/>
          <w:szCs w:val="32"/>
        </w:rPr>
        <w:t>2020</w:t>
      </w:r>
      <w:r>
        <w:rPr>
          <w:rFonts w:hint="eastAsia" w:ascii="仿宋" w:hAnsi="仿宋" w:eastAsia="仿宋"/>
          <w:color w:val="000000"/>
          <w:sz w:val="32"/>
          <w:szCs w:val="32"/>
        </w:rPr>
        <w:t>年相比，收、支总计各</w:t>
      </w:r>
      <w:r>
        <w:rPr>
          <w:rFonts w:ascii="仿宋" w:hAnsi="仿宋" w:eastAsia="仿宋"/>
          <w:color w:val="000000"/>
          <w:sz w:val="32"/>
          <w:szCs w:val="32"/>
        </w:rPr>
        <w:t>增加87.00</w:t>
      </w:r>
      <w:r>
        <w:rPr>
          <w:rFonts w:hint="eastAsia" w:ascii="仿宋" w:hAnsi="仿宋" w:eastAsia="仿宋"/>
          <w:color w:val="000000"/>
          <w:sz w:val="32"/>
          <w:szCs w:val="32"/>
        </w:rPr>
        <w:t>万元，</w:t>
      </w:r>
      <w:r>
        <w:rPr>
          <w:rFonts w:ascii="仿宋" w:hAnsi="仿宋" w:eastAsia="仿宋"/>
          <w:color w:val="000000"/>
          <w:sz w:val="32"/>
          <w:szCs w:val="32"/>
        </w:rPr>
        <w:t>增加7.99</w:t>
      </w:r>
      <w:r>
        <w:rPr>
          <w:rFonts w:hint="eastAsia" w:ascii="仿宋" w:hAnsi="仿宋" w:eastAsia="仿宋"/>
          <w:color w:val="000000"/>
          <w:sz w:val="32"/>
          <w:szCs w:val="32"/>
        </w:rPr>
        <w:t xml:space="preserve"> %。 </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（图1：收、支决算总计变动情况图）</w:t>
      </w:r>
    </w:p>
    <w:p>
      <w:pPr>
        <w:pStyle w:val="2"/>
      </w:pPr>
    </w:p>
    <w:p>
      <w:pPr>
        <w:pStyle w:val="2"/>
        <w:ind w:left="0" w:leftChars="0" w:firstLine="0" w:firstLineChars="0"/>
      </w:pPr>
      <w:r>
        <w:drawing>
          <wp:inline distT="0" distB="0" distL="114300" distR="114300">
            <wp:extent cx="5343525" cy="2933700"/>
            <wp:effectExtent l="0" t="0" r="9525" b="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ind w:firstLine="642" w:firstLineChars="200"/>
        <w:rPr>
          <w:rFonts w:ascii="黑体" w:eastAsia="黑体" w:cs="Times New Roman"/>
          <w:bCs w:val="0"/>
          <w:color w:val="000000"/>
        </w:rPr>
      </w:pPr>
      <w:bookmarkStart w:id="31" w:name="_Toc111208500"/>
      <w:bookmarkStart w:id="32" w:name="_Toc15377206"/>
      <w:bookmarkStart w:id="33" w:name="_Toc113981014"/>
      <w:r>
        <w:rPr>
          <w:rFonts w:hint="eastAsia" w:ascii="黑体" w:eastAsia="黑体" w:cs="Times New Roman"/>
          <w:bCs w:val="0"/>
          <w:color w:val="000000"/>
        </w:rPr>
        <w:t>二、收入决算情况说明</w:t>
      </w:r>
      <w:bookmarkEnd w:id="31"/>
      <w:bookmarkEnd w:id="32"/>
      <w:bookmarkEnd w:id="33"/>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2021年本年收入合计1100.10万元，其中：一般公共预算财政拨款收入1100.10万元，占100.00%；政府性基金预算财政拨款收入0.00万元；国有资本经营预算财政拨款收入0.00万元；上级补助收入0.00万元；事业收入0.00万元；经营收入0.00万元；附属单位上缴收入0.00万元；其他收入0.00万元。</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（图2：收入决算结构图）</w:t>
      </w:r>
    </w:p>
    <w:p>
      <w:pPr>
        <w:pStyle w:val="13"/>
        <w:ind w:left="0" w:leftChars="0" w:firstLine="0" w:firstLineChars="0"/>
        <w:jc w:val="both"/>
      </w:pPr>
      <w:r>
        <w:rPr>
          <w:rFonts w:hint="eastAsia" w:ascii="仿宋_GB2312" w:eastAsia="仿宋_GB2312"/>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ind w:firstLine="642" w:firstLineChars="200"/>
        <w:rPr>
          <w:rFonts w:ascii="黑体" w:eastAsia="黑体" w:cs="Times New Roman"/>
          <w:bCs w:val="0"/>
          <w:color w:val="000000"/>
        </w:rPr>
      </w:pPr>
      <w:bookmarkStart w:id="34" w:name="_Toc111208501"/>
      <w:bookmarkStart w:id="35" w:name="_Toc15377207"/>
      <w:bookmarkStart w:id="36" w:name="_Toc113981015"/>
      <w:r>
        <w:rPr>
          <w:rFonts w:hint="eastAsia" w:ascii="黑体" w:eastAsia="黑体" w:cs="Times New Roman"/>
          <w:bCs w:val="0"/>
          <w:color w:val="000000"/>
        </w:rPr>
        <w:t>三、支出决算情况说明</w:t>
      </w:r>
      <w:bookmarkEnd w:id="34"/>
      <w:bookmarkEnd w:id="35"/>
      <w:bookmarkEnd w:id="36"/>
    </w:p>
    <w:p>
      <w:pPr>
        <w:pStyle w:val="2"/>
        <w:rPr>
          <w:rFonts w:ascii="仿宋" w:hAnsi="仿宋" w:eastAsia="仿宋"/>
          <w:color w:val="000000"/>
          <w:sz w:val="32"/>
          <w:szCs w:val="32"/>
        </w:rPr>
      </w:pPr>
      <w:r>
        <w:rPr>
          <w:rFonts w:hint="eastAsia" w:ascii="仿宋" w:hAnsi="仿宋" w:eastAsia="仿宋"/>
          <w:color w:val="000000"/>
          <w:sz w:val="32"/>
          <w:szCs w:val="32"/>
        </w:rPr>
        <w:t>2021</w:t>
      </w:r>
      <w:r>
        <w:rPr>
          <w:rFonts w:ascii="仿宋" w:hAnsi="仿宋" w:eastAsia="仿宋"/>
          <w:color w:val="000000"/>
          <w:sz w:val="32"/>
          <w:szCs w:val="32"/>
        </w:rPr>
        <w:t>年本年支出合计</w:t>
      </w:r>
      <w:r>
        <w:rPr>
          <w:rFonts w:hint="eastAsia" w:ascii="仿宋" w:hAnsi="仿宋" w:eastAsia="仿宋"/>
          <w:color w:val="000000"/>
          <w:sz w:val="32"/>
          <w:szCs w:val="32"/>
        </w:rPr>
        <w:t>1176.03</w:t>
      </w:r>
      <w:r>
        <w:rPr>
          <w:rFonts w:ascii="仿宋" w:hAnsi="仿宋" w:eastAsia="仿宋"/>
          <w:color w:val="000000"/>
          <w:sz w:val="32"/>
          <w:szCs w:val="32"/>
        </w:rPr>
        <w:t>万元，其中：基本支出</w:t>
      </w:r>
      <w:r>
        <w:rPr>
          <w:rFonts w:hint="eastAsia" w:ascii="仿宋" w:hAnsi="仿宋" w:eastAsia="仿宋"/>
          <w:color w:val="000000"/>
          <w:sz w:val="32"/>
          <w:szCs w:val="32"/>
        </w:rPr>
        <w:t>949.29</w:t>
      </w:r>
      <w:r>
        <w:rPr>
          <w:rFonts w:ascii="仿宋" w:hAnsi="仿宋" w:eastAsia="仿宋"/>
          <w:color w:val="000000"/>
          <w:sz w:val="32"/>
          <w:szCs w:val="32"/>
        </w:rPr>
        <w:t>万元，占</w:t>
      </w:r>
      <w:r>
        <w:rPr>
          <w:rFonts w:hint="eastAsia" w:ascii="仿宋" w:hAnsi="仿宋" w:eastAsia="仿宋"/>
          <w:color w:val="000000"/>
          <w:sz w:val="32"/>
          <w:szCs w:val="32"/>
        </w:rPr>
        <w:t>80.72</w:t>
      </w:r>
      <w:r>
        <w:rPr>
          <w:rFonts w:ascii="仿宋" w:hAnsi="仿宋" w:eastAsia="仿宋"/>
          <w:color w:val="000000"/>
          <w:sz w:val="32"/>
          <w:szCs w:val="32"/>
        </w:rPr>
        <w:t>%；项目支出</w:t>
      </w:r>
      <w:r>
        <w:rPr>
          <w:rFonts w:hint="eastAsia" w:ascii="仿宋" w:hAnsi="仿宋" w:eastAsia="仿宋"/>
          <w:color w:val="000000"/>
          <w:sz w:val="32"/>
          <w:szCs w:val="32"/>
        </w:rPr>
        <w:t>226.74</w:t>
      </w:r>
      <w:r>
        <w:rPr>
          <w:rFonts w:ascii="仿宋" w:hAnsi="仿宋" w:eastAsia="仿宋"/>
          <w:color w:val="000000"/>
          <w:sz w:val="32"/>
          <w:szCs w:val="32"/>
        </w:rPr>
        <w:t>万元，占</w:t>
      </w:r>
      <w:r>
        <w:rPr>
          <w:rFonts w:hint="eastAsia" w:ascii="仿宋" w:hAnsi="仿宋" w:eastAsia="仿宋"/>
          <w:color w:val="000000"/>
          <w:sz w:val="32"/>
          <w:szCs w:val="32"/>
        </w:rPr>
        <w:t>19.28</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万元；经营支出</w:t>
      </w:r>
      <w:r>
        <w:rPr>
          <w:rFonts w:hint="eastAsia" w:ascii="仿宋" w:hAnsi="仿宋" w:eastAsia="仿宋"/>
          <w:color w:val="000000"/>
          <w:sz w:val="32"/>
          <w:szCs w:val="32"/>
        </w:rPr>
        <w:t>0.00</w:t>
      </w:r>
      <w:r>
        <w:rPr>
          <w:rFonts w:ascii="仿宋" w:hAnsi="仿宋" w:eastAsia="仿宋"/>
          <w:color w:val="000000"/>
          <w:sz w:val="32"/>
          <w:szCs w:val="32"/>
        </w:rPr>
        <w:t>万元；对附属单位补助支出</w:t>
      </w:r>
      <w:r>
        <w:rPr>
          <w:rFonts w:hint="eastAsia" w:ascii="仿宋" w:hAnsi="仿宋" w:eastAsia="仿宋"/>
          <w:color w:val="000000"/>
          <w:sz w:val="32"/>
          <w:szCs w:val="32"/>
        </w:rPr>
        <w:t>0.00</w:t>
      </w:r>
      <w:r>
        <w:rPr>
          <w:rFonts w:ascii="仿宋" w:hAnsi="仿宋" w:eastAsia="仿宋"/>
          <w:color w:val="000000"/>
          <w:sz w:val="32"/>
          <w:szCs w:val="32"/>
        </w:rPr>
        <w:t>万元。</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（图3：支出决算结构图）</w:t>
      </w:r>
    </w:p>
    <w:p>
      <w:pPr>
        <w:jc w:val="center"/>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5304155" cy="3429000"/>
            <wp:effectExtent l="0" t="0" r="1079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pPr>
    </w:p>
    <w:p>
      <w:pPr>
        <w:pStyle w:val="4"/>
        <w:ind w:firstLine="642" w:firstLineChars="200"/>
        <w:rPr>
          <w:rFonts w:ascii="黑体" w:eastAsia="黑体" w:cs="Times New Roman"/>
          <w:bCs w:val="0"/>
          <w:color w:val="000000"/>
        </w:rPr>
      </w:pPr>
      <w:bookmarkStart w:id="37" w:name="_Toc111208502"/>
      <w:bookmarkStart w:id="38" w:name="_Toc15377208"/>
      <w:bookmarkStart w:id="39" w:name="_Toc113981016"/>
      <w:r>
        <w:rPr>
          <w:rFonts w:hint="eastAsia" w:ascii="黑体" w:eastAsia="黑体" w:cs="Times New Roman"/>
          <w:bCs w:val="0"/>
          <w:color w:val="000000"/>
        </w:rPr>
        <w:t>四、财政拨款收入支出决算总体情况说明</w:t>
      </w:r>
      <w:bookmarkEnd w:id="37"/>
      <w:bookmarkEnd w:id="38"/>
      <w:bookmarkEnd w:id="39"/>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2021年财政拨款收、支总计1176.03万元。与2020年相比，财政拨款收、支总计各增加87.00万元，增加7.99 %。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（图4：财政拨款收、支决算总计变动情况）</w:t>
      </w:r>
    </w:p>
    <w:p>
      <w:pPr>
        <w:pStyle w:val="2"/>
        <w:ind w:firstLine="0"/>
      </w:pPr>
    </w:p>
    <w:p>
      <w:pPr>
        <w:pStyle w:val="2"/>
        <w:ind w:left="0" w:leftChars="0" w:firstLine="0" w:firstLineChars="0"/>
        <w:jc w:val="left"/>
      </w:pPr>
      <w:r>
        <w:rPr>
          <w:rFonts w:hint="eastAsia" w:ascii="仿宋_GB2312" w:hAnsi="仿宋" w:eastAsia="仿宋_GB2312"/>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jc w:val="center"/>
      </w:pPr>
    </w:p>
    <w:p>
      <w:pPr>
        <w:pStyle w:val="4"/>
        <w:ind w:firstLine="642" w:firstLineChars="200"/>
        <w:rPr>
          <w:rFonts w:ascii="黑体" w:eastAsia="黑体" w:cs="Times New Roman"/>
          <w:bCs w:val="0"/>
          <w:color w:val="000000"/>
        </w:rPr>
      </w:pPr>
      <w:bookmarkStart w:id="40" w:name="_Toc15377209"/>
      <w:bookmarkStart w:id="41" w:name="_Toc113981017"/>
      <w:bookmarkStart w:id="42" w:name="_Toc111208503"/>
      <w:r>
        <w:rPr>
          <w:rFonts w:hint="eastAsia" w:ascii="黑体" w:eastAsia="黑体" w:cs="Times New Roman"/>
          <w:bCs w:val="0"/>
          <w:color w:val="000000"/>
        </w:rPr>
        <w:t>五、一般公共预算财政拨款支出决算情况说</w:t>
      </w:r>
      <w:bookmarkEnd w:id="40"/>
      <w:r>
        <w:rPr>
          <w:rFonts w:hint="eastAsia" w:ascii="黑体" w:eastAsia="黑体" w:cs="Times New Roman"/>
          <w:bCs w:val="0"/>
          <w:color w:val="000000"/>
        </w:rPr>
        <w:t>明</w:t>
      </w:r>
      <w:bookmarkEnd w:id="41"/>
      <w:bookmarkEnd w:id="42"/>
    </w:p>
    <w:p>
      <w:pPr>
        <w:spacing w:line="600" w:lineRule="exact"/>
        <w:ind w:firstLine="642" w:firstLineChars="200"/>
        <w:outlineLvl w:val="2"/>
        <w:rPr>
          <w:rFonts w:ascii="仿宋" w:hAnsi="仿宋" w:eastAsia="仿宋"/>
          <w:b/>
          <w:color w:val="000000"/>
          <w:sz w:val="32"/>
          <w:szCs w:val="32"/>
        </w:rPr>
      </w:pPr>
      <w:bookmarkStart w:id="43" w:name="_Toc15377210"/>
      <w:r>
        <w:rPr>
          <w:rFonts w:hint="eastAsia" w:ascii="仿宋" w:hAnsi="仿宋" w:eastAsia="仿宋"/>
          <w:b/>
          <w:color w:val="000000"/>
          <w:sz w:val="32"/>
          <w:szCs w:val="32"/>
        </w:rPr>
        <w:t>（一）一般公共预算财政拨款支出决算总体情况</w:t>
      </w:r>
      <w:bookmarkEnd w:id="43"/>
    </w:p>
    <w:p>
      <w:pPr>
        <w:spacing w:line="600" w:lineRule="exact"/>
        <w:ind w:firstLine="640" w:firstLineChars="200"/>
        <w:rPr>
          <w:rFonts w:ascii="仿宋_GB2312" w:hAnsi="仿宋" w:eastAsia="仿宋_GB2312"/>
          <w:color w:val="000000"/>
          <w:sz w:val="32"/>
          <w:szCs w:val="32"/>
        </w:rPr>
      </w:pPr>
      <w:bookmarkStart w:id="44" w:name="_Toc15377211"/>
      <w:r>
        <w:rPr>
          <w:rFonts w:hint="eastAsia" w:ascii="仿宋" w:hAnsi="仿宋" w:eastAsia="仿宋"/>
          <w:color w:val="000000"/>
          <w:sz w:val="32"/>
          <w:szCs w:val="32"/>
        </w:rPr>
        <w:t xml:space="preserve">2021年一般公共预算财政拨款支出1176.03万元，占本年支出合计的100.00%。与2020相比，一般公共预算财政拨款增加202.04万元，增加20.74 %。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（图5：一般公共预算财政拨款支出决算变动情况）</w:t>
      </w:r>
    </w:p>
    <w:p>
      <w:pPr>
        <w:pStyle w:val="2"/>
        <w:ind w:firstLine="0"/>
        <w:rPr>
          <w:rFonts w:ascii="仿宋_GB2312" w:hAnsi="仿宋" w:eastAsia="仿宋_GB2312"/>
          <w:b/>
          <w:color w:val="000000"/>
          <w:sz w:val="32"/>
          <w:szCs w:val="32"/>
        </w:rPr>
      </w:pPr>
    </w:p>
    <w:p>
      <w:pPr>
        <w:pStyle w:val="2"/>
        <w:ind w:firstLine="0"/>
        <w:rPr>
          <w:rFonts w:ascii="仿宋_GB2312" w:hAnsi="仿宋" w:eastAsia="仿宋_GB2312"/>
          <w:b/>
          <w:color w:val="000000"/>
          <w:sz w:val="32"/>
          <w:szCs w:val="32"/>
        </w:rPr>
      </w:pPr>
      <w:r>
        <w:rPr>
          <w:rFonts w:hint="eastAsia" w:ascii="仿宋_GB2312" w:hAnsi="仿宋" w:eastAsia="仿宋_GB2312"/>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ind w:firstLine="0"/>
        <w:rPr>
          <w:rFonts w:ascii="仿宋_GB2312" w:hAnsi="仿宋" w:eastAsia="仿宋_GB2312"/>
          <w:b/>
          <w:color w:val="000000"/>
          <w:sz w:val="32"/>
          <w:szCs w:val="32"/>
        </w:rPr>
      </w:pP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4"/>
      <w:r>
        <w:rPr>
          <w:rFonts w:hint="eastAsia" w:ascii="仿宋" w:hAnsi="仿宋" w:eastAsia="仿宋"/>
          <w:b/>
          <w:color w:val="000000"/>
          <w:sz w:val="32"/>
          <w:szCs w:val="32"/>
        </w:rPr>
        <w:t>（一般公共预算收支表）</w:t>
      </w:r>
    </w:p>
    <w:p>
      <w:pPr>
        <w:spacing w:line="600" w:lineRule="exact"/>
        <w:ind w:firstLine="640" w:firstLineChars="200"/>
        <w:rPr>
          <w:rFonts w:ascii="仿宋_GB2312" w:hAnsi="仿宋" w:eastAsia="仿宋_GB2312"/>
          <w:color w:val="000000" w:themeColor="text1"/>
          <w:sz w:val="32"/>
          <w:szCs w:val="32"/>
        </w:rPr>
      </w:pPr>
      <w:r>
        <w:rPr>
          <w:rFonts w:hint="eastAsia" w:ascii="仿宋" w:hAnsi="仿宋" w:eastAsia="仿宋"/>
          <w:color w:val="000000"/>
          <w:sz w:val="32"/>
          <w:szCs w:val="32"/>
        </w:rPr>
        <w:t>2021年一般公共预算财政拨款支出1176.03万元，主要用于以下方面:公共安全支出969.75万元，占82.46%；社会保障和就业支出89.27万元，占7.59%；卫生健康支出46.01万元，占3.91%；农林水支出1.91万元，占0.16%；住房保障支出69.10万元，占5.88%。</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bookmarkStart w:id="45" w:name="_Toc15377212"/>
    </w:p>
    <w:p>
      <w:pPr>
        <w:pStyle w:val="2"/>
      </w:pPr>
      <w:r>
        <w:drawing>
          <wp:inline distT="0" distB="0" distL="0" distR="0">
            <wp:extent cx="4333240" cy="2886075"/>
            <wp:effectExtent l="0" t="0" r="1016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45"/>
    </w:p>
    <w:p>
      <w:pPr>
        <w:spacing w:line="600" w:lineRule="exact"/>
        <w:ind w:firstLine="640"/>
        <w:rPr>
          <w:rFonts w:ascii="仿宋" w:hAnsi="仿宋" w:eastAsia="仿宋"/>
          <w:color w:val="000000"/>
          <w:sz w:val="32"/>
          <w:szCs w:val="32"/>
        </w:rPr>
      </w:pPr>
      <w:bookmarkStart w:id="46" w:name="_Toc15378460"/>
      <w:bookmarkStart w:id="47" w:name="_Toc15377444"/>
      <w:bookmarkStart w:id="48" w:name="_Toc15377213"/>
      <w:r>
        <w:rPr>
          <w:rFonts w:hint="eastAsia" w:ascii="仿宋" w:hAnsi="仿宋" w:eastAsia="仿宋"/>
          <w:color w:val="000000"/>
          <w:sz w:val="32"/>
          <w:szCs w:val="32"/>
        </w:rPr>
        <w:t>2021年一般公共预算支出决算数为1176.03万，完成预算100%。其中：</w:t>
      </w:r>
      <w:bookmarkEnd w:id="46"/>
      <w:bookmarkEnd w:id="47"/>
      <w:bookmarkEnd w:id="48"/>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1.公共安全支出（204）司法（20406）行政运行（2040601）支出决算651.78万元，完成预算100%。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2.公共安全支出（204）司法（20406）一般行政管理事务（2040602）支出决算123.98万元，完成预算100%。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3.公共安全支出（204）司法（20406）基层司法业务（2040604）支出决算18.74万元，完成预算100%。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4.公共安全支出（204）司法（20406）普法宣传（2040605）支出决算24.82万元，完成预算100%。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5.公共安全支出（204）司法（20406）律师管理（2040606）支出决算19.60万元，完成预算100%。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6.公共安全支出（204）司法（20406）公共法律服务（2040607）支出决算14.53万元，完成预算100%。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7.公共安全支出（204）司法（20406）社区矫正（2040610）支出决算9.52万元，完成预算100%。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8.公共安全支出（204）司法（20406）事业运行（2040650）支出决算93.83万元，完成预算100%。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9.公共安全支出（204）司法（20406）其他司法支出（2040699）支出决算12.94万元，完成预算100%。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10.社会保障和就业支出（208）行政事业单位养老支出（20805）机关事业单位基本养老保险缴费支出（2080505）支出决算59.17万元，完成预算100%。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11.社会保障和就业支出（208）行政事业单位养老支出（20805）机关事业单位职业年金缴费支出（2080506）支出决算29.40万元，完成预算100%。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12.社会保障和就业支出（208）退役军人管理事务（20828）拥军优属（2082804）支出决算0.70万元，完成预算100%。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13.卫生健康支出（210）行政事业单位医疗（21011）行政单位医疗（2101101）支出决算40.41万元，完成预算100%。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14.卫生健康支出（210）行政事业单位医疗（21011）事业单位医疗（2101102）支出决算5.60万元，完成预算100%。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15.农林水支出（213）扶贫（21305）其他扶贫支出（2130599）支出决算1.91万元，完成预算100%。</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ab/>
      </w:r>
      <w:r>
        <w:rPr>
          <w:rFonts w:hint="eastAsia" w:ascii="仿宋" w:hAnsi="仿宋" w:eastAsia="仿宋"/>
          <w:color w:val="000000"/>
          <w:sz w:val="32"/>
          <w:szCs w:val="32"/>
        </w:rPr>
        <w:t>16.住房保障支出（221）住房改革支出（22102）住房公积金（2210201）支出决算69.10万元，完成预算100%。</w:t>
      </w:r>
    </w:p>
    <w:p>
      <w:pPr>
        <w:pStyle w:val="4"/>
        <w:ind w:firstLine="642" w:firstLineChars="200"/>
        <w:rPr>
          <w:rFonts w:ascii="黑体" w:eastAsia="黑体" w:cs="Times New Roman"/>
          <w:b w:val="0"/>
          <w:color w:val="000000"/>
        </w:rPr>
      </w:pPr>
      <w:bookmarkStart w:id="49" w:name="_Toc15377214"/>
      <w:bookmarkStart w:id="50" w:name="_Toc113981018"/>
      <w:bookmarkStart w:id="51" w:name="_Toc111208504"/>
      <w:r>
        <w:rPr>
          <w:rFonts w:hint="eastAsia" w:ascii="黑体" w:eastAsia="黑体" w:cs="Times New Roman"/>
          <w:bCs w:val="0"/>
          <w:color w:val="000000"/>
        </w:rPr>
        <w:t>六、一般公共预算财政拨款基本支出决算情况说</w:t>
      </w:r>
      <w:bookmarkEnd w:id="49"/>
      <w:r>
        <w:rPr>
          <w:rFonts w:hint="eastAsia" w:ascii="黑体" w:eastAsia="黑体" w:cs="Times New Roman"/>
          <w:bCs w:val="0"/>
          <w:color w:val="000000"/>
        </w:rPr>
        <w:t>明</w:t>
      </w:r>
      <w:bookmarkEnd w:id="50"/>
      <w:bookmarkEnd w:id="51"/>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2021年一般公共预算财政拨款基本支出949.29万元，其中：</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人员经费894.66万元，主要包括：基本工资179.04万元、津贴补贴225.64万元、奖金202.08万元、绩效工资54.21万元、机关事业单位基本养老保险缴费59.17万元、职业年金缴费29.40万元、职工基本医疗保险缴费46.01万元、其他社会保障缴费1.72万元、住房公积金69.10万元、医疗费5.85万元、生活补助22.33万元、医疗费补助0.01万元、奖励金0.10万元。</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用经费54.62万元，主要包括：办公费31.07万元、手续费0.01万元、水费0.05万元、电费3.28万元、邮电费2.28万元、差旅费6.41万元、维修（护）费2.15万元、培训费0.07万元、公务接待费0.46万元、劳务费0.04万元、公务用车运行维护费7.05万元、其他交通费用1.76万元。</w:t>
      </w:r>
    </w:p>
    <w:p>
      <w:pPr>
        <w:pStyle w:val="4"/>
        <w:ind w:firstLine="642" w:firstLineChars="200"/>
        <w:rPr>
          <w:rFonts w:ascii="黑体" w:eastAsia="黑体" w:cs="Times New Roman"/>
          <w:bCs w:val="0"/>
          <w:color w:val="000000"/>
        </w:rPr>
      </w:pPr>
      <w:bookmarkStart w:id="52" w:name="_Toc15377215"/>
      <w:bookmarkStart w:id="53" w:name="_Toc113981019"/>
      <w:bookmarkStart w:id="54" w:name="_Toc111208505"/>
      <w:r>
        <w:rPr>
          <w:rFonts w:hint="eastAsia" w:ascii="黑体" w:eastAsia="黑体" w:cs="Times New Roman"/>
          <w:bCs w:val="0"/>
          <w:color w:val="000000"/>
        </w:rPr>
        <w:t>七、“三公”经费财政拨款支出决算情况说明</w:t>
      </w:r>
      <w:bookmarkEnd w:id="52"/>
      <w:bookmarkEnd w:id="53"/>
      <w:bookmarkEnd w:id="54"/>
    </w:p>
    <w:p>
      <w:pPr>
        <w:spacing w:line="600" w:lineRule="exact"/>
        <w:ind w:firstLine="642" w:firstLineChars="200"/>
        <w:outlineLvl w:val="2"/>
        <w:rPr>
          <w:rFonts w:ascii="仿宋" w:hAnsi="仿宋" w:eastAsia="仿宋"/>
          <w:b/>
          <w:color w:val="000000"/>
          <w:sz w:val="32"/>
          <w:szCs w:val="32"/>
        </w:rPr>
      </w:pPr>
      <w:bookmarkStart w:id="55" w:name="_Toc15377216"/>
      <w:r>
        <w:rPr>
          <w:rFonts w:hint="eastAsia" w:ascii="仿宋" w:hAnsi="仿宋" w:eastAsia="仿宋"/>
          <w:b/>
          <w:color w:val="000000"/>
          <w:sz w:val="32"/>
          <w:szCs w:val="32"/>
        </w:rPr>
        <w:t>（一）“三公”经费财政拨款支出决算总体情况说明</w:t>
      </w:r>
      <w:bookmarkEnd w:id="55"/>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2021年“三公”经费财政拨款支出决算为8.00万元，完成预算100.00%。</w:t>
      </w:r>
      <w:bookmarkStart w:id="56" w:name="_Toc15377217"/>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5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2021年“三公”经费财政拨款支出8.00万，因公出国（境）费支出决算0.00万元；公务用车购置及运行维护费支出决算7.55万元，占94.30%；公务接待费支出决算0.46万元，占5.70%。具体情况如下：</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（图7：“三公”经费财政拨款支出结构）</w:t>
      </w:r>
    </w:p>
    <w:p>
      <w:pPr>
        <w:pStyle w:val="2"/>
        <w:rPr>
          <w:rFonts w:ascii="仿宋_GB2312" w:hAnsi="仿宋" w:eastAsia="仿宋_GB2312"/>
          <w:color w:val="000000"/>
          <w:sz w:val="32"/>
          <w:szCs w:val="32"/>
        </w:rPr>
      </w:pPr>
      <w: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1.因公出国（境）经费支出0.00万元,完成预算100%。全年安排因公出国（境）团组0次，出国（境）0人。因公出国（境）支出决算比2020年增加0.00万元，增加100.00 %。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2.公务用车购置及运行维护费支出7.55万元,完成预算100.00%。公务用车购置及运行维护费支出决算比2020年减少2.35万元，减少23.72%。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其中：公务用车购置支出0.00万元。全年按规定更新购置公务用车0辆，其中：轿车0辆、金额0.00万元，越野车0辆、金额0.00万元，载客汽车0辆、金额0.00万元。截至</w:t>
      </w:r>
      <w:r>
        <w:rPr>
          <w:rFonts w:ascii="仿宋" w:hAnsi="仿宋" w:eastAsia="仿宋"/>
          <w:color w:val="000000"/>
          <w:sz w:val="32"/>
          <w:szCs w:val="32"/>
        </w:rPr>
        <w:t>20</w:t>
      </w:r>
      <w:r>
        <w:rPr>
          <w:rFonts w:hint="eastAsia" w:ascii="仿宋" w:hAnsi="仿宋" w:eastAsia="仿宋"/>
          <w:color w:val="000000"/>
          <w:sz w:val="32"/>
          <w:szCs w:val="32"/>
        </w:rPr>
        <w:t>21年</w:t>
      </w:r>
      <w:r>
        <w:rPr>
          <w:rFonts w:ascii="仿宋" w:hAnsi="仿宋" w:eastAsia="仿宋"/>
          <w:color w:val="000000"/>
          <w:sz w:val="32"/>
          <w:szCs w:val="32"/>
        </w:rPr>
        <w:t>12</w:t>
      </w:r>
      <w:r>
        <w:rPr>
          <w:rFonts w:hint="eastAsia" w:ascii="仿宋" w:hAnsi="仿宋" w:eastAsia="仿宋"/>
          <w:color w:val="000000"/>
          <w:sz w:val="32"/>
          <w:szCs w:val="32"/>
        </w:rPr>
        <w:t>月底，单位共有公务用车6辆，其中：轿车2辆、越野车2辆、载客汽车0辆。</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公务用车运行维护费支出7.55万元。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3.公务接待费支出0.46万元，完成预算100.00%。公务接待费支出决算比2020年增加0.17万元，增加36.84</w:t>
      </w:r>
      <w:r>
        <w:rPr>
          <w:rFonts w:ascii="仿宋" w:hAnsi="仿宋" w:eastAsia="仿宋"/>
          <w:color w:val="000000"/>
          <w:sz w:val="32"/>
          <w:szCs w:val="32"/>
        </w:rPr>
        <w:t>%</w:t>
      </w:r>
      <w:r>
        <w:rPr>
          <w:rFonts w:hint="eastAsia" w:ascii="仿宋" w:hAnsi="仿宋" w:eastAsia="仿宋"/>
          <w:color w:val="000000"/>
          <w:sz w:val="32"/>
          <w:szCs w:val="32"/>
        </w:rPr>
        <w:t>。</w:t>
      </w:r>
      <w:bookmarkStart w:id="57" w:name="_Toc15377218"/>
      <w:r>
        <w:rPr>
          <w:rFonts w:hint="eastAsia"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国内公务接待支出0.46万元。国内公务接待4批次，39人次（不包括陪同人员），共计支出0.46万元。</w:t>
      </w:r>
    </w:p>
    <w:p>
      <w:pPr>
        <w:pStyle w:val="2"/>
        <w:rPr>
          <w:rFonts w:ascii="仿宋" w:hAnsi="仿宋" w:eastAsia="仿宋"/>
          <w:color w:val="000000"/>
          <w:sz w:val="32"/>
          <w:szCs w:val="32"/>
        </w:rPr>
      </w:pPr>
      <w:r>
        <w:rPr>
          <w:rFonts w:hint="eastAsia" w:ascii="仿宋" w:hAnsi="仿宋" w:eastAsia="仿宋"/>
          <w:color w:val="000000"/>
          <w:sz w:val="32"/>
          <w:szCs w:val="32"/>
        </w:rPr>
        <w:t>外事接待支出0.00万元，外事接待0批次，0人，共计支出0.00万元。</w:t>
      </w:r>
    </w:p>
    <w:p>
      <w:pPr>
        <w:pStyle w:val="4"/>
        <w:ind w:firstLine="642" w:firstLineChars="200"/>
        <w:rPr>
          <w:rFonts w:ascii="黑体" w:eastAsia="黑体" w:cs="Times New Roman"/>
          <w:bCs w:val="0"/>
          <w:color w:val="000000"/>
        </w:rPr>
      </w:pPr>
      <w:bookmarkStart w:id="58" w:name="_Toc113981020"/>
      <w:bookmarkStart w:id="59" w:name="_Toc111208506"/>
      <w:r>
        <w:rPr>
          <w:rFonts w:hint="eastAsia" w:ascii="黑体" w:eastAsia="黑体" w:cs="Times New Roman"/>
          <w:bCs w:val="0"/>
          <w:color w:val="000000"/>
        </w:rPr>
        <w:t>八、政府性基金预算支出决算情况说明</w:t>
      </w:r>
      <w:bookmarkEnd w:id="57"/>
      <w:bookmarkEnd w:id="58"/>
      <w:bookmarkEnd w:id="59"/>
    </w:p>
    <w:p>
      <w:pPr>
        <w:spacing w:line="600" w:lineRule="exact"/>
        <w:ind w:firstLine="640"/>
        <w:rPr>
          <w:rFonts w:ascii="仿宋" w:hAnsi="仿宋" w:eastAsia="仿宋"/>
        </w:rPr>
      </w:pPr>
      <w:r>
        <w:rPr>
          <w:rFonts w:hint="eastAsia" w:ascii="仿宋" w:hAnsi="仿宋" w:eastAsia="仿宋"/>
          <w:color w:val="000000"/>
          <w:sz w:val="32"/>
          <w:szCs w:val="32"/>
        </w:rPr>
        <w:t>2021年政府性基金预算拨款支出0.00万元。</w:t>
      </w:r>
      <w:bookmarkStart w:id="60" w:name="_Toc15377219"/>
    </w:p>
    <w:p>
      <w:pPr>
        <w:pStyle w:val="4"/>
        <w:ind w:firstLine="642" w:firstLineChars="200"/>
        <w:rPr>
          <w:rFonts w:ascii="黑体" w:eastAsia="黑体" w:cs="Times New Roman"/>
          <w:bCs w:val="0"/>
          <w:color w:val="000000"/>
        </w:rPr>
      </w:pPr>
      <w:bookmarkStart w:id="61" w:name="_Toc113981021"/>
      <w:bookmarkStart w:id="62" w:name="_Toc111208507"/>
      <w:r>
        <w:rPr>
          <w:rFonts w:hint="eastAsia" w:ascii="黑体" w:eastAsia="黑体" w:cs="Times New Roman"/>
          <w:bCs w:val="0"/>
          <w:color w:val="000000"/>
        </w:rPr>
        <w:t>九、国有资本经营预算支出决算情况说明</w:t>
      </w:r>
      <w:bookmarkEnd w:id="60"/>
      <w:bookmarkEnd w:id="61"/>
      <w:bookmarkEnd w:id="62"/>
    </w:p>
    <w:p>
      <w:pPr>
        <w:spacing w:line="600" w:lineRule="exact"/>
        <w:ind w:firstLine="640"/>
        <w:rPr>
          <w:rFonts w:ascii="仿宋" w:hAnsi="仿宋" w:eastAsia="仿宋"/>
        </w:rPr>
      </w:pPr>
      <w:r>
        <w:rPr>
          <w:rFonts w:hint="eastAsia" w:ascii="仿宋" w:hAnsi="仿宋" w:eastAsia="仿宋"/>
          <w:color w:val="000000"/>
          <w:sz w:val="32"/>
          <w:szCs w:val="32"/>
        </w:rPr>
        <w:t>2021年国有资本经营预算拨款支出0.00万元。</w:t>
      </w:r>
    </w:p>
    <w:p>
      <w:pPr>
        <w:pStyle w:val="4"/>
        <w:ind w:firstLine="642" w:firstLineChars="200"/>
        <w:rPr>
          <w:rFonts w:ascii="黑体" w:eastAsia="黑体" w:cs="Times New Roman"/>
          <w:bCs w:val="0"/>
          <w:color w:val="000000"/>
        </w:rPr>
      </w:pPr>
      <w:bookmarkStart w:id="63" w:name="_Toc111208508"/>
      <w:bookmarkStart w:id="64" w:name="_Toc113981022"/>
      <w:bookmarkStart w:id="65" w:name="_Toc15377221"/>
      <w:r>
        <w:rPr>
          <w:rFonts w:hint="eastAsia" w:ascii="黑体" w:eastAsia="黑体" w:cs="Times New Roman"/>
          <w:bCs w:val="0"/>
          <w:color w:val="000000"/>
        </w:rPr>
        <w:t>十、其他重要事项的情况说明</w:t>
      </w:r>
      <w:bookmarkEnd w:id="63"/>
      <w:bookmarkEnd w:id="64"/>
      <w:bookmarkEnd w:id="65"/>
    </w:p>
    <w:p>
      <w:pPr>
        <w:spacing w:line="600" w:lineRule="exact"/>
        <w:ind w:firstLine="642" w:firstLineChars="200"/>
        <w:outlineLvl w:val="2"/>
        <w:rPr>
          <w:rFonts w:ascii="仿宋" w:hAnsi="仿宋" w:eastAsia="仿宋"/>
          <w:b/>
          <w:color w:val="000000"/>
          <w:sz w:val="32"/>
          <w:szCs w:val="32"/>
        </w:rPr>
      </w:pPr>
      <w:bookmarkStart w:id="66" w:name="_Toc15377222"/>
      <w:r>
        <w:rPr>
          <w:rFonts w:hint="eastAsia" w:ascii="仿宋" w:hAnsi="仿宋" w:eastAsia="仿宋"/>
          <w:b/>
          <w:color w:val="000000"/>
          <w:sz w:val="32"/>
          <w:szCs w:val="32"/>
        </w:rPr>
        <w:t>（一）机关运行经费支出情况</w:t>
      </w:r>
      <w:bookmarkEnd w:id="6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2021年，机关运行经费支出46.30万元，比2020年减少2.23万元，减少4.6 %。 </w:t>
      </w:r>
    </w:p>
    <w:p>
      <w:pPr>
        <w:spacing w:line="600" w:lineRule="exact"/>
        <w:ind w:firstLine="642" w:firstLineChars="200"/>
        <w:outlineLvl w:val="2"/>
        <w:rPr>
          <w:rFonts w:ascii="仿宋" w:hAnsi="仿宋" w:eastAsia="仿宋"/>
          <w:b/>
          <w:color w:val="000000"/>
          <w:sz w:val="32"/>
          <w:szCs w:val="32"/>
        </w:rPr>
      </w:pPr>
      <w:bookmarkStart w:id="67" w:name="_Toc15377223"/>
      <w:r>
        <w:rPr>
          <w:rFonts w:hint="eastAsia" w:ascii="仿宋" w:hAnsi="仿宋" w:eastAsia="仿宋"/>
          <w:b/>
          <w:color w:val="000000"/>
          <w:sz w:val="32"/>
          <w:szCs w:val="32"/>
        </w:rPr>
        <w:t>（二）政府采购支出情况</w:t>
      </w:r>
      <w:bookmarkEnd w:id="67"/>
      <w:r>
        <w:rPr>
          <w:rFonts w:hint="eastAsia" w:ascii="仿宋" w:hAnsi="仿宋" w:eastAsia="仿宋"/>
          <w:b/>
          <w:color w:val="000000"/>
          <w:sz w:val="32"/>
          <w:szCs w:val="32"/>
        </w:rPr>
        <w:t>(机构运行信息表)</w:t>
      </w:r>
    </w:p>
    <w:p>
      <w:pPr>
        <w:spacing w:line="600" w:lineRule="exact"/>
        <w:ind w:firstLine="640"/>
        <w:rPr>
          <w:rFonts w:ascii="仿宋_GB2312" w:eastAsia="仿宋_GB2312"/>
          <w:color w:val="000000"/>
          <w:sz w:val="32"/>
          <w:szCs w:val="32"/>
        </w:rPr>
      </w:pPr>
      <w:r>
        <w:rPr>
          <w:rFonts w:hint="eastAsia" w:ascii="仿宋" w:hAnsi="仿宋" w:eastAsia="仿宋"/>
          <w:color w:val="000000"/>
          <w:sz w:val="32"/>
          <w:szCs w:val="32"/>
        </w:rPr>
        <w:t>2021年，政府采购支出总额3.56万元，其中：政府采购货物支出3.56万元、政府采购工程支出0.00万元、政府采购服务支出0.00万元。授予中小企业合同金额3.56万元，其中：授予小微企业合同金额3.56万元，占总合同的100.00%。</w:t>
      </w:r>
    </w:p>
    <w:p>
      <w:pPr>
        <w:spacing w:line="600" w:lineRule="exact"/>
        <w:ind w:firstLine="642" w:firstLineChars="200"/>
        <w:outlineLvl w:val="2"/>
        <w:rPr>
          <w:rFonts w:ascii="仿宋" w:hAnsi="仿宋" w:eastAsia="仿宋"/>
          <w:b/>
          <w:color w:val="000000"/>
          <w:sz w:val="32"/>
          <w:szCs w:val="32"/>
        </w:rPr>
      </w:pPr>
      <w:bookmarkStart w:id="68" w:name="_Toc15377224"/>
      <w:r>
        <w:rPr>
          <w:rFonts w:hint="eastAsia" w:ascii="仿宋" w:hAnsi="仿宋" w:eastAsia="仿宋"/>
          <w:b/>
          <w:color w:val="000000"/>
          <w:sz w:val="32"/>
          <w:szCs w:val="32"/>
        </w:rPr>
        <w:t>（三）国有资产占有使用情况</w:t>
      </w:r>
      <w:bookmarkEnd w:id="68"/>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截至2021年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日，共有车辆6辆，其中：主要领导干部用车0辆、机要通信用车0辆、应急保障用车0辆、其他用车0辆。单价</w:t>
      </w:r>
      <w:r>
        <w:rPr>
          <w:rFonts w:ascii="仿宋" w:hAnsi="仿宋" w:eastAsia="仿宋"/>
          <w:color w:val="000000"/>
          <w:sz w:val="32"/>
          <w:szCs w:val="32"/>
        </w:rPr>
        <w:t>50</w:t>
      </w:r>
      <w:r>
        <w:rPr>
          <w:rFonts w:hint="eastAsia" w:ascii="仿宋" w:hAnsi="仿宋" w:eastAsia="仿宋"/>
          <w:color w:val="000000"/>
          <w:sz w:val="32"/>
          <w:szCs w:val="32"/>
        </w:rPr>
        <w:t>万元以上通用设备0台（套），单价</w:t>
      </w:r>
      <w:r>
        <w:rPr>
          <w:rFonts w:ascii="仿宋" w:hAnsi="仿宋" w:eastAsia="仿宋"/>
          <w:color w:val="000000"/>
          <w:sz w:val="32"/>
          <w:szCs w:val="32"/>
        </w:rPr>
        <w:t>100</w:t>
      </w:r>
      <w:r>
        <w:rPr>
          <w:rFonts w:hint="eastAsia" w:ascii="仿宋" w:hAnsi="仿宋" w:eastAsia="仿宋"/>
          <w:color w:val="000000"/>
          <w:sz w:val="32"/>
          <w:szCs w:val="32"/>
        </w:rPr>
        <w:t>万元以上专用设备0台（套）。</w:t>
      </w: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pStyle w:val="33"/>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cs="宋体"/>
          <w:color w:val="000000"/>
          <w:kern w:val="0"/>
          <w:szCs w:val="32"/>
          <w:shd w:val="clear" w:color="auto" w:fill="FFFFFF"/>
          <w:lang w:val="zh-CN"/>
        </w:rPr>
        <w:t>（一）部门预算项目绩效管理。</w:t>
      </w:r>
    </w:p>
    <w:p>
      <w:pPr>
        <w:pStyle w:val="33"/>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ascii="仿宋_GB2312" w:cs="宋体"/>
          <w:color w:val="000000"/>
          <w:kern w:val="0"/>
          <w:szCs w:val="32"/>
          <w:shd w:val="clear" w:color="auto" w:fill="FFFFFF"/>
          <w:lang w:val="zh-CN"/>
        </w:rPr>
        <w:t>部门绩效目标制定严格按照《预算法》等，结合单位实际工作情况进行制定，人员类经费如工资津贴保险类支出均按要求，按月执行支付；运转类经费如办公费用按实际发生实报实销；特定目标类经费按照项目进度及工作开展进度进行支付。</w:t>
      </w:r>
    </w:p>
    <w:p>
      <w:pPr>
        <w:pStyle w:val="48"/>
        <w:keepNext w:val="0"/>
        <w:keepLines w:val="0"/>
        <w:widowControl w:val="0"/>
        <w:suppressLineNumbers w:val="0"/>
        <w:shd w:val="clear" w:color="auto" w:fill="FFFFFF"/>
        <w:autoSpaceDE w:val="0"/>
        <w:autoSpaceDN/>
        <w:spacing w:before="0" w:beforeAutospacing="0" w:after="0" w:afterAutospacing="0" w:line="560" w:lineRule="exact"/>
        <w:ind w:left="0" w:right="-105" w:firstLine="643"/>
        <w:jc w:val="both"/>
        <w:rPr>
          <w:rStyle w:val="49"/>
          <w:rFonts w:ascii="仿宋_GB2312" w:eastAsia="仿宋_GB2312" w:cs="仿宋_GB2312"/>
          <w:b w:val="0"/>
          <w:i w:val="0"/>
          <w:caps w:val="0"/>
          <w:smallCaps w:val="0"/>
          <w:spacing w:val="0"/>
          <w:kern w:val="2"/>
          <w:sz w:val="32"/>
          <w:szCs w:val="32"/>
          <w:shd w:val="clear" w:color="auto" w:fill="FFFFFF"/>
        </w:rPr>
      </w:pPr>
      <w:r>
        <w:rPr>
          <w:rStyle w:val="49"/>
          <w:rFonts w:ascii="仿宋_GB2312" w:eastAsia="仿宋_GB2312" w:cs="仿宋_GB2312"/>
          <w:b w:val="0"/>
          <w:i w:val="0"/>
          <w:caps w:val="0"/>
          <w:smallCaps w:val="0"/>
          <w:spacing w:val="0"/>
          <w:kern w:val="2"/>
          <w:sz w:val="32"/>
          <w:szCs w:val="32"/>
          <w:shd w:val="clear" w:color="auto" w:fill="FFFFFF"/>
        </w:rPr>
        <w:t>2021年我单位达到如下目标：</w:t>
      </w:r>
    </w:p>
    <w:p>
      <w:pPr>
        <w:pStyle w:val="48"/>
        <w:keepNext w:val="0"/>
        <w:keepLines w:val="0"/>
        <w:widowControl w:val="0"/>
        <w:suppressLineNumbers w:val="0"/>
        <w:shd w:val="clear" w:color="auto" w:fill="FFFFFF"/>
        <w:autoSpaceDE w:val="0"/>
        <w:autoSpaceDN/>
        <w:spacing w:before="0" w:beforeAutospacing="0" w:after="0" w:afterAutospacing="0" w:line="560" w:lineRule="exact"/>
        <w:ind w:left="0" w:right="-105" w:firstLine="643"/>
        <w:jc w:val="both"/>
        <w:rPr>
          <w:rFonts w:hint="eastAsia" w:ascii="仿宋_GB2312" w:eastAsia="仿宋_GB2312" w:cs="宋体"/>
          <w:sz w:val="32"/>
          <w:szCs w:val="32"/>
          <w:shd w:val="clear" w:color="auto" w:fill="FFFFFF"/>
        </w:rPr>
      </w:pPr>
      <w:r>
        <w:rPr>
          <w:rStyle w:val="49"/>
          <w:rFonts w:ascii="仿宋_GB2312" w:eastAsia="仿宋_GB2312" w:cs="仿宋_GB2312"/>
          <w:b w:val="0"/>
          <w:i w:val="0"/>
          <w:caps w:val="0"/>
          <w:smallCaps w:val="0"/>
          <w:spacing w:val="0"/>
          <w:kern w:val="2"/>
          <w:sz w:val="32"/>
          <w:szCs w:val="32"/>
          <w:shd w:val="clear" w:color="auto" w:fill="FFFFFF"/>
        </w:rPr>
        <w:t>1.</w:t>
      </w:r>
      <w:r>
        <w:rPr>
          <w:rStyle w:val="49"/>
          <w:rFonts w:hint="eastAsia" w:ascii="仿宋_GB2312" w:eastAsia="仿宋_GB2312" w:cs="仿宋_GB2312"/>
          <w:b w:val="0"/>
          <w:i w:val="0"/>
          <w:caps w:val="0"/>
          <w:smallCaps w:val="0"/>
          <w:spacing w:val="0"/>
          <w:sz w:val="32"/>
          <w:szCs w:val="32"/>
          <w:shd w:val="clear" w:color="auto" w:fill="FFFFFF"/>
        </w:rPr>
        <w:t>聚焦中心、抓住关键、精准发力，深入推进法治茂县建设。坚持规范服务，确保行政合法合规</w:t>
      </w:r>
      <w:r>
        <w:rPr>
          <w:rStyle w:val="49"/>
          <w:rFonts w:ascii="仿宋_GB2312" w:eastAsia="仿宋_GB2312" w:cs="仿宋_GB2312"/>
          <w:b w:val="0"/>
          <w:i w:val="0"/>
          <w:caps w:val="0"/>
          <w:smallCaps w:val="0"/>
          <w:spacing w:val="0"/>
          <w:sz w:val="32"/>
          <w:szCs w:val="32"/>
          <w:shd w:val="clear" w:color="auto" w:fill="FFFFFF"/>
        </w:rPr>
        <w:t>。</w:t>
      </w:r>
    </w:p>
    <w:p>
      <w:pPr>
        <w:pStyle w:val="33"/>
        <w:spacing w:before="0" w:beforeAutospacing="0" w:after="0" w:afterAutospacing="0" w:line="540" w:lineRule="exact"/>
        <w:ind w:left="0" w:firstLine="640" w:firstLineChars="200"/>
        <w:jc w:val="both"/>
        <w:textAlignment w:val="baseline"/>
        <w:rPr>
          <w:rFonts w:hint="eastAsia" w:ascii="仿宋_GB2312" w:eastAsia="仿宋_GB2312" w:cs="宋体"/>
          <w:sz w:val="32"/>
          <w:szCs w:val="32"/>
          <w:vertAlign w:val="baseline"/>
        </w:rPr>
      </w:pPr>
      <w:r>
        <w:rPr>
          <w:rStyle w:val="49"/>
          <w:rFonts w:ascii="仿宋_GB2312" w:eastAsia="仿宋_GB2312" w:cs="仿宋_GB2312"/>
          <w:b w:val="0"/>
          <w:bCs w:val="0"/>
          <w:i w:val="0"/>
          <w:caps w:val="0"/>
          <w:smallCaps w:val="0"/>
          <w:color w:val="000000"/>
          <w:spacing w:val="0"/>
          <w:sz w:val="32"/>
          <w:szCs w:val="32"/>
          <w:vertAlign w:val="baseline"/>
        </w:rPr>
        <w:t>2</w:t>
      </w:r>
      <w:r>
        <w:rPr>
          <w:rStyle w:val="49"/>
          <w:rFonts w:hint="eastAsia" w:ascii="仿宋_GB2312" w:eastAsia="仿宋_GB2312" w:cs="仿宋_GB2312"/>
          <w:b w:val="0"/>
          <w:bCs w:val="0"/>
          <w:i w:val="0"/>
          <w:caps w:val="0"/>
          <w:smallCaps w:val="0"/>
          <w:color w:val="000000"/>
          <w:spacing w:val="0"/>
          <w:sz w:val="32"/>
          <w:szCs w:val="32"/>
          <w:vertAlign w:val="baseline"/>
        </w:rPr>
        <w:t>.当好参谋顾问，深入推进法治政府建设工作</w:t>
      </w:r>
      <w:r>
        <w:rPr>
          <w:rStyle w:val="49"/>
          <w:rFonts w:hint="eastAsia" w:ascii="楷体_GB2312" w:eastAsia="楷体_GB2312" w:cs="楷体_GB2312"/>
          <w:b w:val="0"/>
          <w:bCs w:val="0"/>
          <w:i w:val="0"/>
          <w:caps w:val="0"/>
          <w:smallCaps w:val="0"/>
          <w:spacing w:val="0"/>
          <w:kern w:val="2"/>
          <w:sz w:val="32"/>
          <w:szCs w:val="32"/>
          <w:vertAlign w:val="baseline"/>
        </w:rPr>
        <w:t>。</w:t>
      </w:r>
      <w:r>
        <w:rPr>
          <w:rStyle w:val="49"/>
          <w:rFonts w:hint="eastAsia" w:ascii="仿宋_GB2312" w:eastAsia="仿宋_GB2312" w:cs="仿宋_GB2312"/>
          <w:b w:val="0"/>
          <w:bCs w:val="0"/>
          <w:i w:val="0"/>
          <w:caps w:val="0"/>
          <w:smallCaps w:val="0"/>
          <w:color w:val="000000"/>
          <w:spacing w:val="0"/>
          <w:sz w:val="32"/>
          <w:szCs w:val="32"/>
          <w:vertAlign w:val="baseline"/>
        </w:rPr>
        <w:t>认真开展合法性审查工作</w:t>
      </w:r>
      <w:r>
        <w:rPr>
          <w:rStyle w:val="49"/>
          <w:rFonts w:hint="eastAsia" w:ascii="仿宋_GB2312" w:eastAsia="仿宋_GB2312" w:cs="宋体"/>
          <w:b w:val="0"/>
          <w:i w:val="0"/>
          <w:caps w:val="0"/>
          <w:smallCaps w:val="0"/>
          <w:color w:val="000000"/>
          <w:spacing w:val="0"/>
          <w:sz w:val="32"/>
          <w:szCs w:val="32"/>
          <w:vertAlign w:val="baseline"/>
        </w:rPr>
        <w:t>为政府全面依法行政提供了有力保障。</w:t>
      </w:r>
    </w:p>
    <w:p>
      <w:pPr>
        <w:pStyle w:val="50"/>
        <w:keepNext w:val="0"/>
        <w:keepLines w:val="0"/>
        <w:widowControl/>
        <w:suppressLineNumbers w:val="0"/>
        <w:spacing w:before="0" w:beforeAutospacing="0" w:after="0" w:afterAutospacing="0" w:line="540" w:lineRule="exact"/>
        <w:ind w:left="0" w:firstLine="640" w:firstLineChars="200"/>
        <w:jc w:val="both"/>
        <w:textAlignment w:val="baseline"/>
        <w:rPr>
          <w:rFonts w:hint="eastAsia" w:ascii="仿宋_GB2312" w:eastAsia="仿宋_GB2312" w:cs="宋体"/>
          <w:sz w:val="32"/>
          <w:szCs w:val="32"/>
          <w:vertAlign w:val="baseline"/>
        </w:rPr>
      </w:pPr>
      <w:r>
        <w:rPr>
          <w:rStyle w:val="49"/>
          <w:rFonts w:ascii="仿宋_GB2312" w:eastAsia="仿宋_GB2312" w:cs="仿宋_GB2312"/>
          <w:b w:val="0"/>
          <w:i w:val="0"/>
          <w:caps w:val="0"/>
          <w:smallCaps w:val="0"/>
          <w:color w:val="000000"/>
          <w:spacing w:val="0"/>
          <w:sz w:val="32"/>
          <w:szCs w:val="32"/>
          <w:vertAlign w:val="baseline"/>
        </w:rPr>
        <w:t>3</w:t>
      </w:r>
      <w:r>
        <w:rPr>
          <w:rStyle w:val="49"/>
          <w:rFonts w:hint="eastAsia" w:ascii="仿宋_GB2312" w:eastAsia="仿宋_GB2312" w:cs="仿宋_GB2312"/>
          <w:b w:val="0"/>
          <w:i w:val="0"/>
          <w:caps w:val="0"/>
          <w:smallCaps w:val="0"/>
          <w:color w:val="000000"/>
          <w:spacing w:val="0"/>
          <w:sz w:val="32"/>
          <w:szCs w:val="32"/>
          <w:vertAlign w:val="baseline"/>
        </w:rPr>
        <w:t>.普法治理工作有序开展。</w:t>
      </w:r>
    </w:p>
    <w:p>
      <w:pPr>
        <w:pStyle w:val="33"/>
        <w:spacing w:before="0" w:beforeAutospacing="0" w:after="0" w:afterAutospacing="0" w:line="540" w:lineRule="exact"/>
        <w:ind w:left="0" w:firstLine="640" w:firstLineChars="200"/>
        <w:jc w:val="both"/>
        <w:textAlignment w:val="baseline"/>
        <w:rPr>
          <w:rFonts w:hint="eastAsia" w:ascii="仿宋_GB2312" w:eastAsia="仿宋_GB2312" w:cs="宋体"/>
          <w:sz w:val="32"/>
          <w:szCs w:val="32"/>
          <w:vertAlign w:val="baseline"/>
        </w:rPr>
      </w:pPr>
      <w:r>
        <w:rPr>
          <w:rStyle w:val="49"/>
          <w:rFonts w:ascii="仿宋_GB2312" w:eastAsia="仿宋_GB2312" w:cs="仿宋_GB2312"/>
          <w:b w:val="0"/>
          <w:i w:val="0"/>
          <w:caps w:val="0"/>
          <w:smallCaps w:val="0"/>
          <w:color w:val="000000"/>
          <w:spacing w:val="0"/>
          <w:kern w:val="2"/>
          <w:sz w:val="32"/>
          <w:szCs w:val="32"/>
          <w:vertAlign w:val="baseline"/>
        </w:rPr>
        <w:t>4</w:t>
      </w:r>
      <w:r>
        <w:rPr>
          <w:rStyle w:val="49"/>
          <w:rFonts w:hint="eastAsia" w:ascii="仿宋_GB2312" w:eastAsia="仿宋_GB2312" w:cs="仿宋_GB2312"/>
          <w:b w:val="0"/>
          <w:i w:val="0"/>
          <w:caps w:val="0"/>
          <w:smallCaps w:val="0"/>
          <w:color w:val="000000"/>
          <w:spacing w:val="0"/>
          <w:kern w:val="2"/>
          <w:sz w:val="32"/>
          <w:szCs w:val="32"/>
          <w:vertAlign w:val="baseline"/>
        </w:rPr>
        <w:t>.持续优化基层司法所布局。</w:t>
      </w:r>
      <w:r>
        <w:rPr>
          <w:rStyle w:val="51"/>
          <w:rFonts w:hint="eastAsia" w:ascii="仿宋_GB2312" w:eastAsia="仿宋_GB2312" w:cs="仿宋_GB2312"/>
          <w:b w:val="0"/>
          <w:bCs w:val="0"/>
          <w:i w:val="0"/>
          <w:caps w:val="0"/>
          <w:smallCaps w:val="0"/>
          <w:color w:val="000000"/>
          <w:spacing w:val="0"/>
          <w:kern w:val="2"/>
          <w:sz w:val="32"/>
          <w:szCs w:val="32"/>
          <w:vertAlign w:val="baseline"/>
        </w:rPr>
        <w:t>按照两项改革</w:t>
      </w:r>
      <w:r>
        <w:rPr>
          <w:rStyle w:val="51"/>
          <w:rFonts w:hint="eastAsia" w:ascii="仿宋_GB2312" w:eastAsia="仿宋_GB2312" w:cs="宋体"/>
          <w:b w:val="0"/>
          <w:bCs w:val="0"/>
          <w:i w:val="0"/>
          <w:caps w:val="0"/>
          <w:smallCaps w:val="0"/>
          <w:color w:val="000000"/>
          <w:spacing w:val="0"/>
          <w:kern w:val="2"/>
          <w:sz w:val="32"/>
          <w:szCs w:val="32"/>
          <w:vertAlign w:val="baseline"/>
        </w:rPr>
        <w:t>“后半篇”文章要求完成了“法治小院”叠溪司法所的打造。</w:t>
      </w:r>
    </w:p>
    <w:p>
      <w:pPr>
        <w:pStyle w:val="48"/>
        <w:keepNext w:val="0"/>
        <w:keepLines w:val="0"/>
        <w:widowControl w:val="0"/>
        <w:suppressLineNumbers w:val="0"/>
        <w:shd w:val="clear" w:color="auto" w:fill="FFFFFF"/>
        <w:autoSpaceDE w:val="0"/>
        <w:autoSpaceDN/>
        <w:spacing w:before="0" w:beforeAutospacing="0" w:after="0" w:afterAutospacing="0" w:line="576" w:lineRule="exact"/>
        <w:ind w:left="0" w:right="-105" w:firstLine="643"/>
        <w:jc w:val="both"/>
        <w:rPr>
          <w:rFonts w:hint="eastAsia" w:ascii="仿宋_GB2312" w:eastAsia="仿宋_GB2312" w:cs="黑体"/>
          <w:b/>
          <w:bCs/>
          <w:sz w:val="32"/>
          <w:szCs w:val="32"/>
          <w:shd w:val="clear" w:color="auto" w:fill="FFFFFF"/>
        </w:rPr>
      </w:pPr>
      <w:r>
        <w:rPr>
          <w:rStyle w:val="49"/>
          <w:rFonts w:ascii="仿宋_GB2312" w:eastAsia="仿宋_GB2312" w:cs="仿宋_GB2312"/>
          <w:b w:val="0"/>
          <w:i w:val="0"/>
          <w:iCs w:val="0"/>
          <w:caps w:val="0"/>
          <w:smallCaps w:val="0"/>
          <w:color w:val="000000"/>
          <w:spacing w:val="8"/>
          <w:kern w:val="2"/>
          <w:sz w:val="32"/>
          <w:szCs w:val="32"/>
          <w:shd w:val="clear" w:color="auto" w:fill="FFFFFF"/>
        </w:rPr>
        <w:t>5</w:t>
      </w:r>
      <w:r>
        <w:rPr>
          <w:rStyle w:val="49"/>
          <w:rFonts w:hint="eastAsia" w:ascii="仿宋_GB2312" w:eastAsia="仿宋_GB2312" w:cs="仿宋_GB2312"/>
          <w:b w:val="0"/>
          <w:i w:val="0"/>
          <w:iCs w:val="0"/>
          <w:caps w:val="0"/>
          <w:smallCaps w:val="0"/>
          <w:color w:val="000000"/>
          <w:spacing w:val="8"/>
          <w:kern w:val="2"/>
          <w:sz w:val="32"/>
          <w:szCs w:val="32"/>
          <w:shd w:val="clear" w:color="auto" w:fill="FFFFFF"/>
        </w:rPr>
        <w:t>.有效排查化解矛盾纠纷，</w:t>
      </w:r>
      <w:r>
        <w:rPr>
          <w:rStyle w:val="49"/>
          <w:rFonts w:hint="eastAsia" w:ascii="仿宋_GB2312" w:eastAsia="仿宋_GB2312" w:cs="仿宋_GB2312"/>
          <w:b w:val="0"/>
          <w:i w:val="0"/>
          <w:caps w:val="0"/>
          <w:smallCaps w:val="0"/>
          <w:color w:val="000000"/>
          <w:spacing w:val="0"/>
          <w:kern w:val="2"/>
          <w:sz w:val="32"/>
          <w:szCs w:val="32"/>
          <w:shd w:val="clear" w:color="auto" w:fill="FFFFFF"/>
        </w:rPr>
        <w:t>为辖区经济发展创造了稳定的社会环境，公正的法治环境，优质的服务环境</w:t>
      </w:r>
      <w:r>
        <w:rPr>
          <w:rStyle w:val="49"/>
          <w:rFonts w:hint="eastAsia" w:ascii="仿宋_GB2312" w:eastAsia="仿宋_GB2312" w:cs="仿宋_GB2312"/>
          <w:b w:val="0"/>
          <w:bCs w:val="0"/>
          <w:i w:val="0"/>
          <w:caps w:val="0"/>
          <w:smallCaps w:val="0"/>
          <w:color w:val="000000"/>
          <w:spacing w:val="0"/>
          <w:kern w:val="2"/>
          <w:sz w:val="32"/>
          <w:szCs w:val="32"/>
          <w:shd w:val="clear" w:color="auto" w:fill="FFFFFF"/>
        </w:rPr>
        <w:t>。</w:t>
      </w:r>
    </w:p>
    <w:p>
      <w:pPr>
        <w:pStyle w:val="48"/>
        <w:keepNext w:val="0"/>
        <w:keepLines w:val="0"/>
        <w:widowControl/>
        <w:suppressLineNumbers w:val="0"/>
        <w:spacing w:before="0" w:beforeAutospacing="0" w:after="0" w:afterAutospacing="0" w:line="576" w:lineRule="exact"/>
        <w:ind w:left="0" w:right="0" w:firstLine="640" w:firstLineChars="200"/>
        <w:jc w:val="both"/>
        <w:textAlignment w:val="baseline"/>
        <w:rPr>
          <w:rFonts w:hint="eastAsia" w:ascii="仿宋_GB2312" w:eastAsia="仿宋_GB2312" w:cs="宋体"/>
          <w:b w:val="0"/>
          <w:i w:val="0"/>
          <w:caps w:val="0"/>
          <w:smallCaps w:val="0"/>
          <w:color w:val="000000"/>
          <w:spacing w:val="0"/>
          <w:kern w:val="0"/>
          <w:sz w:val="32"/>
          <w:szCs w:val="32"/>
          <w:vertAlign w:val="baseline"/>
        </w:rPr>
      </w:pPr>
      <w:r>
        <w:rPr>
          <w:rStyle w:val="49"/>
          <w:rFonts w:ascii="仿宋_GB2312" w:eastAsia="仿宋_GB2312" w:cs="仿宋_GB2312"/>
          <w:b w:val="0"/>
          <w:i w:val="0"/>
          <w:caps w:val="0"/>
          <w:smallCaps w:val="0"/>
          <w:color w:val="000000"/>
          <w:spacing w:val="0"/>
          <w:kern w:val="0"/>
          <w:sz w:val="32"/>
          <w:szCs w:val="32"/>
          <w:vertAlign w:val="baseline"/>
        </w:rPr>
        <w:t>6</w:t>
      </w:r>
      <w:r>
        <w:rPr>
          <w:rStyle w:val="49"/>
          <w:rFonts w:hint="eastAsia" w:ascii="仿宋_GB2312" w:eastAsia="仿宋_GB2312" w:cs="仿宋_GB2312"/>
          <w:b w:val="0"/>
          <w:i w:val="0"/>
          <w:caps w:val="0"/>
          <w:smallCaps w:val="0"/>
          <w:color w:val="000000"/>
          <w:spacing w:val="0"/>
          <w:kern w:val="0"/>
          <w:sz w:val="32"/>
          <w:szCs w:val="32"/>
          <w:vertAlign w:val="baseline"/>
        </w:rPr>
        <w:t>.以服务人民为中心，大力推进公共法律服务规范化、便民化。</w:t>
      </w:r>
    </w:p>
    <w:p>
      <w:pPr>
        <w:pStyle w:val="33"/>
        <w:spacing w:line="576" w:lineRule="exact"/>
        <w:ind w:left="0" w:firstLine="640" w:firstLineChars="200"/>
        <w:rPr>
          <w:rFonts w:hint="eastAsia" w:ascii="仿宋_GB2312"/>
          <w:color w:val="000000"/>
          <w:kern w:val="0"/>
          <w:szCs w:val="32"/>
        </w:rPr>
      </w:pPr>
      <w:r>
        <w:rPr>
          <w:rStyle w:val="49"/>
          <w:rFonts w:ascii="仿宋_GB2312" w:eastAsia="仿宋_GB2312" w:cs="仿宋_GB2312"/>
          <w:b w:val="0"/>
          <w:i w:val="0"/>
          <w:caps w:val="0"/>
          <w:smallCaps w:val="0"/>
          <w:color w:val="000000"/>
          <w:spacing w:val="0"/>
          <w:kern w:val="0"/>
          <w:sz w:val="32"/>
          <w:szCs w:val="32"/>
        </w:rPr>
        <w:t>7</w:t>
      </w:r>
      <w:r>
        <w:rPr>
          <w:rStyle w:val="49"/>
          <w:rFonts w:hint="eastAsia" w:ascii="仿宋_GB2312" w:eastAsia="仿宋_GB2312" w:cs="仿宋_GB2312"/>
          <w:b w:val="0"/>
          <w:i w:val="0"/>
          <w:caps w:val="0"/>
          <w:smallCaps w:val="0"/>
          <w:color w:val="000000"/>
          <w:spacing w:val="0"/>
          <w:kern w:val="0"/>
          <w:sz w:val="32"/>
          <w:szCs w:val="32"/>
        </w:rPr>
        <w:t>.依法开展好社区矫正日常工作，随时掌握社区矫正对象的动态，确保社区矫正对象不脱管、不失控。</w:t>
      </w:r>
    </w:p>
    <w:p>
      <w:pPr>
        <w:pStyle w:val="33"/>
        <w:widowControl/>
        <w:adjustRightInd w:val="0"/>
        <w:snapToGrid w:val="0"/>
        <w:spacing w:line="580" w:lineRule="exact"/>
        <w:contextualSpacing/>
        <w:jc w:val="left"/>
        <w:rPr>
          <w:rFonts w:ascii="仿宋_GB2312" w:cs="宋体"/>
          <w:color w:val="000000"/>
          <w:kern w:val="0"/>
          <w:szCs w:val="32"/>
          <w:shd w:val="clear" w:color="auto" w:fill="FFFFFF"/>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pStyle w:val="3"/>
        <w:jc w:val="center"/>
        <w:rPr>
          <w:rFonts w:ascii="黑体" w:hAnsi="黑体" w:eastAsia="黑体" w:cs="黑体"/>
        </w:rPr>
      </w:pPr>
      <w:bookmarkStart w:id="69" w:name="_Toc111208509"/>
      <w:bookmarkStart w:id="70" w:name="_Toc15377225"/>
      <w:bookmarkStart w:id="71" w:name="_Toc113981023"/>
      <w:r>
        <w:rPr>
          <w:rFonts w:hint="eastAsia" w:ascii="黑体" w:hAnsi="黑体" w:eastAsia="黑体" w:cs="黑体"/>
        </w:rPr>
        <w:t>第三部分 名词解释</w:t>
      </w:r>
      <w:bookmarkEnd w:id="69"/>
      <w:bookmarkEnd w:id="70"/>
      <w:bookmarkEnd w:id="71"/>
    </w:p>
    <w:p>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9.公共安全支出（204）司法（20406）行政运行（2040601）：反映行政单位（包括实行公务员管理的事业单位）的基本支出。</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10.公共安全支出（204）司法（20406）一般行政管理事务（2040602）：反映行政单位（包括实行公务员管理的事业单位）未单独设置项级科g的其他项目支出。</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11.公共安全支出（204）司法（20406）基层司法业务（2040604）：反映各级司法行政部门用于基层业务的支出，包括基层工作指导费、调解费、安置帮教费、司法所经费和公共法律服务平台相关支出、人民陪审员选任管理费用、人民监督员选任管理费用等支出。</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12.公共安全支出（204）司法（20406）普法宣传（2040605）：反映各级司法行政部门用于组织各种媒体的宣传、普法装备与设施、宣传资料、对外宣传、法制作品的审读评审等方面的支出。</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13.公共安全支出（204）司法（20406）律师管理（2040606）：反映司法行政部门用于律师管理和法律顾问的相关支出。</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14.公共安全支出（204）司法（20406）公共法律服务（2040607）：反映司法行政部门用于法律援助、司法鉴定、公证、仲裁等公共法律服务工作的相关支出。</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15.公共安全支出（204）司法（20406）社区矫正（2040610）：反映司法行政部门用于社区矫正的相关支出。</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16.公共安全支出（204）司法（20406）事业运行（2040650）：反映事业单位的基本支出，不包括行政单位（包括实行公务员管理的事业单位）后勤服务中心、医务室等附属事业单位。</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17.公共安全支出（204）司法（20406）其他司法支出（2040699）：反映除上述项目以外其他用于司法方面的支出。</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18.社会保障和就业支出（208）行政事业单位养老支出（20805）机关事业单位基本养老保险缴费支出（2080505）：反映机关事业单位实施养老保险制度由单位缴纳的基本养老保险费支出。</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19.社会保障和就业支出（208）行政事业单位养老支出（20805）机关事业单位职业年金缴费支出（2080506）：反映机关事业单位实施养老保险制度由单位实际缴纳的职业年金支出。</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20.社会保障和就业支出（208）退役军人管理事务（20828）拥军优属（2082804）：反映开展拥军优属活动的支出。</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21.卫生健康支出（210）行政事业单位医疗（21011）行政单位医疗（2101101）：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22.卫生健康支出（210）行政事业单位医疗（21011）事业单位医疗（2101102）：反映财政部门安排的事业单位基本医疗保险缴费经费，未参加医疗保险的事业单位的公费医疗经费，按国家规定享受离休人员待遇的医疗经费。</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23.农林水支出（213）扶贫（21305）其他扶贫支出（2130599）：反映除上述项目以外其他用于扶贫方面的支出。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ab/>
      </w:r>
      <w:r>
        <w:rPr>
          <w:rFonts w:hint="eastAsia" w:ascii="仿宋" w:hAnsi="仿宋" w:eastAsia="仿宋"/>
          <w:color w:val="000000"/>
          <w:sz w:val="32"/>
          <w:szCs w:val="32"/>
        </w:rPr>
        <w:t>24.住房保障支出（221）住房改革支出（22102）住房公积金（2210201）：反映行政事业单位按人力资源和社会保障部、财政部规定的基本工资和津贴补贴以及规定比例为职工缴纳的住房公积金。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25.基本支出：指为保障机构正常运转、完成日常工作任务而发生的人员支出和公用支出。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25.项目支出：指在基本支出之外为完成特定行政任务和事业发展目标所发生的支出。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26.经营支出：指事业单位在专业业务活动及其辅助活动之外开展非独立核算经营活动发生的支出。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ascii="仿宋_GB2312" w:eastAsia="仿宋_GB2312" w:cs="黑体"/>
          <w:sz w:val="32"/>
          <w:szCs w:val="32"/>
        </w:rPr>
      </w:pPr>
      <w:r>
        <w:rPr>
          <w:rFonts w:hint="eastAsia" w:ascii="仿宋" w:hAnsi="仿宋" w:eastAsia="仿宋"/>
          <w:color w:val="000000"/>
          <w:sz w:val="32"/>
          <w:szCs w:val="32"/>
        </w:rPr>
        <w:t>29.财政应返还额度：为行政事业单位会计核算科目，用于核算实行国库集中支付的行政事业单位应收财政返还的资金额度。</w:t>
      </w:r>
    </w:p>
    <w:p>
      <w:pPr>
        <w:widowControl/>
        <w:jc w:val="left"/>
        <w:rPr>
          <w:rStyle w:val="28"/>
          <w:rFonts w:ascii="黑体" w:hAnsi="黑体" w:eastAsia="黑体"/>
        </w:rPr>
      </w:pPr>
      <w:r>
        <w:rPr>
          <w:rStyle w:val="28"/>
          <w:rFonts w:ascii="黑体" w:hAnsi="黑体" w:eastAsia="黑体"/>
        </w:rPr>
        <w:br w:type="page"/>
      </w:r>
    </w:p>
    <w:p>
      <w:pPr>
        <w:pStyle w:val="3"/>
        <w:jc w:val="center"/>
        <w:rPr>
          <w:rFonts w:ascii="黑体" w:hAnsi="黑体" w:eastAsia="黑体" w:cs="黑体"/>
        </w:rPr>
      </w:pPr>
      <w:bookmarkStart w:id="72" w:name="_Toc113981024"/>
      <w:bookmarkStart w:id="73" w:name="_Toc111208510"/>
      <w:r>
        <w:rPr>
          <w:rFonts w:hint="eastAsia" w:ascii="黑体" w:hAnsi="黑体" w:eastAsia="黑体" w:cs="黑体"/>
        </w:rPr>
        <w:t>第四部分 附件</w:t>
      </w:r>
      <w:bookmarkEnd w:id="72"/>
      <w:bookmarkEnd w:id="73"/>
    </w:p>
    <w:p>
      <w:pPr>
        <w:pStyle w:val="52"/>
        <w:spacing w:line="580" w:lineRule="exact"/>
        <w:contextualSpacing/>
        <w:rPr>
          <w:rFonts w:ascii="黑体" w:eastAsia="黑体" w:cs="黑体"/>
          <w:szCs w:val="32"/>
          <w:lang w:val="zh-CN"/>
        </w:rPr>
      </w:pPr>
      <w:r>
        <w:rPr>
          <w:rFonts w:hint="eastAsia" w:ascii="黑体" w:eastAsia="黑体" w:cs="黑体"/>
          <w:szCs w:val="32"/>
          <w:lang w:val="zh-CN"/>
        </w:rPr>
        <w:t>附件</w:t>
      </w:r>
      <w:r>
        <w:rPr>
          <w:rFonts w:hint="eastAsia" w:ascii="黑体" w:eastAsia="黑体" w:cs="黑体"/>
          <w:szCs w:val="32"/>
        </w:rPr>
        <w:t>2</w:t>
      </w:r>
    </w:p>
    <w:p>
      <w:pPr>
        <w:pStyle w:val="52"/>
        <w:widowControl/>
        <w:spacing w:line="580" w:lineRule="exact"/>
        <w:contextualSpacing/>
        <w:jc w:val="center"/>
        <w:rPr>
          <w:rFonts w:ascii="宋体" w:eastAsia="宋体"/>
          <w:b/>
          <w:sz w:val="44"/>
          <w:szCs w:val="44"/>
          <w:shd w:val="clear" w:color="auto" w:fill="FFFFFF"/>
        </w:rPr>
      </w:pPr>
      <w:r>
        <w:rPr>
          <w:rFonts w:hint="eastAsia" w:ascii="宋体" w:eastAsia="宋体"/>
          <w:b/>
          <w:sz w:val="44"/>
          <w:szCs w:val="44"/>
          <w:shd w:val="clear" w:color="auto" w:fill="FFFFFF"/>
        </w:rPr>
        <w:t>2022年</w:t>
      </w:r>
      <w:r>
        <w:rPr>
          <w:rFonts w:ascii="宋体" w:eastAsia="宋体"/>
          <w:b/>
          <w:sz w:val="44"/>
          <w:szCs w:val="44"/>
          <w:shd w:val="clear" w:color="auto" w:fill="FFFFFF"/>
        </w:rPr>
        <w:t>茂县司法局</w:t>
      </w:r>
    </w:p>
    <w:p>
      <w:pPr>
        <w:pStyle w:val="52"/>
        <w:widowControl/>
        <w:spacing w:line="580" w:lineRule="exact"/>
        <w:contextualSpacing/>
        <w:jc w:val="center"/>
        <w:rPr>
          <w:rFonts w:ascii="宋体" w:eastAsia="宋体"/>
          <w:b/>
          <w:sz w:val="44"/>
          <w:szCs w:val="44"/>
          <w:shd w:val="clear" w:color="auto" w:fill="FFFFFF"/>
        </w:rPr>
      </w:pPr>
      <w:r>
        <w:rPr>
          <w:rFonts w:hint="eastAsia" w:ascii="宋体" w:eastAsia="宋体"/>
          <w:b/>
          <w:sz w:val="44"/>
          <w:szCs w:val="44"/>
          <w:shd w:val="clear" w:color="auto" w:fill="FFFFFF"/>
        </w:rPr>
        <w:t>整体支出绩效评价报告</w:t>
      </w:r>
    </w:p>
    <w:p>
      <w:pPr>
        <w:pStyle w:val="52"/>
        <w:widowControl/>
        <w:adjustRightInd w:val="0"/>
        <w:snapToGrid w:val="0"/>
        <w:spacing w:line="580" w:lineRule="exact"/>
        <w:ind w:firstLine="480" w:firstLineChars="200"/>
        <w:contextualSpacing/>
        <w:jc w:val="left"/>
        <w:rPr>
          <w:rFonts w:ascii="黑体" w:eastAsia="黑体" w:cs="宋体"/>
          <w:color w:val="000000"/>
          <w:kern w:val="0"/>
          <w:sz w:val="24"/>
          <w:szCs w:val="32"/>
          <w:shd w:val="clear" w:color="auto" w:fill="FFFFFF"/>
        </w:rPr>
      </w:pPr>
    </w:p>
    <w:p>
      <w:pPr>
        <w:pStyle w:val="52"/>
        <w:widowControl/>
        <w:adjustRightInd w:val="0"/>
        <w:snapToGrid w:val="0"/>
        <w:spacing w:line="580" w:lineRule="exact"/>
        <w:ind w:firstLine="640" w:firstLineChars="200"/>
        <w:contextualSpacing/>
        <w:jc w:val="left"/>
        <w:rPr>
          <w:rFonts w:ascii="黑体" w:eastAsia="黑体" w:cs="宋体"/>
          <w:color w:val="000000"/>
          <w:kern w:val="0"/>
          <w:szCs w:val="32"/>
          <w:shd w:val="clear" w:color="auto" w:fill="FFFFFF"/>
          <w:lang w:val="zh-CN"/>
        </w:rPr>
      </w:pPr>
      <w:r>
        <w:rPr>
          <w:rFonts w:hint="eastAsia" w:ascii="黑体" w:eastAsia="黑体" w:cs="宋体"/>
          <w:color w:val="000000"/>
          <w:kern w:val="0"/>
          <w:szCs w:val="32"/>
          <w:shd w:val="clear" w:color="auto" w:fill="FFFFFF"/>
        </w:rPr>
        <w:t>一、</w:t>
      </w:r>
      <w:r>
        <w:rPr>
          <w:rFonts w:hint="eastAsia" w:ascii="黑体" w:eastAsia="黑体" w:cs="宋体"/>
          <w:color w:val="000000"/>
          <w:kern w:val="0"/>
          <w:szCs w:val="32"/>
          <w:shd w:val="clear" w:color="auto" w:fill="FFFFFF"/>
          <w:lang w:val="zh-CN"/>
        </w:rPr>
        <w:t>部门（单位）概况</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cs="宋体"/>
          <w:color w:val="000000"/>
          <w:kern w:val="0"/>
          <w:szCs w:val="32"/>
          <w:shd w:val="clear" w:color="auto" w:fill="FFFFFF"/>
          <w:lang w:val="zh-CN"/>
        </w:rPr>
        <w:t>（一）机构组成。</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eastAsia="仿宋_GB2312" w:cs="仿宋_GB2312"/>
          <w:kern w:val="0"/>
          <w:szCs w:val="32"/>
        </w:rPr>
        <w:t>司法局为行政事业单位，无下属二级预算单位</w:t>
      </w:r>
      <w:r>
        <w:rPr>
          <w:rFonts w:hint="eastAsia" w:ascii="仿宋_GB2312" w:cs="仿宋_GB2312"/>
          <w:kern w:val="0"/>
          <w:szCs w:val="32"/>
          <w:lang w:eastAsia="zh-CN"/>
        </w:rPr>
        <w:t>。</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cs="宋体"/>
          <w:color w:val="000000"/>
          <w:kern w:val="0"/>
          <w:szCs w:val="32"/>
          <w:shd w:val="clear" w:color="auto" w:fill="FFFFFF"/>
          <w:lang w:val="zh-CN"/>
        </w:rPr>
        <w:t>（二）机构职能。</w:t>
      </w:r>
    </w:p>
    <w:p>
      <w:pPr>
        <w:pStyle w:val="52"/>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承担全面依法治国、依法治省、依法治州、依法治县重大问题的政策研究，协调有关方面提出全面依法治县规划建议,负责有关重大决策部署督察工作。</w:t>
      </w:r>
    </w:p>
    <w:p>
      <w:pPr>
        <w:pStyle w:val="52"/>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负责县人民政府规范性文件、重大行政决策的合法性审查。承办县人民政府发布规范性文件的报送备案工作。负责各乡(镇)人民政府和县人民政府各部门规范性文件报送县人民政府的备案审查工作。组织开展规范性文件清理。</w:t>
      </w:r>
    </w:p>
    <w:p>
      <w:pPr>
        <w:pStyle w:val="52"/>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承担统筹推进法治政府建设的责任。指导监督县人民政府各部门、各乡(镇)人民政府依法行政工作。负责综合协调监督检査行政执法,协助推进行政执法体制改革有关工作,推进严格规范公正文明执法。指导监督全县行政复议、行政应诉和行政赔偿工作,承办向县人民政府申请的行政复议、行政赔偿案件代理县人民政府行政应诉案件。</w:t>
      </w:r>
    </w:p>
    <w:p>
      <w:pPr>
        <w:pStyle w:val="52"/>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承担统筹规划法治社会建设的责任。负责拟订法治宣传教育规划,组织实施普法宣传工作,组织对外法治宣传。推动人民参与和促进法治建设。统筹推进全县依法治理和法治创建工作。指导调解工作。协助人民监督员的选任管理工作。负责并指导人民陪审员选任工作。推进司法所建设。将环境保护、安全生产、职业健康法律法规纳入公民普法教育重要内容并会同有关部门开展宣传普及工作,做好职责范围内的安全生产工作。</w:t>
      </w:r>
    </w:p>
    <w:p>
      <w:pPr>
        <w:pStyle w:val="52"/>
        <w:snapToGrid w:val="0"/>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负责管理社区矫正日常工作。指导、协调有关部门对刑满释放人员的帮教安置工作。</w:t>
      </w:r>
    </w:p>
    <w:p>
      <w:pPr>
        <w:pStyle w:val="52"/>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rPr>
        <w:t xml:space="preserve">负责全县公共法律服务体系建设的规划实施。负责监督管理律师、公证、法律援助、司法鉴定、仲裁和基层法律服务工作。协助上级部门开展国家统一法律职业资格考试的组织实工作。 </w:t>
      </w:r>
    </w:p>
    <w:p>
      <w:pPr>
        <w:pStyle w:val="52"/>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7.</w:t>
      </w:r>
      <w:r>
        <w:rPr>
          <w:rFonts w:hint="eastAsia" w:ascii="仿宋_GB2312" w:eastAsia="仿宋_GB2312"/>
          <w:sz w:val="32"/>
          <w:szCs w:val="32"/>
        </w:rPr>
        <w:t xml:space="preserve">负责本单位服装和警车管理工作。负责本单位财务、装备、设施、场所等保障工作。 </w:t>
      </w:r>
    </w:p>
    <w:p>
      <w:pPr>
        <w:pStyle w:val="52"/>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8.</w:t>
      </w:r>
      <w:r>
        <w:rPr>
          <w:rFonts w:hint="eastAsia" w:ascii="仿宋_GB2312" w:eastAsia="仿宋_GB2312"/>
          <w:sz w:val="32"/>
          <w:szCs w:val="32"/>
        </w:rPr>
        <w:t xml:space="preserve">规划、协调法治人才队伍建设相关工作，负责本单位队伍建设。 </w:t>
      </w:r>
    </w:p>
    <w:p>
      <w:pPr>
        <w:pStyle w:val="52"/>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9.</w:t>
      </w:r>
      <w:r>
        <w:rPr>
          <w:rFonts w:hint="eastAsia" w:ascii="仿宋_GB2312" w:eastAsia="仿宋_GB2312"/>
          <w:sz w:val="32"/>
          <w:szCs w:val="32"/>
        </w:rPr>
        <w:t xml:space="preserve">负责本单位行政审批工作。负责全县外来企业投诉处理和民营企业法律服务工作。 </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eastAsia="仿宋_GB2312"/>
          <w:sz w:val="32"/>
          <w:szCs w:val="32"/>
          <w:lang w:val="en-US" w:eastAsia="zh-CN"/>
        </w:rPr>
        <w:t>10.</w:t>
      </w:r>
      <w:r>
        <w:rPr>
          <w:rFonts w:hint="eastAsia" w:ascii="仿宋_GB2312" w:eastAsia="仿宋_GB2312"/>
          <w:sz w:val="32"/>
          <w:szCs w:val="32"/>
        </w:rPr>
        <w:t>完成县委、县人民政府交办的其他任务。</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cs="宋体"/>
          <w:color w:val="000000"/>
          <w:kern w:val="0"/>
          <w:szCs w:val="32"/>
          <w:shd w:val="clear" w:color="auto" w:fill="FFFFFF"/>
          <w:lang w:val="zh-CN"/>
        </w:rPr>
        <w:t>（三）人员概况。</w:t>
      </w:r>
    </w:p>
    <w:p>
      <w:pPr>
        <w:pStyle w:val="52"/>
        <w:keepNext w:val="0"/>
        <w:keepLines w:val="0"/>
        <w:pageBreakBefore w:val="0"/>
        <w:widowControl w:val="0"/>
        <w:kinsoku/>
        <w:wordWrap/>
        <w:overflowPunct/>
        <w:topLinePunct w:val="0"/>
        <w:autoSpaceDE/>
        <w:autoSpaceDN/>
        <w:adjustRightInd w:val="0"/>
        <w:snapToGrid w:val="0"/>
        <w:spacing w:line="520" w:lineRule="exact"/>
        <w:ind w:firstLine="640" w:firstLineChars="200"/>
        <w:rPr>
          <w:rFonts w:hint="eastAsia" w:ascii="仿宋_GB2312" w:cs="宋体"/>
          <w:color w:val="000000"/>
          <w:kern w:val="0"/>
          <w:lang w:val="zh-CN"/>
        </w:rPr>
      </w:pPr>
      <w:r>
        <w:rPr>
          <w:rFonts w:hint="eastAsia" w:ascii="仿宋_GB2312" w:eastAsia="仿宋_GB2312" w:cs="仿宋_GB2312"/>
          <w:bCs/>
          <w:color w:val="000000"/>
          <w:kern w:val="0"/>
          <w:sz w:val="32"/>
          <w:szCs w:val="32"/>
          <w:shd w:val="clear" w:color="auto" w:fill="auto"/>
          <w:lang w:val="en-US" w:eastAsia="zh-CN" w:bidi="ar-SA"/>
        </w:rPr>
        <w:t>司法局总编制</w:t>
      </w:r>
      <w:r>
        <w:rPr>
          <w:rFonts w:hint="eastAsia" w:ascii="仿宋_GB2312" w:cs="仿宋_GB2312"/>
          <w:bCs/>
          <w:color w:val="000000"/>
          <w:kern w:val="0"/>
          <w:sz w:val="32"/>
          <w:szCs w:val="32"/>
          <w:shd w:val="clear" w:color="auto" w:fill="auto"/>
          <w:lang w:val="en-US" w:eastAsia="zh-CN" w:bidi="ar-SA"/>
        </w:rPr>
        <w:t>51</w:t>
      </w:r>
      <w:r>
        <w:rPr>
          <w:rFonts w:hint="eastAsia" w:ascii="仿宋_GB2312" w:eastAsia="仿宋_GB2312" w:cs="仿宋_GB2312"/>
          <w:bCs/>
          <w:color w:val="000000"/>
          <w:kern w:val="0"/>
          <w:sz w:val="32"/>
          <w:szCs w:val="32"/>
          <w:shd w:val="clear" w:color="auto" w:fill="auto"/>
          <w:lang w:val="en-US" w:eastAsia="zh-CN" w:bidi="ar-SA"/>
        </w:rPr>
        <w:t>名，其中：行政编制</w:t>
      </w:r>
      <w:r>
        <w:rPr>
          <w:rFonts w:hint="eastAsia" w:ascii="仿宋_GB2312" w:cs="仿宋_GB2312"/>
          <w:bCs/>
          <w:color w:val="000000"/>
          <w:kern w:val="0"/>
          <w:sz w:val="32"/>
          <w:szCs w:val="32"/>
          <w:shd w:val="clear" w:color="auto" w:fill="auto"/>
          <w:lang w:val="en-US" w:eastAsia="zh-CN" w:bidi="ar-SA"/>
        </w:rPr>
        <w:t>39</w:t>
      </w:r>
      <w:r>
        <w:rPr>
          <w:rFonts w:hint="eastAsia" w:ascii="仿宋_GB2312" w:eastAsia="仿宋_GB2312" w:cs="仿宋_GB2312"/>
          <w:bCs/>
          <w:color w:val="000000"/>
          <w:kern w:val="0"/>
          <w:sz w:val="32"/>
          <w:szCs w:val="32"/>
          <w:shd w:val="clear" w:color="auto" w:fill="auto"/>
          <w:lang w:val="en-US" w:eastAsia="zh-CN" w:bidi="ar-SA"/>
        </w:rPr>
        <w:t>名，</w:t>
      </w:r>
      <w:r>
        <w:rPr>
          <w:rFonts w:hint="eastAsia" w:ascii="仿宋_GB2312" w:cs="仿宋_GB2312"/>
          <w:bCs/>
          <w:color w:val="000000"/>
          <w:kern w:val="0"/>
          <w:sz w:val="32"/>
          <w:szCs w:val="32"/>
          <w:shd w:val="clear" w:color="auto" w:fill="auto"/>
          <w:lang w:val="en-US" w:eastAsia="zh-CN" w:bidi="ar-SA"/>
        </w:rPr>
        <w:t>行政工勤2名，</w:t>
      </w:r>
      <w:r>
        <w:rPr>
          <w:rFonts w:hint="eastAsia" w:ascii="仿宋_GB2312" w:eastAsia="仿宋_GB2312" w:cs="仿宋_GB2312"/>
          <w:bCs/>
          <w:color w:val="000000"/>
          <w:kern w:val="0"/>
          <w:sz w:val="32"/>
          <w:szCs w:val="32"/>
          <w:shd w:val="clear" w:color="auto" w:fill="auto"/>
          <w:lang w:val="en-US" w:eastAsia="zh-CN" w:bidi="ar-SA"/>
        </w:rPr>
        <w:t>事业编制10名。在职人员总数4</w:t>
      </w:r>
      <w:r>
        <w:rPr>
          <w:rFonts w:ascii="仿宋_GB2312" w:cs="仿宋_GB2312"/>
          <w:bCs/>
          <w:color w:val="000000"/>
          <w:kern w:val="0"/>
          <w:sz w:val="32"/>
          <w:szCs w:val="32"/>
          <w:shd w:val="clear" w:color="auto" w:fill="auto"/>
          <w:lang w:val="en-US" w:eastAsia="zh-CN" w:bidi="ar-SA"/>
        </w:rPr>
        <w:t>7</w:t>
      </w:r>
      <w:r>
        <w:rPr>
          <w:rFonts w:hint="eastAsia" w:ascii="仿宋_GB2312" w:eastAsia="仿宋_GB2312" w:cs="仿宋_GB2312"/>
          <w:bCs/>
          <w:color w:val="000000"/>
          <w:kern w:val="0"/>
          <w:sz w:val="32"/>
          <w:szCs w:val="32"/>
          <w:shd w:val="clear" w:color="auto" w:fill="auto"/>
          <w:lang w:val="en-US" w:eastAsia="zh-CN" w:bidi="ar-SA"/>
        </w:rPr>
        <w:t>人，其中：行政人员</w:t>
      </w:r>
      <w:r>
        <w:rPr>
          <w:rFonts w:ascii="仿宋_GB2312" w:eastAsia="仿宋_GB2312" w:cs="仿宋_GB2312"/>
          <w:bCs/>
          <w:color w:val="000000"/>
          <w:kern w:val="0"/>
          <w:sz w:val="32"/>
          <w:szCs w:val="32"/>
          <w:shd w:val="clear" w:color="auto" w:fill="auto"/>
          <w:lang w:val="en-US" w:eastAsia="zh-CN" w:bidi="ar-SA"/>
        </w:rPr>
        <w:t>39</w:t>
      </w:r>
      <w:r>
        <w:rPr>
          <w:rFonts w:hint="eastAsia" w:ascii="仿宋_GB2312" w:eastAsia="仿宋_GB2312" w:cs="仿宋_GB2312"/>
          <w:bCs/>
          <w:color w:val="000000"/>
          <w:kern w:val="0"/>
          <w:sz w:val="32"/>
          <w:szCs w:val="32"/>
          <w:shd w:val="clear" w:color="auto" w:fill="auto"/>
          <w:lang w:val="en-US" w:eastAsia="zh-CN" w:bidi="ar-SA"/>
        </w:rPr>
        <w:t>人，其他事业人员</w:t>
      </w:r>
      <w:r>
        <w:rPr>
          <w:rFonts w:hint="eastAsia" w:ascii="仿宋_GB2312" w:cs="仿宋_GB2312"/>
          <w:bCs/>
          <w:color w:val="000000"/>
          <w:kern w:val="0"/>
          <w:sz w:val="32"/>
          <w:szCs w:val="32"/>
          <w:shd w:val="clear" w:color="auto" w:fill="auto"/>
          <w:lang w:val="en-US" w:eastAsia="zh-CN" w:bidi="ar-SA"/>
        </w:rPr>
        <w:t>8</w:t>
      </w:r>
      <w:r>
        <w:rPr>
          <w:rFonts w:hint="eastAsia" w:ascii="仿宋_GB2312" w:eastAsia="仿宋_GB2312" w:cs="仿宋_GB2312"/>
          <w:bCs/>
          <w:color w:val="000000"/>
          <w:kern w:val="0"/>
          <w:sz w:val="32"/>
          <w:szCs w:val="32"/>
          <w:shd w:val="clear" w:color="auto" w:fill="auto"/>
          <w:lang w:val="en-US" w:eastAsia="zh-CN" w:bidi="ar-SA"/>
        </w:rPr>
        <w:t>人。离休人员0人，退休人员1</w:t>
      </w:r>
      <w:r>
        <w:rPr>
          <w:rFonts w:hint="eastAsia" w:ascii="仿宋_GB2312" w:cs="仿宋_GB2312"/>
          <w:bCs/>
          <w:color w:val="000000"/>
          <w:kern w:val="0"/>
          <w:sz w:val="32"/>
          <w:szCs w:val="32"/>
          <w:shd w:val="clear" w:color="auto" w:fill="auto"/>
          <w:lang w:val="en-US" w:eastAsia="zh-CN" w:bidi="ar-SA"/>
        </w:rPr>
        <w:t>2</w:t>
      </w:r>
      <w:r>
        <w:rPr>
          <w:rFonts w:hint="eastAsia" w:ascii="仿宋_GB2312" w:eastAsia="仿宋_GB2312" w:cs="仿宋_GB2312"/>
          <w:bCs/>
          <w:color w:val="000000"/>
          <w:kern w:val="0"/>
          <w:sz w:val="32"/>
          <w:szCs w:val="32"/>
          <w:shd w:val="clear" w:color="auto" w:fill="auto"/>
          <w:lang w:val="en-US" w:eastAsia="zh-CN" w:bidi="ar-SA"/>
        </w:rPr>
        <w:t>人。</w:t>
      </w:r>
    </w:p>
    <w:p>
      <w:pPr>
        <w:pStyle w:val="52"/>
        <w:widowControl/>
        <w:adjustRightInd w:val="0"/>
        <w:snapToGrid w:val="0"/>
        <w:spacing w:line="580" w:lineRule="exact"/>
        <w:ind w:firstLine="640" w:firstLineChars="200"/>
        <w:contextualSpacing/>
        <w:jc w:val="left"/>
        <w:rPr>
          <w:rFonts w:ascii="黑体" w:eastAsia="黑体" w:cs="宋体"/>
          <w:color w:val="000000"/>
          <w:kern w:val="0"/>
          <w:szCs w:val="32"/>
          <w:shd w:val="clear" w:color="auto" w:fill="FFFFFF"/>
        </w:rPr>
      </w:pPr>
      <w:r>
        <w:rPr>
          <w:rFonts w:hint="eastAsia" w:ascii="黑体" w:eastAsia="黑体" w:cs="宋体"/>
          <w:color w:val="000000"/>
          <w:kern w:val="0"/>
          <w:szCs w:val="32"/>
          <w:shd w:val="clear" w:color="auto" w:fill="FFFFFF"/>
        </w:rPr>
        <w:t>二、部门财政资金收支情况</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cs="宋体"/>
          <w:color w:val="000000"/>
          <w:kern w:val="0"/>
          <w:szCs w:val="32"/>
          <w:shd w:val="clear" w:color="auto" w:fill="FFFFFF"/>
          <w:lang w:val="zh-CN"/>
        </w:rPr>
        <w:t>（一）部门财政资金收入情况。</w:t>
      </w:r>
    </w:p>
    <w:p>
      <w:pPr>
        <w:pStyle w:val="52"/>
        <w:keepNext w:val="0"/>
        <w:keepLines w:val="0"/>
        <w:pageBreakBefore w:val="0"/>
        <w:widowControl/>
        <w:kinsoku/>
        <w:wordWrap/>
        <w:overflowPunct/>
        <w:topLinePunct w:val="0"/>
        <w:autoSpaceDE/>
        <w:autoSpaceDN/>
        <w:adjustRightInd w:val="0"/>
        <w:snapToGrid w:val="0"/>
        <w:spacing w:line="520" w:lineRule="exact"/>
        <w:ind w:firstLine="640" w:firstLineChars="200"/>
        <w:jc w:val="left"/>
        <w:rPr>
          <w:rFonts w:hint="eastAsia" w:ascii="仿宋_GB2312" w:cs="仿宋_GB2312"/>
          <w:bCs/>
          <w:color w:val="000000"/>
          <w:kern w:val="0"/>
          <w:szCs w:val="32"/>
          <w:shd w:val="clear" w:color="auto" w:fill="auto"/>
        </w:rPr>
      </w:pPr>
      <w:r>
        <w:rPr>
          <w:rFonts w:hint="eastAsia" w:ascii="仿宋_GB2312" w:eastAsia="仿宋_GB2312" w:cs="仿宋_GB2312"/>
          <w:bCs/>
          <w:color w:val="000000"/>
          <w:kern w:val="0"/>
          <w:sz w:val="32"/>
          <w:szCs w:val="32"/>
          <w:shd w:val="clear" w:color="auto" w:fill="auto"/>
          <w:lang w:val="en-US" w:eastAsia="zh-CN" w:bidi="ar-SA"/>
        </w:rPr>
        <w:t>20</w:t>
      </w:r>
      <w:r>
        <w:rPr>
          <w:rFonts w:hint="eastAsia" w:ascii="仿宋_GB2312" w:cs="仿宋_GB2312"/>
          <w:bCs/>
          <w:color w:val="000000"/>
          <w:kern w:val="0"/>
          <w:sz w:val="32"/>
          <w:szCs w:val="32"/>
          <w:shd w:val="clear" w:color="auto" w:fill="auto"/>
          <w:lang w:val="en-US" w:eastAsia="zh-CN" w:bidi="ar-SA"/>
        </w:rPr>
        <w:t>2</w:t>
      </w:r>
      <w:r>
        <w:rPr>
          <w:rFonts w:ascii="仿宋_GB2312" w:cs="仿宋_GB2312"/>
          <w:bCs/>
          <w:color w:val="000000"/>
          <w:kern w:val="0"/>
          <w:sz w:val="32"/>
          <w:szCs w:val="32"/>
          <w:shd w:val="clear" w:color="auto" w:fill="auto"/>
          <w:lang w:val="en-US" w:eastAsia="zh-CN" w:bidi="ar-SA"/>
        </w:rPr>
        <w:t>1</w:t>
      </w:r>
      <w:r>
        <w:rPr>
          <w:rFonts w:hint="eastAsia" w:ascii="仿宋_GB2312" w:eastAsia="仿宋_GB2312" w:cs="仿宋_GB2312"/>
          <w:bCs/>
          <w:color w:val="000000"/>
          <w:kern w:val="0"/>
          <w:sz w:val="32"/>
          <w:szCs w:val="32"/>
          <w:shd w:val="clear" w:color="auto" w:fill="auto"/>
          <w:lang w:val="en-US" w:eastAsia="zh-CN" w:bidi="ar-SA"/>
        </w:rPr>
        <w:t>年司法局本年收入合计</w:t>
      </w:r>
      <w:r>
        <w:rPr>
          <w:rFonts w:ascii="仿宋_GB2312" w:cs="仿宋_GB2312"/>
          <w:bCs/>
          <w:color w:val="000000"/>
          <w:kern w:val="0"/>
          <w:sz w:val="32"/>
          <w:szCs w:val="32"/>
          <w:shd w:val="clear" w:color="auto" w:fill="auto"/>
          <w:lang w:val="en-US" w:eastAsia="zh-CN" w:bidi="ar-SA"/>
        </w:rPr>
        <w:t>1100.10</w:t>
      </w:r>
      <w:r>
        <w:rPr>
          <w:rFonts w:hint="eastAsia" w:ascii="仿宋_GB2312" w:eastAsia="仿宋_GB2312" w:cs="仿宋_GB2312"/>
          <w:bCs/>
          <w:color w:val="000000"/>
          <w:kern w:val="0"/>
          <w:sz w:val="32"/>
          <w:szCs w:val="32"/>
          <w:shd w:val="clear" w:color="auto" w:fill="auto"/>
          <w:lang w:val="en-US" w:eastAsia="zh-CN" w:bidi="ar-SA"/>
        </w:rPr>
        <w:t>万元，其中：财政拨款收入</w:t>
      </w:r>
      <w:r>
        <w:rPr>
          <w:rFonts w:ascii="仿宋_GB2312" w:cs="仿宋_GB2312"/>
          <w:bCs/>
          <w:color w:val="000000"/>
          <w:kern w:val="0"/>
          <w:sz w:val="32"/>
          <w:szCs w:val="32"/>
          <w:shd w:val="clear" w:color="auto" w:fill="auto"/>
          <w:lang w:val="en-US" w:eastAsia="zh-CN" w:bidi="ar-SA"/>
        </w:rPr>
        <w:t>1100.10</w:t>
      </w:r>
      <w:r>
        <w:rPr>
          <w:rFonts w:hint="eastAsia" w:ascii="仿宋_GB2312" w:eastAsia="仿宋_GB2312" w:cs="仿宋_GB2312"/>
          <w:bCs/>
          <w:color w:val="000000"/>
          <w:kern w:val="0"/>
          <w:sz w:val="32"/>
          <w:szCs w:val="32"/>
          <w:shd w:val="clear" w:color="auto" w:fill="auto"/>
          <w:lang w:val="en-US" w:eastAsia="zh-CN" w:bidi="ar-SA"/>
        </w:rPr>
        <w:t>万元，占100%；事业收入0万元；经营收入0万元；附属单位上缴收入0万元；其他收入0万元。20</w:t>
      </w:r>
      <w:r>
        <w:rPr>
          <w:rFonts w:hint="eastAsia" w:ascii="仿宋_GB2312" w:cs="仿宋_GB2312"/>
          <w:bCs/>
          <w:color w:val="000000"/>
          <w:kern w:val="0"/>
          <w:sz w:val="32"/>
          <w:szCs w:val="32"/>
          <w:shd w:val="clear" w:color="auto" w:fill="auto"/>
          <w:lang w:val="en-US" w:eastAsia="zh-CN" w:bidi="ar-SA"/>
        </w:rPr>
        <w:t>2</w:t>
      </w:r>
      <w:r>
        <w:rPr>
          <w:rFonts w:ascii="仿宋_GB2312" w:cs="仿宋_GB2312"/>
          <w:bCs/>
          <w:color w:val="000000"/>
          <w:kern w:val="0"/>
          <w:sz w:val="32"/>
          <w:szCs w:val="32"/>
          <w:shd w:val="clear" w:color="auto" w:fill="auto"/>
          <w:lang w:val="en-US" w:eastAsia="zh-CN" w:bidi="ar-SA"/>
        </w:rPr>
        <w:t>1</w:t>
      </w:r>
      <w:r>
        <w:rPr>
          <w:rFonts w:hint="eastAsia" w:ascii="仿宋_GB2312" w:eastAsia="仿宋_GB2312" w:cs="仿宋_GB2312"/>
          <w:bCs/>
          <w:color w:val="000000"/>
          <w:kern w:val="0"/>
          <w:sz w:val="32"/>
          <w:szCs w:val="32"/>
          <w:shd w:val="clear" w:color="auto" w:fill="auto"/>
          <w:lang w:val="en-US" w:eastAsia="zh-CN" w:bidi="ar-SA"/>
        </w:rPr>
        <w:t>年一般公共预算财政拨款收入</w:t>
      </w:r>
      <w:r>
        <w:rPr>
          <w:rFonts w:ascii="仿宋_GB2312" w:cs="仿宋_GB2312"/>
          <w:bCs/>
          <w:color w:val="000000"/>
          <w:kern w:val="0"/>
          <w:sz w:val="32"/>
          <w:szCs w:val="32"/>
          <w:shd w:val="clear" w:color="auto" w:fill="auto"/>
          <w:lang w:val="en-US" w:eastAsia="zh-CN" w:bidi="ar-SA"/>
        </w:rPr>
        <w:t>1100.10</w:t>
      </w:r>
      <w:r>
        <w:rPr>
          <w:rFonts w:hint="eastAsia" w:ascii="仿宋_GB2312" w:eastAsia="仿宋_GB2312" w:cs="仿宋_GB2312"/>
          <w:bCs/>
          <w:color w:val="000000"/>
          <w:kern w:val="0"/>
          <w:sz w:val="32"/>
          <w:szCs w:val="32"/>
          <w:shd w:val="clear" w:color="auto" w:fill="auto"/>
          <w:lang w:val="en-US" w:eastAsia="zh-CN" w:bidi="ar-SA"/>
        </w:rPr>
        <w:t>万元。</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eastAsia="仿宋_GB2312" w:cs="仿宋_GB2312"/>
          <w:bCs/>
          <w:color w:val="000000"/>
          <w:kern w:val="0"/>
          <w:sz w:val="32"/>
          <w:szCs w:val="32"/>
          <w:shd w:val="clear" w:color="auto" w:fill="auto"/>
          <w:lang w:val="en-US" w:eastAsia="zh-CN" w:bidi="ar-SA"/>
        </w:rPr>
        <w:t>202</w:t>
      </w:r>
      <w:r>
        <w:rPr>
          <w:rFonts w:ascii="仿宋_GB2312" w:eastAsia="仿宋_GB2312" w:cs="仿宋_GB2312"/>
          <w:bCs/>
          <w:color w:val="000000"/>
          <w:kern w:val="0"/>
          <w:sz w:val="32"/>
          <w:szCs w:val="32"/>
          <w:shd w:val="clear" w:color="auto" w:fill="auto"/>
          <w:lang w:val="en-US" w:eastAsia="zh-CN" w:bidi="ar-SA"/>
        </w:rPr>
        <w:t>2</w:t>
      </w:r>
      <w:r>
        <w:rPr>
          <w:rFonts w:hint="eastAsia" w:ascii="仿宋_GB2312" w:eastAsia="仿宋_GB2312" w:cs="仿宋_GB2312"/>
          <w:bCs/>
          <w:color w:val="000000"/>
          <w:kern w:val="0"/>
          <w:sz w:val="32"/>
          <w:szCs w:val="32"/>
          <w:shd w:val="clear" w:color="auto" w:fill="auto"/>
          <w:lang w:val="en-US" w:eastAsia="zh-CN" w:bidi="ar-SA"/>
        </w:rPr>
        <w:t>年1-6月财政拨款收入</w:t>
      </w:r>
      <w:r>
        <w:rPr>
          <w:rFonts w:ascii="仿宋_GB2312" w:cs="仿宋_GB2312"/>
          <w:bCs/>
          <w:kern w:val="0"/>
          <w:sz w:val="32"/>
          <w:szCs w:val="32"/>
          <w:lang w:val="en-US" w:eastAsia="zh-CN" w:bidi="ar-SA"/>
        </w:rPr>
        <w:t>1247.54</w:t>
      </w:r>
      <w:r>
        <w:rPr>
          <w:rFonts w:hint="eastAsia" w:ascii="仿宋_GB2312" w:eastAsia="仿宋_GB2312" w:cs="仿宋_GB2312"/>
          <w:bCs/>
          <w:color w:val="000000"/>
          <w:kern w:val="0"/>
          <w:sz w:val="32"/>
          <w:szCs w:val="32"/>
          <w:shd w:val="clear" w:color="auto" w:fill="auto"/>
          <w:lang w:val="en-US" w:eastAsia="zh-CN" w:bidi="ar-SA"/>
        </w:rPr>
        <w:t>万元。</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cs="宋体"/>
          <w:color w:val="000000"/>
          <w:kern w:val="0"/>
          <w:szCs w:val="32"/>
          <w:shd w:val="clear" w:color="auto" w:fill="FFFFFF"/>
          <w:lang w:val="zh-CN"/>
        </w:rPr>
        <w:t>（二）部门财政资金支出情况。</w:t>
      </w:r>
    </w:p>
    <w:p>
      <w:pPr>
        <w:pStyle w:val="52"/>
        <w:adjustRightInd w:val="0"/>
        <w:snapToGrid w:val="0"/>
        <w:spacing w:line="600" w:lineRule="exact"/>
        <w:ind w:firstLine="720"/>
        <w:rPr>
          <w:rFonts w:hint="eastAsia" w:ascii="仿宋_GB2312" w:eastAsia="仿宋_GB2312"/>
          <w:color w:val="auto"/>
          <w:sz w:val="32"/>
          <w:szCs w:val="32"/>
          <w:lang w:val="zh-CN"/>
        </w:rPr>
      </w:pPr>
      <w:r>
        <w:rPr>
          <w:rFonts w:hint="eastAsia" w:ascii="仿宋_GB2312" w:eastAsia="仿宋_GB2312"/>
          <w:color w:val="auto"/>
          <w:sz w:val="32"/>
          <w:szCs w:val="32"/>
          <w:lang w:val="zh-CN"/>
        </w:rPr>
        <w:t>20</w:t>
      </w:r>
      <w:r>
        <w:rPr>
          <w:rFonts w:hint="eastAsia" w:ascii="仿宋_GB2312"/>
          <w:color w:val="auto"/>
          <w:sz w:val="32"/>
          <w:szCs w:val="32"/>
          <w:lang w:val="en-US" w:eastAsia="zh-CN"/>
        </w:rPr>
        <w:t>2</w:t>
      </w:r>
      <w:r>
        <w:rPr>
          <w:rFonts w:ascii="仿宋_GB2312"/>
          <w:color w:val="auto"/>
          <w:sz w:val="32"/>
          <w:szCs w:val="32"/>
          <w:lang w:val="en-US" w:eastAsia="zh-CN"/>
        </w:rPr>
        <w:t>1</w:t>
      </w:r>
      <w:r>
        <w:rPr>
          <w:rFonts w:hint="eastAsia" w:ascii="仿宋_GB2312" w:eastAsia="仿宋_GB2312"/>
          <w:color w:val="auto"/>
          <w:sz w:val="32"/>
          <w:szCs w:val="32"/>
          <w:lang w:val="zh-CN"/>
        </w:rPr>
        <w:t>年</w:t>
      </w:r>
      <w:r>
        <w:rPr>
          <w:rFonts w:hint="eastAsia" w:ascii="仿宋_GB2312" w:eastAsia="仿宋_GB2312"/>
          <w:color w:val="auto"/>
          <w:sz w:val="32"/>
          <w:szCs w:val="32"/>
          <w:lang w:val="zh-CN" w:eastAsia="zh-CN"/>
        </w:rPr>
        <w:t>司法局</w:t>
      </w:r>
      <w:r>
        <w:rPr>
          <w:rFonts w:hint="eastAsia" w:ascii="仿宋_GB2312" w:eastAsia="仿宋_GB2312"/>
          <w:color w:val="auto"/>
          <w:sz w:val="32"/>
          <w:szCs w:val="32"/>
          <w:lang w:val="zh-CN"/>
        </w:rPr>
        <w:t>本年支出合计</w:t>
      </w:r>
      <w:r>
        <w:rPr>
          <w:rFonts w:ascii="仿宋_GB2312"/>
          <w:color w:val="auto"/>
          <w:sz w:val="32"/>
          <w:szCs w:val="32"/>
          <w:lang w:val="en-US" w:eastAsia="zh-CN"/>
        </w:rPr>
        <w:t>1176.03</w:t>
      </w:r>
      <w:r>
        <w:rPr>
          <w:rFonts w:hint="eastAsia" w:ascii="仿宋_GB2312" w:eastAsia="仿宋_GB2312"/>
          <w:color w:val="auto"/>
          <w:sz w:val="32"/>
          <w:szCs w:val="32"/>
          <w:lang w:val="zh-CN"/>
        </w:rPr>
        <w:t>万元，其中：基本支出</w:t>
      </w:r>
      <w:r>
        <w:rPr>
          <w:rFonts w:ascii="仿宋_GB2312"/>
          <w:color w:val="auto"/>
          <w:sz w:val="32"/>
          <w:szCs w:val="32"/>
          <w:lang w:val="en-US" w:eastAsia="zh-CN"/>
        </w:rPr>
        <w:t>949.29</w:t>
      </w:r>
      <w:r>
        <w:rPr>
          <w:rFonts w:hint="eastAsia" w:ascii="仿宋_GB2312" w:eastAsia="仿宋_GB2312"/>
          <w:color w:val="auto"/>
          <w:sz w:val="32"/>
          <w:szCs w:val="32"/>
          <w:lang w:val="zh-CN"/>
        </w:rPr>
        <w:t>万元，占</w:t>
      </w:r>
      <w:r>
        <w:rPr>
          <w:rFonts w:ascii="仿宋_GB2312"/>
          <w:color w:val="auto"/>
          <w:sz w:val="32"/>
          <w:szCs w:val="32"/>
          <w:lang w:val="en-US" w:eastAsia="zh-CN"/>
        </w:rPr>
        <w:t>80</w:t>
      </w:r>
      <w:r>
        <w:rPr>
          <w:rFonts w:hint="eastAsia" w:ascii="仿宋_GB2312" w:eastAsia="仿宋_GB2312"/>
          <w:color w:val="auto"/>
          <w:sz w:val="32"/>
          <w:szCs w:val="32"/>
          <w:lang w:val="zh-CN"/>
        </w:rPr>
        <w:t>%；项目支出</w:t>
      </w:r>
      <w:r>
        <w:rPr>
          <w:rFonts w:ascii="仿宋_GB2312"/>
          <w:color w:val="auto"/>
          <w:sz w:val="32"/>
          <w:szCs w:val="32"/>
          <w:lang w:val="en-US" w:eastAsia="zh-CN"/>
        </w:rPr>
        <w:t>226.74</w:t>
      </w:r>
      <w:r>
        <w:rPr>
          <w:rFonts w:hint="eastAsia" w:ascii="仿宋_GB2312" w:eastAsia="仿宋_GB2312"/>
          <w:color w:val="auto"/>
          <w:sz w:val="32"/>
          <w:szCs w:val="32"/>
          <w:lang w:val="zh-CN"/>
        </w:rPr>
        <w:t>万元，占</w:t>
      </w:r>
      <w:r>
        <w:rPr>
          <w:rFonts w:ascii="仿宋_GB2312"/>
          <w:color w:val="auto"/>
          <w:sz w:val="32"/>
          <w:szCs w:val="32"/>
          <w:lang w:val="en-US" w:eastAsia="zh-CN"/>
        </w:rPr>
        <w:t>20</w:t>
      </w:r>
      <w:r>
        <w:rPr>
          <w:rFonts w:hint="eastAsia" w:ascii="仿宋_GB2312" w:eastAsia="仿宋_GB2312"/>
          <w:color w:val="auto"/>
          <w:sz w:val="32"/>
          <w:szCs w:val="32"/>
          <w:lang w:val="zh-CN"/>
        </w:rPr>
        <w:t>%；上缴上级支出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lang w:val="zh-CN"/>
        </w:rPr>
        <w:t>万元；经营支出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lang w:val="zh-CN"/>
        </w:rPr>
        <w:t>万元；对附属单位补助支出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lang w:val="zh-CN"/>
        </w:rPr>
        <w:t>万元。</w:t>
      </w:r>
    </w:p>
    <w:p>
      <w:pPr>
        <w:pStyle w:val="52"/>
        <w:snapToGrid w:val="0"/>
        <w:spacing w:line="520" w:lineRule="exact"/>
        <w:ind w:firstLine="640" w:firstLineChars="200"/>
        <w:rPr>
          <w:rFonts w:ascii="仿宋_GB2312" w:cs="仿宋_GB2312"/>
          <w:szCs w:val="32"/>
        </w:rPr>
      </w:pPr>
      <w:r>
        <w:rPr>
          <w:rFonts w:hint="eastAsia" w:ascii="仿宋_GB2312" w:eastAsia="仿宋_GB2312"/>
          <w:color w:val="auto"/>
          <w:sz w:val="32"/>
          <w:szCs w:val="32"/>
          <w:lang w:val="zh-CN" w:eastAsia="zh-CN"/>
        </w:rPr>
        <w:t>司法局</w:t>
      </w:r>
      <w:r>
        <w:rPr>
          <w:rFonts w:hint="eastAsia" w:ascii="仿宋_GB2312" w:eastAsia="仿宋_GB2312"/>
          <w:color w:val="auto"/>
          <w:sz w:val="32"/>
          <w:szCs w:val="32"/>
          <w:lang w:val="zh-CN"/>
        </w:rPr>
        <w:t>20</w:t>
      </w:r>
      <w:r>
        <w:rPr>
          <w:rFonts w:hint="eastAsia" w:ascii="仿宋_GB2312"/>
          <w:color w:val="auto"/>
          <w:sz w:val="32"/>
          <w:szCs w:val="32"/>
          <w:lang w:val="en-US" w:eastAsia="zh-CN"/>
        </w:rPr>
        <w:t>2</w:t>
      </w:r>
      <w:r>
        <w:rPr>
          <w:rFonts w:ascii="仿宋_GB2312"/>
          <w:color w:val="auto"/>
          <w:sz w:val="32"/>
          <w:szCs w:val="32"/>
          <w:lang w:val="en-US" w:eastAsia="zh-CN"/>
        </w:rPr>
        <w:t>1</w:t>
      </w:r>
      <w:r>
        <w:rPr>
          <w:rFonts w:hint="eastAsia" w:ascii="仿宋_GB2312" w:eastAsia="仿宋_GB2312"/>
          <w:color w:val="auto"/>
          <w:sz w:val="32"/>
          <w:szCs w:val="32"/>
          <w:lang w:val="zh-CN"/>
        </w:rPr>
        <w:t>年一般公共预算财政拨款支出</w:t>
      </w:r>
      <w:r>
        <w:rPr>
          <w:rFonts w:ascii="仿宋_GB2312"/>
          <w:color w:val="auto"/>
          <w:sz w:val="32"/>
          <w:szCs w:val="32"/>
          <w:lang w:val="en-US" w:eastAsia="zh-CN"/>
        </w:rPr>
        <w:t>1176.03</w:t>
      </w:r>
      <w:r>
        <w:rPr>
          <w:rFonts w:hint="eastAsia" w:ascii="仿宋_GB2312" w:eastAsia="仿宋_GB2312"/>
          <w:color w:val="auto"/>
          <w:sz w:val="32"/>
          <w:szCs w:val="32"/>
          <w:lang w:val="zh-CN"/>
        </w:rPr>
        <w:t>万元，主要用于以下方面:</w:t>
      </w:r>
      <w:r>
        <w:rPr>
          <w:rFonts w:hint="eastAsia" w:ascii="仿宋_GB2312" w:eastAsia="仿宋_GB2312" w:cs="仿宋_GB2312"/>
          <w:sz w:val="32"/>
          <w:szCs w:val="32"/>
          <w:lang w:eastAsia="zh-CN"/>
        </w:rPr>
        <w:t>公共安全支出为</w:t>
      </w:r>
      <w:r>
        <w:rPr>
          <w:rFonts w:ascii="仿宋_GB2312" w:eastAsia="仿宋_GB2312" w:cs="仿宋_GB2312"/>
          <w:sz w:val="32"/>
          <w:szCs w:val="32"/>
          <w:lang w:eastAsia="zh-CN"/>
        </w:rPr>
        <w:t>969.75</w:t>
      </w:r>
      <w:r>
        <w:rPr>
          <w:rFonts w:hint="eastAsia" w:ascii="仿宋_GB2312" w:eastAsia="仿宋_GB2312" w:cs="仿宋_GB2312"/>
          <w:sz w:val="32"/>
          <w:szCs w:val="32"/>
          <w:lang w:eastAsia="zh-CN"/>
        </w:rPr>
        <w:t>万元，占比82.46%；社会保障和就业支出为89.27万元，占比7.59%；卫生健康支出为46.01万元，占比3.91%；农林水支出为1.91万元，占比0.16%；住房保障支出为69.10万元，占比5.88%。</w:t>
      </w:r>
    </w:p>
    <w:p>
      <w:pPr>
        <w:pStyle w:val="52"/>
        <w:widowControl/>
        <w:spacing w:line="576" w:lineRule="exact"/>
        <w:rPr>
          <w:rFonts w:ascii="仿宋_GB2312" w:cs="宋体"/>
          <w:color w:val="000000"/>
          <w:kern w:val="0"/>
        </w:rPr>
      </w:pPr>
      <w:r>
        <w:rPr>
          <w:rFonts w:hint="eastAsia" w:ascii="仿宋_GB2312" w:cs="宋体"/>
          <w:color w:val="000000"/>
          <w:kern w:val="0"/>
          <w:lang w:val="en-US" w:eastAsia="zh-CN"/>
        </w:rPr>
        <w:t xml:space="preserve"> </w:t>
      </w:r>
      <w:r>
        <w:rPr>
          <w:rFonts w:hint="eastAsia" w:ascii="仿宋_GB2312" w:cs="宋体"/>
          <w:color w:val="FF0000"/>
          <w:kern w:val="0"/>
          <w:lang w:val="en-US" w:eastAsia="zh-CN"/>
        </w:rPr>
        <w:t xml:space="preserve">   </w:t>
      </w:r>
      <w:r>
        <w:rPr>
          <w:rFonts w:hint="eastAsia" w:ascii="仿宋_GB2312" w:eastAsia="仿宋_GB2312"/>
          <w:color w:val="auto"/>
          <w:sz w:val="32"/>
          <w:szCs w:val="32"/>
          <w:lang w:val="en-US" w:eastAsia="zh-CN"/>
        </w:rPr>
        <w:t>202</w:t>
      </w:r>
      <w:r>
        <w:rPr>
          <w:rFonts w:ascii="仿宋_GB2312" w:eastAsia="仿宋_GB2312"/>
          <w:color w:val="auto"/>
          <w:sz w:val="32"/>
          <w:szCs w:val="32"/>
          <w:lang w:val="en-US" w:eastAsia="zh-CN"/>
        </w:rPr>
        <w:t>2</w:t>
      </w:r>
      <w:r>
        <w:rPr>
          <w:rFonts w:hint="eastAsia" w:ascii="仿宋_GB2312" w:eastAsia="仿宋_GB2312"/>
          <w:color w:val="auto"/>
          <w:sz w:val="32"/>
          <w:szCs w:val="32"/>
          <w:lang w:val="en-US" w:eastAsia="zh-CN"/>
        </w:rPr>
        <w:t>年1-6月支出</w:t>
      </w:r>
      <w:r>
        <w:rPr>
          <w:rFonts w:ascii="仿宋_GB2312"/>
          <w:sz w:val="32"/>
          <w:szCs w:val="32"/>
          <w:lang w:val="en-US" w:eastAsia="zh-CN"/>
        </w:rPr>
        <w:t>645</w:t>
      </w:r>
      <w:r>
        <w:rPr>
          <w:rFonts w:hint="eastAsia" w:ascii="仿宋_GB2312" w:eastAsia="仿宋_GB2312"/>
          <w:color w:val="auto"/>
          <w:sz w:val="32"/>
          <w:szCs w:val="32"/>
          <w:lang w:val="en-US" w:eastAsia="zh-CN"/>
        </w:rPr>
        <w:t>万元。</w:t>
      </w:r>
    </w:p>
    <w:p>
      <w:pPr>
        <w:pStyle w:val="52"/>
        <w:widowControl/>
        <w:adjustRightInd w:val="0"/>
        <w:snapToGrid w:val="0"/>
        <w:spacing w:line="580" w:lineRule="exact"/>
        <w:ind w:firstLine="640" w:firstLineChars="200"/>
        <w:contextualSpacing/>
        <w:jc w:val="left"/>
        <w:rPr>
          <w:rFonts w:ascii="黑体" w:eastAsia="黑体" w:cs="宋体"/>
          <w:color w:val="000000"/>
          <w:kern w:val="0"/>
          <w:szCs w:val="32"/>
          <w:shd w:val="clear" w:color="auto" w:fill="FFFFFF"/>
        </w:rPr>
      </w:pPr>
      <w:r>
        <w:rPr>
          <w:rFonts w:hint="eastAsia" w:ascii="黑体" w:eastAsia="黑体" w:cs="宋体"/>
          <w:color w:val="000000"/>
          <w:kern w:val="0"/>
          <w:szCs w:val="32"/>
          <w:shd w:val="clear" w:color="auto" w:fill="FFFFFF"/>
        </w:rPr>
        <w:t>三、部门整体预算绩效管理情况</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cs="宋体"/>
          <w:color w:val="000000"/>
          <w:kern w:val="0"/>
          <w:szCs w:val="32"/>
          <w:shd w:val="clear" w:color="auto" w:fill="FFFFFF"/>
          <w:lang w:val="zh-CN"/>
        </w:rPr>
        <w:t>（一）部门预算项目绩效管理。</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ascii="仿宋_GB2312" w:cs="宋体"/>
          <w:color w:val="000000"/>
          <w:kern w:val="0"/>
          <w:szCs w:val="32"/>
          <w:shd w:val="clear" w:color="auto" w:fill="FFFFFF"/>
          <w:lang w:val="zh-CN"/>
        </w:rPr>
        <w:t>部门绩效目标制定严格按照《预算法》等，结合单位实际工作情况进行制定，人员类经费如工资津贴保险类支出均按要求，按月执行支付；运转类经费如办公费用按实际发生实报实销；特定目标类经费按照项目进度及工作开展进度进行支付。</w:t>
      </w:r>
    </w:p>
    <w:p>
      <w:pPr>
        <w:pStyle w:val="66"/>
        <w:keepNext w:val="0"/>
        <w:keepLines w:val="0"/>
        <w:widowControl w:val="0"/>
        <w:suppressLineNumbers w:val="0"/>
        <w:shd w:val="clear" w:color="auto" w:fill="FFFFFF"/>
        <w:autoSpaceDE w:val="0"/>
        <w:autoSpaceDN/>
        <w:spacing w:before="0" w:beforeAutospacing="0" w:after="0" w:afterAutospacing="0" w:line="560" w:lineRule="exact"/>
        <w:ind w:left="0" w:right="-105" w:firstLine="643"/>
        <w:jc w:val="both"/>
        <w:rPr>
          <w:rStyle w:val="67"/>
          <w:rFonts w:ascii="仿宋_GB2312" w:eastAsia="仿宋_GB2312" w:cs="仿宋_GB2312"/>
          <w:b w:val="0"/>
          <w:i w:val="0"/>
          <w:caps w:val="0"/>
          <w:smallCaps w:val="0"/>
          <w:spacing w:val="0"/>
          <w:kern w:val="2"/>
          <w:sz w:val="32"/>
          <w:szCs w:val="32"/>
          <w:shd w:val="clear" w:color="auto" w:fill="FFFFFF"/>
        </w:rPr>
      </w:pPr>
      <w:r>
        <w:rPr>
          <w:rStyle w:val="67"/>
          <w:rFonts w:ascii="仿宋_GB2312" w:eastAsia="仿宋_GB2312" w:cs="仿宋_GB2312"/>
          <w:b w:val="0"/>
          <w:i w:val="0"/>
          <w:caps w:val="0"/>
          <w:smallCaps w:val="0"/>
          <w:spacing w:val="0"/>
          <w:kern w:val="2"/>
          <w:sz w:val="32"/>
          <w:szCs w:val="32"/>
          <w:shd w:val="clear" w:color="auto" w:fill="FFFFFF"/>
        </w:rPr>
        <w:t>2021年我单位达到如下目标：</w:t>
      </w:r>
    </w:p>
    <w:p>
      <w:pPr>
        <w:pStyle w:val="66"/>
        <w:keepNext w:val="0"/>
        <w:keepLines w:val="0"/>
        <w:widowControl w:val="0"/>
        <w:suppressLineNumbers w:val="0"/>
        <w:shd w:val="clear" w:color="auto" w:fill="FFFFFF"/>
        <w:autoSpaceDE w:val="0"/>
        <w:autoSpaceDN/>
        <w:spacing w:before="0" w:beforeAutospacing="0" w:after="0" w:afterAutospacing="0" w:line="560" w:lineRule="exact"/>
        <w:ind w:left="0" w:right="-105" w:firstLine="643"/>
        <w:jc w:val="both"/>
        <w:rPr>
          <w:rFonts w:hint="eastAsia" w:ascii="仿宋_GB2312" w:eastAsia="仿宋_GB2312" w:cs="宋体"/>
          <w:sz w:val="32"/>
          <w:szCs w:val="32"/>
          <w:shd w:val="clear" w:color="auto" w:fill="FFFFFF"/>
        </w:rPr>
      </w:pPr>
      <w:r>
        <w:rPr>
          <w:rStyle w:val="67"/>
          <w:rFonts w:ascii="仿宋_GB2312" w:eastAsia="仿宋_GB2312" w:cs="仿宋_GB2312"/>
          <w:b w:val="0"/>
          <w:i w:val="0"/>
          <w:caps w:val="0"/>
          <w:smallCaps w:val="0"/>
          <w:spacing w:val="0"/>
          <w:kern w:val="2"/>
          <w:sz w:val="32"/>
          <w:szCs w:val="32"/>
          <w:shd w:val="clear" w:color="auto" w:fill="FFFFFF"/>
        </w:rPr>
        <w:t>1.</w:t>
      </w:r>
      <w:r>
        <w:rPr>
          <w:rStyle w:val="67"/>
          <w:rFonts w:hint="eastAsia" w:ascii="仿宋_GB2312" w:eastAsia="仿宋_GB2312" w:cs="仿宋_GB2312"/>
          <w:b w:val="0"/>
          <w:i w:val="0"/>
          <w:caps w:val="0"/>
          <w:smallCaps w:val="0"/>
          <w:spacing w:val="0"/>
          <w:sz w:val="32"/>
          <w:szCs w:val="32"/>
          <w:shd w:val="clear" w:color="auto" w:fill="FFFFFF"/>
        </w:rPr>
        <w:t>聚焦中心、抓住关键、精准发力，深入推进法治茂县建设。坚持规范服务，确保行政合法合规</w:t>
      </w:r>
      <w:r>
        <w:rPr>
          <w:rStyle w:val="67"/>
          <w:rFonts w:ascii="仿宋_GB2312" w:eastAsia="仿宋_GB2312" w:cs="仿宋_GB2312"/>
          <w:b w:val="0"/>
          <w:i w:val="0"/>
          <w:caps w:val="0"/>
          <w:smallCaps w:val="0"/>
          <w:spacing w:val="0"/>
          <w:sz w:val="32"/>
          <w:szCs w:val="32"/>
          <w:shd w:val="clear" w:color="auto" w:fill="FFFFFF"/>
        </w:rPr>
        <w:t>。</w:t>
      </w:r>
    </w:p>
    <w:p>
      <w:pPr>
        <w:pStyle w:val="52"/>
        <w:spacing w:before="0" w:beforeAutospacing="0" w:after="0" w:afterAutospacing="0" w:line="540" w:lineRule="exact"/>
        <w:ind w:left="0" w:firstLine="640" w:firstLineChars="200"/>
        <w:jc w:val="both"/>
        <w:textAlignment w:val="baseline"/>
        <w:rPr>
          <w:rFonts w:hint="eastAsia" w:ascii="仿宋_GB2312" w:eastAsia="仿宋_GB2312" w:cs="宋体"/>
          <w:sz w:val="32"/>
          <w:szCs w:val="32"/>
          <w:vertAlign w:val="baseline"/>
        </w:rPr>
      </w:pPr>
      <w:r>
        <w:rPr>
          <w:rStyle w:val="67"/>
          <w:rFonts w:ascii="仿宋_GB2312" w:eastAsia="仿宋_GB2312" w:cs="仿宋_GB2312"/>
          <w:b w:val="0"/>
          <w:bCs w:val="0"/>
          <w:i w:val="0"/>
          <w:caps w:val="0"/>
          <w:smallCaps w:val="0"/>
          <w:color w:val="000000"/>
          <w:spacing w:val="0"/>
          <w:sz w:val="32"/>
          <w:szCs w:val="32"/>
          <w:vertAlign w:val="baseline"/>
        </w:rPr>
        <w:t>2</w:t>
      </w:r>
      <w:r>
        <w:rPr>
          <w:rStyle w:val="67"/>
          <w:rFonts w:hint="eastAsia" w:ascii="仿宋_GB2312" w:eastAsia="仿宋_GB2312" w:cs="仿宋_GB2312"/>
          <w:b w:val="0"/>
          <w:bCs w:val="0"/>
          <w:i w:val="0"/>
          <w:caps w:val="0"/>
          <w:smallCaps w:val="0"/>
          <w:color w:val="000000"/>
          <w:spacing w:val="0"/>
          <w:sz w:val="32"/>
          <w:szCs w:val="32"/>
          <w:vertAlign w:val="baseline"/>
        </w:rPr>
        <w:t>.当好参谋顾问，深入推进法治政府建设工作</w:t>
      </w:r>
      <w:r>
        <w:rPr>
          <w:rStyle w:val="67"/>
          <w:rFonts w:hint="eastAsia" w:ascii="楷体_GB2312" w:eastAsia="楷体_GB2312" w:cs="楷体_GB2312"/>
          <w:b w:val="0"/>
          <w:bCs w:val="0"/>
          <w:i w:val="0"/>
          <w:caps w:val="0"/>
          <w:smallCaps w:val="0"/>
          <w:spacing w:val="0"/>
          <w:kern w:val="2"/>
          <w:sz w:val="32"/>
          <w:szCs w:val="32"/>
          <w:vertAlign w:val="baseline"/>
        </w:rPr>
        <w:t>。</w:t>
      </w:r>
      <w:r>
        <w:rPr>
          <w:rStyle w:val="67"/>
          <w:rFonts w:hint="eastAsia" w:ascii="仿宋_GB2312" w:eastAsia="仿宋_GB2312" w:cs="仿宋_GB2312"/>
          <w:b w:val="0"/>
          <w:bCs w:val="0"/>
          <w:i w:val="0"/>
          <w:caps w:val="0"/>
          <w:smallCaps w:val="0"/>
          <w:color w:val="000000"/>
          <w:spacing w:val="0"/>
          <w:sz w:val="32"/>
          <w:szCs w:val="32"/>
          <w:vertAlign w:val="baseline"/>
        </w:rPr>
        <w:t>认真开展合法性审查工作</w:t>
      </w:r>
      <w:r>
        <w:rPr>
          <w:rStyle w:val="67"/>
          <w:rFonts w:hint="eastAsia" w:ascii="仿宋_GB2312" w:eastAsia="仿宋_GB2312" w:cs="宋体"/>
          <w:b w:val="0"/>
          <w:i w:val="0"/>
          <w:caps w:val="0"/>
          <w:smallCaps w:val="0"/>
          <w:color w:val="000000"/>
          <w:spacing w:val="0"/>
          <w:sz w:val="32"/>
          <w:szCs w:val="32"/>
          <w:vertAlign w:val="baseline"/>
        </w:rPr>
        <w:t>为政府全面依法行政提供了有力保障。</w:t>
      </w:r>
    </w:p>
    <w:p>
      <w:pPr>
        <w:pStyle w:val="68"/>
        <w:keepNext w:val="0"/>
        <w:keepLines w:val="0"/>
        <w:widowControl/>
        <w:suppressLineNumbers w:val="0"/>
        <w:spacing w:before="0" w:beforeAutospacing="0" w:after="0" w:afterAutospacing="0" w:line="540" w:lineRule="exact"/>
        <w:ind w:left="0" w:firstLine="640" w:firstLineChars="200"/>
        <w:jc w:val="both"/>
        <w:textAlignment w:val="baseline"/>
        <w:rPr>
          <w:rFonts w:hint="eastAsia" w:ascii="仿宋_GB2312" w:eastAsia="仿宋_GB2312" w:cs="宋体"/>
          <w:sz w:val="32"/>
          <w:szCs w:val="32"/>
          <w:vertAlign w:val="baseline"/>
        </w:rPr>
      </w:pPr>
      <w:r>
        <w:rPr>
          <w:rStyle w:val="67"/>
          <w:rFonts w:ascii="仿宋_GB2312" w:eastAsia="仿宋_GB2312" w:cs="仿宋_GB2312"/>
          <w:b w:val="0"/>
          <w:i w:val="0"/>
          <w:caps w:val="0"/>
          <w:smallCaps w:val="0"/>
          <w:color w:val="000000"/>
          <w:spacing w:val="0"/>
          <w:sz w:val="32"/>
          <w:szCs w:val="32"/>
          <w:vertAlign w:val="baseline"/>
        </w:rPr>
        <w:t>3</w:t>
      </w:r>
      <w:r>
        <w:rPr>
          <w:rStyle w:val="67"/>
          <w:rFonts w:hint="eastAsia" w:ascii="仿宋_GB2312" w:eastAsia="仿宋_GB2312" w:cs="仿宋_GB2312"/>
          <w:b w:val="0"/>
          <w:i w:val="0"/>
          <w:caps w:val="0"/>
          <w:smallCaps w:val="0"/>
          <w:color w:val="000000"/>
          <w:spacing w:val="0"/>
          <w:sz w:val="32"/>
          <w:szCs w:val="32"/>
          <w:vertAlign w:val="baseline"/>
        </w:rPr>
        <w:t>.普法治理工作有序开展。</w:t>
      </w:r>
    </w:p>
    <w:p>
      <w:pPr>
        <w:pStyle w:val="52"/>
        <w:spacing w:before="0" w:beforeAutospacing="0" w:after="0" w:afterAutospacing="0" w:line="540" w:lineRule="exact"/>
        <w:ind w:left="0" w:firstLine="640" w:firstLineChars="200"/>
        <w:jc w:val="both"/>
        <w:textAlignment w:val="baseline"/>
        <w:rPr>
          <w:rFonts w:hint="eastAsia" w:ascii="仿宋_GB2312" w:eastAsia="仿宋_GB2312" w:cs="宋体"/>
          <w:sz w:val="32"/>
          <w:szCs w:val="32"/>
          <w:vertAlign w:val="baseline"/>
        </w:rPr>
      </w:pPr>
      <w:r>
        <w:rPr>
          <w:rStyle w:val="67"/>
          <w:rFonts w:ascii="仿宋_GB2312" w:eastAsia="仿宋_GB2312" w:cs="仿宋_GB2312"/>
          <w:b w:val="0"/>
          <w:i w:val="0"/>
          <w:caps w:val="0"/>
          <w:smallCaps w:val="0"/>
          <w:color w:val="000000"/>
          <w:spacing w:val="0"/>
          <w:kern w:val="2"/>
          <w:sz w:val="32"/>
          <w:szCs w:val="32"/>
          <w:vertAlign w:val="baseline"/>
        </w:rPr>
        <w:t>4</w:t>
      </w:r>
      <w:r>
        <w:rPr>
          <w:rStyle w:val="67"/>
          <w:rFonts w:hint="eastAsia" w:ascii="仿宋_GB2312" w:eastAsia="仿宋_GB2312" w:cs="仿宋_GB2312"/>
          <w:b w:val="0"/>
          <w:i w:val="0"/>
          <w:caps w:val="0"/>
          <w:smallCaps w:val="0"/>
          <w:color w:val="000000"/>
          <w:spacing w:val="0"/>
          <w:kern w:val="2"/>
          <w:sz w:val="32"/>
          <w:szCs w:val="32"/>
          <w:vertAlign w:val="baseline"/>
        </w:rPr>
        <w:t>.持续优化基层司法所布局。</w:t>
      </w:r>
      <w:r>
        <w:rPr>
          <w:rStyle w:val="69"/>
          <w:rFonts w:hint="eastAsia" w:ascii="仿宋_GB2312" w:eastAsia="仿宋_GB2312" w:cs="仿宋_GB2312"/>
          <w:b w:val="0"/>
          <w:bCs w:val="0"/>
          <w:i w:val="0"/>
          <w:caps w:val="0"/>
          <w:smallCaps w:val="0"/>
          <w:color w:val="000000"/>
          <w:spacing w:val="0"/>
          <w:kern w:val="2"/>
          <w:sz w:val="32"/>
          <w:szCs w:val="32"/>
          <w:vertAlign w:val="baseline"/>
        </w:rPr>
        <w:t>按照两项改革</w:t>
      </w:r>
      <w:r>
        <w:rPr>
          <w:rStyle w:val="69"/>
          <w:rFonts w:hint="eastAsia" w:ascii="仿宋_GB2312" w:eastAsia="仿宋_GB2312" w:cs="宋体"/>
          <w:b w:val="0"/>
          <w:bCs w:val="0"/>
          <w:i w:val="0"/>
          <w:caps w:val="0"/>
          <w:smallCaps w:val="0"/>
          <w:color w:val="000000"/>
          <w:spacing w:val="0"/>
          <w:kern w:val="2"/>
          <w:sz w:val="32"/>
          <w:szCs w:val="32"/>
          <w:vertAlign w:val="baseline"/>
        </w:rPr>
        <w:t>“后半篇”文章要求完成了“法治小院”叠溪司法所的打造。</w:t>
      </w:r>
    </w:p>
    <w:p>
      <w:pPr>
        <w:pStyle w:val="66"/>
        <w:keepNext w:val="0"/>
        <w:keepLines w:val="0"/>
        <w:widowControl w:val="0"/>
        <w:suppressLineNumbers w:val="0"/>
        <w:shd w:val="clear" w:color="auto" w:fill="FFFFFF"/>
        <w:autoSpaceDE w:val="0"/>
        <w:autoSpaceDN/>
        <w:spacing w:before="0" w:beforeAutospacing="0" w:after="0" w:afterAutospacing="0" w:line="576" w:lineRule="exact"/>
        <w:ind w:left="0" w:right="-105" w:firstLine="643"/>
        <w:jc w:val="both"/>
        <w:rPr>
          <w:rFonts w:hint="eastAsia" w:ascii="仿宋_GB2312" w:eastAsia="仿宋_GB2312" w:cs="黑体"/>
          <w:b/>
          <w:bCs/>
          <w:sz w:val="32"/>
          <w:szCs w:val="32"/>
          <w:shd w:val="clear" w:color="auto" w:fill="FFFFFF"/>
        </w:rPr>
      </w:pPr>
      <w:r>
        <w:rPr>
          <w:rStyle w:val="67"/>
          <w:rFonts w:ascii="仿宋_GB2312" w:eastAsia="仿宋_GB2312" w:cs="仿宋_GB2312"/>
          <w:b w:val="0"/>
          <w:i w:val="0"/>
          <w:iCs w:val="0"/>
          <w:caps w:val="0"/>
          <w:smallCaps w:val="0"/>
          <w:color w:val="000000"/>
          <w:spacing w:val="8"/>
          <w:kern w:val="2"/>
          <w:sz w:val="32"/>
          <w:szCs w:val="32"/>
          <w:shd w:val="clear" w:color="auto" w:fill="FFFFFF"/>
        </w:rPr>
        <w:t>5</w:t>
      </w:r>
      <w:r>
        <w:rPr>
          <w:rStyle w:val="67"/>
          <w:rFonts w:hint="eastAsia" w:ascii="仿宋_GB2312" w:eastAsia="仿宋_GB2312" w:cs="仿宋_GB2312"/>
          <w:b w:val="0"/>
          <w:i w:val="0"/>
          <w:iCs w:val="0"/>
          <w:caps w:val="0"/>
          <w:smallCaps w:val="0"/>
          <w:color w:val="000000"/>
          <w:spacing w:val="8"/>
          <w:kern w:val="2"/>
          <w:sz w:val="32"/>
          <w:szCs w:val="32"/>
          <w:shd w:val="clear" w:color="auto" w:fill="FFFFFF"/>
        </w:rPr>
        <w:t>.有效排查化解矛盾纠纷，</w:t>
      </w:r>
      <w:r>
        <w:rPr>
          <w:rStyle w:val="67"/>
          <w:rFonts w:hint="eastAsia" w:ascii="仿宋_GB2312" w:eastAsia="仿宋_GB2312" w:cs="仿宋_GB2312"/>
          <w:b w:val="0"/>
          <w:i w:val="0"/>
          <w:caps w:val="0"/>
          <w:smallCaps w:val="0"/>
          <w:color w:val="000000"/>
          <w:spacing w:val="0"/>
          <w:kern w:val="2"/>
          <w:sz w:val="32"/>
          <w:szCs w:val="32"/>
          <w:shd w:val="clear" w:color="auto" w:fill="FFFFFF"/>
        </w:rPr>
        <w:t>为辖区经济发展创造了稳定的社会环境，公正的法治环境，优质的服务环境</w:t>
      </w:r>
      <w:r>
        <w:rPr>
          <w:rStyle w:val="67"/>
          <w:rFonts w:hint="eastAsia" w:ascii="仿宋_GB2312" w:eastAsia="仿宋_GB2312" w:cs="仿宋_GB2312"/>
          <w:b w:val="0"/>
          <w:bCs w:val="0"/>
          <w:i w:val="0"/>
          <w:caps w:val="0"/>
          <w:smallCaps w:val="0"/>
          <w:color w:val="000000"/>
          <w:spacing w:val="0"/>
          <w:kern w:val="2"/>
          <w:sz w:val="32"/>
          <w:szCs w:val="32"/>
          <w:shd w:val="clear" w:color="auto" w:fill="FFFFFF"/>
        </w:rPr>
        <w:t>。</w:t>
      </w:r>
    </w:p>
    <w:p>
      <w:pPr>
        <w:pStyle w:val="66"/>
        <w:keepNext w:val="0"/>
        <w:keepLines w:val="0"/>
        <w:widowControl/>
        <w:suppressLineNumbers w:val="0"/>
        <w:spacing w:before="0" w:beforeAutospacing="0" w:after="0" w:afterAutospacing="0" w:line="576" w:lineRule="exact"/>
        <w:ind w:left="0" w:right="0" w:firstLine="640" w:firstLineChars="200"/>
        <w:jc w:val="both"/>
        <w:textAlignment w:val="baseline"/>
        <w:rPr>
          <w:rFonts w:hint="eastAsia" w:ascii="仿宋_GB2312" w:eastAsia="仿宋_GB2312" w:cs="宋体"/>
          <w:b w:val="0"/>
          <w:i w:val="0"/>
          <w:caps w:val="0"/>
          <w:smallCaps w:val="0"/>
          <w:color w:val="000000"/>
          <w:spacing w:val="0"/>
          <w:kern w:val="0"/>
          <w:sz w:val="32"/>
          <w:szCs w:val="32"/>
          <w:vertAlign w:val="baseline"/>
        </w:rPr>
      </w:pPr>
      <w:r>
        <w:rPr>
          <w:rStyle w:val="67"/>
          <w:rFonts w:ascii="仿宋_GB2312" w:eastAsia="仿宋_GB2312" w:cs="仿宋_GB2312"/>
          <w:b w:val="0"/>
          <w:i w:val="0"/>
          <w:caps w:val="0"/>
          <w:smallCaps w:val="0"/>
          <w:color w:val="000000"/>
          <w:spacing w:val="0"/>
          <w:kern w:val="0"/>
          <w:sz w:val="32"/>
          <w:szCs w:val="32"/>
          <w:vertAlign w:val="baseline"/>
        </w:rPr>
        <w:t>6</w:t>
      </w:r>
      <w:r>
        <w:rPr>
          <w:rStyle w:val="67"/>
          <w:rFonts w:hint="eastAsia" w:ascii="仿宋_GB2312" w:eastAsia="仿宋_GB2312" w:cs="仿宋_GB2312"/>
          <w:b w:val="0"/>
          <w:i w:val="0"/>
          <w:caps w:val="0"/>
          <w:smallCaps w:val="0"/>
          <w:color w:val="000000"/>
          <w:spacing w:val="0"/>
          <w:kern w:val="0"/>
          <w:sz w:val="32"/>
          <w:szCs w:val="32"/>
          <w:vertAlign w:val="baseline"/>
        </w:rPr>
        <w:t>.以服务人民为中心，大力推进公共法律服务规范化、便民化。</w:t>
      </w:r>
    </w:p>
    <w:p>
      <w:pPr>
        <w:pStyle w:val="52"/>
        <w:spacing w:line="576" w:lineRule="exact"/>
        <w:ind w:left="0" w:firstLine="640" w:firstLineChars="200"/>
        <w:rPr>
          <w:rFonts w:hint="eastAsia" w:ascii="仿宋_GB2312"/>
          <w:color w:val="000000"/>
          <w:kern w:val="0"/>
          <w:szCs w:val="32"/>
        </w:rPr>
      </w:pPr>
      <w:r>
        <w:rPr>
          <w:rStyle w:val="67"/>
          <w:rFonts w:ascii="仿宋_GB2312" w:eastAsia="仿宋_GB2312" w:cs="仿宋_GB2312"/>
          <w:b w:val="0"/>
          <w:i w:val="0"/>
          <w:caps w:val="0"/>
          <w:smallCaps w:val="0"/>
          <w:color w:val="000000"/>
          <w:spacing w:val="0"/>
          <w:kern w:val="0"/>
          <w:sz w:val="32"/>
          <w:szCs w:val="32"/>
        </w:rPr>
        <w:t>7</w:t>
      </w:r>
      <w:r>
        <w:rPr>
          <w:rStyle w:val="67"/>
          <w:rFonts w:hint="eastAsia" w:ascii="仿宋_GB2312" w:eastAsia="仿宋_GB2312" w:cs="仿宋_GB2312"/>
          <w:b w:val="0"/>
          <w:i w:val="0"/>
          <w:caps w:val="0"/>
          <w:smallCaps w:val="0"/>
          <w:color w:val="000000"/>
          <w:spacing w:val="0"/>
          <w:kern w:val="0"/>
          <w:sz w:val="32"/>
          <w:szCs w:val="32"/>
        </w:rPr>
        <w:t>.依法开展好社区矫正日常工作，随时掌握社区矫正对象的动态，确保社区矫正对象不脱管、不失控，并重点预防其重新犯罪。</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cs="宋体"/>
          <w:color w:val="000000"/>
          <w:kern w:val="0"/>
          <w:szCs w:val="32"/>
          <w:shd w:val="clear" w:color="auto" w:fill="FFFFFF"/>
          <w:lang w:val="zh-CN"/>
        </w:rPr>
        <w:t>（二）结果应用情况。</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ascii="仿宋_GB2312" w:cs="宋体"/>
          <w:color w:val="000000"/>
          <w:kern w:val="0"/>
          <w:szCs w:val="32"/>
          <w:shd w:val="clear" w:color="auto" w:fill="FFFFFF"/>
          <w:lang w:val="zh-CN"/>
        </w:rPr>
        <w:t>通过开展绩效自评，及时发现本单位在实现绩效目标过程中存在的的问题和困难，及时进行梳理和整改，达到高效运用资金，保障好本单位各项工作顺利有序推进。</w:t>
      </w:r>
    </w:p>
    <w:p>
      <w:pPr>
        <w:pStyle w:val="52"/>
        <w:widowControl/>
        <w:numPr>
          <w:ilvl w:val="0"/>
          <w:numId w:val="1"/>
        </w:numPr>
        <w:adjustRightInd w:val="0"/>
        <w:snapToGrid w:val="0"/>
        <w:spacing w:line="580" w:lineRule="exact"/>
        <w:ind w:left="0" w:firstLine="640" w:firstLineChars="200"/>
        <w:contextualSpacing/>
        <w:jc w:val="left"/>
        <w:rPr>
          <w:rFonts w:ascii="仿宋_GB2312" w:cs="宋体"/>
          <w:color w:val="000000"/>
          <w:kern w:val="0"/>
          <w:szCs w:val="32"/>
          <w:shd w:val="clear" w:color="auto" w:fill="FFFFFF"/>
          <w:lang w:val="zh-CN"/>
        </w:rPr>
      </w:pPr>
      <w:r>
        <w:rPr>
          <w:rFonts w:hint="eastAsia" w:ascii="仿宋_GB2312" w:cs="宋体"/>
          <w:color w:val="000000"/>
          <w:kern w:val="0"/>
          <w:szCs w:val="32"/>
          <w:shd w:val="clear" w:color="auto" w:fill="FFFFFF"/>
          <w:lang w:val="zh-CN"/>
        </w:rPr>
        <w:t>自评质量</w:t>
      </w:r>
    </w:p>
    <w:p>
      <w:pPr>
        <w:pStyle w:val="52"/>
        <w:widowControl/>
        <w:adjustRightInd w:val="0"/>
        <w:snapToGrid w:val="0"/>
        <w:spacing w:line="580" w:lineRule="exact"/>
        <w:contextualSpacing/>
        <w:jc w:val="left"/>
        <w:rPr>
          <w:rFonts w:ascii="仿宋_GB2312" w:cs="宋体"/>
          <w:color w:val="000000"/>
          <w:kern w:val="0"/>
          <w:szCs w:val="32"/>
          <w:shd w:val="clear" w:color="auto" w:fill="FFFFFF"/>
        </w:rPr>
      </w:pPr>
      <w:r>
        <w:rPr>
          <w:rFonts w:hint="eastAsia" w:ascii="仿宋_GB2312" w:cs="宋体"/>
          <w:color w:val="000000"/>
          <w:kern w:val="0"/>
          <w:szCs w:val="32"/>
          <w:shd w:val="clear" w:color="auto" w:fill="FFFFFF"/>
        </w:rPr>
        <w:t xml:space="preserve">    </w:t>
      </w:r>
      <w:r>
        <w:rPr>
          <w:rFonts w:ascii="仿宋_GB2312" w:cs="宋体"/>
          <w:color w:val="000000"/>
          <w:kern w:val="0"/>
          <w:szCs w:val="32"/>
          <w:shd w:val="clear" w:color="auto" w:fill="FFFFFF"/>
        </w:rPr>
        <w:t>茂县司法局绩效自评工作，结合自身工作开展情况及资金使用情况，实事求是，认真分析。</w:t>
      </w:r>
    </w:p>
    <w:p>
      <w:pPr>
        <w:pStyle w:val="52"/>
        <w:widowControl/>
        <w:adjustRightInd w:val="0"/>
        <w:snapToGrid w:val="0"/>
        <w:spacing w:line="580" w:lineRule="exact"/>
        <w:ind w:firstLine="640" w:firstLineChars="200"/>
        <w:contextualSpacing/>
        <w:jc w:val="left"/>
        <w:rPr>
          <w:rFonts w:ascii="黑体" w:eastAsia="黑体" w:cs="宋体"/>
          <w:color w:val="000000"/>
          <w:kern w:val="0"/>
          <w:szCs w:val="32"/>
          <w:shd w:val="clear" w:color="auto" w:fill="FFFFFF"/>
        </w:rPr>
      </w:pPr>
      <w:r>
        <w:rPr>
          <w:rFonts w:hint="eastAsia" w:ascii="黑体" w:eastAsia="黑体" w:cs="宋体"/>
          <w:color w:val="000000"/>
          <w:kern w:val="0"/>
          <w:szCs w:val="32"/>
          <w:shd w:val="clear" w:color="auto" w:fill="FFFFFF"/>
        </w:rPr>
        <w:t>四、评价结论及建议</w:t>
      </w:r>
    </w:p>
    <w:p>
      <w:pPr>
        <w:pStyle w:val="52"/>
        <w:widowControl/>
        <w:adjustRightInd w:val="0"/>
        <w:snapToGrid w:val="0"/>
        <w:spacing w:line="480" w:lineRule="exact"/>
        <w:ind w:firstLine="720"/>
        <w:jc w:val="left"/>
        <w:rPr>
          <w:rFonts w:hint="eastAsia" w:ascii="仿宋_GB2312" w:cs="宋体"/>
          <w:color w:val="000000"/>
          <w:kern w:val="0"/>
          <w:lang w:val="zh-CN"/>
        </w:rPr>
      </w:pPr>
      <w:r>
        <w:rPr>
          <w:rFonts w:hint="eastAsia" w:ascii="仿宋_GB2312" w:cs="宋体"/>
          <w:color w:val="000000"/>
          <w:kern w:val="0"/>
          <w:lang w:val="zh-CN"/>
        </w:rPr>
        <w:t>（一）评价结论</w:t>
      </w:r>
    </w:p>
    <w:p>
      <w:pPr>
        <w:pStyle w:val="52"/>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cs="仿宋_GB2312"/>
          <w:sz w:val="32"/>
          <w:szCs w:val="32"/>
          <w:lang w:val="zh-CN" w:eastAsia="zh-CN"/>
        </w:rPr>
      </w:pPr>
      <w:r>
        <w:rPr>
          <w:rFonts w:hint="eastAsia" w:ascii="仿宋_GB2312" w:cs="仿宋_GB2312"/>
          <w:sz w:val="32"/>
          <w:szCs w:val="32"/>
          <w:lang w:eastAsia="zh-CN"/>
        </w:rPr>
        <w:t>茂县司法局严格按照预算法按时完成预决算编制。在执行过程中有计划进行资金申报使用，完善资金管理及内部控制制度，确保资金安全，做到</w:t>
      </w:r>
      <w:r>
        <w:rPr>
          <w:rFonts w:hint="eastAsia" w:ascii="仿宋_GB2312" w:cs="仿宋_GB2312"/>
          <w:sz w:val="32"/>
          <w:szCs w:val="32"/>
          <w:lang w:val="en-US" w:eastAsia="zh-CN"/>
        </w:rPr>
        <w:t>账</w:t>
      </w:r>
      <w:r>
        <w:rPr>
          <w:rFonts w:hint="eastAsia" w:ascii="仿宋_GB2312" w:cs="仿宋_GB2312"/>
          <w:sz w:val="32"/>
          <w:szCs w:val="32"/>
          <w:lang w:eastAsia="zh-CN"/>
        </w:rPr>
        <w:t>款、</w:t>
      </w:r>
      <w:r>
        <w:rPr>
          <w:rFonts w:hint="eastAsia" w:ascii="仿宋_GB2312" w:cs="仿宋_GB2312"/>
          <w:sz w:val="32"/>
          <w:szCs w:val="32"/>
          <w:lang w:val="en-US" w:eastAsia="zh-CN"/>
        </w:rPr>
        <w:t>账账</w:t>
      </w:r>
      <w:r>
        <w:rPr>
          <w:rFonts w:hint="eastAsia" w:ascii="仿宋_GB2312" w:cs="仿宋_GB2312"/>
          <w:sz w:val="32"/>
          <w:szCs w:val="32"/>
          <w:lang w:eastAsia="zh-CN"/>
        </w:rPr>
        <w:t>、</w:t>
      </w:r>
      <w:r>
        <w:rPr>
          <w:rFonts w:hint="eastAsia" w:ascii="仿宋_GB2312" w:cs="仿宋_GB2312"/>
          <w:sz w:val="32"/>
          <w:szCs w:val="32"/>
          <w:lang w:val="en-US" w:eastAsia="zh-CN"/>
        </w:rPr>
        <w:t>账</w:t>
      </w:r>
      <w:r>
        <w:rPr>
          <w:rFonts w:hint="eastAsia" w:ascii="仿宋_GB2312" w:cs="仿宋_GB2312"/>
          <w:sz w:val="32"/>
          <w:szCs w:val="32"/>
          <w:lang w:eastAsia="zh-CN"/>
        </w:rPr>
        <w:t>实相符。</w:t>
      </w:r>
    </w:p>
    <w:p>
      <w:pPr>
        <w:pStyle w:val="52"/>
        <w:widowControl/>
        <w:adjustRightInd w:val="0"/>
        <w:snapToGrid w:val="0"/>
        <w:spacing w:line="480" w:lineRule="exact"/>
        <w:ind w:left="720"/>
        <w:jc w:val="left"/>
        <w:rPr>
          <w:rFonts w:hint="eastAsia" w:ascii="仿宋_GB2312" w:cs="宋体"/>
          <w:color w:val="000000"/>
          <w:kern w:val="0"/>
          <w:lang w:val="zh-CN"/>
        </w:rPr>
      </w:pPr>
      <w:r>
        <w:rPr>
          <w:rFonts w:hint="eastAsia" w:ascii="仿宋_GB2312" w:cs="宋体"/>
          <w:color w:val="000000"/>
          <w:kern w:val="0"/>
          <w:lang w:val="zh-CN"/>
        </w:rPr>
        <w:t>（二）存在问题</w:t>
      </w:r>
    </w:p>
    <w:p>
      <w:pPr>
        <w:pStyle w:val="52"/>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cs="仿宋_GB2312"/>
          <w:sz w:val="32"/>
          <w:szCs w:val="32"/>
          <w:lang w:val="zh-CN" w:eastAsia="zh-CN"/>
        </w:rPr>
      </w:pPr>
      <w:r>
        <w:rPr>
          <w:rFonts w:hint="eastAsia" w:ascii="仿宋_GB2312" w:cs="仿宋_GB2312"/>
          <w:sz w:val="32"/>
          <w:szCs w:val="32"/>
          <w:lang w:val="zh-CN" w:eastAsia="zh-CN"/>
        </w:rPr>
        <w:t>通过茂县司法局部门支出整体绩效评价发现，仍然存在预算执行</w:t>
      </w:r>
      <w:r>
        <w:rPr>
          <w:rFonts w:hint="eastAsia" w:ascii="仿宋_GB2312" w:cs="仿宋_GB2312"/>
          <w:sz w:val="32"/>
          <w:szCs w:val="32"/>
          <w:lang w:val="en-US" w:eastAsia="zh-CN"/>
        </w:rPr>
        <w:t>集中在下半年</w:t>
      </w:r>
      <w:r>
        <w:rPr>
          <w:rFonts w:hint="eastAsia" w:ascii="仿宋_GB2312" w:cs="仿宋_GB2312"/>
          <w:sz w:val="32"/>
          <w:szCs w:val="32"/>
          <w:lang w:val="zh-CN" w:eastAsia="zh-CN"/>
        </w:rPr>
        <w:t>情况，主要原因为</w:t>
      </w:r>
      <w:r>
        <w:rPr>
          <w:rFonts w:ascii="仿宋_GB2312" w:cs="仿宋_GB2312"/>
          <w:sz w:val="32"/>
          <w:szCs w:val="32"/>
          <w:lang w:val="zh-CN" w:eastAsia="zh-CN"/>
        </w:rPr>
        <w:t>部分工作具有延时性，</w:t>
      </w:r>
      <w:r>
        <w:rPr>
          <w:rFonts w:ascii="仿宋_GB2312" w:cs="仿宋_GB2312"/>
          <w:sz w:val="32"/>
          <w:szCs w:val="32"/>
          <w:lang w:val="en-US" w:eastAsia="zh-CN"/>
        </w:rPr>
        <w:t>上半年开始实施，下半年完成</w:t>
      </w:r>
      <w:r>
        <w:rPr>
          <w:rFonts w:hint="eastAsia" w:ascii="仿宋_GB2312" w:cs="仿宋_GB2312"/>
          <w:sz w:val="32"/>
          <w:szCs w:val="32"/>
          <w:lang w:val="en-US" w:eastAsia="zh-CN"/>
        </w:rPr>
        <w:t>，</w:t>
      </w:r>
      <w:r>
        <w:rPr>
          <w:rFonts w:ascii="仿宋_GB2312" w:cs="仿宋_GB2312"/>
          <w:sz w:val="32"/>
          <w:szCs w:val="32"/>
          <w:lang w:val="en-US" w:eastAsia="zh-CN"/>
        </w:rPr>
        <w:t>故在下半年完成时形成费用</w:t>
      </w:r>
      <w:r>
        <w:rPr>
          <w:rFonts w:hint="eastAsia" w:ascii="仿宋_GB2312" w:cs="仿宋_GB2312"/>
          <w:sz w:val="32"/>
          <w:szCs w:val="32"/>
          <w:lang w:val="en-US" w:eastAsia="zh-CN"/>
        </w:rPr>
        <w:t>支出</w:t>
      </w:r>
      <w:r>
        <w:rPr>
          <w:rFonts w:hint="eastAsia" w:ascii="仿宋_GB2312" w:cs="仿宋_GB2312"/>
          <w:sz w:val="32"/>
          <w:szCs w:val="32"/>
          <w:lang w:val="zh-CN" w:eastAsia="zh-CN"/>
        </w:rPr>
        <w:t>。</w:t>
      </w:r>
    </w:p>
    <w:p>
      <w:pPr>
        <w:pStyle w:val="52"/>
        <w:widowControl/>
        <w:adjustRightInd w:val="0"/>
        <w:snapToGrid w:val="0"/>
        <w:spacing w:line="480" w:lineRule="exact"/>
        <w:ind w:firstLine="720"/>
        <w:jc w:val="left"/>
        <w:rPr>
          <w:rFonts w:ascii="仿宋_GB2312"/>
        </w:rPr>
      </w:pPr>
      <w:r>
        <w:rPr>
          <w:rFonts w:hint="eastAsia" w:ascii="仿宋_GB2312" w:cs="宋体"/>
          <w:color w:val="000000"/>
          <w:kern w:val="0"/>
          <w:lang w:val="zh-CN"/>
        </w:rPr>
        <w:t>（三）改进建议</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cs="仿宋_GB2312"/>
          <w:sz w:val="32"/>
          <w:szCs w:val="32"/>
          <w:lang w:val="zh-CN" w:eastAsia="zh-CN"/>
        </w:rPr>
        <w:t>我单位</w:t>
      </w:r>
      <w:r>
        <w:rPr>
          <w:rFonts w:hint="eastAsia" w:ascii="仿宋_GB2312" w:cs="仿宋_GB2312"/>
          <w:sz w:val="32"/>
          <w:szCs w:val="32"/>
          <w:lang w:val="en-US" w:eastAsia="zh-CN"/>
        </w:rPr>
        <w:t>将严格</w:t>
      </w:r>
      <w:r>
        <w:rPr>
          <w:rFonts w:hint="eastAsia" w:ascii="仿宋_GB2312" w:cs="仿宋_GB2312"/>
          <w:sz w:val="32"/>
          <w:szCs w:val="32"/>
          <w:lang w:val="zh-CN" w:eastAsia="zh-CN"/>
        </w:rPr>
        <w:t>遵守《会计法》、《</w:t>
      </w:r>
      <w:r>
        <w:rPr>
          <w:rFonts w:hint="eastAsia" w:ascii="仿宋_GB2312" w:cs="仿宋_GB2312"/>
          <w:sz w:val="32"/>
          <w:szCs w:val="32"/>
          <w:lang w:val="en-US" w:eastAsia="zh-CN"/>
        </w:rPr>
        <w:t>预算法</w:t>
      </w:r>
      <w:r>
        <w:rPr>
          <w:rFonts w:hint="eastAsia" w:ascii="仿宋_GB2312" w:cs="仿宋_GB2312"/>
          <w:sz w:val="32"/>
          <w:szCs w:val="32"/>
          <w:lang w:val="zh-CN" w:eastAsia="zh-CN"/>
        </w:rPr>
        <w:t>》等</w:t>
      </w:r>
      <w:r>
        <w:rPr>
          <w:rFonts w:hint="eastAsia" w:ascii="仿宋_GB2312" w:cs="仿宋_GB2312"/>
          <w:sz w:val="32"/>
          <w:szCs w:val="32"/>
          <w:lang w:val="en-US" w:eastAsia="zh-CN"/>
        </w:rPr>
        <w:t>相关法律</w:t>
      </w:r>
      <w:r>
        <w:rPr>
          <w:rFonts w:hint="eastAsia" w:ascii="仿宋_GB2312" w:cs="仿宋_GB2312"/>
          <w:sz w:val="32"/>
          <w:szCs w:val="32"/>
          <w:lang w:val="zh-CN" w:eastAsia="zh-CN"/>
        </w:rPr>
        <w:t>法规，</w:t>
      </w:r>
      <w:r>
        <w:rPr>
          <w:rFonts w:hint="eastAsia" w:ascii="仿宋_GB2312" w:cs="仿宋_GB2312"/>
          <w:sz w:val="32"/>
          <w:szCs w:val="32"/>
          <w:lang w:val="en-US" w:eastAsia="zh-CN"/>
        </w:rPr>
        <w:t>严格</w:t>
      </w:r>
      <w:r>
        <w:rPr>
          <w:rFonts w:hint="eastAsia" w:ascii="仿宋_GB2312" w:cs="仿宋_GB2312"/>
          <w:sz w:val="32"/>
          <w:szCs w:val="32"/>
          <w:lang w:val="zh-CN" w:eastAsia="zh-CN"/>
        </w:rPr>
        <w:t>财务报账审批程序，加快资金支付进度。</w:t>
      </w:r>
    </w:p>
    <w:p>
      <w:pPr>
        <w:pStyle w:val="52"/>
        <w:widowControl/>
        <w:adjustRightInd w:val="0"/>
        <w:snapToGrid w:val="0"/>
        <w:spacing w:line="580" w:lineRule="exact"/>
        <w:contextualSpacing/>
        <w:jc w:val="left"/>
        <w:rPr>
          <w:rFonts w:ascii="仿宋_GB2312" w:cs="宋体"/>
          <w:color w:val="000000"/>
          <w:kern w:val="0"/>
          <w:szCs w:val="32"/>
          <w:shd w:val="clear" w:color="auto" w:fill="FFFFFF"/>
        </w:rPr>
      </w:pPr>
    </w:p>
    <w:p>
      <w:pPr>
        <w:pStyle w:val="3"/>
        <w:jc w:val="center"/>
        <w:rPr>
          <w:rFonts w:ascii="黑体" w:hAnsi="黑体" w:eastAsia="黑体" w:cs="黑体"/>
        </w:rPr>
      </w:pPr>
      <w:bookmarkStart w:id="74" w:name="_Toc111208512"/>
      <w:bookmarkStart w:id="75" w:name="_Toc79163635"/>
      <w:bookmarkStart w:id="76" w:name="_Toc113981025"/>
      <w:bookmarkStart w:id="77" w:name="_Toc79163885"/>
      <w:r>
        <w:rPr>
          <w:rFonts w:hint="eastAsia" w:ascii="黑体" w:hAnsi="黑体" w:eastAsia="黑体" w:cs="黑体"/>
        </w:rPr>
        <w:t>第五部分 附表</w:t>
      </w:r>
      <w:bookmarkEnd w:id="74"/>
      <w:bookmarkEnd w:id="75"/>
      <w:bookmarkEnd w:id="76"/>
      <w:bookmarkEnd w:id="77"/>
    </w:p>
    <w:p>
      <w:pPr>
        <w:pStyle w:val="4"/>
        <w:ind w:firstLine="642" w:firstLineChars="200"/>
        <w:rPr>
          <w:rFonts w:ascii="黑体" w:eastAsia="黑体" w:cs="Times New Roman"/>
          <w:bCs w:val="0"/>
          <w:color w:val="000000"/>
        </w:rPr>
      </w:pPr>
      <w:bookmarkStart w:id="78" w:name="_Toc79163886"/>
      <w:bookmarkStart w:id="79" w:name="_Toc113981026"/>
      <w:bookmarkStart w:id="80" w:name="_Toc111208513"/>
      <w:bookmarkStart w:id="81" w:name="_Toc79163636"/>
      <w:r>
        <w:rPr>
          <w:rFonts w:hint="eastAsia" w:ascii="黑体" w:eastAsia="黑体" w:cs="Times New Roman"/>
          <w:bCs w:val="0"/>
          <w:color w:val="000000"/>
        </w:rPr>
        <w:t>一、收入支出决算总表</w:t>
      </w:r>
      <w:bookmarkEnd w:id="78"/>
      <w:bookmarkEnd w:id="79"/>
      <w:bookmarkEnd w:id="80"/>
      <w:bookmarkEnd w:id="81"/>
    </w:p>
    <w:p>
      <w:pPr>
        <w:pStyle w:val="4"/>
        <w:ind w:firstLine="642" w:firstLineChars="200"/>
        <w:rPr>
          <w:rFonts w:ascii="黑体" w:eastAsia="黑体" w:cs="Times New Roman"/>
          <w:bCs w:val="0"/>
          <w:color w:val="000000"/>
        </w:rPr>
      </w:pPr>
      <w:bookmarkStart w:id="82" w:name="_Toc113981027"/>
      <w:bookmarkStart w:id="83" w:name="_Toc111208514"/>
      <w:bookmarkStart w:id="84" w:name="_Toc79163887"/>
      <w:bookmarkStart w:id="85" w:name="_Toc79163637"/>
      <w:r>
        <w:rPr>
          <w:rFonts w:hint="eastAsia" w:ascii="黑体" w:eastAsia="黑体" w:cs="Times New Roman"/>
          <w:bCs w:val="0"/>
          <w:color w:val="000000"/>
        </w:rPr>
        <w:t>二、收入决算表</w:t>
      </w:r>
      <w:bookmarkEnd w:id="82"/>
      <w:bookmarkEnd w:id="83"/>
      <w:bookmarkEnd w:id="84"/>
      <w:bookmarkEnd w:id="85"/>
    </w:p>
    <w:p>
      <w:pPr>
        <w:pStyle w:val="4"/>
        <w:ind w:firstLine="642" w:firstLineChars="200"/>
        <w:rPr>
          <w:rFonts w:ascii="黑体" w:eastAsia="黑体" w:cs="Times New Roman"/>
          <w:b w:val="0"/>
          <w:color w:val="000000"/>
        </w:rPr>
      </w:pPr>
      <w:bookmarkStart w:id="86" w:name="_Toc79163888"/>
      <w:bookmarkStart w:id="87" w:name="_Toc111208515"/>
      <w:bookmarkStart w:id="88" w:name="_Toc79163638"/>
      <w:bookmarkStart w:id="89" w:name="_Toc113981028"/>
      <w:r>
        <w:rPr>
          <w:rFonts w:hint="eastAsia" w:ascii="黑体" w:eastAsia="黑体" w:cs="Times New Roman"/>
          <w:bCs w:val="0"/>
          <w:color w:val="000000"/>
        </w:rPr>
        <w:t>三、支出决算表</w:t>
      </w:r>
      <w:bookmarkEnd w:id="86"/>
      <w:bookmarkEnd w:id="87"/>
      <w:bookmarkEnd w:id="88"/>
      <w:bookmarkEnd w:id="89"/>
    </w:p>
    <w:p>
      <w:pPr>
        <w:pStyle w:val="4"/>
        <w:ind w:firstLine="642" w:firstLineChars="200"/>
        <w:rPr>
          <w:rFonts w:ascii="黑体" w:eastAsia="黑体" w:cs="Times New Roman"/>
          <w:bCs w:val="0"/>
          <w:color w:val="000000"/>
        </w:rPr>
      </w:pPr>
      <w:bookmarkStart w:id="90" w:name="_Toc113981029"/>
      <w:bookmarkStart w:id="91" w:name="_Toc111208516"/>
      <w:bookmarkStart w:id="92" w:name="_Toc79163639"/>
      <w:bookmarkStart w:id="93" w:name="_Toc79163889"/>
      <w:r>
        <w:rPr>
          <w:rFonts w:hint="eastAsia" w:ascii="黑体" w:eastAsia="黑体" w:cs="Times New Roman"/>
          <w:bCs w:val="0"/>
          <w:color w:val="000000"/>
        </w:rPr>
        <w:t>四、财政拨款收入支出决算总表</w:t>
      </w:r>
      <w:bookmarkEnd w:id="90"/>
      <w:bookmarkEnd w:id="91"/>
      <w:bookmarkEnd w:id="92"/>
      <w:bookmarkEnd w:id="93"/>
    </w:p>
    <w:p>
      <w:pPr>
        <w:pStyle w:val="4"/>
        <w:ind w:firstLine="642" w:firstLineChars="200"/>
        <w:rPr>
          <w:rFonts w:ascii="黑体" w:eastAsia="黑体" w:cs="Times New Roman"/>
          <w:bCs w:val="0"/>
          <w:color w:val="000000"/>
        </w:rPr>
      </w:pPr>
      <w:bookmarkStart w:id="94" w:name="_Toc111208517"/>
      <w:bookmarkStart w:id="95" w:name="_Toc113981030"/>
      <w:bookmarkStart w:id="96" w:name="_Toc79163640"/>
      <w:bookmarkStart w:id="97" w:name="_Toc79163890"/>
      <w:r>
        <w:rPr>
          <w:rFonts w:hint="eastAsia" w:ascii="黑体" w:eastAsia="黑体" w:cs="Times New Roman"/>
          <w:bCs w:val="0"/>
          <w:color w:val="000000"/>
        </w:rPr>
        <w:t>五、财政拨款支出决算明细表</w:t>
      </w:r>
      <w:bookmarkEnd w:id="94"/>
      <w:bookmarkEnd w:id="95"/>
      <w:bookmarkEnd w:id="96"/>
      <w:bookmarkEnd w:id="97"/>
    </w:p>
    <w:p>
      <w:pPr>
        <w:pStyle w:val="4"/>
        <w:ind w:firstLine="642" w:firstLineChars="200"/>
        <w:rPr>
          <w:rFonts w:ascii="黑体" w:eastAsia="黑体" w:cs="Times New Roman"/>
          <w:bCs w:val="0"/>
          <w:color w:val="000000"/>
        </w:rPr>
      </w:pPr>
      <w:bookmarkStart w:id="98" w:name="_Toc113981031"/>
      <w:bookmarkStart w:id="99" w:name="_Toc79163891"/>
      <w:bookmarkStart w:id="100" w:name="_Toc79163641"/>
      <w:bookmarkStart w:id="101" w:name="_Toc111208518"/>
      <w:r>
        <w:rPr>
          <w:rFonts w:hint="eastAsia" w:ascii="黑体" w:eastAsia="黑体" w:cs="Times New Roman"/>
          <w:bCs w:val="0"/>
          <w:color w:val="000000"/>
        </w:rPr>
        <w:t>六、一般公共预算财政拨款支出决算表</w:t>
      </w:r>
      <w:bookmarkEnd w:id="98"/>
      <w:bookmarkEnd w:id="99"/>
      <w:bookmarkEnd w:id="100"/>
      <w:bookmarkEnd w:id="101"/>
    </w:p>
    <w:p>
      <w:pPr>
        <w:pStyle w:val="4"/>
        <w:ind w:firstLine="642" w:firstLineChars="200"/>
        <w:rPr>
          <w:rFonts w:ascii="黑体" w:eastAsia="黑体" w:cs="Times New Roman"/>
          <w:bCs w:val="0"/>
          <w:color w:val="000000"/>
        </w:rPr>
      </w:pPr>
      <w:bookmarkStart w:id="102" w:name="_Toc113981032"/>
      <w:bookmarkStart w:id="103" w:name="_Toc111208519"/>
      <w:bookmarkStart w:id="104" w:name="_Toc79163892"/>
      <w:bookmarkStart w:id="105" w:name="_Toc79163642"/>
      <w:r>
        <w:rPr>
          <w:rFonts w:hint="eastAsia" w:ascii="黑体" w:eastAsia="黑体" w:cs="Times New Roman"/>
          <w:bCs w:val="0"/>
          <w:color w:val="000000"/>
        </w:rPr>
        <w:t>七、一般公共预算财政拨款支出决算明细表</w:t>
      </w:r>
      <w:bookmarkEnd w:id="102"/>
      <w:bookmarkEnd w:id="103"/>
      <w:bookmarkEnd w:id="104"/>
      <w:bookmarkEnd w:id="105"/>
    </w:p>
    <w:p>
      <w:pPr>
        <w:pStyle w:val="4"/>
        <w:ind w:firstLine="642" w:firstLineChars="200"/>
        <w:rPr>
          <w:rFonts w:ascii="黑体" w:eastAsia="黑体" w:cs="Times New Roman"/>
          <w:bCs w:val="0"/>
          <w:color w:val="000000"/>
        </w:rPr>
      </w:pPr>
      <w:bookmarkStart w:id="106" w:name="_Toc111208520"/>
      <w:bookmarkStart w:id="107" w:name="_Toc79163643"/>
      <w:bookmarkStart w:id="108" w:name="_Toc113981033"/>
      <w:bookmarkStart w:id="109" w:name="_Toc79163893"/>
      <w:r>
        <w:rPr>
          <w:rFonts w:hint="eastAsia" w:ascii="黑体" w:eastAsia="黑体" w:cs="Times New Roman"/>
          <w:bCs w:val="0"/>
          <w:color w:val="000000"/>
        </w:rPr>
        <w:t>八、一般公共预算财政拨款基本支出决算表</w:t>
      </w:r>
      <w:bookmarkEnd w:id="106"/>
      <w:bookmarkEnd w:id="107"/>
      <w:bookmarkEnd w:id="108"/>
      <w:bookmarkEnd w:id="109"/>
    </w:p>
    <w:p>
      <w:pPr>
        <w:pStyle w:val="4"/>
        <w:ind w:firstLine="642" w:firstLineChars="200"/>
        <w:rPr>
          <w:rFonts w:ascii="黑体" w:eastAsia="黑体" w:cs="Times New Roman"/>
          <w:bCs w:val="0"/>
          <w:color w:val="000000"/>
        </w:rPr>
      </w:pPr>
      <w:bookmarkStart w:id="110" w:name="_Toc113981034"/>
      <w:bookmarkStart w:id="111" w:name="_Toc79163644"/>
      <w:bookmarkStart w:id="112" w:name="_Toc111208521"/>
      <w:bookmarkStart w:id="113" w:name="_Toc79163894"/>
      <w:r>
        <w:rPr>
          <w:rFonts w:hint="eastAsia" w:ascii="黑体" w:eastAsia="黑体" w:cs="Times New Roman"/>
          <w:bCs w:val="0"/>
          <w:color w:val="000000"/>
        </w:rPr>
        <w:t>九、一般公共预算财政拨款项目支出决算表</w:t>
      </w:r>
      <w:bookmarkEnd w:id="110"/>
      <w:bookmarkEnd w:id="111"/>
      <w:bookmarkEnd w:id="112"/>
      <w:bookmarkEnd w:id="113"/>
    </w:p>
    <w:p>
      <w:pPr>
        <w:pStyle w:val="4"/>
        <w:ind w:firstLine="642" w:firstLineChars="200"/>
        <w:rPr>
          <w:rFonts w:ascii="黑体" w:eastAsia="黑体" w:cs="Times New Roman"/>
          <w:bCs w:val="0"/>
          <w:color w:val="000000"/>
        </w:rPr>
      </w:pPr>
      <w:bookmarkStart w:id="114" w:name="_Toc111208522"/>
      <w:bookmarkStart w:id="115" w:name="_Toc113981035"/>
      <w:bookmarkStart w:id="116" w:name="_Toc79163645"/>
      <w:bookmarkStart w:id="117" w:name="_Toc79163895"/>
      <w:r>
        <w:rPr>
          <w:rFonts w:hint="eastAsia" w:ascii="黑体" w:eastAsia="黑体" w:cs="Times New Roman"/>
          <w:bCs w:val="0"/>
          <w:color w:val="000000"/>
        </w:rPr>
        <w:t>十、一般公共预算财政拨款“三公”经费支出决算表</w:t>
      </w:r>
      <w:bookmarkEnd w:id="114"/>
      <w:bookmarkEnd w:id="115"/>
      <w:bookmarkEnd w:id="116"/>
      <w:bookmarkEnd w:id="117"/>
    </w:p>
    <w:p>
      <w:pPr>
        <w:pStyle w:val="4"/>
        <w:ind w:firstLine="642" w:firstLineChars="200"/>
        <w:rPr>
          <w:rFonts w:ascii="黑体" w:eastAsia="黑体" w:cs="Times New Roman"/>
          <w:bCs w:val="0"/>
          <w:color w:val="000000"/>
        </w:rPr>
      </w:pPr>
      <w:bookmarkStart w:id="118" w:name="_Toc111208523"/>
      <w:bookmarkStart w:id="119" w:name="_Toc113981036"/>
      <w:bookmarkStart w:id="120" w:name="_Toc79163646"/>
      <w:bookmarkStart w:id="121" w:name="_Toc79163896"/>
      <w:r>
        <w:rPr>
          <w:rFonts w:hint="eastAsia" w:ascii="黑体" w:eastAsia="黑体" w:cs="Times New Roman"/>
          <w:bCs w:val="0"/>
          <w:color w:val="000000"/>
        </w:rPr>
        <w:t>十一、政府性基金预算财政拨款收入支出决算表</w:t>
      </w:r>
      <w:bookmarkEnd w:id="118"/>
      <w:bookmarkEnd w:id="119"/>
      <w:bookmarkEnd w:id="120"/>
      <w:bookmarkEnd w:id="121"/>
    </w:p>
    <w:p>
      <w:pPr>
        <w:pStyle w:val="4"/>
        <w:ind w:firstLine="642" w:firstLineChars="200"/>
        <w:rPr>
          <w:rFonts w:ascii="黑体" w:eastAsia="黑体" w:cs="Times New Roman"/>
          <w:bCs w:val="0"/>
          <w:color w:val="000000"/>
        </w:rPr>
      </w:pPr>
      <w:bookmarkStart w:id="122" w:name="_Toc111208524"/>
      <w:bookmarkStart w:id="123" w:name="_Toc79163897"/>
      <w:bookmarkStart w:id="124" w:name="_Toc113981037"/>
      <w:bookmarkStart w:id="125" w:name="_Toc79163647"/>
      <w:r>
        <w:rPr>
          <w:rFonts w:hint="eastAsia" w:ascii="黑体" w:eastAsia="黑体" w:cs="Times New Roman"/>
          <w:bCs w:val="0"/>
          <w:color w:val="000000"/>
        </w:rPr>
        <w:t>十二、政府性基金预算财政拨款“三公”经费支出决算表</w:t>
      </w:r>
      <w:bookmarkEnd w:id="122"/>
      <w:bookmarkEnd w:id="123"/>
      <w:bookmarkEnd w:id="124"/>
      <w:bookmarkEnd w:id="125"/>
    </w:p>
    <w:p>
      <w:pPr>
        <w:pStyle w:val="4"/>
        <w:ind w:firstLine="642" w:firstLineChars="200"/>
        <w:rPr>
          <w:rFonts w:ascii="黑体" w:eastAsia="黑体" w:cs="Times New Roman"/>
          <w:bCs w:val="0"/>
          <w:color w:val="000000"/>
        </w:rPr>
      </w:pPr>
      <w:bookmarkStart w:id="126" w:name="_Toc79163648"/>
      <w:bookmarkStart w:id="127" w:name="_Toc79163898"/>
      <w:bookmarkStart w:id="128" w:name="_Toc111208525"/>
      <w:bookmarkStart w:id="129" w:name="_Toc113981038"/>
      <w:r>
        <w:rPr>
          <w:rFonts w:hint="eastAsia" w:ascii="黑体" w:eastAsia="黑体" w:cs="Times New Roman"/>
          <w:bCs w:val="0"/>
          <w:color w:val="000000"/>
        </w:rPr>
        <w:t>十三、</w:t>
      </w:r>
      <w:bookmarkEnd w:id="126"/>
      <w:bookmarkEnd w:id="127"/>
      <w:r>
        <w:rPr>
          <w:rFonts w:hint="eastAsia" w:ascii="黑体" w:eastAsia="黑体" w:cs="Times New Roman"/>
          <w:bCs w:val="0"/>
          <w:color w:val="000000"/>
        </w:rPr>
        <w:t>国有资本经营预算财政拨款收入支出决算表</w:t>
      </w:r>
      <w:bookmarkEnd w:id="128"/>
      <w:bookmarkEnd w:id="129"/>
    </w:p>
    <w:p>
      <w:pPr>
        <w:pStyle w:val="4"/>
        <w:ind w:firstLine="642" w:firstLineChars="200"/>
        <w:rPr>
          <w:rFonts w:ascii="黑体" w:eastAsia="黑体" w:cs="Times New Roman"/>
          <w:b w:val="0"/>
          <w:color w:val="000000"/>
        </w:rPr>
      </w:pPr>
      <w:bookmarkStart w:id="130" w:name="_Toc111208526"/>
      <w:bookmarkStart w:id="131" w:name="_Toc113981039"/>
      <w:r>
        <w:rPr>
          <w:rFonts w:hint="eastAsia" w:ascii="黑体" w:eastAsia="黑体" w:cs="Times New Roman"/>
          <w:bCs w:val="0"/>
          <w:color w:val="000000"/>
        </w:rPr>
        <w:t>十四、国有资本经营预算财政拨款支出决算表</w:t>
      </w:r>
      <w:bookmarkEnd w:id="130"/>
      <w:bookmarkEnd w:id="13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仿宋_GB2312"/>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3"/>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NTRmNjMxNjEyNWQ4ZDlkOGY5YmIzYjYyMjE4NDAifQ=="/>
  </w:docVars>
  <w:rsids>
    <w:rsidRoot w:val="00F1361C"/>
    <w:rsid w:val="000000BC"/>
    <w:rsid w:val="00000665"/>
    <w:rsid w:val="00000B38"/>
    <w:rsid w:val="000015A2"/>
    <w:rsid w:val="00003E5B"/>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213E"/>
    <w:rsid w:val="001544D9"/>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5CF3"/>
    <w:rsid w:val="001A63BB"/>
    <w:rsid w:val="001B1840"/>
    <w:rsid w:val="001B1FA9"/>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496"/>
    <w:rsid w:val="00283D63"/>
    <w:rsid w:val="002856F9"/>
    <w:rsid w:val="002866CA"/>
    <w:rsid w:val="00286C21"/>
    <w:rsid w:val="002875BF"/>
    <w:rsid w:val="0029076F"/>
    <w:rsid w:val="0029094E"/>
    <w:rsid w:val="00291DC2"/>
    <w:rsid w:val="00292626"/>
    <w:rsid w:val="00292E6B"/>
    <w:rsid w:val="00295495"/>
    <w:rsid w:val="002A0D55"/>
    <w:rsid w:val="002A0E88"/>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5025"/>
    <w:rsid w:val="00386455"/>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23A"/>
    <w:rsid w:val="00460A67"/>
    <w:rsid w:val="00461A98"/>
    <w:rsid w:val="00462B33"/>
    <w:rsid w:val="0046346E"/>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2FDA"/>
    <w:rsid w:val="00513ED7"/>
    <w:rsid w:val="0051467D"/>
    <w:rsid w:val="00520DA0"/>
    <w:rsid w:val="005225FC"/>
    <w:rsid w:val="00524AC4"/>
    <w:rsid w:val="0052729E"/>
    <w:rsid w:val="0052733D"/>
    <w:rsid w:val="00530E19"/>
    <w:rsid w:val="00530F71"/>
    <w:rsid w:val="005322EB"/>
    <w:rsid w:val="0053459C"/>
    <w:rsid w:val="00550726"/>
    <w:rsid w:val="0055106D"/>
    <w:rsid w:val="005559A4"/>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2830"/>
    <w:rsid w:val="006256DB"/>
    <w:rsid w:val="00630AEF"/>
    <w:rsid w:val="006325F8"/>
    <w:rsid w:val="00633AE4"/>
    <w:rsid w:val="006348B1"/>
    <w:rsid w:val="00634C9A"/>
    <w:rsid w:val="00635FC7"/>
    <w:rsid w:val="00636040"/>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471C"/>
    <w:rsid w:val="006B533E"/>
    <w:rsid w:val="006C1937"/>
    <w:rsid w:val="006C397F"/>
    <w:rsid w:val="006C6427"/>
    <w:rsid w:val="006C76DB"/>
    <w:rsid w:val="006D1F0B"/>
    <w:rsid w:val="006D42C6"/>
    <w:rsid w:val="006E0081"/>
    <w:rsid w:val="006E3700"/>
    <w:rsid w:val="006E6C66"/>
    <w:rsid w:val="006F020C"/>
    <w:rsid w:val="006F3DF7"/>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182A"/>
    <w:rsid w:val="00763BC1"/>
    <w:rsid w:val="0076499D"/>
    <w:rsid w:val="007656DB"/>
    <w:rsid w:val="007676D8"/>
    <w:rsid w:val="00767A7D"/>
    <w:rsid w:val="00767B7E"/>
    <w:rsid w:val="00767BE6"/>
    <w:rsid w:val="00775A39"/>
    <w:rsid w:val="00776900"/>
    <w:rsid w:val="007770C3"/>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A58"/>
    <w:rsid w:val="008918AA"/>
    <w:rsid w:val="008918C9"/>
    <w:rsid w:val="008939CD"/>
    <w:rsid w:val="00893E7C"/>
    <w:rsid w:val="00895862"/>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AED"/>
    <w:rsid w:val="00BA22CD"/>
    <w:rsid w:val="00BA3028"/>
    <w:rsid w:val="00BA3356"/>
    <w:rsid w:val="00BA49E7"/>
    <w:rsid w:val="00BA5298"/>
    <w:rsid w:val="00BB1990"/>
    <w:rsid w:val="00BB2D7E"/>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955"/>
    <w:rsid w:val="00C77D1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8058B"/>
    <w:rsid w:val="00D811F1"/>
    <w:rsid w:val="00D81CF0"/>
    <w:rsid w:val="00D86259"/>
    <w:rsid w:val="00D9128F"/>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3F359AA"/>
    <w:rsid w:val="0463543B"/>
    <w:rsid w:val="04A56E6E"/>
    <w:rsid w:val="051A6F96"/>
    <w:rsid w:val="06951176"/>
    <w:rsid w:val="07001BE1"/>
    <w:rsid w:val="07267DE7"/>
    <w:rsid w:val="089C4B49"/>
    <w:rsid w:val="09081517"/>
    <w:rsid w:val="091B747D"/>
    <w:rsid w:val="0A19737C"/>
    <w:rsid w:val="0B7218AA"/>
    <w:rsid w:val="0B99373B"/>
    <w:rsid w:val="0BA37CB5"/>
    <w:rsid w:val="0D0429D6"/>
    <w:rsid w:val="0D093B48"/>
    <w:rsid w:val="0D322E51"/>
    <w:rsid w:val="0D6C338E"/>
    <w:rsid w:val="0DB37F58"/>
    <w:rsid w:val="0F5E6610"/>
    <w:rsid w:val="10C055FF"/>
    <w:rsid w:val="11D56DF6"/>
    <w:rsid w:val="11ED6591"/>
    <w:rsid w:val="13367661"/>
    <w:rsid w:val="137479A2"/>
    <w:rsid w:val="16BB723D"/>
    <w:rsid w:val="17BC7656"/>
    <w:rsid w:val="17EA348C"/>
    <w:rsid w:val="1840212F"/>
    <w:rsid w:val="19943114"/>
    <w:rsid w:val="1AB026BC"/>
    <w:rsid w:val="1ABB32B6"/>
    <w:rsid w:val="1BF70747"/>
    <w:rsid w:val="1C06153F"/>
    <w:rsid w:val="1C986C96"/>
    <w:rsid w:val="1D7371C3"/>
    <w:rsid w:val="1DDC2BB3"/>
    <w:rsid w:val="1E34479D"/>
    <w:rsid w:val="1EF81F78"/>
    <w:rsid w:val="1F620905"/>
    <w:rsid w:val="201A6AB0"/>
    <w:rsid w:val="203B66A0"/>
    <w:rsid w:val="211A679A"/>
    <w:rsid w:val="22FC79B9"/>
    <w:rsid w:val="23902475"/>
    <w:rsid w:val="240371BF"/>
    <w:rsid w:val="2435534E"/>
    <w:rsid w:val="24534F10"/>
    <w:rsid w:val="24DF6C66"/>
    <w:rsid w:val="253D03DB"/>
    <w:rsid w:val="25A20B86"/>
    <w:rsid w:val="25B1070F"/>
    <w:rsid w:val="25DD571A"/>
    <w:rsid w:val="265C1D1F"/>
    <w:rsid w:val="26BB36DB"/>
    <w:rsid w:val="271C5A93"/>
    <w:rsid w:val="276F1834"/>
    <w:rsid w:val="27B459F9"/>
    <w:rsid w:val="27C51E91"/>
    <w:rsid w:val="28513369"/>
    <w:rsid w:val="28BF6D42"/>
    <w:rsid w:val="29FD04D3"/>
    <w:rsid w:val="2CAE1BBE"/>
    <w:rsid w:val="2CCF04B2"/>
    <w:rsid w:val="2E4C04E0"/>
    <w:rsid w:val="2F803D16"/>
    <w:rsid w:val="31810DA9"/>
    <w:rsid w:val="31903F88"/>
    <w:rsid w:val="319F7F4E"/>
    <w:rsid w:val="329448A6"/>
    <w:rsid w:val="32F45598"/>
    <w:rsid w:val="35244754"/>
    <w:rsid w:val="364D41F6"/>
    <w:rsid w:val="36FD0156"/>
    <w:rsid w:val="38F8371D"/>
    <w:rsid w:val="39226F5F"/>
    <w:rsid w:val="39902098"/>
    <w:rsid w:val="3A3A0F35"/>
    <w:rsid w:val="3A4E1148"/>
    <w:rsid w:val="3C8D2F9D"/>
    <w:rsid w:val="3CE0510E"/>
    <w:rsid w:val="3D1E4B3E"/>
    <w:rsid w:val="3DBDAEBC"/>
    <w:rsid w:val="3E03620E"/>
    <w:rsid w:val="3E343C22"/>
    <w:rsid w:val="3F512FA9"/>
    <w:rsid w:val="3FAC4683"/>
    <w:rsid w:val="3FEA5DFB"/>
    <w:rsid w:val="401C35B7"/>
    <w:rsid w:val="4119235A"/>
    <w:rsid w:val="41677310"/>
    <w:rsid w:val="422C2C46"/>
    <w:rsid w:val="4251506E"/>
    <w:rsid w:val="43684120"/>
    <w:rsid w:val="444F07DA"/>
    <w:rsid w:val="44601E28"/>
    <w:rsid w:val="475E72DC"/>
    <w:rsid w:val="47F514AF"/>
    <w:rsid w:val="4839282C"/>
    <w:rsid w:val="48FD75BD"/>
    <w:rsid w:val="4A745623"/>
    <w:rsid w:val="4D135D42"/>
    <w:rsid w:val="4D846266"/>
    <w:rsid w:val="4D8D78A2"/>
    <w:rsid w:val="4DF123A8"/>
    <w:rsid w:val="4E832A53"/>
    <w:rsid w:val="4F6F7A34"/>
    <w:rsid w:val="4FD74194"/>
    <w:rsid w:val="4FDA49F5"/>
    <w:rsid w:val="50AE413E"/>
    <w:rsid w:val="51E1640E"/>
    <w:rsid w:val="51EE42CA"/>
    <w:rsid w:val="52302EF2"/>
    <w:rsid w:val="52ED6284"/>
    <w:rsid w:val="5322283B"/>
    <w:rsid w:val="532B0C13"/>
    <w:rsid w:val="53BE2B80"/>
    <w:rsid w:val="541505F1"/>
    <w:rsid w:val="54992FD0"/>
    <w:rsid w:val="55872E29"/>
    <w:rsid w:val="56D0674C"/>
    <w:rsid w:val="58BA52C3"/>
    <w:rsid w:val="59E11CD3"/>
    <w:rsid w:val="5BE202EA"/>
    <w:rsid w:val="5CFA7F1D"/>
    <w:rsid w:val="5E2506F8"/>
    <w:rsid w:val="5EA316D6"/>
    <w:rsid w:val="5F3A07D2"/>
    <w:rsid w:val="5F593A88"/>
    <w:rsid w:val="5FC042B2"/>
    <w:rsid w:val="60651EAC"/>
    <w:rsid w:val="60BB3927"/>
    <w:rsid w:val="62A42EE2"/>
    <w:rsid w:val="630D013F"/>
    <w:rsid w:val="63347FC4"/>
    <w:rsid w:val="63604CB9"/>
    <w:rsid w:val="64A36D0B"/>
    <w:rsid w:val="64C656C1"/>
    <w:rsid w:val="65DF63C9"/>
    <w:rsid w:val="662A7F2C"/>
    <w:rsid w:val="68DA2DB6"/>
    <w:rsid w:val="69725134"/>
    <w:rsid w:val="6B4666B6"/>
    <w:rsid w:val="6CC85DA9"/>
    <w:rsid w:val="6D8F2D6B"/>
    <w:rsid w:val="6DC31436"/>
    <w:rsid w:val="6ECB49CF"/>
    <w:rsid w:val="6ECB5A2B"/>
    <w:rsid w:val="70202A42"/>
    <w:rsid w:val="72227D09"/>
    <w:rsid w:val="72E476B5"/>
    <w:rsid w:val="73BE3A62"/>
    <w:rsid w:val="746C7E4B"/>
    <w:rsid w:val="750E6C6B"/>
    <w:rsid w:val="755E374E"/>
    <w:rsid w:val="76377F56"/>
    <w:rsid w:val="764B35A7"/>
    <w:rsid w:val="78A4106B"/>
    <w:rsid w:val="79975481"/>
    <w:rsid w:val="7A1B4027"/>
    <w:rsid w:val="7A965738"/>
    <w:rsid w:val="7ABC1C9C"/>
    <w:rsid w:val="7B022DCE"/>
    <w:rsid w:val="7B272834"/>
    <w:rsid w:val="7B8F71DF"/>
    <w:rsid w:val="7CB2612E"/>
    <w:rsid w:val="7CC25607"/>
    <w:rsid w:val="7DE859ED"/>
    <w:rsid w:val="7E4C610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680"/>
    </w:pPr>
  </w:style>
  <w:style w:type="paragraph" w:styleId="6">
    <w:name w:val="annotation text"/>
    <w:basedOn w:val="1"/>
    <w:semiHidden/>
    <w:unhideWhenUsed/>
    <w:qFormat/>
    <w:uiPriority w:val="99"/>
    <w:pPr>
      <w:jc w:val="left"/>
    </w:p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styleId="19">
    <w:name w:val="annotation reference"/>
    <w:basedOn w:val="16"/>
    <w:semiHidden/>
    <w:unhideWhenUsed/>
    <w:qFormat/>
    <w:uiPriority w:val="99"/>
    <w:rPr>
      <w:sz w:val="21"/>
      <w:szCs w:val="21"/>
    </w:r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字符"/>
    <w:link w:val="7"/>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Normal6302c9fd"/>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4">
    <w:name w:val="heading 1d07a5403"/>
    <w:basedOn w:val="33"/>
    <w:next w:val="3"/>
    <w:qFormat/>
    <w:uiPriority w:val="0"/>
    <w:pPr>
      <w:keepNext/>
      <w:keepLines/>
      <w:widowControl w:val="0"/>
      <w:spacing w:before="340" w:after="330" w:line="578" w:lineRule="auto"/>
      <w:outlineLvl w:val="0"/>
    </w:pPr>
    <w:rPr>
      <w:b/>
      <w:bCs/>
      <w:kern w:val="44"/>
      <w:sz w:val="44"/>
    </w:rPr>
  </w:style>
  <w:style w:type="paragraph" w:customStyle="1" w:styleId="35">
    <w:name w:val="heading 20a2cc931"/>
    <w:basedOn w:val="33"/>
    <w:next w:val="3"/>
    <w:qFormat/>
    <w:uiPriority w:val="0"/>
    <w:pPr>
      <w:keepNext/>
      <w:keepLines/>
      <w:widowControl w:val="0"/>
      <w:spacing w:before="260" w:after="260" w:line="415" w:lineRule="auto"/>
      <w:outlineLvl w:val="1"/>
    </w:pPr>
    <w:rPr>
      <w:rFonts w:ascii="Times New Roman" w:hAnsi="Times New Roman" w:eastAsia="黑体"/>
      <w:b/>
      <w:sz w:val="32"/>
    </w:rPr>
  </w:style>
  <w:style w:type="paragraph" w:customStyle="1" w:styleId="36">
    <w:name w:val="heading 34"/>
    <w:basedOn w:val="33"/>
    <w:next w:val="3"/>
    <w:qFormat/>
    <w:uiPriority w:val="0"/>
    <w:pPr>
      <w:keepNext/>
      <w:keepLines/>
      <w:widowControl w:val="0"/>
      <w:spacing w:before="260" w:after="260" w:line="415" w:lineRule="auto"/>
      <w:outlineLvl w:val="2"/>
    </w:pPr>
    <w:rPr>
      <w:b/>
      <w:sz w:val="32"/>
    </w:rPr>
  </w:style>
  <w:style w:type="character" w:customStyle="1" w:styleId="37">
    <w:name w:val="Default Paragraph Font11"/>
    <w:qFormat/>
    <w:uiPriority w:val="0"/>
  </w:style>
  <w:style w:type="table" w:customStyle="1" w:styleId="38">
    <w:name w:val="Normal Tablea1b294c2"/>
    <w:semiHidden/>
    <w:qFormat/>
    <w:uiPriority w:val="0"/>
    <w:tblPr>
      <w:tblCellMar>
        <w:top w:w="0" w:type="dxa"/>
        <w:left w:w="108" w:type="dxa"/>
        <w:bottom w:w="0" w:type="dxa"/>
        <w:right w:w="108" w:type="dxa"/>
      </w:tblCellMar>
    </w:tblPr>
  </w:style>
  <w:style w:type="paragraph" w:customStyle="1" w:styleId="39">
    <w:name w:val="Document Map5"/>
    <w:basedOn w:val="33"/>
    <w:qFormat/>
    <w:uiPriority w:val="0"/>
    <w:rPr>
      <w:rFonts w:ascii="宋体" w:eastAsia="宋体"/>
      <w:sz w:val="18"/>
      <w:szCs w:val="18"/>
    </w:rPr>
  </w:style>
  <w:style w:type="paragraph" w:customStyle="1" w:styleId="40">
    <w:name w:val="index 66"/>
    <w:basedOn w:val="33"/>
    <w:next w:val="3"/>
    <w:qFormat/>
    <w:uiPriority w:val="0"/>
    <w:pPr>
      <w:ind w:left="2100"/>
    </w:pPr>
  </w:style>
  <w:style w:type="paragraph" w:customStyle="1" w:styleId="41">
    <w:name w:val="Balloon Text7"/>
    <w:basedOn w:val="33"/>
    <w:qFormat/>
    <w:uiPriority w:val="0"/>
    <w:rPr>
      <w:sz w:val="18"/>
      <w:szCs w:val="18"/>
    </w:rPr>
  </w:style>
  <w:style w:type="paragraph" w:customStyle="1" w:styleId="42">
    <w:name w:val="footer8"/>
    <w:basedOn w:val="33"/>
    <w:qFormat/>
    <w:uiPriority w:val="0"/>
    <w:pPr>
      <w:tabs>
        <w:tab w:val="center" w:pos="4153"/>
        <w:tab w:val="right" w:pos="8306"/>
      </w:tabs>
      <w:snapToGrid w:val="0"/>
      <w:jc w:val="left"/>
    </w:pPr>
    <w:rPr>
      <w:rFonts w:eastAsia="宋体"/>
      <w:sz w:val="18"/>
      <w:szCs w:val="18"/>
    </w:rPr>
  </w:style>
  <w:style w:type="paragraph" w:customStyle="1" w:styleId="43">
    <w:name w:val="header9"/>
    <w:basedOn w:val="33"/>
    <w:qFormat/>
    <w:uiPriority w:val="0"/>
    <w:pPr>
      <w:pBdr>
        <w:bottom w:val="single" w:color="auto" w:sz="6" w:space="1"/>
      </w:pBdr>
      <w:tabs>
        <w:tab w:val="center" w:pos="4153"/>
        <w:tab w:val="right" w:pos="8306"/>
      </w:tabs>
      <w:snapToGrid w:val="0"/>
      <w:jc w:val="center"/>
    </w:pPr>
    <w:rPr>
      <w:rFonts w:eastAsia="宋体"/>
      <w:sz w:val="18"/>
      <w:szCs w:val="18"/>
    </w:rPr>
  </w:style>
  <w:style w:type="character" w:customStyle="1" w:styleId="44">
    <w:name w:val="page number12"/>
    <w:basedOn w:val="37"/>
    <w:qFormat/>
    <w:uiPriority w:val="0"/>
  </w:style>
  <w:style w:type="paragraph" w:customStyle="1" w:styleId="45">
    <w:name w:val="四号正文13"/>
    <w:basedOn w:val="33"/>
    <w:qFormat/>
    <w:uiPriority w:val="0"/>
    <w:pPr>
      <w:spacing w:line="360" w:lineRule="auto"/>
    </w:pPr>
    <w:rPr>
      <w:rFonts w:ascii="??" w:hAnsi="??" w:eastAsia="宋体" w:cs="宋体"/>
      <w:color w:val="000000"/>
      <w:kern w:val="0"/>
      <w:sz w:val="28"/>
      <w:szCs w:val="21"/>
    </w:rPr>
  </w:style>
  <w:style w:type="paragraph" w:customStyle="1" w:styleId="46">
    <w:name w:val="a14"/>
    <w:basedOn w:val="33"/>
    <w:qFormat/>
    <w:uiPriority w:val="0"/>
    <w:pPr>
      <w:widowControl/>
      <w:spacing w:before="100" w:beforeAutospacing="1" w:after="100" w:afterAutospacing="1"/>
      <w:jc w:val="left"/>
    </w:pPr>
    <w:rPr>
      <w:rFonts w:ascii="宋体" w:eastAsia="宋体" w:cs="宋体"/>
      <w:kern w:val="0"/>
      <w:sz w:val="24"/>
    </w:rPr>
  </w:style>
  <w:style w:type="character" w:customStyle="1" w:styleId="47">
    <w:name w:val="font3115"/>
    <w:basedOn w:val="37"/>
    <w:qFormat/>
    <w:uiPriority w:val="0"/>
    <w:rPr>
      <w:rFonts w:ascii="宋体" w:eastAsia="宋体" w:cs="宋体"/>
      <w:color w:val="000000"/>
      <w:sz w:val="24"/>
      <w:szCs w:val="24"/>
      <w:u w:val="none"/>
    </w:rPr>
  </w:style>
  <w:style w:type="paragraph" w:customStyle="1" w:styleId="48">
    <w:name w:val="HtmlNormal16"/>
    <w:basedOn w:val="33"/>
    <w:qFormat/>
    <w:uiPriority w:val="0"/>
    <w:pPr>
      <w:widowControl w:val="0"/>
      <w:spacing w:before="100" w:beforeAutospacing="1" w:after="100" w:afterAutospacing="1"/>
      <w:jc w:val="left"/>
    </w:pPr>
    <w:rPr>
      <w:rFonts w:ascii="宋体" w:eastAsia="宋体" w:cs="Times New Roman"/>
      <w:kern w:val="0"/>
      <w:sz w:val="24"/>
      <w:szCs w:val="24"/>
      <w:lang w:val="en-US" w:eastAsia="zh-CN" w:bidi="ar-SA"/>
    </w:rPr>
  </w:style>
  <w:style w:type="character" w:customStyle="1" w:styleId="49">
    <w:name w:val="1617"/>
    <w:qFormat/>
    <w:uiPriority w:val="0"/>
    <w:rPr>
      <w:rFonts w:ascii="Times New Roman" w:hAnsi="Times New Roman" w:cs="Times New Roman"/>
    </w:rPr>
  </w:style>
  <w:style w:type="paragraph" w:customStyle="1" w:styleId="50">
    <w:name w:val="BodyText1I218"/>
    <w:basedOn w:val="33"/>
    <w:qFormat/>
    <w:uiPriority w:val="0"/>
    <w:pPr>
      <w:keepNext w:val="0"/>
      <w:keepLines w:val="0"/>
      <w:widowControl/>
      <w:suppressLineNumbers w:val="0"/>
      <w:spacing w:before="0" w:beforeAutospacing="0" w:after="0" w:afterAutospacing="0"/>
      <w:ind w:left="0" w:right="0" w:firstLine="200" w:firstLineChars="200"/>
      <w:jc w:val="both"/>
      <w:textAlignment w:val="baseline"/>
    </w:pPr>
    <w:rPr>
      <w:rFonts w:ascii="仿宋_GB2312" w:eastAsia="仿宋_GB2312" w:cs="宋体"/>
      <w:kern w:val="0"/>
      <w:sz w:val="32"/>
      <w:szCs w:val="32"/>
      <w:lang w:val="en-US" w:eastAsia="zh-CN" w:bidi="ar-SA"/>
    </w:rPr>
  </w:style>
  <w:style w:type="character" w:customStyle="1" w:styleId="51">
    <w:name w:val="1719"/>
    <w:qFormat/>
    <w:uiPriority w:val="0"/>
    <w:rPr>
      <w:rFonts w:ascii="Calibri" w:hAnsi="Calibri" w:eastAsia="宋体" w:cs="Calibri"/>
      <w:kern w:val="2"/>
      <w:sz w:val="21"/>
      <w:szCs w:val="21"/>
    </w:rPr>
  </w:style>
  <w:style w:type="paragraph" w:customStyle="1" w:styleId="52">
    <w:name w:val="Normal0"/>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53">
    <w:name w:val="heading 1af8e379d"/>
    <w:basedOn w:val="52"/>
    <w:next w:val="52"/>
    <w:qFormat/>
    <w:uiPriority w:val="0"/>
    <w:pPr>
      <w:keepNext/>
      <w:keepLines/>
      <w:widowControl w:val="0"/>
      <w:spacing w:before="340" w:after="330" w:line="578" w:lineRule="auto"/>
      <w:outlineLvl w:val="0"/>
    </w:pPr>
    <w:rPr>
      <w:b/>
      <w:bCs/>
      <w:kern w:val="44"/>
      <w:sz w:val="44"/>
    </w:rPr>
  </w:style>
  <w:style w:type="paragraph" w:customStyle="1" w:styleId="54">
    <w:name w:val="heading 2fff491d5"/>
    <w:basedOn w:val="52"/>
    <w:next w:val="52"/>
    <w:qFormat/>
    <w:uiPriority w:val="0"/>
    <w:pPr>
      <w:keepNext/>
      <w:keepLines/>
      <w:widowControl w:val="0"/>
      <w:spacing w:before="260" w:after="260" w:line="415" w:lineRule="auto"/>
      <w:outlineLvl w:val="1"/>
    </w:pPr>
    <w:rPr>
      <w:rFonts w:ascii="Times New Roman" w:hAnsi="Times New Roman" w:eastAsia="黑体"/>
      <w:b/>
      <w:sz w:val="32"/>
    </w:rPr>
  </w:style>
  <w:style w:type="paragraph" w:customStyle="1" w:styleId="55">
    <w:name w:val="heading 3e7d8bf0f"/>
    <w:basedOn w:val="52"/>
    <w:next w:val="52"/>
    <w:qFormat/>
    <w:uiPriority w:val="0"/>
    <w:pPr>
      <w:keepNext/>
      <w:keepLines/>
      <w:widowControl w:val="0"/>
      <w:spacing w:before="260" w:after="260" w:line="415" w:lineRule="auto"/>
      <w:outlineLvl w:val="2"/>
    </w:pPr>
    <w:rPr>
      <w:b/>
      <w:sz w:val="32"/>
    </w:rPr>
  </w:style>
  <w:style w:type="character" w:customStyle="1" w:styleId="56">
    <w:name w:val="Default Paragraph Font9abccd5a"/>
    <w:qFormat/>
    <w:uiPriority w:val="0"/>
  </w:style>
  <w:style w:type="paragraph" w:customStyle="1" w:styleId="57">
    <w:name w:val="Document Map616a3c3d"/>
    <w:basedOn w:val="52"/>
    <w:qFormat/>
    <w:uiPriority w:val="0"/>
    <w:rPr>
      <w:rFonts w:ascii="宋体" w:eastAsia="宋体"/>
      <w:sz w:val="18"/>
      <w:szCs w:val="18"/>
    </w:rPr>
  </w:style>
  <w:style w:type="paragraph" w:customStyle="1" w:styleId="58">
    <w:name w:val="Balloon Text344d857f"/>
    <w:basedOn w:val="52"/>
    <w:qFormat/>
    <w:uiPriority w:val="0"/>
    <w:rPr>
      <w:sz w:val="18"/>
      <w:szCs w:val="18"/>
    </w:rPr>
  </w:style>
  <w:style w:type="paragraph" w:customStyle="1" w:styleId="59">
    <w:name w:val="footer3a562262"/>
    <w:basedOn w:val="52"/>
    <w:qFormat/>
    <w:uiPriority w:val="0"/>
    <w:pPr>
      <w:tabs>
        <w:tab w:val="center" w:pos="4153"/>
        <w:tab w:val="right" w:pos="8306"/>
      </w:tabs>
      <w:snapToGrid w:val="0"/>
      <w:jc w:val="left"/>
    </w:pPr>
    <w:rPr>
      <w:rFonts w:eastAsia="宋体"/>
      <w:sz w:val="18"/>
      <w:szCs w:val="18"/>
    </w:rPr>
  </w:style>
  <w:style w:type="paragraph" w:customStyle="1" w:styleId="60">
    <w:name w:val="headerc5a13a25"/>
    <w:basedOn w:val="52"/>
    <w:qFormat/>
    <w:uiPriority w:val="0"/>
    <w:pPr>
      <w:pBdr>
        <w:bottom w:val="single" w:color="auto" w:sz="6" w:space="1"/>
      </w:pBdr>
      <w:tabs>
        <w:tab w:val="center" w:pos="4153"/>
        <w:tab w:val="right" w:pos="8306"/>
      </w:tabs>
      <w:snapToGrid w:val="0"/>
      <w:jc w:val="center"/>
    </w:pPr>
    <w:rPr>
      <w:rFonts w:eastAsia="宋体"/>
      <w:sz w:val="18"/>
      <w:szCs w:val="18"/>
    </w:rPr>
  </w:style>
  <w:style w:type="character" w:customStyle="1" w:styleId="61">
    <w:name w:val="page numberbe44b902"/>
    <w:basedOn w:val="56"/>
    <w:qFormat/>
    <w:uiPriority w:val="0"/>
  </w:style>
  <w:style w:type="paragraph" w:customStyle="1" w:styleId="62">
    <w:name w:val="四号正文aca66c42"/>
    <w:basedOn w:val="52"/>
    <w:qFormat/>
    <w:uiPriority w:val="0"/>
    <w:pPr>
      <w:spacing w:line="360" w:lineRule="auto"/>
    </w:pPr>
    <w:rPr>
      <w:rFonts w:ascii="??" w:hAnsi="??" w:eastAsia="宋体" w:cs="宋体"/>
      <w:color w:val="000000"/>
      <w:kern w:val="0"/>
      <w:sz w:val="28"/>
      <w:szCs w:val="21"/>
    </w:rPr>
  </w:style>
  <w:style w:type="paragraph" w:customStyle="1" w:styleId="63">
    <w:name w:val="a21"/>
    <w:basedOn w:val="52"/>
    <w:qFormat/>
    <w:uiPriority w:val="0"/>
    <w:pPr>
      <w:widowControl/>
      <w:spacing w:before="100" w:beforeAutospacing="1" w:after="100" w:afterAutospacing="1"/>
      <w:jc w:val="left"/>
    </w:pPr>
    <w:rPr>
      <w:rFonts w:ascii="宋体" w:eastAsia="宋体" w:cs="宋体"/>
      <w:kern w:val="0"/>
      <w:sz w:val="24"/>
    </w:rPr>
  </w:style>
  <w:style w:type="character" w:customStyle="1" w:styleId="64">
    <w:name w:val="font3122"/>
    <w:basedOn w:val="56"/>
    <w:qFormat/>
    <w:uiPriority w:val="0"/>
    <w:rPr>
      <w:rFonts w:ascii="宋体" w:eastAsia="宋体" w:cs="宋体"/>
      <w:color w:val="000000"/>
      <w:sz w:val="24"/>
      <w:szCs w:val="24"/>
      <w:u w:val="none"/>
    </w:rPr>
  </w:style>
  <w:style w:type="paragraph" w:customStyle="1" w:styleId="65">
    <w:name w:val="index 623"/>
    <w:basedOn w:val="52"/>
    <w:next w:val="52"/>
    <w:qFormat/>
    <w:uiPriority w:val="0"/>
    <w:pPr>
      <w:ind w:left="2100"/>
    </w:pPr>
  </w:style>
  <w:style w:type="paragraph" w:customStyle="1" w:styleId="66">
    <w:name w:val="HtmlNormal24"/>
    <w:basedOn w:val="52"/>
    <w:qFormat/>
    <w:uiPriority w:val="0"/>
    <w:pPr>
      <w:widowControl w:val="0"/>
      <w:spacing w:before="100" w:beforeAutospacing="1" w:after="100" w:afterAutospacing="1"/>
      <w:jc w:val="left"/>
    </w:pPr>
    <w:rPr>
      <w:rFonts w:ascii="宋体" w:eastAsia="宋体" w:cs="Times New Roman"/>
      <w:kern w:val="0"/>
      <w:sz w:val="24"/>
      <w:szCs w:val="24"/>
      <w:lang w:val="en-US" w:eastAsia="zh-CN" w:bidi="ar-SA"/>
    </w:rPr>
  </w:style>
  <w:style w:type="character" w:customStyle="1" w:styleId="67">
    <w:name w:val="1625"/>
    <w:qFormat/>
    <w:uiPriority w:val="0"/>
    <w:rPr>
      <w:rFonts w:ascii="Times New Roman" w:hAnsi="Times New Roman" w:cs="Times New Roman"/>
    </w:rPr>
  </w:style>
  <w:style w:type="paragraph" w:customStyle="1" w:styleId="68">
    <w:name w:val="BodyText1I226"/>
    <w:basedOn w:val="52"/>
    <w:qFormat/>
    <w:uiPriority w:val="0"/>
    <w:pPr>
      <w:keepNext w:val="0"/>
      <w:keepLines w:val="0"/>
      <w:widowControl/>
      <w:suppressLineNumbers w:val="0"/>
      <w:spacing w:before="0" w:beforeAutospacing="0" w:after="0" w:afterAutospacing="0"/>
      <w:ind w:left="0" w:right="0" w:firstLine="200" w:firstLineChars="200"/>
      <w:jc w:val="both"/>
      <w:textAlignment w:val="baseline"/>
    </w:pPr>
    <w:rPr>
      <w:rFonts w:ascii="仿宋_GB2312" w:eastAsia="仿宋_GB2312" w:cs="宋体"/>
      <w:kern w:val="0"/>
      <w:sz w:val="32"/>
      <w:szCs w:val="32"/>
      <w:lang w:val="en-US" w:eastAsia="zh-CN" w:bidi="ar-SA"/>
    </w:rPr>
  </w:style>
  <w:style w:type="character" w:customStyle="1" w:styleId="69">
    <w:name w:val="1727"/>
    <w:qFormat/>
    <w:uiPriority w:val="0"/>
    <w:rPr>
      <w:rFonts w:ascii="Calibri" w:hAnsi="Calibri" w:eastAsia="宋体" w:cs="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{"2020","2021"}</c:f>
              <c:strCache>
                <c:ptCount val="2"/>
                <c:pt idx="0">
                  <c:v>2020</c:v>
                </c:pt>
                <c:pt idx="1">
                  <c:v>2021</c:v>
                </c:pt>
              </c:strCache>
            </c:strRef>
          </c:cat>
          <c:val>
            <c:numRef>
              <c:f>{1089.04,1176.03}</c:f>
              <c:numCache>
                <c:formatCode>General</c:formatCode>
                <c:ptCount val="2"/>
                <c:pt idx="0">
                  <c:v>1089.04</c:v>
                </c:pt>
                <c:pt idx="1">
                  <c:v>1176.03</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{"2020","2021"}</c:f>
              <c:strCache>
                <c:ptCount val="2"/>
                <c:pt idx="0">
                  <c:v>2020</c:v>
                </c:pt>
                <c:pt idx="1">
                  <c:v>2021</c:v>
                </c:pt>
              </c:strCache>
            </c:strRef>
          </c:cat>
          <c:val>
            <c:numRef>
              <c:f>{1089.04,1176.03}</c:f>
              <c:numCache>
                <c:formatCode>General</c:formatCode>
                <c:ptCount val="2"/>
                <c:pt idx="0">
                  <c:v>1089.04</c:v>
                </c:pt>
                <c:pt idx="1">
                  <c:v>1176.03</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{11000980.15,0,0,0,0,0,0,0}</c:f>
              <c:numCache>
                <c:formatCode>General</c:formatCode>
                <c:ptCount val="8"/>
                <c:pt idx="0">
                  <c:v>11000980.15</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{9492870.86,2267447.99,0,0,0}</c:f>
              <c:numCache>
                <c:formatCode>General</c:formatCode>
                <c:ptCount val="5"/>
                <c:pt idx="0">
                  <c:v>9492870.86</c:v>
                </c:pt>
                <c:pt idx="1">
                  <c:v>2267447.99</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{"2020","2021"}</c:f>
              <c:strCache>
                <c:ptCount val="2"/>
                <c:pt idx="0">
                  <c:v>2020</c:v>
                </c:pt>
                <c:pt idx="1">
                  <c:v>2021</c:v>
                </c:pt>
              </c:strCache>
            </c:strRef>
          </c:cat>
          <c:val>
            <c:numRef>
              <c:f>{1089.04,1176.03}</c:f>
              <c:numCache>
                <c:formatCode>General</c:formatCode>
                <c:ptCount val="2"/>
                <c:pt idx="0">
                  <c:v>1089.04</c:v>
                </c:pt>
                <c:pt idx="1">
                  <c:v>1176.03</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{"2020","2021"}</c:f>
              <c:strCache>
                <c:ptCount val="2"/>
                <c:pt idx="0">
                  <c:v>2020</c:v>
                </c:pt>
                <c:pt idx="1">
                  <c:v>2021</c:v>
                </c:pt>
              </c:strCache>
            </c:strRef>
          </c:cat>
          <c:val>
            <c:numRef>
              <c:f>{1089.04,1176.03}</c:f>
              <c:numCache>
                <c:formatCode>General</c:formatCode>
                <c:ptCount val="2"/>
                <c:pt idx="0">
                  <c:v>1089.04</c:v>
                </c:pt>
                <c:pt idx="1">
                  <c:v>1176.03</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2020</c:f>
              <c:strCache>
                <c:ptCount val="1"/>
                <c:pt idx="0">
                  <c:v>2020</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{974}</c:f>
              <c:numCache>
                <c:formatCode>General</c:formatCode>
                <c:ptCount val="1"/>
                <c:pt idx="0">
                  <c:v>974</c:v>
                </c:pt>
              </c:numCache>
            </c:numRef>
          </c:val>
        </c:ser>
        <c:ser>
          <c:idx val="2"/>
          <c:order val="1"/>
          <c:tx>
            <c:strRef>
              <c:f>2021</c:f>
              <c:strCache>
                <c:ptCount val="1"/>
                <c:pt idx="0">
                  <c:v>2021</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{1176.03}</c:f>
              <c:numCache>
                <c:formatCode>General</c:formatCode>
                <c:ptCount val="1"/>
                <c:pt idx="0">
                  <c:v>1176.03</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{"公共安全支出","社会保障和就业支出","卫生健康支出","农林水支出","住房保障支出"}</c:f>
              <c:strCache>
                <c:ptCount val="5"/>
                <c:pt idx="0">
                  <c:v>公共安全支出</c:v>
                </c:pt>
                <c:pt idx="1">
                  <c:v>社会保障和就业支出</c:v>
                </c:pt>
                <c:pt idx="2">
                  <c:v>卫生健康支出</c:v>
                </c:pt>
                <c:pt idx="3">
                  <c:v>农林水支出</c:v>
                </c:pt>
                <c:pt idx="4">
                  <c:v>住房保障支出</c:v>
                </c:pt>
              </c:strCache>
            </c:strRef>
          </c:cat>
          <c:val>
            <c:numRef>
              <c:f>{969.75,89.27,46.01,1.91,69.1}</c:f>
              <c:numCache>
                <c:formatCode>General</c:formatCode>
                <c:ptCount val="5"/>
                <c:pt idx="0">
                  <c:v>969.75</c:v>
                </c:pt>
                <c:pt idx="1">
                  <c:v>89.27</c:v>
                </c:pt>
                <c:pt idx="2">
                  <c:v>46.01</c:v>
                </c:pt>
                <c:pt idx="3">
                  <c:v>1.91</c:v>
                </c:pt>
                <c:pt idx="4">
                  <c:v>69.1</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{0,7.55,0.46}</c:f>
              <c:numCache>
                <c:formatCode>General</c:formatCode>
                <c:ptCount val="3"/>
                <c:pt idx="0">
                  <c:v>0</c:v>
                </c:pt>
                <c:pt idx="1">
                  <c:v>7.55</c:v>
                </c:pt>
                <c:pt idx="2">
                  <c:v>0.46</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9366</Words>
  <Characters>10663</Characters>
  <Lines>51</Lines>
  <Paragraphs>14</Paragraphs>
  <TotalTime>169</TotalTime>
  <ScaleCrop>false</ScaleCrop>
  <LinksUpToDate>false</LinksUpToDate>
  <CharactersWithSpaces>10765</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2022-08-17T09:31:00Z</dcterms:created>
  <dc:creator>lgk</dc:creator>
  <cp:lastModifiedBy>user</cp:lastModifiedBy>
  <cp:lastPrinted>2021-09-26T16:39:00Z</cp:lastPrinted>
  <dcterms:modified xsi:type="dcterms:W3CDTF">2026-04-20T11:09:49Z</dcterms:modified>
  <dc:title>四川省决算编制说明</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B93CA6F4BEAD4F359769D1203595D585</vt:lpwstr>
  </property>
</Properties>
</file>