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77193"/>
      <w:bookmarkStart w:id="1" w:name="_Toc15378441"/>
      <w:bookmarkStart w:id="2" w:name="_Toc15396475"/>
      <w:bookmarkStart w:id="3" w:name="_Toc15396597"/>
      <w:bookmarkStart w:id="4" w:name="_Toc15377425"/>
      <w:bookmarkStart w:id="5" w:name="_Toc15306267"/>
    </w:p>
    <w:p>
      <w:pPr>
        <w:pStyle w:val="6"/>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2021年度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77194"/>
      <w:bookmarkStart w:id="7" w:name="_Toc15377426"/>
      <w:bookmarkStart w:id="8" w:name="_Toc15378442"/>
      <w:bookmarkStart w:id="9" w:name="_Toc15306268"/>
      <w:bookmarkStart w:id="10" w:name="_Toc15396476"/>
      <w:bookmarkStart w:id="11" w:name="_Toc15396598"/>
      <w:r>
        <w:rPr>
          <w:rFonts w:asciiTheme="minorEastAsia" w:hAnsiTheme="minorEastAsia" w:eastAsiaTheme="minorEastAsia"/>
          <w:b/>
          <w:sz w:val="72"/>
          <w:szCs w:val="72"/>
        </w:rPr>
        <w:t>阿坝州茂县财政局（汇总）</w:t>
      </w: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部门决算</w:t>
      </w:r>
      <w:bookmarkEnd w:id="6"/>
      <w:bookmarkEnd w:id="7"/>
      <w:bookmarkEnd w:id="8"/>
      <w:bookmarkEnd w:id="9"/>
      <w:bookmarkEnd w:id="10"/>
      <w:bookmarkEnd w:id="11"/>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tabs>
          <w:tab w:val="left" w:pos="3600"/>
        </w:tabs>
      </w:pPr>
      <w:r>
        <w:tab/>
      </w:r>
    </w:p>
    <w:p>
      <w:pPr>
        <w:pStyle w:val="6"/>
      </w:pPr>
    </w:p>
    <w:p>
      <w:pPr>
        <w:pStyle w:val="6"/>
        <w:ind w:firstLine="0"/>
      </w:pPr>
    </w:p>
    <w:p>
      <w:pPr>
        <w:pStyle w:val="6"/>
        <w:ind w:left="0" w:leftChars="0" w:firstLine="0" w:firstLineChars="0"/>
      </w:pPr>
    </w:p>
    <w:p>
      <w:pPr>
        <w:pStyle w:val="6"/>
      </w:pPr>
    </w:p>
    <w:p>
      <w:pPr>
        <w:pStyle w:val="6"/>
        <w:ind w:firstLine="0"/>
      </w:pPr>
    </w:p>
    <w:p>
      <w:pPr>
        <w:pStyle w:val="6"/>
        <w:ind w:firstLine="0"/>
      </w:pPr>
    </w:p>
    <w:p>
      <w:pPr>
        <w:pStyle w:val="6"/>
        <w:ind w:firstLine="0"/>
      </w:pPr>
    </w:p>
    <w:p>
      <w:pPr>
        <w:pStyle w:val="6"/>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hAnsi="宋体" w:cs="仿宋_GB2312"/>
          <w:sz w:val="32"/>
          <w:szCs w:val="32"/>
        </w:rPr>
      </w:pPr>
      <w:r>
        <w:rPr>
          <w:rFonts w:hint="eastAsia" w:ascii="宋体" w:hAnsi="宋体" w:cs="仿宋_GB2312"/>
          <w:sz w:val="32"/>
          <w:szCs w:val="32"/>
        </w:rPr>
        <w:t>部门主要负责人审签情况：</w:t>
      </w:r>
    </w:p>
    <w:p>
      <w:pPr>
        <w:autoSpaceDE w:val="0"/>
        <w:autoSpaceDN w:val="0"/>
        <w:adjustRightInd w:val="0"/>
        <w:ind w:left="420" w:leftChars="200"/>
        <w:jc w:val="center"/>
        <w:rPr>
          <w:rFonts w:ascii="黑体" w:hAnsi="黑体" w:eastAsia="黑体"/>
          <w:color w:val="000000"/>
          <w:sz w:val="48"/>
          <w:szCs w:val="48"/>
        </w:rPr>
        <w:sectPr>
          <w:pgSz w:w="11906" w:h="16838"/>
          <w:pgMar w:top="907" w:right="1361" w:bottom="851" w:left="1361" w:header="851" w:footer="992" w:gutter="0"/>
          <w:pgNumType w:start="1"/>
          <w:cols w:space="425" w:num="1"/>
          <w:docGrid w:type="lines" w:linePitch="435" w:charSpace="0"/>
        </w:sectPr>
      </w:pPr>
    </w:p>
    <w:p>
      <w:pPr>
        <w:pStyle w:val="14"/>
        <w:jc w:val="center"/>
      </w:pPr>
      <w:r>
        <w:rPr>
          <w:rFonts w:hint="eastAsia" w:ascii="黑体" w:hAnsi="黑体" w:eastAsia="黑体"/>
          <w:b/>
          <w:bCs/>
          <w:color w:val="000000"/>
          <w:sz w:val="48"/>
          <w:szCs w:val="48"/>
        </w:rPr>
        <w:t>目录</w:t>
      </w:r>
      <w:bookmarkStart w:id="12" w:name="_Toc15377196"/>
    </w:p>
    <w:p>
      <w:pPr>
        <w:pStyle w:val="12"/>
        <w:tabs>
          <w:tab w:val="right" w:leader="dot" w:pos="9184"/>
          <w:tab w:val="clear" w:pos="8296"/>
        </w:tabs>
      </w:pPr>
      <w:r>
        <w:fldChar w:fldCharType="begin"/>
      </w:r>
      <w:r>
        <w:instrText xml:space="preserve"> TOC \o "1-2" \h \z \u </w:instrText>
      </w:r>
      <w:r>
        <w:fldChar w:fldCharType="separate"/>
      </w:r>
      <w:r>
        <w:fldChar w:fldCharType="begin"/>
      </w:r>
      <w:r>
        <w:instrText xml:space="preserve"> HYPERLINK \l "_Toc2612" </w:instrText>
      </w:r>
      <w:r>
        <w:fldChar w:fldCharType="separate"/>
      </w:r>
      <w:r>
        <w:rPr>
          <w:rFonts w:hint="eastAsia" w:ascii="黑体" w:hAnsi="黑体" w:eastAsia="黑体" w:cs="黑体"/>
        </w:rPr>
        <w:t>第一部分 部门概况</w:t>
      </w:r>
      <w:r>
        <w:tab/>
      </w:r>
      <w:r>
        <w:fldChar w:fldCharType="begin"/>
      </w:r>
      <w:r>
        <w:instrText xml:space="preserve"> PAGEREF _Toc2612 \h </w:instrText>
      </w:r>
      <w:r>
        <w:fldChar w:fldCharType="separate"/>
      </w:r>
      <w:r>
        <w:t>3</w:t>
      </w:r>
      <w:r>
        <w:fldChar w:fldCharType="end"/>
      </w:r>
      <w:r>
        <w:fldChar w:fldCharType="end"/>
      </w:r>
    </w:p>
    <w:p>
      <w:pPr>
        <w:pStyle w:val="14"/>
        <w:tabs>
          <w:tab w:val="right" w:leader="dot" w:pos="9184"/>
          <w:tab w:val="clear" w:pos="8296"/>
        </w:tabs>
      </w:pPr>
      <w:r>
        <w:fldChar w:fldCharType="begin"/>
      </w:r>
      <w:r>
        <w:instrText xml:space="preserve"> HYPERLINK \l "_Toc13616" </w:instrText>
      </w:r>
      <w:r>
        <w:fldChar w:fldCharType="separate"/>
      </w:r>
      <w:r>
        <w:rPr>
          <w:rFonts w:hint="eastAsia" w:ascii="黑体" w:eastAsia="黑体"/>
        </w:rPr>
        <w:t>一、基本职能及主要工作</w:t>
      </w:r>
      <w:r>
        <w:tab/>
      </w:r>
      <w:r>
        <w:fldChar w:fldCharType="begin"/>
      </w:r>
      <w:r>
        <w:instrText xml:space="preserve"> PAGEREF _Toc13616 \h </w:instrText>
      </w:r>
      <w:r>
        <w:fldChar w:fldCharType="separate"/>
      </w:r>
      <w:r>
        <w:t>3</w:t>
      </w:r>
      <w:r>
        <w:fldChar w:fldCharType="end"/>
      </w:r>
      <w:r>
        <w:fldChar w:fldCharType="end"/>
      </w:r>
    </w:p>
    <w:p>
      <w:pPr>
        <w:pStyle w:val="14"/>
        <w:tabs>
          <w:tab w:val="right" w:leader="dot" w:pos="9184"/>
          <w:tab w:val="clear" w:pos="8296"/>
        </w:tabs>
      </w:pPr>
      <w:r>
        <w:fldChar w:fldCharType="begin"/>
      </w:r>
      <w:r>
        <w:instrText xml:space="preserve"> HYPERLINK \l "_Toc16594" </w:instrText>
      </w:r>
      <w:r>
        <w:fldChar w:fldCharType="separate"/>
      </w:r>
      <w:r>
        <w:rPr>
          <w:rFonts w:hint="eastAsia" w:ascii="黑体" w:eastAsia="黑体"/>
        </w:rPr>
        <w:t>二、机构设置</w:t>
      </w:r>
      <w:r>
        <w:tab/>
      </w:r>
      <w:r>
        <w:fldChar w:fldCharType="begin"/>
      </w:r>
      <w:r>
        <w:instrText xml:space="preserve"> PAGEREF _Toc16594 \h </w:instrText>
      </w:r>
      <w:r>
        <w:fldChar w:fldCharType="separate"/>
      </w:r>
      <w:r>
        <w:t>4</w:t>
      </w:r>
      <w:r>
        <w:fldChar w:fldCharType="end"/>
      </w:r>
      <w:r>
        <w:fldChar w:fldCharType="end"/>
      </w:r>
    </w:p>
    <w:p>
      <w:pPr>
        <w:pStyle w:val="12"/>
        <w:tabs>
          <w:tab w:val="right" w:leader="dot" w:pos="9184"/>
          <w:tab w:val="clear" w:pos="8296"/>
        </w:tabs>
      </w:pPr>
      <w:r>
        <w:fldChar w:fldCharType="begin"/>
      </w:r>
      <w:r>
        <w:instrText xml:space="preserve"> HYPERLINK \l "_Toc28510" </w:instrText>
      </w:r>
      <w:r>
        <w:fldChar w:fldCharType="separate"/>
      </w:r>
      <w:r>
        <w:rPr>
          <w:rFonts w:hint="eastAsia" w:ascii="黑体" w:hAnsi="黑体" w:eastAsia="黑体" w:cs="黑体"/>
        </w:rPr>
        <w:t>第二部分2021年度部门决算情况说明</w:t>
      </w:r>
      <w:r>
        <w:tab/>
      </w:r>
      <w:r>
        <w:fldChar w:fldCharType="begin"/>
      </w:r>
      <w:r>
        <w:instrText xml:space="preserve"> PAGEREF _Toc28510 \h </w:instrText>
      </w:r>
      <w:r>
        <w:fldChar w:fldCharType="separate"/>
      </w:r>
      <w:r>
        <w:t>8</w:t>
      </w:r>
      <w:r>
        <w:fldChar w:fldCharType="end"/>
      </w:r>
      <w:r>
        <w:fldChar w:fldCharType="end"/>
      </w:r>
    </w:p>
    <w:p>
      <w:pPr>
        <w:pStyle w:val="14"/>
        <w:tabs>
          <w:tab w:val="right" w:leader="dot" w:pos="9184"/>
          <w:tab w:val="clear" w:pos="8296"/>
        </w:tabs>
      </w:pPr>
      <w:r>
        <w:fldChar w:fldCharType="begin"/>
      </w:r>
      <w:r>
        <w:instrText xml:space="preserve"> HYPERLINK \l "_Toc18895" </w:instrText>
      </w:r>
      <w:r>
        <w:fldChar w:fldCharType="separate"/>
      </w:r>
      <w:r>
        <w:rPr>
          <w:rFonts w:hint="eastAsia" w:ascii="黑体" w:eastAsia="黑体"/>
        </w:rPr>
        <w:t>一、收入支出决算总体情况说明</w:t>
      </w:r>
      <w:r>
        <w:tab/>
      </w:r>
      <w:r>
        <w:fldChar w:fldCharType="begin"/>
      </w:r>
      <w:r>
        <w:instrText xml:space="preserve"> PAGEREF _Toc18895 \h </w:instrText>
      </w:r>
      <w:r>
        <w:fldChar w:fldCharType="separate"/>
      </w:r>
      <w:r>
        <w:t>8</w:t>
      </w:r>
      <w:r>
        <w:fldChar w:fldCharType="end"/>
      </w:r>
      <w:r>
        <w:fldChar w:fldCharType="end"/>
      </w:r>
    </w:p>
    <w:p>
      <w:pPr>
        <w:pStyle w:val="14"/>
        <w:tabs>
          <w:tab w:val="right" w:leader="dot" w:pos="9184"/>
          <w:tab w:val="clear" w:pos="8296"/>
        </w:tabs>
      </w:pPr>
      <w:r>
        <w:fldChar w:fldCharType="begin"/>
      </w:r>
      <w:r>
        <w:instrText xml:space="preserve"> HYPERLINK \l "_Toc14574" </w:instrText>
      </w:r>
      <w:r>
        <w:fldChar w:fldCharType="separate"/>
      </w:r>
      <w:r>
        <w:rPr>
          <w:rFonts w:hint="eastAsia" w:ascii="黑体" w:eastAsia="黑体"/>
        </w:rPr>
        <w:t>二、收入决算情况说明</w:t>
      </w:r>
      <w:r>
        <w:tab/>
      </w:r>
      <w:r>
        <w:fldChar w:fldCharType="begin"/>
      </w:r>
      <w:r>
        <w:instrText xml:space="preserve"> PAGEREF _Toc14574 \h </w:instrText>
      </w:r>
      <w:r>
        <w:fldChar w:fldCharType="separate"/>
      </w:r>
      <w:r>
        <w:t>8</w:t>
      </w:r>
      <w:r>
        <w:fldChar w:fldCharType="end"/>
      </w:r>
      <w:r>
        <w:fldChar w:fldCharType="end"/>
      </w:r>
    </w:p>
    <w:p>
      <w:pPr>
        <w:pStyle w:val="14"/>
        <w:tabs>
          <w:tab w:val="right" w:leader="dot" w:pos="9184"/>
          <w:tab w:val="clear" w:pos="8296"/>
        </w:tabs>
      </w:pPr>
      <w:r>
        <w:fldChar w:fldCharType="begin"/>
      </w:r>
      <w:r>
        <w:instrText xml:space="preserve"> HYPERLINK \l "_Toc7720" </w:instrText>
      </w:r>
      <w:r>
        <w:fldChar w:fldCharType="separate"/>
      </w:r>
      <w:r>
        <w:rPr>
          <w:rFonts w:hint="eastAsia" w:ascii="黑体" w:eastAsia="黑体"/>
        </w:rPr>
        <w:t>三、支出决算情况说明</w:t>
      </w:r>
      <w:r>
        <w:tab/>
      </w:r>
      <w:r>
        <w:fldChar w:fldCharType="begin"/>
      </w:r>
      <w:r>
        <w:instrText xml:space="preserve"> PAGEREF _Toc7720 \h </w:instrText>
      </w:r>
      <w:r>
        <w:fldChar w:fldCharType="separate"/>
      </w:r>
      <w:r>
        <w:t>9</w:t>
      </w:r>
      <w:r>
        <w:fldChar w:fldCharType="end"/>
      </w:r>
      <w:r>
        <w:fldChar w:fldCharType="end"/>
      </w:r>
    </w:p>
    <w:p>
      <w:pPr>
        <w:pStyle w:val="14"/>
        <w:tabs>
          <w:tab w:val="right" w:leader="dot" w:pos="9184"/>
          <w:tab w:val="clear" w:pos="8296"/>
        </w:tabs>
      </w:pPr>
      <w:r>
        <w:fldChar w:fldCharType="begin"/>
      </w:r>
      <w:r>
        <w:instrText xml:space="preserve"> HYPERLINK \l "_Toc3299" </w:instrText>
      </w:r>
      <w:r>
        <w:fldChar w:fldCharType="separate"/>
      </w:r>
      <w:r>
        <w:rPr>
          <w:rFonts w:hint="eastAsia" w:ascii="黑体" w:eastAsia="黑体"/>
        </w:rPr>
        <w:t>四、财政拨款收入支出决算总体情况说明</w:t>
      </w:r>
      <w:r>
        <w:tab/>
      </w:r>
      <w:r>
        <w:fldChar w:fldCharType="begin"/>
      </w:r>
      <w:r>
        <w:instrText xml:space="preserve"> PAGEREF _Toc3299 \h </w:instrText>
      </w:r>
      <w:r>
        <w:fldChar w:fldCharType="separate"/>
      </w:r>
      <w:r>
        <w:t>9</w:t>
      </w:r>
      <w:r>
        <w:fldChar w:fldCharType="end"/>
      </w:r>
      <w:r>
        <w:fldChar w:fldCharType="end"/>
      </w:r>
    </w:p>
    <w:p>
      <w:pPr>
        <w:pStyle w:val="14"/>
        <w:tabs>
          <w:tab w:val="right" w:leader="dot" w:pos="9184"/>
          <w:tab w:val="clear" w:pos="8296"/>
        </w:tabs>
      </w:pPr>
      <w:r>
        <w:fldChar w:fldCharType="begin"/>
      </w:r>
      <w:r>
        <w:instrText xml:space="preserve"> HYPERLINK \l "_Toc745" </w:instrText>
      </w:r>
      <w:r>
        <w:fldChar w:fldCharType="separate"/>
      </w:r>
      <w:r>
        <w:rPr>
          <w:rFonts w:hint="eastAsia" w:ascii="黑体" w:eastAsia="黑体"/>
        </w:rPr>
        <w:t>五、一般公共预算财政拨款支出决算情况说明</w:t>
      </w:r>
      <w:r>
        <w:tab/>
      </w:r>
      <w:r>
        <w:fldChar w:fldCharType="begin"/>
      </w:r>
      <w:r>
        <w:instrText xml:space="preserve"> PAGEREF _Toc745 \h </w:instrText>
      </w:r>
      <w:r>
        <w:fldChar w:fldCharType="separate"/>
      </w:r>
      <w:r>
        <w:t>10</w:t>
      </w:r>
      <w:r>
        <w:fldChar w:fldCharType="end"/>
      </w:r>
      <w:r>
        <w:fldChar w:fldCharType="end"/>
      </w:r>
    </w:p>
    <w:p>
      <w:pPr>
        <w:pStyle w:val="14"/>
        <w:tabs>
          <w:tab w:val="right" w:leader="dot" w:pos="9184"/>
          <w:tab w:val="clear" w:pos="8296"/>
        </w:tabs>
      </w:pPr>
      <w:r>
        <w:fldChar w:fldCharType="begin"/>
      </w:r>
      <w:r>
        <w:instrText xml:space="preserve"> HYPERLINK \l "_Toc16870" </w:instrText>
      </w:r>
      <w:r>
        <w:fldChar w:fldCharType="separate"/>
      </w:r>
      <w:r>
        <w:rPr>
          <w:rFonts w:hint="eastAsia" w:ascii="黑体" w:eastAsia="黑体"/>
        </w:rPr>
        <w:t>六、一般公共预算财政拨款基本支出决算情况说明</w:t>
      </w:r>
      <w:r>
        <w:tab/>
      </w:r>
      <w:r>
        <w:fldChar w:fldCharType="begin"/>
      </w:r>
      <w:r>
        <w:instrText xml:space="preserve"> PAGEREF _Toc16870 \h </w:instrText>
      </w:r>
      <w:r>
        <w:fldChar w:fldCharType="separate"/>
      </w:r>
      <w:r>
        <w:t>12</w:t>
      </w:r>
      <w:r>
        <w:fldChar w:fldCharType="end"/>
      </w:r>
      <w:r>
        <w:fldChar w:fldCharType="end"/>
      </w:r>
    </w:p>
    <w:p>
      <w:pPr>
        <w:pStyle w:val="14"/>
        <w:tabs>
          <w:tab w:val="right" w:leader="dot" w:pos="9184"/>
          <w:tab w:val="clear" w:pos="8296"/>
        </w:tabs>
      </w:pPr>
      <w:r>
        <w:fldChar w:fldCharType="begin"/>
      </w:r>
      <w:r>
        <w:instrText xml:space="preserve"> HYPERLINK \l "_Toc10935" </w:instrText>
      </w:r>
      <w:r>
        <w:fldChar w:fldCharType="separate"/>
      </w:r>
      <w:r>
        <w:rPr>
          <w:rFonts w:hint="eastAsia" w:ascii="黑体" w:eastAsia="黑体"/>
        </w:rPr>
        <w:t>七、“三公”经费财政拨款支出决算情况说明</w:t>
      </w:r>
      <w:r>
        <w:tab/>
      </w:r>
      <w:r>
        <w:fldChar w:fldCharType="begin"/>
      </w:r>
      <w:r>
        <w:instrText xml:space="preserve"> PAGEREF _Toc10935 \h </w:instrText>
      </w:r>
      <w:r>
        <w:fldChar w:fldCharType="separate"/>
      </w:r>
      <w:r>
        <w:t>12</w:t>
      </w:r>
      <w:r>
        <w:fldChar w:fldCharType="end"/>
      </w:r>
      <w:r>
        <w:fldChar w:fldCharType="end"/>
      </w:r>
    </w:p>
    <w:p>
      <w:pPr>
        <w:pStyle w:val="14"/>
        <w:tabs>
          <w:tab w:val="right" w:leader="dot" w:pos="9184"/>
          <w:tab w:val="clear" w:pos="8296"/>
        </w:tabs>
      </w:pPr>
      <w:r>
        <w:fldChar w:fldCharType="begin"/>
      </w:r>
      <w:r>
        <w:instrText xml:space="preserve"> HYPERLINK \l "_Toc9245" </w:instrText>
      </w:r>
      <w:r>
        <w:fldChar w:fldCharType="separate"/>
      </w:r>
      <w:r>
        <w:rPr>
          <w:rFonts w:hint="eastAsia" w:ascii="黑体" w:eastAsia="黑体"/>
        </w:rPr>
        <w:t>八、政府性基金预算支出决算情况说明</w:t>
      </w:r>
      <w:r>
        <w:tab/>
      </w:r>
      <w:r>
        <w:fldChar w:fldCharType="begin"/>
      </w:r>
      <w:r>
        <w:instrText xml:space="preserve"> PAGEREF _Toc9245 \h </w:instrText>
      </w:r>
      <w:r>
        <w:fldChar w:fldCharType="separate"/>
      </w:r>
      <w:r>
        <w:t>14</w:t>
      </w:r>
      <w:r>
        <w:fldChar w:fldCharType="end"/>
      </w:r>
      <w:r>
        <w:fldChar w:fldCharType="end"/>
      </w:r>
    </w:p>
    <w:p>
      <w:pPr>
        <w:pStyle w:val="14"/>
        <w:tabs>
          <w:tab w:val="right" w:leader="dot" w:pos="9184"/>
          <w:tab w:val="clear" w:pos="8296"/>
        </w:tabs>
      </w:pPr>
      <w:r>
        <w:fldChar w:fldCharType="begin"/>
      </w:r>
      <w:r>
        <w:instrText xml:space="preserve"> HYPERLINK \l "_Toc27854" </w:instrText>
      </w:r>
      <w:r>
        <w:fldChar w:fldCharType="separate"/>
      </w:r>
      <w:r>
        <w:rPr>
          <w:rFonts w:hint="eastAsia" w:ascii="黑体" w:eastAsia="黑体"/>
        </w:rPr>
        <w:t>九、国有资本经营预算支出决算情况说明</w:t>
      </w:r>
      <w:r>
        <w:tab/>
      </w:r>
      <w:r>
        <w:fldChar w:fldCharType="begin"/>
      </w:r>
      <w:r>
        <w:instrText xml:space="preserve"> PAGEREF _Toc27854 \h </w:instrText>
      </w:r>
      <w:r>
        <w:fldChar w:fldCharType="separate"/>
      </w:r>
      <w:r>
        <w:t>14</w:t>
      </w:r>
      <w:r>
        <w:fldChar w:fldCharType="end"/>
      </w:r>
      <w:r>
        <w:fldChar w:fldCharType="end"/>
      </w:r>
    </w:p>
    <w:p>
      <w:pPr>
        <w:pStyle w:val="14"/>
        <w:tabs>
          <w:tab w:val="right" w:leader="dot" w:pos="9184"/>
          <w:tab w:val="clear" w:pos="8296"/>
        </w:tabs>
      </w:pPr>
      <w:r>
        <w:fldChar w:fldCharType="begin"/>
      </w:r>
      <w:r>
        <w:instrText xml:space="preserve"> HYPERLINK \l "_Toc17086" </w:instrText>
      </w:r>
      <w:r>
        <w:fldChar w:fldCharType="separate"/>
      </w:r>
      <w:r>
        <w:rPr>
          <w:rFonts w:hint="eastAsia" w:ascii="黑体" w:eastAsia="黑体"/>
        </w:rPr>
        <w:t>十、其他重要事项的情况说明</w:t>
      </w:r>
      <w:r>
        <w:tab/>
      </w:r>
      <w:r>
        <w:fldChar w:fldCharType="begin"/>
      </w:r>
      <w:r>
        <w:instrText xml:space="preserve"> PAGEREF _Toc17086 \h </w:instrText>
      </w:r>
      <w:r>
        <w:fldChar w:fldCharType="separate"/>
      </w:r>
      <w:r>
        <w:t>14</w:t>
      </w:r>
      <w:r>
        <w:fldChar w:fldCharType="end"/>
      </w:r>
      <w:r>
        <w:fldChar w:fldCharType="end"/>
      </w:r>
    </w:p>
    <w:p>
      <w:pPr>
        <w:pStyle w:val="12"/>
        <w:tabs>
          <w:tab w:val="right" w:leader="dot" w:pos="9184"/>
          <w:tab w:val="clear" w:pos="8296"/>
        </w:tabs>
      </w:pPr>
      <w:r>
        <w:fldChar w:fldCharType="begin"/>
      </w:r>
      <w:r>
        <w:instrText xml:space="preserve"> HYPERLINK \l "_Toc1233" </w:instrText>
      </w:r>
      <w:r>
        <w:fldChar w:fldCharType="separate"/>
      </w:r>
      <w:r>
        <w:rPr>
          <w:rFonts w:hint="eastAsia" w:ascii="黑体" w:hAnsi="黑体" w:eastAsia="黑体" w:cs="黑体"/>
        </w:rPr>
        <w:t>第四部分 附件</w:t>
      </w:r>
      <w:r>
        <w:tab/>
      </w:r>
      <w:r>
        <w:fldChar w:fldCharType="begin"/>
      </w:r>
      <w:r>
        <w:instrText xml:space="preserve"> PAGEREF _Toc1233 \h </w:instrText>
      </w:r>
      <w:r>
        <w:fldChar w:fldCharType="separate"/>
      </w:r>
      <w:r>
        <w:t>19</w:t>
      </w:r>
      <w:r>
        <w:fldChar w:fldCharType="end"/>
      </w:r>
      <w:r>
        <w:fldChar w:fldCharType="end"/>
      </w:r>
    </w:p>
    <w:p>
      <w:pPr>
        <w:pStyle w:val="12"/>
        <w:tabs>
          <w:tab w:val="right" w:leader="dot" w:pos="9184"/>
          <w:tab w:val="clear" w:pos="8296"/>
        </w:tabs>
      </w:pPr>
      <w:r>
        <w:fldChar w:fldCharType="begin"/>
      </w:r>
      <w:r>
        <w:instrText xml:space="preserve"> HYPERLINK \l "_Toc14111" </w:instrText>
      </w:r>
      <w:r>
        <w:fldChar w:fldCharType="separate"/>
      </w:r>
      <w:r>
        <w:rPr>
          <w:rFonts w:hint="eastAsia" w:ascii="黑体" w:hAnsi="黑体" w:eastAsia="黑体" w:cs="黑体"/>
        </w:rPr>
        <w:t>第五部分 附表</w:t>
      </w:r>
      <w:r>
        <w:tab/>
      </w:r>
      <w:r>
        <w:fldChar w:fldCharType="begin"/>
      </w:r>
      <w:r>
        <w:instrText xml:space="preserve"> PAGEREF _Toc14111 \h </w:instrText>
      </w:r>
      <w:r>
        <w:fldChar w:fldCharType="separate"/>
      </w:r>
      <w:r>
        <w:t>24</w:t>
      </w:r>
      <w:r>
        <w:fldChar w:fldCharType="end"/>
      </w:r>
      <w:r>
        <w:fldChar w:fldCharType="end"/>
      </w:r>
    </w:p>
    <w:p>
      <w:pPr>
        <w:pStyle w:val="14"/>
        <w:tabs>
          <w:tab w:val="right" w:leader="dot" w:pos="9184"/>
          <w:tab w:val="clear" w:pos="8296"/>
        </w:tabs>
      </w:pPr>
      <w:r>
        <w:fldChar w:fldCharType="begin"/>
      </w:r>
      <w:r>
        <w:instrText xml:space="preserve"> HYPERLINK \l "_Toc10772" </w:instrText>
      </w:r>
      <w:r>
        <w:fldChar w:fldCharType="separate"/>
      </w:r>
      <w:r>
        <w:rPr>
          <w:rFonts w:hint="eastAsia" w:ascii="黑体" w:eastAsia="黑体"/>
        </w:rPr>
        <w:t>一、收入支出决算总表</w:t>
      </w:r>
      <w:r>
        <w:tab/>
      </w:r>
      <w:r>
        <w:fldChar w:fldCharType="begin"/>
      </w:r>
      <w:r>
        <w:instrText xml:space="preserve"> PAGEREF _Toc10772 \h </w:instrText>
      </w:r>
      <w:r>
        <w:fldChar w:fldCharType="separate"/>
      </w:r>
      <w:r>
        <w:t>24</w:t>
      </w:r>
      <w:r>
        <w:fldChar w:fldCharType="end"/>
      </w:r>
      <w:r>
        <w:fldChar w:fldCharType="end"/>
      </w:r>
    </w:p>
    <w:p>
      <w:pPr>
        <w:pStyle w:val="14"/>
        <w:tabs>
          <w:tab w:val="right" w:leader="dot" w:pos="9184"/>
          <w:tab w:val="clear" w:pos="8296"/>
        </w:tabs>
      </w:pPr>
      <w:r>
        <w:fldChar w:fldCharType="begin"/>
      </w:r>
      <w:r>
        <w:instrText xml:space="preserve"> HYPERLINK \l "_Toc6476" </w:instrText>
      </w:r>
      <w:r>
        <w:fldChar w:fldCharType="separate"/>
      </w:r>
      <w:r>
        <w:rPr>
          <w:rFonts w:hint="eastAsia" w:ascii="黑体" w:eastAsia="黑体"/>
        </w:rPr>
        <w:t>二、收入决算表</w:t>
      </w:r>
      <w:r>
        <w:tab/>
      </w:r>
      <w:r>
        <w:fldChar w:fldCharType="begin"/>
      </w:r>
      <w:r>
        <w:instrText xml:space="preserve"> PAGEREF _Toc6476 \h </w:instrText>
      </w:r>
      <w:r>
        <w:fldChar w:fldCharType="separate"/>
      </w:r>
      <w:r>
        <w:t>24</w:t>
      </w:r>
      <w:r>
        <w:fldChar w:fldCharType="end"/>
      </w:r>
      <w:r>
        <w:fldChar w:fldCharType="end"/>
      </w:r>
    </w:p>
    <w:p>
      <w:pPr>
        <w:pStyle w:val="14"/>
        <w:tabs>
          <w:tab w:val="right" w:leader="dot" w:pos="9184"/>
          <w:tab w:val="clear" w:pos="8296"/>
        </w:tabs>
      </w:pPr>
      <w:r>
        <w:fldChar w:fldCharType="begin"/>
      </w:r>
      <w:r>
        <w:instrText xml:space="preserve"> HYPERLINK \l "_Toc589" </w:instrText>
      </w:r>
      <w:r>
        <w:fldChar w:fldCharType="separate"/>
      </w:r>
      <w:r>
        <w:rPr>
          <w:rFonts w:hint="eastAsia" w:ascii="黑体" w:eastAsia="黑体"/>
        </w:rPr>
        <w:t>三、支出决算表</w:t>
      </w:r>
      <w:r>
        <w:tab/>
      </w:r>
      <w:r>
        <w:fldChar w:fldCharType="begin"/>
      </w:r>
      <w:r>
        <w:instrText xml:space="preserve"> PAGEREF _Toc589 \h </w:instrText>
      </w:r>
      <w:r>
        <w:fldChar w:fldCharType="separate"/>
      </w:r>
      <w:r>
        <w:t>24</w:t>
      </w:r>
      <w:r>
        <w:fldChar w:fldCharType="end"/>
      </w:r>
      <w:r>
        <w:fldChar w:fldCharType="end"/>
      </w:r>
    </w:p>
    <w:p>
      <w:pPr>
        <w:pStyle w:val="14"/>
        <w:tabs>
          <w:tab w:val="right" w:leader="dot" w:pos="9184"/>
          <w:tab w:val="clear" w:pos="8296"/>
        </w:tabs>
      </w:pPr>
      <w:r>
        <w:fldChar w:fldCharType="begin"/>
      </w:r>
      <w:r>
        <w:instrText xml:space="preserve"> HYPERLINK \l "_Toc13945" </w:instrText>
      </w:r>
      <w:r>
        <w:fldChar w:fldCharType="separate"/>
      </w:r>
      <w:r>
        <w:rPr>
          <w:rFonts w:hint="eastAsia" w:ascii="黑体" w:eastAsia="黑体"/>
        </w:rPr>
        <w:t>四、财政拨款收入支出决算总表</w:t>
      </w:r>
      <w:r>
        <w:tab/>
      </w:r>
      <w:r>
        <w:fldChar w:fldCharType="begin"/>
      </w:r>
      <w:r>
        <w:instrText xml:space="preserve"> PAGEREF _Toc13945 \h </w:instrText>
      </w:r>
      <w:r>
        <w:fldChar w:fldCharType="separate"/>
      </w:r>
      <w:r>
        <w:t>24</w:t>
      </w:r>
      <w:r>
        <w:fldChar w:fldCharType="end"/>
      </w:r>
      <w:r>
        <w:fldChar w:fldCharType="end"/>
      </w:r>
    </w:p>
    <w:p>
      <w:pPr>
        <w:pStyle w:val="14"/>
        <w:tabs>
          <w:tab w:val="right" w:leader="dot" w:pos="9184"/>
          <w:tab w:val="clear" w:pos="8296"/>
        </w:tabs>
      </w:pPr>
      <w:r>
        <w:fldChar w:fldCharType="begin"/>
      </w:r>
      <w:r>
        <w:instrText xml:space="preserve"> HYPERLINK \l "_Toc21208" </w:instrText>
      </w:r>
      <w:r>
        <w:fldChar w:fldCharType="separate"/>
      </w:r>
      <w:r>
        <w:rPr>
          <w:rFonts w:hint="eastAsia" w:ascii="黑体" w:eastAsia="黑体"/>
        </w:rPr>
        <w:t>五、财政拨款支出决算明细表</w:t>
      </w:r>
      <w:r>
        <w:tab/>
      </w:r>
      <w:r>
        <w:fldChar w:fldCharType="begin"/>
      </w:r>
      <w:r>
        <w:instrText xml:space="preserve"> PAGEREF _Toc21208 \h </w:instrText>
      </w:r>
      <w:r>
        <w:fldChar w:fldCharType="separate"/>
      </w:r>
      <w:r>
        <w:t>24</w:t>
      </w:r>
      <w:r>
        <w:fldChar w:fldCharType="end"/>
      </w:r>
      <w:r>
        <w:fldChar w:fldCharType="end"/>
      </w:r>
    </w:p>
    <w:p>
      <w:pPr>
        <w:pStyle w:val="14"/>
        <w:tabs>
          <w:tab w:val="right" w:leader="dot" w:pos="9184"/>
          <w:tab w:val="clear" w:pos="8296"/>
        </w:tabs>
      </w:pPr>
      <w:r>
        <w:fldChar w:fldCharType="begin"/>
      </w:r>
      <w:r>
        <w:instrText xml:space="preserve"> HYPERLINK \l "_Toc32705" </w:instrText>
      </w:r>
      <w:r>
        <w:fldChar w:fldCharType="separate"/>
      </w:r>
      <w:r>
        <w:rPr>
          <w:rFonts w:hint="eastAsia" w:ascii="黑体" w:eastAsia="黑体"/>
        </w:rPr>
        <w:t>六、一般公共预算财政拨款支出决算表</w:t>
      </w:r>
      <w:r>
        <w:tab/>
      </w:r>
      <w:r>
        <w:fldChar w:fldCharType="begin"/>
      </w:r>
      <w:r>
        <w:instrText xml:space="preserve"> PAGEREF _Toc32705 \h </w:instrText>
      </w:r>
      <w:r>
        <w:fldChar w:fldCharType="separate"/>
      </w:r>
      <w:r>
        <w:t>24</w:t>
      </w:r>
      <w:r>
        <w:fldChar w:fldCharType="end"/>
      </w:r>
      <w:r>
        <w:fldChar w:fldCharType="end"/>
      </w:r>
    </w:p>
    <w:p>
      <w:pPr>
        <w:pStyle w:val="14"/>
        <w:tabs>
          <w:tab w:val="right" w:leader="dot" w:pos="9184"/>
          <w:tab w:val="clear" w:pos="8296"/>
        </w:tabs>
      </w:pPr>
      <w:r>
        <w:fldChar w:fldCharType="begin"/>
      </w:r>
      <w:r>
        <w:instrText xml:space="preserve"> HYPERLINK \l "_Toc11493" </w:instrText>
      </w:r>
      <w:r>
        <w:fldChar w:fldCharType="separate"/>
      </w:r>
      <w:r>
        <w:rPr>
          <w:rFonts w:hint="eastAsia" w:ascii="黑体" w:eastAsia="黑体"/>
        </w:rPr>
        <w:t>七、一般公共预算财政拨款支出决算明细表</w:t>
      </w:r>
      <w:r>
        <w:tab/>
      </w:r>
      <w:r>
        <w:fldChar w:fldCharType="begin"/>
      </w:r>
      <w:r>
        <w:instrText xml:space="preserve"> PAGEREF _Toc11493 \h </w:instrText>
      </w:r>
      <w:r>
        <w:fldChar w:fldCharType="separate"/>
      </w:r>
      <w:r>
        <w:t>24</w:t>
      </w:r>
      <w:r>
        <w:fldChar w:fldCharType="end"/>
      </w:r>
      <w:r>
        <w:fldChar w:fldCharType="end"/>
      </w:r>
    </w:p>
    <w:p>
      <w:pPr>
        <w:pStyle w:val="14"/>
        <w:tabs>
          <w:tab w:val="right" w:leader="dot" w:pos="9184"/>
          <w:tab w:val="clear" w:pos="8296"/>
        </w:tabs>
      </w:pPr>
      <w:r>
        <w:fldChar w:fldCharType="begin"/>
      </w:r>
      <w:r>
        <w:instrText xml:space="preserve"> HYPERLINK \l "_Toc7181" </w:instrText>
      </w:r>
      <w:r>
        <w:fldChar w:fldCharType="separate"/>
      </w:r>
      <w:r>
        <w:rPr>
          <w:rFonts w:hint="eastAsia" w:ascii="黑体" w:eastAsia="黑体"/>
        </w:rPr>
        <w:t>八、一般公共预算财政拨款基本支出决算表</w:t>
      </w:r>
      <w:r>
        <w:tab/>
      </w:r>
      <w:r>
        <w:fldChar w:fldCharType="begin"/>
      </w:r>
      <w:r>
        <w:instrText xml:space="preserve"> PAGEREF _Toc7181 \h </w:instrText>
      </w:r>
      <w:r>
        <w:fldChar w:fldCharType="separate"/>
      </w:r>
      <w:r>
        <w:t>24</w:t>
      </w:r>
      <w:r>
        <w:fldChar w:fldCharType="end"/>
      </w:r>
      <w:r>
        <w:fldChar w:fldCharType="end"/>
      </w:r>
    </w:p>
    <w:p>
      <w:pPr>
        <w:pStyle w:val="14"/>
        <w:tabs>
          <w:tab w:val="right" w:leader="dot" w:pos="9184"/>
          <w:tab w:val="clear" w:pos="8296"/>
        </w:tabs>
      </w:pPr>
      <w:r>
        <w:fldChar w:fldCharType="begin"/>
      </w:r>
      <w:r>
        <w:instrText xml:space="preserve"> HYPERLINK \l "_Toc29771" </w:instrText>
      </w:r>
      <w:r>
        <w:fldChar w:fldCharType="separate"/>
      </w:r>
      <w:r>
        <w:rPr>
          <w:rFonts w:hint="eastAsia" w:ascii="黑体" w:eastAsia="黑体"/>
        </w:rPr>
        <w:t>九、一般公共预算财政拨款项目支出决算表</w:t>
      </w:r>
      <w:r>
        <w:tab/>
      </w:r>
      <w:r>
        <w:fldChar w:fldCharType="begin"/>
      </w:r>
      <w:r>
        <w:instrText xml:space="preserve"> PAGEREF _Toc29771 \h </w:instrText>
      </w:r>
      <w:r>
        <w:fldChar w:fldCharType="separate"/>
      </w:r>
      <w:r>
        <w:t>24</w:t>
      </w:r>
      <w:r>
        <w:fldChar w:fldCharType="end"/>
      </w:r>
      <w:r>
        <w:fldChar w:fldCharType="end"/>
      </w:r>
    </w:p>
    <w:p>
      <w:pPr>
        <w:pStyle w:val="14"/>
        <w:tabs>
          <w:tab w:val="right" w:leader="dot" w:pos="9184"/>
          <w:tab w:val="clear" w:pos="8296"/>
        </w:tabs>
      </w:pPr>
      <w:r>
        <w:fldChar w:fldCharType="begin"/>
      </w:r>
      <w:r>
        <w:instrText xml:space="preserve"> HYPERLINK \l "_Toc7713" </w:instrText>
      </w:r>
      <w:r>
        <w:fldChar w:fldCharType="separate"/>
      </w:r>
      <w:r>
        <w:rPr>
          <w:rFonts w:hint="eastAsia" w:ascii="黑体" w:eastAsia="黑体"/>
        </w:rPr>
        <w:t>十、一般公共预算财政拨款“三公”经费支出决算表</w:t>
      </w:r>
      <w:r>
        <w:tab/>
      </w:r>
      <w:r>
        <w:fldChar w:fldCharType="begin"/>
      </w:r>
      <w:r>
        <w:instrText xml:space="preserve"> PAGEREF _Toc7713 \h </w:instrText>
      </w:r>
      <w:r>
        <w:fldChar w:fldCharType="separate"/>
      </w:r>
      <w:r>
        <w:t>24</w:t>
      </w:r>
      <w:r>
        <w:fldChar w:fldCharType="end"/>
      </w:r>
      <w:r>
        <w:fldChar w:fldCharType="end"/>
      </w:r>
    </w:p>
    <w:p>
      <w:pPr>
        <w:pStyle w:val="14"/>
        <w:tabs>
          <w:tab w:val="right" w:leader="dot" w:pos="9184"/>
          <w:tab w:val="clear" w:pos="8296"/>
        </w:tabs>
      </w:pPr>
      <w:r>
        <w:fldChar w:fldCharType="begin"/>
      </w:r>
      <w:r>
        <w:instrText xml:space="preserve"> HYPERLINK \l "_Toc24029" </w:instrText>
      </w:r>
      <w:r>
        <w:fldChar w:fldCharType="separate"/>
      </w:r>
      <w:r>
        <w:rPr>
          <w:rFonts w:hint="eastAsia" w:ascii="黑体" w:eastAsia="黑体"/>
        </w:rPr>
        <w:t>十一、政府性基金预算财政拨款收入支出决算表</w:t>
      </w:r>
      <w:r>
        <w:tab/>
      </w:r>
      <w:r>
        <w:fldChar w:fldCharType="begin"/>
      </w:r>
      <w:r>
        <w:instrText xml:space="preserve"> PAGEREF _Toc24029 \h </w:instrText>
      </w:r>
      <w:r>
        <w:fldChar w:fldCharType="separate"/>
      </w:r>
      <w:r>
        <w:t>24</w:t>
      </w:r>
      <w:r>
        <w:fldChar w:fldCharType="end"/>
      </w:r>
      <w:r>
        <w:fldChar w:fldCharType="end"/>
      </w:r>
    </w:p>
    <w:p>
      <w:pPr>
        <w:pStyle w:val="14"/>
        <w:tabs>
          <w:tab w:val="right" w:leader="dot" w:pos="9184"/>
          <w:tab w:val="clear" w:pos="8296"/>
        </w:tabs>
      </w:pPr>
      <w:r>
        <w:fldChar w:fldCharType="begin"/>
      </w:r>
      <w:r>
        <w:instrText xml:space="preserve"> HYPERLINK \l "_Toc10270" </w:instrText>
      </w:r>
      <w:r>
        <w:fldChar w:fldCharType="separate"/>
      </w:r>
      <w:r>
        <w:rPr>
          <w:rFonts w:hint="eastAsia" w:ascii="黑体" w:eastAsia="黑体"/>
        </w:rPr>
        <w:t>十二、政府性基金预算财政拨款“三公”经费支出决算表</w:t>
      </w:r>
      <w:r>
        <w:tab/>
      </w:r>
      <w:r>
        <w:fldChar w:fldCharType="begin"/>
      </w:r>
      <w:r>
        <w:instrText xml:space="preserve"> PAGEREF _Toc10270 \h </w:instrText>
      </w:r>
      <w:r>
        <w:fldChar w:fldCharType="separate"/>
      </w:r>
      <w:r>
        <w:t>24</w:t>
      </w:r>
      <w:r>
        <w:fldChar w:fldCharType="end"/>
      </w:r>
      <w:r>
        <w:fldChar w:fldCharType="end"/>
      </w:r>
    </w:p>
    <w:p>
      <w:pPr>
        <w:pStyle w:val="14"/>
        <w:tabs>
          <w:tab w:val="right" w:leader="dot" w:pos="9184"/>
          <w:tab w:val="clear" w:pos="8296"/>
        </w:tabs>
      </w:pPr>
      <w:r>
        <w:fldChar w:fldCharType="begin"/>
      </w:r>
      <w:r>
        <w:instrText xml:space="preserve"> HYPERLINK \l "_Toc10606" </w:instrText>
      </w:r>
      <w:r>
        <w:fldChar w:fldCharType="separate"/>
      </w:r>
      <w:r>
        <w:rPr>
          <w:rFonts w:hint="eastAsia" w:ascii="黑体" w:eastAsia="黑体"/>
        </w:rPr>
        <w:t>十三、国有资本经营预算财政拨款收入支出决算表</w:t>
      </w:r>
      <w:r>
        <w:tab/>
      </w:r>
      <w:r>
        <w:fldChar w:fldCharType="begin"/>
      </w:r>
      <w:r>
        <w:instrText xml:space="preserve"> PAGEREF _Toc10606 \h </w:instrText>
      </w:r>
      <w:r>
        <w:fldChar w:fldCharType="separate"/>
      </w:r>
      <w:r>
        <w:t>24</w:t>
      </w:r>
      <w:r>
        <w:fldChar w:fldCharType="end"/>
      </w:r>
      <w:r>
        <w:fldChar w:fldCharType="end"/>
      </w:r>
    </w:p>
    <w:p>
      <w:pPr>
        <w:pStyle w:val="14"/>
        <w:tabs>
          <w:tab w:val="right" w:leader="dot" w:pos="9184"/>
          <w:tab w:val="clear" w:pos="8296"/>
        </w:tabs>
      </w:pPr>
      <w:r>
        <w:fldChar w:fldCharType="begin"/>
      </w:r>
      <w:r>
        <w:instrText xml:space="preserve"> HYPERLINK \l "_Toc20471" </w:instrText>
      </w:r>
      <w:r>
        <w:fldChar w:fldCharType="separate"/>
      </w:r>
      <w:r>
        <w:rPr>
          <w:rFonts w:hint="eastAsia" w:ascii="黑体" w:eastAsia="黑体"/>
        </w:rPr>
        <w:t>十四、国有资本经营预算财政拨款支出决算表</w:t>
      </w:r>
      <w:r>
        <w:tab/>
      </w:r>
      <w:r>
        <w:fldChar w:fldCharType="begin"/>
      </w:r>
      <w:r>
        <w:instrText xml:space="preserve"> PAGEREF _Toc20471 \h </w:instrText>
      </w:r>
      <w:r>
        <w:fldChar w:fldCharType="separate"/>
      </w:r>
      <w:r>
        <w:t>24</w:t>
      </w:r>
      <w:r>
        <w:fldChar w:fldCharType="end"/>
      </w:r>
      <w:r>
        <w:fldChar w:fldCharType="end"/>
      </w:r>
    </w:p>
    <w:p>
      <w:pPr>
        <w:pStyle w:val="14"/>
        <w:rPr>
          <w:rFonts w:ascii="黑体" w:hAnsi="黑体" w:eastAsia="黑体" w:cs="黑体"/>
        </w:rPr>
      </w:pPr>
      <w:r>
        <w:fldChar w:fldCharType="end"/>
      </w:r>
      <w:bookmarkStart w:id="13" w:name="_Toc111208495"/>
    </w:p>
    <w:p>
      <w:pPr>
        <w:numPr>
          <w:ilvl w:val="0"/>
          <w:numId w:val="1"/>
        </w:numPr>
        <w:spacing w:line="660" w:lineRule="exact"/>
        <w:jc w:val="center"/>
        <w:rPr>
          <w:rFonts w:ascii="方正小标宋简体" w:hAnsi="Calibri" w:eastAsia="方正小标宋简体"/>
          <w:sz w:val="44"/>
          <w:szCs w:val="44"/>
        </w:rPr>
      </w:pPr>
      <w:bookmarkStart w:id="14" w:name="_Toc2612"/>
      <w:r>
        <w:rPr>
          <w:rFonts w:hint="eastAsia" w:ascii="方正小标宋简体" w:hAnsi="Calibri" w:eastAsia="方正小标宋简体"/>
          <w:sz w:val="44"/>
          <w:szCs w:val="44"/>
        </w:rPr>
        <w:t>部门概况</w:t>
      </w:r>
      <w:bookmarkEnd w:id="12"/>
      <w:bookmarkEnd w:id="13"/>
      <w:bookmarkEnd w:id="14"/>
      <w:bookmarkStart w:id="15" w:name="_Toc15377197"/>
      <w:bookmarkStart w:id="16" w:name="_Toc111208496"/>
      <w:bookmarkStart w:id="17" w:name="_Toc13616"/>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一、基本职能及主要工作</w:t>
      </w:r>
      <w:bookmarkEnd w:id="15"/>
      <w:bookmarkEnd w:id="16"/>
      <w:bookmarkEnd w:id="17"/>
      <w:bookmarkStart w:id="18" w:name="_Toc15377198"/>
      <w:bookmarkStart w:id="19" w:name="_Toc15378445"/>
    </w:p>
    <w:p>
      <w:pPr>
        <w:spacing w:line="560" w:lineRule="exact"/>
        <w:ind w:firstLine="642" w:firstLineChars="200"/>
        <w:rPr>
          <w:rFonts w:ascii="楷体_GB2312" w:eastAsia="楷体_GB2312" w:cs="楷体_GB2312"/>
          <w:b/>
          <w:bCs/>
          <w:sz w:val="32"/>
          <w:szCs w:val="32"/>
        </w:rPr>
      </w:pPr>
      <w:r>
        <w:rPr>
          <w:rFonts w:hint="eastAsia" w:ascii="楷体_GB2312" w:eastAsia="楷体_GB2312" w:cs="楷体_GB2312"/>
          <w:b/>
          <w:bCs/>
          <w:sz w:val="32"/>
          <w:szCs w:val="32"/>
        </w:rPr>
        <w:t>（一）主要职能</w:t>
      </w:r>
      <w:bookmarkEnd w:id="18"/>
      <w:bookmarkEnd w:id="19"/>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拟订全县财税发展战略、规划和改革方案并组织实施。分析预测宏观经济形势，参与执行宏观经济政策，提出运用财税政策实施宏观调控和综合平衡社会财力的建议。贯彻落实国家与企业的分配政策及公益事业发展的财税政策。</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2.贯彻执行财政、税收、财务、会计管理的法律法规和规章。按照管理权限管理全县税政事项。</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负责管理各项财政收支。编制年度县级预决算草案并组织执行。组织制定经费开支标准、定额，审核批复部门（单位）年度预决算。受县人民政府委托，向县人大及其常委会报告财政预算、执行和决算等情况。负责政府投资基金县级财政出资的资产管理。负责县级预决算公开。负责全面实施预算绩效管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4.按分工负责政府非税收入管理。负责政府性基金管理，按规定管理行政事业性收费等其他非税收入。管理财政票据。执行彩票管理政策和有关办法。</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5.组织制定全县国库管理制度、国库集中收付制度，指导和监督国库业务，开展国库现金管理工作。贯彻执行政府财务报告编制办法并组织实施。执行制定政府采购制度并监督管理。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6.贯彻执行地方政府债务管理制度和政策，制定具体管理办法，编制地方政府债余额限额计划，统一管理政府外债，防范财政风险。</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7.牵头编制全县国有资产管理情况报告。拟订全县行政事业单位国有资产管理制度并组织实施。执行全州统一规定的开支标准和支出政策。</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负责审核并汇总编制全县国有资本经营预决算草案。制定国有资本经营预算制度和办法，收取县本级企业国有资本收益。组织实施企业财务制度，负责财政预算内行政事业单位和社会团体的非贸易外汇和财政预算内的国际收支管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9.负责审核并汇总编制全县社会保险基金预决算草案，会同有关部门拟订有关资金（基金）财务管理制度，承担社会保险基金财政监管工作。</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10.负责办理和监督县级财政的经济发展支出、县级政府性投资项目的财政拨款，负责投资评审管理工作，执行基建投资有关政策，制定基建财务管理制度。</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11.管理外国政府和国际金融机构贷（赠）款项目的有关业务，参与财经领域的国际交流与合作。</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12.负责管理全县会计工作，监督和规范会计行为，组织实施国家统一的会计制度，指导和监督注册会计师和会计师事务所的业务，指导和管理社会审计。依法管理资产评估有关工作。</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13.负责职责范围内的安全生产和职业健康、生态环境保护、审批服务便民化等工作。</w:t>
      </w:r>
    </w:p>
    <w:p>
      <w:pPr>
        <w:spacing w:line="560" w:lineRule="exact"/>
        <w:ind w:firstLine="642" w:firstLineChars="200"/>
        <w:rPr>
          <w:rFonts w:ascii="楷体_GB2312" w:eastAsia="楷体_GB2312" w:cs="楷体_GB2312"/>
          <w:b/>
          <w:bCs/>
          <w:sz w:val="32"/>
          <w:szCs w:val="32"/>
        </w:rPr>
      </w:pPr>
      <w:bookmarkStart w:id="20" w:name="_Toc15377199"/>
      <w:bookmarkStart w:id="21" w:name="_Toc15378446"/>
      <w:r>
        <w:rPr>
          <w:rFonts w:hint="eastAsia" w:ascii="楷体_GB2312" w:eastAsia="楷体_GB2312" w:cs="楷体_GB2312"/>
          <w:b/>
          <w:bCs/>
          <w:sz w:val="32"/>
          <w:szCs w:val="32"/>
        </w:rPr>
        <w:t>（二）2021重点工作完成情况</w:t>
      </w:r>
      <w:bookmarkEnd w:id="20"/>
      <w:bookmarkEnd w:id="21"/>
      <w:bookmarkStart w:id="22" w:name="_Toc1537720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cs="仿宋_GB2312"/>
          <w:b/>
          <w:sz w:val="32"/>
          <w:szCs w:val="32"/>
          <w:lang w:val="en-US" w:eastAsia="zh-CN" w:bidi="ar-SA"/>
        </w:rPr>
      </w:pPr>
      <w:bookmarkStart w:id="23" w:name="_Toc16594"/>
      <w:bookmarkStart w:id="24" w:name="_Toc111208497"/>
      <w:r>
        <w:rPr>
          <w:rFonts w:hint="eastAsia" w:ascii="仿宋_GB2312" w:eastAsia="仿宋_GB2312" w:cs="仿宋_GB2312"/>
          <w:b/>
          <w:sz w:val="32"/>
          <w:szCs w:val="32"/>
          <w:lang w:val="en-US" w:eastAsia="zh-CN" w:bidi="ar-SA"/>
        </w:rPr>
        <w:t>1.强化财税征管抓收入，努力完成全年预期目标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积极组织财政收入，加强部门联动，拓展税源，强化非税收入征管，改进薄弱环节征管措施，确保财政收入应收尽收。202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年完成地方一般公共预算收入</w:t>
      </w:r>
      <w:r>
        <w:rPr>
          <w:rFonts w:hint="eastAsia" w:ascii="仿宋_GB2312" w:eastAsia="仿宋_GB2312" w:cs="仿宋_GB2312"/>
          <w:sz w:val="32"/>
          <w:szCs w:val="32"/>
          <w:lang w:val="en-US" w:eastAsia="zh-CN"/>
        </w:rPr>
        <w:t>22564</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cs="仿宋_GB2312"/>
          <w:sz w:val="32"/>
          <w:szCs w:val="32"/>
        </w:rPr>
      </w:pPr>
      <w:r>
        <w:rPr>
          <w:rFonts w:hint="eastAsia" w:ascii="仿宋_GB2312" w:eastAsia="仿宋_GB2312" w:cs="仿宋_GB2312"/>
          <w:b/>
          <w:sz w:val="32"/>
          <w:szCs w:val="32"/>
          <w:lang w:val="en-US" w:eastAsia="zh-CN" w:bidi="ar-SA"/>
        </w:rPr>
        <w:t>2.管好用好直达资金。</w:t>
      </w:r>
      <w:r>
        <w:rPr>
          <w:rFonts w:hint="eastAsia" w:ascii="仿宋_GB2312" w:eastAsia="仿宋_GB2312" w:cs="仿宋_GB2312"/>
          <w:sz w:val="32"/>
          <w:szCs w:val="32"/>
        </w:rPr>
        <w:t>安排直达资金</w:t>
      </w:r>
      <w:r>
        <w:rPr>
          <w:rFonts w:hint="eastAsia" w:ascii="仿宋_GB2312" w:eastAsia="仿宋_GB2312" w:cs="仿宋_GB2312"/>
          <w:sz w:val="32"/>
          <w:szCs w:val="32"/>
          <w:lang w:val="en-US" w:eastAsia="zh-CN"/>
        </w:rPr>
        <w:t>22193</w:t>
      </w:r>
      <w:r>
        <w:rPr>
          <w:rFonts w:hint="eastAsia" w:ascii="仿宋_GB2312" w:eastAsia="仿宋_GB2312" w:cs="仿宋_GB2312"/>
          <w:sz w:val="32"/>
          <w:szCs w:val="32"/>
        </w:rPr>
        <w:t>万元，保障基本民生，直接惠企利民，并推进直达资金监控系统管理，加强直达资金日常监管和动态监控。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sz w:val="32"/>
          <w:szCs w:val="32"/>
          <w:lang w:eastAsia="zh-CN" w:bidi="ar-SA"/>
        </w:rPr>
      </w:pPr>
      <w:r>
        <w:rPr>
          <w:rFonts w:hint="eastAsia" w:ascii="仿宋_GB2312" w:eastAsia="仿宋_GB2312" w:cs="仿宋_GB2312"/>
          <w:b/>
          <w:sz w:val="32"/>
          <w:szCs w:val="32"/>
          <w:lang w:val="en-US" w:eastAsia="zh-CN" w:bidi="ar-SA"/>
        </w:rPr>
        <w:t>3.切实保障民生等资金。</w:t>
      </w:r>
      <w:r>
        <w:rPr>
          <w:rFonts w:hint="eastAsia" w:ascii="仿宋_GB2312" w:eastAsia="仿宋_GB2312" w:cs="仿宋_GB2312"/>
          <w:sz w:val="32"/>
          <w:szCs w:val="32"/>
        </w:rPr>
        <w:t>安排资金</w:t>
      </w:r>
      <w:r>
        <w:rPr>
          <w:rFonts w:hint="eastAsia" w:ascii="仿宋_GB2312" w:eastAsia="仿宋_GB2312" w:cs="仿宋_GB2312"/>
          <w:sz w:val="32"/>
          <w:szCs w:val="32"/>
          <w:lang w:val="en-US" w:eastAsia="zh-CN"/>
        </w:rPr>
        <w:t>120413</w:t>
      </w:r>
      <w:r>
        <w:rPr>
          <w:rFonts w:hint="eastAsia" w:ascii="仿宋_GB2312" w:eastAsia="仿宋_GB2312" w:cs="仿宋_GB2312"/>
          <w:sz w:val="32"/>
          <w:szCs w:val="32"/>
        </w:rPr>
        <w:t>万元，切实保障民生，巩固拓展脱贫攻坚成果同乡村振兴有效衔接、地灾治理、生态保护、森林草原防灭火、公共安全等方面</w:t>
      </w:r>
      <w:r>
        <w:rPr>
          <w:rFonts w:hint="eastAsia" w:asci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sz w:val="32"/>
          <w:szCs w:val="32"/>
        </w:rPr>
      </w:pPr>
      <w:r>
        <w:rPr>
          <w:rFonts w:hint="eastAsia" w:ascii="仿宋_GB2312" w:eastAsia="仿宋_GB2312" w:cs="仿宋_GB2312"/>
          <w:b/>
          <w:sz w:val="32"/>
          <w:szCs w:val="32"/>
          <w:lang w:val="en-US" w:eastAsia="zh-CN" w:bidi="ar-SA"/>
        </w:rPr>
        <w:t>4.做优做实预算绩效管理。</w:t>
      </w:r>
      <w:r>
        <w:rPr>
          <w:rFonts w:hint="eastAsia" w:ascii="仿宋_GB2312" w:eastAsia="仿宋_GB2312" w:cs="仿宋_GB2312"/>
          <w:sz w:val="32"/>
          <w:szCs w:val="32"/>
        </w:rPr>
        <w:t>立足强化财政绩效管理职能，把预算绩效管理落到实处。全过程开展了预算绩效管理，推动形成“事前绩效目标审核，事中绩效跟踪，事后绩效评价及绩效问责”环环相扣的财政资金绩效管理格局，组织各单位开展2022年事前绩效评估、2021年绩效运行自行监控及2020年事后绩效自评工作。重点抽评县级财政支出项目29个、涉及资金</w:t>
      </w:r>
      <w:r>
        <w:rPr>
          <w:rFonts w:hint="eastAsia" w:ascii="仿宋_GB2312" w:eastAsia="仿宋_GB2312" w:cs="仿宋_GB2312"/>
          <w:sz w:val="32"/>
          <w:szCs w:val="32"/>
          <w:lang w:val="en-US" w:eastAsia="zh-CN"/>
        </w:rPr>
        <w:t>5258</w:t>
      </w:r>
      <w:r>
        <w:rPr>
          <w:rFonts w:hint="eastAsia" w:ascii="仿宋_GB2312" w:eastAsia="仿宋_GB2312" w:cs="仿宋_GB2312"/>
          <w:sz w:val="32"/>
          <w:szCs w:val="32"/>
        </w:rPr>
        <w:t>万元，整体支出11个预算单位，财政政策7个项目，进一步树立绩效管理理念、强化主体意识，提高资金使用效益。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sz w:val="32"/>
          <w:szCs w:val="32"/>
        </w:rPr>
      </w:pPr>
      <w:r>
        <w:rPr>
          <w:rFonts w:hint="eastAsia" w:ascii="仿宋_GB2312" w:eastAsia="仿宋_GB2312" w:cs="仿宋_GB2312"/>
          <w:b/>
          <w:sz w:val="32"/>
          <w:szCs w:val="32"/>
          <w:lang w:val="en-US" w:eastAsia="zh-CN" w:bidi="ar-SA"/>
        </w:rPr>
        <w:t>5.加强“三公”经费管理。</w:t>
      </w:r>
      <w:r>
        <w:rPr>
          <w:rFonts w:hint="eastAsia" w:ascii="仿宋_GB2312" w:eastAsia="仿宋_GB2312" w:cs="仿宋_GB2312"/>
          <w:sz w:val="32"/>
          <w:szCs w:val="32"/>
        </w:rPr>
        <w:t>强化预算约束，严控支出管理。2021年县级行政事业单位财政拨款“三公”经费支出</w:t>
      </w:r>
      <w:r>
        <w:rPr>
          <w:rFonts w:hint="eastAsia" w:ascii="仿宋_GB2312" w:eastAsia="仿宋_GB2312" w:cs="仿宋_GB2312"/>
          <w:sz w:val="32"/>
          <w:szCs w:val="32"/>
          <w:lang w:val="en-US" w:eastAsia="zh-CN"/>
        </w:rPr>
        <w:t>1513</w:t>
      </w:r>
      <w:r>
        <w:rPr>
          <w:rFonts w:hint="eastAsia" w:ascii="仿宋_GB2312" w:eastAsia="仿宋_GB2312" w:cs="仿宋_GB2312"/>
          <w:sz w:val="32"/>
          <w:szCs w:val="32"/>
        </w:rPr>
        <w:t>万元，其中：公务用车购置及运行维护费</w:t>
      </w:r>
      <w:r>
        <w:rPr>
          <w:rFonts w:hint="eastAsia" w:ascii="仿宋_GB2312" w:eastAsia="仿宋_GB2312" w:cs="仿宋_GB2312"/>
          <w:sz w:val="32"/>
          <w:szCs w:val="32"/>
          <w:lang w:val="en-US" w:eastAsia="zh-CN"/>
        </w:rPr>
        <w:t>1368</w:t>
      </w:r>
      <w:r>
        <w:rPr>
          <w:rFonts w:hint="eastAsia" w:ascii="仿宋_GB2312" w:eastAsia="仿宋_GB2312" w:cs="仿宋_GB2312"/>
          <w:sz w:val="32"/>
          <w:szCs w:val="32"/>
        </w:rPr>
        <w:t>万元，公务接待费145万元，无因公出国（境）经费。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cs="仿宋_GB2312"/>
          <w:sz w:val="32"/>
          <w:szCs w:val="32"/>
        </w:rPr>
      </w:pPr>
      <w:r>
        <w:rPr>
          <w:rFonts w:hint="eastAsia" w:ascii="仿宋_GB2312" w:eastAsia="仿宋_GB2312" w:cs="仿宋_GB2312"/>
          <w:b/>
          <w:sz w:val="32"/>
          <w:szCs w:val="32"/>
          <w:lang w:val="en-US" w:eastAsia="zh-CN" w:bidi="ar-SA"/>
        </w:rPr>
        <w:t>6.深化预算管理改革。</w:t>
      </w:r>
      <w:r>
        <w:rPr>
          <w:rFonts w:hint="eastAsia" w:ascii="仿宋_GB2312" w:eastAsia="仿宋_GB2312" w:cs="仿宋_GB2312"/>
          <w:sz w:val="32"/>
          <w:szCs w:val="32"/>
        </w:rPr>
        <w:t>用信息化手段加强预算管理，规范预算管理工作流程，统一数据标准，推动数据共享。开展预算管理一体化系统工作，县财政部门牵头，加强县级各部门、金融部门联动协调，细化措施、落实责任，为预算一体化系统顺利上线奠定坚实基础。认真落实财政预（决）算信息公开，推进阳光财政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cs="仿宋_GB2312"/>
          <w:sz w:val="32"/>
          <w:szCs w:val="32"/>
        </w:rPr>
      </w:pPr>
      <w:r>
        <w:rPr>
          <w:rFonts w:hint="eastAsia" w:ascii="仿宋_GB2312" w:eastAsia="仿宋_GB2312" w:cs="仿宋_GB2312"/>
          <w:b/>
          <w:sz w:val="32"/>
          <w:szCs w:val="32"/>
          <w:lang w:val="en-US" w:eastAsia="zh-CN" w:bidi="ar-SA"/>
        </w:rPr>
        <w:t>7.加强财政投资评审管理和基本建设财务管理。</w:t>
      </w:r>
      <w:r>
        <w:rPr>
          <w:rFonts w:hint="eastAsia" w:ascii="仿宋_GB2312" w:eastAsia="仿宋_GB2312" w:cs="仿宋_GB2312"/>
          <w:sz w:val="32"/>
          <w:szCs w:val="32"/>
        </w:rPr>
        <w:t>修订完善《茂县财政投资评审管理办法》，进一步规范财政投资评审流程，强化风险防控，有效控制投资规模和建设成本，规范财政投资评审行为；完成评审项目</w:t>
      </w:r>
      <w:r>
        <w:rPr>
          <w:rFonts w:hint="eastAsia" w:ascii="仿宋_GB2312" w:eastAsia="仿宋_GB2312" w:cs="仿宋_GB2312"/>
          <w:sz w:val="32"/>
          <w:szCs w:val="32"/>
          <w:lang w:val="en-US" w:eastAsia="zh-CN"/>
        </w:rPr>
        <w:t>89</w:t>
      </w:r>
      <w:r>
        <w:rPr>
          <w:rFonts w:hint="eastAsia" w:ascii="仿宋_GB2312" w:eastAsia="仿宋_GB2312" w:cs="仿宋_GB2312"/>
          <w:sz w:val="32"/>
          <w:szCs w:val="32"/>
        </w:rPr>
        <w:t>个，送审金额</w:t>
      </w:r>
      <w:r>
        <w:rPr>
          <w:rFonts w:hint="eastAsia" w:ascii="仿宋_GB2312" w:eastAsia="仿宋_GB2312" w:cs="仿宋_GB2312"/>
          <w:sz w:val="32"/>
          <w:szCs w:val="32"/>
          <w:lang w:val="en-US" w:eastAsia="zh-CN"/>
        </w:rPr>
        <w:t>51607.83</w:t>
      </w:r>
      <w:r>
        <w:rPr>
          <w:rFonts w:hint="eastAsia" w:ascii="仿宋_GB2312" w:eastAsia="仿宋_GB2312" w:cs="仿宋_GB2312"/>
          <w:sz w:val="32"/>
          <w:szCs w:val="32"/>
        </w:rPr>
        <w:t>万元，审定金额</w:t>
      </w:r>
      <w:r>
        <w:rPr>
          <w:rFonts w:hint="eastAsia" w:ascii="仿宋_GB2312" w:eastAsia="仿宋_GB2312" w:cs="仿宋_GB2312"/>
          <w:sz w:val="32"/>
          <w:szCs w:val="32"/>
          <w:lang w:val="en-US" w:eastAsia="zh-CN"/>
        </w:rPr>
        <w:t>47398.39</w:t>
      </w:r>
      <w:r>
        <w:rPr>
          <w:rFonts w:hint="eastAsia" w:ascii="仿宋_GB2312" w:eastAsia="仿宋_GB2312" w:cs="仿宋_GB2312"/>
          <w:sz w:val="32"/>
          <w:szCs w:val="32"/>
        </w:rPr>
        <w:t>万元，审减金额3496万元，审减率8</w:t>
      </w:r>
      <w:r>
        <w:rPr>
          <w:rFonts w:hint="eastAsia" w:ascii="仿宋_GB2312" w:eastAsia="仿宋_GB2312" w:cs="仿宋_GB2312"/>
          <w:sz w:val="32"/>
          <w:szCs w:val="32"/>
          <w:lang w:val="en-US" w:eastAsia="zh-CN"/>
        </w:rPr>
        <w:t>.16</w:t>
      </w:r>
      <w:r>
        <w:rPr>
          <w:rFonts w:hint="eastAsia" w:ascii="仿宋_GB2312" w:eastAsia="仿宋_GB2312" w:cs="仿宋_GB2312"/>
          <w:sz w:val="32"/>
          <w:szCs w:val="32"/>
        </w:rPr>
        <w:t>%。规范基本建设财务行为，加强基本建设项目成本控制，完成项目竣工财务决算财务审批</w:t>
      </w:r>
      <w:r>
        <w:rPr>
          <w:rFonts w:hint="eastAsia" w:ascii="仿宋_GB2312" w:eastAsia="仿宋_GB2312" w:cs="仿宋_GB2312"/>
          <w:sz w:val="32"/>
          <w:szCs w:val="32"/>
          <w:lang w:val="en-US" w:eastAsia="zh-CN"/>
        </w:rPr>
        <w:t>46</w:t>
      </w:r>
      <w:r>
        <w:rPr>
          <w:rFonts w:hint="eastAsia" w:ascii="仿宋_GB2312" w:eastAsia="仿宋_GB2312" w:cs="仿宋_GB2312"/>
          <w:sz w:val="32"/>
          <w:szCs w:val="32"/>
        </w:rPr>
        <w:t>个，决算批复金额</w:t>
      </w:r>
      <w:r>
        <w:rPr>
          <w:rFonts w:hint="eastAsia" w:ascii="仿宋_GB2312" w:eastAsia="仿宋_GB2312" w:cs="仿宋_GB2312"/>
          <w:sz w:val="32"/>
          <w:szCs w:val="32"/>
          <w:lang w:val="en-US" w:eastAsia="zh-CN"/>
        </w:rPr>
        <w:t>28176</w:t>
      </w:r>
      <w:r>
        <w:rPr>
          <w:rFonts w:hint="eastAsia" w:asci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29" w:firstLineChars="196"/>
        <w:textAlignment w:val="auto"/>
        <w:rPr>
          <w:rFonts w:hint="eastAsia" w:ascii="仿宋_GB2312" w:eastAsia="仿宋_GB2312" w:cs="仿宋_GB2312"/>
          <w:sz w:val="32"/>
          <w:szCs w:val="32"/>
        </w:rPr>
      </w:pPr>
      <w:r>
        <w:rPr>
          <w:rFonts w:hint="eastAsia" w:ascii="仿宋_GB2312" w:eastAsia="仿宋_GB2312" w:cs="仿宋_GB2312"/>
          <w:b/>
          <w:sz w:val="32"/>
          <w:szCs w:val="32"/>
          <w:lang w:val="en-US" w:eastAsia="zh-CN" w:bidi="ar-SA"/>
        </w:rPr>
        <w:t>8.加强政府采购监管。</w:t>
      </w:r>
      <w:r>
        <w:rPr>
          <w:rFonts w:hint="eastAsia" w:ascii="仿宋_GB2312" w:eastAsia="仿宋_GB2312" w:cs="仿宋_GB2312"/>
          <w:sz w:val="32"/>
          <w:szCs w:val="32"/>
        </w:rPr>
        <w:t>认真贯彻执行《政府采购法》《政府采购法实施条例》《政府购买服务管理办法》相关法律法规，积极履行政府采购工作的监管职责，制定《茂县开展政府采购领域突出问题专项治理工作方案》，按照工作方案对照检查，在全县范围内开展政府采购领域突出问题专项治理，坚持查处和预防相结合，注重上下联动、横向互动，筑牢政府采购各方主体的思想道德和党纪国法两道防线，预防和减少违纪违法问题发生。实施政府采购项目</w:t>
      </w:r>
      <w:r>
        <w:rPr>
          <w:rFonts w:hint="eastAsia" w:ascii="仿宋_GB2312" w:eastAsia="仿宋_GB2312" w:cs="仿宋_GB2312"/>
          <w:sz w:val="32"/>
          <w:szCs w:val="32"/>
          <w:lang w:val="en-US" w:eastAsia="zh-CN"/>
        </w:rPr>
        <w:t>146</w:t>
      </w:r>
      <w:r>
        <w:rPr>
          <w:rFonts w:hint="eastAsia" w:ascii="仿宋_GB2312" w:eastAsia="仿宋_GB2312" w:cs="仿宋_GB2312"/>
          <w:sz w:val="32"/>
          <w:szCs w:val="32"/>
        </w:rPr>
        <w:t>个，预算金额</w:t>
      </w:r>
      <w:r>
        <w:rPr>
          <w:rFonts w:hint="eastAsia" w:ascii="仿宋_GB2312" w:eastAsia="仿宋_GB2312" w:cs="仿宋_GB2312"/>
          <w:sz w:val="32"/>
          <w:szCs w:val="32"/>
          <w:lang w:val="en-US" w:eastAsia="zh-CN"/>
        </w:rPr>
        <w:t>21772</w:t>
      </w:r>
      <w:r>
        <w:rPr>
          <w:rFonts w:hint="eastAsia" w:ascii="仿宋_GB2312" w:eastAsia="仿宋_GB2312" w:cs="仿宋_GB2312"/>
          <w:sz w:val="32"/>
          <w:szCs w:val="32"/>
        </w:rPr>
        <w:t>万元，实际采购金额</w:t>
      </w:r>
      <w:r>
        <w:rPr>
          <w:rFonts w:hint="eastAsia" w:ascii="仿宋_GB2312" w:eastAsia="仿宋_GB2312" w:cs="仿宋_GB2312"/>
          <w:sz w:val="32"/>
          <w:szCs w:val="32"/>
          <w:lang w:val="en-US" w:eastAsia="zh-CN"/>
        </w:rPr>
        <w:t>20973</w:t>
      </w:r>
      <w:r>
        <w:rPr>
          <w:rFonts w:hint="eastAsia" w:ascii="仿宋_GB2312" w:eastAsia="仿宋_GB2312" w:cs="仿宋_GB2312"/>
          <w:sz w:val="32"/>
          <w:szCs w:val="32"/>
        </w:rPr>
        <w:t>万元，节约资金</w:t>
      </w:r>
      <w:r>
        <w:rPr>
          <w:rFonts w:hint="eastAsia" w:ascii="仿宋_GB2312" w:eastAsia="仿宋_GB2312" w:cs="仿宋_GB2312"/>
          <w:sz w:val="32"/>
          <w:szCs w:val="32"/>
          <w:lang w:val="en-US" w:eastAsia="zh-CN"/>
        </w:rPr>
        <w:t>799</w:t>
      </w:r>
      <w:r>
        <w:rPr>
          <w:rFonts w:hint="eastAsia" w:ascii="仿宋_GB2312" w:eastAsia="仿宋_GB2312" w:cs="仿宋_GB2312"/>
          <w:sz w:val="32"/>
          <w:szCs w:val="32"/>
        </w:rPr>
        <w:t>万元，节约率为3.6%。共处理政府采购投诉3起，均已办结。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sz w:val="32"/>
          <w:szCs w:val="32"/>
        </w:rPr>
      </w:pPr>
      <w:r>
        <w:rPr>
          <w:rFonts w:hint="eastAsia" w:ascii="仿宋_GB2312" w:eastAsia="仿宋_GB2312" w:cs="仿宋_GB2312"/>
          <w:b/>
          <w:sz w:val="32"/>
          <w:szCs w:val="32"/>
          <w:lang w:val="en-US" w:eastAsia="zh-CN" w:bidi="ar-SA"/>
        </w:rPr>
        <w:t>9.加强财政资金监管。</w:t>
      </w:r>
      <w:r>
        <w:rPr>
          <w:rFonts w:ascii="Times New Roman" w:hAnsi="Times New Roman" w:eastAsia="仿宋_GB2312" w:cs="Times New Roman"/>
          <w:b/>
          <w:sz w:val="32"/>
          <w:szCs w:val="32"/>
        </w:rPr>
        <w:t>一是</w:t>
      </w:r>
      <w:r>
        <w:rPr>
          <w:rFonts w:hint="eastAsia" w:ascii="仿宋_GB2312" w:eastAsia="仿宋_GB2312" w:cs="仿宋_GB2312"/>
          <w:sz w:val="32"/>
          <w:szCs w:val="32"/>
        </w:rPr>
        <w:t>建立健全制度，印发《县级预算单位上缴资金使用支付内部管理办法》《关于进一步规范银行账户管理的通知》《关于转发进一步严肃财经纪律加强财务管理的指导意见的通知》等，以制度强化约束。</w:t>
      </w:r>
      <w:r>
        <w:rPr>
          <w:rFonts w:ascii="Times New Roman" w:hAnsi="Times New Roman" w:eastAsia="仿宋_GB2312" w:cs="Times New Roman"/>
          <w:b/>
          <w:bCs/>
          <w:sz w:val="32"/>
          <w:szCs w:val="32"/>
        </w:rPr>
        <w:t>二是</w:t>
      </w:r>
      <w:r>
        <w:rPr>
          <w:rFonts w:hint="eastAsia" w:ascii="仿宋_GB2312" w:eastAsia="仿宋_GB2312" w:cs="仿宋_GB2312"/>
          <w:sz w:val="32"/>
          <w:szCs w:val="32"/>
        </w:rPr>
        <w:t>深入贯彻落实省委、省政府关于新形势下进一步严肃财经纪律的有关规定，筑牢财政资金安全防线，防范化解资金管理风险，认真开展严肃财经纪律及财务风险排查工作，对上缴资金的拨付进行审核，并向上级部门备案。</w:t>
      </w:r>
      <w:r>
        <w:rPr>
          <w:rFonts w:ascii="Times New Roman" w:hAnsi="Times New Roman" w:eastAsia="仿宋_GB2312" w:cs="Times New Roman"/>
          <w:b/>
          <w:kern w:val="0"/>
          <w:sz w:val="32"/>
          <w:szCs w:val="32"/>
        </w:rPr>
        <w:t>三</w:t>
      </w:r>
      <w:r>
        <w:rPr>
          <w:rFonts w:ascii="Times New Roman" w:hAnsi="Times New Roman" w:eastAsia="仿宋_GB2312" w:cs="Times New Roman"/>
          <w:b/>
          <w:bCs/>
          <w:sz w:val="32"/>
          <w:szCs w:val="32"/>
        </w:rPr>
        <w:t>是</w:t>
      </w:r>
      <w:r>
        <w:rPr>
          <w:rFonts w:hint="eastAsia" w:ascii="仿宋_GB2312" w:eastAsia="仿宋_GB2312" w:cs="仿宋_GB2312"/>
          <w:sz w:val="32"/>
          <w:szCs w:val="32"/>
        </w:rPr>
        <w:t>落实财政监督职责，确保财政资金安全。将财政监督与财政管理相结合，从深化内部控制，强化外部检查为抓手，统筹监督力量，积极组织开展了粮食购销领域腐败问题专项整治，会计监督检查、“三公”经费、津贴补贴发放和地方预决算公开情况等专项检查，并强化问题整改。把监督管理贯穿于财政运行的各个环节，不断提高依法行政依法理财能力。</w:t>
      </w:r>
      <w:r>
        <w:rPr>
          <w:rFonts w:ascii="Times New Roman" w:hAnsi="Times New Roman" w:eastAsia="仿宋_GB2312" w:cs="Times New Roman"/>
          <w:b/>
          <w:sz w:val="32"/>
          <w:szCs w:val="32"/>
        </w:rPr>
        <w:t>四是</w:t>
      </w:r>
      <w:r>
        <w:rPr>
          <w:rFonts w:hint="eastAsia" w:ascii="仿宋_GB2312" w:eastAsia="仿宋_GB2312" w:cs="仿宋_GB2312"/>
          <w:sz w:val="32"/>
          <w:szCs w:val="32"/>
        </w:rPr>
        <w:t>维护财经秩序，保障财政资金安全规范有效使用，全县共80个单位签定了财政资金管理承诺书。</w:t>
      </w:r>
      <w:r>
        <w:rPr>
          <w:rFonts w:ascii="Times New Roman" w:hAnsi="Times New Roman" w:eastAsia="仿宋_GB2312" w:cs="Times New Roman"/>
          <w:b/>
          <w:sz w:val="32"/>
          <w:szCs w:val="32"/>
        </w:rPr>
        <w:t>五是</w:t>
      </w:r>
      <w:r>
        <w:rPr>
          <w:rFonts w:hint="eastAsia" w:ascii="仿宋_GB2312" w:eastAsia="仿宋_GB2312" w:cs="仿宋_GB2312"/>
          <w:sz w:val="32"/>
          <w:szCs w:val="32"/>
        </w:rPr>
        <w:t>进一步抓好社会保障卡“一卡通”长效机制建设，全面推进惠民惠农财政补贴资金“阳光审批”“阳光发放”“阳光监管”工作，确保各项惠民惠农政策落地见效。</w:t>
      </w:r>
    </w:p>
    <w:p>
      <w:pPr>
        <w:keepNext w:val="0"/>
        <w:keepLines w:val="0"/>
        <w:pageBreakBefore w:val="0"/>
        <w:widowControl w:val="0"/>
        <w:kinsoku/>
        <w:wordWrap/>
        <w:overflowPunct/>
        <w:topLinePunct w:val="0"/>
        <w:autoSpaceDE/>
        <w:autoSpaceDN/>
        <w:bidi w:val="0"/>
        <w:adjustRightInd/>
        <w:snapToGrid/>
        <w:spacing w:line="560" w:lineRule="exact"/>
        <w:ind w:firstLine="629" w:firstLineChars="196"/>
        <w:textAlignment w:val="auto"/>
        <w:rPr>
          <w:rFonts w:hint="eastAsia" w:ascii="仿宋_GB2312" w:eastAsia="仿宋_GB2312" w:cs="仿宋_GB2312"/>
          <w:sz w:val="32"/>
          <w:szCs w:val="32"/>
        </w:rPr>
      </w:pPr>
      <w:r>
        <w:rPr>
          <w:rFonts w:hint="eastAsia" w:ascii="仿宋_GB2312" w:eastAsia="仿宋_GB2312" w:cs="仿宋_GB2312"/>
          <w:b/>
          <w:sz w:val="32"/>
          <w:szCs w:val="32"/>
          <w:lang w:val="en-US" w:eastAsia="zh-CN" w:bidi="ar-SA"/>
        </w:rPr>
        <w:t>10.加强国有资产监管。</w:t>
      </w:r>
      <w:r>
        <w:rPr>
          <w:rFonts w:hint="eastAsia" w:ascii="仿宋_GB2312" w:eastAsia="仿宋_GB2312" w:cs="仿宋_GB2312"/>
          <w:sz w:val="32"/>
          <w:szCs w:val="32"/>
        </w:rPr>
        <w:t>对全县国有资产配置、使用、处置实行动态化管理，优化资产配置和处置，逐步实现行政事业单位资产管理与预算管理相结合。规范国有资产信息化平台建设，进行系统化管理，进一步加强和完善全县国有资产管理。完成资产处置</w:t>
      </w:r>
      <w:r>
        <w:rPr>
          <w:rFonts w:hint="eastAsia" w:ascii="仿宋_GB2312" w:eastAsia="仿宋_GB2312" w:cs="仿宋_GB2312"/>
          <w:sz w:val="32"/>
          <w:szCs w:val="32"/>
          <w:lang w:val="en-US" w:eastAsia="zh-CN"/>
        </w:rPr>
        <w:t>14551</w:t>
      </w:r>
      <w:r>
        <w:rPr>
          <w:rFonts w:hint="eastAsia" w:ascii="仿宋_GB2312" w:eastAsia="仿宋_GB2312" w:cs="仿宋_GB2312"/>
          <w:sz w:val="32"/>
          <w:szCs w:val="32"/>
        </w:rPr>
        <w:t>万元，其中：固定资产报废、报损233万元，固定资产划转13957万元，公务用车车辆报废账务核销</w:t>
      </w:r>
      <w:r>
        <w:rPr>
          <w:rFonts w:hint="eastAsia" w:ascii="仿宋_GB2312" w:eastAsia="仿宋_GB2312" w:cs="仿宋_GB2312"/>
          <w:sz w:val="32"/>
          <w:szCs w:val="32"/>
          <w:lang w:val="en-US" w:eastAsia="zh-CN"/>
        </w:rPr>
        <w:t>367</w:t>
      </w:r>
      <w:r>
        <w:rPr>
          <w:rFonts w:hint="eastAsia" w:ascii="仿宋_GB2312" w:eastAsia="仿宋_GB2312" w:cs="仿宋_GB2312"/>
          <w:sz w:val="32"/>
          <w:szCs w:val="32"/>
        </w:rPr>
        <w:t>万元。</w:t>
      </w:r>
    </w:p>
    <w:p>
      <w:pPr>
        <w:numPr>
          <w:ilvl w:val="0"/>
          <w:numId w:val="2"/>
        </w:numPr>
        <w:spacing w:line="560" w:lineRule="exact"/>
        <w:ind w:left="638" w:leftChars="304"/>
        <w:rPr>
          <w:rFonts w:ascii="黑体" w:hAnsi="黑体" w:eastAsia="黑体" w:cs="黑体"/>
          <w:sz w:val="32"/>
          <w:szCs w:val="32"/>
        </w:rPr>
      </w:pPr>
      <w:r>
        <w:rPr>
          <w:rFonts w:hint="eastAsia" w:ascii="黑体" w:hAnsi="黑体" w:eastAsia="黑体" w:cs="黑体"/>
          <w:sz w:val="32"/>
          <w:szCs w:val="32"/>
        </w:rPr>
        <w:t>机构设置</w:t>
      </w:r>
      <w:bookmarkEnd w:id="22"/>
      <w:bookmarkEnd w:id="23"/>
      <w:bookmarkEnd w:id="24"/>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rPr>
        <w:t>本部门属行政机关。内设行政机构10个，具体为：办公室、预算股、国库股、行政政法与科教文化股（乡财股）、农业农村股（自然资源与生态环境股）、社会保障股、经济建设与金融股、财政监督与绩效管理股、政府采购监督管理与资产股、法规会计与综合股（行政审批股）；事业机构1个，财政评审中心</w:t>
      </w:r>
      <w:r>
        <w:rPr>
          <w:rFonts w:hint="eastAsia" w:ascii="仿宋_GB2312" w:eastAsia="仿宋_GB2312" w:cs="仿宋_GB2312"/>
          <w:sz w:val="32"/>
          <w:szCs w:val="32"/>
          <w:lang w:eastAsia="zh-CN"/>
        </w:rPr>
        <w:t>。</w:t>
      </w:r>
    </w:p>
    <w:p>
      <w:pPr>
        <w:spacing w:line="560" w:lineRule="exact"/>
      </w:pPr>
      <w:bookmarkStart w:id="25" w:name="_Toc15377204"/>
      <w:r>
        <w:br w:type="page"/>
      </w:r>
    </w:p>
    <w:p>
      <w:pPr>
        <w:spacing w:line="560" w:lineRule="exact"/>
        <w:jc w:val="center"/>
        <w:rPr>
          <w:rFonts w:ascii="方正小标宋简体" w:hAnsi="Calibri" w:eastAsia="方正小标宋简体"/>
          <w:sz w:val="44"/>
          <w:szCs w:val="44"/>
        </w:rPr>
      </w:pPr>
      <w:bookmarkStart w:id="26" w:name="_Toc111208498"/>
      <w:bookmarkStart w:id="27" w:name="_Toc28510"/>
      <w:r>
        <w:rPr>
          <w:rFonts w:hint="eastAsia" w:ascii="方正小标宋简体" w:hAnsi="Calibri" w:eastAsia="方正小标宋简体"/>
          <w:sz w:val="44"/>
          <w:szCs w:val="44"/>
        </w:rPr>
        <w:t>第二部分 2021年度部门决算情况说明</w:t>
      </w:r>
      <w:bookmarkEnd w:id="25"/>
      <w:bookmarkEnd w:id="26"/>
      <w:bookmarkEnd w:id="27"/>
    </w:p>
    <w:p>
      <w:pPr>
        <w:spacing w:line="560" w:lineRule="exact"/>
        <w:ind w:firstLine="640" w:firstLineChars="200"/>
        <w:rPr>
          <w:rFonts w:ascii="黑体" w:hAnsi="黑体" w:eastAsia="黑体" w:cs="黑体"/>
          <w:sz w:val="32"/>
          <w:szCs w:val="32"/>
        </w:rPr>
      </w:pPr>
      <w:bookmarkStart w:id="28" w:name="_Toc15377205"/>
      <w:bookmarkStart w:id="29" w:name="_Toc111208499"/>
      <w:bookmarkStart w:id="30" w:name="_Toc18895"/>
      <w:r>
        <w:rPr>
          <w:rFonts w:hint="eastAsia" w:ascii="黑体" w:hAnsi="黑体" w:eastAsia="黑体" w:cs="黑体"/>
          <w:sz w:val="32"/>
          <w:szCs w:val="32"/>
        </w:rPr>
        <w:t>一、收入支出决算总体情况说</w:t>
      </w:r>
      <w:bookmarkEnd w:id="28"/>
      <w:r>
        <w:rPr>
          <w:rFonts w:hint="eastAsia" w:ascii="黑体" w:hAnsi="黑体" w:eastAsia="黑体" w:cs="黑体"/>
          <w:sz w:val="32"/>
          <w:szCs w:val="32"/>
        </w:rPr>
        <w:t>明</w:t>
      </w:r>
      <w:bookmarkEnd w:id="29"/>
      <w:bookmarkEnd w:id="30"/>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2021年度收、支总计766.86万元。与2020年相比，收、支总计各增加100.68万元，增长15.11 %。</w:t>
      </w:r>
      <w:r>
        <w:rPr>
          <w:rFonts w:hint="eastAsia" w:ascii="仿宋" w:eastAsia="仿宋"/>
          <w:color w:val="000000"/>
          <w:sz w:val="32"/>
          <w:szCs w:val="32"/>
        </w:rPr>
        <w:t>主要变动原因是</w:t>
      </w:r>
      <w:r>
        <w:rPr>
          <w:rFonts w:hint="eastAsia" w:ascii="仿宋_GB2312" w:eastAsia="仿宋_GB2312" w:cs="仿宋_GB2312"/>
          <w:kern w:val="0"/>
          <w:sz w:val="32"/>
          <w:szCs w:val="32"/>
        </w:rPr>
        <w:t>人员变动，工资正常晋升。</w:t>
      </w:r>
    </w:p>
    <w:p>
      <w:pPr>
        <w:spacing w:line="560" w:lineRule="exact"/>
        <w:jc w:val="center"/>
      </w:pPr>
      <w:r>
        <w:rPr>
          <w:rFonts w:hint="eastAsia" w:ascii="仿宋_GB2312" w:eastAsia="仿宋_GB2312" w:cs="仿宋_GB2312"/>
          <w:sz w:val="32"/>
          <w:szCs w:val="32"/>
        </w:rPr>
        <w:t>（图1：收、支决算总计变动情况图）</w:t>
      </w:r>
    </w:p>
    <w:p>
      <w:pPr>
        <w:spacing w:line="560" w:lineRule="exact"/>
      </w:pPr>
      <w:r>
        <w:drawing>
          <wp:anchor distT="0" distB="0" distL="114300" distR="114300" simplePos="0" relativeHeight="251659264" behindDoc="0" locked="0" layoutInCell="1" allowOverlap="1">
            <wp:simplePos x="0" y="0"/>
            <wp:positionH relativeFrom="column">
              <wp:posOffset>76200</wp:posOffset>
            </wp:positionH>
            <wp:positionV relativeFrom="paragraph">
              <wp:posOffset>147955</wp:posOffset>
            </wp:positionV>
            <wp:extent cx="5495290" cy="2942590"/>
            <wp:effectExtent l="4445" t="4445" r="5715" b="5715"/>
            <wp:wrapTopAndBottom/>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560" w:lineRule="exact"/>
        <w:ind w:firstLine="640" w:firstLineChars="200"/>
        <w:rPr>
          <w:rFonts w:ascii="黑体" w:hAnsi="黑体" w:eastAsia="黑体" w:cs="黑体"/>
          <w:sz w:val="32"/>
          <w:szCs w:val="32"/>
        </w:rPr>
      </w:pPr>
      <w:bookmarkStart w:id="31" w:name="_Toc111208500"/>
      <w:bookmarkStart w:id="32" w:name="_Toc14574"/>
      <w:bookmarkStart w:id="33" w:name="_Toc15377206"/>
      <w:r>
        <w:rPr>
          <w:rFonts w:hint="eastAsia" w:ascii="黑体" w:hAnsi="黑体" w:eastAsia="黑体" w:cs="黑体"/>
          <w:sz w:val="32"/>
          <w:szCs w:val="32"/>
        </w:rPr>
        <w:t>二、收入决算情况说明</w:t>
      </w:r>
      <w:bookmarkEnd w:id="31"/>
      <w:bookmarkEnd w:id="32"/>
      <w:bookmarkEnd w:id="33"/>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本年收入合计735.83万元，其中：一般公共预算财政拨款收入735.83万元，占100.00%；政府性基金预算财政拨款收入0.00万元，占0.00%；上级补助收入0.00万元，占0.00%；事业收入0.00万元，占0.00%；经营收入0.00万元，占0.00%；附属单位上缴收入0.00万元，占0.00%；其他收入0.00万元，占0.00%。</w:t>
      </w: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p>
    <w:p>
      <w:pPr>
        <w:spacing w:line="560" w:lineRule="exact"/>
        <w:jc w:val="center"/>
      </w:pPr>
      <w:r>
        <w:rPr>
          <w:rFonts w:hint="eastAsia" w:ascii="仿宋_GB2312" w:eastAsia="仿宋_GB2312" w:cs="仿宋_GB2312"/>
          <w:sz w:val="32"/>
          <w:szCs w:val="32"/>
        </w:rPr>
        <w:t>（图2：收入决算结构图）</w:t>
      </w:r>
      <w:r>
        <w:rPr>
          <w:rFonts w:hint="eastAsia"/>
        </w:rPr>
        <w:drawing>
          <wp:anchor distT="0" distB="0" distL="114300" distR="114300" simplePos="0" relativeHeight="251660288" behindDoc="0" locked="0" layoutInCell="1" allowOverlap="1">
            <wp:simplePos x="0" y="0"/>
            <wp:positionH relativeFrom="column">
              <wp:posOffset>367665</wp:posOffset>
            </wp:positionH>
            <wp:positionV relativeFrom="paragraph">
              <wp:posOffset>165735</wp:posOffset>
            </wp:positionV>
            <wp:extent cx="4855210" cy="2553970"/>
            <wp:effectExtent l="4445" t="4445" r="17145" b="1333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560" w:lineRule="exact"/>
        <w:ind w:firstLine="640" w:firstLineChars="200"/>
        <w:rPr>
          <w:rFonts w:ascii="黑体" w:hAnsi="黑体" w:eastAsia="黑体" w:cs="黑体"/>
          <w:sz w:val="32"/>
          <w:szCs w:val="32"/>
        </w:rPr>
      </w:pPr>
      <w:bookmarkStart w:id="34" w:name="_Toc111208501"/>
      <w:bookmarkStart w:id="35" w:name="_Toc7720"/>
      <w:bookmarkStart w:id="36" w:name="_Toc15377207"/>
      <w:r>
        <w:rPr>
          <w:rFonts w:hint="eastAsia" w:ascii="黑体" w:hAnsi="黑体" w:eastAsia="黑体" w:cs="黑体"/>
          <w:sz w:val="32"/>
          <w:szCs w:val="32"/>
        </w:rPr>
        <w:t>三、支出决算情况说明</w:t>
      </w:r>
      <w:bookmarkEnd w:id="34"/>
      <w:bookmarkEnd w:id="35"/>
      <w:bookmarkEnd w:id="36"/>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2021年本年支出合计766.86万元，其中：基本支出685.26万元，占89.36%；项目支出81.60万元，占10.64%；上缴上级支出0.00万元，占0.00%；经营支出0.00万元，占0.00%；对附属单位补助支出0.00万元，占0.00%。</w:t>
      </w:r>
    </w:p>
    <w:p>
      <w:pPr>
        <w:spacing w:line="560" w:lineRule="exact"/>
        <w:jc w:val="center"/>
        <w:rPr>
          <w:rFonts w:ascii="仿宋_GB2312" w:eastAsia="仿宋_GB2312" w:cs="仿宋_GB2312"/>
          <w:sz w:val="32"/>
          <w:szCs w:val="32"/>
        </w:rPr>
      </w:pPr>
      <w:r>
        <w:rPr>
          <w:rFonts w:hint="eastAsia" w:ascii="仿宋_GB2312" w:eastAsia="仿宋_GB2312" w:cs="仿宋_GB2312"/>
          <w:sz w:val="32"/>
          <w:szCs w:val="32"/>
        </w:rPr>
        <w:t>（图3：支出决算结构图）</w:t>
      </w:r>
    </w:p>
    <w:p>
      <w:pPr>
        <w:spacing w:line="560" w:lineRule="exact"/>
        <w:rPr>
          <w:rFonts w:ascii="黑体" w:hAnsi="黑体" w:eastAsia="黑体" w:cs="黑体"/>
          <w:sz w:val="32"/>
          <w:szCs w:val="32"/>
        </w:rPr>
      </w:pPr>
      <w:r>
        <w:rPr>
          <w:rFonts w:hint="eastAsia" w:ascii="黑体" w:hAnsi="黑体" w:eastAsia="黑体" w:cs="黑体"/>
          <w:sz w:val="32"/>
          <w:szCs w:val="32"/>
        </w:rPr>
        <w:drawing>
          <wp:anchor distT="0" distB="0" distL="114300" distR="114300" simplePos="0" relativeHeight="251661312" behindDoc="0" locked="0" layoutInCell="1" allowOverlap="1">
            <wp:simplePos x="0" y="0"/>
            <wp:positionH relativeFrom="column">
              <wp:posOffset>656590</wp:posOffset>
            </wp:positionH>
            <wp:positionV relativeFrom="paragraph">
              <wp:posOffset>151765</wp:posOffset>
            </wp:positionV>
            <wp:extent cx="4311650" cy="2476500"/>
            <wp:effectExtent l="4445" t="4445" r="825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37" w:name="_Toc3299"/>
      <w:bookmarkStart w:id="38" w:name="_Toc15377208"/>
      <w:bookmarkStart w:id="39" w:name="_Toc111208502"/>
      <w:r>
        <w:rPr>
          <w:rFonts w:hint="eastAsia" w:ascii="黑体" w:hAnsi="黑体" w:eastAsia="黑体" w:cs="黑体"/>
          <w:sz w:val="32"/>
          <w:szCs w:val="32"/>
        </w:rPr>
        <w:t>四、财政拨款收入支出决算总体情况说明</w:t>
      </w:r>
      <w:bookmarkEnd w:id="37"/>
      <w:bookmarkEnd w:id="38"/>
      <w:bookmarkEnd w:id="39"/>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2021年财政拨款收、支总计766.86万元。与2020年相比，财政拨款收、支总计各增加100.68万元，增长15.11 %。主要变动原因是人员变动，工资正常晋升。 </w:t>
      </w:r>
    </w:p>
    <w:p>
      <w:pPr>
        <w:spacing w:line="560" w:lineRule="exact"/>
        <w:jc w:val="center"/>
        <w:rPr>
          <w:rFonts w:ascii="仿宋_GB2312" w:eastAsia="仿宋_GB2312" w:cs="仿宋_GB2312"/>
          <w:sz w:val="32"/>
          <w:szCs w:val="32"/>
        </w:rPr>
      </w:pPr>
      <w:r>
        <w:rPr>
          <w:rFonts w:hint="eastAsia" w:ascii="仿宋_GB2312" w:eastAsia="仿宋_GB2312" w:cs="仿宋_GB2312"/>
          <w:sz w:val="32"/>
          <w:szCs w:val="32"/>
        </w:rPr>
        <w:t>（图4：财政拨款收、支决算总计变动情况）</w:t>
      </w:r>
    </w:p>
    <w:p>
      <w:pPr>
        <w:spacing w:line="560" w:lineRule="exact"/>
        <w:ind w:firstLine="640" w:firstLineChars="200"/>
        <w:rPr>
          <w:rFonts w:ascii="黑体" w:hAnsi="黑体" w:eastAsia="黑体" w:cs="黑体"/>
          <w:sz w:val="32"/>
          <w:szCs w:val="32"/>
        </w:rPr>
      </w:pPr>
      <w:bookmarkStart w:id="40" w:name="_Toc15377209"/>
      <w:bookmarkStart w:id="41" w:name="_Toc745"/>
      <w:bookmarkStart w:id="42" w:name="_Toc111208503"/>
      <w:r>
        <w:rPr>
          <w:rFonts w:hint="eastAsia" w:ascii="黑体" w:hAnsi="黑体" w:eastAsia="黑体" w:cs="黑体"/>
          <w:sz w:val="32"/>
          <w:szCs w:val="32"/>
        </w:rPr>
        <w:drawing>
          <wp:anchor distT="0" distB="0" distL="0" distR="0" simplePos="0" relativeHeight="251662336" behindDoc="0" locked="0" layoutInCell="1" allowOverlap="1">
            <wp:simplePos x="0" y="0"/>
            <wp:positionH relativeFrom="column">
              <wp:posOffset>804545</wp:posOffset>
            </wp:positionH>
            <wp:positionV relativeFrom="paragraph">
              <wp:posOffset>92075</wp:posOffset>
            </wp:positionV>
            <wp:extent cx="3830320" cy="2542540"/>
            <wp:effectExtent l="4445" t="4445" r="13335" b="5715"/>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黑体" w:hAnsi="黑体" w:eastAsia="黑体" w:cs="黑体"/>
          <w:sz w:val="32"/>
          <w:szCs w:val="32"/>
        </w:rPr>
        <w:t xml:space="preserve"> 五、一般公共预算财政拨款支出决算情况说</w:t>
      </w:r>
      <w:bookmarkEnd w:id="40"/>
      <w:r>
        <w:rPr>
          <w:rFonts w:hint="eastAsia" w:ascii="黑体" w:hAnsi="黑体" w:eastAsia="黑体" w:cs="黑体"/>
          <w:sz w:val="32"/>
          <w:szCs w:val="32"/>
        </w:rPr>
        <w:t>明</w:t>
      </w:r>
      <w:bookmarkEnd w:id="41"/>
      <w:bookmarkEnd w:id="42"/>
      <w:bookmarkStart w:id="43" w:name="_Toc15377210"/>
    </w:p>
    <w:p>
      <w:pPr>
        <w:spacing w:line="560" w:lineRule="exact"/>
        <w:ind w:firstLine="642" w:firstLineChars="200"/>
        <w:rPr>
          <w:rFonts w:ascii="楷体_GB2312" w:eastAsia="楷体_GB2312" w:cs="楷体_GB2312"/>
          <w:b/>
          <w:bCs/>
          <w:sz w:val="32"/>
          <w:szCs w:val="32"/>
        </w:rPr>
      </w:pPr>
      <w:r>
        <w:rPr>
          <w:rFonts w:hint="eastAsia" w:ascii="楷体_GB2312" w:eastAsia="楷体_GB2312" w:cs="楷体_GB2312"/>
          <w:b/>
          <w:bCs/>
          <w:sz w:val="32"/>
          <w:szCs w:val="32"/>
        </w:rPr>
        <w:t>（一）一般公共预算财政拨款支出决算总体情况</w:t>
      </w:r>
      <w:bookmarkEnd w:id="43"/>
    </w:p>
    <w:p>
      <w:pPr>
        <w:spacing w:line="560" w:lineRule="exact"/>
        <w:ind w:firstLine="640" w:firstLineChars="200"/>
        <w:rPr>
          <w:rFonts w:ascii="仿宋_GB2312" w:eastAsia="仿宋_GB2312" w:cs="仿宋_GB2312"/>
          <w:sz w:val="32"/>
          <w:szCs w:val="32"/>
        </w:rPr>
      </w:pPr>
      <w:bookmarkStart w:id="44" w:name="_Toc15377211"/>
      <w:r>
        <w:rPr>
          <w:rFonts w:hint="eastAsia" w:ascii="仿宋_GB2312" w:eastAsia="仿宋_GB2312" w:cs="仿宋_GB2312"/>
          <w:sz w:val="32"/>
          <w:szCs w:val="32"/>
        </w:rPr>
        <w:t>2021年一般公共预算财政拨款支出766.86万元，占本年支出合计的100.00%。与2020相比，一般公共预算财政拨款增加131.72万元，增长20.74%。主要变动原因是人员变动，工资正常晋升。</w:t>
      </w:r>
    </w:p>
    <w:p>
      <w:pPr>
        <w:spacing w:line="560" w:lineRule="exact"/>
        <w:ind w:firstLine="420" w:firstLineChars="200"/>
        <w:jc w:val="center"/>
      </w:pPr>
      <w:r>
        <w:rPr>
          <w:rFonts w:hint="eastAsia"/>
        </w:rPr>
        <w:drawing>
          <wp:anchor distT="0" distB="0" distL="0" distR="0" simplePos="0" relativeHeight="251663360" behindDoc="0" locked="0" layoutInCell="1" allowOverlap="1">
            <wp:simplePos x="0" y="0"/>
            <wp:positionH relativeFrom="column">
              <wp:posOffset>690245</wp:posOffset>
            </wp:positionH>
            <wp:positionV relativeFrom="paragraph">
              <wp:posOffset>541655</wp:posOffset>
            </wp:positionV>
            <wp:extent cx="4765040" cy="2922905"/>
            <wp:effectExtent l="4445" t="4445" r="12065" b="635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eastAsia="仿宋_GB2312" w:cs="仿宋_GB2312"/>
          <w:sz w:val="32"/>
          <w:szCs w:val="32"/>
        </w:rPr>
        <w:t>（图5：一般公共预算财政拨款支出决算变动情况）</w:t>
      </w:r>
    </w:p>
    <w:p>
      <w:pPr>
        <w:spacing w:line="560" w:lineRule="exact"/>
        <w:ind w:firstLine="642" w:firstLineChars="200"/>
        <w:rPr>
          <w:rFonts w:ascii="楷体_GB2312" w:eastAsia="楷体_GB2312" w:cs="楷体_GB2312"/>
          <w:b/>
          <w:bCs/>
          <w:sz w:val="32"/>
          <w:szCs w:val="32"/>
        </w:rPr>
      </w:pPr>
      <w:r>
        <w:rPr>
          <w:rFonts w:hint="eastAsia" w:ascii="楷体_GB2312" w:eastAsia="楷体_GB2312" w:cs="楷体_GB2312"/>
          <w:b/>
          <w:bCs/>
          <w:sz w:val="32"/>
          <w:szCs w:val="32"/>
        </w:rPr>
        <w:t>（二）一般公共预算财政拨款支出决算结构情况</w:t>
      </w:r>
      <w:bookmarkEnd w:id="44"/>
      <w:r>
        <w:rPr>
          <w:rFonts w:hint="eastAsia" w:ascii="楷体_GB2312" w:eastAsia="楷体_GB2312" w:cs="楷体_GB2312"/>
          <w:b/>
          <w:bCs/>
          <w:sz w:val="32"/>
          <w:szCs w:val="32"/>
        </w:rPr>
        <w:t>（一般公共预算收支表）</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一般公共预算财政拨款支出766.86万元，主要用于以下方面:一般公共服务支出622.23万元，占81.14%；社会保障和就业支出65.69万元，占8.57%；卫生健康支出31.72万元，占4.14%；农林水支出0.84万元，占0.11%；住房保障支出46.3</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万元，占6.04%。</w:t>
      </w:r>
    </w:p>
    <w:p>
      <w:pPr>
        <w:spacing w:line="560" w:lineRule="exact"/>
        <w:jc w:val="center"/>
        <w:rPr>
          <w:rFonts w:ascii="仿宋_GB2312" w:eastAsia="仿宋_GB2312" w:cs="仿宋_GB2312"/>
          <w:sz w:val="32"/>
          <w:szCs w:val="32"/>
        </w:rPr>
      </w:pPr>
      <w:r>
        <w:drawing>
          <wp:anchor distT="0" distB="0" distL="0" distR="0" simplePos="0" relativeHeight="251664384" behindDoc="0" locked="0" layoutInCell="1" allowOverlap="1">
            <wp:simplePos x="0" y="0"/>
            <wp:positionH relativeFrom="column">
              <wp:posOffset>764540</wp:posOffset>
            </wp:positionH>
            <wp:positionV relativeFrom="paragraph">
              <wp:posOffset>399415</wp:posOffset>
            </wp:positionV>
            <wp:extent cx="4177665" cy="2477770"/>
            <wp:effectExtent l="4445" t="4445" r="8890" b="1333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_GB2312" w:eastAsia="仿宋_GB2312" w:cs="仿宋_GB2312"/>
          <w:sz w:val="32"/>
          <w:szCs w:val="32"/>
        </w:rPr>
        <w:t>（图6：一般公共预算财政拨款支出决算结构）</w:t>
      </w:r>
      <w:bookmarkStart w:id="45" w:name="_Toc15377212"/>
    </w:p>
    <w:p>
      <w:pPr>
        <w:spacing w:line="560" w:lineRule="exact"/>
        <w:ind w:firstLine="642" w:firstLineChars="200"/>
        <w:rPr>
          <w:rFonts w:ascii="楷体_GB2312" w:eastAsia="楷体_GB2312" w:cs="楷体_GB2312"/>
          <w:b/>
          <w:bCs/>
          <w:sz w:val="32"/>
          <w:szCs w:val="32"/>
        </w:rPr>
      </w:pPr>
      <w:r>
        <w:rPr>
          <w:rFonts w:hint="eastAsia" w:ascii="楷体_GB2312" w:eastAsia="楷体_GB2312" w:cs="楷体_GB2312"/>
          <w:b/>
          <w:bCs/>
          <w:sz w:val="32"/>
          <w:szCs w:val="32"/>
        </w:rPr>
        <w:t>（三）一般公共预算财政拨款支出决算具体情况</w:t>
      </w:r>
      <w:bookmarkEnd w:id="45"/>
    </w:p>
    <w:p>
      <w:pPr>
        <w:spacing w:line="560" w:lineRule="exact"/>
        <w:ind w:firstLine="640" w:firstLineChars="200"/>
        <w:rPr>
          <w:rFonts w:ascii="仿宋_GB2312" w:eastAsia="仿宋_GB2312" w:cs="仿宋_GB2312"/>
          <w:sz w:val="32"/>
          <w:szCs w:val="32"/>
        </w:rPr>
      </w:pPr>
      <w:bookmarkStart w:id="46" w:name="_Toc15377444"/>
      <w:bookmarkStart w:id="47" w:name="_Toc15378460"/>
      <w:bookmarkStart w:id="48" w:name="_Toc15377213"/>
      <w:r>
        <w:rPr>
          <w:rFonts w:hint="eastAsia" w:ascii="仿宋_GB2312" w:eastAsia="仿宋_GB2312" w:cs="仿宋_GB2312"/>
          <w:sz w:val="32"/>
          <w:szCs w:val="32"/>
        </w:rPr>
        <w:t>2021年一般公共预算支出决算数为766.86万</w:t>
      </w:r>
      <w:r>
        <w:rPr>
          <w:rFonts w:hint="eastAsia" w:ascii="仿宋_GB2312" w:eastAsia="仿宋_GB2312" w:cs="仿宋_GB2312"/>
          <w:sz w:val="32"/>
          <w:szCs w:val="32"/>
          <w:lang w:eastAsia="zh-CN"/>
        </w:rPr>
        <w:t>元</w:t>
      </w:r>
      <w:r>
        <w:rPr>
          <w:rFonts w:hint="eastAsia" w:ascii="仿宋_GB2312" w:eastAsia="仿宋_GB2312" w:cs="仿宋_GB2312"/>
          <w:sz w:val="32"/>
          <w:szCs w:val="32"/>
        </w:rPr>
        <w:t>，完成预算100%。其中：</w:t>
      </w:r>
      <w:bookmarkEnd w:id="46"/>
      <w:bookmarkEnd w:id="47"/>
      <w:bookmarkEnd w:id="48"/>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1.一般公共服务支出（201）财政事务（20106）行政运行（2010601）支出决算257.41万元，完成预算100%。</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2.一般公共服务支出（201）财政事务（20106）事业运行（2010650）支出决算284.06万元，完成预算100%。</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3.一般公共服务支出（201）财政事务（20106）其他财政事务支出（2010699）支出决算</w:t>
      </w:r>
      <w:r>
        <w:rPr>
          <w:rFonts w:hint="eastAsia" w:ascii="仿宋_GB2312" w:eastAsia="仿宋_GB2312" w:cs="仿宋_GB2312"/>
          <w:sz w:val="32"/>
          <w:szCs w:val="32"/>
          <w:lang w:val="en-US" w:eastAsia="zh-CN"/>
        </w:rPr>
        <w:t>80.76</w:t>
      </w:r>
      <w:r>
        <w:rPr>
          <w:rFonts w:hint="eastAsia" w:ascii="仿宋_GB2312" w:eastAsia="仿宋_GB2312" w:cs="仿宋_GB2312"/>
          <w:sz w:val="32"/>
          <w:szCs w:val="32"/>
        </w:rPr>
        <w:t>万元，完成预算100%。</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4.社会保障和就业支出（208）行政事业单位养老支出（20805）机关事业单位基本养老保险缴费支出（2080505）支出决算43.79万元，完成预算100%。</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5.社会保障和就业支出（208）行政事业单位养老支出（20805）机关事业单位职业年金缴费支出（2080506）支出决算21.90万元，完成预算100%。</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6.卫生健康支出（210）行政事业单位医疗（21011）行政单位医疗（2101101）支出决算13.96万元，完成预算100%。</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7.卫生健康支出（210）行政事业单位医疗（21011）事业单位医疗（2101102）支出决算17.76万元，完成预算100%。</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8.农林水支出（213）扶贫（21305）其他扶贫支出（2130599）支出决算0.84万元，完成预算100%。</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9.住房保障支出（221）住房改革支出（22102）住房公积金（2210201）支出决算</w:t>
      </w:r>
      <w:r>
        <w:rPr>
          <w:rFonts w:hint="eastAsia" w:ascii="仿宋_GB2312" w:eastAsia="仿宋_GB2312" w:cs="仿宋_GB2312"/>
          <w:sz w:val="32"/>
          <w:szCs w:val="32"/>
          <w:lang w:val="en-US" w:eastAsia="zh-CN"/>
        </w:rPr>
        <w:t>45.36</w:t>
      </w:r>
      <w:r>
        <w:rPr>
          <w:rFonts w:hint="eastAsia" w:ascii="仿宋_GB2312" w:eastAsia="仿宋_GB2312" w:cs="仿宋_GB2312"/>
          <w:sz w:val="32"/>
          <w:szCs w:val="32"/>
        </w:rPr>
        <w:t>万元，完成预算100%。</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10.住房保障支出（221）住房改革支出（22102）购房补贴（2210203）支出决算1.02万元，完成预算100%。</w:t>
      </w:r>
    </w:p>
    <w:p>
      <w:pPr>
        <w:spacing w:line="560" w:lineRule="exact"/>
        <w:ind w:firstLine="640" w:firstLineChars="200"/>
        <w:rPr>
          <w:rFonts w:ascii="黑体" w:hAnsi="黑体" w:eastAsia="黑体" w:cs="黑体"/>
          <w:sz w:val="32"/>
          <w:szCs w:val="32"/>
        </w:rPr>
      </w:pPr>
      <w:bookmarkStart w:id="49" w:name="_Toc15377214"/>
      <w:bookmarkStart w:id="50" w:name="_Toc16870"/>
      <w:bookmarkStart w:id="51" w:name="_Toc111208504"/>
      <w:r>
        <w:rPr>
          <w:rFonts w:hint="eastAsia" w:ascii="黑体" w:hAnsi="黑体" w:eastAsia="黑体" w:cs="黑体"/>
          <w:sz w:val="32"/>
          <w:szCs w:val="32"/>
        </w:rPr>
        <w:t>六、一般公共预算财政拨款基本支出决算情况说</w:t>
      </w:r>
      <w:bookmarkEnd w:id="49"/>
      <w:r>
        <w:rPr>
          <w:rFonts w:hint="eastAsia" w:ascii="黑体" w:hAnsi="黑体" w:eastAsia="黑体" w:cs="黑体"/>
          <w:sz w:val="32"/>
          <w:szCs w:val="32"/>
        </w:rPr>
        <w:t>明</w:t>
      </w:r>
      <w:bookmarkEnd w:id="50"/>
      <w:bookmarkEnd w:id="51"/>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2021年一般公共预算财政拨款基本支出685.26万元，其中：</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人员经费654.23万元，主要包括：基本工资131.44万元、津贴补贴67.67万元、奖金74.70万元、绩效工资179.19万元、机关事业单位基本养老保险缴费43.79万元、职业年金缴费21.90万元、职工基本医疗保险缴费31.78万元、公务员医疗补助缴费0.30万元、其他社会保障缴费2.11万元、住房公积金45.37万元、医疗费5.72万元、离休费11.83万元、生活补助38.02万元、医疗费补助0.36万元、奖励金0.05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公用经费31.03万元，主要包括：办公费17.84万元、邮电费0.70万元、差旅费8.25万元、公务接待费0.24万元、公务用车运行维护费4.00万元。</w:t>
      </w:r>
    </w:p>
    <w:p>
      <w:pPr>
        <w:numPr>
          <w:ilvl w:val="0"/>
          <w:numId w:val="3"/>
        </w:numPr>
        <w:spacing w:line="560" w:lineRule="exact"/>
        <w:ind w:firstLine="640" w:firstLineChars="200"/>
        <w:rPr>
          <w:rFonts w:ascii="黑体" w:hAnsi="黑体" w:eastAsia="黑体" w:cs="黑体"/>
          <w:sz w:val="32"/>
          <w:szCs w:val="32"/>
        </w:rPr>
      </w:pPr>
      <w:bookmarkStart w:id="52" w:name="_Toc15377215"/>
      <w:bookmarkStart w:id="53" w:name="_Toc10935"/>
      <w:bookmarkStart w:id="54" w:name="_Toc111208505"/>
      <w:r>
        <w:rPr>
          <w:rFonts w:hint="eastAsia" w:ascii="黑体" w:hAnsi="黑体" w:eastAsia="黑体" w:cs="黑体"/>
          <w:sz w:val="32"/>
          <w:szCs w:val="32"/>
        </w:rPr>
        <w:t>“三公”经费财政拨款支出决算情况说明</w:t>
      </w:r>
      <w:bookmarkEnd w:id="52"/>
      <w:bookmarkEnd w:id="53"/>
      <w:bookmarkEnd w:id="54"/>
      <w:bookmarkStart w:id="55" w:name="_Toc15377216"/>
    </w:p>
    <w:p>
      <w:pPr>
        <w:spacing w:line="560" w:lineRule="exact"/>
        <w:ind w:firstLine="642" w:firstLineChars="200"/>
        <w:rPr>
          <w:rFonts w:ascii="楷体_GB2312" w:eastAsia="楷体_GB2312" w:cs="楷体_GB2312"/>
          <w:b/>
          <w:bCs/>
          <w:sz w:val="32"/>
          <w:szCs w:val="32"/>
        </w:rPr>
      </w:pPr>
      <w:r>
        <w:rPr>
          <w:rFonts w:hint="eastAsia" w:ascii="楷体_GB2312" w:eastAsia="楷体_GB2312" w:cs="楷体_GB2312"/>
          <w:b/>
          <w:bCs/>
          <w:sz w:val="32"/>
          <w:szCs w:val="32"/>
        </w:rPr>
        <w:t>（一）“三公”经费财政拨款支出决算总体情况说明</w:t>
      </w:r>
      <w:bookmarkEnd w:id="55"/>
    </w:p>
    <w:p>
      <w:pPr>
        <w:spacing w:line="560" w:lineRule="exact"/>
        <w:ind w:firstLine="640" w:firstLineChars="200"/>
        <w:rPr>
          <w:rFonts w:ascii="仿宋_GB2312" w:eastAsia="仿宋" w:cs="仿宋_GB2312"/>
          <w:sz w:val="32"/>
          <w:szCs w:val="32"/>
        </w:rPr>
      </w:pPr>
      <w:r>
        <w:rPr>
          <w:rFonts w:hint="eastAsia" w:ascii="仿宋_GB2312" w:eastAsia="仿宋_GB2312" w:cs="仿宋_GB2312"/>
          <w:sz w:val="32"/>
          <w:szCs w:val="32"/>
        </w:rPr>
        <w:t>2021年“三公”经费财政拨款支出决算为4.24万元，完成预算100.00%</w:t>
      </w:r>
      <w:bookmarkStart w:id="56" w:name="_Toc15377217"/>
      <w:r>
        <w:rPr>
          <w:rFonts w:hint="eastAsia" w:ascii="仿宋_GB2312" w:eastAsia="仿宋_GB2312" w:cs="仿宋_GB2312"/>
          <w:sz w:val="32"/>
          <w:szCs w:val="32"/>
        </w:rPr>
        <w:t>，</w:t>
      </w:r>
      <w:r>
        <w:rPr>
          <w:rFonts w:hint="eastAsia" w:ascii="仿宋" w:eastAsia="仿宋"/>
          <w:color w:val="000000"/>
          <w:sz w:val="32"/>
          <w:szCs w:val="32"/>
        </w:rPr>
        <w:t>决算数与预算数持平。</w:t>
      </w:r>
    </w:p>
    <w:p>
      <w:pPr>
        <w:spacing w:line="560" w:lineRule="exact"/>
        <w:ind w:firstLine="642" w:firstLineChars="200"/>
        <w:rPr>
          <w:rFonts w:ascii="楷体_GB2312" w:eastAsia="楷体_GB2312" w:cs="楷体_GB2312"/>
          <w:b/>
          <w:bCs/>
          <w:sz w:val="32"/>
          <w:szCs w:val="32"/>
        </w:rPr>
      </w:pPr>
      <w:r>
        <w:rPr>
          <w:rFonts w:hint="eastAsia" w:ascii="楷体_GB2312" w:eastAsia="楷体_GB2312" w:cs="楷体_GB2312"/>
          <w:b/>
          <w:bCs/>
          <w:sz w:val="32"/>
          <w:szCs w:val="32"/>
        </w:rPr>
        <w:t>（二）“三公”经费财政拨款支出决算具体情况说明</w:t>
      </w:r>
      <w:bookmarkEnd w:id="56"/>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2021年“三公”经费财政拨款支出4.24万</w:t>
      </w:r>
      <w:r>
        <w:rPr>
          <w:rFonts w:hint="eastAsia" w:ascii="仿宋_GB2312" w:eastAsia="仿宋_GB2312" w:cs="仿宋_GB2312"/>
          <w:sz w:val="32"/>
          <w:szCs w:val="32"/>
          <w:lang w:eastAsia="zh-CN"/>
        </w:rPr>
        <w:t>元</w:t>
      </w:r>
      <w:r>
        <w:rPr>
          <w:rFonts w:hint="eastAsia" w:ascii="仿宋_GB2312" w:eastAsia="仿宋_GB2312" w:cs="仿宋_GB2312"/>
          <w:sz w:val="32"/>
          <w:szCs w:val="32"/>
        </w:rPr>
        <w:t>，因公出国（境）费支出决算0.00万元，占0.00%；公务用车购置及运行维护费支出决算4.00万元，占94.45%；公务接待费支出决算0.24万元，占5.55%。具体情况如下：</w:t>
      </w:r>
    </w:p>
    <w:p>
      <w:pPr>
        <w:spacing w:line="560" w:lineRule="exact"/>
        <w:jc w:val="center"/>
      </w:pPr>
      <w:r>
        <w:rPr>
          <w:rFonts w:hint="eastAsia" w:ascii="仿宋_GB2312" w:eastAsia="仿宋_GB2312" w:cs="仿宋_GB2312"/>
          <w:sz w:val="32"/>
          <w:szCs w:val="32"/>
        </w:rPr>
        <w:t>（图7：“三公”经费财政拨款支出结构）</w:t>
      </w:r>
    </w:p>
    <w:p>
      <w:pPr>
        <w:spacing w:line="560" w:lineRule="exact"/>
        <w:ind w:firstLine="420" w:firstLineChars="200"/>
        <w:rPr>
          <w:rFonts w:ascii="仿宋_GB2312" w:eastAsia="仿宋_GB2312" w:cs="仿宋_GB2312"/>
          <w:sz w:val="32"/>
          <w:szCs w:val="32"/>
        </w:rPr>
      </w:pPr>
      <w:r>
        <w:drawing>
          <wp:anchor distT="0" distB="0" distL="0" distR="0" simplePos="0" relativeHeight="251665408" behindDoc="0" locked="0" layoutInCell="1" allowOverlap="1">
            <wp:simplePos x="0" y="0"/>
            <wp:positionH relativeFrom="column">
              <wp:posOffset>911225</wp:posOffset>
            </wp:positionH>
            <wp:positionV relativeFrom="paragraph">
              <wp:posOffset>78740</wp:posOffset>
            </wp:positionV>
            <wp:extent cx="3797935" cy="2548255"/>
            <wp:effectExtent l="4445" t="4445" r="7620" b="1905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_GB2312" w:eastAsia="仿宋_GB2312" w:cs="仿宋_GB2312"/>
          <w:sz w:val="32"/>
          <w:szCs w:val="32"/>
        </w:rPr>
        <w:t xml:space="preserve">1.因公出国（境）经费支出0.00万元,完成预算0.00%。全年安排因公出国（境）团组0次，出国（境）0人。因公出国（境）支出决算比2020年增加0.00万元，增长0.00 %。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2.公务用车购置及运行维护费支出4.00万元,完成预算100.00%。公务用车购置及运行维护费支出决算比2020年增加0.31万元，增长8.4%。</w:t>
      </w:r>
      <w:r>
        <w:rPr>
          <w:rFonts w:hint="eastAsia" w:ascii="仿宋_GB2312" w:eastAsia="仿宋_GB2312" w:cs="仿宋_GB2312"/>
          <w:color w:val="000000"/>
          <w:sz w:val="32"/>
          <w:szCs w:val="32"/>
        </w:rPr>
        <w:t>主要原因是车辆维修</w:t>
      </w:r>
      <w:r>
        <w:rPr>
          <w:rFonts w:hint="eastAsia" w:ascii="仿宋_GB2312" w:eastAsia="仿宋_GB2312" w:cs="仿宋_GB2312"/>
          <w:sz w:val="32"/>
          <w:szCs w:val="32"/>
        </w:rPr>
        <w:t>。</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其中：公务用车购置支出0.00万元。全年按规定更新购置公务用车0辆，其中：轿车0辆、金额0.00万元，越野车0辆、金额0.00万元，载客汽车0辆、金额0.00万元。截至2021年12月底，单位共有公务用车2辆，其中：轿车0辆、越野车2辆、载客汽车0辆。</w:t>
      </w:r>
    </w:p>
    <w:p>
      <w:pPr>
        <w:spacing w:line="560" w:lineRule="exact"/>
        <w:ind w:firstLine="640"/>
        <w:rPr>
          <w:rFonts w:ascii="仿宋_GB2312" w:eastAsia="仿宋_GB2312" w:cs="仿宋_GB2312"/>
          <w:sz w:val="32"/>
          <w:szCs w:val="32"/>
        </w:rPr>
      </w:pPr>
      <w:r>
        <w:rPr>
          <w:rFonts w:hint="eastAsia" w:ascii="仿宋_GB2312" w:eastAsia="仿宋_GB2312" w:cs="仿宋_GB2312"/>
          <w:sz w:val="32"/>
          <w:szCs w:val="32"/>
        </w:rPr>
        <w:t>公务用车运行维护费支出4.00万元。</w:t>
      </w:r>
      <w:r>
        <w:rPr>
          <w:rFonts w:hint="eastAsia" w:ascii="仿宋_GB2312" w:eastAsia="仿宋_GB2312"/>
          <w:color w:val="000000"/>
          <w:sz w:val="32"/>
          <w:szCs w:val="32"/>
        </w:rPr>
        <w:t>主要用于日常办理公务、处理突发事件公务活动工作等所需的公务用车燃料费、维修费、过路过桥费、保险费等支出。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3.公务接待费支出0.24万元，完成预算100.00%。公务接待费支出决算比2020年减少0.1万元，下降29.41%。</w:t>
      </w:r>
      <w:bookmarkStart w:id="57" w:name="_Toc15377218"/>
      <w:r>
        <w:rPr>
          <w:rFonts w:hint="eastAsia" w:ascii="仿宋_GB2312" w:eastAsia="仿宋_GB2312" w:cs="仿宋_GB2312"/>
          <w:color w:val="000000"/>
          <w:sz w:val="32"/>
          <w:szCs w:val="32"/>
        </w:rPr>
        <w:t>主要原因是积极贯彻落实中央八项规定及省委省政府十项规定要求，加强公务接待日常管理。其中：</w:t>
      </w:r>
    </w:p>
    <w:p>
      <w:pPr>
        <w:spacing w:line="560" w:lineRule="exact"/>
        <w:ind w:firstLine="640"/>
        <w:rPr>
          <w:rFonts w:ascii="仿宋_GB2312" w:eastAsia="仿宋_GB2312" w:cs="仿宋_GB2312"/>
          <w:sz w:val="32"/>
          <w:szCs w:val="32"/>
        </w:rPr>
      </w:pPr>
      <w:r>
        <w:rPr>
          <w:rFonts w:hint="eastAsia" w:ascii="仿宋_GB2312" w:eastAsia="仿宋_GB2312" w:cs="仿宋_GB2312"/>
          <w:sz w:val="32"/>
          <w:szCs w:val="32"/>
        </w:rPr>
        <w:t>国内公务接待支出0.24万元。国内公务接待3批次，19人次（不包括陪同人员），共计支出0.24万元，</w:t>
      </w:r>
      <w:r>
        <w:rPr>
          <w:rFonts w:hint="eastAsia" w:ascii="仿宋_GB2312" w:eastAsia="仿宋_GB2312"/>
          <w:color w:val="000000"/>
          <w:sz w:val="32"/>
          <w:szCs w:val="32"/>
        </w:rPr>
        <w:t>具体内容包括：</w:t>
      </w:r>
      <w:r>
        <w:rPr>
          <w:rFonts w:hint="eastAsia" w:ascii="仿宋_GB2312" w:eastAsia="仿宋_GB2312" w:cs="仿宋_GB2312"/>
          <w:color w:val="000000"/>
          <w:sz w:val="32"/>
          <w:szCs w:val="32"/>
        </w:rPr>
        <w:t>执行公务、迎接检查工作开支的费用等。</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外事接待支出0.00万元，外事接待0批次，</w:t>
      </w:r>
      <w:bookmarkStart w:id="131" w:name="_GoBack"/>
      <w:bookmarkEnd w:id="131"/>
      <w:r>
        <w:rPr>
          <w:rFonts w:hint="eastAsia" w:ascii="仿宋_GB2312" w:eastAsia="仿宋_GB2312" w:cs="仿宋_GB2312"/>
          <w:sz w:val="32"/>
          <w:szCs w:val="32"/>
        </w:rPr>
        <w:t>0人，共计支出0.00万元。</w:t>
      </w:r>
    </w:p>
    <w:p>
      <w:pPr>
        <w:spacing w:line="560" w:lineRule="exact"/>
        <w:ind w:firstLine="640" w:firstLineChars="200"/>
        <w:rPr>
          <w:rFonts w:ascii="黑体" w:hAnsi="黑体" w:eastAsia="黑体" w:cs="黑体"/>
          <w:sz w:val="32"/>
          <w:szCs w:val="32"/>
        </w:rPr>
      </w:pPr>
      <w:bookmarkStart w:id="58" w:name="_Toc9245"/>
      <w:bookmarkStart w:id="59" w:name="_Toc111208506"/>
      <w:r>
        <w:rPr>
          <w:rFonts w:hint="eastAsia" w:ascii="黑体" w:hAnsi="黑体" w:eastAsia="黑体" w:cs="黑体"/>
          <w:sz w:val="32"/>
          <w:szCs w:val="32"/>
        </w:rPr>
        <w:t>八、政府性基金预算支出决算情况说明</w:t>
      </w:r>
      <w:bookmarkEnd w:id="57"/>
      <w:bookmarkEnd w:id="58"/>
      <w:bookmarkEnd w:id="59"/>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2021年政府性基金预算拨款支出0.00万元。</w:t>
      </w:r>
      <w:bookmarkStart w:id="60" w:name="_Toc15377219"/>
    </w:p>
    <w:p>
      <w:pPr>
        <w:spacing w:line="560" w:lineRule="exact"/>
        <w:ind w:firstLine="640" w:firstLineChars="200"/>
        <w:rPr>
          <w:rFonts w:ascii="黑体" w:hAnsi="黑体" w:eastAsia="黑体" w:cs="黑体"/>
          <w:sz w:val="32"/>
          <w:szCs w:val="32"/>
        </w:rPr>
      </w:pPr>
      <w:bookmarkStart w:id="61" w:name="_Toc27854"/>
      <w:bookmarkStart w:id="62" w:name="_Toc111208507"/>
      <w:r>
        <w:rPr>
          <w:rFonts w:hint="eastAsia" w:ascii="黑体" w:hAnsi="黑体" w:eastAsia="黑体" w:cs="黑体"/>
          <w:sz w:val="32"/>
          <w:szCs w:val="32"/>
        </w:rPr>
        <w:t>九、国有资本经营预算支出决算情况说明</w:t>
      </w:r>
      <w:bookmarkEnd w:id="60"/>
      <w:bookmarkEnd w:id="61"/>
      <w:bookmarkEnd w:id="62"/>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2021年国有资本经营预算拨款支出0.00万元。</w:t>
      </w:r>
    </w:p>
    <w:p>
      <w:pPr>
        <w:spacing w:line="560" w:lineRule="exact"/>
        <w:ind w:firstLine="640" w:firstLineChars="200"/>
        <w:rPr>
          <w:rFonts w:ascii="黑体" w:hAnsi="黑体" w:eastAsia="黑体" w:cs="黑体"/>
          <w:sz w:val="32"/>
          <w:szCs w:val="32"/>
        </w:rPr>
      </w:pPr>
      <w:bookmarkStart w:id="63" w:name="_Toc17086"/>
      <w:bookmarkStart w:id="64" w:name="_Toc111208508"/>
      <w:bookmarkStart w:id="65" w:name="_Toc15377221"/>
      <w:r>
        <w:rPr>
          <w:rFonts w:hint="eastAsia" w:ascii="黑体" w:hAnsi="黑体" w:eastAsia="黑体" w:cs="黑体"/>
          <w:sz w:val="32"/>
          <w:szCs w:val="32"/>
        </w:rPr>
        <w:t>十、其他重要事项的情况说明</w:t>
      </w:r>
      <w:bookmarkEnd w:id="63"/>
      <w:bookmarkEnd w:id="64"/>
      <w:bookmarkEnd w:id="65"/>
    </w:p>
    <w:p>
      <w:pPr>
        <w:spacing w:line="560" w:lineRule="exact"/>
        <w:ind w:firstLine="642" w:firstLineChars="200"/>
        <w:rPr>
          <w:rFonts w:ascii="楷体_GB2312" w:eastAsia="楷体_GB2312" w:cs="楷体_GB2312"/>
          <w:b/>
          <w:bCs/>
          <w:sz w:val="32"/>
          <w:szCs w:val="32"/>
        </w:rPr>
      </w:pPr>
      <w:bookmarkStart w:id="66" w:name="_Toc15377222"/>
      <w:r>
        <w:rPr>
          <w:rFonts w:hint="eastAsia" w:ascii="楷体_GB2312" w:eastAsia="楷体_GB2312" w:cs="楷体_GB2312"/>
          <w:b/>
          <w:bCs/>
          <w:sz w:val="32"/>
          <w:szCs w:val="32"/>
        </w:rPr>
        <w:t>（一）机关运行经费支出情况</w:t>
      </w:r>
      <w:bookmarkEnd w:id="66"/>
    </w:p>
    <w:p>
      <w:pPr>
        <w:spacing w:line="560" w:lineRule="exact"/>
        <w:ind w:firstLine="640" w:firstLineChars="200"/>
        <w:rPr>
          <w:rFonts w:ascii="仿宋_GB2312" w:eastAsia="仿宋_GB2312" w:cs="仿宋_GB2312"/>
          <w:color w:val="0000FF"/>
          <w:sz w:val="32"/>
          <w:szCs w:val="32"/>
        </w:rPr>
      </w:pPr>
      <w:r>
        <w:rPr>
          <w:rFonts w:hint="eastAsia" w:ascii="仿宋_GB2312" w:eastAsia="仿宋_GB2312" w:cs="仿宋_GB2312"/>
          <w:sz w:val="32"/>
          <w:szCs w:val="32"/>
        </w:rPr>
        <w:t>2021年，机关运行经费支出14.81万元，比2020年增加0.56万元，增长3.96 %。主要原因是</w:t>
      </w:r>
      <w:r>
        <w:rPr>
          <w:rFonts w:hint="eastAsia" w:ascii="仿宋_GB2312" w:eastAsia="仿宋_GB2312"/>
          <w:color w:val="000000"/>
          <w:sz w:val="32"/>
          <w:szCs w:val="32"/>
        </w:rPr>
        <w:t>人员增加</w:t>
      </w:r>
      <w:r>
        <w:rPr>
          <w:rFonts w:hint="eastAsia" w:ascii="仿宋_GB2312" w:eastAsia="仿宋_GB2312" w:cs="仿宋_GB2312"/>
          <w:sz w:val="32"/>
          <w:szCs w:val="32"/>
        </w:rPr>
        <w:t>。</w:t>
      </w:r>
    </w:p>
    <w:p>
      <w:pPr>
        <w:spacing w:line="560" w:lineRule="exact"/>
        <w:ind w:firstLine="642" w:firstLineChars="200"/>
        <w:rPr>
          <w:rFonts w:ascii="楷体_GB2312" w:eastAsia="楷体_GB2312" w:cs="楷体_GB2312"/>
          <w:b/>
          <w:bCs/>
          <w:sz w:val="32"/>
          <w:szCs w:val="32"/>
        </w:rPr>
      </w:pPr>
      <w:bookmarkStart w:id="67" w:name="_Toc15377223"/>
      <w:r>
        <w:rPr>
          <w:rFonts w:hint="eastAsia" w:ascii="楷体_GB2312" w:eastAsia="楷体_GB2312" w:cs="楷体_GB2312"/>
          <w:b/>
          <w:bCs/>
          <w:sz w:val="32"/>
          <w:szCs w:val="32"/>
        </w:rPr>
        <w:t>（二）政府采购支出情况</w:t>
      </w:r>
      <w:bookmarkEnd w:id="67"/>
      <w:r>
        <w:rPr>
          <w:rFonts w:hint="eastAsia" w:ascii="楷体_GB2312" w:eastAsia="楷体_GB2312" w:cs="楷体_GB2312"/>
          <w:b/>
          <w:bCs/>
          <w:sz w:val="32"/>
          <w:szCs w:val="32"/>
        </w:rPr>
        <w:t>(机构运行信息表)</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政府采购支出总额0.00万元，其中：政府采购货物支出0.00万元、政府采购工程支出0.00万元、政府采购服务支出0.00万元。授予中小企业合同金额0.00万元，占政府采购支出总额的0.00%，其中：授予小微企业合同金额0.00万元，占总合同的0.00%，占政府采购支出总额的0.00%。</w:t>
      </w:r>
    </w:p>
    <w:p>
      <w:pPr>
        <w:spacing w:line="560" w:lineRule="exact"/>
        <w:ind w:firstLine="642" w:firstLineChars="200"/>
        <w:rPr>
          <w:rFonts w:ascii="楷体_GB2312" w:eastAsia="楷体_GB2312" w:cs="楷体_GB2312"/>
          <w:b/>
          <w:bCs/>
          <w:sz w:val="32"/>
          <w:szCs w:val="32"/>
        </w:rPr>
      </w:pPr>
      <w:bookmarkStart w:id="68" w:name="_Toc15377224"/>
      <w:r>
        <w:rPr>
          <w:rFonts w:hint="eastAsia" w:ascii="楷体_GB2312" w:eastAsia="楷体_GB2312" w:cs="楷体_GB2312"/>
          <w:b/>
          <w:bCs/>
          <w:sz w:val="32"/>
          <w:szCs w:val="32"/>
        </w:rPr>
        <w:t>（三）国有资产占有使用情况</w:t>
      </w:r>
      <w:bookmarkEnd w:id="68"/>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截至2021年12月31日，共有车辆2辆，其中：主要领导干部用车0辆、机要通信用车0辆、应急保障用车2辆、其他用车0辆。单价50万元以上通用设备0台（套），单价100万元以上专用设备0台（套）。</w:t>
      </w:r>
    </w:p>
    <w:p>
      <w:pPr>
        <w:spacing w:line="560" w:lineRule="exact"/>
        <w:ind w:firstLine="642" w:firstLineChars="200"/>
        <w:rPr>
          <w:rFonts w:ascii="楷体_GB2312" w:eastAsia="楷体_GB2312" w:cs="楷体_GB2312"/>
          <w:b/>
          <w:bCs/>
          <w:sz w:val="32"/>
          <w:szCs w:val="32"/>
        </w:rPr>
      </w:pPr>
      <w:r>
        <w:rPr>
          <w:rFonts w:hint="eastAsia" w:ascii="楷体_GB2312" w:eastAsia="楷体_GB2312" w:cs="楷体_GB2312"/>
          <w:b/>
          <w:bCs/>
          <w:sz w:val="32"/>
          <w:szCs w:val="32"/>
        </w:rPr>
        <w:t>（四）预算绩效管理情况</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本部门2021年不涉及项目绩效。</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val="zh-CN"/>
        </w:rPr>
        <w:t>根据预算绩效管理要求，我局对2021年部门整体支出开展绩效自评，从评价情况来看，我局部门整体支出绩效评价自查自评结果良好。2021年我局预算编制，实事求是，确保预算的准确性、及时性，全年基本保证了部门的正常运行和日常工作的正常开展，完成了全年的财政收支任务，绩效目标得到较好实现，绩效管理水平不断提高，绩效指标逐渐丰富和完善。</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《茂县财政局2021年部门整体支出绩效评价报告》见附件。</w:t>
      </w:r>
    </w:p>
    <w:p>
      <w:pPr>
        <w:spacing w:line="560" w:lineRule="exact"/>
      </w:pPr>
    </w:p>
    <w:p>
      <w:pPr>
        <w:spacing w:line="560" w:lineRule="exact"/>
        <w:sectPr>
          <w:footerReference r:id="rId3" w:type="default"/>
          <w:pgSz w:w="11906" w:h="16838"/>
          <w:pgMar w:top="907" w:right="1361" w:bottom="851" w:left="1361" w:header="851" w:footer="992" w:gutter="0"/>
          <w:cols w:space="425" w:num="1"/>
          <w:docGrid w:type="lines" w:linePitch="435" w:charSpace="0"/>
        </w:sectPr>
      </w:pPr>
    </w:p>
    <w:p>
      <w:pPr>
        <w:spacing w:line="560" w:lineRule="exact"/>
        <w:jc w:val="center"/>
        <w:rPr>
          <w:rFonts w:ascii="方正小标宋简体" w:hAnsi="Calibri" w:eastAsia="方正小标宋简体"/>
          <w:sz w:val="44"/>
          <w:szCs w:val="44"/>
        </w:rPr>
      </w:pPr>
      <w:bookmarkStart w:id="69" w:name="_Toc111208509"/>
      <w:bookmarkStart w:id="70" w:name="_Toc15377225"/>
      <w:r>
        <w:rPr>
          <w:rFonts w:hint="eastAsia" w:ascii="方正小标宋简体" w:hAnsi="Calibri" w:eastAsia="方正小标宋简体"/>
          <w:sz w:val="44"/>
          <w:szCs w:val="44"/>
        </w:rPr>
        <w:t>第三部分 名词解释</w:t>
      </w:r>
      <w:bookmarkEnd w:id="69"/>
      <w:bookmarkEnd w:id="70"/>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1.财政拨款收入：指单位从同级财政部门取得的财政预算资金。</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2.事业收入：指事业单位开展专业业务活动及辅助活动取得的收入。</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3.经营收入：指事业单位在专业业务活动及其辅助活动之外开展非独立核算经营活动取得的收入。</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4.其他收入：指单位取得的除上述收入以外的各项收入。</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6.年初结转和结余：指以前年度尚未完成、结转到本年按有关规定继续使用的资金。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7.结余分配：指事业单位按照事业单位会计制度的规定从非财政补助结余中分配的事业基金和职工福利基金等。</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8.年末结转和结余：指单位按有关规定结转到下年或以后年度继续使用的资金。</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9.一般公共服务支出（201）财政事务（20106）行政运行（2010601）：反映行政单位（包括实行公务员管理的事业单位）的基本支出。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10.一般公共服务支出（201）财政事务（20106）事业运行（2010650）：反映事业单位的基本支出，不包括行政单位（包括实行公务员管理的事业单位）后勤服务中心、医务室等附属事业单位。</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11.一般公共服务支出（201）财政事务（20106）其他财政事务支出（2010699）：反映除上述项目以外其他财政事务方面的支出。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12.社会保障和就业支出（208）行政事业单位养老支出（20805）机关事业单位基本养老保险缴费支出（2080505）：反映机关事业单位实施养老保险制度由单位缴纳的基本养老保险费支出。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13.社会保障和就业支出（208）行政事业单位养老支出（20805）机关事业单位职业年金缴费支出（2080506）：反映机关事业单位实施养老保险制度由单位实际缴纳的职业年金支出。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14.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15.卫生健康支出（210）行政事业单位医疗（21011）事业单位医疗（2101102）：反映财政部门安排的事业单位基本医疗保险缴费经费，未参加医疗保险的事业单位的公费医疗经费，按国家规定享受离休人员待遇的医疗经费。</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16.农林水支出（213）扶贫（21305）其他扶贫支出（2130599）：反映除上述项目以外其他用于扶贫方面的支出。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17.住房保障支出（221）住房改革支出（22102）住房公积金（2210201）：反映行政事业单位按人力资源和社会保障部、财政部规定的基本工资和津贴补贴以及规定比例为职工缴纳的住房公积金。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18.住房保障支出（221）住房改革支出（22102）购房补贴（2210203）：反映按房改政策规定，行政事业单位向符合条件职工（含离退休人员）、军队（含武警）向转役复员离退休人员发放的用于购买住房的补贴。</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19.基本支出：指为保障机构正常运转、完成日常工作任务而发生的人员支出和公用支出。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25.项目支出：指在基本支出之外为完成特定行政任务和事业发展目标所发生的支出。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20.经营支出：指事业单位在专业业务活动及其辅助活动之外开展非独立核算经营活动发生的支出。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23.财政应返还额度：为行政事业单位会计核算科目，用于核算实行国库集中支付的行政事业单位应收财政返还的资金额度。</w:t>
      </w:r>
    </w:p>
    <w:p>
      <w:pPr>
        <w:spacing w:line="560" w:lineRule="exact"/>
      </w:pPr>
      <w:r>
        <w:br w:type="page"/>
      </w:r>
    </w:p>
    <w:p>
      <w:pPr>
        <w:spacing w:line="560" w:lineRule="exact"/>
        <w:jc w:val="center"/>
        <w:rPr>
          <w:rFonts w:ascii="方正小标宋简体" w:hAnsi="Calibri" w:eastAsia="方正小标宋简体"/>
          <w:sz w:val="44"/>
          <w:szCs w:val="44"/>
        </w:rPr>
      </w:pPr>
      <w:bookmarkStart w:id="71" w:name="_Toc111208510"/>
      <w:bookmarkStart w:id="72" w:name="_Toc1233"/>
      <w:r>
        <w:rPr>
          <w:rFonts w:hint="eastAsia" w:ascii="方正小标宋简体" w:hAnsi="Calibri" w:eastAsia="方正小标宋简体"/>
          <w:sz w:val="44"/>
          <w:szCs w:val="44"/>
        </w:rPr>
        <w:t>第四部分 附件</w:t>
      </w:r>
      <w:bookmarkEnd w:id="71"/>
      <w:bookmarkEnd w:id="72"/>
    </w:p>
    <w:p>
      <w:pPr>
        <w:spacing w:line="560" w:lineRule="exact"/>
        <w:jc w:val="center"/>
        <w:rPr>
          <w:rFonts w:ascii="方正小标宋简体" w:hAnsi="Calibri" w:eastAsia="方正小标宋简体"/>
          <w:sz w:val="44"/>
          <w:szCs w:val="44"/>
        </w:rPr>
      </w:pPr>
    </w:p>
    <w:p>
      <w:pPr>
        <w:spacing w:line="5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茂县财政局</w:t>
      </w:r>
    </w:p>
    <w:p>
      <w:pPr>
        <w:spacing w:line="5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2021年部门整体支出绩效评价报告</w:t>
      </w:r>
    </w:p>
    <w:p>
      <w:pPr>
        <w:pStyle w:val="2"/>
        <w:spacing w:before="130" w:line="560" w:lineRule="exact"/>
      </w:pPr>
    </w:p>
    <w:p>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部门（单位）概况</w:t>
      </w:r>
    </w:p>
    <w:p>
      <w:pPr>
        <w:spacing w:line="56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（一）机构组成</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本部门属行政机关。内设行政机构10个，具体为：办公室、预算股、国库股、行政政法与科教文化股（乡财股）、农业农村股（自然资源与生态环境股）、社会保障股、经济建设与金融股、财政监督与绩效管理股、政府采购监督管理与资产股、法规会计与综合股（行政审批股）；事业机构1个，财政评审中心。</w:t>
      </w:r>
    </w:p>
    <w:p>
      <w:pPr>
        <w:spacing w:line="56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（二）机构职能</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拟订全县财税发展战略、规划和改革方案并组织实施。分析预测宏观经济形势，参与执行宏观经济政策，提出运用财税政策实施宏观调控和综合平衡社会财力的建议。贯彻落实国家与企业的分配政策及公益事业发展的财税政策。</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2.贯彻执行财政、税收、财务、会计管理的法律法规和规章。按照管理权限管理全县税政事项。</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负责管理各项财政收支。编制年度县级预决算草案并组织执行。组织制定经费开支标准、定额，审核批复部门（单位）年度预决算。受县人民政府委托，向县人大及其常委会报告财政预算、执行和决算等情况。负责政府投资基金县级财政出资的资产管理。负责县级预决算公开。负责全面实施预算绩效管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4.按分工负责政府非税收入管理。负责政府性基金管理，按规定管理行政事业性收费等其他非税收入。管理财政票据。执行彩票管理政策和有关办法。</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5.组织制定全县国库管理制度、国库集中收付制度，指导和监督国库业务，开展国库现金管理工作。贯彻执行政府财务报告编制办法并组织实施。执行制定政府采购制度并监督管理。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6.贯彻执行地方政府债务管理制度和政策，制定具体管理办法，编制地方政府债余额限额计划，统一管理政府外债，防范财政风险。</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7.牵头编制全县国有资产管理情况报告。拟订全县行政事业单位国有资产管理制度并组织实施。执行全州统一规定的开支标准和支出政策。</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负责审核并汇总编制全县国有资本经营预决算草案。制定国有资本经营预算制度和办法，收取县本级企业国有资本收益。组织实施企业财务制度，负责财政预算内行政事业单位和社会团体的非贸易外汇和财政预算内的国际收支管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9.负责审核并汇总编制全县社会保险基金预决算草案，会同有关部门拟订有关资金（基金）财务管理制度，承担社会保险基金财政监管工作。</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10.负责办理和监督县级财政的经济发展支出、县级政府性投资项目的财政拨款，负责投资评审管理工作，执行基建投资有关政策，制定基建财务管理制度。</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11.管理外国政府和国际金融机构贷（赠）款项目的有关业务，参与财经领域的国际交流与合作。</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12.负责管理全县会计工作，监督和规范会计行为，组织实施国家统一的会计制度，指导和监督注册会计师和会计师事务所的业务，指导和管理社会审计。依法管理资产评估有关工作。</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13.负责职责范围内的安全生产和职业健康、生态环境保护、审批服务便民化等工作。</w:t>
      </w:r>
    </w:p>
    <w:p>
      <w:pPr>
        <w:spacing w:line="56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w:t>
      </w:r>
      <w:r>
        <w:rPr>
          <w:rFonts w:hint="eastAsia" w:ascii="楷体_GB2312" w:eastAsia="楷体_GB2312" w:cs="楷体_GB2312"/>
          <w:b/>
          <w:bCs/>
          <w:sz w:val="32"/>
          <w:szCs w:val="32"/>
        </w:rPr>
        <w:t>三</w:t>
      </w:r>
      <w:r>
        <w:rPr>
          <w:rFonts w:hint="eastAsia" w:ascii="楷体_GB2312" w:eastAsia="楷体_GB2312" w:cs="楷体_GB2312"/>
          <w:b/>
          <w:bCs/>
          <w:sz w:val="32"/>
          <w:szCs w:val="32"/>
          <w:lang w:val="zh-CN"/>
        </w:rPr>
        <w:t>）人员概况</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总编制42名,其中:行政编制13名,行政工勤编制2名，事业编制27名，事业工勤编制0名。在职人员实有人数35名，其中：行政人员10名，行政工勤人员2名；事业人员22名，事业工勤人员1名。离休人员1人，退休人员12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spacing w:line="56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（一）部门财政资金收入情况</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202</w:t>
      </w:r>
      <w:r>
        <w:rPr>
          <w:rFonts w:hint="eastAsia" w:ascii="仿宋_GB2312" w:eastAsia="仿宋_GB2312" w:cs="仿宋_GB2312"/>
          <w:sz w:val="32"/>
          <w:szCs w:val="32"/>
        </w:rPr>
        <w:t>1</w:t>
      </w:r>
      <w:r>
        <w:rPr>
          <w:rFonts w:hint="eastAsia" w:ascii="仿宋_GB2312" w:eastAsia="仿宋_GB2312" w:cs="仿宋_GB2312"/>
          <w:sz w:val="32"/>
          <w:szCs w:val="32"/>
          <w:lang w:val="zh-CN"/>
        </w:rPr>
        <w:t>年总收入</w:t>
      </w:r>
      <w:r>
        <w:rPr>
          <w:rFonts w:hint="eastAsia" w:ascii="仿宋_GB2312" w:eastAsia="仿宋_GB2312" w:cs="仿宋_GB2312"/>
          <w:sz w:val="32"/>
          <w:szCs w:val="32"/>
        </w:rPr>
        <w:t>766.86</w:t>
      </w:r>
      <w:r>
        <w:rPr>
          <w:rFonts w:hint="eastAsia" w:ascii="仿宋_GB2312" w:eastAsia="仿宋_GB2312" w:cs="仿宋_GB2312"/>
          <w:sz w:val="32"/>
          <w:szCs w:val="32"/>
          <w:lang w:val="zh-CN"/>
        </w:rPr>
        <w:t>万元，其中：财政拨款收入</w:t>
      </w:r>
      <w:r>
        <w:rPr>
          <w:rFonts w:hint="eastAsia" w:ascii="仿宋_GB2312" w:eastAsia="仿宋_GB2312" w:cs="仿宋_GB2312"/>
          <w:sz w:val="32"/>
          <w:szCs w:val="32"/>
        </w:rPr>
        <w:t>766.86</w:t>
      </w:r>
      <w:r>
        <w:rPr>
          <w:rFonts w:hint="eastAsia" w:ascii="仿宋_GB2312" w:eastAsia="仿宋_GB2312" w:cs="仿宋_GB2312"/>
          <w:sz w:val="32"/>
          <w:szCs w:val="32"/>
          <w:lang w:val="zh-CN"/>
        </w:rPr>
        <w:t>万元（人员经费</w:t>
      </w:r>
      <w:r>
        <w:rPr>
          <w:rFonts w:hint="eastAsia" w:ascii="仿宋_GB2312" w:eastAsia="仿宋_GB2312" w:cs="仿宋_GB2312"/>
          <w:sz w:val="32"/>
          <w:szCs w:val="32"/>
        </w:rPr>
        <w:t>656.97</w:t>
      </w:r>
      <w:r>
        <w:rPr>
          <w:rFonts w:hint="eastAsia" w:ascii="仿宋_GB2312" w:eastAsia="仿宋_GB2312" w:cs="仿宋_GB2312"/>
          <w:sz w:val="32"/>
          <w:szCs w:val="32"/>
          <w:lang w:val="zh-CN"/>
        </w:rPr>
        <w:t>万元，日常公用经费</w:t>
      </w:r>
      <w:r>
        <w:rPr>
          <w:rFonts w:hint="eastAsia" w:ascii="仿宋_GB2312" w:eastAsia="仿宋_GB2312" w:cs="仿宋_GB2312"/>
          <w:sz w:val="32"/>
          <w:szCs w:val="32"/>
        </w:rPr>
        <w:t>109.89</w:t>
      </w:r>
      <w:r>
        <w:rPr>
          <w:rFonts w:hint="eastAsia" w:ascii="仿宋_GB2312" w:eastAsia="仿宋_GB2312" w:cs="仿宋_GB2312"/>
          <w:sz w:val="32"/>
          <w:szCs w:val="32"/>
          <w:lang w:val="zh-CN"/>
        </w:rPr>
        <w:t>万元）。</w:t>
      </w:r>
    </w:p>
    <w:p>
      <w:pPr>
        <w:spacing w:line="56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（二）部门财政资金支出情况</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202</w:t>
      </w:r>
      <w:r>
        <w:rPr>
          <w:rFonts w:hint="eastAsia" w:ascii="仿宋_GB2312" w:eastAsia="仿宋_GB2312" w:cs="仿宋_GB2312"/>
          <w:sz w:val="32"/>
          <w:szCs w:val="32"/>
        </w:rPr>
        <w:t>1</w:t>
      </w:r>
      <w:r>
        <w:rPr>
          <w:rFonts w:hint="eastAsia" w:ascii="仿宋_GB2312" w:eastAsia="仿宋_GB2312" w:cs="仿宋_GB2312"/>
          <w:sz w:val="32"/>
          <w:szCs w:val="32"/>
          <w:lang w:val="zh-CN"/>
        </w:rPr>
        <w:t>年部门总支出</w:t>
      </w:r>
      <w:r>
        <w:rPr>
          <w:rFonts w:hint="eastAsia" w:ascii="仿宋_GB2312" w:eastAsia="仿宋_GB2312" w:cs="仿宋_GB2312"/>
          <w:sz w:val="32"/>
          <w:szCs w:val="32"/>
        </w:rPr>
        <w:t>766.86</w:t>
      </w:r>
      <w:r>
        <w:rPr>
          <w:rFonts w:hint="eastAsia" w:ascii="仿宋_GB2312" w:eastAsia="仿宋_GB2312" w:cs="仿宋_GB2312"/>
          <w:sz w:val="32"/>
          <w:szCs w:val="32"/>
          <w:lang w:val="zh-CN"/>
        </w:rPr>
        <w:t>万元，按支出经济科目分类：工资福利支出</w:t>
      </w:r>
      <w:r>
        <w:rPr>
          <w:rFonts w:hint="eastAsia" w:ascii="仿宋_GB2312" w:eastAsia="仿宋_GB2312" w:cs="仿宋_GB2312"/>
          <w:sz w:val="32"/>
          <w:szCs w:val="32"/>
        </w:rPr>
        <w:t>603.98</w:t>
      </w:r>
      <w:r>
        <w:rPr>
          <w:rFonts w:hint="eastAsia" w:ascii="仿宋_GB2312" w:eastAsia="仿宋_GB2312" w:cs="仿宋_GB2312"/>
          <w:sz w:val="32"/>
          <w:szCs w:val="32"/>
          <w:lang w:val="zh-CN"/>
        </w:rPr>
        <w:t>万元，商品服务支出</w:t>
      </w:r>
      <w:r>
        <w:rPr>
          <w:rFonts w:hint="eastAsia" w:ascii="仿宋_GB2312" w:eastAsia="仿宋_GB2312" w:cs="仿宋_GB2312"/>
          <w:sz w:val="32"/>
          <w:szCs w:val="32"/>
        </w:rPr>
        <w:t>109.89</w:t>
      </w:r>
      <w:r>
        <w:rPr>
          <w:rFonts w:hint="eastAsia" w:ascii="仿宋_GB2312" w:eastAsia="仿宋_GB2312" w:cs="仿宋_GB2312"/>
          <w:sz w:val="32"/>
          <w:szCs w:val="32"/>
          <w:lang w:val="zh-CN"/>
        </w:rPr>
        <w:t>万元，对个人和家庭补助</w:t>
      </w:r>
      <w:r>
        <w:rPr>
          <w:rFonts w:hint="eastAsia" w:ascii="仿宋_GB2312" w:eastAsia="仿宋_GB2312" w:cs="仿宋_GB2312"/>
          <w:sz w:val="32"/>
          <w:szCs w:val="32"/>
        </w:rPr>
        <w:t>52.99</w:t>
      </w:r>
      <w:r>
        <w:rPr>
          <w:rFonts w:hint="eastAsia" w:ascii="仿宋_GB2312" w:eastAsia="仿宋_GB2312" w:cs="仿宋_GB2312"/>
          <w:sz w:val="32"/>
          <w:szCs w:val="32"/>
          <w:lang w:val="zh-CN"/>
        </w:rPr>
        <w:t>万元。</w:t>
      </w:r>
    </w:p>
    <w:p>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三、部门整体预算绩效管理情况</w:t>
      </w:r>
    </w:p>
    <w:p>
      <w:pPr>
        <w:spacing w:line="56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（一）部门预算项目绩效管理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1.部门预算管理</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根据《茂县财政局关于茂县县级2021-2023年中期财政规划和2021年部门预算编制的通知》（茂财发（20</w:t>
      </w:r>
      <w:r>
        <w:rPr>
          <w:rFonts w:hint="eastAsia" w:ascii="仿宋_GB2312" w:eastAsia="仿宋_GB2312" w:cs="仿宋_GB2312"/>
          <w:sz w:val="32"/>
          <w:szCs w:val="32"/>
        </w:rPr>
        <w:t>20</w:t>
      </w:r>
      <w:r>
        <w:rPr>
          <w:rFonts w:hint="eastAsia" w:ascii="仿宋_GB2312" w:eastAsia="仿宋_GB2312" w:cs="仿宋_GB2312"/>
          <w:sz w:val="32"/>
          <w:szCs w:val="32"/>
          <w:lang w:val="zh-CN"/>
        </w:rPr>
        <w:t>）7</w:t>
      </w:r>
      <w:r>
        <w:rPr>
          <w:rFonts w:hint="eastAsia" w:ascii="仿宋_GB2312" w:eastAsia="仿宋_GB2312" w:cs="仿宋_GB2312"/>
          <w:sz w:val="32"/>
          <w:szCs w:val="32"/>
        </w:rPr>
        <w:t>1</w:t>
      </w:r>
      <w:r>
        <w:rPr>
          <w:rFonts w:hint="eastAsia" w:ascii="仿宋_GB2312" w:eastAsia="仿宋_GB2312" w:cs="仿宋_GB2312"/>
          <w:sz w:val="32"/>
          <w:szCs w:val="32"/>
          <w:lang w:val="zh-CN"/>
        </w:rPr>
        <w:t>号）文件的范围、标准等编制部门预算；人员和公用支出预算按定员定额标准编制；202</w:t>
      </w:r>
      <w:r>
        <w:rPr>
          <w:rFonts w:hint="eastAsia" w:ascii="仿宋_GB2312" w:eastAsia="仿宋_GB2312" w:cs="仿宋_GB2312"/>
          <w:sz w:val="32"/>
          <w:szCs w:val="32"/>
        </w:rPr>
        <w:t>1</w:t>
      </w:r>
      <w:r>
        <w:rPr>
          <w:rFonts w:hint="eastAsia" w:ascii="仿宋_GB2312" w:eastAsia="仿宋_GB2312" w:cs="仿宋_GB2312"/>
          <w:sz w:val="32"/>
          <w:szCs w:val="32"/>
          <w:lang w:val="zh-CN"/>
        </w:rPr>
        <w:t>年预算在职职工</w:t>
      </w:r>
      <w:r>
        <w:rPr>
          <w:rFonts w:hint="eastAsia" w:ascii="仿宋_GB2312" w:eastAsia="仿宋_GB2312" w:cs="仿宋_GB2312"/>
          <w:sz w:val="32"/>
          <w:szCs w:val="32"/>
        </w:rPr>
        <w:t>38名，</w:t>
      </w:r>
      <w:r>
        <w:rPr>
          <w:rFonts w:hint="eastAsia" w:ascii="仿宋_GB2312" w:eastAsia="仿宋_GB2312" w:cs="仿宋_GB2312"/>
          <w:sz w:val="32"/>
          <w:szCs w:val="32"/>
          <w:lang w:val="zh-CN"/>
        </w:rPr>
        <w:t>2021年收入预算数</w:t>
      </w:r>
      <w:r>
        <w:rPr>
          <w:rFonts w:hint="eastAsia" w:ascii="仿宋_GB2312" w:eastAsia="仿宋_GB2312" w:cs="仿宋_GB2312"/>
          <w:sz w:val="32"/>
          <w:szCs w:val="32"/>
        </w:rPr>
        <w:t>487.32万元，</w:t>
      </w:r>
      <w:r>
        <w:rPr>
          <w:rFonts w:hint="eastAsia" w:ascii="仿宋_GB2312" w:eastAsia="仿宋_GB2312" w:cs="仿宋_GB2312"/>
          <w:sz w:val="32"/>
          <w:szCs w:val="32"/>
          <w:lang w:val="zh-CN"/>
        </w:rPr>
        <w:t>2021年支出预算数</w:t>
      </w:r>
      <w:r>
        <w:rPr>
          <w:rFonts w:hint="eastAsia" w:ascii="仿宋_GB2312" w:eastAsia="仿宋_GB2312" w:cs="仿宋_GB2312"/>
          <w:sz w:val="32"/>
          <w:szCs w:val="32"/>
        </w:rPr>
        <w:t>487.32万元，其中：人员经费454.15万元，公用经费31.39万元，项目支出1.78万元（其中：第一书记临岗补贴及乡镇工作补贴0.84万元、离休干部护理费0.6万元、杨占奎、刘清华的机关事业单位补充医疗保险0.34万元）</w:t>
      </w:r>
      <w:r>
        <w:rPr>
          <w:rFonts w:hint="eastAsia" w:ascii="仿宋_GB2312" w:eastAsia="仿宋_GB2312" w:cs="仿宋_GB2312"/>
          <w:sz w:val="32"/>
          <w:szCs w:val="32"/>
          <w:lang w:val="zh-CN"/>
        </w:rPr>
        <w:t>。</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2.</w:t>
      </w:r>
      <w:r>
        <w:rPr>
          <w:rFonts w:hint="eastAsia" w:ascii="仿宋_GB2312" w:eastAsia="仿宋_GB2312" w:cs="仿宋_GB2312"/>
          <w:sz w:val="32"/>
          <w:szCs w:val="32"/>
          <w:lang w:val="zh-CN"/>
        </w:rPr>
        <w:t>预算执行管理情况</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202</w:t>
      </w:r>
      <w:r>
        <w:rPr>
          <w:rFonts w:hint="eastAsia" w:ascii="仿宋_GB2312" w:eastAsia="仿宋_GB2312" w:cs="仿宋_GB2312"/>
          <w:sz w:val="32"/>
          <w:szCs w:val="32"/>
        </w:rPr>
        <w:t>1</w:t>
      </w:r>
      <w:r>
        <w:rPr>
          <w:rFonts w:hint="eastAsia" w:ascii="仿宋_GB2312" w:eastAsia="仿宋_GB2312" w:cs="仿宋_GB2312"/>
          <w:sz w:val="32"/>
          <w:szCs w:val="32"/>
          <w:lang w:val="zh-CN"/>
        </w:rPr>
        <w:t>年年初预算收入</w:t>
      </w:r>
      <w:r>
        <w:rPr>
          <w:rFonts w:hint="eastAsia" w:ascii="仿宋_GB2312" w:eastAsia="仿宋_GB2312" w:cs="仿宋_GB2312"/>
          <w:sz w:val="32"/>
          <w:szCs w:val="32"/>
        </w:rPr>
        <w:t>487.32</w:t>
      </w:r>
      <w:r>
        <w:rPr>
          <w:rFonts w:hint="eastAsia" w:ascii="仿宋_GB2312" w:eastAsia="仿宋_GB2312" w:cs="仿宋_GB2312"/>
          <w:sz w:val="32"/>
          <w:szCs w:val="32"/>
          <w:lang w:val="zh-CN"/>
        </w:rPr>
        <w:t>万元</w:t>
      </w:r>
      <w:r>
        <w:rPr>
          <w:rFonts w:hint="eastAsia" w:ascii="仿宋_GB2312" w:eastAsia="仿宋_GB2312" w:cs="仿宋_GB2312"/>
          <w:sz w:val="32"/>
          <w:szCs w:val="32"/>
        </w:rPr>
        <w:t>，</w:t>
      </w:r>
      <w:r>
        <w:rPr>
          <w:rFonts w:hint="eastAsia" w:ascii="仿宋_GB2312" w:eastAsia="仿宋_GB2312" w:cs="仿宋_GB2312"/>
          <w:sz w:val="32"/>
          <w:szCs w:val="32"/>
          <w:lang w:val="zh-CN"/>
        </w:rPr>
        <w:t>调整预算收入</w:t>
      </w:r>
      <w:r>
        <w:rPr>
          <w:rFonts w:hint="eastAsia" w:ascii="仿宋_GB2312" w:eastAsia="仿宋_GB2312" w:cs="仿宋_GB2312"/>
          <w:sz w:val="32"/>
          <w:szCs w:val="32"/>
        </w:rPr>
        <w:t>766.86</w:t>
      </w:r>
      <w:r>
        <w:rPr>
          <w:rFonts w:hint="eastAsia" w:ascii="仿宋_GB2312" w:eastAsia="仿宋_GB2312" w:cs="仿宋_GB2312"/>
          <w:sz w:val="32"/>
          <w:szCs w:val="32"/>
          <w:lang w:val="zh-CN"/>
        </w:rPr>
        <w:t>万元，决算收入</w:t>
      </w:r>
      <w:r>
        <w:rPr>
          <w:rFonts w:hint="eastAsia" w:ascii="仿宋_GB2312" w:eastAsia="仿宋_GB2312" w:cs="仿宋_GB2312"/>
          <w:sz w:val="32"/>
          <w:szCs w:val="32"/>
        </w:rPr>
        <w:t>766.86</w:t>
      </w:r>
      <w:r>
        <w:rPr>
          <w:rFonts w:hint="eastAsia" w:ascii="仿宋_GB2312" w:eastAsia="仿宋_GB2312" w:cs="仿宋_GB2312"/>
          <w:sz w:val="32"/>
          <w:szCs w:val="32"/>
          <w:lang w:val="zh-CN"/>
        </w:rPr>
        <w:t>万元；年初预算支出</w:t>
      </w:r>
      <w:r>
        <w:rPr>
          <w:rFonts w:hint="eastAsia" w:ascii="仿宋_GB2312" w:eastAsia="仿宋_GB2312" w:cs="仿宋_GB2312"/>
          <w:sz w:val="32"/>
          <w:szCs w:val="32"/>
        </w:rPr>
        <w:t>487.32</w:t>
      </w:r>
      <w:r>
        <w:rPr>
          <w:rFonts w:hint="eastAsia" w:ascii="仿宋_GB2312" w:eastAsia="仿宋_GB2312" w:cs="仿宋_GB2312"/>
          <w:sz w:val="32"/>
          <w:szCs w:val="32"/>
          <w:lang w:val="zh-CN"/>
        </w:rPr>
        <w:t>万元，调整预算支出</w:t>
      </w:r>
      <w:r>
        <w:rPr>
          <w:rFonts w:hint="eastAsia" w:ascii="仿宋_GB2312" w:eastAsia="仿宋_GB2312" w:cs="仿宋_GB2312"/>
          <w:sz w:val="32"/>
          <w:szCs w:val="32"/>
        </w:rPr>
        <w:t>766.86</w:t>
      </w:r>
      <w:r>
        <w:rPr>
          <w:rFonts w:hint="eastAsia" w:ascii="仿宋_GB2312" w:eastAsia="仿宋_GB2312" w:cs="仿宋_GB2312"/>
          <w:sz w:val="32"/>
          <w:szCs w:val="32"/>
          <w:lang w:val="zh-CN"/>
        </w:rPr>
        <w:t>万元，决算支出</w:t>
      </w:r>
      <w:r>
        <w:rPr>
          <w:rFonts w:hint="eastAsia" w:ascii="仿宋_GB2312" w:eastAsia="仿宋_GB2312" w:cs="仿宋_GB2312"/>
          <w:sz w:val="32"/>
          <w:szCs w:val="32"/>
        </w:rPr>
        <w:t>766.86</w:t>
      </w:r>
      <w:r>
        <w:rPr>
          <w:rFonts w:hint="eastAsia" w:ascii="仿宋_GB2312" w:eastAsia="仿宋_GB2312" w:cs="仿宋_GB2312"/>
          <w:sz w:val="32"/>
          <w:szCs w:val="32"/>
          <w:lang w:val="zh-CN"/>
        </w:rPr>
        <w:t>万元</w:t>
      </w:r>
      <w:r>
        <w:rPr>
          <w:rFonts w:hint="eastAsia" w:ascii="仿宋_GB2312" w:eastAsia="仿宋_GB2312" w:cs="仿宋_GB2312"/>
          <w:sz w:val="32"/>
          <w:szCs w:val="32"/>
        </w:rPr>
        <w:t>，其中：基本支出685.26万元；项目支出81.60万元。</w:t>
      </w:r>
      <w:r>
        <w:rPr>
          <w:rFonts w:hint="eastAsia" w:ascii="仿宋_GB2312" w:eastAsia="仿宋_GB2312" w:cs="仿宋_GB2312"/>
          <w:sz w:val="32"/>
          <w:szCs w:val="32"/>
          <w:lang w:val="zh-CN"/>
        </w:rPr>
        <w:t>公用经费年初预算支出</w:t>
      </w:r>
      <w:r>
        <w:rPr>
          <w:rFonts w:hint="eastAsia" w:ascii="仿宋_GB2312" w:eastAsia="仿宋_GB2312" w:cs="仿宋_GB2312"/>
          <w:sz w:val="32"/>
          <w:szCs w:val="32"/>
        </w:rPr>
        <w:t>31.4</w:t>
      </w:r>
      <w:r>
        <w:rPr>
          <w:rFonts w:hint="eastAsia" w:ascii="仿宋_GB2312" w:eastAsia="仿宋_GB2312" w:cs="仿宋_GB2312"/>
          <w:sz w:val="32"/>
          <w:szCs w:val="32"/>
          <w:lang w:val="zh-CN"/>
        </w:rPr>
        <w:t>万元，决算支出</w:t>
      </w:r>
      <w:r>
        <w:rPr>
          <w:rFonts w:hint="eastAsia" w:ascii="仿宋_GB2312" w:eastAsia="仿宋_GB2312" w:cs="仿宋_GB2312"/>
          <w:sz w:val="32"/>
          <w:szCs w:val="32"/>
        </w:rPr>
        <w:t>31.03</w:t>
      </w:r>
      <w:r>
        <w:rPr>
          <w:rFonts w:hint="eastAsia" w:ascii="仿宋_GB2312" w:eastAsia="仿宋_GB2312" w:cs="仿宋_GB2312"/>
          <w:sz w:val="32"/>
          <w:szCs w:val="32"/>
          <w:lang w:val="zh-CN"/>
        </w:rPr>
        <w:t>万元，节约率</w:t>
      </w:r>
      <w:r>
        <w:rPr>
          <w:rFonts w:hint="eastAsia" w:ascii="仿宋_GB2312" w:eastAsia="仿宋_GB2312" w:cs="仿宋_GB2312"/>
          <w:sz w:val="32"/>
          <w:szCs w:val="32"/>
        </w:rPr>
        <w:t>1.19</w:t>
      </w:r>
      <w:r>
        <w:rPr>
          <w:rFonts w:hint="eastAsia" w:ascii="仿宋_GB2312" w:eastAsia="仿宋_GB2312" w:cs="仿宋_GB2312"/>
          <w:sz w:val="32"/>
          <w:szCs w:val="32"/>
          <w:lang w:val="zh-CN"/>
        </w:rPr>
        <w:t>%。</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6月支出执行进度为</w:t>
      </w:r>
      <w:r>
        <w:rPr>
          <w:rFonts w:hint="eastAsia" w:ascii="仿宋_GB2312" w:eastAsia="仿宋_GB2312" w:cs="仿宋_GB2312"/>
          <w:sz w:val="32"/>
          <w:szCs w:val="32"/>
        </w:rPr>
        <w:t>52</w:t>
      </w:r>
      <w:r>
        <w:rPr>
          <w:rFonts w:hint="eastAsia" w:ascii="仿宋_GB2312" w:eastAsia="仿宋_GB2312" w:cs="仿宋_GB2312"/>
          <w:sz w:val="32"/>
          <w:szCs w:val="32"/>
          <w:lang w:val="zh-CN"/>
        </w:rPr>
        <w:t>%，9月支出执行进度为</w:t>
      </w:r>
      <w:r>
        <w:rPr>
          <w:rFonts w:hint="eastAsia" w:ascii="仿宋_GB2312" w:eastAsia="仿宋_GB2312" w:cs="仿宋_GB2312"/>
          <w:sz w:val="32"/>
          <w:szCs w:val="32"/>
        </w:rPr>
        <w:t>77.41</w:t>
      </w:r>
      <w:r>
        <w:rPr>
          <w:rFonts w:hint="eastAsia" w:ascii="仿宋_GB2312" w:eastAsia="仿宋_GB2312" w:cs="仿宋_GB2312"/>
          <w:sz w:val="32"/>
          <w:szCs w:val="32"/>
          <w:lang w:val="zh-CN"/>
        </w:rPr>
        <w:t>%，11月支出执行进度为</w:t>
      </w:r>
      <w:r>
        <w:rPr>
          <w:rFonts w:hint="eastAsia" w:ascii="仿宋_GB2312" w:eastAsia="仿宋_GB2312" w:cs="仿宋_GB2312"/>
          <w:sz w:val="32"/>
          <w:szCs w:val="32"/>
        </w:rPr>
        <w:t>88.25</w:t>
      </w:r>
      <w:r>
        <w:rPr>
          <w:rFonts w:hint="eastAsia" w:ascii="仿宋_GB2312" w:eastAsia="仿宋_GB2312" w:cs="仿宋_GB2312"/>
          <w:sz w:val="32"/>
          <w:szCs w:val="32"/>
          <w:lang w:val="zh-CN"/>
        </w:rPr>
        <w:t>%，全年支出执行度为100%。</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3.</w:t>
      </w:r>
      <w:r>
        <w:rPr>
          <w:rFonts w:hint="eastAsia" w:ascii="仿宋_GB2312" w:eastAsia="仿宋_GB2312" w:cs="仿宋_GB2312"/>
          <w:sz w:val="32"/>
          <w:szCs w:val="32"/>
          <w:lang w:val="zh-CN"/>
        </w:rPr>
        <w:t>绩效目标完成情况</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根据预算绩效管理要求，我局对2021年部门整体支出开展绩效自评，从评价情况来看，我局部门整体支出绩效评价自查自评结果良好。2021年我局预算编制，实事求是，确保预算的准确性、及时性，全年基本保证了部门的正常运行和日常工作的正常开展，完成了全年的财政收支任务，绩效目标得到较好实现，绩效管理水平不断提高，绩效指标逐渐丰富和完善。</w:t>
      </w:r>
    </w:p>
    <w:p>
      <w:pPr>
        <w:spacing w:line="56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（二）结果应用情况</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根据预算绩效管理要求，我单位对202</w:t>
      </w:r>
      <w:r>
        <w:rPr>
          <w:rFonts w:hint="eastAsia" w:ascii="仿宋_GB2312" w:eastAsia="仿宋_GB2312" w:cs="仿宋_GB2312"/>
          <w:sz w:val="32"/>
          <w:szCs w:val="32"/>
        </w:rPr>
        <w:t>1</w:t>
      </w:r>
      <w:r>
        <w:rPr>
          <w:rFonts w:hint="eastAsia" w:ascii="仿宋_GB2312" w:eastAsia="仿宋_GB2312" w:cs="仿宋_GB2312"/>
          <w:sz w:val="32"/>
          <w:szCs w:val="32"/>
          <w:lang w:val="zh-CN"/>
        </w:rPr>
        <w:t>年部门预算、决算和目标绩效情况进行公开，进一步强化了预算绩效管理，提升绩效管理水平。</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spacing w:line="56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（一）评价结论</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按照2021年部门支出绩效评价指标体系结合年初预算设定的绩效目标完成情况进行自评打分，自评情况和年初绩效目标完成情况进行了汇总，最后我局自评得分</w:t>
      </w:r>
      <w:r>
        <w:rPr>
          <w:rFonts w:hint="eastAsia" w:ascii="仿宋_GB2312" w:eastAsia="仿宋_GB2312" w:cs="仿宋_GB2312"/>
          <w:sz w:val="32"/>
          <w:szCs w:val="32"/>
        </w:rPr>
        <w:t>87</w:t>
      </w:r>
      <w:r>
        <w:rPr>
          <w:rFonts w:hint="eastAsia" w:ascii="仿宋_GB2312" w:eastAsia="仿宋_GB2312" w:cs="仿宋_GB2312"/>
          <w:sz w:val="32"/>
          <w:szCs w:val="32"/>
          <w:lang w:val="zh-CN"/>
        </w:rPr>
        <w:t>分。</w:t>
      </w:r>
    </w:p>
    <w:p>
      <w:pPr>
        <w:spacing w:line="56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（二）存在问题</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预算编制绩效目标设置管理需进一步加强。</w:t>
      </w:r>
    </w:p>
    <w:p>
      <w:pPr>
        <w:spacing w:line="56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（三）改进建议</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针对存在的问题，加强《预算法》《预算法实施条例》《政府会计制度》等业务知识学习，提高业务能力，强化绩效目标管理，科学设置绩效目标，加强部门预算收支执行管理，提高资金使用效益。</w:t>
      </w:r>
    </w:p>
    <w:p>
      <w:pPr>
        <w:spacing w:line="560" w:lineRule="exact"/>
        <w:rPr>
          <w:lang w:val="zh-CN"/>
        </w:rPr>
      </w:pPr>
    </w:p>
    <w:p>
      <w:pPr>
        <w:spacing w:line="560" w:lineRule="exact"/>
        <w:rPr>
          <w:lang w:val="zh-CN"/>
        </w:rPr>
      </w:pPr>
    </w:p>
    <w:p>
      <w:pPr>
        <w:spacing w:line="560" w:lineRule="exact"/>
        <w:rPr>
          <w:lang w:val="zh-CN"/>
        </w:rPr>
      </w:pPr>
    </w:p>
    <w:p>
      <w:pPr>
        <w:spacing w:line="560" w:lineRule="exact"/>
        <w:sectPr>
          <w:headerReference r:id="rId4" w:type="default"/>
          <w:footerReference r:id="rId5" w:type="default"/>
          <w:footerReference r:id="rId6" w:type="even"/>
          <w:pgSz w:w="11906" w:h="16838"/>
          <w:pgMar w:top="907" w:right="1361" w:bottom="851" w:left="1361" w:header="851" w:footer="992" w:gutter="0"/>
          <w:cols w:space="425" w:num="1"/>
          <w:docGrid w:type="lines" w:linePitch="435" w:charSpace="0"/>
        </w:sectPr>
      </w:pPr>
    </w:p>
    <w:p>
      <w:pPr>
        <w:spacing w:line="560" w:lineRule="exact"/>
        <w:jc w:val="center"/>
        <w:rPr>
          <w:rFonts w:ascii="方正小标宋简体" w:hAnsi="Calibri" w:eastAsia="方正小标宋简体"/>
          <w:sz w:val="44"/>
          <w:szCs w:val="44"/>
        </w:rPr>
      </w:pPr>
      <w:bookmarkStart w:id="73" w:name="_Toc111208512"/>
      <w:bookmarkStart w:id="74" w:name="_Toc79163635"/>
      <w:bookmarkStart w:id="75" w:name="_Toc79163885"/>
      <w:bookmarkStart w:id="76" w:name="_Toc14111"/>
      <w:r>
        <w:rPr>
          <w:rFonts w:hint="eastAsia" w:ascii="方正小标宋简体" w:hAnsi="Calibri" w:eastAsia="方正小标宋简体"/>
          <w:sz w:val="44"/>
          <w:szCs w:val="44"/>
        </w:rPr>
        <w:t>第五部分 附表</w:t>
      </w:r>
      <w:bookmarkEnd w:id="73"/>
      <w:bookmarkEnd w:id="74"/>
      <w:bookmarkEnd w:id="75"/>
      <w:bookmarkEnd w:id="76"/>
    </w:p>
    <w:p>
      <w:pPr>
        <w:spacing w:line="560" w:lineRule="exact"/>
        <w:ind w:firstLine="640" w:firstLineChars="200"/>
        <w:rPr>
          <w:rFonts w:ascii="黑体" w:hAnsi="黑体" w:eastAsia="黑体" w:cs="黑体"/>
          <w:sz w:val="32"/>
          <w:szCs w:val="32"/>
        </w:rPr>
      </w:pPr>
      <w:bookmarkStart w:id="77" w:name="_Toc79163636"/>
      <w:bookmarkStart w:id="78" w:name="_Toc79163886"/>
      <w:bookmarkStart w:id="79" w:name="_Toc111208513"/>
      <w:bookmarkStart w:id="80" w:name="_Toc10772"/>
      <w:r>
        <w:rPr>
          <w:rFonts w:hint="eastAsia" w:ascii="黑体" w:hAnsi="黑体" w:eastAsia="黑体" w:cs="黑体"/>
          <w:sz w:val="32"/>
          <w:szCs w:val="32"/>
        </w:rPr>
        <w:t>一、收入支出决算总表</w:t>
      </w:r>
      <w:bookmarkEnd w:id="77"/>
      <w:bookmarkEnd w:id="78"/>
      <w:bookmarkEnd w:id="79"/>
      <w:bookmarkEnd w:id="80"/>
    </w:p>
    <w:p>
      <w:pPr>
        <w:spacing w:line="560" w:lineRule="exact"/>
        <w:ind w:firstLine="640" w:firstLineChars="200"/>
        <w:rPr>
          <w:rFonts w:ascii="黑体" w:hAnsi="黑体" w:eastAsia="黑体" w:cs="黑体"/>
          <w:sz w:val="32"/>
          <w:szCs w:val="32"/>
        </w:rPr>
      </w:pPr>
      <w:bookmarkStart w:id="81" w:name="_Toc79163637"/>
      <w:bookmarkStart w:id="82" w:name="_Toc111208514"/>
      <w:bookmarkStart w:id="83" w:name="_Toc79163887"/>
      <w:bookmarkStart w:id="84" w:name="_Toc6476"/>
      <w:r>
        <w:rPr>
          <w:rFonts w:hint="eastAsia" w:ascii="黑体" w:hAnsi="黑体" w:eastAsia="黑体" w:cs="黑体"/>
          <w:sz w:val="32"/>
          <w:szCs w:val="32"/>
        </w:rPr>
        <w:t>二、收入决算表</w:t>
      </w:r>
      <w:bookmarkEnd w:id="81"/>
      <w:bookmarkEnd w:id="82"/>
      <w:bookmarkEnd w:id="83"/>
      <w:bookmarkEnd w:id="84"/>
    </w:p>
    <w:p>
      <w:pPr>
        <w:spacing w:line="560" w:lineRule="exact"/>
        <w:ind w:firstLine="640" w:firstLineChars="200"/>
        <w:rPr>
          <w:rFonts w:ascii="黑体" w:hAnsi="黑体" w:eastAsia="黑体" w:cs="黑体"/>
          <w:sz w:val="32"/>
          <w:szCs w:val="32"/>
        </w:rPr>
      </w:pPr>
      <w:bookmarkStart w:id="85" w:name="_Toc589"/>
      <w:bookmarkStart w:id="86" w:name="_Toc79163638"/>
      <w:bookmarkStart w:id="87" w:name="_Toc111208515"/>
      <w:bookmarkStart w:id="88" w:name="_Toc79163888"/>
      <w:r>
        <w:rPr>
          <w:rFonts w:hint="eastAsia" w:ascii="黑体" w:hAnsi="黑体" w:eastAsia="黑体" w:cs="黑体"/>
          <w:sz w:val="32"/>
          <w:szCs w:val="32"/>
        </w:rPr>
        <w:t>三、支出决算表</w:t>
      </w:r>
      <w:bookmarkEnd w:id="85"/>
      <w:bookmarkEnd w:id="86"/>
      <w:bookmarkEnd w:id="87"/>
      <w:bookmarkEnd w:id="88"/>
    </w:p>
    <w:p>
      <w:pPr>
        <w:spacing w:line="560" w:lineRule="exact"/>
        <w:ind w:firstLine="640" w:firstLineChars="200"/>
        <w:rPr>
          <w:rFonts w:ascii="黑体" w:hAnsi="黑体" w:eastAsia="黑体" w:cs="黑体"/>
          <w:sz w:val="32"/>
          <w:szCs w:val="32"/>
        </w:rPr>
      </w:pPr>
      <w:bookmarkStart w:id="89" w:name="_Toc79163639"/>
      <w:bookmarkStart w:id="90" w:name="_Toc111208516"/>
      <w:bookmarkStart w:id="91" w:name="_Toc13945"/>
      <w:bookmarkStart w:id="92" w:name="_Toc79163889"/>
      <w:r>
        <w:rPr>
          <w:rFonts w:hint="eastAsia" w:ascii="黑体" w:hAnsi="黑体" w:eastAsia="黑体" w:cs="黑体"/>
          <w:sz w:val="32"/>
          <w:szCs w:val="32"/>
        </w:rPr>
        <w:t>四、财政拨款收入支出决算总表</w:t>
      </w:r>
      <w:bookmarkEnd w:id="89"/>
      <w:bookmarkEnd w:id="90"/>
      <w:bookmarkEnd w:id="91"/>
      <w:bookmarkEnd w:id="92"/>
    </w:p>
    <w:p>
      <w:pPr>
        <w:spacing w:line="560" w:lineRule="exact"/>
        <w:ind w:firstLine="640" w:firstLineChars="200"/>
        <w:rPr>
          <w:rFonts w:ascii="黑体" w:hAnsi="黑体" w:eastAsia="黑体" w:cs="黑体"/>
          <w:sz w:val="32"/>
          <w:szCs w:val="32"/>
        </w:rPr>
      </w:pPr>
      <w:bookmarkStart w:id="93" w:name="_Toc21208"/>
      <w:bookmarkStart w:id="94" w:name="_Toc79163890"/>
      <w:bookmarkStart w:id="95" w:name="_Toc79163640"/>
      <w:bookmarkStart w:id="96" w:name="_Toc111208517"/>
      <w:r>
        <w:rPr>
          <w:rFonts w:hint="eastAsia" w:ascii="黑体" w:hAnsi="黑体" w:eastAsia="黑体" w:cs="黑体"/>
          <w:sz w:val="32"/>
          <w:szCs w:val="32"/>
        </w:rPr>
        <w:t>五、财政拨款支出决算明细表</w:t>
      </w:r>
      <w:bookmarkEnd w:id="93"/>
      <w:bookmarkEnd w:id="94"/>
      <w:bookmarkEnd w:id="95"/>
      <w:bookmarkEnd w:id="96"/>
    </w:p>
    <w:p>
      <w:pPr>
        <w:spacing w:line="560" w:lineRule="exact"/>
        <w:ind w:firstLine="640" w:firstLineChars="200"/>
        <w:rPr>
          <w:rFonts w:ascii="黑体" w:hAnsi="黑体" w:eastAsia="黑体" w:cs="黑体"/>
          <w:sz w:val="32"/>
          <w:szCs w:val="32"/>
        </w:rPr>
      </w:pPr>
      <w:bookmarkStart w:id="97" w:name="_Toc32705"/>
      <w:bookmarkStart w:id="98" w:name="_Toc111208518"/>
      <w:bookmarkStart w:id="99" w:name="_Toc79163641"/>
      <w:bookmarkStart w:id="100" w:name="_Toc79163891"/>
      <w:r>
        <w:rPr>
          <w:rFonts w:hint="eastAsia" w:ascii="黑体" w:hAnsi="黑体" w:eastAsia="黑体" w:cs="黑体"/>
          <w:sz w:val="32"/>
          <w:szCs w:val="32"/>
        </w:rPr>
        <w:t>六、一般公共预算财政拨款支出决算表</w:t>
      </w:r>
      <w:bookmarkEnd w:id="97"/>
      <w:bookmarkEnd w:id="98"/>
      <w:bookmarkEnd w:id="99"/>
      <w:bookmarkEnd w:id="100"/>
    </w:p>
    <w:p>
      <w:pPr>
        <w:spacing w:line="560" w:lineRule="exact"/>
        <w:ind w:firstLine="640" w:firstLineChars="200"/>
        <w:rPr>
          <w:rFonts w:ascii="黑体" w:hAnsi="黑体" w:eastAsia="黑体" w:cs="黑体"/>
          <w:sz w:val="32"/>
          <w:szCs w:val="32"/>
        </w:rPr>
      </w:pPr>
      <w:bookmarkStart w:id="101" w:name="_Toc79163892"/>
      <w:bookmarkStart w:id="102" w:name="_Toc79163642"/>
      <w:bookmarkStart w:id="103" w:name="_Toc11493"/>
      <w:bookmarkStart w:id="104" w:name="_Toc111208519"/>
      <w:r>
        <w:rPr>
          <w:rFonts w:hint="eastAsia" w:ascii="黑体" w:hAnsi="黑体" w:eastAsia="黑体" w:cs="黑体"/>
          <w:sz w:val="32"/>
          <w:szCs w:val="32"/>
        </w:rPr>
        <w:t>七、一般公共预算财政拨款支出决算明细表</w:t>
      </w:r>
      <w:bookmarkEnd w:id="101"/>
      <w:bookmarkEnd w:id="102"/>
      <w:bookmarkEnd w:id="103"/>
      <w:bookmarkEnd w:id="104"/>
    </w:p>
    <w:p>
      <w:pPr>
        <w:spacing w:line="560" w:lineRule="exact"/>
        <w:ind w:firstLine="640" w:firstLineChars="200"/>
        <w:rPr>
          <w:rFonts w:ascii="黑体" w:hAnsi="黑体" w:eastAsia="黑体" w:cs="黑体"/>
          <w:sz w:val="32"/>
          <w:szCs w:val="32"/>
        </w:rPr>
      </w:pPr>
      <w:bookmarkStart w:id="105" w:name="_Toc79163893"/>
      <w:bookmarkStart w:id="106" w:name="_Toc79163643"/>
      <w:bookmarkStart w:id="107" w:name="_Toc111208520"/>
      <w:bookmarkStart w:id="108" w:name="_Toc7181"/>
      <w:r>
        <w:rPr>
          <w:rFonts w:hint="eastAsia" w:ascii="黑体" w:hAnsi="黑体" w:eastAsia="黑体" w:cs="黑体"/>
          <w:sz w:val="32"/>
          <w:szCs w:val="32"/>
        </w:rPr>
        <w:t>八、一般公共预算财政拨款基本支出决算表</w:t>
      </w:r>
      <w:bookmarkEnd w:id="105"/>
      <w:bookmarkEnd w:id="106"/>
      <w:bookmarkEnd w:id="107"/>
      <w:bookmarkEnd w:id="108"/>
    </w:p>
    <w:p>
      <w:pPr>
        <w:spacing w:line="560" w:lineRule="exact"/>
        <w:ind w:firstLine="640" w:firstLineChars="200"/>
        <w:rPr>
          <w:rFonts w:ascii="黑体" w:hAnsi="黑体" w:eastAsia="黑体" w:cs="黑体"/>
          <w:sz w:val="32"/>
          <w:szCs w:val="32"/>
        </w:rPr>
      </w:pPr>
      <w:bookmarkStart w:id="109" w:name="_Toc79163644"/>
      <w:bookmarkStart w:id="110" w:name="_Toc111208521"/>
      <w:bookmarkStart w:id="111" w:name="_Toc29771"/>
      <w:bookmarkStart w:id="112" w:name="_Toc79163894"/>
      <w:r>
        <w:rPr>
          <w:rFonts w:hint="eastAsia" w:ascii="黑体" w:hAnsi="黑体" w:eastAsia="黑体" w:cs="黑体"/>
          <w:sz w:val="32"/>
          <w:szCs w:val="32"/>
        </w:rPr>
        <w:t>九、一般公共预算财政拨款项目支出决算表</w:t>
      </w:r>
      <w:bookmarkEnd w:id="109"/>
      <w:bookmarkEnd w:id="110"/>
      <w:bookmarkEnd w:id="111"/>
      <w:bookmarkEnd w:id="112"/>
    </w:p>
    <w:p>
      <w:pPr>
        <w:spacing w:line="560" w:lineRule="exact"/>
        <w:ind w:firstLine="640" w:firstLineChars="200"/>
        <w:rPr>
          <w:rFonts w:ascii="黑体" w:hAnsi="黑体" w:eastAsia="黑体" w:cs="黑体"/>
          <w:sz w:val="32"/>
          <w:szCs w:val="32"/>
        </w:rPr>
      </w:pPr>
      <w:bookmarkStart w:id="113" w:name="_Toc79163895"/>
      <w:bookmarkStart w:id="114" w:name="_Toc79163645"/>
      <w:bookmarkStart w:id="115" w:name="_Toc7713"/>
      <w:bookmarkStart w:id="116" w:name="_Toc111208522"/>
      <w:r>
        <w:rPr>
          <w:rFonts w:hint="eastAsia" w:ascii="黑体" w:hAnsi="黑体" w:eastAsia="黑体" w:cs="黑体"/>
          <w:sz w:val="32"/>
          <w:szCs w:val="32"/>
        </w:rPr>
        <w:t>十、一般公共预算财政拨款“三公”经费支出决算表</w:t>
      </w:r>
      <w:bookmarkEnd w:id="113"/>
      <w:bookmarkEnd w:id="114"/>
      <w:bookmarkEnd w:id="115"/>
      <w:bookmarkEnd w:id="116"/>
    </w:p>
    <w:p>
      <w:pPr>
        <w:spacing w:line="560" w:lineRule="exact"/>
        <w:ind w:firstLine="640" w:firstLineChars="200"/>
        <w:rPr>
          <w:rFonts w:ascii="黑体" w:hAnsi="黑体" w:eastAsia="黑体" w:cs="黑体"/>
          <w:sz w:val="32"/>
          <w:szCs w:val="32"/>
        </w:rPr>
      </w:pPr>
      <w:bookmarkStart w:id="117" w:name="_Toc79163896"/>
      <w:bookmarkStart w:id="118" w:name="_Toc79163646"/>
      <w:bookmarkStart w:id="119" w:name="_Toc111208523"/>
      <w:bookmarkStart w:id="120" w:name="_Toc24029"/>
      <w:r>
        <w:rPr>
          <w:rFonts w:hint="eastAsia" w:ascii="黑体" w:hAnsi="黑体" w:eastAsia="黑体" w:cs="黑体"/>
          <w:sz w:val="32"/>
          <w:szCs w:val="32"/>
        </w:rPr>
        <w:t>十一、政府性基金预算财政拨款收入支出决算表</w:t>
      </w:r>
      <w:bookmarkEnd w:id="117"/>
      <w:bookmarkEnd w:id="118"/>
      <w:bookmarkEnd w:id="119"/>
      <w:bookmarkEnd w:id="120"/>
    </w:p>
    <w:p>
      <w:pPr>
        <w:spacing w:line="560" w:lineRule="exact"/>
        <w:ind w:firstLine="640" w:firstLineChars="200"/>
        <w:rPr>
          <w:rFonts w:ascii="黑体" w:hAnsi="黑体" w:eastAsia="黑体" w:cs="黑体"/>
          <w:sz w:val="32"/>
          <w:szCs w:val="32"/>
        </w:rPr>
      </w:pPr>
      <w:bookmarkStart w:id="121" w:name="_Toc79163897"/>
      <w:bookmarkStart w:id="122" w:name="_Toc79163647"/>
      <w:bookmarkStart w:id="123" w:name="_Toc10270"/>
      <w:bookmarkStart w:id="124" w:name="_Toc111208524"/>
      <w:r>
        <w:rPr>
          <w:rFonts w:hint="eastAsia" w:ascii="黑体" w:hAnsi="黑体" w:eastAsia="黑体" w:cs="黑体"/>
          <w:sz w:val="32"/>
          <w:szCs w:val="32"/>
        </w:rPr>
        <w:t>十二、政府性基金预算财政拨款“三公”经费支出决算表</w:t>
      </w:r>
      <w:bookmarkEnd w:id="121"/>
      <w:bookmarkEnd w:id="122"/>
      <w:bookmarkEnd w:id="123"/>
      <w:bookmarkEnd w:id="124"/>
    </w:p>
    <w:p>
      <w:pPr>
        <w:spacing w:line="560" w:lineRule="exact"/>
        <w:ind w:firstLine="640" w:firstLineChars="200"/>
        <w:rPr>
          <w:rFonts w:ascii="黑体" w:hAnsi="黑体" w:eastAsia="黑体" w:cs="黑体"/>
          <w:sz w:val="32"/>
          <w:szCs w:val="32"/>
        </w:rPr>
      </w:pPr>
      <w:bookmarkStart w:id="125" w:name="_Toc79163898"/>
      <w:bookmarkStart w:id="126" w:name="_Toc79163648"/>
      <w:bookmarkStart w:id="127" w:name="_Toc111208525"/>
      <w:bookmarkStart w:id="128" w:name="_Toc10606"/>
      <w:r>
        <w:rPr>
          <w:rFonts w:hint="eastAsia" w:ascii="黑体" w:hAnsi="黑体" w:eastAsia="黑体" w:cs="黑体"/>
          <w:sz w:val="32"/>
          <w:szCs w:val="32"/>
        </w:rPr>
        <w:t>十三、</w:t>
      </w:r>
      <w:bookmarkEnd w:id="125"/>
      <w:bookmarkEnd w:id="126"/>
      <w:r>
        <w:rPr>
          <w:rFonts w:hint="eastAsia" w:ascii="黑体" w:hAnsi="黑体" w:eastAsia="黑体" w:cs="黑体"/>
          <w:sz w:val="32"/>
          <w:szCs w:val="32"/>
        </w:rPr>
        <w:t>国有资本经营预算财政拨款收入支出决算表</w:t>
      </w:r>
      <w:bookmarkEnd w:id="127"/>
      <w:bookmarkEnd w:id="128"/>
    </w:p>
    <w:p>
      <w:pPr>
        <w:spacing w:line="560" w:lineRule="exact"/>
        <w:ind w:firstLine="640" w:firstLineChars="200"/>
        <w:rPr>
          <w:rFonts w:ascii="黑体" w:hAnsi="黑体" w:eastAsia="黑体" w:cs="黑体"/>
          <w:sz w:val="32"/>
          <w:szCs w:val="32"/>
        </w:rPr>
      </w:pPr>
      <w:bookmarkStart w:id="129" w:name="_Toc20471"/>
      <w:bookmarkStart w:id="130" w:name="_Toc111208526"/>
      <w:r>
        <w:rPr>
          <w:rFonts w:hint="eastAsia" w:ascii="黑体" w:hAnsi="黑体" w:eastAsia="黑体" w:cs="黑体"/>
          <w:sz w:val="32"/>
          <w:szCs w:val="32"/>
        </w:rPr>
        <w:t>十四、国有资本经营预算财政拨款支出决算表</w:t>
      </w:r>
      <w:bookmarkEnd w:id="129"/>
      <w:bookmarkEnd w:id="130"/>
    </w:p>
    <w:sectPr>
      <w:headerReference r:id="rId7" w:type="default"/>
      <w:footerReference r:id="rId8"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仿宋_GB2312"/>
    <w:panose1 w:val="00000000000000000000"/>
    <w:charset w:val="00"/>
    <w:family w:val="auto"/>
    <w:pitch w:val="default"/>
    <w:sig w:usb0="00000000" w:usb1="00000000" w:usb2="00000000" w:usb3="00000000" w:csb0="00000000" w:csb1="00000000"/>
  </w:font>
  <w:font w:name="方正小标宋简体">
    <w:altName w:val="方正小标宋_GBK"/>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3074" o:spid="_x0000_s307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3075" o:spid="_x0000_s307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6"/>
                </w:pPr>
              </w:p>
            </w:txbxContent>
          </v:textbox>
        </v:shape>
      </w:pic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CB0D1"/>
    <w:multiLevelType w:val="singleLevel"/>
    <w:tmpl w:val="2B0CB0D1"/>
    <w:lvl w:ilvl="0" w:tentative="0">
      <w:start w:val="2"/>
      <w:numFmt w:val="chineseCounting"/>
      <w:suff w:val="nothing"/>
      <w:lvlText w:val="%1、"/>
      <w:lvlJc w:val="left"/>
      <w:rPr>
        <w:rFonts w:hint="eastAsia"/>
      </w:rPr>
    </w:lvl>
  </w:abstractNum>
  <w:abstractNum w:abstractNumId="1">
    <w:nsid w:val="3D66BD02"/>
    <w:multiLevelType w:val="singleLevel"/>
    <w:tmpl w:val="3D66BD02"/>
    <w:lvl w:ilvl="0" w:tentative="0">
      <w:start w:val="1"/>
      <w:numFmt w:val="chineseCounting"/>
      <w:suff w:val="space"/>
      <w:lvlText w:val="第%1部分"/>
      <w:lvlJc w:val="left"/>
      <w:rPr>
        <w:rFonts w:hint="eastAsia"/>
      </w:rPr>
    </w:lvl>
  </w:abstractNum>
  <w:abstractNum w:abstractNumId="2">
    <w:nsid w:val="7B752B58"/>
    <w:multiLevelType w:val="singleLevel"/>
    <w:tmpl w:val="7B752B58"/>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hN2VmMTQwN2FlNjQzNmNjYzMxZGRlMzZjMmM5ZTkifQ=="/>
  </w:docVars>
  <w:rsids>
    <w:rsidRoot w:val="00F1361C"/>
    <w:rsid w:val="000000BC"/>
    <w:rsid w:val="00000665"/>
    <w:rsid w:val="00000B38"/>
    <w:rsid w:val="000015A2"/>
    <w:rsid w:val="00003E5B"/>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4C5"/>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213E"/>
    <w:rsid w:val="001544D9"/>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5CF3"/>
    <w:rsid w:val="001A63BB"/>
    <w:rsid w:val="001B1840"/>
    <w:rsid w:val="001B1FA9"/>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4F31"/>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496"/>
    <w:rsid w:val="00283D63"/>
    <w:rsid w:val="002856F9"/>
    <w:rsid w:val="002866CA"/>
    <w:rsid w:val="00286C21"/>
    <w:rsid w:val="002875BF"/>
    <w:rsid w:val="0029076F"/>
    <w:rsid w:val="0029094E"/>
    <w:rsid w:val="00291DC2"/>
    <w:rsid w:val="00292626"/>
    <w:rsid w:val="00292E6B"/>
    <w:rsid w:val="00295495"/>
    <w:rsid w:val="002A0D55"/>
    <w:rsid w:val="002A0E88"/>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5025"/>
    <w:rsid w:val="00386455"/>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2BDA"/>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2FDA"/>
    <w:rsid w:val="00513ED7"/>
    <w:rsid w:val="0051467D"/>
    <w:rsid w:val="00520DA0"/>
    <w:rsid w:val="005225FC"/>
    <w:rsid w:val="00524AC4"/>
    <w:rsid w:val="0052729E"/>
    <w:rsid w:val="0052733D"/>
    <w:rsid w:val="00530E19"/>
    <w:rsid w:val="00530F71"/>
    <w:rsid w:val="005322EB"/>
    <w:rsid w:val="0053459C"/>
    <w:rsid w:val="00550726"/>
    <w:rsid w:val="0055106D"/>
    <w:rsid w:val="005559A4"/>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547"/>
    <w:rsid w:val="00607816"/>
    <w:rsid w:val="00607E6C"/>
    <w:rsid w:val="006101B1"/>
    <w:rsid w:val="00611AD3"/>
    <w:rsid w:val="00612209"/>
    <w:rsid w:val="00614423"/>
    <w:rsid w:val="00614E44"/>
    <w:rsid w:val="006155B0"/>
    <w:rsid w:val="006205F4"/>
    <w:rsid w:val="00622830"/>
    <w:rsid w:val="006256DB"/>
    <w:rsid w:val="00630AEF"/>
    <w:rsid w:val="006325F8"/>
    <w:rsid w:val="00633AE4"/>
    <w:rsid w:val="006348B1"/>
    <w:rsid w:val="00634C9A"/>
    <w:rsid w:val="00635FC7"/>
    <w:rsid w:val="00636040"/>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471C"/>
    <w:rsid w:val="006B533E"/>
    <w:rsid w:val="006C1937"/>
    <w:rsid w:val="006C1A43"/>
    <w:rsid w:val="006C397F"/>
    <w:rsid w:val="006C6427"/>
    <w:rsid w:val="006C76DB"/>
    <w:rsid w:val="006D1F0B"/>
    <w:rsid w:val="006D42C6"/>
    <w:rsid w:val="006E0081"/>
    <w:rsid w:val="006E3700"/>
    <w:rsid w:val="006E6C66"/>
    <w:rsid w:val="006F020C"/>
    <w:rsid w:val="006F3DF7"/>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182A"/>
    <w:rsid w:val="00763BC1"/>
    <w:rsid w:val="0076499D"/>
    <w:rsid w:val="007656DB"/>
    <w:rsid w:val="007676D8"/>
    <w:rsid w:val="00767A7D"/>
    <w:rsid w:val="00767B7E"/>
    <w:rsid w:val="00767BE6"/>
    <w:rsid w:val="00775A39"/>
    <w:rsid w:val="00776900"/>
    <w:rsid w:val="007770C3"/>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A58"/>
    <w:rsid w:val="008918AA"/>
    <w:rsid w:val="008918C9"/>
    <w:rsid w:val="008939CD"/>
    <w:rsid w:val="00893E7C"/>
    <w:rsid w:val="00895862"/>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AED"/>
    <w:rsid w:val="00BA22CD"/>
    <w:rsid w:val="00BA3028"/>
    <w:rsid w:val="00BA3356"/>
    <w:rsid w:val="00BA49E7"/>
    <w:rsid w:val="00BA5298"/>
    <w:rsid w:val="00BB1990"/>
    <w:rsid w:val="00BB2D7E"/>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955"/>
    <w:rsid w:val="00C77D1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47B9A"/>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8058B"/>
    <w:rsid w:val="00D811F1"/>
    <w:rsid w:val="00D81CF0"/>
    <w:rsid w:val="00D86259"/>
    <w:rsid w:val="00D9128F"/>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0DA1"/>
    <w:rsid w:val="00F75CC0"/>
    <w:rsid w:val="00F75CCC"/>
    <w:rsid w:val="00F75F9D"/>
    <w:rsid w:val="00F81FD9"/>
    <w:rsid w:val="00F82490"/>
    <w:rsid w:val="00F8281D"/>
    <w:rsid w:val="00F835D4"/>
    <w:rsid w:val="00F841AA"/>
    <w:rsid w:val="00F845B5"/>
    <w:rsid w:val="00F86932"/>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850225"/>
    <w:rsid w:val="03F359AA"/>
    <w:rsid w:val="0463543B"/>
    <w:rsid w:val="04A56E6E"/>
    <w:rsid w:val="051A6F96"/>
    <w:rsid w:val="051C683A"/>
    <w:rsid w:val="06951176"/>
    <w:rsid w:val="07001BE1"/>
    <w:rsid w:val="07267DE7"/>
    <w:rsid w:val="079524DC"/>
    <w:rsid w:val="083C0C2E"/>
    <w:rsid w:val="089C4B49"/>
    <w:rsid w:val="09081517"/>
    <w:rsid w:val="091B747D"/>
    <w:rsid w:val="0A19737C"/>
    <w:rsid w:val="0AF7145F"/>
    <w:rsid w:val="0B7218AA"/>
    <w:rsid w:val="0B99373B"/>
    <w:rsid w:val="0BA37CB5"/>
    <w:rsid w:val="0BB536DE"/>
    <w:rsid w:val="0BB74ABA"/>
    <w:rsid w:val="0BCE392B"/>
    <w:rsid w:val="0BE502CE"/>
    <w:rsid w:val="0D0429D6"/>
    <w:rsid w:val="0D093B48"/>
    <w:rsid w:val="0D1D3A97"/>
    <w:rsid w:val="0D322E51"/>
    <w:rsid w:val="0D6C338E"/>
    <w:rsid w:val="0DAF0B93"/>
    <w:rsid w:val="0DB37F58"/>
    <w:rsid w:val="0EB67562"/>
    <w:rsid w:val="0F0141F6"/>
    <w:rsid w:val="0F5E6610"/>
    <w:rsid w:val="10C055FF"/>
    <w:rsid w:val="11D56DF6"/>
    <w:rsid w:val="11ED6591"/>
    <w:rsid w:val="1325713B"/>
    <w:rsid w:val="13367661"/>
    <w:rsid w:val="14516D65"/>
    <w:rsid w:val="14787789"/>
    <w:rsid w:val="14D16057"/>
    <w:rsid w:val="1504396C"/>
    <w:rsid w:val="16BB723D"/>
    <w:rsid w:val="171711C2"/>
    <w:rsid w:val="171F7CD0"/>
    <w:rsid w:val="17BC7656"/>
    <w:rsid w:val="17EA348C"/>
    <w:rsid w:val="182A635D"/>
    <w:rsid w:val="1840212F"/>
    <w:rsid w:val="187012B2"/>
    <w:rsid w:val="19797D49"/>
    <w:rsid w:val="19943114"/>
    <w:rsid w:val="1A1B5BAC"/>
    <w:rsid w:val="1AB026BC"/>
    <w:rsid w:val="1ABB32B6"/>
    <w:rsid w:val="1AEC361C"/>
    <w:rsid w:val="1B847192"/>
    <w:rsid w:val="1BF70747"/>
    <w:rsid w:val="1C06153F"/>
    <w:rsid w:val="1C986C96"/>
    <w:rsid w:val="1CAA57FE"/>
    <w:rsid w:val="1D7371C3"/>
    <w:rsid w:val="1DDC2BB3"/>
    <w:rsid w:val="1E34479D"/>
    <w:rsid w:val="1E805C34"/>
    <w:rsid w:val="1EAA51FC"/>
    <w:rsid w:val="1EF81F78"/>
    <w:rsid w:val="1F620905"/>
    <w:rsid w:val="1F762FAB"/>
    <w:rsid w:val="201A6AB0"/>
    <w:rsid w:val="203B66A0"/>
    <w:rsid w:val="211A679A"/>
    <w:rsid w:val="215A0395"/>
    <w:rsid w:val="22987271"/>
    <w:rsid w:val="235F41EA"/>
    <w:rsid w:val="23902475"/>
    <w:rsid w:val="240371BF"/>
    <w:rsid w:val="2435534E"/>
    <w:rsid w:val="24534F10"/>
    <w:rsid w:val="24C77F35"/>
    <w:rsid w:val="24DF6C66"/>
    <w:rsid w:val="25223A75"/>
    <w:rsid w:val="253D03DB"/>
    <w:rsid w:val="25A20B86"/>
    <w:rsid w:val="25B1070F"/>
    <w:rsid w:val="25DD571A"/>
    <w:rsid w:val="26060059"/>
    <w:rsid w:val="26415CA9"/>
    <w:rsid w:val="265C1D1F"/>
    <w:rsid w:val="26BB36DB"/>
    <w:rsid w:val="271C5A93"/>
    <w:rsid w:val="276F1834"/>
    <w:rsid w:val="27AF0A37"/>
    <w:rsid w:val="27B459F9"/>
    <w:rsid w:val="27C51E91"/>
    <w:rsid w:val="28513369"/>
    <w:rsid w:val="28BF6D42"/>
    <w:rsid w:val="28D72043"/>
    <w:rsid w:val="28DC08BE"/>
    <w:rsid w:val="29FD04D3"/>
    <w:rsid w:val="2A013186"/>
    <w:rsid w:val="2CAE1BBE"/>
    <w:rsid w:val="2CCF04B2"/>
    <w:rsid w:val="2D032DB6"/>
    <w:rsid w:val="2DE33AEA"/>
    <w:rsid w:val="2E4C04E0"/>
    <w:rsid w:val="2F803D16"/>
    <w:rsid w:val="306908AF"/>
    <w:rsid w:val="308B1B1A"/>
    <w:rsid w:val="30A963F3"/>
    <w:rsid w:val="30CB58EC"/>
    <w:rsid w:val="30F524B2"/>
    <w:rsid w:val="3115045F"/>
    <w:rsid w:val="31810DA9"/>
    <w:rsid w:val="31903F88"/>
    <w:rsid w:val="319F7F4E"/>
    <w:rsid w:val="31B9528D"/>
    <w:rsid w:val="31E774A5"/>
    <w:rsid w:val="329448A6"/>
    <w:rsid w:val="32F45598"/>
    <w:rsid w:val="35244754"/>
    <w:rsid w:val="359009FB"/>
    <w:rsid w:val="364D41F6"/>
    <w:rsid w:val="36FD0156"/>
    <w:rsid w:val="38335204"/>
    <w:rsid w:val="38EC373D"/>
    <w:rsid w:val="38F8371D"/>
    <w:rsid w:val="39226F5F"/>
    <w:rsid w:val="3932023E"/>
    <w:rsid w:val="39902098"/>
    <w:rsid w:val="3A3A0F35"/>
    <w:rsid w:val="3A4E1148"/>
    <w:rsid w:val="3B1343A4"/>
    <w:rsid w:val="3C8D2F9D"/>
    <w:rsid w:val="3CE0510E"/>
    <w:rsid w:val="3D1E4B3E"/>
    <w:rsid w:val="3E03620E"/>
    <w:rsid w:val="3E343C22"/>
    <w:rsid w:val="3F512FA9"/>
    <w:rsid w:val="3F7B345F"/>
    <w:rsid w:val="3FAC4683"/>
    <w:rsid w:val="3FD1469D"/>
    <w:rsid w:val="3FEA5DFB"/>
    <w:rsid w:val="401C35B7"/>
    <w:rsid w:val="4119235A"/>
    <w:rsid w:val="41677310"/>
    <w:rsid w:val="41947C1D"/>
    <w:rsid w:val="422C2C46"/>
    <w:rsid w:val="42401F9E"/>
    <w:rsid w:val="4251506E"/>
    <w:rsid w:val="43684120"/>
    <w:rsid w:val="444F07DA"/>
    <w:rsid w:val="44601E28"/>
    <w:rsid w:val="45102FBE"/>
    <w:rsid w:val="47473983"/>
    <w:rsid w:val="475E72DC"/>
    <w:rsid w:val="47A70209"/>
    <w:rsid w:val="47F40975"/>
    <w:rsid w:val="47F514AF"/>
    <w:rsid w:val="4839282C"/>
    <w:rsid w:val="485D3BB6"/>
    <w:rsid w:val="48FD75BD"/>
    <w:rsid w:val="4A745623"/>
    <w:rsid w:val="4B116AE0"/>
    <w:rsid w:val="4B821FE8"/>
    <w:rsid w:val="4D135D42"/>
    <w:rsid w:val="4D846266"/>
    <w:rsid w:val="4D8520FC"/>
    <w:rsid w:val="4D8D78A2"/>
    <w:rsid w:val="4DF123A8"/>
    <w:rsid w:val="4E832A53"/>
    <w:rsid w:val="4F6F7A34"/>
    <w:rsid w:val="4FD74194"/>
    <w:rsid w:val="4FDA49F5"/>
    <w:rsid w:val="50AE413E"/>
    <w:rsid w:val="50D431BF"/>
    <w:rsid w:val="51237D1B"/>
    <w:rsid w:val="51E1640E"/>
    <w:rsid w:val="51EE42CA"/>
    <w:rsid w:val="52302EF2"/>
    <w:rsid w:val="52B554F9"/>
    <w:rsid w:val="52ED6284"/>
    <w:rsid w:val="5322283B"/>
    <w:rsid w:val="532B0C13"/>
    <w:rsid w:val="53651387"/>
    <w:rsid w:val="53BE2B80"/>
    <w:rsid w:val="541505F1"/>
    <w:rsid w:val="54763C96"/>
    <w:rsid w:val="548E2745"/>
    <w:rsid w:val="54992FD0"/>
    <w:rsid w:val="54A84FC1"/>
    <w:rsid w:val="54C66050"/>
    <w:rsid w:val="553377F5"/>
    <w:rsid w:val="5556749B"/>
    <w:rsid w:val="55872E29"/>
    <w:rsid w:val="564113FC"/>
    <w:rsid w:val="56B92EA9"/>
    <w:rsid w:val="56D0674C"/>
    <w:rsid w:val="58BA52C3"/>
    <w:rsid w:val="59285A55"/>
    <w:rsid w:val="59E11CD3"/>
    <w:rsid w:val="5BE202EA"/>
    <w:rsid w:val="5BF87C34"/>
    <w:rsid w:val="5CFA7F1D"/>
    <w:rsid w:val="5E2506F8"/>
    <w:rsid w:val="5E946703"/>
    <w:rsid w:val="5EA316D6"/>
    <w:rsid w:val="5F3A07D2"/>
    <w:rsid w:val="5F593A88"/>
    <w:rsid w:val="600E23E8"/>
    <w:rsid w:val="60651EAC"/>
    <w:rsid w:val="60BB3927"/>
    <w:rsid w:val="61765189"/>
    <w:rsid w:val="62A42EE2"/>
    <w:rsid w:val="630D013F"/>
    <w:rsid w:val="63347FC4"/>
    <w:rsid w:val="63452C99"/>
    <w:rsid w:val="63604CB9"/>
    <w:rsid w:val="639500A3"/>
    <w:rsid w:val="63FF0976"/>
    <w:rsid w:val="648872CE"/>
    <w:rsid w:val="64A36D0B"/>
    <w:rsid w:val="64C656C1"/>
    <w:rsid w:val="64DD2E2F"/>
    <w:rsid w:val="65DF63C9"/>
    <w:rsid w:val="662A7F2C"/>
    <w:rsid w:val="689A1932"/>
    <w:rsid w:val="68DA2DB6"/>
    <w:rsid w:val="69725134"/>
    <w:rsid w:val="697A5B39"/>
    <w:rsid w:val="6B4666B6"/>
    <w:rsid w:val="6C3867D3"/>
    <w:rsid w:val="6CC85DA9"/>
    <w:rsid w:val="6D8F2D6B"/>
    <w:rsid w:val="6DC31436"/>
    <w:rsid w:val="6E256A44"/>
    <w:rsid w:val="6E3A674C"/>
    <w:rsid w:val="6E5C0E9F"/>
    <w:rsid w:val="6E63655E"/>
    <w:rsid w:val="6ECB49CF"/>
    <w:rsid w:val="6ECB5A2B"/>
    <w:rsid w:val="6FCA73BC"/>
    <w:rsid w:val="70202A42"/>
    <w:rsid w:val="710D4DD3"/>
    <w:rsid w:val="71C254BD"/>
    <w:rsid w:val="72227D09"/>
    <w:rsid w:val="72CB5C3D"/>
    <w:rsid w:val="72E476B5"/>
    <w:rsid w:val="73BE3A62"/>
    <w:rsid w:val="745443C6"/>
    <w:rsid w:val="746C7E4B"/>
    <w:rsid w:val="74940C67"/>
    <w:rsid w:val="74F123A7"/>
    <w:rsid w:val="750E6C6B"/>
    <w:rsid w:val="755E374E"/>
    <w:rsid w:val="761E6A3A"/>
    <w:rsid w:val="76377F56"/>
    <w:rsid w:val="764B35A7"/>
    <w:rsid w:val="78A4106B"/>
    <w:rsid w:val="78BB0E1C"/>
    <w:rsid w:val="78F63540"/>
    <w:rsid w:val="79975481"/>
    <w:rsid w:val="79A43BFB"/>
    <w:rsid w:val="7A1B4027"/>
    <w:rsid w:val="7A965738"/>
    <w:rsid w:val="7ABC1C9C"/>
    <w:rsid w:val="7AF02C32"/>
    <w:rsid w:val="7B022DCE"/>
    <w:rsid w:val="7B272834"/>
    <w:rsid w:val="7B8F71DF"/>
    <w:rsid w:val="7CB2612E"/>
    <w:rsid w:val="7CC25607"/>
    <w:rsid w:val="7DE859ED"/>
    <w:rsid w:val="7E051EAE"/>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Normal Indent"/>
    <w:basedOn w:val="1"/>
    <w:unhideWhenUsed/>
    <w:qFormat/>
    <w:uiPriority w:val="99"/>
    <w:pPr>
      <w:ind w:firstLine="680"/>
    </w:pPr>
  </w:style>
  <w:style w:type="paragraph" w:styleId="7">
    <w:name w:val="annotation text"/>
    <w:basedOn w:val="1"/>
    <w:semiHidden/>
    <w:unhideWhenUsed/>
    <w:qFormat/>
    <w:uiPriority w:val="99"/>
    <w:pPr>
      <w:jc w:val="left"/>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字符"/>
    <w:basedOn w:val="16"/>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Normalf5be7c2d"/>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34">
    <w:name w:val="Default Paragraph Font8"/>
    <w:semiHidden/>
    <w:unhideWhenUsed/>
    <w:qFormat/>
    <w:uiPriority w:val="1"/>
  </w:style>
  <w:style w:type="table" w:customStyle="1" w:styleId="35">
    <w:name w:val="Normal Table6"/>
    <w:semiHidden/>
    <w:unhideWhenUsed/>
    <w:qFormat/>
    <w:uiPriority w:val="99"/>
    <w:tblPr>
      <w:tblCellMar>
        <w:top w:w="0" w:type="dxa"/>
        <w:left w:w="108" w:type="dxa"/>
        <w:bottom w:w="0" w:type="dxa"/>
        <w:right w:w="108" w:type="dxa"/>
      </w:tblCellMar>
    </w:tblPr>
  </w:style>
  <w:style w:type="paragraph" w:customStyle="1" w:styleId="36">
    <w:name w:val="Document Map9ad7320c"/>
    <w:basedOn w:val="33"/>
    <w:qFormat/>
    <w:uiPriority w:val="0"/>
    <w:rPr>
      <w:rFonts w:ascii="宋体" w:eastAsia="宋体"/>
      <w:sz w:val="18"/>
      <w:szCs w:val="18"/>
    </w:rPr>
  </w:style>
  <w:style w:type="paragraph" w:customStyle="1" w:styleId="37">
    <w:name w:val="Balloon Text188f7aac"/>
    <w:basedOn w:val="33"/>
    <w:semiHidden/>
    <w:qFormat/>
    <w:uiPriority w:val="0"/>
    <w:rPr>
      <w:sz w:val="18"/>
      <w:szCs w:val="18"/>
    </w:rPr>
  </w:style>
  <w:style w:type="paragraph" w:customStyle="1" w:styleId="38">
    <w:name w:val="footer4"/>
    <w:basedOn w:val="33"/>
    <w:link w:val="61"/>
    <w:qFormat/>
    <w:uiPriority w:val="99"/>
    <w:pPr>
      <w:tabs>
        <w:tab w:val="center" w:pos="4153"/>
        <w:tab w:val="right" w:pos="8306"/>
      </w:tabs>
      <w:snapToGrid w:val="0"/>
      <w:jc w:val="left"/>
    </w:pPr>
    <w:rPr>
      <w:rFonts w:eastAsia="宋体"/>
      <w:sz w:val="18"/>
      <w:szCs w:val="18"/>
    </w:rPr>
  </w:style>
  <w:style w:type="paragraph" w:customStyle="1" w:styleId="39">
    <w:name w:val="header5"/>
    <w:basedOn w:val="33"/>
    <w:qFormat/>
    <w:uiPriority w:val="0"/>
    <w:pPr>
      <w:pBdr>
        <w:bottom w:val="single" w:color="auto" w:sz="6" w:space="1"/>
      </w:pBdr>
      <w:tabs>
        <w:tab w:val="center" w:pos="4153"/>
        <w:tab w:val="right" w:pos="8306"/>
      </w:tabs>
      <w:snapToGrid w:val="0"/>
      <w:jc w:val="center"/>
    </w:pPr>
    <w:rPr>
      <w:rFonts w:eastAsia="宋体"/>
      <w:sz w:val="18"/>
      <w:szCs w:val="18"/>
    </w:rPr>
  </w:style>
  <w:style w:type="table" w:customStyle="1" w:styleId="40">
    <w:name w:val="Table Grid7"/>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page number9"/>
    <w:basedOn w:val="34"/>
    <w:qFormat/>
    <w:uiPriority w:val="0"/>
  </w:style>
  <w:style w:type="paragraph" w:customStyle="1" w:styleId="42">
    <w:name w:val="四号正文5c889dbe"/>
    <w:basedOn w:val="33"/>
    <w:qFormat/>
    <w:uiPriority w:val="0"/>
    <w:pPr>
      <w:spacing w:line="360" w:lineRule="auto"/>
    </w:pPr>
    <w:rPr>
      <w:rFonts w:ascii="??" w:hAnsi="??" w:eastAsia="宋体" w:cs="宋体"/>
      <w:color w:val="000000"/>
      <w:kern w:val="0"/>
      <w:sz w:val="28"/>
      <w:szCs w:val="21"/>
    </w:rPr>
  </w:style>
  <w:style w:type="character" w:customStyle="1" w:styleId="43">
    <w:name w:val="四号正文 Char11"/>
    <w:basedOn w:val="34"/>
    <w:link w:val="44"/>
    <w:qFormat/>
    <w:uiPriority w:val="0"/>
    <w:rPr>
      <w:rFonts w:ascii="??" w:hAnsi="??" w:eastAsia="宋体" w:cs="宋体"/>
      <w:color w:val="000000"/>
      <w:sz w:val="28"/>
      <w:szCs w:val="21"/>
      <w:lang w:val="en-US" w:eastAsia="zh-CN" w:bidi="ar-SA"/>
    </w:rPr>
  </w:style>
  <w:style w:type="paragraph" w:customStyle="1" w:styleId="44">
    <w:name w:val="四号正文8f24f2cc"/>
    <w:basedOn w:val="45"/>
    <w:link w:val="43"/>
    <w:qFormat/>
    <w:uiPriority w:val="0"/>
    <w:pPr>
      <w:spacing w:line="360" w:lineRule="auto"/>
    </w:pPr>
    <w:rPr>
      <w:rFonts w:ascii="??" w:hAnsi="??" w:eastAsia="宋体" w:cs="宋体"/>
      <w:color w:val="000000"/>
      <w:kern w:val="0"/>
      <w:sz w:val="28"/>
      <w:szCs w:val="21"/>
    </w:rPr>
  </w:style>
  <w:style w:type="paragraph" w:customStyle="1" w:styleId="45">
    <w:name w:val="Normald7cc5535"/>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46">
    <w:name w:val="文档结构图 Char12"/>
    <w:basedOn w:val="34"/>
    <w:link w:val="47"/>
    <w:qFormat/>
    <w:uiPriority w:val="0"/>
    <w:rPr>
      <w:rFonts w:ascii="宋体"/>
      <w:kern w:val="2"/>
      <w:sz w:val="18"/>
      <w:szCs w:val="18"/>
    </w:rPr>
  </w:style>
  <w:style w:type="paragraph" w:customStyle="1" w:styleId="47">
    <w:name w:val="Document Map2d88ca38"/>
    <w:basedOn w:val="45"/>
    <w:link w:val="46"/>
    <w:qFormat/>
    <w:uiPriority w:val="0"/>
    <w:rPr>
      <w:rFonts w:ascii="宋体" w:eastAsia="宋体"/>
      <w:sz w:val="18"/>
      <w:szCs w:val="18"/>
    </w:rPr>
  </w:style>
  <w:style w:type="paragraph" w:customStyle="1" w:styleId="48">
    <w:name w:val="a13"/>
    <w:basedOn w:val="33"/>
    <w:qFormat/>
    <w:uiPriority w:val="0"/>
    <w:pPr>
      <w:widowControl/>
      <w:spacing w:before="100" w:beforeAutospacing="1" w:after="100" w:afterAutospacing="1"/>
      <w:jc w:val="left"/>
    </w:pPr>
    <w:rPr>
      <w:rFonts w:ascii="宋体" w:hAnsi="宋体" w:eastAsia="宋体" w:cs="宋体"/>
      <w:kern w:val="0"/>
      <w:sz w:val="24"/>
    </w:rPr>
  </w:style>
  <w:style w:type="character" w:customStyle="1" w:styleId="49">
    <w:name w:val="页脚 Char14"/>
    <w:basedOn w:val="34"/>
    <w:link w:val="50"/>
    <w:qFormat/>
    <w:uiPriority w:val="99"/>
    <w:rPr>
      <w:kern w:val="2"/>
      <w:sz w:val="18"/>
      <w:szCs w:val="18"/>
    </w:rPr>
  </w:style>
  <w:style w:type="paragraph" w:customStyle="1" w:styleId="50">
    <w:name w:val="footer337175ea"/>
    <w:basedOn w:val="45"/>
    <w:link w:val="49"/>
    <w:qFormat/>
    <w:uiPriority w:val="99"/>
    <w:pPr>
      <w:tabs>
        <w:tab w:val="center" w:pos="4153"/>
        <w:tab w:val="right" w:pos="8306"/>
      </w:tabs>
      <w:snapToGrid w:val="0"/>
      <w:jc w:val="left"/>
    </w:pPr>
    <w:rPr>
      <w:rFonts w:eastAsia="宋体"/>
      <w:sz w:val="18"/>
      <w:szCs w:val="18"/>
    </w:rPr>
  </w:style>
  <w:style w:type="character" w:customStyle="1" w:styleId="51">
    <w:name w:val="font3115"/>
    <w:basedOn w:val="34"/>
    <w:qFormat/>
    <w:uiPriority w:val="0"/>
    <w:rPr>
      <w:rFonts w:hint="eastAsia" w:ascii="宋体" w:hAnsi="宋体" w:eastAsia="宋体" w:cs="宋体"/>
      <w:color w:val="000000"/>
      <w:sz w:val="24"/>
      <w:szCs w:val="24"/>
      <w:u w:val="none"/>
    </w:rPr>
  </w:style>
  <w:style w:type="character" w:customStyle="1" w:styleId="52">
    <w:name w:val="Default Paragraph Font7d52176a"/>
    <w:semiHidden/>
    <w:unhideWhenUsed/>
    <w:qFormat/>
    <w:uiPriority w:val="1"/>
  </w:style>
  <w:style w:type="table" w:customStyle="1" w:styleId="53">
    <w:name w:val="Normal Tablef78e40d6"/>
    <w:semiHidden/>
    <w:unhideWhenUsed/>
    <w:qFormat/>
    <w:uiPriority w:val="99"/>
    <w:tblPr>
      <w:tblCellMar>
        <w:top w:w="0" w:type="dxa"/>
        <w:left w:w="108" w:type="dxa"/>
        <w:bottom w:w="0" w:type="dxa"/>
        <w:right w:w="108" w:type="dxa"/>
      </w:tblCellMar>
    </w:tblPr>
  </w:style>
  <w:style w:type="paragraph" w:customStyle="1" w:styleId="54">
    <w:name w:val="Balloon Textfe8bab6d"/>
    <w:basedOn w:val="45"/>
    <w:semiHidden/>
    <w:qFormat/>
    <w:uiPriority w:val="0"/>
    <w:rPr>
      <w:sz w:val="18"/>
      <w:szCs w:val="18"/>
    </w:rPr>
  </w:style>
  <w:style w:type="paragraph" w:customStyle="1" w:styleId="55">
    <w:name w:val="header703c6a64"/>
    <w:basedOn w:val="45"/>
    <w:qFormat/>
    <w:uiPriority w:val="0"/>
    <w:pPr>
      <w:pBdr>
        <w:bottom w:val="single" w:color="auto" w:sz="6" w:space="1"/>
      </w:pBdr>
      <w:tabs>
        <w:tab w:val="center" w:pos="4153"/>
        <w:tab w:val="right" w:pos="8306"/>
      </w:tabs>
      <w:snapToGrid w:val="0"/>
      <w:jc w:val="center"/>
    </w:pPr>
    <w:rPr>
      <w:rFonts w:eastAsia="宋体"/>
      <w:sz w:val="18"/>
      <w:szCs w:val="18"/>
    </w:rPr>
  </w:style>
  <w:style w:type="table" w:customStyle="1" w:styleId="56">
    <w:name w:val="Table Grid7cf82e7a"/>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7">
    <w:name w:val="page numberfb1f5cfd"/>
    <w:basedOn w:val="52"/>
    <w:qFormat/>
    <w:uiPriority w:val="0"/>
  </w:style>
  <w:style w:type="character" w:customStyle="1" w:styleId="58">
    <w:name w:val="四号正文 Char5ae0ff7a"/>
    <w:basedOn w:val="52"/>
    <w:qFormat/>
    <w:uiPriority w:val="0"/>
    <w:rPr>
      <w:rFonts w:ascii="??" w:hAnsi="??" w:eastAsia="宋体" w:cs="宋体"/>
      <w:color w:val="000000"/>
      <w:sz w:val="28"/>
      <w:szCs w:val="21"/>
      <w:lang w:val="en-US" w:eastAsia="zh-CN" w:bidi="ar-SA"/>
    </w:rPr>
  </w:style>
  <w:style w:type="character" w:customStyle="1" w:styleId="59">
    <w:name w:val="标题 2 Char"/>
    <w:basedOn w:val="52"/>
    <w:link w:val="4"/>
    <w:qFormat/>
    <w:uiPriority w:val="0"/>
    <w:rPr>
      <w:rFonts w:ascii="宋体"/>
      <w:kern w:val="2"/>
      <w:sz w:val="18"/>
      <w:szCs w:val="18"/>
    </w:rPr>
  </w:style>
  <w:style w:type="paragraph" w:customStyle="1" w:styleId="60">
    <w:name w:val="a04cc0fed"/>
    <w:basedOn w:val="45"/>
    <w:qFormat/>
    <w:uiPriority w:val="0"/>
    <w:pPr>
      <w:widowControl/>
      <w:spacing w:before="100" w:beforeAutospacing="1" w:after="100" w:afterAutospacing="1"/>
      <w:jc w:val="left"/>
    </w:pPr>
    <w:rPr>
      <w:rFonts w:ascii="宋体" w:hAnsi="宋体" w:eastAsia="宋体" w:cs="宋体"/>
      <w:kern w:val="0"/>
      <w:sz w:val="24"/>
    </w:rPr>
  </w:style>
  <w:style w:type="character" w:customStyle="1" w:styleId="61">
    <w:name w:val="页脚 Charcf81c1f9"/>
    <w:basedOn w:val="52"/>
    <w:link w:val="38"/>
    <w:qFormat/>
    <w:uiPriority w:val="99"/>
    <w:rPr>
      <w:kern w:val="2"/>
      <w:sz w:val="18"/>
      <w:szCs w:val="18"/>
    </w:rPr>
  </w:style>
  <w:style w:type="character" w:customStyle="1" w:styleId="62">
    <w:name w:val="font3165fae60e"/>
    <w:basedOn w:val="52"/>
    <w:qFormat/>
    <w:uiPriority w:val="0"/>
    <w:rPr>
      <w:rFonts w:hint="eastAsia" w:ascii="宋体" w:hAnsi="宋体" w:eastAsia="宋体" w:cs="宋体"/>
      <w:color w:val="000000"/>
      <w:sz w:val="24"/>
      <w:szCs w:val="24"/>
      <w:u w:val="none"/>
    </w:rPr>
  </w:style>
  <w:style w:type="character" w:customStyle="1" w:styleId="63">
    <w:name w:val="Char Char"/>
    <w:qFormat/>
    <w:uiPriority w:val="0"/>
    <w:rPr>
      <w:kern w:val="2"/>
      <w:sz w:val="18"/>
      <w:szCs w:val="18"/>
    </w:rPr>
  </w:style>
  <w:style w:type="character" w:customStyle="1" w:styleId="64">
    <w:name w:val="Char Char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false"/>
    </c:title>
    <c:autoTitleDeleted val="false"/>
    <c:plotArea>
      <c:layout>
        <c:manualLayout>
          <c:layoutTarget val="inner"/>
          <c:xMode val="edge"/>
          <c:yMode val="edge"/>
          <c:x val="0.0559816218099468"/>
          <c:y val="0.247865112907836"/>
          <c:w val="0.800713012477719"/>
          <c:h val="0.654027777777778"/>
        </c:manualLayout>
      </c:layout>
      <c:barChart>
        <c:barDir val="col"/>
        <c:grouping val="clustered"/>
        <c:varyColors val="false"/>
        <c:ser>
          <c:idx val="1"/>
          <c:order val="0"/>
          <c:tx>
            <c:strRef>
              <c:f>收入</c:f>
              <c:strCache>
                <c:ptCount val="1"/>
                <c:pt idx="0">
                  <c:v>收入</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{"2020","2021"}</c:f>
              <c:numCache>
                <c:formatCode>General</c:formatCode>
                <c:ptCount val="2"/>
                <c:pt idx="0">
                  <c:v>2020</c:v>
                </c:pt>
                <c:pt idx="1">
                  <c:v>2021</c:v>
                </c:pt>
              </c:numCache>
            </c:numRef>
          </c:cat>
          <c:val>
            <c:numRef>
              <c:f>{666.18,766.86}</c:f>
              <c:numCache>
                <c:formatCode>General</c:formatCode>
                <c:ptCount val="2"/>
                <c:pt idx="0">
                  <c:v>666.18</c:v>
                </c:pt>
                <c:pt idx="1">
                  <c:v>766.86</c:v>
                </c:pt>
              </c:numCache>
            </c:numRef>
          </c:val>
        </c:ser>
        <c:ser>
          <c:idx val="2"/>
          <c:order val="1"/>
          <c:tx>
            <c:strRef>
              <c:f>支出</c:f>
              <c:strCache>
                <c:ptCount val="1"/>
                <c:pt idx="0">
                  <c:v>支出</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{"2020","2021"}</c:f>
              <c:numCache>
                <c:formatCode>General</c:formatCode>
                <c:ptCount val="2"/>
                <c:pt idx="0">
                  <c:v>2020</c:v>
                </c:pt>
                <c:pt idx="1">
                  <c:v>2021</c:v>
                </c:pt>
              </c:numCache>
            </c:numRef>
          </c:cat>
          <c:val>
            <c:numRef>
              <c:f>{666.18,766.86}</c:f>
              <c:numCache>
                <c:formatCode>General</c:formatCode>
                <c:ptCount val="2"/>
                <c:pt idx="0">
                  <c:v>666.18</c:v>
                </c:pt>
                <c:pt idx="1">
                  <c:v>766.86</c:v>
                </c:pt>
              </c:numCache>
            </c:numRef>
          </c:val>
        </c:ser>
        <c:dLbls>
          <c:showLegendKey val="false"/>
          <c:showVal val="true"/>
          <c:showCatName val="false"/>
          <c:showSerName val="false"/>
          <c:showPercent val="false"/>
          <c:showBubbleSize val="false"/>
        </c:dLbls>
        <c:gapWidth val="41"/>
        <c:axId val="56740096"/>
        <c:axId val="56742272"/>
      </c:barChart>
      <c:catAx>
        <c:axId val="56740096"/>
        <c:scaling>
          <c:orientation val="minMax"/>
        </c:scaling>
        <c:delete val="false"/>
        <c:axPos val="b"/>
        <c:title>
          <c:tx>
            <c:rich>
              <a:bodyPr rot="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false"/>
        </c:title>
        <c:numFmt formatCode="General" sourceLinked="fals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dk1">
                    <a:lumMod val="65000"/>
                    <a:lumOff val="35000"/>
                  </a:schemeClr>
                </a:solidFill>
                <a:effectLst/>
                <a:latin typeface="+mn-lt"/>
                <a:ea typeface="+mn-ea"/>
                <a:cs typeface="+mn-cs"/>
              </a:defRPr>
            </a:pPr>
          </a:p>
        </c:txPr>
        <c:crossAx val="56742272"/>
        <c:crosses val="autoZero"/>
        <c:auto val="true"/>
        <c:lblAlgn val="ctr"/>
        <c:lblOffset val="100"/>
        <c:noMultiLvlLbl val="false"/>
      </c:catAx>
      <c:valAx>
        <c:axId val="56742272"/>
        <c:scaling>
          <c:orientation val="minMax"/>
        </c:scaling>
        <c:delete val="true"/>
        <c:axPos val="l"/>
        <c:title>
          <c:tx>
            <c:rich>
              <a:bodyPr rot="-540000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false"/>
        </c:title>
        <c:numFmt formatCode="General" sourceLinked="true"/>
        <c:majorTickMark val="none"/>
        <c:minorTickMark val="none"/>
        <c:tickLblPos val="none"/>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56740096"/>
        <c:crosses val="autoZero"/>
        <c:crossBetween val="between"/>
      </c:valAx>
      <c:spPr>
        <a:noFill/>
        <a:ln>
          <a:noFill/>
        </a:ln>
        <a:effectLst/>
      </c:spPr>
    </c:plotArea>
    <c:legend>
      <c:legendPos val="r"/>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legend>
    <c:plotVisOnly val="true"/>
    <c:dispBlanksAs val="gap"/>
    <c:showDLblsOverMax val="false"/>
  </c:chart>
  <c:spPr>
    <a:gradFill flip="none" rotWithShape="true">
      <a:gsLst>
        <a:gs pos="0">
          <a:schemeClr val="lt1"/>
        </a:gs>
        <a:gs pos="68000">
          <a:schemeClr val="lt1">
            <a:lumMod val="85000"/>
          </a:schemeClr>
        </a:gs>
        <a:gs pos="100000">
          <a:schemeClr val="lt1"/>
        </a:gs>
      </a:gsLst>
      <a:lin ang="5400000" scaled="true"/>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false"/>
    </c:title>
    <c:autoTitleDeleted val="false"/>
    <c:plotArea>
      <c:layout/>
      <c:pieChart>
        <c:varyColors val="true"/>
        <c:ser>
          <c:idx val="1"/>
          <c:order val="0"/>
          <c:explosion val="0"/>
          <c:dPt>
            <c:idx val="0"/>
            <c:bubble3D val="false"/>
          </c:dPt>
          <c:dPt>
            <c:idx val="1"/>
            <c:bubble3D val="false"/>
          </c:dPt>
          <c:dPt>
            <c:idx val="2"/>
            <c:bubble3D val="false"/>
          </c:dPt>
          <c:dPt>
            <c:idx val="3"/>
            <c:bubble3D val="false"/>
          </c:dPt>
          <c:dPt>
            <c:idx val="4"/>
            <c:bubble3D val="false"/>
          </c:dPt>
          <c:dPt>
            <c:idx val="5"/>
            <c:bubble3D val="false"/>
          </c:dPt>
          <c:dPt>
            <c:idx val="6"/>
            <c:bubble3D val="false"/>
          </c:dPt>
          <c:dPt>
            <c:idx val="7"/>
            <c:bubble3D val="false"/>
          </c:dPt>
          <c:dLbls>
            <c:dLbl>
              <c:idx val="0"/>
              <c:layout>
                <c:manualLayout>
                  <c:x val="0.00663407682538705"/>
                  <c:y val="0"/>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{7358262.92,0,0,0,0,0,0,0}</c:f>
              <c:numCache>
                <c:formatCode>General</c:formatCode>
                <c:ptCount val="8"/>
                <c:pt idx="0">
                  <c:v>7358262.92</c:v>
                </c:pt>
                <c:pt idx="1">
                  <c:v>0</c:v>
                </c:pt>
                <c:pt idx="2">
                  <c:v>0</c:v>
                </c:pt>
                <c:pt idx="3">
                  <c:v>0</c:v>
                </c:pt>
                <c:pt idx="4">
                  <c:v>0</c:v>
                </c:pt>
                <c:pt idx="5">
                  <c:v>0</c:v>
                </c:pt>
                <c:pt idx="6">
                  <c:v>0</c:v>
                </c:pt>
                <c:pt idx="7">
                  <c:v>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zero"/>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false"/>
    </c:title>
    <c:autoTitleDeleted val="false"/>
    <c:plotArea>
      <c:layout/>
      <c:pieChart>
        <c:varyColors val="true"/>
        <c:ser>
          <c:idx val="1"/>
          <c:order val="0"/>
          <c:explosion val="0"/>
          <c:dPt>
            <c:idx val="0"/>
            <c:bubble3D val="false"/>
          </c:dPt>
          <c:dPt>
            <c:idx val="1"/>
            <c:bubble3D val="false"/>
          </c:dPt>
          <c:dPt>
            <c:idx val="2"/>
            <c:bubble3D val="false"/>
          </c:dPt>
          <c:dPt>
            <c:idx val="3"/>
            <c:bubble3D val="false"/>
          </c:dPt>
          <c:dPt>
            <c:idx val="4"/>
            <c:bubble3D val="false"/>
          </c:dPt>
          <c:dLbls>
            <c:dLbl>
              <c:idx val="0"/>
              <c:layout>
                <c:manualLayout>
                  <c:x val="0.0464734889368775"/>
                  <c:y val="-0.0198535081468018"/>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layout>
                <c:manualLayout>
                  <c:x val="-0.0451443015315189"/>
                  <c:y val="0.0313733140790311"/>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{6852645.57,815961.53,0,0,0}</c:f>
              <c:numCache>
                <c:formatCode>General</c:formatCode>
                <c:ptCount val="5"/>
                <c:pt idx="0">
                  <c:v>6852645.57</c:v>
                </c:pt>
                <c:pt idx="1">
                  <c:v>815961.53</c:v>
                </c:pt>
                <c:pt idx="2">
                  <c:v>0</c:v>
                </c:pt>
                <c:pt idx="3">
                  <c:v>0</c:v>
                </c:pt>
                <c:pt idx="4">
                  <c:v>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zero"/>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false"/>
      <c:spPr>
        <a:noFill/>
        <a:ln>
          <a:noFill/>
        </a:ln>
        <a:effectLst/>
      </c:spPr>
    </c:title>
    <c:autoTitleDeleted val="false"/>
    <c:plotArea>
      <c:layout/>
      <c:barChart>
        <c:barDir val="col"/>
        <c:grouping val="clustered"/>
        <c:varyColors val="false"/>
        <c:ser>
          <c:idx val="1"/>
          <c:order val="0"/>
          <c:tx>
            <c:strRef>
              <c:f>收入</c:f>
              <c:strCache>
                <c:ptCount val="1"/>
                <c:pt idx="0">
                  <c:v>收入</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{"2020","2021"}</c:f>
              <c:numCache>
                <c:formatCode>General</c:formatCode>
                <c:ptCount val="2"/>
                <c:pt idx="0">
                  <c:v>2020</c:v>
                </c:pt>
                <c:pt idx="1">
                  <c:v>2021</c:v>
                </c:pt>
              </c:numCache>
            </c:numRef>
          </c:cat>
          <c:val>
            <c:numRef>
              <c:f>{666.18,766.86}</c:f>
              <c:numCache>
                <c:formatCode>General</c:formatCode>
                <c:ptCount val="2"/>
                <c:pt idx="0">
                  <c:v>666.18</c:v>
                </c:pt>
                <c:pt idx="1">
                  <c:v>766.86</c:v>
                </c:pt>
              </c:numCache>
            </c:numRef>
          </c:val>
        </c:ser>
        <c:ser>
          <c:idx val="2"/>
          <c:order val="1"/>
          <c:tx>
            <c:strRef>
              <c:f>支出</c:f>
              <c:strCache>
                <c:ptCount val="1"/>
                <c:pt idx="0">
                  <c:v>支出</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{"2020","2021"}</c:f>
              <c:numCache>
                <c:formatCode>General</c:formatCode>
                <c:ptCount val="2"/>
                <c:pt idx="0">
                  <c:v>2020</c:v>
                </c:pt>
                <c:pt idx="1">
                  <c:v>2021</c:v>
                </c:pt>
              </c:numCache>
            </c:numRef>
          </c:cat>
          <c:val>
            <c:numRef>
              <c:f>{666.18,766.86}</c:f>
              <c:numCache>
                <c:formatCode>General</c:formatCode>
                <c:ptCount val="2"/>
                <c:pt idx="0">
                  <c:v>666.18</c:v>
                </c:pt>
                <c:pt idx="1">
                  <c:v>766.86</c:v>
                </c:pt>
              </c:numCache>
            </c:numRef>
          </c:val>
        </c:ser>
        <c:dLbls>
          <c:showLegendKey val="false"/>
          <c:showVal val="true"/>
          <c:showCatName val="false"/>
          <c:showSerName val="false"/>
          <c:showPercent val="false"/>
          <c:showBubbleSize val="false"/>
        </c:dLbls>
        <c:gapWidth val="100"/>
        <c:overlap val="-24"/>
        <c:axId val="57307520"/>
        <c:axId val="57309440"/>
      </c:barChart>
      <c:catAx>
        <c:axId val="57307520"/>
        <c:scaling>
          <c:orientation val="minMax"/>
        </c:scaling>
        <c:delete val="false"/>
        <c:axPos val="b"/>
        <c:title>
          <c:tx>
            <c:rich>
              <a:bodyPr rot="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false"/>
        </c:title>
        <c:numFmt formatCode="General" sourceLinked="false"/>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true"/>
          <a:lstStyle/>
          <a:p>
            <a:pPr>
              <a:defRPr lang="zh-CN" sz="900" b="0" i="0" u="none" strike="noStrike" kern="1200" baseline="0">
                <a:solidFill>
                  <a:schemeClr val="tx2"/>
                </a:solidFill>
                <a:latin typeface="+mn-lt"/>
                <a:ea typeface="+mn-ea"/>
                <a:cs typeface="+mn-cs"/>
              </a:defRPr>
            </a:pPr>
          </a:p>
        </c:txPr>
        <c:crossAx val="57309440"/>
        <c:crosses val="autoZero"/>
        <c:auto val="true"/>
        <c:lblAlgn val="ctr"/>
        <c:lblOffset val="100"/>
        <c:noMultiLvlLbl val="false"/>
      </c:catAx>
      <c:valAx>
        <c:axId val="57309440"/>
        <c:scaling>
          <c:orientation val="minMax"/>
        </c:scaling>
        <c:delete val="false"/>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false"/>
        </c:title>
        <c:numFmt formatCode="General"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2"/>
                </a:solidFill>
                <a:latin typeface="+mn-lt"/>
                <a:ea typeface="+mn-ea"/>
                <a:cs typeface="+mn-cs"/>
              </a:defRPr>
            </a:pPr>
          </a:p>
        </c:txPr>
        <c:crossAx val="57307520"/>
        <c:crosses val="autoZero"/>
        <c:crossBetween val="between"/>
      </c:valAx>
      <c:spPr>
        <a:noFill/>
        <a:ln>
          <a:noFill/>
        </a:ln>
        <a:effectLst/>
      </c:spPr>
    </c:plotArea>
    <c:legend>
      <c:legendPos val="r"/>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2"/>
              </a:solidFill>
              <a:latin typeface="+mn-lt"/>
              <a:ea typeface="+mn-ea"/>
              <a:cs typeface="+mn-cs"/>
            </a:defRPr>
          </a:pPr>
        </a:p>
      </c:txPr>
    </c:legend>
    <c:plotVisOnly val="true"/>
    <c:dispBlanksAs val="gap"/>
    <c:showDLblsOverMax val="false"/>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false"/>
      <c:spPr>
        <a:noFill/>
        <a:ln>
          <a:noFill/>
        </a:ln>
        <a:effectLst/>
      </c:spPr>
    </c:title>
    <c:autoTitleDeleted val="false"/>
    <c:plotArea>
      <c:layout>
        <c:manualLayout>
          <c:layoutTarget val="inner"/>
          <c:xMode val="edge"/>
          <c:yMode val="edge"/>
          <c:x val="0.0736333103993069"/>
          <c:y val="0.199582873033408"/>
          <c:w val="0.767623678108199"/>
          <c:h val="0.708506514060342"/>
        </c:manualLayout>
      </c:layout>
      <c:barChart>
        <c:barDir val="col"/>
        <c:grouping val="clustered"/>
        <c:varyColors val="false"/>
        <c:ser>
          <c:idx val="1"/>
          <c:order val="0"/>
          <c:tx>
            <c:strRef>
              <c:f>2020</c:f>
              <c:strCache>
                <c:ptCount val="1"/>
                <c:pt idx="0">
                  <c:v>2020</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{"一般公共预算财政拨款支出"}</c:f>
              <c:strCache>
                <c:ptCount val="1"/>
                <c:pt idx="0">
                  <c:v>一般公共预算财政拨款支出</c:v>
                </c:pt>
              </c:strCache>
            </c:strRef>
          </c:cat>
          <c:val>
            <c:numRef>
              <c:f>{635.14}</c:f>
              <c:numCache>
                <c:formatCode>General</c:formatCode>
                <c:ptCount val="1"/>
                <c:pt idx="0">
                  <c:v>635.14</c:v>
                </c:pt>
              </c:numCache>
            </c:numRef>
          </c:val>
        </c:ser>
        <c:ser>
          <c:idx val="2"/>
          <c:order val="1"/>
          <c:tx>
            <c:strRef>
              <c:f>2021</c:f>
              <c:strCache>
                <c:ptCount val="1"/>
                <c:pt idx="0">
                  <c:v>2021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{"一般公共预算财政拨款支出"}</c:f>
              <c:strCache>
                <c:ptCount val="1"/>
                <c:pt idx="0">
                  <c:v>一般公共预算财政拨款支出</c:v>
                </c:pt>
              </c:strCache>
            </c:strRef>
          </c:cat>
          <c:val>
            <c:numRef>
              <c:f>{766.86}</c:f>
              <c:numCache>
                <c:formatCode>General</c:formatCode>
                <c:ptCount val="1"/>
                <c:pt idx="0">
                  <c:v>766.86</c:v>
                </c:pt>
              </c:numCache>
            </c:numRef>
          </c:val>
        </c:ser>
        <c:dLbls>
          <c:showLegendKey val="false"/>
          <c:showVal val="true"/>
          <c:showCatName val="false"/>
          <c:showSerName val="false"/>
          <c:showPercent val="false"/>
          <c:showBubbleSize val="false"/>
        </c:dLbls>
        <c:gapWidth val="100"/>
        <c:overlap val="-24"/>
        <c:axId val="57368576"/>
        <c:axId val="57370496"/>
      </c:barChart>
      <c:catAx>
        <c:axId val="57368576"/>
        <c:scaling>
          <c:orientation val="minMax"/>
        </c:scaling>
        <c:delete val="true"/>
        <c:axPos val="b"/>
        <c:title>
          <c:tx>
            <c:rich>
              <a:bodyPr rot="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false"/>
        </c:title>
        <c:numFmt formatCode="General" sourceLinked="false"/>
        <c:majorTickMark val="none"/>
        <c:minorTickMark val="none"/>
        <c:tickLblPos val="none"/>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57370496"/>
        <c:crosses val="autoZero"/>
        <c:auto val="true"/>
        <c:lblAlgn val="ctr"/>
        <c:lblOffset val="100"/>
        <c:noMultiLvlLbl val="false"/>
      </c:catAx>
      <c:valAx>
        <c:axId val="57370496"/>
        <c:scaling>
          <c:orientation val="minMax"/>
        </c:scaling>
        <c:delete val="false"/>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false"/>
        </c:title>
        <c:numFmt formatCode="General"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7368576"/>
        <c:crosses val="autoZero"/>
        <c:crossBetween val="between"/>
      </c:valAx>
      <c:spPr>
        <a:noFill/>
        <a:ln>
          <a:noFill/>
        </a:ln>
        <a:effectLst/>
      </c:spPr>
    </c:plotArea>
    <c:legend>
      <c:legendPos val="r"/>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false"/>
    </c:title>
    <c:autoTitleDeleted val="false"/>
    <c:plotArea>
      <c:layout/>
      <c:pieChart>
        <c:varyColors val="true"/>
        <c:ser>
          <c:idx val="1"/>
          <c:order val="0"/>
          <c:explosion val="0"/>
          <c:dPt>
            <c:idx val="0"/>
            <c:bubble3D val="false"/>
          </c:dPt>
          <c:dPt>
            <c:idx val="1"/>
            <c:bubble3D val="false"/>
          </c:dPt>
          <c:dPt>
            <c:idx val="2"/>
            <c:bubble3D val="false"/>
          </c:dPt>
          <c:dPt>
            <c:idx val="3"/>
            <c:bubble3D val="false"/>
          </c:dPt>
          <c:dPt>
            <c:idx val="4"/>
            <c:bubble3D val="false"/>
          </c:dPt>
          <c:dLbls>
            <c:dLbl>
              <c:idx val="0"/>
              <c:layout>
                <c:manualLayout>
                  <c:x val="0.0320842998362298"/>
                  <c:y val="0.007427107562908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438457221214346"/>
                  <c:y val="0.0047585096307208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299094816726026"/>
                  <c:y val="0.0083708560808842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517953779058961"/>
                  <c:y val="-0.04757747347585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27010885409769"/>
                  <c:y val="-0.04151659462979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{"一般公共服务支出","社会保障和就业支出","卫生健康支出","农林水支出","住房保障支出"}</c:f>
              <c:strCache>
                <c:ptCount val="5"/>
                <c:pt idx="0">
                  <c:v>一般公共服务支出</c:v>
                </c:pt>
                <c:pt idx="1">
                  <c:v>社会保障和就业支出</c:v>
                </c:pt>
                <c:pt idx="2">
                  <c:v>卫生健康支出</c:v>
                </c:pt>
                <c:pt idx="3">
                  <c:v>农林水支出</c:v>
                </c:pt>
                <c:pt idx="4">
                  <c:v>住房保障支出</c:v>
                </c:pt>
              </c:strCache>
            </c:strRef>
          </c:cat>
          <c:val>
            <c:numRef>
              <c:f>{622.23,65.69,31.72,0.84,46.38}</c:f>
              <c:numCache>
                <c:formatCode>General</c:formatCode>
                <c:ptCount val="5"/>
                <c:pt idx="0">
                  <c:v>622.23</c:v>
                </c:pt>
                <c:pt idx="1">
                  <c:v>65.69</c:v>
                </c:pt>
                <c:pt idx="2">
                  <c:v>31.72</c:v>
                </c:pt>
                <c:pt idx="3">
                  <c:v>0.84</c:v>
                </c:pt>
                <c:pt idx="4">
                  <c:v>46.38</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false"/>
    </c:title>
    <c:autoTitleDeleted val="false"/>
    <c:plotArea>
      <c:layout/>
      <c:pieChart>
        <c:varyColors val="true"/>
        <c:ser>
          <c:idx val="1"/>
          <c:order val="0"/>
          <c:explosion val="0"/>
          <c:dPt>
            <c:idx val="0"/>
            <c:bubble3D val="false"/>
          </c:dPt>
          <c:dPt>
            <c:idx val="1"/>
            <c:bubble3D val="false"/>
          </c:dPt>
          <c:dPt>
            <c:idx val="2"/>
            <c:bubble3D val="false"/>
          </c:dPt>
          <c:dLbls>
            <c:dLbl>
              <c:idx val="0"/>
              <c:layout>
                <c:manualLayout>
                  <c:x val="-0.00175849941383353"/>
                  <c:y val="-0.017821782178217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953143264337527"/>
                  <c:y val="-0.036492719503283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661572455145769"/>
                  <c:y val="-0.0085010621415556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{0,4,0.24}</c:f>
              <c:numCache>
                <c:formatCode>General</c:formatCode>
                <c:ptCount val="3"/>
                <c:pt idx="0">
                  <c:v>0</c:v>
                </c:pt>
                <c:pt idx="1">
                  <c:v>4</c:v>
                </c:pt>
                <c:pt idx="2">
                  <c:v>0.24</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2296</Words>
  <Characters>13091</Characters>
  <Lines>109</Lines>
  <Paragraphs>30</Paragraphs>
  <TotalTime>29</TotalTime>
  <ScaleCrop>false</ScaleCrop>
  <LinksUpToDate>false</LinksUpToDate>
  <CharactersWithSpaces>15357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2022-08-17T09:31:00Z</dcterms:created>
  <dc:creator>lgk</dc:creator>
  <cp:lastModifiedBy>军魂不变</cp:lastModifiedBy>
  <cp:lastPrinted>2022-09-27T23:21:00Z</cp:lastPrinted>
  <dcterms:modified xsi:type="dcterms:W3CDTF">2022-09-29T17:31:32Z</dcterms:modified>
  <dc:title>四川省决算编制说明</dc:title>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B93CA6F4BEAD4F359769D1203595D585</vt:lpwstr>
  </property>
</Properties>
</file>