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77193"/>
      <w:bookmarkStart w:id="1" w:name="_Toc15396475"/>
      <w:bookmarkStart w:id="2" w:name="_Toc15378441"/>
      <w:bookmarkStart w:id="3" w:name="_Toc15396597"/>
      <w:bookmarkStart w:id="4" w:name="_Toc15377425"/>
      <w:bookmarkStart w:id="5" w:name="_Toc15306267"/>
    </w:p>
    <w:p>
      <w:pPr>
        <w:pStyle w:val="6"/>
        <w:ind w:firstLine="0"/>
      </w:pPr>
    </w:p>
    <w:p>
      <w:pPr>
        <w:jc w:val="center"/>
        <w:rPr>
          <w:rFonts w:asciiTheme="minorEastAsia" w:hAnsiTheme="minorEastAsia" w:eastAsiaTheme="minorEastAsia"/>
          <w:b/>
          <w:sz w:val="72"/>
          <w:szCs w:val="72"/>
        </w:rPr>
      </w:pPr>
    </w:p>
    <w:p>
      <w:pPr>
        <w:jc w:val="center"/>
        <w:rPr>
          <w:rFonts w:asciiTheme="minorEastAsia" w:hAnsiTheme="minorEastAsia" w:eastAsiaTheme="minorEastAsia"/>
          <w:b/>
          <w:sz w:val="72"/>
          <w:szCs w:val="72"/>
        </w:rPr>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2021年度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06268"/>
      <w:bookmarkStart w:id="7" w:name="_Toc15377194"/>
      <w:bookmarkStart w:id="8" w:name="_Toc15396476"/>
      <w:bookmarkStart w:id="9" w:name="_Toc15396598"/>
      <w:bookmarkStart w:id="10" w:name="_Toc15378442"/>
      <w:bookmarkStart w:id="11" w:name="_Toc15377426"/>
      <w:r>
        <w:rPr>
          <w:rFonts w:hint="eastAsia" w:asciiTheme="minorEastAsia" w:hAnsiTheme="minorEastAsia" w:eastAsiaTheme="minorEastAsia"/>
          <w:b/>
          <w:sz w:val="72"/>
          <w:szCs w:val="72"/>
        </w:rPr>
        <w:t>阿坝州茂县财政评审中心部门决算</w:t>
      </w:r>
      <w:bookmarkEnd w:id="6"/>
      <w:bookmarkEnd w:id="7"/>
      <w:bookmarkEnd w:id="8"/>
      <w:bookmarkEnd w:id="9"/>
      <w:bookmarkEnd w:id="10"/>
      <w:bookmarkEnd w:id="11"/>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tabs>
          <w:tab w:val="left" w:pos="3600"/>
        </w:tabs>
        <w:ind w:left="0" w:leftChars="0" w:firstLine="0" w:firstLineChars="0"/>
      </w:pPr>
    </w:p>
    <w:p>
      <w:pPr>
        <w:pStyle w:val="6"/>
      </w:pPr>
    </w:p>
    <w:p>
      <w:pPr>
        <w:pStyle w:val="6"/>
        <w:ind w:firstLine="0"/>
      </w:pPr>
    </w:p>
    <w:p>
      <w:pPr>
        <w:pStyle w:val="6"/>
        <w:ind w:left="0" w:leftChars="0" w:firstLine="0" w:firstLineChars="0"/>
      </w:pPr>
    </w:p>
    <w:p>
      <w:pPr>
        <w:pStyle w:val="6"/>
      </w:pPr>
    </w:p>
    <w:p>
      <w:pPr>
        <w:autoSpaceDE w:val="0"/>
        <w:autoSpaceDN w:val="0"/>
        <w:adjustRightInd w:val="0"/>
        <w:ind w:left="420" w:leftChars="200"/>
        <w:jc w:val="left"/>
        <w:rPr>
          <w:rFonts w:ascii="宋体" w:hAnsi="宋体" w:cs="仿宋_GB2312"/>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2"/>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fldChar w:fldCharType="begin"/>
      </w:r>
      <w:r>
        <w:instrText xml:space="preserve"> HYPERLINK \l "_Toc20870" </w:instrText>
      </w:r>
      <w:r>
        <w:fldChar w:fldCharType="separate"/>
      </w:r>
      <w:r>
        <w:rPr>
          <w:rFonts w:hint="eastAsia" w:ascii="黑体" w:hAnsi="黑体" w:eastAsia="黑体" w:cs="黑体"/>
        </w:rPr>
        <w:t>第一部分 部门概况</w:t>
      </w:r>
      <w:r>
        <w:tab/>
      </w:r>
      <w:r>
        <w:fldChar w:fldCharType="begin"/>
      </w:r>
      <w:r>
        <w:instrText xml:space="preserve"> PAGEREF _Toc20870 \h </w:instrText>
      </w:r>
      <w:r>
        <w:fldChar w:fldCharType="separate"/>
      </w:r>
      <w:r>
        <w:t>3</w:t>
      </w:r>
      <w:r>
        <w:fldChar w:fldCharType="end"/>
      </w:r>
      <w:r>
        <w:fldChar w:fldCharType="end"/>
      </w:r>
    </w:p>
    <w:p>
      <w:pPr>
        <w:pStyle w:val="14"/>
        <w:tabs>
          <w:tab w:val="right" w:leader="dot" w:pos="8306"/>
          <w:tab w:val="clear" w:pos="8296"/>
        </w:tabs>
      </w:pPr>
      <w:r>
        <w:fldChar w:fldCharType="begin"/>
      </w:r>
      <w:r>
        <w:instrText xml:space="preserve"> HYPERLINK \l "_Toc23777" </w:instrText>
      </w:r>
      <w:r>
        <w:fldChar w:fldCharType="separate"/>
      </w:r>
      <w:r>
        <w:rPr>
          <w:rFonts w:hint="eastAsia" w:ascii="黑体" w:eastAsia="黑体"/>
        </w:rPr>
        <w:t>一、基本职能及主要工作</w:t>
      </w:r>
      <w:r>
        <w:tab/>
      </w:r>
      <w:r>
        <w:fldChar w:fldCharType="begin"/>
      </w:r>
      <w:r>
        <w:instrText xml:space="preserve"> PAGEREF _Toc23777 \h </w:instrText>
      </w:r>
      <w:r>
        <w:fldChar w:fldCharType="separate"/>
      </w:r>
      <w:r>
        <w:t>3</w:t>
      </w:r>
      <w:r>
        <w:fldChar w:fldCharType="end"/>
      </w:r>
      <w:r>
        <w:fldChar w:fldCharType="end"/>
      </w:r>
    </w:p>
    <w:p>
      <w:pPr>
        <w:pStyle w:val="14"/>
        <w:tabs>
          <w:tab w:val="right" w:leader="dot" w:pos="8306"/>
          <w:tab w:val="clear" w:pos="8296"/>
        </w:tabs>
      </w:pPr>
      <w:r>
        <w:fldChar w:fldCharType="begin"/>
      </w:r>
      <w:r>
        <w:instrText xml:space="preserve"> HYPERLINK \l "_Toc9423" </w:instrText>
      </w:r>
      <w:r>
        <w:fldChar w:fldCharType="separate"/>
      </w:r>
      <w:r>
        <w:rPr>
          <w:rFonts w:hint="eastAsia" w:ascii="黑体" w:eastAsia="黑体"/>
        </w:rPr>
        <w:t>二、机构设置</w:t>
      </w:r>
      <w:r>
        <w:tab/>
      </w:r>
      <w:r>
        <w:fldChar w:fldCharType="begin"/>
      </w:r>
      <w:r>
        <w:instrText xml:space="preserve"> PAGEREF _Toc9423 \h </w:instrText>
      </w:r>
      <w:r>
        <w:fldChar w:fldCharType="separate"/>
      </w:r>
      <w:r>
        <w:t>3</w:t>
      </w:r>
      <w:r>
        <w:fldChar w:fldCharType="end"/>
      </w:r>
      <w:r>
        <w:fldChar w:fldCharType="end"/>
      </w:r>
    </w:p>
    <w:p>
      <w:pPr>
        <w:pStyle w:val="12"/>
        <w:tabs>
          <w:tab w:val="right" w:leader="dot" w:pos="8306"/>
          <w:tab w:val="clear" w:pos="8296"/>
        </w:tabs>
      </w:pPr>
      <w:r>
        <w:fldChar w:fldCharType="begin"/>
      </w:r>
      <w:r>
        <w:instrText xml:space="preserve"> HYPERLINK \l "_Toc13878" </w:instrText>
      </w:r>
      <w: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2021年度部门决算情况说明</w:t>
      </w:r>
      <w:r>
        <w:tab/>
      </w:r>
      <w:r>
        <w:fldChar w:fldCharType="begin"/>
      </w:r>
      <w:r>
        <w:instrText xml:space="preserve"> PAGEREF _Toc13878 \h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"_Toc4320" </w:instrText>
      </w:r>
      <w:r>
        <w:fldChar w:fldCharType="separate"/>
      </w:r>
      <w:r>
        <w:rPr>
          <w:rFonts w:hint="eastAsia" w:ascii="黑体" w:eastAsia="黑体"/>
        </w:rPr>
        <w:t>一、收入支出决算总体情况说明</w:t>
      </w:r>
      <w:r>
        <w:tab/>
      </w:r>
      <w:r>
        <w:fldChar w:fldCharType="begin"/>
      </w:r>
      <w:r>
        <w:instrText xml:space="preserve"> PAGEREF _Toc4320 \h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"_Toc13553" </w:instrText>
      </w:r>
      <w:r>
        <w:fldChar w:fldCharType="separate"/>
      </w:r>
      <w:r>
        <w:rPr>
          <w:rFonts w:hint="eastAsia" w:ascii="黑体" w:eastAsia="黑体"/>
        </w:rPr>
        <w:t>二、收入决算情况说明</w:t>
      </w:r>
      <w:r>
        <w:tab/>
      </w:r>
      <w:r>
        <w:fldChar w:fldCharType="begin"/>
      </w:r>
      <w:r>
        <w:instrText xml:space="preserve"> PAGEREF _Toc13553 \h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"_Toc19073" </w:instrText>
      </w:r>
      <w:r>
        <w:fldChar w:fldCharType="separate"/>
      </w:r>
      <w:r>
        <w:rPr>
          <w:rFonts w:hint="eastAsia" w:ascii="黑体" w:eastAsia="黑体"/>
        </w:rPr>
        <w:t>三、支出决算情况说明</w:t>
      </w:r>
      <w:r>
        <w:tab/>
      </w:r>
      <w:r>
        <w:fldChar w:fldCharType="begin"/>
      </w:r>
      <w:r>
        <w:instrText xml:space="preserve"> PAGEREF _Toc19073 \h </w:instrText>
      </w:r>
      <w:r>
        <w:fldChar w:fldCharType="separate"/>
      </w:r>
      <w:r>
        <w:t>6</w:t>
      </w:r>
      <w:r>
        <w:fldChar w:fldCharType="end"/>
      </w:r>
      <w:r>
        <w:fldChar w:fldCharType="end"/>
      </w:r>
    </w:p>
    <w:p>
      <w:pPr>
        <w:pStyle w:val="14"/>
        <w:tabs>
          <w:tab w:val="right" w:leader="dot" w:pos="8306"/>
          <w:tab w:val="clear" w:pos="8296"/>
        </w:tabs>
      </w:pPr>
      <w:r>
        <w:fldChar w:fldCharType="begin"/>
      </w:r>
      <w:r>
        <w:instrText xml:space="preserve"> HYPERLINK \l "_Toc27317" </w:instrText>
      </w:r>
      <w:r>
        <w:fldChar w:fldCharType="separate"/>
      </w:r>
      <w:r>
        <w:rPr>
          <w:rFonts w:hint="eastAsia" w:ascii="黑体" w:eastAsia="黑体"/>
        </w:rPr>
        <w:t>四、财政拨款收入支出决算总体情况说明</w:t>
      </w:r>
      <w:r>
        <w:tab/>
      </w:r>
      <w:r>
        <w:fldChar w:fldCharType="begin"/>
      </w:r>
      <w:r>
        <w:instrText xml:space="preserve"> PAGEREF _Toc27317 \h </w:instrText>
      </w:r>
      <w:r>
        <w:fldChar w:fldCharType="separate"/>
      </w:r>
      <w:r>
        <w:t>6</w:t>
      </w:r>
      <w:r>
        <w:fldChar w:fldCharType="end"/>
      </w:r>
      <w:r>
        <w:fldChar w:fldCharType="end"/>
      </w:r>
    </w:p>
    <w:p>
      <w:pPr>
        <w:pStyle w:val="14"/>
        <w:tabs>
          <w:tab w:val="right" w:leader="dot" w:pos="8306"/>
          <w:tab w:val="clear" w:pos="8296"/>
        </w:tabs>
      </w:pPr>
      <w:r>
        <w:fldChar w:fldCharType="begin"/>
      </w:r>
      <w:r>
        <w:instrText xml:space="preserve"> HYPERLINK \l "_Toc29916" </w:instrText>
      </w:r>
      <w:r>
        <w:fldChar w:fldCharType="separate"/>
      </w:r>
      <w:r>
        <w:rPr>
          <w:rFonts w:hint="eastAsia" w:ascii="黑体" w:eastAsia="黑体"/>
        </w:rPr>
        <w:t>五、一般公共预算财政拨款支出决算情况说明</w:t>
      </w:r>
      <w:r>
        <w:tab/>
      </w:r>
      <w:r>
        <w:fldChar w:fldCharType="begin"/>
      </w:r>
      <w:r>
        <w:instrText xml:space="preserve"> PAGEREF _Toc29916 \h </w:instrText>
      </w:r>
      <w:r>
        <w:fldChar w:fldCharType="separate"/>
      </w:r>
      <w:r>
        <w:t>7</w:t>
      </w:r>
      <w:r>
        <w:fldChar w:fldCharType="end"/>
      </w:r>
      <w:r>
        <w:fldChar w:fldCharType="end"/>
      </w:r>
    </w:p>
    <w:p>
      <w:pPr>
        <w:pStyle w:val="14"/>
        <w:tabs>
          <w:tab w:val="right" w:leader="dot" w:pos="8306"/>
          <w:tab w:val="clear" w:pos="8296"/>
        </w:tabs>
      </w:pPr>
      <w:r>
        <w:fldChar w:fldCharType="begin"/>
      </w:r>
      <w:r>
        <w:instrText xml:space="preserve"> HYPERLINK \l "_Toc11728" </w:instrText>
      </w:r>
      <w:r>
        <w:fldChar w:fldCharType="separate"/>
      </w:r>
      <w:r>
        <w:rPr>
          <w:rFonts w:hint="eastAsia" w:ascii="黑体" w:eastAsia="黑体"/>
        </w:rPr>
        <w:t>六、一般公共预算财政拨款基本支出决算情况说明</w:t>
      </w:r>
      <w:r>
        <w:tab/>
      </w:r>
      <w:r>
        <w:fldChar w:fldCharType="begin"/>
      </w:r>
      <w:r>
        <w:instrText xml:space="preserve"> PAGEREF _Toc11728 \h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"_Toc30122" </w:instrText>
      </w:r>
      <w:r>
        <w:fldChar w:fldCharType="separate"/>
      </w:r>
      <w:r>
        <w:rPr>
          <w:rFonts w:hint="eastAsia" w:ascii="黑体" w:eastAsia="黑体"/>
        </w:rPr>
        <w:t>七、“三公”经费财政拨款支出决算情况说明</w:t>
      </w:r>
      <w:r>
        <w:tab/>
      </w:r>
      <w:r>
        <w:fldChar w:fldCharType="begin"/>
      </w:r>
      <w:r>
        <w:instrText xml:space="preserve"> PAGEREF _Toc30122 \h </w:instrText>
      </w:r>
      <w:r>
        <w:fldChar w:fldCharType="separate"/>
      </w:r>
      <w:r>
        <w:t>9</w:t>
      </w:r>
      <w:r>
        <w:fldChar w:fldCharType="end"/>
      </w:r>
      <w:r>
        <w:fldChar w:fldCharType="end"/>
      </w:r>
    </w:p>
    <w:p>
      <w:pPr>
        <w:pStyle w:val="14"/>
        <w:tabs>
          <w:tab w:val="right" w:leader="dot" w:pos="8306"/>
          <w:tab w:val="clear" w:pos="8296"/>
        </w:tabs>
      </w:pPr>
      <w:r>
        <w:fldChar w:fldCharType="begin"/>
      </w:r>
      <w:r>
        <w:instrText xml:space="preserve"> HYPERLINK \l "_Toc6961" </w:instrText>
      </w:r>
      <w:r>
        <w:fldChar w:fldCharType="separate"/>
      </w:r>
      <w:r>
        <w:rPr>
          <w:rFonts w:hint="eastAsia" w:ascii="黑体" w:eastAsia="黑体"/>
        </w:rPr>
        <w:t>八、政府性基金预算支出决算情况说明</w:t>
      </w:r>
      <w:r>
        <w:tab/>
      </w:r>
      <w:r>
        <w:fldChar w:fldCharType="begin"/>
      </w:r>
      <w:r>
        <w:instrText xml:space="preserve"> PAGEREF _Toc6961 \h </w:instrText>
      </w:r>
      <w:r>
        <w:fldChar w:fldCharType="separate"/>
      </w:r>
      <w:r>
        <w:t>11</w:t>
      </w:r>
      <w:r>
        <w:fldChar w:fldCharType="end"/>
      </w:r>
      <w:r>
        <w:fldChar w:fldCharType="end"/>
      </w:r>
    </w:p>
    <w:p>
      <w:pPr>
        <w:pStyle w:val="14"/>
        <w:tabs>
          <w:tab w:val="right" w:leader="dot" w:pos="8306"/>
          <w:tab w:val="clear" w:pos="8296"/>
        </w:tabs>
      </w:pPr>
      <w:r>
        <w:fldChar w:fldCharType="begin"/>
      </w:r>
      <w:r>
        <w:instrText xml:space="preserve"> HYPERLINK \l "_Toc29644" </w:instrText>
      </w:r>
      <w:r>
        <w:fldChar w:fldCharType="separate"/>
      </w:r>
      <w:r>
        <w:rPr>
          <w:rFonts w:hint="eastAsia" w:ascii="黑体" w:eastAsia="黑体"/>
        </w:rPr>
        <w:t>九、国有资本经营预算支出决算情况说明</w:t>
      </w:r>
      <w:r>
        <w:tab/>
      </w:r>
      <w:r>
        <w:fldChar w:fldCharType="begin"/>
      </w:r>
      <w:r>
        <w:instrText xml:space="preserve"> PAGEREF _Toc29644 \h </w:instrText>
      </w:r>
      <w:r>
        <w:fldChar w:fldCharType="separate"/>
      </w:r>
      <w:r>
        <w:t>11</w:t>
      </w:r>
      <w:r>
        <w:fldChar w:fldCharType="end"/>
      </w:r>
      <w:r>
        <w:fldChar w:fldCharType="end"/>
      </w:r>
    </w:p>
    <w:p>
      <w:pPr>
        <w:pStyle w:val="14"/>
        <w:tabs>
          <w:tab w:val="right" w:leader="dot" w:pos="8306"/>
          <w:tab w:val="clear" w:pos="8296"/>
        </w:tabs>
      </w:pPr>
      <w:r>
        <w:fldChar w:fldCharType="begin"/>
      </w:r>
      <w:r>
        <w:instrText xml:space="preserve"> HYPERLINK \l "_Toc3354" </w:instrText>
      </w:r>
      <w:r>
        <w:fldChar w:fldCharType="separate"/>
      </w:r>
      <w:r>
        <w:rPr>
          <w:rFonts w:hint="eastAsia" w:ascii="黑体" w:eastAsia="黑体"/>
        </w:rPr>
        <w:t>十、其他重要事项的情况说明</w:t>
      </w:r>
      <w:r>
        <w:tab/>
      </w:r>
      <w:r>
        <w:fldChar w:fldCharType="begin"/>
      </w:r>
      <w:r>
        <w:instrText xml:space="preserve"> PAGEREF _Toc3354 \h </w:instrText>
      </w:r>
      <w:r>
        <w:fldChar w:fldCharType="separate"/>
      </w:r>
      <w:r>
        <w:t>11</w:t>
      </w:r>
      <w:r>
        <w:fldChar w:fldCharType="end"/>
      </w:r>
      <w:r>
        <w:fldChar w:fldCharType="end"/>
      </w:r>
    </w:p>
    <w:p>
      <w:pPr>
        <w:pStyle w:val="12"/>
        <w:tabs>
          <w:tab w:val="right" w:leader="dot" w:pos="8306"/>
          <w:tab w:val="clear" w:pos="8296"/>
        </w:tabs>
      </w:pPr>
      <w:r>
        <w:fldChar w:fldCharType="begin"/>
      </w:r>
      <w:r>
        <w:instrText xml:space="preserve"> HYPERLINK \l "_Toc7104" </w:instrText>
      </w:r>
      <w:r>
        <w:fldChar w:fldCharType="separate"/>
      </w:r>
      <w:r>
        <w:rPr>
          <w:rFonts w:hint="eastAsia" w:ascii="黑体" w:hAnsi="黑体" w:eastAsia="黑体" w:cs="黑体"/>
        </w:rPr>
        <w:t>第三部分 名词解释</w:t>
      </w:r>
      <w:r>
        <w:tab/>
      </w:r>
      <w:r>
        <w:fldChar w:fldCharType="begin"/>
      </w:r>
      <w:r>
        <w:instrText xml:space="preserve"> PAGEREF _Toc7104 \h </w:instrText>
      </w:r>
      <w:r>
        <w:fldChar w:fldCharType="separate"/>
      </w:r>
      <w:r>
        <w:t>13</w:t>
      </w:r>
      <w:r>
        <w:fldChar w:fldCharType="end"/>
      </w:r>
      <w:r>
        <w:fldChar w:fldCharType="end"/>
      </w:r>
    </w:p>
    <w:p>
      <w:pPr>
        <w:pStyle w:val="12"/>
        <w:tabs>
          <w:tab w:val="right" w:leader="dot" w:pos="8306"/>
          <w:tab w:val="clear" w:pos="8296"/>
        </w:tabs>
      </w:pPr>
      <w:r>
        <w:fldChar w:fldCharType="begin"/>
      </w:r>
      <w:r>
        <w:instrText xml:space="preserve"> HYPERLINK \l "_Toc21585" </w:instrText>
      </w:r>
      <w:r>
        <w:fldChar w:fldCharType="separate"/>
      </w:r>
      <w:r>
        <w:rPr>
          <w:rFonts w:hint="eastAsia" w:ascii="黑体" w:hAnsi="黑体" w:eastAsia="黑体" w:cs="黑体"/>
        </w:rPr>
        <w:t>第四部分 附件</w:t>
      </w:r>
      <w:r>
        <w:tab/>
      </w:r>
      <w:r>
        <w:fldChar w:fldCharType="begin"/>
      </w:r>
      <w:r>
        <w:instrText xml:space="preserve"> PAGEREF _Toc21585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"_Toc24711" </w:instrText>
      </w:r>
      <w:r>
        <w:fldChar w:fldCharType="separate"/>
      </w:r>
      <w:r>
        <w:rPr>
          <w:rFonts w:hint="eastAsia" w:ascii="黑体" w:hAnsi="黑体" w:eastAsia="黑体" w:cs="黑体"/>
        </w:rPr>
        <w:t>第五部分 附表</w:t>
      </w:r>
      <w:r>
        <w:tab/>
      </w:r>
      <w:r>
        <w:fldChar w:fldCharType="begin"/>
      </w:r>
      <w:r>
        <w:instrText xml:space="preserve"> PAGEREF _Toc24711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"_Toc12248" </w:instrText>
      </w:r>
      <w:r>
        <w:fldChar w:fldCharType="separate"/>
      </w:r>
      <w:r>
        <w:rPr>
          <w:rFonts w:hint="eastAsia" w:ascii="黑体" w:eastAsia="黑体"/>
        </w:rPr>
        <w:t>一、收入支出决算总表</w:t>
      </w:r>
      <w:r>
        <w:tab/>
      </w:r>
      <w:r>
        <w:fldChar w:fldCharType="begin"/>
      </w:r>
      <w:r>
        <w:instrText xml:space="preserve"> PAGEREF _Toc12248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"_Toc25852" </w:instrText>
      </w:r>
      <w:r>
        <w:fldChar w:fldCharType="separate"/>
      </w:r>
      <w:r>
        <w:rPr>
          <w:rFonts w:hint="eastAsia" w:ascii="黑体" w:eastAsia="黑体"/>
        </w:rPr>
        <w:t>二、收入决算表</w:t>
      </w:r>
      <w:r>
        <w:tab/>
      </w:r>
      <w:r>
        <w:fldChar w:fldCharType="begin"/>
      </w:r>
      <w:r>
        <w:instrText xml:space="preserve"> PAGEREF _Toc25852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"_Toc8058" </w:instrText>
      </w:r>
      <w:r>
        <w:fldChar w:fldCharType="separate"/>
      </w:r>
      <w:r>
        <w:rPr>
          <w:rFonts w:hint="eastAsia" w:ascii="黑体" w:eastAsia="黑体"/>
        </w:rPr>
        <w:t>三、支出决算表</w:t>
      </w:r>
      <w:r>
        <w:tab/>
      </w:r>
      <w:r>
        <w:fldChar w:fldCharType="begin"/>
      </w:r>
      <w:r>
        <w:instrText xml:space="preserve"> PAGEREF _Toc8058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"_Toc22704" </w:instrText>
      </w:r>
      <w:r>
        <w:fldChar w:fldCharType="separate"/>
      </w:r>
      <w:r>
        <w:rPr>
          <w:rFonts w:hint="eastAsia" w:ascii="黑体" w:eastAsia="黑体"/>
        </w:rPr>
        <w:t>四、财政拨款收入支出决算总表</w:t>
      </w:r>
      <w:r>
        <w:tab/>
      </w:r>
      <w:r>
        <w:fldChar w:fldCharType="begin"/>
      </w:r>
      <w:r>
        <w:instrText xml:space="preserve"> PAGEREF _Toc22704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"_Toc20399" </w:instrText>
      </w:r>
      <w:r>
        <w:fldChar w:fldCharType="separate"/>
      </w:r>
      <w:r>
        <w:rPr>
          <w:rFonts w:hint="eastAsia" w:ascii="黑体" w:eastAsia="黑体"/>
        </w:rPr>
        <w:t>五、财政拨款支出决算明细表</w:t>
      </w:r>
      <w:r>
        <w:tab/>
      </w:r>
      <w:r>
        <w:fldChar w:fldCharType="begin"/>
      </w:r>
      <w:r>
        <w:instrText xml:space="preserve"> PAGEREF _Toc20399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"_Toc11454" </w:instrText>
      </w:r>
      <w:r>
        <w:fldChar w:fldCharType="separate"/>
      </w:r>
      <w:r>
        <w:rPr>
          <w:rFonts w:hint="eastAsia" w:ascii="黑体" w:eastAsia="黑体"/>
        </w:rPr>
        <w:t>六、一般公共预算财政拨款支出决算表</w:t>
      </w:r>
      <w:r>
        <w:tab/>
      </w:r>
      <w:r>
        <w:fldChar w:fldCharType="begin"/>
      </w:r>
      <w:r>
        <w:instrText xml:space="preserve"> PAGEREF _Toc11454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"_Toc4512" </w:instrText>
      </w:r>
      <w:r>
        <w:fldChar w:fldCharType="separate"/>
      </w:r>
      <w:r>
        <w:rPr>
          <w:rFonts w:hint="eastAsia" w:ascii="黑体" w:eastAsia="黑体"/>
        </w:rPr>
        <w:t>七、一般公共预算财政拨款支出决算明细表</w:t>
      </w:r>
      <w:r>
        <w:tab/>
      </w:r>
      <w:r>
        <w:fldChar w:fldCharType="begin"/>
      </w:r>
      <w:r>
        <w:instrText xml:space="preserve"> PAGEREF _Toc4512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"_Toc26683" </w:instrText>
      </w:r>
      <w:r>
        <w:fldChar w:fldCharType="separate"/>
      </w:r>
      <w:r>
        <w:rPr>
          <w:rFonts w:hint="eastAsia" w:ascii="黑体" w:eastAsia="黑体"/>
        </w:rPr>
        <w:t>八、一般公共预算财政拨款基本支出决算表</w:t>
      </w:r>
      <w:r>
        <w:tab/>
      </w:r>
      <w:r>
        <w:fldChar w:fldCharType="begin"/>
      </w:r>
      <w:r>
        <w:instrText xml:space="preserve"> PAGEREF _Toc26683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"_Toc10327" </w:instrText>
      </w:r>
      <w:r>
        <w:fldChar w:fldCharType="separate"/>
      </w:r>
      <w:r>
        <w:rPr>
          <w:rFonts w:hint="eastAsia" w:ascii="黑体" w:eastAsia="黑体"/>
        </w:rPr>
        <w:t>九、一般公共预算财政拨款项目支出决算表</w:t>
      </w:r>
      <w:r>
        <w:tab/>
      </w:r>
      <w:r>
        <w:fldChar w:fldCharType="begin"/>
      </w:r>
      <w:r>
        <w:instrText xml:space="preserve"> PAGEREF _Toc10327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"_Toc24877" </w:instrText>
      </w:r>
      <w:r>
        <w:fldChar w:fldCharType="separate"/>
      </w:r>
      <w:r>
        <w:rPr>
          <w:rFonts w:hint="eastAsia" w:ascii="黑体" w:eastAsia="黑体"/>
        </w:rPr>
        <w:t>十、一般公共预算财政拨款“三公”经费支出决算表</w:t>
      </w:r>
      <w:r>
        <w:tab/>
      </w:r>
      <w:r>
        <w:fldChar w:fldCharType="begin"/>
      </w:r>
      <w:r>
        <w:instrText xml:space="preserve"> PAGEREF _Toc24877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"_Toc15452" </w:instrText>
      </w:r>
      <w:r>
        <w:fldChar w:fldCharType="separate"/>
      </w:r>
      <w:r>
        <w:rPr>
          <w:rFonts w:hint="eastAsia" w:ascii="黑体" w:eastAsia="黑体"/>
        </w:rPr>
        <w:t>十一、政府性基金预算财政拨款收入支出决算表</w:t>
      </w:r>
      <w:r>
        <w:tab/>
      </w:r>
      <w:r>
        <w:fldChar w:fldCharType="begin"/>
      </w:r>
      <w:r>
        <w:instrText xml:space="preserve"> PAGEREF _Toc15452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"_Toc1580" </w:instrText>
      </w:r>
      <w:r>
        <w:fldChar w:fldCharType="separate"/>
      </w:r>
      <w:r>
        <w:rPr>
          <w:rFonts w:hint="eastAsia" w:ascii="黑体" w:eastAsia="黑体"/>
        </w:rPr>
        <w:t>十二、政府性基金预算财政拨款“三公”经费支出决算表</w:t>
      </w:r>
      <w:r>
        <w:tab/>
      </w:r>
      <w:r>
        <w:fldChar w:fldCharType="begin"/>
      </w:r>
      <w:r>
        <w:instrText xml:space="preserve"> PAGEREF _Toc1580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"_Toc4431" </w:instrText>
      </w:r>
      <w:r>
        <w:fldChar w:fldCharType="separate"/>
      </w:r>
      <w:r>
        <w:rPr>
          <w:rFonts w:hint="eastAsia" w:ascii="黑体" w:eastAsia="黑体"/>
        </w:rPr>
        <w:t>十三、国有资本经营预算财政拨款收入支出决算表</w:t>
      </w:r>
      <w:r>
        <w:tab/>
      </w:r>
      <w:r>
        <w:fldChar w:fldCharType="begin"/>
      </w:r>
      <w:r>
        <w:instrText xml:space="preserve"> PAGEREF _Toc4431 \h </w:instrText>
      </w:r>
      <w:r>
        <w:fldChar w:fldCharType="separate"/>
      </w:r>
      <w:r>
        <w:t>20</w:t>
      </w:r>
      <w:r>
        <w:fldChar w:fldCharType="end"/>
      </w:r>
      <w:r>
        <w:fldChar w:fldCharType="end"/>
      </w:r>
    </w:p>
    <w:p>
      <w:pPr>
        <w:pStyle w:val="14"/>
        <w:tabs>
          <w:tab w:val="right" w:leader="dot" w:pos="8306"/>
          <w:tab w:val="clear" w:pos="8296"/>
        </w:tabs>
      </w:pPr>
      <w:r>
        <w:fldChar w:fldCharType="begin"/>
      </w:r>
      <w:r>
        <w:instrText xml:space="preserve"> HYPERLINK \l "_Toc1565" </w:instrText>
      </w:r>
      <w:r>
        <w:fldChar w:fldCharType="separate"/>
      </w:r>
      <w:r>
        <w:rPr>
          <w:rFonts w:hint="eastAsia" w:ascii="黑体" w:eastAsia="黑体"/>
        </w:rPr>
        <w:t>十四、国有资本经营预算财政拨款支出决算表</w:t>
      </w:r>
      <w:r>
        <w:tab/>
      </w:r>
      <w:r>
        <w:fldChar w:fldCharType="begin"/>
      </w:r>
      <w:r>
        <w:instrText xml:space="preserve"> PAGEREF _Toc1565 \h </w:instrText>
      </w:r>
      <w:r>
        <w:fldChar w:fldCharType="separate"/>
      </w:r>
      <w:r>
        <w:t>20</w:t>
      </w:r>
      <w:r>
        <w:fldChar w:fldCharType="end"/>
      </w:r>
      <w:r>
        <w:fldChar w:fldCharType="end"/>
      </w:r>
    </w:p>
    <w:p>
      <w:pPr>
        <w:pStyle w:val="6"/>
      </w:pPr>
      <w:r>
        <w:rPr>
          <w:smallCaps/>
          <w:szCs w:val="20"/>
        </w:rPr>
        <w:fldChar w:fldCharType="end"/>
      </w:r>
    </w:p>
    <w:p>
      <w:pPr>
        <w:pStyle w:val="3"/>
        <w:spacing w:line="660" w:lineRule="exact"/>
        <w:jc w:val="center"/>
        <w:rPr>
          <w:rFonts w:ascii="方正小标宋简体" w:hAnsi="Calibri" w:eastAsia="方正小标宋简体"/>
          <w:b w:val="0"/>
          <w:bCs w:val="0"/>
          <w:kern w:val="2"/>
        </w:rPr>
      </w:pPr>
      <w:bookmarkStart w:id="13" w:name="_Toc111208495"/>
      <w:bookmarkStart w:id="14" w:name="_Toc20870"/>
      <w:r>
        <w:rPr>
          <w:rFonts w:hint="eastAsia" w:ascii="方正小标宋简体" w:hAnsi="Calibri" w:eastAsia="方正小标宋简体"/>
          <w:b w:val="0"/>
          <w:bCs w:val="0"/>
          <w:kern w:val="2"/>
        </w:rPr>
        <w:t>第一部分 部门概况</w:t>
      </w:r>
      <w:bookmarkEnd w:id="12"/>
      <w:bookmarkEnd w:id="13"/>
      <w:bookmarkEnd w:id="14"/>
    </w:p>
    <w:p>
      <w:pPr>
        <w:spacing w:line="570" w:lineRule="exact"/>
        <w:ind w:firstLine="640" w:firstLineChars="200"/>
        <w:rPr>
          <w:rFonts w:ascii="黑体" w:hAnsi="黑体" w:eastAsia="黑体" w:cs="黑体"/>
          <w:sz w:val="32"/>
          <w:szCs w:val="32"/>
        </w:rPr>
      </w:pPr>
      <w:bookmarkStart w:id="15" w:name="_Toc23777"/>
      <w:bookmarkStart w:id="16" w:name="_Toc111208496"/>
      <w:bookmarkStart w:id="17" w:name="_Toc15377197"/>
      <w:r>
        <w:rPr>
          <w:rFonts w:hint="eastAsia" w:ascii="黑体" w:hAnsi="黑体" w:eastAsia="黑体" w:cs="黑体"/>
          <w:sz w:val="32"/>
          <w:szCs w:val="32"/>
        </w:rPr>
        <w:t>一、基本职能及主要工作</w:t>
      </w:r>
      <w:bookmarkEnd w:id="15"/>
      <w:bookmarkEnd w:id="16"/>
      <w:bookmarkEnd w:id="17"/>
      <w:bookmarkStart w:id="18" w:name="_Toc15378445"/>
      <w:bookmarkStart w:id="19" w:name="_Toc15377198"/>
    </w:p>
    <w:p>
      <w:pPr>
        <w:spacing w:line="570" w:lineRule="exact"/>
        <w:ind w:firstLine="642" w:firstLineChars="200"/>
        <w:rPr>
          <w:rFonts w:hint="eastAsia" w:ascii="楷体_GB2312" w:eastAsia="楷体_GB2312" w:cs="楷体_GB2312"/>
          <w:b/>
          <w:bCs/>
          <w:sz w:val="32"/>
          <w:szCs w:val="32"/>
        </w:rPr>
      </w:pPr>
      <w:r>
        <w:rPr>
          <w:rFonts w:hint="eastAsia" w:ascii="楷体_GB2312" w:eastAsia="楷体_GB2312" w:cs="楷体_GB2312"/>
          <w:b/>
          <w:bCs/>
          <w:sz w:val="32"/>
          <w:szCs w:val="32"/>
        </w:rPr>
        <w:t>（一）主要职能</w:t>
      </w:r>
      <w:bookmarkEnd w:id="18"/>
      <w:bookmarkEnd w:id="19"/>
    </w:p>
    <w:p>
      <w:pPr>
        <w:spacing w:line="57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贯彻执行国家有关财政投资评审的法律、法规和政策，草拟财政投资评审规章制度</w:t>
      </w:r>
      <w:r>
        <w:rPr>
          <w:rFonts w:hint="eastAsia" w:ascii="仿宋_GB2312" w:eastAsia="仿宋_GB2312" w:cs="仿宋_GB2312"/>
          <w:sz w:val="32"/>
          <w:szCs w:val="32"/>
          <w:lang w:eastAsia="zh-CN"/>
        </w:rPr>
        <w:t>。</w:t>
      </w:r>
    </w:p>
    <w:p>
      <w:pPr>
        <w:spacing w:line="57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具体管理财政投资评审业务，指导财政投资评审机构的工作</w:t>
      </w:r>
      <w:r>
        <w:rPr>
          <w:rFonts w:hint="eastAsia" w:ascii="仿宋_GB2312" w:eastAsia="仿宋_GB2312" w:cs="仿宋_GB2312"/>
          <w:sz w:val="32"/>
          <w:szCs w:val="32"/>
          <w:lang w:eastAsia="zh-CN"/>
        </w:rPr>
        <w:t>。</w:t>
      </w:r>
    </w:p>
    <w:p>
      <w:pPr>
        <w:spacing w:line="57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对评审工作中遇到的重大问题应及时向财政局报告</w:t>
      </w:r>
      <w:r>
        <w:rPr>
          <w:rFonts w:hint="eastAsia" w:ascii="仿宋_GB2312" w:eastAsia="仿宋_GB2312" w:cs="仿宋_GB2312"/>
          <w:sz w:val="32"/>
          <w:szCs w:val="32"/>
          <w:lang w:eastAsia="zh-CN"/>
        </w:rPr>
        <w:t>。</w:t>
      </w:r>
    </w:p>
    <w:p>
      <w:pPr>
        <w:spacing w:line="57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具体组织协调处理评审争议</w:t>
      </w:r>
      <w:r>
        <w:rPr>
          <w:rFonts w:hint="eastAsia" w:ascii="仿宋_GB2312" w:eastAsia="仿宋_GB2312" w:cs="仿宋_GB2312"/>
          <w:sz w:val="32"/>
          <w:szCs w:val="32"/>
          <w:lang w:eastAsia="zh-CN"/>
        </w:rPr>
        <w:t>。</w:t>
      </w:r>
    </w:p>
    <w:p>
      <w:pPr>
        <w:spacing w:line="57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对达不到评审条件，或者项目建设单位拒不配合的送审项目进行退审</w:t>
      </w:r>
      <w:r>
        <w:rPr>
          <w:rFonts w:hint="eastAsia" w:ascii="仿宋_GB2312" w:eastAsia="仿宋_GB2312" w:cs="仿宋_GB2312"/>
          <w:sz w:val="32"/>
          <w:szCs w:val="32"/>
          <w:lang w:eastAsia="zh-CN"/>
        </w:rPr>
        <w:t>。</w:t>
      </w:r>
    </w:p>
    <w:p>
      <w:pPr>
        <w:spacing w:line="57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根据实际需要对财政投资评审机构报送的投资评审报告进行抽查或复核</w:t>
      </w:r>
      <w:r>
        <w:rPr>
          <w:rFonts w:hint="eastAsia" w:ascii="仿宋_GB2312" w:eastAsia="仿宋_GB2312" w:cs="仿宋_GB2312"/>
          <w:sz w:val="32"/>
          <w:szCs w:val="32"/>
          <w:lang w:eastAsia="zh-CN"/>
        </w:rPr>
        <w:t>。</w:t>
      </w:r>
    </w:p>
    <w:p>
      <w:pPr>
        <w:spacing w:line="57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批复（批转）财政投资评审机构的评审报告</w:t>
      </w:r>
      <w:r>
        <w:rPr>
          <w:rFonts w:hint="eastAsia" w:ascii="仿宋_GB2312" w:eastAsia="仿宋_GB2312" w:cs="仿宋_GB2312"/>
          <w:sz w:val="32"/>
          <w:szCs w:val="32"/>
          <w:lang w:eastAsia="zh-CN"/>
        </w:rPr>
        <w:t>。</w:t>
      </w:r>
    </w:p>
    <w:p>
      <w:pPr>
        <w:spacing w:line="57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管理投资评审档案</w:t>
      </w:r>
      <w:r>
        <w:rPr>
          <w:rFonts w:hint="eastAsia" w:ascii="仿宋_GB2312" w:eastAsia="仿宋_GB2312" w:cs="仿宋_GB2312"/>
          <w:sz w:val="32"/>
          <w:szCs w:val="32"/>
          <w:lang w:eastAsia="zh-CN"/>
        </w:rPr>
        <w:t>。</w:t>
      </w:r>
    </w:p>
    <w:p>
      <w:pPr>
        <w:spacing w:line="57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其他评审相关工作。</w:t>
      </w:r>
    </w:p>
    <w:p>
      <w:pPr>
        <w:spacing w:line="570" w:lineRule="exact"/>
        <w:ind w:firstLine="642" w:firstLineChars="200"/>
        <w:rPr>
          <w:rFonts w:hint="eastAsia" w:ascii="楷体_GB2312" w:eastAsia="楷体_GB2312" w:cs="楷体_GB2312"/>
          <w:b/>
          <w:bCs/>
          <w:sz w:val="32"/>
          <w:szCs w:val="32"/>
        </w:rPr>
      </w:pPr>
      <w:bookmarkStart w:id="20" w:name="_Toc15378446"/>
      <w:bookmarkStart w:id="21" w:name="_Toc15377199"/>
      <w:bookmarkStart w:id="22" w:name="_Toc111208497"/>
      <w:bookmarkStart w:id="23" w:name="_Toc9423"/>
      <w:bookmarkStart w:id="24" w:name="_Toc15377200"/>
      <w:r>
        <w:rPr>
          <w:rFonts w:hint="eastAsia" w:ascii="楷体_GB2312" w:eastAsia="楷体_GB2312" w:cs="楷体_GB2312"/>
          <w:b/>
          <w:bCs/>
          <w:sz w:val="32"/>
          <w:szCs w:val="32"/>
        </w:rPr>
        <w:t>（二）2021重点工作完成情况</w:t>
      </w:r>
      <w:bookmarkEnd w:id="20"/>
      <w:bookmarkEnd w:id="21"/>
    </w:p>
    <w:p>
      <w:pPr>
        <w:spacing w:line="570" w:lineRule="exact"/>
        <w:ind w:firstLine="640" w:firstLineChars="200"/>
      </w:pPr>
      <w:r>
        <w:rPr>
          <w:rFonts w:hint="eastAsia" w:ascii="仿宋_GB2312" w:eastAsia="仿宋_GB2312" w:cs="仿宋_GB2312"/>
          <w:sz w:val="32"/>
          <w:szCs w:val="32"/>
        </w:rPr>
        <w:t>按照财政部《财政投资评审管理规定》《采购法》的相关规定，修订完善《茂县财政投资评审管理办法》，做到依法依规搞好财政投资评审工作，有效防止政府投资的损失和浪费。依据《采购法》《财政投资评审管理规定》等相关规定，公开招标采购了工程造价咨询服务机构，为财政投资评审提供服务。</w:t>
      </w:r>
      <w:r>
        <w:rPr>
          <w:rFonts w:hint="eastAsia" w:ascii="仿宋_GB2312" w:eastAsia="仿宋_GB2312" w:cs="仿宋_GB2312"/>
          <w:sz w:val="32"/>
          <w:szCs w:val="32"/>
          <w:lang w:val="en-US" w:eastAsia="zh-CN"/>
        </w:rPr>
        <w:t>2021年</w:t>
      </w:r>
      <w:r>
        <w:rPr>
          <w:rFonts w:hint="eastAsia" w:ascii="仿宋_GB2312" w:eastAsia="仿宋_GB2312" w:cs="仿宋_GB2312"/>
          <w:sz w:val="32"/>
          <w:szCs w:val="32"/>
        </w:rPr>
        <w:t>已完成评审项目</w:t>
      </w:r>
      <w:r>
        <w:rPr>
          <w:rFonts w:hint="eastAsia" w:ascii="仿宋_GB2312" w:eastAsia="仿宋_GB2312" w:cs="仿宋_GB2312"/>
          <w:sz w:val="32"/>
          <w:szCs w:val="32"/>
          <w:lang w:val="en-US" w:eastAsia="zh-CN"/>
        </w:rPr>
        <w:t>89</w:t>
      </w:r>
      <w:r>
        <w:rPr>
          <w:rFonts w:hint="eastAsia" w:ascii="仿宋_GB2312" w:eastAsia="仿宋_GB2312" w:cs="仿宋_GB2312"/>
          <w:sz w:val="32"/>
          <w:szCs w:val="32"/>
        </w:rPr>
        <w:t>个，送审金额</w:t>
      </w:r>
      <w:r>
        <w:rPr>
          <w:rFonts w:hint="eastAsia" w:ascii="仿宋_GB2312" w:eastAsia="仿宋_GB2312" w:cs="仿宋_GB2312"/>
          <w:sz w:val="32"/>
          <w:szCs w:val="32"/>
          <w:lang w:val="en-US" w:eastAsia="zh-CN"/>
        </w:rPr>
        <w:t>51607.83</w:t>
      </w:r>
      <w:r>
        <w:rPr>
          <w:rFonts w:hint="eastAsia" w:ascii="仿宋_GB2312" w:eastAsia="仿宋_GB2312" w:cs="仿宋_GB2312"/>
          <w:sz w:val="32"/>
          <w:szCs w:val="32"/>
        </w:rPr>
        <w:t>万元，审定金额</w:t>
      </w:r>
      <w:r>
        <w:rPr>
          <w:rFonts w:hint="eastAsia" w:ascii="仿宋_GB2312" w:eastAsia="仿宋_GB2312" w:cs="仿宋_GB2312"/>
          <w:sz w:val="32"/>
          <w:szCs w:val="32"/>
          <w:lang w:val="en-US" w:eastAsia="zh-CN"/>
        </w:rPr>
        <w:t>47398.39</w:t>
      </w:r>
      <w:r>
        <w:rPr>
          <w:rFonts w:hint="eastAsia" w:ascii="仿宋_GB2312" w:eastAsia="仿宋_GB2312" w:cs="仿宋_GB2312"/>
          <w:sz w:val="32"/>
          <w:szCs w:val="32"/>
        </w:rPr>
        <w:t>万元，审减金额</w:t>
      </w:r>
      <w:r>
        <w:rPr>
          <w:rFonts w:hint="eastAsia" w:ascii="仿宋_GB2312" w:eastAsia="仿宋_GB2312" w:cs="仿宋_GB2312"/>
          <w:sz w:val="32"/>
          <w:szCs w:val="32"/>
          <w:lang w:val="en-US" w:eastAsia="zh-CN"/>
        </w:rPr>
        <w:t>3496</w:t>
      </w:r>
      <w:r>
        <w:rPr>
          <w:rFonts w:hint="eastAsia" w:ascii="仿宋_GB2312" w:eastAsia="仿宋_GB2312" w:cs="仿宋_GB2312"/>
          <w:sz w:val="32"/>
          <w:szCs w:val="32"/>
        </w:rPr>
        <w:t>万元，审减率8.1</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22"/>
      <w:bookmarkEnd w:id="23"/>
      <w:bookmarkEnd w:id="24"/>
    </w:p>
    <w:p>
      <w:pPr>
        <w:spacing w:line="56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本部门属于事业机构，具体为财政评审中心</w:t>
      </w:r>
      <w:r>
        <w:rPr>
          <w:rFonts w:hint="eastAsia" w:ascii="仿宋_GB2312" w:eastAsia="仿宋_GB2312" w:cs="仿宋_GB2312"/>
          <w:sz w:val="32"/>
          <w:szCs w:val="32"/>
          <w:lang w:eastAsia="zh-CN"/>
        </w:rPr>
        <w:t>。</w:t>
      </w:r>
    </w:p>
    <w:p>
      <w:pPr>
        <w:widowControl/>
        <w:spacing w:line="560" w:lineRule="exact"/>
        <w:jc w:val="left"/>
        <w:rPr>
          <w:rFonts w:ascii="仿宋_GB2312" w:hAnsi="黑体" w:eastAsia="仿宋_GB2312"/>
          <w:b/>
          <w:bCs/>
          <w:color w:val="000000"/>
          <w:kern w:val="44"/>
          <w:sz w:val="44"/>
          <w:szCs w:val="44"/>
        </w:rPr>
      </w:pPr>
      <w:bookmarkStart w:id="25" w:name="_Toc15377204"/>
      <w:r>
        <w:rPr>
          <w:rFonts w:ascii="仿宋_GB2312" w:hAnsi="黑体" w:eastAsia="仿宋_GB2312"/>
          <w:color w:val="000000"/>
        </w:rPr>
        <w:br w:type="page"/>
      </w:r>
    </w:p>
    <w:p>
      <w:pPr>
        <w:spacing w:line="660" w:lineRule="exact"/>
        <w:jc w:val="center"/>
        <w:rPr>
          <w:rFonts w:ascii="方正小标宋简体" w:hAnsi="Calibri" w:eastAsia="方正小标宋简体"/>
          <w:sz w:val="44"/>
          <w:szCs w:val="44"/>
        </w:rPr>
      </w:pPr>
      <w:bookmarkStart w:id="26" w:name="_Toc13878"/>
      <w:bookmarkStart w:id="27" w:name="_Toc111208498"/>
      <w:r>
        <w:rPr>
          <w:rFonts w:hint="eastAsia" w:ascii="方正小标宋简体" w:hAnsi="Calibri" w:eastAsia="方正小标宋简体"/>
          <w:sz w:val="44"/>
          <w:szCs w:val="44"/>
        </w:rPr>
        <w:t>第二部分 2021年度部门决算情况说明</w:t>
      </w:r>
      <w:bookmarkEnd w:id="25"/>
      <w:bookmarkEnd w:id="26"/>
      <w:bookmarkEnd w:id="27"/>
    </w:p>
    <w:p>
      <w:pPr>
        <w:spacing w:line="560" w:lineRule="exact"/>
        <w:ind w:firstLine="640" w:firstLineChars="200"/>
        <w:rPr>
          <w:rFonts w:ascii="黑体" w:hAnsi="黑体" w:eastAsia="黑体" w:cs="黑体"/>
          <w:sz w:val="32"/>
          <w:szCs w:val="32"/>
        </w:rPr>
      </w:pPr>
      <w:bookmarkStart w:id="28" w:name="_Toc15377205"/>
      <w:bookmarkStart w:id="29" w:name="_Toc111208499"/>
      <w:bookmarkStart w:id="30" w:name="_Toc4320"/>
      <w:r>
        <w:rPr>
          <w:rFonts w:hint="eastAsia" w:ascii="黑体" w:hAnsi="黑体" w:eastAsia="黑体" w:cs="黑体"/>
          <w:sz w:val="32"/>
          <w:szCs w:val="32"/>
        </w:rPr>
        <w:t>一、收入支出决算总体情况说</w:t>
      </w:r>
      <w:bookmarkEnd w:id="28"/>
      <w:r>
        <w:rPr>
          <w:rFonts w:hint="eastAsia" w:ascii="黑体" w:hAnsi="黑体" w:eastAsia="黑体" w:cs="黑体"/>
          <w:sz w:val="32"/>
          <w:szCs w:val="32"/>
        </w:rPr>
        <w:t>明</w:t>
      </w:r>
      <w:bookmarkEnd w:id="29"/>
      <w:bookmarkEnd w:id="30"/>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2021年度收、支总计377.43万元。与2020年相比，收、支总计各增加77.96万元，增长26.03 %。</w:t>
      </w:r>
      <w:r>
        <w:rPr>
          <w:rFonts w:hint="eastAsia" w:ascii="仿宋" w:eastAsia="仿宋"/>
          <w:color w:val="000000"/>
          <w:sz w:val="32"/>
          <w:szCs w:val="32"/>
        </w:rPr>
        <w:t>主要变动原因是</w:t>
      </w:r>
      <w:r>
        <w:rPr>
          <w:rFonts w:hint="eastAsia" w:ascii="仿宋_GB2312" w:eastAsia="仿宋_GB2312" w:cs="仿宋_GB2312"/>
          <w:kern w:val="0"/>
          <w:sz w:val="32"/>
          <w:szCs w:val="32"/>
        </w:rPr>
        <w:t>人员变动，工资正常晋升。</w:t>
      </w:r>
    </w:p>
    <w:p>
      <w:pPr>
        <w:spacing w:line="560" w:lineRule="exact"/>
        <w:jc w:val="center"/>
        <w:rPr>
          <w:rFonts w:ascii="仿宋_GB2312" w:eastAsia="仿宋_GB2312" w:cs="仿宋_GB2312"/>
          <w:sz w:val="32"/>
          <w:szCs w:val="32"/>
        </w:rPr>
      </w:pPr>
      <w:r>
        <w:rPr>
          <w:rFonts w:hint="eastAsia" w:ascii="仿宋_GB2312" w:eastAsia="仿宋_GB2312" w:cs="仿宋_GB2312"/>
          <w:sz w:val="32"/>
          <w:szCs w:val="32"/>
        </w:rPr>
        <w:t>（图1：收、支决算总计变动情况图）</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drawing>
          <wp:anchor distT="0" distB="0" distL="114300" distR="114300" simplePos="0" relativeHeight="251659264" behindDoc="0" locked="0" layoutInCell="1" allowOverlap="1">
            <wp:simplePos x="0" y="0"/>
            <wp:positionH relativeFrom="column">
              <wp:posOffset>103505</wp:posOffset>
            </wp:positionH>
            <wp:positionV relativeFrom="paragraph">
              <wp:posOffset>172720</wp:posOffset>
            </wp:positionV>
            <wp:extent cx="5020945" cy="2787015"/>
            <wp:effectExtent l="4445" t="4445" r="22860" b="8890"/>
            <wp:wrapTopAndBottom/>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bookmarkStart w:id="31" w:name="_Toc111208500"/>
      <w:bookmarkStart w:id="32" w:name="_Toc13553"/>
      <w:bookmarkStart w:id="33" w:name="_Toc15377206"/>
      <w:r>
        <w:rPr>
          <w:rFonts w:hint="eastAsia" w:ascii="黑体" w:hAnsi="黑体" w:eastAsia="黑体" w:cs="黑体"/>
          <w:sz w:val="32"/>
          <w:szCs w:val="32"/>
        </w:rPr>
        <w:t>二、收入决算情况说明</w:t>
      </w:r>
      <w:bookmarkEnd w:id="31"/>
      <w:bookmarkEnd w:id="32"/>
      <w:bookmarkEnd w:id="33"/>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本年收入合计377.43万元，其中：一般公共预算财政拨款收入377.43万元，占100.00%；政府性基金预算财政拨款收入0.00万元，占0.00%；上级补助收入0.00万元，占0.00%；事业收入0.00万元，占0.00%；经营收入0.00万元，占0.00%；附属单位上缴收入0.00万元，占0.00%；其他收入0.00万元，占0.00%。</w:t>
      </w:r>
    </w:p>
    <w:p>
      <w:pPr>
        <w:spacing w:line="570" w:lineRule="exact"/>
        <w:ind w:firstLine="640" w:firstLineChars="200"/>
        <w:rPr>
          <w:rFonts w:ascii="仿宋_GB2312" w:eastAsia="仿宋_GB2312" w:cs="仿宋_GB2312"/>
          <w:sz w:val="32"/>
          <w:szCs w:val="32"/>
        </w:rPr>
      </w:pPr>
    </w:p>
    <w:p>
      <w:pPr>
        <w:spacing w:line="570" w:lineRule="exact"/>
        <w:jc w:val="center"/>
        <w:rPr>
          <w:rFonts w:ascii="仿宋_GB2312" w:eastAsia="仿宋_GB2312" w:cs="仿宋_GB2312"/>
          <w:sz w:val="32"/>
          <w:szCs w:val="32"/>
        </w:rPr>
      </w:pPr>
    </w:p>
    <w:p>
      <w:pPr>
        <w:pStyle w:val="2"/>
        <w:spacing w:before="93"/>
      </w:pPr>
    </w:p>
    <w:p>
      <w:pPr>
        <w:spacing w:line="570" w:lineRule="exact"/>
        <w:jc w:val="center"/>
        <w:rPr>
          <w:rFonts w:ascii="仿宋_GB2312" w:eastAsia="仿宋_GB2312" w:cs="仿宋_GB2312"/>
          <w:sz w:val="32"/>
          <w:szCs w:val="32"/>
        </w:rPr>
      </w:pPr>
      <w:r>
        <w:rPr>
          <w:rFonts w:hint="eastAsia" w:ascii="仿宋_GB2312" w:eastAsia="仿宋_GB2312" w:cs="仿宋_GB2312"/>
          <w:sz w:val="32"/>
          <w:szCs w:val="32"/>
        </w:rPr>
        <w:t>（图2：收入决算结构图）</w:t>
      </w:r>
    </w:p>
    <w:p>
      <w:pPr>
        <w:pStyle w:val="13"/>
        <w:ind w:left="1060" w:hanging="640"/>
        <w:jc w:val="center"/>
      </w:pPr>
      <w:r>
        <w:rPr>
          <w:rFonts w:hint="eastAsia"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691515</wp:posOffset>
            </wp:positionH>
            <wp:positionV relativeFrom="paragraph">
              <wp:posOffset>96520</wp:posOffset>
            </wp:positionV>
            <wp:extent cx="3724275" cy="2393950"/>
            <wp:effectExtent l="4445" t="5080" r="5080" b="2032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560" w:lineRule="exact"/>
        <w:ind w:firstLine="640" w:firstLineChars="200"/>
        <w:rPr>
          <w:rFonts w:ascii="黑体" w:hAnsi="黑体" w:eastAsia="黑体" w:cs="黑体"/>
          <w:sz w:val="32"/>
          <w:szCs w:val="32"/>
        </w:rPr>
      </w:pPr>
      <w:bookmarkStart w:id="34" w:name="_Toc111208501"/>
      <w:bookmarkStart w:id="35" w:name="_Toc19073"/>
      <w:bookmarkStart w:id="36" w:name="_Toc15377207"/>
      <w:r>
        <w:rPr>
          <w:rFonts w:hint="eastAsia" w:ascii="黑体" w:hAnsi="黑体" w:eastAsia="黑体" w:cs="黑体"/>
          <w:sz w:val="32"/>
          <w:szCs w:val="32"/>
        </w:rPr>
        <w:t>三、支出决算情况说明</w:t>
      </w:r>
      <w:bookmarkEnd w:id="34"/>
      <w:bookmarkEnd w:id="35"/>
      <w:bookmarkEnd w:id="36"/>
    </w:p>
    <w:p>
      <w:pPr>
        <w:pStyle w:val="6"/>
        <w:spacing w:line="560" w:lineRule="exact"/>
        <w:rPr>
          <w:rFonts w:ascii="仿宋_GB2312" w:eastAsia="仿宋_GB2312" w:cs="仿宋_GB2312"/>
          <w:sz w:val="32"/>
          <w:szCs w:val="32"/>
        </w:rPr>
      </w:pPr>
      <w:r>
        <w:rPr>
          <w:rFonts w:hint="eastAsia" w:ascii="仿宋_GB2312" w:eastAsia="仿宋_GB2312" w:cs="仿宋_GB2312"/>
          <w:sz w:val="32"/>
          <w:szCs w:val="32"/>
        </w:rPr>
        <w:t>2021年本年支出合计377.43万元，其中：基本支出377.43万元，占100.00%；项目支出0.00万元，占0.00%；上缴上级支出0.00万元，占0.00%；经营支出0.00万元，占0.00%；对附属单位补助支出0.00万元，占0.00%。</w:t>
      </w:r>
    </w:p>
    <w:p>
      <w:pPr>
        <w:spacing w:line="560" w:lineRule="exact"/>
        <w:jc w:val="center"/>
        <w:rPr>
          <w:rFonts w:ascii="仿宋_GB2312" w:eastAsia="仿宋_GB2312" w:cs="仿宋_GB2312"/>
          <w:sz w:val="32"/>
          <w:szCs w:val="32"/>
        </w:rPr>
      </w:pPr>
      <w:r>
        <w:rPr>
          <w:rFonts w:hint="eastAsia" w:ascii="仿宋_GB2312" w:eastAsia="仿宋_GB2312" w:cs="仿宋_GB2312"/>
          <w:sz w:val="32"/>
          <w:szCs w:val="32"/>
        </w:rPr>
        <w:t>（图3：支出决算结构图）</w:t>
      </w:r>
    </w:p>
    <w:p>
      <w:pPr>
        <w:jc w:val="center"/>
      </w:pPr>
      <w:r>
        <w:rPr>
          <w:rFonts w:hint="eastAsia" w:ascii="仿宋_GB2312" w:eastAsia="仿宋_GB2312"/>
          <w:color w:val="FF0000"/>
          <w:sz w:val="32"/>
          <w:szCs w:val="32"/>
        </w:rPr>
        <w:drawing>
          <wp:anchor distT="0" distB="0" distL="114300" distR="114300" simplePos="0" relativeHeight="251661312" behindDoc="0" locked="0" layoutInCell="1" allowOverlap="1">
            <wp:simplePos x="0" y="0"/>
            <wp:positionH relativeFrom="column">
              <wp:posOffset>791845</wp:posOffset>
            </wp:positionH>
            <wp:positionV relativeFrom="paragraph">
              <wp:posOffset>128905</wp:posOffset>
            </wp:positionV>
            <wp:extent cx="3552825" cy="2202180"/>
            <wp:effectExtent l="5080" t="4445" r="4445" b="2222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570" w:lineRule="exact"/>
        <w:ind w:firstLine="640" w:firstLineChars="200"/>
        <w:rPr>
          <w:rFonts w:ascii="黑体" w:hAnsi="黑体" w:eastAsia="黑体" w:cs="黑体"/>
          <w:sz w:val="32"/>
          <w:szCs w:val="32"/>
        </w:rPr>
      </w:pPr>
      <w:bookmarkStart w:id="37" w:name="_Toc27317"/>
      <w:bookmarkStart w:id="38" w:name="_Toc15377208"/>
      <w:bookmarkStart w:id="39" w:name="_Toc111208502"/>
      <w:r>
        <w:rPr>
          <w:rFonts w:hint="eastAsia" w:ascii="黑体" w:hAnsi="黑体" w:eastAsia="黑体" w:cs="黑体"/>
          <w:sz w:val="32"/>
          <w:szCs w:val="32"/>
        </w:rPr>
        <w:t>四、财政拨款收入支出决算总体情况说明</w:t>
      </w:r>
      <w:bookmarkEnd w:id="37"/>
      <w:bookmarkEnd w:id="38"/>
      <w:bookmarkEnd w:id="39"/>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2021年财政拨款收、支总计377.43万元。与2020年相比，财政拨款收、支总计各增加77.96万元，增长26.03 %。主要变动原因是人员变动，工资正常晋升。</w:t>
      </w:r>
    </w:p>
    <w:p>
      <w:pPr>
        <w:spacing w:line="560" w:lineRule="exact"/>
        <w:jc w:val="center"/>
        <w:rPr>
          <w:rFonts w:ascii="仿宋_GB2312" w:eastAsia="仿宋_GB2312" w:cs="仿宋_GB2312"/>
          <w:sz w:val="32"/>
          <w:szCs w:val="32"/>
        </w:rPr>
      </w:pPr>
      <w:r>
        <w:rPr>
          <w:rFonts w:hint="eastAsia" w:ascii="仿宋_GB2312" w:eastAsia="仿宋_GB2312" w:cs="仿宋_GB2312"/>
          <w:sz w:val="32"/>
          <w:szCs w:val="32"/>
        </w:rPr>
        <w:t>（图4：财政拨款收、支决算总计变动情况）</w:t>
      </w:r>
    </w:p>
    <w:p>
      <w:pPr>
        <w:spacing w:line="560" w:lineRule="exact"/>
        <w:rPr>
          <w:rFonts w:ascii="仿宋_GB2312" w:eastAsia="仿宋_GB2312" w:cs="仿宋_GB2312"/>
          <w:sz w:val="32"/>
          <w:szCs w:val="32"/>
        </w:rPr>
      </w:pPr>
      <w:r>
        <w:rPr>
          <w:rFonts w:hint="eastAsia" w:ascii="仿宋_GB2312" w:eastAsia="仿宋_GB2312" w:cs="仿宋_GB2312"/>
          <w:sz w:val="32"/>
          <w:szCs w:val="32"/>
        </w:rPr>
        <w:drawing>
          <wp:anchor distT="0" distB="0" distL="0" distR="0" simplePos="0" relativeHeight="251662336" behindDoc="0" locked="0" layoutInCell="1" allowOverlap="1">
            <wp:simplePos x="0" y="0"/>
            <wp:positionH relativeFrom="column">
              <wp:posOffset>880110</wp:posOffset>
            </wp:positionH>
            <wp:positionV relativeFrom="paragraph">
              <wp:posOffset>73660</wp:posOffset>
            </wp:positionV>
            <wp:extent cx="3472180" cy="2205355"/>
            <wp:effectExtent l="4445" t="4445" r="9525" b="1905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numPr>
          <w:ilvl w:val="0"/>
          <w:numId w:val="1"/>
        </w:numPr>
        <w:spacing w:line="560" w:lineRule="exact"/>
        <w:ind w:firstLine="640" w:firstLineChars="200"/>
        <w:rPr>
          <w:rFonts w:ascii="黑体" w:hAnsi="黑体" w:eastAsia="黑体" w:cs="黑体"/>
          <w:sz w:val="32"/>
          <w:szCs w:val="32"/>
        </w:rPr>
      </w:pPr>
      <w:bookmarkStart w:id="40" w:name="_Toc15377209"/>
      <w:bookmarkStart w:id="41" w:name="_Toc111208503"/>
      <w:bookmarkStart w:id="42" w:name="_Toc29916"/>
      <w:r>
        <w:rPr>
          <w:rFonts w:hint="eastAsia" w:ascii="黑体" w:hAnsi="黑体" w:eastAsia="黑体" w:cs="黑体"/>
          <w:sz w:val="32"/>
          <w:szCs w:val="32"/>
        </w:rPr>
        <w:t>一般公共预算财政拨款支出决算情况说</w:t>
      </w:r>
      <w:bookmarkEnd w:id="40"/>
      <w:r>
        <w:rPr>
          <w:rFonts w:hint="eastAsia" w:ascii="黑体" w:hAnsi="黑体" w:eastAsia="黑体" w:cs="黑体"/>
          <w:sz w:val="32"/>
          <w:szCs w:val="32"/>
        </w:rPr>
        <w:t>明</w:t>
      </w:r>
      <w:bookmarkEnd w:id="41"/>
      <w:bookmarkEnd w:id="42"/>
    </w:p>
    <w:p>
      <w:pPr>
        <w:spacing w:line="560" w:lineRule="exact"/>
        <w:ind w:firstLine="321" w:firstLineChars="100"/>
        <w:rPr>
          <w:rFonts w:ascii="楷体_GB2312" w:eastAsia="楷体_GB2312" w:cs="楷体_GB2312"/>
          <w:b/>
          <w:bCs/>
          <w:sz w:val="32"/>
          <w:szCs w:val="32"/>
        </w:rPr>
      </w:pPr>
      <w:bookmarkStart w:id="43" w:name="_Toc15377210"/>
      <w:r>
        <w:rPr>
          <w:rFonts w:hint="eastAsia" w:ascii="楷体_GB2312" w:eastAsia="楷体_GB2312" w:cs="楷体_GB2312"/>
          <w:b/>
          <w:bCs/>
          <w:sz w:val="32"/>
          <w:szCs w:val="32"/>
        </w:rPr>
        <w:t>（一）一般公共预算财政拨款支出决算总体情况</w:t>
      </w:r>
      <w:bookmarkEnd w:id="43"/>
    </w:p>
    <w:p>
      <w:pPr>
        <w:spacing w:line="560" w:lineRule="exact"/>
        <w:ind w:firstLine="640" w:firstLineChars="200"/>
        <w:rPr>
          <w:rFonts w:ascii="仿宋_GB2312" w:eastAsia="仿宋_GB2312" w:cs="仿宋_GB2312"/>
          <w:sz w:val="32"/>
          <w:szCs w:val="32"/>
        </w:rPr>
      </w:pPr>
      <w:bookmarkStart w:id="44" w:name="_Toc15377211"/>
      <w:r>
        <w:rPr>
          <w:rFonts w:hint="eastAsia" w:ascii="仿宋_GB2312" w:eastAsia="仿宋_GB2312" w:cs="仿宋_GB2312"/>
          <w:sz w:val="32"/>
          <w:szCs w:val="32"/>
        </w:rPr>
        <w:t xml:space="preserve">2021年一般公共预算财政拨款支出377.43万元，占本年支出合计的100.00%。与2020相比，一般公共预算财政拨款增加77.96万元，增长26.03 %。主要变动原因是人员变动，工资正常晋升。 </w:t>
      </w:r>
    </w:p>
    <w:p>
      <w:pPr>
        <w:spacing w:line="560" w:lineRule="exact"/>
        <w:jc w:val="center"/>
        <w:rPr>
          <w:rFonts w:ascii="仿宋_GB2312" w:eastAsia="仿宋_GB2312" w:cs="仿宋_GB2312"/>
          <w:sz w:val="32"/>
          <w:szCs w:val="32"/>
        </w:rPr>
      </w:pPr>
      <w:r>
        <w:rPr>
          <w:rFonts w:hint="eastAsia" w:ascii="仿宋_GB2312" w:eastAsia="仿宋_GB2312" w:cs="仿宋_GB2312"/>
          <w:sz w:val="32"/>
          <w:szCs w:val="32"/>
        </w:rPr>
        <w:t>（图5：一般公共预算财政拨款支出决算变动情况）</w:t>
      </w:r>
    </w:p>
    <w:p>
      <w:r>
        <w:rPr>
          <w:rFonts w:hint="eastAsia"/>
        </w:rPr>
        <w:drawing>
          <wp:anchor distT="0" distB="0" distL="0" distR="0" simplePos="0" relativeHeight="251663360" behindDoc="0" locked="0" layoutInCell="1" allowOverlap="1">
            <wp:simplePos x="0" y="0"/>
            <wp:positionH relativeFrom="column">
              <wp:posOffset>697865</wp:posOffset>
            </wp:positionH>
            <wp:positionV relativeFrom="paragraph">
              <wp:posOffset>112395</wp:posOffset>
            </wp:positionV>
            <wp:extent cx="4013200" cy="2439670"/>
            <wp:effectExtent l="4445" t="4445" r="20955" b="1333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560" w:lineRule="exact"/>
        <w:ind w:firstLine="321" w:firstLineChars="100"/>
        <w:rPr>
          <w:rFonts w:ascii="楷体_GB2312" w:eastAsia="楷体_GB2312" w:cs="楷体_GB2312"/>
          <w:b/>
          <w:bCs/>
          <w:sz w:val="32"/>
          <w:szCs w:val="32"/>
        </w:rPr>
      </w:pPr>
      <w:r>
        <w:rPr>
          <w:rFonts w:hint="eastAsia" w:ascii="楷体_GB2312" w:eastAsia="楷体_GB2312" w:cs="楷体_GB2312"/>
          <w:b/>
          <w:bCs/>
          <w:sz w:val="32"/>
          <w:szCs w:val="32"/>
        </w:rPr>
        <w:t>（二）一般公共预算财政拨款支出决算结构情况</w:t>
      </w:r>
      <w:bookmarkEnd w:id="44"/>
      <w:r>
        <w:rPr>
          <w:rFonts w:hint="eastAsia" w:ascii="楷体_GB2312" w:eastAsia="楷体_GB2312" w:cs="楷体_GB2312"/>
          <w:b/>
          <w:bCs/>
          <w:sz w:val="32"/>
          <w:szCs w:val="32"/>
        </w:rPr>
        <w:t>（一般公共预算收支表）</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2021年一般公共预算财政拨款支出377.43万元，主要用于以下方面:一般公共服务支出284.06万元，占75.26%；社会保障和就业支出43.99万元，占11.66%；卫生健康支出17.76万元，占4.71%；住房保障支出31.62万元，占8.37%。</w:t>
      </w:r>
    </w:p>
    <w:p>
      <w:pPr>
        <w:spacing w:line="560" w:lineRule="exact"/>
        <w:jc w:val="center"/>
        <w:rPr>
          <w:rFonts w:ascii="仿宋_GB2312" w:eastAsia="仿宋_GB2312" w:cs="仿宋_GB2312"/>
          <w:sz w:val="32"/>
          <w:szCs w:val="32"/>
        </w:rPr>
      </w:pPr>
      <w:r>
        <w:rPr>
          <w:rFonts w:hint="eastAsia" w:ascii="仿宋_GB2312" w:eastAsia="仿宋_GB2312" w:cs="仿宋_GB2312"/>
          <w:sz w:val="32"/>
          <w:szCs w:val="32"/>
        </w:rPr>
        <w:t>（图6：一般公共预算财政拨款支出决算结构）</w:t>
      </w:r>
      <w:bookmarkStart w:id="45" w:name="_Toc15377212"/>
    </w:p>
    <w:p>
      <w:pPr>
        <w:pStyle w:val="6"/>
      </w:pPr>
      <w:r>
        <w:drawing>
          <wp:anchor distT="0" distB="0" distL="0" distR="0" simplePos="0" relativeHeight="251664384" behindDoc="0" locked="0" layoutInCell="1" allowOverlap="1">
            <wp:simplePos x="0" y="0"/>
            <wp:positionH relativeFrom="column">
              <wp:posOffset>861060</wp:posOffset>
            </wp:positionH>
            <wp:positionV relativeFrom="paragraph">
              <wp:posOffset>37465</wp:posOffset>
            </wp:positionV>
            <wp:extent cx="3446780" cy="2146935"/>
            <wp:effectExtent l="4445" t="4445" r="15875" b="2032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560" w:lineRule="exact"/>
        <w:ind w:firstLine="642" w:firstLineChars="200"/>
        <w:rPr>
          <w:rFonts w:ascii="楷体_GB2312" w:eastAsia="楷体_GB2312" w:cs="楷体_GB2312"/>
          <w:b/>
          <w:bCs/>
          <w:sz w:val="32"/>
          <w:szCs w:val="32"/>
        </w:rPr>
      </w:pPr>
      <w:r>
        <w:rPr>
          <w:rFonts w:hint="eastAsia" w:ascii="楷体_GB2312" w:eastAsia="楷体_GB2312" w:cs="楷体_GB2312"/>
          <w:b/>
          <w:bCs/>
          <w:sz w:val="32"/>
          <w:szCs w:val="32"/>
        </w:rPr>
        <w:t>（三）一般公共预算财政拨款支出决算具体情况</w:t>
      </w:r>
      <w:bookmarkEnd w:id="45"/>
    </w:p>
    <w:p>
      <w:pPr>
        <w:spacing w:line="560" w:lineRule="exact"/>
        <w:ind w:firstLine="640" w:firstLineChars="200"/>
        <w:rPr>
          <w:rFonts w:ascii="仿宋_GB2312" w:eastAsia="仿宋_GB2312" w:cs="仿宋_GB2312"/>
          <w:sz w:val="32"/>
          <w:szCs w:val="32"/>
        </w:rPr>
      </w:pPr>
      <w:bookmarkStart w:id="46" w:name="_Toc15377213"/>
      <w:bookmarkStart w:id="47" w:name="_Toc15378460"/>
      <w:bookmarkStart w:id="48" w:name="_Toc15377444"/>
      <w:r>
        <w:rPr>
          <w:rFonts w:hint="eastAsia" w:ascii="仿宋_GB2312" w:eastAsia="仿宋_GB2312" w:cs="仿宋_GB2312"/>
          <w:sz w:val="32"/>
          <w:szCs w:val="32"/>
        </w:rPr>
        <w:t>2021年一般公共预算支出决算数为377.43万</w:t>
      </w:r>
      <w:r>
        <w:rPr>
          <w:rFonts w:hint="eastAsia" w:ascii="仿宋_GB2312" w:eastAsia="仿宋_GB2312" w:cs="仿宋_GB2312"/>
          <w:sz w:val="32"/>
          <w:szCs w:val="32"/>
          <w:lang w:eastAsia="zh-CN"/>
        </w:rPr>
        <w:t>元</w:t>
      </w:r>
      <w:r>
        <w:rPr>
          <w:rFonts w:hint="eastAsia" w:ascii="仿宋_GB2312" w:eastAsia="仿宋_GB2312" w:cs="仿宋_GB2312"/>
          <w:sz w:val="32"/>
          <w:szCs w:val="32"/>
        </w:rPr>
        <w:t>，完成预算100%。其中：</w:t>
      </w:r>
      <w:bookmarkEnd w:id="46"/>
      <w:bookmarkEnd w:id="47"/>
      <w:bookmarkEnd w:id="48"/>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1.一般公共服务支出（201）财政事务（20106）事业运行（2010650）支出决算284.06万元，完成预算100%。</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2.社会保障和就业支出（208）行政事业单位养老支出（20805）机关事业单位基本养老保险缴费支出（2080505）支出决算28.73万元，完成预算100%。</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3.社会保障和就业支出（208）行政事业单位养老支出（20805）机关事业单位职业年金缴费支出（2080506）支出决算15.26万元，完成预算100%。</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4.卫生健康支出（210）行政事业单位医疗（21011）事业单位医疗（2101102）支出决算17.76万元，完成预算100%。住房保障支出（221）住房改革支出（22102）住房公积金（2210201）支出决算31.62万元，完成预算100%。</w:t>
      </w:r>
    </w:p>
    <w:p>
      <w:pPr>
        <w:spacing w:line="560" w:lineRule="exact"/>
        <w:ind w:firstLine="640" w:firstLineChars="200"/>
        <w:rPr>
          <w:rFonts w:ascii="黑体" w:hAnsi="黑体" w:eastAsia="黑体" w:cs="黑体"/>
          <w:sz w:val="32"/>
          <w:szCs w:val="32"/>
        </w:rPr>
      </w:pPr>
      <w:bookmarkStart w:id="49" w:name="_Toc15377214"/>
      <w:bookmarkStart w:id="50" w:name="_Toc11728"/>
      <w:bookmarkStart w:id="51" w:name="_Toc111208504"/>
      <w:r>
        <w:rPr>
          <w:rFonts w:hint="eastAsia" w:ascii="黑体" w:hAnsi="黑体" w:eastAsia="黑体" w:cs="黑体"/>
          <w:sz w:val="32"/>
          <w:szCs w:val="32"/>
        </w:rPr>
        <w:t>六、一般公共预算财政拨款基本支出决算情况说</w:t>
      </w:r>
      <w:bookmarkEnd w:id="49"/>
      <w:r>
        <w:rPr>
          <w:rFonts w:hint="eastAsia" w:ascii="黑体" w:hAnsi="黑体" w:eastAsia="黑体" w:cs="黑体"/>
          <w:sz w:val="32"/>
          <w:szCs w:val="32"/>
        </w:rPr>
        <w:t>明</w:t>
      </w:r>
      <w:bookmarkEnd w:id="50"/>
      <w:bookmarkEnd w:id="51"/>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2021年一般公共预算财政拨款基本支出377.43万元，其中：</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人员经费361.22万元，主要包括：基本工资72.66万元、津贴补贴11.99万元、绩效工资179.19万元、机关事业单位基本养老保险缴费28.73万元、职业年金缴费15.26万元、职工基本医疗保险缴费17.76万元、其他社会保障缴费1.57万元、住房公积金31.62万元、医疗费2.44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公用经费16.21万元，主要包括：办公费11.66万元、邮电费0.50万元、差旅费4.05万元。</w:t>
      </w:r>
    </w:p>
    <w:p>
      <w:pPr>
        <w:spacing w:line="560" w:lineRule="exact"/>
        <w:ind w:firstLine="640" w:firstLineChars="200"/>
        <w:rPr>
          <w:rFonts w:ascii="黑体" w:hAnsi="黑体" w:eastAsia="黑体" w:cs="黑体"/>
          <w:sz w:val="32"/>
          <w:szCs w:val="32"/>
        </w:rPr>
      </w:pPr>
      <w:bookmarkStart w:id="52" w:name="_Toc30122"/>
      <w:bookmarkStart w:id="53" w:name="_Toc111208505"/>
      <w:bookmarkStart w:id="54" w:name="_Toc15377215"/>
      <w:r>
        <w:rPr>
          <w:rFonts w:hint="eastAsia" w:ascii="黑体" w:hAnsi="黑体" w:eastAsia="黑体" w:cs="黑体"/>
          <w:sz w:val="32"/>
          <w:szCs w:val="32"/>
        </w:rPr>
        <w:t>七、“三公”经费财政拨款支出决算情况说明</w:t>
      </w:r>
      <w:bookmarkEnd w:id="52"/>
      <w:bookmarkEnd w:id="53"/>
      <w:bookmarkEnd w:id="54"/>
    </w:p>
    <w:p>
      <w:pPr>
        <w:spacing w:line="560" w:lineRule="exact"/>
        <w:ind w:firstLine="642" w:firstLineChars="200"/>
        <w:rPr>
          <w:rFonts w:ascii="楷体_GB2312" w:eastAsia="楷体_GB2312" w:cs="楷体_GB2312"/>
          <w:b/>
          <w:bCs/>
          <w:sz w:val="32"/>
          <w:szCs w:val="32"/>
        </w:rPr>
      </w:pPr>
      <w:bookmarkStart w:id="55" w:name="_Toc15377216"/>
      <w:r>
        <w:rPr>
          <w:rFonts w:hint="eastAsia" w:ascii="楷体_GB2312" w:eastAsia="楷体_GB2312" w:cs="楷体_GB2312"/>
          <w:b/>
          <w:bCs/>
          <w:sz w:val="32"/>
          <w:szCs w:val="32"/>
        </w:rPr>
        <w:t>（一）“三公”经费财政拨款支出决算总体情况说明</w:t>
      </w:r>
      <w:bookmarkEnd w:id="55"/>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2021年“三公”经费财政拨款支出决算为0.00万元，完成预算0.00%。</w:t>
      </w:r>
      <w:bookmarkStart w:id="56" w:name="_Toc15377217"/>
    </w:p>
    <w:p>
      <w:pPr>
        <w:spacing w:line="560" w:lineRule="exact"/>
        <w:ind w:firstLine="642" w:firstLineChars="200"/>
        <w:rPr>
          <w:rFonts w:ascii="楷体_GB2312" w:eastAsia="楷体_GB2312" w:cs="楷体_GB2312"/>
          <w:b/>
          <w:bCs/>
          <w:sz w:val="32"/>
          <w:szCs w:val="32"/>
        </w:rPr>
      </w:pPr>
      <w:r>
        <w:rPr>
          <w:rFonts w:hint="eastAsia" w:ascii="楷体_GB2312" w:eastAsia="楷体_GB2312" w:cs="楷体_GB2312"/>
          <w:b/>
          <w:bCs/>
          <w:sz w:val="32"/>
          <w:szCs w:val="32"/>
        </w:rPr>
        <w:t>（二）“三公”经费财政拨款支出决算具体情况说明</w:t>
      </w:r>
      <w:bookmarkEnd w:id="56"/>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2021年“三公”经费财政拨款支出0.00万</w:t>
      </w:r>
      <w:r>
        <w:rPr>
          <w:rFonts w:hint="eastAsia" w:ascii="仿宋_GB2312" w:eastAsia="仿宋_GB2312" w:cs="仿宋_GB2312"/>
          <w:sz w:val="32"/>
          <w:szCs w:val="32"/>
          <w:lang w:eastAsia="zh-CN"/>
        </w:rPr>
        <w:t>元</w:t>
      </w:r>
      <w:bookmarkStart w:id="132" w:name="_GoBack"/>
      <w:bookmarkEnd w:id="132"/>
      <w:r>
        <w:rPr>
          <w:rFonts w:hint="eastAsia" w:ascii="仿宋_GB2312" w:eastAsia="仿宋_GB2312" w:cs="仿宋_GB2312"/>
          <w:sz w:val="32"/>
          <w:szCs w:val="32"/>
        </w:rPr>
        <w:t>，因公出国（境）费支出决算0.00万元，占0.00%；公务用车购置及运行维护费支出决算0.00万元，占0.00%；公务接待费支出决算0.00万元，占0.00%。具体情况如下：</w:t>
      </w:r>
    </w:p>
    <w:p>
      <w:pPr>
        <w:spacing w:line="570" w:lineRule="exact"/>
        <w:jc w:val="center"/>
        <w:rPr>
          <w:rFonts w:ascii="仿宋_GB2312" w:eastAsia="仿宋_GB2312" w:cs="仿宋_GB2312"/>
          <w:sz w:val="32"/>
          <w:szCs w:val="32"/>
        </w:rPr>
      </w:pPr>
    </w:p>
    <w:p>
      <w:pPr>
        <w:spacing w:line="570" w:lineRule="exact"/>
        <w:jc w:val="center"/>
        <w:rPr>
          <w:rFonts w:ascii="仿宋_GB2312" w:eastAsia="仿宋_GB2312" w:cs="仿宋_GB2312"/>
          <w:sz w:val="32"/>
          <w:szCs w:val="32"/>
        </w:rPr>
      </w:pPr>
      <w:r>
        <w:drawing>
          <wp:anchor distT="0" distB="0" distL="0" distR="0" simplePos="0" relativeHeight="251665408" behindDoc="0" locked="0" layoutInCell="1" allowOverlap="1">
            <wp:simplePos x="0" y="0"/>
            <wp:positionH relativeFrom="column">
              <wp:posOffset>1153160</wp:posOffset>
            </wp:positionH>
            <wp:positionV relativeFrom="paragraph">
              <wp:posOffset>474980</wp:posOffset>
            </wp:positionV>
            <wp:extent cx="2816225" cy="1374775"/>
            <wp:effectExtent l="0" t="0" r="3175" b="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eastAsia="仿宋_GB2312" w:cs="仿宋_GB2312"/>
          <w:sz w:val="32"/>
          <w:szCs w:val="32"/>
        </w:rPr>
        <w:t>（图7：“三公”经费财政拨款支出结构）</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1.因公出国（境）经费支出0.00万元,完成预算0%。全年安排因公出国（境）团组0次，出国（境）0人。因公出国（境）支出决算比2020年增加0.00万元，增长0.00%。 </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2.公务用车购置及运行维护费支出0.00万元,完成预算0.00%。公务用车购置及运行维护费支出决算比2020年增加0.00万元，增长0%。 </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其中：公务用车购置支出0.00万元。全年按规定更新购置公务用车0辆，其中：轿车0辆、金额0.00万元，越野车0辆、金额0.00万元，载客汽车0辆、金额0.00万元。截至2021年12月底，单位共有公务用车0辆，其中：轿车0辆、越野车0辆、载客汽车0辆。</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公务用车运行维护费支出0.00万元。 </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3.公务接待费支出0.00万元，完成预算0.00%。</w:t>
      </w:r>
      <w:bookmarkStart w:id="57" w:name="_Toc15377218"/>
      <w:r>
        <w:rPr>
          <w:rFonts w:hint="eastAsia" w:ascii="仿宋_GB2312" w:eastAsia="仿宋_GB2312" w:cs="仿宋_GB2312"/>
          <w:sz w:val="32"/>
          <w:szCs w:val="32"/>
        </w:rPr>
        <w:t>公务接待费支出决算比2020年减少0.15万元，下降100%。</w:t>
      </w:r>
      <w:r>
        <w:rPr>
          <w:rFonts w:hint="eastAsia" w:ascii="仿宋_GB2312" w:eastAsia="仿宋_GB2312" w:cs="仿宋_GB2312"/>
          <w:color w:val="000000"/>
          <w:sz w:val="32"/>
          <w:szCs w:val="32"/>
        </w:rPr>
        <w:t>主要原因是积极贯彻落实中央八项规定及省委省政府十项规定要求，加强公务接待日常管理。其中：</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4.国内公务接待支出0.00万元。国内公务接待0批次，0人次（不包括陪同人员），共计支出0.00万元。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外事接待支出0.00万元，外事接待0批次，0人，共计支出0.00万元。</w:t>
      </w:r>
    </w:p>
    <w:p>
      <w:pPr>
        <w:spacing w:line="560" w:lineRule="exact"/>
        <w:ind w:firstLine="640" w:firstLineChars="200"/>
        <w:rPr>
          <w:rFonts w:ascii="黑体" w:hAnsi="黑体" w:eastAsia="黑体" w:cs="黑体"/>
          <w:sz w:val="32"/>
          <w:szCs w:val="32"/>
        </w:rPr>
      </w:pPr>
      <w:bookmarkStart w:id="58" w:name="_Toc6961"/>
      <w:bookmarkStart w:id="59" w:name="_Toc111208506"/>
      <w:r>
        <w:rPr>
          <w:rFonts w:hint="eastAsia" w:ascii="黑体" w:hAnsi="黑体" w:eastAsia="黑体" w:cs="黑体"/>
          <w:sz w:val="32"/>
          <w:szCs w:val="32"/>
        </w:rPr>
        <w:t>八、政府性基金预算支出决算情况说明</w:t>
      </w:r>
      <w:bookmarkEnd w:id="57"/>
      <w:bookmarkEnd w:id="58"/>
      <w:bookmarkEnd w:id="59"/>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2021年政府性基金预算拨款支出0.00万元。</w:t>
      </w:r>
      <w:bookmarkStart w:id="60" w:name="_Toc15377219"/>
    </w:p>
    <w:p>
      <w:pPr>
        <w:spacing w:line="560" w:lineRule="exact"/>
        <w:ind w:firstLine="640" w:firstLineChars="200"/>
        <w:rPr>
          <w:rFonts w:ascii="黑体" w:hAnsi="黑体" w:eastAsia="黑体" w:cs="黑体"/>
          <w:sz w:val="32"/>
          <w:szCs w:val="32"/>
        </w:rPr>
      </w:pPr>
      <w:bookmarkStart w:id="61" w:name="_Toc111208507"/>
      <w:bookmarkStart w:id="62" w:name="_Toc29644"/>
      <w:r>
        <w:rPr>
          <w:rFonts w:hint="eastAsia" w:ascii="黑体" w:hAnsi="黑体" w:eastAsia="黑体" w:cs="黑体"/>
          <w:sz w:val="32"/>
          <w:szCs w:val="32"/>
        </w:rPr>
        <w:t>九、国有资本经营预算支出决算情况说明</w:t>
      </w:r>
      <w:bookmarkEnd w:id="60"/>
      <w:bookmarkEnd w:id="61"/>
      <w:bookmarkEnd w:id="62"/>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2021年国有资本经营预算拨款支出0.00万元。</w:t>
      </w:r>
    </w:p>
    <w:p>
      <w:pPr>
        <w:spacing w:line="560" w:lineRule="exact"/>
        <w:ind w:firstLine="640" w:firstLineChars="200"/>
        <w:rPr>
          <w:rFonts w:ascii="黑体" w:hAnsi="黑体" w:eastAsia="黑体" w:cs="黑体"/>
          <w:sz w:val="32"/>
          <w:szCs w:val="32"/>
        </w:rPr>
      </w:pPr>
      <w:bookmarkStart w:id="63" w:name="_Toc3354"/>
      <w:bookmarkStart w:id="64" w:name="_Toc15377221"/>
      <w:bookmarkStart w:id="65" w:name="_Toc111208508"/>
      <w:r>
        <w:rPr>
          <w:rFonts w:hint="eastAsia" w:ascii="黑体" w:hAnsi="黑体" w:eastAsia="黑体" w:cs="黑体"/>
          <w:sz w:val="32"/>
          <w:szCs w:val="32"/>
        </w:rPr>
        <w:t>十、其他重要事项的情况说明</w:t>
      </w:r>
      <w:bookmarkEnd w:id="63"/>
      <w:bookmarkEnd w:id="64"/>
      <w:bookmarkEnd w:id="65"/>
    </w:p>
    <w:p>
      <w:pPr>
        <w:spacing w:line="560" w:lineRule="exact"/>
        <w:ind w:firstLine="642" w:firstLineChars="200"/>
        <w:rPr>
          <w:rFonts w:ascii="楷体_GB2312" w:eastAsia="楷体_GB2312" w:cs="楷体_GB2312"/>
          <w:b/>
          <w:bCs/>
          <w:sz w:val="32"/>
          <w:szCs w:val="32"/>
        </w:rPr>
      </w:pPr>
      <w:bookmarkStart w:id="66" w:name="_Toc15377222"/>
      <w:r>
        <w:rPr>
          <w:rFonts w:hint="eastAsia" w:ascii="楷体_GB2312" w:eastAsia="楷体_GB2312" w:cs="楷体_GB2312"/>
          <w:b/>
          <w:bCs/>
          <w:sz w:val="32"/>
          <w:szCs w:val="32"/>
        </w:rPr>
        <w:t>（一）机关运行经费支出情况</w:t>
      </w:r>
      <w:bookmarkEnd w:id="66"/>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2021年，机关运行经费支出0.00万元，比2020年增加0.00万元，增长0 %。 </w:t>
      </w:r>
    </w:p>
    <w:p>
      <w:pPr>
        <w:spacing w:line="560" w:lineRule="exact"/>
        <w:ind w:firstLine="642" w:firstLineChars="200"/>
        <w:rPr>
          <w:rFonts w:ascii="楷体_GB2312" w:eastAsia="楷体_GB2312" w:cs="楷体_GB2312"/>
          <w:b/>
          <w:bCs/>
          <w:sz w:val="32"/>
          <w:szCs w:val="32"/>
        </w:rPr>
      </w:pPr>
      <w:bookmarkStart w:id="67" w:name="_Toc15377223"/>
      <w:r>
        <w:rPr>
          <w:rFonts w:hint="eastAsia" w:ascii="楷体_GB2312" w:eastAsia="楷体_GB2312" w:cs="楷体_GB2312"/>
          <w:b/>
          <w:bCs/>
          <w:sz w:val="32"/>
          <w:szCs w:val="32"/>
        </w:rPr>
        <w:t>（二）政府采购支出情况</w:t>
      </w:r>
      <w:bookmarkEnd w:id="67"/>
      <w:r>
        <w:rPr>
          <w:rFonts w:hint="eastAsia" w:ascii="楷体_GB2312" w:eastAsia="楷体_GB2312" w:cs="楷体_GB2312"/>
          <w:b/>
          <w:bCs/>
          <w:sz w:val="32"/>
          <w:szCs w:val="32"/>
        </w:rPr>
        <w:t>(机构运行信息表)</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政府采购支出总额0.00万元，其中：政府采购货物支出0.00万元、政府采购工程支出0.00万元、政府采购服务支出0.00万元。授予中小企业合同金额0.00万元，其中：授予小微企业合同金额0.00万元，占总合同的0.00%。</w:t>
      </w:r>
    </w:p>
    <w:p>
      <w:pPr>
        <w:spacing w:line="560" w:lineRule="exact"/>
        <w:ind w:firstLine="642" w:firstLineChars="200"/>
        <w:rPr>
          <w:rFonts w:ascii="楷体_GB2312" w:eastAsia="楷体_GB2312" w:cs="楷体_GB2312"/>
          <w:b/>
          <w:bCs/>
          <w:sz w:val="32"/>
          <w:szCs w:val="32"/>
        </w:rPr>
      </w:pPr>
      <w:bookmarkStart w:id="68" w:name="_Toc15377224"/>
      <w:r>
        <w:rPr>
          <w:rFonts w:hint="eastAsia" w:ascii="楷体_GB2312" w:eastAsia="楷体_GB2312" w:cs="楷体_GB2312"/>
          <w:b/>
          <w:bCs/>
          <w:sz w:val="32"/>
          <w:szCs w:val="32"/>
        </w:rPr>
        <w:t>（三）国有资产占有使用情况</w:t>
      </w:r>
      <w:bookmarkEnd w:id="68"/>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截至2021年12月31日，共有车辆0辆，其中：主要领导干部用车0辆、机要通信用车0辆、应急保障用车0辆、其他用车0辆。单价50万元以上通用设备0台（套），单价100万元以上专用设备0台（套）。</w:t>
      </w:r>
    </w:p>
    <w:p>
      <w:pPr>
        <w:spacing w:line="56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rPr>
        <w:t>（四）预算绩效管理情况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color w:val="000000"/>
          <w:sz w:val="32"/>
          <w:szCs w:val="32"/>
        </w:rPr>
        <w:t>本部门2021年不涉及项目绩效。</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val="zh-CN"/>
        </w:rPr>
        <w:t>根据预算绩效管理要求，我局对2021年部门整体支出开展绩效自评，从评价情况来看，我局部门整体支出绩效评价自查自评结果良好。2021年我局预算编制，实事求是，确保预算的准确性、及时性，全年基本保证了部门的正常运行和日常工作的正常开展，完成了全年的财政收支任务，绩效目标得到较好实现，绩效管理水平不断提高，绩效指标逐渐丰富和完善。</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《茂县财政局2021年部门整体支出绩效评价报告》见附件。</w:t>
      </w:r>
    </w:p>
    <w:p>
      <w:pPr>
        <w:widowControl/>
        <w:spacing w:line="560" w:lineRule="exact"/>
        <w:jc w:val="left"/>
        <w:rPr>
          <w:rFonts w:ascii="仿宋_GB2312" w:eastAsia="仿宋_GB2312"/>
          <w:b/>
          <w:color w:val="000000"/>
          <w:sz w:val="32"/>
          <w:szCs w:val="32"/>
        </w:rPr>
      </w:pPr>
      <w:r>
        <w:rPr>
          <w:rFonts w:ascii="仿宋_GB2312" w:eastAsia="仿宋_GB2312"/>
          <w:b/>
          <w:color w:val="000000"/>
          <w:sz w:val="32"/>
          <w:szCs w:val="32"/>
        </w:rPr>
        <w:br w:type="page"/>
      </w:r>
    </w:p>
    <w:p>
      <w:pPr>
        <w:spacing w:line="660" w:lineRule="exact"/>
        <w:jc w:val="center"/>
        <w:rPr>
          <w:rFonts w:ascii="方正小标宋简体" w:hAnsi="Calibri" w:eastAsia="方正小标宋简体"/>
          <w:sz w:val="44"/>
          <w:szCs w:val="44"/>
        </w:rPr>
      </w:pPr>
      <w:bookmarkStart w:id="69" w:name="_Toc111208509"/>
      <w:bookmarkStart w:id="70" w:name="_Toc7104"/>
      <w:bookmarkStart w:id="71" w:name="_Toc15377225"/>
      <w:r>
        <w:rPr>
          <w:rFonts w:hint="eastAsia" w:ascii="方正小标宋简体" w:hAnsi="Calibri" w:eastAsia="方正小标宋简体"/>
          <w:sz w:val="44"/>
          <w:szCs w:val="44"/>
        </w:rPr>
        <w:t>第三部分 名词解释</w:t>
      </w:r>
      <w:bookmarkEnd w:id="69"/>
      <w:bookmarkEnd w:id="70"/>
      <w:bookmarkEnd w:id="71"/>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1.财政拨款收入：指单位从同级财政部门取得的财政预算资金。</w:t>
      </w:r>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2.事业收入：指事业单位开展专业业务活动及辅助活动取得的收入。</w:t>
      </w:r>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3.经营收入：指事业单位在专业业务活动及其辅助活动之外开展非独立核算经营活动取得的收入</w:t>
      </w:r>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4.其他收入：指单位取得的除上述收入以外的各项收入。</w:t>
      </w:r>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6.年初结转和结余：指以前年度尚未完成、结转到本年按有关规定继续使用的资金。 </w:t>
      </w:r>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7.结余分配：指事业单位按照事业单位会计制度的规定从非财政补助结余中分配的事业基金和职工福利基金等。</w:t>
      </w:r>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8.年末结转和结余：指单位按有关规定结转到下年或以后年度继续使用的资金。</w:t>
      </w:r>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9.一般公共服务支出（201）财政事务（20106）事业运行（2010650）：反映事业单位的基本支出，不包括行政单位（包括实行公务员管理的事业单位）后勤服务中心、医务室等附属事业单位。</w:t>
      </w:r>
      <w:r>
        <w:rPr>
          <w:rFonts w:hint="eastAsia" w:ascii="仿宋_GB2312" w:eastAsia="仿宋_GB2312" w:cs="仿宋_GB2312"/>
          <w:sz w:val="32"/>
          <w:szCs w:val="32"/>
        </w:rPr>
        <w:br w:type="textWrapping"/>
      </w:r>
      <w:r>
        <w:rPr>
          <w:rFonts w:hint="eastAsia" w:ascii="仿宋_GB2312" w:eastAsia="仿宋_GB2312" w:cs="仿宋_GB2312"/>
          <w:sz w:val="32"/>
          <w:szCs w:val="32"/>
        </w:rPr>
        <w:tab/>
      </w:r>
      <w:r>
        <w:rPr>
          <w:rFonts w:hint="eastAsia" w:ascii="仿宋_GB2312" w:eastAsia="仿宋_GB2312" w:cs="仿宋_GB2312"/>
          <w:sz w:val="32"/>
          <w:szCs w:val="32"/>
        </w:rPr>
        <w:t>10.社会保障和就业支出（208）行政事业单位养老支出（20805）机关事业单位基本养老保险缴费支出（2080505）：反映机关事业单位实施养老保险制度由单位缴纳的基本养老保险费支出。</w:t>
      </w:r>
      <w:r>
        <w:rPr>
          <w:rFonts w:hint="eastAsia" w:ascii="仿宋_GB2312" w:eastAsia="仿宋_GB2312" w:cs="仿宋_GB2312"/>
          <w:sz w:val="32"/>
          <w:szCs w:val="32"/>
        </w:rPr>
        <w:br w:type="textWrapping"/>
      </w:r>
      <w:r>
        <w:rPr>
          <w:rFonts w:hint="eastAsia" w:ascii="仿宋_GB2312" w:eastAsia="仿宋_GB2312" w:cs="仿宋_GB2312"/>
          <w:sz w:val="32"/>
          <w:szCs w:val="32"/>
        </w:rPr>
        <w:tab/>
      </w:r>
      <w:r>
        <w:rPr>
          <w:rFonts w:hint="eastAsia" w:ascii="仿宋_GB2312" w:eastAsia="仿宋_GB2312" w:cs="仿宋_GB2312"/>
          <w:sz w:val="32"/>
          <w:szCs w:val="32"/>
        </w:rPr>
        <w:t>11.社会保障和就业支出（208）行政事业单位养老支出（20805）机关事业单位职业年金缴费支出（2080506）：反映机关事业单位实施养老保险制度由单位实际缴纳的职业年金支出。</w:t>
      </w:r>
      <w:r>
        <w:rPr>
          <w:rFonts w:hint="eastAsia" w:ascii="仿宋_GB2312" w:eastAsia="仿宋_GB2312" w:cs="仿宋_GB2312"/>
          <w:sz w:val="32"/>
          <w:szCs w:val="32"/>
        </w:rPr>
        <w:br w:type="textWrapping"/>
      </w:r>
      <w:r>
        <w:rPr>
          <w:rFonts w:hint="eastAsia" w:ascii="仿宋_GB2312" w:eastAsia="仿宋_GB2312" w:cs="仿宋_GB2312"/>
          <w:sz w:val="32"/>
          <w:szCs w:val="32"/>
        </w:rPr>
        <w:tab/>
      </w:r>
      <w:r>
        <w:rPr>
          <w:rFonts w:hint="eastAsia" w:ascii="仿宋_GB2312" w:eastAsia="仿宋_GB2312" w:cs="仿宋_GB2312"/>
          <w:sz w:val="32"/>
          <w:szCs w:val="32"/>
        </w:rPr>
        <w:t>12.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_GB2312" w:eastAsia="仿宋_GB2312" w:cs="仿宋_GB2312"/>
          <w:sz w:val="32"/>
          <w:szCs w:val="32"/>
        </w:rPr>
        <w:br w:type="textWrapping"/>
      </w:r>
      <w:r>
        <w:rPr>
          <w:rFonts w:hint="eastAsia" w:ascii="仿宋_GB2312" w:eastAsia="仿宋_GB2312" w:cs="仿宋_GB2312"/>
          <w:sz w:val="32"/>
          <w:szCs w:val="32"/>
        </w:rPr>
        <w:tab/>
      </w:r>
      <w:r>
        <w:rPr>
          <w:rFonts w:hint="eastAsia" w:ascii="仿宋_GB2312" w:eastAsia="仿宋_GB2312" w:cs="仿宋_GB2312"/>
          <w:sz w:val="32"/>
          <w:szCs w:val="32"/>
        </w:rPr>
        <w:t>13.住房保障支出（221）住房改革支出（22102）住房公积金（2210201）：反映行政事业单位按人力资源和社会保障部、财政部规定的基本工资和津贴补贴以及规定比例为职工缴纳的住房公积金。</w:t>
      </w:r>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14.基本支出：指为保障机构正常运转、完成日常工作任务而发生的人员支出和公用支出。</w:t>
      </w:r>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25.项目支出：指在基本支出之外为完成特定行政任务和事业发展目标所发生的支出。 </w:t>
      </w:r>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15.经营支出：指事业单位在专业业务活动及其辅助活动之外开展非独立核算经营活动发生的支出。</w:t>
      </w:r>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18.财政应返还额度：为行政事业单位会计核算科目，用于核算实行国库集中支付的行政事业单位应收财政返还的资金额度。</w:t>
      </w:r>
    </w:p>
    <w:p>
      <w:pPr>
        <w:widowControl/>
        <w:jc w:val="left"/>
        <w:rPr>
          <w:rStyle w:val="28"/>
          <w:rFonts w:ascii="黑体" w:hAnsi="黑体" w:eastAsia="黑体"/>
        </w:rPr>
      </w:pPr>
      <w:r>
        <w:rPr>
          <w:rStyle w:val="28"/>
          <w:rFonts w:ascii="黑体" w:hAnsi="黑体" w:eastAsia="黑体"/>
        </w:rPr>
        <w:br w:type="page"/>
      </w:r>
    </w:p>
    <w:p>
      <w:pPr>
        <w:pStyle w:val="3"/>
        <w:jc w:val="center"/>
        <w:rPr>
          <w:rFonts w:ascii="方正小标宋简体" w:hAnsi="Calibri" w:eastAsia="方正小标宋简体"/>
          <w:b w:val="0"/>
          <w:bCs w:val="0"/>
          <w:kern w:val="2"/>
        </w:rPr>
      </w:pPr>
      <w:bookmarkStart w:id="72" w:name="_Toc21585"/>
      <w:bookmarkStart w:id="73" w:name="_Toc111208510"/>
      <w:r>
        <w:rPr>
          <w:rFonts w:hint="eastAsia" w:ascii="方正小标宋简体" w:hAnsi="Calibri" w:eastAsia="方正小标宋简体"/>
          <w:b w:val="0"/>
          <w:bCs w:val="0"/>
          <w:kern w:val="2"/>
        </w:rPr>
        <w:t>第四部分 附件</w:t>
      </w:r>
      <w:bookmarkEnd w:id="72"/>
      <w:bookmarkEnd w:id="73"/>
      <w:bookmarkStart w:id="74" w:name="_Toc79163635"/>
      <w:bookmarkStart w:id="75" w:name="_Toc111208512"/>
      <w:bookmarkStart w:id="76" w:name="_Toc79163885"/>
    </w:p>
    <w:p>
      <w:pPr>
        <w:widowControl/>
        <w:spacing w:line="570" w:lineRule="exact"/>
        <w:contextualSpacing/>
        <w:jc w:val="center"/>
        <w:rPr>
          <w:rFonts w:ascii="方正小标宋简体" w:hAnsi="Calibri" w:eastAsia="方正小标宋简体"/>
          <w:sz w:val="44"/>
          <w:szCs w:val="44"/>
        </w:rPr>
      </w:pPr>
      <w:r>
        <w:rPr>
          <w:rFonts w:hint="eastAsia" w:ascii="方正小标宋简体" w:hAnsi="Calibri" w:eastAsia="方正小标宋简体"/>
          <w:sz w:val="44"/>
          <w:szCs w:val="44"/>
        </w:rPr>
        <w:t>茂县财政局</w:t>
      </w:r>
    </w:p>
    <w:p>
      <w:pPr>
        <w:widowControl/>
        <w:spacing w:line="570" w:lineRule="exact"/>
        <w:contextualSpacing/>
        <w:jc w:val="center"/>
        <w:rPr>
          <w:rFonts w:ascii="方正小标宋简体" w:hAnsi="Calibri" w:eastAsia="方正小标宋简体"/>
          <w:sz w:val="44"/>
          <w:szCs w:val="44"/>
        </w:rPr>
      </w:pPr>
      <w:r>
        <w:rPr>
          <w:rFonts w:hint="eastAsia" w:ascii="方正小标宋简体" w:hAnsi="Calibri" w:eastAsia="方正小标宋简体"/>
          <w:sz w:val="44"/>
          <w:szCs w:val="44"/>
        </w:rPr>
        <w:t>2021年部门整体支出绩效评价报告</w:t>
      </w:r>
    </w:p>
    <w:p>
      <w:pPr>
        <w:widowControl/>
        <w:spacing w:line="580" w:lineRule="exact"/>
        <w:contextualSpacing/>
        <w:jc w:val="center"/>
        <w:rPr>
          <w:rFonts w:ascii="宋体" w:hAnsi="宋体"/>
          <w:b/>
          <w:sz w:val="44"/>
          <w:szCs w:val="44"/>
          <w:shd w:val="clear" w:color="auto" w:fill="FFFFFF"/>
        </w:rPr>
      </w:pPr>
    </w:p>
    <w:p>
      <w:pPr>
        <w:spacing w:line="570"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部门（单位）概况</w:t>
      </w:r>
    </w:p>
    <w:p>
      <w:pPr>
        <w:spacing w:line="57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（一）机构组成</w:t>
      </w:r>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本部门属于事业机构，具体为财政评审中心。</w:t>
      </w:r>
    </w:p>
    <w:p>
      <w:pPr>
        <w:spacing w:line="57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（二）机构职能</w:t>
      </w:r>
    </w:p>
    <w:p>
      <w:pPr>
        <w:spacing w:line="57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贯彻执行国家有关财政投资评审的法律、法规和政策，草拟财政投资评审规章制度</w:t>
      </w:r>
      <w:r>
        <w:rPr>
          <w:rFonts w:hint="eastAsia" w:ascii="仿宋_GB2312" w:eastAsia="仿宋_GB2312" w:cs="仿宋_GB2312"/>
          <w:sz w:val="32"/>
          <w:szCs w:val="32"/>
          <w:lang w:eastAsia="zh-CN"/>
        </w:rPr>
        <w:t>。</w:t>
      </w:r>
    </w:p>
    <w:p>
      <w:pPr>
        <w:spacing w:line="57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具体管理财政投资评审业务，指导财政投资评审机构的工作</w:t>
      </w:r>
      <w:r>
        <w:rPr>
          <w:rFonts w:hint="eastAsia" w:ascii="仿宋_GB2312" w:eastAsia="仿宋_GB2312" w:cs="仿宋_GB2312"/>
          <w:sz w:val="32"/>
          <w:szCs w:val="32"/>
          <w:lang w:eastAsia="zh-CN"/>
        </w:rPr>
        <w:t>。</w:t>
      </w:r>
    </w:p>
    <w:p>
      <w:pPr>
        <w:spacing w:line="57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对评审工作中遇到的重大问题应及时向财政局报告</w:t>
      </w:r>
      <w:r>
        <w:rPr>
          <w:rFonts w:hint="eastAsia" w:ascii="仿宋_GB2312" w:eastAsia="仿宋_GB2312" w:cs="仿宋_GB2312"/>
          <w:sz w:val="32"/>
          <w:szCs w:val="32"/>
          <w:lang w:eastAsia="zh-CN"/>
        </w:rPr>
        <w:t>。</w:t>
      </w:r>
    </w:p>
    <w:p>
      <w:pPr>
        <w:spacing w:line="57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具体组织协调处理评审争议</w:t>
      </w:r>
      <w:r>
        <w:rPr>
          <w:rFonts w:hint="eastAsia" w:ascii="仿宋_GB2312" w:eastAsia="仿宋_GB2312" w:cs="仿宋_GB2312"/>
          <w:sz w:val="32"/>
          <w:szCs w:val="32"/>
          <w:lang w:eastAsia="zh-CN"/>
        </w:rPr>
        <w:t>。</w:t>
      </w:r>
    </w:p>
    <w:p>
      <w:pPr>
        <w:spacing w:line="57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对达不到评审条件，或者项目建设单位拒不配合的送审项目进行退审</w:t>
      </w:r>
      <w:r>
        <w:rPr>
          <w:rFonts w:hint="eastAsia" w:ascii="仿宋_GB2312" w:eastAsia="仿宋_GB2312" w:cs="仿宋_GB2312"/>
          <w:sz w:val="32"/>
          <w:szCs w:val="32"/>
          <w:lang w:eastAsia="zh-CN"/>
        </w:rPr>
        <w:t>。</w:t>
      </w:r>
    </w:p>
    <w:p>
      <w:pPr>
        <w:spacing w:line="57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根据实际需要对财政投资评审机构报送的投资评审报告进行抽查或复核</w:t>
      </w:r>
      <w:r>
        <w:rPr>
          <w:rFonts w:hint="eastAsia" w:ascii="仿宋_GB2312" w:eastAsia="仿宋_GB2312" w:cs="仿宋_GB2312"/>
          <w:sz w:val="32"/>
          <w:szCs w:val="32"/>
          <w:lang w:eastAsia="zh-CN"/>
        </w:rPr>
        <w:t>。</w:t>
      </w:r>
    </w:p>
    <w:p>
      <w:pPr>
        <w:spacing w:line="57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批复（批转）财政投资评审机构的评审报告</w:t>
      </w:r>
      <w:r>
        <w:rPr>
          <w:rFonts w:hint="eastAsia" w:ascii="仿宋_GB2312" w:eastAsia="仿宋_GB2312" w:cs="仿宋_GB2312"/>
          <w:sz w:val="32"/>
          <w:szCs w:val="32"/>
          <w:lang w:eastAsia="zh-CN"/>
        </w:rPr>
        <w:t>。</w:t>
      </w:r>
    </w:p>
    <w:p>
      <w:pPr>
        <w:spacing w:line="57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管理投资评审档案</w:t>
      </w:r>
      <w:r>
        <w:rPr>
          <w:rFonts w:hint="eastAsia" w:ascii="仿宋_GB2312" w:eastAsia="仿宋_GB2312" w:cs="仿宋_GB2312"/>
          <w:sz w:val="32"/>
          <w:szCs w:val="32"/>
          <w:lang w:eastAsia="zh-CN"/>
        </w:rPr>
        <w:t>。</w:t>
      </w:r>
    </w:p>
    <w:p>
      <w:pPr>
        <w:spacing w:line="57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其他评审相关工作。</w:t>
      </w:r>
    </w:p>
    <w:p>
      <w:pPr>
        <w:spacing w:line="57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rPr>
        <w:t>(三)</w:t>
      </w:r>
      <w:r>
        <w:rPr>
          <w:rFonts w:hint="eastAsia" w:ascii="楷体_GB2312" w:eastAsia="楷体_GB2312" w:cs="楷体_GB2312"/>
          <w:b/>
          <w:bCs/>
          <w:sz w:val="32"/>
          <w:szCs w:val="32"/>
          <w:lang w:val="zh-CN"/>
        </w:rPr>
        <w:t>人员概况</w:t>
      </w:r>
    </w:p>
    <w:p>
      <w:pPr>
        <w:spacing w:line="57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总编制27名,其中:事业编制27名，事业工勤编制0名。在职人员实有人数23名，其中：事业人员22名，事业工勤人员1名。离休人员1人，退休人员3人。</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spacing w:line="57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（一）部门财政资金收入情况</w:t>
      </w:r>
    </w:p>
    <w:p>
      <w:pPr>
        <w:spacing w:line="57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202</w:t>
      </w:r>
      <w:r>
        <w:rPr>
          <w:rFonts w:hint="eastAsia" w:ascii="仿宋_GB2312" w:eastAsia="仿宋_GB2312" w:cs="仿宋_GB2312"/>
          <w:sz w:val="32"/>
          <w:szCs w:val="32"/>
        </w:rPr>
        <w:t>1</w:t>
      </w:r>
      <w:r>
        <w:rPr>
          <w:rFonts w:hint="eastAsia" w:ascii="仿宋_GB2312" w:eastAsia="仿宋_GB2312" w:cs="仿宋_GB2312"/>
          <w:sz w:val="32"/>
          <w:szCs w:val="32"/>
          <w:lang w:val="zh-CN"/>
        </w:rPr>
        <w:t>年总收入</w:t>
      </w:r>
      <w:r>
        <w:rPr>
          <w:rFonts w:hint="eastAsia" w:ascii="仿宋_GB2312" w:eastAsia="仿宋_GB2312" w:cs="仿宋_GB2312"/>
          <w:sz w:val="32"/>
          <w:szCs w:val="32"/>
        </w:rPr>
        <w:t>377.43</w:t>
      </w:r>
      <w:r>
        <w:rPr>
          <w:rFonts w:hint="eastAsia" w:ascii="仿宋_GB2312" w:eastAsia="仿宋_GB2312" w:cs="仿宋_GB2312"/>
          <w:sz w:val="32"/>
          <w:szCs w:val="32"/>
          <w:lang w:val="zh-CN"/>
        </w:rPr>
        <w:t>万元，其中：财政拨款收入</w:t>
      </w:r>
      <w:r>
        <w:rPr>
          <w:rFonts w:hint="eastAsia" w:ascii="仿宋_GB2312" w:eastAsia="仿宋_GB2312" w:cs="仿宋_GB2312"/>
          <w:sz w:val="32"/>
          <w:szCs w:val="32"/>
        </w:rPr>
        <w:t>377.43</w:t>
      </w:r>
      <w:r>
        <w:rPr>
          <w:rFonts w:hint="eastAsia" w:ascii="仿宋_GB2312" w:eastAsia="仿宋_GB2312" w:cs="仿宋_GB2312"/>
          <w:sz w:val="32"/>
          <w:szCs w:val="32"/>
          <w:lang w:val="zh-CN"/>
        </w:rPr>
        <w:t>万元（人员经费</w:t>
      </w:r>
      <w:r>
        <w:rPr>
          <w:rFonts w:hint="eastAsia" w:ascii="仿宋_GB2312" w:eastAsia="仿宋_GB2312" w:cs="仿宋_GB2312"/>
          <w:sz w:val="32"/>
          <w:szCs w:val="32"/>
        </w:rPr>
        <w:t>361.22</w:t>
      </w:r>
      <w:r>
        <w:rPr>
          <w:rFonts w:hint="eastAsia" w:ascii="仿宋_GB2312" w:eastAsia="仿宋_GB2312" w:cs="仿宋_GB2312"/>
          <w:sz w:val="32"/>
          <w:szCs w:val="32"/>
          <w:lang w:val="zh-CN"/>
        </w:rPr>
        <w:t>万元，日常公用经费</w:t>
      </w:r>
      <w:r>
        <w:rPr>
          <w:rFonts w:hint="eastAsia" w:ascii="仿宋_GB2312" w:eastAsia="仿宋_GB2312" w:cs="仿宋_GB2312"/>
          <w:sz w:val="32"/>
          <w:szCs w:val="32"/>
        </w:rPr>
        <w:t>16.22</w:t>
      </w:r>
      <w:r>
        <w:rPr>
          <w:rFonts w:hint="eastAsia" w:ascii="仿宋_GB2312" w:eastAsia="仿宋_GB2312" w:cs="仿宋_GB2312"/>
          <w:sz w:val="32"/>
          <w:szCs w:val="32"/>
          <w:lang w:val="zh-CN"/>
        </w:rPr>
        <w:t>万元）。</w:t>
      </w:r>
    </w:p>
    <w:p>
      <w:pPr>
        <w:spacing w:line="57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（二）部门财政资金支出情况</w:t>
      </w:r>
    </w:p>
    <w:p>
      <w:pPr>
        <w:spacing w:line="57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202</w:t>
      </w:r>
      <w:r>
        <w:rPr>
          <w:rFonts w:hint="eastAsia" w:ascii="仿宋_GB2312" w:eastAsia="仿宋_GB2312" w:cs="仿宋_GB2312"/>
          <w:sz w:val="32"/>
          <w:szCs w:val="32"/>
        </w:rPr>
        <w:t>1</w:t>
      </w:r>
      <w:r>
        <w:rPr>
          <w:rFonts w:hint="eastAsia" w:ascii="仿宋_GB2312" w:eastAsia="仿宋_GB2312" w:cs="仿宋_GB2312"/>
          <w:sz w:val="32"/>
          <w:szCs w:val="32"/>
          <w:lang w:val="zh-CN"/>
        </w:rPr>
        <w:t>年部门总支出</w:t>
      </w:r>
      <w:r>
        <w:rPr>
          <w:rFonts w:hint="eastAsia" w:ascii="仿宋_GB2312" w:eastAsia="仿宋_GB2312" w:cs="仿宋_GB2312"/>
          <w:sz w:val="32"/>
          <w:szCs w:val="32"/>
        </w:rPr>
        <w:t>377.43</w:t>
      </w:r>
      <w:r>
        <w:rPr>
          <w:rFonts w:hint="eastAsia" w:ascii="仿宋_GB2312" w:eastAsia="仿宋_GB2312" w:cs="仿宋_GB2312"/>
          <w:sz w:val="32"/>
          <w:szCs w:val="32"/>
          <w:lang w:val="zh-CN"/>
        </w:rPr>
        <w:t>万元，按支出经济科目分类：工资福利支出</w:t>
      </w:r>
      <w:r>
        <w:rPr>
          <w:rFonts w:hint="eastAsia" w:ascii="仿宋_GB2312" w:eastAsia="仿宋_GB2312" w:cs="仿宋_GB2312"/>
          <w:sz w:val="32"/>
          <w:szCs w:val="32"/>
        </w:rPr>
        <w:t>361.22</w:t>
      </w:r>
      <w:r>
        <w:rPr>
          <w:rFonts w:hint="eastAsia" w:ascii="仿宋_GB2312" w:eastAsia="仿宋_GB2312" w:cs="仿宋_GB2312"/>
          <w:sz w:val="32"/>
          <w:szCs w:val="32"/>
          <w:lang w:val="zh-CN"/>
        </w:rPr>
        <w:t>万元，商品服务支出</w:t>
      </w:r>
      <w:r>
        <w:rPr>
          <w:rFonts w:hint="eastAsia" w:ascii="仿宋_GB2312" w:eastAsia="仿宋_GB2312" w:cs="仿宋_GB2312"/>
          <w:sz w:val="32"/>
          <w:szCs w:val="32"/>
        </w:rPr>
        <w:t>16.22</w:t>
      </w:r>
      <w:r>
        <w:rPr>
          <w:rFonts w:hint="eastAsia" w:ascii="仿宋_GB2312" w:eastAsia="仿宋_GB2312" w:cs="仿宋_GB2312"/>
          <w:sz w:val="32"/>
          <w:szCs w:val="32"/>
          <w:lang w:val="zh-CN"/>
        </w:rPr>
        <w:t>万元。</w:t>
      </w:r>
    </w:p>
    <w:p>
      <w:pPr>
        <w:spacing w:line="570"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三、部门整体预算绩效管理情况</w:t>
      </w:r>
    </w:p>
    <w:p>
      <w:pPr>
        <w:spacing w:line="57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（一）部门预算项目绩效管理</w:t>
      </w:r>
    </w:p>
    <w:p>
      <w:pPr>
        <w:spacing w:line="57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1.部门预算管理</w:t>
      </w:r>
    </w:p>
    <w:p>
      <w:pPr>
        <w:spacing w:line="57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根据《茂县财政局关于茂县县级2021-2023年中期财政规划和2021年部门预算编制的通知》（茂财发（20</w:t>
      </w:r>
      <w:r>
        <w:rPr>
          <w:rFonts w:hint="eastAsia" w:ascii="仿宋_GB2312" w:eastAsia="仿宋_GB2312" w:cs="仿宋_GB2312"/>
          <w:sz w:val="32"/>
          <w:szCs w:val="32"/>
        </w:rPr>
        <w:t>20</w:t>
      </w:r>
      <w:r>
        <w:rPr>
          <w:rFonts w:hint="eastAsia" w:ascii="仿宋_GB2312" w:eastAsia="仿宋_GB2312" w:cs="仿宋_GB2312"/>
          <w:sz w:val="32"/>
          <w:szCs w:val="32"/>
          <w:lang w:val="zh-CN"/>
        </w:rPr>
        <w:t>）7</w:t>
      </w:r>
      <w:r>
        <w:rPr>
          <w:rFonts w:hint="eastAsia" w:ascii="仿宋_GB2312" w:eastAsia="仿宋_GB2312" w:cs="仿宋_GB2312"/>
          <w:sz w:val="32"/>
          <w:szCs w:val="32"/>
        </w:rPr>
        <w:t>1</w:t>
      </w:r>
      <w:r>
        <w:rPr>
          <w:rFonts w:hint="eastAsia" w:ascii="仿宋_GB2312" w:eastAsia="仿宋_GB2312" w:cs="仿宋_GB2312"/>
          <w:sz w:val="32"/>
          <w:szCs w:val="32"/>
          <w:lang w:val="zh-CN"/>
        </w:rPr>
        <w:t>号）文件的范围、标准等编制部门预算；人员和公用支出预算按定员定额标准编制；202</w:t>
      </w:r>
      <w:r>
        <w:rPr>
          <w:rFonts w:hint="eastAsia" w:ascii="仿宋_GB2312" w:eastAsia="仿宋_GB2312" w:cs="仿宋_GB2312"/>
          <w:sz w:val="32"/>
          <w:szCs w:val="32"/>
        </w:rPr>
        <w:t>1</w:t>
      </w:r>
      <w:r>
        <w:rPr>
          <w:rFonts w:hint="eastAsia" w:ascii="仿宋_GB2312" w:eastAsia="仿宋_GB2312" w:cs="仿宋_GB2312"/>
          <w:sz w:val="32"/>
          <w:szCs w:val="32"/>
          <w:lang w:val="zh-CN"/>
        </w:rPr>
        <w:t>年预算在职职工</w:t>
      </w:r>
      <w:r>
        <w:rPr>
          <w:rFonts w:hint="eastAsia" w:ascii="仿宋_GB2312" w:eastAsia="仿宋_GB2312" w:cs="仿宋_GB2312"/>
          <w:sz w:val="32"/>
          <w:szCs w:val="32"/>
        </w:rPr>
        <w:t>23名，</w:t>
      </w:r>
      <w:r>
        <w:rPr>
          <w:rFonts w:hint="eastAsia" w:ascii="仿宋_GB2312" w:eastAsia="仿宋_GB2312" w:cs="仿宋_GB2312"/>
          <w:sz w:val="32"/>
          <w:szCs w:val="32"/>
          <w:lang w:val="zh-CN"/>
        </w:rPr>
        <w:t>2021年收入预算数</w:t>
      </w:r>
      <w:r>
        <w:rPr>
          <w:rFonts w:hint="eastAsia" w:ascii="仿宋_GB2312" w:eastAsia="仿宋_GB2312" w:cs="仿宋_GB2312"/>
          <w:sz w:val="32"/>
          <w:szCs w:val="32"/>
        </w:rPr>
        <w:t>259.75万元，</w:t>
      </w:r>
      <w:r>
        <w:rPr>
          <w:rFonts w:hint="eastAsia" w:ascii="仿宋_GB2312" w:eastAsia="仿宋_GB2312" w:cs="仿宋_GB2312"/>
          <w:sz w:val="32"/>
          <w:szCs w:val="32"/>
          <w:lang w:val="zh-CN"/>
        </w:rPr>
        <w:t>2021年支出预算数</w:t>
      </w:r>
      <w:r>
        <w:rPr>
          <w:rFonts w:hint="eastAsia" w:ascii="仿宋_GB2312" w:eastAsia="仿宋_GB2312" w:cs="仿宋_GB2312"/>
          <w:sz w:val="32"/>
          <w:szCs w:val="32"/>
        </w:rPr>
        <w:t>259.75万元，其中：人员经费243.17万元，公用经费16.58万元</w:t>
      </w:r>
      <w:r>
        <w:rPr>
          <w:rFonts w:hint="eastAsia" w:ascii="仿宋_GB2312" w:eastAsia="仿宋_GB2312" w:cs="仿宋_GB2312"/>
          <w:sz w:val="32"/>
          <w:szCs w:val="32"/>
          <w:lang w:val="zh-CN"/>
        </w:rPr>
        <w:t>。</w:t>
      </w:r>
    </w:p>
    <w:p>
      <w:pPr>
        <w:spacing w:line="57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2.</w:t>
      </w:r>
      <w:r>
        <w:rPr>
          <w:rFonts w:hint="eastAsia" w:ascii="仿宋_GB2312" w:eastAsia="仿宋_GB2312" w:cs="仿宋_GB2312"/>
          <w:sz w:val="32"/>
          <w:szCs w:val="32"/>
          <w:lang w:val="zh-CN"/>
        </w:rPr>
        <w:t>预算执行管理情况</w:t>
      </w:r>
    </w:p>
    <w:p>
      <w:pPr>
        <w:spacing w:line="57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202</w:t>
      </w:r>
      <w:r>
        <w:rPr>
          <w:rFonts w:hint="eastAsia" w:ascii="仿宋_GB2312" w:eastAsia="仿宋_GB2312" w:cs="仿宋_GB2312"/>
          <w:sz w:val="32"/>
          <w:szCs w:val="32"/>
        </w:rPr>
        <w:t>1</w:t>
      </w:r>
      <w:r>
        <w:rPr>
          <w:rFonts w:hint="eastAsia" w:ascii="仿宋_GB2312" w:eastAsia="仿宋_GB2312" w:cs="仿宋_GB2312"/>
          <w:sz w:val="32"/>
          <w:szCs w:val="32"/>
          <w:lang w:val="zh-CN"/>
        </w:rPr>
        <w:t>年年初预算收入</w:t>
      </w:r>
      <w:r>
        <w:rPr>
          <w:rFonts w:hint="eastAsia" w:ascii="仿宋_GB2312" w:eastAsia="仿宋_GB2312" w:cs="仿宋_GB2312"/>
          <w:sz w:val="32"/>
          <w:szCs w:val="32"/>
        </w:rPr>
        <w:t>259.75</w:t>
      </w:r>
      <w:r>
        <w:rPr>
          <w:rFonts w:hint="eastAsia" w:ascii="仿宋_GB2312" w:eastAsia="仿宋_GB2312" w:cs="仿宋_GB2312"/>
          <w:sz w:val="32"/>
          <w:szCs w:val="32"/>
          <w:lang w:val="zh-CN"/>
        </w:rPr>
        <w:t>万元</w:t>
      </w:r>
      <w:r>
        <w:rPr>
          <w:rFonts w:hint="eastAsia" w:ascii="仿宋_GB2312" w:eastAsia="仿宋_GB2312" w:cs="仿宋_GB2312"/>
          <w:sz w:val="32"/>
          <w:szCs w:val="32"/>
        </w:rPr>
        <w:t>，</w:t>
      </w:r>
      <w:r>
        <w:rPr>
          <w:rFonts w:hint="eastAsia" w:ascii="仿宋_GB2312" w:eastAsia="仿宋_GB2312" w:cs="仿宋_GB2312"/>
          <w:sz w:val="32"/>
          <w:szCs w:val="32"/>
          <w:lang w:val="zh-CN"/>
        </w:rPr>
        <w:t>调整预算收入</w:t>
      </w:r>
      <w:r>
        <w:rPr>
          <w:rFonts w:hint="eastAsia" w:ascii="仿宋_GB2312" w:eastAsia="仿宋_GB2312" w:cs="仿宋_GB2312"/>
          <w:sz w:val="32"/>
          <w:szCs w:val="32"/>
        </w:rPr>
        <w:t>377.43</w:t>
      </w:r>
      <w:r>
        <w:rPr>
          <w:rFonts w:hint="eastAsia" w:ascii="仿宋_GB2312" w:eastAsia="仿宋_GB2312" w:cs="仿宋_GB2312"/>
          <w:sz w:val="32"/>
          <w:szCs w:val="32"/>
          <w:lang w:val="zh-CN"/>
        </w:rPr>
        <w:t>万元，决算收入</w:t>
      </w:r>
      <w:r>
        <w:rPr>
          <w:rFonts w:hint="eastAsia" w:ascii="仿宋_GB2312" w:eastAsia="仿宋_GB2312" w:cs="仿宋_GB2312"/>
          <w:sz w:val="32"/>
          <w:szCs w:val="32"/>
        </w:rPr>
        <w:t>377.43</w:t>
      </w:r>
      <w:r>
        <w:rPr>
          <w:rFonts w:hint="eastAsia" w:ascii="仿宋_GB2312" w:eastAsia="仿宋_GB2312" w:cs="仿宋_GB2312"/>
          <w:sz w:val="32"/>
          <w:szCs w:val="32"/>
          <w:lang w:val="zh-CN"/>
        </w:rPr>
        <w:t>万元；年初预算支出</w:t>
      </w:r>
      <w:r>
        <w:rPr>
          <w:rFonts w:hint="eastAsia" w:ascii="仿宋_GB2312" w:eastAsia="仿宋_GB2312" w:cs="仿宋_GB2312"/>
          <w:sz w:val="32"/>
          <w:szCs w:val="32"/>
        </w:rPr>
        <w:t>259.75</w:t>
      </w:r>
      <w:r>
        <w:rPr>
          <w:rFonts w:hint="eastAsia" w:ascii="仿宋_GB2312" w:eastAsia="仿宋_GB2312" w:cs="仿宋_GB2312"/>
          <w:sz w:val="32"/>
          <w:szCs w:val="32"/>
          <w:lang w:val="zh-CN"/>
        </w:rPr>
        <w:t>万元，调整预算支出</w:t>
      </w:r>
      <w:r>
        <w:rPr>
          <w:rFonts w:hint="eastAsia" w:ascii="仿宋_GB2312" w:eastAsia="仿宋_GB2312" w:cs="仿宋_GB2312"/>
          <w:sz w:val="32"/>
          <w:szCs w:val="32"/>
        </w:rPr>
        <w:t>377.43</w:t>
      </w:r>
      <w:r>
        <w:rPr>
          <w:rFonts w:hint="eastAsia" w:ascii="仿宋_GB2312" w:eastAsia="仿宋_GB2312" w:cs="仿宋_GB2312"/>
          <w:sz w:val="32"/>
          <w:szCs w:val="32"/>
          <w:lang w:val="zh-CN"/>
        </w:rPr>
        <w:t>万元，决算支出</w:t>
      </w:r>
      <w:r>
        <w:rPr>
          <w:rFonts w:hint="eastAsia" w:ascii="仿宋_GB2312" w:eastAsia="仿宋_GB2312" w:cs="仿宋_GB2312"/>
          <w:sz w:val="32"/>
          <w:szCs w:val="32"/>
        </w:rPr>
        <w:t>377.43</w:t>
      </w:r>
      <w:r>
        <w:rPr>
          <w:rFonts w:hint="eastAsia" w:ascii="仿宋_GB2312" w:eastAsia="仿宋_GB2312" w:cs="仿宋_GB2312"/>
          <w:sz w:val="32"/>
          <w:szCs w:val="32"/>
          <w:lang w:val="zh-CN"/>
        </w:rPr>
        <w:t>万元；公用经费年初预算支出</w:t>
      </w:r>
      <w:r>
        <w:rPr>
          <w:rFonts w:hint="eastAsia" w:ascii="仿宋_GB2312" w:eastAsia="仿宋_GB2312" w:cs="仿宋_GB2312"/>
          <w:sz w:val="32"/>
          <w:szCs w:val="32"/>
        </w:rPr>
        <w:t>16.58</w:t>
      </w:r>
      <w:r>
        <w:rPr>
          <w:rFonts w:hint="eastAsia" w:ascii="仿宋_GB2312" w:eastAsia="仿宋_GB2312" w:cs="仿宋_GB2312"/>
          <w:sz w:val="32"/>
          <w:szCs w:val="32"/>
          <w:lang w:val="zh-CN"/>
        </w:rPr>
        <w:t>万元，决算支出</w:t>
      </w:r>
      <w:r>
        <w:rPr>
          <w:rFonts w:hint="eastAsia" w:ascii="仿宋_GB2312" w:eastAsia="仿宋_GB2312" w:cs="仿宋_GB2312"/>
          <w:sz w:val="32"/>
          <w:szCs w:val="32"/>
        </w:rPr>
        <w:t>16.22</w:t>
      </w:r>
      <w:r>
        <w:rPr>
          <w:rFonts w:hint="eastAsia" w:ascii="仿宋_GB2312" w:eastAsia="仿宋_GB2312" w:cs="仿宋_GB2312"/>
          <w:sz w:val="32"/>
          <w:szCs w:val="32"/>
          <w:lang w:val="zh-CN"/>
        </w:rPr>
        <w:t>万元，节约率</w:t>
      </w:r>
      <w:r>
        <w:rPr>
          <w:rFonts w:hint="eastAsia" w:ascii="仿宋_GB2312" w:eastAsia="仿宋_GB2312" w:cs="仿宋_GB2312"/>
          <w:sz w:val="32"/>
          <w:szCs w:val="32"/>
        </w:rPr>
        <w:t>2.21</w:t>
      </w:r>
      <w:r>
        <w:rPr>
          <w:rFonts w:hint="eastAsia" w:ascii="仿宋_GB2312" w:eastAsia="仿宋_GB2312" w:cs="仿宋_GB2312"/>
          <w:sz w:val="32"/>
          <w:szCs w:val="32"/>
          <w:lang w:val="zh-CN"/>
        </w:rPr>
        <w:t>%。</w:t>
      </w:r>
    </w:p>
    <w:p>
      <w:pPr>
        <w:spacing w:line="57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rPr>
        <w:t>3.</w:t>
      </w:r>
      <w:r>
        <w:rPr>
          <w:rFonts w:hint="eastAsia" w:ascii="仿宋_GB2312" w:eastAsia="仿宋_GB2312" w:cs="仿宋_GB2312"/>
          <w:sz w:val="32"/>
          <w:szCs w:val="32"/>
          <w:lang w:val="zh-CN"/>
        </w:rPr>
        <w:t>绩效目标完成情况</w:t>
      </w:r>
    </w:p>
    <w:p>
      <w:pPr>
        <w:spacing w:line="57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根据预算绩效管理要求，我局对2021年部门整体支出开展绩效自评，从评价情况来看，我局部门整体支出绩效评价自查自评结果良好。2021年我局预算编制，实事求是，确保预算的准确性、及时性，全年基本保证了部门的正常运行和日常工作的正常开展，完成了全年的财政收支任务，绩效目标得到较好实现，绩效管理水平不断提高，绩效指标逐渐丰富和完善。</w:t>
      </w:r>
    </w:p>
    <w:p>
      <w:pPr>
        <w:spacing w:line="57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（二）结果应用情况</w:t>
      </w:r>
    </w:p>
    <w:p>
      <w:pPr>
        <w:spacing w:line="600" w:lineRule="exact"/>
        <w:ind w:firstLine="640"/>
        <w:rPr>
          <w:rFonts w:ascii="仿宋" w:hAnsi="仿宋" w:eastAsia="仿宋"/>
          <w:color w:val="000000"/>
          <w:sz w:val="32"/>
          <w:szCs w:val="32"/>
          <w:lang w:val="zh-CN"/>
        </w:rPr>
      </w:pPr>
      <w:r>
        <w:rPr>
          <w:rFonts w:hint="eastAsia" w:ascii="仿宋" w:hAnsi="仿宋" w:eastAsia="仿宋"/>
          <w:color w:val="000000"/>
          <w:sz w:val="32"/>
          <w:szCs w:val="32"/>
          <w:lang w:val="zh-CN"/>
        </w:rPr>
        <w:t>根据预算绩效管理要求，我单位对202</w:t>
      </w:r>
      <w:r>
        <w:rPr>
          <w:rFonts w:hint="eastAsia" w:ascii="仿宋" w:hAnsi="仿宋" w:eastAsia="仿宋"/>
          <w:color w:val="000000"/>
          <w:sz w:val="32"/>
          <w:szCs w:val="32"/>
        </w:rPr>
        <w:t>1</w:t>
      </w:r>
      <w:r>
        <w:rPr>
          <w:rFonts w:hint="eastAsia" w:ascii="仿宋" w:hAnsi="仿宋" w:eastAsia="仿宋"/>
          <w:color w:val="000000"/>
          <w:sz w:val="32"/>
          <w:szCs w:val="32"/>
          <w:lang w:val="zh-CN"/>
        </w:rPr>
        <w:t>年部门预算、决算和目标绩效情况进行公开，进一步强化了预算绩效管理，提升绩效管理水平。</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spacing w:line="57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（一）评价结论</w:t>
      </w:r>
    </w:p>
    <w:p>
      <w:pPr>
        <w:spacing w:line="600" w:lineRule="exact"/>
        <w:ind w:firstLine="640"/>
        <w:rPr>
          <w:rFonts w:ascii="仿宋" w:hAnsi="仿宋" w:eastAsia="仿宋"/>
          <w:color w:val="000000"/>
          <w:sz w:val="32"/>
          <w:szCs w:val="32"/>
          <w:lang w:val="zh-CN"/>
        </w:rPr>
      </w:pPr>
      <w:r>
        <w:rPr>
          <w:rFonts w:hint="eastAsia" w:ascii="仿宋" w:hAnsi="仿宋" w:eastAsia="仿宋"/>
          <w:color w:val="000000"/>
          <w:sz w:val="32"/>
          <w:szCs w:val="32"/>
          <w:lang w:val="zh-CN"/>
        </w:rPr>
        <w:t>按照2021年部门支出绩效评价指标体系结合年初预算设定的绩效目标完成情况进行自评打分，自评情况和年初绩效目标完成情况进行了汇总，最后我局自评得分</w:t>
      </w:r>
      <w:r>
        <w:rPr>
          <w:rFonts w:hint="eastAsia" w:ascii="仿宋" w:hAnsi="仿宋" w:eastAsia="仿宋"/>
          <w:color w:val="000000"/>
          <w:sz w:val="32"/>
          <w:szCs w:val="32"/>
        </w:rPr>
        <w:t>87</w:t>
      </w:r>
      <w:r>
        <w:rPr>
          <w:rFonts w:hint="eastAsia" w:ascii="仿宋" w:hAnsi="仿宋" w:eastAsia="仿宋"/>
          <w:color w:val="000000"/>
          <w:sz w:val="32"/>
          <w:szCs w:val="32"/>
          <w:lang w:val="zh-CN"/>
        </w:rPr>
        <w:t>分。</w:t>
      </w:r>
    </w:p>
    <w:p>
      <w:pPr>
        <w:spacing w:line="57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（二）存在问题</w:t>
      </w:r>
    </w:p>
    <w:p>
      <w:pPr>
        <w:spacing w:line="600" w:lineRule="exact"/>
        <w:ind w:firstLine="640"/>
        <w:rPr>
          <w:rFonts w:ascii="仿宋" w:hAnsi="仿宋" w:eastAsia="仿宋"/>
          <w:color w:val="000000"/>
          <w:sz w:val="32"/>
          <w:szCs w:val="32"/>
          <w:lang w:val="zh-CN"/>
        </w:rPr>
      </w:pPr>
      <w:r>
        <w:rPr>
          <w:rFonts w:hint="eastAsia" w:ascii="仿宋" w:hAnsi="仿宋" w:eastAsia="仿宋"/>
          <w:color w:val="000000"/>
          <w:sz w:val="32"/>
          <w:szCs w:val="32"/>
          <w:lang w:val="zh-CN"/>
        </w:rPr>
        <w:t>预算编制绩效目标设置管理需进一步加强。</w:t>
      </w:r>
    </w:p>
    <w:p>
      <w:pPr>
        <w:spacing w:line="570" w:lineRule="exact"/>
        <w:ind w:firstLine="642" w:firstLineChars="200"/>
        <w:rPr>
          <w:rFonts w:ascii="楷体_GB2312" w:eastAsia="楷体_GB2312" w:cs="楷体_GB2312"/>
          <w:b/>
          <w:bCs/>
          <w:sz w:val="32"/>
          <w:szCs w:val="32"/>
          <w:lang w:val="zh-CN"/>
        </w:rPr>
      </w:pPr>
      <w:r>
        <w:rPr>
          <w:rFonts w:hint="eastAsia" w:ascii="楷体_GB2312" w:eastAsia="楷体_GB2312" w:cs="楷体_GB2312"/>
          <w:b/>
          <w:bCs/>
          <w:sz w:val="32"/>
          <w:szCs w:val="32"/>
          <w:lang w:val="zh-CN"/>
        </w:rPr>
        <w:t>（三）改进建议</w:t>
      </w:r>
    </w:p>
    <w:p>
      <w:pPr>
        <w:spacing w:line="600" w:lineRule="exact"/>
        <w:ind w:firstLine="640"/>
        <w:rPr>
          <w:rFonts w:ascii="仿宋" w:hAnsi="仿宋" w:eastAsia="仿宋"/>
          <w:color w:val="000000"/>
          <w:sz w:val="32"/>
          <w:szCs w:val="32"/>
          <w:lang w:val="zh-CN"/>
        </w:rPr>
      </w:pPr>
      <w:r>
        <w:rPr>
          <w:rFonts w:hint="eastAsia" w:ascii="仿宋" w:hAnsi="仿宋" w:eastAsia="仿宋"/>
          <w:color w:val="000000"/>
          <w:sz w:val="32"/>
          <w:szCs w:val="32"/>
          <w:lang w:val="zh-CN"/>
        </w:rPr>
        <w:t>针对存在的问题，加强《预算法》《预算法实施条例》《政府会计制度》等业务知识学习，提高业务能力，强化绩效目标管理，科学设置绩效目标，加强部门预算收支执行管理，提高资金使用效益。</w:t>
      </w:r>
    </w:p>
    <w:p>
      <w:pPr>
        <w:widowControl/>
        <w:adjustRightInd w:val="0"/>
        <w:snapToGrid w:val="0"/>
        <w:spacing w:line="570" w:lineRule="exact"/>
        <w:contextualSpacing/>
        <w:jc w:val="left"/>
        <w:rPr>
          <w:rFonts w:ascii="仿宋_GB2312" w:hAnsi="宋体" w:cs="宋体"/>
          <w:color w:val="000000"/>
          <w:kern w:val="0"/>
          <w:szCs w:val="32"/>
          <w:shd w:val="clear" w:color="auto" w:fill="FFFFFF"/>
        </w:rPr>
      </w:pPr>
    </w:p>
    <w:p>
      <w:pPr>
        <w:pStyle w:val="3"/>
        <w:jc w:val="center"/>
        <w:rPr>
          <w:rFonts w:ascii="方正小标宋简体" w:hAnsi="Calibri" w:eastAsia="方正小标宋简体"/>
          <w:b w:val="0"/>
          <w:bCs w:val="0"/>
          <w:kern w:val="2"/>
        </w:rPr>
      </w:pPr>
      <w:bookmarkStart w:id="77" w:name="_Toc24711"/>
    </w:p>
    <w:p>
      <w:pPr>
        <w:pStyle w:val="3"/>
        <w:jc w:val="center"/>
        <w:rPr>
          <w:rFonts w:ascii="方正小标宋简体" w:hAnsi="Calibri" w:eastAsia="方正小标宋简体"/>
          <w:b w:val="0"/>
          <w:bCs w:val="0"/>
          <w:kern w:val="2"/>
        </w:rPr>
      </w:pPr>
    </w:p>
    <w:p>
      <w:pPr>
        <w:pStyle w:val="3"/>
        <w:jc w:val="center"/>
        <w:rPr>
          <w:rFonts w:ascii="方正小标宋简体" w:hAnsi="Calibri" w:eastAsia="方正小标宋简体"/>
          <w:b w:val="0"/>
          <w:bCs w:val="0"/>
          <w:kern w:val="2"/>
        </w:rPr>
      </w:pPr>
    </w:p>
    <w:p>
      <w:pPr>
        <w:pStyle w:val="3"/>
        <w:jc w:val="center"/>
        <w:rPr>
          <w:rFonts w:ascii="方正小标宋简体" w:hAnsi="Calibri" w:eastAsia="方正小标宋简体"/>
          <w:b w:val="0"/>
          <w:bCs w:val="0"/>
          <w:kern w:val="2"/>
        </w:rPr>
      </w:pPr>
    </w:p>
    <w:p>
      <w:pPr>
        <w:rPr>
          <w:rFonts w:ascii="方正小标宋简体" w:hAnsi="Calibri" w:eastAsia="方正小标宋简体"/>
          <w:sz w:val="44"/>
          <w:szCs w:val="44"/>
        </w:rPr>
      </w:pPr>
    </w:p>
    <w:p>
      <w:pPr>
        <w:pStyle w:val="2"/>
        <w:spacing w:before="93"/>
        <w:rPr>
          <w:rFonts w:ascii="方正小标宋简体" w:hAnsi="Calibri" w:eastAsia="方正小标宋简体"/>
          <w:kern w:val="2"/>
          <w:sz w:val="44"/>
          <w:szCs w:val="44"/>
        </w:rPr>
      </w:pPr>
    </w:p>
    <w:p>
      <w:pPr>
        <w:pStyle w:val="2"/>
        <w:spacing w:before="93"/>
        <w:rPr>
          <w:rFonts w:ascii="方正小标宋简体" w:hAnsi="Calibri" w:eastAsia="方正小标宋简体"/>
          <w:kern w:val="2"/>
          <w:sz w:val="44"/>
          <w:szCs w:val="44"/>
        </w:rPr>
      </w:pPr>
    </w:p>
    <w:p>
      <w:pPr>
        <w:pStyle w:val="2"/>
        <w:spacing w:before="93"/>
        <w:rPr>
          <w:rFonts w:ascii="方正小标宋简体" w:hAnsi="Calibri" w:eastAsia="方正小标宋简体"/>
          <w:kern w:val="2"/>
          <w:sz w:val="44"/>
          <w:szCs w:val="44"/>
        </w:rPr>
      </w:pPr>
    </w:p>
    <w:p>
      <w:pPr>
        <w:pStyle w:val="2"/>
        <w:spacing w:before="93"/>
        <w:rPr>
          <w:rFonts w:ascii="方正小标宋简体" w:hAnsi="Calibri" w:eastAsia="方正小标宋简体"/>
          <w:kern w:val="2"/>
          <w:sz w:val="44"/>
          <w:szCs w:val="44"/>
        </w:rPr>
      </w:pPr>
    </w:p>
    <w:p>
      <w:pPr>
        <w:pStyle w:val="2"/>
        <w:spacing w:before="93"/>
        <w:rPr>
          <w:rFonts w:ascii="方正小标宋简体" w:hAnsi="Calibri" w:eastAsia="方正小标宋简体"/>
          <w:kern w:val="2"/>
          <w:sz w:val="44"/>
          <w:szCs w:val="44"/>
        </w:rPr>
      </w:pPr>
    </w:p>
    <w:p>
      <w:pPr>
        <w:pStyle w:val="3"/>
        <w:jc w:val="center"/>
        <w:rPr>
          <w:rFonts w:ascii="黑体" w:hAnsi="黑体" w:eastAsia="黑体" w:cs="黑体"/>
        </w:rPr>
      </w:pPr>
      <w:r>
        <w:rPr>
          <w:rFonts w:hint="eastAsia" w:ascii="方正小标宋简体" w:hAnsi="Calibri" w:eastAsia="方正小标宋简体"/>
          <w:b w:val="0"/>
          <w:bCs w:val="0"/>
          <w:kern w:val="2"/>
        </w:rPr>
        <w:t>第五部分 附表</w:t>
      </w:r>
      <w:bookmarkEnd w:id="74"/>
      <w:bookmarkEnd w:id="75"/>
      <w:bookmarkEnd w:id="76"/>
      <w:bookmarkEnd w:id="77"/>
    </w:p>
    <w:p>
      <w:pPr>
        <w:spacing w:line="570" w:lineRule="exact"/>
        <w:ind w:firstLine="640" w:firstLineChars="200"/>
        <w:rPr>
          <w:rFonts w:ascii="黑体" w:hAnsi="黑体" w:eastAsia="黑体" w:cs="黑体"/>
          <w:sz w:val="32"/>
          <w:szCs w:val="32"/>
        </w:rPr>
      </w:pPr>
      <w:bookmarkStart w:id="78" w:name="_Toc79163636"/>
      <w:bookmarkStart w:id="79" w:name="_Toc111208513"/>
      <w:bookmarkStart w:id="80" w:name="_Toc79163886"/>
      <w:bookmarkStart w:id="81" w:name="_Toc12248"/>
      <w:r>
        <w:rPr>
          <w:rFonts w:hint="eastAsia" w:ascii="黑体" w:hAnsi="黑体" w:eastAsia="黑体" w:cs="黑体"/>
          <w:sz w:val="32"/>
          <w:szCs w:val="32"/>
        </w:rPr>
        <w:t>一、收入支出决算总表</w:t>
      </w:r>
      <w:bookmarkEnd w:id="78"/>
      <w:bookmarkEnd w:id="79"/>
      <w:bookmarkEnd w:id="80"/>
      <w:bookmarkEnd w:id="81"/>
    </w:p>
    <w:p>
      <w:pPr>
        <w:spacing w:line="570" w:lineRule="exact"/>
        <w:ind w:firstLine="640" w:firstLineChars="200"/>
        <w:rPr>
          <w:rFonts w:ascii="黑体" w:hAnsi="黑体" w:eastAsia="黑体" w:cs="黑体"/>
          <w:sz w:val="32"/>
          <w:szCs w:val="32"/>
        </w:rPr>
      </w:pPr>
      <w:bookmarkStart w:id="82" w:name="_Toc79163637"/>
      <w:bookmarkStart w:id="83" w:name="_Toc25852"/>
      <w:bookmarkStart w:id="84" w:name="_Toc111208514"/>
      <w:bookmarkStart w:id="85" w:name="_Toc79163887"/>
      <w:r>
        <w:rPr>
          <w:rFonts w:hint="eastAsia" w:ascii="黑体" w:hAnsi="黑体" w:eastAsia="黑体" w:cs="黑体"/>
          <w:sz w:val="32"/>
          <w:szCs w:val="32"/>
        </w:rPr>
        <w:t>二、收入决算表</w:t>
      </w:r>
      <w:bookmarkEnd w:id="82"/>
      <w:bookmarkEnd w:id="83"/>
      <w:bookmarkEnd w:id="84"/>
      <w:bookmarkEnd w:id="85"/>
    </w:p>
    <w:p>
      <w:pPr>
        <w:spacing w:line="570" w:lineRule="exact"/>
        <w:ind w:firstLine="640" w:firstLineChars="200"/>
        <w:rPr>
          <w:rFonts w:ascii="黑体" w:hAnsi="黑体" w:eastAsia="黑体" w:cs="黑体"/>
          <w:sz w:val="32"/>
          <w:szCs w:val="32"/>
        </w:rPr>
      </w:pPr>
      <w:bookmarkStart w:id="86" w:name="_Toc111208515"/>
      <w:bookmarkStart w:id="87" w:name="_Toc79163638"/>
      <w:bookmarkStart w:id="88" w:name="_Toc8058"/>
      <w:bookmarkStart w:id="89" w:name="_Toc79163888"/>
      <w:r>
        <w:rPr>
          <w:rFonts w:hint="eastAsia" w:ascii="黑体" w:hAnsi="黑体" w:eastAsia="黑体" w:cs="黑体"/>
          <w:sz w:val="32"/>
          <w:szCs w:val="32"/>
        </w:rPr>
        <w:t>三、支出决算表</w:t>
      </w:r>
      <w:bookmarkEnd w:id="86"/>
      <w:bookmarkEnd w:id="87"/>
      <w:bookmarkEnd w:id="88"/>
      <w:bookmarkEnd w:id="89"/>
    </w:p>
    <w:p>
      <w:pPr>
        <w:spacing w:line="570" w:lineRule="exact"/>
        <w:ind w:firstLine="640" w:firstLineChars="200"/>
        <w:rPr>
          <w:rFonts w:ascii="黑体" w:hAnsi="黑体" w:eastAsia="黑体" w:cs="黑体"/>
          <w:sz w:val="32"/>
          <w:szCs w:val="32"/>
        </w:rPr>
      </w:pPr>
      <w:bookmarkStart w:id="90" w:name="_Toc79163889"/>
      <w:bookmarkStart w:id="91" w:name="_Toc111208516"/>
      <w:bookmarkStart w:id="92" w:name="_Toc22704"/>
      <w:bookmarkStart w:id="93" w:name="_Toc79163639"/>
      <w:r>
        <w:rPr>
          <w:rFonts w:hint="eastAsia" w:ascii="黑体" w:hAnsi="黑体" w:eastAsia="黑体" w:cs="黑体"/>
          <w:sz w:val="32"/>
          <w:szCs w:val="32"/>
        </w:rPr>
        <w:t>四、财政拨款收入支出决算总表</w:t>
      </w:r>
      <w:bookmarkEnd w:id="90"/>
      <w:bookmarkEnd w:id="91"/>
      <w:bookmarkEnd w:id="92"/>
      <w:bookmarkEnd w:id="93"/>
    </w:p>
    <w:p>
      <w:pPr>
        <w:spacing w:line="570" w:lineRule="exact"/>
        <w:ind w:firstLine="640" w:firstLineChars="200"/>
        <w:rPr>
          <w:rFonts w:ascii="黑体" w:hAnsi="黑体" w:eastAsia="黑体" w:cs="黑体"/>
          <w:sz w:val="32"/>
          <w:szCs w:val="32"/>
        </w:rPr>
      </w:pPr>
      <w:bookmarkStart w:id="94" w:name="_Toc111208517"/>
      <w:bookmarkStart w:id="95" w:name="_Toc79163640"/>
      <w:bookmarkStart w:id="96" w:name="_Toc79163890"/>
      <w:bookmarkStart w:id="97" w:name="_Toc20399"/>
      <w:r>
        <w:rPr>
          <w:rFonts w:hint="eastAsia" w:ascii="黑体" w:hAnsi="黑体" w:eastAsia="黑体" w:cs="黑体"/>
          <w:sz w:val="32"/>
          <w:szCs w:val="32"/>
        </w:rPr>
        <w:t>五、财政拨款支出决算明细表</w:t>
      </w:r>
      <w:bookmarkEnd w:id="94"/>
      <w:bookmarkEnd w:id="95"/>
      <w:bookmarkEnd w:id="96"/>
      <w:bookmarkEnd w:id="97"/>
    </w:p>
    <w:p>
      <w:pPr>
        <w:spacing w:line="570" w:lineRule="exact"/>
        <w:ind w:firstLine="640" w:firstLineChars="200"/>
        <w:rPr>
          <w:rFonts w:ascii="黑体" w:hAnsi="黑体" w:eastAsia="黑体" w:cs="黑体"/>
          <w:sz w:val="32"/>
          <w:szCs w:val="32"/>
        </w:rPr>
      </w:pPr>
      <w:bookmarkStart w:id="98" w:name="_Toc111208518"/>
      <w:bookmarkStart w:id="99" w:name="_Toc79163891"/>
      <w:bookmarkStart w:id="100" w:name="_Toc11454"/>
      <w:bookmarkStart w:id="101" w:name="_Toc79163641"/>
      <w:r>
        <w:rPr>
          <w:rFonts w:hint="eastAsia" w:ascii="黑体" w:hAnsi="黑体" w:eastAsia="黑体" w:cs="黑体"/>
          <w:sz w:val="32"/>
          <w:szCs w:val="32"/>
        </w:rPr>
        <w:t>六、一般公共预算财政拨款支出决算表</w:t>
      </w:r>
      <w:bookmarkEnd w:id="98"/>
      <w:bookmarkEnd w:id="99"/>
      <w:bookmarkEnd w:id="100"/>
      <w:bookmarkEnd w:id="101"/>
    </w:p>
    <w:p>
      <w:pPr>
        <w:spacing w:line="570" w:lineRule="exact"/>
        <w:ind w:firstLine="640" w:firstLineChars="200"/>
        <w:rPr>
          <w:rFonts w:ascii="黑体" w:hAnsi="黑体" w:eastAsia="黑体" w:cs="黑体"/>
          <w:sz w:val="32"/>
          <w:szCs w:val="32"/>
        </w:rPr>
      </w:pPr>
      <w:bookmarkStart w:id="102" w:name="_Toc4512"/>
      <w:bookmarkStart w:id="103" w:name="_Toc79163892"/>
      <w:bookmarkStart w:id="104" w:name="_Toc79163642"/>
      <w:bookmarkStart w:id="105" w:name="_Toc111208519"/>
      <w:r>
        <w:rPr>
          <w:rFonts w:hint="eastAsia" w:ascii="黑体" w:hAnsi="黑体" w:eastAsia="黑体" w:cs="黑体"/>
          <w:sz w:val="32"/>
          <w:szCs w:val="32"/>
        </w:rPr>
        <w:t>七、一般公共预算财政拨款支出决算明细表</w:t>
      </w:r>
      <w:bookmarkEnd w:id="102"/>
      <w:bookmarkEnd w:id="103"/>
      <w:bookmarkEnd w:id="104"/>
      <w:bookmarkEnd w:id="105"/>
    </w:p>
    <w:p>
      <w:pPr>
        <w:spacing w:line="570" w:lineRule="exact"/>
        <w:ind w:firstLine="640" w:firstLineChars="200"/>
        <w:rPr>
          <w:rFonts w:ascii="黑体" w:hAnsi="黑体" w:eastAsia="黑体" w:cs="黑体"/>
          <w:sz w:val="32"/>
          <w:szCs w:val="32"/>
        </w:rPr>
      </w:pPr>
      <w:bookmarkStart w:id="106" w:name="_Toc111208520"/>
      <w:bookmarkStart w:id="107" w:name="_Toc79163643"/>
      <w:bookmarkStart w:id="108" w:name="_Toc79163893"/>
      <w:bookmarkStart w:id="109" w:name="_Toc26683"/>
      <w:r>
        <w:rPr>
          <w:rFonts w:hint="eastAsia" w:ascii="黑体" w:hAnsi="黑体" w:eastAsia="黑体" w:cs="黑体"/>
          <w:sz w:val="32"/>
          <w:szCs w:val="32"/>
        </w:rPr>
        <w:t>八、一般公共预算财政拨款基本支出决算表</w:t>
      </w:r>
      <w:bookmarkEnd w:id="106"/>
      <w:bookmarkEnd w:id="107"/>
      <w:bookmarkEnd w:id="108"/>
      <w:bookmarkEnd w:id="109"/>
    </w:p>
    <w:p>
      <w:pPr>
        <w:spacing w:line="570" w:lineRule="exact"/>
        <w:ind w:firstLine="640" w:firstLineChars="200"/>
        <w:rPr>
          <w:rFonts w:ascii="黑体" w:hAnsi="黑体" w:eastAsia="黑体" w:cs="黑体"/>
          <w:sz w:val="32"/>
          <w:szCs w:val="32"/>
        </w:rPr>
      </w:pPr>
      <w:bookmarkStart w:id="110" w:name="_Toc79163644"/>
      <w:bookmarkStart w:id="111" w:name="_Toc79163894"/>
      <w:bookmarkStart w:id="112" w:name="_Toc10327"/>
      <w:bookmarkStart w:id="113" w:name="_Toc111208521"/>
      <w:r>
        <w:rPr>
          <w:rFonts w:hint="eastAsia" w:ascii="黑体" w:hAnsi="黑体" w:eastAsia="黑体" w:cs="黑体"/>
          <w:sz w:val="32"/>
          <w:szCs w:val="32"/>
        </w:rPr>
        <w:t>九、一般公共预算财政拨款项目支出决算表</w:t>
      </w:r>
      <w:bookmarkEnd w:id="110"/>
      <w:bookmarkEnd w:id="111"/>
      <w:bookmarkEnd w:id="112"/>
      <w:bookmarkEnd w:id="113"/>
    </w:p>
    <w:p>
      <w:pPr>
        <w:spacing w:line="570" w:lineRule="exact"/>
        <w:ind w:firstLine="640" w:firstLineChars="200"/>
        <w:rPr>
          <w:rFonts w:ascii="黑体" w:hAnsi="黑体" w:eastAsia="黑体" w:cs="黑体"/>
          <w:sz w:val="32"/>
          <w:szCs w:val="32"/>
        </w:rPr>
      </w:pPr>
      <w:bookmarkStart w:id="114" w:name="_Toc111208522"/>
      <w:bookmarkStart w:id="115" w:name="_Toc79163645"/>
      <w:bookmarkStart w:id="116" w:name="_Toc24877"/>
      <w:bookmarkStart w:id="117" w:name="_Toc79163895"/>
      <w:r>
        <w:rPr>
          <w:rFonts w:hint="eastAsia" w:ascii="黑体" w:hAnsi="黑体" w:eastAsia="黑体" w:cs="黑体"/>
          <w:sz w:val="32"/>
          <w:szCs w:val="32"/>
        </w:rPr>
        <w:t>十、一般公共预算财政拨款“三公”经费支出决算表</w:t>
      </w:r>
      <w:bookmarkEnd w:id="114"/>
      <w:bookmarkEnd w:id="115"/>
      <w:bookmarkEnd w:id="116"/>
      <w:bookmarkEnd w:id="117"/>
    </w:p>
    <w:p>
      <w:pPr>
        <w:spacing w:line="570" w:lineRule="exact"/>
        <w:ind w:firstLine="640" w:firstLineChars="200"/>
        <w:rPr>
          <w:rFonts w:ascii="黑体" w:hAnsi="黑体" w:eastAsia="黑体" w:cs="黑体"/>
          <w:sz w:val="32"/>
          <w:szCs w:val="32"/>
        </w:rPr>
      </w:pPr>
      <w:bookmarkStart w:id="118" w:name="_Toc15452"/>
      <w:bookmarkStart w:id="119" w:name="_Toc111208523"/>
      <w:bookmarkStart w:id="120" w:name="_Toc79163896"/>
      <w:bookmarkStart w:id="121" w:name="_Toc79163646"/>
      <w:r>
        <w:rPr>
          <w:rFonts w:hint="eastAsia" w:ascii="黑体" w:hAnsi="黑体" w:eastAsia="黑体" w:cs="黑体"/>
          <w:sz w:val="32"/>
          <w:szCs w:val="32"/>
        </w:rPr>
        <w:t>十一、政府性基金预算财政拨款收入支出决算表</w:t>
      </w:r>
      <w:bookmarkEnd w:id="118"/>
      <w:bookmarkEnd w:id="119"/>
      <w:bookmarkEnd w:id="120"/>
      <w:bookmarkEnd w:id="121"/>
    </w:p>
    <w:p>
      <w:pPr>
        <w:spacing w:line="570" w:lineRule="exact"/>
        <w:ind w:firstLine="640" w:firstLineChars="200"/>
        <w:rPr>
          <w:rFonts w:ascii="黑体" w:hAnsi="黑体" w:eastAsia="黑体" w:cs="黑体"/>
          <w:sz w:val="32"/>
          <w:szCs w:val="32"/>
        </w:rPr>
      </w:pPr>
      <w:bookmarkStart w:id="122" w:name="_Toc79163647"/>
      <w:bookmarkStart w:id="123" w:name="_Toc111208524"/>
      <w:bookmarkStart w:id="124" w:name="_Toc79163897"/>
      <w:bookmarkStart w:id="125" w:name="_Toc1580"/>
      <w:r>
        <w:rPr>
          <w:rFonts w:hint="eastAsia" w:ascii="黑体" w:hAnsi="黑体" w:eastAsia="黑体" w:cs="黑体"/>
          <w:sz w:val="32"/>
          <w:szCs w:val="32"/>
        </w:rPr>
        <w:t>十二、政府性基金预算财政拨款“三公”经费支出决算表</w:t>
      </w:r>
      <w:bookmarkEnd w:id="122"/>
      <w:bookmarkEnd w:id="123"/>
      <w:bookmarkEnd w:id="124"/>
      <w:bookmarkEnd w:id="125"/>
    </w:p>
    <w:p>
      <w:pPr>
        <w:spacing w:line="570" w:lineRule="exact"/>
        <w:ind w:firstLine="640" w:firstLineChars="200"/>
        <w:rPr>
          <w:rFonts w:ascii="黑体" w:hAnsi="黑体" w:eastAsia="黑体" w:cs="黑体"/>
          <w:sz w:val="32"/>
          <w:szCs w:val="32"/>
        </w:rPr>
      </w:pPr>
      <w:bookmarkStart w:id="126" w:name="_Toc79163648"/>
      <w:bookmarkStart w:id="127" w:name="_Toc79163898"/>
      <w:bookmarkStart w:id="128" w:name="_Toc111208525"/>
      <w:bookmarkStart w:id="129" w:name="_Toc4431"/>
      <w:r>
        <w:rPr>
          <w:rFonts w:hint="eastAsia" w:ascii="黑体" w:hAnsi="黑体" w:eastAsia="黑体" w:cs="黑体"/>
          <w:sz w:val="32"/>
          <w:szCs w:val="32"/>
        </w:rPr>
        <w:t>十三、</w:t>
      </w:r>
      <w:bookmarkEnd w:id="126"/>
      <w:bookmarkEnd w:id="127"/>
      <w:r>
        <w:rPr>
          <w:rFonts w:hint="eastAsia" w:ascii="黑体" w:hAnsi="黑体" w:eastAsia="黑体" w:cs="黑体"/>
          <w:sz w:val="32"/>
          <w:szCs w:val="32"/>
        </w:rPr>
        <w:t>国有资本经营预算财政拨款收入支出决算表</w:t>
      </w:r>
      <w:bookmarkEnd w:id="128"/>
      <w:bookmarkEnd w:id="129"/>
    </w:p>
    <w:p>
      <w:pPr>
        <w:spacing w:line="570" w:lineRule="exact"/>
        <w:ind w:firstLine="640" w:firstLineChars="200"/>
        <w:rPr>
          <w:rFonts w:ascii="黑体" w:hAnsi="黑体" w:eastAsia="黑体" w:cs="黑体"/>
          <w:sz w:val="32"/>
          <w:szCs w:val="32"/>
        </w:rPr>
      </w:pPr>
      <w:bookmarkStart w:id="130" w:name="_Toc1565"/>
      <w:bookmarkStart w:id="131" w:name="_Toc111208526"/>
      <w:r>
        <w:rPr>
          <w:rFonts w:hint="eastAsia" w:ascii="黑体" w:hAnsi="黑体" w:eastAsia="黑体" w:cs="黑体"/>
          <w:sz w:val="32"/>
          <w:szCs w:val="32"/>
        </w:rPr>
        <w:t>十四、国有资本经营预算财政拨款支出决算表</w:t>
      </w:r>
      <w:bookmarkEnd w:id="130"/>
      <w:bookmarkEnd w:id="13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仿宋_GB2312"/>
    <w:panose1 w:val="00000000000000000000"/>
    <w:charset w:val="00"/>
    <w:family w:val="auto"/>
    <w:pitch w:val="default"/>
    <w:sig w:usb0="00000000" w:usb1="00000000" w:usb2="00000000" w:usb3="00000000" w:csb0="00000000" w:csb1="00000000"/>
  </w:font>
  <w:font w:name="方正小标宋简体">
    <w:altName w:val="方正小标宋_GBK"/>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208C6"/>
    <w:multiLevelType w:val="singleLevel"/>
    <w:tmpl w:val="5F6208C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hhN2VmMTQwN2FlNjQzNmNjYzMxZGRlMzZjMmM5ZTkifQ=="/>
  </w:docVars>
  <w:rsids>
    <w:rsidRoot w:val="00F1361C"/>
    <w:rsid w:val="000000BC"/>
    <w:rsid w:val="00000665"/>
    <w:rsid w:val="00000B38"/>
    <w:rsid w:val="000015A2"/>
    <w:rsid w:val="00003E5B"/>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213E"/>
    <w:rsid w:val="001544D9"/>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5CF3"/>
    <w:rsid w:val="001A63BB"/>
    <w:rsid w:val="001B1840"/>
    <w:rsid w:val="001B1FA9"/>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496"/>
    <w:rsid w:val="00283D63"/>
    <w:rsid w:val="00283EFB"/>
    <w:rsid w:val="002856F9"/>
    <w:rsid w:val="002866CA"/>
    <w:rsid w:val="00286C21"/>
    <w:rsid w:val="002875BF"/>
    <w:rsid w:val="0029076F"/>
    <w:rsid w:val="0029094E"/>
    <w:rsid w:val="00291DC2"/>
    <w:rsid w:val="00292626"/>
    <w:rsid w:val="00292E6B"/>
    <w:rsid w:val="00295495"/>
    <w:rsid w:val="002A0D55"/>
    <w:rsid w:val="002A0E88"/>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5025"/>
    <w:rsid w:val="00386455"/>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2FDA"/>
    <w:rsid w:val="00513ED7"/>
    <w:rsid w:val="0051467D"/>
    <w:rsid w:val="00520DA0"/>
    <w:rsid w:val="005225FC"/>
    <w:rsid w:val="00524AC4"/>
    <w:rsid w:val="00525C89"/>
    <w:rsid w:val="0052729E"/>
    <w:rsid w:val="0052733D"/>
    <w:rsid w:val="00530E19"/>
    <w:rsid w:val="00530F71"/>
    <w:rsid w:val="005322EB"/>
    <w:rsid w:val="0053459C"/>
    <w:rsid w:val="00550726"/>
    <w:rsid w:val="0055106D"/>
    <w:rsid w:val="005559A4"/>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2830"/>
    <w:rsid w:val="006256DB"/>
    <w:rsid w:val="00630AEF"/>
    <w:rsid w:val="006325F8"/>
    <w:rsid w:val="00633AE4"/>
    <w:rsid w:val="006348B1"/>
    <w:rsid w:val="00634C9A"/>
    <w:rsid w:val="00635FC7"/>
    <w:rsid w:val="00636040"/>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471C"/>
    <w:rsid w:val="006B533E"/>
    <w:rsid w:val="006C1937"/>
    <w:rsid w:val="006C397F"/>
    <w:rsid w:val="006C6427"/>
    <w:rsid w:val="006C76DB"/>
    <w:rsid w:val="006D1F0B"/>
    <w:rsid w:val="006D42C6"/>
    <w:rsid w:val="006E0081"/>
    <w:rsid w:val="006E3700"/>
    <w:rsid w:val="006E6C66"/>
    <w:rsid w:val="006F020C"/>
    <w:rsid w:val="006F3DF7"/>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182A"/>
    <w:rsid w:val="00763BC1"/>
    <w:rsid w:val="0076499D"/>
    <w:rsid w:val="007656DB"/>
    <w:rsid w:val="007676D8"/>
    <w:rsid w:val="00767A7D"/>
    <w:rsid w:val="00767B7E"/>
    <w:rsid w:val="00767BE6"/>
    <w:rsid w:val="00775A39"/>
    <w:rsid w:val="00776900"/>
    <w:rsid w:val="007770C3"/>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A58"/>
    <w:rsid w:val="008918AA"/>
    <w:rsid w:val="008918C9"/>
    <w:rsid w:val="008939CD"/>
    <w:rsid w:val="00893E7C"/>
    <w:rsid w:val="00895862"/>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1BDC"/>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3B1"/>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3703"/>
    <w:rsid w:val="00B53C56"/>
    <w:rsid w:val="00B53E4F"/>
    <w:rsid w:val="00B54341"/>
    <w:rsid w:val="00B545A6"/>
    <w:rsid w:val="00B5556B"/>
    <w:rsid w:val="00B60A7E"/>
    <w:rsid w:val="00B6427E"/>
    <w:rsid w:val="00B67CE3"/>
    <w:rsid w:val="00B706F1"/>
    <w:rsid w:val="00B725E6"/>
    <w:rsid w:val="00B736DE"/>
    <w:rsid w:val="00B73B2F"/>
    <w:rsid w:val="00B74FE7"/>
    <w:rsid w:val="00B753E0"/>
    <w:rsid w:val="00B7569F"/>
    <w:rsid w:val="00B75C09"/>
    <w:rsid w:val="00B76674"/>
    <w:rsid w:val="00B77991"/>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AED"/>
    <w:rsid w:val="00BA22CD"/>
    <w:rsid w:val="00BA3028"/>
    <w:rsid w:val="00BA3356"/>
    <w:rsid w:val="00BA49E7"/>
    <w:rsid w:val="00BA5298"/>
    <w:rsid w:val="00BB1990"/>
    <w:rsid w:val="00BB2D7E"/>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955"/>
    <w:rsid w:val="00C77D1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8058B"/>
    <w:rsid w:val="00D811F1"/>
    <w:rsid w:val="00D81CF0"/>
    <w:rsid w:val="00D86259"/>
    <w:rsid w:val="00D9128F"/>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28440C8"/>
    <w:rsid w:val="03F359AA"/>
    <w:rsid w:val="0463543B"/>
    <w:rsid w:val="04A56E6E"/>
    <w:rsid w:val="051A6F96"/>
    <w:rsid w:val="06951176"/>
    <w:rsid w:val="07001BE1"/>
    <w:rsid w:val="07267DE7"/>
    <w:rsid w:val="089C4B49"/>
    <w:rsid w:val="09081517"/>
    <w:rsid w:val="091B747D"/>
    <w:rsid w:val="0A19737C"/>
    <w:rsid w:val="0B7218AA"/>
    <w:rsid w:val="0B99373B"/>
    <w:rsid w:val="0BA37CB5"/>
    <w:rsid w:val="0D0429D6"/>
    <w:rsid w:val="0D093B48"/>
    <w:rsid w:val="0D322E51"/>
    <w:rsid w:val="0D6C338E"/>
    <w:rsid w:val="0DB37F58"/>
    <w:rsid w:val="0EA91CB9"/>
    <w:rsid w:val="0F5E6610"/>
    <w:rsid w:val="108A31F2"/>
    <w:rsid w:val="10C055FF"/>
    <w:rsid w:val="11473967"/>
    <w:rsid w:val="11D56DF6"/>
    <w:rsid w:val="11ED6591"/>
    <w:rsid w:val="12EF1263"/>
    <w:rsid w:val="13367661"/>
    <w:rsid w:val="16BB723D"/>
    <w:rsid w:val="17BC7656"/>
    <w:rsid w:val="17EA348C"/>
    <w:rsid w:val="1840212F"/>
    <w:rsid w:val="19943114"/>
    <w:rsid w:val="1A392957"/>
    <w:rsid w:val="1AB026BC"/>
    <w:rsid w:val="1ABB32B6"/>
    <w:rsid w:val="1BF70747"/>
    <w:rsid w:val="1C06153F"/>
    <w:rsid w:val="1C986C96"/>
    <w:rsid w:val="1D7371C3"/>
    <w:rsid w:val="1DDC2BB3"/>
    <w:rsid w:val="1E34479D"/>
    <w:rsid w:val="1EF81F78"/>
    <w:rsid w:val="1F620905"/>
    <w:rsid w:val="201A6AB0"/>
    <w:rsid w:val="20370902"/>
    <w:rsid w:val="203B66A0"/>
    <w:rsid w:val="206E043A"/>
    <w:rsid w:val="211A679A"/>
    <w:rsid w:val="21AA39AB"/>
    <w:rsid w:val="21D44B92"/>
    <w:rsid w:val="233D0598"/>
    <w:rsid w:val="238264EB"/>
    <w:rsid w:val="23902475"/>
    <w:rsid w:val="240371BF"/>
    <w:rsid w:val="2435534E"/>
    <w:rsid w:val="24534F10"/>
    <w:rsid w:val="24DF6C66"/>
    <w:rsid w:val="253D03DB"/>
    <w:rsid w:val="25A20B86"/>
    <w:rsid w:val="25B1070F"/>
    <w:rsid w:val="25DD571A"/>
    <w:rsid w:val="26357304"/>
    <w:rsid w:val="264439EB"/>
    <w:rsid w:val="265C1D1F"/>
    <w:rsid w:val="26BB36DB"/>
    <w:rsid w:val="271C5A93"/>
    <w:rsid w:val="276C609C"/>
    <w:rsid w:val="276F1834"/>
    <w:rsid w:val="27B459F9"/>
    <w:rsid w:val="27C51E91"/>
    <w:rsid w:val="28513369"/>
    <w:rsid w:val="28BF6D42"/>
    <w:rsid w:val="29FD04D3"/>
    <w:rsid w:val="2CAE1BBE"/>
    <w:rsid w:val="2CCF04B2"/>
    <w:rsid w:val="2D6D6F34"/>
    <w:rsid w:val="2E4C04E0"/>
    <w:rsid w:val="2F803D16"/>
    <w:rsid w:val="31810DA9"/>
    <w:rsid w:val="31903F88"/>
    <w:rsid w:val="319F7F4E"/>
    <w:rsid w:val="327B22A4"/>
    <w:rsid w:val="329448A6"/>
    <w:rsid w:val="32F45598"/>
    <w:rsid w:val="348E0A74"/>
    <w:rsid w:val="35076310"/>
    <w:rsid w:val="35244754"/>
    <w:rsid w:val="364D41F6"/>
    <w:rsid w:val="36FD0156"/>
    <w:rsid w:val="38F8371D"/>
    <w:rsid w:val="39226F5F"/>
    <w:rsid w:val="392E65E1"/>
    <w:rsid w:val="39902098"/>
    <w:rsid w:val="3A3A0F35"/>
    <w:rsid w:val="3A4E1148"/>
    <w:rsid w:val="3C8D2F9D"/>
    <w:rsid w:val="3CE0510E"/>
    <w:rsid w:val="3D1E4B3E"/>
    <w:rsid w:val="3E03620E"/>
    <w:rsid w:val="3E343C22"/>
    <w:rsid w:val="3F512FA9"/>
    <w:rsid w:val="3FAC4683"/>
    <w:rsid w:val="3FEA5DFB"/>
    <w:rsid w:val="401C35B7"/>
    <w:rsid w:val="402611B6"/>
    <w:rsid w:val="4119235A"/>
    <w:rsid w:val="41677310"/>
    <w:rsid w:val="422C2C46"/>
    <w:rsid w:val="4251506E"/>
    <w:rsid w:val="43684120"/>
    <w:rsid w:val="444F07DA"/>
    <w:rsid w:val="44601E28"/>
    <w:rsid w:val="45022641"/>
    <w:rsid w:val="466415B4"/>
    <w:rsid w:val="47170634"/>
    <w:rsid w:val="475E72DC"/>
    <w:rsid w:val="479A6BF5"/>
    <w:rsid w:val="47F514AF"/>
    <w:rsid w:val="4839282C"/>
    <w:rsid w:val="48847F4B"/>
    <w:rsid w:val="48FD75BD"/>
    <w:rsid w:val="4A745623"/>
    <w:rsid w:val="4CCC5624"/>
    <w:rsid w:val="4D135D42"/>
    <w:rsid w:val="4D846266"/>
    <w:rsid w:val="4D8D78A2"/>
    <w:rsid w:val="4DC644A7"/>
    <w:rsid w:val="4DF123A8"/>
    <w:rsid w:val="4E832A53"/>
    <w:rsid w:val="4F6F7A34"/>
    <w:rsid w:val="4FD74194"/>
    <w:rsid w:val="4FDA49F5"/>
    <w:rsid w:val="509E744D"/>
    <w:rsid w:val="50AE413E"/>
    <w:rsid w:val="51E1640E"/>
    <w:rsid w:val="51EE42CA"/>
    <w:rsid w:val="52302EF2"/>
    <w:rsid w:val="52ED6284"/>
    <w:rsid w:val="5322283B"/>
    <w:rsid w:val="532B0C13"/>
    <w:rsid w:val="53BE2B80"/>
    <w:rsid w:val="541505F1"/>
    <w:rsid w:val="54992FD0"/>
    <w:rsid w:val="55872E29"/>
    <w:rsid w:val="561DCF93"/>
    <w:rsid w:val="56D0674C"/>
    <w:rsid w:val="58BA52C3"/>
    <w:rsid w:val="58E16CF4"/>
    <w:rsid w:val="59E11CD3"/>
    <w:rsid w:val="5BBC1352"/>
    <w:rsid w:val="5BE202EA"/>
    <w:rsid w:val="5CD66444"/>
    <w:rsid w:val="5CFA7F1D"/>
    <w:rsid w:val="5E2506F8"/>
    <w:rsid w:val="5E7B1C82"/>
    <w:rsid w:val="5EA316D6"/>
    <w:rsid w:val="5F3A07D2"/>
    <w:rsid w:val="5F593A88"/>
    <w:rsid w:val="60651EAC"/>
    <w:rsid w:val="60BB3927"/>
    <w:rsid w:val="62A42EE2"/>
    <w:rsid w:val="630D013F"/>
    <w:rsid w:val="63347FC4"/>
    <w:rsid w:val="634D6F5C"/>
    <w:rsid w:val="63604CB9"/>
    <w:rsid w:val="6428584D"/>
    <w:rsid w:val="64A36D0B"/>
    <w:rsid w:val="64C656C1"/>
    <w:rsid w:val="65DF63C9"/>
    <w:rsid w:val="662A7F2C"/>
    <w:rsid w:val="68DA2DB6"/>
    <w:rsid w:val="69725134"/>
    <w:rsid w:val="6A147C75"/>
    <w:rsid w:val="6B4666B6"/>
    <w:rsid w:val="6B5C5681"/>
    <w:rsid w:val="6CC85DA9"/>
    <w:rsid w:val="6D8F2D6B"/>
    <w:rsid w:val="6DC31436"/>
    <w:rsid w:val="6ECB49CF"/>
    <w:rsid w:val="6ECB5A2B"/>
    <w:rsid w:val="6F773AB6"/>
    <w:rsid w:val="7000324B"/>
    <w:rsid w:val="70202A42"/>
    <w:rsid w:val="72227D09"/>
    <w:rsid w:val="72E476B5"/>
    <w:rsid w:val="73BE3A62"/>
    <w:rsid w:val="746C7E4B"/>
    <w:rsid w:val="74F16E8A"/>
    <w:rsid w:val="750E6C6B"/>
    <w:rsid w:val="755E374E"/>
    <w:rsid w:val="76377F56"/>
    <w:rsid w:val="764B35A7"/>
    <w:rsid w:val="774A0BC9"/>
    <w:rsid w:val="78A4106B"/>
    <w:rsid w:val="795C28A8"/>
    <w:rsid w:val="79975481"/>
    <w:rsid w:val="79E461EC"/>
    <w:rsid w:val="7A1B4027"/>
    <w:rsid w:val="7A965738"/>
    <w:rsid w:val="7ABC1C9C"/>
    <w:rsid w:val="7B022DCE"/>
    <w:rsid w:val="7B272834"/>
    <w:rsid w:val="7B8F71DF"/>
    <w:rsid w:val="7B991874"/>
    <w:rsid w:val="7CB2612E"/>
    <w:rsid w:val="7CC25607"/>
    <w:rsid w:val="7DA778EB"/>
    <w:rsid w:val="7DCF4ABD"/>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Normal Indent"/>
    <w:basedOn w:val="1"/>
    <w:unhideWhenUsed/>
    <w:qFormat/>
    <w:uiPriority w:val="99"/>
    <w:pPr>
      <w:ind w:firstLine="680"/>
    </w:pPr>
  </w:style>
  <w:style w:type="paragraph" w:styleId="7">
    <w:name w:val="annotation text"/>
    <w:basedOn w:val="1"/>
    <w:semiHidden/>
    <w:unhideWhenUsed/>
    <w:qFormat/>
    <w:uiPriority w:val="99"/>
    <w:pPr>
      <w:jc w:val="left"/>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字符"/>
    <w:basedOn w:val="16"/>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Normal31df87fc"/>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34">
    <w:name w:val="Default Paragraph Font8"/>
    <w:semiHidden/>
    <w:unhideWhenUsed/>
    <w:qFormat/>
    <w:uiPriority w:val="1"/>
  </w:style>
  <w:style w:type="table" w:customStyle="1" w:styleId="35">
    <w:name w:val="Normal Table6"/>
    <w:semiHidden/>
    <w:unhideWhenUsed/>
    <w:qFormat/>
    <w:uiPriority w:val="99"/>
    <w:tblPr>
      <w:tblCellMar>
        <w:top w:w="0" w:type="dxa"/>
        <w:left w:w="108" w:type="dxa"/>
        <w:bottom w:w="0" w:type="dxa"/>
        <w:right w:w="108" w:type="dxa"/>
      </w:tblCellMar>
    </w:tblPr>
  </w:style>
  <w:style w:type="paragraph" w:customStyle="1" w:styleId="36">
    <w:name w:val="Document Map3f515ecd"/>
    <w:basedOn w:val="33"/>
    <w:qFormat/>
    <w:uiPriority w:val="0"/>
    <w:rPr>
      <w:rFonts w:ascii="宋体" w:eastAsia="宋体"/>
      <w:sz w:val="18"/>
      <w:szCs w:val="18"/>
    </w:rPr>
  </w:style>
  <w:style w:type="paragraph" w:customStyle="1" w:styleId="37">
    <w:name w:val="Balloon Textb84f6687"/>
    <w:basedOn w:val="33"/>
    <w:semiHidden/>
    <w:qFormat/>
    <w:uiPriority w:val="0"/>
    <w:rPr>
      <w:sz w:val="18"/>
      <w:szCs w:val="18"/>
    </w:rPr>
  </w:style>
  <w:style w:type="paragraph" w:customStyle="1" w:styleId="38">
    <w:name w:val="footer4"/>
    <w:basedOn w:val="33"/>
    <w:link w:val="61"/>
    <w:qFormat/>
    <w:uiPriority w:val="99"/>
    <w:pPr>
      <w:tabs>
        <w:tab w:val="center" w:pos="4153"/>
        <w:tab w:val="right" w:pos="8306"/>
      </w:tabs>
      <w:snapToGrid w:val="0"/>
      <w:jc w:val="left"/>
    </w:pPr>
    <w:rPr>
      <w:rFonts w:eastAsia="宋体"/>
      <w:sz w:val="18"/>
      <w:szCs w:val="18"/>
    </w:rPr>
  </w:style>
  <w:style w:type="paragraph" w:customStyle="1" w:styleId="39">
    <w:name w:val="header5"/>
    <w:basedOn w:val="33"/>
    <w:qFormat/>
    <w:uiPriority w:val="0"/>
    <w:pPr>
      <w:pBdr>
        <w:bottom w:val="single" w:color="auto" w:sz="6" w:space="1"/>
      </w:pBdr>
      <w:tabs>
        <w:tab w:val="center" w:pos="4153"/>
        <w:tab w:val="right" w:pos="8306"/>
      </w:tabs>
      <w:snapToGrid w:val="0"/>
      <w:jc w:val="center"/>
    </w:pPr>
    <w:rPr>
      <w:rFonts w:eastAsia="宋体"/>
      <w:sz w:val="18"/>
      <w:szCs w:val="18"/>
    </w:rPr>
  </w:style>
  <w:style w:type="table" w:customStyle="1" w:styleId="40">
    <w:name w:val="Table Grid7"/>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page number9"/>
    <w:basedOn w:val="34"/>
    <w:qFormat/>
    <w:uiPriority w:val="0"/>
  </w:style>
  <w:style w:type="paragraph" w:customStyle="1" w:styleId="42">
    <w:name w:val="四号正文09d46858"/>
    <w:basedOn w:val="33"/>
    <w:qFormat/>
    <w:uiPriority w:val="0"/>
    <w:pPr>
      <w:spacing w:line="360" w:lineRule="auto"/>
    </w:pPr>
    <w:rPr>
      <w:rFonts w:ascii="??" w:hAnsi="??" w:eastAsia="宋体" w:cs="宋体"/>
      <w:color w:val="000000"/>
      <w:kern w:val="0"/>
      <w:sz w:val="28"/>
      <w:szCs w:val="21"/>
    </w:rPr>
  </w:style>
  <w:style w:type="character" w:customStyle="1" w:styleId="43">
    <w:name w:val="四号正文 Char11"/>
    <w:basedOn w:val="34"/>
    <w:link w:val="44"/>
    <w:qFormat/>
    <w:uiPriority w:val="0"/>
    <w:rPr>
      <w:rFonts w:ascii="??" w:hAnsi="??" w:eastAsia="宋体" w:cs="宋体"/>
      <w:color w:val="000000"/>
      <w:sz w:val="28"/>
      <w:szCs w:val="21"/>
      <w:lang w:val="en-US" w:eastAsia="zh-CN" w:bidi="ar-SA"/>
    </w:rPr>
  </w:style>
  <w:style w:type="paragraph" w:customStyle="1" w:styleId="44">
    <w:name w:val="四号正文ec050bc1"/>
    <w:basedOn w:val="45"/>
    <w:link w:val="43"/>
    <w:qFormat/>
    <w:uiPriority w:val="0"/>
    <w:pPr>
      <w:spacing w:line="360" w:lineRule="auto"/>
    </w:pPr>
    <w:rPr>
      <w:rFonts w:ascii="??" w:hAnsi="??" w:eastAsia="宋体" w:cs="宋体"/>
      <w:color w:val="000000"/>
      <w:kern w:val="0"/>
      <w:sz w:val="28"/>
      <w:szCs w:val="21"/>
    </w:rPr>
  </w:style>
  <w:style w:type="paragraph" w:customStyle="1" w:styleId="45">
    <w:name w:val="Normalf7993b07"/>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46">
    <w:name w:val="文档结构图 Char12"/>
    <w:basedOn w:val="34"/>
    <w:link w:val="47"/>
    <w:qFormat/>
    <w:uiPriority w:val="0"/>
    <w:rPr>
      <w:rFonts w:ascii="宋体"/>
      <w:kern w:val="2"/>
      <w:sz w:val="18"/>
      <w:szCs w:val="18"/>
    </w:rPr>
  </w:style>
  <w:style w:type="paragraph" w:customStyle="1" w:styleId="47">
    <w:name w:val="Document Map6b3decf5"/>
    <w:basedOn w:val="45"/>
    <w:link w:val="46"/>
    <w:qFormat/>
    <w:uiPriority w:val="0"/>
    <w:rPr>
      <w:rFonts w:ascii="宋体" w:eastAsia="宋体"/>
      <w:sz w:val="18"/>
      <w:szCs w:val="18"/>
    </w:rPr>
  </w:style>
  <w:style w:type="paragraph" w:customStyle="1" w:styleId="48">
    <w:name w:val="a13"/>
    <w:basedOn w:val="33"/>
    <w:qFormat/>
    <w:uiPriority w:val="0"/>
    <w:pPr>
      <w:widowControl/>
      <w:spacing w:before="100" w:beforeAutospacing="1" w:after="100" w:afterAutospacing="1"/>
      <w:jc w:val="left"/>
    </w:pPr>
    <w:rPr>
      <w:rFonts w:ascii="宋体" w:hAnsi="宋体" w:eastAsia="宋体" w:cs="宋体"/>
      <w:kern w:val="0"/>
      <w:sz w:val="24"/>
    </w:rPr>
  </w:style>
  <w:style w:type="character" w:customStyle="1" w:styleId="49">
    <w:name w:val="页脚 Char14"/>
    <w:basedOn w:val="34"/>
    <w:link w:val="50"/>
    <w:qFormat/>
    <w:uiPriority w:val="99"/>
    <w:rPr>
      <w:kern w:val="2"/>
      <w:sz w:val="18"/>
      <w:szCs w:val="18"/>
    </w:rPr>
  </w:style>
  <w:style w:type="paragraph" w:customStyle="1" w:styleId="50">
    <w:name w:val="footer987586af"/>
    <w:basedOn w:val="45"/>
    <w:link w:val="49"/>
    <w:qFormat/>
    <w:uiPriority w:val="99"/>
    <w:pPr>
      <w:tabs>
        <w:tab w:val="center" w:pos="4153"/>
        <w:tab w:val="right" w:pos="8306"/>
      </w:tabs>
      <w:snapToGrid w:val="0"/>
      <w:jc w:val="left"/>
    </w:pPr>
    <w:rPr>
      <w:rFonts w:eastAsia="宋体"/>
      <w:sz w:val="18"/>
      <w:szCs w:val="18"/>
    </w:rPr>
  </w:style>
  <w:style w:type="character" w:customStyle="1" w:styleId="51">
    <w:name w:val="font3115"/>
    <w:basedOn w:val="34"/>
    <w:qFormat/>
    <w:uiPriority w:val="0"/>
    <w:rPr>
      <w:rFonts w:hint="eastAsia" w:ascii="宋体" w:hAnsi="宋体" w:eastAsia="宋体" w:cs="宋体"/>
      <w:color w:val="000000"/>
      <w:sz w:val="24"/>
      <w:szCs w:val="24"/>
      <w:u w:val="none"/>
    </w:rPr>
  </w:style>
  <w:style w:type="character" w:customStyle="1" w:styleId="52">
    <w:name w:val="Default Paragraph Font689de2ac"/>
    <w:semiHidden/>
    <w:unhideWhenUsed/>
    <w:qFormat/>
    <w:uiPriority w:val="1"/>
  </w:style>
  <w:style w:type="table" w:customStyle="1" w:styleId="53">
    <w:name w:val="Normal Table57400e4b"/>
    <w:semiHidden/>
    <w:unhideWhenUsed/>
    <w:qFormat/>
    <w:uiPriority w:val="99"/>
    <w:tblPr>
      <w:tblCellMar>
        <w:top w:w="0" w:type="dxa"/>
        <w:left w:w="108" w:type="dxa"/>
        <w:bottom w:w="0" w:type="dxa"/>
        <w:right w:w="108" w:type="dxa"/>
      </w:tblCellMar>
    </w:tblPr>
  </w:style>
  <w:style w:type="paragraph" w:customStyle="1" w:styleId="54">
    <w:name w:val="Balloon Text0abbe8dd"/>
    <w:basedOn w:val="45"/>
    <w:semiHidden/>
    <w:qFormat/>
    <w:uiPriority w:val="0"/>
    <w:rPr>
      <w:sz w:val="18"/>
      <w:szCs w:val="18"/>
    </w:rPr>
  </w:style>
  <w:style w:type="paragraph" w:customStyle="1" w:styleId="55">
    <w:name w:val="header9144a641"/>
    <w:basedOn w:val="45"/>
    <w:qFormat/>
    <w:uiPriority w:val="0"/>
    <w:pPr>
      <w:pBdr>
        <w:bottom w:val="single" w:color="auto" w:sz="6" w:space="1"/>
      </w:pBdr>
      <w:tabs>
        <w:tab w:val="center" w:pos="4153"/>
        <w:tab w:val="right" w:pos="8306"/>
      </w:tabs>
      <w:snapToGrid w:val="0"/>
      <w:jc w:val="center"/>
    </w:pPr>
    <w:rPr>
      <w:rFonts w:eastAsia="宋体"/>
      <w:sz w:val="18"/>
      <w:szCs w:val="18"/>
    </w:rPr>
  </w:style>
  <w:style w:type="table" w:customStyle="1" w:styleId="56">
    <w:name w:val="Table Grid81506780"/>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7">
    <w:name w:val="page numberda93d689"/>
    <w:basedOn w:val="52"/>
    <w:qFormat/>
    <w:uiPriority w:val="0"/>
  </w:style>
  <w:style w:type="character" w:customStyle="1" w:styleId="58">
    <w:name w:val="四号正文 Char21c3fc25"/>
    <w:basedOn w:val="52"/>
    <w:qFormat/>
    <w:uiPriority w:val="0"/>
    <w:rPr>
      <w:rFonts w:ascii="??" w:hAnsi="??" w:eastAsia="宋体" w:cs="宋体"/>
      <w:color w:val="000000"/>
      <w:sz w:val="28"/>
      <w:szCs w:val="21"/>
      <w:lang w:val="en-US" w:eastAsia="zh-CN" w:bidi="ar-SA"/>
    </w:rPr>
  </w:style>
  <w:style w:type="character" w:customStyle="1" w:styleId="59">
    <w:name w:val="标题 2 Char"/>
    <w:basedOn w:val="52"/>
    <w:link w:val="4"/>
    <w:qFormat/>
    <w:uiPriority w:val="0"/>
    <w:rPr>
      <w:rFonts w:ascii="宋体"/>
      <w:kern w:val="2"/>
      <w:sz w:val="18"/>
      <w:szCs w:val="18"/>
    </w:rPr>
  </w:style>
  <w:style w:type="paragraph" w:customStyle="1" w:styleId="60">
    <w:name w:val="a42a6286f"/>
    <w:basedOn w:val="45"/>
    <w:qFormat/>
    <w:uiPriority w:val="0"/>
    <w:pPr>
      <w:widowControl/>
      <w:spacing w:before="100" w:beforeAutospacing="1" w:after="100" w:afterAutospacing="1"/>
      <w:jc w:val="left"/>
    </w:pPr>
    <w:rPr>
      <w:rFonts w:ascii="宋体" w:hAnsi="宋体" w:eastAsia="宋体" w:cs="宋体"/>
      <w:kern w:val="0"/>
      <w:sz w:val="24"/>
    </w:rPr>
  </w:style>
  <w:style w:type="character" w:customStyle="1" w:styleId="61">
    <w:name w:val="页脚 Char3a4330fe"/>
    <w:basedOn w:val="52"/>
    <w:link w:val="38"/>
    <w:qFormat/>
    <w:uiPriority w:val="99"/>
    <w:rPr>
      <w:kern w:val="2"/>
      <w:sz w:val="18"/>
      <w:szCs w:val="18"/>
    </w:rPr>
  </w:style>
  <w:style w:type="character" w:customStyle="1" w:styleId="62">
    <w:name w:val="font31ed5495a1"/>
    <w:basedOn w:val="52"/>
    <w:qFormat/>
    <w:uiPriority w:val="0"/>
    <w:rPr>
      <w:rFonts w:hint="eastAsia" w:ascii="宋体" w:hAnsi="宋体" w:eastAsia="宋体" w:cs="宋体"/>
      <w:color w:val="000000"/>
      <w:sz w:val="24"/>
      <w:szCs w:val="24"/>
      <w:u w:val="none"/>
    </w:rPr>
  </w:style>
  <w:style w:type="character" w:customStyle="1" w:styleId="63">
    <w:name w:val="Char Char"/>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false"/>
    </c:title>
    <c:autoTitleDeleted val="false"/>
    <c:plotArea>
      <c:layout>
        <c:manualLayout>
          <c:layoutTarget val="inner"/>
          <c:xMode val="edge"/>
          <c:yMode val="edge"/>
          <c:x val="0.0559816218099468"/>
          <c:y val="0.247865112907836"/>
          <c:w val="0.800713012477719"/>
          <c:h val="0.654027777777778"/>
        </c:manualLayout>
      </c:layout>
      <c:barChart>
        <c:barDir val="col"/>
        <c:grouping val="clustered"/>
        <c:varyColors val="false"/>
        <c:ser>
          <c:idx val="1"/>
          <c:order val="0"/>
          <c:tx>
            <c:strRef>
              <c:f>收入</c:f>
              <c:strCache>
                <c:ptCount val="1"/>
                <c:pt idx="0">
                  <c:v>收入</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{"2020","2021"}</c:f>
              <c:numCache>
                <c:formatCode>General</c:formatCode>
                <c:ptCount val="2"/>
                <c:pt idx="0">
                  <c:v>2020</c:v>
                </c:pt>
                <c:pt idx="1">
                  <c:v>2021</c:v>
                </c:pt>
              </c:numCache>
            </c:numRef>
          </c:cat>
          <c:val>
            <c:numRef>
              <c:f>{299.47,377.43}</c:f>
              <c:numCache>
                <c:formatCode>General</c:formatCode>
                <c:ptCount val="2"/>
                <c:pt idx="0">
                  <c:v>299.47</c:v>
                </c:pt>
                <c:pt idx="1">
                  <c:v>377.43</c:v>
                </c:pt>
              </c:numCache>
            </c:numRef>
          </c:val>
        </c:ser>
        <c:ser>
          <c:idx val="2"/>
          <c:order val="1"/>
          <c:tx>
            <c:strRef>
              <c:f>支出</c:f>
              <c:strCache>
                <c:ptCount val="1"/>
                <c:pt idx="0">
                  <c:v>支出</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{"2020","2021"}</c:f>
              <c:numCache>
                <c:formatCode>General</c:formatCode>
                <c:ptCount val="2"/>
                <c:pt idx="0">
                  <c:v>2020</c:v>
                </c:pt>
                <c:pt idx="1">
                  <c:v>2021</c:v>
                </c:pt>
              </c:numCache>
            </c:numRef>
          </c:cat>
          <c:val>
            <c:numRef>
              <c:f>{299.47,377.43}</c:f>
              <c:numCache>
                <c:formatCode>General</c:formatCode>
                <c:ptCount val="2"/>
                <c:pt idx="0">
                  <c:v>299.47</c:v>
                </c:pt>
                <c:pt idx="1">
                  <c:v>377.43</c:v>
                </c:pt>
              </c:numCache>
            </c:numRef>
          </c:val>
        </c:ser>
        <c:dLbls>
          <c:showLegendKey val="false"/>
          <c:showVal val="true"/>
          <c:showCatName val="false"/>
          <c:showSerName val="false"/>
          <c:showPercent val="false"/>
          <c:showBubbleSize val="false"/>
        </c:dLbls>
        <c:gapWidth val="41"/>
        <c:axId val="58311424"/>
        <c:axId val="58313344"/>
      </c:barChart>
      <c:catAx>
        <c:axId val="58311424"/>
        <c:scaling>
          <c:orientation val="minMax"/>
        </c:scaling>
        <c:delete val="false"/>
        <c:axPos val="b"/>
        <c:title>
          <c:tx>
            <c:rich>
              <a:bodyPr rot="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false"/>
        </c:title>
        <c:numFmt formatCode="General" sourceLinked="fals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dk1">
                    <a:lumMod val="65000"/>
                    <a:lumOff val="35000"/>
                  </a:schemeClr>
                </a:solidFill>
                <a:effectLst/>
                <a:latin typeface="+mn-lt"/>
                <a:ea typeface="+mn-ea"/>
                <a:cs typeface="+mn-cs"/>
              </a:defRPr>
            </a:pPr>
          </a:p>
        </c:txPr>
        <c:crossAx val="58313344"/>
        <c:crosses val="autoZero"/>
        <c:auto val="true"/>
        <c:lblAlgn val="ctr"/>
        <c:lblOffset val="100"/>
        <c:noMultiLvlLbl val="false"/>
      </c:catAx>
      <c:valAx>
        <c:axId val="58313344"/>
        <c:scaling>
          <c:orientation val="minMax"/>
        </c:scaling>
        <c:delete val="true"/>
        <c:axPos val="l"/>
        <c:title>
          <c:tx>
            <c:rich>
              <a:bodyPr rot="-540000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false"/>
        </c:title>
        <c:numFmt formatCode="General" sourceLinked="true"/>
        <c:majorTickMark val="none"/>
        <c:minorTickMark val="none"/>
        <c:tickLblPos val="none"/>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58311424"/>
        <c:crosses val="autoZero"/>
        <c:crossBetween val="between"/>
      </c:valAx>
      <c:spPr>
        <a:noFill/>
        <a:ln>
          <a:noFill/>
        </a:ln>
        <a:effectLst/>
      </c:spPr>
    </c:plotArea>
    <c:legend>
      <c:legendPos val="r"/>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mn-lt"/>
              <a:ea typeface="+mn-ea"/>
              <a:cs typeface="+mn-cs"/>
            </a:defRPr>
          </a:pPr>
        </a:p>
      </c:txPr>
    </c:legend>
    <c:plotVisOnly val="true"/>
    <c:dispBlanksAs val="gap"/>
    <c:showDLblsOverMax val="false"/>
  </c:chart>
  <c:spPr>
    <a:gradFill flip="none" rotWithShape="true">
      <a:gsLst>
        <a:gs pos="0">
          <a:schemeClr val="lt1"/>
        </a:gs>
        <a:gs pos="68000">
          <a:schemeClr val="lt1">
            <a:lumMod val="85000"/>
          </a:schemeClr>
        </a:gs>
        <a:gs pos="100000">
          <a:schemeClr val="lt1"/>
        </a:gs>
      </a:gsLst>
      <a:lin ang="5400000" scaled="true"/>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false"/>
    </c:title>
    <c:autoTitleDeleted val="false"/>
    <c:plotArea>
      <c:layout>
        <c:manualLayout>
          <c:layoutTarget val="inner"/>
          <c:xMode val="edge"/>
          <c:yMode val="edge"/>
          <c:x val="0.0941482572410408"/>
          <c:y val="0.213150579150579"/>
          <c:w val="0.443024054982818"/>
          <c:h val="0.696864864864865"/>
        </c:manualLayout>
      </c:layout>
      <c:pieChart>
        <c:varyColors val="true"/>
        <c:ser>
          <c:idx val="1"/>
          <c:order val="0"/>
          <c:explosion val="0"/>
          <c:dPt>
            <c:idx val="0"/>
            <c:bubble3D val="false"/>
          </c:dPt>
          <c:dPt>
            <c:idx val="1"/>
            <c:bubble3D val="false"/>
          </c:dPt>
          <c:dPt>
            <c:idx val="2"/>
            <c:bubble3D val="false"/>
          </c:dPt>
          <c:dPt>
            <c:idx val="3"/>
            <c:bubble3D val="false"/>
          </c:dPt>
          <c:dPt>
            <c:idx val="4"/>
            <c:bubble3D val="false"/>
          </c:dPt>
          <c:dPt>
            <c:idx val="5"/>
            <c:bubble3D val="false"/>
          </c:dPt>
          <c:dPt>
            <c:idx val="6"/>
            <c:bubble3D val="false"/>
          </c:dPt>
          <c:dPt>
            <c:idx val="7"/>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{3774347.8,0,0,0,0,0,0,0}</c:f>
              <c:numCache>
                <c:formatCode>General</c:formatCode>
                <c:ptCount val="8"/>
                <c:pt idx="0">
                  <c:v>3774347.8</c:v>
                </c:pt>
                <c:pt idx="1">
                  <c:v>0</c:v>
                </c:pt>
                <c:pt idx="2">
                  <c:v>0</c:v>
                </c:pt>
                <c:pt idx="3">
                  <c:v>0</c:v>
                </c:pt>
                <c:pt idx="4">
                  <c:v>0</c:v>
                </c:pt>
                <c:pt idx="5">
                  <c:v>0</c:v>
                </c:pt>
                <c:pt idx="6">
                  <c:v>0</c:v>
                </c:pt>
                <c:pt idx="7">
                  <c:v>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zero"/>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false"/>
    </c:title>
    <c:autoTitleDeleted val="false"/>
    <c:plotArea>
      <c:layout/>
      <c:pieChart>
        <c:varyColors val="true"/>
        <c:ser>
          <c:idx val="1"/>
          <c:order val="0"/>
          <c:explosion val="0"/>
          <c:dPt>
            <c:idx val="0"/>
            <c:bubble3D val="false"/>
          </c:dPt>
          <c:dPt>
            <c:idx val="1"/>
            <c:bubble3D val="false"/>
          </c:dPt>
          <c:dPt>
            <c:idx val="2"/>
            <c:bubble3D val="false"/>
          </c:dPt>
          <c:dPt>
            <c:idx val="3"/>
            <c:bubble3D val="false"/>
          </c:dPt>
          <c:dPt>
            <c:idx val="4"/>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{3774347.8,0,0,0,0}</c:f>
              <c:numCache>
                <c:formatCode>General</c:formatCode>
                <c:ptCount val="5"/>
                <c:pt idx="0">
                  <c:v>3774347.8</c:v>
                </c:pt>
                <c:pt idx="1">
                  <c:v>0</c:v>
                </c:pt>
                <c:pt idx="2">
                  <c:v>0</c:v>
                </c:pt>
                <c:pt idx="3">
                  <c:v>0</c:v>
                </c:pt>
                <c:pt idx="4">
                  <c:v>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zero"/>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false"/>
      <c:spPr>
        <a:noFill/>
        <a:ln>
          <a:noFill/>
        </a:ln>
        <a:effectLst/>
      </c:spPr>
    </c:title>
    <c:autoTitleDeleted val="false"/>
    <c:plotArea>
      <c:layout/>
      <c:barChart>
        <c:barDir val="col"/>
        <c:grouping val="clustered"/>
        <c:varyColors val="false"/>
        <c:ser>
          <c:idx val="1"/>
          <c:order val="0"/>
          <c:tx>
            <c:strRef>
              <c:f>收入</c:f>
              <c:strCache>
                <c:ptCount val="1"/>
                <c:pt idx="0">
                  <c:v>收入</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{"2020","2021"}</c:f>
              <c:numCache>
                <c:formatCode>General</c:formatCode>
                <c:ptCount val="2"/>
                <c:pt idx="0">
                  <c:v>2020</c:v>
                </c:pt>
                <c:pt idx="1">
                  <c:v>2021</c:v>
                </c:pt>
              </c:numCache>
            </c:numRef>
          </c:cat>
          <c:val>
            <c:numRef>
              <c:f>{299.47,377.43}</c:f>
              <c:numCache>
                <c:formatCode>General</c:formatCode>
                <c:ptCount val="2"/>
                <c:pt idx="0">
                  <c:v>299.47</c:v>
                </c:pt>
                <c:pt idx="1">
                  <c:v>377.43</c:v>
                </c:pt>
              </c:numCache>
            </c:numRef>
          </c:val>
        </c:ser>
        <c:ser>
          <c:idx val="2"/>
          <c:order val="1"/>
          <c:tx>
            <c:strRef>
              <c:f>支出</c:f>
              <c:strCache>
                <c:ptCount val="1"/>
                <c:pt idx="0">
                  <c:v>支出</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numRef>
              <c:f>{"2020","2021"}</c:f>
              <c:numCache>
                <c:formatCode>General</c:formatCode>
                <c:ptCount val="2"/>
                <c:pt idx="0">
                  <c:v>2020</c:v>
                </c:pt>
                <c:pt idx="1">
                  <c:v>2021</c:v>
                </c:pt>
              </c:numCache>
            </c:numRef>
          </c:cat>
          <c:val>
            <c:numRef>
              <c:f>{299.47,377.43}</c:f>
              <c:numCache>
                <c:formatCode>General</c:formatCode>
                <c:ptCount val="2"/>
                <c:pt idx="0">
                  <c:v>299.47</c:v>
                </c:pt>
                <c:pt idx="1">
                  <c:v>377.43</c:v>
                </c:pt>
              </c:numCache>
            </c:numRef>
          </c:val>
        </c:ser>
        <c:dLbls>
          <c:showLegendKey val="false"/>
          <c:showVal val="true"/>
          <c:showCatName val="false"/>
          <c:showSerName val="false"/>
          <c:showPercent val="false"/>
          <c:showBubbleSize val="false"/>
        </c:dLbls>
        <c:gapWidth val="100"/>
        <c:overlap val="-24"/>
        <c:axId val="55405952"/>
        <c:axId val="55408128"/>
      </c:barChart>
      <c:catAx>
        <c:axId val="55405952"/>
        <c:scaling>
          <c:orientation val="minMax"/>
        </c:scaling>
        <c:delete val="false"/>
        <c:axPos val="b"/>
        <c:title>
          <c:tx>
            <c:rich>
              <a:bodyPr rot="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false"/>
        </c:title>
        <c:numFmt formatCode="General" sourceLinked="false"/>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true"/>
          <a:lstStyle/>
          <a:p>
            <a:pPr>
              <a:defRPr lang="zh-CN" sz="900" b="0" i="0" u="none" strike="noStrike" kern="1200" baseline="0">
                <a:solidFill>
                  <a:schemeClr val="tx2"/>
                </a:solidFill>
                <a:latin typeface="+mn-lt"/>
                <a:ea typeface="+mn-ea"/>
                <a:cs typeface="+mn-cs"/>
              </a:defRPr>
            </a:pPr>
          </a:p>
        </c:txPr>
        <c:crossAx val="55408128"/>
        <c:crosses val="autoZero"/>
        <c:auto val="true"/>
        <c:lblAlgn val="ctr"/>
        <c:lblOffset val="100"/>
        <c:noMultiLvlLbl val="false"/>
      </c:catAx>
      <c:valAx>
        <c:axId val="55408128"/>
        <c:scaling>
          <c:orientation val="minMax"/>
        </c:scaling>
        <c:delete val="false"/>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false"/>
        </c:title>
        <c:numFmt formatCode="General" sourceLinked="tru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2"/>
                </a:solidFill>
                <a:latin typeface="+mn-lt"/>
                <a:ea typeface="+mn-ea"/>
                <a:cs typeface="+mn-cs"/>
              </a:defRPr>
            </a:pPr>
          </a:p>
        </c:txPr>
        <c:crossAx val="55405952"/>
        <c:crosses val="autoZero"/>
        <c:crossBetween val="between"/>
      </c:valAx>
      <c:spPr>
        <a:noFill/>
        <a:ln>
          <a:noFill/>
        </a:ln>
        <a:effectLst/>
      </c:spPr>
    </c:plotArea>
    <c:legend>
      <c:legendPos val="r"/>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2"/>
              </a:solidFill>
              <a:latin typeface="+mn-lt"/>
              <a:ea typeface="+mn-ea"/>
              <a:cs typeface="+mn-cs"/>
            </a:defRPr>
          </a:pPr>
        </a:p>
      </c:txPr>
    </c:legend>
    <c:plotVisOnly val="true"/>
    <c:dispBlanksAs val="gap"/>
    <c:showDLblsOverMax val="false"/>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false"/>
      <c:spPr>
        <a:noFill/>
        <a:ln>
          <a:noFill/>
        </a:ln>
        <a:effectLst/>
      </c:spPr>
    </c:title>
    <c:autoTitleDeleted val="false"/>
    <c:plotArea>
      <c:layout>
        <c:manualLayout>
          <c:layoutTarget val="inner"/>
          <c:xMode val="edge"/>
          <c:yMode val="edge"/>
          <c:x val="0.0736333103993069"/>
          <c:y val="0.199582873033408"/>
          <c:w val="0.767623678108199"/>
          <c:h val="0.708506514060342"/>
        </c:manualLayout>
      </c:layout>
      <c:barChart>
        <c:barDir val="col"/>
        <c:grouping val="clustered"/>
        <c:varyColors val="false"/>
        <c:ser>
          <c:idx val="1"/>
          <c:order val="0"/>
          <c:tx>
            <c:strRef>
              <c:f>2020</c:f>
              <c:strCache>
                <c:ptCount val="1"/>
                <c:pt idx="0">
                  <c:v>2020</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{"一般公共预算财政拨款支出"}</c:f>
              <c:strCache>
                <c:ptCount val="1"/>
                <c:pt idx="0">
                  <c:v>一般公共预算财政拨款支出</c:v>
                </c:pt>
              </c:strCache>
            </c:strRef>
          </c:cat>
          <c:val>
            <c:numRef>
              <c:f>{299.47}</c:f>
              <c:numCache>
                <c:formatCode>General</c:formatCode>
                <c:ptCount val="1"/>
                <c:pt idx="0">
                  <c:v>299.47</c:v>
                </c:pt>
              </c:numCache>
            </c:numRef>
          </c:val>
        </c:ser>
        <c:ser>
          <c:idx val="2"/>
          <c:order val="1"/>
          <c:tx>
            <c:strRef>
              <c:f>2021</c:f>
              <c:strCache>
                <c:ptCount val="1"/>
                <c:pt idx="0">
                  <c:v>2021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{"一般公共预算财政拨款支出"}</c:f>
              <c:strCache>
                <c:ptCount val="1"/>
                <c:pt idx="0">
                  <c:v>一般公共预算财政拨款支出</c:v>
                </c:pt>
              </c:strCache>
            </c:strRef>
          </c:cat>
          <c:val>
            <c:numRef>
              <c:f>{377.43}</c:f>
              <c:numCache>
                <c:formatCode>General</c:formatCode>
                <c:ptCount val="1"/>
                <c:pt idx="0">
                  <c:v>377.43</c:v>
                </c:pt>
              </c:numCache>
            </c:numRef>
          </c:val>
        </c:ser>
        <c:dLbls>
          <c:showLegendKey val="false"/>
          <c:showVal val="true"/>
          <c:showCatName val="false"/>
          <c:showSerName val="false"/>
          <c:showPercent val="false"/>
          <c:showBubbleSize val="false"/>
        </c:dLbls>
        <c:gapWidth val="100"/>
        <c:overlap val="-24"/>
        <c:axId val="56970240"/>
        <c:axId val="56976512"/>
      </c:barChart>
      <c:catAx>
        <c:axId val="56970240"/>
        <c:scaling>
          <c:orientation val="minMax"/>
        </c:scaling>
        <c:delete val="true"/>
        <c:axPos val="b"/>
        <c:title>
          <c:tx>
            <c:rich>
              <a:bodyPr rot="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false"/>
        </c:title>
        <c:numFmt formatCode="General" sourceLinked="false"/>
        <c:majorTickMark val="none"/>
        <c:minorTickMark val="none"/>
        <c:tickLblPos val="none"/>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56976512"/>
        <c:crosses val="autoZero"/>
        <c:auto val="true"/>
        <c:lblAlgn val="ctr"/>
        <c:lblOffset val="100"/>
        <c:noMultiLvlLbl val="false"/>
      </c:catAx>
      <c:valAx>
        <c:axId val="56976512"/>
        <c:scaling>
          <c:orientation val="minMax"/>
        </c:scaling>
        <c:delete val="false"/>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true"/>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false"/>
        </c:title>
        <c:numFmt formatCode="General" sourceLinked="tru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6970240"/>
        <c:crosses val="autoZero"/>
        <c:crossBetween val="between"/>
      </c:valAx>
      <c:spPr>
        <a:noFill/>
        <a:ln>
          <a:noFill/>
        </a:ln>
        <a:effectLst/>
      </c:spPr>
    </c:plotArea>
    <c:legend>
      <c:legendPos val="r"/>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false"/>
    </c:title>
    <c:autoTitleDeleted val="false"/>
    <c:plotArea>
      <c:layout/>
      <c:pieChart>
        <c:varyColors val="true"/>
        <c:ser>
          <c:idx val="1"/>
          <c:order val="0"/>
          <c:explosion val="0"/>
          <c:dPt>
            <c:idx val="0"/>
            <c:bubble3D val="false"/>
          </c:dPt>
          <c:dPt>
            <c:idx val="1"/>
            <c:bubble3D val="false"/>
          </c:dPt>
          <c:dPt>
            <c:idx val="2"/>
            <c:bubble3D val="false"/>
          </c:dPt>
          <c:dPt>
            <c:idx val="3"/>
            <c:bubble3D val="false"/>
          </c:dPt>
          <c:dLbls>
            <c:dLbl>
              <c:idx val="0"/>
              <c:layout>
                <c:manualLayout>
                  <c:x val="0.0198958538326629"/>
                  <c:y val="0.046986052917972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109579755367633"/>
                  <c:y val="-0.026817618747528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319996649778915"/>
                  <c:y val="-0.020766876604496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100720816191653"/>
                  <c:y val="-0.031751215728124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{"一般公共服务支出","社会保障和就业支出","卫生健康支出","住房保障支出"}</c:f>
              <c:strCache>
                <c:ptCount val="4"/>
                <c:pt idx="0">
                  <c:v>一般公共服务支出</c:v>
                </c:pt>
                <c:pt idx="1">
                  <c:v>社会保障和就业支出</c:v>
                </c:pt>
                <c:pt idx="2">
                  <c:v>卫生健康支出</c:v>
                </c:pt>
                <c:pt idx="3">
                  <c:v>住房保障支出</c:v>
                </c:pt>
              </c:strCache>
            </c:strRef>
          </c:cat>
          <c:val>
            <c:numRef>
              <c:f>{284.07,43.99,17.76,31.62}</c:f>
              <c:numCache>
                <c:formatCode>General</c:formatCode>
                <c:ptCount val="4"/>
                <c:pt idx="0">
                  <c:v>284.07</c:v>
                </c:pt>
                <c:pt idx="1">
                  <c:v>43.99</c:v>
                </c:pt>
                <c:pt idx="2">
                  <c:v>17.76</c:v>
                </c:pt>
                <c:pt idx="3">
                  <c:v>31.62</c:v>
                </c:pt>
              </c:numCache>
            </c:numRef>
          </c:val>
        </c:ser>
        <c:dLbls>
          <c:showLegendKey val="false"/>
          <c:showVal val="tru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true"/>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false"/>
    </c:title>
    <c:autoTitleDeleted val="false"/>
    <c:plotArea>
      <c:layout/>
      <c:pieChart>
        <c:varyColors val="true"/>
        <c:ser>
          <c:idx val="1"/>
          <c:order val="0"/>
          <c:explosion val="0"/>
          <c:dPt>
            <c:idx val="0"/>
            <c:bubble3D val="false"/>
          </c:dPt>
          <c:dPt>
            <c:idx val="1"/>
            <c:bubble3D val="false"/>
          </c:dPt>
          <c:dPt>
            <c:idx val="2"/>
            <c:bubble3D val="false"/>
          </c:dPt>
          <c:dLbls>
            <c:dLbl>
              <c:idx val="0"/>
              <c:layout>
                <c:manualLayout>
                  <c:x val="0.00691308300346918"/>
                  <c:y val="-0.04063635807672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945527412283682"/>
                  <c:y val="0.0050620386084641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84552030210257"/>
                  <c:y val="-0.036829097781236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false"/>
          <c:showVal val="tru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21</Pages>
  <Words>6724</Words>
  <Characters>7619</Characters>
  <Lines>99</Lines>
  <Paragraphs>27</Paragraphs>
  <TotalTime>1</TotalTime>
  <ScaleCrop>false</ScaleCrop>
  <LinksUpToDate>false</LinksUpToDate>
  <CharactersWithSpaces>7801</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2022-08-17T09:31:00Z</dcterms:created>
  <dc:creator>lgk</dc:creator>
  <cp:lastModifiedBy>军魂不变</cp:lastModifiedBy>
  <cp:lastPrinted>2022-09-28T10:03:00Z</cp:lastPrinted>
  <dcterms:modified xsi:type="dcterms:W3CDTF">2022-09-29T17:32:56Z</dcterms:modified>
  <dc:title>四川省决算编制说明</dc:title>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B93CA6F4BEAD4F359769D1203595D585</vt:lpwstr>
  </property>
</Properties>
</file>