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财政局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9"/>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（二）2023年重点工作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keepNext w:val="0"/>
        <w:keepLines w:val="0"/>
        <w:pageBreakBefore w:val="0"/>
        <w:kinsoku/>
        <w:wordWrap/>
        <w:overflowPunct/>
        <w:topLinePunct w:val="0"/>
        <w:autoSpaceDE/>
        <w:autoSpaceDN/>
        <w:bidi w:val="0"/>
        <w:spacing w:line="570" w:lineRule="exact"/>
        <w:ind w:firstLine="640"/>
        <w:textAlignment w:val="auto"/>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kinsoku/>
        <w:wordWrap/>
        <w:overflowPunct/>
        <w:topLinePunct w:val="0"/>
        <w:autoSpaceDE/>
        <w:autoSpaceDN/>
        <w:bidi w:val="0"/>
        <w:spacing w:line="570" w:lineRule="exact"/>
        <w:ind w:firstLine="643" w:firstLineChars="200"/>
        <w:textAlignment w:val="auto"/>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1.拟订全县财税发展战略、规划和改革方案并组织实施。分析预测宏观经济形势，参与执行宏观经济政策，提出运用财税政策实施宏观调控和综合平衡社会财力的建议。贯彻落实国家与企业的分配政策及公益事业发展的财税政策。</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2.贯彻执行财政、税收、财务、会计管理的法律法规和规章。按照管理权限管理全县税政事项。</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 xml:space="preserve">3.负责管理各项财政收支。编制年度县级预决算草案并组织执行。组织制定经费开支标准、定额，审核批复部门（单位）年度预决算。受县人民政府委托，向县人大及其常委会报告财政预算、执行和决算等情况。负责政府投资基金县级财政出资的资产管理。负责县级预决算公开。负责全面实施预算绩效管理。 </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4.按分工负责政府非税收入管理。负责政府性基金管理，按规定管理行政事业性收费等其他非税收入。管理财政票据。执行彩票管理政策和有关办法。</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5.组织制定全县国库管理制度、国库集中收付制度，指导和监督国库业务，开展国库现金管理工作。贯彻执行政府财务报告编制办法并组织实施。执行制定政府采购制度并监督管理。</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6.贯彻执行地方政府债务管理制度和政策， 制定具体管理办法，编制地方政府债余额限额计划，统一管理政府外债，防范财政风险。</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7.牵头编制全县国有资产管理情况报告。拟订全县行政事业单位国有资产管理制度并组织实施。执行全州统一规定的开支标准和支出政策。</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8.负责审核并汇总编制全县国有资本经营预决算草案。制定国有资本经营预算制度和办法，收取县本级企业国有资本收益。组织实施企业财务制度，负责财政预算内行政事业单位和社会团体的非贸易外汇和财政预算内的国际收支管理。</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9.负责审核并汇总编制全县社会保险基金预决算草案，会同有关部门拟订有关资金（基金）财务管理制度，承担社会保险基金财政监管工作。</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 xml:space="preserve">10.负责办理和监督县级财政的经济发展支出、县级政府性投资项目的财政拨款，负责投资评审管理工作，执行基建投资 </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11.管理外国政府和国际金融机构贷（赠）款项目 的有关业务，参与财经领域的国际交流与合作。</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12.负责管理全县会计工作，监督和规范会计行为， 组织实施国家统一的会计制度，指导和监督注册会计师和会计师事务所的业务，指导和管理社会审计。依法管理资产评估有关工作。</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13.负责职责范围内的安全生产和职业健康、生态环境保护、审批服务便民化等工作。</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lang w:bidi="en-US"/>
        </w:rPr>
        <w:t>14.完成县委、县人民政府交办的其他任务。</w:t>
      </w:r>
    </w:p>
    <w:p>
      <w:pPr>
        <w:keepNext w:val="0"/>
        <w:keepLines w:val="0"/>
        <w:pageBreakBefore w:val="0"/>
        <w:kinsoku/>
        <w:wordWrap/>
        <w:overflowPunct/>
        <w:topLinePunct w:val="0"/>
        <w:autoSpaceDE/>
        <w:autoSpaceDN/>
        <w:bidi w:val="0"/>
        <w:spacing w:line="570" w:lineRule="exact"/>
        <w:ind w:firstLine="643" w:firstLineChars="200"/>
        <w:textAlignment w:val="auto"/>
        <w:rPr>
          <w:rFonts w:hint="eastAsia" w:ascii="楷体_GB2312" w:hAnsi="楷体" w:eastAsia="楷体_GB2312"/>
          <w:b/>
          <w:sz w:val="32"/>
          <w:szCs w:val="32"/>
        </w:rPr>
      </w:pPr>
      <w:r>
        <w:rPr>
          <w:rFonts w:hint="eastAsia" w:ascii="楷体_GB2312" w:hAnsi="楷体" w:eastAsia="楷体_GB2312"/>
          <w:b/>
          <w:sz w:val="32"/>
          <w:szCs w:val="32"/>
        </w:rPr>
        <w:t>（二）2023年重点工作</w:t>
      </w:r>
    </w:p>
    <w:p>
      <w:pPr>
        <w:keepNext w:val="0"/>
        <w:keepLines w:val="0"/>
        <w:pageBreakBefore w:val="0"/>
        <w:pBdr>
          <w:bottom w:val="single" w:color="FFFFFF" w:sz="4" w:space="28"/>
        </w:pBdr>
        <w:kinsoku/>
        <w:wordWrap/>
        <w:overflowPunct/>
        <w:topLinePunct w:val="0"/>
        <w:autoSpaceDE/>
        <w:autoSpaceDN/>
        <w:bidi w:val="0"/>
        <w:adjustRightInd w:val="0"/>
        <w:snapToGrid w:val="0"/>
        <w:spacing w:line="570" w:lineRule="exact"/>
        <w:ind w:right="210" w:rightChars="100" w:firstLine="630" w:firstLineChars="196"/>
        <w:textAlignment w:val="auto"/>
        <w:rPr>
          <w:rFonts w:ascii="仿宋_GB2312" w:hAnsi="Book Antiqua" w:eastAsia="仿宋_GB2312" w:cs="仿宋_GB2312"/>
          <w:sz w:val="32"/>
          <w:szCs w:val="32"/>
        </w:rPr>
      </w:pPr>
      <w:r>
        <w:rPr>
          <w:rStyle w:val="8"/>
          <w:rFonts w:hint="eastAsia" w:ascii="楷体_GB2312" w:hAnsi="Times New Roman" w:eastAsia="楷体_GB2312"/>
          <w:sz w:val="32"/>
          <w:szCs w:val="32"/>
          <w:lang w:val="en-US" w:eastAsia="zh-CN"/>
        </w:rPr>
        <w:t>1.</w:t>
      </w:r>
      <w:r>
        <w:rPr>
          <w:rStyle w:val="8"/>
          <w:rFonts w:hint="eastAsia" w:ascii="楷体_GB2312" w:hAnsi="Times New Roman" w:eastAsia="楷体_GB2312"/>
          <w:sz w:val="32"/>
          <w:szCs w:val="32"/>
        </w:rPr>
        <w:t>加大预算收入统筹力度,增强财政保障能力。</w:t>
      </w:r>
      <w:r>
        <w:rPr>
          <w:rFonts w:hint="eastAsia" w:ascii="仿宋_GB2312" w:hAnsi="Book Antiqua" w:eastAsia="仿宋_GB2312" w:cs="楷体_GB2312"/>
          <w:b/>
          <w:sz w:val="32"/>
          <w:szCs w:val="32"/>
        </w:rPr>
        <w:t>一是</w:t>
      </w:r>
      <w:r>
        <w:rPr>
          <w:rFonts w:hint="eastAsia" w:ascii="仿宋_GB2312" w:hAnsi="Book Antiqua" w:eastAsia="仿宋_GB2312" w:cs="楷体_GB2312"/>
          <w:sz w:val="32"/>
          <w:szCs w:val="32"/>
        </w:rPr>
        <w:t>依法依规组织收入。狠抓财税收入组织，挖潜力促征收，</w:t>
      </w:r>
      <w:r>
        <w:rPr>
          <w:rStyle w:val="8"/>
          <w:rFonts w:hint="eastAsia" w:ascii="仿宋_GB2312" w:hAnsi="Times New Roman" w:eastAsia="仿宋_GB2312"/>
          <w:b w:val="0"/>
          <w:sz w:val="32"/>
          <w:szCs w:val="32"/>
        </w:rPr>
        <w:t>在严格落实减税降费政策基础上实现应收尽收，确保各项收入及时足额入库，</w:t>
      </w:r>
      <w:r>
        <w:rPr>
          <w:rFonts w:hint="eastAsia" w:ascii="仿宋_GB2312" w:hAnsi="Book Antiqua" w:eastAsia="仿宋_GB2312"/>
          <w:kern w:val="0"/>
          <w:sz w:val="32"/>
          <w:szCs w:val="32"/>
        </w:rPr>
        <w:t>圆满完成明年县级财政收入目标任务。</w:t>
      </w:r>
      <w:r>
        <w:rPr>
          <w:rFonts w:hint="eastAsia" w:ascii="仿宋_GB2312" w:hAnsi="Book Antiqua" w:eastAsia="仿宋_GB2312"/>
          <w:b/>
          <w:kern w:val="0"/>
          <w:sz w:val="32"/>
          <w:szCs w:val="32"/>
        </w:rPr>
        <w:t>二是</w:t>
      </w:r>
      <w:r>
        <w:rPr>
          <w:rFonts w:hint="eastAsia" w:ascii="仿宋_GB2312" w:hAnsi="Book Antiqua" w:eastAsia="仿宋_GB2312"/>
          <w:kern w:val="0"/>
          <w:sz w:val="32"/>
          <w:szCs w:val="32"/>
        </w:rPr>
        <w:t>落实“三项资金”清理制度，加强财政统筹盘活力度，进一步加强地方预算执行，防止资金闲置浪费、绩效低下。</w:t>
      </w:r>
      <w:r>
        <w:rPr>
          <w:rFonts w:hint="eastAsia" w:ascii="仿宋_GB2312" w:hAnsi="Book Antiqua" w:eastAsia="仿宋_GB2312"/>
          <w:b/>
          <w:kern w:val="0"/>
          <w:sz w:val="32"/>
          <w:szCs w:val="32"/>
        </w:rPr>
        <w:t>三是</w:t>
      </w:r>
      <w:r>
        <w:rPr>
          <w:rFonts w:hint="eastAsia" w:ascii="仿宋_GB2312" w:hAnsi="Book Antiqua" w:eastAsia="仿宋_GB2312"/>
          <w:kern w:val="0"/>
          <w:sz w:val="32"/>
          <w:szCs w:val="32"/>
        </w:rPr>
        <w:t>加大上级资金争取力度。紧盯中央、省加大转移支付和债券资金发行力度等经济调控政策机遇，积极争取上级资金，提高财政保障能力。</w:t>
      </w:r>
    </w:p>
    <w:p>
      <w:pPr>
        <w:keepNext w:val="0"/>
        <w:keepLines w:val="0"/>
        <w:pageBreakBefore w:val="0"/>
        <w:pBdr>
          <w:bottom w:val="single" w:color="FFFFFF" w:sz="4" w:space="28"/>
        </w:pBdr>
        <w:kinsoku/>
        <w:wordWrap/>
        <w:overflowPunct/>
        <w:topLinePunct w:val="0"/>
        <w:autoSpaceDE/>
        <w:autoSpaceDN/>
        <w:bidi w:val="0"/>
        <w:adjustRightInd w:val="0"/>
        <w:snapToGrid w:val="0"/>
        <w:spacing w:line="570" w:lineRule="exact"/>
        <w:ind w:right="210" w:rightChars="100" w:firstLine="630" w:firstLineChars="196"/>
        <w:textAlignment w:val="auto"/>
        <w:rPr>
          <w:rFonts w:ascii="仿宋_GB2312" w:hAnsi="Book Antiqua" w:eastAsia="仿宋_GB2312" w:cs="仿宋_GB2312"/>
          <w:sz w:val="32"/>
          <w:szCs w:val="32"/>
        </w:rPr>
      </w:pPr>
      <w:r>
        <w:rPr>
          <w:rStyle w:val="8"/>
          <w:rFonts w:hint="eastAsia" w:ascii="楷体_GB2312" w:hAnsi="Times New Roman" w:eastAsia="楷体_GB2312"/>
          <w:sz w:val="32"/>
          <w:szCs w:val="32"/>
          <w:lang w:val="en-US" w:eastAsia="zh-CN"/>
        </w:rPr>
        <w:t>2.</w:t>
      </w:r>
      <w:r>
        <w:rPr>
          <w:rStyle w:val="8"/>
          <w:rFonts w:hint="eastAsia" w:ascii="楷体_GB2312" w:hAnsi="Times New Roman" w:eastAsia="楷体_GB2312"/>
          <w:sz w:val="32"/>
          <w:szCs w:val="32"/>
        </w:rPr>
        <w:t>严控一般性支出,建立节约型保障机制。</w:t>
      </w:r>
      <w:r>
        <w:rPr>
          <w:rFonts w:ascii="Book Antiqua" w:hAnsi="Book Antiqua" w:eastAsia="仿宋_GB2312"/>
          <w:sz w:val="32"/>
          <w:szCs w:val="32"/>
        </w:rPr>
        <w:t>坚持</w:t>
      </w:r>
      <w:r>
        <w:rPr>
          <w:rFonts w:hint="eastAsia" w:ascii="Book Antiqua" w:hAnsi="Book Antiqua" w:eastAsia="仿宋_GB2312"/>
          <w:sz w:val="32"/>
          <w:szCs w:val="32"/>
        </w:rPr>
        <w:t>“</w:t>
      </w:r>
      <w:r>
        <w:rPr>
          <w:rFonts w:ascii="Book Antiqua" w:hAnsi="Book Antiqua" w:eastAsia="仿宋_GB2312"/>
          <w:sz w:val="32"/>
          <w:szCs w:val="32"/>
        </w:rPr>
        <w:t>保基本民生、保工资、保运转</w:t>
      </w:r>
      <w:r>
        <w:rPr>
          <w:rFonts w:hint="eastAsia" w:ascii="Book Antiqua" w:hAnsi="Book Antiqua" w:eastAsia="仿宋_GB2312"/>
          <w:sz w:val="32"/>
          <w:szCs w:val="32"/>
        </w:rPr>
        <w:t>”</w:t>
      </w:r>
      <w:r>
        <w:rPr>
          <w:rFonts w:hint="eastAsia" w:ascii="仿宋_GB2312" w:hAnsi="Book Antiqua" w:eastAsia="仿宋_GB2312"/>
          <w:sz w:val="32"/>
          <w:szCs w:val="32"/>
        </w:rPr>
        <w:t>的财政资金保障序列，</w:t>
      </w:r>
      <w:r>
        <w:rPr>
          <w:rFonts w:hint="eastAsia" w:ascii="仿宋_GB2312" w:hAnsi="Book Antiqua" w:eastAsia="仿宋_GB2312"/>
          <w:kern w:val="0"/>
          <w:sz w:val="32"/>
          <w:szCs w:val="32"/>
        </w:rPr>
        <w:t>进一步调整优化支出结构，不折不扣落实政府过紧日子要求，厉行节约办一切事业，建立节约型财政保障机制，精打细算，持续降低行政成本，严控一般性支出，兜牢“三保”支出底线，集中财力保障疫情防控、森林草原防灭火、乡村振兴衔接、防汛抗旱等重点工作和消化暂付款，确保财政平稳运行。</w:t>
      </w:r>
    </w:p>
    <w:p>
      <w:pPr>
        <w:keepNext w:val="0"/>
        <w:keepLines w:val="0"/>
        <w:pageBreakBefore w:val="0"/>
        <w:pBdr>
          <w:bottom w:val="single" w:color="FFFFFF" w:sz="4" w:space="28"/>
        </w:pBdr>
        <w:kinsoku/>
        <w:wordWrap/>
        <w:overflowPunct/>
        <w:topLinePunct w:val="0"/>
        <w:autoSpaceDE/>
        <w:autoSpaceDN/>
        <w:bidi w:val="0"/>
        <w:adjustRightInd w:val="0"/>
        <w:snapToGrid w:val="0"/>
        <w:spacing w:line="570" w:lineRule="exact"/>
        <w:ind w:right="210" w:rightChars="100" w:firstLine="630" w:firstLineChars="196"/>
        <w:textAlignment w:val="auto"/>
        <w:rPr>
          <w:rStyle w:val="11"/>
          <w:rFonts w:ascii="仿宋_GB2312" w:hAnsi="Book Antiqua" w:eastAsia="仿宋_GB2312" w:cs="仿宋_GB2312"/>
          <w:sz w:val="32"/>
          <w:szCs w:val="32"/>
        </w:rPr>
      </w:pPr>
      <w:r>
        <w:rPr>
          <w:rStyle w:val="11"/>
          <w:rFonts w:hint="eastAsia" w:ascii="楷体_GB2312" w:hAnsi="Times New Roman" w:eastAsia="楷体_GB2312"/>
          <w:b/>
          <w:sz w:val="32"/>
          <w:szCs w:val="32"/>
          <w:lang w:val="en-US" w:eastAsia="zh-CN"/>
        </w:rPr>
        <w:t>3.</w:t>
      </w:r>
      <w:r>
        <w:rPr>
          <w:rStyle w:val="11"/>
          <w:rFonts w:hint="eastAsia" w:ascii="楷体_GB2312" w:hAnsi="Times New Roman" w:eastAsia="楷体_GB2312"/>
          <w:b/>
          <w:sz w:val="32"/>
          <w:szCs w:val="32"/>
        </w:rPr>
        <w:t>切实强化预算约束,提高预算管理水平。</w:t>
      </w:r>
      <w:r>
        <w:rPr>
          <w:rStyle w:val="11"/>
          <w:rFonts w:hint="eastAsia" w:ascii="仿宋_GB2312" w:hAnsi="Times New Roman" w:eastAsia="仿宋_GB2312"/>
          <w:sz w:val="32"/>
          <w:szCs w:val="32"/>
        </w:rPr>
        <w:t>牢固树立预算法治意识，提升依法理财水平，建设法治财政。规范预算执行，加强预算绩效管理，推进预算信息公开、不断提高预算管理的规范化、科学化、标准化水平和预算透明度，增强财政资源统筹能力，硬化预算刚性约束，提高资金使用绩效。主动接受人大监督，全面贯彻人大预算审查监督重点向支出预算和政策拓展的有关规定，积极配合推进人大预算联网监督。</w:t>
      </w:r>
    </w:p>
    <w:p>
      <w:pPr>
        <w:keepNext w:val="0"/>
        <w:keepLines w:val="0"/>
        <w:pageBreakBefore w:val="0"/>
        <w:pBdr>
          <w:bottom w:val="single" w:color="FFFFFF" w:sz="4" w:space="28"/>
        </w:pBdr>
        <w:kinsoku/>
        <w:wordWrap/>
        <w:overflowPunct/>
        <w:topLinePunct w:val="0"/>
        <w:autoSpaceDE/>
        <w:autoSpaceDN/>
        <w:bidi w:val="0"/>
        <w:adjustRightInd w:val="0"/>
        <w:snapToGrid w:val="0"/>
        <w:spacing w:line="570" w:lineRule="exact"/>
        <w:ind w:right="210" w:rightChars="100" w:firstLine="630" w:firstLineChars="196"/>
        <w:textAlignment w:val="auto"/>
        <w:rPr>
          <w:rStyle w:val="11"/>
          <w:rFonts w:hint="eastAsia" w:ascii="仿宋_GB2312" w:hAnsi="Times New Roman" w:eastAsia="仿宋_GB2312"/>
          <w:sz w:val="32"/>
          <w:szCs w:val="32"/>
        </w:rPr>
      </w:pPr>
      <w:r>
        <w:rPr>
          <w:rFonts w:hint="eastAsia" w:ascii="楷体_GB2312" w:hAnsi="Book Antiqua" w:eastAsia="楷体_GB2312" w:cs="仿宋_GB2312"/>
          <w:b/>
          <w:bCs/>
          <w:sz w:val="32"/>
          <w:szCs w:val="32"/>
          <w:lang w:val="en-US" w:eastAsia="zh-CN"/>
        </w:rPr>
        <w:t>4.</w:t>
      </w:r>
      <w:r>
        <w:rPr>
          <w:rFonts w:hint="eastAsia" w:ascii="楷体_GB2312" w:hAnsi="Book Antiqua" w:eastAsia="楷体_GB2312" w:cs="仿宋_GB2312"/>
          <w:b/>
          <w:bCs/>
          <w:sz w:val="32"/>
          <w:szCs w:val="32"/>
        </w:rPr>
        <w:t>加强风险防控,促进经济持续健康发展。</w:t>
      </w:r>
      <w:r>
        <w:rPr>
          <w:rFonts w:hint="eastAsia" w:ascii="仿宋_GB2312" w:hAnsi="Book Antiqua" w:eastAsia="仿宋_GB2312" w:cs="仿宋_GB2312"/>
          <w:b/>
          <w:bCs/>
          <w:sz w:val="32"/>
          <w:szCs w:val="32"/>
        </w:rPr>
        <w:t>一是</w:t>
      </w:r>
      <w:r>
        <w:rPr>
          <w:rFonts w:hint="eastAsia" w:ascii="仿宋_GB2312" w:hAnsi="Book Antiqua" w:eastAsia="仿宋_GB2312" w:cs="仿宋_GB2312"/>
          <w:sz w:val="32"/>
          <w:szCs w:val="32"/>
        </w:rPr>
        <w:t>狠抓财政监督检查。加大综合检查和专项检查力度，重点加强民生资金、衔接推进乡村振兴补助资金、直达资金等监督管理，提高财政资金使用效益。</w:t>
      </w:r>
      <w:r>
        <w:rPr>
          <w:rStyle w:val="11"/>
          <w:rFonts w:hint="eastAsia" w:ascii="仿宋_GB2312" w:hAnsi="Times New Roman" w:eastAsia="仿宋_GB2312"/>
          <w:b/>
          <w:sz w:val="32"/>
          <w:szCs w:val="32"/>
        </w:rPr>
        <w:t>二是</w:t>
      </w:r>
      <w:r>
        <w:rPr>
          <w:rStyle w:val="11"/>
          <w:rFonts w:hint="eastAsia" w:ascii="仿宋_GB2312" w:hAnsi="Times New Roman" w:eastAsia="仿宋_GB2312"/>
          <w:sz w:val="32"/>
          <w:szCs w:val="32"/>
        </w:rPr>
        <w:t>规范政府债务管理。加强地方政府债务限额管理和预算管理，有序稳妥化解债务；动态监控政府债务，切实完善政府债务风险防范和预警机制。</w:t>
      </w:r>
      <w:r>
        <w:rPr>
          <w:rStyle w:val="11"/>
          <w:rFonts w:hint="eastAsia" w:ascii="仿宋_GB2312" w:hAnsi="Times New Roman" w:eastAsia="仿宋_GB2312"/>
          <w:b/>
          <w:sz w:val="32"/>
          <w:szCs w:val="32"/>
        </w:rPr>
        <w:t>三是</w:t>
      </w:r>
      <w:r>
        <w:rPr>
          <w:rFonts w:hint="eastAsia" w:ascii="仿宋_GB2312" w:hAnsi="Book Antiqua" w:eastAsia="仿宋_GB2312" w:cs="仿宋_GB2312"/>
          <w:sz w:val="32"/>
          <w:szCs w:val="32"/>
        </w:rPr>
        <w:t>强化国库资金监管。完善账户管理和大额资金拨付监管机制，</w:t>
      </w:r>
      <w:r>
        <w:rPr>
          <w:rStyle w:val="11"/>
          <w:rFonts w:hint="eastAsia" w:ascii="仿宋_GB2312" w:hAnsi="Times New Roman" w:eastAsia="仿宋_GB2312"/>
          <w:sz w:val="32"/>
          <w:szCs w:val="32"/>
        </w:rPr>
        <w:t>加强库款运行动态监测，坚决遏制库款支付风险。</w:t>
      </w:r>
    </w:p>
    <w:p>
      <w:pPr>
        <w:keepNext w:val="0"/>
        <w:keepLines w:val="0"/>
        <w:pageBreakBefore w:val="0"/>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部门预算单位构成</w:t>
      </w:r>
    </w:p>
    <w:p>
      <w:pPr>
        <w:keepNext w:val="0"/>
        <w:keepLines w:val="0"/>
        <w:pageBreakBefore w:val="0"/>
        <w:pBdr>
          <w:bottom w:val="single" w:color="FFFFFF" w:sz="4" w:space="28"/>
        </w:pBdr>
        <w:kinsoku/>
        <w:wordWrap/>
        <w:overflowPunct/>
        <w:topLinePunct w:val="0"/>
        <w:autoSpaceDE/>
        <w:autoSpaceDN/>
        <w:bidi w:val="0"/>
        <w:adjustRightInd w:val="0"/>
        <w:snapToGrid w:val="0"/>
        <w:spacing w:line="570" w:lineRule="exact"/>
        <w:ind w:right="210" w:rightChars="100" w:firstLine="627" w:firstLineChars="196"/>
        <w:textAlignment w:val="auto"/>
        <w:rPr>
          <w:rFonts w:hint="eastAsia" w:ascii="仿宋_GB2312" w:eastAsia="仿宋_GB2312" w:cs="仿宋_GB2312"/>
          <w:sz w:val="32"/>
          <w:szCs w:val="32"/>
          <w:lang w:bidi="en-US"/>
        </w:rPr>
      </w:pPr>
      <w:r>
        <w:rPr>
          <w:rFonts w:hint="eastAsia" w:ascii="仿宋_GB2312" w:eastAsia="仿宋_GB2312" w:cs="仿宋_GB2312"/>
          <w:sz w:val="32"/>
          <w:szCs w:val="32"/>
          <w:lang w:bidi="en-US"/>
        </w:rPr>
        <w:t>本部门属一级预算单位，其中内设机构10个，下设2个事业股室。总编制42名,其中:行政编制13名,行政工勤编制2名，事业编制27名，事业工勤编制0名。在职人员总数</w:t>
      </w:r>
      <w:r>
        <w:rPr>
          <w:rFonts w:hint="eastAsia" w:ascii="仿宋_GB2312" w:eastAsia="仿宋_GB2312" w:cs="仿宋_GB2312"/>
          <w:sz w:val="32"/>
          <w:szCs w:val="32"/>
          <w:lang w:val="en-US" w:eastAsia="zh-CN" w:bidi="en-US"/>
        </w:rPr>
        <w:t>38</w:t>
      </w:r>
      <w:r>
        <w:rPr>
          <w:rFonts w:hint="eastAsia" w:ascii="仿宋_GB2312" w:eastAsia="仿宋_GB2312" w:cs="仿宋_GB2312"/>
          <w:sz w:val="32"/>
          <w:szCs w:val="32"/>
          <w:lang w:bidi="en-US"/>
        </w:rPr>
        <w:t>名，其中：行政人员</w:t>
      </w:r>
      <w:r>
        <w:rPr>
          <w:rFonts w:hint="eastAsia" w:ascii="仿宋_GB2312" w:eastAsia="仿宋_GB2312" w:cs="仿宋_GB2312"/>
          <w:sz w:val="32"/>
          <w:szCs w:val="32"/>
          <w:lang w:val="en-US" w:eastAsia="zh-CN" w:bidi="en-US"/>
        </w:rPr>
        <w:t>12</w:t>
      </w:r>
      <w:r>
        <w:rPr>
          <w:rFonts w:hint="eastAsia" w:ascii="仿宋_GB2312" w:eastAsia="仿宋_GB2312" w:cs="仿宋_GB2312"/>
          <w:sz w:val="32"/>
          <w:szCs w:val="32"/>
          <w:lang w:bidi="en-US"/>
        </w:rPr>
        <w:t>名，行政工勤人员2名；事业人员</w:t>
      </w:r>
      <w:r>
        <w:rPr>
          <w:rFonts w:hint="eastAsia" w:ascii="仿宋_GB2312" w:eastAsia="仿宋_GB2312" w:cs="仿宋_GB2312"/>
          <w:sz w:val="32"/>
          <w:szCs w:val="32"/>
          <w:lang w:val="en-US" w:eastAsia="zh-CN" w:bidi="en-US"/>
        </w:rPr>
        <w:t>23</w:t>
      </w:r>
      <w:r>
        <w:rPr>
          <w:rFonts w:hint="eastAsia" w:ascii="仿宋_GB2312" w:eastAsia="仿宋_GB2312" w:cs="仿宋_GB2312"/>
          <w:sz w:val="32"/>
          <w:szCs w:val="32"/>
          <w:lang w:bidi="en-US"/>
        </w:rPr>
        <w:t>名，事业工勤人员1名。离休人员0人，退休人员</w:t>
      </w:r>
      <w:r>
        <w:rPr>
          <w:rFonts w:hint="eastAsia" w:ascii="仿宋_GB2312" w:eastAsia="仿宋_GB2312" w:cs="仿宋_GB2312"/>
          <w:sz w:val="32"/>
          <w:szCs w:val="32"/>
          <w:lang w:val="en-US" w:eastAsia="zh-CN" w:bidi="en-US"/>
        </w:rPr>
        <w:t>12</w:t>
      </w:r>
      <w:r>
        <w:rPr>
          <w:rFonts w:hint="eastAsia" w:ascii="仿宋_GB2312" w:eastAsia="仿宋_GB2312" w:cs="仿宋_GB2312"/>
          <w:sz w:val="32"/>
          <w:szCs w:val="32"/>
          <w:lang w:bidi="en-US"/>
        </w:rPr>
        <w:t>人。</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default" w:ascii="仿宋_GB2312" w:eastAsia="仿宋_GB2312"/>
          <w:sz w:val="32"/>
          <w:szCs w:val="32"/>
          <w:lang w:val="en-US"/>
        </w:rPr>
      </w:pPr>
      <w:r>
        <w:rPr>
          <w:rFonts w:hint="eastAsia" w:ascii="黑体" w:hAnsi="黑体" w:eastAsia="黑体"/>
          <w:sz w:val="32"/>
          <w:szCs w:val="32"/>
          <w:lang w:eastAsia="zh-CN"/>
        </w:rPr>
        <w:t>三、</w:t>
      </w:r>
      <w:r>
        <w:rPr>
          <w:rFonts w:hint="eastAsia" w:ascii="黑体" w:hAnsi="黑体" w:eastAsia="黑体"/>
          <w:sz w:val="32"/>
          <w:szCs w:val="32"/>
        </w:rPr>
        <w:t>收支预算情况说明</w:t>
      </w:r>
    </w:p>
    <w:p>
      <w:pPr>
        <w:keepNext w:val="0"/>
        <w:keepLines w:val="0"/>
        <w:pageBreakBefore w:val="0"/>
        <w:pBdr>
          <w:bottom w:val="single" w:color="FFFFFF" w:sz="4" w:space="28"/>
        </w:pBdr>
        <w:kinsoku/>
        <w:wordWrap/>
        <w:overflowPunct/>
        <w:topLinePunct w:val="0"/>
        <w:autoSpaceDE/>
        <w:autoSpaceDN/>
        <w:bidi w:val="0"/>
        <w:adjustRightInd w:val="0"/>
        <w:snapToGrid w:val="0"/>
        <w:spacing w:line="570" w:lineRule="exact"/>
        <w:ind w:right="210" w:rightChars="100" w:firstLine="627" w:firstLineChars="196"/>
        <w:textAlignment w:val="auto"/>
        <w:rPr>
          <w:rFonts w:hint="eastAsia" w:ascii="仿宋_GB2312" w:eastAsia="仿宋_GB2312"/>
          <w:sz w:val="32"/>
          <w:szCs w:val="32"/>
          <w:lang w:val="en-US" w:eastAsia="zh-CN"/>
        </w:rPr>
      </w:pPr>
      <w:r>
        <w:rPr>
          <w:rFonts w:hint="eastAsia" w:ascii="仿宋_GB2312" w:eastAsia="仿宋_GB2312" w:cs="仿宋_GB2312"/>
          <w:sz w:val="32"/>
          <w:szCs w:val="32"/>
          <w:lang w:bidi="en-US"/>
        </w:rPr>
        <w:t>按照综合预算的原则，茂县财政局所有收入和支出均纳入部门预算管理。收入包括</w:t>
      </w:r>
      <w:r>
        <w:rPr>
          <w:rFonts w:hint="eastAsia" w:ascii="仿宋_GB2312" w:eastAsia="仿宋_GB2312" w:cs="仿宋_GB2312"/>
          <w:sz w:val="32"/>
          <w:szCs w:val="32"/>
          <w:lang w:eastAsia="zh-CN" w:bidi="en-US"/>
        </w:rPr>
        <w:t>：</w:t>
      </w:r>
      <w:r>
        <w:rPr>
          <w:rFonts w:hint="eastAsia" w:ascii="仿宋_GB2312" w:eastAsia="仿宋_GB2312" w:cs="仿宋_GB2312"/>
          <w:sz w:val="32"/>
          <w:szCs w:val="32"/>
          <w:lang w:bidi="en-US"/>
        </w:rPr>
        <w:t>一般公共预算拨款收入6,236,249.27元；支出包括</w:t>
      </w:r>
      <w:r>
        <w:rPr>
          <w:rFonts w:hint="eastAsia" w:ascii="仿宋_GB2312" w:eastAsia="仿宋_GB2312" w:cs="仿宋_GB2312"/>
          <w:sz w:val="32"/>
          <w:szCs w:val="32"/>
          <w:lang w:eastAsia="zh-CN" w:bidi="en-US"/>
        </w:rPr>
        <w:t>：</w:t>
      </w:r>
      <w:r>
        <w:rPr>
          <w:rFonts w:hint="eastAsia" w:ascii="仿宋_GB2312" w:eastAsia="仿宋_GB2312" w:cs="仿宋_GB2312"/>
          <w:sz w:val="32"/>
          <w:szCs w:val="32"/>
          <w:lang w:bidi="en-US"/>
        </w:rPr>
        <w:t>一般公共服务支出4,686,654.59元，社会保障和就业支出722,741.6元，卫生健康支出373,81</w:t>
      </w:r>
      <w:r>
        <w:rPr>
          <w:rFonts w:hint="eastAsia" w:ascii="仿宋_GB2312" w:eastAsia="仿宋_GB2312"/>
          <w:sz w:val="32"/>
          <w:szCs w:val="32"/>
        </w:rPr>
        <w:t>7.08</w:t>
      </w:r>
      <w:r>
        <w:rPr>
          <w:rFonts w:ascii="仿宋_GB2312" w:eastAsia="仿宋_GB2312"/>
          <w:sz w:val="32"/>
          <w:szCs w:val="32"/>
        </w:rPr>
        <w:t>元，住房保障支出</w:t>
      </w:r>
      <w:r>
        <w:rPr>
          <w:rFonts w:hint="eastAsia" w:ascii="仿宋_GB2312" w:eastAsia="仿宋_GB2312"/>
          <w:sz w:val="32"/>
          <w:szCs w:val="32"/>
        </w:rPr>
        <w:t>453,036</w:t>
      </w:r>
      <w:r>
        <w:rPr>
          <w:rFonts w:ascii="仿宋_GB2312" w:eastAsia="仿宋_GB2312"/>
          <w:sz w:val="32"/>
          <w:szCs w:val="32"/>
        </w:rPr>
        <w:t>元。</w:t>
      </w:r>
      <w:r>
        <w:rPr>
          <w:rFonts w:hint="eastAsia" w:ascii="仿宋_GB2312" w:eastAsia="仿宋_GB2312"/>
          <w:sz w:val="32"/>
          <w:szCs w:val="32"/>
        </w:rPr>
        <w:t>茂县财政局</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年收支总预算</w:t>
      </w:r>
      <w:r>
        <w:rPr>
          <w:rFonts w:hint="eastAsia" w:ascii="仿宋_GB2312" w:eastAsia="仿宋_GB2312"/>
          <w:sz w:val="32"/>
          <w:szCs w:val="32"/>
        </w:rPr>
        <w:t>6,236,249.27</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1,491,093.08</w:t>
      </w:r>
      <w:r>
        <w:rPr>
          <w:rFonts w:ascii="仿宋_GB2312" w:eastAsia="仿宋_GB2312"/>
          <w:sz w:val="32"/>
          <w:szCs w:val="32"/>
        </w:rPr>
        <w:t>元，主要原因:</w:t>
      </w:r>
      <w:r>
        <w:rPr>
          <w:rFonts w:hint="eastAsia" w:ascii="仿宋_GB2312" w:eastAsia="仿宋_GB2312"/>
          <w:sz w:val="32"/>
          <w:szCs w:val="32"/>
          <w:lang w:val="en-US" w:eastAsia="zh-CN"/>
        </w:rPr>
        <w:t>2023年新增人员及公务员基础绩效奖(含统筹群体)纳入预算。</w:t>
      </w:r>
    </w:p>
    <w:p>
      <w:pPr>
        <w:keepNext w:val="0"/>
        <w:keepLines w:val="0"/>
        <w:pageBreakBefore w:val="0"/>
        <w:numPr>
          <w:ilvl w:val="0"/>
          <w:numId w:val="1"/>
        </w:numPr>
        <w:pBdr>
          <w:bottom w:val="single" w:color="FFFFFF" w:sz="4" w:space="28"/>
        </w:pBdr>
        <w:kinsoku/>
        <w:wordWrap/>
        <w:overflowPunct/>
        <w:topLinePunct w:val="0"/>
        <w:autoSpaceDE/>
        <w:autoSpaceDN/>
        <w:bidi w:val="0"/>
        <w:adjustRightInd w:val="0"/>
        <w:snapToGrid w:val="0"/>
        <w:spacing w:line="570" w:lineRule="exact"/>
        <w:ind w:right="210" w:rightChars="100" w:firstLine="643" w:firstLineChars="200"/>
        <w:textAlignment w:val="auto"/>
        <w:rPr>
          <w:rFonts w:hint="eastAsia" w:ascii="楷体_GB2312" w:hAnsi="楷体_GB2312" w:eastAsia="楷体_GB2312" w:cs="楷体_GB2312"/>
          <w:b/>
          <w:bCs/>
          <w:sz w:val="32"/>
          <w:szCs w:val="32"/>
        </w:rPr>
      </w:pPr>
      <w:r>
        <w:rPr>
          <w:rFonts w:hint="eastAsia" w:ascii="楷体_GB2312" w:hAnsi="楷体" w:eastAsia="楷体_GB2312"/>
          <w:b/>
          <w:sz w:val="32"/>
          <w:szCs w:val="32"/>
        </w:rPr>
        <w:t>收入预算情况</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rPr>
        <w:t>6,236,249.27</w:t>
      </w:r>
      <w:r>
        <w:rPr>
          <w:rFonts w:ascii="仿宋_GB2312" w:eastAsia="仿宋_GB2312"/>
          <w:sz w:val="32"/>
          <w:szCs w:val="32"/>
        </w:rPr>
        <w:t>元；一般公共预算拨款收入</w:t>
      </w:r>
      <w:r>
        <w:rPr>
          <w:rFonts w:hint="eastAsia" w:ascii="仿宋_GB2312" w:eastAsia="仿宋_GB2312"/>
          <w:sz w:val="32"/>
          <w:szCs w:val="32"/>
        </w:rPr>
        <w:t>6,236,249.27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numPr>
          <w:ilvl w:val="0"/>
          <w:numId w:val="1"/>
        </w:numPr>
        <w:pBdr>
          <w:bottom w:val="single" w:color="FFFFFF" w:sz="4" w:space="28"/>
        </w:pBdr>
        <w:kinsoku/>
        <w:wordWrap/>
        <w:overflowPunct/>
        <w:topLinePunct w:val="0"/>
        <w:autoSpaceDE/>
        <w:autoSpaceDN/>
        <w:bidi w:val="0"/>
        <w:adjustRightInd w:val="0"/>
        <w:snapToGrid w:val="0"/>
        <w:spacing w:line="570" w:lineRule="exact"/>
        <w:ind w:left="0" w:leftChars="0" w:right="210" w:rightChars="100" w:firstLine="643" w:firstLineChars="200"/>
        <w:textAlignment w:val="auto"/>
        <w:rPr>
          <w:rFonts w:hint="eastAsia" w:ascii="楷体_GB2312" w:hAnsi="楷体_GB2312" w:eastAsia="楷体_GB2312" w:cs="楷体_GB2312"/>
          <w:b/>
          <w:bCs/>
          <w:sz w:val="32"/>
          <w:szCs w:val="32"/>
        </w:rPr>
      </w:pPr>
      <w:r>
        <w:rPr>
          <w:rFonts w:hint="eastAsia" w:ascii="楷体_GB2312" w:hAnsi="楷体" w:eastAsia="楷体_GB2312" w:cs="仿宋_GB2312"/>
          <w:b/>
          <w:sz w:val="32"/>
          <w:szCs w:val="32"/>
        </w:rPr>
        <w:t>支出预算情况</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eastAsia="zh-CN"/>
        </w:rPr>
      </w:pPr>
      <w:r>
        <w:rPr>
          <w:rFonts w:ascii="仿宋_GB2312" w:eastAsia="仿宋_GB2312"/>
          <w:sz w:val="32"/>
          <w:szCs w:val="32"/>
        </w:rPr>
        <w:t>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rPr>
        <w:t>6,236,249.27</w:t>
      </w:r>
      <w:r>
        <w:rPr>
          <w:rFonts w:ascii="仿宋_GB2312" w:eastAsia="仿宋_GB2312"/>
          <w:sz w:val="32"/>
          <w:szCs w:val="32"/>
        </w:rPr>
        <w:t>元，其中：基本支出</w:t>
      </w:r>
      <w:r>
        <w:rPr>
          <w:rFonts w:hint="eastAsia" w:ascii="仿宋_GB2312" w:eastAsia="仿宋_GB2312"/>
          <w:sz w:val="32"/>
          <w:szCs w:val="32"/>
        </w:rPr>
        <w:t>6,236,249.27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eastAsia="zh-CN"/>
        </w:rPr>
        <w:t>。</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财政拨款收支预算情况说明</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rPr>
        <w:t>6,236,249.27</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1,491,093.08</w:t>
      </w:r>
      <w:r>
        <w:rPr>
          <w:rFonts w:ascii="仿宋_GB2312" w:eastAsia="仿宋_GB2312"/>
          <w:sz w:val="32"/>
          <w:szCs w:val="32"/>
        </w:rPr>
        <w:t>元，主要原因:</w:t>
      </w:r>
      <w:r>
        <w:rPr>
          <w:rFonts w:hint="eastAsia" w:ascii="仿宋_GB2312" w:eastAsia="仿宋_GB2312"/>
          <w:sz w:val="32"/>
          <w:szCs w:val="32"/>
          <w:lang w:val="en-US" w:eastAsia="zh-CN"/>
        </w:rPr>
        <w:t>2023年新增人员及公务员基础绩效奖(含统筹群体)纳入预算。</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6,236,249.27</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4,686,654.59</w:t>
      </w:r>
      <w:r>
        <w:rPr>
          <w:rFonts w:ascii="仿宋_GB2312" w:eastAsia="仿宋_GB2312"/>
          <w:sz w:val="32"/>
          <w:szCs w:val="32"/>
        </w:rPr>
        <w:t>元，社会保障和就业支出</w:t>
      </w:r>
      <w:r>
        <w:rPr>
          <w:rFonts w:hint="eastAsia" w:ascii="仿宋_GB2312" w:eastAsia="仿宋_GB2312"/>
          <w:sz w:val="32"/>
          <w:szCs w:val="32"/>
        </w:rPr>
        <w:t>722,741.6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373,817.08</w:t>
      </w:r>
      <w:r>
        <w:rPr>
          <w:rFonts w:ascii="仿宋_GB2312" w:eastAsia="仿宋_GB2312"/>
          <w:sz w:val="32"/>
          <w:szCs w:val="32"/>
        </w:rPr>
        <w:t>元，住房保障支出</w:t>
      </w:r>
      <w:r>
        <w:rPr>
          <w:rFonts w:hint="eastAsia" w:ascii="仿宋_GB2312" w:eastAsia="仿宋_GB2312"/>
          <w:sz w:val="32"/>
          <w:szCs w:val="32"/>
        </w:rPr>
        <w:t>453,036</w:t>
      </w:r>
      <w:r>
        <w:rPr>
          <w:rFonts w:ascii="仿宋_GB2312" w:eastAsia="仿宋_GB2312"/>
          <w:sz w:val="32"/>
          <w:szCs w:val="32"/>
        </w:rPr>
        <w:t>元。</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一般公共预算当年拨款情况说明</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3" w:firstLineChars="200"/>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rPr>
        <w:t>6,236,249.27</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lang w:val="en-US" w:eastAsia="zh-CN"/>
        </w:rPr>
        <w:t>1,491,093.08</w:t>
      </w:r>
      <w:r>
        <w:rPr>
          <w:rFonts w:ascii="仿宋_GB2312" w:eastAsia="仿宋_GB2312"/>
          <w:sz w:val="32"/>
          <w:szCs w:val="32"/>
        </w:rPr>
        <w:t>元，主要原因:</w:t>
      </w:r>
      <w:r>
        <w:rPr>
          <w:rFonts w:hint="eastAsia" w:ascii="仿宋_GB2312" w:eastAsia="仿宋_GB2312"/>
          <w:sz w:val="32"/>
          <w:szCs w:val="32"/>
          <w:lang w:val="en-US" w:eastAsia="zh-CN"/>
        </w:rPr>
        <w:t>2023年新增人员及公务员基础绩效奖(含统筹群体)纳入预算。</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3" w:firstLineChars="200"/>
        <w:textAlignment w:val="auto"/>
        <w:rPr>
          <w:rFonts w:hint="eastAsia" w:ascii="楷体_GB2312" w:hAnsi="楷体" w:eastAsia="楷体_GB2312" w:cs="宋体"/>
          <w:b/>
          <w:sz w:val="32"/>
          <w:szCs w:val="32"/>
        </w:rPr>
      </w:pPr>
      <w:r>
        <w:rPr>
          <w:rFonts w:hint="eastAsia" w:ascii="楷体_GB2312" w:hAnsi="楷体" w:eastAsia="楷体_GB2312" w:cs="宋体"/>
          <w:b/>
          <w:sz w:val="32"/>
          <w:szCs w:val="32"/>
          <w:lang w:val="en-US" w:eastAsia="zh-CN"/>
        </w:rPr>
        <w:t>（二）</w:t>
      </w:r>
      <w:r>
        <w:rPr>
          <w:rFonts w:hint="eastAsia" w:ascii="楷体_GB2312" w:hAnsi="楷体" w:eastAsia="楷体_GB2312" w:cs="宋体"/>
          <w:b/>
          <w:sz w:val="32"/>
          <w:szCs w:val="32"/>
        </w:rPr>
        <w:t>一般公共预算当年拨款结构情况</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4,686,654.59</w:t>
      </w:r>
      <w:r>
        <w:rPr>
          <w:rFonts w:ascii="仿宋_GB2312" w:eastAsia="仿宋_GB2312"/>
          <w:sz w:val="32"/>
          <w:szCs w:val="32"/>
        </w:rPr>
        <w:t>元，占</w:t>
      </w:r>
      <w:r>
        <w:rPr>
          <w:rFonts w:hint="eastAsia" w:ascii="仿宋_GB2312" w:eastAsia="仿宋_GB2312"/>
          <w:sz w:val="32"/>
          <w:szCs w:val="32"/>
          <w:lang w:val="en-US" w:eastAsia="zh-CN"/>
        </w:rPr>
        <w:t>75.15</w:t>
      </w:r>
      <w:r>
        <w:rPr>
          <w:rFonts w:ascii="仿宋_GB2312" w:eastAsia="仿宋_GB2312"/>
          <w:sz w:val="32"/>
          <w:szCs w:val="32"/>
        </w:rPr>
        <w:t>%；社会保障和就业支出</w:t>
      </w:r>
      <w:r>
        <w:rPr>
          <w:rFonts w:hint="eastAsia" w:ascii="仿宋_GB2312" w:eastAsia="仿宋_GB2312"/>
          <w:sz w:val="32"/>
          <w:szCs w:val="32"/>
        </w:rPr>
        <w:t>722,741.6</w:t>
      </w:r>
      <w:r>
        <w:rPr>
          <w:rFonts w:ascii="仿宋_GB2312" w:eastAsia="仿宋_GB2312"/>
          <w:sz w:val="32"/>
          <w:szCs w:val="32"/>
        </w:rPr>
        <w:t>元，占</w:t>
      </w:r>
      <w:r>
        <w:rPr>
          <w:rFonts w:hint="eastAsia" w:ascii="仿宋_GB2312" w:eastAsia="仿宋_GB2312"/>
          <w:sz w:val="32"/>
          <w:szCs w:val="32"/>
          <w:lang w:val="en-US" w:eastAsia="zh-CN"/>
        </w:rPr>
        <w:t>11.6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373,817.08</w:t>
      </w:r>
      <w:r>
        <w:rPr>
          <w:rFonts w:ascii="仿宋_GB2312" w:eastAsia="仿宋_GB2312"/>
          <w:sz w:val="32"/>
          <w:szCs w:val="32"/>
        </w:rPr>
        <w:t>元，占</w:t>
      </w:r>
      <w:r>
        <w:rPr>
          <w:rFonts w:hint="eastAsia" w:ascii="仿宋_GB2312" w:eastAsia="仿宋_GB2312"/>
          <w:sz w:val="32"/>
          <w:szCs w:val="32"/>
          <w:lang w:val="en-US" w:eastAsia="zh-CN"/>
        </w:rPr>
        <w:t>5.99</w:t>
      </w:r>
      <w:r>
        <w:rPr>
          <w:rFonts w:ascii="仿宋_GB2312" w:eastAsia="仿宋_GB2312"/>
          <w:sz w:val="32"/>
          <w:szCs w:val="32"/>
        </w:rPr>
        <w:t>%；住房保障支出</w:t>
      </w:r>
      <w:r>
        <w:rPr>
          <w:rFonts w:hint="eastAsia" w:ascii="仿宋_GB2312" w:eastAsia="仿宋_GB2312"/>
          <w:sz w:val="32"/>
          <w:szCs w:val="32"/>
        </w:rPr>
        <w:t>453,036</w:t>
      </w:r>
      <w:r>
        <w:rPr>
          <w:rFonts w:ascii="仿宋_GB2312" w:eastAsia="仿宋_GB2312"/>
          <w:sz w:val="32"/>
          <w:szCs w:val="32"/>
        </w:rPr>
        <w:t>元，占</w:t>
      </w:r>
      <w:r>
        <w:rPr>
          <w:rFonts w:hint="eastAsia" w:ascii="仿宋_GB2312" w:eastAsia="仿宋_GB2312"/>
          <w:sz w:val="32"/>
          <w:szCs w:val="32"/>
          <w:lang w:val="en-US" w:eastAsia="zh-CN"/>
        </w:rPr>
        <w:t>7.26</w:t>
      </w:r>
      <w:r>
        <w:rPr>
          <w:rFonts w:ascii="仿宋_GB2312" w:eastAsia="仿宋_GB2312"/>
          <w:sz w:val="32"/>
          <w:szCs w:val="32"/>
        </w:rPr>
        <w:t>%。</w:t>
      </w:r>
    </w:p>
    <w:p>
      <w:pPr>
        <w:keepNext w:val="0"/>
        <w:keepLines w:val="0"/>
        <w:pageBreakBefore w:val="0"/>
        <w:numPr>
          <w:ilvl w:val="0"/>
          <w:numId w:val="1"/>
        </w:numPr>
        <w:pBdr>
          <w:bottom w:val="single" w:color="FFFFFF" w:sz="4" w:space="28"/>
        </w:pBdr>
        <w:kinsoku/>
        <w:wordWrap/>
        <w:overflowPunct/>
        <w:topLinePunct w:val="0"/>
        <w:autoSpaceDE/>
        <w:autoSpaceDN/>
        <w:bidi w:val="0"/>
        <w:adjustRightInd w:val="0"/>
        <w:snapToGrid w:val="0"/>
        <w:spacing w:line="570" w:lineRule="exact"/>
        <w:ind w:left="0" w:leftChars="0" w:right="210" w:rightChars="100" w:firstLine="643" w:firstLineChars="200"/>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一般公共预算当年拨款具体使用情况</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06</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1,941,892.84</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年的人员经费和日常公用经费等基本支出。</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eastAsia="zh-CN"/>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06</w:t>
      </w:r>
      <w:r>
        <w:rPr>
          <w:rFonts w:ascii="仿宋_GB2312" w:eastAsia="仿宋_GB2312"/>
          <w:sz w:val="32"/>
          <w:szCs w:val="32"/>
        </w:rPr>
        <w:t>）</w:t>
      </w:r>
      <w:r>
        <w:rPr>
          <w:rFonts w:hint="eastAsia" w:ascii="仿宋_GB2312" w:eastAsia="仿宋_GB2312"/>
          <w:sz w:val="32"/>
          <w:szCs w:val="32"/>
        </w:rPr>
        <w:t>事业运行</w:t>
      </w:r>
      <w:r>
        <w:rPr>
          <w:rFonts w:ascii="仿宋_GB2312" w:eastAsia="仿宋_GB2312"/>
          <w:sz w:val="32"/>
          <w:szCs w:val="32"/>
        </w:rPr>
        <w:t>（</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2023</w:t>
      </w:r>
      <w:r>
        <w:rPr>
          <w:rFonts w:ascii="仿宋_GB2312" w:eastAsia="仿宋_GB2312"/>
          <w:sz w:val="32"/>
          <w:szCs w:val="32"/>
        </w:rPr>
        <w:t>年预算数为</w:t>
      </w:r>
      <w:r>
        <w:rPr>
          <w:rFonts w:hint="eastAsia" w:ascii="仿宋_GB2312" w:eastAsia="仿宋_GB2312"/>
          <w:sz w:val="32"/>
          <w:szCs w:val="32"/>
          <w:lang w:val="en-US" w:eastAsia="zh-CN"/>
        </w:rPr>
        <w:t>2,744,761.75</w:t>
      </w:r>
      <w:r>
        <w:rPr>
          <w:rFonts w:ascii="仿宋_GB2312" w:eastAsia="仿宋_GB2312"/>
          <w:sz w:val="32"/>
          <w:szCs w:val="32"/>
        </w:rPr>
        <w:t>元，主要用于:</w:t>
      </w:r>
      <w:r>
        <w:rPr>
          <w:rFonts w:hint="eastAsia" w:ascii="仿宋_GB2312" w:eastAsia="仿宋_GB2312"/>
          <w:sz w:val="32"/>
          <w:szCs w:val="32"/>
        </w:rPr>
        <w:t>单位2022年事业人员经费和日常公用经费方面的支出</w:t>
      </w:r>
      <w:r>
        <w:rPr>
          <w:rFonts w:hint="eastAsia" w:ascii="仿宋_GB2312" w:eastAsia="仿宋_GB2312"/>
          <w:sz w:val="32"/>
          <w:szCs w:val="32"/>
          <w:lang w:eastAsia="zh-CN"/>
        </w:rPr>
        <w:t>。</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481,827.8</w:t>
      </w:r>
      <w:r>
        <w:rPr>
          <w:rFonts w:ascii="仿宋_GB2312" w:eastAsia="仿宋_GB2312"/>
          <w:sz w:val="32"/>
          <w:szCs w:val="32"/>
        </w:rPr>
        <w:t>元，主要用于单位缴纳基本养老保险费。</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240,913.8</w:t>
      </w:r>
      <w:r>
        <w:rPr>
          <w:rFonts w:ascii="仿宋_GB2312" w:eastAsia="仿宋_GB2312"/>
          <w:sz w:val="32"/>
          <w:szCs w:val="32"/>
        </w:rPr>
        <w:t>元，主要用于单位缴纳职业年金。</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023</w:t>
      </w:r>
      <w:r>
        <w:rPr>
          <w:rFonts w:ascii="仿宋_GB2312" w:eastAsia="仿宋_GB2312"/>
          <w:sz w:val="32"/>
          <w:szCs w:val="32"/>
        </w:rPr>
        <w:t>年预算数为</w:t>
      </w:r>
      <w:r>
        <w:rPr>
          <w:rFonts w:hint="eastAsia" w:ascii="仿宋_GB2312" w:eastAsia="仿宋_GB2312"/>
          <w:sz w:val="32"/>
          <w:szCs w:val="32"/>
          <w:lang w:val="en-US" w:eastAsia="zh-CN"/>
        </w:rPr>
        <w:t>151,385.12</w:t>
      </w:r>
      <w:r>
        <w:rPr>
          <w:rFonts w:ascii="仿宋_GB2312" w:eastAsia="仿宋_GB2312"/>
          <w:sz w:val="32"/>
          <w:szCs w:val="32"/>
        </w:rPr>
        <w:t>元，主要用于行政单位缴纳基本医疗保险。</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222,431.96</w:t>
      </w:r>
      <w:r>
        <w:rPr>
          <w:rFonts w:ascii="仿宋_GB2312" w:eastAsia="仿宋_GB2312"/>
          <w:sz w:val="32"/>
          <w:szCs w:val="32"/>
        </w:rPr>
        <w:t>元，主要用于事业单位缴纳基本医疗保险。</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453,036</w:t>
      </w:r>
      <w:r>
        <w:rPr>
          <w:rFonts w:ascii="仿宋_GB2312" w:eastAsia="仿宋_GB2312"/>
          <w:sz w:val="32"/>
          <w:szCs w:val="32"/>
        </w:rPr>
        <w:t>元，主要用于单位为职工缴纳住房公积金。</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黑体" w:hAnsi="黑体" w:eastAsia="黑体"/>
          <w:sz w:val="32"/>
          <w:szCs w:val="32"/>
        </w:rPr>
      </w:pPr>
      <w:r>
        <w:rPr>
          <w:rFonts w:hint="eastAsia" w:ascii="黑体" w:hAnsi="黑体" w:eastAsia="黑体"/>
          <w:sz w:val="32"/>
          <w:szCs w:val="32"/>
        </w:rPr>
        <w:t>六、一般公共预算基本支出情况说明</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一般公共预算基本支出6,236,249.27元，其中：人员经费5,922,269.27元，主要包括：基本工资、津贴补贴、奖金、绩效工资、机关事业单位基本养老保险缴费、职业年金缴费、职工基本医疗保险缴费、公务员医疗补助缴费、其他社会保障缴费、失业保险、工伤保险、住房公积金、医疗费、生活补助、其他生活补助。</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公用经费313,980元，主要包括：办公费、邮电费、差旅费、公务接待费、公务用车运行维护费。</w:t>
      </w:r>
    </w:p>
    <w:p>
      <w:pPr>
        <w:keepNext w:val="0"/>
        <w:keepLines w:val="0"/>
        <w:pageBreakBefore w:val="0"/>
        <w:numPr>
          <w:ilvl w:val="0"/>
          <w:numId w:val="2"/>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黑体" w:eastAsia="黑体"/>
          <w:sz w:val="32"/>
          <w:szCs w:val="32"/>
        </w:rPr>
      </w:pPr>
      <w:r>
        <w:rPr>
          <w:rFonts w:hint="eastAsia" w:ascii="黑体" w:hAnsi="黑体" w:eastAsia="黑体"/>
          <w:sz w:val="32"/>
          <w:szCs w:val="32"/>
        </w:rPr>
        <w:t>“三公”经费财政拨款预算安排情况说明</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2023年“三公”经费财政拨款预算数46,080元，其中：无因公出国（境）经费，公务接待费6,080元，公务用车购置及运行维护费40,000.00元。</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（二）2023年公务接待经费</w:t>
      </w:r>
      <w:r>
        <w:rPr>
          <w:rFonts w:hint="eastAsia" w:ascii="仿宋_GB2312" w:eastAsia="仿宋_GB2312"/>
          <w:sz w:val="32"/>
          <w:szCs w:val="32"/>
          <w:lang w:val="en-US" w:eastAsia="zh-CN"/>
        </w:rPr>
        <w:t>6,080</w:t>
      </w:r>
      <w:r>
        <w:rPr>
          <w:rFonts w:hint="eastAsia" w:ascii="仿宋_GB2312" w:eastAsia="仿宋_GB2312"/>
          <w:sz w:val="32"/>
          <w:szCs w:val="32"/>
        </w:rPr>
        <w:t>元。较2022年预算经费增加</w:t>
      </w:r>
      <w:r>
        <w:rPr>
          <w:rFonts w:hint="eastAsia" w:ascii="仿宋_GB2312" w:eastAsia="仿宋_GB2312"/>
          <w:sz w:val="32"/>
          <w:szCs w:val="32"/>
          <w:lang w:val="en-US" w:eastAsia="zh-CN"/>
        </w:rPr>
        <w:t>160</w:t>
      </w:r>
      <w:r>
        <w:rPr>
          <w:rFonts w:hint="eastAsia" w:ascii="仿宋_GB2312" w:eastAsia="仿宋_GB2312"/>
          <w:sz w:val="32"/>
          <w:szCs w:val="32"/>
        </w:rPr>
        <w:t>元，增长</w:t>
      </w:r>
      <w:r>
        <w:rPr>
          <w:rFonts w:hint="eastAsia" w:ascii="仿宋_GB2312" w:eastAsia="仿宋_GB2312"/>
          <w:sz w:val="32"/>
          <w:szCs w:val="32"/>
          <w:lang w:val="en-US" w:eastAsia="zh-CN"/>
        </w:rPr>
        <w:t>2.7</w:t>
      </w:r>
      <w:r>
        <w:rPr>
          <w:rFonts w:hint="eastAsia" w:ascii="仿宋_GB2312" w:eastAsia="仿宋_GB2312"/>
          <w:sz w:val="32"/>
          <w:szCs w:val="32"/>
        </w:rPr>
        <w:t>%，</w:t>
      </w:r>
      <w:r>
        <w:rPr>
          <w:rFonts w:ascii="仿宋_GB2312" w:eastAsia="仿宋_GB2312"/>
          <w:sz w:val="32"/>
          <w:szCs w:val="32"/>
        </w:rPr>
        <w:t>主要原因是：</w:t>
      </w:r>
      <w:r>
        <w:rPr>
          <w:rFonts w:hint="eastAsia" w:ascii="仿宋_GB2312" w:eastAsia="仿宋_GB2312"/>
          <w:sz w:val="32"/>
          <w:szCs w:val="32"/>
          <w:lang w:eastAsia="zh-CN"/>
        </w:rPr>
        <w:t>接待费按照日常公用经费的2%计算，人员增加</w:t>
      </w:r>
      <w:r>
        <w:rPr>
          <w:rFonts w:hint="eastAsia" w:ascii="仿宋_GB2312" w:eastAsia="仿宋_GB2312"/>
          <w:sz w:val="32"/>
          <w:szCs w:val="32"/>
          <w:lang w:val="en-US" w:eastAsia="zh-CN"/>
        </w:rPr>
        <w:t>1</w:t>
      </w:r>
      <w:r>
        <w:rPr>
          <w:rFonts w:hint="eastAsia" w:ascii="仿宋_GB2312" w:eastAsia="仿宋_GB2312"/>
          <w:sz w:val="32"/>
          <w:szCs w:val="32"/>
          <w:lang w:eastAsia="zh-CN"/>
        </w:rPr>
        <w:t>人增加日常公用经费，故接待费增加</w:t>
      </w:r>
      <w:r>
        <w:rPr>
          <w:rFonts w:hint="eastAsia" w:ascii="仿宋_GB2312" w:eastAsia="仿宋_GB2312"/>
          <w:sz w:val="32"/>
          <w:szCs w:val="32"/>
          <w:lang w:val="en-US" w:eastAsia="zh-CN"/>
        </w:rPr>
        <w:t>1</w:t>
      </w:r>
      <w:r>
        <w:rPr>
          <w:rFonts w:hint="eastAsia" w:ascii="仿宋_GB2312" w:eastAsia="仿宋_GB2312"/>
          <w:sz w:val="32"/>
          <w:szCs w:val="32"/>
          <w:lang w:eastAsia="zh-CN"/>
        </w:rPr>
        <w:t>60元</w:t>
      </w:r>
      <w:r>
        <w:rPr>
          <w:rFonts w:hint="eastAsia" w:ascii="仿宋_GB2312" w:eastAsia="仿宋_GB2312"/>
          <w:sz w:val="32"/>
          <w:szCs w:val="32"/>
          <w:lang w:val="en-US" w:eastAsia="zh-CN"/>
        </w:rPr>
        <w:t>。</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（三）2023年公务用车购置费0元，较2022年预算经费持平；公务用车运行维护费40,000元，较2022年预算经费持平。</w:t>
      </w:r>
    </w:p>
    <w:p>
      <w:pPr>
        <w:keepNext w:val="0"/>
        <w:keepLines w:val="0"/>
        <w:pageBreakBefore w:val="0"/>
        <w:numPr>
          <w:ilvl w:val="0"/>
          <w:numId w:val="2"/>
        </w:numPr>
        <w:pBdr>
          <w:bottom w:val="single" w:color="FFFFFF" w:sz="4" w:space="28"/>
        </w:pBdr>
        <w:kinsoku/>
        <w:wordWrap/>
        <w:overflowPunct/>
        <w:topLinePunct w:val="0"/>
        <w:autoSpaceDE/>
        <w:autoSpaceDN/>
        <w:bidi w:val="0"/>
        <w:adjustRightInd w:val="0"/>
        <w:snapToGrid w:val="0"/>
        <w:spacing w:line="570" w:lineRule="exact"/>
        <w:ind w:left="0" w:leftChars="0" w:right="210" w:rightChars="100" w:firstLine="640" w:firstLineChars="200"/>
        <w:textAlignment w:val="auto"/>
        <w:rPr>
          <w:rFonts w:hint="eastAsia" w:ascii="黑体" w:hAnsi="黑体" w:eastAsia="黑体"/>
          <w:sz w:val="32"/>
          <w:szCs w:val="32"/>
        </w:rPr>
      </w:pPr>
      <w:r>
        <w:rPr>
          <w:rFonts w:hint="eastAsia" w:ascii="黑体" w:hAnsi="黑体" w:eastAsia="黑体"/>
          <w:sz w:val="32"/>
          <w:szCs w:val="32"/>
        </w:rPr>
        <w:t>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2023年无政府性基金预算拨款安排的支出。</w:t>
      </w:r>
    </w:p>
    <w:p>
      <w:pPr>
        <w:keepNext w:val="0"/>
        <w:keepLines w:val="0"/>
        <w:pageBreakBefore w:val="0"/>
        <w:numPr>
          <w:ilvl w:val="0"/>
          <w:numId w:val="2"/>
        </w:numPr>
        <w:pBdr>
          <w:bottom w:val="single" w:color="FFFFFF" w:sz="4" w:space="28"/>
        </w:pBdr>
        <w:kinsoku/>
        <w:wordWrap/>
        <w:overflowPunct/>
        <w:topLinePunct w:val="0"/>
        <w:autoSpaceDE/>
        <w:autoSpaceDN/>
        <w:bidi w:val="0"/>
        <w:adjustRightInd w:val="0"/>
        <w:snapToGrid w:val="0"/>
        <w:spacing w:line="570" w:lineRule="exact"/>
        <w:ind w:left="0" w:leftChars="0" w:right="210" w:rightChars="100" w:firstLine="640" w:firstLineChars="200"/>
        <w:textAlignment w:val="auto"/>
        <w:rPr>
          <w:rFonts w:hint="eastAsia" w:ascii="黑体" w:hAnsi="黑体" w:eastAsia="黑体"/>
          <w:sz w:val="32"/>
          <w:szCs w:val="32"/>
        </w:rPr>
      </w:pPr>
      <w:r>
        <w:rPr>
          <w:rFonts w:hint="eastAsia" w:ascii="黑体" w:hAnsi="黑体" w:eastAsia="黑体"/>
          <w:sz w:val="32"/>
          <w:szCs w:val="32"/>
        </w:rPr>
        <w:t>其他重要事项的情况说明</w:t>
      </w:r>
    </w:p>
    <w:p>
      <w:pPr>
        <w:keepNext w:val="0"/>
        <w:keepLines w:val="0"/>
        <w:pageBreakBefore w:val="0"/>
        <w:numPr>
          <w:ilvl w:val="0"/>
          <w:numId w:val="3"/>
        </w:numPr>
        <w:pBdr>
          <w:bottom w:val="single" w:color="FFFFFF" w:sz="4" w:space="28"/>
        </w:pBdr>
        <w:kinsoku/>
        <w:wordWrap/>
        <w:overflowPunct/>
        <w:topLinePunct w:val="0"/>
        <w:autoSpaceDE/>
        <w:autoSpaceDN/>
        <w:bidi w:val="0"/>
        <w:adjustRightInd w:val="0"/>
        <w:snapToGrid w:val="0"/>
        <w:spacing w:line="570" w:lineRule="exact"/>
        <w:ind w:right="210" w:rightChars="100" w:firstLine="643" w:firstLineChars="200"/>
        <w:textAlignment w:val="auto"/>
        <w:rPr>
          <w:rFonts w:hint="eastAsia" w:ascii="楷体_GB2312" w:hAnsi="楷体" w:eastAsia="楷体_GB2312" w:cs="仿宋_GB2312"/>
          <w:b/>
          <w:sz w:val="32"/>
          <w:szCs w:val="32"/>
        </w:rPr>
      </w:pPr>
      <w:r>
        <w:rPr>
          <w:rFonts w:hint="eastAsia" w:ascii="楷体_GB2312" w:hAnsi="楷体" w:eastAsia="楷体_GB2312" w:cs="仿宋_GB2312"/>
          <w:b/>
          <w:sz w:val="32"/>
          <w:szCs w:val="32"/>
        </w:rPr>
        <w:t>机关运行经费</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hint="eastAsia" w:ascii="仿宋_GB2312" w:eastAsia="仿宋_GB2312"/>
          <w:sz w:val="32"/>
          <w:szCs w:val="32"/>
          <w:lang w:val="en-US" w:eastAsia="zh-CN"/>
        </w:rPr>
        <w:t>313,980</w:t>
      </w:r>
      <w:r>
        <w:rPr>
          <w:rFonts w:ascii="仿宋_GB2312" w:eastAsia="仿宋_GB2312"/>
          <w:sz w:val="32"/>
          <w:szCs w:val="32"/>
        </w:rPr>
        <w:t>元，比</w:t>
      </w:r>
      <w:r>
        <w:rPr>
          <w:rFonts w:hint="eastAsia" w:ascii="仿宋_GB2312" w:eastAsia="仿宋_GB2312"/>
          <w:sz w:val="32"/>
          <w:szCs w:val="32"/>
        </w:rPr>
        <w:t>2022</w:t>
      </w:r>
      <w:r>
        <w:rPr>
          <w:rFonts w:ascii="仿宋_GB2312" w:eastAsia="仿宋_GB2312"/>
          <w:sz w:val="32"/>
          <w:szCs w:val="32"/>
        </w:rPr>
        <w:t>年预算增加</w:t>
      </w:r>
      <w:r>
        <w:rPr>
          <w:rFonts w:hint="eastAsia" w:ascii="仿宋_GB2312" w:eastAsia="仿宋_GB2312"/>
          <w:sz w:val="32"/>
          <w:szCs w:val="32"/>
          <w:lang w:val="en-US" w:eastAsia="zh-CN"/>
        </w:rPr>
        <w:t>7,210</w:t>
      </w:r>
      <w:r>
        <w:rPr>
          <w:rFonts w:ascii="仿宋_GB2312" w:eastAsia="仿宋_GB2312"/>
          <w:sz w:val="32"/>
          <w:szCs w:val="32"/>
        </w:rPr>
        <w:t>元，增长</w:t>
      </w:r>
      <w:r>
        <w:rPr>
          <w:rFonts w:hint="eastAsia" w:ascii="仿宋_GB2312" w:eastAsia="仿宋_GB2312"/>
          <w:sz w:val="32"/>
          <w:szCs w:val="32"/>
          <w:lang w:val="en-US" w:eastAsia="zh-CN"/>
        </w:rPr>
        <w:t>2.35</w:t>
      </w:r>
      <w:r>
        <w:rPr>
          <w:rFonts w:ascii="仿宋_GB2312" w:eastAsia="仿宋_GB2312"/>
          <w:sz w:val="32"/>
          <w:szCs w:val="32"/>
        </w:rPr>
        <w:t>%。主要原因是：</w:t>
      </w:r>
      <w:r>
        <w:rPr>
          <w:rFonts w:hint="eastAsia" w:ascii="仿宋_GB2312" w:eastAsia="仿宋_GB2312"/>
          <w:sz w:val="32"/>
          <w:szCs w:val="32"/>
        </w:rPr>
        <w:t>人员</w:t>
      </w:r>
      <w:r>
        <w:rPr>
          <w:rFonts w:hint="eastAsia" w:ascii="仿宋_GB2312" w:eastAsia="仿宋_GB2312"/>
          <w:sz w:val="32"/>
          <w:szCs w:val="32"/>
          <w:lang w:eastAsia="zh-CN"/>
        </w:rPr>
        <w:t>增加</w:t>
      </w:r>
      <w:r>
        <w:rPr>
          <w:rFonts w:hint="eastAsia" w:ascii="仿宋_GB2312" w:eastAsia="仿宋_GB2312"/>
          <w:sz w:val="32"/>
          <w:szCs w:val="32"/>
        </w:rPr>
        <w:t>，相应的日常公用经费</w:t>
      </w:r>
      <w:r>
        <w:rPr>
          <w:rFonts w:hint="eastAsia" w:ascii="仿宋_GB2312" w:eastAsia="仿宋_GB2312"/>
          <w:sz w:val="32"/>
          <w:szCs w:val="32"/>
          <w:lang w:eastAsia="zh-CN"/>
        </w:rPr>
        <w:t>增加。</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3" w:firstLineChars="200"/>
        <w:textAlignment w:val="auto"/>
      </w:pPr>
      <w:r>
        <w:rPr>
          <w:rFonts w:hint="eastAsia" w:ascii="楷体_GB2312" w:hAnsi="楷体" w:eastAsia="楷体_GB2312" w:cs="仿宋_GB2312"/>
          <w:b/>
          <w:kern w:val="2"/>
          <w:sz w:val="32"/>
          <w:szCs w:val="32"/>
          <w:lang w:eastAsia="zh-CN"/>
        </w:rPr>
        <w:t>（二）</w:t>
      </w: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ascii="仿宋_GB2312" w:eastAsia="仿宋_GB2312"/>
          <w:sz w:val="32"/>
          <w:szCs w:val="32"/>
        </w:rPr>
        <w:t>　2023年</w:t>
      </w:r>
      <w:r>
        <w:rPr>
          <w:rFonts w:hint="eastAsia" w:ascii="仿宋_GB2312" w:eastAsia="仿宋_GB2312"/>
          <w:sz w:val="32"/>
          <w:szCs w:val="32"/>
          <w:lang w:eastAsia="zh-CN"/>
        </w:rPr>
        <w:t>未</w:t>
      </w:r>
      <w:r>
        <w:rPr>
          <w:rFonts w:hint="eastAsia" w:ascii="仿宋_GB2312" w:eastAsia="仿宋_GB2312"/>
          <w:sz w:val="32"/>
          <w:szCs w:val="32"/>
        </w:rPr>
        <w:t>安排政府采购预算</w:t>
      </w:r>
      <w:r>
        <w:rPr>
          <w:rFonts w:hint="eastAsia" w:ascii="仿宋_GB2312" w:eastAsia="仿宋_GB2312"/>
          <w:sz w:val="32"/>
          <w:szCs w:val="32"/>
          <w:lang w:eastAsia="zh-CN"/>
        </w:rPr>
        <w:t>。</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3" w:firstLineChars="200"/>
        <w:textAlignment w:val="auto"/>
      </w:pPr>
      <w:r>
        <w:rPr>
          <w:rFonts w:hint="eastAsia" w:ascii="楷体_GB2312" w:hAnsi="楷体" w:eastAsia="楷体_GB2312" w:cs="仿宋_GB2312"/>
          <w:b/>
          <w:kern w:val="2"/>
          <w:sz w:val="32"/>
          <w:szCs w:val="32"/>
          <w:lang w:eastAsia="zh-CN"/>
        </w:rPr>
        <w:t>（三）</w:t>
      </w:r>
      <w:r>
        <w:rPr>
          <w:rFonts w:hint="eastAsia" w:ascii="楷体_GB2312" w:hAnsi="楷体" w:eastAsia="楷体_GB2312" w:cs="仿宋_GB2312"/>
          <w:b/>
          <w:kern w:val="2"/>
          <w:sz w:val="32"/>
          <w:szCs w:val="32"/>
        </w:rPr>
        <w:t>国有资产占有使用情况</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459</w:t>
      </w:r>
      <w:r>
        <w:rPr>
          <w:rFonts w:hint="eastAsia" w:ascii="仿宋_GB2312" w:eastAsia="仿宋_GB2312"/>
          <w:sz w:val="32"/>
          <w:szCs w:val="32"/>
          <w:lang w:val="en-US" w:eastAsia="zh-CN"/>
        </w:rPr>
        <w:t>,</w:t>
      </w:r>
      <w:r>
        <w:rPr>
          <w:rFonts w:hint="eastAsia" w:ascii="仿宋_GB2312" w:eastAsia="仿宋_GB2312"/>
          <w:sz w:val="32"/>
          <w:szCs w:val="32"/>
        </w:rPr>
        <w:t>703.71</w:t>
      </w:r>
      <w:r>
        <w:rPr>
          <w:rFonts w:ascii="仿宋_GB2312" w:eastAsia="仿宋_GB2312"/>
          <w:sz w:val="32"/>
          <w:szCs w:val="32"/>
        </w:rPr>
        <w:t>元，其中：房屋</w:t>
      </w:r>
      <w:r>
        <w:rPr>
          <w:rFonts w:hint="eastAsia" w:ascii="仿宋_GB2312" w:eastAsia="仿宋_GB2312"/>
          <w:sz w:val="32"/>
          <w:szCs w:val="32"/>
          <w:lang w:val="en-US" w:eastAsia="zh-CN"/>
        </w:rPr>
        <w:t>1302.8</w:t>
      </w:r>
      <w:r>
        <w:rPr>
          <w:rFonts w:ascii="仿宋_GB2312" w:eastAsia="仿宋_GB2312"/>
          <w:sz w:val="32"/>
          <w:szCs w:val="32"/>
        </w:rPr>
        <w:t>平方米，价值</w:t>
      </w:r>
      <w:r>
        <w:rPr>
          <w:rFonts w:hint="eastAsia" w:ascii="仿宋_GB2312" w:eastAsia="仿宋_GB2312"/>
          <w:sz w:val="32"/>
          <w:szCs w:val="32"/>
        </w:rPr>
        <w:t>1,526,404.71</w:t>
      </w:r>
      <w:r>
        <w:rPr>
          <w:rFonts w:ascii="仿宋_GB2312" w:eastAsia="仿宋_GB2312"/>
          <w:sz w:val="32"/>
          <w:szCs w:val="32"/>
        </w:rPr>
        <w:t>元；公务用车</w:t>
      </w:r>
      <w:r>
        <w:rPr>
          <w:rFonts w:hint="eastAsia" w:ascii="仿宋_GB2312" w:eastAsia="仿宋_GB2312"/>
          <w:sz w:val="32"/>
          <w:szCs w:val="32"/>
          <w:lang w:val="en-US" w:eastAsia="zh-CN"/>
        </w:rPr>
        <w:t>2</w:t>
      </w:r>
      <w:r>
        <w:rPr>
          <w:rFonts w:ascii="仿宋_GB2312" w:eastAsia="仿宋_GB2312"/>
          <w:sz w:val="32"/>
          <w:szCs w:val="32"/>
        </w:rPr>
        <w:t>辆，价值</w:t>
      </w:r>
      <w:r>
        <w:rPr>
          <w:rFonts w:hint="eastAsia" w:ascii="仿宋_GB2312" w:eastAsia="仿宋_GB2312"/>
          <w:sz w:val="32"/>
          <w:szCs w:val="32"/>
        </w:rPr>
        <w:t>1,130,800.00</w:t>
      </w:r>
      <w:r>
        <w:rPr>
          <w:rFonts w:ascii="仿宋_GB2312" w:eastAsia="仿宋_GB2312"/>
          <w:sz w:val="32"/>
          <w:szCs w:val="32"/>
        </w:rPr>
        <w:t>元；其他固定资产</w:t>
      </w:r>
      <w:r>
        <w:rPr>
          <w:rFonts w:hint="eastAsia" w:ascii="仿宋_GB2312" w:eastAsia="仿宋_GB2312"/>
          <w:sz w:val="32"/>
          <w:szCs w:val="32"/>
          <w:lang w:val="en-US" w:eastAsia="zh-CN"/>
        </w:rPr>
        <w:t>802,499</w:t>
      </w:r>
      <w:r>
        <w:rPr>
          <w:rFonts w:ascii="仿宋_GB2312" w:eastAsia="仿宋_GB2312"/>
          <w:sz w:val="32"/>
          <w:szCs w:val="32"/>
        </w:rPr>
        <w:t>元。</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3" w:firstLineChars="200"/>
        <w:textAlignment w:val="auto"/>
        <w:rPr>
          <w:rFonts w:hint="eastAsia" w:ascii="楷体_GB2312" w:hAnsi="楷体" w:eastAsia="楷体_GB2312" w:cs="仿宋_GB2312"/>
          <w:b/>
          <w:sz w:val="32"/>
          <w:szCs w:val="32"/>
        </w:rPr>
      </w:pPr>
      <w:r>
        <w:rPr>
          <w:rFonts w:hint="eastAsia" w:ascii="楷体_GB2312" w:hAnsi="楷体" w:eastAsia="楷体_GB2312" w:cs="仿宋_GB2312"/>
          <w:b/>
          <w:sz w:val="32"/>
          <w:szCs w:val="32"/>
          <w:lang w:eastAsia="zh-CN"/>
        </w:rPr>
        <w:t>（四）</w:t>
      </w:r>
      <w:r>
        <w:rPr>
          <w:rFonts w:hint="eastAsia" w:ascii="楷体_GB2312" w:hAnsi="楷体" w:eastAsia="楷体_GB2312" w:cs="仿宋_GB2312"/>
          <w:b/>
          <w:sz w:val="32"/>
          <w:szCs w:val="32"/>
        </w:rPr>
        <w:t>绩效目标设置情况</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rPr>
      </w:pPr>
      <w:r>
        <w:rPr>
          <w:rFonts w:hint="eastAsia" w:ascii="仿宋_GB2312" w:eastAsia="仿宋_GB2312"/>
          <w:sz w:val="32"/>
          <w:szCs w:val="32"/>
        </w:rPr>
        <w:t>2023年</w:t>
      </w:r>
      <w:r>
        <w:rPr>
          <w:rFonts w:hint="eastAsia" w:ascii="仿宋_GB2312" w:eastAsia="仿宋_GB2312"/>
          <w:sz w:val="32"/>
          <w:szCs w:val="32"/>
          <w:lang w:eastAsia="zh-CN"/>
        </w:rPr>
        <w:t>开展绩效目标管理的项目</w:t>
      </w:r>
      <w:r>
        <w:rPr>
          <w:rFonts w:hint="eastAsia" w:ascii="仿宋_GB2312" w:eastAsia="仿宋_GB2312"/>
          <w:sz w:val="32"/>
          <w:szCs w:val="32"/>
          <w:lang w:val="en-US" w:eastAsia="zh-CN"/>
        </w:rPr>
        <w:t xml:space="preserve"> 个，设计预算  万元。其中：人员类项目19个，涉及预算5,922,269.27元；运转内项目3个，设计预算313,980元；特定目标类项目0个，涉及预算0元</w:t>
      </w:r>
      <w:bookmarkStart w:id="0" w:name="_GoBack"/>
      <w:bookmarkEnd w:id="0"/>
      <w:r>
        <w:rPr>
          <w:rFonts w:hint="eastAsia" w:ascii="仿宋_GB2312" w:eastAsia="仿宋_GB2312"/>
          <w:sz w:val="32"/>
          <w:szCs w:val="32"/>
        </w:rPr>
        <w:t>。</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ascii="仿宋_GB2312" w:eastAsia="仿宋_GB2312"/>
          <w:sz w:val="32"/>
          <w:szCs w:val="32"/>
        </w:rPr>
        <w:t>指由财政拨款形成的部门收入。按现行管理制度，部门预算中反映的财政拨款仅包括一般公共预算拨款和政府性基金预算拨款。</w:t>
      </w:r>
      <w:r>
        <w:rPr>
          <w:rFonts w:hint="eastAsia" w:ascii="仿宋_GB2312" w:eastAsia="仿宋_GB231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w:t>
      </w:r>
      <w:r>
        <w:rPr>
          <w:rFonts w:hint="eastAsia" w:ascii="楷体_GB2312" w:eastAsia="楷体_GB2312"/>
          <w:b/>
          <w:sz w:val="32"/>
          <w:szCs w:val="32"/>
        </w:rPr>
        <w:t>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w:t>
      </w:r>
      <w:r>
        <w:rPr>
          <w:rFonts w:hint="eastAsia" w:ascii="楷体_GB2312" w:eastAsia="楷体_GB2312"/>
          <w:b/>
          <w:sz w:val="32"/>
          <w:szCs w:val="32"/>
          <w:lang w:eastAsia="zh-CN"/>
        </w:rPr>
        <w:t>三</w:t>
      </w:r>
      <w:r>
        <w:rPr>
          <w:rFonts w:hint="eastAsia" w:ascii="楷体_GB2312" w:eastAsia="楷体_GB2312"/>
          <w:b/>
          <w:sz w:val="32"/>
          <w:szCs w:val="32"/>
        </w:rPr>
        <w:t>）“三公”经费：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17A4ED"/>
    <w:multiLevelType w:val="singleLevel"/>
    <w:tmpl w:val="6417A4ED"/>
    <w:lvl w:ilvl="0" w:tentative="0">
      <w:start w:val="1"/>
      <w:numFmt w:val="chineseCounting"/>
      <w:suff w:val="nothing"/>
      <w:lvlText w:val="（%1）"/>
      <w:lvlJc w:val="left"/>
      <w:rPr>
        <w:rFonts w:hint="eastAsia"/>
      </w:rPr>
    </w:lvl>
  </w:abstractNum>
  <w:abstractNum w:abstractNumId="1">
    <w:nsid w:val="6491F700"/>
    <w:multiLevelType w:val="singleLevel"/>
    <w:tmpl w:val="6491F700"/>
    <w:lvl w:ilvl="0" w:tentative="0">
      <w:start w:val="1"/>
      <w:numFmt w:val="chineseCounting"/>
      <w:suff w:val="nothing"/>
      <w:lvlText w:val="（%1）"/>
      <w:lvlJc w:val="left"/>
      <w:rPr>
        <w:rFonts w:hint="eastAsia"/>
      </w:rPr>
    </w:lvl>
  </w:abstractNum>
  <w:abstractNum w:abstractNumId="2">
    <w:nsid w:val="7B780978"/>
    <w:multiLevelType w:val="singleLevel"/>
    <w:tmpl w:val="7B780978"/>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6143D8"/>
    <w:rsid w:val="01B96A92"/>
    <w:rsid w:val="058B387B"/>
    <w:rsid w:val="063E6580"/>
    <w:rsid w:val="07674A16"/>
    <w:rsid w:val="0B9420D9"/>
    <w:rsid w:val="0CA91C93"/>
    <w:rsid w:val="13197D31"/>
    <w:rsid w:val="164003A4"/>
    <w:rsid w:val="16C5583A"/>
    <w:rsid w:val="177904B8"/>
    <w:rsid w:val="1B0406D7"/>
    <w:rsid w:val="20361CB8"/>
    <w:rsid w:val="29566940"/>
    <w:rsid w:val="32BF7DF5"/>
    <w:rsid w:val="38F772FC"/>
    <w:rsid w:val="3BE33510"/>
    <w:rsid w:val="418B5DE7"/>
    <w:rsid w:val="42A75917"/>
    <w:rsid w:val="48EB0A3F"/>
    <w:rsid w:val="4A7A2125"/>
    <w:rsid w:val="50A532C4"/>
    <w:rsid w:val="513D338D"/>
    <w:rsid w:val="5BDA6EE0"/>
    <w:rsid w:val="61693C9D"/>
    <w:rsid w:val="64CC0F4B"/>
    <w:rsid w:val="64D51BE9"/>
    <w:rsid w:val="6EE8232C"/>
    <w:rsid w:val="76415F6E"/>
    <w:rsid w:val="76A70496"/>
    <w:rsid w:val="771A5BD7"/>
    <w:rsid w:val="7AE4629A"/>
    <w:rsid w:val="7B7C7A7B"/>
    <w:rsid w:val="7DEA3C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Autospacing="1" w:afterAutospacing="1"/>
      <w:ind w:firstLine="360"/>
      <w:jc w:val="left"/>
    </w:pPr>
    <w:rPr>
      <w:kern w:val="0"/>
      <w:sz w:val="24"/>
    </w:rPr>
  </w:style>
  <w:style w:type="character" w:styleId="8">
    <w:name w:val="Strong"/>
    <w:qFormat/>
    <w:uiPriority w:val="0"/>
    <w:rPr>
      <w:b/>
      <w:bCs/>
    </w:rPr>
  </w:style>
  <w:style w:type="paragraph" w:styleId="9">
    <w:name w:val="List Paragraph"/>
    <w:basedOn w:val="1"/>
    <w:qFormat/>
    <w:uiPriority w:val="99"/>
    <w:pPr>
      <w:ind w:firstLine="420" w:firstLineChars="200"/>
    </w:pPr>
  </w:style>
  <w:style w:type="paragraph" w:customStyle="1" w:styleId="10">
    <w:name w:val="正文文本1"/>
    <w:basedOn w:val="1"/>
    <w:qFormat/>
    <w:uiPriority w:val="99"/>
    <w:pPr>
      <w:spacing w:before="93"/>
    </w:pPr>
    <w:rPr>
      <w:rFonts w:ascii="仿宋_GB2312" w:hAnsi="仿宋_GB2312" w:eastAsia="仿宋_GB2312"/>
      <w:kern w:val="0"/>
      <w:sz w:val="30"/>
      <w:szCs w:val="20"/>
    </w:rPr>
  </w:style>
  <w:style w:type="character" w:customStyle="1" w:styleId="11">
    <w:name w:val="Char Char"/>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4094</Words>
  <Characters>4725</Characters>
  <Lines>23</Lines>
  <Paragraphs>6</Paragraphs>
  <TotalTime>12</TotalTime>
  <ScaleCrop>false</ScaleCrop>
  <LinksUpToDate>false</LinksUpToDate>
  <CharactersWithSpaces>4743</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2023-03-07T07:44:00Z</cp:lastPrinted>
  <dcterms:modified xsi:type="dcterms:W3CDTF">2024-08-12T09:07:36Z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9FACA49F8962411EB40D3ABBB3FA0269</vt:lpwstr>
  </property>
</Properties>
</file>