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bookmarkEnd w:id="0"/>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2023年度四川省阿坝州</w:t>
      </w:r>
    </w:p>
    <w:p>
      <w:pPr>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茂县人力资源和社会保障局（事业）</w:t>
      </w:r>
    </w:p>
    <w:p>
      <w:pPr>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单位决算公开</w:t>
      </w:r>
    </w:p>
    <w:p>
      <w:pPr>
        <w:widowControl/>
        <w:jc w:val="center"/>
        <w:rPr>
          <w:rFonts w:ascii="方正小标宋简体" w:hAnsi="宋体" w:eastAsia="方正小标宋简体"/>
          <w:color w:val="000000"/>
          <w:sz w:val="36"/>
          <w:szCs w:val="36"/>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pageBreakBefore w:val="0"/>
        <w:kinsoku/>
        <w:wordWrap/>
        <w:overflowPunct/>
        <w:topLinePunct w:val="0"/>
        <w:autoSpaceDE w:val="0"/>
        <w:autoSpaceDN w:val="0"/>
        <w:bidi w:val="0"/>
        <w:adjustRightInd w:val="0"/>
        <w:spacing w:line="576" w:lineRule="exact"/>
        <w:ind w:left="420" w:leftChars="200"/>
        <w:jc w:val="left"/>
        <w:textAlignment w:val="auto"/>
        <w:rPr>
          <w:rFonts w:hint="eastAsia" w:ascii="宋体" w:hAnsi="Times New Roman" w:eastAsia="宋体" w:cs="仿宋_GB2312"/>
          <w:sz w:val="32"/>
          <w:szCs w:val="32"/>
        </w:rPr>
      </w:pPr>
      <w:r>
        <w:rPr>
          <w:rFonts w:hint="eastAsia" w:ascii="宋体" w:hAnsi="Times New Roman" w:eastAsia="宋体" w:cs="仿宋_GB2312"/>
          <w:sz w:val="32"/>
          <w:szCs w:val="32"/>
        </w:rPr>
        <w:t>已经保密审查、内容审定，同意对外公开</w:t>
      </w:r>
    </w:p>
    <w:p>
      <w:pPr>
        <w:suppressAutoHyphens/>
        <w:bidi w:val="0"/>
        <w:adjustRightInd w:val="0"/>
        <w:snapToGrid w:val="0"/>
        <w:spacing w:line="576" w:lineRule="exact"/>
        <w:jc w:val="both"/>
        <w:outlineLvl w:val="0"/>
        <w:rPr>
          <w:rFonts w:ascii="黑体" w:hAnsi="黑体" w:eastAsia="黑体"/>
          <w:color w:val="auto"/>
          <w:sz w:val="48"/>
          <w:szCs w:val="48"/>
          <w:highlight w:val="none"/>
        </w:rPr>
      </w:pPr>
      <w:r>
        <w:rPr>
          <w:rFonts w:ascii="方正小标宋简体" w:hAnsi="方正小标宋简体" w:eastAsia="方正小标宋简体" w:cs="方正小标宋简体"/>
          <w:color w:val="000000"/>
          <w:sz w:val="44"/>
          <w:szCs w:val="44"/>
        </w:rPr>
        <w:br w:type="page"/>
      </w:r>
      <w:r>
        <w:rPr>
          <w:rFonts w:hint="eastAsia" w:ascii="方正小标宋简体" w:hAnsi="方正小标宋简体" w:eastAsia="方正小标宋简体" w:cs="方正小标宋简体"/>
          <w:color w:val="000000"/>
          <w:sz w:val="44"/>
          <w:szCs w:val="44"/>
          <w:lang w:val="en-US" w:eastAsia="zh-CN"/>
        </w:rPr>
        <w:t xml:space="preserve">                 </w:t>
      </w:r>
      <w:r>
        <w:rPr>
          <w:rFonts w:hint="eastAsia" w:ascii="黑体" w:hAnsi="黑体" w:eastAsia="黑体"/>
          <w:color w:val="auto"/>
          <w:sz w:val="48"/>
          <w:szCs w:val="48"/>
          <w:highlight w:val="none"/>
        </w:rPr>
        <w:t>目录</w:t>
      </w:r>
    </w:p>
    <w:p>
      <w:pPr>
        <w:widowControl/>
        <w:jc w:val="center"/>
        <w:rPr>
          <w:rFonts w:ascii="黑体" w:hAnsi="黑体" w:eastAsia="黑体" w:cs="Times New Roman"/>
          <w:color w:val="auto"/>
          <w:sz w:val="28"/>
          <w:szCs w:val="28"/>
          <w:highlight w:val="none"/>
        </w:rPr>
      </w:pPr>
    </w:p>
    <w:p>
      <w:pPr>
        <w:pStyle w:val="13"/>
        <w:rPr>
          <w:color w:val="auto"/>
          <w:sz w:val="32"/>
          <w:szCs w:val="32"/>
          <w:highlight w:val="none"/>
        </w:rPr>
      </w:pPr>
      <w:r>
        <w:rPr>
          <w:rFonts w:hint="eastAsia"/>
          <w:color w:val="auto"/>
          <w:sz w:val="32"/>
          <w:szCs w:val="32"/>
          <w:highlight w:val="none"/>
        </w:rPr>
        <w:t>公开时间：20</w:t>
      </w:r>
      <w:r>
        <w:rPr>
          <w:rFonts w:hint="eastAsia"/>
          <w:color w:val="auto"/>
          <w:sz w:val="32"/>
          <w:szCs w:val="32"/>
          <w:highlight w:val="none"/>
          <w:lang w:val="en-US" w:eastAsia="zh-CN"/>
        </w:rPr>
        <w:t>24</w:t>
      </w:r>
      <w:r>
        <w:rPr>
          <w:rFonts w:hint="eastAsia"/>
          <w:color w:val="auto"/>
          <w:sz w:val="32"/>
          <w:szCs w:val="32"/>
          <w:highlight w:val="none"/>
        </w:rPr>
        <w:t>年</w:t>
      </w:r>
      <w:r>
        <w:rPr>
          <w:rFonts w:hint="eastAsia"/>
          <w:color w:val="auto"/>
          <w:sz w:val="32"/>
          <w:szCs w:val="32"/>
          <w:highlight w:val="none"/>
          <w:lang w:val="en-US" w:eastAsia="zh-CN"/>
        </w:rPr>
        <w:t>9</w:t>
      </w:r>
      <w:r>
        <w:rPr>
          <w:rFonts w:hint="eastAsia"/>
          <w:color w:val="auto"/>
          <w:sz w:val="32"/>
          <w:szCs w:val="32"/>
          <w:highlight w:val="none"/>
        </w:rPr>
        <w:t>月</w:t>
      </w:r>
      <w:r>
        <w:rPr>
          <w:rFonts w:hint="eastAsia"/>
          <w:color w:val="auto"/>
          <w:sz w:val="32"/>
          <w:szCs w:val="32"/>
          <w:highlight w:val="none"/>
          <w:lang w:val="en-US" w:eastAsia="zh-CN"/>
        </w:rPr>
        <w:t>25</w:t>
      </w:r>
      <w:r>
        <w:rPr>
          <w:rFonts w:hint="eastAsia"/>
          <w:color w:val="auto"/>
          <w:sz w:val="32"/>
          <w:szCs w:val="32"/>
          <w:highlight w:val="none"/>
        </w:rPr>
        <w:t>日</w:t>
      </w:r>
    </w:p>
    <w:p>
      <w:pPr>
        <w:rPr>
          <w:color w:val="auto"/>
          <w:highlight w:val="none"/>
        </w:rPr>
      </w:pPr>
    </w:p>
    <w:p>
      <w:pPr>
        <w:pStyle w:val="14"/>
        <w:adjustRightInd w:val="0"/>
        <w:snapToGrid w:val="0"/>
        <w:spacing w:line="576"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第一部分 </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概况</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4</w:t>
      </w:r>
    </w:p>
    <w:p>
      <w:pPr>
        <w:pStyle w:val="14"/>
        <w:adjustRightInd w:val="0"/>
        <w:snapToGrid w:val="0"/>
        <w:spacing w:line="576"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一、主要职责</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4</w:t>
      </w:r>
    </w:p>
    <w:p>
      <w:pPr>
        <w:pStyle w:val="14"/>
        <w:adjustRightInd w:val="0"/>
        <w:snapToGrid w:val="0"/>
        <w:spacing w:line="576"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二、机构设置</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6</w:t>
      </w:r>
    </w:p>
    <w:p>
      <w:pPr>
        <w:pStyle w:val="14"/>
        <w:adjustRightInd w:val="0"/>
        <w:snapToGrid w:val="0"/>
        <w:spacing w:line="576"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第二部分</w:t>
      </w:r>
      <w:r>
        <w:rPr>
          <w:rFonts w:hint="eastAsia" w:ascii="仿宋_GB2312" w:hAnsi="仿宋_GB2312" w:eastAsia="仿宋_GB2312" w:cs="仿宋_GB2312"/>
          <w:sz w:val="32"/>
          <w:szCs w:val="32"/>
          <w:lang w:val="en-US" w:eastAsia="zh-CN"/>
        </w:rPr>
        <w:t xml:space="preserve"> 2023年度</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决算情况说明</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7</w:t>
      </w:r>
    </w:p>
    <w:p>
      <w:pPr>
        <w:pStyle w:val="14"/>
        <w:adjustRightInd w:val="0"/>
        <w:snapToGrid w:val="0"/>
        <w:spacing w:line="576"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一、收入支出决算总体情况说明</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7</w:t>
      </w:r>
    </w:p>
    <w:p>
      <w:pPr>
        <w:pStyle w:val="14"/>
        <w:adjustRightInd w:val="0"/>
        <w:snapToGrid w:val="0"/>
        <w:spacing w:line="576"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二、收入决算情况说明</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7</w:t>
      </w:r>
    </w:p>
    <w:p>
      <w:pPr>
        <w:pStyle w:val="14"/>
        <w:adjustRightInd w:val="0"/>
        <w:snapToGrid w:val="0"/>
        <w:spacing w:line="576"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三、支出决算情况说明</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7</w:t>
      </w:r>
    </w:p>
    <w:p>
      <w:pPr>
        <w:pStyle w:val="14"/>
        <w:adjustRightInd w:val="0"/>
        <w:snapToGrid w:val="0"/>
        <w:spacing w:line="576"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四、财政拨款收入支出决算总体情况说明</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8</w:t>
      </w:r>
    </w:p>
    <w:p>
      <w:pPr>
        <w:pStyle w:val="14"/>
        <w:adjustRightInd w:val="0"/>
        <w:snapToGrid w:val="0"/>
        <w:spacing w:line="576"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五、一般公共预算财政拨款支出决算情况说明</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8</w:t>
      </w:r>
    </w:p>
    <w:p>
      <w:pPr>
        <w:pStyle w:val="14"/>
        <w:adjustRightInd w:val="0"/>
        <w:snapToGrid w:val="0"/>
        <w:spacing w:line="576" w:lineRule="exact"/>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六、一般公共预算财政拨款基本支出决算情况说明</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10</w:t>
      </w:r>
    </w:p>
    <w:p>
      <w:pPr>
        <w:pStyle w:val="14"/>
        <w:adjustRightInd w:val="0"/>
        <w:snapToGrid w:val="0"/>
        <w:spacing w:line="576" w:lineRule="exact"/>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七、财政拨款“三公”经费支出决算情况说明</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11</w:t>
      </w:r>
    </w:p>
    <w:p>
      <w:pPr>
        <w:pStyle w:val="14"/>
        <w:adjustRightInd w:val="0"/>
        <w:snapToGrid w:val="0"/>
        <w:spacing w:line="576" w:lineRule="exact"/>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八、政府性基金预算支出决算情况说明</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13</w:t>
      </w:r>
    </w:p>
    <w:p>
      <w:pPr>
        <w:pStyle w:val="14"/>
        <w:adjustRightInd w:val="0"/>
        <w:snapToGrid w:val="0"/>
        <w:spacing w:line="576" w:lineRule="exact"/>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九、国有资本经营预算支出决算情况说明</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13</w:t>
      </w:r>
    </w:p>
    <w:p>
      <w:pPr>
        <w:pStyle w:val="14"/>
        <w:adjustRightInd w:val="0"/>
        <w:snapToGrid w:val="0"/>
        <w:spacing w:line="576"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十、其他重要事项的情况说明</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 xml:space="preserve">13  </w:t>
      </w:r>
    </w:p>
    <w:p>
      <w:pPr>
        <w:pStyle w:val="14"/>
        <w:adjustRightInd w:val="0"/>
        <w:snapToGrid w:val="0"/>
        <w:spacing w:line="576" w:lineRule="exact"/>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第三部分 名词解释</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14</w:t>
      </w:r>
    </w:p>
    <w:p>
      <w:pPr>
        <w:pStyle w:val="14"/>
        <w:adjustRightInd w:val="0"/>
        <w:snapToGrid w:val="0"/>
        <w:spacing w:line="576" w:lineRule="exact"/>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第四部分 附</w:t>
      </w:r>
      <w:r>
        <w:rPr>
          <w:rFonts w:hint="eastAsia" w:ascii="仿宋_GB2312" w:hAnsi="仿宋_GB2312" w:eastAsia="仿宋_GB2312" w:cs="仿宋_GB2312"/>
          <w:sz w:val="32"/>
          <w:szCs w:val="32"/>
          <w:lang w:val="en-US" w:eastAsia="zh-CN"/>
        </w:rPr>
        <w:t>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17</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一、收入支出决算总表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17</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二、收入决算表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17</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三、支出决算表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17</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四、财政拨款收入支出决算总表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17</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五、财政拨款支出决算明细表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17</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六、一般公共预算财政拨款支出决算表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17</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七、一般公共预算财政拨款支出决算明细表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17</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八、一般公共预算财政拨款基本支出决算明细表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17</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九、一般公共预算财政拨款项目支出决算表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17</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十、政府性基金预算财政拨款收入支出决算表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17</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十一、国有资本经营预算财政拨款收入支出决算表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17</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十二、国有资本经营预算财政拨款支出决算表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17</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十三、财政拨款“三公”经费支出决算表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17</w:t>
      </w:r>
    </w:p>
    <w:p>
      <w:pPr>
        <w:widowControl/>
        <w:spacing w:line="440" w:lineRule="exact"/>
        <w:jc w:val="left"/>
        <w:rPr>
          <w:rFonts w:ascii="仿宋" w:hAnsi="仿宋" w:eastAsia="仿宋"/>
          <w:bCs/>
          <w:color w:val="auto"/>
          <w:kern w:val="44"/>
          <w:sz w:val="24"/>
          <w:highlight w:val="none"/>
        </w:rPr>
      </w:pPr>
      <w:r>
        <w:rPr>
          <w:rFonts w:ascii="仿宋" w:hAnsi="仿宋" w:eastAsia="仿宋"/>
          <w:b/>
          <w:color w:val="auto"/>
          <w:sz w:val="24"/>
          <w:highlight w:val="none"/>
        </w:rPr>
        <w:br w:type="page"/>
      </w:r>
    </w:p>
    <w:p>
      <w:pPr>
        <w:suppressAutoHyphens/>
        <w:bidi w:val="0"/>
        <w:spacing w:line="576" w:lineRule="exact"/>
        <w:ind w:left="672"/>
        <w:jc w:val="center"/>
        <w:rPr>
          <w:rFonts w:ascii="黑体" w:eastAsia="黑体"/>
          <w:color w:val="auto"/>
          <w:sz w:val="32"/>
          <w:szCs w:val="32"/>
          <w:highlight w:val="none"/>
        </w:rPr>
      </w:pPr>
      <w:r>
        <w:rPr>
          <w:rStyle w:val="28"/>
          <w:rFonts w:hint="eastAsia" w:ascii="黑体" w:hAnsi="黑体" w:eastAsia="黑体" w:cs="黑体"/>
        </w:rPr>
        <w:t xml:space="preserve">第一部分 </w:t>
      </w:r>
      <w:r>
        <w:rPr>
          <w:rStyle w:val="28"/>
          <w:rFonts w:hint="eastAsia" w:ascii="黑体" w:hAnsi="黑体" w:eastAsia="黑体" w:cs="黑体"/>
          <w:lang w:eastAsia="zh-CN"/>
        </w:rPr>
        <w:t>单位</w:t>
      </w:r>
      <w:r>
        <w:rPr>
          <w:rStyle w:val="28"/>
          <w:rFonts w:hint="eastAsia" w:ascii="黑体" w:hAnsi="黑体" w:eastAsia="黑体" w:cs="黑体"/>
        </w:rPr>
        <w:t>概况</w:t>
      </w:r>
    </w:p>
    <w:p>
      <w:pPr>
        <w:numPr>
          <w:ilvl w:val="0"/>
          <w:numId w:val="1"/>
        </w:numPr>
        <w:spacing w:line="576" w:lineRule="exact"/>
        <w:ind w:firstLine="640" w:firstLineChars="200"/>
        <w:rPr>
          <w:rFonts w:hint="eastAsia" w:ascii="黑体" w:hAnsi="黑体" w:eastAsia="黑体" w:cs="Times New Roman"/>
          <w:b w:val="0"/>
          <w:bCs w:val="0"/>
          <w:color w:val="000000"/>
          <w:kern w:val="2"/>
          <w:sz w:val="32"/>
          <w:szCs w:val="32"/>
          <w:lang w:val="en-US" w:eastAsia="zh-CN" w:bidi="ar-SA"/>
        </w:rPr>
      </w:pPr>
      <w:r>
        <w:rPr>
          <w:rFonts w:hint="eastAsia" w:ascii="黑体" w:hAnsi="黑体" w:eastAsia="黑体" w:cs="Times New Roman"/>
          <w:b w:val="0"/>
          <w:bCs w:val="0"/>
          <w:color w:val="000000"/>
          <w:kern w:val="2"/>
          <w:sz w:val="32"/>
          <w:szCs w:val="32"/>
          <w:lang w:val="en-US" w:eastAsia="zh-CN" w:bidi="ar-SA"/>
        </w:rPr>
        <w:t>主要职责</w:t>
      </w:r>
    </w:p>
    <w:p>
      <w:pPr>
        <w:numPr>
          <w:ilvl w:val="0"/>
          <w:numId w:val="0"/>
        </w:numPr>
        <w:spacing w:line="576"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（一）主要职能</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1.贯彻落实人力资源和社会保障法律、法规、规章和方针政策，拟订执行全县人力资源和社会保障事业发展规划，起草相关规范性文件草案，并组织实施和监督检查。</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2.贯彻落实人力资源市场发展规划、人力资源流动政策，建立全县统一规范的人力资源市场，促进人力资源合理流动、有效配置。</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3.负责促进就业工作。统筹全县就业发展规划、政策和措施，完善公共就业创业服务体系，组织落实创业、就业援助制度，完善职业资格制度，拟订落实职业介绍机构的管理办法并组织实施，统筹建立面向城乡劳动者的职业培训制度，牵头贯彻落实高校毕业生就业创业政策。</w:t>
      </w:r>
    </w:p>
    <w:p>
      <w:pPr>
        <w:spacing w:line="556" w:lineRule="exact"/>
        <w:rPr>
          <w:rFonts w:ascii="仿宋_GB2312" w:eastAsia="仿宋_GB2312"/>
          <w:sz w:val="32"/>
          <w:szCs w:val="32"/>
        </w:rPr>
      </w:pPr>
      <w:r>
        <w:rPr>
          <w:rFonts w:hint="eastAsia" w:ascii="仿宋_GB2312" w:eastAsia="仿宋_GB2312"/>
          <w:sz w:val="32"/>
          <w:szCs w:val="32"/>
        </w:rPr>
        <w:t>　　4.统筹推进建立覆盖城乡的社会保障体系。贯彻落实养老保险全国统筹办法和全国统一的养老、失业、工伤保险关系转续办法；统筹执行全县相关社会保险及补充保险基金支付、管理、运营和监督办法；编制全县养老、失业、工伤等相关社会保险基金预决算草案。会同有关部门实施全民参保计划。贯彻落实人力资源和社会保障信息化建设总体规划、年度计划，组织实施相关制度、标准和规范。指导、督促企业参加工伤保险。</w:t>
      </w:r>
    </w:p>
    <w:p>
      <w:pPr>
        <w:spacing w:line="556" w:lineRule="exact"/>
        <w:rPr>
          <w:rFonts w:ascii="仿宋_GB2312" w:eastAsia="仿宋_GB2312"/>
          <w:sz w:val="32"/>
          <w:szCs w:val="32"/>
        </w:rPr>
      </w:pPr>
      <w:r>
        <w:rPr>
          <w:rFonts w:hint="eastAsia" w:ascii="仿宋_GB2312" w:eastAsia="仿宋_GB2312"/>
          <w:sz w:val="32"/>
          <w:szCs w:val="32"/>
        </w:rPr>
        <w:t>　　5.负责就业、失业和相关社会保险基金预测预警和信息引导，实施预防、调节和控制，保持就业形势稳定和相关社会保险基金总体收支平衡。</w:t>
      </w:r>
    </w:p>
    <w:p>
      <w:pPr>
        <w:spacing w:line="556" w:lineRule="exact"/>
        <w:rPr>
          <w:rFonts w:ascii="仿宋_GB2312" w:eastAsia="仿宋_GB2312"/>
          <w:sz w:val="32"/>
          <w:szCs w:val="32"/>
        </w:rPr>
      </w:pPr>
      <w:r>
        <w:rPr>
          <w:rFonts w:hint="eastAsia" w:ascii="仿宋_GB2312" w:eastAsia="仿宋_GB2312"/>
          <w:sz w:val="32"/>
          <w:szCs w:val="32"/>
        </w:rPr>
        <w:t>　　6.统筹贯彻劳动人事争议调解仲裁制度和劳动关系政策并组织和监督实施，完善劳动关系协调机制，贯彻职工工作时间、休息休假和假期制度，落实消除非法使用童工政策和女工、未成年工的特殊劳动保护政策，依法督促用人单位在劳动用工、合同签订与履约时，载明劳动保护、劳动条件和职业危害防护等条款。组织实施劳动保障监察，协调劳动者维权工作，依法查处重大案件。</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7.牵头推进深化职称制度改革，执行专业技术人员管理、继续教育和博士后管理等政策，负责专业技术人才选拔和培养工作。组织实施技能人才培养、评价、使用和激励制度。贯彻落实职业资格制度以及职业技能多元化评价政策。指导、监督各类技工学校、民办职业培训机构按国家和省、州有关规定履行安全管理责任。</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8.会同有关部门负责事业单位人事制度改革，按照管理权限负责规范事业单位岗位设置、公开招聘、聘用合同等人事综合管理工作，落实规范事业单位工作人员和机关工勤人员管理政策，将安全生产及环境保护责任履行情况作为事业单位工作人员奖惩、考核的重要内容。</w:t>
      </w:r>
    </w:p>
    <w:p>
      <w:pPr>
        <w:spacing w:line="556" w:lineRule="exact"/>
        <w:ind w:firstLine="640"/>
        <w:rPr>
          <w:rFonts w:ascii="仿宋_GB2312" w:eastAsia="仿宋_GB2312"/>
          <w:sz w:val="32"/>
          <w:szCs w:val="32"/>
        </w:rPr>
      </w:pPr>
      <w:r>
        <w:rPr>
          <w:rFonts w:hint="eastAsia" w:ascii="仿宋_GB2312" w:eastAsia="仿宋_GB2312"/>
          <w:sz w:val="32"/>
          <w:szCs w:val="32"/>
        </w:rPr>
        <w:t>9.组织实施国家表彰奖励制度，综合管理政府表彰奖励工作，承担评比达标表彰等工作，根据授权承办以县委、县政府名义开展的县级表彰奖励活动。承办提请县人大常委会和县政府决定的人事任免事项。</w:t>
      </w:r>
    </w:p>
    <w:p>
      <w:pPr>
        <w:spacing w:line="556" w:lineRule="exact"/>
        <w:ind w:firstLine="640"/>
        <w:rPr>
          <w:rFonts w:ascii="仿宋_GB2312" w:eastAsia="仿宋_GB2312"/>
          <w:sz w:val="32"/>
          <w:szCs w:val="32"/>
        </w:rPr>
      </w:pPr>
      <w:r>
        <w:rPr>
          <w:rFonts w:hint="eastAsia" w:ascii="仿宋_GB2312" w:eastAsia="仿宋_GB2312"/>
          <w:sz w:val="32"/>
          <w:szCs w:val="32"/>
        </w:rPr>
        <w:t>10.会同有关部门执行事业单位人员工资收入分配政策，建立企事业单位人员工资决定、正常增长和支付保障机制。贯彻执行企事业单位人员福利和退休政策。</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11.会同有关部门拟订落实农民工工作综合性规划，推动相关政策的落实，协调解决重点难点问题，维护农民工合法权益。负责将安全生产纳入农民工技能培训内容。</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12.负责人力资源和社会保障领域的对外交流与合作工作。</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13.承担职责范围内的安全生产和职业健康、生态环境保护、审批服务便民化等工作。</w:t>
      </w:r>
    </w:p>
    <w:p>
      <w:pPr>
        <w:spacing w:line="556" w:lineRule="exact"/>
        <w:ind w:firstLine="640"/>
        <w:rPr>
          <w:rFonts w:ascii="仿宋_GB2312" w:eastAsia="仿宋_GB2312"/>
          <w:sz w:val="32"/>
          <w:szCs w:val="32"/>
        </w:rPr>
      </w:pPr>
      <w:r>
        <w:rPr>
          <w:rFonts w:hint="eastAsia" w:ascii="仿宋_GB2312" w:eastAsia="仿宋_GB2312"/>
          <w:sz w:val="32"/>
          <w:szCs w:val="32"/>
        </w:rPr>
        <w:t>14.完成县委、县政府交办的其他任务。</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15.职能转变。深入推进简政放权、放管结合、优化服务改革，进一步减少行政审批事项，规范和优化对外办理事项，贯彻落实国家职业资格目录清单管理制度，加强事中事后监管，创新就业和社会保障等公共服务方式，加强信息分享，提高公共服务水平。</w:t>
      </w:r>
    </w:p>
    <w:p>
      <w:pPr>
        <w:spacing w:line="556" w:lineRule="exact"/>
        <w:ind w:firstLine="640" w:firstLineChars="200"/>
        <w:rPr>
          <w:rFonts w:hint="eastAsia" w:ascii="仿宋_GB2312" w:eastAsia="仿宋_GB2312"/>
          <w:sz w:val="32"/>
          <w:szCs w:val="32"/>
        </w:rPr>
      </w:pPr>
      <w:r>
        <w:rPr>
          <w:rFonts w:hint="eastAsia" w:ascii="仿宋_GB2312" w:eastAsia="仿宋_GB2312"/>
          <w:sz w:val="32"/>
          <w:szCs w:val="32"/>
        </w:rPr>
        <w:t>16.有关职责分工。高校毕业生就业管理的职责分工。毕业生就业政策由县人力资源</w:t>
      </w:r>
      <w:r>
        <w:rPr>
          <w:rFonts w:hint="eastAsia" w:ascii="仿宋_GB2312" w:eastAsia="仿宋_GB2312"/>
          <w:sz w:val="32"/>
          <w:szCs w:val="32"/>
          <w:lang w:val="en-US" w:eastAsia="zh-CN"/>
        </w:rPr>
        <w:t>和</w:t>
      </w:r>
      <w:r>
        <w:rPr>
          <w:rFonts w:hint="eastAsia" w:ascii="仿宋_GB2312" w:eastAsia="仿宋_GB2312"/>
          <w:sz w:val="32"/>
          <w:szCs w:val="32"/>
        </w:rPr>
        <w:t>社会保障局牵头，会同县教育局等部门贯彻落实；毕业生离校前的就业指导和服务工作，由县教育局负责；毕业生离校后的就业指导和服务工作，由县人力资源</w:t>
      </w:r>
      <w:r>
        <w:rPr>
          <w:rFonts w:hint="eastAsia" w:ascii="仿宋_GB2312" w:eastAsia="仿宋_GB2312"/>
          <w:sz w:val="32"/>
          <w:szCs w:val="32"/>
          <w:lang w:val="en-US" w:eastAsia="zh-CN"/>
        </w:rPr>
        <w:t>和</w:t>
      </w:r>
      <w:r>
        <w:rPr>
          <w:rFonts w:hint="eastAsia" w:ascii="仿宋_GB2312" w:eastAsia="仿宋_GB2312"/>
          <w:sz w:val="32"/>
          <w:szCs w:val="32"/>
        </w:rPr>
        <w:t>社会保障局负责。</w:t>
      </w:r>
    </w:p>
    <w:p>
      <w:pPr>
        <w:spacing w:line="560" w:lineRule="exact"/>
        <w:ind w:firstLine="640" w:firstLineChars="200"/>
        <w:rPr>
          <w:rFonts w:ascii="楷体_GB2312" w:eastAsia="楷体_GB2312" w:cs="宋体"/>
          <w:b/>
          <w:kern w:val="0"/>
          <w:sz w:val="32"/>
          <w:szCs w:val="32"/>
        </w:rPr>
      </w:pPr>
      <w:r>
        <w:rPr>
          <w:rFonts w:hint="eastAsia" w:ascii="黑体" w:hAnsi="黑体" w:eastAsia="黑体" w:cs="黑体"/>
          <w:sz w:val="32"/>
          <w:szCs w:val="32"/>
        </w:rPr>
        <w:t>二、机构设置</w:t>
      </w:r>
    </w:p>
    <w:p>
      <w:pPr>
        <w:spacing w:line="576" w:lineRule="exact"/>
        <w:ind w:firstLine="640" w:firstLineChars="200"/>
        <w:rPr>
          <w:rStyle w:val="38"/>
          <w:rFonts w:ascii="仿宋" w:hAnsi="仿宋" w:eastAsia="仿宋"/>
          <w:b w:val="0"/>
          <w:bCs w:val="0"/>
          <w:kern w:val="2"/>
          <w:sz w:val="32"/>
          <w:szCs w:val="32"/>
        </w:rPr>
      </w:pPr>
      <w:r>
        <w:rPr>
          <w:rFonts w:hint="eastAsia" w:ascii="仿宋_GB2312" w:hAnsi="仿宋_GB2312" w:eastAsia="仿宋_GB2312" w:cs="仿宋_GB2312"/>
          <w:sz w:val="32"/>
          <w:szCs w:val="32"/>
        </w:rPr>
        <w:t>茂县</w:t>
      </w:r>
      <w:r>
        <w:rPr>
          <w:rFonts w:ascii="仿宋" w:hAnsi="仿宋" w:eastAsia="仿宋"/>
          <w:sz w:val="32"/>
          <w:szCs w:val="32"/>
        </w:rPr>
        <w:t>人力资源和社会保障局</w:t>
      </w:r>
      <w:r>
        <w:rPr>
          <w:rFonts w:hint="eastAsia" w:ascii="仿宋" w:hAnsi="仿宋" w:eastAsia="仿宋"/>
          <w:sz w:val="32"/>
          <w:szCs w:val="32"/>
        </w:rPr>
        <w:t>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个，其他事业单位0个。</w:t>
      </w:r>
      <w:r>
        <w:rPr>
          <w:rFonts w:hint="eastAsia" w:ascii="仿宋" w:hAnsi="仿宋" w:eastAsia="仿宋"/>
          <w:color w:val="000000"/>
          <w:sz w:val="32"/>
          <w:szCs w:val="32"/>
        </w:rPr>
        <w:t>无纳入茂县</w:t>
      </w:r>
      <w:r>
        <w:rPr>
          <w:rFonts w:ascii="仿宋" w:hAnsi="仿宋" w:eastAsia="仿宋"/>
          <w:color w:val="000000"/>
          <w:sz w:val="32"/>
          <w:szCs w:val="32"/>
        </w:rPr>
        <w:t>人力资源和社会保障局</w:t>
      </w: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年度部门决算编制范围的二级预算单位。</w:t>
      </w:r>
    </w:p>
    <w:p>
      <w:pPr>
        <w:widowControl/>
        <w:jc w:val="left"/>
        <w:rPr>
          <w:rFonts w:ascii="仿宋" w:hAnsi="仿宋" w:eastAsia="仿宋"/>
          <w:color w:val="auto"/>
          <w:kern w:val="0"/>
          <w:sz w:val="32"/>
          <w:szCs w:val="32"/>
          <w:highlight w:val="none"/>
        </w:rPr>
      </w:pPr>
    </w:p>
    <w:p>
      <w:pPr>
        <w:pStyle w:val="5"/>
        <w:ind w:right="440"/>
        <w:jc w:val="right"/>
        <w:rPr>
          <w:rStyle w:val="38"/>
          <w:rFonts w:ascii="黑体" w:hAnsi="黑体" w:eastAsia="黑体"/>
          <w:b/>
          <w:bCs/>
        </w:rPr>
      </w:pPr>
      <w:r>
        <w:rPr>
          <w:rStyle w:val="38"/>
          <w:rFonts w:hint="eastAsia" w:ascii="黑体" w:hAnsi="黑体" w:eastAsia="黑体"/>
          <w:b w:val="0"/>
          <w:bCs w:val="0"/>
        </w:rPr>
        <w:t>第二部分</w:t>
      </w:r>
      <w:r>
        <w:rPr>
          <w:rStyle w:val="38"/>
          <w:rFonts w:ascii="黑体" w:hAnsi="黑体" w:eastAsia="黑体"/>
          <w:b w:val="0"/>
          <w:bCs w:val="0"/>
        </w:rPr>
        <w:t xml:space="preserve"> 202</w:t>
      </w:r>
      <w:r>
        <w:rPr>
          <w:rStyle w:val="38"/>
          <w:rFonts w:hint="eastAsia" w:ascii="黑体" w:hAnsi="黑体" w:eastAsia="黑体"/>
          <w:b w:val="0"/>
          <w:bCs w:val="0"/>
          <w:lang w:val="en-US" w:eastAsia="zh-CN"/>
        </w:rPr>
        <w:t>3</w:t>
      </w:r>
      <w:r>
        <w:rPr>
          <w:rStyle w:val="38"/>
          <w:rFonts w:hint="eastAsia" w:ascii="黑体" w:hAnsi="黑体" w:eastAsia="黑体"/>
          <w:b w:val="0"/>
          <w:bCs w:val="0"/>
        </w:rPr>
        <w:t>年度</w:t>
      </w:r>
      <w:r>
        <w:rPr>
          <w:rStyle w:val="38"/>
          <w:rFonts w:hint="eastAsia" w:ascii="黑体" w:hAnsi="黑体" w:eastAsia="黑体"/>
          <w:b w:val="0"/>
          <w:bCs w:val="0"/>
          <w:lang w:val="en-US" w:eastAsia="zh-CN"/>
        </w:rPr>
        <w:t>单位</w:t>
      </w:r>
      <w:r>
        <w:rPr>
          <w:rStyle w:val="38"/>
          <w:rFonts w:hint="eastAsia" w:ascii="黑体" w:hAnsi="黑体" w:eastAsia="黑体"/>
          <w:b w:val="0"/>
          <w:bCs w:val="0"/>
        </w:rPr>
        <w:t>决算情况说明</w:t>
      </w:r>
    </w:p>
    <w:p>
      <w:pPr>
        <w:pStyle w:val="39"/>
        <w:numPr>
          <w:ilvl w:val="0"/>
          <w:numId w:val="2"/>
        </w:numPr>
        <w:spacing w:line="600" w:lineRule="exact"/>
        <w:ind w:firstLineChars="0"/>
        <w:outlineLvl w:val="1"/>
        <w:rPr>
          <w:rStyle w:val="29"/>
          <w:rFonts w:ascii="黑体" w:hAnsi="黑体" w:eastAsia="黑体"/>
          <w:b w:val="0"/>
        </w:rPr>
      </w:pPr>
      <w:bookmarkStart w:id="1" w:name="_Toc79163610"/>
      <w:bookmarkStart w:id="2" w:name="_Toc79163860"/>
      <w:bookmarkStart w:id="3" w:name="_Toc15396603"/>
      <w:bookmarkStart w:id="4" w:name="_Toc15377205"/>
      <w:r>
        <w:rPr>
          <w:rStyle w:val="29"/>
          <w:rFonts w:hint="eastAsia" w:ascii="黑体" w:hAnsi="黑体" w:eastAsia="黑体"/>
        </w:rPr>
        <w:t>收入支出决算总体情况说明</w:t>
      </w:r>
      <w:bookmarkEnd w:id="1"/>
      <w:bookmarkEnd w:id="2"/>
      <w:bookmarkEnd w:id="3"/>
      <w:bookmarkEnd w:id="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年度收、支总计</w:t>
      </w:r>
      <w:r>
        <w:rPr>
          <w:rFonts w:hint="eastAsia" w:ascii="仿宋" w:hAnsi="仿宋" w:eastAsia="仿宋"/>
          <w:color w:val="000000"/>
          <w:sz w:val="32"/>
          <w:szCs w:val="32"/>
          <w:lang w:val="en-US" w:eastAsia="zh-CN"/>
        </w:rPr>
        <w:t>均为342.66</w:t>
      </w:r>
      <w:r>
        <w:rPr>
          <w:rFonts w:hint="eastAsia" w:ascii="仿宋" w:hAnsi="仿宋" w:eastAsia="仿宋"/>
          <w:color w:val="000000"/>
          <w:sz w:val="32"/>
          <w:szCs w:val="32"/>
        </w:rPr>
        <w:t>万元。与</w:t>
      </w: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年相比，收、支总计增加</w:t>
      </w:r>
      <w:r>
        <w:rPr>
          <w:rFonts w:hint="eastAsia" w:ascii="仿宋" w:hAnsi="仿宋" w:eastAsia="仿宋"/>
          <w:color w:val="000000"/>
          <w:sz w:val="32"/>
          <w:szCs w:val="32"/>
          <w:lang w:val="en-US" w:eastAsia="zh-CN"/>
        </w:rPr>
        <w:t>23.05</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增长7.21</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_GB2312" w:eastAsia="仿宋_GB2312" w:cs="Times New Roman"/>
          <w:color w:val="000000"/>
          <w:kern w:val="2"/>
          <w:sz w:val="32"/>
          <w:szCs w:val="32"/>
          <w:lang w:val="en-US" w:eastAsia="zh-CN" w:bidi="ar-SA"/>
        </w:rPr>
        <w:t>主要变动原因是人员变动、工资正常晋升等。</w:t>
      </w:r>
    </w:p>
    <w:p>
      <w:pPr>
        <w:jc w:val="left"/>
        <w:rPr>
          <w:rFonts w:ascii="仿宋_GB2312" w:eastAsia="仿宋_GB2312"/>
          <w:color w:val="000000"/>
          <w:sz w:val="32"/>
          <w:szCs w:val="32"/>
        </w:rPr>
      </w:pPr>
      <w:r>
        <w:rPr>
          <w:rFonts w:ascii="仿宋_GB2312" w:eastAsia="仿宋_GB2312"/>
          <w:color w:val="000000"/>
          <w:sz w:val="32"/>
          <w:szCs w:val="32"/>
        </w:rPr>
        <w:drawing>
          <wp:inline distT="0" distB="0" distL="0" distR="0">
            <wp:extent cx="5257800" cy="2019300"/>
            <wp:effectExtent l="4445" t="4445" r="14605" b="14605"/>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39"/>
        <w:numPr>
          <w:ilvl w:val="0"/>
          <w:numId w:val="2"/>
        </w:numPr>
        <w:spacing w:line="600" w:lineRule="exact"/>
        <w:ind w:firstLineChars="0"/>
        <w:outlineLvl w:val="1"/>
        <w:rPr>
          <w:rStyle w:val="29"/>
          <w:rFonts w:ascii="黑体" w:hAnsi="黑体" w:eastAsia="黑体"/>
          <w:b w:val="0"/>
        </w:rPr>
      </w:pPr>
      <w:bookmarkStart w:id="5" w:name="_Toc15396604"/>
      <w:bookmarkStart w:id="6" w:name="_Toc15377206"/>
      <w:bookmarkStart w:id="7" w:name="_Toc79163861"/>
      <w:bookmarkStart w:id="8" w:name="_Toc79163611"/>
      <w:r>
        <w:rPr>
          <w:rStyle w:val="29"/>
          <w:rFonts w:hint="eastAsia" w:ascii="黑体" w:hAnsi="黑体" w:eastAsia="黑体"/>
        </w:rPr>
        <w:t>收入决算情况说明</w:t>
      </w:r>
      <w:bookmarkEnd w:id="5"/>
      <w:bookmarkEnd w:id="6"/>
      <w:bookmarkEnd w:id="7"/>
      <w:bookmarkEnd w:id="8"/>
    </w:p>
    <w:p>
      <w:pPr>
        <w:ind w:firstLine="640" w:firstLineChars="200"/>
        <w:outlineLvl w:val="1"/>
        <w:rPr>
          <w:rFonts w:hint="eastAsia" w:ascii="仿宋" w:hAnsi="仿宋" w:eastAsia="仿宋"/>
          <w:color w:val="000000"/>
          <w:sz w:val="32"/>
          <w:szCs w:val="32"/>
          <w:lang w:eastAsia="zh-CN"/>
        </w:rPr>
      </w:pP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342.66</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342.66</w:t>
      </w:r>
      <w:r>
        <w:rPr>
          <w:rFonts w:hint="eastAsia" w:ascii="仿宋" w:hAnsi="仿宋" w:eastAsia="仿宋"/>
          <w:color w:val="000000"/>
          <w:sz w:val="32"/>
          <w:szCs w:val="32"/>
        </w:rPr>
        <w:t>万元，占100</w:t>
      </w:r>
      <w:r>
        <w:rPr>
          <w:rFonts w:ascii="仿宋" w:hAnsi="仿宋" w:eastAsia="仿宋"/>
          <w:color w:val="000000"/>
          <w:sz w:val="32"/>
          <w:szCs w:val="32"/>
        </w:rPr>
        <w:t>%</w:t>
      </w:r>
      <w:r>
        <w:rPr>
          <w:rFonts w:hint="eastAsia" w:ascii="仿宋" w:hAnsi="仿宋" w:eastAsia="仿宋"/>
          <w:color w:val="auto"/>
          <w:sz w:val="32"/>
          <w:szCs w:val="32"/>
          <w:highlight w:val="none"/>
        </w:rPr>
        <w:t>。</w:t>
      </w:r>
    </w:p>
    <w:p>
      <w:pPr>
        <w:ind w:firstLine="640" w:firstLineChars="200"/>
        <w:outlineLvl w:val="1"/>
        <w:rPr>
          <w:rFonts w:ascii="仿宋" w:hAnsi="仿宋" w:eastAsia="仿宋"/>
          <w:color w:val="000000"/>
          <w:sz w:val="32"/>
          <w:szCs w:val="32"/>
        </w:rPr>
      </w:pPr>
      <w:r>
        <w:rPr>
          <w:rFonts w:ascii="仿宋" w:hAnsi="仿宋" w:eastAsia="仿宋"/>
          <w:color w:val="000000"/>
          <w:sz w:val="32"/>
          <w:szCs w:val="32"/>
        </w:rPr>
        <w:drawing>
          <wp:inline distT="0" distB="0" distL="0" distR="0">
            <wp:extent cx="5086350" cy="1390650"/>
            <wp:effectExtent l="4445" t="4445" r="14605" b="14605"/>
            <wp:docPr id="1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7"/>
        <w:numPr>
          <w:ilvl w:val="0"/>
          <w:numId w:val="2"/>
        </w:numPr>
        <w:spacing w:line="600" w:lineRule="exact"/>
        <w:ind w:firstLineChars="0"/>
        <w:outlineLvl w:val="1"/>
        <w:rPr>
          <w:rStyle w:val="29"/>
          <w:rFonts w:ascii="黑体" w:hAnsi="黑体" w:eastAsia="黑体"/>
          <w:b w:val="0"/>
        </w:rPr>
      </w:pPr>
      <w:bookmarkStart w:id="9" w:name="_Toc15396605"/>
      <w:bookmarkStart w:id="10" w:name="_Toc15377207"/>
      <w:r>
        <w:rPr>
          <w:rFonts w:hint="eastAsia" w:ascii="黑体" w:hAnsi="黑体" w:eastAsia="黑体"/>
          <w:color w:val="000000"/>
          <w:sz w:val="32"/>
          <w:szCs w:val="32"/>
        </w:rPr>
        <w:t>支</w:t>
      </w:r>
      <w:r>
        <w:rPr>
          <w:rStyle w:val="29"/>
          <w:rFonts w:hint="eastAsia" w:ascii="黑体" w:hAnsi="黑体" w:eastAsia="黑体"/>
          <w:b w:val="0"/>
        </w:rPr>
        <w:t>出决算情况说明</w:t>
      </w:r>
      <w:bookmarkEnd w:id="9"/>
      <w:bookmarkEnd w:id="10"/>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342.66</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342.66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p>
    <w:p>
      <w:pPr>
        <w:ind w:firstLine="640" w:firstLineChars="200"/>
        <w:rPr>
          <w:rFonts w:ascii="仿宋_GB2312" w:eastAsia="仿宋_GB2312"/>
          <w:color w:val="FF0000"/>
          <w:sz w:val="32"/>
          <w:szCs w:val="32"/>
        </w:rPr>
      </w:pPr>
      <w:r>
        <w:rPr>
          <w:rFonts w:ascii="仿宋_GB2312" w:eastAsia="仿宋_GB2312"/>
          <w:color w:val="FF0000"/>
          <w:sz w:val="32"/>
          <w:szCs w:val="32"/>
        </w:rPr>
        <w:drawing>
          <wp:inline distT="0" distB="0" distL="0" distR="0">
            <wp:extent cx="5153025" cy="1866900"/>
            <wp:effectExtent l="4445" t="4445" r="5080" b="14605"/>
            <wp:docPr id="1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9"/>
          <w:rFonts w:ascii="黑体" w:hAnsi="黑体" w:eastAsia="黑体"/>
          <w:b w:val="0"/>
        </w:rPr>
      </w:pPr>
      <w:bookmarkStart w:id="11" w:name="_Toc79163613"/>
      <w:bookmarkStart w:id="12" w:name="_Toc15377208"/>
      <w:bookmarkStart w:id="13" w:name="_Toc79163863"/>
      <w:bookmarkStart w:id="14" w:name="_Toc15396606"/>
      <w:r>
        <w:rPr>
          <w:rFonts w:hint="eastAsia" w:ascii="黑体" w:hAnsi="黑体" w:eastAsia="黑体"/>
          <w:color w:val="000000"/>
          <w:sz w:val="32"/>
          <w:szCs w:val="32"/>
        </w:rPr>
        <w:t>四、财</w:t>
      </w:r>
      <w:r>
        <w:rPr>
          <w:rStyle w:val="29"/>
          <w:rFonts w:hint="eastAsia" w:ascii="黑体" w:hAnsi="黑体" w:eastAsia="黑体"/>
        </w:rPr>
        <w:t>政拨款收入支出决算总体情况说明</w:t>
      </w:r>
      <w:bookmarkEnd w:id="11"/>
      <w:bookmarkEnd w:id="12"/>
      <w:bookmarkEnd w:id="13"/>
      <w:bookmarkEnd w:id="1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均为342.66</w:t>
      </w:r>
      <w:r>
        <w:rPr>
          <w:rFonts w:hint="eastAsia" w:ascii="仿宋" w:hAnsi="仿宋" w:eastAsia="仿宋"/>
          <w:color w:val="000000"/>
          <w:sz w:val="32"/>
          <w:szCs w:val="32"/>
        </w:rPr>
        <w:t>万元。与</w:t>
      </w: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年相比财政拨款收、支总计增加</w:t>
      </w:r>
      <w:r>
        <w:rPr>
          <w:rFonts w:hint="eastAsia" w:ascii="仿宋" w:hAnsi="仿宋" w:eastAsia="仿宋"/>
          <w:color w:val="000000"/>
          <w:sz w:val="32"/>
          <w:szCs w:val="32"/>
          <w:lang w:val="en-US" w:eastAsia="zh-CN"/>
        </w:rPr>
        <w:t>23.05</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增长7.21</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_GB2312" w:eastAsia="仿宋_GB2312" w:cs="Times New Roman"/>
          <w:color w:val="000000"/>
          <w:kern w:val="2"/>
          <w:sz w:val="32"/>
          <w:szCs w:val="32"/>
          <w:lang w:val="en-US" w:eastAsia="zh-CN" w:bidi="ar-SA"/>
        </w:rPr>
        <w:t>主要变动原因是人员变动、工资正常晋升等。</w:t>
      </w:r>
    </w:p>
    <w:p>
      <w:pPr>
        <w:ind w:firstLine="641"/>
        <w:rPr>
          <w:rFonts w:ascii="仿宋" w:hAnsi="仿宋" w:eastAsia="仿宋"/>
          <w:b/>
          <w:color w:val="00B050"/>
          <w:sz w:val="32"/>
          <w:szCs w:val="32"/>
        </w:rPr>
      </w:pPr>
      <w:r>
        <w:rPr>
          <w:rFonts w:ascii="仿宋" w:hAnsi="仿宋" w:eastAsia="仿宋"/>
          <w:b/>
          <w:color w:val="00B050"/>
          <w:sz w:val="32"/>
          <w:szCs w:val="32"/>
        </w:rPr>
        <w:drawing>
          <wp:inline distT="0" distB="0" distL="0" distR="0">
            <wp:extent cx="5257800" cy="1990725"/>
            <wp:effectExtent l="4445" t="4445" r="14605" b="5080"/>
            <wp:docPr id="3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1"/>
        <w:rPr>
          <w:rStyle w:val="29"/>
          <w:rFonts w:ascii="黑体" w:hAnsi="黑体" w:eastAsia="黑体"/>
          <w:b w:val="0"/>
        </w:rPr>
      </w:pPr>
      <w:bookmarkStart w:id="15" w:name="_Toc79163864"/>
      <w:bookmarkStart w:id="16" w:name="_Toc79163614"/>
      <w:bookmarkStart w:id="17" w:name="_Toc15377209"/>
      <w:bookmarkStart w:id="18"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9"/>
          <w:rFonts w:hint="eastAsia" w:ascii="黑体" w:hAnsi="黑体" w:eastAsia="黑体"/>
        </w:rPr>
        <w:t>般公共预算财政拨款支出决算情况说明</w:t>
      </w:r>
      <w:bookmarkEnd w:id="15"/>
      <w:bookmarkEnd w:id="16"/>
      <w:bookmarkEnd w:id="17"/>
      <w:bookmarkEnd w:id="18"/>
    </w:p>
    <w:p>
      <w:pPr>
        <w:spacing w:line="600" w:lineRule="exact"/>
        <w:ind w:firstLine="643" w:firstLineChars="200"/>
        <w:outlineLvl w:val="2"/>
        <w:rPr>
          <w:rFonts w:ascii="仿宋" w:hAnsi="仿宋" w:eastAsia="仿宋"/>
          <w:b/>
          <w:color w:val="000000"/>
          <w:sz w:val="32"/>
          <w:szCs w:val="32"/>
        </w:rPr>
      </w:pPr>
      <w:bookmarkStart w:id="19" w:name="_Toc15377210"/>
      <w:bookmarkStart w:id="20" w:name="_Toc79163615"/>
      <w:bookmarkStart w:id="21" w:name="_Toc79163865"/>
      <w:r>
        <w:rPr>
          <w:rFonts w:hint="eastAsia" w:ascii="仿宋" w:hAnsi="仿宋" w:eastAsia="仿宋"/>
          <w:b/>
          <w:color w:val="000000"/>
          <w:sz w:val="32"/>
          <w:szCs w:val="32"/>
        </w:rPr>
        <w:t>（一）一般公共预算财政拨款支出决算总体情况</w:t>
      </w:r>
      <w:bookmarkEnd w:id="19"/>
      <w:bookmarkEnd w:id="20"/>
      <w:bookmarkEnd w:id="21"/>
    </w:p>
    <w:p>
      <w:pPr>
        <w:spacing w:line="600" w:lineRule="exact"/>
        <w:ind w:firstLine="640" w:firstLineChars="200"/>
        <w:rPr>
          <w:rFonts w:hint="eastAsia" w:ascii="仿宋_GB2312" w:eastAsia="仿宋_GB2312" w:cs="Times New Roman"/>
          <w:color w:val="000000"/>
          <w:kern w:val="2"/>
          <w:sz w:val="32"/>
          <w:szCs w:val="32"/>
          <w:lang w:val="en-US" w:eastAsia="zh-CN" w:bidi="ar-SA"/>
        </w:rPr>
      </w:pP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342.66</w:t>
      </w:r>
      <w:r>
        <w:rPr>
          <w:rFonts w:hint="eastAsia" w:ascii="仿宋" w:hAnsi="仿宋" w:eastAsia="仿宋"/>
          <w:color w:val="000000"/>
          <w:sz w:val="32"/>
          <w:szCs w:val="32"/>
        </w:rPr>
        <w:t>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年相比，一般公共预算财政拨款增加</w:t>
      </w:r>
      <w:r>
        <w:rPr>
          <w:rFonts w:hint="eastAsia" w:ascii="仿宋" w:hAnsi="仿宋" w:eastAsia="仿宋"/>
          <w:color w:val="000000"/>
          <w:sz w:val="32"/>
          <w:szCs w:val="32"/>
          <w:lang w:val="en-US" w:eastAsia="zh-CN"/>
        </w:rPr>
        <w:t>23.05</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增长7.21</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_GB2312" w:eastAsia="仿宋_GB2312" w:cs="Times New Roman"/>
          <w:color w:val="000000"/>
          <w:kern w:val="2"/>
          <w:sz w:val="32"/>
          <w:szCs w:val="32"/>
          <w:lang w:val="en-US" w:eastAsia="zh-CN" w:bidi="ar-SA"/>
        </w:rPr>
        <w:t>主要变动原因是人员变动、工资正常晋升等。</w:t>
      </w:r>
    </w:p>
    <w:p>
      <w:pPr>
        <w:pStyle w:val="2"/>
        <w:rPr>
          <w:rFonts w:hint="eastAsia" w:ascii="仿宋_GB2312" w:eastAsia="仿宋_GB2312" w:cs="Times New Roman"/>
          <w:color w:val="000000"/>
          <w:kern w:val="2"/>
          <w:sz w:val="32"/>
          <w:szCs w:val="32"/>
          <w:lang w:val="en-US" w:eastAsia="zh-CN" w:bidi="ar-SA"/>
        </w:rPr>
      </w:pPr>
    </w:p>
    <w:p>
      <w:pPr>
        <w:pStyle w:val="3"/>
        <w:rPr>
          <w:rFonts w:hint="eastAsia"/>
        </w:rPr>
      </w:pP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60288" behindDoc="1" locked="0" layoutInCell="1" allowOverlap="1">
            <wp:simplePos x="0" y="0"/>
            <wp:positionH relativeFrom="column">
              <wp:posOffset>285750</wp:posOffset>
            </wp:positionH>
            <wp:positionV relativeFrom="paragraph">
              <wp:posOffset>28575</wp:posOffset>
            </wp:positionV>
            <wp:extent cx="5058410" cy="2188845"/>
            <wp:effectExtent l="19050" t="0" r="27664" b="2157"/>
            <wp:wrapNone/>
            <wp:docPr id="34"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3" w:firstLineChars="200"/>
        <w:outlineLvl w:val="2"/>
        <w:rPr>
          <w:rFonts w:ascii="仿宋" w:hAnsi="仿宋" w:eastAsia="仿宋"/>
          <w:b/>
          <w:color w:val="000000"/>
          <w:sz w:val="32"/>
          <w:szCs w:val="32"/>
        </w:rPr>
      </w:pPr>
      <w:bookmarkStart w:id="22" w:name="_Toc79163616"/>
      <w:bookmarkStart w:id="23" w:name="_Toc79163866"/>
    </w:p>
    <w:p>
      <w:pPr>
        <w:spacing w:line="600" w:lineRule="exact"/>
        <w:ind w:firstLine="643" w:firstLineChars="200"/>
        <w:outlineLvl w:val="2"/>
        <w:rPr>
          <w:rFonts w:ascii="仿宋" w:hAnsi="仿宋" w:eastAsia="仿宋"/>
          <w:b/>
          <w:color w:val="000000"/>
          <w:sz w:val="32"/>
          <w:szCs w:val="32"/>
        </w:rPr>
      </w:pPr>
    </w:p>
    <w:p>
      <w:pPr>
        <w:spacing w:line="600" w:lineRule="exact"/>
        <w:ind w:firstLine="643" w:firstLineChars="200"/>
        <w:outlineLvl w:val="2"/>
        <w:rPr>
          <w:rFonts w:ascii="仿宋" w:hAnsi="仿宋" w:eastAsia="仿宋"/>
          <w:b/>
          <w:color w:val="000000"/>
          <w:sz w:val="32"/>
          <w:szCs w:val="32"/>
        </w:rPr>
      </w:pPr>
    </w:p>
    <w:p>
      <w:pPr>
        <w:spacing w:line="600" w:lineRule="exact"/>
        <w:ind w:firstLine="643" w:firstLineChars="200"/>
        <w:outlineLvl w:val="2"/>
        <w:rPr>
          <w:rFonts w:ascii="仿宋" w:hAnsi="仿宋" w:eastAsia="仿宋"/>
          <w:b/>
          <w:color w:val="000000"/>
          <w:sz w:val="32"/>
          <w:szCs w:val="32"/>
        </w:rPr>
      </w:pP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22"/>
      <w:bookmarkEnd w:id="23"/>
    </w:p>
    <w:p>
      <w:pPr>
        <w:spacing w:line="600" w:lineRule="exact"/>
        <w:ind w:firstLine="64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202</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年一般公共预算财政拨款支出</w:t>
      </w:r>
      <w:r>
        <w:rPr>
          <w:rFonts w:hint="eastAsia" w:ascii="仿宋" w:hAnsi="仿宋" w:eastAsia="仿宋"/>
          <w:color w:val="000000"/>
          <w:sz w:val="32"/>
          <w:szCs w:val="32"/>
          <w:lang w:val="en-US" w:eastAsia="zh-CN"/>
        </w:rPr>
        <w:t>342.66</w:t>
      </w:r>
      <w:r>
        <w:rPr>
          <w:rFonts w:hint="eastAsia" w:ascii="仿宋_GB2312" w:hAnsi="仿宋" w:eastAsia="仿宋_GB2312"/>
          <w:color w:val="000000"/>
          <w:sz w:val="32"/>
          <w:szCs w:val="32"/>
        </w:rPr>
        <w:t>万元，主要用于以下方面:</w:t>
      </w:r>
      <w:r>
        <w:rPr>
          <w:rFonts w:hint="eastAsia" w:ascii="仿宋_GB2312" w:hAnsi="仿宋" w:eastAsia="仿宋_GB2312"/>
          <w:b/>
          <w:color w:val="000000"/>
          <w:sz w:val="32"/>
          <w:szCs w:val="32"/>
        </w:rPr>
        <w:t>社会保障和就业</w:t>
      </w:r>
      <w:r>
        <w:rPr>
          <w:rFonts w:hint="eastAsia" w:ascii="仿宋_GB2312" w:hAnsi="仿宋" w:eastAsia="仿宋_GB2312"/>
          <w:b/>
          <w:bCs/>
          <w:color w:val="000000"/>
          <w:sz w:val="32"/>
          <w:szCs w:val="32"/>
        </w:rPr>
        <w:t>支出</w:t>
      </w:r>
      <w:r>
        <w:rPr>
          <w:rFonts w:hint="eastAsia" w:ascii="仿宋_GB2312" w:hAnsi="仿宋" w:eastAsia="仿宋_GB2312"/>
          <w:b/>
          <w:color w:val="000000"/>
          <w:sz w:val="32"/>
          <w:szCs w:val="32"/>
        </w:rPr>
        <w:t>（类）</w:t>
      </w:r>
      <w:r>
        <w:rPr>
          <w:rFonts w:hint="eastAsia" w:ascii="仿宋_GB2312" w:hAnsi="仿宋" w:eastAsia="仿宋_GB2312"/>
          <w:color w:val="000000"/>
          <w:sz w:val="32"/>
          <w:szCs w:val="32"/>
          <w:lang w:val="en-US" w:eastAsia="zh-CN"/>
        </w:rPr>
        <w:t>298.31</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87.06</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rPr>
        <w:t>卫生健康支出</w:t>
      </w:r>
      <w:r>
        <w:rPr>
          <w:rFonts w:hint="eastAsia" w:ascii="仿宋_GB2312" w:hAnsi="仿宋" w:eastAsia="仿宋_GB2312"/>
          <w:b/>
          <w:color w:val="000000"/>
          <w:sz w:val="32"/>
          <w:szCs w:val="32"/>
        </w:rPr>
        <w:t>（类）</w:t>
      </w:r>
      <w:r>
        <w:rPr>
          <w:rFonts w:hint="eastAsia" w:ascii="仿宋_GB2312" w:hAnsi="仿宋" w:eastAsia="仿宋_GB2312"/>
          <w:color w:val="000000"/>
          <w:sz w:val="32"/>
          <w:szCs w:val="32"/>
          <w:lang w:val="en-US" w:eastAsia="zh-CN"/>
        </w:rPr>
        <w:t>19.88</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5.8</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rPr>
        <w:t>住房保障支出</w:t>
      </w:r>
      <w:r>
        <w:rPr>
          <w:rFonts w:hint="eastAsia" w:ascii="仿宋_GB2312" w:hAnsi="仿宋" w:eastAsia="仿宋_GB2312"/>
          <w:b/>
          <w:color w:val="000000"/>
          <w:sz w:val="32"/>
          <w:szCs w:val="32"/>
        </w:rPr>
        <w:t>（类）</w:t>
      </w:r>
      <w:r>
        <w:rPr>
          <w:rFonts w:hint="eastAsia" w:ascii="仿宋_GB2312" w:hAnsi="仿宋" w:eastAsia="仿宋_GB2312"/>
          <w:color w:val="000000"/>
          <w:sz w:val="32"/>
          <w:szCs w:val="32"/>
          <w:lang w:val="en-US" w:eastAsia="zh-CN"/>
        </w:rPr>
        <w:t>24.47</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7.14</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w:t>
      </w:r>
    </w:p>
    <w:p>
      <w:pPr>
        <w:rPr>
          <w:rFonts w:ascii="仿宋_GB2312" w:eastAsia="仿宋_GB2312"/>
          <w:color w:val="000000"/>
          <w:sz w:val="32"/>
          <w:szCs w:val="32"/>
        </w:rPr>
      </w:pPr>
      <w:r>
        <w:rPr>
          <w:rFonts w:ascii="仿宋_GB2312" w:hAnsi="仿宋_GB2312" w:eastAsia="仿宋_GB2312" w:cs="仿宋_GB2312"/>
          <w:sz w:val="32"/>
          <w:szCs w:val="32"/>
        </w:rPr>
        <w:drawing>
          <wp:inline distT="0" distB="0" distL="0" distR="0">
            <wp:extent cx="5362575" cy="2334260"/>
            <wp:effectExtent l="5080" t="4445" r="4445" b="23495"/>
            <wp:docPr id="11"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3" w:firstLineChars="200"/>
        <w:outlineLvl w:val="2"/>
        <w:rPr>
          <w:rFonts w:ascii="仿宋" w:hAnsi="仿宋" w:eastAsia="仿宋"/>
          <w:b/>
          <w:color w:val="000000"/>
          <w:sz w:val="32"/>
          <w:szCs w:val="32"/>
        </w:rPr>
      </w:pPr>
      <w:bookmarkStart w:id="24" w:name="_Toc79163617"/>
      <w:bookmarkStart w:id="25" w:name="_Toc79163867"/>
      <w:bookmarkStart w:id="26" w:name="_Toc15377212"/>
      <w:bookmarkStart w:id="27" w:name="_Toc15377214"/>
      <w:bookmarkStart w:id="28" w:name="_Toc15396608"/>
      <w:r>
        <w:rPr>
          <w:rFonts w:hint="eastAsia" w:ascii="仿宋" w:hAnsi="仿宋" w:eastAsia="仿宋"/>
          <w:b/>
          <w:color w:val="000000"/>
          <w:sz w:val="32"/>
          <w:szCs w:val="32"/>
        </w:rPr>
        <w:t>（三）一般公共预算财政拨款支出决算具体情况</w:t>
      </w:r>
      <w:bookmarkEnd w:id="24"/>
      <w:bookmarkEnd w:id="25"/>
      <w:bookmarkEnd w:id="26"/>
    </w:p>
    <w:p>
      <w:pPr>
        <w:spacing w:line="600" w:lineRule="exact"/>
        <w:ind w:firstLine="640" w:firstLineChars="200"/>
        <w:rPr>
          <w:rFonts w:ascii="仿宋_GB2312" w:hAnsi="仿宋" w:eastAsia="仿宋_GB2312"/>
          <w:color w:val="000000"/>
          <w:sz w:val="32"/>
          <w:szCs w:val="32"/>
        </w:rPr>
      </w:pPr>
      <w:bookmarkStart w:id="29" w:name="_Toc15378460"/>
      <w:bookmarkStart w:id="30" w:name="_Toc15377444"/>
      <w:bookmarkStart w:id="31" w:name="_Toc15377213"/>
      <w:r>
        <w:rPr>
          <w:rFonts w:ascii="仿宋_GB2312" w:hAnsi="仿宋" w:eastAsia="仿宋_GB2312"/>
          <w:color w:val="000000"/>
          <w:sz w:val="32"/>
          <w:szCs w:val="32"/>
        </w:rPr>
        <w:t>202</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年一般公共预算支出决算数为</w:t>
      </w:r>
      <w:r>
        <w:rPr>
          <w:rFonts w:hint="eastAsia" w:ascii="仿宋" w:hAnsi="仿宋" w:eastAsia="仿宋"/>
          <w:color w:val="000000"/>
          <w:sz w:val="32"/>
          <w:szCs w:val="32"/>
          <w:lang w:val="en-US" w:eastAsia="zh-CN"/>
        </w:rPr>
        <w:t>342.66</w:t>
      </w:r>
      <w:r>
        <w:rPr>
          <w:rFonts w:hint="eastAsia" w:ascii="仿宋" w:hAnsi="仿宋" w:eastAsia="仿宋"/>
          <w:color w:val="000000"/>
          <w:sz w:val="32"/>
          <w:szCs w:val="32"/>
        </w:rPr>
        <w:t>万元</w:t>
      </w:r>
      <w:r>
        <w:rPr>
          <w:rFonts w:hint="eastAsia" w:ascii="仿宋_GB2312" w:hAnsi="仿宋" w:eastAsia="仿宋_GB2312"/>
          <w:color w:val="000000"/>
          <w:sz w:val="32"/>
          <w:szCs w:val="32"/>
        </w:rPr>
        <w:t>，完成预算100</w:t>
      </w:r>
      <w:r>
        <w:rPr>
          <w:rFonts w:ascii="仿宋_GB2312" w:hAnsi="仿宋" w:eastAsia="仿宋_GB2312"/>
          <w:color w:val="000000"/>
          <w:sz w:val="32"/>
          <w:szCs w:val="32"/>
        </w:rPr>
        <w:t>%</w:t>
      </w:r>
      <w:r>
        <w:rPr>
          <w:rFonts w:hint="eastAsia" w:ascii="仿宋_GB2312" w:hAnsi="仿宋" w:eastAsia="仿宋_GB2312"/>
          <w:color w:val="000000"/>
          <w:sz w:val="32"/>
          <w:szCs w:val="32"/>
        </w:rPr>
        <w:t>。其中：</w:t>
      </w:r>
      <w:bookmarkEnd w:id="29"/>
      <w:bookmarkEnd w:id="30"/>
      <w:bookmarkEnd w:id="31"/>
    </w:p>
    <w:bookmarkEnd w:id="27"/>
    <w:bookmarkEnd w:id="28"/>
    <w:p>
      <w:pPr>
        <w:spacing w:line="576" w:lineRule="exact"/>
        <w:ind w:firstLine="643" w:firstLineChars="200"/>
        <w:rPr>
          <w:rStyle w:val="17"/>
          <w:rFonts w:ascii="仿宋_GB2312" w:hAnsi="仿宋" w:eastAsia="仿宋_GB2312"/>
          <w:b w:val="0"/>
          <w:bCs/>
          <w:color w:val="000000"/>
          <w:sz w:val="32"/>
          <w:szCs w:val="32"/>
        </w:rPr>
      </w:pPr>
      <w:bookmarkStart w:id="32" w:name="_Toc79163618"/>
      <w:bookmarkStart w:id="33" w:name="_Toc79163868"/>
      <w:bookmarkStart w:id="34" w:name="_Toc15396609"/>
      <w:bookmarkStart w:id="35" w:name="_Toc15377215"/>
      <w:r>
        <w:rPr>
          <w:rStyle w:val="17"/>
          <w:rFonts w:ascii="仿宋" w:hAnsi="仿宋" w:eastAsia="仿宋"/>
          <w:bCs/>
          <w:color w:val="000000"/>
          <w:sz w:val="32"/>
          <w:szCs w:val="32"/>
        </w:rPr>
        <w:t>1.</w:t>
      </w:r>
      <w:r>
        <w:rPr>
          <w:rFonts w:hint="eastAsia" w:ascii="仿宋_GB2312" w:eastAsia="仿宋_GB2312"/>
          <w:b/>
          <w:bCs/>
          <w:sz w:val="32"/>
          <w:szCs w:val="32"/>
        </w:rPr>
        <w:t>社会保障和就业支出（</w:t>
      </w:r>
      <w:r>
        <w:rPr>
          <w:rFonts w:hint="eastAsia" w:ascii="仿宋_GB2312" w:hAnsi="仿宋" w:eastAsia="仿宋_GB2312"/>
          <w:b/>
          <w:color w:val="000000"/>
          <w:sz w:val="32"/>
          <w:szCs w:val="32"/>
        </w:rPr>
        <w:t>类</w:t>
      </w:r>
      <w:r>
        <w:rPr>
          <w:rFonts w:hint="eastAsia" w:ascii="仿宋_GB2312" w:eastAsia="仿宋_GB2312"/>
          <w:b/>
          <w:bCs/>
          <w:sz w:val="32"/>
          <w:szCs w:val="32"/>
        </w:rPr>
        <w:t>）人力资源和社会保障管理事务（款）事业运行（项）</w:t>
      </w:r>
      <w:r>
        <w:rPr>
          <w:rStyle w:val="17"/>
          <w:rFonts w:ascii="仿宋" w:hAnsi="仿宋" w:eastAsia="仿宋"/>
          <w:bCs/>
          <w:color w:val="000000"/>
          <w:sz w:val="32"/>
          <w:szCs w:val="32"/>
        </w:rPr>
        <w:t xml:space="preserve">: </w:t>
      </w:r>
      <w:r>
        <w:rPr>
          <w:rStyle w:val="17"/>
          <w:rFonts w:hint="eastAsia" w:ascii="仿宋_GB2312" w:hAnsi="仿宋" w:eastAsia="仿宋_GB2312"/>
          <w:b w:val="0"/>
          <w:bCs/>
          <w:color w:val="000000"/>
          <w:sz w:val="32"/>
          <w:szCs w:val="32"/>
        </w:rPr>
        <w:t>支出决算为</w:t>
      </w:r>
      <w:r>
        <w:rPr>
          <w:rStyle w:val="17"/>
          <w:rFonts w:hint="eastAsia" w:ascii="仿宋_GB2312" w:hAnsi="仿宋" w:eastAsia="仿宋_GB2312"/>
          <w:b w:val="0"/>
          <w:bCs/>
          <w:color w:val="000000"/>
          <w:sz w:val="32"/>
          <w:szCs w:val="32"/>
          <w:lang w:val="en-US" w:eastAsia="zh-CN"/>
        </w:rPr>
        <w:t>249.87</w:t>
      </w:r>
      <w:r>
        <w:rPr>
          <w:rStyle w:val="17"/>
          <w:rFonts w:hint="eastAsia" w:ascii="仿宋_GB2312" w:hAnsi="仿宋" w:eastAsia="仿宋_GB2312"/>
          <w:b w:val="0"/>
          <w:bCs/>
          <w:color w:val="000000"/>
          <w:sz w:val="32"/>
          <w:szCs w:val="32"/>
        </w:rPr>
        <w:t>万元，完成预算100%，决算数等于预算数的主要原因是用于事业单位日常经费开支。</w:t>
      </w:r>
    </w:p>
    <w:p>
      <w:pPr>
        <w:spacing w:line="576" w:lineRule="exact"/>
        <w:ind w:firstLine="643" w:firstLineChars="200"/>
        <w:rPr>
          <w:rStyle w:val="17"/>
          <w:rFonts w:ascii="仿宋_GB2312" w:hAnsi="仿宋_GB2312" w:eastAsia="仿宋_GB2312" w:cs="仿宋_GB2312"/>
          <w:bCs/>
          <w:color w:val="000000"/>
          <w:sz w:val="32"/>
          <w:szCs w:val="32"/>
        </w:rPr>
      </w:pPr>
      <w:r>
        <w:rPr>
          <w:rStyle w:val="17"/>
          <w:rFonts w:ascii="仿宋" w:hAnsi="仿宋" w:eastAsia="仿宋"/>
          <w:bCs/>
          <w:color w:val="000000"/>
          <w:sz w:val="32"/>
          <w:szCs w:val="32"/>
        </w:rPr>
        <w:t>2.</w:t>
      </w:r>
      <w:r>
        <w:rPr>
          <w:rStyle w:val="17"/>
          <w:rFonts w:hint="eastAsia" w:ascii="仿宋_GB2312" w:hAnsi="仿宋_GB2312" w:eastAsia="仿宋_GB2312" w:cs="仿宋_GB2312"/>
          <w:bCs/>
          <w:color w:val="000000"/>
          <w:sz w:val="32"/>
          <w:szCs w:val="32"/>
        </w:rPr>
        <w:t>社会保障和就业支出（</w:t>
      </w:r>
      <w:r>
        <w:rPr>
          <w:rFonts w:hint="eastAsia" w:ascii="仿宋_GB2312" w:hAnsi="仿宋" w:eastAsia="仿宋_GB2312"/>
          <w:b/>
          <w:color w:val="000000"/>
          <w:sz w:val="32"/>
          <w:szCs w:val="32"/>
        </w:rPr>
        <w:t>类</w:t>
      </w:r>
      <w:r>
        <w:rPr>
          <w:rStyle w:val="17"/>
          <w:rFonts w:hint="eastAsia" w:ascii="仿宋_GB2312" w:hAnsi="仿宋_GB2312" w:eastAsia="仿宋_GB2312" w:cs="仿宋_GB2312"/>
          <w:bCs/>
          <w:color w:val="000000"/>
          <w:sz w:val="32"/>
          <w:szCs w:val="32"/>
        </w:rPr>
        <w:t>）行政事业单位养老支出（款）机关事业单位基本养老保险缴费支出（项）</w:t>
      </w:r>
      <w:r>
        <w:rPr>
          <w:rStyle w:val="17"/>
          <w:rFonts w:ascii="仿宋" w:hAnsi="仿宋" w:eastAsia="仿宋"/>
          <w:bCs/>
          <w:color w:val="000000"/>
          <w:sz w:val="32"/>
          <w:szCs w:val="32"/>
        </w:rPr>
        <w:t>:</w:t>
      </w:r>
      <w:r>
        <w:rPr>
          <w:rStyle w:val="17"/>
          <w:rFonts w:hint="eastAsia" w:ascii="仿宋_GB2312" w:hAnsi="仿宋" w:eastAsia="仿宋_GB2312"/>
          <w:b w:val="0"/>
          <w:bCs/>
          <w:color w:val="000000"/>
          <w:sz w:val="32"/>
          <w:szCs w:val="32"/>
        </w:rPr>
        <w:t>支出决算为</w:t>
      </w:r>
      <w:r>
        <w:rPr>
          <w:rStyle w:val="17"/>
          <w:rFonts w:hint="eastAsia" w:ascii="仿宋_GB2312" w:hAnsi="仿宋" w:eastAsia="仿宋_GB2312"/>
          <w:b w:val="0"/>
          <w:bCs/>
          <w:color w:val="000000"/>
          <w:sz w:val="32"/>
          <w:szCs w:val="32"/>
          <w:lang w:val="en-US" w:eastAsia="zh-CN"/>
        </w:rPr>
        <w:t>32.29</w:t>
      </w:r>
      <w:r>
        <w:rPr>
          <w:rStyle w:val="17"/>
          <w:rFonts w:hint="eastAsia" w:ascii="仿宋_GB2312" w:hAnsi="仿宋" w:eastAsia="仿宋_GB2312"/>
          <w:b w:val="0"/>
          <w:bCs/>
          <w:color w:val="000000"/>
          <w:sz w:val="32"/>
          <w:szCs w:val="32"/>
        </w:rPr>
        <w:t>万元，完成预算100%，决算数等于预算数的主要原因是用于单位缴纳养老保险。</w:t>
      </w:r>
    </w:p>
    <w:p>
      <w:pPr>
        <w:spacing w:line="576" w:lineRule="exact"/>
        <w:ind w:firstLine="643" w:firstLineChars="200"/>
        <w:rPr>
          <w:rFonts w:ascii="仿宋_GB2312" w:hAnsi="仿宋_GB2312" w:eastAsia="仿宋_GB2312" w:cs="仿宋_GB2312"/>
          <w:sz w:val="32"/>
          <w:szCs w:val="32"/>
        </w:rPr>
      </w:pPr>
      <w:r>
        <w:rPr>
          <w:rStyle w:val="17"/>
          <w:rFonts w:hint="eastAsia" w:ascii="仿宋" w:hAnsi="仿宋" w:eastAsia="仿宋"/>
          <w:bCs/>
          <w:color w:val="000000"/>
          <w:sz w:val="32"/>
          <w:szCs w:val="32"/>
        </w:rPr>
        <w:t>3</w:t>
      </w:r>
      <w:r>
        <w:rPr>
          <w:rStyle w:val="17"/>
          <w:rFonts w:ascii="仿宋" w:hAnsi="仿宋" w:eastAsia="仿宋"/>
          <w:bCs/>
          <w:color w:val="000000"/>
          <w:sz w:val="32"/>
          <w:szCs w:val="32"/>
        </w:rPr>
        <w:t>.</w:t>
      </w:r>
      <w:r>
        <w:rPr>
          <w:rStyle w:val="17"/>
          <w:rFonts w:hint="eastAsia" w:ascii="仿宋_GB2312" w:hAnsi="仿宋_GB2312" w:eastAsia="仿宋_GB2312" w:cs="仿宋_GB2312"/>
          <w:bCs/>
          <w:color w:val="000000"/>
          <w:sz w:val="32"/>
          <w:szCs w:val="32"/>
        </w:rPr>
        <w:t>社会保障和就业支出（</w:t>
      </w:r>
      <w:r>
        <w:rPr>
          <w:rFonts w:hint="eastAsia" w:ascii="仿宋_GB2312" w:hAnsi="仿宋" w:eastAsia="仿宋_GB2312"/>
          <w:b/>
          <w:color w:val="000000"/>
          <w:sz w:val="32"/>
          <w:szCs w:val="32"/>
        </w:rPr>
        <w:t>类</w:t>
      </w:r>
      <w:r>
        <w:rPr>
          <w:rStyle w:val="17"/>
          <w:rFonts w:hint="eastAsia" w:ascii="仿宋_GB2312" w:hAnsi="仿宋_GB2312" w:eastAsia="仿宋_GB2312" w:cs="仿宋_GB2312"/>
          <w:bCs/>
          <w:color w:val="000000"/>
          <w:sz w:val="32"/>
          <w:szCs w:val="32"/>
        </w:rPr>
        <w:t>）行政事业单位养老支出（款）机关事业单位职业年金缴费支出（项）</w:t>
      </w:r>
      <w:r>
        <w:rPr>
          <w:rStyle w:val="17"/>
          <w:rFonts w:ascii="仿宋" w:hAnsi="仿宋" w:eastAsia="仿宋"/>
          <w:bCs/>
          <w:color w:val="000000"/>
          <w:sz w:val="32"/>
          <w:szCs w:val="32"/>
        </w:rPr>
        <w:t>:</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16.15</w:t>
      </w:r>
      <w:r>
        <w:rPr>
          <w:rFonts w:hint="eastAsia" w:ascii="仿宋_GB2312" w:hAnsi="仿宋_GB2312" w:eastAsia="仿宋_GB2312" w:cs="仿宋_GB2312"/>
          <w:sz w:val="32"/>
          <w:szCs w:val="32"/>
        </w:rPr>
        <w:t>万元，完成预算100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，决算数等于预算数的主要原因是用于单位缴纳职业年金。</w:t>
      </w:r>
    </w:p>
    <w:p>
      <w:pPr>
        <w:spacing w:line="576" w:lineRule="exact"/>
        <w:ind w:firstLine="643" w:firstLineChars="200"/>
        <w:rPr>
          <w:rFonts w:ascii="仿宋_GB2312" w:hAnsi="仿宋_GB2312" w:eastAsia="仿宋_GB2312" w:cs="仿宋_GB2312"/>
          <w:sz w:val="32"/>
          <w:szCs w:val="32"/>
        </w:rPr>
      </w:pPr>
      <w:r>
        <w:rPr>
          <w:rStyle w:val="17"/>
          <w:rFonts w:hint="eastAsia" w:ascii="仿宋_GB2312" w:hAnsi="仿宋_GB2312" w:eastAsia="仿宋_GB2312" w:cs="仿宋_GB2312"/>
          <w:bCs/>
          <w:color w:val="000000"/>
          <w:sz w:val="32"/>
          <w:szCs w:val="32"/>
        </w:rPr>
        <w:t>4.医疗卫生与计划生育（</w:t>
      </w:r>
      <w:r>
        <w:rPr>
          <w:rFonts w:hint="eastAsia" w:ascii="仿宋_GB2312" w:hAnsi="仿宋" w:eastAsia="仿宋_GB2312"/>
          <w:b/>
          <w:color w:val="000000"/>
          <w:sz w:val="32"/>
          <w:szCs w:val="32"/>
        </w:rPr>
        <w:t>类</w:t>
      </w:r>
      <w:r>
        <w:rPr>
          <w:rStyle w:val="17"/>
          <w:rFonts w:hint="eastAsia" w:ascii="仿宋_GB2312" w:hAnsi="仿宋_GB2312" w:eastAsia="仿宋_GB2312" w:cs="仿宋_GB2312"/>
          <w:bCs/>
          <w:color w:val="000000"/>
          <w:sz w:val="32"/>
          <w:szCs w:val="32"/>
        </w:rPr>
        <w:t>）行政事业单位医疗（款）事业单位医疗（项）:</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19.88</w:t>
      </w:r>
      <w:r>
        <w:rPr>
          <w:rFonts w:hint="eastAsia" w:ascii="仿宋_GB2312" w:hAnsi="仿宋_GB2312" w:eastAsia="仿宋_GB2312" w:cs="仿宋_GB2312"/>
          <w:sz w:val="32"/>
          <w:szCs w:val="32"/>
        </w:rPr>
        <w:t>万元，完成预算100%，决算数等于预算数的主要原因是用于事业单位缴纳基本医疗保险。</w:t>
      </w:r>
    </w:p>
    <w:p>
      <w:pPr>
        <w:tabs>
          <w:tab w:val="right" w:pos="8306"/>
        </w:tabs>
        <w:spacing w:line="576" w:lineRule="exact"/>
        <w:ind w:firstLine="640"/>
        <w:outlineLvl w:val="1"/>
        <w:rPr>
          <w:rFonts w:ascii="仿宋_GB2312" w:hAnsi="仿宋_GB2312" w:eastAsia="仿宋_GB2312" w:cs="仿宋_GB2312"/>
          <w:sz w:val="32"/>
          <w:szCs w:val="32"/>
        </w:rPr>
      </w:pPr>
      <w:r>
        <w:rPr>
          <w:rStyle w:val="17"/>
          <w:rFonts w:hint="eastAsia" w:ascii="仿宋" w:hAnsi="仿宋" w:eastAsia="仿宋"/>
          <w:bCs/>
          <w:color w:val="000000"/>
          <w:sz w:val="32"/>
          <w:szCs w:val="32"/>
        </w:rPr>
        <w:t>5.</w:t>
      </w:r>
      <w:r>
        <w:rPr>
          <w:rStyle w:val="17"/>
          <w:rFonts w:hint="eastAsia" w:ascii="仿宋_GB2312" w:hAnsi="仿宋_GB2312" w:eastAsia="仿宋_GB2312" w:cs="仿宋_GB2312"/>
          <w:bCs/>
          <w:color w:val="000000"/>
          <w:sz w:val="32"/>
          <w:szCs w:val="32"/>
        </w:rPr>
        <w:t>住房保障（类）住房改革（款）住房公积金（项）：</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24.47</w:t>
      </w:r>
      <w:r>
        <w:rPr>
          <w:rFonts w:hint="eastAsia" w:ascii="仿宋_GB2312" w:hAnsi="仿宋_GB2312" w:eastAsia="仿宋_GB2312" w:cs="仿宋_GB2312"/>
          <w:sz w:val="32"/>
          <w:szCs w:val="32"/>
        </w:rPr>
        <w:t>万元，完成预</w:t>
      </w:r>
      <w:r>
        <w:rPr>
          <w:rFonts w:hint="eastAsia" w:ascii="仿宋_GB2312" w:hAnsi="仿宋_GB2312" w:eastAsia="仿宋_GB2312" w:cs="仿宋_GB2312"/>
          <w:sz w:val="32"/>
          <w:szCs w:val="32"/>
          <w:lang w:val="en-US" w:eastAsia="zh-CN"/>
        </w:rPr>
        <w:t>算</w:t>
      </w:r>
      <w:r>
        <w:rPr>
          <w:rFonts w:hint="eastAsia" w:ascii="仿宋_GB2312" w:hAnsi="仿宋_GB2312" w:eastAsia="仿宋_GB2312" w:cs="仿宋_GB2312"/>
          <w:sz w:val="32"/>
          <w:szCs w:val="32"/>
        </w:rPr>
        <w:t>100%，决算数等于预算数的主要</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lang w:val="en-US" w:eastAsia="zh-CN"/>
        </w:rPr>
        <w:t>用于事业</w:t>
      </w:r>
      <w:r>
        <w:rPr>
          <w:rFonts w:hint="eastAsia" w:ascii="仿宋_GB2312" w:hAnsi="仿宋_GB2312" w:eastAsia="仿宋_GB2312" w:cs="仿宋_GB2312"/>
          <w:sz w:val="32"/>
          <w:szCs w:val="32"/>
        </w:rPr>
        <w:t>单位为职工缴纳住房公积金。</w:t>
      </w:r>
    </w:p>
    <w:p>
      <w:pPr>
        <w:tabs>
          <w:tab w:val="right" w:pos="8306"/>
        </w:tabs>
        <w:spacing w:line="600" w:lineRule="exact"/>
        <w:ind w:firstLine="640" w:firstLineChars="200"/>
        <w:outlineLvl w:val="1"/>
        <w:rPr>
          <w:rStyle w:val="29"/>
        </w:rPr>
      </w:pPr>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9"/>
          <w:rFonts w:hint="eastAsia" w:ascii="黑体" w:hAnsi="黑体" w:eastAsia="黑体"/>
        </w:rPr>
        <w:t>般公共预算财政拨款基本支出决算情况说明</w:t>
      </w:r>
      <w:bookmarkEnd w:id="32"/>
      <w:bookmarkEnd w:id="33"/>
      <w:r>
        <w:rPr>
          <w:rStyle w:val="29"/>
          <w:rFonts w:ascii="黑体" w:hAnsi="黑体" w:eastAsia="黑体"/>
        </w:rPr>
        <w:tab/>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年一般公共预算财政拨款基本支出</w:t>
      </w:r>
      <w:r>
        <w:rPr>
          <w:rFonts w:hint="eastAsia" w:ascii="仿宋_GB2312" w:hAnsi="仿宋_GB2312" w:eastAsia="仿宋_GB2312" w:cs="仿宋_GB2312"/>
          <w:sz w:val="32"/>
          <w:szCs w:val="32"/>
          <w:lang w:val="en-US" w:eastAsia="zh-CN"/>
        </w:rPr>
        <w:t>342.66</w:t>
      </w:r>
      <w:r>
        <w:rPr>
          <w:rFonts w:hint="eastAsia" w:ascii="仿宋_GB2312" w:hAnsi="仿宋_GB2312" w:eastAsia="仿宋_GB2312" w:cs="仿宋_GB2312"/>
          <w:sz w:val="32"/>
          <w:szCs w:val="32"/>
        </w:rPr>
        <w:t>万元，其中：</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val="en-US" w:eastAsia="zh-CN"/>
        </w:rPr>
        <w:t>331.45</w:t>
      </w:r>
      <w:r>
        <w:rPr>
          <w:rFonts w:hint="eastAsia" w:ascii="仿宋_GB2312" w:hAnsi="仿宋_GB2312" w:eastAsia="仿宋_GB2312" w:cs="仿宋_GB2312"/>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日常公用经费</w:t>
      </w:r>
      <w:r>
        <w:rPr>
          <w:rFonts w:hint="eastAsia" w:ascii="仿宋_GB2312" w:hAnsi="仿宋_GB2312" w:eastAsia="仿宋_GB2312" w:cs="仿宋_GB2312"/>
          <w:sz w:val="32"/>
          <w:szCs w:val="32"/>
          <w:lang w:val="en-US" w:eastAsia="zh-CN"/>
        </w:rPr>
        <w:t>11.21</w:t>
      </w:r>
      <w:r>
        <w:rPr>
          <w:rFonts w:hint="eastAsia" w:ascii="仿宋_GB2312" w:hAnsi="仿宋_GB2312" w:eastAsia="仿宋_GB2312" w:cs="仿宋_GB2312"/>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bookmarkEnd w:id="34"/>
    <w:bookmarkEnd w:id="35"/>
    <w:p>
      <w:pPr>
        <w:spacing w:line="600" w:lineRule="exact"/>
        <w:ind w:firstLine="640"/>
        <w:outlineLvl w:val="1"/>
        <w:rPr>
          <w:rStyle w:val="29"/>
          <w:rFonts w:ascii="黑体" w:hAnsi="黑体" w:eastAsia="黑体"/>
          <w:b w:val="0"/>
        </w:rPr>
      </w:pPr>
      <w:bookmarkStart w:id="36" w:name="_Toc79163619"/>
      <w:bookmarkStart w:id="37" w:name="_Toc79163869"/>
      <w:bookmarkStart w:id="38" w:name="_Toc15377217"/>
      <w:r>
        <w:rPr>
          <w:rFonts w:hint="eastAsia" w:ascii="黑体" w:eastAsia="黑体"/>
          <w:color w:val="000000"/>
          <w:sz w:val="32"/>
          <w:szCs w:val="32"/>
        </w:rPr>
        <w:t>七、</w:t>
      </w:r>
      <w:r>
        <w:rPr>
          <w:rStyle w:val="29"/>
          <w:rFonts w:hint="eastAsia" w:ascii="黑体" w:hAnsi="黑体" w:eastAsia="黑体"/>
        </w:rPr>
        <w:t>财政拨款“三公”经费支出决算情况说明</w:t>
      </w:r>
      <w:bookmarkEnd w:id="36"/>
      <w:bookmarkEnd w:id="37"/>
    </w:p>
    <w:p>
      <w:pPr>
        <w:spacing w:line="600" w:lineRule="exact"/>
        <w:ind w:firstLine="640"/>
        <w:outlineLvl w:val="2"/>
        <w:rPr>
          <w:rFonts w:ascii="仿宋" w:hAnsi="仿宋" w:eastAsia="仿宋"/>
          <w:b/>
          <w:color w:val="000000"/>
          <w:sz w:val="32"/>
          <w:szCs w:val="32"/>
        </w:rPr>
      </w:pPr>
      <w:bookmarkStart w:id="39" w:name="_Toc15377216"/>
      <w:bookmarkStart w:id="40" w:name="_Toc79163620"/>
      <w:bookmarkStart w:id="41" w:name="_Toc79163870"/>
      <w:r>
        <w:rPr>
          <w:rFonts w:hint="eastAsia" w:ascii="仿宋" w:hAnsi="仿宋" w:eastAsia="仿宋"/>
          <w:b/>
          <w:color w:val="000000"/>
          <w:sz w:val="32"/>
          <w:szCs w:val="32"/>
        </w:rPr>
        <w:t>（一）“三公”经费财政拨款支出决算总体情况说明</w:t>
      </w:r>
      <w:bookmarkEnd w:id="39"/>
      <w:bookmarkEnd w:id="40"/>
      <w:bookmarkEnd w:id="41"/>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年“三公”经费财政拨款支出决算为</w:t>
      </w:r>
      <w:r>
        <w:rPr>
          <w:rFonts w:hint="eastAsia" w:ascii="仿宋_GB2312" w:hAnsi="仿宋_GB2312" w:eastAsia="仿宋_GB2312" w:cs="仿宋_GB2312"/>
          <w:sz w:val="32"/>
          <w:szCs w:val="32"/>
          <w:lang w:val="en-US" w:eastAsia="zh-CN"/>
        </w:rPr>
        <w:t>0.42</w:t>
      </w:r>
      <w:r>
        <w:rPr>
          <w:rFonts w:hint="eastAsia" w:ascii="仿宋_GB2312" w:hAnsi="仿宋_GB2312" w:eastAsia="仿宋_GB2312" w:cs="仿宋_GB2312"/>
          <w:sz w:val="32"/>
          <w:szCs w:val="32"/>
        </w:rPr>
        <w:t>万元，完成预算100%，</w:t>
      </w:r>
      <w:r>
        <w:rPr>
          <w:rFonts w:hint="eastAsia" w:ascii="仿宋_GB2312" w:hAnsi="仿宋_GB2312" w:eastAsia="仿宋_GB2312" w:cs="仿宋_GB2312"/>
          <w:sz w:val="32"/>
          <w:szCs w:val="32"/>
          <w:lang w:eastAsia="zh-CN"/>
        </w:rPr>
        <w:t>较上年度增加</w:t>
      </w:r>
      <w:r>
        <w:rPr>
          <w:rFonts w:hint="eastAsia" w:ascii="仿宋_GB2312" w:hAnsi="仿宋_GB2312" w:eastAsia="仿宋_GB2312" w:cs="仿宋_GB2312"/>
          <w:sz w:val="32"/>
          <w:szCs w:val="32"/>
          <w:lang w:val="en-US" w:eastAsia="zh-CN"/>
        </w:rPr>
        <w:t>0.03万元，增长7.69%</w:t>
      </w:r>
      <w:r>
        <w:rPr>
          <w:rFonts w:hint="eastAsia" w:ascii="仿宋_GB2312" w:hAnsi="仿宋_GB2312" w:eastAsia="仿宋_GB2312" w:cs="仿宋_GB2312"/>
          <w:sz w:val="32"/>
          <w:szCs w:val="32"/>
        </w:rPr>
        <w:t>。决算数与预算数持平的主要原因是</w:t>
      </w:r>
      <w:r>
        <w:rPr>
          <w:rFonts w:hint="eastAsia" w:ascii="仿宋_GB2312" w:hAnsi="仿宋_GB2312" w:eastAsia="仿宋_GB2312" w:cs="仿宋_GB2312"/>
          <w:sz w:val="32"/>
          <w:szCs w:val="32"/>
          <w:lang w:val="en-US" w:eastAsia="zh-CN"/>
        </w:rPr>
        <w:t>坚持</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过紧日子</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的要求，</w:t>
      </w:r>
      <w:r>
        <w:rPr>
          <w:rFonts w:hint="eastAsia" w:ascii="仿宋_GB2312" w:hAnsi="仿宋_GB2312" w:eastAsia="仿宋_GB2312" w:cs="仿宋_GB2312"/>
          <w:sz w:val="32"/>
          <w:szCs w:val="32"/>
        </w:rPr>
        <w:t>厉行节约。</w:t>
      </w:r>
    </w:p>
    <w:bookmarkEnd w:id="38"/>
    <w:p>
      <w:pPr>
        <w:spacing w:line="600" w:lineRule="exact"/>
        <w:ind w:firstLine="640"/>
        <w:outlineLvl w:val="2"/>
        <w:rPr>
          <w:rFonts w:ascii="仿宋" w:hAnsi="仿宋" w:eastAsia="仿宋"/>
          <w:b/>
          <w:color w:val="000000"/>
          <w:sz w:val="32"/>
          <w:szCs w:val="32"/>
        </w:rPr>
      </w:pPr>
      <w:bookmarkStart w:id="42" w:name="_Toc79163621"/>
      <w:bookmarkStart w:id="43" w:name="_Toc79163871"/>
      <w:r>
        <w:rPr>
          <w:rFonts w:hint="eastAsia" w:ascii="仿宋" w:hAnsi="仿宋" w:eastAsia="仿宋"/>
          <w:b/>
          <w:color w:val="000000"/>
          <w:sz w:val="32"/>
          <w:szCs w:val="32"/>
        </w:rPr>
        <w:t>（二）“三公”经费财政拨款支出决算具体情况说明</w:t>
      </w:r>
      <w:bookmarkEnd w:id="42"/>
      <w:bookmarkEnd w:id="43"/>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年“三公”经费财政拨款支出决算中，因公出国（境）费支出决算0万元，占0%；公务用车购置及运行维护费支出决算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0.42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%。具体情况如下：</w:t>
      </w:r>
    </w:p>
    <w:p>
      <w:pPr>
        <w:rPr>
          <w:rFonts w:hint="eastAsia" w:ascii="仿宋" w:hAnsi="仿宋" w:eastAsia="仿宋"/>
          <w:color w:val="000000"/>
          <w:sz w:val="32"/>
          <w:szCs w:val="32"/>
        </w:rPr>
      </w:pPr>
      <w:r>
        <w:rPr>
          <w:rFonts w:hint="eastAsia" w:eastAsia="仿宋"/>
          <w:lang w:val="en-US" w:eastAsia="zh-CN"/>
        </w:rPr>
        <w:t xml:space="preserve">       </w:t>
      </w:r>
      <w:r>
        <w:rPr>
          <w:rFonts w:hint="eastAsia" w:eastAsia="仿宋"/>
          <w:lang w:eastAsia="zh-CN"/>
        </w:rPr>
        <w:drawing>
          <wp:inline distT="0" distB="0" distL="114300" distR="114300">
            <wp:extent cx="4260850" cy="2211070"/>
            <wp:effectExtent l="4445" t="4445" r="20955" b="1333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rPr>
          <w:rFonts w:hint="eastAsia" w:ascii="仿宋_GB2312" w:hAnsi="仿宋_GB2312" w:eastAsia="仿宋_GB2312" w:cs="仿宋_GB2312"/>
          <w:sz w:val="32"/>
          <w:szCs w:val="32"/>
        </w:rPr>
      </w:pPr>
      <w:bookmarkStart w:id="44" w:name="_Toc15377218"/>
      <w:bookmarkStart w:id="45" w:name="_Toc15396610"/>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7"/>
          <w:rFonts w:hint="eastAsia" w:ascii="仿宋" w:hAnsi="仿宋" w:eastAsia="仿宋"/>
          <w:bCs/>
          <w:color w:val="000000"/>
          <w:sz w:val="32"/>
          <w:szCs w:val="32"/>
        </w:rPr>
        <w:t>完成预算0</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w:t>
      </w:r>
      <w:r>
        <w:rPr>
          <w:rFonts w:hint="eastAsia" w:ascii="仿宋_GB2312" w:hAnsi="仿宋_GB2312" w:eastAsia="仿宋_GB2312" w:cs="仿宋_GB2312"/>
          <w:sz w:val="32"/>
          <w:szCs w:val="32"/>
        </w:rPr>
        <w:t>全年安排因公出国（境）团组0次，出国（境）0人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与上年比无变化</w:t>
      </w:r>
      <w:r>
        <w:rPr>
          <w:rFonts w:hint="eastAsia" w:ascii="仿宋_GB2312" w:hAnsi="仿宋_GB2312" w:eastAsia="仿宋_GB2312" w:cs="仿宋_GB2312"/>
          <w:sz w:val="32"/>
          <w:szCs w:val="32"/>
        </w:rPr>
        <w:t>。</w:t>
      </w:r>
    </w:p>
    <w:p>
      <w:pPr>
        <w:keepNext w:val="0"/>
        <w:keepLines w:val="0"/>
        <w:widowControl w:val="0"/>
        <w:suppressLineNumbers w:val="0"/>
        <w:spacing w:before="0" w:beforeAutospacing="0" w:after="0" w:afterAutospacing="0"/>
        <w:ind w:right="0" w:firstLine="643" w:firstLineChars="200"/>
        <w:jc w:val="both"/>
        <w:rPr>
          <w:rFonts w:hint="default" w:ascii="仿宋_GB2312" w:eastAsia="仿宋_GB2312"/>
          <w:color w:val="000000"/>
          <w:sz w:val="32"/>
          <w:szCs w:val="32"/>
          <w:lang w:val="en-US"/>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0万元。全年按规定更新购置公务用车0辆，其中：轿车0辆、金额0万元，越野车0辆、金额0万元，载客汽车0辆、金额0万元。</w:t>
      </w:r>
    </w:p>
    <w:p>
      <w:pPr>
        <w:spacing w:line="576"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0.42</w:t>
      </w:r>
      <w:r>
        <w:rPr>
          <w:rFonts w:hint="eastAsia" w:ascii="仿宋_GB2312" w:eastAsia="仿宋_GB2312"/>
          <w:color w:val="000000"/>
          <w:sz w:val="32"/>
          <w:szCs w:val="32"/>
        </w:rPr>
        <w:t>万元，</w:t>
      </w:r>
      <w:r>
        <w:rPr>
          <w:rStyle w:val="17"/>
          <w:rFonts w:hint="eastAsia" w:ascii="仿宋" w:hAnsi="仿宋" w:eastAsia="仿宋"/>
          <w:bCs/>
          <w:color w:val="000000"/>
          <w:sz w:val="32"/>
          <w:szCs w:val="32"/>
        </w:rPr>
        <w:t>完成预算100</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增加0.03</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增长</w:t>
      </w:r>
      <w:r>
        <w:rPr>
          <w:rFonts w:hint="eastAsia" w:ascii="仿宋" w:hAnsi="仿宋" w:eastAsia="仿宋"/>
          <w:color w:val="auto"/>
          <w:sz w:val="32"/>
          <w:szCs w:val="32"/>
          <w:highlight w:val="none"/>
          <w:lang w:val="en-US" w:eastAsia="zh-CN"/>
        </w:rPr>
        <w:t>7.69</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全面落实关于党政机关厉行勤俭节约，坚持</w:t>
      </w:r>
      <w:r>
        <w:rPr>
          <w:rFonts w:hint="default" w:ascii="仿宋_GB2312" w:eastAsia="仿宋_GB2312"/>
          <w:color w:val="000000"/>
          <w:sz w:val="32"/>
          <w:szCs w:val="32"/>
          <w:lang w:val="en-US" w:eastAsia="zh-CN"/>
        </w:rPr>
        <w:t>“</w:t>
      </w:r>
      <w:r>
        <w:rPr>
          <w:rFonts w:hint="eastAsia" w:ascii="仿宋_GB2312" w:eastAsia="仿宋_GB2312"/>
          <w:color w:val="000000"/>
          <w:sz w:val="32"/>
          <w:szCs w:val="32"/>
          <w:lang w:val="en-US" w:eastAsia="zh-CN"/>
        </w:rPr>
        <w:t>过紧日子</w:t>
      </w:r>
      <w:r>
        <w:rPr>
          <w:rFonts w:hint="default" w:ascii="仿宋_GB2312" w:eastAsia="仿宋_GB2312"/>
          <w:color w:val="000000"/>
          <w:sz w:val="32"/>
          <w:szCs w:val="32"/>
          <w:lang w:val="en-US" w:eastAsia="zh-CN"/>
        </w:rPr>
        <w:t>”</w:t>
      </w:r>
      <w:r>
        <w:rPr>
          <w:rFonts w:hint="eastAsia" w:ascii="仿宋_GB2312" w:eastAsia="仿宋_GB2312"/>
          <w:color w:val="000000"/>
          <w:sz w:val="32"/>
          <w:szCs w:val="32"/>
          <w:lang w:val="en-US" w:eastAsia="zh-CN"/>
        </w:rPr>
        <w:t>的要求，努力营造</w:t>
      </w:r>
      <w:r>
        <w:rPr>
          <w:rFonts w:hint="default" w:ascii="仿宋_GB2312" w:eastAsia="仿宋_GB2312"/>
          <w:color w:val="000000"/>
          <w:sz w:val="32"/>
          <w:szCs w:val="32"/>
          <w:lang w:val="en-US" w:eastAsia="zh-CN"/>
        </w:rPr>
        <w:t>“</w:t>
      </w:r>
      <w:r>
        <w:rPr>
          <w:rFonts w:hint="eastAsia" w:ascii="仿宋_GB2312" w:eastAsia="仿宋_GB2312"/>
          <w:color w:val="000000"/>
          <w:sz w:val="32"/>
          <w:szCs w:val="32"/>
          <w:lang w:val="en-US" w:eastAsia="zh-CN"/>
        </w:rPr>
        <w:t>艰苦奋斗、勤俭节约</w:t>
      </w:r>
      <w:r>
        <w:rPr>
          <w:rFonts w:hint="default" w:ascii="仿宋_GB2312" w:eastAsia="仿宋_GB2312"/>
          <w:color w:val="000000"/>
          <w:sz w:val="32"/>
          <w:szCs w:val="32"/>
          <w:lang w:val="en-US" w:eastAsia="zh-CN"/>
        </w:rPr>
        <w:t>”</w:t>
      </w:r>
      <w:r>
        <w:rPr>
          <w:rFonts w:hint="eastAsia" w:ascii="仿宋_GB2312" w:eastAsia="仿宋_GB2312"/>
          <w:color w:val="000000"/>
          <w:sz w:val="32"/>
          <w:szCs w:val="32"/>
          <w:lang w:val="en-US" w:eastAsia="zh-CN"/>
        </w:rPr>
        <w:t>氛围，持续推进节约型单位建设</w:t>
      </w:r>
      <w:r>
        <w:rPr>
          <w:rFonts w:hint="eastAsia" w:ascii="仿宋_GB2312" w:eastAsia="仿宋_GB2312"/>
          <w:color w:val="000000"/>
          <w:sz w:val="32"/>
          <w:szCs w:val="32"/>
        </w:rPr>
        <w:t>。其中：</w:t>
      </w:r>
    </w:p>
    <w:p>
      <w:pPr>
        <w:spacing w:line="600" w:lineRule="exact"/>
        <w:ind w:firstLine="640"/>
        <w:rPr>
          <w:rFonts w:hint="eastAsia" w:ascii="仿宋_GB2312" w:eastAsia="仿宋_GB2312"/>
          <w:color w:val="000000"/>
          <w:sz w:val="32"/>
          <w:szCs w:val="32"/>
          <w:lang w:eastAsia="zh-CN"/>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0.42</w:t>
      </w:r>
      <w:r>
        <w:rPr>
          <w:rFonts w:hint="eastAsia" w:ascii="仿宋_GB2312" w:eastAsia="仿宋_GB2312"/>
          <w:color w:val="000000"/>
          <w:sz w:val="32"/>
          <w:szCs w:val="32"/>
        </w:rPr>
        <w:t>万元，主要用于主要用于执行公务、开展业务活动开支的交通费、住宿费、用餐费等。国内公务接待</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53</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0.26</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spacing w:line="600" w:lineRule="exact"/>
        <w:ind w:firstLine="643" w:firstLineChars="200"/>
        <w:rPr>
          <w:rFonts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万元，外事接待0批次，0人，共计支出0万元。</w:t>
      </w:r>
    </w:p>
    <w:bookmarkEnd w:id="44"/>
    <w:bookmarkEnd w:id="45"/>
    <w:p>
      <w:pPr>
        <w:spacing w:line="600" w:lineRule="exact"/>
        <w:ind w:firstLine="640"/>
        <w:outlineLvl w:val="1"/>
        <w:rPr>
          <w:rStyle w:val="29"/>
          <w:rFonts w:ascii="黑体" w:hAnsi="黑体" w:eastAsia="黑体"/>
        </w:rPr>
      </w:pPr>
      <w:bookmarkStart w:id="46" w:name="_Toc79163622"/>
      <w:bookmarkStart w:id="47" w:name="_Toc79163872"/>
      <w:bookmarkStart w:id="48" w:name="_Toc15377221"/>
      <w:bookmarkStart w:id="49" w:name="_Toc15396612"/>
      <w:r>
        <w:rPr>
          <w:rFonts w:hint="eastAsia" w:ascii="黑体" w:eastAsia="黑体"/>
          <w:color w:val="000000"/>
          <w:sz w:val="32"/>
          <w:szCs w:val="32"/>
        </w:rPr>
        <w:t>八、</w:t>
      </w:r>
      <w:r>
        <w:rPr>
          <w:rStyle w:val="29"/>
          <w:rFonts w:hint="eastAsia" w:ascii="黑体" w:hAnsi="黑体" w:eastAsia="黑体"/>
        </w:rPr>
        <w:t>政府性基金预算支出决算情况说明</w:t>
      </w:r>
      <w:bookmarkEnd w:id="46"/>
      <w:bookmarkEnd w:id="47"/>
    </w:p>
    <w:p>
      <w:pPr>
        <w:spacing w:line="576"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0万元</w:t>
      </w:r>
      <w:r>
        <w:rPr>
          <w:rFonts w:hint="eastAsia" w:ascii="仿宋_GB2312" w:eastAsia="仿宋_GB2312"/>
          <w:color w:val="000000"/>
          <w:sz w:val="32"/>
          <w:szCs w:val="32"/>
        </w:rPr>
        <w:t>。</w:t>
      </w:r>
    </w:p>
    <w:p>
      <w:pPr>
        <w:numPr>
          <w:ilvl w:val="0"/>
          <w:numId w:val="3"/>
        </w:numPr>
        <w:spacing w:line="600" w:lineRule="exact"/>
        <w:ind w:firstLine="640"/>
        <w:outlineLvl w:val="1"/>
        <w:rPr>
          <w:rStyle w:val="29"/>
          <w:rFonts w:ascii="黑体" w:hAnsi="黑体" w:eastAsia="黑体"/>
          <w:b w:val="0"/>
        </w:rPr>
      </w:pPr>
      <w:bookmarkStart w:id="50" w:name="_Toc15396611"/>
      <w:bookmarkStart w:id="51" w:name="_Toc79163623"/>
      <w:bookmarkStart w:id="52" w:name="_Toc15377219"/>
      <w:bookmarkStart w:id="53" w:name="_Toc79163873"/>
      <w:r>
        <w:rPr>
          <w:rStyle w:val="29"/>
          <w:rFonts w:hint="eastAsia" w:ascii="黑体" w:hAnsi="黑体" w:eastAsia="黑体"/>
        </w:rPr>
        <w:t>国有资本经营预算支出决算情况说明</w:t>
      </w:r>
      <w:bookmarkEnd w:id="50"/>
      <w:bookmarkEnd w:id="51"/>
      <w:bookmarkEnd w:id="52"/>
      <w:bookmarkEnd w:id="53"/>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年国有资本经营预算</w:t>
      </w:r>
      <w:r>
        <w:rPr>
          <w:rFonts w:hint="eastAsia" w:ascii="仿宋_GB2312" w:eastAsia="仿宋_GB2312"/>
          <w:color w:val="000000"/>
          <w:sz w:val="32"/>
          <w:szCs w:val="32"/>
          <w:lang w:val="en-US" w:eastAsia="zh-CN"/>
        </w:rPr>
        <w:t>财政</w:t>
      </w:r>
      <w:r>
        <w:rPr>
          <w:rFonts w:hint="eastAsia" w:ascii="仿宋_GB2312" w:eastAsia="仿宋_GB2312"/>
          <w:color w:val="000000"/>
          <w:sz w:val="32"/>
          <w:szCs w:val="32"/>
        </w:rPr>
        <w:t>拨款支出</w:t>
      </w:r>
      <w:r>
        <w:rPr>
          <w:rFonts w:hint="eastAsia" w:ascii="仿宋_GB2312" w:eastAsia="仿宋_GB2312"/>
          <w:color w:val="000000"/>
          <w:sz w:val="32"/>
          <w:szCs w:val="32"/>
          <w:lang w:val="en-US" w:eastAsia="zh-CN"/>
        </w:rPr>
        <w:t>0万元</w:t>
      </w:r>
      <w:r>
        <w:rPr>
          <w:rFonts w:hint="eastAsia" w:ascii="仿宋_GB2312" w:eastAsia="仿宋_GB2312"/>
          <w:color w:val="000000"/>
          <w:sz w:val="32"/>
          <w:szCs w:val="32"/>
        </w:rPr>
        <w:t>。</w:t>
      </w:r>
    </w:p>
    <w:p>
      <w:pPr>
        <w:spacing w:line="600" w:lineRule="exact"/>
        <w:ind w:firstLine="800" w:firstLineChars="250"/>
        <w:outlineLvl w:val="1"/>
        <w:rPr>
          <w:rStyle w:val="29"/>
          <w:rFonts w:ascii="黑体" w:hAnsi="黑体" w:eastAsia="黑体"/>
        </w:rPr>
      </w:pPr>
      <w:bookmarkStart w:id="54" w:name="_Toc79163624"/>
      <w:bookmarkStart w:id="55" w:name="_Toc79163874"/>
      <w:r>
        <w:rPr>
          <w:rFonts w:hint="eastAsia" w:ascii="黑体" w:hAnsi="黑体" w:eastAsia="黑体"/>
          <w:color w:val="000000"/>
          <w:sz w:val="32"/>
          <w:szCs w:val="32"/>
        </w:rPr>
        <w:t>十</w:t>
      </w:r>
      <w:r>
        <w:rPr>
          <w:rStyle w:val="29"/>
          <w:rFonts w:hint="eastAsia" w:ascii="黑体" w:hAnsi="黑体" w:eastAsia="黑体"/>
        </w:rPr>
        <w:t>、其他重要事项的情况说明</w:t>
      </w:r>
      <w:bookmarkEnd w:id="54"/>
      <w:bookmarkEnd w:id="55"/>
    </w:p>
    <w:p>
      <w:pPr>
        <w:spacing w:line="600" w:lineRule="exact"/>
        <w:ind w:firstLine="643" w:firstLineChars="200"/>
        <w:outlineLvl w:val="2"/>
        <w:rPr>
          <w:rFonts w:ascii="仿宋" w:hAnsi="仿宋" w:eastAsia="仿宋"/>
          <w:color w:val="000000"/>
          <w:sz w:val="32"/>
          <w:szCs w:val="32"/>
        </w:rPr>
      </w:pPr>
      <w:bookmarkStart w:id="56" w:name="_Toc79163625"/>
      <w:bookmarkStart w:id="57" w:name="_Toc79163875"/>
      <w:r>
        <w:rPr>
          <w:rFonts w:hint="eastAsia" w:ascii="仿宋" w:hAnsi="仿宋" w:eastAsia="仿宋"/>
          <w:b/>
          <w:color w:val="000000"/>
          <w:sz w:val="32"/>
          <w:szCs w:val="32"/>
        </w:rPr>
        <w:t>（一）机关运行经费支出情况</w:t>
      </w:r>
      <w:bookmarkEnd w:id="56"/>
      <w:bookmarkEnd w:id="57"/>
    </w:p>
    <w:p>
      <w:pPr>
        <w:spacing w:line="576" w:lineRule="exact"/>
        <w:ind w:firstLine="800" w:firstLineChars="250"/>
        <w:outlineLvl w:val="1"/>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3年度</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四川省阿坝州</w:t>
      </w:r>
      <w:r>
        <w:rPr>
          <w:rFonts w:hint="eastAsia" w:ascii="仿宋_GB2312" w:eastAsia="仿宋_GB2312"/>
          <w:color w:val="000000"/>
          <w:sz w:val="32"/>
          <w:szCs w:val="32"/>
        </w:rPr>
        <w:t>茂县</w:t>
      </w:r>
      <w:r>
        <w:rPr>
          <w:rFonts w:ascii="仿宋_GB2312" w:eastAsia="仿宋_GB2312"/>
          <w:color w:val="000000"/>
          <w:sz w:val="32"/>
          <w:szCs w:val="32"/>
        </w:rPr>
        <w:t>人力资源和社会保障局</w:t>
      </w:r>
      <w:r>
        <w:rPr>
          <w:rFonts w:hint="eastAsia" w:ascii="仿宋_GB2312" w:eastAsia="仿宋_GB2312"/>
          <w:color w:val="000000"/>
          <w:sz w:val="32"/>
          <w:szCs w:val="32"/>
          <w:lang w:val="en-US" w:eastAsia="zh-CN"/>
        </w:rPr>
        <w:t>培训中心</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bookmarkEnd w:id="48"/>
    <w:bookmarkEnd w:id="49"/>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8" w:name="_Toc15377223"/>
      <w:bookmarkStart w:id="59" w:name="_Toc79163626"/>
      <w:bookmarkStart w:id="60" w:name="_Toc79163876"/>
      <w:bookmarkStart w:id="61" w:name="_Toc15377224"/>
      <w:r>
        <w:rPr>
          <w:rFonts w:hint="eastAsia" w:ascii="仿宋" w:hAnsi="仿宋" w:eastAsia="仿宋"/>
          <w:b/>
          <w:color w:val="000000"/>
          <w:sz w:val="32"/>
          <w:szCs w:val="32"/>
        </w:rPr>
        <w:t>（二）政府采购支出情况</w:t>
      </w:r>
      <w:bookmarkEnd w:id="58"/>
      <w:bookmarkEnd w:id="59"/>
      <w:bookmarkEnd w:id="60"/>
    </w:p>
    <w:p>
      <w:pPr>
        <w:widowControl/>
        <w:spacing w:line="576" w:lineRule="exact"/>
        <w:ind w:firstLine="640" w:firstLineChars="200"/>
        <w:jc w:val="left"/>
        <w:rPr>
          <w:rFonts w:ascii="仿宋_GB2312" w:hAnsi="仿宋_GB2312" w:eastAsia="仿宋_GB2312" w:cs="仿宋_GB2312"/>
          <w:sz w:val="32"/>
          <w:szCs w:val="32"/>
        </w:rPr>
      </w:pP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度</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四川省阿坝州</w:t>
      </w:r>
      <w:r>
        <w:rPr>
          <w:rFonts w:hint="eastAsia" w:ascii="仿宋_GB2312" w:eastAsia="仿宋_GB2312"/>
          <w:color w:val="000000"/>
          <w:sz w:val="32"/>
          <w:szCs w:val="32"/>
        </w:rPr>
        <w:t>茂县</w:t>
      </w:r>
      <w:r>
        <w:rPr>
          <w:rFonts w:ascii="仿宋_GB2312" w:eastAsia="仿宋_GB2312"/>
          <w:color w:val="000000"/>
          <w:sz w:val="32"/>
          <w:szCs w:val="32"/>
        </w:rPr>
        <w:t>人力资源和社会保障局</w:t>
      </w:r>
      <w:r>
        <w:rPr>
          <w:rFonts w:hint="eastAsia" w:ascii="仿宋_GB2312" w:eastAsia="仿宋_GB2312"/>
          <w:color w:val="000000"/>
          <w:sz w:val="32"/>
          <w:szCs w:val="32"/>
          <w:lang w:val="en-US" w:eastAsia="zh-CN"/>
        </w:rPr>
        <w:t>培训中心政府</w:t>
      </w:r>
      <w:r>
        <w:rPr>
          <w:rFonts w:hint="eastAsia" w:ascii="仿宋_GB2312" w:eastAsia="仿宋_GB2312"/>
          <w:color w:val="000000"/>
          <w:sz w:val="32"/>
          <w:szCs w:val="32"/>
        </w:rPr>
        <w:t>采购支出</w:t>
      </w:r>
      <w:r>
        <w:rPr>
          <w:rFonts w:hint="eastAsia" w:ascii="仿宋_GB2312" w:eastAsia="仿宋_GB2312"/>
          <w:color w:val="000000"/>
          <w:sz w:val="32"/>
          <w:szCs w:val="32"/>
          <w:lang w:val="en-US" w:eastAsia="zh-CN"/>
        </w:rPr>
        <w:t>0万元</w:t>
      </w:r>
      <w:r>
        <w:rPr>
          <w:rFonts w:hint="eastAsia" w:ascii="仿宋_GB2312" w:eastAsia="仿宋_GB2312"/>
          <w:color w:val="000000"/>
          <w:sz w:val="32"/>
          <w:szCs w:val="32"/>
        </w:rPr>
        <w:t>。</w:t>
      </w:r>
    </w:p>
    <w:bookmarkEnd w:id="61"/>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62" w:name="_Toc79163627"/>
      <w:bookmarkStart w:id="63" w:name="_Toc79163877"/>
      <w:r>
        <w:rPr>
          <w:rFonts w:hint="eastAsia" w:ascii="仿宋" w:hAnsi="仿宋" w:eastAsia="仿宋"/>
          <w:b/>
          <w:color w:val="000000"/>
          <w:sz w:val="32"/>
          <w:szCs w:val="32"/>
        </w:rPr>
        <w:t>（三）国有资产占有使用情况</w:t>
      </w:r>
      <w:bookmarkEnd w:id="62"/>
      <w:bookmarkEnd w:id="63"/>
    </w:p>
    <w:p>
      <w:pPr>
        <w:autoSpaceDE w:val="0"/>
        <w:autoSpaceDN w:val="0"/>
        <w:adjustRightInd w:val="0"/>
        <w:spacing w:line="576"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四川省阿坝州</w:t>
      </w:r>
      <w:r>
        <w:rPr>
          <w:rFonts w:hint="eastAsia" w:ascii="仿宋_GB2312" w:eastAsia="仿宋_GB2312"/>
          <w:color w:val="000000"/>
          <w:sz w:val="32"/>
          <w:szCs w:val="32"/>
        </w:rPr>
        <w:t>茂县</w:t>
      </w:r>
      <w:r>
        <w:rPr>
          <w:rFonts w:ascii="仿宋_GB2312" w:eastAsia="仿宋_GB2312"/>
          <w:color w:val="000000"/>
          <w:sz w:val="32"/>
          <w:szCs w:val="32"/>
        </w:rPr>
        <w:t>人力资源和社会保障局</w:t>
      </w:r>
      <w:r>
        <w:rPr>
          <w:rFonts w:hint="eastAsia" w:ascii="仿宋_GB2312" w:eastAsia="仿宋_GB2312"/>
          <w:color w:val="000000"/>
          <w:sz w:val="32"/>
          <w:szCs w:val="32"/>
          <w:lang w:val="en-US" w:eastAsia="zh-CN"/>
        </w:rPr>
        <w:t>培训中心</w:t>
      </w:r>
      <w:bookmarkStart w:id="120" w:name="_GoBack"/>
      <w:bookmarkEnd w:id="120"/>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辆，其中：其中：主要领导干部用车0辆、机要通信用车0辆、应急保障用车0辆、其他用车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themeColor="text1"/>
          <w:sz w:val="32"/>
          <w:szCs w:val="32"/>
        </w:rPr>
        <w:t>。</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64" w:name="_Toc79163628"/>
      <w:bookmarkStart w:id="65" w:name="_Toc79163878"/>
      <w:r>
        <w:rPr>
          <w:rFonts w:hint="eastAsia" w:ascii="仿宋" w:hAnsi="仿宋" w:eastAsia="仿宋"/>
          <w:b/>
          <w:color w:val="000000"/>
          <w:sz w:val="32"/>
          <w:szCs w:val="32"/>
        </w:rPr>
        <w:t>（四）预算绩效管理情况</w:t>
      </w:r>
      <w:bookmarkEnd w:id="64"/>
      <w:bookmarkEnd w:id="65"/>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eastAsia="仿宋_GB2312"/>
          <w:color w:val="000000"/>
          <w:sz w:val="32"/>
          <w:szCs w:val="32"/>
        </w:rPr>
        <w:t>茂县</w:t>
      </w:r>
      <w:r>
        <w:rPr>
          <w:rFonts w:ascii="仿宋_GB2312" w:eastAsia="仿宋_GB2312"/>
          <w:color w:val="000000"/>
          <w:sz w:val="32"/>
          <w:szCs w:val="32"/>
        </w:rPr>
        <w:t>人力资源和社会保障局</w:t>
      </w:r>
      <w:r>
        <w:rPr>
          <w:rFonts w:hint="eastAsia" w:ascii="仿宋_GB2312" w:eastAsia="仿宋_GB2312"/>
          <w:color w:val="000000"/>
          <w:sz w:val="32"/>
          <w:szCs w:val="32"/>
          <w:lang w:val="en-US" w:eastAsia="zh-CN"/>
        </w:rPr>
        <w:t>培训中心</w:t>
      </w:r>
      <w:r>
        <w:rPr>
          <w:rFonts w:hint="eastAsia" w:ascii="仿宋_GB2312" w:hAnsi="仿宋_GB2312" w:eastAsia="仿宋_GB2312" w:cs="仿宋_GB2312"/>
          <w:sz w:val="32"/>
          <w:szCs w:val="32"/>
        </w:rPr>
        <w:t>无项目。</w:t>
      </w:r>
    </w:p>
    <w:p>
      <w:pPr>
        <w:pStyle w:val="2"/>
        <w:rPr>
          <w:rFonts w:hint="eastAsia" w:ascii="仿宋_GB2312" w:hAnsi="仿宋_GB2312" w:eastAsia="仿宋_GB2312" w:cs="仿宋_GB2312"/>
          <w:sz w:val="32"/>
          <w:szCs w:val="32"/>
        </w:rPr>
      </w:pPr>
    </w:p>
    <w:p>
      <w:pPr>
        <w:pStyle w:val="3"/>
      </w:pPr>
    </w:p>
    <w:p>
      <w:pPr>
        <w:spacing w:line="580" w:lineRule="exact"/>
        <w:ind w:firstLine="640" w:firstLineChars="200"/>
        <w:rPr>
          <w:rFonts w:ascii="仿宋_GB2312" w:hAnsi="仿宋_GB2312" w:eastAsia="仿宋_GB2312" w:cs="仿宋_GB2312"/>
          <w:sz w:val="32"/>
          <w:szCs w:val="32"/>
        </w:rPr>
      </w:pPr>
    </w:p>
    <w:p>
      <w:pPr>
        <w:numPr>
          <w:ilvl w:val="0"/>
          <w:numId w:val="4"/>
        </w:numPr>
        <w:spacing w:line="600" w:lineRule="exact"/>
        <w:ind w:firstLine="660" w:firstLineChars="150"/>
        <w:jc w:val="center"/>
        <w:outlineLvl w:val="0"/>
        <w:rPr>
          <w:rStyle w:val="28"/>
          <w:rFonts w:ascii="黑体" w:hAnsi="黑体" w:eastAsia="黑体"/>
          <w:b w:val="0"/>
        </w:rPr>
      </w:pPr>
      <w:bookmarkStart w:id="66" w:name="_Toc15377225"/>
      <w:bookmarkStart w:id="67" w:name="_Toc79163879"/>
      <w:bookmarkStart w:id="68" w:name="_Toc79163629"/>
      <w:bookmarkStart w:id="69" w:name="_Toc15396613"/>
      <w:r>
        <w:rPr>
          <w:rFonts w:hint="eastAsia" w:ascii="黑体" w:hAnsi="黑体" w:eastAsia="黑体"/>
          <w:color w:val="000000"/>
          <w:sz w:val="44"/>
          <w:szCs w:val="44"/>
        </w:rPr>
        <w:t>名</w:t>
      </w:r>
      <w:r>
        <w:rPr>
          <w:rStyle w:val="28"/>
          <w:rFonts w:hint="eastAsia" w:ascii="黑体" w:hAnsi="黑体" w:eastAsia="黑体"/>
        </w:rPr>
        <w:t>词解释</w:t>
      </w:r>
      <w:bookmarkEnd w:id="66"/>
      <w:bookmarkEnd w:id="67"/>
      <w:bookmarkEnd w:id="68"/>
      <w:bookmarkEnd w:id="69"/>
    </w:p>
    <w:p>
      <w:pPr>
        <w:spacing w:line="600" w:lineRule="exact"/>
        <w:jc w:val="left"/>
        <w:rPr>
          <w:rFonts w:ascii="宋体"/>
          <w:b/>
          <w:color w:val="000000"/>
          <w:sz w:val="44"/>
          <w:szCs w:val="44"/>
        </w:rPr>
      </w:pPr>
    </w:p>
    <w:p>
      <w:pPr>
        <w:pStyle w:val="26"/>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576" w:lineRule="exact"/>
        <w:ind w:firstLine="640" w:firstLineChars="200"/>
        <w:rPr>
          <w:rFonts w:ascii="仿宋_GB2312" w:eastAsia="仿宋_GB2312"/>
          <w:sz w:val="32"/>
          <w:szCs w:val="32"/>
        </w:rPr>
      </w:pPr>
      <w:r>
        <w:rPr>
          <w:rFonts w:ascii="仿宋_GB2312" w:eastAsia="仿宋_GB2312"/>
          <w:color w:val="000000"/>
          <w:sz w:val="32"/>
          <w:szCs w:val="32"/>
        </w:rPr>
        <w:t>9.</w:t>
      </w:r>
      <w:r>
        <w:rPr>
          <w:rFonts w:hint="eastAsia" w:ascii="仿宋_GB2312" w:eastAsia="仿宋_GB2312"/>
          <w:color w:val="000000"/>
          <w:sz w:val="32"/>
          <w:szCs w:val="32"/>
        </w:rPr>
        <w:t xml:space="preserve"> 一般公共服务（</w:t>
      </w:r>
      <w:r>
        <w:rPr>
          <w:rFonts w:hint="eastAsia" w:ascii="仿宋_GB2312" w:eastAsia="仿宋_GB2312"/>
          <w:sz w:val="32"/>
          <w:szCs w:val="32"/>
        </w:rPr>
        <w:t>类）</w:t>
      </w:r>
      <w:r>
        <w:rPr>
          <w:rFonts w:hint="eastAsia" w:ascii="仿宋_GB2312" w:eastAsia="仿宋_GB2312"/>
          <w:color w:val="000000"/>
          <w:sz w:val="32"/>
          <w:szCs w:val="32"/>
        </w:rPr>
        <w:t>人力</w:t>
      </w:r>
      <w:r>
        <w:rPr>
          <w:rFonts w:ascii="仿宋_GB2312" w:eastAsia="仿宋_GB2312"/>
          <w:color w:val="000000"/>
          <w:sz w:val="32"/>
          <w:szCs w:val="32"/>
        </w:rPr>
        <w:t>资源事务</w:t>
      </w:r>
      <w:r>
        <w:rPr>
          <w:rFonts w:hint="eastAsia" w:ascii="仿宋_GB2312" w:eastAsia="仿宋_GB2312"/>
          <w:color w:val="000000"/>
          <w:sz w:val="32"/>
          <w:szCs w:val="32"/>
        </w:rPr>
        <w:t>（款）行政</w:t>
      </w:r>
      <w:r>
        <w:rPr>
          <w:rFonts w:ascii="仿宋_GB2312" w:eastAsia="仿宋_GB2312"/>
          <w:color w:val="000000"/>
          <w:sz w:val="32"/>
          <w:szCs w:val="32"/>
        </w:rPr>
        <w:t>运行</w:t>
      </w:r>
      <w:r>
        <w:rPr>
          <w:rFonts w:hint="eastAsia" w:ascii="仿宋_GB2312" w:eastAsia="仿宋_GB2312"/>
          <w:color w:val="000000"/>
          <w:sz w:val="32"/>
          <w:szCs w:val="32"/>
        </w:rPr>
        <w:t>（项）：指</w:t>
      </w:r>
      <w:r>
        <w:rPr>
          <w:rFonts w:hint="eastAsia" w:ascii="仿宋_GB2312" w:eastAsia="仿宋_GB2312"/>
          <w:sz w:val="32"/>
          <w:szCs w:val="32"/>
        </w:rPr>
        <w:t>主要用于单位行政人员经费和日常公用经费等基本支出和军转干部医保、慰问等费用，一般公共服务（类）人力资源事务（款）一般行政管理事务（项）：指事业人员经费和日常公用经费等基本支出。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10</w:t>
      </w:r>
      <w:r>
        <w:rPr>
          <w:rFonts w:ascii="仿宋_GB2312" w:eastAsia="仿宋_GB2312"/>
          <w:color w:val="000000"/>
          <w:sz w:val="32"/>
          <w:szCs w:val="32"/>
        </w:rPr>
        <w:t>.</w:t>
      </w:r>
      <w:r>
        <w:rPr>
          <w:rFonts w:hint="eastAsia" w:ascii="仿宋_GB2312" w:eastAsia="仿宋_GB2312"/>
          <w:color w:val="000000"/>
          <w:sz w:val="32"/>
          <w:szCs w:val="32"/>
        </w:rPr>
        <w:t>社会保障和就业</w:t>
      </w:r>
      <w:r>
        <w:rPr>
          <w:rFonts w:hint="eastAsia" w:ascii="仿宋_GB2312" w:eastAsia="仿宋_GB2312"/>
          <w:sz w:val="32"/>
          <w:szCs w:val="32"/>
        </w:rPr>
        <w:t>（类）行政事业单位离退休（款）机关事业单位基本养老保险缴费支出（项）</w:t>
      </w:r>
      <w:r>
        <w:rPr>
          <w:rFonts w:hint="eastAsia" w:ascii="仿宋_GB2312" w:eastAsia="仿宋_GB2312"/>
          <w:color w:val="000000"/>
          <w:sz w:val="32"/>
          <w:szCs w:val="32"/>
        </w:rPr>
        <w:t>：指</w:t>
      </w:r>
      <w:r>
        <w:rPr>
          <w:rFonts w:hint="eastAsia" w:ascii="仿宋_GB2312" w:eastAsia="仿宋_GB2312"/>
          <w:sz w:val="32"/>
          <w:szCs w:val="32"/>
        </w:rPr>
        <w:t>单位缴纳基本养老保险费，社会保障和就业支出（类）行政事业单位离退休（款）机关事业单位职业年金缴费支出（项）：指单位缴纳职业年金</w:t>
      </w:r>
      <w:r>
        <w:rPr>
          <w:rFonts w:hint="eastAsia" w:ascii="仿宋_GB2312" w:eastAsia="仿宋_GB2312"/>
          <w:color w:val="000000"/>
          <w:sz w:val="32"/>
          <w:szCs w:val="32"/>
        </w:rPr>
        <w:t>。</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1</w:t>
      </w:r>
      <w:r>
        <w:rPr>
          <w:rFonts w:ascii="仿宋_GB2312" w:eastAsia="仿宋_GB2312"/>
          <w:color w:val="000000"/>
          <w:sz w:val="32"/>
          <w:szCs w:val="32"/>
        </w:rPr>
        <w:t>.</w:t>
      </w:r>
      <w:r>
        <w:rPr>
          <w:rFonts w:hint="eastAsia" w:ascii="仿宋_GB2312" w:eastAsia="仿宋_GB2312"/>
          <w:color w:val="000000"/>
          <w:sz w:val="32"/>
          <w:szCs w:val="32"/>
        </w:rPr>
        <w:t>医疗卫生与计划生育</w:t>
      </w:r>
      <w:r>
        <w:rPr>
          <w:rFonts w:hint="eastAsia" w:ascii="仿宋_GB2312" w:eastAsia="仿宋_GB2312"/>
          <w:sz w:val="32"/>
          <w:szCs w:val="32"/>
        </w:rPr>
        <w:t>（类）行政事业单位医疗（款）行政单位医疗</w:t>
      </w:r>
      <w:r>
        <w:rPr>
          <w:rFonts w:hint="eastAsia" w:ascii="仿宋_GB2312" w:eastAsia="仿宋_GB2312"/>
          <w:color w:val="000000"/>
          <w:sz w:val="32"/>
          <w:szCs w:val="32"/>
        </w:rPr>
        <w:t>（项）：指</w:t>
      </w:r>
      <w:r>
        <w:rPr>
          <w:rFonts w:hint="eastAsia" w:ascii="仿宋_GB2312" w:eastAsia="仿宋_GB2312"/>
          <w:sz w:val="32"/>
          <w:szCs w:val="32"/>
        </w:rPr>
        <w:t>单位行政人员缴纳基本医疗保险</w:t>
      </w:r>
      <w:r>
        <w:rPr>
          <w:rFonts w:hint="eastAsia" w:ascii="仿宋_GB2312" w:eastAsia="仿宋_GB2312"/>
          <w:color w:val="000000"/>
          <w:sz w:val="32"/>
          <w:szCs w:val="32"/>
        </w:rPr>
        <w:t>，</w:t>
      </w:r>
      <w:r>
        <w:rPr>
          <w:rFonts w:hint="eastAsia" w:ascii="仿宋_GB2312" w:eastAsia="仿宋_GB2312"/>
          <w:sz w:val="32"/>
          <w:szCs w:val="32"/>
        </w:rPr>
        <w:t>卫生健康支出（类）行政事业单位医疗（款）事业单位医疗（项）：指事业单位缴纳基本医疗保险。</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12</w:t>
      </w:r>
      <w:r>
        <w:rPr>
          <w:rFonts w:ascii="仿宋_GB2312" w:eastAsia="仿宋_GB2312"/>
          <w:color w:val="000000"/>
          <w:sz w:val="32"/>
          <w:szCs w:val="32"/>
        </w:rPr>
        <w:t>.</w:t>
      </w:r>
      <w:r>
        <w:rPr>
          <w:rFonts w:hint="eastAsia" w:ascii="仿宋_GB2312" w:eastAsia="仿宋_GB2312"/>
          <w:color w:val="000000"/>
          <w:sz w:val="32"/>
          <w:szCs w:val="32"/>
        </w:rPr>
        <w:t>住房保障（类）住房改革（款）住房公积金（项）：指单位为职工缴纳住房公积金，住房保障（类）住房改革（款）购房补贴（项）：指财政支付退休职工购房补贴。</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13</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14</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15</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16</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both"/>
        <w:outlineLvl w:val="0"/>
        <w:rPr>
          <w:rFonts w:ascii="黑体" w:hAnsi="黑体" w:eastAsia="黑体"/>
          <w:color w:val="000000"/>
          <w:sz w:val="44"/>
          <w:szCs w:val="44"/>
        </w:rPr>
      </w:pPr>
      <w:bookmarkStart w:id="70" w:name="_Toc79163630"/>
      <w:bookmarkStart w:id="71" w:name="_Toc79163880"/>
      <w:bookmarkStart w:id="72" w:name="_Toc15396614"/>
      <w:bookmarkStart w:id="73" w:name="_Toc15377226"/>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bookmarkEnd w:id="70"/>
    <w:bookmarkEnd w:id="71"/>
    <w:bookmarkEnd w:id="72"/>
    <w:p>
      <w:pPr>
        <w:pStyle w:val="34"/>
        <w:spacing w:line="550" w:lineRule="exact"/>
        <w:rPr>
          <w:rFonts w:hint="eastAsia" w:ascii="仿宋_GB2312" w:hAnsi="黑体" w:eastAsia="仿宋_GB2312" w:cs="宋体"/>
          <w:color w:val="000000"/>
          <w:kern w:val="0"/>
          <w:sz w:val="32"/>
          <w:szCs w:val="32"/>
          <w:shd w:val="clear" w:color="auto" w:fill="FFFFFF"/>
        </w:rPr>
      </w:pPr>
      <w:bookmarkStart w:id="74" w:name="_Toc79163633"/>
      <w:bookmarkStart w:id="75" w:name="_Toc79163883"/>
    </w:p>
    <w:bookmarkEnd w:id="74"/>
    <w:bookmarkEnd w:id="75"/>
    <w:p>
      <w:pPr>
        <w:spacing w:line="600" w:lineRule="exact"/>
        <w:jc w:val="center"/>
        <w:outlineLvl w:val="0"/>
        <w:rPr>
          <w:rStyle w:val="28"/>
          <w:rFonts w:ascii="黑体" w:hAnsi="黑体" w:eastAsia="黑体"/>
          <w:b w:val="0"/>
        </w:rPr>
      </w:pPr>
      <w:bookmarkStart w:id="76" w:name="_Toc79163885"/>
      <w:bookmarkStart w:id="77" w:name="_Toc15396618"/>
      <w:bookmarkStart w:id="78" w:name="_Toc79163635"/>
      <w:r>
        <w:rPr>
          <w:rFonts w:hint="eastAsia" w:ascii="黑体" w:hAnsi="黑体" w:eastAsia="黑体"/>
          <w:color w:val="000000"/>
          <w:sz w:val="44"/>
          <w:szCs w:val="44"/>
        </w:rPr>
        <w:t>第</w:t>
      </w:r>
      <w:r>
        <w:rPr>
          <w:rStyle w:val="28"/>
          <w:rFonts w:hint="eastAsia" w:ascii="黑体" w:hAnsi="黑体" w:eastAsia="黑体"/>
          <w:lang w:val="en-US" w:eastAsia="zh-CN"/>
        </w:rPr>
        <w:t>四</w:t>
      </w:r>
      <w:r>
        <w:rPr>
          <w:rStyle w:val="28"/>
          <w:rFonts w:hint="eastAsia" w:ascii="黑体" w:hAnsi="黑体" w:eastAsia="黑体"/>
        </w:rPr>
        <w:t>部分</w:t>
      </w:r>
      <w:r>
        <w:rPr>
          <w:rStyle w:val="28"/>
          <w:rFonts w:ascii="黑体" w:hAnsi="黑体" w:eastAsia="黑体"/>
        </w:rPr>
        <w:t xml:space="preserve"> </w:t>
      </w:r>
      <w:r>
        <w:rPr>
          <w:rStyle w:val="28"/>
          <w:rFonts w:hint="eastAsia" w:ascii="黑体" w:hAnsi="黑体" w:eastAsia="黑体"/>
        </w:rPr>
        <w:t>附表</w:t>
      </w:r>
      <w:bookmarkEnd w:id="73"/>
      <w:bookmarkEnd w:id="76"/>
      <w:bookmarkEnd w:id="77"/>
      <w:bookmarkEnd w:id="78"/>
    </w:p>
    <w:p>
      <w:pPr>
        <w:spacing w:line="576" w:lineRule="exact"/>
        <w:ind w:left="315" w:leftChars="150" w:firstLine="640" w:firstLineChars="200"/>
        <w:rPr>
          <w:rFonts w:ascii="仿宋_GB2312" w:hAnsi="仿宋_GB2312" w:eastAsia="仿宋_GB2312" w:cs="仿宋_GB2312"/>
          <w:color w:val="000000"/>
          <w:sz w:val="32"/>
          <w:szCs w:val="32"/>
        </w:rPr>
      </w:pPr>
      <w:bookmarkStart w:id="79" w:name="_Toc79163886"/>
      <w:bookmarkStart w:id="80" w:name="_Toc79163636"/>
      <w:bookmarkStart w:id="81" w:name="_Toc15396619"/>
    </w:p>
    <w:p>
      <w:pPr>
        <w:spacing w:line="576" w:lineRule="exact"/>
        <w:ind w:left="315" w:leftChars="15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一、收入支出决算总表</w:t>
      </w:r>
      <w:bookmarkEnd w:id="79"/>
      <w:bookmarkEnd w:id="80"/>
      <w:bookmarkEnd w:id="81"/>
    </w:p>
    <w:p>
      <w:pPr>
        <w:spacing w:line="576" w:lineRule="exact"/>
        <w:ind w:left="315" w:leftChars="150" w:firstLine="640" w:firstLineChars="200"/>
        <w:rPr>
          <w:rFonts w:ascii="仿宋_GB2312" w:hAnsi="仿宋_GB2312" w:eastAsia="仿宋_GB2312" w:cs="仿宋_GB2312"/>
          <w:color w:val="000000"/>
          <w:sz w:val="32"/>
          <w:szCs w:val="32"/>
        </w:rPr>
      </w:pPr>
      <w:bookmarkStart w:id="82" w:name="_Toc79163637"/>
      <w:bookmarkStart w:id="83" w:name="_Toc15396620"/>
      <w:bookmarkStart w:id="84" w:name="_Toc79163887"/>
      <w:r>
        <w:rPr>
          <w:rFonts w:hint="eastAsia" w:ascii="仿宋_GB2312" w:hAnsi="仿宋_GB2312" w:eastAsia="仿宋_GB2312" w:cs="仿宋_GB2312"/>
          <w:color w:val="000000"/>
          <w:sz w:val="32"/>
          <w:szCs w:val="32"/>
        </w:rPr>
        <w:t>二、收入决算表</w:t>
      </w:r>
      <w:bookmarkEnd w:id="82"/>
      <w:bookmarkEnd w:id="83"/>
      <w:bookmarkEnd w:id="84"/>
    </w:p>
    <w:p>
      <w:pPr>
        <w:spacing w:line="576" w:lineRule="exact"/>
        <w:ind w:left="315" w:leftChars="150" w:firstLine="640" w:firstLineChars="200"/>
        <w:rPr>
          <w:rFonts w:ascii="仿宋_GB2312" w:hAnsi="仿宋_GB2312" w:eastAsia="仿宋_GB2312" w:cs="仿宋_GB2312"/>
          <w:color w:val="000000"/>
          <w:sz w:val="32"/>
          <w:szCs w:val="32"/>
        </w:rPr>
      </w:pPr>
      <w:bookmarkStart w:id="85" w:name="_Toc15396621"/>
      <w:bookmarkStart w:id="86" w:name="_Toc79163888"/>
      <w:bookmarkStart w:id="87" w:name="_Toc79163638"/>
      <w:r>
        <w:rPr>
          <w:rFonts w:hint="eastAsia" w:ascii="仿宋_GB2312" w:hAnsi="仿宋_GB2312" w:eastAsia="仿宋_GB2312" w:cs="仿宋_GB2312"/>
          <w:color w:val="000000"/>
          <w:sz w:val="32"/>
          <w:szCs w:val="32"/>
        </w:rPr>
        <w:t>三、支出决算表</w:t>
      </w:r>
      <w:bookmarkEnd w:id="85"/>
      <w:bookmarkEnd w:id="86"/>
      <w:bookmarkEnd w:id="87"/>
    </w:p>
    <w:p>
      <w:pPr>
        <w:spacing w:line="576" w:lineRule="exact"/>
        <w:ind w:left="315" w:leftChars="150" w:firstLine="640" w:firstLineChars="200"/>
        <w:rPr>
          <w:rFonts w:ascii="仿宋_GB2312" w:hAnsi="仿宋_GB2312" w:eastAsia="仿宋_GB2312" w:cs="仿宋_GB2312"/>
          <w:color w:val="000000"/>
          <w:sz w:val="32"/>
          <w:szCs w:val="32"/>
        </w:rPr>
      </w:pPr>
      <w:bookmarkStart w:id="88" w:name="_Toc15396622"/>
      <w:bookmarkStart w:id="89" w:name="_Toc79163889"/>
      <w:bookmarkStart w:id="90" w:name="_Toc79163639"/>
      <w:r>
        <w:rPr>
          <w:rFonts w:hint="eastAsia" w:ascii="仿宋_GB2312" w:hAnsi="仿宋_GB2312" w:eastAsia="仿宋_GB2312" w:cs="仿宋_GB2312"/>
          <w:color w:val="000000"/>
          <w:sz w:val="32"/>
          <w:szCs w:val="32"/>
        </w:rPr>
        <w:t>四、财政拨款收入支出决算总表</w:t>
      </w:r>
      <w:bookmarkEnd w:id="88"/>
      <w:bookmarkEnd w:id="89"/>
      <w:bookmarkEnd w:id="90"/>
    </w:p>
    <w:p>
      <w:pPr>
        <w:spacing w:line="576" w:lineRule="exact"/>
        <w:ind w:left="315" w:leftChars="150" w:firstLine="640" w:firstLineChars="200"/>
        <w:rPr>
          <w:rFonts w:ascii="仿宋_GB2312" w:hAnsi="仿宋_GB2312" w:eastAsia="仿宋_GB2312" w:cs="仿宋_GB2312"/>
          <w:color w:val="000000"/>
          <w:sz w:val="32"/>
          <w:szCs w:val="32"/>
        </w:rPr>
      </w:pPr>
      <w:bookmarkStart w:id="91" w:name="_Toc15396623"/>
      <w:bookmarkStart w:id="92" w:name="_Toc79163640"/>
      <w:bookmarkStart w:id="93" w:name="_Toc79163890"/>
      <w:r>
        <w:rPr>
          <w:rFonts w:hint="eastAsia" w:ascii="仿宋_GB2312" w:hAnsi="仿宋_GB2312" w:eastAsia="仿宋_GB2312" w:cs="仿宋_GB2312"/>
          <w:color w:val="000000"/>
          <w:sz w:val="32"/>
          <w:szCs w:val="32"/>
        </w:rPr>
        <w:t>五、财政拨款支出决算明细表</w:t>
      </w:r>
      <w:bookmarkEnd w:id="91"/>
      <w:bookmarkEnd w:id="92"/>
      <w:bookmarkEnd w:id="93"/>
      <w:bookmarkStart w:id="94" w:name="_Toc15396624"/>
    </w:p>
    <w:p>
      <w:pPr>
        <w:spacing w:line="576" w:lineRule="exact"/>
        <w:ind w:left="315" w:leftChars="150" w:firstLine="640" w:firstLineChars="200"/>
        <w:rPr>
          <w:rFonts w:ascii="仿宋_GB2312" w:hAnsi="仿宋_GB2312" w:eastAsia="仿宋_GB2312" w:cs="仿宋_GB2312"/>
          <w:color w:val="000000"/>
          <w:sz w:val="32"/>
          <w:szCs w:val="32"/>
        </w:rPr>
      </w:pPr>
      <w:bookmarkStart w:id="95" w:name="_Toc79163641"/>
      <w:bookmarkStart w:id="96" w:name="_Toc79163891"/>
      <w:r>
        <w:rPr>
          <w:rFonts w:hint="eastAsia" w:ascii="仿宋_GB2312" w:hAnsi="仿宋_GB2312" w:eastAsia="仿宋_GB2312" w:cs="仿宋_GB2312"/>
          <w:color w:val="000000"/>
          <w:sz w:val="32"/>
          <w:szCs w:val="32"/>
        </w:rPr>
        <w:t>六、一般公共预算财政拨款支出决算表</w:t>
      </w:r>
      <w:bookmarkEnd w:id="94"/>
      <w:bookmarkEnd w:id="95"/>
      <w:bookmarkEnd w:id="96"/>
    </w:p>
    <w:p>
      <w:pPr>
        <w:spacing w:line="576" w:lineRule="exact"/>
        <w:ind w:left="315" w:leftChars="150" w:firstLine="640" w:firstLineChars="200"/>
        <w:rPr>
          <w:rFonts w:ascii="仿宋_GB2312" w:hAnsi="仿宋_GB2312" w:eastAsia="仿宋_GB2312" w:cs="仿宋_GB2312"/>
          <w:color w:val="000000"/>
          <w:sz w:val="32"/>
          <w:szCs w:val="32"/>
        </w:rPr>
      </w:pPr>
      <w:bookmarkStart w:id="97" w:name="_Toc79163642"/>
      <w:bookmarkStart w:id="98" w:name="_Toc79163892"/>
      <w:bookmarkStart w:id="99" w:name="_Toc15396625"/>
      <w:r>
        <w:rPr>
          <w:rFonts w:hint="eastAsia" w:ascii="仿宋_GB2312" w:hAnsi="仿宋_GB2312" w:eastAsia="仿宋_GB2312" w:cs="仿宋_GB2312"/>
          <w:color w:val="000000"/>
          <w:sz w:val="32"/>
          <w:szCs w:val="32"/>
        </w:rPr>
        <w:t>七、一般公共预算财政拨款支出决算明细表</w:t>
      </w:r>
      <w:bookmarkEnd w:id="97"/>
      <w:bookmarkEnd w:id="98"/>
      <w:bookmarkEnd w:id="99"/>
    </w:p>
    <w:p>
      <w:pPr>
        <w:spacing w:line="576" w:lineRule="exact"/>
        <w:ind w:left="315" w:leftChars="150" w:firstLine="640" w:firstLineChars="200"/>
        <w:rPr>
          <w:rFonts w:ascii="仿宋_GB2312" w:hAnsi="仿宋_GB2312" w:eastAsia="仿宋_GB2312" w:cs="仿宋_GB2312"/>
          <w:color w:val="000000"/>
          <w:sz w:val="32"/>
          <w:szCs w:val="32"/>
        </w:rPr>
      </w:pPr>
      <w:bookmarkStart w:id="100" w:name="_Toc79163643"/>
      <w:bookmarkStart w:id="101" w:name="_Toc15396626"/>
      <w:bookmarkStart w:id="102" w:name="_Toc79163893"/>
      <w:r>
        <w:rPr>
          <w:rFonts w:hint="eastAsia" w:ascii="仿宋_GB2312" w:hAnsi="仿宋_GB2312" w:eastAsia="仿宋_GB2312" w:cs="仿宋_GB2312"/>
          <w:color w:val="000000"/>
          <w:sz w:val="32"/>
          <w:szCs w:val="32"/>
        </w:rPr>
        <w:t>八、一般公共预算财政拨款基本支出决算表</w:t>
      </w:r>
      <w:bookmarkEnd w:id="100"/>
      <w:bookmarkEnd w:id="101"/>
      <w:bookmarkEnd w:id="102"/>
    </w:p>
    <w:p>
      <w:pPr>
        <w:spacing w:line="576" w:lineRule="exact"/>
        <w:ind w:left="315" w:leftChars="150" w:firstLine="640" w:firstLineChars="200"/>
        <w:rPr>
          <w:rFonts w:ascii="仿宋_GB2312" w:hAnsi="仿宋_GB2312" w:eastAsia="仿宋_GB2312" w:cs="仿宋_GB2312"/>
          <w:color w:val="000000"/>
          <w:sz w:val="32"/>
          <w:szCs w:val="32"/>
        </w:rPr>
      </w:pPr>
      <w:bookmarkStart w:id="103" w:name="_Toc79163894"/>
      <w:bookmarkStart w:id="104" w:name="_Toc79163644"/>
      <w:bookmarkStart w:id="105" w:name="_Toc15396627"/>
      <w:r>
        <w:rPr>
          <w:rFonts w:hint="eastAsia" w:ascii="仿宋_GB2312" w:hAnsi="仿宋_GB2312" w:eastAsia="仿宋_GB2312" w:cs="仿宋_GB2312"/>
          <w:color w:val="000000"/>
          <w:sz w:val="32"/>
          <w:szCs w:val="32"/>
        </w:rPr>
        <w:t>九、一般公共预算财政拨款项目支出决算表</w:t>
      </w:r>
      <w:bookmarkEnd w:id="103"/>
      <w:bookmarkEnd w:id="104"/>
      <w:bookmarkEnd w:id="105"/>
    </w:p>
    <w:p>
      <w:pPr>
        <w:spacing w:line="576" w:lineRule="exact"/>
        <w:ind w:left="315" w:leftChars="150" w:firstLine="640" w:firstLineChars="200"/>
        <w:rPr>
          <w:rFonts w:ascii="仿宋_GB2312" w:hAnsi="仿宋_GB2312" w:eastAsia="仿宋_GB2312" w:cs="仿宋_GB2312"/>
          <w:color w:val="000000"/>
          <w:sz w:val="32"/>
          <w:szCs w:val="32"/>
        </w:rPr>
      </w:pPr>
      <w:bookmarkStart w:id="106" w:name="_Toc15396628"/>
      <w:bookmarkStart w:id="107" w:name="_Toc79163645"/>
      <w:bookmarkStart w:id="108" w:name="_Toc79163895"/>
      <w:r>
        <w:rPr>
          <w:rFonts w:hint="eastAsia" w:ascii="仿宋_GB2312" w:hAnsi="仿宋_GB2312" w:eastAsia="仿宋_GB2312" w:cs="仿宋_GB2312"/>
          <w:color w:val="000000"/>
          <w:sz w:val="32"/>
          <w:szCs w:val="32"/>
        </w:rPr>
        <w:t>十、</w:t>
      </w:r>
      <w:bookmarkEnd w:id="106"/>
      <w:bookmarkEnd w:id="107"/>
      <w:bookmarkEnd w:id="108"/>
      <w:bookmarkStart w:id="109" w:name="_Toc15396629"/>
      <w:bookmarkStart w:id="110" w:name="_Toc79163896"/>
      <w:bookmarkStart w:id="111" w:name="_Toc79163646"/>
      <w:r>
        <w:rPr>
          <w:rFonts w:hint="eastAsia" w:ascii="仿宋_GB2312" w:hAnsi="仿宋_GB2312" w:eastAsia="仿宋_GB2312" w:cs="仿宋_GB2312"/>
          <w:color w:val="000000"/>
          <w:sz w:val="32"/>
          <w:szCs w:val="32"/>
        </w:rPr>
        <w:t>政府性基金预算财政拨款收入支出决算表</w:t>
      </w:r>
      <w:bookmarkEnd w:id="109"/>
      <w:bookmarkEnd w:id="110"/>
      <w:bookmarkEnd w:id="111"/>
    </w:p>
    <w:p>
      <w:pPr>
        <w:spacing w:line="576" w:lineRule="exact"/>
        <w:ind w:left="315" w:leftChars="150" w:firstLine="640" w:firstLineChars="200"/>
        <w:rPr>
          <w:rFonts w:ascii="仿宋_GB2312" w:hAnsi="仿宋_GB2312" w:eastAsia="仿宋_GB2312" w:cs="仿宋_GB2312"/>
          <w:color w:val="000000"/>
          <w:sz w:val="32"/>
          <w:szCs w:val="32"/>
        </w:rPr>
      </w:pPr>
      <w:bookmarkStart w:id="112" w:name="_Toc79163647"/>
      <w:bookmarkStart w:id="113" w:name="_Toc79163897"/>
      <w:bookmarkStart w:id="114" w:name="_Toc15396630"/>
      <w:r>
        <w:rPr>
          <w:rFonts w:hint="eastAsia" w:ascii="仿宋_GB2312" w:hAnsi="仿宋_GB2312" w:eastAsia="仿宋_GB2312" w:cs="仿宋_GB2312"/>
          <w:color w:val="000000"/>
          <w:sz w:val="32"/>
          <w:szCs w:val="32"/>
        </w:rPr>
        <w:t>十一、</w:t>
      </w:r>
      <w:bookmarkEnd w:id="112"/>
      <w:bookmarkEnd w:id="113"/>
      <w:bookmarkEnd w:id="114"/>
      <w:bookmarkStart w:id="115" w:name="_Toc79163898"/>
      <w:bookmarkStart w:id="116" w:name="_Toc15396631"/>
      <w:bookmarkStart w:id="117" w:name="_Toc79163648"/>
      <w:r>
        <w:rPr>
          <w:rFonts w:hint="eastAsia" w:ascii="仿宋_GB2312" w:hAnsi="仿宋_GB2312" w:eastAsia="仿宋_GB2312" w:cs="仿宋_GB2312"/>
          <w:color w:val="000000"/>
          <w:sz w:val="32"/>
          <w:szCs w:val="32"/>
        </w:rPr>
        <w:t>国有资本经营预算财政拨款收入支出决算表</w:t>
      </w:r>
      <w:bookmarkEnd w:id="115"/>
      <w:bookmarkEnd w:id="116"/>
      <w:bookmarkEnd w:id="117"/>
    </w:p>
    <w:p>
      <w:pPr>
        <w:spacing w:line="576" w:lineRule="exact"/>
        <w:ind w:left="315" w:leftChars="150" w:firstLine="640" w:firstLineChars="200"/>
        <w:rPr>
          <w:rFonts w:ascii="仿宋_GB2312" w:hAnsi="仿宋_GB2312" w:eastAsia="仿宋_GB2312" w:cs="仿宋_GB2312"/>
          <w:color w:val="000000"/>
          <w:sz w:val="32"/>
          <w:szCs w:val="32"/>
        </w:rPr>
      </w:pPr>
      <w:bookmarkStart w:id="118" w:name="_Toc79163899"/>
      <w:bookmarkStart w:id="119" w:name="_Toc79163649"/>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rPr>
        <w:t>、国有资本经营预算财政拨款支出决算表</w:t>
      </w:r>
      <w:bookmarkEnd w:id="118"/>
      <w:bookmarkEnd w:id="119"/>
    </w:p>
    <w:p>
      <w:pPr>
        <w:spacing w:line="576" w:lineRule="exact"/>
        <w:ind w:left="315" w:leftChars="15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十三、</w:t>
      </w:r>
      <w:r>
        <w:rPr>
          <w:rFonts w:hint="eastAsia" w:ascii="仿宋_GB2312" w:hAnsi="仿宋_GB2312" w:eastAsia="仿宋_GB2312" w:cs="仿宋_GB2312"/>
          <w:color w:val="000000"/>
          <w:sz w:val="32"/>
          <w:szCs w:val="32"/>
        </w:rPr>
        <w:t>财政拨款“三公”经费支出决算表</w:t>
      </w:r>
    </w:p>
    <w:p>
      <w:pPr>
        <w:autoSpaceDE w:val="0"/>
        <w:autoSpaceDN w:val="0"/>
        <w:adjustRightInd w:val="0"/>
        <w:spacing w:line="576" w:lineRule="exact"/>
        <w:ind w:firstLine="640" w:firstLineChars="200"/>
        <w:jc w:val="left"/>
        <w:outlineLvl w:val="2"/>
        <w:rPr>
          <w:rFonts w:ascii="仿宋_GB2312" w:hAnsi="仿宋_GB2312" w:eastAsia="仿宋_GB2312" w:cs="仿宋_GB2312"/>
          <w:color w:val="000000"/>
          <w:sz w:val="32"/>
          <w:szCs w:val="32"/>
        </w:rPr>
      </w:pPr>
    </w:p>
    <w:sectPr>
      <w:footerReference r:id="rId5" w:type="first"/>
      <w:headerReference r:id="rId3" w:type="default"/>
      <w:footerReference r:id="rId4"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w:pict>
        <v:shape id="_x0000_s2054" o:spid="_x0000_s205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1994781956"/>
                </w:sdtPr>
                <w:sdtContent>
                  <w:p>
                    <w:pPr>
                      <w:pStyle w:val="11"/>
                      <w:jc w:val="center"/>
                    </w:pPr>
                    <w:r>
                      <w:fldChar w:fldCharType="begin"/>
                    </w:r>
                    <w:r>
                      <w:instrText xml:space="preserve">PAGE   \* MERGEFORMAT</w:instrText>
                    </w:r>
                    <w:r>
                      <w:fldChar w:fldCharType="separate"/>
                    </w:r>
                    <w:r>
                      <w:rPr>
                        <w:lang w:val="zh-CN"/>
                      </w:rPr>
                      <w:t>11</w:t>
                    </w:r>
                    <w:r>
                      <w:rPr>
                        <w:lang w:val="zh-CN"/>
                      </w:rPr>
                      <w:fldChar w:fldCharType="end"/>
                    </w:r>
                  </w:p>
                </w:sdtContent>
              </w:sdt>
              <w:p/>
            </w:txbxContent>
          </v:textbox>
        </v:shape>
      </w:pic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2055" o:spid="_x0000_s205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193509"/>
    <w:multiLevelType w:val="singleLevel"/>
    <w:tmpl w:val="E2193509"/>
    <w:lvl w:ilvl="0" w:tentative="0">
      <w:start w:val="1"/>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JhYTZiYWMyMjExZGMzMjM0ZWE1MzM4ZDRjOGNhZmQifQ=="/>
  </w:docVars>
  <w:rsids>
    <w:rsidRoot w:val="00F1361C"/>
    <w:rsid w:val="00003925"/>
    <w:rsid w:val="00011DB9"/>
    <w:rsid w:val="000222C6"/>
    <w:rsid w:val="0002549F"/>
    <w:rsid w:val="00031867"/>
    <w:rsid w:val="00037B44"/>
    <w:rsid w:val="000468DB"/>
    <w:rsid w:val="00047587"/>
    <w:rsid w:val="0006487A"/>
    <w:rsid w:val="00065F8F"/>
    <w:rsid w:val="00070A43"/>
    <w:rsid w:val="000768F2"/>
    <w:rsid w:val="0009184B"/>
    <w:rsid w:val="000936C8"/>
    <w:rsid w:val="00094236"/>
    <w:rsid w:val="0009593C"/>
    <w:rsid w:val="00097322"/>
    <w:rsid w:val="000A025A"/>
    <w:rsid w:val="000A07EC"/>
    <w:rsid w:val="000A2D6F"/>
    <w:rsid w:val="000A4660"/>
    <w:rsid w:val="000A6A92"/>
    <w:rsid w:val="000A78B6"/>
    <w:rsid w:val="000B047F"/>
    <w:rsid w:val="000B5923"/>
    <w:rsid w:val="000B5A48"/>
    <w:rsid w:val="000B6FF3"/>
    <w:rsid w:val="000C3467"/>
    <w:rsid w:val="000C3CA6"/>
    <w:rsid w:val="000C3DD9"/>
    <w:rsid w:val="000D1267"/>
    <w:rsid w:val="000D1D50"/>
    <w:rsid w:val="000D3D0A"/>
    <w:rsid w:val="000D5200"/>
    <w:rsid w:val="000D5782"/>
    <w:rsid w:val="000E0717"/>
    <w:rsid w:val="000E6613"/>
    <w:rsid w:val="000E7119"/>
    <w:rsid w:val="000F7D14"/>
    <w:rsid w:val="00114E9B"/>
    <w:rsid w:val="00134DD3"/>
    <w:rsid w:val="00142216"/>
    <w:rsid w:val="0014433D"/>
    <w:rsid w:val="00144D6A"/>
    <w:rsid w:val="0014706F"/>
    <w:rsid w:val="0014729F"/>
    <w:rsid w:val="00151354"/>
    <w:rsid w:val="00157372"/>
    <w:rsid w:val="00157BAB"/>
    <w:rsid w:val="001629C9"/>
    <w:rsid w:val="00164D2A"/>
    <w:rsid w:val="001654D1"/>
    <w:rsid w:val="00174518"/>
    <w:rsid w:val="0018106D"/>
    <w:rsid w:val="001831E2"/>
    <w:rsid w:val="001877A7"/>
    <w:rsid w:val="00191536"/>
    <w:rsid w:val="00193C9E"/>
    <w:rsid w:val="00196687"/>
    <w:rsid w:val="001C0962"/>
    <w:rsid w:val="001C3C4E"/>
    <w:rsid w:val="001D7531"/>
    <w:rsid w:val="001E1DD7"/>
    <w:rsid w:val="001E737D"/>
    <w:rsid w:val="001E7D9E"/>
    <w:rsid w:val="001F0592"/>
    <w:rsid w:val="001F7506"/>
    <w:rsid w:val="001F7820"/>
    <w:rsid w:val="002006CD"/>
    <w:rsid w:val="00202B36"/>
    <w:rsid w:val="00204B7A"/>
    <w:rsid w:val="00204CDE"/>
    <w:rsid w:val="00207071"/>
    <w:rsid w:val="00210BB9"/>
    <w:rsid w:val="0021101A"/>
    <w:rsid w:val="00220536"/>
    <w:rsid w:val="002226CC"/>
    <w:rsid w:val="002233F1"/>
    <w:rsid w:val="002276C3"/>
    <w:rsid w:val="00235629"/>
    <w:rsid w:val="00244DE7"/>
    <w:rsid w:val="002509D6"/>
    <w:rsid w:val="00260C38"/>
    <w:rsid w:val="002616C0"/>
    <w:rsid w:val="00265372"/>
    <w:rsid w:val="002662AA"/>
    <w:rsid w:val="0027084F"/>
    <w:rsid w:val="00280496"/>
    <w:rsid w:val="00294DC9"/>
    <w:rsid w:val="00295495"/>
    <w:rsid w:val="002A31DE"/>
    <w:rsid w:val="002A3307"/>
    <w:rsid w:val="002B2613"/>
    <w:rsid w:val="002B7ED3"/>
    <w:rsid w:val="002C3AAF"/>
    <w:rsid w:val="002D19B0"/>
    <w:rsid w:val="002D6D05"/>
    <w:rsid w:val="002E1CB4"/>
    <w:rsid w:val="002F1818"/>
    <w:rsid w:val="002F567B"/>
    <w:rsid w:val="002F5F2F"/>
    <w:rsid w:val="002F78A2"/>
    <w:rsid w:val="00320D06"/>
    <w:rsid w:val="003216A9"/>
    <w:rsid w:val="0033258B"/>
    <w:rsid w:val="0033450F"/>
    <w:rsid w:val="00335A74"/>
    <w:rsid w:val="003455E3"/>
    <w:rsid w:val="00362EA8"/>
    <w:rsid w:val="0036561B"/>
    <w:rsid w:val="00366617"/>
    <w:rsid w:val="0037013F"/>
    <w:rsid w:val="003703C2"/>
    <w:rsid w:val="00373E9F"/>
    <w:rsid w:val="0038010F"/>
    <w:rsid w:val="00380C92"/>
    <w:rsid w:val="003A31E6"/>
    <w:rsid w:val="003A484F"/>
    <w:rsid w:val="003A4883"/>
    <w:rsid w:val="003B0BE0"/>
    <w:rsid w:val="003B0C1B"/>
    <w:rsid w:val="003B688C"/>
    <w:rsid w:val="003C0291"/>
    <w:rsid w:val="003C39AE"/>
    <w:rsid w:val="003C7B60"/>
    <w:rsid w:val="003D0C0F"/>
    <w:rsid w:val="003D1FB2"/>
    <w:rsid w:val="003D66DA"/>
    <w:rsid w:val="003E0CFB"/>
    <w:rsid w:val="003E1310"/>
    <w:rsid w:val="003E6F55"/>
    <w:rsid w:val="003F627D"/>
    <w:rsid w:val="003F6619"/>
    <w:rsid w:val="00401D55"/>
    <w:rsid w:val="00406254"/>
    <w:rsid w:val="00416CD4"/>
    <w:rsid w:val="00421F55"/>
    <w:rsid w:val="004223DE"/>
    <w:rsid w:val="00434489"/>
    <w:rsid w:val="00437085"/>
    <w:rsid w:val="004406FC"/>
    <w:rsid w:val="00440C35"/>
    <w:rsid w:val="00441C72"/>
    <w:rsid w:val="00443880"/>
    <w:rsid w:val="00443D73"/>
    <w:rsid w:val="004464F4"/>
    <w:rsid w:val="00461AC3"/>
    <w:rsid w:val="004703B5"/>
    <w:rsid w:val="00471401"/>
    <w:rsid w:val="0047399F"/>
    <w:rsid w:val="00473F31"/>
    <w:rsid w:val="0048127E"/>
    <w:rsid w:val="0048263A"/>
    <w:rsid w:val="00487E5D"/>
    <w:rsid w:val="0049273C"/>
    <w:rsid w:val="00497B5A"/>
    <w:rsid w:val="004A711F"/>
    <w:rsid w:val="004B00CE"/>
    <w:rsid w:val="004B199D"/>
    <w:rsid w:val="004B4690"/>
    <w:rsid w:val="004C2615"/>
    <w:rsid w:val="004C3AA4"/>
    <w:rsid w:val="004E0A2D"/>
    <w:rsid w:val="004E206B"/>
    <w:rsid w:val="004E6DF7"/>
    <w:rsid w:val="004F0FBD"/>
    <w:rsid w:val="004F403E"/>
    <w:rsid w:val="004F5C5B"/>
    <w:rsid w:val="00500514"/>
    <w:rsid w:val="00502A87"/>
    <w:rsid w:val="00505A47"/>
    <w:rsid w:val="00512FDA"/>
    <w:rsid w:val="00520DA0"/>
    <w:rsid w:val="005279F4"/>
    <w:rsid w:val="00532C87"/>
    <w:rsid w:val="00555552"/>
    <w:rsid w:val="00556921"/>
    <w:rsid w:val="005664BB"/>
    <w:rsid w:val="00566FFA"/>
    <w:rsid w:val="00567C22"/>
    <w:rsid w:val="0057481D"/>
    <w:rsid w:val="00575F0B"/>
    <w:rsid w:val="00583C57"/>
    <w:rsid w:val="0058486E"/>
    <w:rsid w:val="00585B33"/>
    <w:rsid w:val="0059014D"/>
    <w:rsid w:val="00593C63"/>
    <w:rsid w:val="005B2F51"/>
    <w:rsid w:val="005B5C64"/>
    <w:rsid w:val="005C6857"/>
    <w:rsid w:val="005C6BD0"/>
    <w:rsid w:val="005C6C4C"/>
    <w:rsid w:val="005D1C8B"/>
    <w:rsid w:val="005D468D"/>
    <w:rsid w:val="005D5CED"/>
    <w:rsid w:val="005F1A4C"/>
    <w:rsid w:val="006002DF"/>
    <w:rsid w:val="00605688"/>
    <w:rsid w:val="006070AF"/>
    <w:rsid w:val="00607E6C"/>
    <w:rsid w:val="006101B1"/>
    <w:rsid w:val="006146F8"/>
    <w:rsid w:val="00614E44"/>
    <w:rsid w:val="0062270A"/>
    <w:rsid w:val="00622830"/>
    <w:rsid w:val="00622EBC"/>
    <w:rsid w:val="00623DA0"/>
    <w:rsid w:val="00627DDB"/>
    <w:rsid w:val="00630657"/>
    <w:rsid w:val="00630AEF"/>
    <w:rsid w:val="006325F8"/>
    <w:rsid w:val="00633463"/>
    <w:rsid w:val="00634C9A"/>
    <w:rsid w:val="00635024"/>
    <w:rsid w:val="006440E4"/>
    <w:rsid w:val="006608F7"/>
    <w:rsid w:val="0066343B"/>
    <w:rsid w:val="00664777"/>
    <w:rsid w:val="006748A4"/>
    <w:rsid w:val="00680F63"/>
    <w:rsid w:val="00681064"/>
    <w:rsid w:val="00681A31"/>
    <w:rsid w:val="00683E73"/>
    <w:rsid w:val="0069465C"/>
    <w:rsid w:val="006A3141"/>
    <w:rsid w:val="006A5E34"/>
    <w:rsid w:val="006B2422"/>
    <w:rsid w:val="006B2B9A"/>
    <w:rsid w:val="006B7439"/>
    <w:rsid w:val="006C1639"/>
    <w:rsid w:val="006C1937"/>
    <w:rsid w:val="006C38C5"/>
    <w:rsid w:val="006D7C94"/>
    <w:rsid w:val="006F020C"/>
    <w:rsid w:val="006F3780"/>
    <w:rsid w:val="006F41D9"/>
    <w:rsid w:val="00712156"/>
    <w:rsid w:val="007127B7"/>
    <w:rsid w:val="0071798E"/>
    <w:rsid w:val="007236A6"/>
    <w:rsid w:val="007258E4"/>
    <w:rsid w:val="00726C29"/>
    <w:rsid w:val="00727533"/>
    <w:rsid w:val="007305EB"/>
    <w:rsid w:val="007416B6"/>
    <w:rsid w:val="00746F48"/>
    <w:rsid w:val="00752E95"/>
    <w:rsid w:val="0075404D"/>
    <w:rsid w:val="0076182A"/>
    <w:rsid w:val="0076598F"/>
    <w:rsid w:val="00767B7E"/>
    <w:rsid w:val="00767CC9"/>
    <w:rsid w:val="00772141"/>
    <w:rsid w:val="00773D82"/>
    <w:rsid w:val="00776629"/>
    <w:rsid w:val="007770C3"/>
    <w:rsid w:val="00784D24"/>
    <w:rsid w:val="00785FBA"/>
    <w:rsid w:val="007860C9"/>
    <w:rsid w:val="00786E4A"/>
    <w:rsid w:val="007875EB"/>
    <w:rsid w:val="0079426B"/>
    <w:rsid w:val="007A1DAA"/>
    <w:rsid w:val="007D1682"/>
    <w:rsid w:val="007D312A"/>
    <w:rsid w:val="007D3F19"/>
    <w:rsid w:val="007E23B0"/>
    <w:rsid w:val="007F1991"/>
    <w:rsid w:val="007F2C2F"/>
    <w:rsid w:val="007F55FC"/>
    <w:rsid w:val="007F5665"/>
    <w:rsid w:val="00800112"/>
    <w:rsid w:val="00807E8E"/>
    <w:rsid w:val="00813348"/>
    <w:rsid w:val="0082071C"/>
    <w:rsid w:val="008253BB"/>
    <w:rsid w:val="00833962"/>
    <w:rsid w:val="0083706E"/>
    <w:rsid w:val="008408F6"/>
    <w:rsid w:val="008423A5"/>
    <w:rsid w:val="00847A34"/>
    <w:rsid w:val="00850625"/>
    <w:rsid w:val="00853718"/>
    <w:rsid w:val="00855221"/>
    <w:rsid w:val="00860645"/>
    <w:rsid w:val="00871F71"/>
    <w:rsid w:val="00872FD8"/>
    <w:rsid w:val="00877689"/>
    <w:rsid w:val="00885AF4"/>
    <w:rsid w:val="008939CD"/>
    <w:rsid w:val="008A2BE1"/>
    <w:rsid w:val="008A4B53"/>
    <w:rsid w:val="008B1A58"/>
    <w:rsid w:val="008B494E"/>
    <w:rsid w:val="008B768C"/>
    <w:rsid w:val="008B7F51"/>
    <w:rsid w:val="008C08EC"/>
    <w:rsid w:val="008C4DB1"/>
    <w:rsid w:val="008C4EAF"/>
    <w:rsid w:val="008C5176"/>
    <w:rsid w:val="008C7FD0"/>
    <w:rsid w:val="008E1DE7"/>
    <w:rsid w:val="008E5932"/>
    <w:rsid w:val="008E707C"/>
    <w:rsid w:val="008F141D"/>
    <w:rsid w:val="00900B08"/>
    <w:rsid w:val="00902155"/>
    <w:rsid w:val="00902FA3"/>
    <w:rsid w:val="00914370"/>
    <w:rsid w:val="00914A73"/>
    <w:rsid w:val="00915AE4"/>
    <w:rsid w:val="00923564"/>
    <w:rsid w:val="0092392E"/>
    <w:rsid w:val="009315F9"/>
    <w:rsid w:val="00933499"/>
    <w:rsid w:val="00935C98"/>
    <w:rsid w:val="00946945"/>
    <w:rsid w:val="00951248"/>
    <w:rsid w:val="0095152F"/>
    <w:rsid w:val="00954C49"/>
    <w:rsid w:val="00955E37"/>
    <w:rsid w:val="00961A48"/>
    <w:rsid w:val="00963AFE"/>
    <w:rsid w:val="0097099F"/>
    <w:rsid w:val="00971997"/>
    <w:rsid w:val="00971FFC"/>
    <w:rsid w:val="00972A48"/>
    <w:rsid w:val="00973CC9"/>
    <w:rsid w:val="0098660A"/>
    <w:rsid w:val="00986880"/>
    <w:rsid w:val="00992DCF"/>
    <w:rsid w:val="009931C3"/>
    <w:rsid w:val="00996CA5"/>
    <w:rsid w:val="009970FA"/>
    <w:rsid w:val="009A0993"/>
    <w:rsid w:val="009A4F00"/>
    <w:rsid w:val="009B2C43"/>
    <w:rsid w:val="009B3128"/>
    <w:rsid w:val="009B4EAE"/>
    <w:rsid w:val="009B7573"/>
    <w:rsid w:val="009C22F4"/>
    <w:rsid w:val="009C2E98"/>
    <w:rsid w:val="009C37FB"/>
    <w:rsid w:val="009D3447"/>
    <w:rsid w:val="009D4711"/>
    <w:rsid w:val="009F1185"/>
    <w:rsid w:val="009F18CD"/>
    <w:rsid w:val="009F2A13"/>
    <w:rsid w:val="009F6792"/>
    <w:rsid w:val="009F7527"/>
    <w:rsid w:val="00A01711"/>
    <w:rsid w:val="00A039ED"/>
    <w:rsid w:val="00A04EB0"/>
    <w:rsid w:val="00A13CC1"/>
    <w:rsid w:val="00A16847"/>
    <w:rsid w:val="00A16C42"/>
    <w:rsid w:val="00A237D8"/>
    <w:rsid w:val="00A268C4"/>
    <w:rsid w:val="00A307CD"/>
    <w:rsid w:val="00A331C8"/>
    <w:rsid w:val="00A35117"/>
    <w:rsid w:val="00A40A00"/>
    <w:rsid w:val="00A4142F"/>
    <w:rsid w:val="00A422EB"/>
    <w:rsid w:val="00A45BB7"/>
    <w:rsid w:val="00A5577C"/>
    <w:rsid w:val="00A56DF2"/>
    <w:rsid w:val="00A56E6E"/>
    <w:rsid w:val="00A576C4"/>
    <w:rsid w:val="00A67AB5"/>
    <w:rsid w:val="00A733B2"/>
    <w:rsid w:val="00A741C2"/>
    <w:rsid w:val="00A778F6"/>
    <w:rsid w:val="00A86F98"/>
    <w:rsid w:val="00A91760"/>
    <w:rsid w:val="00A93B00"/>
    <w:rsid w:val="00A93C21"/>
    <w:rsid w:val="00AA347C"/>
    <w:rsid w:val="00AB4AAA"/>
    <w:rsid w:val="00AB64C9"/>
    <w:rsid w:val="00AC3C6A"/>
    <w:rsid w:val="00AC7903"/>
    <w:rsid w:val="00AD0F83"/>
    <w:rsid w:val="00AD5620"/>
    <w:rsid w:val="00AD656B"/>
    <w:rsid w:val="00AD7C1B"/>
    <w:rsid w:val="00AE16BA"/>
    <w:rsid w:val="00AE1EBE"/>
    <w:rsid w:val="00AF37A0"/>
    <w:rsid w:val="00B03C9D"/>
    <w:rsid w:val="00B04C7B"/>
    <w:rsid w:val="00B060AE"/>
    <w:rsid w:val="00B10517"/>
    <w:rsid w:val="00B10F2B"/>
    <w:rsid w:val="00B14E76"/>
    <w:rsid w:val="00B161B8"/>
    <w:rsid w:val="00B2048C"/>
    <w:rsid w:val="00B20A7D"/>
    <w:rsid w:val="00B20D4C"/>
    <w:rsid w:val="00B310B9"/>
    <w:rsid w:val="00B35F3F"/>
    <w:rsid w:val="00B36CBB"/>
    <w:rsid w:val="00B425E0"/>
    <w:rsid w:val="00B440AA"/>
    <w:rsid w:val="00B44B70"/>
    <w:rsid w:val="00B45D91"/>
    <w:rsid w:val="00B53C56"/>
    <w:rsid w:val="00B57DAF"/>
    <w:rsid w:val="00B66F66"/>
    <w:rsid w:val="00B73F29"/>
    <w:rsid w:val="00B77EA6"/>
    <w:rsid w:val="00B81345"/>
    <w:rsid w:val="00B81598"/>
    <w:rsid w:val="00B841F1"/>
    <w:rsid w:val="00B928EE"/>
    <w:rsid w:val="00B931C7"/>
    <w:rsid w:val="00B944D6"/>
    <w:rsid w:val="00B951BD"/>
    <w:rsid w:val="00BA2A5A"/>
    <w:rsid w:val="00BB4DF0"/>
    <w:rsid w:val="00BB5ABF"/>
    <w:rsid w:val="00BC289F"/>
    <w:rsid w:val="00BC2D50"/>
    <w:rsid w:val="00BC5361"/>
    <w:rsid w:val="00BC5460"/>
    <w:rsid w:val="00BC6B50"/>
    <w:rsid w:val="00BD0E25"/>
    <w:rsid w:val="00BE0091"/>
    <w:rsid w:val="00BE4B75"/>
    <w:rsid w:val="00BF5BD6"/>
    <w:rsid w:val="00BF7AA1"/>
    <w:rsid w:val="00C03E31"/>
    <w:rsid w:val="00C251D8"/>
    <w:rsid w:val="00C26F8C"/>
    <w:rsid w:val="00C277F8"/>
    <w:rsid w:val="00C30E69"/>
    <w:rsid w:val="00C33E72"/>
    <w:rsid w:val="00C354B2"/>
    <w:rsid w:val="00C35554"/>
    <w:rsid w:val="00C42709"/>
    <w:rsid w:val="00C43ABB"/>
    <w:rsid w:val="00C533CC"/>
    <w:rsid w:val="00C5751C"/>
    <w:rsid w:val="00C603DA"/>
    <w:rsid w:val="00C61BFC"/>
    <w:rsid w:val="00C62B85"/>
    <w:rsid w:val="00C65438"/>
    <w:rsid w:val="00C67F3F"/>
    <w:rsid w:val="00C7013E"/>
    <w:rsid w:val="00C818C4"/>
    <w:rsid w:val="00C860DE"/>
    <w:rsid w:val="00C91CBB"/>
    <w:rsid w:val="00C922B5"/>
    <w:rsid w:val="00CA7FFB"/>
    <w:rsid w:val="00CB1032"/>
    <w:rsid w:val="00CB4E70"/>
    <w:rsid w:val="00CC09B6"/>
    <w:rsid w:val="00CC3A69"/>
    <w:rsid w:val="00CC3DB4"/>
    <w:rsid w:val="00CC666F"/>
    <w:rsid w:val="00CD1E3F"/>
    <w:rsid w:val="00CE44F6"/>
    <w:rsid w:val="00CE49DA"/>
    <w:rsid w:val="00CE68D7"/>
    <w:rsid w:val="00CE7B61"/>
    <w:rsid w:val="00CF63C2"/>
    <w:rsid w:val="00D00095"/>
    <w:rsid w:val="00D01322"/>
    <w:rsid w:val="00D114F0"/>
    <w:rsid w:val="00D178E7"/>
    <w:rsid w:val="00D179F5"/>
    <w:rsid w:val="00D20620"/>
    <w:rsid w:val="00D2207C"/>
    <w:rsid w:val="00D254F7"/>
    <w:rsid w:val="00D26091"/>
    <w:rsid w:val="00D2685C"/>
    <w:rsid w:val="00D26B1B"/>
    <w:rsid w:val="00D31325"/>
    <w:rsid w:val="00D335A0"/>
    <w:rsid w:val="00D34E7C"/>
    <w:rsid w:val="00D35489"/>
    <w:rsid w:val="00D36AFE"/>
    <w:rsid w:val="00D44B74"/>
    <w:rsid w:val="00D45274"/>
    <w:rsid w:val="00D51276"/>
    <w:rsid w:val="00D52F41"/>
    <w:rsid w:val="00D64C67"/>
    <w:rsid w:val="00D7035F"/>
    <w:rsid w:val="00D77631"/>
    <w:rsid w:val="00D83742"/>
    <w:rsid w:val="00D90266"/>
    <w:rsid w:val="00D92DA7"/>
    <w:rsid w:val="00DA634F"/>
    <w:rsid w:val="00DA65AC"/>
    <w:rsid w:val="00DB1913"/>
    <w:rsid w:val="00DC410D"/>
    <w:rsid w:val="00DC5A81"/>
    <w:rsid w:val="00DC68CA"/>
    <w:rsid w:val="00DC7CBA"/>
    <w:rsid w:val="00DD49C2"/>
    <w:rsid w:val="00DD73B7"/>
    <w:rsid w:val="00DF28BC"/>
    <w:rsid w:val="00DF2E69"/>
    <w:rsid w:val="00DF3322"/>
    <w:rsid w:val="00DF34B9"/>
    <w:rsid w:val="00DF7548"/>
    <w:rsid w:val="00DF769A"/>
    <w:rsid w:val="00E004E3"/>
    <w:rsid w:val="00E01053"/>
    <w:rsid w:val="00E07ACF"/>
    <w:rsid w:val="00E11AD1"/>
    <w:rsid w:val="00E16FE8"/>
    <w:rsid w:val="00E331A1"/>
    <w:rsid w:val="00E33202"/>
    <w:rsid w:val="00E336A9"/>
    <w:rsid w:val="00E3642A"/>
    <w:rsid w:val="00E46A67"/>
    <w:rsid w:val="00E472B1"/>
    <w:rsid w:val="00E50624"/>
    <w:rsid w:val="00E566AD"/>
    <w:rsid w:val="00E568DF"/>
    <w:rsid w:val="00E64269"/>
    <w:rsid w:val="00E66797"/>
    <w:rsid w:val="00E82267"/>
    <w:rsid w:val="00E853CE"/>
    <w:rsid w:val="00E867B6"/>
    <w:rsid w:val="00E87F08"/>
    <w:rsid w:val="00E90A5E"/>
    <w:rsid w:val="00E95D55"/>
    <w:rsid w:val="00E96E57"/>
    <w:rsid w:val="00EA010F"/>
    <w:rsid w:val="00ED1B63"/>
    <w:rsid w:val="00ED1FDC"/>
    <w:rsid w:val="00ED3C1F"/>
    <w:rsid w:val="00ED4085"/>
    <w:rsid w:val="00ED420E"/>
    <w:rsid w:val="00ED6FBE"/>
    <w:rsid w:val="00EE2F57"/>
    <w:rsid w:val="00EF4C34"/>
    <w:rsid w:val="00EF77C6"/>
    <w:rsid w:val="00F05438"/>
    <w:rsid w:val="00F12862"/>
    <w:rsid w:val="00F1299D"/>
    <w:rsid w:val="00F1361C"/>
    <w:rsid w:val="00F156F0"/>
    <w:rsid w:val="00F160C7"/>
    <w:rsid w:val="00F20FEF"/>
    <w:rsid w:val="00F2408F"/>
    <w:rsid w:val="00F240E9"/>
    <w:rsid w:val="00F24291"/>
    <w:rsid w:val="00F25A72"/>
    <w:rsid w:val="00F2671F"/>
    <w:rsid w:val="00F329E1"/>
    <w:rsid w:val="00F36D8F"/>
    <w:rsid w:val="00F407C2"/>
    <w:rsid w:val="00F417B1"/>
    <w:rsid w:val="00F45853"/>
    <w:rsid w:val="00F520D4"/>
    <w:rsid w:val="00F520FE"/>
    <w:rsid w:val="00F602DF"/>
    <w:rsid w:val="00F619A6"/>
    <w:rsid w:val="00F754A1"/>
    <w:rsid w:val="00F81FD9"/>
    <w:rsid w:val="00F841AA"/>
    <w:rsid w:val="00F84A94"/>
    <w:rsid w:val="00F87E96"/>
    <w:rsid w:val="00FA23E8"/>
    <w:rsid w:val="00FD1395"/>
    <w:rsid w:val="00FD3CC1"/>
    <w:rsid w:val="00FD4FED"/>
    <w:rsid w:val="00FF1E02"/>
    <w:rsid w:val="00FF30B4"/>
    <w:rsid w:val="02AC2E4C"/>
    <w:rsid w:val="02E1246A"/>
    <w:rsid w:val="03A252BE"/>
    <w:rsid w:val="03B94246"/>
    <w:rsid w:val="05A27C1F"/>
    <w:rsid w:val="06A72A7B"/>
    <w:rsid w:val="07FA7D60"/>
    <w:rsid w:val="08173F7F"/>
    <w:rsid w:val="09434CDD"/>
    <w:rsid w:val="098B19C3"/>
    <w:rsid w:val="09B72FD5"/>
    <w:rsid w:val="0AFE3E0A"/>
    <w:rsid w:val="0B545889"/>
    <w:rsid w:val="0F07236C"/>
    <w:rsid w:val="0F612708"/>
    <w:rsid w:val="0FE23CAA"/>
    <w:rsid w:val="10C055FF"/>
    <w:rsid w:val="120B2110"/>
    <w:rsid w:val="13235D7A"/>
    <w:rsid w:val="153D6ED0"/>
    <w:rsid w:val="163232ED"/>
    <w:rsid w:val="16BB723D"/>
    <w:rsid w:val="17720E9F"/>
    <w:rsid w:val="179F6E32"/>
    <w:rsid w:val="181A2B1F"/>
    <w:rsid w:val="1A631D43"/>
    <w:rsid w:val="1A7C004F"/>
    <w:rsid w:val="1AAE7F59"/>
    <w:rsid w:val="1B3A2665"/>
    <w:rsid w:val="1BB27180"/>
    <w:rsid w:val="1E2F1712"/>
    <w:rsid w:val="20121F25"/>
    <w:rsid w:val="20502F9F"/>
    <w:rsid w:val="20B41BC5"/>
    <w:rsid w:val="20BE0FB0"/>
    <w:rsid w:val="220A7FB3"/>
    <w:rsid w:val="23963804"/>
    <w:rsid w:val="240371BF"/>
    <w:rsid w:val="24FF3D57"/>
    <w:rsid w:val="27266A89"/>
    <w:rsid w:val="281B00E1"/>
    <w:rsid w:val="28505F41"/>
    <w:rsid w:val="291931BB"/>
    <w:rsid w:val="29A307A6"/>
    <w:rsid w:val="29FD04D3"/>
    <w:rsid w:val="2A0B40E6"/>
    <w:rsid w:val="2B7B7EAF"/>
    <w:rsid w:val="2BF61FAE"/>
    <w:rsid w:val="2C7D570A"/>
    <w:rsid w:val="2DBE5A85"/>
    <w:rsid w:val="2E963C56"/>
    <w:rsid w:val="319F7F4E"/>
    <w:rsid w:val="31D574D0"/>
    <w:rsid w:val="31F14A27"/>
    <w:rsid w:val="3271411A"/>
    <w:rsid w:val="34983A37"/>
    <w:rsid w:val="3538617E"/>
    <w:rsid w:val="35815880"/>
    <w:rsid w:val="3596247A"/>
    <w:rsid w:val="362401FB"/>
    <w:rsid w:val="381C67A1"/>
    <w:rsid w:val="3A691675"/>
    <w:rsid w:val="3BFD046C"/>
    <w:rsid w:val="3CCA5407"/>
    <w:rsid w:val="3EE02B71"/>
    <w:rsid w:val="3F7E260A"/>
    <w:rsid w:val="40EB31AF"/>
    <w:rsid w:val="42236F20"/>
    <w:rsid w:val="44897961"/>
    <w:rsid w:val="44FA7C3F"/>
    <w:rsid w:val="45B002FD"/>
    <w:rsid w:val="4630706B"/>
    <w:rsid w:val="471F06CF"/>
    <w:rsid w:val="47DC362C"/>
    <w:rsid w:val="4C07336D"/>
    <w:rsid w:val="4D695962"/>
    <w:rsid w:val="4DC66D20"/>
    <w:rsid w:val="4ECE2238"/>
    <w:rsid w:val="4F0654EA"/>
    <w:rsid w:val="4F8C1E10"/>
    <w:rsid w:val="510E0613"/>
    <w:rsid w:val="511107EA"/>
    <w:rsid w:val="522E28C0"/>
    <w:rsid w:val="5323717F"/>
    <w:rsid w:val="54AE06D4"/>
    <w:rsid w:val="561548D9"/>
    <w:rsid w:val="5AA05F2C"/>
    <w:rsid w:val="5BB07FF9"/>
    <w:rsid w:val="5CD050A1"/>
    <w:rsid w:val="5DD87487"/>
    <w:rsid w:val="608D6928"/>
    <w:rsid w:val="617955FF"/>
    <w:rsid w:val="62470222"/>
    <w:rsid w:val="62894684"/>
    <w:rsid w:val="62E33751"/>
    <w:rsid w:val="62E4550E"/>
    <w:rsid w:val="637D586B"/>
    <w:rsid w:val="673A5239"/>
    <w:rsid w:val="677C5CC9"/>
    <w:rsid w:val="67AB6CE7"/>
    <w:rsid w:val="695D5F23"/>
    <w:rsid w:val="69B0699A"/>
    <w:rsid w:val="6A2D5F76"/>
    <w:rsid w:val="6A3A2708"/>
    <w:rsid w:val="6A674B7F"/>
    <w:rsid w:val="6CCE6662"/>
    <w:rsid w:val="6FB5551C"/>
    <w:rsid w:val="6FF14BA2"/>
    <w:rsid w:val="712437CA"/>
    <w:rsid w:val="71F87B8C"/>
    <w:rsid w:val="72614840"/>
    <w:rsid w:val="72734D90"/>
    <w:rsid w:val="74082F2F"/>
    <w:rsid w:val="74251D33"/>
    <w:rsid w:val="759E3B4B"/>
    <w:rsid w:val="77F71C38"/>
    <w:rsid w:val="78865D58"/>
    <w:rsid w:val="7AC5601E"/>
    <w:rsid w:val="7B3A7F1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cs="Times New Roman"/>
      <w:kern w:val="2"/>
      <w:sz w:val="21"/>
      <w:szCs w:val="22"/>
    </w:rPr>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qFormat/>
    <w:uiPriority w:val="0"/>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Emphasis"/>
    <w:basedOn w:val="16"/>
    <w:qFormat/>
    <w:uiPriority w:val="20"/>
    <w:rPr>
      <w:i/>
      <w:iCs/>
    </w:rPr>
  </w:style>
  <w:style w:type="character" w:styleId="19">
    <w:name w:val="Hyperlink"/>
    <w:basedOn w:val="16"/>
    <w:unhideWhenUsed/>
    <w:qFormat/>
    <w:uiPriority w:val="99"/>
    <w:rPr>
      <w:color w:val="0000FF" w:themeColor="hyperlink"/>
      <w:u w:val="single"/>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5"/>
    <w:qFormat/>
    <w:uiPriority w:val="9"/>
    <w:rPr>
      <w:rFonts w:ascii="Times New Roman" w:hAnsi="Times New Roman"/>
      <w:b/>
      <w:bCs/>
      <w:kern w:val="44"/>
      <w:sz w:val="44"/>
      <w:szCs w:val="44"/>
    </w:rPr>
  </w:style>
  <w:style w:type="character" w:customStyle="1" w:styleId="29">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7"/>
    <w:qFormat/>
    <w:uiPriority w:val="9"/>
    <w:rPr>
      <w:rFonts w:ascii="Times New Roman" w:hAnsi="Times New Roman"/>
      <w:b/>
      <w:bCs/>
      <w:kern w:val="2"/>
      <w:sz w:val="32"/>
      <w:szCs w:val="32"/>
    </w:rPr>
  </w:style>
  <w:style w:type="paragraph" w:customStyle="1" w:styleId="33">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styleId="34">
    <w:name w:val="No Spacing"/>
    <w:link w:val="35"/>
    <w:qFormat/>
    <w:uiPriority w:val="99"/>
    <w:pPr>
      <w:widowControl w:val="0"/>
      <w:jc w:val="both"/>
    </w:pPr>
    <w:rPr>
      <w:rFonts w:ascii="Calibri" w:hAnsi="Calibri" w:eastAsia="宋体" w:cs="Times New Roman"/>
      <w:kern w:val="2"/>
      <w:sz w:val="21"/>
      <w:szCs w:val="22"/>
      <w:lang w:val="en-US" w:eastAsia="zh-CN" w:bidi="ar-SA"/>
    </w:rPr>
  </w:style>
  <w:style w:type="character" w:customStyle="1" w:styleId="35">
    <w:name w:val="无间隔 Char"/>
    <w:basedOn w:val="16"/>
    <w:link w:val="34"/>
    <w:qFormat/>
    <w:locked/>
    <w:uiPriority w:val="99"/>
    <w:rPr>
      <w:kern w:val="2"/>
      <w:sz w:val="21"/>
      <w:szCs w:val="22"/>
    </w:rPr>
  </w:style>
  <w:style w:type="character" w:customStyle="1" w:styleId="36">
    <w:name w:val="apple-converted-space"/>
    <w:basedOn w:val="16"/>
    <w:qFormat/>
    <w:uiPriority w:val="99"/>
    <w:rPr>
      <w:rFonts w:cs="Times New Roman"/>
    </w:rPr>
  </w:style>
  <w:style w:type="paragraph" w:customStyle="1" w:styleId="37">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38">
    <w:name w:val="标题 1 Char1"/>
    <w:basedOn w:val="16"/>
    <w:qFormat/>
    <w:uiPriority w:val="9"/>
    <w:rPr>
      <w:rFonts w:ascii="Times New Roman" w:hAnsi="Times New Roman"/>
      <w:b/>
      <w:bCs/>
      <w:kern w:val="44"/>
      <w:sz w:val="44"/>
      <w:szCs w:val="44"/>
    </w:rPr>
  </w:style>
  <w:style w:type="paragraph" w:customStyle="1" w:styleId="39">
    <w:name w:val="列表段落1"/>
    <w:basedOn w:val="1"/>
    <w:qFormat/>
    <w:uiPriority w:val="34"/>
    <w:pPr>
      <w:ind w:firstLine="420" w:firstLineChars="200"/>
    </w:pPr>
  </w:style>
  <w:style w:type="paragraph" w:customStyle="1" w:styleId="40">
    <w:name w:val="四号正文"/>
    <w:basedOn w:val="1"/>
    <w:qFormat/>
    <w:uiPriority w:val="0"/>
    <w:pPr>
      <w:spacing w:line="360" w:lineRule="auto"/>
    </w:pPr>
    <w:rPr>
      <w:rFonts w:ascii="??" w:hAnsi="??"/>
      <w:color w:val="000000"/>
      <w:kern w:val="0"/>
      <w:sz w:val="28"/>
      <w:szCs w:val="21"/>
      <w:lang w:val="zh-CN"/>
    </w:rPr>
  </w:style>
  <w:style w:type="paragraph" w:customStyle="1" w:styleId="41">
    <w:name w:val="WPSOffice手动目录 3"/>
    <w:qFormat/>
    <w:uiPriority w:val="0"/>
    <w:pPr>
      <w:ind w:leftChars="400"/>
    </w:pPr>
    <w:rPr>
      <w:rFonts w:ascii="Times New Roman" w:hAnsi="Times New Roman" w:eastAsia="宋体" w:cs="Times New Roman"/>
      <w:sz w:val="20"/>
      <w:szCs w:val="20"/>
    </w:rPr>
  </w:style>
  <w:style w:type="paragraph" w:customStyle="1" w:styleId="42">
    <w:name w:val="WPSOffice手动目录 2"/>
    <w:qFormat/>
    <w:uiPriority w:val="0"/>
    <w:pPr>
      <w:ind w:leftChars="200"/>
    </w:pPr>
    <w:rPr>
      <w:rFonts w:ascii="Times New Roman" w:hAnsi="Times New Roman" w:eastAsia="宋体" w:cs="Times New Roman"/>
      <w:sz w:val="20"/>
      <w:szCs w:val="20"/>
    </w:rPr>
  </w:style>
  <w:style w:type="paragraph" w:customStyle="1" w:styleId="4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收支决算总计变动情况图</a:t>
            </a:r>
            <a:endParaRPr lang="zh-CN" altLang="en-US"/>
          </a:p>
        </c:rich>
      </c:tx>
      <c:layout>
        <c:manualLayout>
          <c:xMode val="edge"/>
          <c:yMode val="edge"/>
          <c:x val="0.241427788658611"/>
          <c:y val="0.0330237358101137"/>
        </c:manualLayout>
      </c:layout>
      <c:overlay val="0"/>
    </c:title>
    <c:autoTitleDeleted val="0"/>
    <c:plotArea>
      <c:layout>
        <c:manualLayout>
          <c:layoutTarget val="inner"/>
          <c:xMode val="edge"/>
          <c:yMode val="edge"/>
          <c:x val="0.0769356344423438"/>
          <c:y val="0.212981143314532"/>
          <c:w val="0.763500149073545"/>
          <c:h val="0.680324640271032"/>
        </c:manualLayout>
      </c:layout>
      <c:barChart>
        <c:barDir val="col"/>
        <c:grouping val="clustered"/>
        <c:varyColors val="0"/>
        <c:ser>
          <c:idx val="0"/>
          <c:order val="0"/>
          <c:tx>
            <c:strRef>
              <c:f>Sheet1!$B$1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c:f>
              <c:numCache>
                <c:formatCode>General</c:formatCode>
                <c:ptCount val="1"/>
              </c:numCache>
            </c:numRef>
          </c:cat>
          <c:val>
            <c:numRef>
              <c:f>Sheet1!$B$2</c:f>
              <c:numCache>
                <c:formatCode>General</c:formatCode>
                <c:ptCount val="1"/>
                <c:pt idx="0">
                  <c:v>342.66</c:v>
                </c:pt>
              </c:numCache>
            </c:numRef>
          </c:val>
        </c:ser>
        <c:ser>
          <c:idx val="1"/>
          <c:order val="1"/>
          <c:tx>
            <c:strRef>
              <c:f>Sheet1!$C$1</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c:f>
              <c:numCache>
                <c:formatCode>General</c:formatCode>
                <c:ptCount val="1"/>
              </c:numCache>
            </c:numRef>
          </c:cat>
          <c:val>
            <c:numRef>
              <c:f>Sheet1!$C$2</c:f>
              <c:numCache>
                <c:formatCode>General</c:formatCode>
                <c:ptCount val="1"/>
                <c:pt idx="0">
                  <c:v>319.61</c:v>
                </c:pt>
              </c:numCache>
            </c:numRef>
          </c:val>
        </c:ser>
        <c:dLbls>
          <c:showLegendKey val="0"/>
          <c:showVal val="1"/>
          <c:showCatName val="0"/>
          <c:showSerName val="0"/>
          <c:showPercent val="0"/>
          <c:showBubbleSize val="0"/>
        </c:dLbls>
        <c:gapWidth val="150"/>
        <c:axId val="243807744"/>
        <c:axId val="277832064"/>
      </c:barChart>
      <c:catAx>
        <c:axId val="243807744"/>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77832064"/>
        <c:crosses val="autoZero"/>
        <c:auto val="1"/>
        <c:lblAlgn val="ctr"/>
        <c:lblOffset val="100"/>
        <c:noMultiLvlLbl val="0"/>
      </c:catAx>
      <c:valAx>
        <c:axId val="277832064"/>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38077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r>
              <a:rPr lang="en-US" altLang="zh-CN" sz="1200"/>
              <a:t>2023</a:t>
            </a:r>
            <a:r>
              <a:rPr lang="zh-CN" altLang="en-US" sz="1200"/>
              <a:t>年收入决算结构图</a:t>
            </a:r>
            <a:endParaRPr lang="zh-CN" altLang="en-US" sz="1200"/>
          </a:p>
        </c:rich>
      </c:tx>
      <c:layout/>
      <c:overlay val="0"/>
    </c:title>
    <c:autoTitleDeleted val="0"/>
    <c:plotArea>
      <c:layout>
        <c:manualLayout>
          <c:layoutTarget val="inner"/>
          <c:xMode val="edge"/>
          <c:yMode val="edge"/>
          <c:x val="0.215995924342382"/>
          <c:y val="0.217391304347828"/>
          <c:w val="0.296150696150698"/>
          <c:h val="0.655072463768122"/>
        </c:manualLayout>
      </c:layout>
      <c:pieChart>
        <c:varyColors val="1"/>
        <c:ser>
          <c:idx val="0"/>
          <c:order val="0"/>
          <c:tx>
            <c:strRef>
              <c:f>Sheet1!$B$1</c:f>
              <c:strCache>
                <c:ptCount val="1"/>
                <c:pt idx="0">
                  <c:v>2022年部门决算收入结构图</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dLbl>
              <c:idx val="0"/>
              <c:layout>
                <c:manualLayout>
                  <c:x val="0.00527981755089603"/>
                  <c:y val="-0.34695619569293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altLang="en-US" sz="1600"/>
                      <a:t>1</a:t>
                    </a:r>
                    <a:r>
                      <a:rPr altLang="en-US"/>
                      <a:t>00</a:t>
                    </a:r>
                    <a:r>
                      <a:rPr lang="en-US" altLang="zh-CN"/>
                      <a:t>%</a:t>
                    </a:r>
                    <a:endParaRPr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delete val="1"/>
            </c:dLbl>
            <c:dLbl>
              <c:idx val="2"/>
              <c:delete val="1"/>
            </c:dLbl>
            <c:dLbl>
              <c:idx val="3"/>
              <c:delete val="1"/>
            </c:dLbl>
            <c:dLbl>
              <c:idx val="4"/>
              <c:delete val="1"/>
            </c:dLbl>
            <c:dLbl>
              <c:idx val="5"/>
              <c:delete val="1"/>
            </c:dLbl>
            <c:dLbl>
              <c:idx val="6"/>
              <c:delete val="1"/>
            </c:dLbl>
            <c:dLbl>
              <c:idx val="7"/>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Sheet1!$A$2:$A$9</c:f>
              <c:strCache>
                <c:ptCount val="8"/>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pt idx="7">
                  <c:v>国有资本经营预算财政拨款收入</c:v>
                </c:pt>
              </c:strCache>
            </c:strRef>
          </c:cat>
          <c:val>
            <c:numRef>
              <c:f>Sheet1!$B$2:$B$9</c:f>
              <c:numCache>
                <c:formatCode>General</c:formatCode>
                <c:ptCount val="8"/>
                <c:pt idx="0">
                  <c:v>100</c:v>
                </c:pt>
                <c:pt idx="6">
                  <c:v>0</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640000000000005"/>
          <c:y val="0.192746260074382"/>
          <c:w val="0.342222222222222"/>
          <c:h val="0.738888734314581"/>
        </c:manualLayout>
      </c:layout>
      <c:overlay val="0"/>
      <c:txPr>
        <a:bodyPr rot="0" spcFirstLastPara="0" vertOverflow="ellipsis" vert="horz" wrap="square" anchor="ctr" anchorCtr="1"/>
        <a:lstStyle/>
        <a:p>
          <a:pPr>
            <a:defRPr lang="zh-CN" sz="8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2023</a:t>
            </a:r>
            <a:r>
              <a:rPr lang="zh-CN" altLang="en-US"/>
              <a:t>年支出决算结构图</a:t>
            </a:r>
            <a:endParaRPr lang="zh-CN" altLang="en-US"/>
          </a:p>
        </c:rich>
      </c:tx>
      <c:layout/>
      <c:overlay val="0"/>
    </c:title>
    <c:autoTitleDeleted val="0"/>
    <c:plotArea>
      <c:layout/>
      <c:pieChart>
        <c:varyColors val="1"/>
        <c:ser>
          <c:idx val="0"/>
          <c:order val="0"/>
          <c:tx>
            <c:strRef>
              <c:f>Sheet1!$B$1</c:f>
              <c:strCache>
                <c:ptCount val="1"/>
                <c:pt idx="0">
                  <c:v>支出决算结构图</c:v>
                </c:pt>
              </c:strCache>
            </c:strRef>
          </c:tx>
          <c:explosion val="0"/>
          <c:dPt>
            <c:idx val="0"/>
            <c:bubble3D val="0"/>
          </c:dPt>
          <c:dPt>
            <c:idx val="1"/>
            <c:bubble3D val="0"/>
          </c:dPt>
          <c:dPt>
            <c:idx val="2"/>
            <c:bubble3D val="0"/>
          </c:dPt>
          <c:dPt>
            <c:idx val="3"/>
            <c:bubble3D val="0"/>
          </c:dPt>
          <c:dPt>
            <c:idx val="4"/>
            <c:bubble3D val="0"/>
          </c:dPt>
          <c:dLbls>
            <c:dLbl>
              <c:idx val="0"/>
              <c:delete val="1"/>
            </c:dLbl>
            <c:dLbl>
              <c:idx val="1"/>
              <c:layout>
                <c:manualLayout>
                  <c:x val="0.0626474190421383"/>
                  <c:y val="0.027970883512814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t>100</a:t>
                    </a:r>
                    <a:r>
                      <a:rPr lang="en-US" altLang="zh-CN"/>
                      <a:t>%</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delete val="1"/>
            </c:dLbl>
            <c:dLbl>
              <c:idx val="3"/>
              <c:delete val="1"/>
            </c:dLbl>
            <c:dLbl>
              <c:idx val="4"/>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100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8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solidFill>
                <a:latin typeface="+mn-lt"/>
                <a:ea typeface="+mn-ea"/>
                <a:cs typeface="+mn-cs"/>
              </a:defRPr>
            </a:pPr>
            <a:r>
              <a:rPr lang="zh-CN" altLang="en-US" sz="1400"/>
              <a:t>财政拨款收支决算总计变动情况图</a:t>
            </a:r>
            <a:endParaRPr lang="zh-CN" altLang="en-US" sz="1400"/>
          </a:p>
        </c:rich>
      </c:tx>
      <c:layout>
        <c:manualLayout>
          <c:xMode val="edge"/>
          <c:yMode val="edge"/>
          <c:x val="0.239012324546389"/>
          <c:y val="0.0521624031445839"/>
        </c:manualLayout>
      </c:layout>
      <c:overlay val="0"/>
    </c:title>
    <c:autoTitleDeleted val="0"/>
    <c:plotArea>
      <c:layout>
        <c:manualLayout>
          <c:layoutTarget val="inner"/>
          <c:xMode val="edge"/>
          <c:yMode val="edge"/>
          <c:x val="0.0769356344423438"/>
          <c:y val="0.212981143314532"/>
          <c:w val="0.763500149073545"/>
          <c:h val="0.68032464027103"/>
        </c:manualLayout>
      </c:layout>
      <c:barChart>
        <c:barDir val="col"/>
        <c:grouping val="clustered"/>
        <c:varyColors val="0"/>
        <c:ser>
          <c:idx val="0"/>
          <c:order val="0"/>
          <c:tx>
            <c:strRef>
              <c:f>Sheet1!$B$1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c:f>
              <c:numCache>
                <c:formatCode>General</c:formatCode>
                <c:ptCount val="1"/>
              </c:numCache>
            </c:numRef>
          </c:cat>
          <c:val>
            <c:numRef>
              <c:f>Sheet1!$B$2</c:f>
              <c:numCache>
                <c:formatCode>General</c:formatCode>
                <c:ptCount val="1"/>
                <c:pt idx="0">
                  <c:v>342.66</c:v>
                </c:pt>
              </c:numCache>
            </c:numRef>
          </c:val>
        </c:ser>
        <c:ser>
          <c:idx val="1"/>
          <c:order val="1"/>
          <c:tx>
            <c:strRef>
              <c:f>Sheet1!$C$1</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c:f>
              <c:numCache>
                <c:formatCode>General</c:formatCode>
                <c:ptCount val="1"/>
              </c:numCache>
            </c:numRef>
          </c:cat>
          <c:val>
            <c:numRef>
              <c:f>Sheet1!$C$2</c:f>
              <c:numCache>
                <c:formatCode>General</c:formatCode>
                <c:ptCount val="1"/>
                <c:pt idx="0">
                  <c:v>319.61</c:v>
                </c:pt>
              </c:numCache>
            </c:numRef>
          </c:val>
        </c:ser>
        <c:dLbls>
          <c:showLegendKey val="0"/>
          <c:showVal val="1"/>
          <c:showCatName val="0"/>
          <c:showSerName val="0"/>
          <c:showPercent val="0"/>
          <c:showBubbleSize val="0"/>
        </c:dLbls>
        <c:gapWidth val="150"/>
        <c:axId val="105224832"/>
        <c:axId val="105406848"/>
      </c:barChart>
      <c:catAx>
        <c:axId val="105224832"/>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5406848"/>
        <c:crosses val="autoZero"/>
        <c:auto val="1"/>
        <c:lblAlgn val="ctr"/>
        <c:lblOffset val="100"/>
        <c:noMultiLvlLbl val="0"/>
      </c:catAx>
      <c:valAx>
        <c:axId val="105406848"/>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522483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r>
              <a:rPr lang="zh-CN" altLang="en-US" sz="1200"/>
              <a:t>一般公共预算财政拨款支出决算变动情况图</a:t>
            </a:r>
            <a:endParaRPr lang="zh-CN" altLang="en-US" sz="1200"/>
          </a:p>
        </c:rich>
      </c:tx>
      <c:layout/>
      <c:overlay val="0"/>
    </c:title>
    <c:autoTitleDeleted val="0"/>
    <c:plotArea>
      <c:layout>
        <c:manualLayout>
          <c:layoutTarget val="inner"/>
          <c:xMode val="edge"/>
          <c:yMode val="edge"/>
          <c:x val="0.0746107073721493"/>
          <c:y val="0.209319129226495"/>
          <c:w val="0.770646966143447"/>
          <c:h val="0.683986901018178"/>
        </c:manualLayout>
      </c:layout>
      <c:barChart>
        <c:barDir val="col"/>
        <c:grouping val="clustered"/>
        <c:varyColors val="0"/>
        <c:ser>
          <c:idx val="0"/>
          <c:order val="0"/>
          <c:tx>
            <c:strRef>
              <c:f>Sheet1!$B$1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一般公共预算财政拨款支出</c:v>
                </c:pt>
              </c:strCache>
            </c:strRef>
          </c:cat>
          <c:val>
            <c:numRef>
              <c:f>Sheet1!$B$2</c:f>
              <c:numCache>
                <c:formatCode>General</c:formatCode>
                <c:ptCount val="1"/>
                <c:pt idx="0">
                  <c:v>342.66</c:v>
                </c:pt>
              </c:numCache>
            </c:numRef>
          </c:val>
        </c:ser>
        <c:ser>
          <c:idx val="1"/>
          <c:order val="1"/>
          <c:tx>
            <c:strRef>
              <c:f>Sheet1!$C$1</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一般公共预算财政拨款支出</c:v>
                </c:pt>
              </c:strCache>
            </c:strRef>
          </c:cat>
          <c:val>
            <c:numRef>
              <c:f>Sheet1!$C$2</c:f>
              <c:numCache>
                <c:formatCode>General</c:formatCode>
                <c:ptCount val="1"/>
                <c:pt idx="0">
                  <c:v>319.61</c:v>
                </c:pt>
              </c:numCache>
            </c:numRef>
          </c:val>
        </c:ser>
        <c:dLbls>
          <c:showLegendKey val="0"/>
          <c:showVal val="1"/>
          <c:showCatName val="0"/>
          <c:showSerName val="0"/>
          <c:showPercent val="0"/>
          <c:showBubbleSize val="0"/>
        </c:dLbls>
        <c:gapWidth val="150"/>
        <c:axId val="105444864"/>
        <c:axId val="105446400"/>
      </c:barChart>
      <c:catAx>
        <c:axId val="10544486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5446400"/>
        <c:crosses val="autoZero"/>
        <c:auto val="1"/>
        <c:lblAlgn val="ctr"/>
        <c:lblOffset val="100"/>
        <c:noMultiLvlLbl val="0"/>
      </c:catAx>
      <c:valAx>
        <c:axId val="10544640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5444864"/>
        <c:crosses val="autoZero"/>
        <c:crossBetween val="between"/>
      </c:valAx>
    </c:plotArea>
    <c:legend>
      <c:legendPos val="r"/>
      <c:layout>
        <c:manualLayout>
          <c:xMode val="edge"/>
          <c:yMode val="edge"/>
          <c:x val="0.881289744596317"/>
          <c:y val="0.460636092476829"/>
          <c:w val="0.118710255403684"/>
          <c:h val="0.209961258471139"/>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altLang="en-US" sz="1400"/>
              <a:t>20</a:t>
            </a:r>
            <a:r>
              <a:rPr lang="en-US" altLang="zh-CN" sz="1400"/>
              <a:t>23</a:t>
            </a:r>
            <a:r>
              <a:rPr altLang="en-US" sz="1400"/>
              <a:t>年</a:t>
            </a:r>
            <a:r>
              <a:rPr lang="zh-CN" altLang="en-US" sz="1400"/>
              <a:t>一般公共预算财政拨款</a:t>
            </a:r>
            <a:r>
              <a:rPr altLang="en-US" sz="1400"/>
              <a:t>支出</a:t>
            </a:r>
            <a:r>
              <a:rPr lang="zh-CN" altLang="en-US" sz="1400"/>
              <a:t>决算</a:t>
            </a:r>
            <a:r>
              <a:rPr altLang="en-US" sz="1400"/>
              <a:t>结构图</a:t>
            </a:r>
            <a:endParaRPr altLang="en-US" sz="1400"/>
          </a:p>
        </c:rich>
      </c:tx>
      <c:layout>
        <c:manualLayout>
          <c:xMode val="edge"/>
          <c:yMode val="edge"/>
          <c:x val="0.15920663114269"/>
          <c:y val="0.0204026115342767"/>
        </c:manualLayout>
      </c:layout>
      <c:overlay val="0"/>
    </c:title>
    <c:autoTitleDeleted val="0"/>
    <c:plotArea>
      <c:layout/>
      <c:pieChart>
        <c:varyColors val="1"/>
        <c:ser>
          <c:idx val="0"/>
          <c:order val="0"/>
          <c:tx>
            <c:strRef>
              <c:f>Sheet1!$B$1</c:f>
              <c:strCache>
                <c:ptCount val="1"/>
                <c:pt idx="0">
                  <c:v>2022年部门决算支出结构图</c:v>
                </c:pt>
              </c:strCache>
            </c:strRef>
          </c:tx>
          <c:explosion val="0"/>
          <c:dPt>
            <c:idx val="0"/>
            <c:bubble3D val="0"/>
          </c:dPt>
          <c:dPt>
            <c:idx val="1"/>
            <c:bubble3D val="0"/>
          </c:dPt>
          <c:dPt>
            <c:idx val="2"/>
            <c:bubble3D val="0"/>
          </c:dPt>
          <c:dPt>
            <c:idx val="3"/>
            <c:bubble3D val="0"/>
          </c:dPt>
          <c:dPt>
            <c:idx val="4"/>
            <c:bubble3D val="0"/>
          </c:dPt>
          <c:dPt>
            <c:idx val="5"/>
            <c:bubble3D val="0"/>
          </c:dPt>
          <c:dLbls>
            <c:dLbl>
              <c:idx val="0"/>
              <c:layout>
                <c:manualLayout>
                  <c:x val="-0.00650102707000315"/>
                  <c:y val="-0.1869052494149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t>87.06</a:t>
                    </a:r>
                    <a:r>
                      <a:rPr lang="en-US" altLang="zh-CN"/>
                      <a:t>%</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61196451907892"/>
                  <c:y val="0.0285636561479869"/>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5.8%</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0729425695677916"/>
                      <c:h val="0.0930359085963003"/>
                    </c:manualLayout>
                  </c15:layout>
                </c:ext>
              </c:extLst>
            </c:dLbl>
            <c:dLbl>
              <c:idx val="2"/>
              <c:layout>
                <c:manualLayout>
                  <c:x val="0.0378097276028773"/>
                  <c:y val="-0.0270205546939929"/>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7.14%</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3"/>
              <c:delete val="1"/>
            </c:dLbl>
            <c:dLbl>
              <c:idx val="4"/>
              <c:delete val="1"/>
            </c:dLbl>
            <c:dLbl>
              <c:idx val="5"/>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Sheet1!$A$2:$A$7</c:f>
              <c:strCache>
                <c:ptCount val="6"/>
                <c:pt idx="0">
                  <c:v>社会保障和就业支出</c:v>
                </c:pt>
                <c:pt idx="1">
                  <c:v>卫生健康支出</c:v>
                </c:pt>
                <c:pt idx="2">
                  <c:v>住房保障支出</c:v>
                </c:pt>
                <c:pt idx="3">
                  <c:v>农林水支出</c:v>
                </c:pt>
                <c:pt idx="4">
                  <c:v>其他支出</c:v>
                </c:pt>
              </c:strCache>
            </c:strRef>
          </c:cat>
          <c:val>
            <c:numRef>
              <c:f>Sheet1!$B$2:$B$7</c:f>
              <c:numCache>
                <c:formatCode>General</c:formatCode>
                <c:ptCount val="6"/>
                <c:pt idx="0">
                  <c:v>87.06</c:v>
                </c:pt>
                <c:pt idx="1">
                  <c:v>5.8</c:v>
                </c:pt>
                <c:pt idx="2">
                  <c:v>7.14</c:v>
                </c:pt>
                <c:pt idx="5">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“三公”经费财政拨款支出结构图</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dLbl>
              <c:idx val="1"/>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87.99</a:t>
                    </a:r>
                    <a:r>
                      <a:t>%</a:t>
                    </a:r>
                  </a:p>
                </c:rich>
              </c:tx>
              <c:dLblPos val="ctr"/>
              <c:showLegendKey val="0"/>
              <c:showVal val="0"/>
              <c:showCatName val="0"/>
              <c:showSerName val="0"/>
              <c:showPercent val="1"/>
              <c:showBubbleSize val="0"/>
              <c:extLst>
                <c:ext xmlns:c15="http://schemas.microsoft.com/office/drawing/2012/chart" uri="{CE6537A1-D6FC-4f65-9D91-7224C49458BB}"/>
              </c:extLst>
            </c:dLbl>
            <c:dLbl>
              <c:idx val="2"/>
              <c:layout>
                <c:manualLayout>
                  <c:x val="-0.00447131443155149"/>
                  <c:y val="-0.368179207352732"/>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t>1</a:t>
                    </a:r>
                    <a:r>
                      <a:rPr lang="en-US" altLang="zh-CN"/>
                      <a:t>00</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Sheet1!$A$2:$A$4</c:f>
              <c:strCache>
                <c:ptCount val="3"/>
                <c:pt idx="0">
                  <c:v>因公出国（境）费支出</c:v>
                </c:pt>
                <c:pt idx="1">
                  <c:v>公务用车购置及运行维护费</c:v>
                </c:pt>
                <c:pt idx="2">
                  <c:v>公务接待费支出</c:v>
                </c:pt>
              </c:strCache>
            </c:strRef>
          </c:cat>
          <c:val>
            <c:numRef>
              <c:f>Sheet1!$B$2:$B$4</c:f>
              <c:numCache>
                <c:formatCode>General</c:formatCode>
                <c:ptCount val="3"/>
                <c:pt idx="2">
                  <c:v>100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0.84137</cdr:x>
      <cdr:y>0.0461</cdr:y>
    </cdr:from>
    <cdr:to>
      <cdr:x>0.96787</cdr:x>
      <cdr:y>0.19831</cdr:y>
    </cdr:to>
    <cdr:sp>
      <cdr:nvSpPr>
        <cdr:cNvPr id="2" name="矩形 1"/>
        <cdr:cNvSpPr/>
      </cdr:nvSpPr>
      <cdr:spPr xmlns:a="http://schemas.openxmlformats.org/drawingml/2006/main">
        <a:xfrm xmlns:a="http://schemas.openxmlformats.org/drawingml/2006/main">
          <a:off x="4656163" y="104067"/>
          <a:ext cx="700054" cy="343608"/>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endParaRPr lang="zh-CN" altLang="en-US" sz="1100"/>
        </a:p>
      </cdr:txBody>
    </cdr:sp>
  </cdr:relSizeAnchor>
  <cdr:relSizeAnchor xmlns:cdr="http://schemas.openxmlformats.org/drawingml/2006/chartDrawing">
    <cdr:from>
      <cdr:x>0.81727</cdr:x>
      <cdr:y>0.0922</cdr:y>
    </cdr:from>
    <cdr:to>
      <cdr:x>1</cdr:x>
      <cdr:y>0.22363</cdr:y>
    </cdr:to>
    <cdr:sp>
      <cdr:nvSpPr>
        <cdr:cNvPr id="3" name="矩形 2"/>
        <cdr:cNvSpPr/>
      </cdr:nvSpPr>
      <cdr:spPr xmlns:a="http://schemas.openxmlformats.org/drawingml/2006/main">
        <a:xfrm xmlns:a="http://schemas.openxmlformats.org/drawingml/2006/main">
          <a:off x="4522793" y="208135"/>
          <a:ext cx="1011232" cy="29669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900"/>
            <a:t>    单位：万元</a:t>
          </a:r>
          <a:endParaRPr lang="zh-CN" altLang="en-US" sz="900"/>
        </a:p>
      </cdr:txBody>
    </cdr:sp>
  </cdr:relSizeAnchor>
</c:userShapes>
</file>

<file path=word/drawings/drawing2.xml><?xml version="1.0" encoding="utf-8"?>
<c:userShapes xmlns:c="http://schemas.openxmlformats.org/drawingml/2006/chart">
  <cdr:relSizeAnchor xmlns:cdr="http://schemas.openxmlformats.org/drawingml/2006/chartDrawing">
    <cdr:from>
      <cdr:x>0.84137</cdr:x>
      <cdr:y>0.0461</cdr:y>
    </cdr:from>
    <cdr:to>
      <cdr:x>0.96787</cdr:x>
      <cdr:y>0.19831</cdr:y>
    </cdr:to>
    <cdr:sp>
      <cdr:nvSpPr>
        <cdr:cNvPr id="2" name="矩形 1"/>
        <cdr:cNvSpPr/>
      </cdr:nvSpPr>
      <cdr:spPr xmlns:a="http://schemas.openxmlformats.org/drawingml/2006/main">
        <a:xfrm xmlns:a="http://schemas.openxmlformats.org/drawingml/2006/main">
          <a:off x="4656163" y="104067"/>
          <a:ext cx="700054" cy="343608"/>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endParaRPr lang="zh-CN" altLang="en-US" sz="1100"/>
        </a:p>
      </cdr:txBody>
    </cdr:sp>
  </cdr:relSizeAnchor>
  <cdr:relSizeAnchor xmlns:cdr="http://schemas.openxmlformats.org/drawingml/2006/chartDrawing">
    <cdr:from>
      <cdr:x>0.81727</cdr:x>
      <cdr:y>0.0922</cdr:y>
    </cdr:from>
    <cdr:to>
      <cdr:x>1</cdr:x>
      <cdr:y>0.22363</cdr:y>
    </cdr:to>
    <cdr:sp>
      <cdr:nvSpPr>
        <cdr:cNvPr id="3" name="矩形 2"/>
        <cdr:cNvSpPr/>
      </cdr:nvSpPr>
      <cdr:spPr xmlns:a="http://schemas.openxmlformats.org/drawingml/2006/main">
        <a:xfrm xmlns:a="http://schemas.openxmlformats.org/drawingml/2006/main">
          <a:off x="4522793" y="208135"/>
          <a:ext cx="1011232" cy="29669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900"/>
            <a:t>    单位：万元</a:t>
          </a:r>
          <a:endParaRPr lang="zh-CN" altLang="en-US" sz="900"/>
        </a:p>
      </cdr:txBody>
    </cdr:sp>
  </cdr:relSizeAnchor>
</c:userShapes>
</file>

<file path=word/drawings/drawing3.xml><?xml version="1.0" encoding="utf-8"?>
<c:userShapes xmlns:c="http://schemas.openxmlformats.org/drawingml/2006/chart">
  <cdr:relSizeAnchor xmlns:cdr="http://schemas.openxmlformats.org/drawingml/2006/chartDrawing">
    <cdr:from>
      <cdr:x>0.82892</cdr:x>
      <cdr:y>0.0805</cdr:y>
    </cdr:from>
    <cdr:to>
      <cdr:x>0.98784</cdr:x>
      <cdr:y>0.17028</cdr:y>
    </cdr:to>
    <cdr:sp>
      <cdr:nvSpPr>
        <cdr:cNvPr id="2" name="矩形 1"/>
        <cdr:cNvSpPr/>
      </cdr:nvSpPr>
      <cdr:spPr xmlns:a="http://schemas.openxmlformats.org/drawingml/2006/main">
        <a:xfrm xmlns:a="http://schemas.openxmlformats.org/drawingml/2006/main">
          <a:off x="4371975" y="247650"/>
          <a:ext cx="838200" cy="276225"/>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900"/>
            <a:t>单位：万元</a:t>
          </a:r>
          <a:endParaRPr lang="zh-CN" altLang="en-US" sz="9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4" textRotate="1"/>
    <customShpInfo spid="_x0000_s2055"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34CBA7-0681-40B0-897A-8BB6A8AF2D43}">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51</Pages>
  <Words>3348</Words>
  <Characters>19089</Characters>
  <Lines>159</Lines>
  <Paragraphs>44</Paragraphs>
  <TotalTime>20</TotalTime>
  <ScaleCrop>false</ScaleCrop>
  <LinksUpToDate>false</LinksUpToDate>
  <CharactersWithSpaces>22393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随心所欲</cp:lastModifiedBy>
  <cp:lastPrinted>2024-09-20T02:05:00Z</cp:lastPrinted>
  <dcterms:modified xsi:type="dcterms:W3CDTF">2024-09-20T08:28:22Z</dcterms:modified>
  <dc:title>四川省***</dc:title>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A08F2A8B83024382BEBCB4A3E8D8E32D</vt:lpwstr>
  </property>
</Properties>
</file>