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1" w:name="_Toc15378441"/>
      <w:bookmarkStart w:id="2" w:name="_Toc15377425"/>
      <w:bookmarkStart w:id="3" w:name="_Toc15396475"/>
      <w:bookmarkStart w:id="4" w:name="_Toc15396597"/>
      <w:bookmarkStart w:id="5" w:name="_Toc15377193"/>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color w:val="000000"/>
          <w:sz w:val="44"/>
          <w:szCs w:val="44"/>
        </w:rPr>
        <w:t>四川省</w:t>
      </w:r>
      <w:r>
        <w:rPr>
          <w:rFonts w:hint="eastAsia" w:ascii="方正小标宋简体" w:hAnsi="方正小标宋简体" w:eastAsia="方正小标宋简体" w:cs="方正小标宋简体"/>
          <w:color w:val="000000"/>
          <w:sz w:val="44"/>
          <w:szCs w:val="44"/>
          <w:lang w:val="en-US" w:eastAsia="zh-CN"/>
        </w:rPr>
        <w:t>阿坝州</w:t>
      </w:r>
      <w:r>
        <w:rPr>
          <w:rFonts w:hint="eastAsia" w:ascii="方正小标宋简体" w:hAnsi="方正小标宋简体" w:eastAsia="方正小标宋简体" w:cs="方正小标宋简体"/>
          <w:color w:val="000000"/>
          <w:sz w:val="44"/>
          <w:szCs w:val="44"/>
        </w:rPr>
        <w:t>茂县人力资源和社会保障局</w:t>
      </w:r>
      <w:r>
        <w:rPr>
          <w:rFonts w:hint="eastAsia" w:ascii="方正小标宋简体" w:hAnsi="方正小标宋简体" w:eastAsia="方正小标宋简体" w:cs="方正小标宋简体"/>
          <w:color w:val="000000"/>
          <w:sz w:val="44"/>
          <w:szCs w:val="44"/>
          <w:lang w:val="en-US" w:eastAsia="zh-CN"/>
        </w:rPr>
        <w:t>部门决算</w:t>
      </w:r>
      <w:bookmarkEnd w:id="6"/>
      <w:bookmarkEnd w:id="7"/>
      <w:bookmarkEnd w:id="8"/>
      <w:bookmarkEnd w:id="9"/>
      <w:bookmarkEnd w:id="10"/>
      <w:r>
        <w:rPr>
          <w:rFonts w:hint="eastAsia" w:ascii="方正小标宋简体" w:hAnsi="方正小标宋简体" w:eastAsia="方正小标宋简体" w:cs="方正小标宋简体"/>
          <w:color w:val="000000"/>
          <w:sz w:val="44"/>
          <w:szCs w:val="44"/>
          <w:lang w:val="en-US" w:eastAsia="zh-CN"/>
        </w:rPr>
        <w:t>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widowControl/>
        <w:jc w:val="center"/>
        <w:rPr>
          <w:rFonts w:hint="eastAsia" w:ascii="方正小标宋简体" w:hAnsi="宋体" w:eastAsia="方正小标宋简体"/>
          <w:color w:val="000000"/>
          <w:sz w:val="36"/>
          <w:szCs w:val="36"/>
          <w:lang w:eastAsia="zh-CN"/>
        </w:rPr>
      </w:pPr>
    </w:p>
    <w:p>
      <w:pPr>
        <w:widowControl/>
        <w:jc w:val="center"/>
        <w:rPr>
          <w:rFonts w:hint="eastAsia" w:ascii="黑体" w:hAnsi="黑体" w:eastAsia="黑体"/>
          <w:color w:val="000000"/>
          <w:sz w:val="48"/>
          <w:szCs w:val="48"/>
        </w:rPr>
      </w:pPr>
      <w:bookmarkStart w:id="11" w:name="_Toc15396599"/>
      <w:bookmarkStart w:id="12" w:name="_Toc15377196"/>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pStyle w:val="2"/>
        <w:rPr>
          <w:rFonts w:hint="eastAsia" w:ascii="黑体" w:hAnsi="黑体" w:eastAsia="黑体"/>
          <w:color w:val="000000"/>
          <w:sz w:val="48"/>
          <w:szCs w:val="48"/>
        </w:rPr>
      </w:pPr>
    </w:p>
    <w:p>
      <w:pPr>
        <w:pStyle w:val="3"/>
        <w:rPr>
          <w:rFonts w:hint="eastAsia"/>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3"/>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 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
      <w:pPr>
        <w:pStyle w:val="13"/>
        <w:adjustRightInd w:val="0"/>
        <w:snapToGrid w:val="0"/>
        <w:spacing w:before="0" w:line="576"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42"/>
        <w:pageBreakBefore w:val="0"/>
        <w:tabs>
          <w:tab w:val="right" w:leader="dot" w:pos="8306"/>
        </w:tabs>
        <w:kinsoku/>
        <w:wordWrap/>
        <w:overflowPunct/>
        <w:topLinePunct w:val="0"/>
        <w:bidi w:val="0"/>
        <w:spacing w:line="576" w:lineRule="exact"/>
        <w:ind w:left="0" w:leftChars="0" w:firstLine="640" w:firstLineChars="200"/>
        <w:textAlignment w:val="auto"/>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_Toc10669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_Toc10669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end"/>
      </w:r>
    </w:p>
    <w:p>
      <w:pPr>
        <w:pStyle w:val="13"/>
        <w:adjustRightInd w:val="0"/>
        <w:snapToGrid w:val="0"/>
        <w:spacing w:before="0" w:line="576"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w:t>
      </w:r>
      <w:r>
        <w:rPr>
          <w:rFonts w:hint="eastAsia" w:ascii="仿宋_GB2312" w:hAnsi="仿宋_GB2312" w:eastAsia="仿宋_GB2312" w:cs="仿宋_GB2312"/>
          <w:sz w:val="32"/>
          <w:szCs w:val="32"/>
          <w:lang w:val="en-US" w:eastAsia="zh-CN"/>
        </w:rPr>
        <w:t>2024年度部门</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11</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pPr>
        <w:pStyle w:val="14"/>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pPr>
        <w:pStyle w:val="13"/>
        <w:spacing w:line="576"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3"/>
        <w:adjustRightInd w:val="0"/>
        <w:snapToGrid w:val="0"/>
        <w:spacing w:before="0" w:line="576"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19</w:t>
      </w:r>
    </w:p>
    <w:p>
      <w:pPr>
        <w:pStyle w:val="13"/>
        <w:adjustRightInd w:val="0"/>
        <w:snapToGrid w:val="0"/>
        <w:spacing w:before="0" w:line="576"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国有资本经营预算财政拨款收入支出</w:t>
      </w:r>
      <w:r>
        <w:rPr>
          <w:rFonts w:hint="eastAsia" w:ascii="仿宋_GB2312" w:hAnsi="仿宋_GB2312" w:eastAsia="仿宋_GB2312" w:cs="仿宋_GB2312"/>
          <w:sz w:val="32"/>
          <w:szCs w:val="32"/>
        </w:rPr>
        <w:t>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eastAsia="仿宋_GB231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国有资本经营预算财政拨款支出决算</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41</w:t>
      </w:r>
    </w:p>
    <w:p>
      <w:pPr>
        <w:pStyle w:val="14"/>
        <w:adjustRightInd w:val="0"/>
        <w:snapToGrid w:val="0"/>
        <w:spacing w:line="576" w:lineRule="exact"/>
        <w:jc w:val="left"/>
        <w:rPr>
          <w:rFonts w:ascii="仿宋_GB2312" w:hAnsi="仿宋_GB2312" w:eastAsia="仿宋_GB2312" w:cs="仿宋_GB2312"/>
          <w:sz w:val="32"/>
          <w:szCs w:val="32"/>
        </w:rPr>
      </w:pPr>
    </w:p>
    <w:p>
      <w:pPr>
        <w:pStyle w:val="14"/>
        <w:adjustRightInd w:val="0"/>
        <w:snapToGrid w:val="0"/>
        <w:spacing w:line="576" w:lineRule="exact"/>
        <w:jc w:val="left"/>
        <w:rPr>
          <w:rFonts w:ascii="仿宋_GB2312" w:hAnsi="仿宋_GB2312" w:eastAsia="仿宋_GB2312" w:cs="仿宋_GB2312"/>
          <w:color w:val="000000"/>
          <w:sz w:val="32"/>
          <w:szCs w:val="32"/>
        </w:rPr>
      </w:pPr>
    </w:p>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bookmarkEnd w:id="11"/>
    <w:bookmarkEnd w:id="12"/>
    <w:p>
      <w:pPr>
        <w:spacing w:line="576" w:lineRule="exact"/>
        <w:jc w:val="both"/>
        <w:rPr>
          <w:rStyle w:val="29"/>
          <w:rFonts w:hint="eastAsia" w:ascii="黑体" w:hAnsi="黑体" w:eastAsia="黑体" w:cs="黑体"/>
        </w:rPr>
      </w:pPr>
      <w:bookmarkStart w:id="13" w:name="_Toc15378445"/>
      <w:bookmarkStart w:id="14" w:name="_Toc15377198"/>
      <w:bookmarkStart w:id="15" w:name="_Toc15396602"/>
      <w:bookmarkStart w:id="16" w:name="_Toc15377204"/>
    </w:p>
    <w:p>
      <w:pPr>
        <w:spacing w:line="576" w:lineRule="exact"/>
        <w:jc w:val="both"/>
        <w:rPr>
          <w:rStyle w:val="29"/>
          <w:rFonts w:hint="eastAsia" w:ascii="黑体" w:hAnsi="黑体" w:eastAsia="黑体" w:cs="黑体"/>
        </w:rPr>
      </w:pPr>
    </w:p>
    <w:p>
      <w:pPr>
        <w:spacing w:line="576" w:lineRule="exact"/>
        <w:ind w:left="672"/>
        <w:jc w:val="center"/>
        <w:rPr>
          <w:rStyle w:val="29"/>
          <w:rFonts w:ascii="黑体" w:hAnsi="黑体" w:eastAsia="黑体" w:cs="黑体"/>
        </w:rPr>
      </w:pPr>
      <w:r>
        <w:rPr>
          <w:rStyle w:val="29"/>
          <w:rFonts w:hint="eastAsia" w:ascii="黑体" w:hAnsi="黑体" w:eastAsia="黑体" w:cs="黑体"/>
        </w:rPr>
        <w:t xml:space="preserve">第一部分 </w:t>
      </w:r>
      <w:r>
        <w:rPr>
          <w:rStyle w:val="29"/>
          <w:rFonts w:hint="eastAsia" w:ascii="黑体" w:hAnsi="黑体" w:eastAsia="黑体" w:cs="黑体"/>
          <w:lang w:val="en-US" w:eastAsia="zh-CN"/>
        </w:rPr>
        <w:t>部门</w:t>
      </w:r>
      <w:r>
        <w:rPr>
          <w:rStyle w:val="29"/>
          <w:rFonts w:hint="eastAsia" w:ascii="黑体" w:hAnsi="黑体" w:eastAsia="黑体" w:cs="黑体"/>
        </w:rPr>
        <w:t>概况</w:t>
      </w:r>
    </w:p>
    <w:p>
      <w:pPr>
        <w:spacing w:line="576" w:lineRule="exact"/>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rPr>
        <w:t>一、</w:t>
      </w:r>
      <w:r>
        <w:rPr>
          <w:rFonts w:hint="eastAsia" w:ascii="黑体" w:hAnsi="黑体" w:eastAsia="黑体"/>
          <w:color w:val="000000"/>
          <w:sz w:val="32"/>
          <w:szCs w:val="32"/>
          <w:lang w:val="en-US" w:eastAsia="zh-CN"/>
        </w:rPr>
        <w:t>部门职责</w:t>
      </w:r>
    </w:p>
    <w:bookmarkEnd w:id="13"/>
    <w:bookmarkEnd w:id="14"/>
    <w:p>
      <w:pPr>
        <w:spacing w:line="556" w:lineRule="exact"/>
        <w:ind w:firstLine="640" w:firstLineChars="200"/>
        <w:rPr>
          <w:rFonts w:ascii="仿宋_GB2312" w:eastAsia="仿宋_GB2312"/>
          <w:sz w:val="32"/>
          <w:szCs w:val="32"/>
        </w:rPr>
      </w:pPr>
      <w:bookmarkStart w:id="17" w:name="_Toc79163854"/>
      <w:bookmarkStart w:id="18" w:name="_Toc79163604"/>
      <w:bookmarkStart w:id="19" w:name="_Toc15378446"/>
      <w:bookmarkStart w:id="20" w:name="_Toc15377199"/>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bookmarkEnd w:id="17"/>
    <w:bookmarkEnd w:id="18"/>
    <w:bookmarkEnd w:id="19"/>
    <w:bookmarkEnd w:id="20"/>
    <w:p>
      <w:pPr>
        <w:spacing w:line="560" w:lineRule="exact"/>
        <w:ind w:firstLine="640" w:firstLineChars="200"/>
        <w:rPr>
          <w:rFonts w:ascii="楷体_GB2312" w:eastAsia="楷体_GB2312" w:cs="宋体"/>
          <w:b/>
          <w:kern w:val="0"/>
          <w:sz w:val="32"/>
          <w:szCs w:val="32"/>
        </w:rPr>
      </w:pPr>
      <w:bookmarkStart w:id="21" w:name="_Toc79163855"/>
      <w:bookmarkStart w:id="22" w:name="_Toc15377200"/>
      <w:bookmarkStart w:id="23" w:name="_Toc79163605"/>
      <w:bookmarkStart w:id="24" w:name="_Toc15396601"/>
      <w:r>
        <w:rPr>
          <w:rFonts w:hint="eastAsia" w:ascii="黑体" w:hAnsi="黑体" w:eastAsia="黑体" w:cs="黑体"/>
          <w:sz w:val="32"/>
          <w:szCs w:val="32"/>
        </w:rPr>
        <w:t>二、机构设置</w:t>
      </w:r>
      <w:bookmarkEnd w:id="21"/>
      <w:bookmarkEnd w:id="22"/>
      <w:bookmarkEnd w:id="23"/>
      <w:bookmarkEnd w:id="24"/>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茂县人力资源和社会保障局下属二级单位0个，其中行政单位0个，参照公务员法管理的事业单位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个，其他事业单位0个。</w:t>
      </w:r>
      <w:bookmarkEnd w:id="15"/>
      <w:bookmarkEnd w:id="16"/>
    </w:p>
    <w:p>
      <w:pPr>
        <w:pStyle w:val="3"/>
      </w:pPr>
    </w:p>
    <w:p>
      <w:pPr>
        <w:pStyle w:val="5"/>
        <w:ind w:right="440"/>
        <w:jc w:val="right"/>
        <w:rPr>
          <w:rStyle w:val="39"/>
          <w:rFonts w:ascii="黑体" w:hAnsi="黑体" w:eastAsia="黑体"/>
          <w:b/>
          <w:bCs/>
        </w:rPr>
      </w:pPr>
      <w:r>
        <w:rPr>
          <w:rStyle w:val="39"/>
          <w:rFonts w:hint="eastAsia" w:ascii="黑体" w:hAnsi="黑体" w:eastAsia="黑体"/>
          <w:b w:val="0"/>
          <w:bCs w:val="0"/>
        </w:rPr>
        <w:t>第二部分</w:t>
      </w:r>
      <w:r>
        <w:rPr>
          <w:rStyle w:val="39"/>
          <w:rFonts w:ascii="黑体" w:hAnsi="黑体" w:eastAsia="黑体"/>
          <w:b w:val="0"/>
          <w:bCs w:val="0"/>
        </w:rPr>
        <w:t xml:space="preserve"> 202</w:t>
      </w:r>
      <w:r>
        <w:rPr>
          <w:rStyle w:val="39"/>
          <w:rFonts w:hint="eastAsia" w:ascii="黑体" w:hAnsi="黑体" w:eastAsia="黑体"/>
          <w:b w:val="0"/>
          <w:bCs w:val="0"/>
          <w:lang w:val="en-US" w:eastAsia="zh-CN"/>
        </w:rPr>
        <w:t>4</w:t>
      </w:r>
      <w:r>
        <w:rPr>
          <w:rStyle w:val="39"/>
          <w:rFonts w:hint="eastAsia" w:ascii="黑体" w:hAnsi="黑体" w:eastAsia="黑体"/>
          <w:b w:val="0"/>
          <w:bCs w:val="0"/>
        </w:rPr>
        <w:t>年度</w:t>
      </w:r>
      <w:r>
        <w:rPr>
          <w:rStyle w:val="39"/>
          <w:rFonts w:hint="eastAsia" w:ascii="黑体" w:hAnsi="黑体" w:eastAsia="黑体"/>
          <w:b w:val="0"/>
          <w:bCs w:val="0"/>
          <w:lang w:val="en-US" w:eastAsia="zh-CN"/>
        </w:rPr>
        <w:t>部门</w:t>
      </w:r>
      <w:r>
        <w:rPr>
          <w:rStyle w:val="39"/>
          <w:rFonts w:hint="eastAsia" w:ascii="黑体" w:hAnsi="黑体" w:eastAsia="黑体"/>
          <w:b w:val="0"/>
          <w:bCs w:val="0"/>
        </w:rPr>
        <w:t>决算情况说明</w:t>
      </w:r>
    </w:p>
    <w:p>
      <w:pPr>
        <w:pStyle w:val="40"/>
        <w:numPr>
          <w:ilvl w:val="0"/>
          <w:numId w:val="1"/>
        </w:numPr>
        <w:spacing w:line="600" w:lineRule="exact"/>
        <w:ind w:firstLineChars="0"/>
        <w:outlineLvl w:val="1"/>
        <w:rPr>
          <w:rStyle w:val="30"/>
          <w:rFonts w:ascii="黑体" w:hAnsi="黑体" w:eastAsia="黑体"/>
          <w:b w:val="0"/>
        </w:rPr>
      </w:pPr>
      <w:bookmarkStart w:id="25" w:name="_Toc79163860"/>
      <w:bookmarkStart w:id="26" w:name="_Toc15377205"/>
      <w:bookmarkStart w:id="27" w:name="_Toc79163610"/>
      <w:bookmarkStart w:id="28" w:name="_Toc15396603"/>
      <w:r>
        <w:rPr>
          <w:rStyle w:val="30"/>
          <w:rFonts w:hint="eastAsia" w:ascii="黑体" w:hAnsi="黑体" w:eastAsia="黑体"/>
        </w:rPr>
        <w:t>收入支出决算总体情况说明</w:t>
      </w:r>
      <w:bookmarkEnd w:id="25"/>
      <w:bookmarkEnd w:id="26"/>
      <w:bookmarkEnd w:id="27"/>
      <w:bookmarkEnd w:id="28"/>
    </w:p>
    <w:p>
      <w:pPr>
        <w:spacing w:line="600" w:lineRule="exact"/>
        <w:ind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sz w:val="32"/>
          <w:szCs w:val="32"/>
        </w:rPr>
        <w:t>995.26</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年相比收、支总计增加</w:t>
      </w:r>
      <w:r>
        <w:rPr>
          <w:rFonts w:hint="eastAsia" w:ascii="仿宋_GB2312" w:hAnsi="仿宋_GB2312" w:eastAsia="仿宋_GB2312" w:cs="仿宋_GB2312"/>
          <w:color w:val="000000"/>
          <w:sz w:val="32"/>
          <w:szCs w:val="32"/>
          <w:lang w:val="en-US" w:eastAsia="zh-CN"/>
        </w:rPr>
        <w:t>22.79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增长2.34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0"/>
        <w:numPr>
          <w:ilvl w:val="0"/>
          <w:numId w:val="1"/>
        </w:numPr>
        <w:spacing w:line="600" w:lineRule="exact"/>
        <w:ind w:firstLineChars="0"/>
        <w:outlineLvl w:val="1"/>
        <w:rPr>
          <w:rStyle w:val="30"/>
          <w:rFonts w:ascii="黑体" w:hAnsi="黑体" w:eastAsia="黑体"/>
          <w:b w:val="0"/>
        </w:rPr>
      </w:pPr>
      <w:bookmarkStart w:id="29" w:name="_Toc15396604"/>
      <w:bookmarkStart w:id="30" w:name="_Toc15377206"/>
      <w:bookmarkStart w:id="31" w:name="_Toc79163611"/>
      <w:bookmarkStart w:id="32" w:name="_Toc79163861"/>
      <w:r>
        <w:rPr>
          <w:rStyle w:val="30"/>
          <w:rFonts w:hint="eastAsia" w:ascii="黑体" w:hAnsi="黑体" w:eastAsia="黑体"/>
        </w:rPr>
        <w:t>收入决算情况说明</w:t>
      </w:r>
      <w:bookmarkEnd w:id="29"/>
      <w:bookmarkEnd w:id="30"/>
      <w:bookmarkEnd w:id="31"/>
      <w:bookmarkEnd w:id="32"/>
    </w:p>
    <w:p>
      <w:pPr>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2024年度本年收入合计</w:t>
      </w:r>
      <w:r>
        <w:rPr>
          <w:rFonts w:hint="eastAsia" w:ascii="仿宋_GB2312" w:hAnsi="仿宋_GB2312" w:eastAsia="仿宋_GB2312" w:cs="仿宋_GB2312"/>
          <w:color w:val="000000"/>
          <w:sz w:val="32"/>
          <w:szCs w:val="32"/>
        </w:rPr>
        <w:t>995.26万元，其中：一般公共预算财政拨款收入995.26</w:t>
      </w:r>
      <w:r>
        <w:rPr>
          <w:rFonts w:hint="eastAsia" w:ascii="仿宋_GB2312" w:hAnsi="仿宋_GB2312" w:eastAsia="仿宋_GB2312" w:cs="仿宋_GB2312"/>
          <w:color w:val="000000"/>
          <w:sz w:val="32"/>
          <w:szCs w:val="32"/>
          <w:lang w:eastAsia="zh-CN"/>
        </w:rPr>
        <w:t>万元，占</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eastAsia="zh-CN"/>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numPr>
          <w:ilvl w:val="0"/>
          <w:numId w:val="1"/>
        </w:numPr>
        <w:spacing w:line="600" w:lineRule="exact"/>
        <w:ind w:firstLineChars="0"/>
        <w:outlineLvl w:val="1"/>
        <w:rPr>
          <w:rStyle w:val="30"/>
          <w:rFonts w:ascii="黑体" w:hAnsi="黑体" w:eastAsia="黑体"/>
          <w:b w:val="0"/>
        </w:rPr>
      </w:pPr>
      <w:bookmarkStart w:id="33" w:name="_Toc15377207"/>
      <w:bookmarkStart w:id="34" w:name="_Toc15396605"/>
      <w:r>
        <w:rPr>
          <w:rFonts w:hint="eastAsia" w:ascii="黑体" w:hAnsi="黑体" w:eastAsia="黑体"/>
          <w:color w:val="000000"/>
          <w:sz w:val="32"/>
          <w:szCs w:val="32"/>
        </w:rPr>
        <w:t>支</w:t>
      </w:r>
      <w:r>
        <w:rPr>
          <w:rStyle w:val="30"/>
          <w:rFonts w:hint="eastAsia" w:ascii="黑体" w:hAnsi="黑体" w:eastAsia="黑体"/>
          <w:b w:val="0"/>
        </w:rPr>
        <w:t>出决算情况说明</w:t>
      </w:r>
      <w:bookmarkEnd w:id="33"/>
      <w:bookmarkEnd w:id="34"/>
    </w:p>
    <w:p>
      <w:pPr>
        <w:ind w:firstLine="640" w:firstLineChars="200"/>
        <w:rPr>
          <w:rFonts w:ascii="仿宋_GB2312" w:eastAsia="仿宋_GB2312"/>
          <w:color w:val="FF0000"/>
          <w:sz w:val="32"/>
          <w:szCs w:val="32"/>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995.26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672.78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322.48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32.4</w:t>
      </w:r>
      <w:r>
        <w:rPr>
          <w:rFonts w:hint="eastAsia" w:ascii="仿宋_GB2312" w:hAnsi="仿宋_GB2312" w:eastAsia="仿宋_GB2312" w:cs="仿宋_GB2312"/>
          <w:color w:val="auto"/>
          <w:sz w:val="32"/>
          <w:szCs w:val="32"/>
          <w:highlight w:val="none"/>
          <w:lang w:eastAsia="zh-CN"/>
        </w:rPr>
        <w:t>%。</w:t>
      </w: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0"/>
          <w:rFonts w:ascii="黑体" w:hAnsi="黑体" w:eastAsia="黑体"/>
          <w:b w:val="0"/>
        </w:rPr>
      </w:pPr>
      <w:bookmarkStart w:id="35" w:name="_Toc79163863"/>
      <w:bookmarkStart w:id="36" w:name="_Toc79163613"/>
      <w:bookmarkStart w:id="37" w:name="_Toc15396606"/>
      <w:bookmarkStart w:id="38" w:name="_Toc15377208"/>
      <w:r>
        <w:rPr>
          <w:rFonts w:hint="eastAsia" w:ascii="黑体" w:hAnsi="黑体" w:eastAsia="黑体"/>
          <w:color w:val="000000"/>
          <w:sz w:val="32"/>
          <w:szCs w:val="32"/>
        </w:rPr>
        <w:t>四、财</w:t>
      </w:r>
      <w:r>
        <w:rPr>
          <w:rStyle w:val="30"/>
          <w:rFonts w:hint="eastAsia" w:ascii="黑体" w:hAnsi="黑体" w:eastAsia="黑体"/>
        </w:rPr>
        <w:t>政拨款收入支出决算总体情况说明</w:t>
      </w:r>
      <w:bookmarkEnd w:id="35"/>
      <w:bookmarkEnd w:id="36"/>
      <w:bookmarkEnd w:id="37"/>
      <w:bookmarkEnd w:id="38"/>
    </w:p>
    <w:p>
      <w:pPr>
        <w:spacing w:line="600" w:lineRule="exact"/>
        <w:ind w:firstLine="64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sz w:val="32"/>
          <w:szCs w:val="32"/>
        </w:rPr>
        <w:t>995.26</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年相比财政拨款收、支总计</w:t>
      </w:r>
      <w:r>
        <w:rPr>
          <w:rFonts w:hint="eastAsia" w:ascii="仿宋_GB2312" w:hAnsi="仿宋_GB2312" w:eastAsia="仿宋_GB2312" w:cs="仿宋_GB2312"/>
          <w:color w:val="000000"/>
          <w:sz w:val="32"/>
          <w:szCs w:val="32"/>
          <w:lang w:val="en-US" w:eastAsia="zh-CN"/>
        </w:rPr>
        <w:t>增加22.79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增长2.34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tabs>
          <w:tab w:val="left" w:pos="337"/>
        </w:tabs>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0"/>
          <w:rFonts w:ascii="黑体" w:hAnsi="黑体" w:eastAsia="黑体"/>
          <w:b w:val="0"/>
        </w:rPr>
      </w:pPr>
      <w:bookmarkStart w:id="39" w:name="_Toc79163614"/>
      <w:bookmarkStart w:id="40" w:name="_Toc15396607"/>
      <w:bookmarkStart w:id="41" w:name="_Toc15377209"/>
      <w:bookmarkStart w:id="42"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rPr>
        <w:t>般公共预算财政拨款支出决算情况说明</w:t>
      </w:r>
      <w:bookmarkEnd w:id="39"/>
      <w:bookmarkEnd w:id="40"/>
      <w:bookmarkEnd w:id="41"/>
      <w:bookmarkEnd w:id="42"/>
    </w:p>
    <w:p>
      <w:pPr>
        <w:spacing w:line="600" w:lineRule="exact"/>
        <w:ind w:firstLine="642" w:firstLineChars="200"/>
        <w:outlineLvl w:val="2"/>
        <w:rPr>
          <w:rFonts w:ascii="仿宋" w:hAnsi="仿宋" w:eastAsia="仿宋"/>
          <w:b/>
          <w:color w:val="000000"/>
          <w:sz w:val="32"/>
          <w:szCs w:val="32"/>
        </w:rPr>
      </w:pPr>
      <w:bookmarkStart w:id="43" w:name="_Toc79163865"/>
      <w:bookmarkStart w:id="44" w:name="_Toc15377210"/>
      <w:bookmarkStart w:id="45" w:name="_Toc79163615"/>
      <w:r>
        <w:rPr>
          <w:rFonts w:hint="eastAsia" w:ascii="仿宋" w:hAnsi="仿宋" w:eastAsia="仿宋"/>
          <w:b/>
          <w:color w:val="000000"/>
          <w:sz w:val="32"/>
          <w:szCs w:val="32"/>
        </w:rPr>
        <w:t>（一）一般公共预算财政拨款支出决算总体情况</w:t>
      </w:r>
      <w:bookmarkEnd w:id="43"/>
      <w:bookmarkEnd w:id="44"/>
      <w:bookmarkEnd w:id="45"/>
    </w:p>
    <w:p>
      <w:p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sz w:val="32"/>
          <w:szCs w:val="32"/>
        </w:rPr>
        <w:t>995.26</w:t>
      </w:r>
      <w:r>
        <w:rPr>
          <w:rFonts w:hint="eastAsia" w:ascii="仿宋_GB2312" w:hAnsi="仿宋_GB2312" w:eastAsia="仿宋_GB2312" w:cs="仿宋_GB2312"/>
          <w:color w:val="000000"/>
          <w:sz w:val="32"/>
          <w:szCs w:val="32"/>
        </w:rPr>
        <w:t>万元，占本年支出合计的100%。与202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val="en-US" w:eastAsia="zh-CN"/>
        </w:rPr>
        <w:t>增加22.79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增长2.34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pStyle w:val="3"/>
        <w:rPr>
          <w:rFonts w:hint="eastAsia"/>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2" w:firstLineChars="200"/>
        <w:outlineLvl w:val="2"/>
        <w:rPr>
          <w:rFonts w:ascii="仿宋" w:hAnsi="仿宋" w:eastAsia="仿宋"/>
          <w:b/>
          <w:color w:val="000000"/>
          <w:sz w:val="32"/>
          <w:szCs w:val="32"/>
        </w:rPr>
      </w:pPr>
      <w:bookmarkStart w:id="46" w:name="_Toc79163616"/>
      <w:bookmarkStart w:id="47" w:name="_Toc79163866"/>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6"/>
      <w:bookmarkEnd w:id="47"/>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年一般公共预算财政拨款支出</w:t>
      </w:r>
      <w:r>
        <w:rPr>
          <w:rFonts w:hint="eastAsia" w:ascii="仿宋_GB2312" w:hAnsi="仿宋_GB2312" w:eastAsia="仿宋_GB2312" w:cs="仿宋_GB2312"/>
          <w:sz w:val="32"/>
          <w:szCs w:val="32"/>
        </w:rPr>
        <w:t>995.26</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b/>
          <w:color w:val="000000"/>
          <w:sz w:val="32"/>
          <w:szCs w:val="32"/>
          <w:lang w:val="en-US" w:eastAsia="zh-CN"/>
        </w:rPr>
        <w:t>906.99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91.13</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39.09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3.93</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49.18</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4.94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48" w:name="_Toc79163867"/>
      <w:bookmarkStart w:id="49" w:name="_Toc15377212"/>
      <w:bookmarkStart w:id="50" w:name="_Toc79163617"/>
      <w:bookmarkStart w:id="51" w:name="_Toc15377214"/>
      <w:bookmarkStart w:id="52" w:name="_Toc15396608"/>
      <w:r>
        <w:rPr>
          <w:rFonts w:hint="eastAsia" w:ascii="仿宋" w:hAnsi="仿宋" w:eastAsia="仿宋"/>
          <w:b/>
          <w:color w:val="000000"/>
          <w:sz w:val="32"/>
          <w:szCs w:val="32"/>
        </w:rPr>
        <w:t>（三）</w:t>
      </w:r>
      <w:r>
        <w:rPr>
          <w:rFonts w:hint="eastAsia" w:ascii="仿宋_GB2312" w:hAnsi="仿宋_GB2312" w:eastAsia="仿宋_GB2312" w:cs="仿宋_GB2312"/>
          <w:b/>
          <w:color w:val="000000"/>
          <w:sz w:val="32"/>
          <w:szCs w:val="32"/>
        </w:rPr>
        <w:t>一般公共预算财政拨款支出决算具体情况</w:t>
      </w:r>
      <w:bookmarkEnd w:id="48"/>
      <w:bookmarkEnd w:id="49"/>
      <w:bookmarkEnd w:id="50"/>
    </w:p>
    <w:p>
      <w:pPr>
        <w:spacing w:line="600" w:lineRule="exact"/>
        <w:ind w:firstLine="640" w:firstLineChars="200"/>
        <w:rPr>
          <w:rFonts w:hint="eastAsia" w:ascii="仿宋_GB2312" w:hAnsi="仿宋_GB2312" w:eastAsia="仿宋_GB2312" w:cs="仿宋_GB2312"/>
          <w:color w:val="000000"/>
          <w:sz w:val="32"/>
          <w:szCs w:val="32"/>
        </w:rPr>
      </w:pPr>
      <w:bookmarkStart w:id="53" w:name="_Toc15378460"/>
      <w:bookmarkStart w:id="54" w:name="_Toc15377444"/>
      <w:bookmarkStart w:id="55" w:name="_Toc15377213"/>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年一般公共预算支出决算数为</w:t>
      </w:r>
      <w:r>
        <w:rPr>
          <w:rFonts w:hint="eastAsia" w:ascii="仿宋_GB2312" w:hAnsi="仿宋_GB2312" w:eastAsia="仿宋_GB2312" w:cs="仿宋_GB2312"/>
          <w:sz w:val="32"/>
          <w:szCs w:val="32"/>
        </w:rPr>
        <w:t>995.26</w:t>
      </w:r>
      <w:r>
        <w:rPr>
          <w:rFonts w:hint="eastAsia" w:ascii="仿宋_GB2312" w:hAnsi="仿宋_GB2312" w:eastAsia="仿宋_GB2312" w:cs="仿宋_GB2312"/>
          <w:color w:val="000000"/>
          <w:sz w:val="32"/>
          <w:szCs w:val="32"/>
        </w:rPr>
        <w:t>万元，完成预算100%。其中：</w:t>
      </w:r>
      <w:bookmarkEnd w:id="53"/>
      <w:bookmarkEnd w:id="54"/>
      <w:bookmarkEnd w:id="55"/>
    </w:p>
    <w:bookmarkEnd w:id="51"/>
    <w:bookmarkEnd w:id="52"/>
    <w:p>
      <w:pPr>
        <w:spacing w:line="576" w:lineRule="exact"/>
        <w:ind w:firstLine="642" w:firstLineChars="200"/>
        <w:rPr>
          <w:rStyle w:val="18"/>
          <w:rFonts w:ascii="仿宋_GB2312" w:hAnsi="仿宋" w:eastAsia="仿宋_GB2312"/>
          <w:b w:val="0"/>
          <w:bCs/>
          <w:color w:val="000000"/>
          <w:sz w:val="32"/>
          <w:szCs w:val="32"/>
        </w:rPr>
      </w:pPr>
      <w:bookmarkStart w:id="56" w:name="_Toc79163868"/>
      <w:bookmarkStart w:id="57" w:name="_Toc79163618"/>
      <w:bookmarkStart w:id="58" w:name="_Toc15377215"/>
      <w:bookmarkStart w:id="59" w:name="_Toc15396609"/>
      <w:r>
        <w:rPr>
          <w:rStyle w:val="18"/>
          <w:rFonts w:hint="eastAsia" w:ascii="仿宋_GB2312" w:hAnsi="仿宋_GB2312" w:eastAsia="仿宋_GB2312" w:cs="仿宋_GB2312"/>
          <w:bCs/>
          <w:color w:val="000000"/>
          <w:sz w:val="32"/>
          <w:szCs w:val="32"/>
        </w:rPr>
        <w:t>1.</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）行政运行（</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w:t>
      </w:r>
      <w:r>
        <w:rPr>
          <w:rStyle w:val="18"/>
          <w:rFonts w:hint="eastAsia" w:ascii="仿宋_GB2312" w:hAnsi="仿宋_GB2312" w:eastAsia="仿宋_GB2312" w:cs="仿宋_GB2312"/>
          <w:bCs/>
          <w:color w:val="000000"/>
          <w:sz w:val="32"/>
          <w:szCs w:val="32"/>
        </w:rPr>
        <w:t xml:space="preserve">: </w:t>
      </w:r>
      <w:r>
        <w:rPr>
          <w:rStyle w:val="18"/>
          <w:rFonts w:hint="eastAsia" w:ascii="仿宋_GB2312" w:hAnsi="仿宋_GB2312" w:eastAsia="仿宋_GB2312" w:cs="仿宋_GB2312"/>
          <w:b w:val="0"/>
          <w:bCs/>
          <w:color w:val="000000"/>
          <w:sz w:val="32"/>
          <w:szCs w:val="32"/>
        </w:rPr>
        <w:t>支出决算为</w:t>
      </w:r>
      <w:r>
        <w:rPr>
          <w:rStyle w:val="18"/>
          <w:rFonts w:hint="eastAsia" w:ascii="仿宋_GB2312" w:hAnsi="仿宋_GB2312" w:eastAsia="仿宋_GB2312" w:cs="仿宋_GB2312"/>
          <w:b w:val="0"/>
          <w:bCs/>
          <w:color w:val="000000"/>
          <w:sz w:val="32"/>
          <w:szCs w:val="32"/>
          <w:lang w:val="en-US" w:eastAsia="zh-CN"/>
        </w:rPr>
        <w:t>216.32</w:t>
      </w:r>
      <w:r>
        <w:rPr>
          <w:rStyle w:val="18"/>
          <w:rFonts w:hint="eastAsia" w:ascii="仿宋_GB2312" w:hAnsi="仿宋_GB2312" w:eastAsia="仿宋_GB2312" w:cs="仿宋_GB2312"/>
          <w:b w:val="0"/>
          <w:bCs/>
          <w:color w:val="000000"/>
          <w:sz w:val="32"/>
          <w:szCs w:val="32"/>
        </w:rPr>
        <w:t>万元，完成预算100%，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Style w:val="18"/>
          <w:rFonts w:hint="eastAsia" w:ascii="仿宋_GB2312" w:hAnsi="仿宋_GB2312" w:eastAsia="仿宋_GB2312" w:cs="仿宋_GB2312"/>
          <w:b w:val="0"/>
          <w:bCs/>
          <w:color w:val="000000"/>
          <w:sz w:val="32"/>
          <w:szCs w:val="32"/>
        </w:rPr>
        <w:t>主要原因是</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单位行政人员日常经费开支。</w:t>
      </w:r>
    </w:p>
    <w:p>
      <w:pPr>
        <w:spacing w:line="576" w:lineRule="exact"/>
        <w:ind w:firstLine="642" w:firstLineChars="200"/>
        <w:rPr>
          <w:rStyle w:val="18"/>
          <w:rFonts w:hint="eastAsia" w:ascii="仿宋_GB2312" w:hAnsi="仿宋_GB2312" w:eastAsia="仿宋_GB2312" w:cs="仿宋_GB2312"/>
          <w:b w:val="0"/>
          <w:bCs/>
          <w:color w:val="000000"/>
          <w:sz w:val="32"/>
          <w:szCs w:val="32"/>
        </w:rPr>
      </w:pPr>
      <w:r>
        <w:rPr>
          <w:rStyle w:val="18"/>
          <w:rFonts w:hint="eastAsia" w:ascii="仿宋_GB2312" w:hAnsi="仿宋_GB2312" w:eastAsia="仿宋_GB2312" w:cs="仿宋_GB2312"/>
          <w:bCs/>
          <w:color w:val="000000"/>
          <w:sz w:val="32"/>
          <w:szCs w:val="32"/>
        </w:rPr>
        <w:t>2.</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）事业运行（</w:t>
      </w: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w:t>
      </w:r>
      <w:r>
        <w:rPr>
          <w:rStyle w:val="18"/>
          <w:rFonts w:hint="eastAsia" w:ascii="仿宋_GB2312" w:hAnsi="仿宋_GB2312" w:eastAsia="仿宋_GB2312" w:cs="仿宋_GB2312"/>
          <w:bCs/>
          <w:color w:val="000000"/>
          <w:sz w:val="32"/>
          <w:szCs w:val="32"/>
        </w:rPr>
        <w:t xml:space="preserve">: </w:t>
      </w:r>
      <w:r>
        <w:rPr>
          <w:rStyle w:val="18"/>
          <w:rFonts w:hint="eastAsia" w:ascii="仿宋_GB2312" w:hAnsi="仿宋_GB2312" w:eastAsia="仿宋_GB2312" w:cs="仿宋_GB2312"/>
          <w:b w:val="0"/>
          <w:bCs/>
          <w:color w:val="000000"/>
          <w:sz w:val="32"/>
          <w:szCs w:val="32"/>
        </w:rPr>
        <w:t>支出决算为</w:t>
      </w:r>
      <w:r>
        <w:rPr>
          <w:rStyle w:val="18"/>
          <w:rFonts w:hint="eastAsia" w:ascii="仿宋_GB2312" w:hAnsi="仿宋_GB2312" w:eastAsia="仿宋_GB2312" w:cs="仿宋_GB2312"/>
          <w:b w:val="0"/>
          <w:bCs/>
          <w:color w:val="000000"/>
          <w:sz w:val="32"/>
          <w:szCs w:val="32"/>
          <w:lang w:val="en-US" w:eastAsia="zh-CN"/>
        </w:rPr>
        <w:t>278.40</w:t>
      </w:r>
      <w:r>
        <w:rPr>
          <w:rStyle w:val="18"/>
          <w:rFonts w:hint="eastAsia" w:ascii="仿宋_GB2312" w:hAnsi="仿宋_GB2312" w:eastAsia="仿宋_GB2312" w:cs="仿宋_GB2312"/>
          <w:b w:val="0"/>
          <w:bCs/>
          <w:color w:val="000000"/>
          <w:sz w:val="32"/>
          <w:szCs w:val="32"/>
        </w:rPr>
        <w:t>万元，完成预算100%，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Style w:val="18"/>
          <w:rFonts w:hint="eastAsia" w:ascii="仿宋_GB2312" w:hAnsi="仿宋_GB2312" w:eastAsia="仿宋_GB2312" w:cs="仿宋_GB2312"/>
          <w:b w:val="0"/>
          <w:bCs/>
          <w:color w:val="000000"/>
          <w:sz w:val="32"/>
          <w:szCs w:val="32"/>
        </w:rPr>
        <w:t>主要原因是</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单位事业人员日常经费开支。</w:t>
      </w:r>
    </w:p>
    <w:p>
      <w:pPr>
        <w:spacing w:line="576" w:lineRule="exact"/>
        <w:ind w:firstLine="642" w:firstLineChars="200"/>
        <w:rPr>
          <w:rStyle w:val="18"/>
          <w:rFonts w:hint="eastAsia" w:ascii="仿宋_GB2312" w:hAnsi="仿宋_GB2312" w:eastAsia="仿宋_GB2312" w:cs="仿宋_GB2312"/>
          <w:bCs/>
          <w:color w:val="auto"/>
        </w:rPr>
      </w:pPr>
      <w:r>
        <w:rPr>
          <w:rStyle w:val="18"/>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sz w:val="32"/>
          <w:szCs w:val="32"/>
        </w:rPr>
        <w:t xml:space="preserve"> 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）其他人力资源和社会保障管理事务支出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99</w:t>
      </w:r>
      <w:r>
        <w:rPr>
          <w:rFonts w:hint="eastAsia" w:ascii="仿宋_GB2312" w:hAnsi="仿宋_GB2312" w:eastAsia="仿宋_GB2312" w:cs="仿宋_GB2312"/>
          <w:b/>
          <w:bCs/>
          <w:sz w:val="32"/>
          <w:szCs w:val="32"/>
        </w:rPr>
        <w:t>）</w:t>
      </w:r>
      <w:r>
        <w:rPr>
          <w:rFonts w:hint="eastAsia" w:ascii="仿宋_GB2312" w:hAnsi="仿宋_GB2312" w:eastAsia="仿宋_GB2312" w:cs="仿宋_GB2312"/>
        </w:rPr>
        <w:t>:</w:t>
      </w:r>
      <w:r>
        <w:rPr>
          <w:rStyle w:val="18"/>
          <w:rFonts w:hint="eastAsia" w:ascii="仿宋_GB2312" w:hAnsi="仿宋_GB2312" w:eastAsia="仿宋_GB2312" w:cs="仿宋_GB2312"/>
          <w:b w:val="0"/>
          <w:bCs/>
          <w:color w:val="000000"/>
          <w:sz w:val="32"/>
          <w:szCs w:val="32"/>
        </w:rPr>
        <w:t>支出决算为</w:t>
      </w:r>
      <w:r>
        <w:rPr>
          <w:rStyle w:val="18"/>
          <w:rFonts w:hint="eastAsia" w:ascii="仿宋_GB2312" w:hAnsi="仿宋_GB2312" w:eastAsia="仿宋_GB2312" w:cs="仿宋_GB2312"/>
          <w:b w:val="0"/>
          <w:bCs/>
          <w:color w:val="000000"/>
          <w:sz w:val="32"/>
          <w:szCs w:val="32"/>
          <w:lang w:val="en-US" w:eastAsia="zh-CN"/>
        </w:rPr>
        <w:t>322.48</w:t>
      </w:r>
      <w:r>
        <w:rPr>
          <w:rStyle w:val="18"/>
          <w:rFonts w:hint="eastAsia" w:ascii="仿宋_GB2312" w:hAnsi="仿宋_GB2312" w:eastAsia="仿宋_GB2312" w:cs="仿宋_GB2312"/>
          <w:b w:val="0"/>
          <w:bCs/>
          <w:color w:val="000000"/>
          <w:sz w:val="32"/>
          <w:szCs w:val="32"/>
        </w:rPr>
        <w:t>万元，完成预算100%，</w:t>
      </w:r>
      <w:r>
        <w:rPr>
          <w:rStyle w:val="18"/>
          <w:rFonts w:hint="default" w:ascii="仿宋_GB2312" w:hAnsi="仿宋_GB2312" w:eastAsia="仿宋_GB2312" w:cs="仿宋_GB2312"/>
          <w:b w:val="0"/>
          <w:bCs/>
          <w:color w:val="000000"/>
          <w:sz w:val="32"/>
          <w:szCs w:val="32"/>
        </w:rPr>
        <w:t xml:space="preserve"> </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Style w:val="18"/>
          <w:rFonts w:hint="eastAsia" w:ascii="仿宋_GB2312" w:hAnsi="仿宋_GB2312" w:eastAsia="仿宋_GB2312" w:cs="仿宋_GB2312"/>
          <w:b w:val="0"/>
          <w:bCs/>
          <w:color w:val="000000"/>
          <w:sz w:val="32"/>
          <w:szCs w:val="32"/>
        </w:rPr>
        <w:t>主要原因是</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退还民工工资保证金</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公开招考事业单位工作人员经费</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金保网络运行经费</w:t>
      </w:r>
      <w:r>
        <w:rPr>
          <w:rFonts w:hint="eastAsia" w:ascii="仿宋_GB2312" w:hAnsi="仿宋_GB2312" w:eastAsia="仿宋_GB2312" w:cs="仿宋_GB2312"/>
          <w:color w:val="auto"/>
          <w:sz w:val="32"/>
          <w:szCs w:val="32"/>
        </w:rPr>
        <w:t>等</w:t>
      </w:r>
      <w:r>
        <w:rPr>
          <w:rStyle w:val="18"/>
          <w:rFonts w:hint="eastAsia" w:ascii="仿宋_GB2312" w:hAnsi="仿宋_GB2312" w:eastAsia="仿宋_GB2312" w:cs="仿宋_GB2312"/>
          <w:b w:val="0"/>
          <w:bCs/>
          <w:color w:val="auto"/>
          <w:sz w:val="32"/>
          <w:szCs w:val="32"/>
        </w:rPr>
        <w:t>支出。</w:t>
      </w:r>
    </w:p>
    <w:p>
      <w:pPr>
        <w:spacing w:line="576" w:lineRule="exact"/>
        <w:ind w:firstLine="642" w:firstLineChars="200"/>
        <w:rPr>
          <w:rStyle w:val="18"/>
          <w:rFonts w:hint="eastAsia" w:ascii="仿宋_GB2312" w:hAnsi="仿宋_GB2312" w:eastAsia="仿宋_GB2312" w:cs="仿宋_GB2312"/>
          <w:b w:val="0"/>
          <w:bCs/>
          <w:color w:val="000000"/>
          <w:sz w:val="32"/>
          <w:szCs w:val="32"/>
        </w:rPr>
      </w:pPr>
      <w:r>
        <w:rPr>
          <w:rStyle w:val="18"/>
          <w:rFonts w:hint="eastAsia" w:ascii="仿宋_GB2312" w:hAnsi="仿宋_GB2312" w:eastAsia="仿宋_GB2312" w:cs="仿宋_GB2312"/>
          <w:bCs/>
          <w:color w:val="000000"/>
          <w:sz w:val="32"/>
          <w:szCs w:val="32"/>
        </w:rPr>
        <w:t>4.</w:t>
      </w:r>
      <w:r>
        <w:rPr>
          <w:rStyle w:val="18"/>
          <w:rFonts w:hint="eastAsia" w:ascii="仿宋_GB2312" w:hAnsi="仿宋_GB2312" w:eastAsia="仿宋_GB2312" w:cs="仿宋_GB2312"/>
          <w:bCs/>
          <w:color w:val="000000"/>
          <w:sz w:val="32"/>
          <w:szCs w:val="32"/>
        </w:rPr>
        <w:t>社会保障和就业支出（</w:t>
      </w:r>
      <w:r>
        <w:rPr>
          <w:rFonts w:hint="eastAsia" w:ascii="仿宋_GB2312" w:hAnsi="仿宋_GB2312" w:eastAsia="仿宋_GB2312" w:cs="仿宋_GB2312"/>
          <w:b/>
          <w:color w:val="000000"/>
          <w:sz w:val="32"/>
          <w:szCs w:val="32"/>
          <w:lang w:val="en-US" w:eastAsia="zh-CN"/>
        </w:rPr>
        <w:t>208</w:t>
      </w:r>
      <w:r>
        <w:rPr>
          <w:rStyle w:val="18"/>
          <w:rFonts w:hint="eastAsia" w:ascii="仿宋_GB2312" w:hAnsi="仿宋_GB2312" w:eastAsia="仿宋_GB2312" w:cs="仿宋_GB2312"/>
          <w:bCs/>
          <w:color w:val="000000"/>
          <w:sz w:val="32"/>
          <w:szCs w:val="32"/>
        </w:rPr>
        <w:t>）行政事业单位养老支出（</w:t>
      </w:r>
      <w:r>
        <w:rPr>
          <w:rStyle w:val="18"/>
          <w:rFonts w:hint="eastAsia" w:ascii="仿宋_GB2312" w:hAnsi="仿宋_GB2312" w:eastAsia="仿宋_GB2312" w:cs="仿宋_GB2312"/>
          <w:bCs/>
          <w:color w:val="000000"/>
          <w:sz w:val="32"/>
          <w:szCs w:val="32"/>
          <w:lang w:val="en-US" w:eastAsia="zh-CN"/>
        </w:rPr>
        <w:t>05</w:t>
      </w:r>
      <w:r>
        <w:rPr>
          <w:rStyle w:val="18"/>
          <w:rFonts w:hint="eastAsia" w:ascii="仿宋_GB2312" w:hAnsi="仿宋_GB2312" w:eastAsia="仿宋_GB2312" w:cs="仿宋_GB2312"/>
          <w:bCs/>
          <w:color w:val="000000"/>
          <w:sz w:val="32"/>
          <w:szCs w:val="32"/>
        </w:rPr>
        <w:t>）机关事业单位基本养老保险缴费支出（</w:t>
      </w:r>
      <w:r>
        <w:rPr>
          <w:rStyle w:val="18"/>
          <w:rFonts w:hint="eastAsia" w:ascii="仿宋_GB2312" w:hAnsi="仿宋_GB2312" w:eastAsia="仿宋_GB2312" w:cs="仿宋_GB2312"/>
          <w:bCs/>
          <w:color w:val="000000"/>
          <w:sz w:val="32"/>
          <w:szCs w:val="32"/>
          <w:lang w:val="en-US" w:eastAsia="zh-CN"/>
        </w:rPr>
        <w:t>05</w:t>
      </w:r>
      <w:r>
        <w:rPr>
          <w:rStyle w:val="18"/>
          <w:rFonts w:hint="eastAsia" w:ascii="仿宋_GB2312" w:hAnsi="仿宋_GB2312" w:eastAsia="仿宋_GB2312" w:cs="仿宋_GB2312"/>
          <w:bCs/>
          <w:color w:val="000000"/>
          <w:sz w:val="32"/>
          <w:szCs w:val="32"/>
        </w:rPr>
        <w:t>）:</w:t>
      </w:r>
      <w:r>
        <w:rPr>
          <w:rStyle w:val="18"/>
          <w:rFonts w:hint="eastAsia" w:ascii="仿宋_GB2312" w:hAnsi="仿宋_GB2312" w:eastAsia="仿宋_GB2312" w:cs="仿宋_GB2312"/>
          <w:b w:val="0"/>
          <w:bCs/>
          <w:color w:val="000000"/>
          <w:sz w:val="32"/>
          <w:szCs w:val="32"/>
        </w:rPr>
        <w:t>支出决算为</w:t>
      </w:r>
      <w:r>
        <w:rPr>
          <w:rStyle w:val="18"/>
          <w:rFonts w:hint="eastAsia" w:ascii="仿宋_GB2312" w:hAnsi="仿宋_GB2312" w:eastAsia="仿宋_GB2312" w:cs="仿宋_GB2312"/>
          <w:b w:val="0"/>
          <w:bCs/>
          <w:color w:val="000000"/>
          <w:sz w:val="32"/>
          <w:szCs w:val="32"/>
          <w:lang w:val="en-US" w:eastAsia="zh-CN"/>
        </w:rPr>
        <w:t>59.86</w:t>
      </w:r>
      <w:r>
        <w:rPr>
          <w:rStyle w:val="18"/>
          <w:rFonts w:hint="eastAsia" w:ascii="仿宋_GB2312" w:hAnsi="仿宋_GB2312" w:eastAsia="仿宋_GB2312" w:cs="仿宋_GB2312"/>
          <w:b w:val="0"/>
          <w:bCs/>
          <w:color w:val="000000"/>
          <w:sz w:val="32"/>
          <w:szCs w:val="32"/>
        </w:rPr>
        <w:t>万元，完成预算100%，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Style w:val="18"/>
          <w:rFonts w:hint="eastAsia" w:ascii="仿宋_GB2312" w:hAnsi="仿宋_GB2312" w:eastAsia="仿宋_GB2312" w:cs="仿宋_GB2312"/>
          <w:b w:val="0"/>
          <w:bCs/>
          <w:color w:val="000000"/>
          <w:sz w:val="32"/>
          <w:szCs w:val="32"/>
        </w:rPr>
        <w:t>主要原因是</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rPr>
        <w:t>单位缴纳养老保险。</w:t>
      </w:r>
    </w:p>
    <w:p>
      <w:pPr>
        <w:spacing w:line="576"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5.</w:t>
      </w:r>
      <w:r>
        <w:rPr>
          <w:rStyle w:val="18"/>
          <w:rFonts w:hint="eastAsia" w:ascii="仿宋_GB2312" w:hAnsi="仿宋_GB2312" w:eastAsia="仿宋_GB2312" w:cs="仿宋_GB2312"/>
          <w:bCs/>
          <w:color w:val="000000"/>
          <w:sz w:val="32"/>
          <w:szCs w:val="32"/>
        </w:rPr>
        <w:t>社会保障和就业支出（</w:t>
      </w:r>
      <w:r>
        <w:rPr>
          <w:rFonts w:hint="eastAsia" w:ascii="仿宋_GB2312" w:hAnsi="仿宋_GB2312" w:eastAsia="仿宋_GB2312" w:cs="仿宋_GB2312"/>
          <w:b/>
          <w:color w:val="000000"/>
          <w:sz w:val="32"/>
          <w:szCs w:val="32"/>
          <w:lang w:val="en-US" w:eastAsia="zh-CN"/>
        </w:rPr>
        <w:t>208</w:t>
      </w:r>
      <w:r>
        <w:rPr>
          <w:rStyle w:val="18"/>
          <w:rFonts w:hint="eastAsia" w:ascii="仿宋_GB2312" w:hAnsi="仿宋_GB2312" w:eastAsia="仿宋_GB2312" w:cs="仿宋_GB2312"/>
          <w:bCs/>
          <w:color w:val="000000"/>
          <w:sz w:val="32"/>
          <w:szCs w:val="32"/>
        </w:rPr>
        <w:t>）行政事业单位养老支出（</w:t>
      </w:r>
      <w:r>
        <w:rPr>
          <w:rStyle w:val="18"/>
          <w:rFonts w:hint="eastAsia" w:ascii="仿宋_GB2312" w:hAnsi="仿宋_GB2312" w:eastAsia="仿宋_GB2312" w:cs="仿宋_GB2312"/>
          <w:bCs/>
          <w:color w:val="000000"/>
          <w:sz w:val="32"/>
          <w:szCs w:val="32"/>
          <w:lang w:val="en-US" w:eastAsia="zh-CN"/>
        </w:rPr>
        <w:t>05</w:t>
      </w:r>
      <w:r>
        <w:rPr>
          <w:rStyle w:val="18"/>
          <w:rFonts w:hint="eastAsia" w:ascii="仿宋_GB2312" w:hAnsi="仿宋_GB2312" w:eastAsia="仿宋_GB2312" w:cs="仿宋_GB2312"/>
          <w:bCs/>
          <w:color w:val="000000"/>
          <w:sz w:val="32"/>
          <w:szCs w:val="32"/>
        </w:rPr>
        <w:t>）机关事业单位职业年金缴费支出（</w:t>
      </w:r>
      <w:r>
        <w:rPr>
          <w:rStyle w:val="18"/>
          <w:rFonts w:hint="eastAsia" w:ascii="仿宋_GB2312" w:hAnsi="仿宋_GB2312" w:eastAsia="仿宋_GB2312" w:cs="仿宋_GB2312"/>
          <w:bCs/>
          <w:color w:val="000000"/>
          <w:sz w:val="32"/>
          <w:szCs w:val="32"/>
          <w:lang w:val="en-US" w:eastAsia="zh-CN"/>
        </w:rPr>
        <w:t>06</w:t>
      </w:r>
      <w:r>
        <w:rPr>
          <w:rStyle w:val="18"/>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29.93</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rPr>
        <w:t>，</w:t>
      </w:r>
      <w:r>
        <w:rPr>
          <w:rStyle w:val="18"/>
          <w:rFonts w:hint="eastAsia" w:ascii="仿宋_GB2312" w:hAnsi="仿宋_GB2312" w:eastAsia="仿宋_GB2312" w:cs="仿宋_GB2312"/>
          <w:b w:val="0"/>
          <w:bCs/>
          <w:color w:val="000000"/>
          <w:sz w:val="32"/>
          <w:szCs w:val="32"/>
          <w:lang w:val="en-US" w:eastAsia="zh-CN"/>
        </w:rPr>
        <w:t>决算数等于预算数</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单位缴纳职业年金。</w:t>
      </w:r>
    </w:p>
    <w:p>
      <w:pPr>
        <w:spacing w:line="576"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6.医疗卫生与计划生育（</w:t>
      </w:r>
      <w:r>
        <w:rPr>
          <w:rFonts w:hint="eastAsia" w:ascii="仿宋_GB2312" w:hAnsi="仿宋_GB2312" w:eastAsia="仿宋_GB2312" w:cs="仿宋_GB2312"/>
          <w:b/>
          <w:color w:val="000000"/>
          <w:sz w:val="32"/>
          <w:szCs w:val="32"/>
          <w:lang w:val="en-US" w:eastAsia="zh-CN"/>
        </w:rPr>
        <w:t>210</w:t>
      </w:r>
      <w:r>
        <w:rPr>
          <w:rStyle w:val="18"/>
          <w:rFonts w:hint="eastAsia" w:ascii="仿宋_GB2312" w:hAnsi="仿宋_GB2312" w:eastAsia="仿宋_GB2312" w:cs="仿宋_GB2312"/>
          <w:bCs/>
          <w:color w:val="000000"/>
          <w:sz w:val="32"/>
          <w:szCs w:val="32"/>
        </w:rPr>
        <w:t>）行政事业单位医疗（</w:t>
      </w:r>
      <w:r>
        <w:rPr>
          <w:rStyle w:val="18"/>
          <w:rFonts w:hint="eastAsia" w:ascii="仿宋_GB2312" w:hAnsi="仿宋_GB2312" w:eastAsia="仿宋_GB2312" w:cs="仿宋_GB2312"/>
          <w:bCs/>
          <w:color w:val="000000"/>
          <w:sz w:val="32"/>
          <w:szCs w:val="32"/>
          <w:lang w:val="en-US" w:eastAsia="zh-CN"/>
        </w:rPr>
        <w:t>11</w:t>
      </w:r>
      <w:r>
        <w:rPr>
          <w:rStyle w:val="18"/>
          <w:rFonts w:hint="eastAsia" w:ascii="仿宋_GB2312" w:hAnsi="仿宋_GB2312" w:eastAsia="仿宋_GB2312" w:cs="仿宋_GB2312"/>
          <w:bCs/>
          <w:color w:val="000000"/>
          <w:sz w:val="32"/>
          <w:szCs w:val="32"/>
        </w:rPr>
        <w:t>）行政单位医疗（</w:t>
      </w:r>
      <w:r>
        <w:rPr>
          <w:rStyle w:val="18"/>
          <w:rFonts w:hint="eastAsia" w:ascii="仿宋_GB2312" w:hAnsi="仿宋_GB2312" w:eastAsia="仿宋_GB2312" w:cs="仿宋_GB2312"/>
          <w:bCs/>
          <w:color w:val="000000"/>
          <w:sz w:val="32"/>
          <w:szCs w:val="32"/>
          <w:lang w:val="en-US" w:eastAsia="zh-CN"/>
        </w:rPr>
        <w:t>01</w:t>
      </w:r>
      <w:r>
        <w:rPr>
          <w:rStyle w:val="18"/>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16.64</w:t>
      </w:r>
      <w:r>
        <w:rPr>
          <w:rFonts w:hint="eastAsia" w:ascii="仿宋_GB2312" w:hAnsi="仿宋_GB2312" w:eastAsia="仿宋_GB2312" w:cs="仿宋_GB2312"/>
          <w:sz w:val="32"/>
          <w:szCs w:val="32"/>
        </w:rPr>
        <w:t>万元，完成预算100%，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行政单位缴纳基本医疗保险。</w:t>
      </w:r>
    </w:p>
    <w:p>
      <w:pPr>
        <w:spacing w:line="576"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7.医疗卫生与计划生育（</w:t>
      </w:r>
      <w:r>
        <w:rPr>
          <w:rFonts w:hint="eastAsia" w:ascii="仿宋_GB2312" w:hAnsi="仿宋_GB2312" w:eastAsia="仿宋_GB2312" w:cs="仿宋_GB2312"/>
          <w:b/>
          <w:color w:val="000000"/>
          <w:sz w:val="32"/>
          <w:szCs w:val="32"/>
          <w:lang w:val="en-US" w:eastAsia="zh-CN"/>
        </w:rPr>
        <w:t>210</w:t>
      </w:r>
      <w:r>
        <w:rPr>
          <w:rStyle w:val="18"/>
          <w:rFonts w:hint="eastAsia" w:ascii="仿宋_GB2312" w:hAnsi="仿宋_GB2312" w:eastAsia="仿宋_GB2312" w:cs="仿宋_GB2312"/>
          <w:bCs/>
          <w:color w:val="000000"/>
          <w:sz w:val="32"/>
          <w:szCs w:val="32"/>
        </w:rPr>
        <w:t>）行政事业单位医疗（</w:t>
      </w:r>
      <w:r>
        <w:rPr>
          <w:rStyle w:val="18"/>
          <w:rFonts w:hint="eastAsia" w:ascii="仿宋_GB2312" w:hAnsi="仿宋_GB2312" w:eastAsia="仿宋_GB2312" w:cs="仿宋_GB2312"/>
          <w:bCs/>
          <w:color w:val="000000"/>
          <w:sz w:val="32"/>
          <w:szCs w:val="32"/>
          <w:lang w:val="en-US" w:eastAsia="zh-CN"/>
        </w:rPr>
        <w:t>11</w:t>
      </w:r>
      <w:r>
        <w:rPr>
          <w:rStyle w:val="18"/>
          <w:rFonts w:hint="eastAsia" w:ascii="仿宋_GB2312" w:hAnsi="仿宋_GB2312" w:eastAsia="仿宋_GB2312" w:cs="仿宋_GB2312"/>
          <w:bCs/>
          <w:color w:val="000000"/>
          <w:sz w:val="32"/>
          <w:szCs w:val="32"/>
        </w:rPr>
        <w:t>）事业单位医疗（</w:t>
      </w:r>
      <w:r>
        <w:rPr>
          <w:rStyle w:val="18"/>
          <w:rFonts w:hint="eastAsia" w:ascii="仿宋_GB2312" w:hAnsi="仿宋_GB2312" w:eastAsia="仿宋_GB2312" w:cs="仿宋_GB2312"/>
          <w:bCs/>
          <w:color w:val="000000"/>
          <w:sz w:val="32"/>
          <w:szCs w:val="32"/>
          <w:lang w:val="en-US" w:eastAsia="zh-CN"/>
        </w:rPr>
        <w:t>02</w:t>
      </w:r>
      <w:r>
        <w:rPr>
          <w:rStyle w:val="18"/>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22.45</w:t>
      </w:r>
      <w:r>
        <w:rPr>
          <w:rFonts w:hint="eastAsia" w:ascii="仿宋_GB2312" w:hAnsi="仿宋_GB2312" w:eastAsia="仿宋_GB2312" w:cs="仿宋_GB2312"/>
          <w:sz w:val="32"/>
          <w:szCs w:val="32"/>
        </w:rPr>
        <w:t>万元，完成预算100%，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事业单位缴纳基本医疗保险。</w:t>
      </w:r>
    </w:p>
    <w:p>
      <w:pPr>
        <w:spacing w:line="576"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8.</w:t>
      </w:r>
      <w:r>
        <w:rPr>
          <w:rStyle w:val="18"/>
          <w:rFonts w:hint="eastAsia" w:ascii="仿宋_GB2312" w:hAnsi="仿宋_GB2312" w:eastAsia="仿宋_GB2312" w:cs="仿宋_GB2312"/>
          <w:bCs/>
          <w:color w:val="000000"/>
          <w:sz w:val="32"/>
          <w:szCs w:val="32"/>
        </w:rPr>
        <w:t>住房保障（</w:t>
      </w:r>
      <w:r>
        <w:rPr>
          <w:rStyle w:val="18"/>
          <w:rFonts w:hint="eastAsia" w:ascii="仿宋_GB2312" w:hAnsi="仿宋_GB2312" w:eastAsia="仿宋_GB2312" w:cs="仿宋_GB2312"/>
          <w:bCs/>
          <w:color w:val="000000"/>
          <w:sz w:val="32"/>
          <w:szCs w:val="32"/>
          <w:lang w:val="en-US" w:eastAsia="zh-CN"/>
        </w:rPr>
        <w:t>221</w:t>
      </w:r>
      <w:r>
        <w:rPr>
          <w:rStyle w:val="18"/>
          <w:rFonts w:hint="eastAsia" w:ascii="仿宋_GB2312" w:hAnsi="仿宋_GB2312" w:eastAsia="仿宋_GB2312" w:cs="仿宋_GB2312"/>
          <w:bCs/>
          <w:color w:val="000000"/>
          <w:sz w:val="32"/>
          <w:szCs w:val="32"/>
        </w:rPr>
        <w:t>）住房改革（</w:t>
      </w:r>
      <w:r>
        <w:rPr>
          <w:rStyle w:val="18"/>
          <w:rFonts w:hint="eastAsia" w:ascii="仿宋_GB2312" w:hAnsi="仿宋_GB2312" w:eastAsia="仿宋_GB2312" w:cs="仿宋_GB2312"/>
          <w:bCs/>
          <w:color w:val="000000"/>
          <w:sz w:val="32"/>
          <w:szCs w:val="32"/>
          <w:lang w:val="en-US" w:eastAsia="zh-CN"/>
        </w:rPr>
        <w:t>02</w:t>
      </w:r>
      <w:r>
        <w:rPr>
          <w:rStyle w:val="18"/>
          <w:rFonts w:hint="eastAsia" w:ascii="仿宋_GB2312" w:hAnsi="仿宋_GB2312" w:eastAsia="仿宋_GB2312" w:cs="仿宋_GB2312"/>
          <w:bCs/>
          <w:color w:val="000000"/>
          <w:sz w:val="32"/>
          <w:szCs w:val="32"/>
        </w:rPr>
        <w:t>）住房公积金（</w:t>
      </w:r>
      <w:r>
        <w:rPr>
          <w:rStyle w:val="18"/>
          <w:rFonts w:hint="eastAsia" w:ascii="仿宋_GB2312" w:hAnsi="仿宋_GB2312" w:eastAsia="仿宋_GB2312" w:cs="仿宋_GB2312"/>
          <w:bCs/>
          <w:color w:val="000000"/>
          <w:sz w:val="32"/>
          <w:szCs w:val="32"/>
          <w:lang w:val="en-US" w:eastAsia="zh-CN"/>
        </w:rPr>
        <w:t>01</w:t>
      </w:r>
      <w:r>
        <w:rPr>
          <w:rStyle w:val="18"/>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49.18</w:t>
      </w:r>
      <w:r>
        <w:rPr>
          <w:rFonts w:hint="eastAsia" w:ascii="仿宋_GB2312" w:hAnsi="仿宋_GB2312" w:eastAsia="仿宋_GB2312" w:cs="仿宋_GB2312"/>
          <w:sz w:val="32"/>
          <w:szCs w:val="32"/>
        </w:rPr>
        <w:t>万元，完成预100%，</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en-US" w:eastAsia="zh-CN"/>
        </w:rPr>
        <w:t>原因是：</w:t>
      </w:r>
      <w:r>
        <w:rPr>
          <w:rFonts w:hint="eastAsia" w:ascii="仿宋_GB2312" w:hAnsi="仿宋_GB2312" w:eastAsia="仿宋_GB2312" w:cs="仿宋_GB2312"/>
          <w:sz w:val="32"/>
          <w:szCs w:val="32"/>
        </w:rPr>
        <w:t>单位为职工缴纳住房公积金。</w:t>
      </w:r>
    </w:p>
    <w:p>
      <w:pPr>
        <w:tabs>
          <w:tab w:val="right" w:pos="8306"/>
        </w:tabs>
        <w:spacing w:line="600" w:lineRule="exact"/>
        <w:ind w:firstLine="640"/>
        <w:outlineLvl w:val="1"/>
        <w:rPr>
          <w:rStyle w:val="30"/>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rPr>
        <w:t>般公共预算财政拨款基本支出决算情况说明</w:t>
      </w:r>
      <w:bookmarkEnd w:id="56"/>
      <w:bookmarkEnd w:id="57"/>
      <w:r>
        <w:rPr>
          <w:rStyle w:val="30"/>
          <w:rFonts w:ascii="黑体" w:hAnsi="黑体" w:eastAsia="黑体"/>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sz w:val="32"/>
          <w:szCs w:val="32"/>
        </w:rPr>
        <w:t>672.78</w:t>
      </w:r>
      <w:r>
        <w:rPr>
          <w:rFonts w:hint="eastAsia" w:ascii="仿宋_GB2312" w:hAnsi="仿宋_GB2312" w:eastAsia="仿宋_GB2312" w:cs="仿宋_GB2312"/>
          <w:color w:val="000000"/>
          <w:sz w:val="32"/>
          <w:szCs w:val="32"/>
        </w:rPr>
        <w:t>万元，其中：</w:t>
      </w:r>
    </w:p>
    <w:p>
      <w:pPr>
        <w:spacing w:line="576" w:lineRule="exact"/>
        <w:ind w:firstLine="64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sz w:val="32"/>
          <w:szCs w:val="32"/>
        </w:rPr>
        <w:t>642.91</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outlineLvl w:val="1"/>
        <w:rPr>
          <w:rFonts w:ascii="仿宋" w:hAnsi="仿宋" w:eastAsia="仿宋"/>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sz w:val="32"/>
          <w:szCs w:val="32"/>
        </w:rPr>
        <w:t>29.87</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58"/>
    <w:bookmarkEnd w:id="59"/>
    <w:p>
      <w:pPr>
        <w:spacing w:line="600" w:lineRule="exact"/>
        <w:ind w:firstLine="640"/>
        <w:outlineLvl w:val="1"/>
        <w:rPr>
          <w:rStyle w:val="30"/>
          <w:rFonts w:ascii="黑体" w:hAnsi="黑体" w:eastAsia="黑体"/>
          <w:b w:val="0"/>
        </w:rPr>
      </w:pPr>
      <w:bookmarkStart w:id="60" w:name="_Toc79163869"/>
      <w:bookmarkStart w:id="61" w:name="_Toc79163619"/>
      <w:bookmarkStart w:id="62" w:name="_Toc15377217"/>
      <w:r>
        <w:rPr>
          <w:rFonts w:hint="eastAsia" w:ascii="黑体" w:eastAsia="黑体"/>
          <w:color w:val="000000"/>
          <w:sz w:val="32"/>
          <w:szCs w:val="32"/>
        </w:rPr>
        <w:t>七、</w:t>
      </w:r>
      <w:r>
        <w:rPr>
          <w:rStyle w:val="30"/>
          <w:rFonts w:hint="eastAsia" w:ascii="黑体" w:hAnsi="黑体" w:eastAsia="黑体"/>
        </w:rPr>
        <w:t>财政拨款“三公”经费支出决算情况说明</w:t>
      </w:r>
      <w:bookmarkEnd w:id="60"/>
      <w:bookmarkEnd w:id="61"/>
    </w:p>
    <w:p>
      <w:pPr>
        <w:spacing w:line="600" w:lineRule="exact"/>
        <w:ind w:firstLine="640"/>
        <w:outlineLvl w:val="2"/>
        <w:rPr>
          <w:rFonts w:hint="eastAsia" w:ascii="仿宋_GB2312" w:hAnsi="仿宋_GB2312" w:eastAsia="仿宋_GB2312" w:cs="仿宋_GB2312"/>
          <w:b/>
          <w:color w:val="000000"/>
          <w:sz w:val="32"/>
          <w:szCs w:val="32"/>
        </w:rPr>
      </w:pPr>
      <w:bookmarkStart w:id="63" w:name="_Toc15377216"/>
      <w:bookmarkStart w:id="64" w:name="_Toc79163620"/>
      <w:bookmarkStart w:id="65" w:name="_Toc79163870"/>
      <w:r>
        <w:rPr>
          <w:rFonts w:hint="eastAsia" w:ascii="仿宋_GB2312" w:hAnsi="仿宋_GB2312" w:eastAsia="仿宋_GB2312" w:cs="仿宋_GB2312"/>
          <w:b/>
          <w:color w:val="000000"/>
          <w:sz w:val="32"/>
          <w:szCs w:val="32"/>
        </w:rPr>
        <w:t>（一）“三公”经费财政拨款支出决算总体情况说明</w:t>
      </w:r>
      <w:bookmarkEnd w:id="63"/>
      <w:bookmarkEnd w:id="64"/>
      <w:bookmarkEnd w:id="65"/>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4.54</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较上年度</w:t>
      </w:r>
      <w:r>
        <w:rPr>
          <w:rFonts w:hint="eastAsia" w:ascii="仿宋_GB2312" w:hAnsi="仿宋_GB2312" w:eastAsia="仿宋_GB2312" w:cs="仿宋_GB2312"/>
          <w:color w:val="000000"/>
          <w:sz w:val="32"/>
          <w:szCs w:val="32"/>
          <w:lang w:val="en-US" w:eastAsia="zh-CN"/>
        </w:rPr>
        <w:t>减少1.12万元，下降19.79%</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lang w:val="en-US" w:eastAsia="zh-CN"/>
        </w:rPr>
        <w:t>决算数等于预算数</w:t>
      </w:r>
      <w:r>
        <w:rPr>
          <w:rStyle w:val="18"/>
          <w:rFonts w:hint="default"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坚持“过紧日子”的要求，</w:t>
      </w:r>
      <w:r>
        <w:rPr>
          <w:rFonts w:hint="eastAsia" w:ascii="仿宋_GB2312" w:hAnsi="仿宋_GB2312" w:eastAsia="仿宋_GB2312" w:cs="仿宋_GB2312"/>
          <w:sz w:val="32"/>
          <w:szCs w:val="32"/>
        </w:rPr>
        <w:t>厉行节约。</w:t>
      </w:r>
    </w:p>
    <w:bookmarkEnd w:id="62"/>
    <w:p>
      <w:pPr>
        <w:spacing w:line="600" w:lineRule="exact"/>
        <w:ind w:firstLine="640"/>
        <w:outlineLvl w:val="2"/>
        <w:rPr>
          <w:rFonts w:hint="eastAsia" w:ascii="仿宋_GB2312" w:hAnsi="仿宋_GB2312" w:eastAsia="仿宋_GB2312" w:cs="仿宋_GB2312"/>
          <w:b/>
          <w:color w:val="000000"/>
          <w:sz w:val="32"/>
          <w:szCs w:val="32"/>
        </w:rPr>
      </w:pPr>
      <w:bookmarkStart w:id="66" w:name="_Toc79163871"/>
      <w:bookmarkStart w:id="67" w:name="_Toc79163621"/>
      <w:r>
        <w:rPr>
          <w:rFonts w:hint="eastAsia" w:ascii="仿宋_GB2312" w:hAnsi="仿宋_GB2312" w:eastAsia="仿宋_GB2312" w:cs="仿宋_GB2312"/>
          <w:b/>
          <w:color w:val="000000"/>
          <w:sz w:val="32"/>
          <w:szCs w:val="32"/>
        </w:rPr>
        <w:t>（二）“三公”经费财政拨款支出决算具体情况说明</w:t>
      </w:r>
      <w:bookmarkEnd w:id="66"/>
      <w:bookmarkEnd w:id="6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87.89</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12.11</w:t>
      </w:r>
      <w:r>
        <w:rPr>
          <w:rFonts w:hint="eastAsia" w:ascii="仿宋_GB2312" w:hAnsi="仿宋_GB2312" w:eastAsia="仿宋_GB2312" w:cs="仿宋_GB2312"/>
          <w:color w:val="000000"/>
          <w:sz w:val="32"/>
          <w:szCs w:val="32"/>
        </w:rPr>
        <w:t>%。具体情况如下：</w:t>
      </w:r>
    </w:p>
    <w:p>
      <w:pPr>
        <w:pStyle w:val="3"/>
        <w:rPr>
          <w:rFonts w:hint="eastAsia" w:eastAsia="仿宋"/>
          <w:lang w:eastAsia="zh-CN"/>
        </w:rPr>
      </w:pPr>
      <w:r>
        <w:rPr>
          <w:rFonts w:hint="eastAsia" w:eastAsia="仿宋"/>
          <w:lang w:eastAsia="zh-CN"/>
        </w:rPr>
        <w:drawing>
          <wp:inline distT="0" distB="0" distL="114300" distR="114300">
            <wp:extent cx="3879850" cy="2258060"/>
            <wp:effectExtent l="4445" t="4445" r="2095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_GB2312" w:eastAsia="仿宋_GB2312"/>
          <w:color w:val="000000"/>
          <w:sz w:val="32"/>
          <w:szCs w:val="32"/>
        </w:rPr>
      </w:pPr>
      <w:bookmarkStart w:id="68" w:name="_Toc15377218"/>
      <w:bookmarkStart w:id="69"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_GB2312" w:eastAsia="仿宋_GB2312"/>
          <w:sz w:val="32"/>
          <w:szCs w:val="32"/>
        </w:rPr>
        <w:t>完成预算</w:t>
      </w:r>
      <w:r>
        <w:rPr>
          <w:rFonts w:hint="eastAsia" w:ascii="仿宋_GB2312" w:hAnsi="Times New Roman" w:eastAsia="仿宋_GB2312" w:cs="Times New Roman"/>
          <w:color w:val="000000"/>
          <w:sz w:val="32"/>
          <w:szCs w:val="32"/>
        </w:rPr>
        <w:t>0%。</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与上年比无变化</w:t>
      </w:r>
      <w:r>
        <w:rPr>
          <w:rFonts w:hint="eastAsia" w:ascii="仿宋_GB2312" w:eastAsia="仿宋_GB2312"/>
          <w:color w:val="000000"/>
          <w:sz w:val="32"/>
          <w:szCs w:val="32"/>
        </w:rPr>
        <w:t>。</w:t>
      </w:r>
    </w:p>
    <w:p>
      <w:pPr>
        <w:spacing w:line="576"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万元,完成预算100%。公务用车购置及运行维护费支出决算比202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减少0.99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sz w:val="32"/>
          <w:szCs w:val="32"/>
          <w:highlight w:val="none"/>
          <w:lang w:val="en-US" w:eastAsia="zh-CN"/>
        </w:rPr>
        <w:t>下降</w:t>
      </w:r>
      <w:r>
        <w:rPr>
          <w:rFonts w:hint="eastAsia" w:ascii="仿宋_GB2312" w:hAnsi="仿宋_GB2312" w:eastAsia="仿宋_GB2312" w:cs="仿宋_GB2312"/>
          <w:color w:val="000000"/>
          <w:sz w:val="32"/>
          <w:szCs w:val="32"/>
          <w:lang w:val="en-US" w:eastAsia="zh-CN"/>
        </w:rPr>
        <w:t>19.89</w:t>
      </w:r>
      <w:r>
        <w:rPr>
          <w:rFonts w:hint="eastAsia" w:ascii="仿宋_GB2312" w:hAnsi="仿宋_GB2312" w:eastAsia="仿宋_GB2312" w:cs="仿宋_GB2312"/>
          <w:color w:val="000000"/>
          <w:sz w:val="32"/>
          <w:szCs w:val="32"/>
        </w:rPr>
        <w:t>%。主要原因是</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sz w:val="32"/>
          <w:szCs w:val="32"/>
        </w:rPr>
        <w:t>厉行节约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其中：公务用车购置支出0万元。全年按规定更新购置公务用车0辆，其中：轿车0辆、金额0万元，越野车0辆、金额0万元，载客汽车0辆、金额0万元。截至202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年12月底，单位共有公务用车2辆，其中：轿车1辆、越野车1辆。</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万元。主要用于单位开展包村、扶贫等工作所需的公务用车燃料费、维修费、过路过桥费、保险费等支出。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公务接待费支出决算比202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减少0.13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下降19.12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全面落实关于党政机关厉行勤俭节约，坚持“过紧日子”的要求，努力营造“艰苦奋斗、勤俭节约”氛围，持续推进节约型单位建设</w:t>
      </w:r>
      <w:r>
        <w:rPr>
          <w:rFonts w:hint="eastAsia" w:ascii="仿宋_GB2312" w:hAnsi="仿宋_GB2312" w:eastAsia="仿宋_GB2312" w:cs="仿宋_GB2312"/>
          <w:color w:val="000000"/>
          <w:sz w:val="32"/>
          <w:szCs w:val="32"/>
        </w:rPr>
        <w:t>。其中：</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国内公务接待支出</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万元，主要用于执行公务、开展业务活动开支的交通费、住宿费、用餐费等。</w:t>
      </w:r>
      <w:r>
        <w:rPr>
          <w:rFonts w:hint="eastAsia" w:ascii="仿宋_GB2312" w:hAnsi="仿宋_GB2312"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54</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仿宋_GB2312" w:hAnsi="仿宋_GB2312" w:eastAsia="仿宋_GB2312" w:cs="仿宋_GB2312"/>
          <w:color w:val="000000"/>
          <w:sz w:val="32"/>
          <w:szCs w:val="32"/>
        </w:rPr>
        <w:t>（不包括陪同人员），共计支出</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spacing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rPr>
        <w:t>0万元，外事接待0批次，0人，共计支出0万元。</w:t>
      </w:r>
    </w:p>
    <w:bookmarkEnd w:id="68"/>
    <w:bookmarkEnd w:id="69"/>
    <w:p>
      <w:pPr>
        <w:spacing w:line="600" w:lineRule="exact"/>
        <w:ind w:firstLine="640"/>
        <w:outlineLvl w:val="1"/>
        <w:rPr>
          <w:rStyle w:val="30"/>
          <w:rFonts w:ascii="黑体" w:hAnsi="黑体" w:eastAsia="黑体"/>
        </w:rPr>
      </w:pPr>
      <w:bookmarkStart w:id="70" w:name="_Toc79163872"/>
      <w:bookmarkStart w:id="71" w:name="_Toc79163622"/>
      <w:bookmarkStart w:id="72" w:name="_Toc15396612"/>
      <w:bookmarkStart w:id="73" w:name="_Toc15377221"/>
      <w:r>
        <w:rPr>
          <w:rFonts w:hint="eastAsia" w:ascii="黑体" w:eastAsia="黑体"/>
          <w:color w:val="000000"/>
          <w:sz w:val="32"/>
          <w:szCs w:val="32"/>
        </w:rPr>
        <w:t>八、</w:t>
      </w:r>
      <w:r>
        <w:rPr>
          <w:rStyle w:val="30"/>
          <w:rFonts w:hint="eastAsia" w:ascii="黑体" w:hAnsi="黑体" w:eastAsia="黑体"/>
        </w:rPr>
        <w:t>政府性基金预算支出决算情况说明</w:t>
      </w:r>
      <w:bookmarkEnd w:id="70"/>
      <w:bookmarkEnd w:id="71"/>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2"/>
        </w:numPr>
        <w:spacing w:line="600" w:lineRule="exact"/>
        <w:ind w:firstLine="640"/>
        <w:outlineLvl w:val="1"/>
        <w:rPr>
          <w:rStyle w:val="30"/>
          <w:rFonts w:ascii="黑体" w:hAnsi="黑体" w:eastAsia="黑体"/>
          <w:b w:val="0"/>
        </w:rPr>
      </w:pPr>
      <w:bookmarkStart w:id="74" w:name="_Toc15396611"/>
      <w:bookmarkStart w:id="75" w:name="_Toc15377219"/>
      <w:bookmarkStart w:id="76" w:name="_Toc79163873"/>
      <w:bookmarkStart w:id="77" w:name="_Toc79163623"/>
      <w:r>
        <w:rPr>
          <w:rStyle w:val="30"/>
          <w:rFonts w:hint="eastAsia" w:ascii="黑体" w:hAnsi="黑体" w:eastAsia="黑体"/>
        </w:rPr>
        <w:t>国有资本经营预算支出决算情况说明</w:t>
      </w:r>
      <w:bookmarkEnd w:id="74"/>
      <w:bookmarkEnd w:id="75"/>
      <w:bookmarkEnd w:id="76"/>
      <w:bookmarkEnd w:id="7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30"/>
          <w:rFonts w:ascii="黑体" w:hAnsi="黑体" w:eastAsia="黑体"/>
        </w:rPr>
      </w:pPr>
      <w:bookmarkStart w:id="78" w:name="_Toc79163874"/>
      <w:bookmarkStart w:id="79" w:name="_Toc79163624"/>
      <w:r>
        <w:rPr>
          <w:rFonts w:hint="eastAsia" w:ascii="黑体" w:hAnsi="黑体" w:eastAsia="黑体"/>
          <w:color w:val="000000"/>
          <w:sz w:val="32"/>
          <w:szCs w:val="32"/>
        </w:rPr>
        <w:t>十</w:t>
      </w:r>
      <w:r>
        <w:rPr>
          <w:rStyle w:val="30"/>
          <w:rFonts w:hint="eastAsia" w:ascii="黑体" w:hAnsi="黑体" w:eastAsia="黑体"/>
        </w:rPr>
        <w:t>、其他重要事项的情况说明</w:t>
      </w:r>
      <w:bookmarkEnd w:id="78"/>
      <w:bookmarkEnd w:id="79"/>
    </w:p>
    <w:p>
      <w:pPr>
        <w:spacing w:line="600" w:lineRule="exact"/>
        <w:ind w:firstLine="642" w:firstLineChars="200"/>
        <w:outlineLvl w:val="2"/>
        <w:rPr>
          <w:rFonts w:ascii="仿宋" w:hAnsi="仿宋" w:eastAsia="仿宋"/>
          <w:color w:val="000000"/>
          <w:sz w:val="32"/>
          <w:szCs w:val="32"/>
        </w:rPr>
      </w:pPr>
      <w:bookmarkStart w:id="80" w:name="_Toc79163875"/>
      <w:bookmarkStart w:id="81" w:name="_Toc79163625"/>
      <w:r>
        <w:rPr>
          <w:rFonts w:hint="eastAsia" w:ascii="仿宋" w:hAnsi="仿宋" w:eastAsia="仿宋"/>
          <w:b/>
          <w:color w:val="000000"/>
          <w:sz w:val="32"/>
          <w:szCs w:val="32"/>
        </w:rPr>
        <w:t>（一）机关运行经费支出情况</w:t>
      </w:r>
      <w:bookmarkEnd w:id="80"/>
      <w:bookmarkEnd w:id="81"/>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部门决算汇总</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16.24</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14.06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增加1.39</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增长15.5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车辆、固定资产陈旧等原因，造成修理费支出的加大</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w:t>
      </w:r>
    </w:p>
    <w:bookmarkEnd w:id="72"/>
    <w:bookmarkEnd w:id="73"/>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2" w:name="_Toc15377223"/>
      <w:bookmarkStart w:id="83" w:name="_Toc79163876"/>
      <w:bookmarkStart w:id="84" w:name="_Toc79163626"/>
      <w:bookmarkStart w:id="85" w:name="_Toc15377224"/>
      <w:r>
        <w:rPr>
          <w:rFonts w:hint="eastAsia" w:ascii="仿宋" w:hAnsi="仿宋" w:eastAsia="仿宋"/>
          <w:b/>
          <w:color w:val="000000"/>
          <w:sz w:val="32"/>
          <w:szCs w:val="32"/>
        </w:rPr>
        <w:t>（二）政府采购支出情况</w:t>
      </w:r>
      <w:bookmarkEnd w:id="82"/>
      <w:bookmarkEnd w:id="83"/>
      <w:bookmarkEnd w:id="84"/>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color w:val="000000"/>
          <w:sz w:val="32"/>
          <w:szCs w:val="32"/>
          <w:lang w:val="en-US" w:eastAsia="zh-CN"/>
        </w:rPr>
        <w:t>四川省阿坝州</w:t>
      </w:r>
      <w:r>
        <w:rPr>
          <w:rFonts w:hint="eastAsia" w:ascii="仿宋_GB2312" w:hAnsi="仿宋_GB2312" w:eastAsia="仿宋_GB2312" w:cs="仿宋_GB2312"/>
          <w:sz w:val="32"/>
          <w:szCs w:val="32"/>
        </w:rPr>
        <w:t>茂县人力资源和社会保障局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rPr>
        <w:t>。</w:t>
      </w:r>
    </w:p>
    <w:bookmarkEnd w:id="85"/>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6" w:name="_Toc79163627"/>
      <w:bookmarkStart w:id="87" w:name="_Toc79163877"/>
      <w:r>
        <w:rPr>
          <w:rFonts w:hint="eastAsia" w:ascii="仿宋" w:hAnsi="仿宋" w:eastAsia="仿宋"/>
          <w:b/>
          <w:color w:val="000000"/>
          <w:sz w:val="32"/>
          <w:szCs w:val="32"/>
        </w:rPr>
        <w:t>（三）国有资产占有使用情况</w:t>
      </w:r>
      <w:bookmarkEnd w:id="86"/>
      <w:bookmarkEnd w:id="87"/>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共有车辆2辆，其中：主要领导干部用车0辆、机要通信用车0辆、应急保障用车0辆、其他用车2辆，其他用车主要是用于</w:t>
      </w:r>
      <w:r>
        <w:rPr>
          <w:rFonts w:hint="eastAsia" w:ascii="仿宋_GB2312" w:eastAsia="仿宋_GB2312"/>
          <w:color w:val="000000" w:themeColor="text1"/>
          <w:sz w:val="32"/>
          <w:szCs w:val="32"/>
        </w:rPr>
        <w:t>单位日常工作</w:t>
      </w:r>
      <w:r>
        <w:rPr>
          <w:rFonts w:hint="eastAsia" w:ascii="仿宋_GB2312" w:eastAsia="仿宋_GB2312"/>
          <w:color w:val="000000" w:themeColor="text1"/>
          <w:sz w:val="32"/>
          <w:szCs w:val="32"/>
          <w:lang w:val="en-US" w:eastAsia="zh-CN"/>
        </w:rPr>
        <w:t>运转</w:t>
      </w:r>
      <w:r>
        <w:rPr>
          <w:rFonts w:hint="eastAsia" w:ascii="仿宋_GB2312" w:eastAsia="仿宋_GB2312"/>
          <w:color w:val="000000" w:themeColor="text1"/>
          <w:sz w:val="32"/>
          <w:szCs w:val="32"/>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numPr>
          <w:ilvl w:val="0"/>
          <w:numId w:val="3"/>
        </w:numPr>
        <w:autoSpaceDE w:val="0"/>
        <w:autoSpaceDN w:val="0"/>
        <w:adjustRightInd w:val="0"/>
        <w:spacing w:line="600" w:lineRule="exact"/>
        <w:ind w:firstLine="642" w:firstLineChars="200"/>
        <w:jc w:val="left"/>
        <w:outlineLvl w:val="2"/>
        <w:rPr>
          <w:rFonts w:hint="eastAsia" w:ascii="仿宋" w:hAnsi="仿宋" w:eastAsia="仿宋"/>
          <w:b/>
          <w:color w:val="000000"/>
          <w:sz w:val="32"/>
          <w:szCs w:val="32"/>
        </w:rPr>
      </w:pPr>
      <w:bookmarkStart w:id="88" w:name="_Toc79163628"/>
      <w:bookmarkStart w:id="89" w:name="_Toc79163878"/>
      <w:r>
        <w:rPr>
          <w:rFonts w:hint="eastAsia" w:ascii="仿宋" w:hAnsi="仿宋" w:eastAsia="仿宋"/>
          <w:b/>
          <w:color w:val="000000"/>
          <w:sz w:val="32"/>
          <w:szCs w:val="32"/>
        </w:rPr>
        <w:t>预算绩效管理情况</w:t>
      </w:r>
      <w:bookmarkEnd w:id="88"/>
      <w:bookmarkEnd w:id="89"/>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sz w:val="32"/>
          <w:szCs w:val="32"/>
        </w:rPr>
        <w:t>对</w:t>
      </w:r>
      <w:r>
        <w:rPr>
          <w:rFonts w:hint="eastAsia" w:ascii="仿宋_GB2312" w:hAnsi="仿宋" w:eastAsia="仿宋_GB2312" w:cs="仿宋"/>
          <w:sz w:val="32"/>
          <w:szCs w:val="32"/>
        </w:rPr>
        <w:t>“退还民工工资保证金”“公开招考事业单位工作人员经费”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金保网络运行经费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等</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val="en-US" w:eastAsia="zh-CN"/>
        </w:rPr>
        <w:t>对3个</w:t>
      </w:r>
      <w:r>
        <w:rPr>
          <w:rFonts w:hint="eastAsia" w:ascii="仿宋_GB2312" w:hAnsi="仿宋_GB2312" w:eastAsia="仿宋_GB2312" w:cs="仿宋_GB2312"/>
          <w:sz w:val="32"/>
          <w:szCs w:val="32"/>
        </w:rPr>
        <w:t>项目开展绩效监控，年终执行完毕后，对项目开展了绩效目标完成情况自评</w:t>
      </w:r>
      <w:r>
        <w:rPr>
          <w:rFonts w:hint="eastAsia" w:ascii="仿宋_GB2312" w:hAnsi="仿宋_GB2312" w:eastAsia="仿宋_GB2312" w:cs="仿宋_GB2312"/>
          <w:color w:val="auto"/>
          <w:sz w:val="32"/>
          <w:szCs w:val="32"/>
          <w:highlight w:val="none"/>
          <w:lang w:eastAsia="zh-CN"/>
        </w:rPr>
        <w:t>。</w:t>
      </w:r>
    </w:p>
    <w:p>
      <w:pPr>
        <w:spacing w:line="576" w:lineRule="exact"/>
        <w:ind w:firstLine="640" w:firstLineChars="200"/>
        <w:rPr>
          <w:rFonts w:hint="eastAsia" w:ascii="仿宋" w:hAnsi="仿宋" w:eastAsia="仿宋" w:cs="仿宋_GB2312"/>
          <w:sz w:val="32"/>
          <w:szCs w:val="32"/>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全面开展绩效自评，形成茂县人力资源和社会保障局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s="仿宋"/>
          <w:sz w:val="32"/>
          <w:szCs w:val="32"/>
        </w:rPr>
        <w:t>“退还民工工资保证金”“公开招考事业单位工作人员经费”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金保网络运行经费</w:t>
      </w:r>
      <w:r>
        <w:rPr>
          <w:rFonts w:hint="eastAsia" w:ascii="仿宋_GB2312" w:hAnsi="仿宋" w:eastAsia="仿宋_GB2312" w:cs="仿宋"/>
          <w:sz w:val="32"/>
          <w:szCs w:val="32"/>
          <w:lang w:eastAsia="zh-CN"/>
        </w:rPr>
        <w:t>”</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绩效自评报告。茂县人力资源和社会保障局部门整体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绩效自评得分为95分</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hint="eastAsia" w:ascii="仿宋_GB2312" w:hAnsi="仿宋_GB2312" w:eastAsia="仿宋_GB2312" w:cs="仿宋_GB2312"/>
          <w:sz w:val="32"/>
          <w:szCs w:val="32"/>
        </w:rPr>
        <w:t>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w:t>
      </w: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pStyle w:val="3"/>
        <w:rPr>
          <w:rFonts w:hint="eastAsia" w:ascii="仿宋" w:hAnsi="仿宋" w:eastAsia="仿宋" w:cs="仿宋_GB2312"/>
          <w:sz w:val="32"/>
          <w:szCs w:val="32"/>
          <w:lang w:eastAsia="zh-CN"/>
        </w:rPr>
      </w:pPr>
    </w:p>
    <w:p>
      <w:pPr>
        <w:numPr>
          <w:ilvl w:val="0"/>
          <w:numId w:val="4"/>
        </w:numPr>
        <w:spacing w:line="600" w:lineRule="exact"/>
        <w:ind w:firstLine="662" w:firstLineChars="150"/>
        <w:jc w:val="center"/>
        <w:outlineLvl w:val="0"/>
        <w:rPr>
          <w:rStyle w:val="29"/>
          <w:rFonts w:ascii="黑体" w:hAnsi="黑体" w:eastAsia="黑体"/>
          <w:b/>
          <w:bCs/>
        </w:rPr>
      </w:pPr>
      <w:bookmarkStart w:id="90" w:name="_Toc15377225"/>
      <w:bookmarkStart w:id="91" w:name="_Toc79163629"/>
      <w:bookmarkStart w:id="92" w:name="_Toc79163879"/>
      <w:bookmarkStart w:id="93" w:name="_Toc15396613"/>
      <w:r>
        <w:rPr>
          <w:rFonts w:hint="eastAsia" w:ascii="黑体" w:hAnsi="黑体" w:eastAsia="黑体"/>
          <w:b/>
          <w:bCs/>
          <w:color w:val="000000"/>
          <w:sz w:val="44"/>
          <w:szCs w:val="44"/>
        </w:rPr>
        <w:t>名</w:t>
      </w:r>
      <w:r>
        <w:rPr>
          <w:rStyle w:val="29"/>
          <w:rFonts w:hint="eastAsia" w:ascii="黑体" w:hAnsi="黑体" w:eastAsia="黑体"/>
          <w:b/>
          <w:bCs/>
        </w:rPr>
        <w:t>词解释</w:t>
      </w:r>
      <w:bookmarkEnd w:id="90"/>
      <w:bookmarkEnd w:id="91"/>
      <w:bookmarkEnd w:id="92"/>
      <w:bookmarkEnd w:id="93"/>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ascii="黑体" w:hAnsi="黑体" w:eastAsia="黑体"/>
          <w:color w:val="000000"/>
          <w:sz w:val="44"/>
          <w:szCs w:val="44"/>
        </w:rPr>
      </w:pPr>
      <w:bookmarkStart w:id="94" w:name="_Toc79163880"/>
      <w:bookmarkStart w:id="95" w:name="_Toc79163630"/>
      <w:bookmarkStart w:id="96" w:name="_Toc15396614"/>
      <w:bookmarkStart w:id="97" w:name="_Toc15377226"/>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pStyle w:val="2"/>
        <w:rPr>
          <w:rFonts w:ascii="黑体" w:hAnsi="黑体" w:eastAsia="黑体"/>
          <w:color w:val="000000"/>
          <w:sz w:val="44"/>
          <w:szCs w:val="44"/>
        </w:rPr>
      </w:pPr>
    </w:p>
    <w:p>
      <w:pPr>
        <w:pStyle w:val="3"/>
        <w:rPr>
          <w:rFonts w:ascii="黑体" w:hAnsi="黑体" w:eastAsia="黑体"/>
          <w:color w:val="000000"/>
          <w:sz w:val="44"/>
          <w:szCs w:val="44"/>
        </w:rPr>
      </w:pPr>
    </w:p>
    <w:p>
      <w:pPr>
        <w:rPr>
          <w:rFonts w:ascii="黑体" w:hAnsi="黑体" w:eastAsia="黑体"/>
          <w:color w:val="000000"/>
          <w:sz w:val="44"/>
          <w:szCs w:val="44"/>
        </w:rPr>
      </w:pPr>
    </w:p>
    <w:p>
      <w:pPr>
        <w:pStyle w:val="2"/>
        <w:rPr>
          <w:rFonts w:ascii="黑体" w:hAnsi="黑体" w:eastAsia="黑体"/>
          <w:color w:val="000000"/>
          <w:sz w:val="44"/>
          <w:szCs w:val="44"/>
        </w:rPr>
      </w:pPr>
    </w:p>
    <w:p>
      <w:pPr>
        <w:pStyle w:val="3"/>
        <w:rPr>
          <w:rFonts w:ascii="黑体" w:hAnsi="黑体" w:eastAsia="黑体"/>
          <w:color w:val="000000"/>
          <w:sz w:val="44"/>
          <w:szCs w:val="44"/>
        </w:rPr>
      </w:pPr>
    </w:p>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Style w:val="29"/>
          <w:rFonts w:hint="eastAsia" w:ascii="黑体" w:hAnsi="黑体"/>
        </w:rPr>
      </w:pPr>
    </w:p>
    <w:p>
      <w:pPr>
        <w:spacing w:line="600" w:lineRule="exact"/>
        <w:jc w:val="center"/>
        <w:outlineLvl w:val="0"/>
        <w:rPr>
          <w:rStyle w:val="29"/>
          <w:rFonts w:ascii="黑体" w:hAnsi="黑体" w:eastAsia="黑体"/>
          <w:b w:val="0"/>
        </w:rPr>
      </w:pPr>
      <w:r>
        <w:rPr>
          <w:rStyle w:val="29"/>
          <w:rFonts w:hint="eastAsia" w:ascii="黑体" w:hAnsi="黑体"/>
        </w:rPr>
        <w:t>第</w:t>
      </w:r>
      <w:r>
        <w:rPr>
          <w:rStyle w:val="29"/>
          <w:rFonts w:hint="eastAsia" w:ascii="黑体" w:hAnsi="黑体" w:eastAsia="黑体"/>
        </w:rPr>
        <w:t>四部分</w:t>
      </w:r>
      <w:r>
        <w:rPr>
          <w:rStyle w:val="29"/>
          <w:rFonts w:ascii="黑体" w:hAnsi="黑体" w:eastAsia="黑体"/>
        </w:rPr>
        <w:t xml:space="preserve"> </w:t>
      </w:r>
      <w:r>
        <w:rPr>
          <w:rStyle w:val="29"/>
          <w:rFonts w:hint="eastAsia" w:ascii="黑体" w:hAnsi="黑体" w:eastAsia="黑体"/>
        </w:rPr>
        <w:t>附件</w:t>
      </w:r>
      <w:bookmarkEnd w:id="94"/>
      <w:bookmarkEnd w:id="95"/>
      <w:bookmarkEnd w:id="96"/>
    </w:p>
    <w:p>
      <w:pPr>
        <w:spacing w:line="600" w:lineRule="exact"/>
        <w:jc w:val="left"/>
        <w:outlineLvl w:val="0"/>
        <w:rPr>
          <w:rFonts w:ascii="仿宋_GB2312" w:hAnsi="黑体" w:eastAsia="仿宋_GB2312" w:cs="宋体"/>
          <w:color w:val="000000"/>
          <w:kern w:val="0"/>
          <w:sz w:val="32"/>
          <w:szCs w:val="32"/>
          <w:shd w:val="clear" w:color="auto" w:fill="FFFFFF"/>
        </w:rPr>
      </w:pPr>
      <w:bookmarkStart w:id="98" w:name="_Toc79163631"/>
      <w:bookmarkStart w:id="99" w:name="_Toc79163881"/>
      <w:r>
        <w:rPr>
          <w:rFonts w:hint="eastAsia" w:ascii="黑体" w:hAnsi="黑体" w:eastAsia="黑体" w:cs="黑体"/>
          <w:sz w:val="32"/>
          <w:szCs w:val="32"/>
        </w:rPr>
        <w:t>附件</w:t>
      </w:r>
      <w:r>
        <w:rPr>
          <w:rFonts w:ascii="黑体" w:hAnsi="黑体" w:eastAsia="黑体" w:cs="黑体"/>
          <w:sz w:val="32"/>
          <w:szCs w:val="32"/>
        </w:rPr>
        <w:t>1</w:t>
      </w:r>
      <w:bookmarkEnd w:id="98"/>
      <w:bookmarkEnd w:id="99"/>
      <w:bookmarkStart w:id="100" w:name="_Toc79163633"/>
      <w:bookmarkStart w:id="101" w:name="_Toc79163883"/>
    </w:p>
    <w:p>
      <w:pPr>
        <w:widowControl/>
        <w:spacing w:line="578" w:lineRule="exact"/>
        <w:ind w:firstLine="1760" w:firstLineChars="400"/>
        <w:contextualSpacing/>
        <w:rPr>
          <w:rFonts w:eastAsia="宋体"/>
          <w:b/>
          <w:sz w:val="44"/>
          <w:szCs w:val="44"/>
          <w:shd w:val="clear" w:color="auto" w:fill="FFFFFF"/>
        </w:rPr>
      </w:pPr>
      <w:r>
        <w:rPr>
          <w:rFonts w:hint="eastAsia" w:ascii="方正小标宋简体" w:eastAsia="方正小标宋简体"/>
          <w:sz w:val="44"/>
          <w:szCs w:val="44"/>
        </w:rPr>
        <w:t>茂县人力资源和社会保障局</w:t>
      </w:r>
    </w:p>
    <w:p>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val="en-US" w:eastAsia="zh-CN"/>
        </w:rPr>
        <w:t>2024</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20" w:firstLineChars="200"/>
        <w:contextualSpacing/>
        <w:jc w:val="left"/>
        <w:rPr>
          <w:rFonts w:hint="eastAsia" w:eastAsia="黑体"/>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zh-CN" w:eastAsia="zh-CN" w:bidi="ar-SA"/>
        </w:rPr>
        <w:t>一、单位基本情况</w:t>
      </w:r>
    </w:p>
    <w:p>
      <w:pPr>
        <w:pStyle w:val="35"/>
        <w:keepNext w:val="0"/>
        <w:keepLines w:val="0"/>
        <w:pageBreakBefore w:val="0"/>
        <w:kinsoku/>
        <w:wordWrap/>
        <w:overflowPunct/>
        <w:topLinePunct w:val="0"/>
        <w:autoSpaceDE/>
        <w:autoSpaceDN/>
        <w:bidi w:val="0"/>
        <w:spacing w:line="55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（一）机构组成</w:t>
      </w:r>
    </w:p>
    <w:p>
      <w:pPr>
        <w:keepNext w:val="0"/>
        <w:keepLines w:val="0"/>
        <w:pageBreakBefore w:val="0"/>
        <w:kinsoku/>
        <w:wordWrap/>
        <w:overflowPunct/>
        <w:topLinePunct w:val="0"/>
        <w:autoSpaceDE/>
        <w:autoSpaceDN/>
        <w:bidi w:val="0"/>
        <w:spacing w:line="55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县人力资源社会保障局内设机构</w:t>
      </w:r>
      <w:r>
        <w:rPr>
          <w:rFonts w:hint="eastAsia" w:ascii="仿宋_GB2312" w:eastAsia="仿宋_GB2312"/>
          <w:sz w:val="32"/>
          <w:szCs w:val="32"/>
          <w:lang w:val="en-US" w:eastAsia="zh-CN"/>
        </w:rPr>
        <w:t>6个</w:t>
      </w:r>
      <w:r>
        <w:rPr>
          <w:rFonts w:hint="eastAsia" w:ascii="仿宋_GB2312" w:eastAsia="仿宋_GB2312"/>
          <w:sz w:val="32"/>
          <w:szCs w:val="32"/>
        </w:rPr>
        <w:t>：办公室、就业促进股（农民工工作股）、工资福利与退休人员管理股、事业单位综合管理股、社会保险基金监督股、政策法规股（行政审批股）</w:t>
      </w:r>
      <w:r>
        <w:rPr>
          <w:rFonts w:hint="eastAsia" w:ascii="仿宋_GB2312" w:eastAsia="仿宋_GB2312"/>
          <w:sz w:val="32"/>
          <w:szCs w:val="32"/>
          <w:lang w:eastAsia="zh-CN"/>
        </w:rPr>
        <w:t>；</w:t>
      </w:r>
      <w:r>
        <w:rPr>
          <w:rFonts w:hint="eastAsia" w:ascii="仿宋_GB2312" w:eastAsia="仿宋_GB2312"/>
          <w:sz w:val="32"/>
          <w:szCs w:val="32"/>
          <w:lang w:val="en-US" w:eastAsia="zh-CN"/>
        </w:rPr>
        <w:t>事业机构5个：劳动人事争议仲裁院、人才交流服务中心、人才中心、信息中心、职工培训中心。</w:t>
      </w:r>
    </w:p>
    <w:p>
      <w:pPr>
        <w:keepNext w:val="0"/>
        <w:keepLines w:val="0"/>
        <w:pageBreakBefore w:val="0"/>
        <w:kinsoku/>
        <w:wordWrap/>
        <w:overflowPunct/>
        <w:topLinePunct w:val="0"/>
        <w:autoSpaceDE/>
        <w:autoSpaceDN/>
        <w:bidi w:val="0"/>
        <w:spacing w:line="550" w:lineRule="exact"/>
        <w:ind w:firstLine="642"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（二）机构职能</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14.完成县委、县政府交办的其他任务。</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p>
      <w:pPr>
        <w:spacing w:line="550" w:lineRule="exact"/>
        <w:ind w:firstLine="642" w:firstLineChars="200"/>
        <w:rPr>
          <w:rFonts w:hint="eastAsia" w:ascii="楷体_GB2312" w:hAnsi="Times New Roman" w:eastAsia="楷体_GB2312" w:cs="Times New Roman"/>
          <w:b/>
          <w:color w:val="000000"/>
          <w:sz w:val="32"/>
          <w:szCs w:val="32"/>
        </w:rPr>
      </w:pPr>
      <w:bookmarkStart w:id="102" w:name="_Hlk110546638"/>
      <w:r>
        <w:rPr>
          <w:rFonts w:hint="eastAsia" w:ascii="楷体_GB2312" w:hAnsi="Times New Roman" w:eastAsia="楷体_GB2312" w:cs="Times New Roman"/>
          <w:b/>
          <w:color w:val="000000"/>
          <w:sz w:val="32"/>
          <w:szCs w:val="32"/>
        </w:rPr>
        <w:t>（三）人员概况</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人力资源社会保障局行政编制10名。其中，局长1名，副局长2名；股级领导职数6名，机关工勤人员事业编制2名。其他事业人员25名。年末在职人员总数31人，其中：行政人员5人，工勤2人，其他事业人员24人；离休人员0人，退休人员9人。</w:t>
      </w:r>
    </w:p>
    <w:p>
      <w:pPr>
        <w:widowControl/>
        <w:numPr>
          <w:ilvl w:val="0"/>
          <w:numId w:val="5"/>
        </w:numPr>
        <w:adjustRightInd w:val="0"/>
        <w:snapToGrid w:val="0"/>
        <w:spacing w:line="550" w:lineRule="exact"/>
        <w:ind w:firstLine="720"/>
        <w:jc w:val="left"/>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部门资金收支情况</w:t>
      </w:r>
    </w:p>
    <w:p>
      <w:pPr>
        <w:spacing w:line="550" w:lineRule="exact"/>
        <w:ind w:firstLine="642" w:firstLineChars="200"/>
        <w:rPr>
          <w:rFonts w:hint="eastAsia" w:ascii="楷体_GB2312" w:hAnsi="Times New Roman" w:eastAsia="楷体_GB2312" w:cs="Times New Roman"/>
          <w:b/>
          <w:color w:val="000000"/>
          <w:sz w:val="32"/>
          <w:szCs w:val="32"/>
          <w:lang w:val="zh-CN"/>
        </w:rPr>
      </w:pPr>
      <w:r>
        <w:rPr>
          <w:rFonts w:hint="eastAsia" w:ascii="楷体_GB2312" w:hAnsi="Times New Roman" w:eastAsia="楷体_GB2312" w:cs="Times New Roman"/>
          <w:b/>
          <w:color w:val="000000"/>
          <w:sz w:val="32"/>
          <w:szCs w:val="32"/>
          <w:lang w:val="zh-CN"/>
        </w:rPr>
        <w:t>（</w:t>
      </w:r>
      <w:r>
        <w:rPr>
          <w:rFonts w:hint="eastAsia" w:ascii="楷体_GB2312" w:hAnsi="Times New Roman" w:eastAsia="楷体_GB2312" w:cs="Times New Roman"/>
          <w:b/>
          <w:color w:val="000000"/>
          <w:sz w:val="32"/>
          <w:szCs w:val="32"/>
          <w:lang w:val="en-US" w:eastAsia="zh-CN"/>
        </w:rPr>
        <w:t>一</w:t>
      </w:r>
      <w:r>
        <w:rPr>
          <w:rFonts w:hint="eastAsia" w:ascii="楷体_GB2312" w:hAnsi="Times New Roman" w:eastAsia="楷体_GB2312" w:cs="Times New Roman"/>
          <w:b/>
          <w:color w:val="000000"/>
          <w:sz w:val="32"/>
          <w:szCs w:val="32"/>
          <w:lang w:val="zh-CN"/>
        </w:rPr>
        <w:t>）收入情况</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2024年收入预算执行数（收入决算数）为995.26万元，较2023年同期数972.47万元增加22.79万元，增长2.34%。</w:t>
      </w:r>
    </w:p>
    <w:p>
      <w:pPr>
        <w:numPr>
          <w:ilvl w:val="0"/>
          <w:numId w:val="6"/>
        </w:numPr>
        <w:spacing w:line="550" w:lineRule="exact"/>
        <w:ind w:firstLine="642" w:firstLineChars="200"/>
        <w:rPr>
          <w:rFonts w:hint="eastAsia" w:ascii="楷体_GB2312" w:hAnsi="Times New Roman" w:eastAsia="楷体_GB2312" w:cs="Times New Roman"/>
          <w:b/>
          <w:color w:val="000000"/>
          <w:sz w:val="32"/>
          <w:szCs w:val="32"/>
          <w:lang w:val="zh-CN"/>
        </w:rPr>
      </w:pPr>
      <w:r>
        <w:rPr>
          <w:rFonts w:hint="eastAsia" w:ascii="楷体_GB2312" w:hAnsi="Times New Roman" w:eastAsia="楷体_GB2312" w:cs="Times New Roman"/>
          <w:b/>
          <w:color w:val="000000"/>
          <w:sz w:val="32"/>
          <w:szCs w:val="32"/>
          <w:lang w:val="zh-CN"/>
        </w:rPr>
        <w:t>支出情况</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2024年支出预算执行数（支出决算数）为995.26万元，较2023年同期数972.47万元增加22.79万元。其中：202</w:t>
      </w:r>
      <w:r>
        <w:rPr>
          <w:rFonts w:hint="eastAsia" w:ascii="仿宋_GB2312" w:eastAsia="仿宋_GB2312"/>
          <w:sz w:val="32"/>
          <w:szCs w:val="32"/>
          <w:lang w:val="en-US" w:eastAsia="zh-CN"/>
        </w:rPr>
        <w:t>4</w:t>
      </w:r>
      <w:r>
        <w:rPr>
          <w:rFonts w:hint="eastAsia" w:ascii="仿宋_GB2312" w:eastAsia="仿宋_GB2312"/>
          <w:sz w:val="32"/>
          <w:szCs w:val="32"/>
        </w:rPr>
        <w:t>年基本支出672.78万元，较上年同期数706.43万元减少33.65万元。基本支出中人员经费支出624.91万元，较上年同期数681.15万元减少38.24万元。其中：基本支出中日常公用经费支出29.87万元，较上年同期数25.28万元增加4.59万元。2024年项目支出322.48万元，其中：退还民工工资保证金309.1</w:t>
      </w:r>
      <w:r>
        <w:rPr>
          <w:rFonts w:hint="eastAsia" w:ascii="仿宋_GB2312" w:eastAsia="仿宋_GB2312"/>
          <w:sz w:val="32"/>
          <w:szCs w:val="32"/>
          <w:lang w:val="en-US" w:eastAsia="zh-CN"/>
        </w:rPr>
        <w:t>3</w:t>
      </w:r>
      <w:r>
        <w:rPr>
          <w:rFonts w:hint="eastAsia" w:ascii="仿宋_GB2312" w:eastAsia="仿宋_GB2312"/>
          <w:sz w:val="32"/>
          <w:szCs w:val="32"/>
        </w:rPr>
        <w:t>万元；公开招考事业单位工作人员经费5.75万元；金保网络运行经费7.60万元。</w:t>
      </w:r>
    </w:p>
    <w:p>
      <w:pPr>
        <w:spacing w:line="550" w:lineRule="exact"/>
        <w:ind w:firstLine="642" w:firstLineChars="200"/>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（三）结余分配和结转结余情况</w:t>
      </w:r>
    </w:p>
    <w:p>
      <w:pPr>
        <w:spacing w:line="550" w:lineRule="exact"/>
        <w:ind w:firstLine="640" w:firstLineChars="200"/>
        <w:rPr>
          <w:rFonts w:hint="eastAsia" w:ascii="仿宋_GB2312" w:eastAsia="仿宋_GB2312"/>
          <w:sz w:val="32"/>
          <w:szCs w:val="32"/>
          <w:lang w:val="zh-CN"/>
        </w:rPr>
      </w:pPr>
      <w:r>
        <w:rPr>
          <w:rFonts w:hint="eastAsia" w:ascii="仿宋_GB2312" w:eastAsia="仿宋_GB2312"/>
          <w:sz w:val="32"/>
          <w:szCs w:val="32"/>
        </w:rPr>
        <w:t>我单位2024年决算报表无结转结余资金。</w:t>
      </w:r>
    </w:p>
    <w:p>
      <w:pPr>
        <w:widowControl/>
        <w:numPr>
          <w:ilvl w:val="0"/>
          <w:numId w:val="0"/>
        </w:numPr>
        <w:adjustRightInd w:val="0"/>
        <w:snapToGrid w:val="0"/>
        <w:spacing w:line="550" w:lineRule="exact"/>
        <w:ind w:left="720" w:leftChars="0"/>
        <w:contextualSpacing/>
        <w:jc w:val="left"/>
      </w:pPr>
      <w:r>
        <w:rPr>
          <w:rFonts w:hint="eastAsia" w:eastAsia="黑体" w:cs="Times New Roman"/>
          <w:color w:val="000000"/>
          <w:kern w:val="0"/>
          <w:sz w:val="32"/>
          <w:szCs w:val="32"/>
          <w:shd w:val="clear" w:color="auto" w:fill="FFFFFF"/>
          <w:lang w:val="en-US" w:eastAsia="zh-CN"/>
        </w:rPr>
        <w:t>三、</w:t>
      </w:r>
      <w:r>
        <w:rPr>
          <w:rFonts w:ascii="Times New Roman" w:hAnsi="Times New Roman" w:eastAsia="黑体" w:cs="Times New Roman"/>
          <w:color w:val="000000"/>
          <w:kern w:val="0"/>
          <w:sz w:val="32"/>
          <w:szCs w:val="32"/>
          <w:shd w:val="clear" w:color="auto" w:fill="FFFFFF"/>
        </w:rPr>
        <w:t>部门预算绩效分析</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（一）部门预算总体绩效分析</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1.履职效能</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我单位按照职能职责完成2024年各项绩效目标任务，自评得分15分。</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一是工资保险方面。严格执行相关政策，保障工资及时、足额发放或社保及时、足额缴纳，预算编制科学合理，减少结余资金。</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二是公用经费方面。提高预算编制质量，严格执行预算，保障单位日常运转。</w:t>
      </w:r>
    </w:p>
    <w:p>
      <w:pPr>
        <w:numPr>
          <w:ilvl w:val="0"/>
          <w:numId w:val="0"/>
        </w:numPr>
        <w:spacing w:line="550" w:lineRule="exact"/>
        <w:ind w:left="638" w:leftChars="304" w:firstLine="0" w:firstLineChars="0"/>
        <w:rPr>
          <w:rFonts w:hint="eastAsia" w:ascii="仿宋_GB2312" w:hAnsi="仿宋_GB2312" w:eastAsia="仿宋_GB2312" w:cs="仿宋_GB2312"/>
          <w:b/>
          <w:bCs/>
          <w:sz w:val="32"/>
          <w:szCs w:val="32"/>
          <w:lang w:val="en-US" w:eastAsia="zh-CN"/>
        </w:rPr>
      </w:pPr>
      <w:r>
        <w:rPr>
          <w:rFonts w:hint="eastAsia" w:ascii="仿宋_GB2312" w:eastAsia="仿宋_GB2312"/>
          <w:sz w:val="32"/>
          <w:szCs w:val="32"/>
          <w:lang w:val="en-US" w:eastAsia="zh-CN"/>
        </w:rPr>
        <w:t>三是部门项目方面。2024年度特定目标类项目共3个。</w:t>
      </w:r>
      <w:r>
        <w:rPr>
          <w:rFonts w:hint="eastAsia" w:ascii="仿宋_GB2312" w:hAnsi="仿宋_GB2312" w:eastAsia="仿宋_GB2312" w:cs="仿宋_GB2312"/>
          <w:b/>
          <w:bCs/>
          <w:sz w:val="32"/>
          <w:szCs w:val="32"/>
          <w:lang w:val="en-US" w:eastAsia="zh-CN"/>
        </w:rPr>
        <w:t>2.预算管理</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预算编制质量。我单位严格实行预算管理制度，根据《中华人民共和国预算法》等法律法规的规定和财政部门下发的文件要求进行预算编制，做到程序规范、方法科学、编制及时、内容完整、项目细化、数据准确，自评得分8分。</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二是单位收入统筹。2024年度各项预算收入均属于财政拨款收入，纳入预算管理，统一核算，自评得分4分。</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三是支出执行进度。2024年一般公共预算财政拨款收入995.26万元，决算支出995.26万元，支出执行进度100%，自评得分5分。</w:t>
      </w:r>
    </w:p>
    <w:p>
      <w:pPr>
        <w:numPr>
          <w:ilvl w:val="0"/>
          <w:numId w:val="0"/>
        </w:num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四是预算年终结余。2024年度预算年终结余为0万元，自评得分2分。</w:t>
      </w:r>
    </w:p>
    <w:p>
      <w:pPr>
        <w:numPr>
          <w:ilvl w:val="0"/>
          <w:numId w:val="0"/>
        </w:numPr>
        <w:spacing w:line="550" w:lineRule="exact"/>
        <w:ind w:firstLine="640" w:firstLineChars="200"/>
        <w:rPr>
          <w:rFonts w:hint="eastAsia" w:ascii="仿宋_GB2312" w:eastAsia="仿宋_GB2312"/>
          <w:sz w:val="36"/>
          <w:szCs w:val="36"/>
          <w:lang w:val="en-US" w:eastAsia="zh-CN"/>
        </w:rPr>
      </w:pPr>
      <w:r>
        <w:rPr>
          <w:rFonts w:hint="eastAsia" w:ascii="仿宋_GB2312" w:eastAsia="仿宋_GB2312"/>
          <w:sz w:val="32"/>
          <w:szCs w:val="32"/>
          <w:lang w:val="en-US" w:eastAsia="zh-CN"/>
        </w:rPr>
        <w:t>五是严控一般性支出。严格按照相关财经制度执行，特别是对“三公”经费的预算控制。严格接待费用审核审批程序，“三公”经费较好地控制在预算范围之类，自评得分5分。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6"/>
          <w:szCs w:val="36"/>
          <w:lang w:val="en-US" w:eastAsia="zh-CN"/>
        </w:rPr>
        <w:t>3.财务</w:t>
      </w:r>
      <w:r>
        <w:rPr>
          <w:rFonts w:hint="eastAsia" w:ascii="仿宋_GB2312" w:hAnsi="仿宋_GB2312" w:eastAsia="仿宋_GB2312" w:cs="仿宋_GB2312"/>
          <w:b/>
          <w:bCs/>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一是财务管理制度。严格按照财务管理制度，执行各项资金支付，进行会计账务处理和会计档案管理，自评得分4分。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二是财务岗位设置。我单位设置财务工作岗位，明确职责权限，并严格实行不相容岗位分离，自评得分2分。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三是资金使用规范。我单位严格按照规定的支出用途使用资金，严格履行预算</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审批程序，对已批复的部门预算资金，认真编制用款计划，及时申请支出，申请财政资金时，提供真实、准确、完整、合法、合规的原始票据、资料；项目资金严格按工程进度及合同约定支付资金，自评得分4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4.资产管理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我单位2024年度人均资产变化率低，资产利用率高，无限闲置资产，使用率达100%；在资产购置、使用、保管和报废，严格按照资产管理办法执行，定期盘点，确保账账相符，自评得分8分。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5.采购管理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我单位政府采购项目资金，严格按照政府采购相关规定执行，未达到政府采购的标准项目均按照采购内控制度执行，均在中小企业采购，采购执行率100%，自评得分6分。</w:t>
      </w:r>
    </w:p>
    <w:p>
      <w:pPr>
        <w:adjustRightInd w:val="0"/>
        <w:snapToGrid w:val="0"/>
        <w:spacing w:line="550" w:lineRule="exact"/>
        <w:ind w:firstLine="642"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（二）部门预算项目绩效分析</w:t>
      </w:r>
    </w:p>
    <w:p>
      <w:pPr>
        <w:spacing w:line="550"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常年项目绩效分析。</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rPr>
        <w:t xml:space="preserve"> 31</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rPr>
        <w:t>672.78</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rPr>
        <w:t>100</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rPr>
        <w:t>0</w:t>
      </w:r>
      <w:r>
        <w:rPr>
          <w:rFonts w:hint="eastAsia" w:ascii="仿宋_GB2312" w:hAnsi="Times New Roman" w:eastAsia="仿宋_GB2312" w:cs="Times New Roman"/>
          <w:sz w:val="32"/>
          <w:szCs w:val="32"/>
          <w:lang w:val="zh-CN"/>
        </w:rPr>
        <w:t>个。</w:t>
      </w:r>
    </w:p>
    <w:p>
      <w:pPr>
        <w:spacing w:line="550"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阶段（一次性）项目绩效分析。</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rPr>
        <w:t>322.48</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rPr>
        <w:t>100</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rPr>
        <w:t>0</w:t>
      </w:r>
      <w:r>
        <w:rPr>
          <w:rFonts w:hint="eastAsia" w:ascii="仿宋_GB2312" w:hAnsi="Times New Roman" w:eastAsia="仿宋_GB2312" w:cs="Times New Roman"/>
          <w:sz w:val="32"/>
          <w:szCs w:val="32"/>
          <w:lang w:val="zh-CN"/>
        </w:rPr>
        <w:t>个。</w:t>
      </w:r>
    </w:p>
    <w:p>
      <w:pPr>
        <w:spacing w:line="55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zh-CN"/>
        </w:rPr>
        <w:t>项目决策。</w:t>
      </w:r>
      <w:r>
        <w:rPr>
          <w:rFonts w:hint="eastAsia" w:ascii="仿宋_GB2312" w:hAnsi="Times New Roman" w:eastAsia="仿宋_GB2312" w:cs="Times New Roman"/>
          <w:sz w:val="32"/>
          <w:szCs w:val="32"/>
        </w:rPr>
        <w:t>该项目的设立、调整延续等方面符合资金管理基本规范和决策程序要求，项目规划符合上级政府有关决策部署安排，项目绩效目标设置科学合理，资金主要用于完善社会保险经办标准化建设以及信息系统建设及运行维护、设备设施购置，经办人员素质提升培训、做好业务档案数字化管理及风险防控</w:t>
      </w:r>
      <w:r>
        <w:rPr>
          <w:rFonts w:hint="eastAsia" w:ascii="仿宋_GB2312" w:hAnsi="Times New Roman" w:eastAsia="仿宋_GB2312" w:cs="Times New Roman"/>
          <w:sz w:val="32"/>
          <w:szCs w:val="32"/>
          <w:lang w:val="zh-CN"/>
        </w:rPr>
        <w:t>。</w:t>
      </w:r>
      <w:r>
        <w:rPr>
          <w:rFonts w:hint="eastAsia" w:ascii="仿宋_GB2312" w:hAnsi="Times New Roman" w:eastAsia="仿宋_GB2312" w:cs="Times New Roman"/>
          <w:sz w:val="32"/>
          <w:szCs w:val="32"/>
        </w:rPr>
        <w:t xml:space="preserve">  </w:t>
      </w:r>
    </w:p>
    <w:p>
      <w:pPr>
        <w:spacing w:line="550"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2.项目执行</w:t>
      </w:r>
      <w:r>
        <w:rPr>
          <w:rFonts w:hint="eastAsia" w:ascii="仿宋_GB2312" w:hAnsi="Times New Roman" w:eastAsia="仿宋_GB2312" w:cs="Times New Roman"/>
          <w:sz w:val="32"/>
          <w:szCs w:val="32"/>
          <w:lang w:val="zh-CN"/>
        </w:rPr>
        <w:t>。项目资金使用、拨付符合国家财经法规、财务管理制度及有关专项资金管理制度办法规定和审批程序，</w:t>
      </w:r>
      <w:r>
        <w:rPr>
          <w:rFonts w:hint="eastAsia" w:ascii="仿宋_GB2312" w:hAnsi="Times New Roman" w:eastAsia="仿宋_GB2312" w:cs="Times New Roman"/>
          <w:sz w:val="32"/>
          <w:szCs w:val="32"/>
        </w:rPr>
        <w:t>不</w:t>
      </w:r>
      <w:r>
        <w:rPr>
          <w:rFonts w:hint="eastAsia" w:ascii="仿宋_GB2312" w:hAnsi="Times New Roman" w:eastAsia="仿宋_GB2312" w:cs="Times New Roman"/>
          <w:sz w:val="32"/>
          <w:szCs w:val="32"/>
          <w:lang w:val="zh-CN"/>
        </w:rPr>
        <w:t>存在超范围、超标准、超进度使用专项资金，</w:t>
      </w:r>
      <w:r>
        <w:rPr>
          <w:rFonts w:hint="eastAsia" w:ascii="仿宋_GB2312" w:hAnsi="Times New Roman" w:eastAsia="仿宋_GB2312" w:cs="Times New Roman"/>
          <w:sz w:val="32"/>
          <w:szCs w:val="32"/>
        </w:rPr>
        <w:t>不</w:t>
      </w:r>
      <w:r>
        <w:rPr>
          <w:rFonts w:hint="eastAsia" w:ascii="仿宋_GB2312" w:hAnsi="Times New Roman" w:eastAsia="仿宋_GB2312" w:cs="Times New Roman"/>
          <w:sz w:val="32"/>
          <w:szCs w:val="32"/>
          <w:lang w:val="zh-CN"/>
        </w:rPr>
        <w:t>存在资金损失浪费、长期沉淀、截留、挤占、挪用、虚列支出等情况，项目实施遵守相关法律法规。</w:t>
      </w:r>
    </w:p>
    <w:p>
      <w:pPr>
        <w:spacing w:line="550"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zh-CN"/>
        </w:rPr>
        <w:t>目标实现。常年项目、阶段（一次性）项目支出绩效自评结果良好，项目如期完成了预定的绩效目标。</w:t>
      </w:r>
    </w:p>
    <w:p>
      <w:pPr>
        <w:widowControl/>
        <w:adjustRightInd w:val="0"/>
        <w:snapToGrid w:val="0"/>
        <w:spacing w:line="550"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）重点领域绩效分析</w:t>
      </w:r>
    </w:p>
    <w:p>
      <w:pPr>
        <w:widowControl/>
        <w:adjustRightInd w:val="0"/>
        <w:snapToGrid w:val="0"/>
        <w:spacing w:line="550" w:lineRule="exact"/>
        <w:ind w:firstLine="640" w:firstLineChars="200"/>
        <w:contextualSpacing/>
        <w:jc w:val="both"/>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我局2024年度不涉及国有资本、债券资金、政府购买服务。根据工作需要我单位新购行政事业性国有资产通用设备（LED显示屏）0.3</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zh-CN"/>
        </w:rPr>
        <w:t>万元。</w:t>
      </w:r>
    </w:p>
    <w:p>
      <w:pPr>
        <w:widowControl/>
        <w:adjustRightInd w:val="0"/>
        <w:snapToGrid w:val="0"/>
        <w:spacing w:line="550" w:lineRule="exact"/>
        <w:ind w:firstLine="642"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en-US" w:eastAsia="zh-CN"/>
        </w:rPr>
        <w:t>(四)</w:t>
      </w:r>
      <w:r>
        <w:rPr>
          <w:rFonts w:ascii="Times New Roman" w:hAnsi="Times New Roman" w:eastAsia="楷体_GB2312" w:cs="Times New Roman"/>
          <w:b/>
          <w:bCs/>
          <w:color w:val="000000"/>
          <w:kern w:val="0"/>
          <w:sz w:val="32"/>
          <w:szCs w:val="32"/>
          <w:shd w:val="clear" w:color="auto" w:fill="FFFFFF"/>
          <w:lang w:val="zh-CN"/>
        </w:rPr>
        <w:t>绩效结果应用情况</w:t>
      </w:r>
    </w:p>
    <w:p>
      <w:pPr>
        <w:widowControl/>
        <w:numPr>
          <w:ilvl w:val="0"/>
          <w:numId w:val="0"/>
        </w:numPr>
        <w:adjustRightInd w:val="0"/>
        <w:snapToGrid w:val="0"/>
        <w:spacing w:line="550" w:lineRule="exact"/>
        <w:ind w:firstLine="640" w:firstLineChars="200"/>
        <w:contextualSpacing/>
        <w:jc w:val="both"/>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财政支出绩效评价结果的运用是判断评价工作能否取得成效的主要依据，也是保证这项工作持续、深入发展的基本前提。结合2024年度绩效自评结果，一是对评价结果优秀且绩效突出的，总结相关工作经验，并在安排后续资金时给与充分保障。二是对下一步需要进一步改进的工作，在对存在的问题整改后，转变相关工作思路，提升工作效率。</w:t>
      </w:r>
    </w:p>
    <w:p>
      <w:pPr>
        <w:widowControl/>
        <w:adjustRightInd w:val="0"/>
        <w:snapToGrid w:val="0"/>
        <w:spacing w:line="550" w:lineRule="exact"/>
        <w:ind w:firstLine="640" w:firstLineChars="200"/>
        <w:contextualSpacing/>
        <w:jc w:val="left"/>
        <w:rPr>
          <w:rFonts w:hint="eastAsia"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四、评价结论及建议</w:t>
      </w:r>
    </w:p>
    <w:p>
      <w:pPr>
        <w:widowControl/>
        <w:adjustRightInd w:val="0"/>
        <w:snapToGrid w:val="0"/>
        <w:spacing w:line="550"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（一）评价结论</w:t>
      </w:r>
    </w:p>
    <w:p>
      <w:pPr>
        <w:widowControl/>
        <w:adjustRightInd w:val="0"/>
        <w:snapToGrid w:val="0"/>
        <w:spacing w:line="550" w:lineRule="exact"/>
        <w:ind w:firstLine="640" w:firstLineChars="200"/>
        <w:contextualSpacing/>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我局2024年部门整体支出绩效评价自查自评结果良好，自评得分95分，全年基本保证了部门的正常运行和日常工作的正常开展。</w:t>
      </w:r>
    </w:p>
    <w:p>
      <w:pPr>
        <w:widowControl/>
        <w:adjustRightInd w:val="0"/>
        <w:snapToGrid w:val="0"/>
        <w:spacing w:line="550"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2024年度预算编制绩效目标设置管理需进一步加强，预算执行进度有待提高。</w:t>
      </w:r>
    </w:p>
    <w:p>
      <w:pPr>
        <w:widowControl/>
        <w:adjustRightInd w:val="0"/>
        <w:snapToGrid w:val="0"/>
        <w:spacing w:line="550"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hint="eastAsia" w:eastAsia="楷体_GB2312" w:cs="Times New Roman"/>
          <w:b/>
          <w:bCs/>
          <w:color w:val="000000"/>
          <w:kern w:val="0"/>
          <w:sz w:val="32"/>
          <w:szCs w:val="32"/>
          <w:shd w:val="clear" w:color="auto" w:fill="FFFFFF"/>
          <w:lang w:val="zh-CN"/>
        </w:rPr>
        <w:t>（</w:t>
      </w:r>
      <w:r>
        <w:rPr>
          <w:rFonts w:hint="eastAsia" w:eastAsia="楷体_GB2312" w:cs="Times New Roman"/>
          <w:b/>
          <w:bCs/>
          <w:color w:val="000000"/>
          <w:kern w:val="0"/>
          <w:sz w:val="32"/>
          <w:szCs w:val="32"/>
          <w:shd w:val="clear" w:color="auto" w:fill="FFFFFF"/>
          <w:lang w:val="en-US" w:eastAsia="zh-CN"/>
        </w:rPr>
        <w:t>三</w:t>
      </w:r>
      <w:r>
        <w:rPr>
          <w:rFonts w:hint="eastAsia" w:eastAsia="楷体_GB2312" w:cs="Times New Roman"/>
          <w:b/>
          <w:bCs/>
          <w:color w:val="000000"/>
          <w:kern w:val="0"/>
          <w:sz w:val="32"/>
          <w:szCs w:val="32"/>
          <w:shd w:val="clear" w:color="auto" w:fill="FFFFFF"/>
          <w:lang w:val="zh-CN"/>
        </w:rPr>
        <w:t>）</w:t>
      </w:r>
      <w:r>
        <w:rPr>
          <w:rFonts w:ascii="Times New Roman" w:hAnsi="Times New Roman" w:eastAsia="楷体_GB2312" w:cs="Times New Roman"/>
          <w:b/>
          <w:bCs/>
          <w:color w:val="000000"/>
          <w:kern w:val="0"/>
          <w:sz w:val="32"/>
          <w:szCs w:val="32"/>
          <w:shd w:val="clear" w:color="auto" w:fill="FFFFFF"/>
          <w:lang w:val="zh-CN"/>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0" w:firstLineChars="200"/>
        <w:contextualSpacing/>
        <w:jc w:val="left"/>
        <w:textAlignment w:val="auto"/>
        <w:rPr>
          <w:rFonts w:ascii="宋体" w:hAnsi="宋体" w:eastAsia="宋体" w:cs="宋体"/>
          <w:sz w:val="24"/>
          <w:szCs w:val="24"/>
        </w:rPr>
      </w:pPr>
      <w:r>
        <w:rPr>
          <w:rFonts w:hint="eastAsia" w:ascii="仿宋_GB2312" w:hAnsi="Times New Roman" w:eastAsia="仿宋_GB2312" w:cs="Times New Roman"/>
          <w:sz w:val="32"/>
          <w:szCs w:val="32"/>
          <w:lang w:val="zh-CN"/>
        </w:rPr>
        <w:t>在今后工作中要按照有关文件及规章制度的要求，落实岗位职责，坚守职业道德，加强绩效管理工作的学习和培训力度，有效提高部门整体支出绩效管理水平。</w:t>
      </w:r>
      <w:r>
        <w:rPr>
          <w:rFonts w:hint="eastAsia" w:ascii="仿宋_GB2312" w:hAnsi="Times New Roman" w:eastAsia="仿宋_GB2312" w:cs="Times New Roman"/>
          <w:sz w:val="32"/>
          <w:szCs w:val="32"/>
          <w:lang w:val="zh-CN"/>
        </w:rPr>
        <w:br w:type="textWrapping"/>
      </w:r>
      <w:r>
        <w:rPr>
          <w:rFonts w:ascii="宋体" w:hAnsi="宋体" w:eastAsia="宋体" w:cs="宋体"/>
          <w:sz w:val="24"/>
          <w:szCs w:val="24"/>
        </w:rPr>
        <w:t>                 </w:t>
      </w:r>
    </w:p>
    <w:p>
      <w:pPr>
        <w:pStyle w:val="3"/>
        <w:keepNext w:val="0"/>
        <w:keepLines w:val="0"/>
        <w:pageBreakBefore w:val="0"/>
        <w:kinsoku/>
        <w:wordWrap/>
        <w:overflowPunct/>
        <w:topLinePunct w:val="0"/>
        <w:autoSpaceDE/>
        <w:autoSpaceDN/>
        <w:bidi w:val="0"/>
        <w:spacing w:line="550" w:lineRule="exact"/>
        <w:textAlignment w:val="auto"/>
        <w:rPr>
          <w:rFonts w:ascii="宋体" w:hAnsi="宋体" w:eastAsia="宋体" w:cs="宋体"/>
          <w:sz w:val="24"/>
          <w:szCs w:val="24"/>
        </w:rPr>
      </w:pPr>
    </w:p>
    <w:bookmarkEnd w:id="102"/>
    <w:p>
      <w:pPr>
        <w:pStyle w:val="41"/>
        <w:spacing w:line="600" w:lineRule="exact"/>
        <w:ind w:firstLine="640"/>
        <w:jc w:val="center"/>
        <w:rPr>
          <w:rFonts w:hint="eastAsia" w:ascii="方正小标宋简体" w:hAnsi="宋体" w:eastAsia="方正小标宋简体"/>
          <w:sz w:val="44"/>
          <w:szCs w:val="44"/>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pPr>
        <w:pStyle w:val="41"/>
        <w:spacing w:line="600" w:lineRule="exact"/>
        <w:jc w:val="both"/>
        <w:rPr>
          <w:rFonts w:hint="eastAsia" w:ascii="方正小标宋简体" w:hAnsi="宋体" w:eastAsia="方正小标宋简体"/>
          <w:sz w:val="44"/>
          <w:szCs w:val="44"/>
        </w:rPr>
      </w:pPr>
    </w:p>
    <w:p>
      <w:pPr>
        <w:pStyle w:val="2"/>
        <w:rPr>
          <w:rFonts w:hint="eastAsia" w:ascii="黑体" w:hAnsi="Times New Roman" w:eastAsia="黑体" w:cs="黑体"/>
          <w:sz w:val="32"/>
          <w:szCs w:val="32"/>
        </w:rPr>
      </w:pPr>
      <w:bookmarkStart w:id="103" w:name="_Toc18944"/>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pPr>
        <w:spacing w:line="600" w:lineRule="exact"/>
        <w:jc w:val="center"/>
        <w:rPr>
          <w:rFonts w:hint="eastAsia" w:ascii="方正小标宋简体" w:hAnsi="宋体" w:eastAsia="方正小标宋简体"/>
          <w:color w:val="000000"/>
          <w:kern w:val="0"/>
          <w:sz w:val="44"/>
          <w:szCs w:val="44"/>
          <w:lang w:val="zh-CN"/>
        </w:rPr>
      </w:pPr>
    </w:p>
    <w:tbl>
      <w:tblPr>
        <w:tblStyle w:val="16"/>
        <w:tblW w:w="14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31"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6"/>
              <w:tblW w:w="141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51322324T000009956611-退还民工工资保证金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退还民工工资保证金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大力推进和谐劳动关系构建行动，推进劳动关系基层治理制度创新和能力建设，有效预防和化解劳动关系矛盾纠纷，构建规范有序、公正合理、合作共赢、和谐稳定的劳动关系，确保全县劳动关系和谐稳定。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退还民工工资保证金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3091400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按时按量退还民工保证金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2024年缴纳的民工保证金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规范承建单位的用工行为，维护民工的合法权益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保障民工权益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维护社会稳定，保障农民工的合法权益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退还2024年民工保证金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该项目的及时、完整实施，达到了对应的绩效目标，构建和谐同行关系，筑牢民工安薪责任网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项目负责人：兰梦雨</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kern w:val="0"/>
                <w:sz w:val="30"/>
                <w:szCs w:val="30"/>
                <w:u w:val="none"/>
                <w:lang w:val="en-US" w:eastAsia="zh-CN" w:bidi="ar"/>
              </w:rPr>
            </w:pPr>
          </w:p>
          <w:tbl>
            <w:tblPr>
              <w:tblStyle w:val="16"/>
              <w:tblW w:w="141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51322323T000009598476-办公费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人事考试、考调、“三支一扶”等面试工作经费</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强化人才支撑保障。实施重大人才招引工程，依托“硕博进阿坝”“格桑花”等引才项目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推进人才项目评审专家数据库建设，创新开展人才关爱激励“五大工程”，支持人才安心干事创业，推动县域人才中坚力量崛起，共谋县域经济高质量发展。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51322321T000000065722-金保网费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完成全县11个镇新型农村养老保险、机关企事业养老保险数据传送等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完成全县11个镇新型农村养老保险工作的数据传送、全县社保与上级工作平台数据传送。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通过局信息中心随时追踪金保网络运行情况，确保平台数据传送。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2023年7-12月及2024年1-12月金保网费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可充分发挥社会保障体系的整体效益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完成全县11个镇新型农村养老保险、机关企事业养老保险数据传送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切实防范和化解基金风险，加强基金监管力度。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综合办公使用的网络费及通信费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提高社会保险基金监管部门对基金运转的透明度和知情度，有效防止冒领养老金现象，切实防范和化解基金风险，加强基金监管力度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keepNext w:val="0"/>
              <w:keepLines w:val="0"/>
              <w:widowControl/>
              <w:suppressLineNumbers w:val="0"/>
              <w:spacing w:before="0" w:beforeAutospacing="0" w:after="0" w:afterAutospacing="0"/>
              <w:ind w:left="0" w:leftChars="0" w:right="0" w:rightChars="0"/>
              <w:jc w:val="center"/>
              <w:textAlignment w:val="center"/>
              <w:rPr>
                <w:rFonts w:ascii="黑体" w:hAnsi="宋体" w:eastAsia="黑体" w:cs="黑体"/>
                <w:b/>
                <w:bCs/>
                <w:i w:val="0"/>
                <w:iCs w:val="0"/>
                <w:color w:val="000000"/>
                <w:kern w:val="2"/>
                <w:sz w:val="30"/>
                <w:szCs w:val="30"/>
                <w:u w:val="none"/>
                <w:lang w:val="en-US" w:eastAsia="zh-CN" w:bidi="ar-SA"/>
              </w:rPr>
            </w:pPr>
          </w:p>
        </w:tc>
      </w:tr>
    </w:tbl>
    <w:p>
      <w:pPr>
        <w:pStyle w:val="35"/>
        <w:spacing w:line="550" w:lineRule="exact"/>
        <w:rPr>
          <w:rFonts w:hint="eastAsia" w:ascii="仿宋_GB2312" w:hAnsi="黑体" w:eastAsia="仿宋_GB2312" w:cs="宋体"/>
          <w:color w:val="000000"/>
          <w:kern w:val="0"/>
          <w:sz w:val="32"/>
          <w:szCs w:val="32"/>
          <w:shd w:val="clear" w:color="auto" w:fill="FFFFFF"/>
        </w:rPr>
        <w:sectPr>
          <w:pgSz w:w="16838" w:h="11906" w:orient="landscape"/>
          <w:pgMar w:top="1800" w:right="1440" w:bottom="1800" w:left="1440" w:header="851" w:footer="992" w:gutter="0"/>
          <w:pgNumType w:fmt="decimal"/>
          <w:cols w:space="425" w:num="1"/>
          <w:titlePg/>
          <w:docGrid w:type="lines" w:linePitch="312" w:charSpace="0"/>
        </w:sectPr>
      </w:pPr>
    </w:p>
    <w:p>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2</w:t>
      </w:r>
      <w:bookmarkEnd w:id="103"/>
    </w:p>
    <w:p>
      <w:pPr>
        <w:spacing w:line="600" w:lineRule="exact"/>
        <w:jc w:val="center"/>
        <w:outlineLvl w:val="0"/>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茂县人力资源和社会保障局</w:t>
      </w:r>
    </w:p>
    <w:p>
      <w:pPr>
        <w:pStyle w:val="41"/>
        <w:spacing w:line="578" w:lineRule="exact"/>
        <w:ind w:firstLine="440" w:firstLineChars="100"/>
        <w:rPr>
          <w:rFonts w:hint="eastAsia" w:ascii="方正小标宋简体" w:hAnsi="黑体" w:eastAsia="方正小标宋简体" w:cs="黑体"/>
          <w:sz w:val="44"/>
          <w:szCs w:val="44"/>
          <w:lang w:val="en-US"/>
        </w:rPr>
      </w:pPr>
      <w:r>
        <w:rPr>
          <w:rFonts w:hint="eastAsia" w:ascii="方正小标宋简体" w:hAnsi="黑体" w:eastAsia="方正小标宋简体" w:cs="黑体"/>
          <w:sz w:val="44"/>
          <w:szCs w:val="44"/>
          <w:lang w:val="en-US"/>
        </w:rPr>
        <w:t>2024年办公费（人事考试面试工作经费）</w:t>
      </w:r>
    </w:p>
    <w:p>
      <w:pPr>
        <w:pStyle w:val="41"/>
        <w:spacing w:line="578" w:lineRule="exact"/>
        <w:ind w:firstLine="1540" w:firstLineChars="350"/>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41"/>
        <w:spacing w:line="578" w:lineRule="exact"/>
        <w:ind w:firstLine="640"/>
        <w:jc w:val="center"/>
        <w:rPr>
          <w:rFonts w:ascii="宋体" w:hAnsi="宋体"/>
          <w:color w:val="auto"/>
          <w:kern w:val="2"/>
          <w:sz w:val="32"/>
          <w:szCs w:val="32"/>
        </w:rPr>
      </w:pPr>
    </w:p>
    <w:p>
      <w:pPr>
        <w:numPr>
          <w:ilvl w:val="0"/>
          <w:numId w:val="7"/>
        </w:numPr>
        <w:adjustRightInd w:val="0"/>
        <w:snapToGrid w:val="0"/>
        <w:spacing w:line="58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（一）设立背景及基本情况</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2024年下半年公开招聘事业单位工作人员面试工作于2024年12月28日举行，按照《阿坝州人力资源和社会保障局关于印发&lt;阿坝州人力资源和社会保障局人事考试等劳务费支出标准&gt;的通知》（阿州人社办〔2017〕220号）规定“面试考官、巡考、工作人员考务费标准为600元/人·天。国家法定节假日、公休日开展面试考务工作和单次面试时间超过8小时的，考务费酌情增加”“试卷值守人员按200元/人·天的标准支付劳务费”。</w:t>
      </w:r>
    </w:p>
    <w:p>
      <w:pPr>
        <w:adjustRightInd w:val="0"/>
        <w:snapToGrid w:val="0"/>
        <w:spacing w:line="60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（二）实施目的及支持方向</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实施重要人才激励工程，完善人才分类评价标准，探索引入多元化人才评价方式，推进人才项目评审专家数据库建设，坚持靶向引才、高效育才、悉心留才、激活人才工作。</w:t>
      </w:r>
    </w:p>
    <w:p>
      <w:pPr>
        <w:adjustRightInd w:val="0"/>
        <w:snapToGrid w:val="0"/>
        <w:spacing w:line="60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（三）预算安排及分配管理</w:t>
      </w:r>
    </w:p>
    <w:p>
      <w:pPr>
        <w:adjustRightInd w:val="0"/>
        <w:snapToGrid w:val="0"/>
        <w:spacing w:line="578" w:lineRule="exact"/>
        <w:ind w:firstLine="640" w:firstLineChars="200"/>
        <w:rPr>
          <w:rFonts w:hint="eastAsia" w:ascii="仿宋_GB2312" w:hAnsi="仿宋_GB2312" w:cs="仿宋_GB2312"/>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zh-CN"/>
        </w:rPr>
        <w:t>日，</w:t>
      </w:r>
      <w:r>
        <w:rPr>
          <w:rFonts w:hint="eastAsia" w:ascii="仿宋_GB2312" w:hAnsi="仿宋_GB2312" w:eastAsia="仿宋_GB2312" w:cs="仿宋_GB2312"/>
          <w:sz w:val="32"/>
          <w:szCs w:val="32"/>
        </w:rPr>
        <w:t>县财政</w:t>
      </w:r>
      <w:r>
        <w:rPr>
          <w:rFonts w:hint="eastAsia" w:ascii="仿宋_GB2312" w:hAnsi="仿宋_GB2312" w:eastAsia="仿宋_GB2312" w:cs="仿宋_GB2312"/>
          <w:sz w:val="32"/>
          <w:szCs w:val="32"/>
          <w:lang w:val="zh-CN"/>
        </w:rPr>
        <w:t>下达</w:t>
      </w:r>
      <w:r>
        <w:rPr>
          <w:rFonts w:hint="eastAsia" w:ascii="仿宋_GB2312" w:hAnsi="仿宋_GB2312" w:eastAsia="仿宋_GB2312" w:cs="仿宋_GB2312"/>
          <w:sz w:val="32"/>
          <w:szCs w:val="32"/>
        </w:rPr>
        <w:t>我系统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w:t>
      </w:r>
      <w:r>
        <w:rPr>
          <w:rFonts w:hint="eastAsia" w:ascii="仿宋_GB2312" w:hAnsi="仿宋_GB2312" w:eastAsia="仿宋_GB2312" w:cs="仿宋_GB2312"/>
          <w:sz w:val="32"/>
          <w:szCs w:val="32"/>
          <w:lang w:val="zh-CN"/>
        </w:rPr>
        <w:t>财预金〔20</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12029</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茂县人社局“办公费（人事考试面试工作经费）”运行</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5.75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p>
    <w:p>
      <w:pPr>
        <w:adjustRightInd w:val="0"/>
        <w:snapToGrid w:val="0"/>
        <w:spacing w:line="60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（四）项目绩效目标设置</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采取自评方式，成立项目自评小组，结合评价内容，做到有计划、有安排地开展自评工作。按照县财政局下发的项目支出绩效评价指标体系，自评小组对绩效目标、决策依据、资金分配、资金到位、资金管理、财务管理等方面做好自评工作。</w:t>
      </w:r>
    </w:p>
    <w:p>
      <w:pPr>
        <w:numPr>
          <w:ilvl w:val="0"/>
          <w:numId w:val="0"/>
        </w:numPr>
        <w:adjustRightInd w:val="0"/>
        <w:snapToGrid w:val="0"/>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二、评价实施</w:t>
      </w:r>
    </w:p>
    <w:p>
      <w:pPr>
        <w:adjustRightInd w:val="0"/>
        <w:snapToGrid w:val="0"/>
        <w:spacing w:line="540" w:lineRule="exact"/>
        <w:ind w:firstLine="642"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（一）评价目的</w:t>
      </w:r>
      <w:bookmarkStart w:id="104" w:name="OLE_LINK9"/>
      <w:bookmarkStart w:id="105" w:name="OLE_LINK10"/>
    </w:p>
    <w:p>
      <w:pPr>
        <w:adjustRightInd w:val="0"/>
        <w:snapToGrid w:val="0"/>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强化人才支撑保障。围绕州域副中心建设和高质量发展人才需求，以省级人才先行区建设为抓手，持续完善人才“引、育、留、用”全链条体系。</w:t>
      </w:r>
    </w:p>
    <w:bookmarkEnd w:id="104"/>
    <w:bookmarkEnd w:id="105"/>
    <w:p>
      <w:pPr>
        <w:numPr>
          <w:ilvl w:val="0"/>
          <w:numId w:val="0"/>
        </w:numPr>
        <w:adjustRightInd w:val="0"/>
        <w:snapToGrid w:val="0"/>
        <w:spacing w:line="578" w:lineRule="exact"/>
        <w:ind w:leftChars="200"/>
        <w:rPr>
          <w:rFonts w:hint="eastAsia" w:ascii="楷体_GB2312" w:hAnsi="Times New Roman" w:eastAsia="楷体_GB2312" w:cs="Times New Roman"/>
          <w:b/>
          <w:sz w:val="32"/>
          <w:szCs w:val="32"/>
          <w:lang w:val="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二</w:t>
      </w:r>
      <w:r>
        <w:rPr>
          <w:rFonts w:hint="eastAsia" w:ascii="楷体_GB2312" w:eastAsia="楷体_GB2312" w:cs="Times New Roman"/>
          <w:b/>
          <w:sz w:val="32"/>
          <w:szCs w:val="32"/>
          <w:lang w:val="zh-CN"/>
        </w:rPr>
        <w:t>）</w:t>
      </w:r>
      <w:r>
        <w:rPr>
          <w:rFonts w:hint="eastAsia" w:ascii="楷体_GB2312" w:hAnsi="Times New Roman" w:eastAsia="楷体_GB2312" w:cs="Times New Roman"/>
          <w:b/>
          <w:sz w:val="32"/>
          <w:szCs w:val="32"/>
          <w:lang w:val="zh-CN"/>
        </w:rPr>
        <w:t>预设问题及评价重点</w:t>
      </w:r>
    </w:p>
    <w:p>
      <w:pPr>
        <w:numPr>
          <w:ilvl w:val="0"/>
          <w:numId w:val="0"/>
        </w:num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按照《阿坝州人力资源和社会保障局关于印发&lt;阿坝州人力资源和社会保障局人事考试等劳务费支出标准&gt;的通知》（阿州人社办〔2017〕220号）规定进行管理支付。</w:t>
      </w:r>
    </w:p>
    <w:p>
      <w:pPr>
        <w:numPr>
          <w:ilvl w:val="0"/>
          <w:numId w:val="0"/>
        </w:numPr>
        <w:adjustRightInd w:val="0"/>
        <w:snapToGrid w:val="0"/>
        <w:spacing w:line="580" w:lineRule="exact"/>
        <w:ind w:leftChars="200"/>
        <w:rPr>
          <w:rFonts w:hint="eastAsia" w:ascii="楷体_GB2312" w:eastAsia="楷体_GB2312" w:cs="Times New Roman"/>
          <w:b/>
          <w:sz w:val="32"/>
          <w:szCs w:val="32"/>
          <w:lang w:val="en-US" w:eastAsia="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三</w:t>
      </w:r>
      <w:r>
        <w:rPr>
          <w:rFonts w:hint="eastAsia" w:ascii="楷体_GB2312" w:eastAsia="楷体_GB2312" w:cs="Times New Roman"/>
          <w:b/>
          <w:sz w:val="32"/>
          <w:szCs w:val="32"/>
          <w:lang w:val="zh-CN"/>
        </w:rPr>
        <w:t>）</w:t>
      </w:r>
      <w:r>
        <w:rPr>
          <w:rFonts w:hint="eastAsia" w:ascii="楷体_GB2312" w:hAnsi="Times New Roman" w:eastAsia="楷体_GB2312" w:cs="Times New Roman"/>
          <w:b/>
          <w:sz w:val="32"/>
          <w:szCs w:val="32"/>
          <w:lang w:val="zh-CN"/>
        </w:rPr>
        <w:t>评价选点</w:t>
      </w:r>
      <w:r>
        <w:rPr>
          <w:rFonts w:hint="eastAsia" w:ascii="楷体_GB2312" w:eastAsia="楷体_GB2312" w:cs="Times New Roman"/>
          <w:b/>
          <w:sz w:val="32"/>
          <w:szCs w:val="32"/>
          <w:lang w:val="en-US" w:eastAsia="zh-CN"/>
        </w:rPr>
        <w:t xml:space="preserve"> </w:t>
      </w:r>
    </w:p>
    <w:p>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单位在财政项目资金财务管理过程中严格按照“收支两条线”、会计核算规范，专款专用管理的要求；严格按照《社保基金财务制度》要求的会计科目进行核算。</w:t>
      </w:r>
    </w:p>
    <w:p>
      <w:pPr>
        <w:numPr>
          <w:ilvl w:val="0"/>
          <w:numId w:val="0"/>
        </w:numPr>
        <w:spacing w:line="560" w:lineRule="exact"/>
        <w:ind w:leftChars="200"/>
        <w:rPr>
          <w:rFonts w:hint="eastAsia" w:ascii="仿宋_GB2312" w:hAnsi="仿宋_GB2312" w:eastAsia="仿宋_GB2312" w:cs="仿宋_GB2312"/>
          <w:sz w:val="32"/>
          <w:szCs w:val="32"/>
          <w:lang w:val="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四</w:t>
      </w:r>
      <w:r>
        <w:rPr>
          <w:rFonts w:hint="eastAsia" w:ascii="楷体_GB2312" w:eastAsia="楷体_GB2312" w:cs="Times New Roman"/>
          <w:b/>
          <w:sz w:val="32"/>
          <w:szCs w:val="32"/>
          <w:lang w:val="zh-CN"/>
        </w:rPr>
        <w:t>）</w:t>
      </w:r>
      <w:r>
        <w:rPr>
          <w:rFonts w:hint="eastAsia" w:ascii="楷体_GB2312" w:hAnsi="Times New Roman" w:eastAsia="楷体_GB2312" w:cs="Times New Roman"/>
          <w:b/>
          <w:sz w:val="32"/>
          <w:szCs w:val="32"/>
          <w:lang w:val="zh-CN"/>
        </w:rPr>
        <w:t>评价方法</w:t>
      </w:r>
    </w:p>
    <w:p>
      <w:pPr>
        <w:numPr>
          <w:ilvl w:val="0"/>
          <w:numId w:val="0"/>
        </w:num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本项目通过单位自评法了解项目情况，收集相关资料，综合分析相关情况后，对项目的立项必要性、投入经济性、目标合理性、方案可行性以及筹资合规性实施评估。</w:t>
      </w:r>
    </w:p>
    <w:p>
      <w:pPr>
        <w:numPr>
          <w:ilvl w:val="0"/>
          <w:numId w:val="0"/>
        </w:numPr>
        <w:spacing w:line="578" w:lineRule="exact"/>
        <w:ind w:leftChars="200"/>
        <w:rPr>
          <w:rFonts w:hint="eastAsia" w:ascii="楷体_GB2312" w:hAnsi="Times New Roman" w:eastAsia="楷体_GB2312" w:cs="Times New Roman"/>
          <w:b/>
          <w:sz w:val="32"/>
          <w:szCs w:val="32"/>
          <w:lang w:val="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五</w:t>
      </w:r>
      <w:r>
        <w:rPr>
          <w:rFonts w:hint="eastAsia" w:ascii="楷体_GB2312" w:eastAsia="楷体_GB2312" w:cs="Times New Roman"/>
          <w:b/>
          <w:sz w:val="32"/>
          <w:szCs w:val="32"/>
          <w:lang w:val="zh-CN"/>
        </w:rPr>
        <w:t>）</w:t>
      </w:r>
      <w:r>
        <w:rPr>
          <w:rFonts w:hint="eastAsia" w:ascii="楷体_GB2312" w:hAnsi="Times New Roman" w:eastAsia="楷体_GB2312" w:cs="Times New Roman"/>
          <w:b/>
          <w:sz w:val="32"/>
          <w:szCs w:val="32"/>
          <w:lang w:val="zh-CN"/>
        </w:rPr>
        <w:t>评价组织</w:t>
      </w:r>
    </w:p>
    <w:p>
      <w:pPr>
        <w:numPr>
          <w:ilvl w:val="0"/>
          <w:numId w:val="0"/>
        </w:numPr>
        <w:spacing w:line="578"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我局高度重视落实开展项目绩效评价工作，成立了以局长为组长，分管财务副局长为副组长，各股室股长为成员的工作领导小组，负责组织开展本单位绩效评价工作。</w:t>
      </w:r>
    </w:p>
    <w:p>
      <w:pPr>
        <w:adjustRightInd w:val="0"/>
        <w:snapToGrid w:val="0"/>
        <w:spacing w:line="578" w:lineRule="exact"/>
        <w:ind w:firstLine="640" w:firstLineChars="200"/>
        <w:rPr>
          <w:rFonts w:hint="eastAsia" w:ascii="仿宋_GB2312" w:hAnsi="宋体"/>
          <w:lang w:val="zh-CN"/>
        </w:rPr>
      </w:pPr>
      <w:r>
        <w:rPr>
          <w:rFonts w:hint="eastAsia" w:ascii="黑体" w:hAnsi="黑体" w:eastAsia="黑体" w:cs="黑体"/>
          <w:sz w:val="32"/>
          <w:szCs w:val="32"/>
          <w:lang w:val="zh-CN"/>
        </w:rPr>
        <w:t>三、绩效分析</w:t>
      </w:r>
      <w:r>
        <w:rPr>
          <w:rFonts w:hint="eastAsia" w:ascii="仿宋_GB2312" w:hAnsi="宋体"/>
          <w:lang w:val="zh-CN"/>
        </w:rPr>
        <w:tab/>
      </w:r>
    </w:p>
    <w:p>
      <w:pPr>
        <w:spacing w:line="578" w:lineRule="exact"/>
        <w:ind w:firstLine="64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（一）通用指标绩效分析</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1.项目决策。该项目的设立、调整延续等方面符合资金管理基本规范和决策程序要求，项目规划符合上级政府有关决策部署安排，项目绩效目标设置科学合理，资金主要用于人事考试工作面试相关费用</w:t>
      </w:r>
      <w:r>
        <w:rPr>
          <w:rFonts w:hint="eastAsia" w:ascii="仿宋_GB2312" w:hAnsi="仿宋_GB2312" w:eastAsia="仿宋_GB2312" w:cs="仿宋_GB2312"/>
          <w:sz w:val="32"/>
          <w:szCs w:val="32"/>
          <w:lang w:val="zh-CN"/>
        </w:rPr>
        <w:t>。</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val="zh-CN"/>
        </w:rPr>
        <w:t>按照《茂县人力资源和社会保障局与茂县电信公司全业务通信合作协议》进行管理。</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sz w:val="32"/>
          <w:szCs w:val="32"/>
          <w:lang w:val="zh-CN"/>
        </w:rPr>
        <w:t>项目资金使用、拨付符合国家财经法规、财务管理制度及有关专项资金管理制度办法规定和审批程序，</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zh-CN"/>
        </w:rPr>
        <w:t>存在超范围、超标准、超进度使用专项资金，</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zh-CN"/>
        </w:rPr>
        <w:t>存在资金损失浪费、长期沉淀、截留、挤占、挪用、虚列支出等情况，项目实施遵守相关法律法规。</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4.项目结果。项目按时完成预期目标，实施结果与绩效目标相匹配，按照实施计划完成目标。</w:t>
      </w:r>
    </w:p>
    <w:p>
      <w:pPr>
        <w:spacing w:line="578" w:lineRule="exact"/>
        <w:ind w:firstLine="640"/>
        <w:rPr>
          <w:rFonts w:hint="eastAsia" w:ascii="楷体_GB2312" w:hAnsi="Times New Roman" w:eastAsia="楷体_GB2312" w:cs="Times New Roman"/>
          <w:b/>
          <w:sz w:val="36"/>
          <w:szCs w:val="36"/>
          <w:lang w:val="zh-CN"/>
        </w:rPr>
      </w:pPr>
      <w:r>
        <w:rPr>
          <w:rFonts w:hint="eastAsia" w:ascii="楷体_GB2312" w:hAnsi="Times New Roman" w:eastAsia="楷体_GB2312" w:cs="Times New Roman"/>
          <w:b/>
          <w:sz w:val="36"/>
          <w:szCs w:val="36"/>
          <w:lang w:val="zh-CN"/>
        </w:rPr>
        <w:t>（二）个性指标绩效分析</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1.数量指标。下半年</w:t>
      </w:r>
      <w:r>
        <w:rPr>
          <w:rFonts w:hint="eastAsia" w:ascii="仿宋_GB2312" w:hAnsi="仿宋_GB2312" w:eastAsia="仿宋_GB2312" w:cs="仿宋_GB2312"/>
          <w:sz w:val="32"/>
          <w:szCs w:val="32"/>
        </w:rPr>
        <w:t>面试三场累计共有考生52人，累计工作人员84人</w:t>
      </w:r>
      <w:r>
        <w:rPr>
          <w:rFonts w:hint="eastAsia" w:ascii="仿宋_GB2312" w:hAnsi="仿宋_GB2312" w:eastAsia="仿宋_GB2312" w:cs="仿宋_GB2312"/>
          <w:sz w:val="32"/>
          <w:szCs w:val="32"/>
          <w:lang w:val="zh-CN"/>
        </w:rPr>
        <w:t>。</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2.质量指标。面试工作完成率100%。</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3.时效指标。资金在规定时间下达率100%，面试工作保障率100%。</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4.效益指标。</w:t>
      </w:r>
      <w:r>
        <w:rPr>
          <w:rFonts w:hint="eastAsia" w:ascii="仿宋_GB2312" w:hAnsi="仿宋_GB2312" w:eastAsia="仿宋_GB2312" w:cs="仿宋_GB2312"/>
          <w:sz w:val="32"/>
          <w:szCs w:val="32"/>
        </w:rPr>
        <w:t>完善人才分类评价标准，探索引入多元化人才评价方式，推进人才项目评审专家数据库建设。</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5.考生满意度。考生的满意度达到95%以上。</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四、评价结论</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高度重视绩效评价结果的应用工作，积极探索并建立一套与预算管理相结合、多渠道应用评价结果的有效机制，以提高绩效意识和人事考试工作经费资金使用效益。在财政补助资金使用和管理过程中严格贯彻落实专项资金专款专用的使用要求，资金收入、支出管理均严格按照相关要求进行，不存在截留、挤占、挪用及扩大标准及范围发放养老金的情况。</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五、存在主要问题</w:t>
      </w:r>
    </w:p>
    <w:p>
      <w:pPr>
        <w:adjustRightInd w:val="0"/>
        <w:snapToGrid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在</w:t>
      </w:r>
      <w:r>
        <w:rPr>
          <w:rFonts w:hint="eastAsia" w:ascii="仿宋_GB2312" w:hAnsi="仿宋_GB2312" w:eastAsia="仿宋_GB2312" w:cs="仿宋_GB2312"/>
          <w:sz w:val="32"/>
          <w:szCs w:val="32"/>
          <w:lang w:val="en-US" w:eastAsia="zh-CN"/>
        </w:rPr>
        <w:t>此次绩效评价中暂未发现相关问题。</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六、改进建议</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强化预算资金精细化管理，提高预算资金科学性、合理性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严格根据相关标准和依据，进行资金使用，确保资金使用效益。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建立长效性的监督检查制度；做好资金的绩效管理结算工作。</w:t>
      </w:r>
    </w:p>
    <w:p>
      <w:pPr>
        <w:pStyle w:val="15"/>
        <w:keepNext w:val="0"/>
        <w:keepLines w:val="0"/>
        <w:pageBreakBefore w:val="0"/>
        <w:widowControl/>
        <w:suppressLineNumbers w:val="0"/>
        <w:kinsoku/>
        <w:wordWrap/>
        <w:overflowPunct/>
        <w:topLinePunct w:val="0"/>
        <w:bidi w:val="0"/>
        <w:spacing w:line="576" w:lineRule="exact"/>
        <w:jc w:val="left"/>
        <w:textAlignment w:val="auto"/>
      </w:pPr>
    </w:p>
    <w:p>
      <w:pPr>
        <w:spacing w:line="600" w:lineRule="exact"/>
        <w:jc w:val="center"/>
        <w:outlineLvl w:val="0"/>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 xml:space="preserve"> 茂县人力资源和社会保障局</w:t>
      </w:r>
    </w:p>
    <w:p>
      <w:pPr>
        <w:pStyle w:val="41"/>
        <w:spacing w:line="578" w:lineRule="exact"/>
        <w:ind w:firstLine="1540" w:firstLineChars="350"/>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黑体" w:eastAsia="方正小标宋简体" w:cs="黑体"/>
          <w:sz w:val="44"/>
          <w:szCs w:val="44"/>
          <w:lang w:val="en-US"/>
        </w:rPr>
        <w:t>2024年金保网络</w:t>
      </w:r>
      <w:r>
        <w:rPr>
          <w:rFonts w:hint="eastAsia" w:ascii="方正小标宋简体" w:hAnsi="方正小标宋简体" w:eastAsia="方正小标宋简体" w:cs="方正小标宋简体"/>
          <w:color w:val="auto"/>
          <w:kern w:val="2"/>
          <w:sz w:val="44"/>
          <w:szCs w:val="44"/>
          <w:lang w:val="en-US"/>
        </w:rPr>
        <w:t>专项预算项目</w:t>
      </w:r>
    </w:p>
    <w:p>
      <w:pPr>
        <w:pStyle w:val="41"/>
        <w:spacing w:line="578" w:lineRule="exact"/>
        <w:ind w:firstLine="3080" w:firstLineChars="700"/>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绩效评价报告</w:t>
      </w:r>
    </w:p>
    <w:p>
      <w:pPr>
        <w:pStyle w:val="41"/>
        <w:spacing w:line="578" w:lineRule="exact"/>
        <w:ind w:firstLine="640"/>
        <w:jc w:val="center"/>
        <w:rPr>
          <w:rFonts w:ascii="宋体" w:hAnsi="宋体"/>
          <w:color w:val="auto"/>
          <w:kern w:val="2"/>
          <w:sz w:val="32"/>
          <w:szCs w:val="32"/>
        </w:rPr>
      </w:pPr>
    </w:p>
    <w:p>
      <w:pPr>
        <w:numPr>
          <w:ilvl w:val="0"/>
          <w:numId w:val="0"/>
        </w:numPr>
        <w:adjustRightInd w:val="0"/>
        <w:snapToGrid w:val="0"/>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为完善社会保险经办标准化建设以及信息系统建设及运行维护，经办人员素质提升，业务数字化管理及风险防控，确保机关单位、企业、居民职工，基本养老保险、工伤保险参保、失业保险等险种覆盖人数持续增长。</w:t>
      </w:r>
      <w:r>
        <w:rPr>
          <w:rFonts w:hint="eastAsia" w:ascii="仿宋_GB2312" w:hAnsi="仿宋_GB2312" w:eastAsia="仿宋_GB2312" w:cs="仿宋_GB2312"/>
          <w:sz w:val="32"/>
          <w:szCs w:val="32"/>
          <w:lang w:val="zh-CN"/>
        </w:rPr>
        <w:t>完成全县11个镇新型农村养老保险工作的数据传送、全县社保与上级工作平台数据传送。包括就业、失业、社保和五项社会保险业务，通过信息系统将各类信息有机组合，可充分发挥社会保障体系的整体效益。</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（二）实施目的及支持方向</w:t>
      </w:r>
    </w:p>
    <w:p>
      <w:pPr>
        <w:adjustRightInd w:val="0"/>
        <w:snapToGrid w:val="0"/>
        <w:spacing w:line="54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1、确保机关单位、企业、居民职工养老保险、</w:t>
      </w:r>
      <w:r>
        <w:rPr>
          <w:rFonts w:hint="eastAsia" w:ascii="仿宋_GB2312" w:hAnsi="仿宋_GB2312" w:eastAsia="仿宋_GB2312" w:cs="仿宋_GB2312"/>
          <w:sz w:val="32"/>
          <w:szCs w:val="32"/>
        </w:rPr>
        <w:t>工伤保险等省级统筹顺利推进，</w:t>
      </w:r>
      <w:r>
        <w:rPr>
          <w:rFonts w:hint="eastAsia" w:ascii="仿宋_GB2312" w:hAnsi="仿宋_GB2312" w:eastAsia="仿宋_GB2312" w:cs="仿宋_GB2312"/>
          <w:sz w:val="32"/>
          <w:szCs w:val="32"/>
          <w:lang w:val="zh-CN"/>
        </w:rPr>
        <w:t>参保覆盖人数持续增长，</w:t>
      </w:r>
      <w:r>
        <w:rPr>
          <w:rFonts w:hint="eastAsia" w:ascii="仿宋_GB2312" w:hAnsi="仿宋_GB2312" w:eastAsia="仿宋_GB2312" w:cs="仿宋_GB2312"/>
          <w:sz w:val="32"/>
          <w:szCs w:val="32"/>
        </w:rPr>
        <w:t>待遇水平稳步提高，基金运行总体平稳。</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完善社会保险经办标准化建设以及信息系统建设及运行维护。</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（三）预算安排及分配管理</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2024年6月5日，县财政下达我系统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茂财预金〔20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rPr>
        <w:t>〕06001号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2024年茂县人社局“金保网”运行资金7.6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（四）项目绩效目标设置</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采取自评方式，成立项目自评小组，结合评价内容，做到有计划、有安排地开展自评工作。按照县财政局下发的项目支出绩效评价指标体系，自评小组对绩效目标、决策依据、资金分配、资金到位、资金管理、财务管理等方面做好自评工作。</w:t>
      </w:r>
    </w:p>
    <w:p>
      <w:pPr>
        <w:numPr>
          <w:ilvl w:val="0"/>
          <w:numId w:val="0"/>
        </w:numPr>
        <w:adjustRightInd w:val="0"/>
        <w:snapToGrid w:val="0"/>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二、评价实施</w:t>
      </w:r>
    </w:p>
    <w:p>
      <w:pPr>
        <w:adjustRightInd w:val="0"/>
        <w:snapToGrid w:val="0"/>
        <w:spacing w:line="54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（一）评价目的</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提高基金征缴、支付和管理的规范化、制度化，提高社会保险基金监管部门对基金运转的透明度和知情度，有效防止冒领养老金现象，切实防范和化解基金风险，加强基金监管力度。</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本年度企业职工养老保险1380</w:t>
      </w: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lang w:val="zh-CN"/>
        </w:rPr>
        <w:t>人，完成目标任务的101%；工伤保险131</w:t>
      </w:r>
      <w:r>
        <w:rPr>
          <w:rFonts w:hint="eastAsia" w:ascii="仿宋_GB2312" w:hAnsi="仿宋_GB2312" w:eastAsia="仿宋_GB2312" w:cs="仿宋_GB2312"/>
          <w:sz w:val="32"/>
          <w:szCs w:val="32"/>
          <w:lang w:val="en"/>
        </w:rPr>
        <w:t>8</w:t>
      </w:r>
      <w:r>
        <w:rPr>
          <w:rFonts w:hint="eastAsia" w:ascii="仿宋_GB2312" w:hAnsi="仿宋_GB2312" w:eastAsia="仿宋_GB2312" w:cs="仿宋_GB2312"/>
          <w:sz w:val="32"/>
          <w:szCs w:val="32"/>
          <w:lang w:val="zh-CN"/>
        </w:rPr>
        <w:t>9人，完成目标任务的105%；城乡居民养老保险新增参保扩面240人，完成目标任务163人</w:t>
      </w:r>
      <w:r>
        <w:rPr>
          <w:rFonts w:hint="default" w:ascii="仿宋_GB2312" w:hAnsi="仿宋_GB2312" w:eastAsia="仿宋_GB2312" w:cs="仿宋_GB2312"/>
          <w:sz w:val="32"/>
          <w:szCs w:val="32"/>
        </w:rPr>
        <w:t>的</w:t>
      </w:r>
      <w:bookmarkStart w:id="150" w:name="_GoBack"/>
      <w:bookmarkEnd w:id="150"/>
      <w:r>
        <w:rPr>
          <w:rFonts w:hint="eastAsia" w:ascii="仿宋_GB2312" w:hAnsi="仿宋_GB2312" w:eastAsia="仿宋_GB2312" w:cs="仿宋_GB2312"/>
          <w:sz w:val="32"/>
          <w:szCs w:val="32"/>
          <w:lang w:val="zh-CN"/>
        </w:rPr>
        <w:t>147.2%。</w:t>
      </w:r>
    </w:p>
    <w:p>
      <w:pPr>
        <w:numPr>
          <w:ilvl w:val="0"/>
          <w:numId w:val="0"/>
        </w:numPr>
        <w:adjustRightInd w:val="0"/>
        <w:snapToGrid w:val="0"/>
        <w:spacing w:line="540" w:lineRule="exact"/>
        <w:ind w:left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）预设问题及评价重点</w:t>
      </w:r>
    </w:p>
    <w:p>
      <w:pPr>
        <w:numPr>
          <w:ilvl w:val="0"/>
          <w:numId w:val="0"/>
        </w:numPr>
        <w:adjustRightInd w:val="0"/>
        <w:snapToGrid w:val="0"/>
        <w:spacing w:line="540" w:lineRule="exact"/>
        <w:ind w:left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按照《茂县人力资源和社会保障局与茂县电信公司全业务通信合作协议》进行管理支付。</w:t>
      </w:r>
    </w:p>
    <w:p>
      <w:pPr>
        <w:adjustRightInd w:val="0"/>
        <w:snapToGrid w:val="0"/>
        <w:spacing w:line="54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截止评价时点，2024年人社公共服务能力建设资金支出共计：7.6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w:t>
      </w:r>
    </w:p>
    <w:p>
      <w:pPr>
        <w:numPr>
          <w:ilvl w:val="0"/>
          <w:numId w:val="0"/>
        </w:numPr>
        <w:adjustRightInd w:val="0"/>
        <w:snapToGrid w:val="0"/>
        <w:spacing w:line="580" w:lineRule="exact"/>
        <w:ind w:left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三</w:t>
      </w:r>
      <w:r>
        <w:rPr>
          <w:rFonts w:hint="eastAsia" w:ascii="楷体_GB2312" w:hAnsi="宋体" w:eastAsia="楷体_GB2312" w:cs="Times New Roman"/>
          <w:b/>
          <w:sz w:val="32"/>
          <w:szCs w:val="32"/>
          <w:lang w:val="zh-CN"/>
        </w:rPr>
        <w:t>）评价选点</w:t>
      </w:r>
    </w:p>
    <w:p>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单位在财政项目资金财务管理过程中严格按照“收支两条线”、会计核算规范，专款专用管理的要求；严格按照《社保基金财务制度》要求的会计科目进行核算。</w:t>
      </w:r>
    </w:p>
    <w:p>
      <w:pPr>
        <w:numPr>
          <w:ilvl w:val="0"/>
          <w:numId w:val="0"/>
        </w:numPr>
        <w:spacing w:line="560" w:lineRule="exact"/>
        <w:ind w:left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四</w:t>
      </w:r>
      <w:r>
        <w:rPr>
          <w:rFonts w:hint="eastAsia" w:ascii="楷体_GB2312" w:hAnsi="宋体" w:eastAsia="楷体_GB2312" w:cs="Times New Roman"/>
          <w:b/>
          <w:sz w:val="32"/>
          <w:szCs w:val="32"/>
          <w:lang w:val="zh-CN"/>
        </w:rPr>
        <w:t>）评价方法</w:t>
      </w:r>
    </w:p>
    <w:p>
      <w:pPr>
        <w:numPr>
          <w:ilvl w:val="0"/>
          <w:numId w:val="0"/>
        </w:num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本项目通过单位自评法了解项目情况，收集相关资料，综合分析相关情况后，对项目的立项必要性、投入经济性、目标合理性、方案可行性以及筹资合规性实施评估。</w:t>
      </w:r>
    </w:p>
    <w:p>
      <w:pPr>
        <w:numPr>
          <w:ilvl w:val="0"/>
          <w:numId w:val="0"/>
        </w:numPr>
        <w:spacing w:line="578" w:lineRule="exact"/>
        <w:ind w:left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五</w:t>
      </w:r>
      <w:r>
        <w:rPr>
          <w:rFonts w:hint="eastAsia" w:ascii="楷体_GB2312" w:hAnsi="宋体" w:eastAsia="楷体_GB2312" w:cs="Times New Roman"/>
          <w:b/>
          <w:sz w:val="32"/>
          <w:szCs w:val="32"/>
          <w:lang w:val="zh-CN"/>
        </w:rPr>
        <w:t>）评价组织</w:t>
      </w:r>
    </w:p>
    <w:p>
      <w:pPr>
        <w:numPr>
          <w:ilvl w:val="0"/>
          <w:numId w:val="0"/>
        </w:numPr>
        <w:spacing w:line="578"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我局高度重视落实开展项目绩效评价工作，成立了以局长为组长，分管财务副局长为副组长，各股室股长为成员的工作领导小组，负责组织开展本单位绩效评价工作。</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三、绩效分析</w:t>
      </w:r>
      <w:r>
        <w:rPr>
          <w:rFonts w:hint="eastAsia" w:ascii="黑体" w:hAnsi="黑体" w:eastAsia="黑体" w:cs="黑体"/>
          <w:kern w:val="2"/>
          <w:sz w:val="32"/>
          <w:szCs w:val="32"/>
          <w:lang w:val="zh-CN" w:eastAsia="zh-CN" w:bidi="ar-SA"/>
        </w:rPr>
        <w:tab/>
      </w:r>
    </w:p>
    <w:p>
      <w:pPr>
        <w:spacing w:line="578" w:lineRule="exact"/>
        <w:ind w:firstLine="64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（一）通用指标绩效分析</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1.项目决策。该项目的设立、调整延续等方面符合资金管理基本规范和决策程序要求，项目规划符合上级政府有关决策部署安排，项目绩效目标设置科学合理，资金主要用于全县及乡镇金保网络的运行。</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2.项目管理。按照《茂县人力资源和社会保障局与茂县电信公司全业务通信合作协议》进行管理。</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实施。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4.项目结果。项目按时完成预期目标，实施结果与绩效目标相匹配，按照实施计划完成目标。</w:t>
      </w:r>
    </w:p>
    <w:p>
      <w:pPr>
        <w:spacing w:line="578" w:lineRule="exact"/>
        <w:ind w:firstLine="64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（二）个性指标绩效分析</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1.数量指标。对全县11个镇金保网运行情况及全县社保与上级工作平台数据传送，进行管理。</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2.质量指标。网络运行率100%。</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3.时效指标。资金在规定时间下达率100%，网络使用保障率100%。</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效益指标。一是不断提升社保基金管理信息水平，不断提高经办人员业务技能水平，不断提高社保基金经办管理服务水平，有效改善服务环境；二是不断加强新《四川省工伤保险条例》宣传力度，提高工伤认定质量和水平，提升案卷管理质量；三是提升社保基金预决算管理水平和汇编质量，有效维护社保基金的平稳运行，保障社保待遇的正常发放和支付，保障社保基金的安全完整，不断提高人民群众的获得感和幸福指数。通过对社保基金的监督管理、工伤认定案件办理，有效保障参保人员的合法权益，遏制违法违规行为，保障基金安全，不断提高社会治理水平和人社公共服务质量。</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5.社会满意度。参保人员的满意度达到90%以上。</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四、评价结论</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高度重视绩效评价结果的应用工作，积极探索并建立一套与预算管理相结合、多渠道应用评价结果的有效机制，以提高绩效意识和社保公共服务能力建设资金使用效益。在财政补助资金使用和管理过程中严格贯彻落实专项资金专款专用的使用要求，资金收入、支出管理均严格按照相关要求进行，不存在截留、挤占、挪用及扩大标准及范围发放养老金的情况。该项目的及时、完整实施，达到了对应的绩效目标，使社保体系更加健全，基金安全平稳运行，经办服务高效快捷，提高了人民群众对社保工作的满意度。</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五、存在主要问题</w:t>
      </w:r>
    </w:p>
    <w:p>
      <w:pPr>
        <w:adjustRightInd w:val="0"/>
        <w:snapToGrid w:val="0"/>
        <w:spacing w:line="580" w:lineRule="exact"/>
        <w:ind w:firstLine="640" w:firstLineChars="200"/>
        <w:rPr>
          <w:rFonts w:hint="eastAsia" w:ascii="仿宋" w:hAnsi="仿宋" w:eastAsia="仿宋" w:cs="仿宋_GB2312"/>
          <w:kern w:val="2"/>
          <w:position w:val="0"/>
          <w:sz w:val="32"/>
          <w:szCs w:val="32"/>
          <w:lang w:eastAsia="zh-CN"/>
        </w:rPr>
      </w:pPr>
      <w:r>
        <w:rPr>
          <w:rFonts w:hint="eastAsia" w:ascii="仿宋_GB2312" w:hAnsi="仿宋_GB2312" w:eastAsia="仿宋_GB2312" w:cs="仿宋_GB2312"/>
          <w:sz w:val="32"/>
          <w:szCs w:val="32"/>
          <w:lang w:val="zh-CN" w:eastAsia="zh-CN"/>
        </w:rPr>
        <w:t>在</w:t>
      </w:r>
      <w:r>
        <w:rPr>
          <w:rFonts w:hint="eastAsia" w:ascii="仿宋_GB2312" w:hAnsi="仿宋_GB2312" w:eastAsia="仿宋_GB2312" w:cs="仿宋_GB2312"/>
          <w:sz w:val="32"/>
          <w:szCs w:val="32"/>
          <w:lang w:val="en-US" w:eastAsia="zh-CN"/>
        </w:rPr>
        <w:t>此次绩效评价中暂未发现相关问题。</w:t>
      </w:r>
    </w:p>
    <w:p>
      <w:pPr>
        <w:pStyle w:val="8"/>
        <w:tabs>
          <w:tab w:val="left" w:pos="2160"/>
        </w:tabs>
        <w:spacing w:line="600" w:lineRule="exact"/>
        <w:ind w:firstLine="640" w:firstLineChars="20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六、改进建议</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强化预算资金精细化管理，提高预算资金科学性、合理性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严格根据相关标准和依据，进行资金使用，确保资金使用效益。</w:t>
      </w:r>
    </w:p>
    <w:p>
      <w:pPr>
        <w:spacing w:line="578"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建立长效性的监督检查制度；做好资金的绩效管理结算工作。</w:t>
      </w:r>
    </w:p>
    <w:p>
      <w:pPr>
        <w:spacing w:line="578" w:lineRule="exact"/>
        <w:ind w:firstLine="640"/>
        <w:rPr>
          <w:rFonts w:hint="eastAsia" w:ascii="仿宋_GB2312" w:hAnsi="仿宋_GB2312" w:eastAsia="仿宋_GB2312" w:cs="仿宋_GB2312"/>
          <w:sz w:val="32"/>
          <w:szCs w:val="32"/>
          <w:lang w:val="en"/>
        </w:rPr>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sectPr>
          <w:footerReference r:id="rId7" w:type="first"/>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both"/>
        <w:outlineLvl w:val="0"/>
        <w:rPr>
          <w:rFonts w:hint="eastAsia" w:ascii="方正小标宋简体" w:hAnsi="黑体" w:eastAsia="方正小标宋简体" w:cs="黑体"/>
          <w:sz w:val="44"/>
          <w:szCs w:val="44"/>
          <w:lang w:val="en-US" w:eastAsia="zh-CN"/>
        </w:rPr>
      </w:pPr>
    </w:p>
    <w:bookmarkEnd w:id="100"/>
    <w:bookmarkEnd w:id="101"/>
    <w:p>
      <w:pPr>
        <w:spacing w:line="600" w:lineRule="exact"/>
        <w:jc w:val="center"/>
        <w:outlineLvl w:val="0"/>
        <w:rPr>
          <w:rStyle w:val="29"/>
          <w:rFonts w:ascii="黑体" w:hAnsi="黑体" w:eastAsia="黑体"/>
          <w:b w:val="0"/>
        </w:rPr>
      </w:pPr>
      <w:bookmarkStart w:id="106" w:name="_Toc15396618"/>
      <w:bookmarkStart w:id="107" w:name="_Toc79163635"/>
      <w:bookmarkStart w:id="108" w:name="_Toc79163885"/>
      <w:r>
        <w:rPr>
          <w:rFonts w:hint="eastAsia" w:ascii="黑体" w:hAnsi="黑体" w:eastAsia="黑体"/>
          <w:color w:val="000000"/>
          <w:sz w:val="44"/>
          <w:szCs w:val="44"/>
        </w:rPr>
        <w:t>第</w:t>
      </w:r>
      <w:r>
        <w:rPr>
          <w:rStyle w:val="29"/>
          <w:rFonts w:hint="eastAsia" w:ascii="黑体" w:hAnsi="黑体" w:eastAsia="黑体"/>
        </w:rPr>
        <w:t>五部分</w:t>
      </w:r>
      <w:r>
        <w:rPr>
          <w:rStyle w:val="29"/>
          <w:rFonts w:ascii="黑体" w:hAnsi="黑体" w:eastAsia="黑体"/>
        </w:rPr>
        <w:t xml:space="preserve"> </w:t>
      </w:r>
      <w:r>
        <w:rPr>
          <w:rStyle w:val="29"/>
          <w:rFonts w:hint="eastAsia" w:ascii="黑体" w:hAnsi="黑体" w:eastAsia="黑体"/>
        </w:rPr>
        <w:t>附表</w:t>
      </w:r>
      <w:bookmarkEnd w:id="97"/>
      <w:bookmarkEnd w:id="106"/>
      <w:bookmarkEnd w:id="107"/>
      <w:bookmarkEnd w:id="108"/>
    </w:p>
    <w:p>
      <w:pPr>
        <w:spacing w:line="576" w:lineRule="exact"/>
        <w:ind w:left="315" w:leftChars="150" w:firstLine="640" w:firstLineChars="200"/>
        <w:rPr>
          <w:rFonts w:ascii="仿宋_GB2312" w:hAnsi="仿宋_GB2312" w:eastAsia="仿宋_GB2312" w:cs="仿宋_GB2312"/>
          <w:color w:val="000000"/>
          <w:sz w:val="32"/>
          <w:szCs w:val="32"/>
        </w:rPr>
      </w:pPr>
      <w:bookmarkStart w:id="109" w:name="_Toc15396619"/>
      <w:bookmarkStart w:id="110" w:name="_Toc79163636"/>
      <w:bookmarkStart w:id="111" w:name="_Toc7916388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109"/>
      <w:bookmarkEnd w:id="110"/>
      <w:bookmarkEnd w:id="111"/>
    </w:p>
    <w:p>
      <w:pPr>
        <w:spacing w:line="576" w:lineRule="exact"/>
        <w:ind w:left="315" w:leftChars="150" w:firstLine="640" w:firstLineChars="200"/>
        <w:rPr>
          <w:rFonts w:ascii="仿宋_GB2312" w:hAnsi="仿宋_GB2312" w:eastAsia="仿宋_GB2312" w:cs="仿宋_GB2312"/>
          <w:color w:val="000000"/>
          <w:sz w:val="32"/>
          <w:szCs w:val="32"/>
        </w:rPr>
      </w:pPr>
      <w:bookmarkStart w:id="112" w:name="_Toc15396620"/>
      <w:bookmarkStart w:id="113" w:name="_Toc79163887"/>
      <w:bookmarkStart w:id="114" w:name="_Toc79163637"/>
      <w:r>
        <w:rPr>
          <w:rFonts w:hint="eastAsia" w:ascii="仿宋_GB2312" w:hAnsi="仿宋_GB2312" w:eastAsia="仿宋_GB2312" w:cs="仿宋_GB2312"/>
          <w:color w:val="000000"/>
          <w:sz w:val="32"/>
          <w:szCs w:val="32"/>
        </w:rPr>
        <w:t>二、收入决算表</w:t>
      </w:r>
      <w:bookmarkEnd w:id="112"/>
      <w:bookmarkEnd w:id="113"/>
      <w:bookmarkEnd w:id="114"/>
    </w:p>
    <w:p>
      <w:pPr>
        <w:spacing w:line="576" w:lineRule="exact"/>
        <w:ind w:left="315" w:leftChars="150" w:firstLine="640" w:firstLineChars="200"/>
        <w:rPr>
          <w:rFonts w:ascii="仿宋_GB2312" w:hAnsi="仿宋_GB2312" w:eastAsia="仿宋_GB2312" w:cs="仿宋_GB2312"/>
          <w:color w:val="000000"/>
          <w:sz w:val="32"/>
          <w:szCs w:val="32"/>
        </w:rPr>
      </w:pPr>
      <w:bookmarkStart w:id="115" w:name="_Toc79163638"/>
      <w:bookmarkStart w:id="116" w:name="_Toc79163888"/>
      <w:bookmarkStart w:id="117" w:name="_Toc15396621"/>
      <w:r>
        <w:rPr>
          <w:rFonts w:hint="eastAsia" w:ascii="仿宋_GB2312" w:hAnsi="仿宋_GB2312" w:eastAsia="仿宋_GB2312" w:cs="仿宋_GB2312"/>
          <w:color w:val="000000"/>
          <w:sz w:val="32"/>
          <w:szCs w:val="32"/>
        </w:rPr>
        <w:t>三、支出决算表</w:t>
      </w:r>
      <w:bookmarkEnd w:id="115"/>
      <w:bookmarkEnd w:id="116"/>
      <w:bookmarkEnd w:id="117"/>
    </w:p>
    <w:p>
      <w:pPr>
        <w:spacing w:line="576" w:lineRule="exact"/>
        <w:ind w:left="315" w:leftChars="150" w:firstLine="640" w:firstLineChars="200"/>
        <w:rPr>
          <w:rFonts w:ascii="仿宋_GB2312" w:hAnsi="仿宋_GB2312" w:eastAsia="仿宋_GB2312" w:cs="仿宋_GB2312"/>
          <w:color w:val="000000"/>
          <w:sz w:val="32"/>
          <w:szCs w:val="32"/>
        </w:rPr>
      </w:pPr>
      <w:bookmarkStart w:id="118" w:name="_Toc79163639"/>
      <w:bookmarkStart w:id="119" w:name="_Toc79163889"/>
      <w:bookmarkStart w:id="120" w:name="_Toc15396622"/>
      <w:r>
        <w:rPr>
          <w:rFonts w:hint="eastAsia" w:ascii="仿宋_GB2312" w:hAnsi="仿宋_GB2312" w:eastAsia="仿宋_GB2312" w:cs="仿宋_GB2312"/>
          <w:color w:val="000000"/>
          <w:sz w:val="32"/>
          <w:szCs w:val="32"/>
        </w:rPr>
        <w:t>四、财政拨款收入支出决算总表</w:t>
      </w:r>
      <w:bookmarkEnd w:id="118"/>
      <w:bookmarkEnd w:id="119"/>
      <w:bookmarkEnd w:id="120"/>
    </w:p>
    <w:p>
      <w:pPr>
        <w:spacing w:line="576" w:lineRule="exact"/>
        <w:ind w:left="315" w:leftChars="150" w:firstLine="640" w:firstLineChars="200"/>
        <w:rPr>
          <w:rFonts w:ascii="仿宋_GB2312" w:hAnsi="仿宋_GB2312" w:eastAsia="仿宋_GB2312" w:cs="仿宋_GB2312"/>
          <w:color w:val="000000"/>
          <w:sz w:val="32"/>
          <w:szCs w:val="32"/>
        </w:rPr>
      </w:pPr>
      <w:bookmarkStart w:id="121" w:name="_Toc79163890"/>
      <w:bookmarkStart w:id="122" w:name="_Toc15396623"/>
      <w:bookmarkStart w:id="123" w:name="_Toc79163640"/>
      <w:r>
        <w:rPr>
          <w:rFonts w:hint="eastAsia" w:ascii="仿宋_GB2312" w:hAnsi="仿宋_GB2312" w:eastAsia="仿宋_GB2312" w:cs="仿宋_GB2312"/>
          <w:color w:val="000000"/>
          <w:sz w:val="32"/>
          <w:szCs w:val="32"/>
        </w:rPr>
        <w:t>五、财政拨款支出决算明细表</w:t>
      </w:r>
      <w:bookmarkEnd w:id="121"/>
      <w:bookmarkEnd w:id="122"/>
      <w:bookmarkEnd w:id="123"/>
      <w:bookmarkStart w:id="124"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125" w:name="_Toc79163891"/>
      <w:bookmarkStart w:id="126" w:name="_Toc79163641"/>
      <w:r>
        <w:rPr>
          <w:rFonts w:hint="eastAsia" w:ascii="仿宋_GB2312" w:hAnsi="仿宋_GB2312" w:eastAsia="仿宋_GB2312" w:cs="仿宋_GB2312"/>
          <w:color w:val="000000"/>
          <w:sz w:val="32"/>
          <w:szCs w:val="32"/>
        </w:rPr>
        <w:t>六、一般公共预算财政拨款支出决算表</w:t>
      </w:r>
      <w:bookmarkEnd w:id="124"/>
      <w:bookmarkEnd w:id="125"/>
      <w:bookmarkEnd w:id="126"/>
    </w:p>
    <w:p>
      <w:pPr>
        <w:spacing w:line="576" w:lineRule="exact"/>
        <w:ind w:left="315" w:leftChars="150" w:firstLine="640" w:firstLineChars="200"/>
        <w:rPr>
          <w:rFonts w:ascii="仿宋_GB2312" w:hAnsi="仿宋_GB2312" w:eastAsia="仿宋_GB2312" w:cs="仿宋_GB2312"/>
          <w:color w:val="000000"/>
          <w:sz w:val="32"/>
          <w:szCs w:val="32"/>
        </w:rPr>
      </w:pPr>
      <w:bookmarkStart w:id="127" w:name="_Toc79163642"/>
      <w:bookmarkStart w:id="128" w:name="_Toc79163892"/>
      <w:bookmarkStart w:id="129" w:name="_Toc15396625"/>
      <w:r>
        <w:rPr>
          <w:rFonts w:hint="eastAsia" w:ascii="仿宋_GB2312" w:hAnsi="仿宋_GB2312" w:eastAsia="仿宋_GB2312" w:cs="仿宋_GB2312"/>
          <w:color w:val="000000"/>
          <w:sz w:val="32"/>
          <w:szCs w:val="32"/>
        </w:rPr>
        <w:t>七、一般公共预算财政拨款支出决算明细表</w:t>
      </w:r>
      <w:bookmarkEnd w:id="127"/>
      <w:bookmarkEnd w:id="128"/>
      <w:bookmarkEnd w:id="129"/>
    </w:p>
    <w:p>
      <w:pPr>
        <w:spacing w:line="576" w:lineRule="exact"/>
        <w:ind w:left="315" w:leftChars="150" w:firstLine="640" w:firstLineChars="200"/>
        <w:rPr>
          <w:rFonts w:ascii="仿宋_GB2312" w:hAnsi="仿宋_GB2312" w:eastAsia="仿宋_GB2312" w:cs="仿宋_GB2312"/>
          <w:color w:val="000000"/>
          <w:sz w:val="32"/>
          <w:szCs w:val="32"/>
        </w:rPr>
      </w:pPr>
      <w:bookmarkStart w:id="130" w:name="_Toc15396626"/>
      <w:bookmarkStart w:id="131" w:name="_Toc79163893"/>
      <w:bookmarkStart w:id="132" w:name="_Toc79163643"/>
      <w:r>
        <w:rPr>
          <w:rFonts w:hint="eastAsia" w:ascii="仿宋_GB2312" w:hAnsi="仿宋_GB2312" w:eastAsia="仿宋_GB2312" w:cs="仿宋_GB2312"/>
          <w:color w:val="000000"/>
          <w:sz w:val="32"/>
          <w:szCs w:val="32"/>
        </w:rPr>
        <w:t>八、一般公共预算财政拨款基本支出决算表</w:t>
      </w:r>
      <w:bookmarkEnd w:id="130"/>
      <w:bookmarkEnd w:id="131"/>
      <w:bookmarkEnd w:id="132"/>
    </w:p>
    <w:p>
      <w:pPr>
        <w:spacing w:line="576" w:lineRule="exact"/>
        <w:ind w:left="315" w:leftChars="150" w:firstLine="640" w:firstLineChars="200"/>
        <w:rPr>
          <w:rFonts w:ascii="仿宋_GB2312" w:hAnsi="仿宋_GB2312" w:eastAsia="仿宋_GB2312" w:cs="仿宋_GB2312"/>
          <w:color w:val="000000"/>
          <w:sz w:val="32"/>
          <w:szCs w:val="32"/>
        </w:rPr>
      </w:pPr>
      <w:bookmarkStart w:id="133" w:name="_Toc79163644"/>
      <w:bookmarkStart w:id="134" w:name="_Toc79163894"/>
      <w:bookmarkStart w:id="135" w:name="_Toc15396627"/>
      <w:r>
        <w:rPr>
          <w:rFonts w:hint="eastAsia" w:ascii="仿宋_GB2312" w:hAnsi="仿宋_GB2312" w:eastAsia="仿宋_GB2312" w:cs="仿宋_GB2312"/>
          <w:color w:val="000000"/>
          <w:sz w:val="32"/>
          <w:szCs w:val="32"/>
        </w:rPr>
        <w:t>九、一般公共预算财政拨款项目支出决算表</w:t>
      </w:r>
      <w:bookmarkEnd w:id="133"/>
      <w:bookmarkEnd w:id="134"/>
      <w:bookmarkEnd w:id="135"/>
    </w:p>
    <w:p>
      <w:pPr>
        <w:spacing w:line="576" w:lineRule="exact"/>
        <w:ind w:left="315" w:leftChars="150" w:firstLine="640" w:firstLineChars="200"/>
        <w:rPr>
          <w:rFonts w:ascii="仿宋_GB2312" w:hAnsi="仿宋_GB2312" w:eastAsia="仿宋_GB2312" w:cs="仿宋_GB2312"/>
          <w:color w:val="000000"/>
          <w:sz w:val="32"/>
          <w:szCs w:val="32"/>
        </w:rPr>
      </w:pPr>
      <w:bookmarkStart w:id="136" w:name="_Toc79163895"/>
      <w:bookmarkStart w:id="137" w:name="_Toc15396628"/>
      <w:bookmarkStart w:id="138" w:name="_Toc79163645"/>
      <w:r>
        <w:rPr>
          <w:rFonts w:hint="eastAsia" w:ascii="仿宋_GB2312" w:hAnsi="仿宋_GB2312" w:eastAsia="仿宋_GB2312" w:cs="仿宋_GB2312"/>
          <w:color w:val="000000"/>
          <w:sz w:val="32"/>
          <w:szCs w:val="32"/>
        </w:rPr>
        <w:t>十、</w:t>
      </w:r>
      <w:bookmarkEnd w:id="136"/>
      <w:bookmarkEnd w:id="137"/>
      <w:bookmarkEnd w:id="138"/>
      <w:bookmarkStart w:id="139" w:name="_Toc15396629"/>
      <w:bookmarkStart w:id="140" w:name="_Toc79163646"/>
      <w:bookmarkStart w:id="141" w:name="_Toc79163896"/>
      <w:r>
        <w:rPr>
          <w:rFonts w:hint="eastAsia" w:ascii="仿宋_GB2312" w:hAnsi="仿宋_GB2312" w:eastAsia="仿宋_GB2312" w:cs="仿宋_GB2312"/>
          <w:color w:val="000000"/>
          <w:sz w:val="32"/>
          <w:szCs w:val="32"/>
        </w:rPr>
        <w:t>政府性基金预算财政拨款收入支出决算表</w:t>
      </w:r>
      <w:bookmarkEnd w:id="139"/>
      <w:bookmarkEnd w:id="140"/>
      <w:bookmarkEnd w:id="141"/>
    </w:p>
    <w:p>
      <w:pPr>
        <w:spacing w:line="576" w:lineRule="exact"/>
        <w:ind w:left="315" w:leftChars="150" w:firstLine="640" w:firstLineChars="200"/>
        <w:rPr>
          <w:rFonts w:ascii="仿宋_GB2312" w:hAnsi="仿宋_GB2312" w:eastAsia="仿宋_GB2312" w:cs="仿宋_GB2312"/>
          <w:color w:val="000000"/>
          <w:sz w:val="32"/>
          <w:szCs w:val="32"/>
        </w:rPr>
      </w:pPr>
      <w:bookmarkStart w:id="142" w:name="_Toc79163897"/>
      <w:bookmarkStart w:id="143" w:name="_Toc79163647"/>
      <w:bookmarkStart w:id="144" w:name="_Toc15396630"/>
      <w:r>
        <w:rPr>
          <w:rFonts w:hint="eastAsia" w:ascii="仿宋_GB2312" w:hAnsi="仿宋_GB2312" w:eastAsia="仿宋_GB2312" w:cs="仿宋_GB2312"/>
          <w:color w:val="000000"/>
          <w:sz w:val="32"/>
          <w:szCs w:val="32"/>
        </w:rPr>
        <w:t>十一、</w:t>
      </w:r>
      <w:bookmarkEnd w:id="142"/>
      <w:bookmarkEnd w:id="143"/>
      <w:bookmarkEnd w:id="144"/>
      <w:bookmarkStart w:id="145" w:name="_Toc79163648"/>
      <w:bookmarkStart w:id="146" w:name="_Toc79163898"/>
      <w:bookmarkStart w:id="147" w:name="_Toc15396631"/>
      <w:r>
        <w:rPr>
          <w:rFonts w:hint="eastAsia" w:ascii="仿宋_GB2312" w:hAnsi="仿宋_GB2312" w:eastAsia="仿宋_GB2312" w:cs="仿宋_GB2312"/>
          <w:color w:val="000000"/>
          <w:sz w:val="32"/>
          <w:szCs w:val="32"/>
        </w:rPr>
        <w:t>国有资本经营预算财政拨款收入支出决算表</w:t>
      </w:r>
      <w:bookmarkEnd w:id="145"/>
      <w:bookmarkEnd w:id="146"/>
      <w:bookmarkEnd w:id="147"/>
    </w:p>
    <w:p>
      <w:pPr>
        <w:spacing w:line="576" w:lineRule="exact"/>
        <w:ind w:left="315" w:leftChars="150" w:firstLine="640" w:firstLineChars="200"/>
        <w:rPr>
          <w:rFonts w:ascii="仿宋_GB2312" w:hAnsi="仿宋_GB2312" w:eastAsia="仿宋_GB2312" w:cs="仿宋_GB2312"/>
          <w:color w:val="000000"/>
          <w:sz w:val="32"/>
          <w:szCs w:val="32"/>
        </w:rPr>
      </w:pPr>
      <w:bookmarkStart w:id="148" w:name="_Toc79163649"/>
      <w:bookmarkStart w:id="149" w:name="_Toc7916389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48"/>
      <w:bookmarkEnd w:id="149"/>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93BC4"/>
    <w:multiLevelType w:val="singleLevel"/>
    <w:tmpl w:val="A7E93BC4"/>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315E524"/>
    <w:multiLevelType w:val="singleLevel"/>
    <w:tmpl w:val="F315E524"/>
    <w:lvl w:ilvl="0" w:tentative="0">
      <w:start w:val="4"/>
      <w:numFmt w:val="chineseCounting"/>
      <w:suff w:val="nothing"/>
      <w:lvlText w:val="（%1）"/>
      <w:lvlJc w:val="left"/>
      <w:rPr>
        <w:rFonts w:hint="eastAsia"/>
      </w:rPr>
    </w:lvl>
  </w:abstractNum>
  <w:abstractNum w:abstractNumId="4">
    <w:nsid w:val="02EC9457"/>
    <w:multiLevelType w:val="singleLevel"/>
    <w:tmpl w:val="02EC9457"/>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3C7CF8A"/>
    <w:multiLevelType w:val="singleLevel"/>
    <w:tmpl w:val="43C7CF8A"/>
    <w:lvl w:ilvl="0" w:tentative="0">
      <w:start w:val="2"/>
      <w:numFmt w:val="chineseCounting"/>
      <w:suff w:val="nothing"/>
      <w:lvlText w:val="（%1）"/>
      <w:lvlJc w:val="left"/>
      <w:rPr>
        <w:rFonts w:hint="eastAsia"/>
      </w:r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76787F"/>
    <w:rsid w:val="02AC2E4C"/>
    <w:rsid w:val="032F4154"/>
    <w:rsid w:val="036A69BA"/>
    <w:rsid w:val="03A252BE"/>
    <w:rsid w:val="03B94246"/>
    <w:rsid w:val="03F87DBC"/>
    <w:rsid w:val="04473C07"/>
    <w:rsid w:val="05BC2F2E"/>
    <w:rsid w:val="06005B80"/>
    <w:rsid w:val="06A72A7B"/>
    <w:rsid w:val="074C413D"/>
    <w:rsid w:val="08400A92"/>
    <w:rsid w:val="09434CDD"/>
    <w:rsid w:val="098B19C3"/>
    <w:rsid w:val="09B72FD5"/>
    <w:rsid w:val="0AD3052A"/>
    <w:rsid w:val="0AF049F1"/>
    <w:rsid w:val="0B356BEA"/>
    <w:rsid w:val="0E1C0F1B"/>
    <w:rsid w:val="0E3A4EB9"/>
    <w:rsid w:val="0EBE0AFF"/>
    <w:rsid w:val="0F612708"/>
    <w:rsid w:val="0FB83603"/>
    <w:rsid w:val="10BE733F"/>
    <w:rsid w:val="10C055FF"/>
    <w:rsid w:val="11616CF0"/>
    <w:rsid w:val="120B2110"/>
    <w:rsid w:val="12DD5483"/>
    <w:rsid w:val="132C683F"/>
    <w:rsid w:val="1386759A"/>
    <w:rsid w:val="13F04A27"/>
    <w:rsid w:val="143E4984"/>
    <w:rsid w:val="14821143"/>
    <w:rsid w:val="14CE6478"/>
    <w:rsid w:val="16BB723D"/>
    <w:rsid w:val="170A6E3A"/>
    <w:rsid w:val="17920BDE"/>
    <w:rsid w:val="17AA0D42"/>
    <w:rsid w:val="181A2B1F"/>
    <w:rsid w:val="181C5ADF"/>
    <w:rsid w:val="1A7C004F"/>
    <w:rsid w:val="1AC6629F"/>
    <w:rsid w:val="1D4618A9"/>
    <w:rsid w:val="1DA50291"/>
    <w:rsid w:val="1EDC2172"/>
    <w:rsid w:val="1F4F7C3B"/>
    <w:rsid w:val="207D60B5"/>
    <w:rsid w:val="20B41BC5"/>
    <w:rsid w:val="21951276"/>
    <w:rsid w:val="220A7FB3"/>
    <w:rsid w:val="22B46D74"/>
    <w:rsid w:val="23963804"/>
    <w:rsid w:val="240371BF"/>
    <w:rsid w:val="24344539"/>
    <w:rsid w:val="24FF3D57"/>
    <w:rsid w:val="25113A8A"/>
    <w:rsid w:val="25DB5D86"/>
    <w:rsid w:val="266364F2"/>
    <w:rsid w:val="26E461A3"/>
    <w:rsid w:val="27266A89"/>
    <w:rsid w:val="28505F41"/>
    <w:rsid w:val="285F3187"/>
    <w:rsid w:val="291931BB"/>
    <w:rsid w:val="29A307A6"/>
    <w:rsid w:val="29EF5F59"/>
    <w:rsid w:val="29FD04D3"/>
    <w:rsid w:val="2A5341A4"/>
    <w:rsid w:val="2AB4334C"/>
    <w:rsid w:val="2AE552D5"/>
    <w:rsid w:val="2B4F17CA"/>
    <w:rsid w:val="2B7B7EAF"/>
    <w:rsid w:val="30442F65"/>
    <w:rsid w:val="306929CC"/>
    <w:rsid w:val="30711881"/>
    <w:rsid w:val="319F7F4E"/>
    <w:rsid w:val="31D37E27"/>
    <w:rsid w:val="31F14A27"/>
    <w:rsid w:val="33E412BD"/>
    <w:rsid w:val="35167B64"/>
    <w:rsid w:val="356E2791"/>
    <w:rsid w:val="362401FB"/>
    <w:rsid w:val="392A565E"/>
    <w:rsid w:val="3A691675"/>
    <w:rsid w:val="3B7C4987"/>
    <w:rsid w:val="3BAD398E"/>
    <w:rsid w:val="3BBB0981"/>
    <w:rsid w:val="3BFD046C"/>
    <w:rsid w:val="3D3A6003"/>
    <w:rsid w:val="3D751162"/>
    <w:rsid w:val="3D820BE1"/>
    <w:rsid w:val="3E8A6C2A"/>
    <w:rsid w:val="3FB86B84"/>
    <w:rsid w:val="3FFA719D"/>
    <w:rsid w:val="409B6EA7"/>
    <w:rsid w:val="40FB7670"/>
    <w:rsid w:val="42661114"/>
    <w:rsid w:val="43386F43"/>
    <w:rsid w:val="44897961"/>
    <w:rsid w:val="44CA35EB"/>
    <w:rsid w:val="44FA7C3F"/>
    <w:rsid w:val="451F6064"/>
    <w:rsid w:val="45B002FD"/>
    <w:rsid w:val="46954FDF"/>
    <w:rsid w:val="471F06CF"/>
    <w:rsid w:val="47DC362C"/>
    <w:rsid w:val="493375A8"/>
    <w:rsid w:val="49C800BC"/>
    <w:rsid w:val="4BBB4DDF"/>
    <w:rsid w:val="4C07336D"/>
    <w:rsid w:val="4D695962"/>
    <w:rsid w:val="4ECE2238"/>
    <w:rsid w:val="4F0654EA"/>
    <w:rsid w:val="4F8C1E10"/>
    <w:rsid w:val="511107EA"/>
    <w:rsid w:val="51554D47"/>
    <w:rsid w:val="522E28C0"/>
    <w:rsid w:val="5323717F"/>
    <w:rsid w:val="53296BAC"/>
    <w:rsid w:val="53FF6BD1"/>
    <w:rsid w:val="55197FB1"/>
    <w:rsid w:val="561548D9"/>
    <w:rsid w:val="597015DE"/>
    <w:rsid w:val="5AA05F2C"/>
    <w:rsid w:val="5AC87661"/>
    <w:rsid w:val="5B3823B7"/>
    <w:rsid w:val="5B47145F"/>
    <w:rsid w:val="5BB07FF9"/>
    <w:rsid w:val="5C0C22DA"/>
    <w:rsid w:val="5CD050A1"/>
    <w:rsid w:val="5DA458BA"/>
    <w:rsid w:val="5F28567D"/>
    <w:rsid w:val="608D6928"/>
    <w:rsid w:val="617955FF"/>
    <w:rsid w:val="62894684"/>
    <w:rsid w:val="637D586B"/>
    <w:rsid w:val="647F52EC"/>
    <w:rsid w:val="65770825"/>
    <w:rsid w:val="65787386"/>
    <w:rsid w:val="65B4016B"/>
    <w:rsid w:val="66CA337D"/>
    <w:rsid w:val="673A5239"/>
    <w:rsid w:val="677C5CC9"/>
    <w:rsid w:val="695D5F23"/>
    <w:rsid w:val="69B0699A"/>
    <w:rsid w:val="6A3A2708"/>
    <w:rsid w:val="6A674B7F"/>
    <w:rsid w:val="6B8C6F93"/>
    <w:rsid w:val="6BBA26E8"/>
    <w:rsid w:val="6BF45D25"/>
    <w:rsid w:val="6C727F37"/>
    <w:rsid w:val="6DAF0D17"/>
    <w:rsid w:val="6FF14BA2"/>
    <w:rsid w:val="702D5518"/>
    <w:rsid w:val="712437CA"/>
    <w:rsid w:val="719A3A8C"/>
    <w:rsid w:val="71F87B8C"/>
    <w:rsid w:val="71FB7A83"/>
    <w:rsid w:val="720A75BB"/>
    <w:rsid w:val="72734D90"/>
    <w:rsid w:val="73521A0A"/>
    <w:rsid w:val="74082F2F"/>
    <w:rsid w:val="74251D33"/>
    <w:rsid w:val="74F27DED"/>
    <w:rsid w:val="759E3B4B"/>
    <w:rsid w:val="75B21C07"/>
    <w:rsid w:val="75BF4C72"/>
    <w:rsid w:val="77F71C38"/>
    <w:rsid w:val="78865D58"/>
    <w:rsid w:val="79304861"/>
    <w:rsid w:val="7AC5601E"/>
    <w:rsid w:val="7B360475"/>
    <w:rsid w:val="7C405469"/>
    <w:rsid w:val="7C8F341B"/>
    <w:rsid w:val="7D270829"/>
    <w:rsid w:val="7FFC682A"/>
    <w:rsid w:val="9F1F4127"/>
    <w:rsid w:val="C7CA1B2D"/>
    <w:rsid w:val="DFF00DA0"/>
    <w:rsid w:val="DFF7F7AC"/>
    <w:rsid w:val="F6BFFDC3"/>
    <w:rsid w:val="FFCE1A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5">
    <w:name w:val="No Spacing"/>
    <w:link w:val="36"/>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6">
    <w:name w:val="无间隔 Char"/>
    <w:basedOn w:val="17"/>
    <w:link w:val="35"/>
    <w:qFormat/>
    <w:locked/>
    <w:uiPriority w:val="99"/>
    <w:rPr>
      <w:kern w:val="2"/>
      <w:sz w:val="21"/>
      <w:szCs w:val="22"/>
    </w:rPr>
  </w:style>
  <w:style w:type="character" w:customStyle="1" w:styleId="37">
    <w:name w:val="apple-converted-space"/>
    <w:basedOn w:val="17"/>
    <w:qFormat/>
    <w:uiPriority w:val="99"/>
    <w:rPr>
      <w:rFonts w:cs="Times New Roman"/>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9">
    <w:name w:val="标题 1 Char1"/>
    <w:basedOn w:val="17"/>
    <w:qFormat/>
    <w:uiPriority w:val="9"/>
    <w:rPr>
      <w:rFonts w:ascii="Times New Roman" w:hAnsi="Times New Roman"/>
      <w:b/>
      <w:bCs/>
      <w:kern w:val="44"/>
      <w:sz w:val="44"/>
      <w:szCs w:val="44"/>
    </w:rPr>
  </w:style>
  <w:style w:type="paragraph" w:customStyle="1" w:styleId="40">
    <w:name w:val="列表段落1"/>
    <w:basedOn w:val="1"/>
    <w:qFormat/>
    <w:uiPriority w:val="34"/>
    <w:pPr>
      <w:ind w:firstLine="420" w:firstLineChars="200"/>
    </w:p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23671497585"/>
          <c:y val="0.224842767295597"/>
          <c:w val="0.750845410628019"/>
          <c:h val="0.668553459119497"/>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972.47</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995.26</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2024</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100%</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2024</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2023年支出决算结构图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26474190421383"/>
                  <c:y val="0.0279708835128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32.4</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4710873710102"/>
                  <c:y val="0.34291177888478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67.6</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64.6</c:v>
                </c:pt>
                <c:pt idx="1">
                  <c:v>32.4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972.47</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995.26</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972.47</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995.26</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24</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7430432208409"/>
          <c:y val="0.0326441784548425"/>
        </c:manualLayout>
      </c:layout>
      <c:overlay val="0"/>
    </c:title>
    <c:autoTitleDeleted val="0"/>
    <c:plotArea>
      <c:layout/>
      <c:pieChart>
        <c:varyColors val="1"/>
        <c:ser>
          <c:idx val="0"/>
          <c:order val="0"/>
          <c:tx>
            <c:strRef>
              <c:f>Sheet1!$B$1</c:f>
              <c:strCache>
                <c:ptCount val="1"/>
                <c:pt idx="0">
                  <c:v>2022年部门决算支出结构图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91.13</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94503304160594"/>
                  <c:y val="0.053046789989118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3.93%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delete val="1"/>
            </c:dLbl>
            <c:dLbl>
              <c:idx val="3"/>
              <c:layout>
                <c:manualLayout>
                  <c:x val="0.118625092850259"/>
                  <c:y val="0.047083220201660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4.94</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社会保障和就业支出</c:v>
                </c:pt>
                <c:pt idx="1">
                  <c:v>卫生健康支出</c:v>
                </c:pt>
                <c:pt idx="2">
                  <c:v>住房保障支出</c:v>
                </c:pt>
              </c:strCache>
            </c:strRef>
          </c:cat>
          <c:val>
            <c:numRef>
              <c:f>Sheet1!$B$2:$B$8</c:f>
              <c:numCache>
                <c:formatCode>General</c:formatCode>
                <c:ptCount val="7"/>
                <c:pt idx="0">
                  <c:v>91.13</c:v>
                </c:pt>
                <c:pt idx="1">
                  <c:v>3.93</c:v>
                </c:pt>
                <c:pt idx="2">
                  <c:v>4.94</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87.89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12</a:t>
                    </a:r>
                    <a:r>
                      <a:rPr lang="en-US" altLang="zh-CN"/>
                      <a:t>.11</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1">
                  <c:v>87.89</c:v>
                </c:pt>
                <c:pt idx="2">
                  <c:v>12.11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textRotate="1"/>
    <customShpInfo spid="_x0000_s2057" textRotate="1"/>
    <customShpInfo spid="_x0000_s2054"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11744</Words>
  <Characters>12781</Characters>
  <Lines>159</Lines>
  <Paragraphs>44</Paragraphs>
  <TotalTime>13</TotalTime>
  <ScaleCrop>false</ScaleCrop>
  <LinksUpToDate>false</LinksUpToDate>
  <CharactersWithSpaces>12866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user</cp:lastModifiedBy>
  <cp:lastPrinted>2025-09-15T10:49:00Z</cp:lastPrinted>
  <dcterms:modified xsi:type="dcterms:W3CDTF">2025-09-15T12:15:44Z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A08F2A8B83024382BEBCB4A3E8D8E32D</vt:lpwstr>
  </property>
  <property fmtid="{D5CDD505-2E9C-101B-9397-08002B2CF9AE}" pid="4" name="KSOTemplateDocerSaveRecord">
    <vt:lpwstr>eyJoZGlkIjoiMjJhYTZiYWMyMjExZGMzMjM0ZWE1MzM4ZDRjOGNhZmQiLCJ1c2VySWQiOiI4MjcwNzU3NTMifQ==</vt:lpwstr>
  </property>
</Properties>
</file>