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2024年度四川省阿坝州</w:t>
      </w: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茂县人力资源和社会保障局（行政）</w:t>
      </w: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单位决算公开</w:t>
      </w: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suppressAutoHyphens/>
        <w:bidi w:val="0"/>
        <w:adjustRightInd w:val="0"/>
        <w:snapToGrid w:val="0"/>
        <w:spacing w:line="576" w:lineRule="exact"/>
        <w:jc w:val="both"/>
        <w:outlineLvl w:val="0"/>
        <w:rPr>
          <w:rFonts w:ascii="黑体" w:hAnsi="黑体" w:eastAsia="黑体"/>
          <w:color w:val="auto"/>
          <w:sz w:val="48"/>
          <w:szCs w:val="48"/>
          <w:highlight w:val="none"/>
        </w:rPr>
      </w:pPr>
      <w:r>
        <w:rPr>
          <w:rFonts w:ascii="方正小标宋简体" w:hAnsi="方正小标宋简体" w:eastAsia="方正小标宋简体" w:cs="方正小标宋简体"/>
          <w:color w:val="000000"/>
          <w:sz w:val="44"/>
          <w:szCs w:val="44"/>
        </w:rPr>
        <w:br w:type="page"/>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2"/>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25</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25</w:t>
      </w:r>
      <w:r>
        <w:rPr>
          <w:rFonts w:hint="eastAsia"/>
          <w:color w:val="auto"/>
          <w:sz w:val="32"/>
          <w:szCs w:val="32"/>
          <w:highlight w:val="none"/>
        </w:rPr>
        <w:t>日</w:t>
      </w:r>
    </w:p>
    <w:p>
      <w:pPr>
        <w:rPr>
          <w:color w:val="auto"/>
          <w:highlight w:val="none"/>
        </w:rPr>
      </w:pP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概况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一、主要职责</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2024年度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五、一般公共预算财政拨款支出决算情况说明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六、一般公共预算财政拨款基本支出决算情况说明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10</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七、财政拨款“三公”经费支出决算情况说明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11</w:t>
      </w:r>
    </w:p>
    <w:p>
      <w:pPr>
        <w:pStyle w:val="12"/>
        <w:adjustRightInd w:val="0"/>
        <w:snapToGrid w:val="0"/>
        <w:spacing w:before="0" w:line="576" w:lineRule="exac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八、政府性基金预算支出决算情况说明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九、国有资本经营预算支出决算情况说明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十、其他重要事项的情况说明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ind w:firstLine="160" w:firstLineChars="5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15</w:t>
      </w:r>
    </w:p>
    <w:p>
      <w:pPr>
        <w:pStyle w:val="14"/>
        <w:adjustRightInd w:val="0"/>
        <w:snapToGrid w:val="0"/>
        <w:spacing w:line="576" w:lineRule="exact"/>
        <w:ind w:firstLine="160" w:firstLineChars="5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18</w:t>
      </w:r>
    </w:p>
    <w:p>
      <w:pPr>
        <w:pStyle w:val="14"/>
        <w:adjustRightInd w:val="0"/>
        <w:snapToGrid w:val="0"/>
        <w:spacing w:line="576" w:lineRule="exact"/>
        <w:ind w:firstLine="160" w:firstLineChars="5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十、政府性基金预算财政拨款收入支出决算表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十一、国有资本经营预算财政拨款收入支出决算表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十二、国有资本经营预算财政拨款支出决算表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十三、财政拨款“三公”经费支出决算表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23</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suppressAutoHyphens/>
        <w:bidi w:val="0"/>
        <w:spacing w:line="576" w:lineRule="exact"/>
        <w:ind w:left="672"/>
        <w:jc w:val="center"/>
        <w:rPr>
          <w:rFonts w:ascii="黑体" w:eastAsia="黑体"/>
          <w:color w:val="auto"/>
          <w:sz w:val="32"/>
          <w:szCs w:val="32"/>
          <w:highlight w:val="none"/>
        </w:rPr>
      </w:pPr>
      <w:r>
        <w:rPr>
          <w:rStyle w:val="28"/>
          <w:rFonts w:hint="eastAsia" w:ascii="黑体" w:hAnsi="黑体" w:eastAsia="黑体" w:cs="黑体"/>
        </w:rPr>
        <w:t xml:space="preserve">第一部分 </w:t>
      </w:r>
      <w:r>
        <w:rPr>
          <w:rStyle w:val="28"/>
          <w:rFonts w:hint="eastAsia" w:ascii="黑体" w:hAnsi="黑体" w:eastAsia="黑体" w:cs="黑体"/>
          <w:lang w:eastAsia="zh-CN"/>
        </w:rPr>
        <w:t>单位</w:t>
      </w:r>
      <w:r>
        <w:rPr>
          <w:rStyle w:val="28"/>
          <w:rFonts w:hint="eastAsia" w:ascii="黑体" w:hAnsi="黑体" w:eastAsia="黑体" w:cs="黑体"/>
        </w:rPr>
        <w:t>概况</w:t>
      </w:r>
    </w:p>
    <w:p>
      <w:pPr>
        <w:numPr>
          <w:ilvl w:val="0"/>
          <w:numId w:val="1"/>
        </w:numPr>
        <w:spacing w:line="576" w:lineRule="exact"/>
        <w:ind w:firstLine="640" w:firstLineChars="200"/>
        <w:rPr>
          <w:rFonts w:hint="eastAsia" w:ascii="黑体" w:hAnsi="黑体" w:eastAsia="黑体" w:cs="Times New Roman"/>
          <w:b w:val="0"/>
          <w:bCs w:val="0"/>
          <w:color w:val="000000"/>
          <w:kern w:val="2"/>
          <w:sz w:val="32"/>
          <w:szCs w:val="32"/>
          <w:lang w:val="en-US" w:eastAsia="zh-CN" w:bidi="ar-SA"/>
        </w:rPr>
      </w:pPr>
      <w:r>
        <w:rPr>
          <w:rFonts w:hint="eastAsia" w:ascii="黑体" w:hAnsi="黑体" w:eastAsia="黑体" w:cs="Times New Roman"/>
          <w:b w:val="0"/>
          <w:bCs w:val="0"/>
          <w:color w:val="000000"/>
          <w:kern w:val="2"/>
          <w:sz w:val="32"/>
          <w:szCs w:val="32"/>
          <w:lang w:val="en-US" w:eastAsia="zh-CN" w:bidi="ar-SA"/>
        </w:rPr>
        <w:t>主要职责</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56" w:lineRule="exact"/>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56" w:lineRule="exact"/>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spacing w:line="556" w:lineRule="exact"/>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56" w:lineRule="exact"/>
        <w:ind w:firstLine="640"/>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56" w:lineRule="exact"/>
        <w:ind w:firstLine="640"/>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56" w:lineRule="exact"/>
        <w:ind w:firstLine="640"/>
        <w:rPr>
          <w:rFonts w:ascii="仿宋_GB2312" w:eastAsia="仿宋_GB2312"/>
          <w:sz w:val="32"/>
          <w:szCs w:val="32"/>
        </w:rPr>
      </w:pPr>
      <w:r>
        <w:rPr>
          <w:rFonts w:hint="eastAsia" w:ascii="仿宋_GB2312" w:eastAsia="仿宋_GB2312"/>
          <w:sz w:val="32"/>
          <w:szCs w:val="32"/>
        </w:rPr>
        <w:t>14.完成县委、县政府交办的其他任务。</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56" w:lineRule="exact"/>
        <w:ind w:firstLine="640" w:firstLineChars="200"/>
        <w:rPr>
          <w:rFonts w:hint="eastAsia"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社会保障局牵头，会同县教育局等部门贯彻落实；毕业生离校前的就业指导和服务工作，由县教育局负责；毕业生离校后的就业指导和服务工作，由县人力资源社会</w:t>
      </w:r>
      <w:r>
        <w:rPr>
          <w:rFonts w:hint="eastAsia" w:ascii="仿宋_GB2312" w:eastAsia="仿宋_GB2312"/>
          <w:sz w:val="32"/>
          <w:szCs w:val="32"/>
          <w:lang w:eastAsia="zh-CN"/>
        </w:rPr>
        <w:t>和</w:t>
      </w:r>
      <w:r>
        <w:rPr>
          <w:rFonts w:hint="eastAsia" w:ascii="仿宋_GB2312" w:eastAsia="仿宋_GB2312"/>
          <w:sz w:val="32"/>
          <w:szCs w:val="32"/>
        </w:rPr>
        <w:t>保障局负责。</w:t>
      </w:r>
    </w:p>
    <w:p>
      <w:pPr>
        <w:spacing w:line="560" w:lineRule="exact"/>
        <w:ind w:firstLine="640" w:firstLineChars="200"/>
        <w:rPr>
          <w:rFonts w:ascii="楷体_GB2312" w:eastAsia="楷体_GB2312" w:cs="宋体"/>
          <w:b/>
          <w:kern w:val="0"/>
          <w:sz w:val="32"/>
          <w:szCs w:val="32"/>
        </w:rPr>
      </w:pPr>
      <w:r>
        <w:rPr>
          <w:rFonts w:hint="eastAsia" w:ascii="黑体" w:hAnsi="黑体" w:eastAsia="黑体" w:cs="黑体"/>
          <w:sz w:val="32"/>
          <w:szCs w:val="32"/>
        </w:rPr>
        <w:t>二、机构设置</w:t>
      </w:r>
    </w:p>
    <w:p>
      <w:pPr>
        <w:spacing w:line="556" w:lineRule="exact"/>
        <w:ind w:firstLine="640" w:firstLineChars="200"/>
        <w:rPr>
          <w:rFonts w:hint="eastAsia" w:ascii="仿宋_GB2312" w:eastAsia="仿宋_GB2312"/>
          <w:sz w:val="32"/>
          <w:szCs w:val="32"/>
        </w:rPr>
      </w:pPr>
      <w:r>
        <w:rPr>
          <w:rFonts w:hint="eastAsia" w:ascii="仿宋_GB2312" w:eastAsia="仿宋_GB2312"/>
          <w:sz w:val="32"/>
          <w:szCs w:val="32"/>
        </w:rPr>
        <w:t>茂县人力资源和社会保障局下属二级单位0个，其中行政单位0个，参照公务员法管理的事业单位0个，其他事业单位0个。</w:t>
      </w:r>
    </w:p>
    <w:p>
      <w:pPr>
        <w:widowControl/>
        <w:jc w:val="left"/>
        <w:rPr>
          <w:rFonts w:ascii="仿宋" w:hAnsi="仿宋" w:eastAsia="仿宋"/>
          <w:color w:val="auto"/>
          <w:kern w:val="0"/>
          <w:sz w:val="32"/>
          <w:szCs w:val="32"/>
          <w:highlight w:val="none"/>
        </w:rPr>
      </w:pPr>
    </w:p>
    <w:p>
      <w:pPr>
        <w:pStyle w:val="4"/>
        <w:ind w:right="440"/>
        <w:jc w:val="right"/>
        <w:rPr>
          <w:rStyle w:val="38"/>
          <w:rFonts w:ascii="黑体" w:hAnsi="黑体" w:eastAsia="黑体"/>
          <w:b/>
          <w:bCs/>
        </w:rPr>
      </w:pPr>
      <w:r>
        <w:rPr>
          <w:rStyle w:val="38"/>
          <w:rFonts w:hint="eastAsia" w:ascii="黑体" w:hAnsi="黑体" w:eastAsia="黑体"/>
          <w:b w:val="0"/>
          <w:bCs w:val="0"/>
        </w:rPr>
        <w:t>第二部分</w:t>
      </w:r>
      <w:r>
        <w:rPr>
          <w:rStyle w:val="38"/>
          <w:rFonts w:ascii="黑体" w:hAnsi="黑体" w:eastAsia="黑体"/>
          <w:b w:val="0"/>
          <w:bCs w:val="0"/>
        </w:rPr>
        <w:t xml:space="preserve"> 202</w:t>
      </w:r>
      <w:r>
        <w:rPr>
          <w:rStyle w:val="38"/>
          <w:rFonts w:hint="eastAsia" w:ascii="黑体" w:hAnsi="黑体" w:eastAsia="黑体"/>
          <w:b w:val="0"/>
          <w:bCs w:val="0"/>
          <w:lang w:val="en-US" w:eastAsia="zh-CN"/>
        </w:rPr>
        <w:t>4</w:t>
      </w:r>
      <w:r>
        <w:rPr>
          <w:rStyle w:val="38"/>
          <w:rFonts w:hint="eastAsia" w:ascii="黑体" w:hAnsi="黑体" w:eastAsia="黑体"/>
          <w:b w:val="0"/>
          <w:bCs w:val="0"/>
        </w:rPr>
        <w:t>年度</w:t>
      </w:r>
      <w:r>
        <w:rPr>
          <w:rStyle w:val="38"/>
          <w:rFonts w:hint="eastAsia" w:ascii="黑体" w:hAnsi="黑体" w:eastAsia="黑体"/>
          <w:b w:val="0"/>
          <w:bCs w:val="0"/>
          <w:lang w:val="en-US" w:eastAsia="zh-CN"/>
        </w:rPr>
        <w:t>单位</w:t>
      </w:r>
      <w:r>
        <w:rPr>
          <w:rStyle w:val="38"/>
          <w:rFonts w:hint="eastAsia" w:ascii="黑体" w:hAnsi="黑体" w:eastAsia="黑体"/>
          <w:b w:val="0"/>
          <w:bCs w:val="0"/>
        </w:rPr>
        <w:t>决算情况说明</w:t>
      </w:r>
    </w:p>
    <w:p>
      <w:pPr>
        <w:pStyle w:val="39"/>
        <w:numPr>
          <w:ilvl w:val="0"/>
          <w:numId w:val="2"/>
        </w:numPr>
        <w:spacing w:line="600" w:lineRule="exact"/>
        <w:ind w:firstLineChars="0"/>
        <w:outlineLvl w:val="1"/>
        <w:rPr>
          <w:rStyle w:val="29"/>
          <w:rFonts w:ascii="黑体" w:hAnsi="黑体" w:eastAsia="黑体"/>
          <w:b w:val="0"/>
        </w:rPr>
      </w:pPr>
      <w:bookmarkStart w:id="1" w:name="_Toc15396603"/>
      <w:bookmarkStart w:id="2" w:name="_Toc79163860"/>
      <w:bookmarkStart w:id="3" w:name="_Toc15377205"/>
      <w:bookmarkStart w:id="4" w:name="_Toc79163610"/>
      <w:r>
        <w:rPr>
          <w:rStyle w:val="29"/>
          <w:rFonts w:hint="eastAsia" w:ascii="黑体" w:hAnsi="黑体" w:eastAsia="黑体"/>
        </w:rPr>
        <w:t>收入支出决算总体情况说明</w:t>
      </w:r>
      <w:bookmarkEnd w:id="1"/>
      <w:bookmarkEnd w:id="2"/>
      <w:bookmarkEnd w:id="3"/>
      <w:bookmarkEnd w:id="4"/>
    </w:p>
    <w:p>
      <w:pPr>
        <w:spacing w:line="556"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年度收、支总计</w:t>
      </w:r>
      <w:r>
        <w:rPr>
          <w:rFonts w:hint="eastAsia" w:ascii="仿宋_GB2312" w:eastAsia="仿宋_GB2312"/>
          <w:sz w:val="32"/>
          <w:szCs w:val="32"/>
          <w:lang w:val="en-US" w:eastAsia="zh-CN"/>
        </w:rPr>
        <w:t>均为</w:t>
      </w:r>
      <w:r>
        <w:rPr>
          <w:rFonts w:hint="eastAsia" w:ascii="仿宋_GB2312" w:eastAsia="仿宋_GB2312"/>
          <w:sz w:val="32"/>
          <w:szCs w:val="32"/>
        </w:rPr>
        <w:t>613.19万元。与202</w:t>
      </w:r>
      <w:r>
        <w:rPr>
          <w:rFonts w:hint="eastAsia" w:ascii="仿宋_GB2312" w:eastAsia="仿宋_GB2312"/>
          <w:sz w:val="32"/>
          <w:szCs w:val="32"/>
          <w:lang w:val="en-US" w:eastAsia="zh-CN"/>
        </w:rPr>
        <w:t>3</w:t>
      </w:r>
      <w:r>
        <w:rPr>
          <w:rFonts w:hint="eastAsia" w:ascii="仿宋_GB2312" w:eastAsia="仿宋_GB2312"/>
          <w:sz w:val="32"/>
          <w:szCs w:val="32"/>
        </w:rPr>
        <w:t>年相比，收、支总计</w:t>
      </w:r>
      <w:r>
        <w:rPr>
          <w:rFonts w:hint="eastAsia" w:ascii="仿宋_GB2312" w:eastAsia="仿宋_GB2312"/>
          <w:sz w:val="32"/>
          <w:szCs w:val="32"/>
          <w:lang w:val="en-US" w:eastAsia="zh-CN"/>
        </w:rPr>
        <w:t>减少16.62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下降2.64</w:t>
      </w:r>
      <w:r>
        <w:rPr>
          <w:rFonts w:hint="eastAsia" w:ascii="仿宋_GB2312" w:eastAsia="仿宋_GB2312"/>
          <w:sz w:val="32"/>
          <w:szCs w:val="32"/>
        </w:rPr>
        <w:t>%。</w:t>
      </w:r>
      <w:r>
        <w:rPr>
          <w:rFonts w:hint="eastAsia" w:ascii="仿宋_GB2312" w:eastAsia="仿宋_GB2312"/>
          <w:sz w:val="32"/>
          <w:szCs w:val="32"/>
          <w:lang w:val="en-US" w:eastAsia="zh-CN"/>
        </w:rPr>
        <w:t>主要变动原因是人员变动、工资变动等。</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9"/>
        <w:numPr>
          <w:ilvl w:val="0"/>
          <w:numId w:val="2"/>
        </w:numPr>
        <w:spacing w:line="600" w:lineRule="exact"/>
        <w:ind w:firstLineChars="0"/>
        <w:outlineLvl w:val="1"/>
        <w:rPr>
          <w:rStyle w:val="29"/>
          <w:rFonts w:ascii="黑体" w:hAnsi="黑体" w:eastAsia="黑体"/>
          <w:b w:val="0"/>
        </w:rPr>
      </w:pPr>
      <w:bookmarkStart w:id="5" w:name="_Toc79163861"/>
      <w:bookmarkStart w:id="6" w:name="_Toc79163611"/>
      <w:bookmarkStart w:id="7" w:name="_Toc15377206"/>
      <w:bookmarkStart w:id="8" w:name="_Toc15396604"/>
      <w:r>
        <w:rPr>
          <w:rStyle w:val="29"/>
          <w:rFonts w:hint="eastAsia" w:ascii="黑体" w:hAnsi="黑体" w:eastAsia="黑体"/>
        </w:rPr>
        <w:t>收入决算情况说明</w:t>
      </w:r>
      <w:bookmarkEnd w:id="5"/>
      <w:bookmarkEnd w:id="6"/>
      <w:bookmarkEnd w:id="7"/>
      <w:bookmarkEnd w:id="8"/>
    </w:p>
    <w:p>
      <w:pPr>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2024年度本年收入合计</w:t>
      </w:r>
      <w:r>
        <w:rPr>
          <w:rFonts w:hint="eastAsia" w:ascii="仿宋_GB2312" w:eastAsia="仿宋_GB2312"/>
          <w:sz w:val="32"/>
          <w:szCs w:val="32"/>
        </w:rPr>
        <w:t>613.19万元，其中：一般公共预算财政拨款收入613.19</w:t>
      </w:r>
      <w:r>
        <w:rPr>
          <w:rFonts w:hint="eastAsia" w:ascii="仿宋_GB2312" w:eastAsia="仿宋_GB2312"/>
          <w:sz w:val="32"/>
          <w:szCs w:val="32"/>
          <w:lang w:eastAsia="zh-CN"/>
        </w:rPr>
        <w:t>万元，占</w:t>
      </w:r>
      <w:r>
        <w:rPr>
          <w:rFonts w:hint="eastAsia" w:ascii="仿宋_GB2312" w:eastAsia="仿宋_GB2312"/>
          <w:sz w:val="32"/>
          <w:szCs w:val="32"/>
        </w:rPr>
        <w:t>100</w:t>
      </w:r>
      <w:r>
        <w:rPr>
          <w:rFonts w:hint="eastAsia" w:ascii="仿宋_GB2312" w:eastAsia="仿宋_GB2312"/>
          <w:sz w:val="32"/>
          <w:szCs w:val="32"/>
          <w:lang w:eastAsia="zh-CN"/>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9" w:name="_Toc15396605"/>
      <w:bookmarkStart w:id="10" w:name="_Toc15377207"/>
      <w:r>
        <w:rPr>
          <w:rFonts w:hint="eastAsia" w:ascii="黑体" w:hAnsi="黑体" w:eastAsia="黑体"/>
          <w:color w:val="000000"/>
          <w:sz w:val="32"/>
          <w:szCs w:val="32"/>
        </w:rPr>
        <w:t>支</w:t>
      </w:r>
      <w:r>
        <w:rPr>
          <w:rStyle w:val="29"/>
          <w:rFonts w:hint="eastAsia" w:ascii="黑体" w:hAnsi="黑体" w:eastAsia="黑体"/>
          <w:b w:val="0"/>
        </w:rPr>
        <w:t>出决算情况说明</w:t>
      </w:r>
      <w:bookmarkEnd w:id="9"/>
      <w:bookmarkEnd w:id="10"/>
    </w:p>
    <w:p>
      <w:pPr>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2024年度本年支出合计613.19万元，其中：基本支出290.71万元，占47.4</w:t>
      </w:r>
      <w:r>
        <w:rPr>
          <w:rFonts w:hint="eastAsia" w:ascii="仿宋_GB2312" w:eastAsia="仿宋_GB2312"/>
          <w:sz w:val="32"/>
          <w:szCs w:val="32"/>
          <w:lang w:val="en-US" w:eastAsia="zh-CN"/>
        </w:rPr>
        <w:t>1</w:t>
      </w:r>
      <w:r>
        <w:rPr>
          <w:rFonts w:hint="eastAsia" w:ascii="仿宋_GB2312" w:eastAsia="仿宋_GB2312"/>
          <w:sz w:val="32"/>
          <w:szCs w:val="32"/>
          <w:lang w:eastAsia="zh-CN"/>
        </w:rPr>
        <w:t>%；项目支出322.48万元，占52.59%。</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11" w:name="_Toc79163863"/>
      <w:bookmarkStart w:id="12" w:name="_Toc15377208"/>
      <w:bookmarkStart w:id="13" w:name="_Toc79163613"/>
      <w:bookmarkStart w:id="14" w:name="_Toc15396606"/>
      <w:r>
        <w:rPr>
          <w:rFonts w:hint="eastAsia" w:ascii="黑体" w:hAnsi="黑体" w:eastAsia="黑体"/>
          <w:color w:val="000000"/>
          <w:sz w:val="32"/>
          <w:szCs w:val="32"/>
        </w:rPr>
        <w:t>四、财</w:t>
      </w:r>
      <w:r>
        <w:rPr>
          <w:rStyle w:val="29"/>
          <w:rFonts w:hint="eastAsia" w:ascii="黑体" w:hAnsi="黑体" w:eastAsia="黑体"/>
        </w:rPr>
        <w:t>政拨款收入支出决算总体情况说明</w:t>
      </w:r>
      <w:bookmarkEnd w:id="11"/>
      <w:bookmarkEnd w:id="12"/>
      <w:bookmarkEnd w:id="13"/>
      <w:bookmarkEnd w:id="14"/>
    </w:p>
    <w:p>
      <w:pPr>
        <w:spacing w:line="55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年财政拨款收、支总计</w:t>
      </w:r>
      <w:r>
        <w:rPr>
          <w:rFonts w:hint="eastAsia" w:ascii="仿宋_GB2312" w:eastAsia="仿宋_GB2312"/>
          <w:sz w:val="32"/>
          <w:szCs w:val="32"/>
          <w:lang w:val="en-US" w:eastAsia="zh-CN"/>
        </w:rPr>
        <w:t>均为</w:t>
      </w:r>
      <w:r>
        <w:rPr>
          <w:rFonts w:hint="eastAsia" w:ascii="仿宋_GB2312" w:eastAsia="仿宋_GB2312"/>
          <w:sz w:val="32"/>
          <w:szCs w:val="32"/>
          <w:lang w:eastAsia="zh-CN"/>
        </w:rPr>
        <w:t>613.19万元。与202</w:t>
      </w:r>
      <w:r>
        <w:rPr>
          <w:rFonts w:hint="eastAsia" w:ascii="仿宋_GB2312" w:eastAsia="仿宋_GB2312"/>
          <w:sz w:val="32"/>
          <w:szCs w:val="32"/>
          <w:lang w:val="en-US" w:eastAsia="zh-CN"/>
        </w:rPr>
        <w:t>3</w:t>
      </w:r>
      <w:r>
        <w:rPr>
          <w:rFonts w:hint="eastAsia" w:ascii="仿宋_GB2312" w:eastAsia="仿宋_GB2312"/>
          <w:sz w:val="32"/>
          <w:szCs w:val="32"/>
          <w:lang w:eastAsia="zh-CN"/>
        </w:rPr>
        <w:t>年相比财政拨款收、支总计</w:t>
      </w:r>
      <w:r>
        <w:rPr>
          <w:rFonts w:hint="eastAsia" w:ascii="仿宋_GB2312" w:eastAsia="仿宋_GB2312"/>
          <w:sz w:val="32"/>
          <w:szCs w:val="32"/>
          <w:lang w:val="en-US" w:eastAsia="zh-CN"/>
        </w:rPr>
        <w:t>减少16.62</w:t>
      </w:r>
      <w:r>
        <w:rPr>
          <w:rFonts w:hint="eastAsia" w:ascii="仿宋_GB2312" w:eastAsia="仿宋_GB2312"/>
          <w:sz w:val="32"/>
          <w:szCs w:val="32"/>
          <w:lang w:eastAsia="zh-CN"/>
        </w:rPr>
        <w:t>万元，</w:t>
      </w:r>
      <w:r>
        <w:rPr>
          <w:rFonts w:hint="eastAsia" w:ascii="仿宋_GB2312" w:eastAsia="仿宋_GB2312"/>
          <w:sz w:val="32"/>
          <w:szCs w:val="32"/>
          <w:lang w:val="en-US" w:eastAsia="zh-CN"/>
        </w:rPr>
        <w:t>下降2.64</w:t>
      </w:r>
      <w:r>
        <w:rPr>
          <w:rFonts w:hint="eastAsia" w:ascii="仿宋_GB2312" w:eastAsia="仿宋_GB2312"/>
          <w:sz w:val="32"/>
          <w:szCs w:val="32"/>
          <w:lang w:eastAsia="zh-CN"/>
        </w:rPr>
        <w:t>%。</w:t>
      </w:r>
      <w:r>
        <w:rPr>
          <w:rFonts w:hint="eastAsia" w:ascii="仿宋_GB2312" w:eastAsia="仿宋_GB2312"/>
          <w:sz w:val="32"/>
          <w:szCs w:val="32"/>
          <w:lang w:val="en-US" w:eastAsia="zh-CN"/>
        </w:rPr>
        <w:t>主要变动原因是：人员变动、工资变动等。</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15" w:name="_Toc79163614"/>
      <w:bookmarkStart w:id="16" w:name="_Toc15377209"/>
      <w:bookmarkStart w:id="17" w:name="_Toc15396607"/>
      <w:bookmarkStart w:id="18"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rPr>
        <w:t>般公共预算财政拨款支出决算情况说明</w:t>
      </w:r>
      <w:bookmarkEnd w:id="15"/>
      <w:bookmarkEnd w:id="16"/>
      <w:bookmarkEnd w:id="17"/>
      <w:bookmarkEnd w:id="18"/>
    </w:p>
    <w:p>
      <w:pPr>
        <w:spacing w:line="600" w:lineRule="exact"/>
        <w:ind w:firstLine="642" w:firstLineChars="200"/>
        <w:outlineLvl w:val="2"/>
        <w:rPr>
          <w:rFonts w:ascii="仿宋" w:hAnsi="仿宋" w:eastAsia="仿宋"/>
          <w:b/>
          <w:color w:val="000000"/>
          <w:sz w:val="32"/>
          <w:szCs w:val="32"/>
        </w:rPr>
      </w:pPr>
      <w:bookmarkStart w:id="19" w:name="_Toc79163865"/>
      <w:bookmarkStart w:id="20" w:name="_Toc15377210"/>
      <w:bookmarkStart w:id="21" w:name="_Toc79163615"/>
      <w:r>
        <w:rPr>
          <w:rFonts w:hint="eastAsia" w:ascii="仿宋" w:hAnsi="仿宋" w:eastAsia="仿宋"/>
          <w:b/>
          <w:color w:val="000000"/>
          <w:sz w:val="32"/>
          <w:szCs w:val="32"/>
        </w:rPr>
        <w:t>（一）一般公共预算财政拨款支出决算总体情况</w:t>
      </w:r>
      <w:bookmarkEnd w:id="19"/>
      <w:bookmarkEnd w:id="20"/>
      <w:bookmarkEnd w:id="21"/>
    </w:p>
    <w:p>
      <w:pPr>
        <w:spacing w:line="55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年一般公共预算财政拨款支出613.19万元，占本年支出合计的100%。与202</w:t>
      </w:r>
      <w:r>
        <w:rPr>
          <w:rFonts w:hint="eastAsia" w:ascii="仿宋_GB2312" w:eastAsia="仿宋_GB2312"/>
          <w:sz w:val="32"/>
          <w:szCs w:val="32"/>
          <w:lang w:val="en-US" w:eastAsia="zh-CN"/>
        </w:rPr>
        <w:t>3</w:t>
      </w:r>
      <w:r>
        <w:rPr>
          <w:rFonts w:hint="eastAsia" w:ascii="仿宋_GB2312" w:eastAsia="仿宋_GB2312"/>
          <w:sz w:val="32"/>
          <w:szCs w:val="32"/>
          <w:lang w:eastAsia="zh-CN"/>
        </w:rPr>
        <w:t>年相比，一般公共预算财政拨款</w:t>
      </w:r>
      <w:r>
        <w:rPr>
          <w:rFonts w:hint="eastAsia" w:ascii="仿宋_GB2312" w:eastAsia="仿宋_GB2312"/>
          <w:sz w:val="32"/>
          <w:szCs w:val="32"/>
          <w:lang w:val="en-US" w:eastAsia="zh-CN"/>
        </w:rPr>
        <w:t>减少16.62</w:t>
      </w:r>
      <w:r>
        <w:rPr>
          <w:rFonts w:hint="eastAsia" w:ascii="仿宋_GB2312" w:eastAsia="仿宋_GB2312"/>
          <w:sz w:val="32"/>
          <w:szCs w:val="32"/>
          <w:lang w:eastAsia="zh-CN"/>
        </w:rPr>
        <w:t>万元，</w:t>
      </w:r>
      <w:r>
        <w:rPr>
          <w:rFonts w:hint="eastAsia" w:ascii="仿宋_GB2312" w:eastAsia="仿宋_GB2312"/>
          <w:sz w:val="32"/>
          <w:szCs w:val="32"/>
          <w:lang w:val="en-US" w:eastAsia="zh-CN"/>
        </w:rPr>
        <w:t>下降2.64</w:t>
      </w:r>
      <w:r>
        <w:rPr>
          <w:rFonts w:hint="eastAsia" w:ascii="仿宋_GB2312" w:eastAsia="仿宋_GB2312"/>
          <w:sz w:val="32"/>
          <w:szCs w:val="32"/>
          <w:lang w:eastAsia="zh-CN"/>
        </w:rPr>
        <w:t>%。</w:t>
      </w:r>
      <w:r>
        <w:rPr>
          <w:rFonts w:hint="eastAsia" w:ascii="仿宋_GB2312" w:eastAsia="仿宋_GB2312"/>
          <w:sz w:val="32"/>
          <w:szCs w:val="32"/>
          <w:lang w:val="en-US" w:eastAsia="zh-CN"/>
        </w:rPr>
        <w:t>主要变动原因是：人员变动、工资变动等。</w:t>
      </w:r>
    </w:p>
    <w:p>
      <w:pPr>
        <w:pStyle w:val="2"/>
        <w:rPr>
          <w:rFonts w:hint="eastAsia"/>
          <w:lang w:val="en-US" w:eastAsia="zh-CN"/>
        </w:rPr>
      </w:pPr>
    </w:p>
    <w:p>
      <w:pPr>
        <w:pStyle w:val="13"/>
        <w:rPr>
          <w:rFonts w:hint="eastAsia" w:ascii="仿宋_GB2312" w:eastAsia="仿宋_GB2312" w:cs="Times New Roman"/>
          <w:color w:val="000000"/>
          <w:kern w:val="2"/>
          <w:sz w:val="32"/>
          <w:szCs w:val="32"/>
          <w:lang w:val="en-US" w:eastAsia="zh-CN" w:bidi="ar-SA"/>
        </w:rPr>
      </w:pPr>
    </w:p>
    <w:p>
      <w:pPr>
        <w:pStyle w:val="2"/>
        <w:rPr>
          <w:rFonts w:hint="eastAsia"/>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2" w:firstLineChars="200"/>
        <w:outlineLvl w:val="2"/>
        <w:rPr>
          <w:rFonts w:ascii="仿宋" w:hAnsi="仿宋" w:eastAsia="仿宋"/>
          <w:b/>
          <w:color w:val="000000"/>
          <w:sz w:val="32"/>
          <w:szCs w:val="32"/>
        </w:rPr>
      </w:pPr>
      <w:bookmarkStart w:id="22" w:name="_Toc79163616"/>
      <w:bookmarkStart w:id="23" w:name="_Toc79163866"/>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22"/>
      <w:bookmarkEnd w:id="23"/>
    </w:p>
    <w:p>
      <w:pPr>
        <w:spacing w:line="600" w:lineRule="exact"/>
        <w:ind w:firstLine="64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年一般公共预算财政拨款支出</w:t>
      </w:r>
      <w:r>
        <w:rPr>
          <w:rFonts w:hint="eastAsia" w:ascii="仿宋_GB2312" w:hAnsi="仿宋_GB2312" w:eastAsia="仿宋_GB2312" w:cs="仿宋_GB2312"/>
          <w:sz w:val="32"/>
          <w:szCs w:val="32"/>
        </w:rPr>
        <w:t>613.19</w:t>
      </w:r>
      <w:r>
        <w:rPr>
          <w:rFonts w:hint="eastAsia" w:ascii="仿宋_GB2312" w:hAnsi="仿宋" w:eastAsia="仿宋_GB2312"/>
          <w:color w:val="000000"/>
          <w:sz w:val="32"/>
          <w:szCs w:val="32"/>
        </w:rPr>
        <w:t>万元，主要用于以下方面:</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576.98</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94.09</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16.64</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2.72</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19.57</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3.19</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5080" t="4445" r="4445" b="2349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ascii="仿宋" w:hAnsi="仿宋" w:eastAsia="仿宋"/>
          <w:b/>
          <w:color w:val="000000"/>
          <w:sz w:val="32"/>
          <w:szCs w:val="32"/>
        </w:rPr>
      </w:pPr>
      <w:bookmarkStart w:id="24" w:name="_Toc79163617"/>
      <w:bookmarkStart w:id="25" w:name="_Toc79163867"/>
      <w:bookmarkStart w:id="26" w:name="_Toc15377212"/>
      <w:bookmarkStart w:id="27" w:name="_Toc15396608"/>
      <w:bookmarkStart w:id="28" w:name="_Toc15377214"/>
      <w:r>
        <w:rPr>
          <w:rFonts w:hint="eastAsia" w:ascii="仿宋" w:hAnsi="仿宋" w:eastAsia="仿宋"/>
          <w:b/>
          <w:color w:val="000000"/>
          <w:sz w:val="32"/>
          <w:szCs w:val="32"/>
        </w:rPr>
        <w:t>（三）一般公共预算财政拨款支出决算具体情况</w:t>
      </w:r>
      <w:bookmarkEnd w:id="24"/>
      <w:bookmarkEnd w:id="25"/>
      <w:bookmarkEnd w:id="26"/>
    </w:p>
    <w:p>
      <w:pPr>
        <w:spacing w:line="600" w:lineRule="exact"/>
        <w:ind w:firstLine="640" w:firstLineChars="200"/>
        <w:rPr>
          <w:rFonts w:hint="eastAsia" w:ascii="仿宋_GB2312" w:hAnsi="仿宋_GB2312" w:eastAsia="仿宋_GB2312" w:cs="仿宋_GB2312"/>
          <w:color w:val="000000"/>
          <w:sz w:val="32"/>
          <w:szCs w:val="32"/>
        </w:rPr>
      </w:pPr>
      <w:bookmarkStart w:id="29" w:name="_Toc15377213"/>
      <w:bookmarkStart w:id="30" w:name="_Toc15378460"/>
      <w:bookmarkStart w:id="31" w:name="_Toc15377444"/>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年一般公共预算支出决算数为</w:t>
      </w:r>
      <w:r>
        <w:rPr>
          <w:rFonts w:hint="eastAsia" w:ascii="仿宋_GB2312" w:hAnsi="仿宋_GB2312" w:eastAsia="仿宋_GB2312" w:cs="仿宋_GB2312"/>
          <w:sz w:val="32"/>
          <w:szCs w:val="32"/>
        </w:rPr>
        <w:t>613.19</w:t>
      </w:r>
      <w:r>
        <w:rPr>
          <w:rFonts w:hint="eastAsia" w:ascii="仿宋_GB2312" w:hAnsi="仿宋_GB2312" w:eastAsia="仿宋_GB2312" w:cs="仿宋_GB2312"/>
          <w:color w:val="000000"/>
          <w:sz w:val="32"/>
          <w:szCs w:val="32"/>
        </w:rPr>
        <w:t>万元，完成预算100%。其中：</w:t>
      </w:r>
      <w:bookmarkEnd w:id="29"/>
      <w:bookmarkEnd w:id="30"/>
      <w:bookmarkEnd w:id="31"/>
    </w:p>
    <w:p>
      <w:pPr>
        <w:spacing w:line="576" w:lineRule="exact"/>
        <w:ind w:firstLine="642"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Cs/>
          <w:color w:val="000000"/>
          <w:sz w:val="32"/>
          <w:szCs w:val="32"/>
        </w:rPr>
        <w:t>1.</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b/>
          <w:bCs/>
          <w:sz w:val="32"/>
          <w:szCs w:val="32"/>
        </w:rPr>
        <w:t>）人力资源和社会保障管理事务（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）行政运行（</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w:t>
      </w:r>
      <w:r>
        <w:rPr>
          <w:rStyle w:val="17"/>
          <w:rFonts w:hint="eastAsia" w:ascii="仿宋_GB2312" w:hAnsi="仿宋_GB2312" w:eastAsia="仿宋_GB2312" w:cs="仿宋_GB2312"/>
          <w:bCs/>
          <w:color w:val="000000"/>
          <w:sz w:val="32"/>
          <w:szCs w:val="32"/>
        </w:rPr>
        <w:t xml:space="preserve">: </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216.33</w:t>
      </w:r>
      <w:r>
        <w:rPr>
          <w:rStyle w:val="17"/>
          <w:rFonts w:hint="eastAsia" w:ascii="仿宋_GB2312" w:hAnsi="仿宋_GB2312" w:eastAsia="仿宋_GB2312" w:cs="仿宋_GB2312"/>
          <w:b w:val="0"/>
          <w:bCs/>
          <w:color w:val="000000"/>
          <w:sz w:val="32"/>
          <w:szCs w:val="32"/>
        </w:rPr>
        <w:t>万元，完成预算100%，</w:t>
      </w:r>
      <w:r>
        <w:rPr>
          <w:rStyle w:val="17"/>
          <w:rFonts w:hint="eastAsia" w:ascii="仿宋_GB2312" w:hAnsi="仿宋_GB2312" w:eastAsia="仿宋_GB2312" w:cs="仿宋_GB2312"/>
          <w:b w:val="0"/>
          <w:bCs/>
          <w:color w:val="000000"/>
          <w:sz w:val="32"/>
          <w:szCs w:val="32"/>
          <w:lang w:val="en-US" w:eastAsia="zh-CN"/>
        </w:rPr>
        <w:t>决算数等于预算数</w:t>
      </w:r>
      <w:r>
        <w:rPr>
          <w:rStyle w:val="17"/>
          <w:rFonts w:hint="eastAsia" w:ascii="仿宋_GB2312" w:hAnsi="仿宋_GB2312" w:eastAsia="仿宋_GB2312" w:cs="仿宋_GB2312"/>
          <w:b w:val="0"/>
          <w:bCs/>
          <w:color w:val="000000"/>
          <w:sz w:val="32"/>
          <w:szCs w:val="32"/>
        </w:rPr>
        <w:t>主要原因是</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行政单位日常经费开支。</w:t>
      </w:r>
    </w:p>
    <w:p>
      <w:pPr>
        <w:ind w:firstLine="642"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Cs/>
          <w:color w:val="000000"/>
          <w:sz w:val="32"/>
          <w:szCs w:val="32"/>
        </w:rPr>
        <w:t>2.</w:t>
      </w:r>
      <w:r>
        <w:rPr>
          <w:rFonts w:hint="eastAsia" w:ascii="仿宋_GB2312" w:hAnsi="仿宋_GB2312" w:eastAsia="仿宋_GB2312" w:cs="仿宋_GB2312"/>
          <w:b/>
          <w:bCs/>
          <w:sz w:val="32"/>
          <w:szCs w:val="32"/>
        </w:rPr>
        <w:t xml:space="preserve"> 社会保障和就业支出（</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b/>
          <w:bCs/>
          <w:sz w:val="32"/>
          <w:szCs w:val="32"/>
        </w:rPr>
        <w:t>）人力资源和社会保障管理事务（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）其他人力资源和社会保障管理事务支出（</w:t>
      </w:r>
      <w:r>
        <w:rPr>
          <w:rFonts w:hint="eastAsia" w:ascii="仿宋_GB2312" w:hAnsi="仿宋_GB2312" w:eastAsia="仿宋_GB2312" w:cs="仿宋_GB2312"/>
          <w:b/>
          <w:bCs/>
          <w:sz w:val="32"/>
          <w:szCs w:val="32"/>
          <w:lang w:val="en-US" w:eastAsia="zh-CN"/>
        </w:rPr>
        <w:t>99</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322.48</w:t>
      </w:r>
      <w:r>
        <w:rPr>
          <w:rStyle w:val="17"/>
          <w:rFonts w:hint="eastAsia" w:ascii="仿宋_GB2312" w:hAnsi="仿宋_GB2312" w:eastAsia="仿宋_GB2312" w:cs="仿宋_GB2312"/>
          <w:b w:val="0"/>
          <w:bCs/>
          <w:color w:val="000000"/>
          <w:sz w:val="32"/>
          <w:szCs w:val="32"/>
        </w:rPr>
        <w:t>万元，完成预算100%，</w:t>
      </w:r>
      <w:r>
        <w:rPr>
          <w:rStyle w:val="17"/>
          <w:rFonts w:hint="eastAsia" w:ascii="仿宋_GB2312" w:hAnsi="仿宋_GB2312" w:eastAsia="仿宋_GB2312" w:cs="仿宋_GB2312"/>
          <w:b w:val="0"/>
          <w:bCs/>
          <w:color w:val="000000"/>
          <w:sz w:val="32"/>
          <w:szCs w:val="32"/>
          <w:lang w:val="en-US" w:eastAsia="zh-CN"/>
        </w:rPr>
        <w:t>决算数等于预算数</w:t>
      </w:r>
      <w:r>
        <w:rPr>
          <w:rStyle w:val="17"/>
          <w:rFonts w:hint="eastAsia" w:ascii="仿宋_GB2312" w:hAnsi="仿宋_GB2312" w:eastAsia="仿宋_GB2312" w:cs="仿宋_GB2312"/>
          <w:b w:val="0"/>
          <w:bCs/>
          <w:color w:val="000000"/>
          <w:sz w:val="32"/>
          <w:szCs w:val="32"/>
        </w:rPr>
        <w:t>主要原因是</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退还民工工资保证金</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公开招考事业单位工作人员经费</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金保网络运行经费。</w:t>
      </w:r>
    </w:p>
    <w:p>
      <w:pPr>
        <w:spacing w:line="576" w:lineRule="exact"/>
        <w:ind w:firstLine="642"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Cs/>
          <w:color w:val="000000"/>
          <w:sz w:val="32"/>
          <w:szCs w:val="32"/>
        </w:rPr>
        <w:t>3.社会保障和就业支出（</w:t>
      </w:r>
      <w:r>
        <w:rPr>
          <w:rFonts w:hint="eastAsia" w:ascii="仿宋_GB2312" w:hAnsi="仿宋_GB2312" w:eastAsia="仿宋_GB2312" w:cs="仿宋_GB2312"/>
          <w:b/>
          <w:color w:val="000000"/>
          <w:sz w:val="32"/>
          <w:szCs w:val="32"/>
          <w:lang w:val="en-US" w:eastAsia="zh-CN"/>
        </w:rPr>
        <w:t>208</w:t>
      </w:r>
      <w:r>
        <w:rPr>
          <w:rStyle w:val="17"/>
          <w:rFonts w:hint="eastAsia" w:ascii="仿宋_GB2312" w:hAnsi="仿宋_GB2312" w:eastAsia="仿宋_GB2312" w:cs="仿宋_GB2312"/>
          <w:bCs/>
          <w:color w:val="000000"/>
          <w:sz w:val="32"/>
          <w:szCs w:val="32"/>
        </w:rPr>
        <w:t>）行政事业单位养老支出（</w:t>
      </w:r>
      <w:r>
        <w:rPr>
          <w:rStyle w:val="17"/>
          <w:rFonts w:hint="eastAsia" w:ascii="仿宋_GB2312" w:hAnsi="仿宋_GB2312" w:eastAsia="仿宋_GB2312" w:cs="仿宋_GB2312"/>
          <w:bCs/>
          <w:color w:val="000000"/>
          <w:sz w:val="32"/>
          <w:szCs w:val="32"/>
          <w:lang w:val="en-US" w:eastAsia="zh-CN"/>
        </w:rPr>
        <w:t>05</w:t>
      </w:r>
      <w:r>
        <w:rPr>
          <w:rStyle w:val="17"/>
          <w:rFonts w:hint="eastAsia" w:ascii="仿宋_GB2312" w:hAnsi="仿宋_GB2312" w:eastAsia="仿宋_GB2312" w:cs="仿宋_GB2312"/>
          <w:bCs/>
          <w:color w:val="000000"/>
          <w:sz w:val="32"/>
          <w:szCs w:val="32"/>
        </w:rPr>
        <w:t>）机关事业单位基本养老保险缴费支出（</w:t>
      </w:r>
      <w:r>
        <w:rPr>
          <w:rStyle w:val="17"/>
          <w:rFonts w:hint="eastAsia" w:ascii="仿宋_GB2312" w:hAnsi="仿宋_GB2312" w:eastAsia="仿宋_GB2312" w:cs="仿宋_GB2312"/>
          <w:bCs/>
          <w:color w:val="000000"/>
          <w:sz w:val="32"/>
          <w:szCs w:val="32"/>
          <w:lang w:val="en-US" w:eastAsia="zh-CN"/>
        </w:rPr>
        <w:t>05</w:t>
      </w:r>
      <w:r>
        <w:rPr>
          <w:rStyle w:val="17"/>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25.45</w:t>
      </w:r>
      <w:r>
        <w:rPr>
          <w:rStyle w:val="17"/>
          <w:rFonts w:hint="eastAsia" w:ascii="仿宋_GB2312" w:hAnsi="仿宋_GB2312" w:eastAsia="仿宋_GB2312" w:cs="仿宋_GB2312"/>
          <w:b w:val="0"/>
          <w:bCs/>
          <w:color w:val="000000"/>
          <w:sz w:val="32"/>
          <w:szCs w:val="32"/>
        </w:rPr>
        <w:t>万元，完成预算100%，</w:t>
      </w:r>
      <w:r>
        <w:rPr>
          <w:rStyle w:val="17"/>
          <w:rFonts w:hint="eastAsia" w:ascii="仿宋_GB2312" w:hAnsi="仿宋_GB2312" w:eastAsia="仿宋_GB2312" w:cs="仿宋_GB2312"/>
          <w:b w:val="0"/>
          <w:bCs/>
          <w:color w:val="000000"/>
          <w:sz w:val="32"/>
          <w:szCs w:val="32"/>
          <w:lang w:val="en-US" w:eastAsia="zh-CN"/>
        </w:rPr>
        <w:t>决算数等于预算数</w:t>
      </w:r>
      <w:r>
        <w:rPr>
          <w:rStyle w:val="17"/>
          <w:rFonts w:hint="eastAsia" w:ascii="仿宋_GB2312" w:hAnsi="仿宋_GB2312" w:eastAsia="仿宋_GB2312" w:cs="仿宋_GB2312"/>
          <w:b w:val="0"/>
          <w:bCs/>
          <w:color w:val="000000"/>
          <w:sz w:val="32"/>
          <w:szCs w:val="32"/>
        </w:rPr>
        <w:t>主要原因是</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单位缴纳养老保险。</w:t>
      </w:r>
    </w:p>
    <w:p>
      <w:pPr>
        <w:spacing w:line="576" w:lineRule="exact"/>
        <w:ind w:firstLine="642"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4.社会保障和就业支出（</w:t>
      </w:r>
      <w:r>
        <w:rPr>
          <w:rFonts w:hint="eastAsia" w:ascii="仿宋_GB2312" w:hAnsi="仿宋_GB2312" w:eastAsia="仿宋_GB2312" w:cs="仿宋_GB2312"/>
          <w:b/>
          <w:color w:val="000000"/>
          <w:sz w:val="32"/>
          <w:szCs w:val="32"/>
          <w:lang w:val="en-US" w:eastAsia="zh-CN"/>
        </w:rPr>
        <w:t>208</w:t>
      </w:r>
      <w:r>
        <w:rPr>
          <w:rStyle w:val="17"/>
          <w:rFonts w:hint="eastAsia" w:ascii="仿宋_GB2312" w:hAnsi="仿宋_GB2312" w:eastAsia="仿宋_GB2312" w:cs="仿宋_GB2312"/>
          <w:bCs/>
          <w:color w:val="000000"/>
          <w:sz w:val="32"/>
          <w:szCs w:val="32"/>
        </w:rPr>
        <w:t>）行政事业单位养老支出（</w:t>
      </w:r>
      <w:r>
        <w:rPr>
          <w:rStyle w:val="17"/>
          <w:rFonts w:hint="eastAsia" w:ascii="仿宋_GB2312" w:hAnsi="仿宋_GB2312" w:eastAsia="仿宋_GB2312" w:cs="仿宋_GB2312"/>
          <w:bCs/>
          <w:color w:val="000000"/>
          <w:sz w:val="32"/>
          <w:szCs w:val="32"/>
          <w:lang w:val="en-US" w:eastAsia="zh-CN"/>
        </w:rPr>
        <w:t>05</w:t>
      </w:r>
      <w:r>
        <w:rPr>
          <w:rStyle w:val="17"/>
          <w:rFonts w:hint="eastAsia" w:ascii="仿宋_GB2312" w:hAnsi="仿宋_GB2312" w:eastAsia="仿宋_GB2312" w:cs="仿宋_GB2312"/>
          <w:bCs/>
          <w:color w:val="000000"/>
          <w:sz w:val="32"/>
          <w:szCs w:val="32"/>
        </w:rPr>
        <w:t>）机关事业单位职业年金缴费支出（</w:t>
      </w:r>
      <w:r>
        <w:rPr>
          <w:rStyle w:val="17"/>
          <w:rFonts w:hint="eastAsia" w:ascii="仿宋_GB2312" w:hAnsi="仿宋_GB2312" w:eastAsia="仿宋_GB2312" w:cs="仿宋_GB2312"/>
          <w:bCs/>
          <w:color w:val="000000"/>
          <w:sz w:val="32"/>
          <w:szCs w:val="32"/>
          <w:lang w:val="en-US" w:eastAsia="zh-CN"/>
        </w:rPr>
        <w:t>06</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12.72</w:t>
      </w:r>
      <w:r>
        <w:rPr>
          <w:rFonts w:hint="eastAsia" w:ascii="仿宋_GB2312" w:hAnsi="仿宋_GB2312" w:eastAsia="仿宋_GB2312" w:cs="仿宋_GB2312"/>
          <w:sz w:val="32"/>
          <w:szCs w:val="32"/>
        </w:rPr>
        <w:t>万元，完成预算100%，</w:t>
      </w:r>
      <w:r>
        <w:rPr>
          <w:rStyle w:val="17"/>
          <w:rFonts w:hint="eastAsia" w:ascii="仿宋_GB2312" w:hAnsi="仿宋_GB2312" w:eastAsia="仿宋_GB2312" w:cs="仿宋_GB2312"/>
          <w:b w:val="0"/>
          <w:bCs/>
          <w:color w:val="000000"/>
          <w:sz w:val="32"/>
          <w:szCs w:val="32"/>
          <w:lang w:val="en-US" w:eastAsia="zh-CN"/>
        </w:rPr>
        <w:t>决算数等于预算数</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单位缴纳职业年金。</w:t>
      </w:r>
    </w:p>
    <w:p>
      <w:pPr>
        <w:spacing w:line="576" w:lineRule="exact"/>
        <w:ind w:firstLine="642"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5.医疗卫生与计划生育（</w:t>
      </w:r>
      <w:r>
        <w:rPr>
          <w:rFonts w:hint="eastAsia" w:ascii="仿宋_GB2312" w:hAnsi="仿宋_GB2312" w:eastAsia="仿宋_GB2312" w:cs="仿宋_GB2312"/>
          <w:b/>
          <w:color w:val="000000"/>
          <w:sz w:val="32"/>
          <w:szCs w:val="32"/>
          <w:lang w:val="en-US" w:eastAsia="zh-CN"/>
        </w:rPr>
        <w:t>210</w:t>
      </w:r>
      <w:r>
        <w:rPr>
          <w:rStyle w:val="17"/>
          <w:rFonts w:hint="eastAsia" w:ascii="仿宋_GB2312" w:hAnsi="仿宋_GB2312" w:eastAsia="仿宋_GB2312" w:cs="仿宋_GB2312"/>
          <w:bCs/>
          <w:color w:val="000000"/>
          <w:sz w:val="32"/>
          <w:szCs w:val="32"/>
        </w:rPr>
        <w:t>）行政事业单位医疗（</w:t>
      </w:r>
      <w:r>
        <w:rPr>
          <w:rStyle w:val="17"/>
          <w:rFonts w:hint="eastAsia" w:ascii="仿宋_GB2312" w:hAnsi="仿宋_GB2312" w:eastAsia="仿宋_GB2312" w:cs="仿宋_GB2312"/>
          <w:bCs/>
          <w:color w:val="000000"/>
          <w:sz w:val="32"/>
          <w:szCs w:val="32"/>
          <w:lang w:val="en-US" w:eastAsia="zh-CN"/>
        </w:rPr>
        <w:t>11</w:t>
      </w:r>
      <w:r>
        <w:rPr>
          <w:rStyle w:val="17"/>
          <w:rFonts w:hint="eastAsia" w:ascii="仿宋_GB2312" w:hAnsi="仿宋_GB2312" w:eastAsia="仿宋_GB2312" w:cs="仿宋_GB2312"/>
          <w:bCs/>
          <w:color w:val="000000"/>
          <w:sz w:val="32"/>
          <w:szCs w:val="32"/>
        </w:rPr>
        <w:t>）行政单位医疗（</w:t>
      </w:r>
      <w:r>
        <w:rPr>
          <w:rStyle w:val="17"/>
          <w:rFonts w:hint="eastAsia" w:ascii="仿宋_GB2312" w:hAnsi="仿宋_GB2312" w:eastAsia="仿宋_GB2312" w:cs="仿宋_GB2312"/>
          <w:bCs/>
          <w:color w:val="000000"/>
          <w:sz w:val="32"/>
          <w:szCs w:val="32"/>
          <w:lang w:val="en-US" w:eastAsia="zh-CN"/>
        </w:rPr>
        <w:t>01</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16.64</w:t>
      </w:r>
      <w:r>
        <w:rPr>
          <w:rFonts w:hint="eastAsia" w:ascii="仿宋_GB2312" w:hAnsi="仿宋_GB2312" w:eastAsia="仿宋_GB2312" w:cs="仿宋_GB2312"/>
          <w:sz w:val="32"/>
          <w:szCs w:val="32"/>
        </w:rPr>
        <w:t>万元，完成预算100%，</w:t>
      </w:r>
      <w:r>
        <w:rPr>
          <w:rStyle w:val="17"/>
          <w:rFonts w:hint="eastAsia" w:ascii="仿宋_GB2312" w:hAnsi="仿宋_GB2312" w:eastAsia="仿宋_GB2312" w:cs="仿宋_GB2312"/>
          <w:b w:val="0"/>
          <w:bCs/>
          <w:color w:val="000000"/>
          <w:sz w:val="32"/>
          <w:szCs w:val="32"/>
          <w:lang w:val="en-US" w:eastAsia="zh-CN"/>
        </w:rPr>
        <w:t>决算数等于预算数</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行政单位缴纳基本医疗保险。</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6.住房保障（</w:t>
      </w:r>
      <w:r>
        <w:rPr>
          <w:rStyle w:val="17"/>
          <w:rFonts w:hint="eastAsia" w:ascii="仿宋_GB2312" w:hAnsi="仿宋_GB2312" w:eastAsia="仿宋_GB2312" w:cs="仿宋_GB2312"/>
          <w:bCs/>
          <w:color w:val="000000"/>
          <w:sz w:val="32"/>
          <w:szCs w:val="32"/>
          <w:lang w:val="en-US" w:eastAsia="zh-CN"/>
        </w:rPr>
        <w:t>221</w:t>
      </w:r>
      <w:r>
        <w:rPr>
          <w:rStyle w:val="17"/>
          <w:rFonts w:hint="eastAsia" w:ascii="仿宋_GB2312" w:hAnsi="仿宋_GB2312" w:eastAsia="仿宋_GB2312" w:cs="仿宋_GB2312"/>
          <w:bCs/>
          <w:color w:val="000000"/>
          <w:sz w:val="32"/>
          <w:szCs w:val="32"/>
        </w:rPr>
        <w:t>）住房改革（</w:t>
      </w:r>
      <w:r>
        <w:rPr>
          <w:rStyle w:val="17"/>
          <w:rFonts w:hint="eastAsia" w:ascii="仿宋_GB2312" w:hAnsi="仿宋_GB2312" w:eastAsia="仿宋_GB2312" w:cs="仿宋_GB2312"/>
          <w:bCs/>
          <w:color w:val="000000"/>
          <w:sz w:val="32"/>
          <w:szCs w:val="32"/>
          <w:lang w:val="en-US" w:eastAsia="zh-CN"/>
        </w:rPr>
        <w:t>02</w:t>
      </w:r>
      <w:r>
        <w:rPr>
          <w:rStyle w:val="17"/>
          <w:rFonts w:hint="eastAsia" w:ascii="仿宋_GB2312" w:hAnsi="仿宋_GB2312" w:eastAsia="仿宋_GB2312" w:cs="仿宋_GB2312"/>
          <w:bCs/>
          <w:color w:val="000000"/>
          <w:sz w:val="32"/>
          <w:szCs w:val="32"/>
        </w:rPr>
        <w:t>）住房公积金（</w:t>
      </w:r>
      <w:r>
        <w:rPr>
          <w:rStyle w:val="17"/>
          <w:rFonts w:hint="eastAsia" w:ascii="仿宋_GB2312" w:hAnsi="仿宋_GB2312" w:eastAsia="仿宋_GB2312" w:cs="仿宋_GB2312"/>
          <w:bCs/>
          <w:color w:val="000000"/>
          <w:sz w:val="32"/>
          <w:szCs w:val="32"/>
          <w:lang w:val="en-US" w:eastAsia="zh-CN"/>
        </w:rPr>
        <w:t>01</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19.57</w:t>
      </w:r>
      <w:r>
        <w:rPr>
          <w:rFonts w:hint="eastAsia" w:ascii="仿宋_GB2312" w:hAnsi="仿宋_GB2312" w:eastAsia="仿宋_GB2312" w:cs="仿宋_GB2312"/>
          <w:sz w:val="32"/>
          <w:szCs w:val="32"/>
        </w:rPr>
        <w:t>万元，完成预100%，</w:t>
      </w:r>
      <w:r>
        <w:rPr>
          <w:rStyle w:val="17"/>
          <w:rFonts w:hint="eastAsia" w:ascii="仿宋_GB2312" w:hAnsi="仿宋_GB2312" w:eastAsia="仿宋_GB2312" w:cs="仿宋_GB2312"/>
          <w:b w:val="0"/>
          <w:bCs/>
          <w:color w:val="000000"/>
          <w:sz w:val="32"/>
          <w:szCs w:val="32"/>
          <w:lang w:val="en-US" w:eastAsia="zh-CN"/>
        </w:rPr>
        <w:t xml:space="preserve">决算数等于预算数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单位为职工缴纳住房公积金。</w:t>
      </w:r>
    </w:p>
    <w:bookmarkEnd w:id="27"/>
    <w:bookmarkEnd w:id="28"/>
    <w:p>
      <w:pPr>
        <w:tabs>
          <w:tab w:val="right" w:pos="8306"/>
        </w:tabs>
        <w:spacing w:line="600" w:lineRule="exact"/>
        <w:ind w:firstLine="640" w:firstLineChars="200"/>
        <w:outlineLvl w:val="1"/>
        <w:rPr>
          <w:rStyle w:val="29"/>
        </w:rPr>
      </w:pPr>
      <w:bookmarkStart w:id="32" w:name="_Toc79163618"/>
      <w:bookmarkStart w:id="33" w:name="_Toc79163868"/>
      <w:bookmarkStart w:id="34" w:name="_Toc15377215"/>
      <w:bookmarkStart w:id="35" w:name="_Toc1539660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rPr>
        <w:t>般公共预算财政拨款基本支出决算情况说明</w:t>
      </w:r>
      <w:bookmarkEnd w:id="32"/>
      <w:bookmarkEnd w:id="33"/>
      <w:r>
        <w:rPr>
          <w:rStyle w:val="29"/>
          <w:rFonts w:ascii="黑体" w:hAnsi="黑体" w:eastAsia="黑体"/>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sz w:val="32"/>
          <w:szCs w:val="32"/>
        </w:rPr>
        <w:t>290.71</w:t>
      </w:r>
      <w:r>
        <w:rPr>
          <w:rFonts w:hint="eastAsia" w:ascii="仿宋_GB2312" w:hAnsi="仿宋_GB2312" w:eastAsia="仿宋_GB2312" w:cs="仿宋_GB2312"/>
          <w:color w:val="000000"/>
          <w:sz w:val="32"/>
          <w:szCs w:val="32"/>
        </w:rPr>
        <w:t>万元，其中：</w:t>
      </w:r>
    </w:p>
    <w:p>
      <w:pPr>
        <w:spacing w:line="576" w:lineRule="exact"/>
        <w:ind w:firstLine="64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sz w:val="32"/>
          <w:szCs w:val="32"/>
        </w:rPr>
        <w:t>274.47</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sz w:val="32"/>
          <w:szCs w:val="32"/>
        </w:rPr>
        <w:t>16.24</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4"/>
    <w:bookmarkEnd w:id="35"/>
    <w:p>
      <w:pPr>
        <w:spacing w:line="600" w:lineRule="exact"/>
        <w:ind w:firstLine="640"/>
        <w:outlineLvl w:val="1"/>
        <w:rPr>
          <w:rStyle w:val="29"/>
          <w:rFonts w:ascii="黑体" w:hAnsi="黑体" w:eastAsia="黑体"/>
          <w:b w:val="0"/>
        </w:rPr>
      </w:pPr>
      <w:bookmarkStart w:id="36" w:name="_Toc79163869"/>
      <w:bookmarkStart w:id="37" w:name="_Toc79163619"/>
      <w:bookmarkStart w:id="38" w:name="_Toc15377217"/>
      <w:r>
        <w:rPr>
          <w:rFonts w:hint="eastAsia" w:ascii="黑体" w:eastAsia="黑体"/>
          <w:color w:val="000000"/>
          <w:sz w:val="32"/>
          <w:szCs w:val="32"/>
        </w:rPr>
        <w:t>七、</w:t>
      </w:r>
      <w:r>
        <w:rPr>
          <w:rStyle w:val="29"/>
          <w:rFonts w:hint="eastAsia" w:ascii="黑体" w:hAnsi="黑体" w:eastAsia="黑体"/>
        </w:rPr>
        <w:t>财政拨款“三公”经费支出决算情况说明</w:t>
      </w:r>
      <w:bookmarkEnd w:id="36"/>
      <w:bookmarkEnd w:id="37"/>
    </w:p>
    <w:p>
      <w:pPr>
        <w:spacing w:line="600" w:lineRule="exact"/>
        <w:ind w:firstLine="640"/>
        <w:outlineLvl w:val="2"/>
        <w:rPr>
          <w:rFonts w:ascii="仿宋" w:hAnsi="仿宋" w:eastAsia="仿宋"/>
          <w:b/>
          <w:color w:val="000000"/>
          <w:sz w:val="32"/>
          <w:szCs w:val="32"/>
        </w:rPr>
      </w:pPr>
      <w:bookmarkStart w:id="39" w:name="_Toc79163870"/>
      <w:bookmarkStart w:id="40" w:name="_Toc79163620"/>
      <w:bookmarkStart w:id="41" w:name="_Toc15377216"/>
      <w:r>
        <w:rPr>
          <w:rFonts w:hint="eastAsia" w:ascii="仿宋" w:hAnsi="仿宋" w:eastAsia="仿宋"/>
          <w:b/>
          <w:color w:val="000000"/>
          <w:sz w:val="32"/>
          <w:szCs w:val="32"/>
        </w:rPr>
        <w:t>（一）“三公”经费财政拨款支出决算总体情况说明</w:t>
      </w:r>
      <w:bookmarkEnd w:id="39"/>
      <w:bookmarkEnd w:id="40"/>
      <w:bookmarkEnd w:id="41"/>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5.24</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较上年度</w:t>
      </w:r>
      <w:r>
        <w:rPr>
          <w:rFonts w:hint="eastAsia" w:ascii="仿宋_GB2312" w:hAnsi="仿宋_GB2312" w:eastAsia="仿宋_GB2312" w:cs="仿宋_GB2312"/>
          <w:color w:val="000000"/>
          <w:sz w:val="32"/>
          <w:szCs w:val="32"/>
          <w:lang w:val="en-US" w:eastAsia="zh-CN"/>
        </w:rPr>
        <w:t>减少0.98万元，下降18.7%</w:t>
      </w:r>
      <w:r>
        <w:rPr>
          <w:rFonts w:hint="eastAsia" w:ascii="仿宋_GB2312" w:hAnsi="仿宋_GB2312" w:eastAsia="仿宋_GB2312" w:cs="仿宋_GB2312"/>
          <w:color w:val="000000"/>
          <w:sz w:val="32"/>
          <w:szCs w:val="32"/>
        </w:rPr>
        <w:t>。</w:t>
      </w:r>
      <w:r>
        <w:rPr>
          <w:rStyle w:val="17"/>
          <w:rFonts w:hint="eastAsia" w:ascii="仿宋_GB2312" w:hAnsi="仿宋" w:eastAsia="仿宋_GB2312"/>
          <w:b w:val="0"/>
          <w:bCs/>
          <w:color w:val="000000"/>
          <w:sz w:val="32"/>
          <w:szCs w:val="32"/>
          <w:lang w:val="en-US" w:eastAsia="zh-CN"/>
        </w:rPr>
        <w:t>决算数等于预算数</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坚持</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过紧日子</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的要求，</w:t>
      </w:r>
      <w:r>
        <w:rPr>
          <w:rFonts w:hint="eastAsia" w:ascii="仿宋_GB2312" w:hAnsi="仿宋_GB2312" w:eastAsia="仿宋_GB2312" w:cs="仿宋_GB2312"/>
          <w:color w:val="000000"/>
          <w:sz w:val="32"/>
          <w:szCs w:val="32"/>
        </w:rPr>
        <w:t>厉行节约。</w:t>
      </w:r>
    </w:p>
    <w:bookmarkEnd w:id="38"/>
    <w:p>
      <w:pPr>
        <w:spacing w:line="600" w:lineRule="exact"/>
        <w:ind w:firstLine="640"/>
        <w:outlineLvl w:val="2"/>
        <w:rPr>
          <w:rFonts w:ascii="仿宋" w:hAnsi="仿宋" w:eastAsia="仿宋"/>
          <w:b/>
          <w:color w:val="000000"/>
          <w:sz w:val="32"/>
          <w:szCs w:val="32"/>
        </w:rPr>
      </w:pPr>
      <w:bookmarkStart w:id="42" w:name="_Toc79163621"/>
      <w:bookmarkStart w:id="43" w:name="_Toc79163871"/>
      <w:r>
        <w:rPr>
          <w:rFonts w:hint="eastAsia" w:ascii="仿宋" w:hAnsi="仿宋" w:eastAsia="仿宋"/>
          <w:b/>
          <w:color w:val="000000"/>
          <w:sz w:val="32"/>
          <w:szCs w:val="32"/>
        </w:rPr>
        <w:t>（二）“三公”经费财政拨款支出决算具体情况说明</w:t>
      </w:r>
      <w:bookmarkEnd w:id="42"/>
      <w:bookmarkEnd w:id="43"/>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color w:val="000000"/>
          <w:sz w:val="32"/>
          <w:szCs w:val="32"/>
          <w:lang w:val="en-US" w:eastAsia="zh-CN"/>
        </w:rPr>
        <w:t>3.99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93.66</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0.27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6.34</w:t>
      </w:r>
      <w:r>
        <w:rPr>
          <w:rFonts w:hint="eastAsia" w:ascii="仿宋_GB2312" w:hAnsi="仿宋_GB2312" w:eastAsia="仿宋_GB2312" w:cs="仿宋_GB2312"/>
          <w:color w:val="000000"/>
          <w:sz w:val="32"/>
          <w:szCs w:val="32"/>
        </w:rPr>
        <w:t>%。具体情况如下：</w:t>
      </w:r>
    </w:p>
    <w:p>
      <w:pPr>
        <w:rPr>
          <w:rFonts w:hint="eastAsia" w:ascii="仿宋" w:hAnsi="仿宋" w:eastAsia="仿宋"/>
          <w:color w:val="000000"/>
          <w:sz w:val="32"/>
          <w:szCs w:val="32"/>
        </w:rPr>
      </w:pPr>
      <w:r>
        <w:rPr>
          <w:rFonts w:hint="eastAsia" w:eastAsia="仿宋"/>
          <w:lang w:val="en-US" w:eastAsia="zh-CN"/>
        </w:rPr>
        <w:t xml:space="preserve">        </w:t>
      </w:r>
      <w:r>
        <w:rPr>
          <w:rFonts w:hint="eastAsia" w:eastAsia="仿宋"/>
          <w:lang w:eastAsia="zh-CN"/>
        </w:rPr>
        <w:drawing>
          <wp:inline distT="0" distB="0" distL="114300" distR="114300">
            <wp:extent cx="4041140" cy="2229485"/>
            <wp:effectExtent l="5080" t="4445" r="1143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仿宋_GB2312" w:hAnsi="仿宋_GB2312" w:eastAsia="仿宋_GB2312" w:cs="仿宋_GB2312"/>
          <w:color w:val="000000"/>
          <w:sz w:val="32"/>
          <w:szCs w:val="32"/>
        </w:rPr>
      </w:pPr>
      <w:bookmarkStart w:id="44" w:name="_Toc15377218"/>
      <w:bookmarkStart w:id="45" w:name="_Toc15396610"/>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0万元，完成预算0%。全年安排因公出国（境）团组0次，出国（境）0人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与上年比无变化</w:t>
      </w:r>
      <w:r>
        <w:rPr>
          <w:rFonts w:hint="eastAsia" w:ascii="仿宋_GB2312" w:hAnsi="仿宋_GB2312" w:eastAsia="仿宋_GB2312" w:cs="仿宋_GB2312"/>
          <w:color w:val="000000"/>
          <w:sz w:val="32"/>
          <w:szCs w:val="32"/>
        </w:rPr>
        <w:t>。</w:t>
      </w:r>
    </w:p>
    <w:p>
      <w:pPr>
        <w:spacing w:line="600" w:lineRule="exact"/>
        <w:ind w:firstLine="642"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3.99</w:t>
      </w:r>
      <w:r>
        <w:rPr>
          <w:rFonts w:hint="eastAsia" w:ascii="仿宋_GB2312" w:hAnsi="仿宋_GB2312" w:eastAsia="仿宋_GB2312" w:cs="仿宋_GB2312"/>
          <w:color w:val="000000"/>
          <w:sz w:val="32"/>
          <w:szCs w:val="32"/>
        </w:rPr>
        <w:t>万元,完成预算100%。公务用车购置及运行维护费支出决算比202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减少0.99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下降19.88</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坚持“过紧日子”的要求，</w:t>
      </w:r>
      <w:r>
        <w:rPr>
          <w:rFonts w:hint="eastAsia" w:ascii="仿宋_GB2312" w:hAnsi="仿宋_GB2312" w:eastAsia="仿宋_GB2312" w:cs="仿宋_GB2312"/>
          <w:color w:val="000000"/>
          <w:sz w:val="32"/>
          <w:szCs w:val="32"/>
        </w:rPr>
        <w:t>厉行节约。</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其中：公务用车购置支出0万元。全年按规定更新购置公务用车0辆，其中：轿车0辆、金额0万元，越野车0辆、金额0万元，载客汽车0辆、金额0万元。截至202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年12月底，单位共有公务用车2辆，其中：轿车1辆、越野车1辆。</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3.99</w:t>
      </w:r>
      <w:r>
        <w:rPr>
          <w:rFonts w:hint="eastAsia" w:ascii="仿宋_GB2312" w:hAnsi="仿宋_GB2312" w:eastAsia="仿宋_GB2312" w:cs="仿宋_GB2312"/>
          <w:color w:val="000000"/>
          <w:sz w:val="32"/>
          <w:szCs w:val="32"/>
        </w:rPr>
        <w:t>万元。主要用于单位开展包村、扶贫等工作所需的公务用车燃料费、维修费、过路过桥费、保险费等支出。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0.27</w:t>
      </w:r>
      <w:r>
        <w:rPr>
          <w:rFonts w:hint="eastAsia" w:ascii="仿宋_GB2312" w:hAnsi="仿宋_GB2312" w:eastAsia="仿宋_GB2312" w:cs="仿宋_GB2312"/>
          <w:color w:val="000000"/>
          <w:sz w:val="32"/>
          <w:szCs w:val="32"/>
        </w:rPr>
        <w:t>万元，完成预算100%。公务接待费支出决算比202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增加0.01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增长3.85</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全面落实关于党政机关厉行勤俭节约，坚持“过紧日子”的要求，努力营造“艰苦奋斗、勤俭节约”氛围，持续推进节约型单位建设</w:t>
      </w:r>
      <w:r>
        <w:rPr>
          <w:rFonts w:hint="eastAsia" w:ascii="仿宋_GB2312" w:hAnsi="仿宋_GB2312" w:eastAsia="仿宋_GB2312" w:cs="仿宋_GB2312"/>
          <w:color w:val="000000"/>
          <w:sz w:val="32"/>
          <w:szCs w:val="32"/>
        </w:rPr>
        <w:t>。其中：</w:t>
      </w: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国内公务接待支出</w:t>
      </w:r>
      <w:r>
        <w:rPr>
          <w:rFonts w:hint="eastAsia" w:ascii="仿宋_GB2312" w:hAnsi="仿宋_GB2312" w:eastAsia="仿宋_GB2312" w:cs="仿宋_GB2312"/>
          <w:color w:val="000000"/>
          <w:sz w:val="32"/>
          <w:szCs w:val="32"/>
          <w:lang w:val="en-US" w:eastAsia="zh-CN"/>
        </w:rPr>
        <w:t>0.27</w:t>
      </w:r>
      <w:r>
        <w:rPr>
          <w:rFonts w:hint="eastAsia" w:ascii="仿宋_GB2312" w:hAnsi="仿宋_GB2312" w:eastAsia="仿宋_GB2312" w:cs="仿宋_GB2312"/>
          <w:color w:val="000000"/>
          <w:sz w:val="32"/>
          <w:szCs w:val="32"/>
        </w:rPr>
        <w:t>万元，主要用于执行公务、开展业务活动开支的交通费、住宿费、用餐费等。国内公务接待</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人次（不包括陪同人员），共计支出</w:t>
      </w:r>
      <w:r>
        <w:rPr>
          <w:rFonts w:hint="eastAsia" w:ascii="仿宋_GB2312" w:hAnsi="仿宋_GB2312" w:eastAsia="仿宋_GB2312" w:cs="仿宋_GB2312"/>
          <w:color w:val="000000"/>
          <w:sz w:val="32"/>
          <w:szCs w:val="32"/>
          <w:lang w:val="en-US" w:eastAsia="zh-CN"/>
        </w:rPr>
        <w:t>0.27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外事接待支出0万元，外事接待0批次，0人，共计支出0万元。</w:t>
      </w:r>
    </w:p>
    <w:bookmarkEnd w:id="44"/>
    <w:bookmarkEnd w:id="45"/>
    <w:p>
      <w:pPr>
        <w:spacing w:line="600" w:lineRule="exact"/>
        <w:ind w:firstLine="640"/>
        <w:outlineLvl w:val="1"/>
        <w:rPr>
          <w:rStyle w:val="29"/>
          <w:rFonts w:ascii="黑体" w:hAnsi="黑体" w:eastAsia="黑体"/>
        </w:rPr>
      </w:pPr>
      <w:bookmarkStart w:id="46" w:name="_Toc79163622"/>
      <w:bookmarkStart w:id="47" w:name="_Toc79163872"/>
      <w:bookmarkStart w:id="48" w:name="_Toc15377221"/>
      <w:bookmarkStart w:id="49" w:name="_Toc15396612"/>
      <w:r>
        <w:rPr>
          <w:rFonts w:hint="eastAsia" w:ascii="黑体" w:eastAsia="黑体"/>
          <w:color w:val="000000"/>
          <w:sz w:val="32"/>
          <w:szCs w:val="32"/>
        </w:rPr>
        <w:t>八、</w:t>
      </w:r>
      <w:r>
        <w:rPr>
          <w:rStyle w:val="29"/>
          <w:rFonts w:hint="eastAsia" w:ascii="黑体" w:hAnsi="黑体" w:eastAsia="黑体"/>
        </w:rPr>
        <w:t>政府性基金预算支出决算情况说明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numPr>
          <w:ilvl w:val="0"/>
          <w:numId w:val="3"/>
        </w:numPr>
        <w:spacing w:line="600" w:lineRule="exact"/>
        <w:ind w:firstLine="640"/>
        <w:outlineLvl w:val="1"/>
        <w:rPr>
          <w:rStyle w:val="29"/>
          <w:rFonts w:ascii="黑体" w:hAnsi="黑体" w:eastAsia="黑体"/>
          <w:b w:val="0"/>
        </w:rPr>
      </w:pPr>
      <w:bookmarkStart w:id="50" w:name="_Toc79163623"/>
      <w:bookmarkStart w:id="51" w:name="_Toc79163873"/>
      <w:bookmarkStart w:id="52" w:name="_Toc15396611"/>
      <w:bookmarkStart w:id="53" w:name="_Toc15377219"/>
      <w:r>
        <w:rPr>
          <w:rStyle w:val="29"/>
          <w:rFonts w:hint="eastAsia" w:ascii="黑体" w:hAnsi="黑体" w:eastAsia="黑体"/>
        </w:rPr>
        <w:t>国有资本经营预算支出决算情况说明</w:t>
      </w:r>
      <w:bookmarkEnd w:id="50"/>
      <w:bookmarkEnd w:id="51"/>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年国有资本经营预算</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29"/>
          <w:rFonts w:ascii="黑体" w:hAnsi="黑体" w:eastAsia="黑体"/>
        </w:rPr>
      </w:pPr>
      <w:bookmarkStart w:id="54" w:name="_Toc79163874"/>
      <w:bookmarkStart w:id="55" w:name="_Toc79163624"/>
      <w:r>
        <w:rPr>
          <w:rFonts w:hint="eastAsia" w:ascii="黑体" w:hAnsi="黑体" w:eastAsia="黑体"/>
          <w:color w:val="000000"/>
          <w:sz w:val="32"/>
          <w:szCs w:val="32"/>
        </w:rPr>
        <w:t>十</w:t>
      </w:r>
      <w:r>
        <w:rPr>
          <w:rStyle w:val="29"/>
          <w:rFonts w:hint="eastAsia" w:ascii="黑体" w:hAnsi="黑体" w:eastAsia="黑体"/>
        </w:rPr>
        <w:t>、其他重要事项的情况说明</w:t>
      </w:r>
      <w:bookmarkEnd w:id="54"/>
      <w:bookmarkEnd w:id="55"/>
    </w:p>
    <w:p>
      <w:pPr>
        <w:spacing w:line="600" w:lineRule="exact"/>
        <w:ind w:firstLine="642" w:firstLineChars="200"/>
        <w:outlineLvl w:val="2"/>
        <w:rPr>
          <w:rFonts w:ascii="仿宋" w:hAnsi="仿宋" w:eastAsia="仿宋"/>
          <w:color w:val="000000"/>
          <w:sz w:val="32"/>
          <w:szCs w:val="32"/>
        </w:rPr>
      </w:pPr>
      <w:bookmarkStart w:id="56" w:name="_Toc79163625"/>
      <w:bookmarkStart w:id="57" w:name="_Toc79163875"/>
      <w:r>
        <w:rPr>
          <w:rFonts w:hint="eastAsia" w:ascii="仿宋" w:hAnsi="仿宋" w:eastAsia="仿宋"/>
          <w:b/>
          <w:color w:val="000000"/>
          <w:sz w:val="32"/>
          <w:szCs w:val="32"/>
        </w:rPr>
        <w:t>（一）机关运行经费支出情况</w:t>
      </w:r>
      <w:bookmarkEnd w:id="56"/>
      <w:bookmarkEnd w:id="57"/>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4年度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16.24</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增加2.18</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增长15.5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车辆、固定资产陈旧等原因，造成修理费支出的加大</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w:t>
      </w:r>
    </w:p>
    <w:bookmarkEnd w:id="48"/>
    <w:bookmarkEnd w:id="49"/>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8" w:name="_Toc79163876"/>
      <w:bookmarkStart w:id="59" w:name="_Toc79163626"/>
      <w:bookmarkStart w:id="60" w:name="_Toc15377223"/>
      <w:bookmarkStart w:id="61" w:name="_Toc15377224"/>
      <w:r>
        <w:rPr>
          <w:rFonts w:hint="eastAsia" w:ascii="仿宋" w:hAnsi="仿宋" w:eastAsia="仿宋"/>
          <w:b/>
          <w:color w:val="000000"/>
          <w:sz w:val="32"/>
          <w:szCs w:val="32"/>
        </w:rPr>
        <w:t>（二）政府采购支出情况</w:t>
      </w:r>
      <w:bookmarkEnd w:id="58"/>
      <w:bookmarkEnd w:id="59"/>
      <w:bookmarkEnd w:id="60"/>
    </w:p>
    <w:bookmarkEnd w:id="61"/>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auto"/>
          <w:kern w:val="2"/>
          <w:sz w:val="32"/>
          <w:szCs w:val="32"/>
          <w:highlight w:val="none"/>
          <w:lang w:val="en-US" w:eastAsia="zh-CN" w:bidi="ar-SA"/>
        </w:rPr>
      </w:pPr>
      <w:bookmarkStart w:id="62" w:name="_Toc79163627"/>
      <w:bookmarkStart w:id="63" w:name="_Toc79163877"/>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eastAsia="仿宋_GB2312"/>
          <w:color w:val="000000"/>
          <w:sz w:val="32"/>
          <w:szCs w:val="32"/>
          <w:lang w:val="en-US" w:eastAsia="zh-CN"/>
        </w:rPr>
        <w:t>四川省阿坝州</w:t>
      </w:r>
      <w:r>
        <w:rPr>
          <w:rFonts w:hint="eastAsia" w:ascii="仿宋_GB2312" w:hAnsi="仿宋_GB2312" w:eastAsia="仿宋_GB2312" w:cs="仿宋_GB2312"/>
          <w:sz w:val="32"/>
          <w:szCs w:val="32"/>
        </w:rPr>
        <w:t>茂县人力资源和社会保障局（本级）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62"/>
      <w:bookmarkEnd w:id="63"/>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rPr>
        <w:t>共有车辆2辆，其中：主要领导干部用车0辆、机要通信用车0辆、应急保障用车0辆、其他用车2辆，其他用车主要是用于</w:t>
      </w:r>
      <w:r>
        <w:rPr>
          <w:rFonts w:hint="eastAsia" w:ascii="仿宋_GB2312" w:eastAsia="仿宋_GB2312"/>
          <w:color w:val="000000" w:themeColor="text1"/>
          <w:sz w:val="32"/>
          <w:szCs w:val="32"/>
          <w14:textFill>
            <w14:solidFill>
              <w14:schemeClr w14:val="tx1"/>
            </w14:solidFill>
          </w14:textFill>
        </w:rPr>
        <w:t>单位日常工作</w:t>
      </w:r>
      <w:r>
        <w:rPr>
          <w:rFonts w:hint="eastAsia" w:ascii="仿宋_GB2312" w:eastAsia="仿宋_GB2312"/>
          <w:color w:val="000000" w:themeColor="text1"/>
          <w:sz w:val="32"/>
          <w:szCs w:val="32"/>
          <w:lang w:val="en-US" w:eastAsia="zh-CN"/>
          <w14:textFill>
            <w14:solidFill>
              <w14:schemeClr w14:val="tx1"/>
            </w14:solidFill>
          </w14:textFill>
        </w:rPr>
        <w:t>运转</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4" w:name="_Toc79163878"/>
      <w:bookmarkStart w:id="65" w:name="_Toc79163628"/>
      <w:r>
        <w:rPr>
          <w:rFonts w:hint="eastAsia" w:ascii="仿宋" w:hAnsi="仿宋" w:eastAsia="仿宋"/>
          <w:b/>
          <w:color w:val="000000"/>
          <w:sz w:val="32"/>
          <w:szCs w:val="32"/>
        </w:rPr>
        <w:t>（四）预算绩效管理情况</w:t>
      </w:r>
      <w:bookmarkEnd w:id="64"/>
      <w:bookmarkEnd w:id="65"/>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根据预算绩效管理要求，本单位在</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预算编制阶段，对</w:t>
      </w:r>
      <w:r>
        <w:rPr>
          <w:rFonts w:hint="eastAsia" w:ascii="仿宋_GB2312" w:hAnsi="仿宋" w:eastAsia="仿宋_GB2312" w:cs="仿宋"/>
          <w:sz w:val="32"/>
          <w:szCs w:val="32"/>
        </w:rPr>
        <w:t>“公开招考事业单位工作人员经费”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金保网络运行经费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等</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个</w:t>
      </w:r>
      <w:r>
        <w:rPr>
          <w:rFonts w:hint="eastAsia" w:ascii="仿宋_GB2312" w:hAnsi="仿宋_GB2312" w:eastAsia="仿宋_GB2312" w:cs="仿宋_GB2312"/>
          <w:sz w:val="32"/>
          <w:szCs w:val="32"/>
        </w:rPr>
        <w:t>项目开展了预算事前绩效评估，对项目编制了绩效目标，预算执行过程中，</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项目开展绩效监控，年终执行完毕后，对项目开展了绩效目标完成情况自评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绩效自评表详见第四部分附件。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年部门整体支出开展绩效自评，从评价情况来看从评价情况来看从评价情况来看</w:t>
      </w:r>
      <w:r>
        <w:rPr>
          <w:rFonts w:hint="eastAsia" w:ascii="仿宋_GB2312" w:hAnsi="仿宋" w:eastAsia="仿宋_GB2312" w:cs="仿宋"/>
          <w:sz w:val="32"/>
          <w:szCs w:val="32"/>
        </w:rPr>
        <w:t>我局部门整体支出绩效评价自查自评结果良好，全年基本支出保证了部门的正常运行和日常工作的正常开展，绩效指标体系逐渐丰富和完善。按照规定向社会公开透明本年度单位部门经费及三公经费的使用情况</w:t>
      </w:r>
      <w:r>
        <w:rPr>
          <w:rFonts w:hint="eastAsia" w:ascii="仿宋_GB2312" w:hAnsi="仿宋_GB2312" w:eastAsia="仿宋_GB2312" w:cs="仿宋_GB2312"/>
          <w:sz w:val="32"/>
          <w:szCs w:val="32"/>
        </w:rPr>
        <w:t>。</w:t>
      </w: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numPr>
          <w:ilvl w:val="0"/>
          <w:numId w:val="4"/>
        </w:numPr>
        <w:spacing w:line="600" w:lineRule="exact"/>
        <w:ind w:firstLine="662" w:firstLineChars="150"/>
        <w:jc w:val="center"/>
        <w:outlineLvl w:val="0"/>
        <w:rPr>
          <w:rStyle w:val="28"/>
          <w:rFonts w:ascii="黑体" w:hAnsi="黑体" w:eastAsia="黑体"/>
          <w:b w:val="0"/>
        </w:rPr>
      </w:pPr>
      <w:bookmarkStart w:id="66" w:name="_Toc15377225"/>
      <w:bookmarkStart w:id="67" w:name="_Toc79163879"/>
      <w:bookmarkStart w:id="68" w:name="_Toc79163629"/>
      <w:bookmarkStart w:id="69" w:name="_Toc15396613"/>
      <w:r>
        <w:rPr>
          <w:rFonts w:hint="eastAsia" w:ascii="黑体" w:hAnsi="黑体" w:eastAsia="黑体"/>
          <w:b/>
          <w:bCs/>
          <w:color w:val="000000"/>
          <w:sz w:val="44"/>
          <w:szCs w:val="44"/>
        </w:rPr>
        <w:t>名</w:t>
      </w:r>
      <w:r>
        <w:rPr>
          <w:rStyle w:val="28"/>
          <w:rFonts w:hint="eastAsia" w:ascii="黑体" w:hAnsi="黑体" w:eastAsia="黑体"/>
          <w:b/>
          <w:bCs/>
        </w:rPr>
        <w:t>词解释</w:t>
      </w:r>
      <w:bookmarkEnd w:id="66"/>
      <w:bookmarkEnd w:id="67"/>
      <w:bookmarkEnd w:id="68"/>
      <w:bookmarkEnd w:id="69"/>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w:t>
      </w:r>
      <w:bookmarkStart w:id="122" w:name="_GoBack"/>
      <w:r>
        <w:rPr>
          <w:rFonts w:hint="eastAsia" w:ascii="仿宋_GB2312" w:eastAsia="仿宋_GB2312"/>
          <w:sz w:val="32"/>
          <w:szCs w:val="32"/>
        </w:rPr>
        <w:t>括办公及印刷费、邮电费、差旅费、会议费、福利费、日常维修费、专用材料及一般设备购置费、办公用房水电费、办公用房取暖费、办公用房物业管理费、公务用车运行维护费以及其他费用。</w:t>
      </w:r>
    </w:p>
    <w:bookmarkEnd w:id="122"/>
    <w:p>
      <w:pPr>
        <w:spacing w:line="600" w:lineRule="exact"/>
        <w:jc w:val="both"/>
        <w:outlineLvl w:val="0"/>
        <w:rPr>
          <w:rFonts w:ascii="黑体" w:hAnsi="黑体" w:eastAsia="黑体"/>
          <w:color w:val="000000"/>
          <w:sz w:val="44"/>
          <w:szCs w:val="44"/>
        </w:rPr>
      </w:pPr>
      <w:bookmarkStart w:id="70" w:name="_Toc15396614"/>
      <w:bookmarkStart w:id="71" w:name="_Toc79163880"/>
      <w:bookmarkStart w:id="72" w:name="_Toc79163630"/>
      <w:bookmarkStart w:id="73" w:name="_Toc15377226"/>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Style w:val="28"/>
          <w:rFonts w:ascii="黑体" w:hAnsi="黑体" w:eastAsia="黑体"/>
          <w:b w:val="0"/>
        </w:rPr>
      </w:pPr>
      <w:r>
        <w:rPr>
          <w:rStyle w:val="28"/>
          <w:rFonts w:hint="eastAsia" w:ascii="黑体" w:hAnsi="黑体"/>
        </w:rPr>
        <w:t>第</w:t>
      </w:r>
      <w:r>
        <w:rPr>
          <w:rStyle w:val="28"/>
          <w:rFonts w:hint="eastAsia" w:ascii="黑体" w:hAnsi="黑体" w:eastAsia="黑体"/>
        </w:rPr>
        <w:t>四部分</w:t>
      </w:r>
      <w:r>
        <w:rPr>
          <w:rStyle w:val="28"/>
          <w:rFonts w:ascii="黑体" w:hAnsi="黑体" w:eastAsia="黑体"/>
        </w:rPr>
        <w:t xml:space="preserve"> </w:t>
      </w:r>
      <w:r>
        <w:rPr>
          <w:rStyle w:val="28"/>
          <w:rFonts w:hint="eastAsia" w:ascii="黑体" w:hAnsi="黑体" w:eastAsia="黑体"/>
        </w:rPr>
        <w:t>附件</w:t>
      </w:r>
    </w:p>
    <w:p>
      <w:pPr>
        <w:spacing w:line="600" w:lineRule="exact"/>
        <w:jc w:val="left"/>
        <w:outlineLvl w:val="0"/>
        <w:rPr>
          <w:rFonts w:hint="eastAsia" w:ascii="仿宋_GB2312" w:hAnsi="黑体" w:eastAsia="仿宋_GB2312" w:cs="宋体"/>
          <w:color w:val="000000"/>
          <w:kern w:val="0"/>
          <w:sz w:val="32"/>
          <w:szCs w:val="32"/>
          <w:shd w:val="clear" w:color="auto" w:fill="FFFFFF"/>
        </w:rPr>
      </w:pPr>
      <w:bookmarkStart w:id="74" w:name="_Toc79163631"/>
      <w:bookmarkStart w:id="75" w:name="_Toc79163881"/>
      <w:r>
        <w:rPr>
          <w:rFonts w:hint="eastAsia" w:ascii="黑体" w:hAnsi="黑体" w:eastAsia="黑体" w:cs="黑体"/>
          <w:sz w:val="32"/>
          <w:szCs w:val="32"/>
        </w:rPr>
        <w:t>附件</w:t>
      </w:r>
      <w:r>
        <w:rPr>
          <w:rFonts w:ascii="黑体" w:hAnsi="黑体" w:eastAsia="黑体" w:cs="黑体"/>
          <w:sz w:val="32"/>
          <w:szCs w:val="32"/>
        </w:rPr>
        <w:t>1</w:t>
      </w:r>
      <w:bookmarkEnd w:id="70"/>
      <w:bookmarkEnd w:id="71"/>
      <w:bookmarkEnd w:id="72"/>
      <w:bookmarkEnd w:id="74"/>
      <w:bookmarkEnd w:id="75"/>
      <w:bookmarkStart w:id="76" w:name="_Toc79163633"/>
      <w:bookmarkStart w:id="77" w:name="_Toc79163883"/>
    </w:p>
    <w:tbl>
      <w:tblPr>
        <w:tblStyle w:val="15"/>
        <w:tblW w:w="14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1"/>
        <w:gridCol w:w="671"/>
        <w:gridCol w:w="3270"/>
        <w:gridCol w:w="651"/>
        <w:gridCol w:w="621"/>
        <w:gridCol w:w="3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61"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6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7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6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2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5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5"/>
              <w:tblW w:w="141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51322324T000009956611-退还民工工资保证金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退还民工工资保证金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大力推进和谐劳动关系构建行动，推进劳动关系基层治理制度创新和能力建设，有效预防和化解劳动关系矛盾纠纷，构建规范有序、公正合理、合作共赢、和谐稳定的劳动关系，确保全县劳动关系和谐稳定。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退还民工工资保证金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3091400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按时按量退还民工保证金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2024年缴纳的民工保证金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规范承建单位的用工行为，维护民工的合法权益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保障民工权益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维护社会稳定，保障农民工的合法权益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退还2024年民工保证金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3091400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该项目的及时、完整实施，达到了对应的绩效目标，构建和谐同行关系，筑牢民工安薪责任网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项目负责人：兰梦雨</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bl>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kern w:val="0"/>
                <w:sz w:val="30"/>
                <w:szCs w:val="30"/>
                <w:u w:val="none"/>
                <w:lang w:val="en-US" w:eastAsia="zh-CN" w:bidi="ar"/>
              </w:rPr>
            </w:pPr>
          </w:p>
          <w:tbl>
            <w:tblPr>
              <w:tblStyle w:val="15"/>
              <w:tblW w:w="141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51322323T000009598476-办公费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人事考试、考调、“三支一扶”等面试工作经费</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强化人才支撑保障。实施重大人才招引工程，依托“硕博进阿坝”“格桑花”等引才项目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推进人才项目评审专家数据库建设，创新开展人才关爱激励“五大工程”，支持人才安心干事创业，推动县域人才中坚力量崛起，共谋县域经济高质量发展。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51322321T000000065722-金保网费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完成全县11个镇新型农村养老保险、机关企事业养老保险数据传送等</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完成全县11个镇新型农村养老保险工作的数据传送、全县社保与上级工作平台数据传送。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通过局信息中心随时追踪金保网络运行情况，确保平台数据传送。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2023年7-12月及2024年1-12月金保网费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可充分发挥社会保障体系的整体效益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完成全县11个镇新型农村养老保险、机关企事业养老保险数据传送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切实防范和化解基金风险，加强基金监管力度。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综合办公使用的网络费及通信费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提高社会保险基金监管部门对基金运转的透明度和知情度，有效防止冒领养老金现象，切实防范和化解基金风险，加强基金监管力度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bl>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p>
        </w:tc>
      </w:tr>
      <w:bookmarkEnd w:id="76"/>
      <w:bookmarkEnd w:id="77"/>
    </w:tbl>
    <w:p>
      <w:pPr>
        <w:spacing w:line="600" w:lineRule="exact"/>
        <w:jc w:val="both"/>
        <w:outlineLvl w:val="0"/>
        <w:rPr>
          <w:rFonts w:hint="eastAsia" w:ascii="黑体" w:hAnsi="黑体" w:eastAsia="黑体"/>
          <w:color w:val="000000"/>
          <w:sz w:val="44"/>
          <w:szCs w:val="44"/>
        </w:rPr>
        <w:sectPr>
          <w:pgSz w:w="16838" w:h="11906" w:orient="landscape"/>
          <w:pgMar w:top="1800" w:right="1440" w:bottom="1800" w:left="1440" w:header="851" w:footer="992" w:gutter="0"/>
          <w:pgNumType w:fmt="decimal"/>
          <w:cols w:space="425" w:num="1"/>
          <w:titlePg/>
          <w:docGrid w:type="lines" w:linePitch="312" w:charSpace="0"/>
        </w:sectPr>
      </w:pPr>
      <w:bookmarkStart w:id="78" w:name="_Toc79163635"/>
      <w:bookmarkStart w:id="79" w:name="_Toc79163885"/>
      <w:bookmarkStart w:id="80" w:name="_Toc15396618"/>
    </w:p>
    <w:p>
      <w:pPr>
        <w:pStyle w:val="2"/>
        <w:ind w:left="0" w:leftChars="0" w:firstLine="0" w:firstLineChars="0"/>
        <w:rPr>
          <w:rFonts w:hint="eastAsia"/>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rPr>
        <w:t>五部分</w:t>
      </w:r>
      <w:r>
        <w:rPr>
          <w:rStyle w:val="28"/>
          <w:rFonts w:ascii="黑体" w:hAnsi="黑体" w:eastAsia="黑体"/>
        </w:rPr>
        <w:t xml:space="preserve"> </w:t>
      </w:r>
      <w:r>
        <w:rPr>
          <w:rStyle w:val="28"/>
          <w:rFonts w:hint="eastAsia" w:ascii="黑体" w:hAnsi="黑体" w:eastAsia="黑体"/>
        </w:rPr>
        <w:t>附表</w:t>
      </w:r>
      <w:bookmarkEnd w:id="73"/>
      <w:bookmarkEnd w:id="78"/>
      <w:bookmarkEnd w:id="79"/>
      <w:bookmarkEnd w:id="80"/>
    </w:p>
    <w:p>
      <w:pPr>
        <w:spacing w:line="576" w:lineRule="exact"/>
        <w:ind w:left="315" w:leftChars="150" w:firstLine="640" w:firstLineChars="200"/>
        <w:rPr>
          <w:rFonts w:ascii="仿宋_GB2312" w:hAnsi="仿宋_GB2312" w:eastAsia="仿宋_GB2312" w:cs="仿宋_GB2312"/>
          <w:color w:val="000000"/>
          <w:sz w:val="32"/>
          <w:szCs w:val="32"/>
        </w:rPr>
      </w:pPr>
      <w:bookmarkStart w:id="81" w:name="_Toc15396619"/>
      <w:bookmarkStart w:id="82" w:name="_Toc79163886"/>
      <w:bookmarkStart w:id="83" w:name="_Toc79163636"/>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81"/>
      <w:bookmarkEnd w:id="82"/>
      <w:bookmarkEnd w:id="83"/>
    </w:p>
    <w:p>
      <w:pPr>
        <w:spacing w:line="576" w:lineRule="exact"/>
        <w:ind w:left="315" w:leftChars="150" w:firstLine="640" w:firstLineChars="200"/>
        <w:rPr>
          <w:rFonts w:ascii="仿宋_GB2312" w:hAnsi="仿宋_GB2312" w:eastAsia="仿宋_GB2312" w:cs="仿宋_GB2312"/>
          <w:color w:val="000000"/>
          <w:sz w:val="32"/>
          <w:szCs w:val="32"/>
        </w:rPr>
      </w:pPr>
      <w:bookmarkStart w:id="84" w:name="_Toc79163637"/>
      <w:bookmarkStart w:id="85" w:name="_Toc15396620"/>
      <w:bookmarkStart w:id="86" w:name="_Toc79163887"/>
      <w:r>
        <w:rPr>
          <w:rFonts w:hint="eastAsia" w:ascii="仿宋_GB2312" w:hAnsi="仿宋_GB2312" w:eastAsia="仿宋_GB2312" w:cs="仿宋_GB2312"/>
          <w:color w:val="000000"/>
          <w:sz w:val="32"/>
          <w:szCs w:val="32"/>
        </w:rPr>
        <w:t>二、收入决算表</w:t>
      </w:r>
      <w:bookmarkEnd w:id="84"/>
      <w:bookmarkEnd w:id="85"/>
      <w:bookmarkEnd w:id="86"/>
    </w:p>
    <w:p>
      <w:pPr>
        <w:spacing w:line="576" w:lineRule="exact"/>
        <w:ind w:left="315" w:leftChars="150" w:firstLine="640" w:firstLineChars="200"/>
        <w:rPr>
          <w:rFonts w:ascii="仿宋_GB2312" w:hAnsi="仿宋_GB2312" w:eastAsia="仿宋_GB2312" w:cs="仿宋_GB2312"/>
          <w:color w:val="000000"/>
          <w:sz w:val="32"/>
          <w:szCs w:val="32"/>
        </w:rPr>
      </w:pPr>
      <w:bookmarkStart w:id="87" w:name="_Toc15396621"/>
      <w:bookmarkStart w:id="88" w:name="_Toc79163638"/>
      <w:bookmarkStart w:id="89" w:name="_Toc79163888"/>
      <w:r>
        <w:rPr>
          <w:rFonts w:hint="eastAsia" w:ascii="仿宋_GB2312" w:hAnsi="仿宋_GB2312" w:eastAsia="仿宋_GB2312" w:cs="仿宋_GB2312"/>
          <w:color w:val="000000"/>
          <w:sz w:val="32"/>
          <w:szCs w:val="32"/>
        </w:rPr>
        <w:t>三、支出决算表</w:t>
      </w:r>
      <w:bookmarkEnd w:id="87"/>
      <w:bookmarkEnd w:id="88"/>
      <w:bookmarkEnd w:id="89"/>
    </w:p>
    <w:p>
      <w:pPr>
        <w:spacing w:line="576" w:lineRule="exact"/>
        <w:ind w:left="315" w:leftChars="150" w:firstLine="640" w:firstLineChars="200"/>
        <w:rPr>
          <w:rFonts w:ascii="仿宋_GB2312" w:hAnsi="仿宋_GB2312" w:eastAsia="仿宋_GB2312" w:cs="仿宋_GB2312"/>
          <w:color w:val="000000"/>
          <w:sz w:val="32"/>
          <w:szCs w:val="32"/>
        </w:rPr>
      </w:pPr>
      <w:bookmarkStart w:id="90" w:name="_Toc79163639"/>
      <w:bookmarkStart w:id="91" w:name="_Toc15396622"/>
      <w:bookmarkStart w:id="92" w:name="_Toc79163889"/>
      <w:r>
        <w:rPr>
          <w:rFonts w:hint="eastAsia" w:ascii="仿宋_GB2312" w:hAnsi="仿宋_GB2312" w:eastAsia="仿宋_GB2312" w:cs="仿宋_GB2312"/>
          <w:color w:val="000000"/>
          <w:sz w:val="32"/>
          <w:szCs w:val="32"/>
        </w:rPr>
        <w:t>四、财政拨款收入支出决算总表</w:t>
      </w:r>
      <w:bookmarkEnd w:id="90"/>
      <w:bookmarkEnd w:id="91"/>
      <w:bookmarkEnd w:id="92"/>
    </w:p>
    <w:p>
      <w:pPr>
        <w:spacing w:line="576" w:lineRule="exact"/>
        <w:ind w:left="315" w:leftChars="150" w:firstLine="640" w:firstLineChars="200"/>
        <w:rPr>
          <w:rFonts w:ascii="仿宋_GB2312" w:hAnsi="仿宋_GB2312" w:eastAsia="仿宋_GB2312" w:cs="仿宋_GB2312"/>
          <w:color w:val="000000"/>
          <w:sz w:val="32"/>
          <w:szCs w:val="32"/>
        </w:rPr>
      </w:pPr>
      <w:bookmarkStart w:id="93" w:name="_Toc79163640"/>
      <w:bookmarkStart w:id="94" w:name="_Toc79163890"/>
      <w:bookmarkStart w:id="95" w:name="_Toc15396623"/>
      <w:r>
        <w:rPr>
          <w:rFonts w:hint="eastAsia" w:ascii="仿宋_GB2312" w:hAnsi="仿宋_GB2312" w:eastAsia="仿宋_GB2312" w:cs="仿宋_GB2312"/>
          <w:color w:val="000000"/>
          <w:sz w:val="32"/>
          <w:szCs w:val="32"/>
        </w:rPr>
        <w:t>五、财政拨款支出决算明细表</w:t>
      </w:r>
      <w:bookmarkEnd w:id="93"/>
      <w:bookmarkEnd w:id="94"/>
      <w:bookmarkEnd w:id="95"/>
      <w:bookmarkStart w:id="96"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97" w:name="_Toc79163891"/>
      <w:bookmarkStart w:id="98" w:name="_Toc79163641"/>
      <w:r>
        <w:rPr>
          <w:rFonts w:hint="eastAsia" w:ascii="仿宋_GB2312" w:hAnsi="仿宋_GB2312" w:eastAsia="仿宋_GB2312" w:cs="仿宋_GB2312"/>
          <w:color w:val="000000"/>
          <w:sz w:val="32"/>
          <w:szCs w:val="32"/>
        </w:rPr>
        <w:t>六、一般公共预算财政拨款支出决算表</w:t>
      </w:r>
      <w:bookmarkEnd w:id="96"/>
      <w:bookmarkEnd w:id="97"/>
      <w:bookmarkEnd w:id="98"/>
    </w:p>
    <w:p>
      <w:pPr>
        <w:spacing w:line="576" w:lineRule="exact"/>
        <w:ind w:left="315" w:leftChars="150" w:firstLine="640" w:firstLineChars="200"/>
        <w:rPr>
          <w:rFonts w:ascii="仿宋_GB2312" w:hAnsi="仿宋_GB2312" w:eastAsia="仿宋_GB2312" w:cs="仿宋_GB2312"/>
          <w:color w:val="000000"/>
          <w:sz w:val="32"/>
          <w:szCs w:val="32"/>
        </w:rPr>
      </w:pPr>
      <w:bookmarkStart w:id="99" w:name="_Toc79163642"/>
      <w:bookmarkStart w:id="100" w:name="_Toc79163892"/>
      <w:bookmarkStart w:id="101" w:name="_Toc15396625"/>
      <w:r>
        <w:rPr>
          <w:rFonts w:hint="eastAsia" w:ascii="仿宋_GB2312" w:hAnsi="仿宋_GB2312" w:eastAsia="仿宋_GB2312" w:cs="仿宋_GB2312"/>
          <w:color w:val="000000"/>
          <w:sz w:val="32"/>
          <w:szCs w:val="32"/>
        </w:rPr>
        <w:t>七、一般公共预算财政拨款支出决算明细表</w:t>
      </w:r>
      <w:bookmarkEnd w:id="99"/>
      <w:bookmarkEnd w:id="100"/>
      <w:bookmarkEnd w:id="101"/>
    </w:p>
    <w:p>
      <w:pPr>
        <w:spacing w:line="576" w:lineRule="exact"/>
        <w:ind w:left="315" w:leftChars="150" w:firstLine="640" w:firstLineChars="200"/>
        <w:rPr>
          <w:rFonts w:ascii="仿宋_GB2312" w:hAnsi="仿宋_GB2312" w:eastAsia="仿宋_GB2312" w:cs="仿宋_GB2312"/>
          <w:color w:val="000000"/>
          <w:sz w:val="32"/>
          <w:szCs w:val="32"/>
        </w:rPr>
      </w:pPr>
      <w:bookmarkStart w:id="102" w:name="_Toc79163893"/>
      <w:bookmarkStart w:id="103" w:name="_Toc15396626"/>
      <w:bookmarkStart w:id="104" w:name="_Toc79163643"/>
      <w:r>
        <w:rPr>
          <w:rFonts w:hint="eastAsia" w:ascii="仿宋_GB2312" w:hAnsi="仿宋_GB2312" w:eastAsia="仿宋_GB2312" w:cs="仿宋_GB2312"/>
          <w:color w:val="000000"/>
          <w:sz w:val="32"/>
          <w:szCs w:val="32"/>
        </w:rPr>
        <w:t>八、一般公共预算财政拨款基本支出决算表</w:t>
      </w:r>
      <w:bookmarkEnd w:id="102"/>
      <w:bookmarkEnd w:id="103"/>
      <w:bookmarkEnd w:id="104"/>
    </w:p>
    <w:p>
      <w:pPr>
        <w:spacing w:line="576" w:lineRule="exact"/>
        <w:ind w:left="315" w:leftChars="150" w:firstLine="640" w:firstLineChars="200"/>
        <w:rPr>
          <w:rFonts w:ascii="仿宋_GB2312" w:hAnsi="仿宋_GB2312" w:eastAsia="仿宋_GB2312" w:cs="仿宋_GB2312"/>
          <w:color w:val="000000"/>
          <w:sz w:val="32"/>
          <w:szCs w:val="32"/>
        </w:rPr>
      </w:pPr>
      <w:bookmarkStart w:id="105" w:name="_Toc79163644"/>
      <w:bookmarkStart w:id="106" w:name="_Toc79163894"/>
      <w:bookmarkStart w:id="107" w:name="_Toc15396627"/>
      <w:r>
        <w:rPr>
          <w:rFonts w:hint="eastAsia" w:ascii="仿宋_GB2312" w:hAnsi="仿宋_GB2312" w:eastAsia="仿宋_GB2312" w:cs="仿宋_GB2312"/>
          <w:color w:val="000000"/>
          <w:sz w:val="32"/>
          <w:szCs w:val="32"/>
        </w:rPr>
        <w:t>九、一般公共预算财政拨款项目支出决算表</w:t>
      </w:r>
      <w:bookmarkEnd w:id="105"/>
      <w:bookmarkEnd w:id="106"/>
      <w:bookmarkEnd w:id="107"/>
    </w:p>
    <w:p>
      <w:pPr>
        <w:spacing w:line="576" w:lineRule="exact"/>
        <w:ind w:left="315" w:leftChars="150" w:firstLine="640" w:firstLineChars="200"/>
        <w:rPr>
          <w:rFonts w:ascii="仿宋_GB2312" w:hAnsi="仿宋_GB2312" w:eastAsia="仿宋_GB2312" w:cs="仿宋_GB2312"/>
          <w:color w:val="000000"/>
          <w:sz w:val="32"/>
          <w:szCs w:val="32"/>
        </w:rPr>
      </w:pPr>
      <w:bookmarkStart w:id="108" w:name="_Toc79163895"/>
      <w:bookmarkStart w:id="109" w:name="_Toc15396628"/>
      <w:bookmarkStart w:id="110" w:name="_Toc79163645"/>
      <w:r>
        <w:rPr>
          <w:rFonts w:hint="eastAsia" w:ascii="仿宋_GB2312" w:hAnsi="仿宋_GB2312" w:eastAsia="仿宋_GB2312" w:cs="仿宋_GB2312"/>
          <w:color w:val="000000"/>
          <w:sz w:val="32"/>
          <w:szCs w:val="32"/>
        </w:rPr>
        <w:t>十、</w:t>
      </w:r>
      <w:bookmarkEnd w:id="108"/>
      <w:bookmarkEnd w:id="109"/>
      <w:bookmarkEnd w:id="110"/>
      <w:bookmarkStart w:id="111" w:name="_Toc79163646"/>
      <w:bookmarkStart w:id="112" w:name="_Toc79163896"/>
      <w:bookmarkStart w:id="113" w:name="_Toc15396629"/>
      <w:r>
        <w:rPr>
          <w:rFonts w:hint="eastAsia" w:ascii="仿宋_GB2312" w:hAnsi="仿宋_GB2312" w:eastAsia="仿宋_GB2312" w:cs="仿宋_GB2312"/>
          <w:color w:val="000000"/>
          <w:sz w:val="32"/>
          <w:szCs w:val="32"/>
        </w:rPr>
        <w:t>政府性基金预算财政拨款收入支出决算表</w:t>
      </w:r>
      <w:bookmarkEnd w:id="111"/>
      <w:bookmarkEnd w:id="112"/>
      <w:bookmarkEnd w:id="113"/>
    </w:p>
    <w:p>
      <w:pPr>
        <w:spacing w:line="576" w:lineRule="exact"/>
        <w:ind w:left="315" w:leftChars="150" w:firstLine="640" w:firstLineChars="200"/>
        <w:rPr>
          <w:rFonts w:ascii="仿宋_GB2312" w:hAnsi="仿宋_GB2312" w:eastAsia="仿宋_GB2312" w:cs="仿宋_GB2312"/>
          <w:color w:val="000000"/>
          <w:sz w:val="32"/>
          <w:szCs w:val="32"/>
        </w:rPr>
      </w:pPr>
      <w:bookmarkStart w:id="114" w:name="_Toc79163897"/>
      <w:bookmarkStart w:id="115" w:name="_Toc15396630"/>
      <w:bookmarkStart w:id="116" w:name="_Toc79163647"/>
      <w:r>
        <w:rPr>
          <w:rFonts w:hint="eastAsia" w:ascii="仿宋_GB2312" w:hAnsi="仿宋_GB2312" w:eastAsia="仿宋_GB2312" w:cs="仿宋_GB2312"/>
          <w:color w:val="000000"/>
          <w:sz w:val="32"/>
          <w:szCs w:val="32"/>
        </w:rPr>
        <w:t>十一、</w:t>
      </w:r>
      <w:bookmarkEnd w:id="114"/>
      <w:bookmarkEnd w:id="115"/>
      <w:bookmarkEnd w:id="116"/>
      <w:bookmarkStart w:id="117" w:name="_Toc79163648"/>
      <w:bookmarkStart w:id="118" w:name="_Toc15396631"/>
      <w:bookmarkStart w:id="119" w:name="_Toc79163898"/>
      <w:r>
        <w:rPr>
          <w:rFonts w:hint="eastAsia" w:ascii="仿宋_GB2312" w:hAnsi="仿宋_GB2312" w:eastAsia="仿宋_GB2312" w:cs="仿宋_GB2312"/>
          <w:color w:val="000000"/>
          <w:sz w:val="32"/>
          <w:szCs w:val="32"/>
        </w:rPr>
        <w:t>国有资本经营预算财政拨款收入支出决算表</w:t>
      </w:r>
      <w:bookmarkEnd w:id="117"/>
      <w:bookmarkEnd w:id="118"/>
      <w:bookmarkEnd w:id="119"/>
    </w:p>
    <w:p>
      <w:pPr>
        <w:spacing w:line="576" w:lineRule="exact"/>
        <w:ind w:left="315" w:leftChars="150" w:firstLine="640" w:firstLineChars="200"/>
        <w:rPr>
          <w:rFonts w:ascii="仿宋_GB2312" w:hAnsi="仿宋_GB2312" w:eastAsia="仿宋_GB2312" w:cs="仿宋_GB2312"/>
          <w:color w:val="000000"/>
          <w:sz w:val="32"/>
          <w:szCs w:val="32"/>
        </w:rPr>
      </w:pPr>
      <w:bookmarkStart w:id="120" w:name="_Toc79163899"/>
      <w:bookmarkStart w:id="121" w:name="_Toc79163649"/>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、国有资本经营预算财政拨款支出决算表</w:t>
      </w:r>
      <w:bookmarkEnd w:id="120"/>
      <w:bookmarkEnd w:id="121"/>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财政拨款“三公”经费支出决算表</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
                          </w:sdtPr>
                          <w:sdtContent>
                            <w:p>
                              <w:pPr>
                                <w:pStyle w:val="10"/>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wHWr6yAEAAJkDAAAOAAAAAAAA&#10;AAEAIAAAADQBAABkcnMvZTJvRG9jLnhtbFBLBQYAAAAABgAGAFkBAABuBQAAAAA=&#10;">
              <v:fill on="f" focussize="0,0"/>
              <v:stroke on="f"/>
              <v:imagedata o:title=""/>
              <o:lock v:ext="edit" aspectratio="f"/>
              <v:textbox inset="0mm,0mm,0mm,0mm" style="mso-fit-shape-to-text:t;">
                <w:txbxContent>
                  <w:sdt>
                    <w:sdtPr>
                      <w:id w:val="-1"/>
                    </w:sdtPr>
                    <w:sdtContent>
                      <w:p>
                        <w:pPr>
                          <w:pStyle w:val="10"/>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AHvdzckBAACZAwAADgAAAAAA&#10;AAABACAAAAA0AQAAZHJzL2Uyb0RvYy54bWxQSwUGAAAAAAYABgBZAQAAb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193509"/>
    <w:multiLevelType w:val="singleLevel"/>
    <w:tmpl w:val="E2193509"/>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YTZiYWMyMjExZGMzMjM0ZWE1MzM4ZDRjOGNhZmQ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3D0A"/>
    <w:rsid w:val="000D5200"/>
    <w:rsid w:val="000D5782"/>
    <w:rsid w:val="000E0717"/>
    <w:rsid w:val="000E6613"/>
    <w:rsid w:val="000E7119"/>
    <w:rsid w:val="000F7D14"/>
    <w:rsid w:val="00114E9B"/>
    <w:rsid w:val="00134DD3"/>
    <w:rsid w:val="00142216"/>
    <w:rsid w:val="0014433D"/>
    <w:rsid w:val="00144D6A"/>
    <w:rsid w:val="0014706F"/>
    <w:rsid w:val="0014729F"/>
    <w:rsid w:val="00151354"/>
    <w:rsid w:val="00157372"/>
    <w:rsid w:val="00157BAB"/>
    <w:rsid w:val="001629C9"/>
    <w:rsid w:val="00164D2A"/>
    <w:rsid w:val="001654D1"/>
    <w:rsid w:val="00174518"/>
    <w:rsid w:val="0018106D"/>
    <w:rsid w:val="001831E2"/>
    <w:rsid w:val="001877A7"/>
    <w:rsid w:val="00191536"/>
    <w:rsid w:val="00193C9E"/>
    <w:rsid w:val="00196687"/>
    <w:rsid w:val="001C0962"/>
    <w:rsid w:val="001C3C4E"/>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44DE7"/>
    <w:rsid w:val="002509D6"/>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1818"/>
    <w:rsid w:val="002F567B"/>
    <w:rsid w:val="002F5F2F"/>
    <w:rsid w:val="002F78A2"/>
    <w:rsid w:val="00320D06"/>
    <w:rsid w:val="003216A9"/>
    <w:rsid w:val="0033258B"/>
    <w:rsid w:val="0033450F"/>
    <w:rsid w:val="00335A74"/>
    <w:rsid w:val="003455E3"/>
    <w:rsid w:val="00362EA8"/>
    <w:rsid w:val="0036561B"/>
    <w:rsid w:val="00366617"/>
    <w:rsid w:val="0037013F"/>
    <w:rsid w:val="003703C2"/>
    <w:rsid w:val="00373E9F"/>
    <w:rsid w:val="0038010F"/>
    <w:rsid w:val="00380C92"/>
    <w:rsid w:val="003A31E6"/>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6FC"/>
    <w:rsid w:val="00440C35"/>
    <w:rsid w:val="00441C72"/>
    <w:rsid w:val="00443880"/>
    <w:rsid w:val="00443D73"/>
    <w:rsid w:val="004464F4"/>
    <w:rsid w:val="00461AC3"/>
    <w:rsid w:val="004703B5"/>
    <w:rsid w:val="00471401"/>
    <w:rsid w:val="0047399F"/>
    <w:rsid w:val="00473F31"/>
    <w:rsid w:val="0048127E"/>
    <w:rsid w:val="0048263A"/>
    <w:rsid w:val="00487E5D"/>
    <w:rsid w:val="0049273C"/>
    <w:rsid w:val="00497B5A"/>
    <w:rsid w:val="004A711F"/>
    <w:rsid w:val="004B00CE"/>
    <w:rsid w:val="004B199D"/>
    <w:rsid w:val="004B4690"/>
    <w:rsid w:val="004C2615"/>
    <w:rsid w:val="004C3AA4"/>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C6857"/>
    <w:rsid w:val="005C6BD0"/>
    <w:rsid w:val="005C6C4C"/>
    <w:rsid w:val="005D1C8B"/>
    <w:rsid w:val="005D468D"/>
    <w:rsid w:val="005D5CED"/>
    <w:rsid w:val="005F1A4C"/>
    <w:rsid w:val="006002DF"/>
    <w:rsid w:val="00605688"/>
    <w:rsid w:val="006070AF"/>
    <w:rsid w:val="00607E6C"/>
    <w:rsid w:val="006101B1"/>
    <w:rsid w:val="006146F8"/>
    <w:rsid w:val="00614E44"/>
    <w:rsid w:val="0062270A"/>
    <w:rsid w:val="00622830"/>
    <w:rsid w:val="00622EBC"/>
    <w:rsid w:val="00623DA0"/>
    <w:rsid w:val="00627DDB"/>
    <w:rsid w:val="00630657"/>
    <w:rsid w:val="00630AEF"/>
    <w:rsid w:val="006325F8"/>
    <w:rsid w:val="00633463"/>
    <w:rsid w:val="00634C9A"/>
    <w:rsid w:val="00635024"/>
    <w:rsid w:val="006440E4"/>
    <w:rsid w:val="006608F7"/>
    <w:rsid w:val="0066343B"/>
    <w:rsid w:val="00664777"/>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12156"/>
    <w:rsid w:val="007127B7"/>
    <w:rsid w:val="0071798E"/>
    <w:rsid w:val="007236A6"/>
    <w:rsid w:val="007258E4"/>
    <w:rsid w:val="00726C29"/>
    <w:rsid w:val="00727533"/>
    <w:rsid w:val="007305EB"/>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77689"/>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86880"/>
    <w:rsid w:val="00992DCF"/>
    <w:rsid w:val="009931C3"/>
    <w:rsid w:val="00996CA5"/>
    <w:rsid w:val="009970FA"/>
    <w:rsid w:val="009A0993"/>
    <w:rsid w:val="009A4F00"/>
    <w:rsid w:val="009A6A22"/>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1711"/>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251D8"/>
    <w:rsid w:val="00C26F8C"/>
    <w:rsid w:val="00C277F8"/>
    <w:rsid w:val="00C30E69"/>
    <w:rsid w:val="00C33E72"/>
    <w:rsid w:val="00C354B2"/>
    <w:rsid w:val="00C35554"/>
    <w:rsid w:val="00C42709"/>
    <w:rsid w:val="00C43ABB"/>
    <w:rsid w:val="00C533CC"/>
    <w:rsid w:val="00C5751C"/>
    <w:rsid w:val="00C603DA"/>
    <w:rsid w:val="00C61BFC"/>
    <w:rsid w:val="00C62B85"/>
    <w:rsid w:val="00C65438"/>
    <w:rsid w:val="00C67F3F"/>
    <w:rsid w:val="00C7013E"/>
    <w:rsid w:val="00C818C4"/>
    <w:rsid w:val="00C860DE"/>
    <w:rsid w:val="00C91CBB"/>
    <w:rsid w:val="00C922B5"/>
    <w:rsid w:val="00CA7FFB"/>
    <w:rsid w:val="00CB1032"/>
    <w:rsid w:val="00CB4E70"/>
    <w:rsid w:val="00CC09B6"/>
    <w:rsid w:val="00CC3A69"/>
    <w:rsid w:val="00CC3DB4"/>
    <w:rsid w:val="00CC666F"/>
    <w:rsid w:val="00CD1E3F"/>
    <w:rsid w:val="00CE44F6"/>
    <w:rsid w:val="00CE49DA"/>
    <w:rsid w:val="00CE68D7"/>
    <w:rsid w:val="00CE7B61"/>
    <w:rsid w:val="00CF63C2"/>
    <w:rsid w:val="00D00095"/>
    <w:rsid w:val="00D01322"/>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04E3"/>
    <w:rsid w:val="00E01053"/>
    <w:rsid w:val="00E07ACF"/>
    <w:rsid w:val="00E11AD1"/>
    <w:rsid w:val="00E16FE8"/>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96E57"/>
    <w:rsid w:val="00EA010F"/>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0FEF"/>
    <w:rsid w:val="00F2408F"/>
    <w:rsid w:val="00F240E9"/>
    <w:rsid w:val="00F24291"/>
    <w:rsid w:val="00F25A72"/>
    <w:rsid w:val="00F2671F"/>
    <w:rsid w:val="00F329E1"/>
    <w:rsid w:val="00F36D8F"/>
    <w:rsid w:val="00F407C2"/>
    <w:rsid w:val="00F417B1"/>
    <w:rsid w:val="00F45853"/>
    <w:rsid w:val="00F520D4"/>
    <w:rsid w:val="00F520FE"/>
    <w:rsid w:val="00F602DF"/>
    <w:rsid w:val="00F619A6"/>
    <w:rsid w:val="00F754A1"/>
    <w:rsid w:val="00F81FD9"/>
    <w:rsid w:val="00F841AA"/>
    <w:rsid w:val="00F84A94"/>
    <w:rsid w:val="00F87E96"/>
    <w:rsid w:val="00FA23E8"/>
    <w:rsid w:val="00FD1395"/>
    <w:rsid w:val="00FD3CC1"/>
    <w:rsid w:val="00FD4FED"/>
    <w:rsid w:val="00FF1E02"/>
    <w:rsid w:val="00FF30B4"/>
    <w:rsid w:val="02AC2E4C"/>
    <w:rsid w:val="02E1246A"/>
    <w:rsid w:val="03525D5A"/>
    <w:rsid w:val="03A252BE"/>
    <w:rsid w:val="03B94246"/>
    <w:rsid w:val="06225B45"/>
    <w:rsid w:val="06A72A7B"/>
    <w:rsid w:val="07C21A56"/>
    <w:rsid w:val="07FA7D60"/>
    <w:rsid w:val="08173F7F"/>
    <w:rsid w:val="09434CDD"/>
    <w:rsid w:val="098B19C3"/>
    <w:rsid w:val="09B72FD5"/>
    <w:rsid w:val="09BE6112"/>
    <w:rsid w:val="0B545889"/>
    <w:rsid w:val="0C4603CA"/>
    <w:rsid w:val="0C52019F"/>
    <w:rsid w:val="0CDC36D0"/>
    <w:rsid w:val="0F07236C"/>
    <w:rsid w:val="0F612708"/>
    <w:rsid w:val="0FE23CAA"/>
    <w:rsid w:val="10C055FF"/>
    <w:rsid w:val="10F30C89"/>
    <w:rsid w:val="11685C8B"/>
    <w:rsid w:val="120B2110"/>
    <w:rsid w:val="12460DCF"/>
    <w:rsid w:val="159812F4"/>
    <w:rsid w:val="16BB723D"/>
    <w:rsid w:val="1724750F"/>
    <w:rsid w:val="17716EB9"/>
    <w:rsid w:val="179F6E32"/>
    <w:rsid w:val="181A2B1F"/>
    <w:rsid w:val="1A4C65B4"/>
    <w:rsid w:val="1A631D43"/>
    <w:rsid w:val="1A7C004F"/>
    <w:rsid w:val="1AAE7F59"/>
    <w:rsid w:val="1BB27180"/>
    <w:rsid w:val="20121F25"/>
    <w:rsid w:val="20502F9F"/>
    <w:rsid w:val="20B41BC5"/>
    <w:rsid w:val="216C51F8"/>
    <w:rsid w:val="220A7FB3"/>
    <w:rsid w:val="22565515"/>
    <w:rsid w:val="230706D2"/>
    <w:rsid w:val="23963804"/>
    <w:rsid w:val="240371BF"/>
    <w:rsid w:val="24FF3D57"/>
    <w:rsid w:val="26643620"/>
    <w:rsid w:val="27266A89"/>
    <w:rsid w:val="281B00E1"/>
    <w:rsid w:val="28505F41"/>
    <w:rsid w:val="28A10002"/>
    <w:rsid w:val="291931BB"/>
    <w:rsid w:val="294046FD"/>
    <w:rsid w:val="29A307A6"/>
    <w:rsid w:val="29FD04D3"/>
    <w:rsid w:val="2A0B40E6"/>
    <w:rsid w:val="2B7B7EAF"/>
    <w:rsid w:val="2BF61FAE"/>
    <w:rsid w:val="2C7D570A"/>
    <w:rsid w:val="2E424EC4"/>
    <w:rsid w:val="2E963C56"/>
    <w:rsid w:val="2F4D6084"/>
    <w:rsid w:val="319F7F4E"/>
    <w:rsid w:val="31D574D0"/>
    <w:rsid w:val="31F14A27"/>
    <w:rsid w:val="3271411A"/>
    <w:rsid w:val="33A9228F"/>
    <w:rsid w:val="34983A37"/>
    <w:rsid w:val="34EF78EF"/>
    <w:rsid w:val="3538617E"/>
    <w:rsid w:val="362401FB"/>
    <w:rsid w:val="37FE1209"/>
    <w:rsid w:val="3A655044"/>
    <w:rsid w:val="3A691675"/>
    <w:rsid w:val="3BFD046C"/>
    <w:rsid w:val="3CCA5407"/>
    <w:rsid w:val="3D705DCA"/>
    <w:rsid w:val="3EE02B71"/>
    <w:rsid w:val="40EB31AF"/>
    <w:rsid w:val="42236F20"/>
    <w:rsid w:val="444F32A0"/>
    <w:rsid w:val="44897961"/>
    <w:rsid w:val="44973831"/>
    <w:rsid w:val="44FA7C3F"/>
    <w:rsid w:val="45B002FD"/>
    <w:rsid w:val="4630706B"/>
    <w:rsid w:val="471F06CF"/>
    <w:rsid w:val="47DC362C"/>
    <w:rsid w:val="4C07336D"/>
    <w:rsid w:val="4C357A8B"/>
    <w:rsid w:val="4D695962"/>
    <w:rsid w:val="4D8F3B02"/>
    <w:rsid w:val="4DC66D20"/>
    <w:rsid w:val="4E8A3DE2"/>
    <w:rsid w:val="4ECE2238"/>
    <w:rsid w:val="4F0654EA"/>
    <w:rsid w:val="4F2B249B"/>
    <w:rsid w:val="4F8C1E10"/>
    <w:rsid w:val="50F10148"/>
    <w:rsid w:val="511107EA"/>
    <w:rsid w:val="522E28C0"/>
    <w:rsid w:val="5323717F"/>
    <w:rsid w:val="545E357D"/>
    <w:rsid w:val="561548D9"/>
    <w:rsid w:val="564D1B7E"/>
    <w:rsid w:val="576A2A02"/>
    <w:rsid w:val="57AB3239"/>
    <w:rsid w:val="592F323D"/>
    <w:rsid w:val="5A0709C0"/>
    <w:rsid w:val="5AA05F2C"/>
    <w:rsid w:val="5BB07FF9"/>
    <w:rsid w:val="5CD050A1"/>
    <w:rsid w:val="60051A6D"/>
    <w:rsid w:val="608D6928"/>
    <w:rsid w:val="617955FF"/>
    <w:rsid w:val="61E423D7"/>
    <w:rsid w:val="62470222"/>
    <w:rsid w:val="62894684"/>
    <w:rsid w:val="636D3CC2"/>
    <w:rsid w:val="637D586B"/>
    <w:rsid w:val="655D4CDA"/>
    <w:rsid w:val="66202BE1"/>
    <w:rsid w:val="673A5239"/>
    <w:rsid w:val="677C5CC9"/>
    <w:rsid w:val="67AB6CE7"/>
    <w:rsid w:val="695D5F23"/>
    <w:rsid w:val="69B0699A"/>
    <w:rsid w:val="6A2D5F76"/>
    <w:rsid w:val="6A3A2708"/>
    <w:rsid w:val="6A674B7F"/>
    <w:rsid w:val="6CCE6662"/>
    <w:rsid w:val="6FF14BA2"/>
    <w:rsid w:val="70EC1DB4"/>
    <w:rsid w:val="712437CA"/>
    <w:rsid w:val="71F87B8C"/>
    <w:rsid w:val="72734D90"/>
    <w:rsid w:val="72AB0D32"/>
    <w:rsid w:val="74082F2F"/>
    <w:rsid w:val="74251D33"/>
    <w:rsid w:val="759E3B4B"/>
    <w:rsid w:val="76830C04"/>
    <w:rsid w:val="77F71C38"/>
    <w:rsid w:val="78865D58"/>
    <w:rsid w:val="7AC5601E"/>
    <w:rsid w:val="7FDD1B7B"/>
    <w:rsid w:val="BFFE2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iCs/>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4">
    <w:name w:val="No Spacing"/>
    <w:link w:val="35"/>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5">
    <w:name w:val="无间隔 Char"/>
    <w:basedOn w:val="16"/>
    <w:link w:val="34"/>
    <w:qFormat/>
    <w:locked/>
    <w:uiPriority w:val="99"/>
    <w:rPr>
      <w:kern w:val="2"/>
      <w:sz w:val="21"/>
      <w:szCs w:val="22"/>
    </w:rPr>
  </w:style>
  <w:style w:type="character" w:customStyle="1" w:styleId="36">
    <w:name w:val="apple-converted-space"/>
    <w:basedOn w:val="16"/>
    <w:qFormat/>
    <w:uiPriority w:val="99"/>
    <w:rPr>
      <w:rFonts w:cs="Times New Roman"/>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标题 1 Char1"/>
    <w:basedOn w:val="16"/>
    <w:qFormat/>
    <w:uiPriority w:val="9"/>
    <w:rPr>
      <w:rFonts w:ascii="Times New Roman" w:hAnsi="Times New Roman"/>
      <w:b/>
      <w:bCs/>
      <w:kern w:val="44"/>
      <w:sz w:val="44"/>
      <w:szCs w:val="44"/>
    </w:rPr>
  </w:style>
  <w:style w:type="paragraph" w:customStyle="1" w:styleId="39">
    <w:name w:val="列表段落1"/>
    <w:basedOn w:val="1"/>
    <w:qFormat/>
    <w:uiPriority w:val="34"/>
    <w:pPr>
      <w:ind w:firstLine="420" w:firstLineChars="200"/>
    </w:p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7"/>
        </c:manualLayout>
      </c:layout>
      <c:overlay val="0"/>
    </c:title>
    <c:autoTitleDeleted val="0"/>
    <c:plotArea>
      <c:layout>
        <c:manualLayout>
          <c:layoutTarget val="inner"/>
          <c:xMode val="edge"/>
          <c:yMode val="edge"/>
          <c:x val="0.0769356344423438"/>
          <c:y val="0.212981143314532"/>
          <c:w val="0.763500149073545"/>
          <c:h val="0.680324640271032"/>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629.81</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613.19</c:v>
                </c:pt>
              </c:numCache>
            </c:numRef>
          </c:val>
        </c:ser>
        <c:dLbls>
          <c:showLegendKey val="0"/>
          <c:showVal val="1"/>
          <c:showCatName val="0"/>
          <c:showSerName val="0"/>
          <c:showPercent val="0"/>
          <c:showBubbleSize val="0"/>
        </c:dLbls>
        <c:gapWidth val="150"/>
        <c:axId val="243807744"/>
        <c:axId val="277832064"/>
      </c:barChart>
      <c:catAx>
        <c:axId val="24380774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832064"/>
        <c:crosses val="autoZero"/>
        <c:auto val="1"/>
        <c:lblAlgn val="ctr"/>
        <c:lblOffset val="100"/>
        <c:noMultiLvlLbl val="0"/>
      </c:catAx>
      <c:valAx>
        <c:axId val="277832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807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2024</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2"/>
          <c:y val="0.217391304347828"/>
          <c:w val="0.296150696150698"/>
          <c:h val="0.655072463768122"/>
        </c:manualLayout>
      </c:layout>
      <c:pieChart>
        <c:varyColors val="1"/>
        <c:ser>
          <c:idx val="0"/>
          <c:order val="0"/>
          <c:tx>
            <c:strRef>
              <c:f>Sheet1!$B$1</c:f>
              <c:strCache>
                <c:ptCount val="1"/>
                <c:pt idx="0">
                  <c:v>2022年部门决算收入结构图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0527981755089603"/>
                  <c:y val="-0.3469561956929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sz="1600"/>
                      <a:t>100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pt idx="7">
                  <c:v>国有资本经营预算财政拨款收入</c:v>
                </c:pt>
              </c:strCache>
            </c:strRef>
          </c:cat>
          <c:val>
            <c:numRef>
              <c:f>Sheet1!$B$2:$B$9</c:f>
              <c:numCache>
                <c:formatCode>General</c:formatCode>
                <c:ptCount val="8"/>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5"/>
          <c:y val="0.192746260074382"/>
          <c:w val="0.342222222222222"/>
          <c:h val="0.73888873431458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2024</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681927055486078"/>
                  <c:y val="0.038174965145467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52.59</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5468729532653"/>
                  <c:y val="0.3633199421500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47.41</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47.41</c:v>
                </c:pt>
                <c:pt idx="1">
                  <c:v>52.59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9"/>
          <c:y val="0.0521624031445839"/>
        </c:manualLayout>
      </c:layout>
      <c:overlay val="0"/>
    </c:title>
    <c:autoTitleDeleted val="0"/>
    <c:plotArea>
      <c:layout>
        <c:manualLayout>
          <c:layoutTarget val="inner"/>
          <c:xMode val="edge"/>
          <c:yMode val="edge"/>
          <c:x val="0.0769356344423438"/>
          <c:y val="0.212981143314532"/>
          <c:w val="0.763500149073545"/>
          <c:h val="0.68032464027103"/>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629.81</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613.19</c:v>
                </c:pt>
              </c:numCache>
            </c:numRef>
          </c:val>
        </c:ser>
        <c:dLbls>
          <c:showLegendKey val="0"/>
          <c:showVal val="1"/>
          <c:showCatName val="0"/>
          <c:showSerName val="0"/>
          <c:showPercent val="0"/>
          <c:showBubbleSize val="0"/>
        </c:dLbls>
        <c:gapWidth val="150"/>
        <c:axId val="105224832"/>
        <c:axId val="105406848"/>
      </c:barChart>
      <c:catAx>
        <c:axId val="10522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24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47"/>
          <c:h val="0.683986901018178"/>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629.81</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613.19</c:v>
                </c:pt>
              </c:numCache>
            </c:numRef>
          </c:val>
        </c:ser>
        <c:dLbls>
          <c:showLegendKey val="0"/>
          <c:showVal val="1"/>
          <c:showCatName val="0"/>
          <c:showSerName val="0"/>
          <c:showPercent val="0"/>
          <c:showBubbleSize val="0"/>
        </c:dLbls>
        <c:gapWidth val="150"/>
        <c:axId val="105444864"/>
        <c:axId val="105446400"/>
      </c:barChart>
      <c:catAx>
        <c:axId val="105444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6400"/>
        <c:crosses val="autoZero"/>
        <c:auto val="1"/>
        <c:lblAlgn val="ctr"/>
        <c:lblOffset val="100"/>
        <c:noMultiLvlLbl val="0"/>
      </c:catAx>
      <c:valAx>
        <c:axId val="105446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4864"/>
        <c:crosses val="autoZero"/>
        <c:crossBetween val="between"/>
      </c:valAx>
    </c:plotArea>
    <c:legend>
      <c:legendPos val="r"/>
      <c:layout>
        <c:manualLayout>
          <c:xMode val="edge"/>
          <c:yMode val="edge"/>
          <c:x val="0.881289744596317"/>
          <c:y val="0.460636092476829"/>
          <c:w val="0.118710255403684"/>
          <c:h val="0.2099612584711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24</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30787448194199"/>
          <c:y val="0.00816104461371056"/>
        </c:manualLayout>
      </c:layout>
      <c:overlay val="0"/>
    </c:title>
    <c:autoTitleDeleted val="0"/>
    <c:plotArea>
      <c:layout/>
      <c:pieChart>
        <c:varyColors val="1"/>
        <c:ser>
          <c:idx val="0"/>
          <c:order val="0"/>
          <c:tx>
            <c:strRef>
              <c:f>Sheet1!$B$1</c:f>
              <c:strCache>
                <c:ptCount val="1"/>
                <c:pt idx="0">
                  <c:v>2024年部门决算支出结构图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0650102707000315"/>
                  <c:y val="-0.18690524941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94.09</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3455346789368"/>
                  <c:y val="0.048966267682263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2.72%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29425695677916"/>
                      <c:h val="0.0930359085963003"/>
                    </c:manualLayout>
                  </c15:layout>
                </c:ext>
              </c:extLst>
            </c:dLbl>
            <c:dLbl>
              <c:idx val="2"/>
              <c:delete val="1"/>
            </c:dLbl>
            <c:dLbl>
              <c:idx val="3"/>
              <c:layout>
                <c:manualLayout>
                  <c:x val="-0.0163660261550692"/>
                  <c:y val="-0.001883047480602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3.19</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其他支出</c:v>
                </c:pt>
              </c:strCache>
            </c:strRef>
          </c:cat>
          <c:val>
            <c:numRef>
              <c:f>Sheet1!$B$2:$B$7</c:f>
              <c:numCache>
                <c:formatCode>General</c:formatCode>
                <c:ptCount val="6"/>
                <c:pt idx="0">
                  <c:v>94.09</c:v>
                </c:pt>
                <c:pt idx="1">
                  <c:v>2.72</c:v>
                </c:pt>
                <c:pt idx="2">
                  <c:v>3.19</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93.66</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250323875230759"/>
                  <c:y val="0.19944090236080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6.34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1">
                  <c:v>93.66</c:v>
                </c:pt>
                <c:pt idx="2">
                  <c:v>6.34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2738</Words>
  <Characters>2970</Characters>
  <Lines>159</Lines>
  <Paragraphs>44</Paragraphs>
  <TotalTime>2</TotalTime>
  <ScaleCrop>false</ScaleCrop>
  <LinksUpToDate>false</LinksUpToDate>
  <CharactersWithSpaces>3033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user</cp:lastModifiedBy>
  <cp:lastPrinted>2025-09-11T11:33:00Z</cp:lastPrinted>
  <dcterms:modified xsi:type="dcterms:W3CDTF">2025-09-15T14:33:49Z</dcterms:modified>
  <dc:title>四川省***</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3AE9CB1D6C9E66156A02E066174934E8</vt:lpwstr>
  </property>
  <property fmtid="{D5CDD505-2E9C-101B-9397-08002B2CF9AE}" pid="4" name="KSOTemplateDocerSaveRecord">
    <vt:lpwstr>eyJoZGlkIjoiMjJhYTZiYWMyMjExZGMzMjM0ZWE1MzM4ZDRjOGNhZmQiLCJ1c2VySWQiOiI4MjcwNzU3NTMifQ==</vt:lpwstr>
  </property>
</Properties>
</file>