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DC40D">
      <w:pPr>
        <w:spacing w:line="600" w:lineRule="exact"/>
        <w:jc w:val="center"/>
        <w:outlineLvl w:val="0"/>
        <w:rPr>
          <w:rFonts w:ascii="方正小标宋简体" w:hAnsi="宋体" w:eastAsia="方正小标宋简体"/>
          <w:color w:val="000000"/>
          <w:sz w:val="72"/>
          <w:szCs w:val="72"/>
        </w:rPr>
      </w:pPr>
      <w:bookmarkStart w:id="0" w:name="_Toc15306267"/>
    </w:p>
    <w:p w14:paraId="54E5FAB4">
      <w:pPr>
        <w:spacing w:line="600" w:lineRule="exact"/>
        <w:jc w:val="center"/>
        <w:outlineLvl w:val="0"/>
        <w:rPr>
          <w:rFonts w:ascii="方正小标宋简体" w:hAnsi="宋体" w:eastAsia="方正小标宋简体"/>
          <w:color w:val="000000"/>
          <w:sz w:val="72"/>
          <w:szCs w:val="72"/>
        </w:rPr>
      </w:pPr>
    </w:p>
    <w:p w14:paraId="1C36371E">
      <w:pPr>
        <w:spacing w:line="600" w:lineRule="exact"/>
        <w:jc w:val="center"/>
        <w:outlineLvl w:val="0"/>
        <w:rPr>
          <w:rFonts w:ascii="方正小标宋简体" w:hAnsi="宋体" w:eastAsia="方正小标宋简体"/>
          <w:color w:val="000000"/>
          <w:sz w:val="72"/>
          <w:szCs w:val="72"/>
        </w:rPr>
      </w:pPr>
    </w:p>
    <w:p w14:paraId="1D3BC658">
      <w:pPr>
        <w:spacing w:line="600" w:lineRule="exact"/>
        <w:jc w:val="center"/>
        <w:outlineLvl w:val="0"/>
        <w:rPr>
          <w:rFonts w:ascii="方正小标宋简体" w:hAnsi="宋体" w:eastAsia="方正小标宋简体"/>
          <w:color w:val="000000"/>
          <w:sz w:val="72"/>
          <w:szCs w:val="72"/>
        </w:rPr>
      </w:pPr>
    </w:p>
    <w:bookmarkEnd w:id="0"/>
    <w:p w14:paraId="7F604D59">
      <w:pPr>
        <w:adjustRightInd w:val="0"/>
        <w:snapToGrid w:val="0"/>
        <w:spacing w:line="576" w:lineRule="exact"/>
        <w:jc w:val="center"/>
        <w:outlineLvl w:val="0"/>
        <w:rPr>
          <w:rFonts w:ascii="方正小标宋简体" w:hAnsi="方正小标宋简体" w:eastAsia="方正小标宋简体" w:cs="方正小标宋简体"/>
          <w:color w:val="000000"/>
          <w:sz w:val="44"/>
          <w:szCs w:val="44"/>
        </w:rPr>
      </w:pPr>
      <w:bookmarkStart w:id="1" w:name="_Toc15377425"/>
      <w:bookmarkStart w:id="2" w:name="_Toc15377193"/>
      <w:bookmarkStart w:id="3" w:name="_Toc15396597"/>
      <w:bookmarkStart w:id="4" w:name="_Toc15396475"/>
      <w:bookmarkStart w:id="5" w:name="_Toc15378441"/>
      <w:r>
        <w:rPr>
          <w:rFonts w:ascii="方正小标宋简体" w:hAnsi="方正小标宋简体" w:eastAsia="方正小标宋简体" w:cs="方正小标宋简体"/>
          <w:color w:val="000000"/>
          <w:sz w:val="44"/>
          <w:szCs w:val="44"/>
        </w:rPr>
        <w:t>202</w:t>
      </w:r>
      <w:r>
        <w:rPr>
          <w:rFonts w:hint="eastAsia" w:ascii="方正小标宋简体" w:hAnsi="方正小标宋简体" w:eastAsia="方正小标宋简体" w:cs="方正小标宋简体"/>
          <w:color w:val="000000"/>
          <w:sz w:val="44"/>
          <w:szCs w:val="44"/>
          <w:lang w:val="en-US" w:eastAsia="zh-CN"/>
        </w:rPr>
        <w:t>5</w:t>
      </w:r>
      <w:r>
        <w:rPr>
          <w:rFonts w:hint="eastAsia" w:ascii="方正小标宋简体" w:hAnsi="方正小标宋简体" w:eastAsia="方正小标宋简体" w:cs="方正小标宋简体"/>
          <w:color w:val="000000"/>
          <w:sz w:val="44"/>
          <w:szCs w:val="44"/>
        </w:rPr>
        <w:t>年度</w:t>
      </w:r>
      <w:bookmarkEnd w:id="1"/>
      <w:bookmarkEnd w:id="2"/>
      <w:bookmarkEnd w:id="3"/>
      <w:bookmarkEnd w:id="4"/>
      <w:bookmarkEnd w:id="5"/>
    </w:p>
    <w:p w14:paraId="1D00BC7B">
      <w:pPr>
        <w:adjustRightInd w:val="0"/>
        <w:snapToGrid w:val="0"/>
        <w:spacing w:line="576" w:lineRule="exact"/>
        <w:jc w:val="center"/>
        <w:outlineLvl w:val="0"/>
        <w:rPr>
          <w:rFonts w:hint="eastAsia" w:ascii="方正小标宋简体" w:hAnsi="方正小标宋简体" w:eastAsia="方正小标宋简体" w:cs="方正小标宋简体"/>
          <w:color w:val="000000"/>
          <w:sz w:val="44"/>
          <w:szCs w:val="44"/>
          <w:lang w:val="en-US" w:eastAsia="zh-CN"/>
        </w:rPr>
      </w:pPr>
      <w:bookmarkStart w:id="6" w:name="_Toc15377426"/>
      <w:bookmarkStart w:id="7" w:name="_Toc15378442"/>
      <w:bookmarkStart w:id="8" w:name="_Toc15377194"/>
      <w:bookmarkStart w:id="9" w:name="_Toc15396598"/>
      <w:bookmarkStart w:id="10" w:name="_Toc15396476"/>
      <w:r>
        <w:rPr>
          <w:rFonts w:hint="eastAsia" w:ascii="方正小标宋简体" w:hAnsi="方正小标宋简体" w:eastAsia="方正小标宋简体" w:cs="方正小标宋简体"/>
          <w:color w:val="000000"/>
          <w:sz w:val="44"/>
          <w:szCs w:val="44"/>
        </w:rPr>
        <w:t>四川省</w:t>
      </w:r>
      <w:r>
        <w:rPr>
          <w:rFonts w:hint="eastAsia" w:ascii="方正小标宋简体" w:hAnsi="方正小标宋简体" w:eastAsia="方正小标宋简体" w:cs="方正小标宋简体"/>
          <w:color w:val="000000"/>
          <w:sz w:val="44"/>
          <w:szCs w:val="44"/>
          <w:lang w:val="en-US" w:eastAsia="zh-CN"/>
        </w:rPr>
        <w:t>阿坝州</w:t>
      </w:r>
      <w:r>
        <w:rPr>
          <w:rFonts w:hint="eastAsia" w:ascii="方正小标宋简体" w:hAnsi="方正小标宋简体" w:eastAsia="方正小标宋简体" w:cs="方正小标宋简体"/>
          <w:color w:val="000000"/>
          <w:sz w:val="44"/>
          <w:szCs w:val="44"/>
        </w:rPr>
        <w:t>茂县人力资源和社会保障局</w:t>
      </w:r>
      <w:r>
        <w:rPr>
          <w:rFonts w:hint="eastAsia" w:ascii="方正小标宋简体" w:hAnsi="方正小标宋简体" w:eastAsia="方正小标宋简体" w:cs="方正小标宋简体"/>
          <w:color w:val="000000"/>
          <w:sz w:val="44"/>
          <w:szCs w:val="44"/>
          <w:lang w:val="en-US" w:eastAsia="zh-CN"/>
        </w:rPr>
        <w:t>部门决算</w:t>
      </w:r>
      <w:bookmarkEnd w:id="6"/>
      <w:bookmarkEnd w:id="7"/>
      <w:bookmarkEnd w:id="8"/>
      <w:bookmarkEnd w:id="9"/>
      <w:bookmarkEnd w:id="10"/>
      <w:r>
        <w:rPr>
          <w:rFonts w:hint="eastAsia" w:ascii="方正小标宋简体" w:hAnsi="方正小标宋简体" w:eastAsia="方正小标宋简体" w:cs="方正小标宋简体"/>
          <w:color w:val="000000"/>
          <w:sz w:val="44"/>
          <w:szCs w:val="44"/>
          <w:lang w:val="en-US" w:eastAsia="zh-CN"/>
        </w:rPr>
        <w:t>公开</w:t>
      </w:r>
    </w:p>
    <w:p w14:paraId="069FD5E0">
      <w:pPr>
        <w:widowControl/>
        <w:jc w:val="center"/>
        <w:rPr>
          <w:rFonts w:ascii="方正小标宋简体" w:hAnsi="宋体" w:eastAsia="方正小标宋简体"/>
          <w:color w:val="000000"/>
          <w:sz w:val="36"/>
          <w:szCs w:val="36"/>
        </w:rPr>
      </w:pPr>
    </w:p>
    <w:p w14:paraId="0B72D63C">
      <w:pPr>
        <w:rPr>
          <w:rFonts w:ascii="方正小标宋简体" w:hAnsi="宋体" w:eastAsia="方正小标宋简体"/>
          <w:sz w:val="36"/>
          <w:szCs w:val="36"/>
        </w:rPr>
      </w:pPr>
    </w:p>
    <w:p w14:paraId="31067958">
      <w:pPr>
        <w:rPr>
          <w:rFonts w:ascii="方正小标宋简体" w:hAnsi="宋体" w:eastAsia="方正小标宋简体"/>
          <w:sz w:val="36"/>
          <w:szCs w:val="36"/>
        </w:rPr>
      </w:pPr>
    </w:p>
    <w:p w14:paraId="0612A15A">
      <w:pPr>
        <w:rPr>
          <w:rFonts w:ascii="方正小标宋简体" w:hAnsi="宋体" w:eastAsia="方正小标宋简体"/>
          <w:sz w:val="36"/>
          <w:szCs w:val="36"/>
        </w:rPr>
      </w:pPr>
    </w:p>
    <w:p w14:paraId="4C9A4FFE">
      <w:pPr>
        <w:rPr>
          <w:rFonts w:ascii="方正小标宋简体" w:hAnsi="宋体" w:eastAsia="方正小标宋简体"/>
          <w:sz w:val="36"/>
          <w:szCs w:val="36"/>
        </w:rPr>
      </w:pPr>
    </w:p>
    <w:p w14:paraId="7D9B546F">
      <w:pPr>
        <w:rPr>
          <w:rFonts w:ascii="方正小标宋简体" w:hAnsi="宋体" w:eastAsia="方正小标宋简体"/>
          <w:sz w:val="36"/>
          <w:szCs w:val="36"/>
        </w:rPr>
      </w:pPr>
    </w:p>
    <w:p w14:paraId="31B1D47D">
      <w:pPr>
        <w:rPr>
          <w:rFonts w:ascii="方正小标宋简体" w:hAnsi="宋体" w:eastAsia="方正小标宋简体"/>
          <w:sz w:val="36"/>
          <w:szCs w:val="36"/>
        </w:rPr>
      </w:pPr>
    </w:p>
    <w:p w14:paraId="22FA984E">
      <w:pPr>
        <w:rPr>
          <w:rFonts w:ascii="方正小标宋简体" w:hAnsi="宋体" w:eastAsia="方正小标宋简体"/>
          <w:sz w:val="36"/>
          <w:szCs w:val="36"/>
        </w:rPr>
      </w:pPr>
    </w:p>
    <w:p w14:paraId="3B42430E">
      <w:pPr>
        <w:rPr>
          <w:rFonts w:ascii="方正小标宋简体" w:hAnsi="宋体" w:eastAsia="方正小标宋简体"/>
          <w:sz w:val="36"/>
          <w:szCs w:val="36"/>
        </w:rPr>
      </w:pPr>
    </w:p>
    <w:p w14:paraId="02BC5DA8">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已经保密审查、内容审定，同意对外公开</w:t>
      </w:r>
    </w:p>
    <w:p w14:paraId="1C795024">
      <w:pPr>
        <w:widowControl/>
        <w:jc w:val="center"/>
        <w:rPr>
          <w:rFonts w:hint="eastAsia" w:ascii="方正小标宋简体" w:hAnsi="宋体" w:eastAsia="方正小标宋简体"/>
          <w:color w:val="000000"/>
          <w:sz w:val="36"/>
          <w:szCs w:val="36"/>
          <w:lang w:eastAsia="zh-CN"/>
        </w:rPr>
      </w:pPr>
    </w:p>
    <w:p w14:paraId="2687D1B3">
      <w:pPr>
        <w:widowControl/>
        <w:jc w:val="center"/>
        <w:rPr>
          <w:rFonts w:hint="eastAsia" w:ascii="黑体" w:hAnsi="黑体" w:eastAsia="黑体"/>
          <w:color w:val="000000"/>
          <w:sz w:val="48"/>
          <w:szCs w:val="48"/>
        </w:rPr>
      </w:pPr>
      <w:bookmarkStart w:id="11" w:name="_Toc15396599"/>
      <w:bookmarkStart w:id="12" w:name="_Toc15377196"/>
    </w:p>
    <w:p w14:paraId="3432C7EA">
      <w:pPr>
        <w:widowControl/>
        <w:jc w:val="center"/>
        <w:rPr>
          <w:rFonts w:hint="eastAsia" w:ascii="黑体" w:hAnsi="黑体" w:eastAsia="黑体"/>
          <w:color w:val="000000"/>
          <w:sz w:val="48"/>
          <w:szCs w:val="48"/>
        </w:rPr>
      </w:pPr>
    </w:p>
    <w:p w14:paraId="5DEA0B74">
      <w:pPr>
        <w:widowControl/>
        <w:jc w:val="center"/>
        <w:rPr>
          <w:rFonts w:hint="eastAsia" w:ascii="黑体" w:hAnsi="黑体" w:eastAsia="黑体"/>
          <w:color w:val="000000"/>
          <w:sz w:val="48"/>
          <w:szCs w:val="48"/>
        </w:rPr>
      </w:pPr>
    </w:p>
    <w:p w14:paraId="4432EAD4">
      <w:pPr>
        <w:pStyle w:val="13"/>
        <w:rPr>
          <w:rFonts w:hint="eastAsia" w:ascii="黑体" w:hAnsi="黑体" w:eastAsia="黑体"/>
          <w:color w:val="000000"/>
          <w:sz w:val="48"/>
          <w:szCs w:val="48"/>
        </w:rPr>
      </w:pPr>
    </w:p>
    <w:p w14:paraId="3720EA7E">
      <w:pPr>
        <w:pStyle w:val="14"/>
        <w:rPr>
          <w:rFonts w:hint="eastAsia"/>
        </w:rPr>
      </w:pPr>
    </w:p>
    <w:p w14:paraId="4050330B">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14:paraId="318E7C09">
      <w:pPr>
        <w:pStyle w:val="12"/>
        <w:rPr>
          <w:rFonts w:ascii="仿宋_GB2312" w:hAnsi="仿宋_GB2312" w:eastAsia="仿宋_GB2312" w:cs="仿宋_GB2312"/>
          <w:sz w:val="32"/>
          <w:szCs w:val="32"/>
        </w:rPr>
      </w:pPr>
      <w:r>
        <w:rPr>
          <w:rFonts w:hint="eastAsia" w:ascii="仿宋_GB2312" w:hAnsi="仿宋_GB2312" w:eastAsia="仿宋_GB2312" w:cs="仿宋_GB2312"/>
          <w:sz w:val="32"/>
          <w:szCs w:val="32"/>
        </w:rPr>
        <w:t>公开时间：202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年9 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p w14:paraId="3611F28E"/>
    <w:p w14:paraId="0BF4E470">
      <w:pPr>
        <w:pStyle w:val="12"/>
        <w:adjustRightInd w:val="0"/>
        <w:snapToGrid w:val="0"/>
        <w:spacing w:before="0" w:line="576" w:lineRule="exact"/>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第一部分 </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p>
    <w:p w14:paraId="07C088E4">
      <w:pPr>
        <w:pStyle w:val="15"/>
        <w:adjustRightInd w:val="0"/>
        <w:snapToGrid w:val="0"/>
        <w:spacing w:line="576" w:lineRule="exact"/>
        <w:ind w:left="0" w:leftChars="0"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一、部门职责</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4</w:t>
      </w:r>
    </w:p>
    <w:p w14:paraId="53EB018F">
      <w:pPr>
        <w:pStyle w:val="43"/>
        <w:pageBreakBefore w:val="0"/>
        <w:tabs>
          <w:tab w:val="right" w:leader="dot" w:pos="8306"/>
        </w:tabs>
        <w:kinsoku/>
        <w:wordWrap/>
        <w:overflowPunct/>
        <w:topLinePunct w:val="0"/>
        <w:bidi w:val="0"/>
        <w:spacing w:line="576" w:lineRule="exact"/>
        <w:ind w:left="0" w:leftChars="0" w:firstLine="640" w:firstLineChars="200"/>
        <w:textAlignment w:val="auto"/>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_Toc10669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_Toc10669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二、机构设置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end"/>
      </w:r>
    </w:p>
    <w:p w14:paraId="7FBE4041">
      <w:pPr>
        <w:pStyle w:val="12"/>
        <w:adjustRightInd w:val="0"/>
        <w:snapToGrid w:val="0"/>
        <w:spacing w:before="0" w:line="576" w:lineRule="exact"/>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第二部</w:t>
      </w:r>
      <w:r>
        <w:rPr>
          <w:rFonts w:hint="eastAsia" w:ascii="仿宋_GB2312" w:hAnsi="仿宋_GB2312" w:eastAsia="仿宋_GB2312" w:cs="仿宋_GB2312"/>
          <w:sz w:val="32"/>
          <w:szCs w:val="32"/>
          <w:lang w:val="en-US" w:eastAsia="zh-CN"/>
        </w:rPr>
        <w:t>2025年度部门</w:t>
      </w:r>
      <w:r>
        <w:rPr>
          <w:rFonts w:hint="eastAsia" w:ascii="仿宋_GB2312" w:hAnsi="仿宋_GB2312" w:eastAsia="仿宋_GB2312" w:cs="仿宋_GB2312"/>
          <w:sz w:val="32"/>
          <w:szCs w:val="32"/>
        </w:rPr>
        <w:t>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434A7082">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7E0C497A">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2FB3FFC2">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5B09DCB8">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p>
    <w:p w14:paraId="7663412E">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p>
    <w:p w14:paraId="341B9152">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11</w:t>
      </w:r>
    </w:p>
    <w:p w14:paraId="29CFB7AD">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七、“三公”经费财政拨款支出决算情况说明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p>
    <w:p w14:paraId="7DF5B58F">
      <w:pPr>
        <w:pStyle w:val="15"/>
        <w:adjustRightInd w:val="0"/>
        <w:snapToGrid w:val="0"/>
        <w:spacing w:line="576" w:lineRule="exact"/>
        <w:ind w:left="0" w:leftChars="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p>
    <w:p w14:paraId="7616E22E">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九、国有资本经营预算支出决算情况说明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p>
    <w:p w14:paraId="3828A8CA">
      <w:pPr>
        <w:pStyle w:val="15"/>
        <w:spacing w:line="576"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p>
    <w:p w14:paraId="0734B76B">
      <w:pPr>
        <w:pStyle w:val="12"/>
        <w:spacing w:line="576" w:lineRule="exact"/>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14</w:t>
      </w:r>
    </w:p>
    <w:p w14:paraId="41E14AA2">
      <w:pPr>
        <w:pStyle w:val="12"/>
        <w:adjustRightInd w:val="0"/>
        <w:snapToGrid w:val="0"/>
        <w:spacing w:before="0" w:line="576" w:lineRule="exact"/>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17</w:t>
      </w:r>
    </w:p>
    <w:p w14:paraId="3449A83D">
      <w:pPr>
        <w:pStyle w:val="12"/>
        <w:adjustRightInd w:val="0"/>
        <w:snapToGrid w:val="0"/>
        <w:spacing w:before="0" w:line="576" w:lineRule="exact"/>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14803291">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51B167AE">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55B8E93D">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73E0F848">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6E08E6CE">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2498E95A">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251F4279">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6F393665">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八、一般公共预算财政拨款基本支出决算表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158506DD">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6240079C">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2D736164">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国有资本经营预算财政拨款收入支出</w:t>
      </w:r>
      <w:r>
        <w:rPr>
          <w:rFonts w:hint="eastAsia" w:ascii="仿宋_GB2312" w:hAnsi="仿宋_GB2312" w:eastAsia="仿宋_GB2312" w:cs="仿宋_GB2312"/>
          <w:sz w:val="32"/>
          <w:szCs w:val="32"/>
        </w:rPr>
        <w:t>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1E8DD183">
      <w:pPr>
        <w:pStyle w:val="15"/>
        <w:adjustRightInd w:val="0"/>
        <w:snapToGrid w:val="0"/>
        <w:spacing w:line="576" w:lineRule="exact"/>
        <w:ind w:left="0" w:leftChars="0" w:firstLine="640" w:firstLineChars="200"/>
        <w:jc w:val="left"/>
        <w:rPr>
          <w:rFonts w:hint="default" w:eastAsia="仿宋_GB2312"/>
          <w:lang w:val="en-US" w:eastAsia="zh-CN"/>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国有资本经营预算财政拨款支出决算</w:t>
      </w: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49928494">
      <w:pPr>
        <w:pStyle w:val="15"/>
        <w:adjustRightInd w:val="0"/>
        <w:snapToGrid w:val="0"/>
        <w:spacing w:line="576" w:lineRule="exact"/>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31</w:t>
      </w:r>
    </w:p>
    <w:p w14:paraId="213D5E56">
      <w:pPr>
        <w:pStyle w:val="15"/>
        <w:adjustRightInd w:val="0"/>
        <w:snapToGrid w:val="0"/>
        <w:spacing w:line="576" w:lineRule="exact"/>
        <w:jc w:val="left"/>
        <w:rPr>
          <w:rFonts w:ascii="仿宋_GB2312" w:hAnsi="仿宋_GB2312" w:eastAsia="仿宋_GB2312" w:cs="仿宋_GB2312"/>
          <w:sz w:val="32"/>
          <w:szCs w:val="32"/>
        </w:rPr>
      </w:pPr>
    </w:p>
    <w:p w14:paraId="7CAF73B1">
      <w:pPr>
        <w:pStyle w:val="15"/>
        <w:adjustRightInd w:val="0"/>
        <w:snapToGrid w:val="0"/>
        <w:spacing w:line="576" w:lineRule="exact"/>
        <w:jc w:val="left"/>
        <w:rPr>
          <w:rFonts w:ascii="仿宋_GB2312" w:hAnsi="仿宋_GB2312" w:eastAsia="仿宋_GB2312" w:cs="仿宋_GB2312"/>
          <w:color w:val="000000"/>
          <w:sz w:val="32"/>
          <w:szCs w:val="32"/>
        </w:rPr>
      </w:pPr>
    </w:p>
    <w:p w14:paraId="73876BA5"/>
    <w:p w14:paraId="05E9D9DD">
      <w:pPr>
        <w:spacing w:line="576" w:lineRule="exact"/>
      </w:pPr>
    </w:p>
    <w:p w14:paraId="739E8848">
      <w:pPr>
        <w:spacing w:line="576" w:lineRule="exact"/>
      </w:pPr>
    </w:p>
    <w:p w14:paraId="10E5D215">
      <w:pPr>
        <w:spacing w:line="576" w:lineRule="exact"/>
      </w:pPr>
    </w:p>
    <w:p w14:paraId="600351AC">
      <w:pPr>
        <w:spacing w:line="576" w:lineRule="exact"/>
      </w:pPr>
    </w:p>
    <w:p w14:paraId="2C17379B">
      <w:pPr>
        <w:spacing w:line="576" w:lineRule="exact"/>
      </w:pPr>
    </w:p>
    <w:p w14:paraId="138664EE">
      <w:pPr>
        <w:spacing w:line="576" w:lineRule="exact"/>
      </w:pPr>
    </w:p>
    <w:p w14:paraId="1D39AD85">
      <w:pPr>
        <w:spacing w:line="576" w:lineRule="exact"/>
      </w:pPr>
    </w:p>
    <w:p w14:paraId="582230CF">
      <w:pPr>
        <w:spacing w:line="576" w:lineRule="exact"/>
      </w:pPr>
    </w:p>
    <w:p w14:paraId="0CFFB1E1">
      <w:pPr>
        <w:spacing w:line="576" w:lineRule="exact"/>
      </w:pPr>
    </w:p>
    <w:p w14:paraId="76E27C7C">
      <w:pPr>
        <w:spacing w:line="576" w:lineRule="exact"/>
      </w:pPr>
    </w:p>
    <w:bookmarkEnd w:id="11"/>
    <w:bookmarkEnd w:id="12"/>
    <w:p w14:paraId="4BCC6A11">
      <w:pPr>
        <w:spacing w:line="576" w:lineRule="exact"/>
        <w:jc w:val="both"/>
        <w:rPr>
          <w:rStyle w:val="30"/>
          <w:rFonts w:hint="eastAsia" w:ascii="黑体" w:hAnsi="黑体" w:eastAsia="黑体" w:cs="黑体"/>
        </w:rPr>
      </w:pPr>
      <w:bookmarkStart w:id="13" w:name="_Toc15377198"/>
      <w:bookmarkStart w:id="14" w:name="_Toc15378445"/>
      <w:bookmarkStart w:id="15" w:name="_Toc15396602"/>
      <w:bookmarkStart w:id="16" w:name="_Toc15377204"/>
    </w:p>
    <w:p w14:paraId="26F45FA4">
      <w:pPr>
        <w:spacing w:line="576" w:lineRule="exact"/>
        <w:jc w:val="both"/>
        <w:rPr>
          <w:rStyle w:val="30"/>
          <w:rFonts w:hint="eastAsia" w:ascii="黑体" w:hAnsi="黑体" w:eastAsia="黑体" w:cs="黑体"/>
        </w:rPr>
      </w:pPr>
    </w:p>
    <w:p w14:paraId="4C57EFDA">
      <w:pPr>
        <w:spacing w:line="576" w:lineRule="exact"/>
        <w:ind w:left="672"/>
        <w:jc w:val="center"/>
        <w:rPr>
          <w:rStyle w:val="30"/>
          <w:rFonts w:ascii="黑体" w:hAnsi="黑体" w:eastAsia="黑体" w:cs="黑体"/>
        </w:rPr>
      </w:pPr>
      <w:r>
        <w:rPr>
          <w:rStyle w:val="30"/>
          <w:rFonts w:hint="eastAsia" w:ascii="黑体" w:hAnsi="黑体" w:eastAsia="黑体" w:cs="黑体"/>
        </w:rPr>
        <w:t xml:space="preserve">第一部分 </w:t>
      </w:r>
      <w:r>
        <w:rPr>
          <w:rStyle w:val="30"/>
          <w:rFonts w:hint="eastAsia" w:ascii="黑体" w:hAnsi="黑体" w:eastAsia="黑体" w:cs="黑体"/>
          <w:lang w:val="en-US" w:eastAsia="zh-CN"/>
        </w:rPr>
        <w:t>部门</w:t>
      </w:r>
      <w:r>
        <w:rPr>
          <w:rStyle w:val="30"/>
          <w:rFonts w:hint="eastAsia" w:ascii="黑体" w:hAnsi="黑体" w:eastAsia="黑体" w:cs="黑体"/>
        </w:rPr>
        <w:t>概况</w:t>
      </w:r>
    </w:p>
    <w:p w14:paraId="67CBD830">
      <w:pPr>
        <w:spacing w:line="576" w:lineRule="exact"/>
        <w:ind w:firstLine="640" w:firstLineChars="200"/>
        <w:rPr>
          <w:rFonts w:hint="eastAsia" w:ascii="黑体" w:hAnsi="黑体" w:eastAsia="黑体"/>
          <w:color w:val="000000"/>
          <w:sz w:val="32"/>
          <w:szCs w:val="32"/>
          <w:lang w:val="en-US" w:eastAsia="zh-CN"/>
        </w:rPr>
      </w:pPr>
      <w:r>
        <w:rPr>
          <w:rFonts w:hint="eastAsia" w:ascii="黑体" w:hAnsi="黑体" w:eastAsia="黑体"/>
          <w:color w:val="000000"/>
          <w:sz w:val="32"/>
          <w:szCs w:val="32"/>
        </w:rPr>
        <w:t>一、</w:t>
      </w:r>
      <w:r>
        <w:rPr>
          <w:rFonts w:hint="eastAsia" w:ascii="黑体" w:hAnsi="黑体" w:eastAsia="黑体"/>
          <w:color w:val="000000"/>
          <w:sz w:val="32"/>
          <w:szCs w:val="32"/>
          <w:lang w:val="en-US" w:eastAsia="zh-CN"/>
        </w:rPr>
        <w:t>部门职责</w:t>
      </w:r>
    </w:p>
    <w:bookmarkEnd w:id="13"/>
    <w:bookmarkEnd w:id="14"/>
    <w:p w14:paraId="036F8515">
      <w:pPr>
        <w:spacing w:line="556" w:lineRule="exact"/>
        <w:ind w:firstLine="640" w:firstLineChars="200"/>
        <w:rPr>
          <w:rFonts w:ascii="仿宋_GB2312" w:eastAsia="仿宋_GB2312"/>
          <w:sz w:val="32"/>
          <w:szCs w:val="32"/>
        </w:rPr>
      </w:pPr>
      <w:bookmarkStart w:id="17" w:name="_Toc79163604"/>
      <w:bookmarkStart w:id="18" w:name="_Toc79163854"/>
      <w:bookmarkStart w:id="19" w:name="_Toc15378446"/>
      <w:bookmarkStart w:id="20" w:name="_Toc15377199"/>
      <w:r>
        <w:rPr>
          <w:rFonts w:hint="eastAsia" w:ascii="仿宋_GB2312" w:eastAsia="仿宋_GB2312"/>
          <w:sz w:val="32"/>
          <w:szCs w:val="32"/>
        </w:rPr>
        <w:t>1.贯彻落实人力资源和社会保障法律、法规、规章和方针政策，拟订执行全县人力资源和社会保障事业发展规划，起草相关规范性文件草案，并组织实施和监督检查。</w:t>
      </w:r>
    </w:p>
    <w:p w14:paraId="2A573C04">
      <w:pPr>
        <w:spacing w:line="556" w:lineRule="exact"/>
        <w:ind w:firstLine="640" w:firstLineChars="200"/>
        <w:rPr>
          <w:rFonts w:ascii="仿宋_GB2312" w:eastAsia="仿宋_GB2312"/>
          <w:sz w:val="32"/>
          <w:szCs w:val="32"/>
        </w:rPr>
      </w:pPr>
      <w:r>
        <w:rPr>
          <w:rFonts w:hint="eastAsia" w:ascii="仿宋_GB2312" w:eastAsia="仿宋_GB2312"/>
          <w:sz w:val="32"/>
          <w:szCs w:val="32"/>
        </w:rPr>
        <w:t>2.贯彻落实人力资源市场发展规划、人力资源流动政策，建立全县统一规范的人力资源市场，促进人力资源合理流动、有效配置。</w:t>
      </w:r>
    </w:p>
    <w:p w14:paraId="26ED4CE9">
      <w:pPr>
        <w:spacing w:line="556" w:lineRule="exact"/>
        <w:ind w:firstLine="640" w:firstLineChars="200"/>
        <w:rPr>
          <w:rFonts w:ascii="仿宋_GB2312" w:eastAsia="仿宋_GB2312"/>
          <w:sz w:val="32"/>
          <w:szCs w:val="32"/>
        </w:rPr>
      </w:pPr>
      <w:r>
        <w:rPr>
          <w:rFonts w:hint="eastAsia" w:ascii="仿宋_GB2312" w:eastAsia="仿宋_GB2312"/>
          <w:sz w:val="32"/>
          <w:szCs w:val="32"/>
        </w:rPr>
        <w:t>3.负责促进就业工作。统筹全县就业发展规划、政策和措施，完善公共就业创业服务体系，组织落实创业、就业援助制度，完善职业资格制度，拟订落实职业介绍机构的管理办法并组织实施，统筹建立面向城乡劳动者的职业培训制度，牵头贯彻落实高校毕业生就业创业政策。</w:t>
      </w:r>
    </w:p>
    <w:p w14:paraId="4311C8F0">
      <w:pPr>
        <w:spacing w:line="556" w:lineRule="exact"/>
        <w:rPr>
          <w:rFonts w:ascii="仿宋_GB2312" w:eastAsia="仿宋_GB2312"/>
          <w:sz w:val="32"/>
          <w:szCs w:val="32"/>
        </w:rPr>
      </w:pPr>
      <w:r>
        <w:rPr>
          <w:rFonts w:hint="eastAsia" w:ascii="仿宋_GB2312" w:eastAsia="仿宋_GB2312"/>
          <w:sz w:val="32"/>
          <w:szCs w:val="32"/>
        </w:rPr>
        <w:t>　　4.统筹推进建立覆盖城乡的社会保障体系。贯彻落实养老保险全国统筹办法和全国统一的养老、失业、工伤保险关系转续办法；统筹执行全县相关社会保险及补充保险基金支付、管理、运营和监督办法；编制全县养老、失业、工伤等相关社会保险基金预决算草案。会同有关部门实施全民参保计划。贯彻落实人力资源和社会保障信息化建设总体规划、年度计划，组织实施相关制度、标准和规范。指导、督促企业参加工伤保险。</w:t>
      </w:r>
    </w:p>
    <w:p w14:paraId="700F44D1">
      <w:pPr>
        <w:spacing w:line="556" w:lineRule="exact"/>
        <w:rPr>
          <w:rFonts w:ascii="仿宋_GB2312" w:eastAsia="仿宋_GB2312"/>
          <w:sz w:val="32"/>
          <w:szCs w:val="32"/>
        </w:rPr>
      </w:pPr>
      <w:r>
        <w:rPr>
          <w:rFonts w:hint="eastAsia" w:ascii="仿宋_GB2312" w:eastAsia="仿宋_GB2312"/>
          <w:sz w:val="32"/>
          <w:szCs w:val="32"/>
        </w:rPr>
        <w:t>　　5.负责就业、失业和相关社会保险基金预测预警和信息引导，实施预防、调节和控制，保持就业形势稳定和相关社会保险基金总体收支平衡。</w:t>
      </w:r>
    </w:p>
    <w:p w14:paraId="359E4CBA">
      <w:pPr>
        <w:spacing w:line="556" w:lineRule="exact"/>
        <w:rPr>
          <w:rFonts w:ascii="仿宋_GB2312" w:eastAsia="仿宋_GB2312"/>
          <w:sz w:val="32"/>
          <w:szCs w:val="32"/>
        </w:rPr>
      </w:pPr>
      <w:r>
        <w:rPr>
          <w:rFonts w:hint="eastAsia" w:ascii="仿宋_GB2312" w:eastAsia="仿宋_GB2312"/>
          <w:sz w:val="32"/>
          <w:szCs w:val="32"/>
        </w:rPr>
        <w:t>　　6.统筹贯彻劳动人事争议调解仲裁制度和劳动关系政策并组织和监督实施，完善劳动关系协调机制，贯彻职工工作时间、休息休假和假期制度，落实消除非法使用童工政策和女工、未成年工的特殊劳动保护政策，依法督促用人单位在劳动用工、合同签订与履约时，载明劳动保护、劳动条件和职业危害防护等条款。组织实施劳动保障监察，协调劳动者维权工作，依法查处重大案件。</w:t>
      </w:r>
    </w:p>
    <w:p w14:paraId="0CBCE561">
      <w:pPr>
        <w:spacing w:line="556" w:lineRule="exact"/>
        <w:ind w:firstLine="640" w:firstLineChars="200"/>
        <w:rPr>
          <w:rFonts w:ascii="仿宋_GB2312" w:eastAsia="仿宋_GB2312"/>
          <w:sz w:val="32"/>
          <w:szCs w:val="32"/>
        </w:rPr>
      </w:pPr>
      <w:r>
        <w:rPr>
          <w:rFonts w:hint="eastAsia" w:ascii="仿宋_GB2312" w:eastAsia="仿宋_GB2312"/>
          <w:sz w:val="32"/>
          <w:szCs w:val="32"/>
        </w:rPr>
        <w:t>7.牵头推进深化职称制度改革，执行专业技术人员管理、继续教育和博士后管理等政策，负责专业技术人才选拔和培养工作。组织实施技能人才培养、评价、使用和激励制度。贯彻落实职业资格制度以及职业技能多元化评价政策。指导、监督各类技工学校、民办职业培训机构按国家和省、州有关规定履行安全管理责任。</w:t>
      </w:r>
    </w:p>
    <w:p w14:paraId="79480EEB">
      <w:pPr>
        <w:spacing w:line="556" w:lineRule="exact"/>
        <w:ind w:firstLine="640" w:firstLineChars="200"/>
        <w:rPr>
          <w:rFonts w:ascii="仿宋_GB2312" w:eastAsia="仿宋_GB2312"/>
          <w:sz w:val="32"/>
          <w:szCs w:val="32"/>
        </w:rPr>
      </w:pPr>
      <w:r>
        <w:rPr>
          <w:rFonts w:hint="eastAsia" w:ascii="仿宋_GB2312" w:eastAsia="仿宋_GB2312"/>
          <w:sz w:val="32"/>
          <w:szCs w:val="32"/>
        </w:rPr>
        <w:t>8.会同有关部门负责事业单位人事制度改革，按照管理权限负责规范事业单位岗位设置、公开招聘、聘用合同等人事综合管理工作，落实规范事业单位工作人员和机关工勤人员管理政策，将安全生产及环境保护责任履行情况作为事业单位工作人员奖惩、考核的重要内容。</w:t>
      </w:r>
    </w:p>
    <w:p w14:paraId="1ED91814">
      <w:pPr>
        <w:spacing w:line="556" w:lineRule="exact"/>
        <w:ind w:firstLine="640"/>
        <w:rPr>
          <w:rFonts w:ascii="仿宋_GB2312" w:eastAsia="仿宋_GB2312"/>
          <w:sz w:val="32"/>
          <w:szCs w:val="32"/>
        </w:rPr>
      </w:pPr>
      <w:r>
        <w:rPr>
          <w:rFonts w:hint="eastAsia" w:ascii="仿宋_GB2312" w:eastAsia="仿宋_GB2312"/>
          <w:sz w:val="32"/>
          <w:szCs w:val="32"/>
        </w:rPr>
        <w:t>9.组织实施国家表彰奖励制度，综合管理政府表彰奖励工作，承担评比达标表彰等工作，根据授权承办以县委、县政府名义开展的县级表彰奖励活动。承办提请县人大常委会和县政府决定的人事任免事项。</w:t>
      </w:r>
    </w:p>
    <w:p w14:paraId="5D73145B">
      <w:pPr>
        <w:spacing w:line="556" w:lineRule="exact"/>
        <w:ind w:firstLine="640"/>
        <w:rPr>
          <w:rFonts w:ascii="仿宋_GB2312" w:eastAsia="仿宋_GB2312"/>
          <w:sz w:val="32"/>
          <w:szCs w:val="32"/>
        </w:rPr>
      </w:pPr>
      <w:r>
        <w:rPr>
          <w:rFonts w:hint="eastAsia" w:ascii="仿宋_GB2312" w:eastAsia="仿宋_GB2312"/>
          <w:sz w:val="32"/>
          <w:szCs w:val="32"/>
        </w:rPr>
        <w:t>10.会同有关部门执行事业单位人员工资收入分配政策，建立企事业单位人员工资决定、正常增长和支付保障机制。贯彻执行企事业单位人员福利和退休政策。</w:t>
      </w:r>
    </w:p>
    <w:p w14:paraId="5B7B0190">
      <w:pPr>
        <w:spacing w:line="556" w:lineRule="exact"/>
        <w:ind w:firstLine="640" w:firstLineChars="200"/>
        <w:rPr>
          <w:rFonts w:ascii="仿宋_GB2312" w:eastAsia="仿宋_GB2312"/>
          <w:sz w:val="32"/>
          <w:szCs w:val="32"/>
        </w:rPr>
      </w:pPr>
      <w:r>
        <w:rPr>
          <w:rFonts w:hint="eastAsia" w:ascii="仿宋_GB2312" w:eastAsia="仿宋_GB2312"/>
          <w:sz w:val="32"/>
          <w:szCs w:val="32"/>
        </w:rPr>
        <w:t>11.会同有关部门拟订落实农民工工作综合性规划，推动相关政策的落实，协调解决重点难点问题，维护农民工合法权益。负责将安全生产纳入农民工技能培训内容。</w:t>
      </w:r>
    </w:p>
    <w:p w14:paraId="20A931A4">
      <w:pPr>
        <w:spacing w:line="556" w:lineRule="exact"/>
        <w:ind w:firstLine="640" w:firstLineChars="200"/>
        <w:rPr>
          <w:rFonts w:ascii="仿宋_GB2312" w:eastAsia="仿宋_GB2312"/>
          <w:sz w:val="32"/>
          <w:szCs w:val="32"/>
        </w:rPr>
      </w:pPr>
      <w:r>
        <w:rPr>
          <w:rFonts w:hint="eastAsia" w:ascii="仿宋_GB2312" w:eastAsia="仿宋_GB2312"/>
          <w:sz w:val="32"/>
          <w:szCs w:val="32"/>
        </w:rPr>
        <w:t>12.负责人力资源和社会保障领域的对外交流与合作工作。</w:t>
      </w:r>
    </w:p>
    <w:p w14:paraId="0D522F37">
      <w:pPr>
        <w:spacing w:line="556" w:lineRule="exact"/>
        <w:ind w:firstLine="640" w:firstLineChars="200"/>
        <w:rPr>
          <w:rFonts w:ascii="仿宋_GB2312" w:eastAsia="仿宋_GB2312"/>
          <w:sz w:val="32"/>
          <w:szCs w:val="32"/>
        </w:rPr>
      </w:pPr>
      <w:r>
        <w:rPr>
          <w:rFonts w:hint="eastAsia" w:ascii="仿宋_GB2312" w:eastAsia="仿宋_GB2312"/>
          <w:sz w:val="32"/>
          <w:szCs w:val="32"/>
        </w:rPr>
        <w:t>13.承担职责范围内的安全生产和职业健康、生态环境保护、审批服务便民化等工作。</w:t>
      </w:r>
    </w:p>
    <w:p w14:paraId="0476B606">
      <w:pPr>
        <w:spacing w:line="556" w:lineRule="exact"/>
        <w:ind w:firstLine="640"/>
        <w:rPr>
          <w:rFonts w:ascii="仿宋_GB2312" w:eastAsia="仿宋_GB2312"/>
          <w:sz w:val="32"/>
          <w:szCs w:val="32"/>
        </w:rPr>
      </w:pPr>
      <w:r>
        <w:rPr>
          <w:rFonts w:hint="eastAsia" w:ascii="仿宋_GB2312" w:eastAsia="仿宋_GB2312"/>
          <w:sz w:val="32"/>
          <w:szCs w:val="32"/>
        </w:rPr>
        <w:t>14.完成县委、县政府交办的其他任务。</w:t>
      </w:r>
    </w:p>
    <w:p w14:paraId="7C295012">
      <w:pPr>
        <w:spacing w:line="556" w:lineRule="exact"/>
        <w:ind w:firstLine="640" w:firstLineChars="200"/>
        <w:rPr>
          <w:rFonts w:ascii="仿宋_GB2312" w:eastAsia="仿宋_GB2312"/>
          <w:sz w:val="32"/>
          <w:szCs w:val="32"/>
        </w:rPr>
      </w:pPr>
      <w:r>
        <w:rPr>
          <w:rFonts w:hint="eastAsia" w:ascii="仿宋_GB2312" w:eastAsia="仿宋_GB2312"/>
          <w:sz w:val="32"/>
          <w:szCs w:val="32"/>
        </w:rPr>
        <w:t>15.职能转变。深入推进简政放权、放管结合、优化服务改革，进一步减少行政审批事项，规范和优化对外办理事项，贯彻落实国家职业资格目录清单管理制度，加强事中事后监管，创新就业和社会保障等公共服务方式，加强信息分享，提高公共服务水平。</w:t>
      </w:r>
    </w:p>
    <w:p w14:paraId="62519049">
      <w:pPr>
        <w:spacing w:line="556" w:lineRule="exact"/>
        <w:ind w:firstLine="640" w:firstLineChars="200"/>
        <w:rPr>
          <w:rFonts w:ascii="仿宋_GB2312" w:eastAsia="仿宋_GB2312"/>
          <w:sz w:val="32"/>
          <w:szCs w:val="32"/>
        </w:rPr>
      </w:pPr>
      <w:r>
        <w:rPr>
          <w:rFonts w:hint="eastAsia" w:ascii="仿宋_GB2312" w:eastAsia="仿宋_GB2312"/>
          <w:sz w:val="32"/>
          <w:szCs w:val="32"/>
        </w:rPr>
        <w:t>16.有关职责分工。高校毕业生就业管理的职责分工。毕业生就业政策由县人力资源</w:t>
      </w:r>
      <w:r>
        <w:rPr>
          <w:rFonts w:hint="eastAsia" w:ascii="仿宋_GB2312" w:eastAsia="仿宋_GB2312"/>
          <w:sz w:val="32"/>
          <w:szCs w:val="32"/>
          <w:lang w:val="en-US" w:eastAsia="zh-CN"/>
        </w:rPr>
        <w:t>和</w:t>
      </w:r>
      <w:r>
        <w:rPr>
          <w:rFonts w:hint="eastAsia" w:ascii="仿宋_GB2312" w:eastAsia="仿宋_GB2312"/>
          <w:sz w:val="32"/>
          <w:szCs w:val="32"/>
        </w:rPr>
        <w:t>社会保障局牵头，会同县教育局等部门贯彻落实；毕业生离校前的就业指导和服务工作，由县教育局负责；毕业生离校后的就业指导和服务工作，由县人力资源</w:t>
      </w:r>
      <w:r>
        <w:rPr>
          <w:rFonts w:hint="eastAsia" w:ascii="仿宋_GB2312" w:eastAsia="仿宋_GB2312"/>
          <w:sz w:val="32"/>
          <w:szCs w:val="32"/>
          <w:lang w:val="en-US" w:eastAsia="zh-CN"/>
        </w:rPr>
        <w:t>和</w:t>
      </w:r>
      <w:r>
        <w:rPr>
          <w:rFonts w:hint="eastAsia" w:ascii="仿宋_GB2312" w:eastAsia="仿宋_GB2312"/>
          <w:sz w:val="32"/>
          <w:szCs w:val="32"/>
        </w:rPr>
        <w:t>社会保障局负责。</w:t>
      </w:r>
    </w:p>
    <w:bookmarkEnd w:id="17"/>
    <w:bookmarkEnd w:id="18"/>
    <w:bookmarkEnd w:id="19"/>
    <w:bookmarkEnd w:id="20"/>
    <w:p w14:paraId="51AF4B0F">
      <w:pPr>
        <w:spacing w:line="560" w:lineRule="exact"/>
        <w:ind w:firstLine="640" w:firstLineChars="200"/>
        <w:rPr>
          <w:rFonts w:ascii="楷体_GB2312" w:eastAsia="楷体_GB2312" w:cs="宋体"/>
          <w:b/>
          <w:kern w:val="0"/>
          <w:sz w:val="32"/>
          <w:szCs w:val="32"/>
        </w:rPr>
      </w:pPr>
      <w:bookmarkStart w:id="21" w:name="_Toc15396601"/>
      <w:bookmarkStart w:id="22" w:name="_Toc79163855"/>
      <w:bookmarkStart w:id="23" w:name="_Toc79163605"/>
      <w:bookmarkStart w:id="24" w:name="_Toc15377200"/>
      <w:r>
        <w:rPr>
          <w:rFonts w:hint="eastAsia" w:ascii="黑体" w:hAnsi="黑体" w:eastAsia="黑体" w:cs="黑体"/>
          <w:sz w:val="32"/>
          <w:szCs w:val="32"/>
        </w:rPr>
        <w:t>二、机构设置</w:t>
      </w:r>
      <w:bookmarkEnd w:id="21"/>
      <w:bookmarkEnd w:id="22"/>
      <w:bookmarkEnd w:id="23"/>
      <w:bookmarkEnd w:id="24"/>
    </w:p>
    <w:p w14:paraId="5C35991B">
      <w:pPr>
        <w:ind w:firstLine="640" w:firstLineChars="200"/>
        <w:rPr>
          <w:rFonts w:hint="eastAsia" w:ascii="仿宋" w:hAnsi="仿宋" w:eastAsia="仿宋"/>
          <w:sz w:val="32"/>
          <w:szCs w:val="32"/>
        </w:rPr>
      </w:pPr>
      <w:r>
        <w:rPr>
          <w:rFonts w:hint="eastAsia" w:ascii="仿宋_GB2312" w:eastAsia="仿宋_GB2312"/>
          <w:sz w:val="32"/>
          <w:szCs w:val="32"/>
        </w:rPr>
        <w:t>茂县人力资源和社会保障局下属二级单位0个，其中行政单位0个，参照公务员法管理的事业单位0个，其他事业单位0个。</w:t>
      </w:r>
      <w:bookmarkEnd w:id="15"/>
      <w:bookmarkEnd w:id="16"/>
    </w:p>
    <w:p w14:paraId="7276D278">
      <w:pPr>
        <w:pStyle w:val="14"/>
      </w:pPr>
    </w:p>
    <w:p w14:paraId="52017CDD">
      <w:pPr>
        <w:pStyle w:val="3"/>
        <w:ind w:right="440"/>
        <w:jc w:val="right"/>
        <w:rPr>
          <w:rStyle w:val="40"/>
          <w:rFonts w:ascii="黑体" w:hAnsi="黑体" w:eastAsia="黑体"/>
          <w:b/>
          <w:bCs/>
        </w:rPr>
      </w:pPr>
      <w:r>
        <w:rPr>
          <w:rStyle w:val="40"/>
          <w:rFonts w:hint="eastAsia" w:ascii="黑体" w:hAnsi="黑体" w:eastAsia="黑体"/>
          <w:b w:val="0"/>
          <w:bCs w:val="0"/>
        </w:rPr>
        <w:t>第二部分</w:t>
      </w:r>
      <w:r>
        <w:rPr>
          <w:rStyle w:val="40"/>
          <w:rFonts w:ascii="黑体" w:hAnsi="黑体" w:eastAsia="黑体"/>
          <w:b w:val="0"/>
          <w:bCs w:val="0"/>
        </w:rPr>
        <w:t xml:space="preserve"> 202</w:t>
      </w:r>
      <w:r>
        <w:rPr>
          <w:rStyle w:val="40"/>
          <w:rFonts w:hint="eastAsia" w:ascii="黑体" w:hAnsi="黑体" w:eastAsia="黑体"/>
          <w:b w:val="0"/>
          <w:bCs w:val="0"/>
          <w:lang w:val="en-US" w:eastAsia="zh-CN"/>
        </w:rPr>
        <w:t>5</w:t>
      </w:r>
      <w:r>
        <w:rPr>
          <w:rStyle w:val="40"/>
          <w:rFonts w:hint="eastAsia" w:ascii="黑体" w:hAnsi="黑体" w:eastAsia="黑体"/>
          <w:b w:val="0"/>
          <w:bCs w:val="0"/>
        </w:rPr>
        <w:t>年度</w:t>
      </w:r>
      <w:r>
        <w:rPr>
          <w:rStyle w:val="40"/>
          <w:rFonts w:hint="eastAsia" w:ascii="黑体" w:hAnsi="黑体" w:eastAsia="黑体"/>
          <w:b w:val="0"/>
          <w:bCs w:val="0"/>
          <w:lang w:val="en-US" w:eastAsia="zh-CN"/>
        </w:rPr>
        <w:t>部门</w:t>
      </w:r>
      <w:r>
        <w:rPr>
          <w:rStyle w:val="40"/>
          <w:rFonts w:hint="eastAsia" w:ascii="黑体" w:hAnsi="黑体" w:eastAsia="黑体"/>
          <w:b w:val="0"/>
          <w:bCs w:val="0"/>
        </w:rPr>
        <w:t>决算情况说明</w:t>
      </w:r>
    </w:p>
    <w:p w14:paraId="76C73F4A">
      <w:pPr>
        <w:pStyle w:val="41"/>
        <w:numPr>
          <w:ilvl w:val="0"/>
          <w:numId w:val="1"/>
        </w:numPr>
        <w:spacing w:line="600" w:lineRule="exact"/>
        <w:ind w:firstLineChars="0"/>
        <w:outlineLvl w:val="1"/>
        <w:rPr>
          <w:rStyle w:val="31"/>
          <w:rFonts w:ascii="黑体" w:hAnsi="黑体" w:eastAsia="黑体"/>
          <w:b w:val="0"/>
        </w:rPr>
      </w:pPr>
      <w:bookmarkStart w:id="25" w:name="_Toc79163860"/>
      <w:bookmarkStart w:id="26" w:name="_Toc15396603"/>
      <w:bookmarkStart w:id="27" w:name="_Toc15377205"/>
      <w:bookmarkStart w:id="28" w:name="_Toc79163610"/>
      <w:r>
        <w:rPr>
          <w:rStyle w:val="31"/>
          <w:rFonts w:hint="eastAsia" w:ascii="黑体" w:hAnsi="黑体" w:eastAsia="黑体"/>
        </w:rPr>
        <w:t>收入支出决算总体情况说明</w:t>
      </w:r>
      <w:bookmarkEnd w:id="25"/>
      <w:bookmarkEnd w:id="26"/>
      <w:bookmarkEnd w:id="27"/>
      <w:bookmarkEnd w:id="28"/>
    </w:p>
    <w:p w14:paraId="52807D16">
      <w:pPr>
        <w:spacing w:line="600" w:lineRule="exact"/>
        <w:ind w:firstLine="640" w:firstLineChars="200"/>
        <w:rPr>
          <w:rFonts w:hint="default" w:ascii="仿宋" w:hAnsi="仿宋" w:eastAsia="仿宋"/>
          <w:color w:val="000000"/>
          <w:sz w:val="32"/>
          <w:szCs w:val="32"/>
          <w:lang w:val="en-US"/>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年度收、支总计</w:t>
      </w:r>
      <w:r>
        <w:rPr>
          <w:rFonts w:hint="eastAsia" w:ascii="仿宋_GB2312" w:hAnsi="仿宋_GB2312" w:eastAsia="仿宋_GB2312" w:cs="仿宋_GB2312"/>
          <w:sz w:val="32"/>
          <w:szCs w:val="32"/>
        </w:rPr>
        <w:t>1007.14</w:t>
      </w:r>
      <w:r>
        <w:rPr>
          <w:rFonts w:hint="eastAsia" w:ascii="仿宋_GB2312" w:eastAsia="仿宋_GB2312"/>
          <w:sz w:val="32"/>
          <w:szCs w:val="32"/>
        </w:rPr>
        <w:t>万元。与202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度</w:t>
      </w:r>
      <w:r>
        <w:rPr>
          <w:rFonts w:hint="eastAsia" w:ascii="仿宋_GB2312" w:eastAsia="仿宋_GB2312"/>
          <w:sz w:val="32"/>
          <w:szCs w:val="32"/>
        </w:rPr>
        <w:t>相比收、支总计增加</w:t>
      </w:r>
      <w:r>
        <w:rPr>
          <w:rFonts w:hint="eastAsia" w:ascii="仿宋_GB2312" w:eastAsia="仿宋_GB2312"/>
          <w:sz w:val="32"/>
          <w:szCs w:val="32"/>
          <w:lang w:val="en-US" w:eastAsia="zh-CN"/>
        </w:rPr>
        <w:t>11.88</w:t>
      </w:r>
      <w:r>
        <w:rPr>
          <w:rFonts w:hint="eastAsia" w:ascii="仿宋_GB2312" w:eastAsia="仿宋_GB2312"/>
          <w:sz w:val="32"/>
          <w:szCs w:val="32"/>
        </w:rPr>
        <w:t>万元，</w:t>
      </w:r>
      <w:r>
        <w:rPr>
          <w:rFonts w:hint="eastAsia" w:ascii="仿宋_GB2312" w:eastAsia="仿宋_GB2312"/>
          <w:sz w:val="32"/>
          <w:szCs w:val="32"/>
          <w:lang w:val="en-US" w:eastAsia="zh-CN"/>
        </w:rPr>
        <w:t>增长1.19</w:t>
      </w:r>
      <w:r>
        <w:rPr>
          <w:rFonts w:hint="eastAsia" w:ascii="仿宋_GB2312" w:eastAsia="仿宋_GB2312"/>
          <w:sz w:val="32"/>
          <w:szCs w:val="32"/>
        </w:rPr>
        <w:t>%。</w:t>
      </w:r>
      <w:r>
        <w:rPr>
          <w:rFonts w:hint="eastAsia" w:ascii="仿宋_GB2312" w:eastAsia="仿宋_GB2312"/>
          <w:sz w:val="32"/>
          <w:szCs w:val="32"/>
          <w:lang w:val="en-US" w:eastAsia="zh-CN"/>
        </w:rPr>
        <w:t>主要变动原因是：人员变动、工资正常晋升等。</w:t>
      </w:r>
    </w:p>
    <w:p w14:paraId="6B2CBD4E">
      <w:pPr>
        <w:jc w:val="left"/>
        <w:rPr>
          <w:rFonts w:ascii="仿宋_GB2312" w:eastAsia="仿宋_GB2312"/>
          <w:color w:val="000000"/>
          <w:sz w:val="32"/>
          <w:szCs w:val="32"/>
        </w:rPr>
      </w:pPr>
      <w:r>
        <w:rPr>
          <w:rFonts w:ascii="仿宋_GB2312" w:eastAsia="仿宋_GB2312"/>
          <w:color w:val="000000"/>
          <w:sz w:val="32"/>
          <w:szCs w:val="32"/>
        </w:rPr>
        <w:drawing>
          <wp:inline distT="0" distB="0" distL="0" distR="0">
            <wp:extent cx="5257800" cy="2019300"/>
            <wp:effectExtent l="4445" t="4445" r="14605" b="1460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A54AF78">
      <w:pPr>
        <w:pStyle w:val="41"/>
        <w:numPr>
          <w:ilvl w:val="0"/>
          <w:numId w:val="1"/>
        </w:numPr>
        <w:spacing w:line="600" w:lineRule="exact"/>
        <w:ind w:firstLineChars="0"/>
        <w:outlineLvl w:val="1"/>
        <w:rPr>
          <w:rStyle w:val="31"/>
          <w:rFonts w:ascii="黑体" w:hAnsi="黑体" w:eastAsia="黑体"/>
          <w:b w:val="0"/>
        </w:rPr>
      </w:pPr>
      <w:bookmarkStart w:id="29" w:name="_Toc79163611"/>
      <w:bookmarkStart w:id="30" w:name="_Toc79163861"/>
      <w:bookmarkStart w:id="31" w:name="_Toc15377206"/>
      <w:bookmarkStart w:id="32" w:name="_Toc15396604"/>
      <w:r>
        <w:rPr>
          <w:rStyle w:val="31"/>
          <w:rFonts w:hint="eastAsia" w:ascii="黑体" w:hAnsi="黑体" w:eastAsia="黑体"/>
        </w:rPr>
        <w:t>收入决算情况说明</w:t>
      </w:r>
      <w:bookmarkEnd w:id="29"/>
      <w:bookmarkEnd w:id="30"/>
      <w:bookmarkEnd w:id="31"/>
      <w:bookmarkEnd w:id="32"/>
    </w:p>
    <w:p w14:paraId="4B7E0EC9">
      <w:pPr>
        <w:ind w:firstLine="640" w:firstLineChars="200"/>
        <w:outlineLvl w:val="1"/>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年度本年收入合计</w:t>
      </w:r>
      <w:r>
        <w:rPr>
          <w:rFonts w:hint="eastAsia" w:ascii="仿宋_GB2312" w:hAnsi="仿宋_GB2312" w:eastAsia="仿宋_GB2312" w:cs="仿宋_GB2312"/>
          <w:sz w:val="32"/>
          <w:szCs w:val="32"/>
        </w:rPr>
        <w:t>1007.14</w:t>
      </w:r>
      <w:r>
        <w:rPr>
          <w:rFonts w:hint="eastAsia" w:ascii="仿宋_GB2312" w:eastAsia="仿宋_GB2312"/>
          <w:sz w:val="32"/>
          <w:szCs w:val="32"/>
        </w:rPr>
        <w:t>万元，其中：一般公共预算财政拨款收入</w:t>
      </w:r>
      <w:r>
        <w:rPr>
          <w:rFonts w:hint="eastAsia" w:ascii="仿宋_GB2312" w:hAnsi="仿宋_GB2312" w:eastAsia="仿宋_GB2312" w:cs="仿宋_GB2312"/>
          <w:sz w:val="32"/>
          <w:szCs w:val="32"/>
        </w:rPr>
        <w:t>983.08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97.61</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24.06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2.38</w:t>
      </w:r>
      <w:r>
        <w:rPr>
          <w:rFonts w:hint="eastAsia" w:ascii="仿宋_GB2312" w:eastAsia="仿宋_GB2312"/>
          <w:sz w:val="32"/>
          <w:szCs w:val="32"/>
          <w:lang w:eastAsia="zh-CN"/>
        </w:rPr>
        <w:t>%。</w:t>
      </w:r>
    </w:p>
    <w:p w14:paraId="24A30000">
      <w:pPr>
        <w:pStyle w:val="13"/>
        <w:rPr>
          <w:rFonts w:ascii="仿宋" w:hAnsi="仿宋" w:eastAsia="仿宋"/>
          <w:color w:val="000000"/>
          <w:sz w:val="32"/>
          <w:szCs w:val="32"/>
        </w:rPr>
      </w:pPr>
      <w:r>
        <w:rPr>
          <w:rFonts w:hint="eastAsia" w:eastAsia="仿宋_GB2312" w:cs="仿宋_GB2312"/>
          <w:color w:val="auto"/>
          <w:sz w:val="32"/>
          <w:szCs w:val="32"/>
          <w:highlight w:val="none"/>
          <w:lang w:val="en-US" w:eastAsia="zh-CN"/>
        </w:rPr>
        <w:t xml:space="preserve">      </w:t>
      </w:r>
      <w:r>
        <w:rPr>
          <w:rFonts w:hint="eastAsia" w:eastAsia="仿宋_GB2312" w:cs="仿宋_GB2312"/>
          <w:color w:val="auto"/>
          <w:sz w:val="32"/>
          <w:szCs w:val="32"/>
          <w:highlight w:val="none"/>
          <w:lang w:val="en-US" w:eastAsia="zh-CN"/>
        </w:rPr>
        <w:drawing>
          <wp:inline distT="0" distB="0" distL="114300" distR="114300">
            <wp:extent cx="4181475" cy="1837055"/>
            <wp:effectExtent l="5080" t="4445" r="4445" b="635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597BC10">
      <w:pPr>
        <w:pStyle w:val="29"/>
        <w:numPr>
          <w:ilvl w:val="0"/>
          <w:numId w:val="0"/>
        </w:numPr>
        <w:spacing w:line="600" w:lineRule="exact"/>
        <w:ind w:left="640" w:leftChars="0"/>
        <w:outlineLvl w:val="1"/>
        <w:rPr>
          <w:rStyle w:val="31"/>
          <w:rFonts w:hint="eastAsia" w:ascii="黑体" w:hAnsi="黑体" w:eastAsia="黑体"/>
          <w:lang w:val="en-US" w:eastAsia="zh-CN" w:bidi="ar-SA"/>
        </w:rPr>
      </w:pPr>
      <w:bookmarkStart w:id="33" w:name="_Toc15377207"/>
      <w:bookmarkStart w:id="34" w:name="_Toc15396605"/>
      <w:r>
        <w:rPr>
          <w:rStyle w:val="31"/>
          <w:rFonts w:hint="eastAsia" w:ascii="黑体" w:hAnsi="黑体" w:eastAsia="黑体"/>
          <w:lang w:val="en-US" w:eastAsia="zh-CN" w:bidi="ar-SA"/>
        </w:rPr>
        <w:t>三、支出决算情况说明</w:t>
      </w:r>
      <w:bookmarkEnd w:id="33"/>
      <w:bookmarkEnd w:id="34"/>
    </w:p>
    <w:p w14:paraId="67146DA3">
      <w:pPr>
        <w:ind w:firstLine="640" w:firstLineChars="200"/>
        <w:rPr>
          <w:rFonts w:ascii="仿宋_GB2312" w:eastAsia="仿宋_GB2312"/>
          <w:color w:val="FF0000"/>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1007.14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665.37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66.06</w:t>
      </w:r>
      <w:r>
        <w:rPr>
          <w:rFonts w:hint="eastAsia" w:ascii="仿宋_GB2312" w:hAnsi="Times New Roman" w:eastAsia="仿宋_GB2312" w:cs="Times New Roman"/>
          <w:sz w:val="32"/>
          <w:szCs w:val="32"/>
          <w:lang w:eastAsia="zh-CN"/>
        </w:rPr>
        <w:t>%</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341.77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33.9</w:t>
      </w:r>
      <w:r>
        <w:rPr>
          <w:rFonts w:hint="eastAsia" w:ascii="仿宋_GB2312" w:hAnsi="仿宋_GB2312" w:eastAsia="仿宋_GB2312" w:cs="仿宋_GB2312"/>
          <w:sz w:val="32"/>
          <w:szCs w:val="32"/>
          <w:lang w:val="en-US" w:eastAsia="zh-CN"/>
        </w:rPr>
        <w:t>4</w:t>
      </w:r>
      <w:r>
        <w:rPr>
          <w:rFonts w:hint="eastAsia" w:ascii="仿宋_GB2312" w:hAnsi="Times New Roman" w:eastAsia="仿宋_GB2312" w:cs="Times New Roman"/>
          <w:sz w:val="32"/>
          <w:szCs w:val="32"/>
          <w:lang w:eastAsia="zh-CN"/>
        </w:rPr>
        <w:t>%。</w:t>
      </w:r>
      <w:r>
        <w:rPr>
          <w:rFonts w:ascii="仿宋_GB2312" w:eastAsia="仿宋_GB2312"/>
          <w:color w:val="FF0000"/>
          <w:sz w:val="32"/>
          <w:szCs w:val="32"/>
        </w:rPr>
        <w:drawing>
          <wp:inline distT="0" distB="0" distL="0" distR="0">
            <wp:extent cx="5153025" cy="1866900"/>
            <wp:effectExtent l="4445" t="4445" r="5080" b="14605"/>
            <wp:docPr id="1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1526E29">
      <w:pPr>
        <w:spacing w:line="600" w:lineRule="exact"/>
        <w:ind w:firstLine="643" w:firstLineChars="200"/>
        <w:outlineLvl w:val="1"/>
        <w:rPr>
          <w:rStyle w:val="31"/>
          <w:rFonts w:ascii="黑体" w:hAnsi="黑体" w:eastAsia="黑体"/>
          <w:b w:val="0"/>
        </w:rPr>
      </w:pPr>
      <w:bookmarkStart w:id="35" w:name="_Toc79163613"/>
      <w:bookmarkStart w:id="36" w:name="_Toc79163863"/>
      <w:bookmarkStart w:id="37" w:name="_Toc15396606"/>
      <w:bookmarkStart w:id="38" w:name="_Toc15377208"/>
      <w:r>
        <w:rPr>
          <w:rStyle w:val="31"/>
          <w:rFonts w:hint="eastAsia" w:ascii="黑体" w:hAnsi="黑体" w:eastAsia="黑体"/>
        </w:rPr>
        <w:t>四、财政拨款收入支出决算总体情况说明</w:t>
      </w:r>
      <w:bookmarkEnd w:id="35"/>
      <w:bookmarkEnd w:id="36"/>
      <w:bookmarkEnd w:id="37"/>
      <w:bookmarkEnd w:id="38"/>
    </w:p>
    <w:p w14:paraId="1AC19C1D">
      <w:pPr>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财政拨款收、支总计</w:t>
      </w:r>
      <w:r>
        <w:rPr>
          <w:rFonts w:hint="eastAsia" w:ascii="Times New Roman" w:hAnsi="Times New Roman" w:eastAsia="仿宋_GB2312" w:cs="仿宋_GB2312"/>
          <w:color w:val="auto"/>
          <w:kern w:val="2"/>
          <w:sz w:val="32"/>
          <w:szCs w:val="32"/>
          <w:highlight w:val="none"/>
          <w:lang w:val="en-US" w:eastAsia="zh-CN" w:bidi="ar-SA"/>
        </w:rPr>
        <w:t>均为</w:t>
      </w:r>
      <w:r>
        <w:rPr>
          <w:rFonts w:hint="eastAsia" w:ascii="仿宋_GB2312" w:hAnsi="仿宋_GB2312" w:eastAsia="仿宋_GB2312" w:cs="仿宋_GB2312"/>
          <w:sz w:val="32"/>
          <w:szCs w:val="32"/>
        </w:rPr>
        <w:t>983.08</w:t>
      </w:r>
      <w:r>
        <w:rPr>
          <w:rFonts w:hint="eastAsia" w:ascii="仿宋_GB2312" w:hAnsi="仿宋_GB2312" w:eastAsia="仿宋_GB2312" w:cs="仿宋_GB2312"/>
          <w:color w:val="auto"/>
          <w:sz w:val="32"/>
          <w:szCs w:val="32"/>
          <w:highlight w:val="none"/>
          <w:lang w:eastAsia="zh-CN"/>
        </w:rPr>
        <w:t>万元。与202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相比财政拨款收、支总计</w:t>
      </w:r>
      <w:r>
        <w:rPr>
          <w:rFonts w:hint="eastAsia" w:ascii="仿宋_GB2312" w:hAnsi="仿宋_GB2312" w:eastAsia="仿宋_GB2312" w:cs="仿宋_GB2312"/>
          <w:color w:val="auto"/>
          <w:sz w:val="32"/>
          <w:szCs w:val="32"/>
          <w:highlight w:val="none"/>
          <w:lang w:val="en-US" w:eastAsia="zh-CN"/>
        </w:rPr>
        <w:t>减少12.18</w:t>
      </w:r>
      <w:r>
        <w:rPr>
          <w:rFonts w:hint="eastAsia" w:ascii="仿宋_GB2312" w:hAnsi="仿宋_GB2312" w:eastAsia="仿宋_GB2312" w:cs="仿宋_GB2312"/>
          <w:color w:val="auto"/>
          <w:sz w:val="32"/>
          <w:szCs w:val="32"/>
          <w:highlight w:val="none"/>
          <w:lang w:eastAsia="zh-CN"/>
        </w:rPr>
        <w:t>万元，</w:t>
      </w:r>
      <w:r>
        <w:rPr>
          <w:rFonts w:hint="eastAsia" w:ascii="仿宋_GB2312" w:hAnsi="仿宋_GB2312" w:eastAsia="仿宋_GB2312" w:cs="仿宋_GB2312"/>
          <w:color w:val="auto"/>
          <w:sz w:val="32"/>
          <w:szCs w:val="32"/>
          <w:highlight w:val="none"/>
          <w:lang w:val="en-US" w:eastAsia="zh-CN"/>
        </w:rPr>
        <w:t>下降1.22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主要变动原因是：人员变动等。</w:t>
      </w:r>
    </w:p>
    <w:p w14:paraId="2148CF0E">
      <w:pPr>
        <w:tabs>
          <w:tab w:val="left" w:pos="337"/>
        </w:tabs>
        <w:rPr>
          <w:rFonts w:ascii="仿宋" w:hAnsi="仿宋" w:eastAsia="仿宋"/>
          <w:b/>
          <w:color w:val="00B050"/>
          <w:sz w:val="32"/>
          <w:szCs w:val="32"/>
        </w:rPr>
      </w:pPr>
      <w:r>
        <w:rPr>
          <w:rFonts w:ascii="仿宋" w:hAnsi="仿宋" w:eastAsia="仿宋"/>
          <w:b/>
          <w:color w:val="00B050"/>
          <w:sz w:val="32"/>
          <w:szCs w:val="32"/>
        </w:rPr>
        <w:drawing>
          <wp:inline distT="0" distB="0" distL="0" distR="0">
            <wp:extent cx="5257800" cy="1990725"/>
            <wp:effectExtent l="4445" t="4445" r="14605" b="5080"/>
            <wp:docPr id="3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4402C59">
      <w:pPr>
        <w:spacing w:line="600" w:lineRule="exact"/>
        <w:ind w:firstLine="640" w:firstLineChars="200"/>
        <w:outlineLvl w:val="1"/>
        <w:rPr>
          <w:rStyle w:val="31"/>
          <w:rFonts w:ascii="黑体" w:hAnsi="黑体" w:eastAsia="黑体"/>
          <w:b w:val="0"/>
        </w:rPr>
      </w:pPr>
      <w:bookmarkStart w:id="39" w:name="_Toc15396607"/>
      <w:bookmarkStart w:id="40" w:name="_Toc79163614"/>
      <w:bookmarkStart w:id="41" w:name="_Toc15377209"/>
      <w:bookmarkStart w:id="42" w:name="_Toc79163864"/>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1"/>
          <w:rFonts w:hint="eastAsia" w:ascii="黑体" w:hAnsi="黑体" w:eastAsia="黑体"/>
        </w:rPr>
        <w:t>般公共预算财政拨款支出决算情况说明</w:t>
      </w:r>
      <w:bookmarkEnd w:id="39"/>
      <w:bookmarkEnd w:id="40"/>
      <w:bookmarkEnd w:id="41"/>
      <w:bookmarkEnd w:id="42"/>
    </w:p>
    <w:p w14:paraId="1C85BAC9">
      <w:pPr>
        <w:spacing w:line="600" w:lineRule="exact"/>
        <w:ind w:firstLine="643" w:firstLineChars="200"/>
        <w:outlineLvl w:val="2"/>
        <w:rPr>
          <w:rFonts w:ascii="仿宋" w:hAnsi="仿宋" w:eastAsia="仿宋"/>
          <w:b/>
          <w:color w:val="000000"/>
          <w:sz w:val="32"/>
          <w:szCs w:val="32"/>
        </w:rPr>
      </w:pPr>
      <w:bookmarkStart w:id="43" w:name="_Toc79163865"/>
      <w:bookmarkStart w:id="44" w:name="_Toc79163615"/>
      <w:bookmarkStart w:id="45" w:name="_Toc15377210"/>
      <w:r>
        <w:rPr>
          <w:rFonts w:hint="eastAsia" w:ascii="仿宋" w:hAnsi="仿宋" w:eastAsia="仿宋"/>
          <w:b/>
          <w:color w:val="000000"/>
          <w:sz w:val="32"/>
          <w:szCs w:val="32"/>
        </w:rPr>
        <w:t>（一）一般公共预算财政拨款支出决算总体情况</w:t>
      </w:r>
      <w:bookmarkEnd w:id="43"/>
      <w:bookmarkEnd w:id="44"/>
      <w:bookmarkEnd w:id="45"/>
    </w:p>
    <w:p w14:paraId="2F5A567D">
      <w:pPr>
        <w:spacing w:line="600" w:lineRule="exact"/>
        <w:ind w:firstLine="640" w:firstLineChars="200"/>
        <w:rPr>
          <w:rFonts w:hint="eastAsia" w:ascii="仿宋_GB2312" w:eastAsia="仿宋_GB2312" w:cs="Times New Roman"/>
          <w:color w:val="000000"/>
          <w:kern w:val="2"/>
          <w:sz w:val="32"/>
          <w:szCs w:val="32"/>
          <w:lang w:val="en-US" w:eastAsia="zh-CN" w:bidi="ar-SA"/>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eastAsia="仿宋_GB2312" w:cs="仿宋_GB2312"/>
          <w:color w:val="auto"/>
          <w:sz w:val="32"/>
          <w:szCs w:val="32"/>
          <w:highlight w:val="none"/>
          <w:lang w:eastAsia="zh-CN"/>
        </w:rPr>
        <w:t>一般公共预算财政拨款支出</w:t>
      </w:r>
      <w:r>
        <w:rPr>
          <w:rFonts w:hint="eastAsia" w:ascii="仿宋_GB2312" w:hAnsi="仿宋_GB2312" w:eastAsia="仿宋_GB2312" w:cs="仿宋_GB2312"/>
          <w:sz w:val="32"/>
          <w:szCs w:val="32"/>
        </w:rPr>
        <w:t>983.08</w:t>
      </w:r>
      <w:r>
        <w:rPr>
          <w:rFonts w:hint="eastAsia" w:ascii="仿宋_GB2312" w:hAnsi="仿宋_GB2312" w:eastAsia="仿宋_GB2312" w:cs="仿宋_GB2312"/>
          <w:color w:val="auto"/>
          <w:sz w:val="32"/>
          <w:szCs w:val="32"/>
          <w:highlight w:val="none"/>
          <w:lang w:eastAsia="zh-CN"/>
        </w:rPr>
        <w:t>万元，占本年支出合计的</w:t>
      </w:r>
      <w:r>
        <w:rPr>
          <w:rFonts w:hint="eastAsia" w:ascii="仿宋_GB2312" w:hAnsi="仿宋_GB2312" w:eastAsia="仿宋_GB2312" w:cs="仿宋_GB2312"/>
          <w:sz w:val="32"/>
          <w:szCs w:val="32"/>
        </w:rPr>
        <w:t>97.61</w:t>
      </w:r>
      <w:r>
        <w:rPr>
          <w:rFonts w:hint="eastAsia" w:ascii="仿宋_GB2312" w:hAnsi="仿宋_GB2312" w:eastAsia="仿宋_GB2312" w:cs="仿宋_GB2312"/>
          <w:color w:val="auto"/>
          <w:sz w:val="32"/>
          <w:szCs w:val="32"/>
          <w:highlight w:val="none"/>
          <w:lang w:eastAsia="zh-CN"/>
        </w:rPr>
        <w:t>%。与202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年相比，一般公共预算财政拨款</w:t>
      </w:r>
      <w:r>
        <w:rPr>
          <w:rFonts w:hint="eastAsia" w:ascii="仿宋_GB2312" w:hAnsi="仿宋_GB2312" w:eastAsia="仿宋_GB2312" w:cs="仿宋_GB2312"/>
          <w:color w:val="auto"/>
          <w:sz w:val="32"/>
          <w:szCs w:val="32"/>
          <w:highlight w:val="none"/>
          <w:lang w:val="en-US" w:eastAsia="zh-CN"/>
        </w:rPr>
        <w:t>减少12.18</w:t>
      </w:r>
      <w:r>
        <w:rPr>
          <w:rFonts w:hint="eastAsia" w:ascii="仿宋_GB2312" w:hAnsi="仿宋_GB2312" w:eastAsia="仿宋_GB2312" w:cs="仿宋_GB2312"/>
          <w:color w:val="auto"/>
          <w:sz w:val="32"/>
          <w:szCs w:val="32"/>
          <w:highlight w:val="none"/>
          <w:lang w:eastAsia="zh-CN"/>
        </w:rPr>
        <w:t>万元，</w:t>
      </w:r>
      <w:r>
        <w:rPr>
          <w:rFonts w:hint="eastAsia" w:ascii="仿宋_GB2312" w:hAnsi="仿宋_GB2312" w:eastAsia="仿宋_GB2312" w:cs="仿宋_GB2312"/>
          <w:color w:val="auto"/>
          <w:sz w:val="32"/>
          <w:szCs w:val="32"/>
          <w:highlight w:val="none"/>
          <w:lang w:val="en-US" w:eastAsia="zh-CN"/>
        </w:rPr>
        <w:t>下降1.22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主要变动原因是：人员变动等。</w:t>
      </w:r>
    </w:p>
    <w:p w14:paraId="64FCEB7D">
      <w:pPr>
        <w:pStyle w:val="14"/>
        <w:rPr>
          <w:rFonts w:hint="eastAsia"/>
        </w:rPr>
      </w:pPr>
    </w:p>
    <w:p w14:paraId="6BD4802F">
      <w:pPr>
        <w:spacing w:line="600" w:lineRule="exact"/>
        <w:ind w:firstLine="640" w:firstLineChars="200"/>
        <w:rPr>
          <w:rFonts w:ascii="仿宋" w:hAnsi="仿宋" w:eastAsia="仿宋"/>
          <w:color w:val="000000"/>
          <w:sz w:val="32"/>
          <w:szCs w:val="32"/>
        </w:rPr>
      </w:pPr>
    </w:p>
    <w:p w14:paraId="700A5F78">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drawing>
          <wp:anchor distT="0" distB="0" distL="114300" distR="114300" simplePos="0" relativeHeight="251660288" behindDoc="1" locked="0" layoutInCell="1" allowOverlap="1">
            <wp:simplePos x="0" y="0"/>
            <wp:positionH relativeFrom="column">
              <wp:posOffset>285750</wp:posOffset>
            </wp:positionH>
            <wp:positionV relativeFrom="paragraph">
              <wp:posOffset>28575</wp:posOffset>
            </wp:positionV>
            <wp:extent cx="5058410" cy="2188845"/>
            <wp:effectExtent l="19050" t="0" r="27664" b="2157"/>
            <wp:wrapNone/>
            <wp:docPr id="3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D409B66">
      <w:pPr>
        <w:spacing w:line="600" w:lineRule="exact"/>
        <w:ind w:firstLine="640" w:firstLineChars="200"/>
        <w:rPr>
          <w:rFonts w:ascii="仿宋" w:hAnsi="仿宋" w:eastAsia="仿宋"/>
          <w:color w:val="000000" w:themeColor="text1"/>
          <w:sz w:val="32"/>
          <w:szCs w:val="32"/>
        </w:rPr>
      </w:pPr>
    </w:p>
    <w:p w14:paraId="7C46E404">
      <w:pPr>
        <w:spacing w:line="600" w:lineRule="exact"/>
        <w:ind w:firstLine="643" w:firstLineChars="200"/>
        <w:outlineLvl w:val="2"/>
        <w:rPr>
          <w:rFonts w:ascii="仿宋" w:hAnsi="仿宋" w:eastAsia="仿宋"/>
          <w:b/>
          <w:color w:val="000000"/>
          <w:sz w:val="32"/>
          <w:szCs w:val="32"/>
        </w:rPr>
      </w:pPr>
      <w:bookmarkStart w:id="46" w:name="_Toc79163616"/>
      <w:bookmarkStart w:id="47" w:name="_Toc79163866"/>
    </w:p>
    <w:p w14:paraId="3FDB846F">
      <w:pPr>
        <w:spacing w:line="600" w:lineRule="exact"/>
        <w:ind w:firstLine="643" w:firstLineChars="200"/>
        <w:outlineLvl w:val="2"/>
        <w:rPr>
          <w:rFonts w:ascii="仿宋" w:hAnsi="仿宋" w:eastAsia="仿宋"/>
          <w:b/>
          <w:color w:val="000000"/>
          <w:sz w:val="32"/>
          <w:szCs w:val="32"/>
        </w:rPr>
      </w:pPr>
    </w:p>
    <w:p w14:paraId="17BA6069">
      <w:pPr>
        <w:spacing w:line="600" w:lineRule="exact"/>
        <w:ind w:firstLine="643" w:firstLineChars="200"/>
        <w:outlineLvl w:val="2"/>
        <w:rPr>
          <w:rFonts w:ascii="仿宋" w:hAnsi="仿宋" w:eastAsia="仿宋"/>
          <w:b/>
          <w:color w:val="000000"/>
          <w:sz w:val="32"/>
          <w:szCs w:val="32"/>
        </w:rPr>
      </w:pPr>
    </w:p>
    <w:p w14:paraId="5586AB48">
      <w:pPr>
        <w:spacing w:line="600" w:lineRule="exact"/>
        <w:ind w:firstLine="643" w:firstLineChars="200"/>
        <w:outlineLvl w:val="2"/>
        <w:rPr>
          <w:rFonts w:ascii="仿宋" w:hAnsi="仿宋" w:eastAsia="仿宋"/>
          <w:b/>
          <w:color w:val="000000"/>
          <w:sz w:val="32"/>
          <w:szCs w:val="32"/>
        </w:rPr>
      </w:pPr>
    </w:p>
    <w:p w14:paraId="3D980424">
      <w:pPr>
        <w:spacing w:line="600" w:lineRule="exact"/>
        <w:ind w:firstLine="643" w:firstLineChars="200"/>
        <w:outlineLvl w:val="2"/>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bookmarkEnd w:id="46"/>
      <w:bookmarkEnd w:id="47"/>
    </w:p>
    <w:p w14:paraId="004AFBD3">
      <w:pPr>
        <w:spacing w:line="600" w:lineRule="exact"/>
        <w:ind w:firstLine="640"/>
        <w:rPr>
          <w:rFonts w:ascii="仿宋_GB2312" w:hAnsi="仿宋" w:eastAsia="仿宋_GB2312"/>
          <w:color w:val="000000"/>
          <w:sz w:val="32"/>
          <w:szCs w:val="32"/>
        </w:rPr>
      </w:pPr>
      <w:r>
        <w:rPr>
          <w:rFonts w:hint="eastAsia" w:ascii="仿宋_GB2312" w:hAnsi="仿宋" w:eastAsia="仿宋_GB2312"/>
          <w:color w:val="000000"/>
          <w:sz w:val="32"/>
          <w:szCs w:val="32"/>
        </w:rPr>
        <w:t>202</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年一般公共预算财政拨款支出</w:t>
      </w:r>
      <w:r>
        <w:rPr>
          <w:rFonts w:hint="eastAsia" w:ascii="仿宋_GB2312" w:hAnsi="仿宋_GB2312" w:eastAsia="仿宋_GB2312" w:cs="仿宋_GB2312"/>
          <w:sz w:val="32"/>
          <w:szCs w:val="32"/>
        </w:rPr>
        <w:t>983.08</w:t>
      </w:r>
      <w:r>
        <w:rPr>
          <w:rFonts w:hint="eastAsia" w:ascii="仿宋_GB2312" w:hAnsi="仿宋" w:eastAsia="仿宋_GB2312"/>
          <w:color w:val="000000"/>
          <w:sz w:val="32"/>
          <w:szCs w:val="32"/>
        </w:rPr>
        <w:t>万元，主要用于以下方面:</w:t>
      </w:r>
      <w:r>
        <w:rPr>
          <w:rFonts w:hint="eastAsia" w:ascii="仿宋_GB2312" w:hAnsi="仿宋" w:eastAsia="仿宋_GB2312"/>
          <w:b/>
          <w:color w:val="000000"/>
          <w:sz w:val="32"/>
          <w:szCs w:val="32"/>
        </w:rPr>
        <w:t>社会保障和就业</w:t>
      </w:r>
      <w:r>
        <w:rPr>
          <w:rFonts w:hint="eastAsia" w:ascii="仿宋_GB2312" w:hAnsi="仿宋" w:eastAsia="仿宋_GB2312"/>
          <w:b/>
          <w:bCs/>
          <w:color w:val="000000"/>
          <w:sz w:val="32"/>
          <w:szCs w:val="32"/>
        </w:rPr>
        <w:t>支出</w:t>
      </w:r>
      <w:r>
        <w:rPr>
          <w:rFonts w:hint="eastAsia" w:ascii="仿宋_GB2312" w:hAnsi="仿宋" w:eastAsia="仿宋_GB2312"/>
          <w:b/>
          <w:color w:val="000000"/>
          <w:sz w:val="32"/>
          <w:szCs w:val="32"/>
          <w:lang w:val="en-US" w:eastAsia="zh-CN"/>
        </w:rPr>
        <w:t>896.35</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91.18</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卫生健康支出</w:t>
      </w:r>
      <w:r>
        <w:rPr>
          <w:rFonts w:hint="eastAsia" w:ascii="仿宋_GB2312" w:hAnsi="仿宋" w:eastAsia="仿宋_GB2312"/>
          <w:color w:val="000000"/>
          <w:sz w:val="32"/>
          <w:szCs w:val="32"/>
          <w:lang w:val="en-US" w:eastAsia="zh-CN"/>
        </w:rPr>
        <w:t>36.19</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3.68</w:t>
      </w:r>
      <w:r>
        <w:rPr>
          <w:rFonts w:hint="eastAsia" w:ascii="仿宋_GB2312" w:hAnsi="仿宋" w:eastAsia="仿宋_GB2312"/>
          <w:color w:val="000000"/>
          <w:sz w:val="32"/>
          <w:szCs w:val="32"/>
        </w:rPr>
        <w:t>%；</w:t>
      </w:r>
      <w:r>
        <w:rPr>
          <w:rFonts w:hint="eastAsia" w:ascii="仿宋_GB2312" w:hAnsi="仿宋" w:eastAsia="仿宋_GB2312"/>
          <w:b/>
          <w:bCs/>
          <w:color w:val="000000"/>
          <w:sz w:val="32"/>
          <w:szCs w:val="32"/>
        </w:rPr>
        <w:t>住房保障支出</w:t>
      </w:r>
      <w:r>
        <w:rPr>
          <w:rFonts w:hint="eastAsia" w:ascii="仿宋_GB2312" w:hAnsi="仿宋" w:eastAsia="仿宋_GB2312"/>
          <w:color w:val="000000"/>
          <w:sz w:val="32"/>
          <w:szCs w:val="32"/>
          <w:lang w:val="en-US" w:eastAsia="zh-CN"/>
        </w:rPr>
        <w:t>50.54</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5.14</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w:t>
      </w:r>
    </w:p>
    <w:p w14:paraId="52CADED4">
      <w:pPr>
        <w:rPr>
          <w:rFonts w:ascii="仿宋_GB2312" w:eastAsia="仿宋_GB2312"/>
          <w:color w:val="000000"/>
          <w:sz w:val="32"/>
          <w:szCs w:val="32"/>
        </w:rPr>
      </w:pPr>
      <w:r>
        <w:rPr>
          <w:rFonts w:ascii="仿宋_GB2312" w:hAnsi="仿宋_GB2312" w:eastAsia="仿宋_GB2312" w:cs="仿宋_GB2312"/>
          <w:sz w:val="32"/>
          <w:szCs w:val="32"/>
        </w:rPr>
        <w:drawing>
          <wp:inline distT="0" distB="0" distL="0" distR="0">
            <wp:extent cx="5362575" cy="2334260"/>
            <wp:effectExtent l="5080" t="4445" r="4445" b="23495"/>
            <wp:docPr id="1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E0AA34">
      <w:pPr>
        <w:spacing w:line="600" w:lineRule="exact"/>
        <w:ind w:firstLine="643" w:firstLineChars="200"/>
        <w:outlineLvl w:val="2"/>
        <w:rPr>
          <w:rFonts w:ascii="仿宋" w:hAnsi="仿宋" w:eastAsia="仿宋"/>
          <w:b/>
          <w:color w:val="000000"/>
          <w:sz w:val="32"/>
          <w:szCs w:val="32"/>
        </w:rPr>
      </w:pPr>
      <w:bookmarkStart w:id="48" w:name="_Toc79163867"/>
      <w:bookmarkStart w:id="49" w:name="_Toc79163617"/>
      <w:bookmarkStart w:id="50" w:name="_Toc15377212"/>
      <w:bookmarkStart w:id="51" w:name="_Toc15396608"/>
      <w:bookmarkStart w:id="52" w:name="_Toc15377214"/>
      <w:r>
        <w:rPr>
          <w:rFonts w:hint="eastAsia" w:ascii="仿宋" w:hAnsi="仿宋" w:eastAsia="仿宋"/>
          <w:b/>
          <w:color w:val="000000"/>
          <w:sz w:val="32"/>
          <w:szCs w:val="32"/>
        </w:rPr>
        <w:t>（三）一般公共预算财政拨款支出决算具体情况</w:t>
      </w:r>
      <w:bookmarkEnd w:id="48"/>
      <w:bookmarkEnd w:id="49"/>
      <w:bookmarkEnd w:id="50"/>
    </w:p>
    <w:p w14:paraId="0AE67F36">
      <w:pPr>
        <w:spacing w:line="600" w:lineRule="exact"/>
        <w:ind w:firstLine="640" w:firstLineChars="200"/>
        <w:rPr>
          <w:rFonts w:ascii="仿宋_GB2312" w:hAnsi="仿宋" w:eastAsia="仿宋_GB2312"/>
          <w:color w:val="000000"/>
          <w:sz w:val="32"/>
          <w:szCs w:val="32"/>
        </w:rPr>
      </w:pPr>
      <w:bookmarkStart w:id="53" w:name="_Toc15377444"/>
      <w:bookmarkStart w:id="54" w:name="_Toc15377213"/>
      <w:bookmarkStart w:id="55" w:name="_Toc15378460"/>
      <w:r>
        <w:rPr>
          <w:rFonts w:ascii="仿宋_GB2312" w:hAnsi="仿宋" w:eastAsia="仿宋_GB2312"/>
          <w:color w:val="000000"/>
          <w:sz w:val="32"/>
          <w:szCs w:val="32"/>
        </w:rPr>
        <w:t>202</w:t>
      </w:r>
      <w:r>
        <w:rPr>
          <w:rFonts w:hint="eastAsia" w:ascii="仿宋_GB2312" w:hAnsi="仿宋" w:eastAsia="仿宋_GB2312"/>
          <w:color w:val="000000"/>
          <w:sz w:val="32"/>
          <w:szCs w:val="32"/>
          <w:lang w:val="en-US" w:eastAsia="zh-CN"/>
        </w:rPr>
        <w:t>5</w:t>
      </w:r>
      <w:r>
        <w:rPr>
          <w:rFonts w:hint="eastAsia" w:ascii="仿宋_GB2312" w:hAnsi="仿宋" w:eastAsia="仿宋_GB2312"/>
          <w:color w:val="000000"/>
          <w:sz w:val="32"/>
          <w:szCs w:val="32"/>
        </w:rPr>
        <w:t>年一般公共预算支出决算数为</w:t>
      </w:r>
      <w:r>
        <w:rPr>
          <w:rFonts w:hint="eastAsia" w:ascii="仿宋_GB2312" w:hAnsi="仿宋_GB2312" w:eastAsia="仿宋_GB2312" w:cs="仿宋_GB2312"/>
          <w:sz w:val="32"/>
          <w:szCs w:val="32"/>
        </w:rPr>
        <w:t>983.08</w:t>
      </w:r>
      <w:r>
        <w:rPr>
          <w:rFonts w:hint="eastAsia" w:ascii="仿宋" w:hAnsi="仿宋" w:eastAsia="仿宋"/>
          <w:color w:val="000000"/>
          <w:sz w:val="32"/>
          <w:szCs w:val="32"/>
        </w:rPr>
        <w:t>万元</w:t>
      </w:r>
      <w:r>
        <w:rPr>
          <w:rFonts w:hint="eastAsia" w:ascii="仿宋_GB2312" w:hAnsi="仿宋" w:eastAsia="仿宋_GB2312"/>
          <w:color w:val="000000"/>
          <w:sz w:val="32"/>
          <w:szCs w:val="32"/>
        </w:rPr>
        <w:t>，完成预算100</w:t>
      </w:r>
      <w:r>
        <w:rPr>
          <w:rFonts w:ascii="仿宋_GB2312" w:hAnsi="仿宋" w:eastAsia="仿宋_GB2312"/>
          <w:color w:val="000000"/>
          <w:sz w:val="32"/>
          <w:szCs w:val="32"/>
        </w:rPr>
        <w:t>%</w:t>
      </w:r>
      <w:r>
        <w:rPr>
          <w:rFonts w:hint="eastAsia" w:ascii="仿宋_GB2312" w:hAnsi="仿宋" w:eastAsia="仿宋_GB2312"/>
          <w:color w:val="000000"/>
          <w:sz w:val="32"/>
          <w:szCs w:val="32"/>
        </w:rPr>
        <w:t>。其中：</w:t>
      </w:r>
      <w:bookmarkEnd w:id="53"/>
      <w:bookmarkEnd w:id="54"/>
      <w:bookmarkEnd w:id="55"/>
    </w:p>
    <w:bookmarkEnd w:id="51"/>
    <w:bookmarkEnd w:id="52"/>
    <w:p w14:paraId="33917DEA">
      <w:pPr>
        <w:spacing w:line="576" w:lineRule="exact"/>
        <w:ind w:firstLine="643" w:firstLineChars="200"/>
        <w:rPr>
          <w:rStyle w:val="19"/>
          <w:rFonts w:ascii="仿宋_GB2312" w:hAnsi="仿宋" w:eastAsia="仿宋_GB2312"/>
          <w:b w:val="0"/>
          <w:bCs/>
          <w:color w:val="000000"/>
          <w:sz w:val="32"/>
          <w:szCs w:val="32"/>
        </w:rPr>
      </w:pPr>
      <w:bookmarkStart w:id="56" w:name="_Toc79163618"/>
      <w:bookmarkStart w:id="57" w:name="_Toc79163868"/>
      <w:bookmarkStart w:id="58" w:name="_Toc15396609"/>
      <w:bookmarkStart w:id="59" w:name="_Toc15377215"/>
      <w:r>
        <w:rPr>
          <w:rStyle w:val="19"/>
          <w:rFonts w:ascii="仿宋" w:hAnsi="仿宋" w:eastAsia="仿宋"/>
          <w:bCs/>
          <w:color w:val="000000"/>
          <w:sz w:val="32"/>
          <w:szCs w:val="32"/>
        </w:rPr>
        <w:t>1.</w:t>
      </w:r>
      <w:r>
        <w:rPr>
          <w:rFonts w:hint="eastAsia" w:ascii="仿宋_GB2312" w:eastAsia="仿宋_GB2312"/>
          <w:b/>
          <w:bCs/>
          <w:sz w:val="32"/>
          <w:szCs w:val="32"/>
        </w:rPr>
        <w:t>社会保障和就业支出（</w:t>
      </w:r>
      <w:r>
        <w:rPr>
          <w:rFonts w:hint="eastAsia" w:ascii="仿宋_GB2312" w:hAnsi="仿宋" w:eastAsia="仿宋_GB2312"/>
          <w:b/>
          <w:color w:val="000000"/>
          <w:sz w:val="32"/>
          <w:szCs w:val="32"/>
          <w:lang w:val="en-US" w:eastAsia="zh-CN"/>
        </w:rPr>
        <w:t>类</w:t>
      </w:r>
      <w:r>
        <w:rPr>
          <w:rFonts w:hint="eastAsia" w:ascii="仿宋_GB2312" w:eastAsia="仿宋_GB2312"/>
          <w:b/>
          <w:bCs/>
          <w:sz w:val="32"/>
          <w:szCs w:val="32"/>
        </w:rPr>
        <w:t>）人力资源和社会保障管理事务（</w:t>
      </w:r>
      <w:r>
        <w:rPr>
          <w:rFonts w:hint="eastAsia" w:ascii="仿宋_GB2312" w:eastAsia="仿宋_GB2312"/>
          <w:b/>
          <w:bCs/>
          <w:sz w:val="32"/>
          <w:szCs w:val="32"/>
          <w:lang w:val="en-US" w:eastAsia="zh-CN"/>
        </w:rPr>
        <w:t>款</w:t>
      </w:r>
      <w:r>
        <w:rPr>
          <w:rFonts w:hint="eastAsia" w:ascii="仿宋_GB2312" w:eastAsia="仿宋_GB2312"/>
          <w:b/>
          <w:bCs/>
          <w:sz w:val="32"/>
          <w:szCs w:val="32"/>
        </w:rPr>
        <w:t>）行政运行（</w:t>
      </w:r>
      <w:r>
        <w:rPr>
          <w:rFonts w:hint="eastAsia" w:ascii="仿宋_GB2312" w:eastAsia="仿宋_GB2312"/>
          <w:b/>
          <w:bCs/>
          <w:sz w:val="32"/>
          <w:szCs w:val="32"/>
          <w:lang w:val="en-US" w:eastAsia="zh-CN"/>
        </w:rPr>
        <w:t>项</w:t>
      </w:r>
      <w:r>
        <w:rPr>
          <w:rFonts w:hint="eastAsia" w:ascii="仿宋_GB2312" w:eastAsia="仿宋_GB2312"/>
          <w:b/>
          <w:bCs/>
          <w:sz w:val="32"/>
          <w:szCs w:val="32"/>
        </w:rPr>
        <w:t>）</w:t>
      </w:r>
      <w:r>
        <w:rPr>
          <w:rStyle w:val="19"/>
          <w:rFonts w:ascii="仿宋" w:hAnsi="仿宋" w:eastAsia="仿宋"/>
          <w:bCs/>
          <w:color w:val="000000"/>
          <w:sz w:val="32"/>
          <w:szCs w:val="32"/>
        </w:rPr>
        <w:t xml:space="preserve">: </w:t>
      </w:r>
      <w:r>
        <w:rPr>
          <w:rStyle w:val="19"/>
          <w:rFonts w:hint="eastAsia" w:ascii="仿宋_GB2312" w:hAnsi="仿宋" w:eastAsia="仿宋_GB2312"/>
          <w:b w:val="0"/>
          <w:bCs/>
          <w:color w:val="000000"/>
          <w:sz w:val="32"/>
          <w:szCs w:val="32"/>
        </w:rPr>
        <w:t>支出决算为</w:t>
      </w:r>
      <w:r>
        <w:rPr>
          <w:rStyle w:val="19"/>
          <w:rFonts w:hint="eastAsia" w:ascii="仿宋_GB2312" w:hAnsi="仿宋" w:eastAsia="仿宋_GB2312"/>
          <w:b w:val="0"/>
          <w:bCs/>
          <w:color w:val="000000"/>
          <w:sz w:val="32"/>
          <w:szCs w:val="32"/>
          <w:lang w:val="en-US" w:eastAsia="zh-CN"/>
        </w:rPr>
        <w:t>142.4</w:t>
      </w:r>
      <w:r>
        <w:rPr>
          <w:rStyle w:val="19"/>
          <w:rFonts w:hint="eastAsia" w:ascii="仿宋_GB2312" w:hAnsi="仿宋" w:eastAsia="仿宋_GB2312"/>
          <w:b w:val="0"/>
          <w:bCs/>
          <w:color w:val="000000"/>
          <w:sz w:val="32"/>
          <w:szCs w:val="32"/>
        </w:rPr>
        <w:t>万元，完成预算100%，</w:t>
      </w:r>
      <w:r>
        <w:rPr>
          <w:rStyle w:val="19"/>
          <w:rFonts w:hint="eastAsia" w:ascii="仿宋_GB2312" w:hAnsi="仿宋" w:eastAsia="仿宋_GB2312"/>
          <w:b w:val="0"/>
          <w:bCs/>
          <w:color w:val="000000"/>
          <w:sz w:val="32"/>
          <w:szCs w:val="32"/>
          <w:lang w:val="en-US" w:eastAsia="zh-CN"/>
        </w:rPr>
        <w:t>决算数等于预算数</w:t>
      </w:r>
      <w:r>
        <w:rPr>
          <w:rStyle w:val="19"/>
          <w:rFonts w:hint="eastAsia" w:ascii="仿宋_GB2312" w:hAnsi="仿宋" w:eastAsia="仿宋_GB2312"/>
          <w:b w:val="0"/>
          <w:bCs/>
          <w:color w:val="000000"/>
          <w:sz w:val="32"/>
          <w:szCs w:val="32"/>
        </w:rPr>
        <w:t>。</w:t>
      </w:r>
    </w:p>
    <w:p w14:paraId="2570744D">
      <w:pPr>
        <w:spacing w:line="576" w:lineRule="exact"/>
        <w:ind w:firstLine="643" w:firstLineChars="200"/>
        <w:rPr>
          <w:rStyle w:val="19"/>
          <w:rFonts w:ascii="仿宋_GB2312" w:hAnsi="仿宋" w:eastAsia="仿宋_GB2312"/>
          <w:b w:val="0"/>
          <w:bCs/>
          <w:color w:val="000000"/>
          <w:sz w:val="32"/>
          <w:szCs w:val="32"/>
        </w:rPr>
      </w:pPr>
      <w:r>
        <w:rPr>
          <w:rStyle w:val="19"/>
          <w:rFonts w:hint="eastAsia" w:ascii="仿宋" w:hAnsi="仿宋" w:eastAsia="仿宋"/>
          <w:bCs/>
          <w:color w:val="000000"/>
          <w:sz w:val="32"/>
          <w:szCs w:val="32"/>
        </w:rPr>
        <w:t>2</w:t>
      </w:r>
      <w:r>
        <w:rPr>
          <w:rStyle w:val="19"/>
          <w:rFonts w:ascii="仿宋" w:hAnsi="仿宋" w:eastAsia="仿宋"/>
          <w:bCs/>
          <w:color w:val="000000"/>
          <w:sz w:val="32"/>
          <w:szCs w:val="32"/>
        </w:rPr>
        <w:t>.</w:t>
      </w:r>
      <w:r>
        <w:rPr>
          <w:rFonts w:hint="eastAsia" w:ascii="仿宋_GB2312" w:eastAsia="仿宋_GB2312"/>
          <w:b/>
          <w:bCs/>
          <w:sz w:val="32"/>
          <w:szCs w:val="32"/>
        </w:rPr>
        <w:t>社会保障和就业支出（</w:t>
      </w:r>
      <w:r>
        <w:rPr>
          <w:rFonts w:hint="eastAsia" w:ascii="仿宋_GB2312" w:hAnsi="仿宋" w:eastAsia="仿宋_GB2312"/>
          <w:b/>
          <w:color w:val="000000"/>
          <w:sz w:val="32"/>
          <w:szCs w:val="32"/>
          <w:lang w:val="en-US" w:eastAsia="zh-CN"/>
        </w:rPr>
        <w:t>类</w:t>
      </w:r>
      <w:r>
        <w:rPr>
          <w:rFonts w:hint="eastAsia" w:ascii="仿宋_GB2312" w:eastAsia="仿宋_GB2312"/>
          <w:b/>
          <w:bCs/>
          <w:sz w:val="32"/>
          <w:szCs w:val="32"/>
        </w:rPr>
        <w:t>）人力资源和社会保障管理事务（</w:t>
      </w:r>
      <w:r>
        <w:rPr>
          <w:rFonts w:hint="eastAsia" w:ascii="仿宋_GB2312" w:eastAsia="仿宋_GB2312"/>
          <w:b/>
          <w:bCs/>
          <w:sz w:val="32"/>
          <w:szCs w:val="32"/>
          <w:lang w:val="en-US" w:eastAsia="zh-CN"/>
        </w:rPr>
        <w:t>款</w:t>
      </w:r>
      <w:r>
        <w:rPr>
          <w:rFonts w:hint="eastAsia" w:ascii="仿宋_GB2312" w:eastAsia="仿宋_GB2312"/>
          <w:b/>
          <w:bCs/>
          <w:sz w:val="32"/>
          <w:szCs w:val="32"/>
        </w:rPr>
        <w:t>）事业运行（</w:t>
      </w:r>
      <w:r>
        <w:rPr>
          <w:rFonts w:hint="eastAsia" w:ascii="仿宋_GB2312" w:eastAsia="仿宋_GB2312"/>
          <w:b/>
          <w:bCs/>
          <w:sz w:val="32"/>
          <w:szCs w:val="32"/>
          <w:lang w:val="en-US" w:eastAsia="zh-CN"/>
        </w:rPr>
        <w:t>项</w:t>
      </w:r>
      <w:r>
        <w:rPr>
          <w:rFonts w:hint="eastAsia" w:ascii="仿宋_GB2312" w:eastAsia="仿宋_GB2312"/>
          <w:b/>
          <w:bCs/>
          <w:sz w:val="32"/>
          <w:szCs w:val="32"/>
        </w:rPr>
        <w:t>）</w:t>
      </w:r>
      <w:r>
        <w:rPr>
          <w:rStyle w:val="19"/>
          <w:rFonts w:ascii="仿宋" w:hAnsi="仿宋" w:eastAsia="仿宋"/>
          <w:bCs/>
          <w:color w:val="000000"/>
          <w:sz w:val="32"/>
          <w:szCs w:val="32"/>
        </w:rPr>
        <w:t xml:space="preserve">: </w:t>
      </w:r>
      <w:r>
        <w:rPr>
          <w:rStyle w:val="19"/>
          <w:rFonts w:hint="eastAsia" w:ascii="仿宋_GB2312" w:hAnsi="仿宋" w:eastAsia="仿宋_GB2312"/>
          <w:b w:val="0"/>
          <w:bCs/>
          <w:color w:val="000000"/>
          <w:sz w:val="32"/>
          <w:szCs w:val="32"/>
        </w:rPr>
        <w:t>支出决算为</w:t>
      </w:r>
      <w:r>
        <w:rPr>
          <w:rStyle w:val="19"/>
          <w:rFonts w:hint="eastAsia" w:ascii="仿宋_GB2312" w:hAnsi="仿宋" w:eastAsia="仿宋_GB2312"/>
          <w:b w:val="0"/>
          <w:bCs/>
          <w:color w:val="000000"/>
          <w:sz w:val="32"/>
          <w:szCs w:val="32"/>
          <w:lang w:val="en-US" w:eastAsia="zh-CN"/>
        </w:rPr>
        <w:t>345.25</w:t>
      </w:r>
      <w:r>
        <w:rPr>
          <w:rStyle w:val="19"/>
          <w:rFonts w:hint="eastAsia" w:ascii="仿宋_GB2312" w:hAnsi="仿宋" w:eastAsia="仿宋_GB2312"/>
          <w:b w:val="0"/>
          <w:bCs/>
          <w:color w:val="000000"/>
          <w:sz w:val="32"/>
          <w:szCs w:val="32"/>
        </w:rPr>
        <w:t>万元，完成预算100%，</w:t>
      </w:r>
      <w:r>
        <w:rPr>
          <w:rStyle w:val="19"/>
          <w:rFonts w:hint="eastAsia" w:ascii="仿宋_GB2312" w:hAnsi="仿宋" w:eastAsia="仿宋_GB2312"/>
          <w:b w:val="0"/>
          <w:bCs/>
          <w:color w:val="000000"/>
          <w:sz w:val="32"/>
          <w:szCs w:val="32"/>
          <w:lang w:val="en-US" w:eastAsia="zh-CN"/>
        </w:rPr>
        <w:t>决算数等于预算数</w:t>
      </w:r>
      <w:r>
        <w:rPr>
          <w:rStyle w:val="19"/>
          <w:rFonts w:hint="eastAsia" w:ascii="仿宋_GB2312" w:hAnsi="仿宋" w:eastAsia="仿宋_GB2312"/>
          <w:b w:val="0"/>
          <w:bCs/>
          <w:color w:val="000000"/>
          <w:sz w:val="32"/>
          <w:szCs w:val="32"/>
        </w:rPr>
        <w:t>。</w:t>
      </w:r>
    </w:p>
    <w:p w14:paraId="75001BDD">
      <w:pPr>
        <w:spacing w:line="576" w:lineRule="exact"/>
        <w:ind w:firstLine="643" w:firstLineChars="200"/>
        <w:rPr>
          <w:rStyle w:val="19"/>
          <w:rFonts w:ascii="仿宋_GB2312" w:eastAsia="仿宋_GB2312"/>
          <w:bCs/>
          <w:color w:val="auto"/>
        </w:rPr>
      </w:pPr>
      <w:r>
        <w:rPr>
          <w:rStyle w:val="19"/>
          <w:rFonts w:hint="eastAsia" w:ascii="仿宋" w:hAnsi="仿宋" w:eastAsia="仿宋"/>
          <w:bCs/>
          <w:color w:val="000000"/>
          <w:sz w:val="32"/>
          <w:szCs w:val="32"/>
        </w:rPr>
        <w:t>3</w:t>
      </w:r>
      <w:r>
        <w:rPr>
          <w:rStyle w:val="19"/>
          <w:rFonts w:ascii="仿宋" w:hAnsi="仿宋" w:eastAsia="仿宋"/>
          <w:bCs/>
          <w:color w:val="000000"/>
          <w:sz w:val="32"/>
          <w:szCs w:val="32"/>
        </w:rPr>
        <w:t>.</w:t>
      </w:r>
      <w:r>
        <w:rPr>
          <w:rFonts w:hint="eastAsia" w:ascii="仿宋_GB2312" w:eastAsia="仿宋_GB2312"/>
          <w:b/>
          <w:bCs/>
          <w:sz w:val="32"/>
          <w:szCs w:val="32"/>
        </w:rPr>
        <w:t xml:space="preserve"> 社会保障和就业支出（</w:t>
      </w:r>
      <w:r>
        <w:rPr>
          <w:rFonts w:hint="eastAsia" w:ascii="仿宋_GB2312" w:hAnsi="仿宋" w:eastAsia="仿宋_GB2312"/>
          <w:b/>
          <w:color w:val="000000"/>
          <w:sz w:val="32"/>
          <w:szCs w:val="32"/>
          <w:lang w:val="en-US" w:eastAsia="zh-CN"/>
        </w:rPr>
        <w:t>类</w:t>
      </w:r>
      <w:r>
        <w:rPr>
          <w:rFonts w:hint="eastAsia" w:ascii="仿宋_GB2312" w:eastAsia="仿宋_GB2312"/>
          <w:b/>
          <w:bCs/>
          <w:sz w:val="32"/>
          <w:szCs w:val="32"/>
        </w:rPr>
        <w:t>）人力资源和社会保障管理事务（</w:t>
      </w:r>
      <w:r>
        <w:rPr>
          <w:rFonts w:hint="eastAsia" w:ascii="仿宋_GB2312" w:eastAsia="仿宋_GB2312"/>
          <w:b/>
          <w:bCs/>
          <w:sz w:val="32"/>
          <w:szCs w:val="32"/>
          <w:lang w:val="en-US" w:eastAsia="zh-CN"/>
        </w:rPr>
        <w:t>款</w:t>
      </w:r>
      <w:r>
        <w:rPr>
          <w:rFonts w:hint="eastAsia" w:ascii="仿宋_GB2312" w:eastAsia="仿宋_GB2312"/>
          <w:b/>
          <w:bCs/>
          <w:sz w:val="32"/>
          <w:szCs w:val="32"/>
        </w:rPr>
        <w:t>）其他人力资源和社会保障管理事务支出</w:t>
      </w: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项</w:t>
      </w:r>
      <w:r>
        <w:rPr>
          <w:rFonts w:hint="eastAsia" w:ascii="仿宋_GB2312" w:eastAsia="仿宋_GB2312"/>
          <w:b/>
          <w:bCs/>
          <w:sz w:val="32"/>
          <w:szCs w:val="32"/>
        </w:rPr>
        <w:t>）</w:t>
      </w:r>
      <w:r>
        <w:rPr>
          <w:rFonts w:ascii="仿宋_GB2312" w:eastAsia="仿宋_GB2312"/>
        </w:rPr>
        <w:t>:</w:t>
      </w:r>
      <w:r>
        <w:rPr>
          <w:rStyle w:val="19"/>
          <w:rFonts w:hint="eastAsia" w:ascii="仿宋_GB2312" w:hAnsi="仿宋" w:eastAsia="仿宋_GB2312"/>
          <w:b w:val="0"/>
          <w:bCs/>
          <w:color w:val="000000"/>
          <w:sz w:val="32"/>
          <w:szCs w:val="32"/>
        </w:rPr>
        <w:t>支出决算为</w:t>
      </w:r>
      <w:r>
        <w:rPr>
          <w:rStyle w:val="19"/>
          <w:rFonts w:hint="eastAsia" w:ascii="仿宋_GB2312" w:hAnsi="仿宋" w:eastAsia="仿宋_GB2312"/>
          <w:b w:val="0"/>
          <w:bCs/>
          <w:color w:val="000000"/>
          <w:sz w:val="32"/>
          <w:szCs w:val="32"/>
          <w:lang w:val="en-US" w:eastAsia="zh-CN"/>
        </w:rPr>
        <w:t>317.71</w:t>
      </w:r>
      <w:r>
        <w:rPr>
          <w:rStyle w:val="19"/>
          <w:rFonts w:hint="eastAsia" w:ascii="仿宋_GB2312" w:hAnsi="仿宋" w:eastAsia="仿宋_GB2312"/>
          <w:b w:val="0"/>
          <w:bCs/>
          <w:color w:val="000000"/>
          <w:sz w:val="32"/>
          <w:szCs w:val="32"/>
        </w:rPr>
        <w:t>万元，完成预算100</w:t>
      </w:r>
      <w:r>
        <w:rPr>
          <w:rStyle w:val="19"/>
          <w:rFonts w:ascii="仿宋_GB2312" w:hAnsi="仿宋" w:eastAsia="仿宋_GB2312"/>
          <w:b w:val="0"/>
          <w:bCs/>
          <w:color w:val="000000"/>
          <w:sz w:val="32"/>
          <w:szCs w:val="32"/>
        </w:rPr>
        <w:t>%</w:t>
      </w:r>
      <w:r>
        <w:rPr>
          <w:rStyle w:val="19"/>
          <w:rFonts w:hint="eastAsia" w:ascii="仿宋_GB2312" w:hAnsi="仿宋" w:eastAsia="仿宋_GB2312"/>
          <w:b w:val="0"/>
          <w:bCs/>
          <w:color w:val="000000"/>
          <w:sz w:val="32"/>
          <w:szCs w:val="32"/>
        </w:rPr>
        <w:t>，</w:t>
      </w:r>
      <w:r>
        <w:rPr>
          <w:rStyle w:val="19"/>
          <w:rFonts w:hint="eastAsia" w:ascii="仿宋_GB2312" w:hAnsi="仿宋" w:eastAsia="仿宋_GB2312"/>
          <w:b w:val="0"/>
          <w:bCs/>
          <w:color w:val="000000"/>
          <w:sz w:val="32"/>
          <w:szCs w:val="32"/>
          <w:lang w:val="en-US" w:eastAsia="zh-CN"/>
        </w:rPr>
        <w:t>决算数等于预算数</w:t>
      </w:r>
      <w:r>
        <w:rPr>
          <w:rStyle w:val="19"/>
          <w:rFonts w:hint="eastAsia" w:ascii="仿宋_GB2312" w:hAnsi="仿宋" w:eastAsia="仿宋_GB2312"/>
          <w:b w:val="0"/>
          <w:bCs/>
          <w:color w:val="000000"/>
          <w:sz w:val="32"/>
          <w:szCs w:val="32"/>
        </w:rPr>
        <w:t>。</w:t>
      </w:r>
    </w:p>
    <w:p w14:paraId="414E1872">
      <w:pPr>
        <w:spacing w:line="576" w:lineRule="exact"/>
        <w:ind w:firstLine="643" w:firstLineChars="200"/>
        <w:rPr>
          <w:rStyle w:val="19"/>
          <w:rFonts w:ascii="仿宋_GB2312" w:hAnsi="仿宋" w:eastAsia="仿宋_GB2312"/>
          <w:b w:val="0"/>
          <w:bCs/>
          <w:color w:val="000000"/>
          <w:sz w:val="32"/>
          <w:szCs w:val="32"/>
        </w:rPr>
      </w:pPr>
      <w:r>
        <w:rPr>
          <w:rStyle w:val="19"/>
          <w:rFonts w:hint="eastAsia" w:ascii="仿宋" w:hAnsi="仿宋" w:eastAsia="仿宋"/>
          <w:bCs/>
          <w:color w:val="000000"/>
          <w:sz w:val="32"/>
          <w:szCs w:val="32"/>
        </w:rPr>
        <w:t>4</w:t>
      </w:r>
      <w:r>
        <w:rPr>
          <w:rStyle w:val="19"/>
          <w:rFonts w:ascii="仿宋" w:hAnsi="仿宋" w:eastAsia="仿宋"/>
          <w:bCs/>
          <w:color w:val="000000"/>
          <w:sz w:val="32"/>
          <w:szCs w:val="32"/>
        </w:rPr>
        <w:t>.</w:t>
      </w:r>
      <w:r>
        <w:rPr>
          <w:rStyle w:val="19"/>
          <w:rFonts w:hint="eastAsia" w:ascii="仿宋_GB2312" w:hAnsi="仿宋_GB2312" w:eastAsia="仿宋_GB2312" w:cs="仿宋_GB2312"/>
          <w:bCs/>
          <w:color w:val="000000"/>
          <w:sz w:val="32"/>
          <w:szCs w:val="32"/>
        </w:rPr>
        <w:t>社会保障和就业支出（</w:t>
      </w:r>
      <w:r>
        <w:rPr>
          <w:rFonts w:hint="eastAsia" w:ascii="仿宋_GB2312" w:hAnsi="仿宋" w:eastAsia="仿宋_GB2312"/>
          <w:b/>
          <w:color w:val="000000"/>
          <w:sz w:val="32"/>
          <w:szCs w:val="32"/>
          <w:lang w:val="en-US" w:eastAsia="zh-CN"/>
        </w:rPr>
        <w:t>类</w:t>
      </w:r>
      <w:r>
        <w:rPr>
          <w:rStyle w:val="19"/>
          <w:rFonts w:hint="eastAsia" w:ascii="仿宋_GB2312" w:hAnsi="仿宋_GB2312" w:eastAsia="仿宋_GB2312" w:cs="仿宋_GB2312"/>
          <w:bCs/>
          <w:color w:val="000000"/>
          <w:sz w:val="32"/>
          <w:szCs w:val="32"/>
        </w:rPr>
        <w:t>）行政事业单位养老支出（</w:t>
      </w:r>
      <w:r>
        <w:rPr>
          <w:rFonts w:hint="eastAsia" w:ascii="仿宋_GB2312" w:eastAsia="仿宋_GB2312"/>
          <w:b/>
          <w:bCs/>
          <w:sz w:val="32"/>
          <w:szCs w:val="32"/>
          <w:lang w:val="en-US" w:eastAsia="zh-CN"/>
        </w:rPr>
        <w:t>款</w:t>
      </w:r>
      <w:r>
        <w:rPr>
          <w:rStyle w:val="19"/>
          <w:rFonts w:hint="eastAsia" w:ascii="仿宋_GB2312" w:hAnsi="仿宋_GB2312" w:eastAsia="仿宋_GB2312" w:cs="仿宋_GB2312"/>
          <w:bCs/>
          <w:color w:val="000000"/>
          <w:sz w:val="32"/>
          <w:szCs w:val="32"/>
        </w:rPr>
        <w:t>）机关事业单位基本养老保险缴费支出（</w:t>
      </w:r>
      <w:r>
        <w:rPr>
          <w:rFonts w:hint="eastAsia" w:ascii="仿宋_GB2312" w:eastAsia="仿宋_GB2312"/>
          <w:b/>
          <w:bCs/>
          <w:sz w:val="32"/>
          <w:szCs w:val="32"/>
          <w:lang w:val="en-US" w:eastAsia="zh-CN"/>
        </w:rPr>
        <w:t>项</w:t>
      </w:r>
      <w:r>
        <w:rPr>
          <w:rStyle w:val="19"/>
          <w:rFonts w:hint="eastAsia" w:ascii="仿宋_GB2312" w:hAnsi="仿宋_GB2312" w:eastAsia="仿宋_GB2312" w:cs="仿宋_GB2312"/>
          <w:bCs/>
          <w:color w:val="000000"/>
          <w:sz w:val="32"/>
          <w:szCs w:val="32"/>
        </w:rPr>
        <w:t>）</w:t>
      </w:r>
      <w:r>
        <w:rPr>
          <w:rStyle w:val="19"/>
          <w:rFonts w:ascii="仿宋" w:hAnsi="仿宋" w:eastAsia="仿宋"/>
          <w:bCs/>
          <w:color w:val="000000"/>
          <w:sz w:val="32"/>
          <w:szCs w:val="32"/>
        </w:rPr>
        <w:t>:</w:t>
      </w:r>
      <w:r>
        <w:rPr>
          <w:rStyle w:val="19"/>
          <w:rFonts w:hint="eastAsia" w:ascii="仿宋_GB2312" w:hAnsi="仿宋" w:eastAsia="仿宋_GB2312"/>
          <w:b w:val="0"/>
          <w:bCs/>
          <w:color w:val="000000"/>
          <w:sz w:val="32"/>
          <w:szCs w:val="32"/>
        </w:rPr>
        <w:t>支出决算为</w:t>
      </w:r>
      <w:r>
        <w:rPr>
          <w:rStyle w:val="19"/>
          <w:rFonts w:hint="eastAsia" w:ascii="仿宋_GB2312" w:hAnsi="仿宋" w:eastAsia="仿宋_GB2312"/>
          <w:b w:val="0"/>
          <w:bCs/>
          <w:color w:val="000000"/>
          <w:sz w:val="32"/>
          <w:szCs w:val="32"/>
          <w:lang w:val="en-US" w:eastAsia="zh-CN"/>
        </w:rPr>
        <w:t>60.66</w:t>
      </w:r>
      <w:r>
        <w:rPr>
          <w:rStyle w:val="19"/>
          <w:rFonts w:hint="eastAsia" w:ascii="仿宋_GB2312" w:hAnsi="仿宋" w:eastAsia="仿宋_GB2312"/>
          <w:b w:val="0"/>
          <w:bCs/>
          <w:color w:val="000000"/>
          <w:sz w:val="32"/>
          <w:szCs w:val="32"/>
        </w:rPr>
        <w:t>万元，完成预算100%，</w:t>
      </w:r>
      <w:r>
        <w:rPr>
          <w:rStyle w:val="19"/>
          <w:rFonts w:hint="eastAsia" w:ascii="仿宋_GB2312" w:hAnsi="仿宋" w:eastAsia="仿宋_GB2312"/>
          <w:b w:val="0"/>
          <w:bCs/>
          <w:color w:val="000000"/>
          <w:sz w:val="32"/>
          <w:szCs w:val="32"/>
          <w:lang w:val="en-US" w:eastAsia="zh-CN"/>
        </w:rPr>
        <w:t>决算数等于预算数</w:t>
      </w:r>
      <w:r>
        <w:rPr>
          <w:rStyle w:val="19"/>
          <w:rFonts w:hint="eastAsia" w:ascii="仿宋_GB2312" w:hAnsi="仿宋" w:eastAsia="仿宋_GB2312"/>
          <w:b w:val="0"/>
          <w:bCs/>
          <w:color w:val="000000"/>
          <w:sz w:val="32"/>
          <w:szCs w:val="32"/>
        </w:rPr>
        <w:t>。</w:t>
      </w:r>
    </w:p>
    <w:p w14:paraId="7A27924C">
      <w:pPr>
        <w:spacing w:line="576" w:lineRule="exact"/>
        <w:ind w:firstLine="643" w:firstLineChars="200"/>
        <w:rPr>
          <w:rFonts w:ascii="仿宋_GB2312" w:hAnsi="仿宋_GB2312" w:eastAsia="仿宋_GB2312" w:cs="仿宋_GB2312"/>
          <w:sz w:val="32"/>
          <w:szCs w:val="32"/>
        </w:rPr>
      </w:pPr>
      <w:r>
        <w:rPr>
          <w:rStyle w:val="19"/>
          <w:rFonts w:hint="eastAsia" w:ascii="仿宋" w:hAnsi="仿宋" w:eastAsia="仿宋"/>
          <w:bCs/>
          <w:color w:val="000000"/>
          <w:sz w:val="32"/>
          <w:szCs w:val="32"/>
        </w:rPr>
        <w:t>5</w:t>
      </w:r>
      <w:r>
        <w:rPr>
          <w:rStyle w:val="19"/>
          <w:rFonts w:ascii="仿宋" w:hAnsi="仿宋" w:eastAsia="仿宋"/>
          <w:bCs/>
          <w:color w:val="000000"/>
          <w:sz w:val="32"/>
          <w:szCs w:val="32"/>
        </w:rPr>
        <w:t>.</w:t>
      </w:r>
      <w:r>
        <w:rPr>
          <w:rStyle w:val="19"/>
          <w:rFonts w:hint="eastAsia" w:ascii="仿宋_GB2312" w:hAnsi="仿宋_GB2312" w:eastAsia="仿宋_GB2312" w:cs="仿宋_GB2312"/>
          <w:bCs/>
          <w:color w:val="000000"/>
          <w:sz w:val="32"/>
          <w:szCs w:val="32"/>
        </w:rPr>
        <w:t>社会保障和就业支出（</w:t>
      </w:r>
      <w:r>
        <w:rPr>
          <w:rFonts w:hint="eastAsia" w:ascii="仿宋_GB2312" w:hAnsi="仿宋" w:eastAsia="仿宋_GB2312"/>
          <w:b/>
          <w:color w:val="000000"/>
          <w:sz w:val="32"/>
          <w:szCs w:val="32"/>
          <w:lang w:val="en-US" w:eastAsia="zh-CN"/>
        </w:rPr>
        <w:t>类</w:t>
      </w:r>
      <w:r>
        <w:rPr>
          <w:rStyle w:val="19"/>
          <w:rFonts w:hint="eastAsia" w:ascii="仿宋_GB2312" w:hAnsi="仿宋_GB2312" w:eastAsia="仿宋_GB2312" w:cs="仿宋_GB2312"/>
          <w:bCs/>
          <w:color w:val="000000"/>
          <w:sz w:val="32"/>
          <w:szCs w:val="32"/>
        </w:rPr>
        <w:t>）行政事业单位养老支出（</w:t>
      </w:r>
      <w:r>
        <w:rPr>
          <w:rFonts w:hint="eastAsia" w:ascii="仿宋_GB2312" w:eastAsia="仿宋_GB2312"/>
          <w:b/>
          <w:bCs/>
          <w:sz w:val="32"/>
          <w:szCs w:val="32"/>
          <w:lang w:val="en-US" w:eastAsia="zh-CN"/>
        </w:rPr>
        <w:t>款</w:t>
      </w:r>
      <w:r>
        <w:rPr>
          <w:rStyle w:val="19"/>
          <w:rFonts w:hint="eastAsia" w:ascii="仿宋_GB2312" w:hAnsi="仿宋_GB2312" w:eastAsia="仿宋_GB2312" w:cs="仿宋_GB2312"/>
          <w:bCs/>
          <w:color w:val="000000"/>
          <w:sz w:val="32"/>
          <w:szCs w:val="32"/>
        </w:rPr>
        <w:t>）机关事业单位职业年金缴费支出（</w:t>
      </w:r>
      <w:r>
        <w:rPr>
          <w:rFonts w:hint="eastAsia" w:ascii="仿宋_GB2312" w:eastAsia="仿宋_GB2312"/>
          <w:b/>
          <w:bCs/>
          <w:sz w:val="32"/>
          <w:szCs w:val="32"/>
          <w:lang w:val="en-US" w:eastAsia="zh-CN"/>
        </w:rPr>
        <w:t>项</w:t>
      </w:r>
      <w:r>
        <w:rPr>
          <w:rStyle w:val="19"/>
          <w:rFonts w:hint="eastAsia" w:ascii="仿宋_GB2312" w:hAnsi="仿宋_GB2312" w:eastAsia="仿宋_GB2312" w:cs="仿宋_GB2312"/>
          <w:bCs/>
          <w:color w:val="000000"/>
          <w:sz w:val="32"/>
          <w:szCs w:val="32"/>
        </w:rPr>
        <w:t>）</w:t>
      </w:r>
      <w:r>
        <w:rPr>
          <w:rStyle w:val="19"/>
          <w:rFonts w:ascii="仿宋" w:hAnsi="仿宋" w:eastAsia="仿宋"/>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30.33</w:t>
      </w:r>
      <w:r>
        <w:rPr>
          <w:rFonts w:hint="eastAsia" w:ascii="仿宋_GB2312" w:hAnsi="仿宋_GB2312" w:eastAsia="仿宋_GB2312" w:cs="仿宋_GB2312"/>
          <w:sz w:val="32"/>
          <w:szCs w:val="32"/>
        </w:rPr>
        <w:t>万元，完成预算100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Style w:val="19"/>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p w14:paraId="6F40DC07">
      <w:pPr>
        <w:spacing w:line="576" w:lineRule="exact"/>
        <w:ind w:firstLine="643" w:firstLineChars="200"/>
        <w:rPr>
          <w:rFonts w:ascii="仿宋_GB2312" w:hAnsi="仿宋_GB2312" w:eastAsia="仿宋_GB2312" w:cs="仿宋_GB2312"/>
          <w:sz w:val="32"/>
          <w:szCs w:val="32"/>
        </w:rPr>
      </w:pPr>
      <w:r>
        <w:rPr>
          <w:rStyle w:val="19"/>
          <w:rFonts w:hint="eastAsia" w:ascii="仿宋_GB2312" w:hAnsi="仿宋_GB2312" w:eastAsia="仿宋_GB2312" w:cs="仿宋_GB2312"/>
          <w:bCs/>
          <w:color w:val="000000"/>
          <w:sz w:val="32"/>
          <w:szCs w:val="32"/>
        </w:rPr>
        <w:t>6.医疗卫生与计划生育（</w:t>
      </w:r>
      <w:r>
        <w:rPr>
          <w:rFonts w:hint="eastAsia" w:ascii="仿宋_GB2312" w:hAnsi="仿宋" w:eastAsia="仿宋_GB2312"/>
          <w:b/>
          <w:color w:val="000000"/>
          <w:sz w:val="32"/>
          <w:szCs w:val="32"/>
          <w:lang w:val="en-US" w:eastAsia="zh-CN"/>
        </w:rPr>
        <w:t>类</w:t>
      </w:r>
      <w:r>
        <w:rPr>
          <w:rStyle w:val="19"/>
          <w:rFonts w:hint="eastAsia" w:ascii="仿宋_GB2312" w:hAnsi="仿宋_GB2312" w:eastAsia="仿宋_GB2312" w:cs="仿宋_GB2312"/>
          <w:bCs/>
          <w:color w:val="000000"/>
          <w:sz w:val="32"/>
          <w:szCs w:val="32"/>
        </w:rPr>
        <w:t>）行政事业单位医疗（</w:t>
      </w:r>
      <w:r>
        <w:rPr>
          <w:rFonts w:hint="eastAsia" w:ascii="仿宋_GB2312" w:eastAsia="仿宋_GB2312"/>
          <w:b/>
          <w:bCs/>
          <w:sz w:val="32"/>
          <w:szCs w:val="32"/>
          <w:lang w:val="en-US" w:eastAsia="zh-CN"/>
        </w:rPr>
        <w:t>款</w:t>
      </w:r>
      <w:r>
        <w:rPr>
          <w:rStyle w:val="19"/>
          <w:rFonts w:hint="eastAsia" w:ascii="仿宋_GB2312" w:hAnsi="仿宋_GB2312" w:eastAsia="仿宋_GB2312" w:cs="仿宋_GB2312"/>
          <w:bCs/>
          <w:color w:val="000000"/>
          <w:sz w:val="32"/>
          <w:szCs w:val="32"/>
        </w:rPr>
        <w:t>）行政单位医疗（</w:t>
      </w:r>
      <w:r>
        <w:rPr>
          <w:rFonts w:hint="eastAsia" w:ascii="仿宋_GB2312" w:eastAsia="仿宋_GB2312"/>
          <w:b/>
          <w:bCs/>
          <w:sz w:val="32"/>
          <w:szCs w:val="32"/>
          <w:lang w:val="en-US" w:eastAsia="zh-CN"/>
        </w:rPr>
        <w:t>项</w:t>
      </w:r>
      <w:r>
        <w:rPr>
          <w:rStyle w:val="19"/>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11.07</w:t>
      </w:r>
      <w:r>
        <w:rPr>
          <w:rFonts w:hint="eastAsia" w:ascii="仿宋_GB2312" w:hAnsi="仿宋_GB2312" w:eastAsia="仿宋_GB2312" w:cs="仿宋_GB2312"/>
          <w:sz w:val="32"/>
          <w:szCs w:val="32"/>
        </w:rPr>
        <w:t>万元，完成预算100%，</w:t>
      </w:r>
      <w:r>
        <w:rPr>
          <w:rStyle w:val="19"/>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p w14:paraId="111E4B4D">
      <w:pPr>
        <w:spacing w:line="576" w:lineRule="exact"/>
        <w:ind w:firstLine="643" w:firstLineChars="200"/>
        <w:rPr>
          <w:rFonts w:ascii="仿宋_GB2312" w:hAnsi="仿宋_GB2312" w:eastAsia="仿宋_GB2312" w:cs="仿宋_GB2312"/>
          <w:sz w:val="32"/>
          <w:szCs w:val="32"/>
        </w:rPr>
      </w:pPr>
      <w:r>
        <w:rPr>
          <w:rStyle w:val="19"/>
          <w:rFonts w:hint="eastAsia" w:ascii="仿宋_GB2312" w:hAnsi="仿宋_GB2312" w:eastAsia="仿宋_GB2312" w:cs="仿宋_GB2312"/>
          <w:bCs/>
          <w:color w:val="000000"/>
          <w:sz w:val="32"/>
          <w:szCs w:val="32"/>
        </w:rPr>
        <w:t>7.医疗卫生与计划生育（</w:t>
      </w:r>
      <w:r>
        <w:rPr>
          <w:rFonts w:hint="eastAsia" w:ascii="仿宋_GB2312" w:hAnsi="仿宋" w:eastAsia="仿宋_GB2312"/>
          <w:b/>
          <w:color w:val="000000"/>
          <w:sz w:val="32"/>
          <w:szCs w:val="32"/>
          <w:lang w:val="en-US" w:eastAsia="zh-CN"/>
        </w:rPr>
        <w:t>类</w:t>
      </w:r>
      <w:r>
        <w:rPr>
          <w:rStyle w:val="19"/>
          <w:rFonts w:hint="eastAsia" w:ascii="仿宋_GB2312" w:hAnsi="仿宋_GB2312" w:eastAsia="仿宋_GB2312" w:cs="仿宋_GB2312"/>
          <w:bCs/>
          <w:color w:val="000000"/>
          <w:sz w:val="32"/>
          <w:szCs w:val="32"/>
        </w:rPr>
        <w:t>）行政事业单位医疗（</w:t>
      </w:r>
      <w:r>
        <w:rPr>
          <w:rFonts w:hint="eastAsia" w:ascii="仿宋_GB2312" w:eastAsia="仿宋_GB2312"/>
          <w:b/>
          <w:bCs/>
          <w:sz w:val="32"/>
          <w:szCs w:val="32"/>
          <w:lang w:val="en-US" w:eastAsia="zh-CN"/>
        </w:rPr>
        <w:t>款</w:t>
      </w:r>
      <w:r>
        <w:rPr>
          <w:rStyle w:val="19"/>
          <w:rFonts w:hint="eastAsia" w:ascii="仿宋_GB2312" w:hAnsi="仿宋_GB2312" w:eastAsia="仿宋_GB2312" w:cs="仿宋_GB2312"/>
          <w:bCs/>
          <w:color w:val="000000"/>
          <w:sz w:val="32"/>
          <w:szCs w:val="32"/>
        </w:rPr>
        <w:t>）事业单位医疗（</w:t>
      </w:r>
      <w:r>
        <w:rPr>
          <w:rFonts w:hint="eastAsia" w:ascii="仿宋_GB2312" w:eastAsia="仿宋_GB2312"/>
          <w:b/>
          <w:bCs/>
          <w:sz w:val="32"/>
          <w:szCs w:val="32"/>
          <w:lang w:val="en-US" w:eastAsia="zh-CN"/>
        </w:rPr>
        <w:t>项</w:t>
      </w:r>
      <w:r>
        <w:rPr>
          <w:rStyle w:val="19"/>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25.12</w:t>
      </w:r>
      <w:r>
        <w:rPr>
          <w:rFonts w:hint="eastAsia" w:ascii="仿宋_GB2312" w:hAnsi="仿宋_GB2312" w:eastAsia="仿宋_GB2312" w:cs="仿宋_GB2312"/>
          <w:sz w:val="32"/>
          <w:szCs w:val="32"/>
        </w:rPr>
        <w:t>万元，完成预算100%，</w:t>
      </w:r>
      <w:r>
        <w:rPr>
          <w:rStyle w:val="19"/>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p w14:paraId="2DDB7124">
      <w:pPr>
        <w:spacing w:line="576" w:lineRule="exact"/>
        <w:ind w:firstLine="643" w:firstLineChars="200"/>
        <w:rPr>
          <w:rFonts w:hint="eastAsia" w:ascii="仿宋_GB2312" w:hAnsi="仿宋_GB2312" w:eastAsia="仿宋_GB2312" w:cs="仿宋_GB2312"/>
          <w:sz w:val="32"/>
          <w:szCs w:val="32"/>
        </w:rPr>
      </w:pPr>
      <w:r>
        <w:rPr>
          <w:rStyle w:val="19"/>
          <w:rFonts w:hint="eastAsia" w:ascii="仿宋" w:hAnsi="仿宋" w:eastAsia="仿宋"/>
          <w:bCs/>
          <w:color w:val="000000"/>
          <w:sz w:val="32"/>
          <w:szCs w:val="32"/>
        </w:rPr>
        <w:t>8.</w:t>
      </w:r>
      <w:r>
        <w:rPr>
          <w:rStyle w:val="19"/>
          <w:rFonts w:hint="eastAsia" w:ascii="仿宋_GB2312" w:hAnsi="仿宋_GB2312" w:eastAsia="仿宋_GB2312" w:cs="仿宋_GB2312"/>
          <w:bCs/>
          <w:color w:val="000000"/>
          <w:sz w:val="32"/>
          <w:szCs w:val="32"/>
        </w:rPr>
        <w:t>住房保障（</w:t>
      </w:r>
      <w:r>
        <w:rPr>
          <w:rFonts w:hint="eastAsia" w:ascii="仿宋_GB2312" w:hAnsi="仿宋" w:eastAsia="仿宋_GB2312"/>
          <w:b/>
          <w:color w:val="000000"/>
          <w:sz w:val="32"/>
          <w:szCs w:val="32"/>
          <w:lang w:val="en-US" w:eastAsia="zh-CN"/>
        </w:rPr>
        <w:t>类</w:t>
      </w:r>
      <w:r>
        <w:rPr>
          <w:rStyle w:val="19"/>
          <w:rFonts w:hint="eastAsia" w:ascii="仿宋_GB2312" w:hAnsi="仿宋_GB2312" w:eastAsia="仿宋_GB2312" w:cs="仿宋_GB2312"/>
          <w:bCs/>
          <w:color w:val="000000"/>
          <w:sz w:val="32"/>
          <w:szCs w:val="32"/>
        </w:rPr>
        <w:t>）住房改革（</w:t>
      </w:r>
      <w:r>
        <w:rPr>
          <w:rFonts w:hint="eastAsia" w:ascii="仿宋_GB2312" w:eastAsia="仿宋_GB2312"/>
          <w:b/>
          <w:bCs/>
          <w:sz w:val="32"/>
          <w:szCs w:val="32"/>
          <w:lang w:val="en-US" w:eastAsia="zh-CN"/>
        </w:rPr>
        <w:t>款</w:t>
      </w:r>
      <w:r>
        <w:rPr>
          <w:rStyle w:val="19"/>
          <w:rFonts w:hint="eastAsia" w:ascii="仿宋_GB2312" w:hAnsi="仿宋_GB2312" w:eastAsia="仿宋_GB2312" w:cs="仿宋_GB2312"/>
          <w:bCs/>
          <w:color w:val="000000"/>
          <w:sz w:val="32"/>
          <w:szCs w:val="32"/>
        </w:rPr>
        <w:t>）住房公积金（</w:t>
      </w:r>
      <w:r>
        <w:rPr>
          <w:rFonts w:hint="eastAsia" w:ascii="仿宋_GB2312" w:eastAsia="仿宋_GB2312"/>
          <w:b/>
          <w:bCs/>
          <w:sz w:val="32"/>
          <w:szCs w:val="32"/>
          <w:lang w:val="en-US" w:eastAsia="zh-CN"/>
        </w:rPr>
        <w:t>项</w:t>
      </w:r>
      <w:r>
        <w:rPr>
          <w:rStyle w:val="19"/>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50.54</w:t>
      </w:r>
      <w:r>
        <w:rPr>
          <w:rFonts w:hint="eastAsia" w:ascii="仿宋_GB2312" w:hAnsi="仿宋_GB2312" w:eastAsia="仿宋_GB2312" w:cs="仿宋_GB2312"/>
          <w:sz w:val="32"/>
          <w:szCs w:val="32"/>
        </w:rPr>
        <w:t>万元，完成预100%，</w:t>
      </w:r>
      <w:r>
        <w:rPr>
          <w:rStyle w:val="19"/>
          <w:rFonts w:hint="eastAsia" w:ascii="仿宋_GB2312" w:hAnsi="仿宋" w:eastAsia="仿宋_GB2312"/>
          <w:b w:val="0"/>
          <w:bCs/>
          <w:color w:val="000000"/>
          <w:sz w:val="32"/>
          <w:szCs w:val="32"/>
          <w:lang w:val="en-US" w:eastAsia="zh-CN"/>
        </w:rPr>
        <w:t>决算数等于预算数</w:t>
      </w:r>
      <w:r>
        <w:rPr>
          <w:rFonts w:hint="eastAsia" w:ascii="仿宋_GB2312" w:hAnsi="仿宋_GB2312" w:eastAsia="仿宋_GB2312" w:cs="仿宋_GB2312"/>
          <w:sz w:val="32"/>
          <w:szCs w:val="32"/>
        </w:rPr>
        <w:t>。</w:t>
      </w:r>
    </w:p>
    <w:p w14:paraId="7A948577">
      <w:pPr>
        <w:tabs>
          <w:tab w:val="right" w:pos="8306"/>
        </w:tabs>
        <w:spacing w:line="600" w:lineRule="exact"/>
        <w:ind w:firstLine="640"/>
        <w:outlineLvl w:val="1"/>
        <w:rPr>
          <w:rStyle w:val="31"/>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1"/>
          <w:rFonts w:hint="eastAsia" w:ascii="黑体" w:hAnsi="黑体" w:eastAsia="黑体"/>
        </w:rPr>
        <w:t>般公共预算财政拨款基本支出决算情况说明</w:t>
      </w:r>
      <w:bookmarkEnd w:id="56"/>
      <w:bookmarkEnd w:id="57"/>
      <w:r>
        <w:rPr>
          <w:rStyle w:val="31"/>
          <w:rFonts w:ascii="黑体" w:hAnsi="黑体" w:eastAsia="黑体"/>
        </w:rPr>
        <w:tab/>
      </w:r>
    </w:p>
    <w:p w14:paraId="43FCCEE5">
      <w:pPr>
        <w:spacing w:line="576"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w:t>
      </w:r>
      <w:r>
        <w:rPr>
          <w:rFonts w:hint="eastAsia" w:ascii="仿宋_GB2312" w:hAnsi="仿宋_GB2312" w:eastAsia="仿宋_GB2312" w:cs="仿宋_GB2312"/>
          <w:sz w:val="32"/>
          <w:szCs w:val="32"/>
        </w:rPr>
        <w:t>665.37</w:t>
      </w:r>
      <w:r>
        <w:rPr>
          <w:rFonts w:hint="eastAsia" w:ascii="仿宋_GB2312" w:hAnsi="仿宋_GB2312" w:eastAsia="仿宋_GB2312" w:cs="仿宋_GB2312"/>
          <w:sz w:val="32"/>
          <w:szCs w:val="32"/>
          <w:lang w:val="en-US" w:eastAsia="zh-CN"/>
        </w:rPr>
        <w:t>万元，其中：</w:t>
      </w:r>
    </w:p>
    <w:p w14:paraId="4B56E96B">
      <w:pPr>
        <w:spacing w:line="576"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人员经费</w:t>
      </w:r>
      <w:r>
        <w:rPr>
          <w:rFonts w:hint="eastAsia" w:ascii="仿宋_GB2312" w:hAnsi="仿宋_GB2312" w:eastAsia="仿宋_GB2312" w:cs="仿宋_GB2312"/>
          <w:sz w:val="32"/>
          <w:szCs w:val="32"/>
        </w:rPr>
        <w:t>630.72</w:t>
      </w:r>
      <w:r>
        <w:rPr>
          <w:rFonts w:hint="eastAsia" w:ascii="仿宋_GB2312" w:hAnsi="仿宋_GB2312" w:eastAsia="仿宋_GB2312" w:cs="仿宋_GB2312"/>
          <w:sz w:val="32"/>
          <w:szCs w:val="32"/>
          <w:lang w:val="en-US" w:eastAsia="zh-CN"/>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019F605">
      <w:pPr>
        <w:spacing w:line="576"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日常公用经费</w:t>
      </w:r>
      <w:r>
        <w:rPr>
          <w:rFonts w:hint="eastAsia" w:ascii="仿宋_GB2312" w:hAnsi="仿宋_GB2312" w:eastAsia="仿宋_GB2312" w:cs="仿宋_GB2312"/>
          <w:sz w:val="32"/>
          <w:szCs w:val="32"/>
        </w:rPr>
        <w:t>34.66</w:t>
      </w:r>
      <w:r>
        <w:rPr>
          <w:rFonts w:hint="eastAsia" w:ascii="仿宋_GB2312" w:hAnsi="仿宋_GB2312" w:eastAsia="仿宋_GB2312" w:cs="仿宋_GB2312"/>
          <w:sz w:val="32"/>
          <w:szCs w:val="32"/>
          <w:lang w:val="en-US" w:eastAsia="zh-CN"/>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bookmarkEnd w:id="58"/>
    <w:bookmarkEnd w:id="59"/>
    <w:p w14:paraId="17636EB1">
      <w:pPr>
        <w:spacing w:line="600" w:lineRule="exact"/>
        <w:ind w:firstLine="640"/>
        <w:outlineLvl w:val="1"/>
        <w:rPr>
          <w:rStyle w:val="31"/>
          <w:rFonts w:ascii="黑体" w:hAnsi="黑体" w:eastAsia="黑体"/>
          <w:b w:val="0"/>
        </w:rPr>
      </w:pPr>
      <w:bookmarkStart w:id="60" w:name="_Toc79163619"/>
      <w:bookmarkStart w:id="61" w:name="_Toc79163869"/>
      <w:bookmarkStart w:id="62" w:name="_Toc15377217"/>
      <w:r>
        <w:rPr>
          <w:rFonts w:hint="eastAsia" w:ascii="黑体" w:eastAsia="黑体"/>
          <w:color w:val="000000"/>
          <w:sz w:val="32"/>
          <w:szCs w:val="32"/>
        </w:rPr>
        <w:t>七、</w:t>
      </w:r>
      <w:r>
        <w:rPr>
          <w:rStyle w:val="31"/>
          <w:rFonts w:hint="eastAsia" w:ascii="黑体" w:hAnsi="黑体" w:eastAsia="黑体"/>
        </w:rPr>
        <w:t>财政拨款</w:t>
      </w:r>
      <w:r>
        <w:rPr>
          <w:rFonts w:hint="eastAsia" w:ascii="仿宋" w:hAnsi="仿宋" w:eastAsia="仿宋"/>
          <w:b/>
          <w:color w:val="000000"/>
          <w:sz w:val="32"/>
          <w:szCs w:val="32"/>
        </w:rPr>
        <w:t>“</w:t>
      </w:r>
      <w:r>
        <w:rPr>
          <w:rStyle w:val="31"/>
          <w:rFonts w:hint="eastAsia" w:ascii="黑体" w:hAnsi="黑体" w:eastAsia="黑体"/>
        </w:rPr>
        <w:t>三公</w:t>
      </w:r>
      <w:r>
        <w:rPr>
          <w:rFonts w:hint="eastAsia" w:ascii="仿宋" w:hAnsi="仿宋" w:eastAsia="仿宋"/>
          <w:b/>
          <w:color w:val="000000"/>
          <w:sz w:val="32"/>
          <w:szCs w:val="32"/>
        </w:rPr>
        <w:t>”</w:t>
      </w:r>
      <w:r>
        <w:rPr>
          <w:rStyle w:val="31"/>
          <w:rFonts w:hint="eastAsia" w:ascii="黑体" w:hAnsi="黑体" w:eastAsia="黑体"/>
        </w:rPr>
        <w:t>经费支出决算情况说明</w:t>
      </w:r>
      <w:bookmarkEnd w:id="60"/>
      <w:bookmarkEnd w:id="61"/>
    </w:p>
    <w:p w14:paraId="1E8D83C3">
      <w:pPr>
        <w:spacing w:line="600" w:lineRule="exact"/>
        <w:ind w:firstLine="640"/>
        <w:outlineLvl w:val="2"/>
        <w:rPr>
          <w:rFonts w:ascii="仿宋" w:hAnsi="仿宋" w:eastAsia="仿宋"/>
          <w:b/>
          <w:color w:val="000000"/>
          <w:sz w:val="32"/>
          <w:szCs w:val="32"/>
        </w:rPr>
      </w:pPr>
      <w:bookmarkStart w:id="63" w:name="_Toc15377216"/>
      <w:bookmarkStart w:id="64" w:name="_Toc79163620"/>
      <w:bookmarkStart w:id="65" w:name="_Toc79163870"/>
      <w:r>
        <w:rPr>
          <w:rFonts w:hint="eastAsia" w:ascii="仿宋" w:hAnsi="仿宋" w:eastAsia="仿宋"/>
          <w:b/>
          <w:color w:val="000000"/>
          <w:sz w:val="32"/>
          <w:szCs w:val="32"/>
        </w:rPr>
        <w:t>（一）“三公”经费财政拨款支出决算总体情况说明</w:t>
      </w:r>
      <w:bookmarkEnd w:id="63"/>
      <w:bookmarkEnd w:id="64"/>
      <w:bookmarkEnd w:id="65"/>
    </w:p>
    <w:p w14:paraId="3D918879">
      <w:pPr>
        <w:spacing w:line="576"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2025年度财政拨款“三公”经费支出决算为4.57万元，完成预算100%，与上年度相比增加0.03万元，增长0.66%。</w:t>
      </w:r>
      <w:r>
        <w:rPr>
          <w:rFonts w:hint="eastAsia" w:ascii="仿宋_GB2312" w:eastAsia="仿宋_GB2312"/>
          <w:color w:val="000000"/>
          <w:sz w:val="32"/>
          <w:szCs w:val="32"/>
        </w:rPr>
        <w:t>主要</w:t>
      </w:r>
      <w:r>
        <w:rPr>
          <w:rFonts w:hint="eastAsia" w:ascii="仿宋_GB2312" w:eastAsia="仿宋_GB2312"/>
          <w:color w:val="000000"/>
          <w:sz w:val="32"/>
          <w:szCs w:val="32"/>
          <w:lang w:eastAsia="zh-CN"/>
        </w:rPr>
        <w:t>原因是：重点任务增多，</w:t>
      </w:r>
      <w:r>
        <w:rPr>
          <w:rFonts w:hint="eastAsia" w:ascii="仿宋_GB2312" w:hAnsi="仿宋_GB2312" w:eastAsia="仿宋_GB2312" w:cs="仿宋_GB2312"/>
          <w:sz w:val="32"/>
          <w:szCs w:val="32"/>
          <w:lang w:val="en-US" w:eastAsia="zh-CN"/>
        </w:rPr>
        <w:t>导致费用</w:t>
      </w:r>
      <w:r>
        <w:rPr>
          <w:rFonts w:hint="eastAsia" w:ascii="仿宋_GB2312" w:eastAsia="仿宋_GB2312"/>
          <w:color w:val="000000"/>
          <w:sz w:val="32"/>
          <w:szCs w:val="32"/>
          <w:lang w:eastAsia="zh-CN"/>
        </w:rPr>
        <w:t>增加</w:t>
      </w:r>
      <w:r>
        <w:rPr>
          <w:rFonts w:hint="eastAsia" w:ascii="仿宋_GB2312" w:hAnsi="仿宋_GB2312" w:eastAsia="仿宋_GB2312" w:cs="仿宋_GB2312"/>
          <w:sz w:val="32"/>
          <w:szCs w:val="32"/>
          <w:lang w:val="en-US" w:eastAsia="zh-CN"/>
        </w:rPr>
        <w:t>。</w:t>
      </w:r>
    </w:p>
    <w:bookmarkEnd w:id="62"/>
    <w:p w14:paraId="34A0464B">
      <w:pPr>
        <w:spacing w:line="600" w:lineRule="exact"/>
        <w:ind w:firstLine="640"/>
        <w:outlineLvl w:val="2"/>
        <w:rPr>
          <w:rFonts w:ascii="仿宋" w:hAnsi="仿宋" w:eastAsia="仿宋"/>
          <w:b/>
          <w:color w:val="000000"/>
          <w:sz w:val="32"/>
          <w:szCs w:val="32"/>
        </w:rPr>
      </w:pPr>
      <w:bookmarkStart w:id="66" w:name="_Toc79163871"/>
      <w:bookmarkStart w:id="67" w:name="_Toc79163621"/>
      <w:r>
        <w:rPr>
          <w:rFonts w:hint="eastAsia" w:ascii="仿宋" w:hAnsi="仿宋" w:eastAsia="仿宋"/>
          <w:b/>
          <w:color w:val="000000"/>
          <w:sz w:val="32"/>
          <w:szCs w:val="32"/>
        </w:rPr>
        <w:t>（二）“三公”经费财政拨款支出决算具体情况说明</w:t>
      </w:r>
      <w:bookmarkEnd w:id="66"/>
      <w:bookmarkEnd w:id="67"/>
    </w:p>
    <w:p w14:paraId="22E18232">
      <w:pPr>
        <w:spacing w:line="60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2025年度财政拨款“三公”经费支出决算中，公务用车购置及运行维护费支出决算3.99万元，占87.31%；公务接待费支出决算0.58万元，占12.69%。具体情况如下：</w:t>
      </w:r>
    </w:p>
    <w:p w14:paraId="423093D4">
      <w:pPr>
        <w:pStyle w:val="14"/>
        <w:rPr>
          <w:rFonts w:hint="eastAsia" w:eastAsia="仿宋"/>
          <w:lang w:eastAsia="zh-CN"/>
        </w:rPr>
      </w:pPr>
      <w:r>
        <w:rPr>
          <w:rFonts w:hint="eastAsia" w:eastAsia="仿宋"/>
          <w:lang w:eastAsia="zh-CN"/>
        </w:rPr>
        <w:drawing>
          <wp:inline distT="0" distB="0" distL="114300" distR="114300">
            <wp:extent cx="3879850" cy="2258060"/>
            <wp:effectExtent l="4445" t="4445" r="20955" b="234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58BEA08">
      <w:pPr>
        <w:spacing w:line="600" w:lineRule="exact"/>
        <w:ind w:firstLine="640"/>
        <w:rPr>
          <w:rFonts w:ascii="仿宋_GB2312" w:eastAsia="仿宋_GB2312"/>
          <w:color w:val="000000"/>
          <w:sz w:val="32"/>
          <w:szCs w:val="32"/>
        </w:rPr>
      </w:pPr>
      <w:bookmarkStart w:id="68" w:name="_Toc15396610"/>
      <w:bookmarkStart w:id="69" w:name="_Toc15377218"/>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p>
    <w:p w14:paraId="5B00D517">
      <w:pPr>
        <w:spacing w:line="576" w:lineRule="exact"/>
        <w:ind w:firstLine="643" w:firstLineChars="200"/>
        <w:rPr>
          <w:rFonts w:hint="eastAsia" w:ascii="仿宋_GB2312" w:eastAsia="仿宋_GB2312"/>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3.99</w:t>
      </w:r>
      <w:r>
        <w:rPr>
          <w:rFonts w:hint="eastAsia" w:ascii="仿宋_GB2312" w:eastAsia="仿宋_GB2312"/>
          <w:color w:val="000000"/>
          <w:sz w:val="32"/>
          <w:szCs w:val="32"/>
        </w:rPr>
        <w:t>万元</w:t>
      </w:r>
      <w:r>
        <w:rPr>
          <w:rFonts w:ascii="仿宋_GB2312" w:eastAsia="仿宋_GB2312"/>
          <w:color w:val="000000"/>
          <w:sz w:val="32"/>
          <w:szCs w:val="32"/>
        </w:rPr>
        <w:t>,</w:t>
      </w:r>
      <w:r>
        <w:rPr>
          <w:rFonts w:hint="eastAsia" w:ascii="仿宋_GB2312" w:eastAsia="仿宋_GB2312"/>
          <w:color w:val="000000"/>
          <w:sz w:val="32"/>
          <w:szCs w:val="32"/>
        </w:rPr>
        <w:t>完成预算100%。公务用车购置及运行维护费支出决算</w:t>
      </w:r>
      <w:r>
        <w:rPr>
          <w:rFonts w:hint="eastAsia" w:ascii="仿宋_GB2312" w:eastAsia="仿宋_GB2312"/>
          <w:color w:val="000000"/>
          <w:sz w:val="32"/>
          <w:szCs w:val="32"/>
          <w:lang w:val="en-US" w:eastAsia="zh-CN"/>
        </w:rPr>
        <w:t>与</w:t>
      </w:r>
      <w:r>
        <w:rPr>
          <w:rFonts w:hint="eastAsia" w:ascii="仿宋_GB2312" w:eastAsia="仿宋_GB2312"/>
          <w:color w:val="000000"/>
          <w:sz w:val="32"/>
          <w:szCs w:val="32"/>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eastAsia="仿宋_GB2312" w:cs="仿宋_GB2312"/>
          <w:color w:val="auto"/>
          <w:kern w:val="2"/>
          <w:sz w:val="32"/>
          <w:szCs w:val="32"/>
          <w:highlight w:val="none"/>
          <w:lang w:val="en-US" w:eastAsia="zh-CN" w:bidi="ar-SA"/>
        </w:rPr>
        <w:t>度</w:t>
      </w:r>
      <w:r>
        <w:rPr>
          <w:rFonts w:hint="eastAsia" w:ascii="仿宋_GB2312" w:eastAsia="仿宋_GB2312"/>
          <w:color w:val="000000"/>
          <w:sz w:val="32"/>
          <w:szCs w:val="32"/>
          <w:lang w:val="en-US" w:eastAsia="zh-CN"/>
        </w:rPr>
        <w:t>决算数持平</w:t>
      </w:r>
      <w:r>
        <w:rPr>
          <w:rFonts w:hint="eastAsia" w:ascii="仿宋_GB2312" w:eastAsia="仿宋_GB2312"/>
          <w:color w:val="000000"/>
          <w:sz w:val="32"/>
          <w:szCs w:val="32"/>
        </w:rPr>
        <w:t>。截至202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年12月底，单位共有公务用车2辆，其中：轿车1辆、越野车1辆。</w:t>
      </w:r>
    </w:p>
    <w:p w14:paraId="1843C44F">
      <w:pPr>
        <w:spacing w:line="576"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公务用车运行维护费支出</w:t>
      </w:r>
      <w:r>
        <w:rPr>
          <w:rFonts w:hint="eastAsia" w:ascii="仿宋_GB2312" w:eastAsia="仿宋_GB2312"/>
          <w:color w:val="000000"/>
          <w:sz w:val="32"/>
          <w:szCs w:val="32"/>
          <w:lang w:val="en-US" w:eastAsia="zh-CN"/>
        </w:rPr>
        <w:t>3.99</w:t>
      </w:r>
      <w:r>
        <w:rPr>
          <w:rFonts w:hint="eastAsia" w:ascii="仿宋_GB2312" w:eastAsia="仿宋_GB2312"/>
          <w:color w:val="000000"/>
          <w:sz w:val="32"/>
          <w:szCs w:val="32"/>
        </w:rPr>
        <w:t>万元。主要用于单位开展包村、扶贫等工作所需的公务用车燃料费、维修费、过路过桥费、保险费等支出。</w:t>
      </w:r>
    </w:p>
    <w:p w14:paraId="73DCB193">
      <w:pPr>
        <w:spacing w:line="576" w:lineRule="exact"/>
        <w:ind w:firstLine="643" w:firstLineChars="200"/>
        <w:rPr>
          <w:rFonts w:hint="eastAsia"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0.58</w:t>
      </w:r>
      <w:r>
        <w:rPr>
          <w:rFonts w:hint="eastAsia" w:ascii="仿宋_GB2312" w:eastAsia="仿宋_GB2312"/>
          <w:color w:val="000000"/>
          <w:sz w:val="32"/>
          <w:szCs w:val="32"/>
        </w:rPr>
        <w:t>万元，完成预算</w:t>
      </w:r>
      <w:r>
        <w:rPr>
          <w:rFonts w:hint="eastAsia" w:ascii="仿宋_GB2312" w:eastAsia="仿宋_GB2312"/>
          <w:color w:val="000000"/>
          <w:sz w:val="32"/>
          <w:szCs w:val="32"/>
          <w:lang w:val="en-US" w:eastAsia="zh-CN"/>
        </w:rPr>
        <w:t>100%。</w:t>
      </w:r>
      <w:r>
        <w:rPr>
          <w:rFonts w:hint="eastAsia" w:ascii="仿宋_GB2312" w:eastAsia="仿宋_GB2312"/>
          <w:color w:val="000000"/>
          <w:sz w:val="32"/>
          <w:szCs w:val="32"/>
        </w:rPr>
        <w:t>公务接待费支出决算</w:t>
      </w:r>
      <w:r>
        <w:rPr>
          <w:rFonts w:hint="eastAsia" w:ascii="仿宋_GB2312" w:eastAsia="仿宋_GB2312"/>
          <w:color w:val="000000"/>
          <w:sz w:val="32"/>
          <w:szCs w:val="32"/>
          <w:lang w:val="en-US" w:eastAsia="zh-CN"/>
        </w:rPr>
        <w:t>数</w:t>
      </w:r>
      <w:r>
        <w:rPr>
          <w:rFonts w:hint="eastAsia" w:ascii="仿宋_GB2312" w:hAnsi="仿宋_GB2312" w:eastAsia="仿宋_GB2312" w:cs="仿宋_GB2312"/>
          <w:sz w:val="32"/>
          <w:szCs w:val="32"/>
          <w:lang w:val="en-US" w:eastAsia="zh-CN"/>
        </w:rPr>
        <w:t>与上年度相比增加0.03万元，增长0.66%</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相关工作业务量增长等</w:t>
      </w:r>
      <w:r>
        <w:rPr>
          <w:rFonts w:hint="eastAsia" w:ascii="仿宋_GB2312" w:eastAsia="仿宋_GB2312"/>
          <w:color w:val="000000"/>
          <w:sz w:val="32"/>
          <w:szCs w:val="32"/>
        </w:rPr>
        <w:t>。其中：</w:t>
      </w:r>
    </w:p>
    <w:p w14:paraId="3E017050">
      <w:pPr>
        <w:spacing w:line="576"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国内公务接待支出</w:t>
      </w:r>
      <w:r>
        <w:rPr>
          <w:rFonts w:hint="eastAsia" w:ascii="仿宋_GB2312" w:eastAsia="仿宋_GB2312"/>
          <w:color w:val="000000"/>
          <w:sz w:val="32"/>
          <w:szCs w:val="32"/>
          <w:lang w:val="en-US" w:eastAsia="zh-CN"/>
        </w:rPr>
        <w:t>0.58</w:t>
      </w:r>
      <w:r>
        <w:rPr>
          <w:rFonts w:hint="eastAsia" w:ascii="仿宋_GB2312" w:eastAsia="仿宋_GB2312"/>
          <w:color w:val="000000"/>
          <w:sz w:val="32"/>
          <w:szCs w:val="32"/>
        </w:rPr>
        <w:t>万元，主要用于执行公务、开展业务活动开支的交通费、住宿费、用餐费等。</w:t>
      </w:r>
      <w:r>
        <w:rPr>
          <w:rFonts w:hint="eastAsia" w:ascii="仿宋_GB2312" w:eastAsia="仿宋_GB2312"/>
          <w:color w:val="000000"/>
          <w:sz w:val="32"/>
          <w:szCs w:val="32"/>
          <w:lang w:val="en-US" w:eastAsia="zh-CN"/>
        </w:rPr>
        <w:t>国内公务接待</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59</w:t>
      </w:r>
      <w:r>
        <w:rPr>
          <w:rFonts w:hint="eastAsia" w:ascii="Times New Roman" w:hAnsi="Times New Roman" w:eastAsia="仿宋_GB2312" w:cs="仿宋_GB2312"/>
          <w:color w:val="auto"/>
          <w:kern w:val="2"/>
          <w:sz w:val="32"/>
          <w:szCs w:val="32"/>
          <w:highlight w:val="none"/>
          <w:lang w:val="en-US" w:eastAsia="zh-CN" w:bidi="ar-SA"/>
        </w:rPr>
        <w:t>人次</w:t>
      </w:r>
      <w:r>
        <w:rPr>
          <w:rFonts w:hint="eastAsia" w:ascii="仿宋_GB2312" w:eastAsia="仿宋_GB2312"/>
          <w:color w:val="000000"/>
          <w:sz w:val="32"/>
          <w:szCs w:val="32"/>
        </w:rPr>
        <w:t>（不包括陪同人员），共计支出</w:t>
      </w:r>
      <w:r>
        <w:rPr>
          <w:rFonts w:hint="eastAsia" w:ascii="仿宋_GB2312" w:eastAsia="仿宋_GB2312"/>
          <w:color w:val="000000"/>
          <w:sz w:val="32"/>
          <w:szCs w:val="32"/>
          <w:lang w:val="en-US" w:eastAsia="zh-CN"/>
        </w:rPr>
        <w:t>0.58</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p>
    <w:bookmarkEnd w:id="68"/>
    <w:bookmarkEnd w:id="69"/>
    <w:p w14:paraId="71180235">
      <w:pPr>
        <w:spacing w:line="600" w:lineRule="exact"/>
        <w:ind w:firstLine="640"/>
        <w:outlineLvl w:val="1"/>
        <w:rPr>
          <w:rStyle w:val="31"/>
          <w:rFonts w:ascii="黑体" w:hAnsi="黑体" w:eastAsia="黑体"/>
        </w:rPr>
      </w:pPr>
      <w:bookmarkStart w:id="70" w:name="_Toc79163622"/>
      <w:bookmarkStart w:id="71" w:name="_Toc79163872"/>
      <w:bookmarkStart w:id="72" w:name="_Toc15396612"/>
      <w:bookmarkStart w:id="73" w:name="_Toc15377221"/>
      <w:r>
        <w:rPr>
          <w:rFonts w:hint="eastAsia" w:ascii="黑体" w:eastAsia="黑体"/>
          <w:color w:val="000000"/>
          <w:sz w:val="32"/>
          <w:szCs w:val="32"/>
        </w:rPr>
        <w:t>八、</w:t>
      </w:r>
      <w:r>
        <w:rPr>
          <w:rStyle w:val="31"/>
          <w:rFonts w:hint="eastAsia" w:ascii="黑体" w:hAnsi="黑体" w:eastAsia="黑体"/>
        </w:rPr>
        <w:t>政府性基金预算支出决算情况说明</w:t>
      </w:r>
      <w:bookmarkEnd w:id="70"/>
      <w:bookmarkEnd w:id="71"/>
    </w:p>
    <w:p w14:paraId="5DC5B982">
      <w:pPr>
        <w:spacing w:line="576"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度</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p w14:paraId="59F4ABCC">
      <w:pPr>
        <w:numPr>
          <w:ilvl w:val="0"/>
          <w:numId w:val="2"/>
        </w:numPr>
        <w:spacing w:line="600" w:lineRule="exact"/>
        <w:ind w:firstLine="640"/>
        <w:outlineLvl w:val="1"/>
        <w:rPr>
          <w:rStyle w:val="31"/>
          <w:rFonts w:ascii="黑体" w:hAnsi="黑体" w:eastAsia="黑体"/>
          <w:b w:val="0"/>
        </w:rPr>
      </w:pPr>
      <w:bookmarkStart w:id="74" w:name="_Toc79163623"/>
      <w:bookmarkStart w:id="75" w:name="_Toc79163873"/>
      <w:bookmarkStart w:id="76" w:name="_Toc15396611"/>
      <w:bookmarkStart w:id="77" w:name="_Toc15377219"/>
      <w:r>
        <w:rPr>
          <w:rStyle w:val="31"/>
          <w:rFonts w:hint="eastAsia" w:ascii="黑体" w:hAnsi="黑体" w:eastAsia="黑体"/>
        </w:rPr>
        <w:t>国有资本经营预算支出决算情况说明</w:t>
      </w:r>
      <w:bookmarkEnd w:id="74"/>
      <w:bookmarkEnd w:id="75"/>
      <w:bookmarkEnd w:id="76"/>
      <w:bookmarkEnd w:id="77"/>
    </w:p>
    <w:p w14:paraId="7A2AA931">
      <w:pPr>
        <w:spacing w:line="600"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度</w:t>
      </w:r>
      <w:r>
        <w:rPr>
          <w:rFonts w:hint="eastAsia" w:ascii="仿宋_GB2312" w:eastAsia="仿宋_GB2312"/>
          <w:color w:val="000000"/>
          <w:sz w:val="32"/>
          <w:szCs w:val="32"/>
        </w:rPr>
        <w:t>国有资本经营预算</w:t>
      </w:r>
      <w:r>
        <w:rPr>
          <w:rFonts w:hint="eastAsia" w:ascii="仿宋_GB2312" w:eastAsia="仿宋_GB2312"/>
          <w:color w:val="000000"/>
          <w:sz w:val="32"/>
          <w:szCs w:val="32"/>
          <w:lang w:val="en-US" w:eastAsia="zh-CN"/>
        </w:rPr>
        <w:t>财政</w:t>
      </w:r>
      <w:r>
        <w:rPr>
          <w:rFonts w:hint="eastAsia" w:ascii="仿宋_GB2312" w:eastAsia="仿宋_GB2312"/>
          <w:color w:val="000000"/>
          <w:sz w:val="32"/>
          <w:szCs w:val="32"/>
        </w:rPr>
        <w:t>拨款支出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w:t>
      </w:r>
    </w:p>
    <w:p w14:paraId="364D4637">
      <w:pPr>
        <w:spacing w:line="600" w:lineRule="exact"/>
        <w:ind w:firstLine="800" w:firstLineChars="250"/>
        <w:outlineLvl w:val="1"/>
        <w:rPr>
          <w:rStyle w:val="31"/>
          <w:rFonts w:ascii="黑体" w:hAnsi="黑体" w:eastAsia="黑体"/>
        </w:rPr>
      </w:pPr>
      <w:bookmarkStart w:id="78" w:name="_Toc79163874"/>
      <w:bookmarkStart w:id="79" w:name="_Toc79163624"/>
      <w:r>
        <w:rPr>
          <w:rFonts w:hint="eastAsia" w:ascii="黑体" w:hAnsi="黑体" w:eastAsia="黑体"/>
          <w:color w:val="000000"/>
          <w:sz w:val="32"/>
          <w:szCs w:val="32"/>
        </w:rPr>
        <w:t>十</w:t>
      </w:r>
      <w:r>
        <w:rPr>
          <w:rStyle w:val="31"/>
          <w:rFonts w:hint="eastAsia" w:ascii="黑体" w:hAnsi="黑体" w:eastAsia="黑体"/>
        </w:rPr>
        <w:t>、其他重要事项的情况说明</w:t>
      </w:r>
      <w:bookmarkEnd w:id="78"/>
      <w:bookmarkEnd w:id="79"/>
    </w:p>
    <w:p w14:paraId="09F6A12D">
      <w:pPr>
        <w:spacing w:line="600" w:lineRule="exact"/>
        <w:ind w:firstLine="643" w:firstLineChars="200"/>
        <w:outlineLvl w:val="2"/>
        <w:rPr>
          <w:rFonts w:ascii="仿宋" w:hAnsi="仿宋" w:eastAsia="仿宋"/>
          <w:color w:val="000000"/>
          <w:sz w:val="32"/>
          <w:szCs w:val="32"/>
        </w:rPr>
      </w:pPr>
      <w:bookmarkStart w:id="80" w:name="_Toc79163875"/>
      <w:bookmarkStart w:id="81" w:name="_Toc79163625"/>
      <w:r>
        <w:rPr>
          <w:rFonts w:hint="eastAsia" w:ascii="仿宋" w:hAnsi="仿宋" w:eastAsia="仿宋"/>
          <w:b/>
          <w:color w:val="000000"/>
          <w:sz w:val="32"/>
          <w:szCs w:val="32"/>
        </w:rPr>
        <w:t>（一）机关运行经费支出情况</w:t>
      </w:r>
      <w:bookmarkEnd w:id="80"/>
      <w:bookmarkEnd w:id="81"/>
    </w:p>
    <w:p w14:paraId="1EEE1B85">
      <w:pPr>
        <w:spacing w:line="576" w:lineRule="exact"/>
        <w:ind w:firstLine="800" w:firstLineChars="250"/>
        <w:outlineLvl w:val="1"/>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度</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lang w:val="en-US" w:eastAsia="zh-CN"/>
        </w:rPr>
        <w:t>部门决算汇总</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11.26</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与</w:t>
      </w:r>
      <w:r>
        <w:rPr>
          <w:rFonts w:ascii="仿宋_GB2312" w:eastAsia="仿宋_GB2312"/>
          <w:color w:val="000000"/>
          <w:sz w:val="32"/>
          <w:szCs w:val="32"/>
        </w:rPr>
        <w:t>20</w:t>
      </w:r>
      <w:r>
        <w:rPr>
          <w:rFonts w:hint="eastAsia" w:ascii="仿宋_GB2312" w:eastAsia="仿宋_GB2312"/>
          <w:color w:val="000000"/>
          <w:sz w:val="32"/>
          <w:szCs w:val="32"/>
        </w:rPr>
        <w:t>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度相比减少4.98</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下降30.67</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全面落实关于党政机关厉行勤俭节约等</w:t>
      </w:r>
      <w:r>
        <w:rPr>
          <w:rFonts w:hint="eastAsia" w:ascii="仿宋_GB2312" w:eastAsia="仿宋_GB2312"/>
          <w:color w:val="000000"/>
          <w:sz w:val="32"/>
          <w:szCs w:val="32"/>
        </w:rPr>
        <w:t>。</w:t>
      </w:r>
    </w:p>
    <w:bookmarkEnd w:id="72"/>
    <w:bookmarkEnd w:id="73"/>
    <w:p w14:paraId="372C64AB">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2" w:name="_Toc15377223"/>
      <w:bookmarkStart w:id="83" w:name="_Toc79163626"/>
      <w:bookmarkStart w:id="84" w:name="_Toc79163876"/>
      <w:bookmarkStart w:id="85" w:name="_Toc15377224"/>
      <w:r>
        <w:rPr>
          <w:rFonts w:hint="eastAsia" w:ascii="仿宋" w:hAnsi="仿宋" w:eastAsia="仿宋"/>
          <w:b/>
          <w:color w:val="000000"/>
          <w:sz w:val="32"/>
          <w:szCs w:val="32"/>
        </w:rPr>
        <w:t>（二）政府采购支出情况</w:t>
      </w:r>
      <w:bookmarkEnd w:id="82"/>
      <w:bookmarkEnd w:id="83"/>
      <w:bookmarkEnd w:id="84"/>
    </w:p>
    <w:p w14:paraId="6A1C0135">
      <w:pPr>
        <w:widowControl/>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eastAsia="仿宋_GB2312"/>
          <w:color w:val="000000"/>
          <w:sz w:val="32"/>
          <w:szCs w:val="32"/>
          <w:lang w:val="en-US" w:eastAsia="zh-CN"/>
        </w:rPr>
        <w:t>四川省阿坝州</w:t>
      </w:r>
      <w:r>
        <w:rPr>
          <w:rFonts w:hint="eastAsia" w:ascii="仿宋_GB2312" w:hAnsi="仿宋_GB2312" w:eastAsia="仿宋_GB2312" w:cs="仿宋_GB2312"/>
          <w:sz w:val="32"/>
          <w:szCs w:val="32"/>
        </w:rPr>
        <w:t>茂县人力资源和社会保障局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sz w:val="32"/>
          <w:szCs w:val="32"/>
        </w:rPr>
        <w:t>。</w:t>
      </w:r>
    </w:p>
    <w:bookmarkEnd w:id="85"/>
    <w:p w14:paraId="4EF39A8F">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6" w:name="_Toc79163627"/>
      <w:bookmarkStart w:id="87" w:name="_Toc79163877"/>
      <w:r>
        <w:rPr>
          <w:rFonts w:hint="eastAsia" w:ascii="仿宋" w:hAnsi="仿宋" w:eastAsia="仿宋"/>
          <w:b/>
          <w:color w:val="000000"/>
          <w:sz w:val="32"/>
          <w:szCs w:val="32"/>
        </w:rPr>
        <w:t>（三）国有资产占有使用情况</w:t>
      </w:r>
      <w:bookmarkEnd w:id="86"/>
      <w:bookmarkEnd w:id="87"/>
    </w:p>
    <w:p w14:paraId="14DE3284">
      <w:pPr>
        <w:autoSpaceDE w:val="0"/>
        <w:autoSpaceDN w:val="0"/>
        <w:adjustRightInd w:val="0"/>
        <w:spacing w:line="576"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四川省阿坝州</w:t>
      </w:r>
      <w:r>
        <w:rPr>
          <w:rFonts w:hint="eastAsia" w:ascii="仿宋_GB2312" w:eastAsia="仿宋_GB2312"/>
          <w:color w:val="000000"/>
          <w:sz w:val="32"/>
          <w:szCs w:val="32"/>
        </w:rPr>
        <w:t>茂县</w:t>
      </w:r>
      <w:r>
        <w:rPr>
          <w:rFonts w:ascii="仿宋_GB2312" w:eastAsia="仿宋_GB2312"/>
          <w:color w:val="000000"/>
          <w:sz w:val="32"/>
          <w:szCs w:val="32"/>
        </w:rPr>
        <w:t>人力资源和社会保障局</w:t>
      </w:r>
      <w:r>
        <w:rPr>
          <w:rFonts w:hint="eastAsia" w:ascii="仿宋_GB2312" w:eastAsia="仿宋_GB2312"/>
          <w:color w:val="000000"/>
          <w:sz w:val="32"/>
          <w:szCs w:val="32"/>
        </w:rPr>
        <w:t>共有车辆2辆，其中：其他用车2辆，其他用车主要是用于</w:t>
      </w:r>
      <w:r>
        <w:rPr>
          <w:rFonts w:hint="eastAsia" w:ascii="仿宋_GB2312" w:eastAsia="仿宋_GB2312"/>
          <w:color w:val="000000" w:themeColor="text1"/>
          <w:sz w:val="32"/>
          <w:szCs w:val="32"/>
        </w:rPr>
        <w:t>单位日常工作</w:t>
      </w:r>
      <w:r>
        <w:rPr>
          <w:rFonts w:hint="eastAsia" w:ascii="仿宋_GB2312" w:eastAsia="仿宋_GB2312"/>
          <w:color w:val="000000" w:themeColor="text1"/>
          <w:sz w:val="32"/>
          <w:szCs w:val="32"/>
          <w:lang w:val="en-US" w:eastAsia="zh-CN"/>
        </w:rPr>
        <w:t>运转</w:t>
      </w:r>
      <w:r>
        <w:rPr>
          <w:rFonts w:hint="eastAsia" w:ascii="仿宋_GB2312" w:eastAsia="仿宋_GB2312"/>
          <w:color w:val="000000" w:themeColor="text1"/>
          <w:sz w:val="32"/>
          <w:szCs w:val="32"/>
        </w:rPr>
        <w:t>。</w:t>
      </w:r>
    </w:p>
    <w:p w14:paraId="0E1C99AF">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rPr>
      </w:pPr>
      <w:bookmarkStart w:id="88" w:name="_Toc79163628"/>
      <w:bookmarkStart w:id="89" w:name="_Toc79163878"/>
      <w:r>
        <w:rPr>
          <w:rFonts w:hint="eastAsia" w:ascii="仿宋" w:hAnsi="仿宋" w:eastAsia="仿宋"/>
          <w:b/>
          <w:color w:val="000000"/>
          <w:sz w:val="32"/>
          <w:szCs w:val="32"/>
        </w:rPr>
        <w:t>预算绩效管理情况</w:t>
      </w:r>
      <w:bookmarkEnd w:id="88"/>
      <w:bookmarkEnd w:id="89"/>
    </w:p>
    <w:p w14:paraId="7FE19ABD">
      <w:pPr>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预算编制阶段，</w:t>
      </w:r>
      <w:r>
        <w:rPr>
          <w:rFonts w:hint="default" w:ascii="Times New Roman" w:hAnsi="Times New Roman" w:eastAsia="仿宋_GB2312" w:cs="Times New Roman"/>
          <w:color w:val="auto"/>
          <w:sz w:val="32"/>
          <w:szCs w:val="32"/>
          <w:highlight w:val="none"/>
          <w:lang w:eastAsia="zh-CN"/>
        </w:rPr>
        <w:t>组织</w:t>
      </w:r>
      <w:r>
        <w:rPr>
          <w:rFonts w:hint="eastAsia" w:ascii="仿宋_GB2312" w:hAnsi="仿宋_GB2312" w:eastAsia="仿宋_GB2312" w:cs="仿宋_GB2312"/>
          <w:sz w:val="32"/>
          <w:szCs w:val="32"/>
        </w:rPr>
        <w:t>对</w:t>
      </w:r>
      <w:r>
        <w:rPr>
          <w:rFonts w:hint="eastAsia" w:ascii="仿宋_GB2312" w:hAnsi="仿宋" w:eastAsia="仿宋_GB2312" w:cs="仿宋"/>
          <w:sz w:val="32"/>
          <w:szCs w:val="32"/>
        </w:rPr>
        <w:t>“退还民工工资保证金”“公开招考事业单位工作人员经费”</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三支一扶安家费</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公共实训基地</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等</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个</w:t>
      </w:r>
      <w:r>
        <w:rPr>
          <w:rFonts w:hint="eastAsia" w:ascii="仿宋_GB2312" w:hAnsi="仿宋_GB2312" w:eastAsia="仿宋_GB2312" w:cs="仿宋_GB2312"/>
          <w:sz w:val="32"/>
          <w:szCs w:val="32"/>
        </w:rPr>
        <w:t>项目开展了预算事前绩效评估，对</w:t>
      </w:r>
      <w:r>
        <w:rPr>
          <w:rFonts w:hint="eastAsia" w:ascii="仿宋_GB2312" w:hAnsi="仿宋_GB2312" w:eastAsia="仿宋_GB2312" w:cs="仿宋_GB2312"/>
          <w:sz w:val="32"/>
          <w:szCs w:val="32"/>
          <w:lang w:val="en-US" w:eastAsia="zh-CN"/>
        </w:rPr>
        <w:t>4个</w:t>
      </w:r>
      <w:r>
        <w:rPr>
          <w:rFonts w:hint="eastAsia" w:ascii="仿宋_GB2312" w:hAnsi="仿宋_GB2312" w:eastAsia="仿宋_GB2312" w:cs="仿宋_GB2312"/>
          <w:sz w:val="32"/>
          <w:szCs w:val="32"/>
        </w:rPr>
        <w:t>项目编制了绩效目标，预算执行过程中，</w:t>
      </w:r>
      <w:r>
        <w:rPr>
          <w:rFonts w:hint="eastAsia" w:ascii="仿宋_GB2312" w:hAnsi="仿宋_GB2312" w:eastAsia="仿宋_GB2312" w:cs="仿宋_GB2312"/>
          <w:sz w:val="32"/>
          <w:szCs w:val="32"/>
          <w:lang w:val="en-US" w:eastAsia="zh-CN"/>
        </w:rPr>
        <w:t>对4个</w:t>
      </w:r>
      <w:r>
        <w:rPr>
          <w:rFonts w:hint="eastAsia" w:ascii="仿宋_GB2312" w:hAnsi="仿宋_GB2312" w:eastAsia="仿宋_GB2312" w:cs="仿宋_GB2312"/>
          <w:sz w:val="32"/>
          <w:szCs w:val="32"/>
        </w:rPr>
        <w:t>项目开展绩效监控，年终执行完毕后，对项目开展了绩效目标完成情况自评</w:t>
      </w:r>
      <w:r>
        <w:rPr>
          <w:rFonts w:hint="default" w:ascii="Times New Roman" w:hAnsi="Times New Roman" w:eastAsia="仿宋_GB2312" w:cs="Times New Roman"/>
          <w:color w:val="auto"/>
          <w:sz w:val="32"/>
          <w:szCs w:val="32"/>
          <w:highlight w:val="none"/>
          <w:lang w:val="en-US" w:eastAsia="zh-CN"/>
        </w:rPr>
        <w:t>，绩效自评表详见第四部分附件。</w:t>
      </w:r>
    </w:p>
    <w:p w14:paraId="5B0D8C24">
      <w:pPr>
        <w:pStyle w:val="14"/>
        <w:rPr>
          <w:rFonts w:hint="eastAsia" w:ascii="仿宋" w:hAnsi="仿宋" w:eastAsia="仿宋" w:cs="仿宋_GB2312"/>
          <w:sz w:val="32"/>
          <w:szCs w:val="32"/>
          <w:lang w:eastAsia="zh-CN"/>
        </w:rPr>
      </w:pPr>
    </w:p>
    <w:p w14:paraId="785261E6">
      <w:pPr>
        <w:numPr>
          <w:ilvl w:val="0"/>
          <w:numId w:val="4"/>
        </w:numPr>
        <w:spacing w:line="600" w:lineRule="exact"/>
        <w:ind w:firstLine="660" w:firstLineChars="150"/>
        <w:jc w:val="center"/>
        <w:outlineLvl w:val="0"/>
        <w:rPr>
          <w:rStyle w:val="30"/>
          <w:rFonts w:ascii="黑体" w:hAnsi="黑体" w:eastAsia="黑体"/>
          <w:b w:val="0"/>
        </w:rPr>
      </w:pPr>
      <w:bookmarkStart w:id="90" w:name="_Toc15377225"/>
      <w:bookmarkStart w:id="91" w:name="_Toc15396613"/>
      <w:bookmarkStart w:id="92" w:name="_Toc79163629"/>
      <w:bookmarkStart w:id="93" w:name="_Toc79163879"/>
      <w:r>
        <w:rPr>
          <w:rFonts w:hint="eastAsia" w:ascii="黑体" w:hAnsi="黑体" w:eastAsia="黑体"/>
          <w:color w:val="000000"/>
          <w:sz w:val="44"/>
          <w:szCs w:val="44"/>
        </w:rPr>
        <w:t>名</w:t>
      </w:r>
      <w:r>
        <w:rPr>
          <w:rStyle w:val="30"/>
          <w:rFonts w:hint="eastAsia" w:ascii="黑体" w:hAnsi="黑体" w:eastAsia="黑体"/>
        </w:rPr>
        <w:t>词解释</w:t>
      </w:r>
      <w:bookmarkEnd w:id="90"/>
      <w:bookmarkEnd w:id="91"/>
      <w:bookmarkEnd w:id="92"/>
      <w:bookmarkEnd w:id="93"/>
    </w:p>
    <w:p w14:paraId="508ACD7B">
      <w:pPr>
        <w:spacing w:line="600" w:lineRule="exact"/>
        <w:jc w:val="left"/>
        <w:rPr>
          <w:rFonts w:ascii="宋体"/>
          <w:b/>
          <w:color w:val="000000"/>
          <w:sz w:val="44"/>
          <w:szCs w:val="44"/>
        </w:rPr>
      </w:pPr>
    </w:p>
    <w:p w14:paraId="41C4B2C0">
      <w:pPr>
        <w:pStyle w:val="28"/>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197861E5">
      <w:pPr>
        <w:pStyle w:val="28"/>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1B7CF466">
      <w:pPr>
        <w:pStyle w:val="28"/>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3B8F656B">
      <w:pPr>
        <w:pStyle w:val="28"/>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4588DF33">
      <w:pPr>
        <w:pStyle w:val="28"/>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6CF154C2">
      <w:pPr>
        <w:pStyle w:val="28"/>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35A6511D">
      <w:pPr>
        <w:pStyle w:val="28"/>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2E84C2A7">
      <w:pPr>
        <w:pStyle w:val="28"/>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47C2BB07">
      <w:pPr>
        <w:spacing w:line="576" w:lineRule="exact"/>
        <w:ind w:firstLine="640" w:firstLineChars="200"/>
        <w:rPr>
          <w:rFonts w:ascii="仿宋_GB2312" w:eastAsia="仿宋_GB2312"/>
          <w:sz w:val="32"/>
          <w:szCs w:val="32"/>
        </w:rPr>
      </w:pPr>
      <w:r>
        <w:rPr>
          <w:rFonts w:ascii="仿宋_GB2312" w:eastAsia="仿宋_GB2312"/>
          <w:color w:val="000000"/>
          <w:sz w:val="32"/>
          <w:szCs w:val="32"/>
        </w:rPr>
        <w:t>9.</w:t>
      </w:r>
      <w:r>
        <w:rPr>
          <w:rFonts w:hint="eastAsia" w:ascii="仿宋_GB2312" w:eastAsia="仿宋_GB2312"/>
          <w:color w:val="000000"/>
          <w:sz w:val="32"/>
          <w:szCs w:val="32"/>
        </w:rPr>
        <w:t xml:space="preserve"> 一般公共服务（</w:t>
      </w:r>
      <w:r>
        <w:rPr>
          <w:rFonts w:hint="eastAsia" w:ascii="仿宋_GB2312" w:eastAsia="仿宋_GB2312"/>
          <w:sz w:val="32"/>
          <w:szCs w:val="32"/>
        </w:rPr>
        <w:t>类）</w:t>
      </w:r>
      <w:r>
        <w:rPr>
          <w:rFonts w:hint="eastAsia" w:ascii="仿宋_GB2312" w:eastAsia="仿宋_GB2312"/>
          <w:color w:val="000000"/>
          <w:sz w:val="32"/>
          <w:szCs w:val="32"/>
        </w:rPr>
        <w:t>人力</w:t>
      </w:r>
      <w:r>
        <w:rPr>
          <w:rFonts w:ascii="仿宋_GB2312" w:eastAsia="仿宋_GB2312"/>
          <w:color w:val="000000"/>
          <w:sz w:val="32"/>
          <w:szCs w:val="32"/>
        </w:rPr>
        <w:t>资源事务</w:t>
      </w:r>
      <w:r>
        <w:rPr>
          <w:rFonts w:hint="eastAsia" w:ascii="仿宋_GB2312" w:eastAsia="仿宋_GB2312"/>
          <w:color w:val="000000"/>
          <w:sz w:val="32"/>
          <w:szCs w:val="32"/>
        </w:rPr>
        <w:t>（款）行政</w:t>
      </w:r>
      <w:r>
        <w:rPr>
          <w:rFonts w:ascii="仿宋_GB2312" w:eastAsia="仿宋_GB2312"/>
          <w:color w:val="000000"/>
          <w:sz w:val="32"/>
          <w:szCs w:val="32"/>
        </w:rPr>
        <w:t>运行</w:t>
      </w:r>
      <w:r>
        <w:rPr>
          <w:rFonts w:hint="eastAsia" w:ascii="仿宋_GB2312" w:eastAsia="仿宋_GB2312"/>
          <w:color w:val="000000"/>
          <w:sz w:val="32"/>
          <w:szCs w:val="32"/>
        </w:rPr>
        <w:t>（项）：指</w:t>
      </w:r>
      <w:r>
        <w:rPr>
          <w:rFonts w:hint="eastAsia" w:ascii="仿宋_GB2312" w:eastAsia="仿宋_GB2312"/>
          <w:sz w:val="32"/>
          <w:szCs w:val="32"/>
        </w:rPr>
        <w:t>主要用于单位行政人员经费和日常公用经费等基本支出和军转干部医保、慰问等费用，一般公共服务（类）人力资源事务（款）一般行政管理事务（项）：指事业人员经费和日常公用经费等基本支出。</w:t>
      </w:r>
    </w:p>
    <w:p w14:paraId="59564817">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sz w:val="32"/>
          <w:szCs w:val="32"/>
        </w:rPr>
        <w:t>（类）行政事业单位离退休（款）机关事业单位基本养老保险缴费支出（项）</w:t>
      </w:r>
      <w:r>
        <w:rPr>
          <w:rFonts w:hint="eastAsia" w:ascii="仿宋_GB2312" w:eastAsia="仿宋_GB2312"/>
          <w:color w:val="000000"/>
          <w:sz w:val="32"/>
          <w:szCs w:val="32"/>
        </w:rPr>
        <w:t>：指</w:t>
      </w:r>
      <w:r>
        <w:rPr>
          <w:rFonts w:hint="eastAsia" w:ascii="仿宋_GB2312" w:eastAsia="仿宋_GB2312"/>
          <w:sz w:val="32"/>
          <w:szCs w:val="32"/>
        </w:rPr>
        <w:t>单位缴纳基本养老保险费，社会保障和就业支出（类）行政事业单位离退休（款）机关事业单位职业年金缴费支出（项）：指单位缴纳职业年金</w:t>
      </w:r>
      <w:r>
        <w:rPr>
          <w:rFonts w:hint="eastAsia" w:ascii="仿宋_GB2312" w:eastAsia="仿宋_GB2312"/>
          <w:color w:val="000000"/>
          <w:sz w:val="32"/>
          <w:szCs w:val="32"/>
        </w:rPr>
        <w:t>。</w:t>
      </w:r>
    </w:p>
    <w:p w14:paraId="514766A5">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1</w:t>
      </w:r>
      <w:r>
        <w:rPr>
          <w:rFonts w:ascii="仿宋_GB2312" w:eastAsia="仿宋_GB2312"/>
          <w:color w:val="000000"/>
          <w:sz w:val="32"/>
          <w:szCs w:val="32"/>
        </w:rPr>
        <w:t>.</w:t>
      </w:r>
      <w:r>
        <w:rPr>
          <w:rFonts w:hint="eastAsia" w:ascii="仿宋_GB2312" w:eastAsia="仿宋_GB2312"/>
          <w:color w:val="000000"/>
          <w:sz w:val="32"/>
          <w:szCs w:val="32"/>
        </w:rPr>
        <w:t>医疗卫生与计划生育</w:t>
      </w:r>
      <w:r>
        <w:rPr>
          <w:rFonts w:hint="eastAsia" w:ascii="仿宋_GB2312" w:eastAsia="仿宋_GB2312"/>
          <w:sz w:val="32"/>
          <w:szCs w:val="32"/>
        </w:rPr>
        <w:t>（类）行政事业单位医疗（款）行政单位医疗</w:t>
      </w:r>
      <w:r>
        <w:rPr>
          <w:rFonts w:hint="eastAsia" w:ascii="仿宋_GB2312" w:eastAsia="仿宋_GB2312"/>
          <w:color w:val="000000"/>
          <w:sz w:val="32"/>
          <w:szCs w:val="32"/>
        </w:rPr>
        <w:t>（项）：指</w:t>
      </w:r>
      <w:r>
        <w:rPr>
          <w:rFonts w:hint="eastAsia" w:ascii="仿宋_GB2312" w:eastAsia="仿宋_GB2312"/>
          <w:sz w:val="32"/>
          <w:szCs w:val="32"/>
        </w:rPr>
        <w:t>单位行政人员缴纳基本医疗保险</w:t>
      </w:r>
      <w:r>
        <w:rPr>
          <w:rFonts w:hint="eastAsia" w:ascii="仿宋_GB2312" w:eastAsia="仿宋_GB2312"/>
          <w:color w:val="000000"/>
          <w:sz w:val="32"/>
          <w:szCs w:val="32"/>
        </w:rPr>
        <w:t>，</w:t>
      </w:r>
      <w:r>
        <w:rPr>
          <w:rFonts w:hint="eastAsia" w:ascii="仿宋_GB2312" w:eastAsia="仿宋_GB2312"/>
          <w:sz w:val="32"/>
          <w:szCs w:val="32"/>
        </w:rPr>
        <w:t>卫生健康支出（类）行政事业单位医疗（款）事业单位医疗（项）：指事业单位缴纳基本医疗保险。</w:t>
      </w:r>
    </w:p>
    <w:p w14:paraId="58FA2150">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w:t>
      </w:r>
      <w:r>
        <w:rPr>
          <w:rFonts w:hint="eastAsia" w:ascii="仿宋_GB2312" w:eastAsia="仿宋_GB2312"/>
          <w:color w:val="000000"/>
          <w:sz w:val="32"/>
          <w:szCs w:val="32"/>
        </w:rPr>
        <w:t>住房保障（类）住房改革（款）住房公积金（项）：指单位为职工缴纳住房公积金，住房保障（类）住房改革（款）购房补贴（项）：指财政支付退休职工购房补贴。</w:t>
      </w:r>
    </w:p>
    <w:p w14:paraId="687C1866">
      <w:pPr>
        <w:ind w:firstLine="640" w:firstLineChars="200"/>
        <w:rPr>
          <w:rFonts w:ascii="仿宋_GB2312" w:eastAsia="仿宋_GB2312"/>
          <w:color w:val="000000"/>
          <w:sz w:val="32"/>
          <w:szCs w:val="32"/>
        </w:rPr>
      </w:pPr>
      <w:r>
        <w:rPr>
          <w:rFonts w:hint="eastAsia" w:ascii="仿宋_GB2312" w:eastAsia="仿宋_GB2312"/>
          <w:color w:val="000000"/>
          <w:sz w:val="32"/>
          <w:szCs w:val="32"/>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08E62C15">
      <w:pPr>
        <w:ind w:firstLine="640" w:firstLineChars="200"/>
        <w:rPr>
          <w:rFonts w:ascii="仿宋_GB2312" w:eastAsia="仿宋_GB2312"/>
          <w:color w:val="000000"/>
          <w:sz w:val="32"/>
          <w:szCs w:val="32"/>
        </w:rPr>
      </w:pPr>
      <w:r>
        <w:rPr>
          <w:rFonts w:hint="eastAsia" w:ascii="仿宋_GB2312" w:eastAsia="仿宋_GB2312"/>
          <w:color w:val="000000"/>
          <w:sz w:val="32"/>
          <w:szCs w:val="32"/>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6C3B8E0D">
      <w:pPr>
        <w:pStyle w:val="28"/>
        <w:spacing w:line="560" w:lineRule="exact"/>
        <w:ind w:firstLine="640" w:firstLineChars="200"/>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CC0531">
      <w:pPr>
        <w:pStyle w:val="28"/>
        <w:spacing w:line="560" w:lineRule="exact"/>
        <w:ind w:firstLine="640" w:firstLineChars="200"/>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7AA1DD">
      <w:pPr>
        <w:spacing w:line="600" w:lineRule="exact"/>
        <w:jc w:val="both"/>
        <w:outlineLvl w:val="0"/>
        <w:rPr>
          <w:rFonts w:ascii="黑体" w:hAnsi="黑体" w:eastAsia="黑体"/>
          <w:color w:val="000000"/>
          <w:sz w:val="44"/>
          <w:szCs w:val="44"/>
        </w:rPr>
      </w:pPr>
      <w:bookmarkStart w:id="94" w:name="_Toc15396614"/>
      <w:bookmarkStart w:id="95" w:name="_Toc79163630"/>
      <w:bookmarkStart w:id="96" w:name="_Toc79163880"/>
      <w:bookmarkStart w:id="97" w:name="_Toc15377226"/>
    </w:p>
    <w:p w14:paraId="2FF59D1E">
      <w:pPr>
        <w:spacing w:line="600" w:lineRule="exact"/>
        <w:jc w:val="both"/>
        <w:outlineLvl w:val="0"/>
        <w:rPr>
          <w:rFonts w:ascii="黑体" w:hAnsi="黑体" w:eastAsia="黑体"/>
          <w:color w:val="000000"/>
          <w:sz w:val="44"/>
          <w:szCs w:val="44"/>
        </w:rPr>
      </w:pPr>
    </w:p>
    <w:p w14:paraId="3AB028EA">
      <w:pPr>
        <w:spacing w:line="600" w:lineRule="exact"/>
        <w:jc w:val="both"/>
        <w:outlineLvl w:val="0"/>
        <w:rPr>
          <w:rFonts w:ascii="黑体" w:hAnsi="黑体" w:eastAsia="黑体"/>
          <w:color w:val="000000"/>
          <w:sz w:val="44"/>
          <w:szCs w:val="44"/>
        </w:rPr>
      </w:pPr>
    </w:p>
    <w:p w14:paraId="5A6D2BF8">
      <w:pPr>
        <w:spacing w:line="600" w:lineRule="exact"/>
        <w:jc w:val="both"/>
        <w:outlineLvl w:val="0"/>
        <w:rPr>
          <w:rFonts w:ascii="黑体" w:hAnsi="黑体" w:eastAsia="黑体"/>
          <w:color w:val="000000"/>
          <w:sz w:val="44"/>
          <w:szCs w:val="44"/>
        </w:rPr>
      </w:pPr>
    </w:p>
    <w:p w14:paraId="001B40EE">
      <w:pPr>
        <w:spacing w:line="600" w:lineRule="exact"/>
        <w:jc w:val="both"/>
        <w:outlineLvl w:val="0"/>
        <w:rPr>
          <w:rFonts w:ascii="黑体" w:hAnsi="黑体" w:eastAsia="黑体"/>
          <w:color w:val="000000"/>
          <w:sz w:val="44"/>
          <w:szCs w:val="44"/>
        </w:rPr>
      </w:pPr>
    </w:p>
    <w:p w14:paraId="32718B9E">
      <w:pPr>
        <w:spacing w:line="600" w:lineRule="exact"/>
        <w:jc w:val="both"/>
        <w:outlineLvl w:val="0"/>
        <w:rPr>
          <w:rFonts w:ascii="黑体" w:hAnsi="黑体" w:eastAsia="黑体"/>
          <w:color w:val="000000"/>
          <w:sz w:val="44"/>
          <w:szCs w:val="44"/>
        </w:rPr>
      </w:pPr>
    </w:p>
    <w:p w14:paraId="122BC5E1">
      <w:pPr>
        <w:spacing w:line="600" w:lineRule="exact"/>
        <w:jc w:val="both"/>
        <w:outlineLvl w:val="0"/>
        <w:rPr>
          <w:rFonts w:ascii="黑体" w:hAnsi="黑体" w:eastAsia="黑体"/>
          <w:color w:val="000000"/>
          <w:sz w:val="44"/>
          <w:szCs w:val="44"/>
        </w:rPr>
      </w:pPr>
    </w:p>
    <w:p w14:paraId="04EA4FF7">
      <w:pPr>
        <w:spacing w:line="600" w:lineRule="exact"/>
        <w:jc w:val="both"/>
        <w:outlineLvl w:val="0"/>
        <w:rPr>
          <w:rFonts w:ascii="黑体" w:hAnsi="黑体" w:eastAsia="黑体"/>
          <w:color w:val="000000"/>
          <w:sz w:val="44"/>
          <w:szCs w:val="44"/>
        </w:rPr>
      </w:pPr>
    </w:p>
    <w:p w14:paraId="507A1503">
      <w:pPr>
        <w:spacing w:line="600" w:lineRule="exact"/>
        <w:jc w:val="both"/>
        <w:outlineLvl w:val="0"/>
        <w:rPr>
          <w:rFonts w:ascii="黑体" w:hAnsi="黑体" w:eastAsia="黑体"/>
          <w:color w:val="000000"/>
          <w:sz w:val="44"/>
          <w:szCs w:val="44"/>
        </w:rPr>
      </w:pPr>
    </w:p>
    <w:p w14:paraId="53EA9A7A">
      <w:pPr>
        <w:spacing w:line="600" w:lineRule="exact"/>
        <w:jc w:val="both"/>
        <w:outlineLvl w:val="0"/>
        <w:rPr>
          <w:rFonts w:ascii="黑体" w:hAnsi="黑体" w:eastAsia="黑体"/>
          <w:color w:val="000000"/>
          <w:sz w:val="44"/>
          <w:szCs w:val="44"/>
        </w:rPr>
      </w:pPr>
    </w:p>
    <w:p w14:paraId="5063C676">
      <w:pPr>
        <w:pStyle w:val="13"/>
        <w:rPr>
          <w:rFonts w:ascii="黑体" w:hAnsi="黑体" w:eastAsia="黑体"/>
          <w:color w:val="000000"/>
          <w:sz w:val="44"/>
          <w:szCs w:val="44"/>
        </w:rPr>
      </w:pPr>
    </w:p>
    <w:p w14:paraId="14104061">
      <w:pPr>
        <w:pStyle w:val="14"/>
        <w:rPr>
          <w:rFonts w:ascii="黑体" w:hAnsi="黑体" w:eastAsia="黑体"/>
          <w:color w:val="000000"/>
          <w:sz w:val="44"/>
          <w:szCs w:val="44"/>
        </w:rPr>
      </w:pPr>
    </w:p>
    <w:p w14:paraId="263E6349">
      <w:pPr>
        <w:rPr>
          <w:rFonts w:ascii="黑体" w:hAnsi="黑体" w:eastAsia="黑体"/>
          <w:color w:val="000000"/>
          <w:sz w:val="44"/>
          <w:szCs w:val="44"/>
        </w:rPr>
      </w:pPr>
    </w:p>
    <w:p w14:paraId="5399FDC5">
      <w:pPr>
        <w:pStyle w:val="13"/>
        <w:rPr>
          <w:rFonts w:ascii="黑体" w:hAnsi="黑体" w:eastAsia="黑体"/>
          <w:color w:val="000000"/>
          <w:sz w:val="44"/>
          <w:szCs w:val="44"/>
        </w:rPr>
      </w:pPr>
    </w:p>
    <w:p w14:paraId="16B41D5D">
      <w:pPr>
        <w:pStyle w:val="14"/>
        <w:rPr>
          <w:rFonts w:ascii="黑体" w:hAnsi="黑体" w:eastAsia="黑体"/>
          <w:color w:val="000000"/>
          <w:sz w:val="44"/>
          <w:szCs w:val="44"/>
        </w:rPr>
      </w:pPr>
    </w:p>
    <w:p w14:paraId="629F6483"/>
    <w:p w14:paraId="361DAFF6">
      <w:pPr>
        <w:spacing w:line="600" w:lineRule="exact"/>
        <w:jc w:val="both"/>
        <w:outlineLvl w:val="0"/>
        <w:rPr>
          <w:rFonts w:ascii="黑体" w:hAnsi="黑体" w:eastAsia="黑体"/>
          <w:color w:val="000000"/>
          <w:sz w:val="44"/>
          <w:szCs w:val="44"/>
        </w:rPr>
      </w:pPr>
    </w:p>
    <w:p w14:paraId="16EDAA9D">
      <w:pPr>
        <w:spacing w:line="600" w:lineRule="exact"/>
        <w:jc w:val="both"/>
        <w:outlineLvl w:val="0"/>
        <w:rPr>
          <w:rFonts w:ascii="黑体" w:hAnsi="黑体" w:eastAsia="黑体"/>
          <w:color w:val="000000"/>
          <w:sz w:val="44"/>
          <w:szCs w:val="44"/>
        </w:rPr>
      </w:pPr>
    </w:p>
    <w:p w14:paraId="0831BAF2">
      <w:pPr>
        <w:spacing w:line="600" w:lineRule="exact"/>
        <w:jc w:val="both"/>
        <w:outlineLvl w:val="0"/>
        <w:rPr>
          <w:rStyle w:val="30"/>
          <w:rFonts w:hint="eastAsia" w:ascii="黑体" w:hAnsi="黑体"/>
        </w:rPr>
      </w:pPr>
    </w:p>
    <w:p w14:paraId="0F212AF4">
      <w:pPr>
        <w:spacing w:line="600" w:lineRule="exact"/>
        <w:jc w:val="center"/>
        <w:outlineLvl w:val="0"/>
        <w:rPr>
          <w:rStyle w:val="30"/>
          <w:rFonts w:ascii="黑体" w:hAnsi="黑体" w:eastAsia="黑体"/>
          <w:b w:val="0"/>
        </w:rPr>
      </w:pPr>
      <w:r>
        <w:rPr>
          <w:rStyle w:val="30"/>
          <w:rFonts w:hint="eastAsia" w:ascii="黑体" w:hAnsi="黑体"/>
        </w:rPr>
        <w:t>第</w:t>
      </w:r>
      <w:r>
        <w:rPr>
          <w:rStyle w:val="30"/>
          <w:rFonts w:hint="eastAsia" w:ascii="黑体" w:hAnsi="黑体" w:eastAsia="黑体"/>
        </w:rPr>
        <w:t>四部分</w:t>
      </w:r>
      <w:r>
        <w:rPr>
          <w:rStyle w:val="30"/>
          <w:rFonts w:ascii="黑体" w:hAnsi="黑体" w:eastAsia="黑体"/>
        </w:rPr>
        <w:t xml:space="preserve"> </w:t>
      </w:r>
      <w:r>
        <w:rPr>
          <w:rStyle w:val="30"/>
          <w:rFonts w:hint="eastAsia" w:ascii="黑体" w:hAnsi="黑体" w:eastAsia="黑体"/>
        </w:rPr>
        <w:t>附件</w:t>
      </w:r>
      <w:bookmarkEnd w:id="94"/>
      <w:bookmarkEnd w:id="95"/>
      <w:bookmarkEnd w:id="96"/>
    </w:p>
    <w:p w14:paraId="5AD8E4CD">
      <w:pPr>
        <w:spacing w:line="600" w:lineRule="exact"/>
        <w:jc w:val="left"/>
        <w:outlineLvl w:val="0"/>
        <w:rPr>
          <w:rFonts w:ascii="仿宋_GB2312" w:hAnsi="黑体" w:eastAsia="仿宋_GB2312" w:cs="宋体"/>
          <w:color w:val="000000"/>
          <w:kern w:val="0"/>
          <w:sz w:val="32"/>
          <w:szCs w:val="32"/>
          <w:shd w:val="clear" w:color="auto" w:fill="FFFFFF"/>
        </w:rPr>
      </w:pPr>
      <w:bookmarkStart w:id="98" w:name="_Toc79163631"/>
      <w:bookmarkStart w:id="99" w:name="_Toc79163881"/>
      <w:r>
        <w:rPr>
          <w:rFonts w:hint="eastAsia" w:ascii="黑体" w:hAnsi="黑体" w:eastAsia="黑体" w:cs="黑体"/>
          <w:sz w:val="32"/>
          <w:szCs w:val="32"/>
        </w:rPr>
        <w:t>附件</w:t>
      </w:r>
      <w:r>
        <w:rPr>
          <w:rFonts w:ascii="黑体" w:hAnsi="黑体" w:eastAsia="黑体" w:cs="黑体"/>
          <w:sz w:val="32"/>
          <w:szCs w:val="32"/>
        </w:rPr>
        <w:t>1</w:t>
      </w:r>
      <w:bookmarkEnd w:id="98"/>
      <w:bookmarkEnd w:id="99"/>
      <w:bookmarkStart w:id="100" w:name="_Toc79163633"/>
      <w:bookmarkStart w:id="101" w:name="_Toc79163883"/>
    </w:p>
    <w:p w14:paraId="24E817AF">
      <w:pPr>
        <w:widowControl/>
        <w:spacing w:line="578" w:lineRule="exact"/>
        <w:ind w:firstLine="1760" w:firstLineChars="400"/>
        <w:contextualSpacing/>
        <w:rPr>
          <w:rFonts w:eastAsia="宋体"/>
          <w:b/>
          <w:sz w:val="44"/>
          <w:szCs w:val="44"/>
          <w:shd w:val="clear" w:color="auto" w:fill="FFFFFF"/>
        </w:rPr>
      </w:pPr>
      <w:r>
        <w:rPr>
          <w:rFonts w:hint="eastAsia" w:ascii="方正小标宋简体" w:eastAsia="方正小标宋简体"/>
          <w:sz w:val="44"/>
          <w:szCs w:val="44"/>
        </w:rPr>
        <w:t>茂县人力资源和社会保障局</w:t>
      </w:r>
    </w:p>
    <w:p w14:paraId="41CE3091">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2025年度</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7E18C6C0">
      <w:pPr>
        <w:widowControl/>
        <w:adjustRightInd w:val="0"/>
        <w:snapToGrid w:val="0"/>
        <w:spacing w:line="578" w:lineRule="exact"/>
        <w:ind w:firstLine="420" w:firstLineChars="200"/>
        <w:contextualSpacing/>
        <w:jc w:val="left"/>
        <w:rPr>
          <w:rFonts w:hint="eastAsia" w:eastAsia="黑体"/>
          <w:color w:val="000000"/>
          <w:kern w:val="0"/>
          <w:szCs w:val="32"/>
          <w:shd w:val="clear" w:color="auto" w:fill="FFFFFF"/>
          <w:lang w:val="zh-CN"/>
        </w:rPr>
      </w:pPr>
    </w:p>
    <w:p w14:paraId="76B7847B">
      <w:pPr>
        <w:keepNext w:val="0"/>
        <w:keepLines w:val="0"/>
        <w:pageBreakBefore w:val="0"/>
        <w:widowControl/>
        <w:kinsoku/>
        <w:wordWrap/>
        <w:overflowPunct/>
        <w:topLinePunct w:val="0"/>
        <w:autoSpaceDE/>
        <w:autoSpaceDN/>
        <w:bidi w:val="0"/>
        <w:adjustRightInd w:val="0"/>
        <w:snapToGrid w:val="0"/>
        <w:spacing w:line="550" w:lineRule="exact"/>
        <w:ind w:firstLine="640" w:firstLineChars="200"/>
        <w:contextualSpacing/>
        <w:jc w:val="left"/>
        <w:textAlignment w:val="auto"/>
        <w:rPr>
          <w:rFonts w:hint="eastAsia" w:ascii="黑体" w:hAnsi="黑体" w:eastAsia="黑体" w:cs="Times New Roman"/>
          <w:kern w:val="2"/>
          <w:sz w:val="32"/>
          <w:szCs w:val="32"/>
          <w:lang w:val="zh-CN" w:eastAsia="zh-CN" w:bidi="ar-SA"/>
        </w:rPr>
      </w:pPr>
      <w:bookmarkStart w:id="102" w:name="_Hlk110546638"/>
      <w:r>
        <w:rPr>
          <w:rFonts w:hint="eastAsia" w:ascii="黑体" w:hAnsi="黑体" w:eastAsia="黑体" w:cs="Times New Roman"/>
          <w:kern w:val="2"/>
          <w:sz w:val="32"/>
          <w:szCs w:val="32"/>
          <w:lang w:val="zh-CN" w:eastAsia="zh-CN" w:bidi="ar-SA"/>
        </w:rPr>
        <w:t>一、单位基本情况</w:t>
      </w:r>
    </w:p>
    <w:p w14:paraId="2D572296">
      <w:pPr>
        <w:pStyle w:val="36"/>
        <w:keepNext w:val="0"/>
        <w:keepLines w:val="0"/>
        <w:pageBreakBefore w:val="0"/>
        <w:kinsoku/>
        <w:wordWrap/>
        <w:overflowPunct/>
        <w:topLinePunct w:val="0"/>
        <w:autoSpaceDE/>
        <w:autoSpaceDN/>
        <w:bidi w:val="0"/>
        <w:spacing w:line="550" w:lineRule="exact"/>
        <w:ind w:firstLine="643" w:firstLineChars="200"/>
        <w:textAlignment w:val="auto"/>
        <w:rPr>
          <w:rFonts w:hint="eastAsia" w:ascii="楷体_GB2312" w:hAnsi="黑体" w:eastAsia="楷体_GB2312"/>
          <w:b/>
          <w:sz w:val="32"/>
          <w:szCs w:val="32"/>
        </w:rPr>
      </w:pPr>
      <w:r>
        <w:rPr>
          <w:rFonts w:hint="eastAsia" w:ascii="楷体_GB2312" w:hAnsi="黑体" w:eastAsia="楷体_GB2312"/>
          <w:b/>
          <w:sz w:val="32"/>
          <w:szCs w:val="32"/>
        </w:rPr>
        <w:t>（一）机构组成</w:t>
      </w:r>
    </w:p>
    <w:p w14:paraId="629294D6">
      <w:pPr>
        <w:keepNext w:val="0"/>
        <w:keepLines w:val="0"/>
        <w:pageBreakBefore w:val="0"/>
        <w:kinsoku/>
        <w:wordWrap/>
        <w:overflowPunct/>
        <w:topLinePunct w:val="0"/>
        <w:autoSpaceDE/>
        <w:autoSpaceDN/>
        <w:bidi w:val="0"/>
        <w:spacing w:line="55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rPr>
        <w:t>县人力资源社会保障局内设机构</w:t>
      </w:r>
      <w:r>
        <w:rPr>
          <w:rFonts w:hint="eastAsia" w:ascii="仿宋_GB2312" w:eastAsia="仿宋_GB2312"/>
          <w:sz w:val="32"/>
          <w:szCs w:val="32"/>
          <w:lang w:val="en-US" w:eastAsia="zh-CN"/>
        </w:rPr>
        <w:t>6个</w:t>
      </w:r>
      <w:r>
        <w:rPr>
          <w:rFonts w:hint="eastAsia" w:ascii="仿宋_GB2312" w:eastAsia="仿宋_GB2312"/>
          <w:sz w:val="32"/>
          <w:szCs w:val="32"/>
        </w:rPr>
        <w:t>：办公室、就业促进股（农民工工作股）、工资福利与退休人员管理股、事业单位综合管理股、社会保险基金监督股、政策法规股（行政审批股）</w:t>
      </w:r>
      <w:r>
        <w:rPr>
          <w:rFonts w:hint="eastAsia" w:ascii="仿宋_GB2312" w:eastAsia="仿宋_GB2312"/>
          <w:sz w:val="32"/>
          <w:szCs w:val="32"/>
          <w:lang w:eastAsia="zh-CN"/>
        </w:rPr>
        <w:t>；</w:t>
      </w:r>
      <w:r>
        <w:rPr>
          <w:rFonts w:hint="eastAsia" w:ascii="仿宋_GB2312" w:eastAsia="仿宋_GB2312"/>
          <w:sz w:val="32"/>
          <w:szCs w:val="32"/>
          <w:lang w:val="en-US" w:eastAsia="zh-CN"/>
        </w:rPr>
        <w:t>事业机构5个：劳动人事争议仲裁院、人才交流服务中心、人才中心、信息中心、职工培训中心。</w:t>
      </w:r>
    </w:p>
    <w:p w14:paraId="3C311125">
      <w:pPr>
        <w:pStyle w:val="36"/>
        <w:keepNext w:val="0"/>
        <w:keepLines w:val="0"/>
        <w:pageBreakBefore w:val="0"/>
        <w:kinsoku/>
        <w:wordWrap/>
        <w:overflowPunct/>
        <w:topLinePunct w:val="0"/>
        <w:autoSpaceDE/>
        <w:autoSpaceDN/>
        <w:bidi w:val="0"/>
        <w:spacing w:line="550" w:lineRule="exact"/>
        <w:ind w:firstLine="643" w:firstLineChars="200"/>
        <w:textAlignment w:val="auto"/>
        <w:rPr>
          <w:rFonts w:hint="eastAsia" w:ascii="楷体_GB2312" w:hAnsi="黑体" w:eastAsia="楷体_GB2312" w:cs="Times New Roman"/>
          <w:b/>
          <w:sz w:val="32"/>
          <w:szCs w:val="32"/>
        </w:rPr>
      </w:pPr>
      <w:r>
        <w:rPr>
          <w:rFonts w:hint="eastAsia" w:ascii="楷体_GB2312" w:hAnsi="黑体" w:eastAsia="楷体_GB2312" w:cs="Times New Roman"/>
          <w:b/>
          <w:sz w:val="32"/>
          <w:szCs w:val="32"/>
        </w:rPr>
        <w:t>（二）机构职能</w:t>
      </w:r>
    </w:p>
    <w:p w14:paraId="2FF9A59E">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1.贯彻落实人力资源和社会保障法律、法规、规章和方针政策，拟订执行全县人力资源和社会保障事业发展规划，起草相关规范性文件草案，并组织实施和监督检查。</w:t>
      </w:r>
    </w:p>
    <w:p w14:paraId="0CE97686">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2.贯彻落实人力资源市场发展规划、人力资源流动政策，建立全县统一规范的人力资源市场，促进人力资源合理流动、有效配置。</w:t>
      </w:r>
    </w:p>
    <w:p w14:paraId="0BADCC71">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3.负责促进就业工作。统筹全县就业发展规划、政策和措施，完善公共就业创业服务体系，组织落实创业、就业援助制度，完善职业资格制度，拟订落实职业介绍机构的管理办法并组织实施，统筹建立面向城乡劳动者的职业培训制度，牵头贯彻落实高校毕业生就业创业政策。</w:t>
      </w:r>
    </w:p>
    <w:p w14:paraId="2A01427D">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4.统筹推进建立覆盖城乡的社会保障体系。贯彻落实养老保险全国统筹办法和全国统一的养老、失业、工伤保险关系转续办法；统筹执行全县相关社会保险及补充保险基金支付、管理、运营和监督办法；编制全县养老、失业、工伤等相关社会保险基金预决算草案。会同有关部门实施全民参保计划。贯彻落实人力资源和社会保障信息化建设总体规划、年度计划，组织实施相关制度、标准和规范。指导、督促企业参加工伤保险。</w:t>
      </w:r>
    </w:p>
    <w:p w14:paraId="3AD88017">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5.负责就业、失业和相关社会保险基金预测预警和信息引导，实施预防、调节和控制，保持就业形势稳定和相关社会保险基金总体收支平衡。</w:t>
      </w:r>
    </w:p>
    <w:p w14:paraId="5C60F654">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6.统筹贯彻劳动人事争议调解仲裁制度和劳动关系政策并组织和监督实施，完善劳动关系协调机制，贯彻职工工作时间、休息休假和假期制度，落实消除非法使用童工政策和女工、未成年工的特殊劳动保护政策，依法督促用人单位在劳动用工、合同签订与履约时，载明劳动保护、劳动条件和职业危害防护等条款。组织实施劳动保障监察，协调劳动者维权工作，依法查处重大案件。</w:t>
      </w:r>
    </w:p>
    <w:p w14:paraId="372185EB">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7.牵头推进深化职称制度改革，执行专业技术人员管理、继续教育和博士后管理等政策，负责专业技术人才选拔和培养工作。组织实施技能人才培养、评价、使用和激励制度。贯彻落实职业资格制度以及职业技能多元化评价政策。指导、监督各类技工学校、民办职业培训机构按国家和省、州有关规定履行安全管理责任。</w:t>
      </w:r>
    </w:p>
    <w:p w14:paraId="0ABFC7D4">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8.会同有关部门负责事业单位人事制度改革，按照管理权限负责规范事业单位岗位设置、公开招聘、聘用合同等人事综合管理工作，落实规范事业单位工作人员和机关工勤人员管理政策，将安全生产及环境保护责任履行情况作为事业单位工作人员奖惩、考核的重要内容。</w:t>
      </w:r>
    </w:p>
    <w:p w14:paraId="6EB8250A">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9.组织实施国家表彰奖励制度，综合管理政府表彰奖励工作，承担评比达标表彰等工作，根据授权承办以县委、县政府名义开展的县级表彰奖励活动。承办提请县人大常委会和县政府决定的人事任免事项。</w:t>
      </w:r>
    </w:p>
    <w:p w14:paraId="29F54AD6">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10.会同有关部门执行事业单位人员工资收入分配政策，建立企事业单位人员工资决定、正常增长和支付保障机制。贯彻执行企事业单位人员福利和退休政策。</w:t>
      </w:r>
    </w:p>
    <w:p w14:paraId="29A6D3E8">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11.会同有关部门拟订落实农民工工作综合性规划，推动相关政策的落实，协调解决重点难点问题，维护农民工合法权益。负责将安全生产纳入农民工技能培训内容。</w:t>
      </w:r>
    </w:p>
    <w:p w14:paraId="422F6283">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12.负责人力资源和社会保障领域的对外交流与合作工作。</w:t>
      </w:r>
    </w:p>
    <w:p w14:paraId="0C712212">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13.承担职责范围内的安全生产和职业健康、生态环境保护、审批服务便民化等工作。</w:t>
      </w:r>
    </w:p>
    <w:p w14:paraId="4B39A93E">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14.完成县委、县政府交办的其他任务。</w:t>
      </w:r>
    </w:p>
    <w:p w14:paraId="2B853AFF">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15.职能转变。深入推进简政放权、放管结合、优化服务改革，进一步减少行政审批事项，规范和优化对外办理事项，贯彻落实国家职业资格目录清单管理制度，加强事中事后监管，创新就业和社会保障等公共服务方式，加强信息分享，提高公共服务水平。</w:t>
      </w:r>
    </w:p>
    <w:p w14:paraId="42E8D0CF">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16.有关职责分工。高校毕业生就业管理的职责分工。毕业生就业政策由县人力资源社会保障局牵头，会同县教育局等部门贯彻落实；毕业生离校前的就业指导和服务工作，由县教育局负责；毕业生离校后的就业指导和服务工作，由县人力资源社会保障局负责。</w:t>
      </w:r>
    </w:p>
    <w:p w14:paraId="4C8B14C2">
      <w:pPr>
        <w:pStyle w:val="36"/>
        <w:keepNext w:val="0"/>
        <w:keepLines w:val="0"/>
        <w:pageBreakBefore w:val="0"/>
        <w:kinsoku/>
        <w:wordWrap/>
        <w:overflowPunct/>
        <w:topLinePunct w:val="0"/>
        <w:autoSpaceDE/>
        <w:autoSpaceDN/>
        <w:bidi w:val="0"/>
        <w:spacing w:line="550" w:lineRule="exact"/>
        <w:ind w:firstLine="643" w:firstLineChars="200"/>
        <w:textAlignment w:val="auto"/>
        <w:rPr>
          <w:rFonts w:hint="eastAsia" w:ascii="楷体_GB2312" w:hAnsi="黑体" w:eastAsia="楷体_GB2312" w:cs="Times New Roman"/>
          <w:b/>
          <w:sz w:val="32"/>
          <w:szCs w:val="32"/>
        </w:rPr>
      </w:pPr>
      <w:r>
        <w:rPr>
          <w:rFonts w:hint="eastAsia" w:ascii="楷体_GB2312" w:hAnsi="黑体" w:eastAsia="楷体_GB2312" w:cs="Times New Roman"/>
          <w:b/>
          <w:sz w:val="32"/>
          <w:szCs w:val="32"/>
        </w:rPr>
        <w:t>（三）人员概况</w:t>
      </w:r>
    </w:p>
    <w:p w14:paraId="4ED4FCCD">
      <w:pPr>
        <w:spacing w:line="55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县人力资源社会保障局行政编制10名。其中，局长1名，副局长2名；股级领导职数6名，机关工勤人员事业编制2名。其他事业人员25名。年末在职人员总数3</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人，其中：行政人员</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人，工勤2人，其他事业人员2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人；退休人员9人。</w:t>
      </w:r>
    </w:p>
    <w:p w14:paraId="12D5BCF1">
      <w:pPr>
        <w:widowControl/>
        <w:numPr>
          <w:ilvl w:val="0"/>
          <w:numId w:val="0"/>
        </w:numPr>
        <w:adjustRightInd w:val="0"/>
        <w:snapToGrid w:val="0"/>
        <w:spacing w:line="550" w:lineRule="exact"/>
        <w:ind w:left="720" w:leftChars="0"/>
        <w:contextualSpacing/>
        <w:jc w:val="left"/>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黑体" w:cs="Times New Roman"/>
          <w:color w:val="000000"/>
          <w:kern w:val="0"/>
          <w:sz w:val="32"/>
          <w:szCs w:val="32"/>
          <w:shd w:val="clear" w:color="auto" w:fill="FFFFFF"/>
          <w:lang w:val="zh-CN"/>
        </w:rPr>
        <w:t>二、部门资金收支情况</w:t>
      </w:r>
    </w:p>
    <w:p w14:paraId="540DEC7D">
      <w:pPr>
        <w:spacing w:line="550" w:lineRule="exact"/>
        <w:ind w:firstLine="643" w:firstLineChars="200"/>
        <w:rPr>
          <w:rFonts w:hint="eastAsia" w:ascii="楷体_GB2312" w:hAnsi="Times New Roman" w:eastAsia="楷体_GB2312" w:cs="Times New Roman"/>
          <w:b/>
          <w:color w:val="000000"/>
          <w:sz w:val="32"/>
          <w:szCs w:val="32"/>
          <w:lang w:val="zh-CN"/>
        </w:rPr>
      </w:pPr>
      <w:r>
        <w:rPr>
          <w:rFonts w:hint="eastAsia" w:ascii="楷体_GB2312" w:hAnsi="Times New Roman" w:eastAsia="楷体_GB2312" w:cs="Times New Roman"/>
          <w:b/>
          <w:color w:val="000000"/>
          <w:sz w:val="32"/>
          <w:szCs w:val="32"/>
          <w:lang w:val="zh-CN"/>
        </w:rPr>
        <w:t>（一）收入情况</w:t>
      </w:r>
    </w:p>
    <w:p w14:paraId="32DEC70A">
      <w:pPr>
        <w:spacing w:line="55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度</w:t>
      </w:r>
      <w:r>
        <w:rPr>
          <w:rFonts w:hint="eastAsia" w:ascii="仿宋_GB2312" w:hAnsi="Times New Roman" w:eastAsia="仿宋_GB2312" w:cs="Times New Roman"/>
          <w:sz w:val="32"/>
          <w:szCs w:val="32"/>
        </w:rPr>
        <w:t>收入预算执行数（收入决算数）为</w:t>
      </w:r>
      <w:r>
        <w:rPr>
          <w:rFonts w:hint="eastAsia" w:ascii="仿宋_GB2312" w:hAnsi="Times New Roman" w:eastAsia="仿宋_GB2312" w:cs="Times New Roman"/>
          <w:sz w:val="32"/>
          <w:szCs w:val="32"/>
          <w:lang w:val="en-US" w:eastAsia="zh-CN"/>
        </w:rPr>
        <w:t>983.08</w:t>
      </w:r>
      <w:r>
        <w:rPr>
          <w:rFonts w:hint="eastAsia" w:ascii="仿宋_GB2312" w:hAnsi="Times New Roman" w:eastAsia="仿宋_GB2312" w:cs="Times New Roman"/>
          <w:sz w:val="32"/>
          <w:szCs w:val="32"/>
        </w:rPr>
        <w:t>万元，</w:t>
      </w:r>
      <w:r>
        <w:rPr>
          <w:rFonts w:hint="eastAsia" w:ascii="仿宋_GB2312" w:eastAsia="仿宋_GB2312" w:cs="Times New Roman"/>
          <w:sz w:val="32"/>
          <w:szCs w:val="32"/>
          <w:lang w:eastAsia="zh-CN"/>
        </w:rPr>
        <w:t>与</w:t>
      </w: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度</w:t>
      </w:r>
      <w:r>
        <w:rPr>
          <w:rFonts w:hint="eastAsia" w:ascii="仿宋_GB2312" w:eastAsia="仿宋_GB2312" w:cs="Times New Roman"/>
          <w:sz w:val="32"/>
          <w:szCs w:val="32"/>
          <w:lang w:eastAsia="zh-CN"/>
        </w:rPr>
        <w:t>相比</w:t>
      </w:r>
      <w:r>
        <w:rPr>
          <w:rFonts w:hint="eastAsia" w:ascii="仿宋_GB2312" w:hAnsi="Times New Roman" w:eastAsia="仿宋_GB2312" w:cs="Times New Roman"/>
          <w:sz w:val="32"/>
          <w:szCs w:val="32"/>
          <w:lang w:val="en-US" w:eastAsia="zh-CN"/>
        </w:rPr>
        <w:t>减少12.18</w:t>
      </w:r>
      <w:r>
        <w:rPr>
          <w:rFonts w:hint="eastAsia" w:ascii="仿宋_GB2312" w:hAnsi="Times New Roman" w:eastAsia="仿宋_GB2312" w:cs="Times New Roman"/>
          <w:sz w:val="32"/>
          <w:szCs w:val="32"/>
        </w:rPr>
        <w:t>万元，</w:t>
      </w:r>
      <w:r>
        <w:rPr>
          <w:rFonts w:hint="eastAsia" w:ascii="仿宋_GB2312" w:hAnsi="Times New Roman" w:eastAsia="仿宋_GB2312" w:cs="Times New Roman"/>
          <w:sz w:val="32"/>
          <w:szCs w:val="32"/>
          <w:lang w:val="en-US" w:eastAsia="zh-CN"/>
        </w:rPr>
        <w:t>下降1.22</w:t>
      </w:r>
      <w:r>
        <w:rPr>
          <w:rFonts w:hint="eastAsia" w:ascii="仿宋_GB2312" w:hAnsi="Times New Roman" w:eastAsia="仿宋_GB2312" w:cs="Times New Roman"/>
          <w:sz w:val="32"/>
          <w:szCs w:val="32"/>
        </w:rPr>
        <w:t>%。</w:t>
      </w:r>
    </w:p>
    <w:p w14:paraId="4C1CFA4F">
      <w:pPr>
        <w:numPr>
          <w:ilvl w:val="0"/>
          <w:numId w:val="5"/>
        </w:numPr>
        <w:spacing w:line="550" w:lineRule="exact"/>
        <w:ind w:firstLine="643" w:firstLineChars="200"/>
        <w:rPr>
          <w:rFonts w:hint="eastAsia" w:ascii="楷体_GB2312" w:hAnsi="Times New Roman" w:eastAsia="楷体_GB2312" w:cs="Times New Roman"/>
          <w:b/>
          <w:color w:val="000000"/>
          <w:sz w:val="32"/>
          <w:szCs w:val="32"/>
          <w:lang w:val="zh-CN"/>
        </w:rPr>
      </w:pPr>
      <w:r>
        <w:rPr>
          <w:rFonts w:hint="eastAsia" w:ascii="楷体_GB2312" w:hAnsi="Times New Roman" w:eastAsia="楷体_GB2312" w:cs="Times New Roman"/>
          <w:b/>
          <w:color w:val="000000"/>
          <w:sz w:val="32"/>
          <w:szCs w:val="32"/>
          <w:lang w:val="zh-CN"/>
        </w:rPr>
        <w:t>支出情况</w:t>
      </w:r>
    </w:p>
    <w:p w14:paraId="2A36823C">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度</w:t>
      </w:r>
      <w:r>
        <w:rPr>
          <w:rFonts w:hint="eastAsia" w:ascii="仿宋_GB2312" w:hAnsi="Times New Roman" w:eastAsia="仿宋_GB2312" w:cs="Times New Roman"/>
          <w:sz w:val="32"/>
          <w:szCs w:val="32"/>
        </w:rPr>
        <w:t>支出预算执行数（支出决算数）为</w:t>
      </w:r>
      <w:r>
        <w:rPr>
          <w:rFonts w:hint="eastAsia" w:ascii="仿宋_GB2312" w:hAnsi="Times New Roman" w:eastAsia="仿宋_GB2312" w:cs="Times New Roman"/>
          <w:sz w:val="32"/>
          <w:szCs w:val="32"/>
          <w:lang w:val="en-US" w:eastAsia="zh-CN"/>
        </w:rPr>
        <w:t>983.08</w:t>
      </w:r>
      <w:r>
        <w:rPr>
          <w:rFonts w:hint="eastAsia" w:ascii="仿宋_GB2312" w:hAnsi="Times New Roman" w:eastAsia="仿宋_GB2312" w:cs="Times New Roman"/>
          <w:sz w:val="32"/>
          <w:szCs w:val="32"/>
        </w:rPr>
        <w:t>万元，</w:t>
      </w:r>
      <w:r>
        <w:rPr>
          <w:rFonts w:hint="eastAsia" w:ascii="仿宋_GB2312" w:eastAsia="仿宋_GB2312" w:cs="Times New Roman"/>
          <w:sz w:val="32"/>
          <w:szCs w:val="32"/>
          <w:lang w:eastAsia="zh-CN"/>
        </w:rPr>
        <w:t>与</w:t>
      </w: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度</w:t>
      </w:r>
      <w:r>
        <w:rPr>
          <w:rFonts w:hint="eastAsia" w:ascii="仿宋_GB2312" w:eastAsia="仿宋_GB2312" w:cs="Times New Roman"/>
          <w:sz w:val="32"/>
          <w:szCs w:val="32"/>
          <w:lang w:eastAsia="zh-CN"/>
        </w:rPr>
        <w:t>相比</w:t>
      </w:r>
      <w:r>
        <w:rPr>
          <w:rFonts w:hint="eastAsia" w:ascii="仿宋_GB2312" w:hAnsi="Times New Roman" w:eastAsia="仿宋_GB2312" w:cs="Times New Roman"/>
          <w:sz w:val="32"/>
          <w:szCs w:val="32"/>
          <w:lang w:val="en-US" w:eastAsia="zh-CN"/>
        </w:rPr>
        <w:t>减少12.18</w:t>
      </w:r>
      <w:r>
        <w:rPr>
          <w:rFonts w:hint="eastAsia" w:ascii="仿宋_GB2312" w:hAnsi="Times New Roman" w:eastAsia="仿宋_GB2312" w:cs="Times New Roman"/>
          <w:sz w:val="32"/>
          <w:szCs w:val="32"/>
        </w:rPr>
        <w:t>万元</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lang w:val="en-US" w:eastAsia="zh-CN"/>
        </w:rPr>
        <w:t>下降1.22</w:t>
      </w:r>
      <w:r>
        <w:rPr>
          <w:rFonts w:hint="eastAsia" w:ascii="仿宋_GB2312" w:hAnsi="Times New Roman" w:eastAsia="仿宋_GB2312" w:cs="Times New Roman"/>
          <w:sz w:val="32"/>
          <w:szCs w:val="32"/>
        </w:rPr>
        <w:t>%。</w:t>
      </w:r>
    </w:p>
    <w:p w14:paraId="508929E5">
      <w:pPr>
        <w:spacing w:line="550" w:lineRule="exact"/>
        <w:ind w:firstLine="643" w:firstLineChars="200"/>
        <w:rPr>
          <w:rFonts w:hint="eastAsia" w:ascii="楷体_GB2312" w:hAnsi="Calibri" w:eastAsia="楷体_GB2312" w:cs="Times New Roman"/>
          <w:b/>
          <w:color w:val="000000"/>
          <w:sz w:val="32"/>
          <w:szCs w:val="32"/>
          <w:lang w:val="zh-CN"/>
        </w:rPr>
      </w:pPr>
      <w:r>
        <w:rPr>
          <w:rFonts w:hint="eastAsia" w:ascii="楷体_GB2312" w:hAnsi="Calibri" w:eastAsia="楷体_GB2312" w:cs="Times New Roman"/>
          <w:b/>
          <w:color w:val="000000"/>
          <w:sz w:val="32"/>
          <w:szCs w:val="32"/>
          <w:lang w:val="zh-CN"/>
        </w:rPr>
        <w:t>（</w:t>
      </w:r>
      <w:r>
        <w:rPr>
          <w:rFonts w:hint="eastAsia" w:ascii="楷体_GB2312" w:hAnsi="Calibri" w:eastAsia="楷体_GB2312" w:cs="Times New Roman"/>
          <w:b/>
          <w:color w:val="000000"/>
          <w:sz w:val="32"/>
          <w:szCs w:val="32"/>
          <w:lang w:val="en-US" w:eastAsia="zh-CN"/>
        </w:rPr>
        <w:t>三</w:t>
      </w:r>
      <w:r>
        <w:rPr>
          <w:rFonts w:hint="eastAsia" w:ascii="楷体_GB2312" w:hAnsi="Calibri" w:eastAsia="楷体_GB2312" w:cs="Times New Roman"/>
          <w:b/>
          <w:color w:val="000000"/>
          <w:sz w:val="32"/>
          <w:szCs w:val="32"/>
          <w:lang w:val="zh-CN"/>
        </w:rPr>
        <w:t>）结余分配和结转结余情况</w:t>
      </w:r>
    </w:p>
    <w:p w14:paraId="02B340BF">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en-US" w:eastAsia="zh-CN"/>
        </w:rPr>
        <w:t>我单位2025年度决算无结转结余资金。</w:t>
      </w:r>
      <w:bookmarkStart w:id="148" w:name="_GoBack"/>
      <w:bookmarkEnd w:id="148"/>
    </w:p>
    <w:p w14:paraId="0CF4C1EB">
      <w:pPr>
        <w:widowControl/>
        <w:numPr>
          <w:ilvl w:val="0"/>
          <w:numId w:val="0"/>
        </w:numPr>
        <w:adjustRightInd w:val="0"/>
        <w:snapToGrid w:val="0"/>
        <w:spacing w:line="550" w:lineRule="exact"/>
        <w:ind w:left="720" w:leftChars="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三、部门预算绩效分析</w:t>
      </w:r>
    </w:p>
    <w:p w14:paraId="3D54E342">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（一）部门预算总体绩效分析</w:t>
      </w:r>
    </w:p>
    <w:p w14:paraId="5890F935">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val="zh-CN" w:eastAsia="zh-CN"/>
        </w:rPr>
        <w:t>履职效能</w:t>
      </w:r>
    </w:p>
    <w:p w14:paraId="3A797D33">
      <w:pPr>
        <w:numPr>
          <w:ilvl w:val="0"/>
          <w:numId w:val="0"/>
        </w:numPr>
        <w:spacing w:line="55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严格执行相关政策，保障工资及时、足额发放或社保及时、足额缴纳，预算编制科学合理，减少结余资金。提高预算编制质量，严格执行预算，保障单位日常运转。</w:t>
      </w:r>
    </w:p>
    <w:p w14:paraId="49F45EEF">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2.预算管理</w:t>
      </w:r>
    </w:p>
    <w:p w14:paraId="3F41BA78">
      <w:pPr>
        <w:numPr>
          <w:ilvl w:val="0"/>
          <w:numId w:val="0"/>
        </w:numPr>
        <w:spacing w:line="55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我单位严格实行预算管理制度，根据《中华人民共和国预算法》等法律法规的规定和财政部门下发的文件要求进行预算编制，做到程序规范、方法科学、编制及时、内容完整、项目细化、数据准确。2025年度各项预算收入均属于财政拨款收入，纳入预算管理，统一核算。</w:t>
      </w:r>
    </w:p>
    <w:p w14:paraId="59568993">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3.财务管理</w:t>
      </w:r>
    </w:p>
    <w:p w14:paraId="50D84EFE">
      <w:pPr>
        <w:numPr>
          <w:ilvl w:val="0"/>
          <w:numId w:val="0"/>
        </w:numPr>
        <w:spacing w:line="55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严格按照财务管理制度，执行各项资金支付，进行会计账务处理和会计档案管理。明确职责权限，并严格实行不相容岗位分离。</w:t>
      </w:r>
    </w:p>
    <w:p w14:paraId="35D52E3C">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4.资产管理</w:t>
      </w:r>
    </w:p>
    <w:p w14:paraId="26750DF0">
      <w:pPr>
        <w:numPr>
          <w:ilvl w:val="0"/>
          <w:numId w:val="0"/>
        </w:numPr>
        <w:spacing w:line="55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Times New Roman" w:eastAsia="仿宋_GB2312" w:cs="Times New Roman"/>
          <w:sz w:val="32"/>
          <w:szCs w:val="32"/>
          <w:lang w:val="en-US" w:eastAsia="zh-CN"/>
        </w:rPr>
        <w:t>我单位2025年度人均资产变化率低，资产利用率高，无限闲置资产，使用率达100%；在资产购置、使用、保管和报废，严格按照资产管理办法执行，定期盘点，确保账账相符。</w:t>
      </w:r>
    </w:p>
    <w:p w14:paraId="10DAB459">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5.采购管理</w:t>
      </w:r>
    </w:p>
    <w:p w14:paraId="2DC4C99C">
      <w:pPr>
        <w:numPr>
          <w:ilvl w:val="0"/>
          <w:numId w:val="0"/>
        </w:numPr>
        <w:spacing w:line="55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我单位政府采购项目资金，严格按照政府采购相关规定执行，未达到政府采购的标准项目均按照采购内控制度执行，均在中小企业采购，采购执行率100%。</w:t>
      </w:r>
    </w:p>
    <w:p w14:paraId="1E7D5574">
      <w:pPr>
        <w:numPr>
          <w:ilvl w:val="0"/>
          <w:numId w:val="0"/>
        </w:numPr>
        <w:spacing w:line="550" w:lineRule="exact"/>
        <w:ind w:firstLine="643" w:firstLineChars="200"/>
        <w:rPr>
          <w:rFonts w:hint="eastAsia" w:ascii="仿宋_GB2312" w:hAnsi="Times New Roman" w:eastAsia="仿宋_GB2312" w:cs="Times New Roman"/>
          <w:sz w:val="32"/>
          <w:szCs w:val="32"/>
          <w:lang w:val="en-US" w:eastAsia="zh-CN"/>
        </w:rPr>
      </w:pPr>
      <w:r>
        <w:rPr>
          <w:rFonts w:hint="eastAsia" w:ascii="Times New Roman" w:hAnsi="Times New Roman" w:eastAsia="楷体_GB2312" w:cs="Times New Roman"/>
          <w:b/>
          <w:bCs/>
          <w:color w:val="000000"/>
          <w:kern w:val="0"/>
          <w:sz w:val="32"/>
          <w:szCs w:val="32"/>
          <w:shd w:val="clear" w:color="auto" w:fill="FFFFFF"/>
          <w:lang w:val="zh-CN" w:eastAsia="zh-CN"/>
        </w:rPr>
        <w:t>（二）部门预算项目绩效分析</w:t>
      </w:r>
    </w:p>
    <w:p w14:paraId="138F2649">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en-US" w:eastAsia="zh-CN"/>
        </w:rPr>
        <w:t>常年项目绩效分析。</w:t>
      </w:r>
      <w:r>
        <w:rPr>
          <w:rFonts w:hint="eastAsia" w:ascii="仿宋_GB2312" w:hAnsi="Times New Roman" w:eastAsia="仿宋_GB2312" w:cs="Times New Roman"/>
          <w:sz w:val="32"/>
          <w:szCs w:val="32"/>
          <w:lang w:val="zh-CN" w:eastAsia="zh-CN"/>
        </w:rPr>
        <w:t>该类项目总数</w:t>
      </w:r>
      <w:r>
        <w:rPr>
          <w:rFonts w:hint="eastAsia" w:ascii="仿宋_GB2312" w:hAnsi="Times New Roman" w:eastAsia="仿宋_GB2312" w:cs="Times New Roman"/>
          <w:sz w:val="32"/>
          <w:szCs w:val="32"/>
          <w:lang w:val="en-US" w:eastAsia="zh-CN"/>
        </w:rPr>
        <w:t xml:space="preserve"> 36</w:t>
      </w:r>
      <w:r>
        <w:rPr>
          <w:rFonts w:hint="eastAsia" w:ascii="仿宋_GB2312" w:hAnsi="Times New Roman" w:eastAsia="仿宋_GB2312" w:cs="Times New Roman"/>
          <w:sz w:val="32"/>
          <w:szCs w:val="32"/>
          <w:lang w:val="zh-CN" w:eastAsia="zh-CN"/>
        </w:rPr>
        <w:t>个，涉及预算总金额</w:t>
      </w:r>
      <w:r>
        <w:rPr>
          <w:rFonts w:hint="eastAsia" w:ascii="仿宋_GB2312" w:hAnsi="Times New Roman" w:eastAsia="仿宋_GB2312" w:cs="Times New Roman"/>
          <w:sz w:val="32"/>
          <w:szCs w:val="32"/>
          <w:lang w:val="en-US" w:eastAsia="zh-CN"/>
        </w:rPr>
        <w:t>665.37</w:t>
      </w:r>
      <w:r>
        <w:rPr>
          <w:rFonts w:hint="eastAsia" w:ascii="仿宋_GB2312" w:hAnsi="Times New Roman" w:eastAsia="仿宋_GB2312" w:cs="Times New Roman"/>
          <w:sz w:val="32"/>
          <w:szCs w:val="32"/>
          <w:lang w:val="zh-CN" w:eastAsia="zh-CN"/>
        </w:rPr>
        <w:t>万元，1—1</w:t>
      </w: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lang w:val="zh-CN" w:eastAsia="zh-CN"/>
        </w:rPr>
        <w:t>月预算执行总体进度为</w:t>
      </w:r>
      <w:r>
        <w:rPr>
          <w:rFonts w:hint="eastAsia" w:ascii="仿宋_GB2312" w:hAnsi="Times New Roman" w:eastAsia="仿宋_GB2312" w:cs="Times New Roman"/>
          <w:sz w:val="32"/>
          <w:szCs w:val="32"/>
          <w:lang w:val="en-US" w:eastAsia="zh-CN"/>
        </w:rPr>
        <w:t>100</w:t>
      </w:r>
      <w:r>
        <w:rPr>
          <w:rFonts w:hint="eastAsia" w:ascii="仿宋_GB2312" w:hAnsi="Times New Roman" w:eastAsia="仿宋_GB2312" w:cs="Times New Roman"/>
          <w:sz w:val="32"/>
          <w:szCs w:val="32"/>
          <w:lang w:val="zh-CN" w:eastAsia="zh-CN"/>
        </w:rPr>
        <w:t>%，其中：预算结余率大于</w:t>
      </w:r>
      <w:r>
        <w:rPr>
          <w:rFonts w:hint="eastAsia" w:ascii="仿宋_GB2312" w:hAnsi="Times New Roman" w:eastAsia="仿宋_GB2312" w:cs="Times New Roman"/>
          <w:sz w:val="32"/>
          <w:szCs w:val="32"/>
          <w:lang w:val="en-US" w:eastAsia="zh-CN"/>
        </w:rPr>
        <w:t>10%</w:t>
      </w:r>
      <w:r>
        <w:rPr>
          <w:rFonts w:hint="eastAsia" w:ascii="仿宋_GB2312" w:hAnsi="Times New Roman" w:eastAsia="仿宋_GB2312" w:cs="Times New Roman"/>
          <w:sz w:val="32"/>
          <w:szCs w:val="32"/>
          <w:lang w:val="zh-CN" w:eastAsia="zh-CN"/>
        </w:rPr>
        <w:t>的项目共计</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lang w:val="zh-CN" w:eastAsia="zh-CN"/>
        </w:rPr>
        <w:t>个。</w:t>
      </w:r>
    </w:p>
    <w:p w14:paraId="349338FB">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en-US" w:eastAsia="zh-CN"/>
        </w:rPr>
        <w:t>阶段（一次性）项目绩效分析。</w:t>
      </w:r>
      <w:r>
        <w:rPr>
          <w:rFonts w:hint="eastAsia" w:ascii="仿宋_GB2312" w:hAnsi="Times New Roman" w:eastAsia="仿宋_GB2312" w:cs="Times New Roman"/>
          <w:sz w:val="32"/>
          <w:szCs w:val="32"/>
          <w:lang w:val="zh-CN" w:eastAsia="zh-CN"/>
        </w:rPr>
        <w:t>该类项目总数</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lang w:val="zh-CN" w:eastAsia="zh-CN"/>
        </w:rPr>
        <w:t>个，涉及预算总金额</w:t>
      </w:r>
      <w:r>
        <w:rPr>
          <w:rFonts w:hint="eastAsia" w:ascii="仿宋_GB2312" w:hAnsi="Times New Roman" w:eastAsia="仿宋_GB2312" w:cs="Times New Roman"/>
          <w:sz w:val="32"/>
          <w:szCs w:val="32"/>
          <w:lang w:val="en-US" w:eastAsia="zh-CN"/>
        </w:rPr>
        <w:t>317.71</w:t>
      </w:r>
      <w:r>
        <w:rPr>
          <w:rFonts w:hint="eastAsia" w:ascii="仿宋_GB2312" w:hAnsi="Times New Roman" w:eastAsia="仿宋_GB2312" w:cs="Times New Roman"/>
          <w:sz w:val="32"/>
          <w:szCs w:val="32"/>
          <w:lang w:val="zh-CN" w:eastAsia="zh-CN"/>
        </w:rPr>
        <w:t>万元，1—1</w:t>
      </w: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lang w:val="zh-CN" w:eastAsia="zh-CN"/>
        </w:rPr>
        <w:t>月预算执行总体进度为</w:t>
      </w:r>
      <w:r>
        <w:rPr>
          <w:rFonts w:hint="eastAsia" w:ascii="仿宋_GB2312" w:hAnsi="Times New Roman" w:eastAsia="仿宋_GB2312" w:cs="Times New Roman"/>
          <w:sz w:val="32"/>
          <w:szCs w:val="32"/>
          <w:lang w:val="en-US" w:eastAsia="zh-CN"/>
        </w:rPr>
        <w:t>100</w:t>
      </w:r>
      <w:r>
        <w:rPr>
          <w:rFonts w:hint="eastAsia" w:ascii="仿宋_GB2312" w:hAnsi="Times New Roman" w:eastAsia="仿宋_GB2312" w:cs="Times New Roman"/>
          <w:sz w:val="32"/>
          <w:szCs w:val="32"/>
          <w:lang w:val="zh-CN" w:eastAsia="zh-CN"/>
        </w:rPr>
        <w:t>%，其中：预算结余率大于</w:t>
      </w:r>
      <w:r>
        <w:rPr>
          <w:rFonts w:hint="eastAsia" w:ascii="仿宋_GB2312" w:hAnsi="Times New Roman" w:eastAsia="仿宋_GB2312" w:cs="Times New Roman"/>
          <w:sz w:val="32"/>
          <w:szCs w:val="32"/>
          <w:lang w:val="en-US" w:eastAsia="zh-CN"/>
        </w:rPr>
        <w:t>10%</w:t>
      </w:r>
      <w:r>
        <w:rPr>
          <w:rFonts w:hint="eastAsia" w:ascii="仿宋_GB2312" w:hAnsi="Times New Roman" w:eastAsia="仿宋_GB2312" w:cs="Times New Roman"/>
          <w:sz w:val="32"/>
          <w:szCs w:val="32"/>
          <w:lang w:val="zh-CN" w:eastAsia="zh-CN"/>
        </w:rPr>
        <w:t>的项目共计</w:t>
      </w:r>
      <w:r>
        <w:rPr>
          <w:rFonts w:hint="eastAsia" w:ascii="仿宋_GB2312" w:hAnsi="Times New Roman" w:eastAsia="仿宋_GB2312" w:cs="Times New Roman"/>
          <w:sz w:val="32"/>
          <w:szCs w:val="32"/>
          <w:lang w:val="en-US" w:eastAsia="zh-CN"/>
        </w:rPr>
        <w:t>0</w:t>
      </w:r>
      <w:r>
        <w:rPr>
          <w:rFonts w:hint="eastAsia" w:ascii="仿宋_GB2312" w:hAnsi="Times New Roman" w:eastAsia="仿宋_GB2312" w:cs="Times New Roman"/>
          <w:sz w:val="32"/>
          <w:szCs w:val="32"/>
          <w:lang w:val="zh-CN" w:eastAsia="zh-CN"/>
        </w:rPr>
        <w:t>个。</w:t>
      </w:r>
    </w:p>
    <w:p w14:paraId="4BD2016F">
      <w:pPr>
        <w:numPr>
          <w:ilvl w:val="0"/>
          <w:numId w:val="0"/>
        </w:numPr>
        <w:spacing w:line="55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lang w:val="zh-CN" w:eastAsia="zh-CN"/>
        </w:rPr>
        <w:t>项目决策。</w:t>
      </w:r>
      <w:r>
        <w:rPr>
          <w:rFonts w:hint="eastAsia" w:ascii="仿宋_GB2312" w:hAnsi="Times New Roman" w:eastAsia="仿宋_GB2312" w:cs="Times New Roman"/>
          <w:sz w:val="32"/>
          <w:szCs w:val="32"/>
          <w:lang w:val="en-US" w:eastAsia="zh-CN"/>
        </w:rPr>
        <w:t>该项目的设立、调整延续等方面符合资金管理基本规范和决策程序要求，项目规划符合上级政府有关决策部署安排，项目绩效目标设置科学合理，资金主要用于完善社会保险经办标准化建设以及信息系统建设及运行维护、设备设施购置，经办人员素质提升培训、做好业务档案数字化管理及风险防控</w:t>
      </w:r>
      <w:r>
        <w:rPr>
          <w:rFonts w:hint="eastAsia" w:ascii="仿宋_GB2312" w:hAnsi="Times New Roman" w:eastAsia="仿宋_GB2312" w:cs="Times New Roman"/>
          <w:sz w:val="32"/>
          <w:szCs w:val="32"/>
          <w:lang w:val="zh-CN" w:eastAsia="zh-CN"/>
        </w:rPr>
        <w:t>。</w:t>
      </w:r>
      <w:r>
        <w:rPr>
          <w:rFonts w:hint="eastAsia" w:ascii="仿宋_GB2312" w:hAnsi="Times New Roman" w:eastAsia="仿宋_GB2312" w:cs="Times New Roman"/>
          <w:sz w:val="32"/>
          <w:szCs w:val="32"/>
          <w:lang w:val="en-US" w:eastAsia="zh-CN"/>
        </w:rPr>
        <w:t xml:space="preserve">  </w:t>
      </w:r>
    </w:p>
    <w:p w14:paraId="12593DC5">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en-US" w:eastAsia="zh-CN"/>
        </w:rPr>
        <w:t>2.项目执行</w:t>
      </w:r>
      <w:r>
        <w:rPr>
          <w:rFonts w:hint="eastAsia" w:ascii="仿宋_GB2312" w:hAnsi="Times New Roman" w:eastAsia="仿宋_GB2312" w:cs="Times New Roman"/>
          <w:sz w:val="32"/>
          <w:szCs w:val="32"/>
          <w:lang w:val="zh-CN" w:eastAsia="zh-CN"/>
        </w:rPr>
        <w:t>。项目资金使用、拨付符合国家财经法规、财务管理制度及有关专项资金管理制度办法规定和审批程序，</w:t>
      </w:r>
      <w:r>
        <w:rPr>
          <w:rFonts w:hint="eastAsia" w:ascii="仿宋_GB2312" w:hAnsi="Times New Roman" w:eastAsia="仿宋_GB2312" w:cs="Times New Roman"/>
          <w:sz w:val="32"/>
          <w:szCs w:val="32"/>
          <w:lang w:val="en-US" w:eastAsia="zh-CN"/>
        </w:rPr>
        <w:t>不</w:t>
      </w:r>
      <w:r>
        <w:rPr>
          <w:rFonts w:hint="eastAsia" w:ascii="仿宋_GB2312" w:hAnsi="Times New Roman" w:eastAsia="仿宋_GB2312" w:cs="Times New Roman"/>
          <w:sz w:val="32"/>
          <w:szCs w:val="32"/>
          <w:lang w:val="zh-CN" w:eastAsia="zh-CN"/>
        </w:rPr>
        <w:t>存在超范围、超标准、超进度使用专项资金，</w:t>
      </w:r>
      <w:r>
        <w:rPr>
          <w:rFonts w:hint="eastAsia" w:ascii="仿宋_GB2312" w:hAnsi="Times New Roman" w:eastAsia="仿宋_GB2312" w:cs="Times New Roman"/>
          <w:sz w:val="32"/>
          <w:szCs w:val="32"/>
          <w:lang w:val="en-US" w:eastAsia="zh-CN"/>
        </w:rPr>
        <w:t>不</w:t>
      </w:r>
      <w:r>
        <w:rPr>
          <w:rFonts w:hint="eastAsia" w:ascii="仿宋_GB2312" w:hAnsi="Times New Roman" w:eastAsia="仿宋_GB2312" w:cs="Times New Roman"/>
          <w:sz w:val="32"/>
          <w:szCs w:val="32"/>
          <w:lang w:val="zh-CN" w:eastAsia="zh-CN"/>
        </w:rPr>
        <w:t>存在资金损失浪费、长期沉淀、截留、挤占、挪用、虚列支出等情况，项目实施遵守相关法律法规。</w:t>
      </w:r>
    </w:p>
    <w:p w14:paraId="6FDE9B52">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lang w:val="zh-CN" w:eastAsia="zh-CN"/>
        </w:rPr>
        <w:t>目标实现。常年项目、阶段（一次性）项目支出绩效自评结果良好，项目如期完成了预定的绩效目标。</w:t>
      </w:r>
    </w:p>
    <w:p w14:paraId="7E993FF3">
      <w:pPr>
        <w:widowControl/>
        <w:adjustRightInd w:val="0"/>
        <w:snapToGrid w:val="0"/>
        <w:spacing w:line="550" w:lineRule="exact"/>
        <w:ind w:firstLine="643" w:firstLineChars="200"/>
        <w:contextualSpacing/>
        <w:jc w:val="left"/>
        <w:rPr>
          <w:rFonts w:hint="eastAsia" w:ascii="Times New Roman" w:hAnsi="Times New Roman" w:eastAsia="楷体_GB2312" w:cs="Times New Roman"/>
          <w:b/>
          <w:bCs/>
          <w:color w:val="000000"/>
          <w:kern w:val="0"/>
          <w:sz w:val="32"/>
          <w:szCs w:val="32"/>
          <w:shd w:val="clear" w:color="auto" w:fill="FFFFFF"/>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（三）重点领域绩效分析</w:t>
      </w:r>
    </w:p>
    <w:p w14:paraId="3BB792CE">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zh-CN" w:eastAsia="zh-CN"/>
        </w:rPr>
        <w:t>我局202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lang w:val="zh-CN" w:eastAsia="zh-CN"/>
        </w:rPr>
        <w:t>年度不涉及国有资本、债券资金、政府购买服务。根据工作需要我单位新购行政事业性国有资产通用设备</w:t>
      </w:r>
      <w:r>
        <w:rPr>
          <w:rFonts w:hint="eastAsia" w:ascii="仿宋_GB2312" w:eastAsia="仿宋_GB2312" w:cs="Times New Roman"/>
          <w:sz w:val="32"/>
          <w:szCs w:val="32"/>
          <w:lang w:val="en-US" w:eastAsia="zh-CN"/>
        </w:rPr>
        <w:t>0.78万</w:t>
      </w:r>
      <w:r>
        <w:rPr>
          <w:rFonts w:hint="eastAsia" w:ascii="仿宋_GB2312" w:hAnsi="Times New Roman" w:eastAsia="仿宋_GB2312" w:cs="Times New Roman"/>
          <w:sz w:val="32"/>
          <w:szCs w:val="32"/>
          <w:lang w:val="zh-CN" w:eastAsia="zh-CN"/>
        </w:rPr>
        <w:t>元，</w:t>
      </w:r>
      <w:r>
        <w:rPr>
          <w:rFonts w:hint="eastAsia" w:ascii="仿宋_GB2312" w:hAnsi="Times New Roman" w:eastAsia="仿宋_GB2312" w:cs="Times New Roman"/>
          <w:sz w:val="32"/>
          <w:szCs w:val="32"/>
          <w:lang w:val="en-US" w:eastAsia="zh-CN"/>
        </w:rPr>
        <w:t>家具和用具</w:t>
      </w:r>
      <w:r>
        <w:rPr>
          <w:rFonts w:hint="eastAsia" w:ascii="仿宋_GB2312" w:eastAsia="仿宋_GB2312" w:cs="Times New Roman"/>
          <w:sz w:val="32"/>
          <w:szCs w:val="32"/>
          <w:lang w:val="en-US" w:eastAsia="zh-CN"/>
        </w:rPr>
        <w:t>0.45万</w:t>
      </w:r>
      <w:r>
        <w:rPr>
          <w:rFonts w:hint="eastAsia" w:ascii="仿宋_GB2312" w:hAnsi="Times New Roman" w:eastAsia="仿宋_GB2312" w:cs="Times New Roman"/>
          <w:sz w:val="32"/>
          <w:szCs w:val="32"/>
          <w:lang w:val="zh-CN" w:eastAsia="zh-CN"/>
        </w:rPr>
        <w:t>元。</w:t>
      </w:r>
    </w:p>
    <w:p w14:paraId="141C7592">
      <w:pPr>
        <w:widowControl/>
        <w:adjustRightInd w:val="0"/>
        <w:snapToGrid w:val="0"/>
        <w:spacing w:line="550" w:lineRule="exact"/>
        <w:ind w:firstLine="643" w:firstLineChars="200"/>
        <w:contextualSpacing/>
        <w:jc w:val="left"/>
        <w:rPr>
          <w:rFonts w:hint="eastAsia" w:ascii="Times New Roman" w:hAnsi="Times New Roman" w:eastAsia="楷体_GB2312" w:cs="Times New Roman"/>
          <w:b/>
          <w:bCs/>
          <w:color w:val="000000"/>
          <w:kern w:val="0"/>
          <w:sz w:val="32"/>
          <w:szCs w:val="32"/>
          <w:shd w:val="clear" w:color="auto" w:fill="FFFFFF"/>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（四）绩效结果应用情况</w:t>
      </w:r>
    </w:p>
    <w:p w14:paraId="4E88853D">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zh-CN" w:eastAsia="zh-CN"/>
        </w:rPr>
        <w:t>财政支出绩效评价结果的运用是判断评价工作能否取得成效的主要依据，也是保证这项工作持续、深入发展的基本前提。结合202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lang w:val="zh-CN" w:eastAsia="zh-CN"/>
        </w:rPr>
        <w:t>年度绩效自评结果，一是对评价结果优秀且绩效突出的，总结相关工作经验，并在安排后续资金时给与充分保障。二是对下一步需要进一步改进的工作，在对存在的问题整改后，转变相关工作思路，提升工作效率。</w:t>
      </w:r>
    </w:p>
    <w:p w14:paraId="17C9F2FA">
      <w:pPr>
        <w:widowControl/>
        <w:adjustRightInd w:val="0"/>
        <w:snapToGrid w:val="0"/>
        <w:spacing w:line="550" w:lineRule="exact"/>
        <w:ind w:firstLine="640" w:firstLineChars="200"/>
        <w:contextualSpacing/>
        <w:jc w:val="left"/>
        <w:rPr>
          <w:rFonts w:hint="eastAsia" w:ascii="Times New Roman" w:hAnsi="Times New Roman" w:eastAsia="黑体" w:cs="Times New Roman"/>
          <w:color w:val="000000"/>
          <w:kern w:val="0"/>
          <w:sz w:val="32"/>
          <w:szCs w:val="32"/>
          <w:shd w:val="clear" w:color="auto" w:fill="FFFFFF"/>
          <w:lang w:val="zh-CN" w:eastAsia="zh-CN"/>
        </w:rPr>
      </w:pPr>
      <w:r>
        <w:rPr>
          <w:rFonts w:hint="eastAsia" w:ascii="Times New Roman" w:hAnsi="Times New Roman" w:eastAsia="黑体" w:cs="Times New Roman"/>
          <w:color w:val="000000"/>
          <w:kern w:val="0"/>
          <w:sz w:val="32"/>
          <w:szCs w:val="32"/>
          <w:shd w:val="clear" w:color="auto" w:fill="FFFFFF"/>
          <w:lang w:val="zh-CN" w:eastAsia="zh-CN"/>
        </w:rPr>
        <w:t>四、评价结论及建议</w:t>
      </w:r>
    </w:p>
    <w:p w14:paraId="08201648">
      <w:pPr>
        <w:numPr>
          <w:ilvl w:val="0"/>
          <w:numId w:val="0"/>
        </w:numPr>
        <w:spacing w:line="550" w:lineRule="exact"/>
        <w:ind w:firstLine="643" w:firstLineChars="200"/>
        <w:rPr>
          <w:rFonts w:hint="eastAsia" w:ascii="Times New Roman" w:hAnsi="Times New Roman" w:eastAsia="楷体_GB2312" w:cs="Times New Roman"/>
          <w:b/>
          <w:bCs/>
          <w:color w:val="000000"/>
          <w:kern w:val="0"/>
          <w:sz w:val="32"/>
          <w:szCs w:val="32"/>
          <w:shd w:val="clear" w:color="auto" w:fill="FFFFFF"/>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（一）评价结论</w:t>
      </w:r>
    </w:p>
    <w:p w14:paraId="33D1B2BB">
      <w:pPr>
        <w:numPr>
          <w:ilvl w:val="0"/>
          <w:numId w:val="0"/>
        </w:numPr>
        <w:spacing w:line="550" w:lineRule="exact"/>
        <w:ind w:firstLine="640" w:firstLineChars="200"/>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zh-CN" w:eastAsia="zh-CN"/>
        </w:rPr>
        <w:t>我局202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lang w:val="zh-CN" w:eastAsia="zh-CN"/>
        </w:rPr>
        <w:t>年</w:t>
      </w:r>
      <w:r>
        <w:rPr>
          <w:rFonts w:hint="eastAsia" w:ascii="仿宋_GB2312" w:hAnsi="Times New Roman" w:eastAsia="仿宋_GB2312" w:cs="Times New Roman"/>
          <w:sz w:val="32"/>
          <w:szCs w:val="32"/>
          <w:lang w:val="en-US" w:eastAsia="zh-CN"/>
        </w:rPr>
        <w:t>度</w:t>
      </w:r>
      <w:r>
        <w:rPr>
          <w:rFonts w:hint="eastAsia" w:ascii="仿宋_GB2312" w:hAnsi="Times New Roman" w:eastAsia="仿宋_GB2312" w:cs="Times New Roman"/>
          <w:sz w:val="32"/>
          <w:szCs w:val="32"/>
          <w:lang w:val="zh-CN" w:eastAsia="zh-CN"/>
        </w:rPr>
        <w:t>部门整体支出绩效评价自查自评结果良好，自评得分</w:t>
      </w:r>
      <w:r>
        <w:rPr>
          <w:rFonts w:hint="eastAsia" w:ascii="仿宋_GB2312" w:hAnsi="Times New Roman" w:eastAsia="仿宋_GB2312" w:cs="Times New Roman"/>
          <w:sz w:val="32"/>
          <w:szCs w:val="32"/>
          <w:lang w:val="en-US" w:eastAsia="zh-CN"/>
        </w:rPr>
        <w:t>89</w:t>
      </w:r>
      <w:r>
        <w:rPr>
          <w:rFonts w:hint="eastAsia" w:ascii="仿宋_GB2312" w:hAnsi="Times New Roman" w:eastAsia="仿宋_GB2312" w:cs="Times New Roman"/>
          <w:sz w:val="32"/>
          <w:szCs w:val="32"/>
          <w:lang w:val="zh-CN" w:eastAsia="zh-CN"/>
        </w:rPr>
        <w:t>分，全年基本保证了部门的正常运行和日常工作的正常开展。</w:t>
      </w:r>
    </w:p>
    <w:p w14:paraId="78D40772">
      <w:pPr>
        <w:numPr>
          <w:ilvl w:val="0"/>
          <w:numId w:val="0"/>
        </w:numPr>
        <w:spacing w:line="550" w:lineRule="exact"/>
        <w:ind w:firstLine="643" w:firstLineChars="200"/>
        <w:rPr>
          <w:rFonts w:hint="eastAsia" w:ascii="Times New Roman" w:hAnsi="Times New Roman" w:eastAsia="楷体_GB2312" w:cs="Times New Roman"/>
          <w:b/>
          <w:bCs/>
          <w:color w:val="000000"/>
          <w:kern w:val="0"/>
          <w:sz w:val="32"/>
          <w:szCs w:val="32"/>
          <w:shd w:val="clear" w:color="auto" w:fill="FFFFFF"/>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（二）存在问题</w:t>
      </w:r>
    </w:p>
    <w:p w14:paraId="7D1D5EDC">
      <w:pPr>
        <w:numPr>
          <w:ilvl w:val="0"/>
          <w:numId w:val="0"/>
        </w:numPr>
        <w:spacing w:line="550" w:lineRule="exact"/>
        <w:ind w:firstLine="640" w:firstLineChars="200"/>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zh-CN" w:eastAsia="zh-CN"/>
        </w:rPr>
        <w:t>一是预算编制精准度有待提升，部分项目测算不够细致。二是绩效结果应用不够深入，与预算安排、内部管理的联动约束性不强。</w:t>
      </w:r>
    </w:p>
    <w:p w14:paraId="4263F0E8">
      <w:pPr>
        <w:numPr>
          <w:ilvl w:val="0"/>
          <w:numId w:val="0"/>
        </w:numPr>
        <w:spacing w:line="550" w:lineRule="exact"/>
        <w:ind w:firstLine="643" w:firstLineChars="200"/>
        <w:rPr>
          <w:rFonts w:hint="eastAsia" w:ascii="Times New Roman" w:hAnsi="Times New Roman" w:eastAsia="楷体_GB2312" w:cs="Times New Roman"/>
          <w:b/>
          <w:bCs/>
          <w:color w:val="000000"/>
          <w:kern w:val="0"/>
          <w:sz w:val="32"/>
          <w:szCs w:val="32"/>
          <w:shd w:val="clear" w:color="auto" w:fill="FFFFFF"/>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w:t>
      </w:r>
      <w:r>
        <w:rPr>
          <w:rFonts w:hint="eastAsia" w:ascii="Times New Roman" w:hAnsi="Times New Roman" w:eastAsia="楷体_GB2312" w:cs="Times New Roman"/>
          <w:b/>
          <w:bCs/>
          <w:color w:val="000000"/>
          <w:kern w:val="0"/>
          <w:sz w:val="32"/>
          <w:szCs w:val="32"/>
          <w:shd w:val="clear" w:color="auto" w:fill="FFFFFF"/>
          <w:lang w:val="en-US" w:eastAsia="zh-CN"/>
        </w:rPr>
        <w:t>三</w:t>
      </w:r>
      <w:r>
        <w:rPr>
          <w:rFonts w:hint="eastAsia" w:ascii="Times New Roman" w:hAnsi="Times New Roman" w:eastAsia="楷体_GB2312" w:cs="Times New Roman"/>
          <w:b/>
          <w:bCs/>
          <w:color w:val="000000"/>
          <w:kern w:val="0"/>
          <w:sz w:val="32"/>
          <w:szCs w:val="32"/>
          <w:shd w:val="clear" w:color="auto" w:fill="FFFFFF"/>
          <w:lang w:val="zh-CN" w:eastAsia="zh-CN"/>
        </w:rPr>
        <w:t>）改进建议</w:t>
      </w:r>
    </w:p>
    <w:p w14:paraId="7C0A3546">
      <w:pPr>
        <w:numPr>
          <w:ilvl w:val="0"/>
          <w:numId w:val="0"/>
        </w:numPr>
        <w:spacing w:line="550" w:lineRule="exact"/>
        <w:ind w:firstLine="640" w:firstLineChars="200"/>
        <w:rPr>
          <w:rFonts w:ascii="宋体" w:hAnsi="宋体" w:eastAsia="宋体" w:cs="宋体"/>
          <w:sz w:val="24"/>
          <w:szCs w:val="24"/>
        </w:rPr>
      </w:pPr>
      <w:r>
        <w:rPr>
          <w:rFonts w:hint="eastAsia" w:ascii="仿宋_GB2312" w:hAnsi="Times New Roman" w:eastAsia="仿宋_GB2312" w:cs="Times New Roman"/>
          <w:sz w:val="32"/>
          <w:szCs w:val="32"/>
          <w:lang w:val="zh-CN" w:eastAsia="zh-CN"/>
        </w:rPr>
        <w:t>在今后工作中要按照有关文件及规章制度的要求，落实岗位职责，坚守职业道德，加强绩效管理工作的学习和培训力度，有效提高部门整体支出绩效管理水平。</w:t>
      </w:r>
      <w:r>
        <w:rPr>
          <w:rFonts w:hint="eastAsia" w:ascii="仿宋_GB2312" w:hAnsi="Times New Roman" w:eastAsia="仿宋_GB2312" w:cs="Times New Roman"/>
          <w:sz w:val="32"/>
          <w:szCs w:val="32"/>
          <w:lang w:val="zh-CN" w:eastAsia="zh-CN"/>
        </w:rPr>
        <w:br w:type="textWrapping"/>
      </w:r>
      <w:r>
        <w:rPr>
          <w:rFonts w:ascii="宋体" w:hAnsi="宋体" w:eastAsia="宋体" w:cs="宋体"/>
          <w:sz w:val="24"/>
        </w:rPr>
        <w:t>                 </w:t>
      </w:r>
    </w:p>
    <w:p w14:paraId="31B08AC5">
      <w:pPr>
        <w:spacing w:line="550" w:lineRule="exact"/>
        <w:ind w:firstLine="420" w:firstLineChars="200"/>
        <w:rPr>
          <w:color w:val="000000"/>
          <w:kern w:val="0"/>
          <w:szCs w:val="32"/>
          <w:shd w:val="clear" w:color="auto" w:fill="FFFFFF"/>
        </w:rPr>
      </w:pPr>
    </w:p>
    <w:p w14:paraId="48274314">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firstLine="420" w:firstLineChars="200"/>
        <w:contextualSpacing/>
        <w:jc w:val="left"/>
        <w:textAlignment w:val="auto"/>
        <w:rPr>
          <w:rFonts w:hint="eastAsia" w:ascii="方正小标宋简体" w:hAnsi="宋体" w:eastAsia="方正小标宋简体"/>
          <w:sz w:val="44"/>
          <w:szCs w:val="44"/>
        </w:rPr>
        <w:sectPr>
          <w:footerReference r:id="rId4" w:type="first"/>
          <w:footerReference r:id="rId3" w:type="default"/>
          <w:pgSz w:w="11906" w:h="16838"/>
          <w:pgMar w:top="1440" w:right="1800" w:bottom="1440" w:left="1800" w:header="851" w:footer="992" w:gutter="0"/>
          <w:pgNumType w:fmt="decimal"/>
          <w:cols w:space="425" w:num="1"/>
          <w:docGrid w:type="lines" w:linePitch="312" w:charSpace="0"/>
        </w:sectPr>
      </w:pPr>
      <w:r>
        <w:rPr>
          <w:color w:val="000000"/>
          <w:kern w:val="0"/>
          <w:szCs w:val="32"/>
          <w:shd w:val="clear" w:color="auto" w:fill="FFFFFF"/>
        </w:rPr>
        <w:br w:type="page"/>
      </w:r>
      <w:bookmarkEnd w:id="102"/>
    </w:p>
    <w:p w14:paraId="49BE41C6">
      <w:pPr>
        <w:pStyle w:val="14"/>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方正小标宋简体" w:hAnsi="宋体" w:eastAsia="方正小标宋简体"/>
          <w:color w:val="000000"/>
          <w:kern w:val="0"/>
          <w:sz w:val="44"/>
          <w:szCs w:val="44"/>
          <w:lang w:val="zh-CN"/>
        </w:rPr>
      </w:pPr>
      <w:bookmarkStart w:id="103" w:name="_Toc18944"/>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w:t>
      </w:r>
      <w:r>
        <w:rPr>
          <w:rFonts w:hint="eastAsia" w:cs="Times New Roman"/>
          <w:color w:val="auto"/>
          <w:sz w:val="32"/>
          <w:szCs w:val="32"/>
          <w:highlight w:val="none"/>
          <w:lang w:val="en-US" w:eastAsia="zh-CN"/>
        </w:rPr>
        <w:t>5</w:t>
      </w:r>
      <w:r>
        <w:rPr>
          <w:rFonts w:hint="eastAsia" w:hAnsi="Times New Roman" w:cs="Times New Roman"/>
          <w:color w:val="auto"/>
          <w:sz w:val="32"/>
          <w:szCs w:val="32"/>
          <w:highlight w:val="none"/>
          <w:lang w:val="en-US" w:eastAsia="zh-CN"/>
        </w:rPr>
        <w:t>年度）</w:t>
      </w:r>
    </w:p>
    <w:tbl>
      <w:tblPr>
        <w:tblStyle w:val="17"/>
        <w:tblW w:w="143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31"/>
      </w:tblGrid>
      <w:tr w14:paraId="3355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331"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7"/>
              <w:tblW w:w="1411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4"/>
              <w:gridCol w:w="1776"/>
              <w:gridCol w:w="2265"/>
              <w:gridCol w:w="521"/>
              <w:gridCol w:w="1679"/>
              <w:gridCol w:w="522"/>
              <w:gridCol w:w="1092"/>
              <w:gridCol w:w="505"/>
              <w:gridCol w:w="456"/>
              <w:gridCol w:w="2561"/>
            </w:tblGrid>
            <w:tr w14:paraId="581D7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158B33">
                  <w:pPr>
                    <w:keepNext w:val="0"/>
                    <w:keepLines w:val="0"/>
                    <w:widowControl/>
                    <w:suppressLineNumbers w:val="0"/>
                    <w:spacing w:before="0" w:beforeAutospacing="0" w:after="0" w:afterAutospacing="0"/>
                    <w:ind w:left="0" w:right="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D48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96DE9">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F12F8A">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51322323T000009598476-办公费</w:t>
                  </w:r>
                </w:p>
              </w:tc>
            </w:tr>
            <w:tr w14:paraId="6C5E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FDCD9">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2021AD">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2" w:type="dxa"/>
                  <w:tcBorders>
                    <w:top w:val="nil"/>
                    <w:left w:val="nil"/>
                    <w:bottom w:val="nil"/>
                    <w:right w:val="nil"/>
                  </w:tcBorders>
                  <w:shd w:val="clear" w:color="auto" w:fill="auto"/>
                  <w:vAlign w:val="center"/>
                </w:tcPr>
                <w:p w14:paraId="5975BC48">
                  <w:pPr>
                    <w:keepNext w:val="0"/>
                    <w:keepLines w:val="0"/>
                    <w:widowControl/>
                    <w:suppressLineNumbers w:val="0"/>
                    <w:spacing w:before="0" w:beforeAutospacing="0" w:after="0" w:afterAutospacing="0"/>
                    <w:ind w:left="0" w:right="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BBEC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1BB35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EC8CF">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C7D78">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8F918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F2A48D">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5BC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2107A">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58121">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EE23BC">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人事考试等工作经费</w:t>
                  </w: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5C1B6B">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强化人才支撑保障。实施重大人才招引工程，依托“硕博进阿坝”“格桑花”等引才项目</w:t>
                  </w:r>
                </w:p>
              </w:tc>
            </w:tr>
            <w:tr w14:paraId="37BB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B1CA7">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8928">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5F9D77">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r>
            <w:tr w14:paraId="53CD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8B5B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ABC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10D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482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C29C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91A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83A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527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E9C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0A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7F0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CA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CF9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3D1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2.29</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D653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2.29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A23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191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7FD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F6177">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062BD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02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C61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3F3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EBC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2.29</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2E5C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2.29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1A1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511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A65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68F24">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78BA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2FF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896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A81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2B3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268DD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AAE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688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3A7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92FA5">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747EC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4FE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428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F23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56A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D881C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C2E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961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835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08A50">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3157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795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5D7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044B">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A75E">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3FDFE">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7AC5">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EB9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D5D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2C3B1">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75EFF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9EEC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8B2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8C6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A9C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A14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35D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A19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ABF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343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79E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23C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F051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160F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4DD1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D5F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FFD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完成事业单位、三支一扶等考试考务实施场次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F2A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887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4</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116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04A4">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6B3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20F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5F00">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0AD8F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D4F3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D749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7D5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BD2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事业单位、三支一扶等考试完成率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5DE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C87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F40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27A6">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50E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E4C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25B5">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5DB6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205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70C7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E56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32B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人事考试完成时限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50C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56A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1E2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8070">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462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307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1EEB">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22875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FBE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8918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E29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C0C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对我县社会发展的促进或影响程度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90C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10C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较高</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6E0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866C">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637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E8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CD35">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1374A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62C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D38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5A9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0B7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反映项目实施对在全社会营造爱才、惜才、敬才、用才的良好氛围保障人事考试的顺利进行</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E3A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E45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7CA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E88A">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1F8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4B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5A8C">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45130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D8E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4B6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6AF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B98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7B5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F81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9E9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07BF">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161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04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26B3">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2F5E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059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86C9B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844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3FE1">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EEEF">
                  <w:pPr>
                    <w:keepNext w:val="0"/>
                    <w:keepLines w:val="0"/>
                    <w:suppressLineNumbers w:val="0"/>
                    <w:spacing w:before="0" w:beforeAutospacing="0" w:after="0" w:afterAutospacing="0"/>
                    <w:ind w:left="0" w:right="0"/>
                    <w:rPr>
                      <w:rFonts w:hint="eastAsia" w:ascii="微软雅黑" w:hAnsi="微软雅黑" w:eastAsia="微软雅黑" w:cs="微软雅黑"/>
                      <w:i/>
                      <w:iCs/>
                      <w:color w:val="000000"/>
                      <w:sz w:val="16"/>
                      <w:szCs w:val="16"/>
                      <w:u w:val="none"/>
                    </w:rPr>
                  </w:pPr>
                </w:p>
              </w:tc>
            </w:tr>
            <w:tr w14:paraId="127CC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5EF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D3AD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微软雅黑" w:hAnsi="微软雅黑" w:eastAsia="微软雅黑" w:cs="微软雅黑"/>
                      <w:i/>
                      <w:iCs/>
                      <w:color w:val="000000"/>
                      <w:kern w:val="0"/>
                      <w:sz w:val="16"/>
                      <w:szCs w:val="16"/>
                      <w:u w:val="none"/>
                      <w:lang w:val="en-US" w:eastAsia="zh-CN" w:bidi="ar"/>
                    </w:rPr>
                    <w:t>推进人才项目评审专家数据库建设，创新开展人才关爱激励“五大工程”，支持人才安心干事创业，推动县域人才中坚力量崛起，共谋县域经济高质量发展。</w:t>
                  </w:r>
                </w:p>
              </w:tc>
            </w:tr>
            <w:tr w14:paraId="3166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CCC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DFBC39">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203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3C1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9E2059">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F1FD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3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ECF3B3">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613738">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财务负责人：朱浩</w:t>
                  </w:r>
                </w:p>
              </w:tc>
            </w:tr>
            <w:tr w14:paraId="014F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D4A017">
                  <w:pPr>
                    <w:keepNext w:val="0"/>
                    <w:keepLines w:val="0"/>
                    <w:widowControl/>
                    <w:suppressLineNumbers w:val="0"/>
                    <w:spacing w:before="0" w:beforeAutospacing="0" w:after="0" w:afterAutospacing="0"/>
                    <w:ind w:left="0" w:right="0"/>
                    <w:jc w:val="both"/>
                    <w:textAlignment w:val="center"/>
                    <w:rPr>
                      <w:rFonts w:hint="eastAsia" w:ascii="黑体" w:hAnsi="黑体" w:eastAsia="黑体" w:cs="黑体"/>
                      <w:i w:val="0"/>
                      <w:iCs w:val="0"/>
                      <w:color w:val="000000"/>
                      <w:sz w:val="18"/>
                      <w:szCs w:val="18"/>
                      <w:u w:val="none"/>
                    </w:rPr>
                  </w:pPr>
                </w:p>
              </w:tc>
            </w:tr>
          </w:tbl>
          <w:p w14:paraId="623F8668">
            <w:pPr>
              <w:keepNext w:val="0"/>
              <w:keepLines w:val="0"/>
              <w:widowControl/>
              <w:suppressLineNumbers w:val="0"/>
              <w:spacing w:before="0" w:beforeAutospacing="0" w:after="0" w:afterAutospacing="0"/>
              <w:ind w:left="0" w:right="0"/>
              <w:jc w:val="center"/>
              <w:textAlignment w:val="center"/>
              <w:rPr>
                <w:rFonts w:hint="eastAsia" w:ascii="黑体" w:hAnsi="宋体" w:eastAsia="黑体" w:cs="黑体"/>
                <w:b/>
                <w:bCs/>
                <w:i w:val="0"/>
                <w:iCs w:val="0"/>
                <w:color w:val="000000"/>
                <w:kern w:val="0"/>
                <w:sz w:val="30"/>
                <w:szCs w:val="30"/>
                <w:u w:val="none"/>
                <w:lang w:val="en-US" w:eastAsia="zh-CN" w:bidi="ar"/>
              </w:rPr>
            </w:pPr>
          </w:p>
          <w:tbl>
            <w:tblPr>
              <w:tblStyle w:val="17"/>
              <w:tblW w:w="1411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4"/>
              <w:gridCol w:w="1776"/>
              <w:gridCol w:w="2265"/>
              <w:gridCol w:w="521"/>
              <w:gridCol w:w="1679"/>
              <w:gridCol w:w="522"/>
              <w:gridCol w:w="1092"/>
              <w:gridCol w:w="505"/>
              <w:gridCol w:w="456"/>
              <w:gridCol w:w="2561"/>
            </w:tblGrid>
            <w:tr w14:paraId="62037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30DB53">
                  <w:pPr>
                    <w:keepNext w:val="0"/>
                    <w:keepLines w:val="0"/>
                    <w:widowControl/>
                    <w:suppressLineNumbers w:val="0"/>
                    <w:spacing w:before="0" w:beforeAutospacing="0" w:after="0" w:afterAutospacing="0"/>
                    <w:ind w:left="0" w:right="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5C2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E7F88">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9A73F6">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51322322T000006215213-三支一扶人员安家费</w:t>
                  </w:r>
                </w:p>
              </w:tc>
            </w:tr>
            <w:tr w14:paraId="3E35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7D21E">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E302D6">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2" w:type="dxa"/>
                  <w:tcBorders>
                    <w:top w:val="nil"/>
                    <w:left w:val="nil"/>
                    <w:bottom w:val="nil"/>
                    <w:right w:val="nil"/>
                  </w:tcBorders>
                  <w:shd w:val="clear" w:color="auto" w:fill="auto"/>
                  <w:vAlign w:val="center"/>
                </w:tcPr>
                <w:p w14:paraId="5739B4C7">
                  <w:pPr>
                    <w:keepNext w:val="0"/>
                    <w:keepLines w:val="0"/>
                    <w:widowControl/>
                    <w:suppressLineNumbers w:val="0"/>
                    <w:spacing w:before="0" w:beforeAutospacing="0" w:after="0" w:afterAutospacing="0"/>
                    <w:ind w:left="0" w:right="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AADC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0356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3AAE9">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5B7BF">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384BB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2C0302">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B85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5F80C">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6B162">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1BDD0A">
                  <w:pPr>
                    <w:keepNext w:val="0"/>
                    <w:keepLines w:val="0"/>
                    <w:suppressLineNumbers w:val="0"/>
                    <w:spacing w:before="0" w:beforeAutospacing="0" w:after="0" w:afterAutospacing="0"/>
                    <w:ind w:left="0" w:right="0"/>
                    <w:rPr>
                      <w:rFonts w:ascii="宋体" w:hAnsi="宋体" w:eastAsia="宋体" w:cs="宋体"/>
                      <w:i w:val="0"/>
                      <w:iCs w:val="0"/>
                      <w:color w:val="000000"/>
                      <w:sz w:val="18"/>
                      <w:szCs w:val="18"/>
                      <w:u w:val="none"/>
                    </w:rPr>
                  </w:pP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BB12E0">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强化人才支撑保障。实施重大人才招引工程，依托“硕博进阿坝”“格桑花”等引才项目</w:t>
                  </w:r>
                </w:p>
              </w:tc>
            </w:tr>
            <w:tr w14:paraId="7D531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1BCE0">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1E83">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22C150">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r>
            <w:tr w14:paraId="0520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8D30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419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041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927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31D1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9C3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6BA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AA5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609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B8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E91A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D0E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B71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FC8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D583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CF0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28E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AE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0B5BE">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193BE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97A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F83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954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C33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CEB1B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EE4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E7E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098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9B261">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3D15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882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898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FCB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13B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F0874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1FE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E05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7D6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43A80">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4A34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0967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EF6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737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C43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80DD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45A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7CA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76B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0DD7F">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3AD3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B8A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246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B904">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BF37">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501F6">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DF46">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EF5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C76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AE32D">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65C50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3A11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714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074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076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CB6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020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28C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EB6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C47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AA8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BE6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04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816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7E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947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418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DA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A0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81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C960">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8A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72A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EC18">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115C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9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99278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1F8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E61C">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63E8">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r>
            <w:tr w14:paraId="059E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E35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72E84B">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推进人才项目评审专家数据库建设，创新开展人才关爱激励“五大工程”，支持人才安心干事创业，推动县域人才中坚力量崛起，共谋县域经济高质量发展。</w:t>
                  </w:r>
                </w:p>
              </w:tc>
            </w:tr>
            <w:tr w14:paraId="39CAD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133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993989">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8AE5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3AB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77A57A">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F1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3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63ABA">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3E9800">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财务负责人：朱浩</w:t>
                  </w:r>
                </w:p>
              </w:tc>
            </w:tr>
            <w:tr w14:paraId="34FE4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AAA34C">
                  <w:pPr>
                    <w:keepNext w:val="0"/>
                    <w:keepLines w:val="0"/>
                    <w:widowControl/>
                    <w:suppressLineNumbers w:val="0"/>
                    <w:spacing w:before="0" w:beforeAutospacing="0" w:after="0" w:afterAutospacing="0"/>
                    <w:ind w:left="0" w:right="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968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4CDAE">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DC26CB">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51322324T000009956611-退还民工工资保证金</w:t>
                  </w:r>
                </w:p>
              </w:tc>
            </w:tr>
            <w:tr w14:paraId="61CA1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E1860">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B62CCA">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2" w:type="dxa"/>
                  <w:tcBorders>
                    <w:top w:val="nil"/>
                    <w:left w:val="nil"/>
                    <w:bottom w:val="nil"/>
                    <w:right w:val="nil"/>
                  </w:tcBorders>
                  <w:shd w:val="clear" w:color="auto" w:fill="auto"/>
                  <w:vAlign w:val="center"/>
                </w:tcPr>
                <w:p w14:paraId="7A4FF88E">
                  <w:pPr>
                    <w:keepNext w:val="0"/>
                    <w:keepLines w:val="0"/>
                    <w:widowControl/>
                    <w:suppressLineNumbers w:val="0"/>
                    <w:spacing w:before="0" w:beforeAutospacing="0" w:after="0" w:afterAutospacing="0"/>
                    <w:ind w:left="0" w:right="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8288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茂县人力资源和社会保障局（行政）</w:t>
                  </w:r>
                </w:p>
              </w:tc>
            </w:tr>
            <w:tr w14:paraId="15D9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A9176">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63464">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588C2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39C3D7">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60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90621">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9AB2B">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D5708A">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用于解决拖欠和克扣农民工工资</w:t>
                  </w: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85FF89">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强化治理欠薪与清欠账款协同联动，建立治理欠薪、法律咨询、多方调解等一体的“新业态劳动纠纷调解站”，实现信息共享、双向移送、结果反馈，推进欠薪问题“连环清”。</w:t>
                  </w:r>
                </w:p>
              </w:tc>
            </w:tr>
            <w:tr w14:paraId="7587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EE1C">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93C6">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163A6C">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r>
            <w:tr w14:paraId="78DFD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5998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2DA6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E04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458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EE9F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82D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035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6ED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1EA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1E3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F05C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197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494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6DA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E6EAC">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3B85">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820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F0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4E686">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2D1BB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B1E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8D5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292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912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A95E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299.52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D35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3C60">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BA2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DBC8C">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1F5EC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9A2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770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AB2B">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AC8F">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3574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DB2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121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9B4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A3333">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2B60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2B6F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330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2EE1">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11E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CDBD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BAFD">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1A69">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5F9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488C0">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43C07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3A1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203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3B4B">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40C2">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2DD19">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EE69">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579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08A2">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99B55">
                  <w:pPr>
                    <w:keepNext w:val="0"/>
                    <w:keepLines w:val="0"/>
                    <w:suppressLineNumbers w:val="0"/>
                    <w:spacing w:before="0" w:beforeAutospacing="0" w:after="0" w:afterAutospacing="0"/>
                    <w:ind w:left="0" w:right="0"/>
                    <w:rPr>
                      <w:rFonts w:hint="eastAsia" w:ascii="黑体" w:hAnsi="黑体" w:eastAsia="黑体" w:cs="黑体"/>
                      <w:i/>
                      <w:iCs/>
                      <w:color w:val="000000"/>
                      <w:sz w:val="18"/>
                      <w:szCs w:val="18"/>
                      <w:u w:val="none"/>
                    </w:rPr>
                  </w:pPr>
                </w:p>
              </w:tc>
            </w:tr>
            <w:tr w14:paraId="09C4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F349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653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583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45C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AE7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5668">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48A7">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58C6">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8FE3">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932E">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19D4">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C56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9DD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358A">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23D3">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19C2">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5602">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EFEA">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5056">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B0FC">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80AC">
                  <w:pPr>
                    <w:keepNext w:val="0"/>
                    <w:keepLines w:val="0"/>
                    <w:suppressLineNumbers w:val="0"/>
                    <w:spacing w:before="0" w:beforeAutospacing="0" w:after="0" w:afterAutospacing="0"/>
                    <w:ind w:left="0" w:right="0"/>
                    <w:jc w:val="center"/>
                    <w:rPr>
                      <w:rFonts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7E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7D91">
                  <w:pPr>
                    <w:keepNext w:val="0"/>
                    <w:keepLines w:val="0"/>
                    <w:suppressLineNumbers w:val="0"/>
                    <w:spacing w:before="0" w:beforeAutospacing="0" w:after="0" w:afterAutospacing="0"/>
                    <w:ind w:left="0" w:right="0"/>
                    <w:jc w:val="center"/>
                    <w:rPr>
                      <w:rFonts w:hint="eastAsia" w:ascii="微软雅黑" w:hAnsi="微软雅黑" w:eastAsia="微软雅黑" w:cs="微软雅黑"/>
                      <w:i/>
                      <w:iCs/>
                      <w:color w:val="000000"/>
                      <w:sz w:val="16"/>
                      <w:szCs w:val="16"/>
                      <w:u w:val="none"/>
                    </w:rPr>
                  </w:pPr>
                </w:p>
              </w:tc>
            </w:tr>
            <w:tr w14:paraId="482C4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59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B5C01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AB6A">
                  <w:pPr>
                    <w:keepNext w:val="0"/>
                    <w:keepLines w:val="0"/>
                    <w:widowControl/>
                    <w:suppressLineNumbers w:val="0"/>
                    <w:spacing w:before="0" w:beforeAutospacing="0" w:after="0" w:afterAutospacing="0"/>
                    <w:ind w:left="0" w:right="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EC07">
                  <w:pPr>
                    <w:keepNext w:val="0"/>
                    <w:keepLines w:val="0"/>
                    <w:suppressLineNumbers w:val="0"/>
                    <w:spacing w:before="0" w:beforeAutospacing="0" w:after="0" w:afterAutospacing="0"/>
                    <w:ind w:left="0" w:right="0"/>
                    <w:rPr>
                      <w:rFonts w:hint="eastAsia" w:ascii="宋体" w:hAnsi="宋体" w:eastAsia="宋体" w:cs="宋体"/>
                      <w:i w:val="0"/>
                      <w:iCs w:val="0"/>
                      <w:color w:val="000000"/>
                      <w:sz w:val="18"/>
                      <w:szCs w:val="18"/>
                      <w:u w:val="none"/>
                    </w:rP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6B73">
                  <w:pPr>
                    <w:keepNext w:val="0"/>
                    <w:keepLines w:val="0"/>
                    <w:suppressLineNumbers w:val="0"/>
                    <w:spacing w:before="0" w:beforeAutospacing="0" w:after="0" w:afterAutospacing="0"/>
                    <w:ind w:left="0" w:right="0"/>
                    <w:rPr>
                      <w:rFonts w:hint="eastAsia" w:ascii="微软雅黑" w:hAnsi="微软雅黑" w:eastAsia="微软雅黑" w:cs="微软雅黑"/>
                      <w:i/>
                      <w:iCs/>
                      <w:color w:val="000000"/>
                      <w:sz w:val="16"/>
                      <w:szCs w:val="16"/>
                      <w:u w:val="none"/>
                    </w:rPr>
                  </w:pPr>
                </w:p>
              </w:tc>
            </w:tr>
            <w:tr w14:paraId="1E5B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A2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67B2C7">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该项目的及时、完整实施，达到了对应的绩效目标，构建和谐同行关系，筑牢民工安薪责任网</w:t>
                  </w:r>
                </w:p>
              </w:tc>
            </w:tr>
            <w:tr w14:paraId="1114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77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211857">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6330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2D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C9FD05">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CCB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3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101A36">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项目负责人：林书明</w:t>
                  </w:r>
                </w:p>
              </w:tc>
              <w:tc>
                <w:tcPr>
                  <w:tcW w:w="68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D02494">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财务负责人：朱浩</w:t>
                  </w:r>
                </w:p>
              </w:tc>
            </w:tr>
            <w:tr w14:paraId="72400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58D6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33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4A4BB">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EB8009">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51322323T000009688768-公共实训基地建设</w:t>
                  </w:r>
                </w:p>
              </w:tc>
            </w:tr>
            <w:tr w14:paraId="606A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11EA7">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B52CD">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茂县人力资源和社会保障局</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BDA5">
                  <w:pPr>
                    <w:keepNext w:val="0"/>
                    <w:keepLines w:val="0"/>
                    <w:widowControl/>
                    <w:suppressLineNumbers w:val="0"/>
                    <w:spacing w:before="0" w:beforeAutospacing="0" w:after="0" w:afterAutospacing="0"/>
                    <w:ind w:left="0" w:right="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3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806788">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茂县人力资源和社会保障局（行政）</w:t>
                  </w:r>
                </w:p>
              </w:tc>
            </w:tr>
            <w:tr w14:paraId="6D479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A97CC">
                  <w:pPr>
                    <w:keepNext w:val="0"/>
                    <w:keepLines w:val="0"/>
                    <w:widowControl/>
                    <w:suppressLineNumbers w:val="0"/>
                    <w:spacing w:before="0" w:beforeAutospacing="0" w:after="0" w:afterAutospacing="0"/>
                    <w:ind w:left="0" w:right="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AE7EE">
                  <w:pPr>
                    <w:keepNext w:val="0"/>
                    <w:keepLines w:val="0"/>
                    <w:widowControl/>
                    <w:suppressLineNumbers w:val="0"/>
                    <w:spacing w:before="0" w:beforeAutospacing="0" w:after="0" w:afterAutospacing="0"/>
                    <w:ind w:left="0" w:right="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D73EDB">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9757B">
                  <w:pPr>
                    <w:keepNext w:val="0"/>
                    <w:keepLines w:val="0"/>
                    <w:widowControl/>
                    <w:suppressLineNumbers w:val="0"/>
                    <w:spacing w:before="0" w:beforeAutospacing="0" w:after="0" w:afterAutospacing="0"/>
                    <w:ind w:left="0" w:right="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7B361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DF01">
                  <w:pPr>
                    <w:keepNext w:val="0"/>
                    <w:keepLines w:val="0"/>
                    <w:suppressLineNumbers w:val="0"/>
                    <w:spacing w:before="0" w:beforeAutospacing="0" w:after="0" w:afterAutospacing="0"/>
                    <w:ind w:left="0" w:right="0"/>
                    <w:rPr>
                      <w:rFonts w:hint="eastAsia" w:ascii="黑体" w:hAnsi="黑体" w:eastAsia="黑体" w:cs="黑体"/>
                      <w:i w:val="0"/>
                      <w:iCs w:val="0"/>
                      <w:color w:val="000000"/>
                      <w:sz w:val="18"/>
                      <w:szCs w:val="18"/>
                      <w:u w:val="none"/>
                    </w:rPr>
                  </w:pPr>
                </w:p>
              </w:tc>
              <w:tc>
                <w:tcPr>
                  <w:tcW w:w="20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9A370">
                  <w:pPr>
                    <w:keepNext w:val="0"/>
                    <w:keepLines w:val="0"/>
                    <w:suppressLineNumbers w:val="0"/>
                    <w:spacing w:before="0" w:beforeAutospacing="0" w:after="0" w:afterAutospacing="0"/>
                    <w:ind w:left="0" w:right="0"/>
                  </w:pPr>
                </w:p>
              </w:tc>
              <w:tc>
                <w:tcPr>
                  <w:tcW w:w="67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D1B677">
                  <w:pPr>
                    <w:keepNext w:val="0"/>
                    <w:keepLines w:val="0"/>
                    <w:suppressLineNumbers w:val="0"/>
                    <w:spacing w:before="0" w:beforeAutospacing="0" w:after="0" w:afterAutospacing="0"/>
                    <w:ind w:left="0" w:right="0"/>
                  </w:pPr>
                </w:p>
              </w:tc>
              <w:tc>
                <w:tcPr>
                  <w:tcW w:w="46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942339">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提供更加便民高效的社保服务、开展更加科学合理的人事人才工作</w:t>
                  </w:r>
                </w:p>
              </w:tc>
            </w:tr>
            <w:tr w14:paraId="0DF36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454D">
                  <w:pPr>
                    <w:keepNext w:val="0"/>
                    <w:keepLines w:val="0"/>
                    <w:suppressLineNumbers w:val="0"/>
                    <w:spacing w:before="0" w:beforeAutospacing="0" w:after="0" w:afterAutospacing="0"/>
                    <w:ind w:left="0" w:right="0"/>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98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i w:val="0"/>
                      <w:iCs w:val="0"/>
                      <w:color w:val="000000"/>
                      <w:kern w:val="0"/>
                      <w:sz w:val="18"/>
                      <w:szCs w:val="18"/>
                      <w:u w:val="none"/>
                      <w:lang w:val="en-US" w:eastAsia="zh-CN" w:bidi="ar"/>
                    </w:rPr>
                    <w:t>2.项目实施内容及过程概述</w:t>
                  </w:r>
                </w:p>
              </w:tc>
              <w:tc>
                <w:tcPr>
                  <w:tcW w:w="113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4E30A0">
                  <w:pPr>
                    <w:keepNext w:val="0"/>
                    <w:keepLines w:val="0"/>
                    <w:suppressLineNumbers w:val="0"/>
                    <w:spacing w:before="0" w:beforeAutospacing="0" w:after="0" w:afterAutospacing="0"/>
                    <w:ind w:left="0" w:right="0"/>
                    <w:rPr>
                      <w:rFonts w:hint="eastAsia" w:ascii="黑体" w:hAnsi="黑体" w:eastAsia="黑体" w:cs="黑体"/>
                      <w:i w:val="0"/>
                      <w:iCs w:val="0"/>
                      <w:color w:val="000000"/>
                      <w:kern w:val="0"/>
                      <w:sz w:val="18"/>
                      <w:szCs w:val="18"/>
                      <w:u w:val="none"/>
                      <w:lang w:val="en-US" w:eastAsia="zh-CN" w:bidi="ar"/>
                    </w:rPr>
                  </w:pPr>
                </w:p>
              </w:tc>
            </w:tr>
            <w:tr w14:paraId="5F1A3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29FC7">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4DF8">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年度预算数（万元）</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3727">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D976">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F3B29">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2336">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5011">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4C9E">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3F86">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3D5A3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B63C">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CB38">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总额</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63B5">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2BF8">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11.20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A36BCD">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11.20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BAC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1BF5">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FF4B">
                  <w:pPr>
                    <w:keepNext w:val="0"/>
                    <w:keepLines w:val="0"/>
                    <w:suppressLineNumbers w:val="0"/>
                    <w:spacing w:before="0" w:beforeAutospacing="0" w:after="0" w:afterAutospacing="0"/>
                    <w:ind w:left="0" w:right="0"/>
                    <w:jc w:val="center"/>
                  </w:pPr>
                </w:p>
              </w:tc>
              <w:tc>
                <w:tcPr>
                  <w:tcW w:w="2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CFE81">
                  <w:pPr>
                    <w:keepNext w:val="0"/>
                    <w:keepLines w:val="0"/>
                    <w:widowControl/>
                    <w:suppressLineNumbers w:val="0"/>
                    <w:spacing w:before="0" w:beforeAutospacing="0" w:after="0" w:afterAutospacing="0"/>
                    <w:ind w:left="0" w:right="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5AB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EF497">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3F71">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其中：财政资金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FE66">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F9F6">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11.20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F9095">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11.20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8B39">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F046">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DF18">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AA43A">
                  <w:pPr>
                    <w:keepNext w:val="0"/>
                    <w:keepLines w:val="0"/>
                    <w:suppressLineNumbers w:val="0"/>
                    <w:spacing w:before="0" w:beforeAutospacing="0" w:after="0" w:afterAutospacing="0"/>
                    <w:ind w:left="0" w:right="0"/>
                  </w:pPr>
                </w:p>
              </w:tc>
            </w:tr>
            <w:tr w14:paraId="0AFF9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0E996">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C20D">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002F">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AF01">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90390">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6784">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3237">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9EB3">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389E7">
                  <w:pPr>
                    <w:keepNext w:val="0"/>
                    <w:keepLines w:val="0"/>
                    <w:suppressLineNumbers w:val="0"/>
                    <w:spacing w:before="0" w:beforeAutospacing="0" w:after="0" w:afterAutospacing="0"/>
                    <w:ind w:left="0" w:right="0"/>
                  </w:pPr>
                </w:p>
              </w:tc>
            </w:tr>
            <w:tr w14:paraId="2268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4720D">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FFB5">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A7E3">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4580">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4E2D8">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901A">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B277">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DDBE">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2DF8B">
                  <w:pPr>
                    <w:keepNext w:val="0"/>
                    <w:keepLines w:val="0"/>
                    <w:suppressLineNumbers w:val="0"/>
                    <w:spacing w:before="0" w:beforeAutospacing="0" w:after="0" w:afterAutospacing="0"/>
                    <w:ind w:left="0" w:right="0"/>
                  </w:pPr>
                </w:p>
              </w:tc>
            </w:tr>
            <w:tr w14:paraId="15ABF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190E3">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E7E0">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CA1C">
                  <w:pPr>
                    <w:keepNext w:val="0"/>
                    <w:keepLines w:val="0"/>
                    <w:suppressLineNumbers w:val="0"/>
                    <w:spacing w:before="0" w:beforeAutospacing="0" w:after="0" w:afterAutospacing="0"/>
                    <w:ind w:left="0" w:right="0"/>
                    <w:jc w:val="cente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49F6">
                  <w:pPr>
                    <w:keepNext w:val="0"/>
                    <w:keepLines w:val="0"/>
                    <w:suppressLineNumbers w:val="0"/>
                    <w:spacing w:before="0" w:beforeAutospacing="0" w:after="0" w:afterAutospacing="0"/>
                    <w:ind w:left="0" w:right="0"/>
                    <w:jc w:val="center"/>
                  </w:pP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77891D">
                  <w:pPr>
                    <w:keepNext w:val="0"/>
                    <w:keepLines w:val="0"/>
                    <w:suppressLineNumbers w:val="0"/>
                    <w:spacing w:before="0" w:beforeAutospacing="0" w:after="0" w:afterAutospacing="0"/>
                    <w:ind w:left="0" w:right="0"/>
                    <w:jc w:val="cente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6631">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kern w:val="0"/>
                      <w:sz w:val="18"/>
                      <w:szCs w:val="18"/>
                      <w:u w:val="none"/>
                      <w:lang w:val="en-US" w:eastAsia="zh-CN" w:bidi="ar"/>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C8BB">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80D3">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w:t>
                  </w: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A3CBE">
                  <w:pPr>
                    <w:keepNext w:val="0"/>
                    <w:keepLines w:val="0"/>
                    <w:suppressLineNumbers w:val="0"/>
                    <w:spacing w:before="0" w:beforeAutospacing="0" w:after="0" w:afterAutospacing="0"/>
                    <w:ind w:left="0" w:right="0"/>
                  </w:pPr>
                </w:p>
              </w:tc>
            </w:tr>
            <w:tr w14:paraId="35D4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8"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20E8C">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9421">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一级指标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87EC">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1240">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3C2F">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8C52">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5C27">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D347">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508B">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B3C9">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A392">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11A7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AFA46">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sz w:val="18"/>
                      <w:szCs w:val="18"/>
                      <w:u w:val="none"/>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6D42">
                  <w:pPr>
                    <w:keepNext w:val="0"/>
                    <w:keepLines w:val="0"/>
                    <w:suppressLineNumbers w:val="0"/>
                    <w:spacing w:before="0" w:beforeAutospacing="0" w:after="0" w:afterAutospacing="0"/>
                    <w:ind w:left="0" w:right="0"/>
                    <w:jc w:val="cente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2F57">
                  <w:pPr>
                    <w:keepNext w:val="0"/>
                    <w:keepLines w:val="0"/>
                    <w:suppressLineNumbers w:val="0"/>
                    <w:spacing w:before="0" w:beforeAutospacing="0" w:after="0" w:afterAutospacing="0"/>
                    <w:ind w:left="0" w:right="0"/>
                    <w:jc w:val="cente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A516">
                  <w:pPr>
                    <w:keepNext w:val="0"/>
                    <w:keepLines w:val="0"/>
                    <w:suppressLineNumbers w:val="0"/>
                    <w:spacing w:before="0" w:beforeAutospacing="0" w:after="0" w:afterAutospacing="0"/>
                    <w:ind w:left="0" w:right="0"/>
                    <w:jc w:val="cente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5843">
                  <w:pPr>
                    <w:keepNext w:val="0"/>
                    <w:keepLines w:val="0"/>
                    <w:suppressLineNumbers w:val="0"/>
                    <w:spacing w:before="0" w:beforeAutospacing="0" w:after="0" w:afterAutospacing="0"/>
                    <w:ind w:left="0" w:right="0"/>
                    <w:jc w:val="center"/>
                  </w:pP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9D15">
                  <w:pPr>
                    <w:keepNext w:val="0"/>
                    <w:keepLines w:val="0"/>
                    <w:suppressLineNumbers w:val="0"/>
                    <w:spacing w:before="0" w:beforeAutospacing="0" w:after="0" w:afterAutospacing="0"/>
                    <w:ind w:left="0" w:right="0"/>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DB48">
                  <w:pPr>
                    <w:keepNext w:val="0"/>
                    <w:keepLines w:val="0"/>
                    <w:suppressLineNumbers w:val="0"/>
                    <w:spacing w:before="0" w:beforeAutospacing="0" w:after="0" w:afterAutospacing="0"/>
                    <w:ind w:left="0" w:right="0"/>
                    <w:jc w:val="cente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10CA">
                  <w:pPr>
                    <w:keepNext w:val="0"/>
                    <w:keepLines w:val="0"/>
                    <w:suppressLineNumbers w:val="0"/>
                    <w:spacing w:before="0" w:beforeAutospacing="0" w:after="0" w:afterAutospacing="0"/>
                    <w:ind w:left="0" w:right="0"/>
                    <w:jc w:val="center"/>
                    <w:rPr>
                      <w:rFonts w:hint="eastAsia" w:ascii="黑体" w:hAnsi="黑体" w:eastAsia="黑体" w:cs="黑体"/>
                      <w:i w:val="0"/>
                      <w:iCs w:val="0"/>
                      <w:color w:val="000000"/>
                      <w:kern w:val="0"/>
                      <w:sz w:val="18"/>
                      <w:szCs w:val="18"/>
                      <w:u w:val="none"/>
                      <w:lang w:val="en-US" w:eastAsia="zh-CN" w:bidi="ar"/>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2494">
                  <w:pPr>
                    <w:keepNext w:val="0"/>
                    <w:keepLines w:val="0"/>
                    <w:suppressLineNumbers w:val="0"/>
                    <w:spacing w:before="0" w:beforeAutospacing="0" w:after="0" w:afterAutospacing="0"/>
                    <w:ind w:left="0" w:right="0"/>
                    <w:jc w:val="cente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0E1F">
                  <w:pPr>
                    <w:keepNext w:val="0"/>
                    <w:keepLines w:val="0"/>
                    <w:suppressLineNumbers w:val="0"/>
                    <w:spacing w:before="0" w:beforeAutospacing="0" w:after="0" w:afterAutospacing="0"/>
                    <w:ind w:left="0" w:right="0"/>
                    <w:jc w:val="center"/>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383B">
                  <w:pPr>
                    <w:keepNext w:val="0"/>
                    <w:keepLines w:val="0"/>
                    <w:suppressLineNumbers w:val="0"/>
                    <w:spacing w:before="0" w:beforeAutospacing="0" w:after="0" w:afterAutospacing="0"/>
                    <w:ind w:left="0" w:right="0"/>
                    <w:jc w:val="center"/>
                  </w:pPr>
                </w:p>
              </w:tc>
            </w:tr>
            <w:tr w14:paraId="29088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9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6B888B">
                  <w:pPr>
                    <w:keepNext w:val="0"/>
                    <w:keepLines w:val="0"/>
                    <w:widowControl/>
                    <w:suppressLineNumbers w:val="0"/>
                    <w:spacing w:before="0" w:beforeAutospacing="0" w:after="0" w:afterAutospacing="0"/>
                    <w:ind w:left="0" w:right="0"/>
                    <w:jc w:val="center"/>
                    <w:textAlignment w:val="cente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06E3">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CAE2">
                  <w:pPr>
                    <w:keepNext w:val="0"/>
                    <w:keepLines w:val="0"/>
                    <w:suppressLineNumbers w:val="0"/>
                    <w:spacing w:before="0" w:beforeAutospacing="0" w:after="0" w:afterAutospacing="0"/>
                    <w:ind w:left="0" w:right="0"/>
                  </w:pP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51C3">
                  <w:pPr>
                    <w:keepNext w:val="0"/>
                    <w:keepLines w:val="0"/>
                    <w:suppressLineNumbers w:val="0"/>
                    <w:spacing w:before="0" w:beforeAutospacing="0" w:after="0" w:afterAutospacing="0"/>
                    <w:ind w:left="0" w:right="0"/>
                  </w:pPr>
                </w:p>
              </w:tc>
            </w:tr>
            <w:tr w14:paraId="06B5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035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04F227">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构建快捷便民服务网络，形成以信息化为支撑、标准化为引领的便捷高效的社保经办服务体系</w:t>
                  </w:r>
                </w:p>
              </w:tc>
            </w:tr>
            <w:tr w14:paraId="1999B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F2B5">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EED3BB">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无</w:t>
                  </w:r>
                </w:p>
              </w:tc>
            </w:tr>
            <w:tr w14:paraId="2653C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53D3">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3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E4369B">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无</w:t>
                  </w:r>
                </w:p>
              </w:tc>
            </w:tr>
            <w:tr w14:paraId="37AE2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3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031C7">
                  <w:pPr>
                    <w:keepNext w:val="0"/>
                    <w:keepLines w:val="0"/>
                    <w:widowControl/>
                    <w:suppressLineNumbers w:val="0"/>
                    <w:spacing w:before="0" w:beforeAutospacing="0" w:after="0" w:afterAutospacing="0"/>
                    <w:ind w:left="0" w:right="0"/>
                    <w:jc w:val="left"/>
                    <w:textAlignment w:val="center"/>
                  </w:pPr>
                  <w:r>
                    <w:rPr>
                      <w:rFonts w:hint="eastAsia" w:ascii="黑体" w:hAnsi="黑体" w:eastAsia="黑体" w:cs="黑体"/>
                      <w:i w:val="0"/>
                      <w:iCs w:val="0"/>
                      <w:color w:val="000000"/>
                      <w:kern w:val="0"/>
                      <w:sz w:val="18"/>
                      <w:szCs w:val="18"/>
                      <w:u w:val="none"/>
                      <w:lang w:val="en-US" w:eastAsia="zh-CN" w:bidi="ar"/>
                    </w:rPr>
                    <w:t>项目负责人：林书明</w:t>
                  </w:r>
                </w:p>
              </w:tc>
              <w:tc>
                <w:tcPr>
                  <w:tcW w:w="68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EF01DD">
                  <w:pPr>
                    <w:keepNext w:val="0"/>
                    <w:keepLines w:val="0"/>
                    <w:widowControl/>
                    <w:suppressLineNumbers w:val="0"/>
                    <w:spacing w:before="0" w:beforeAutospacing="0" w:after="0" w:afterAutospacing="0"/>
                    <w:ind w:left="0" w:right="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财务负责人：朱浩</w:t>
                  </w:r>
                </w:p>
              </w:tc>
            </w:tr>
          </w:tbl>
          <w:p w14:paraId="2F8CC2F0">
            <w:pPr>
              <w:keepNext w:val="0"/>
              <w:keepLines w:val="0"/>
              <w:widowControl/>
              <w:suppressLineNumbers w:val="0"/>
              <w:spacing w:before="0" w:beforeAutospacing="0" w:after="0" w:afterAutospacing="0"/>
              <w:ind w:left="0" w:leftChars="0" w:right="0" w:rightChars="0"/>
              <w:jc w:val="center"/>
              <w:textAlignment w:val="center"/>
              <w:rPr>
                <w:rFonts w:ascii="黑体" w:hAnsi="宋体" w:eastAsia="黑体" w:cs="黑体"/>
                <w:b/>
                <w:bCs/>
                <w:i w:val="0"/>
                <w:iCs w:val="0"/>
                <w:color w:val="000000"/>
                <w:kern w:val="2"/>
                <w:sz w:val="30"/>
                <w:szCs w:val="30"/>
                <w:u w:val="none"/>
                <w:lang w:val="en-US" w:eastAsia="zh-CN" w:bidi="ar-SA"/>
              </w:rPr>
            </w:pPr>
          </w:p>
        </w:tc>
      </w:tr>
    </w:tbl>
    <w:p w14:paraId="794D7F63">
      <w:pPr>
        <w:pStyle w:val="36"/>
        <w:spacing w:line="550" w:lineRule="exact"/>
        <w:rPr>
          <w:rFonts w:hint="eastAsia" w:ascii="仿宋_GB2312" w:hAnsi="黑体" w:eastAsia="仿宋_GB2312" w:cs="宋体"/>
          <w:color w:val="000000"/>
          <w:kern w:val="0"/>
          <w:sz w:val="32"/>
          <w:szCs w:val="32"/>
          <w:shd w:val="clear" w:color="auto" w:fill="FFFFFF"/>
        </w:rPr>
        <w:sectPr>
          <w:pgSz w:w="16838" w:h="11906" w:orient="landscape"/>
          <w:pgMar w:top="1800" w:right="1440" w:bottom="1800" w:left="1440" w:header="851" w:footer="992" w:gutter="0"/>
          <w:pgNumType w:fmt="decimal"/>
          <w:cols w:space="425" w:num="1"/>
          <w:titlePg/>
          <w:docGrid w:type="lines" w:linePitch="312" w:charSpace="0"/>
        </w:sectPr>
      </w:pPr>
    </w:p>
    <w:p w14:paraId="2008ADA0">
      <w:pPr>
        <w:pageBreakBefore w:val="0"/>
        <w:kinsoku/>
        <w:wordWrap/>
        <w:overflowPunct/>
        <w:topLinePunct w:val="0"/>
        <w:bidi w:val="0"/>
        <w:spacing w:line="576" w:lineRule="exact"/>
        <w:jc w:val="left"/>
        <w:textAlignment w:val="auto"/>
        <w:outlineLvl w:val="0"/>
        <w:rPr>
          <w:rFonts w:hint="eastAsia" w:ascii="黑体" w:hAnsi="Times New Roman" w:eastAsia="黑体" w:cs="黑体"/>
          <w:sz w:val="32"/>
          <w:szCs w:val="32"/>
          <w:lang w:val="en-US" w:eastAsia="zh-CN"/>
        </w:rPr>
      </w:pPr>
      <w:r>
        <w:rPr>
          <w:rFonts w:hint="eastAsia" w:ascii="黑体" w:hAnsi="Times New Roman" w:eastAsia="黑体" w:cs="黑体"/>
          <w:sz w:val="32"/>
          <w:szCs w:val="32"/>
        </w:rPr>
        <w:t>附件</w:t>
      </w:r>
      <w:r>
        <w:rPr>
          <w:rFonts w:hint="eastAsia" w:ascii="黑体" w:hAnsi="Times New Roman" w:eastAsia="黑体" w:cs="黑体"/>
          <w:sz w:val="32"/>
          <w:szCs w:val="32"/>
          <w:lang w:val="en-US" w:eastAsia="zh-CN"/>
        </w:rPr>
        <w:t>2</w:t>
      </w:r>
      <w:bookmarkEnd w:id="103"/>
    </w:p>
    <w:p w14:paraId="1F34A90F">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0009C163">
      <w:pPr>
        <w:pStyle w:val="42"/>
        <w:spacing w:line="578" w:lineRule="exact"/>
        <w:ind w:firstLine="640"/>
        <w:jc w:val="center"/>
        <w:rPr>
          <w:rFonts w:ascii="宋体" w:hAnsi="宋体"/>
          <w:color w:val="auto"/>
          <w:kern w:val="2"/>
          <w:sz w:val="32"/>
          <w:szCs w:val="32"/>
        </w:rPr>
      </w:pPr>
    </w:p>
    <w:p w14:paraId="4F396E9E">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7F306A1A">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5FCC3247">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17DA5A17">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73B69640">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49ACF825">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3D95509E">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74B1A876">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7AC81F9E">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245CC589">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51801218">
      <w:pPr>
        <w:pStyle w:val="16"/>
        <w:keepNext w:val="0"/>
        <w:keepLines w:val="0"/>
        <w:pageBreakBefore w:val="0"/>
        <w:widowControl/>
        <w:suppressLineNumbers w:val="0"/>
        <w:kinsoku/>
        <w:wordWrap/>
        <w:overflowPunct/>
        <w:topLinePunct w:val="0"/>
        <w:bidi w:val="0"/>
        <w:spacing w:line="576" w:lineRule="exact"/>
        <w:jc w:val="left"/>
        <w:textAlignment w:val="auto"/>
        <w:rPr>
          <w:rFonts w:hint="eastAsia"/>
          <w:lang w:val="en-US" w:eastAsia="zh-CN"/>
        </w:rPr>
      </w:pPr>
    </w:p>
    <w:p w14:paraId="71B9E1AC">
      <w:pPr>
        <w:pStyle w:val="16"/>
        <w:keepNext w:val="0"/>
        <w:keepLines w:val="0"/>
        <w:pageBreakBefore w:val="0"/>
        <w:widowControl/>
        <w:suppressLineNumbers w:val="0"/>
        <w:kinsoku/>
        <w:wordWrap/>
        <w:overflowPunct/>
        <w:topLinePunct w:val="0"/>
        <w:bidi w:val="0"/>
        <w:spacing w:line="576" w:lineRule="exact"/>
        <w:jc w:val="left"/>
        <w:textAlignment w:val="auto"/>
        <w:rPr>
          <w:rFonts w:hint="default" w:eastAsia="宋体"/>
          <w:lang w:val="en-US" w:eastAsia="zh-CN"/>
        </w:rPr>
      </w:pPr>
      <w:r>
        <w:rPr>
          <w:rFonts w:hint="eastAsia"/>
          <w:lang w:val="en-US" w:eastAsia="zh-CN"/>
        </w:rPr>
        <w:t xml:space="preserve">   </w:t>
      </w:r>
    </w:p>
    <w:p w14:paraId="0A17B711">
      <w:pPr>
        <w:spacing w:line="600" w:lineRule="exact"/>
        <w:jc w:val="both"/>
        <w:outlineLvl w:val="0"/>
        <w:rPr>
          <w:rFonts w:hint="eastAsia" w:ascii="方正小标宋简体" w:hAnsi="黑体" w:eastAsia="方正小标宋简体" w:cs="黑体"/>
          <w:sz w:val="44"/>
          <w:szCs w:val="44"/>
          <w:lang w:val="en-US" w:eastAsia="zh-CN"/>
        </w:rPr>
      </w:pPr>
    </w:p>
    <w:bookmarkEnd w:id="100"/>
    <w:bookmarkEnd w:id="101"/>
    <w:p w14:paraId="44A4CA55">
      <w:pPr>
        <w:spacing w:line="600" w:lineRule="exact"/>
        <w:jc w:val="center"/>
        <w:outlineLvl w:val="0"/>
        <w:rPr>
          <w:rStyle w:val="30"/>
          <w:rFonts w:ascii="黑体" w:hAnsi="黑体" w:eastAsia="黑体"/>
          <w:b w:val="0"/>
        </w:rPr>
      </w:pPr>
      <w:bookmarkStart w:id="104" w:name="_Toc79163885"/>
      <w:bookmarkStart w:id="105" w:name="_Toc15396618"/>
      <w:bookmarkStart w:id="106" w:name="_Toc79163635"/>
      <w:r>
        <w:rPr>
          <w:rFonts w:hint="eastAsia" w:ascii="黑体" w:hAnsi="黑体" w:eastAsia="黑体"/>
          <w:color w:val="000000"/>
          <w:sz w:val="44"/>
          <w:szCs w:val="44"/>
        </w:rPr>
        <w:t>第</w:t>
      </w:r>
      <w:r>
        <w:rPr>
          <w:rStyle w:val="30"/>
          <w:rFonts w:hint="eastAsia" w:ascii="黑体" w:hAnsi="黑体" w:eastAsia="黑体"/>
        </w:rPr>
        <w:t>五部分</w:t>
      </w:r>
      <w:r>
        <w:rPr>
          <w:rStyle w:val="30"/>
          <w:rFonts w:ascii="黑体" w:hAnsi="黑体" w:eastAsia="黑体"/>
        </w:rPr>
        <w:t xml:space="preserve"> </w:t>
      </w:r>
      <w:r>
        <w:rPr>
          <w:rStyle w:val="30"/>
          <w:rFonts w:hint="eastAsia" w:ascii="黑体" w:hAnsi="黑体" w:eastAsia="黑体"/>
        </w:rPr>
        <w:t>附表</w:t>
      </w:r>
      <w:bookmarkEnd w:id="97"/>
      <w:bookmarkEnd w:id="104"/>
      <w:bookmarkEnd w:id="105"/>
      <w:bookmarkEnd w:id="106"/>
    </w:p>
    <w:p w14:paraId="7517090F">
      <w:pPr>
        <w:spacing w:line="576" w:lineRule="exact"/>
        <w:ind w:left="315" w:leftChars="150" w:firstLine="640" w:firstLineChars="200"/>
        <w:rPr>
          <w:rFonts w:ascii="仿宋_GB2312" w:hAnsi="仿宋_GB2312" w:eastAsia="仿宋_GB2312" w:cs="仿宋_GB2312"/>
          <w:color w:val="000000"/>
          <w:sz w:val="32"/>
          <w:szCs w:val="32"/>
        </w:rPr>
      </w:pPr>
      <w:bookmarkStart w:id="107" w:name="_Toc79163636"/>
      <w:bookmarkStart w:id="108" w:name="_Toc15396619"/>
      <w:bookmarkStart w:id="109" w:name="_Toc79163886"/>
    </w:p>
    <w:p w14:paraId="1535A0A3">
      <w:pPr>
        <w:spacing w:line="576" w:lineRule="exact"/>
        <w:ind w:left="315" w:leftChars="150"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一、收入支出决算总表</w:t>
      </w:r>
      <w:bookmarkEnd w:id="107"/>
      <w:bookmarkEnd w:id="108"/>
      <w:bookmarkEnd w:id="109"/>
    </w:p>
    <w:p w14:paraId="1E2BCF13">
      <w:pPr>
        <w:spacing w:line="576" w:lineRule="exact"/>
        <w:ind w:left="315" w:leftChars="150" w:firstLine="640" w:firstLineChars="200"/>
        <w:rPr>
          <w:rFonts w:ascii="仿宋_GB2312" w:hAnsi="仿宋_GB2312" w:eastAsia="仿宋_GB2312" w:cs="仿宋_GB2312"/>
          <w:color w:val="000000"/>
          <w:sz w:val="32"/>
          <w:szCs w:val="32"/>
        </w:rPr>
      </w:pPr>
      <w:bookmarkStart w:id="110" w:name="_Toc15396620"/>
      <w:bookmarkStart w:id="111" w:name="_Toc79163887"/>
      <w:bookmarkStart w:id="112" w:name="_Toc79163637"/>
      <w:r>
        <w:rPr>
          <w:rFonts w:hint="eastAsia" w:ascii="仿宋_GB2312" w:hAnsi="仿宋_GB2312" w:eastAsia="仿宋_GB2312" w:cs="仿宋_GB2312"/>
          <w:color w:val="000000"/>
          <w:sz w:val="32"/>
          <w:szCs w:val="32"/>
        </w:rPr>
        <w:t>二、收入决算表</w:t>
      </w:r>
      <w:bookmarkEnd w:id="110"/>
      <w:bookmarkEnd w:id="111"/>
      <w:bookmarkEnd w:id="112"/>
    </w:p>
    <w:p w14:paraId="0B2FC1DD">
      <w:pPr>
        <w:spacing w:line="576" w:lineRule="exact"/>
        <w:ind w:left="315" w:leftChars="150" w:firstLine="640" w:firstLineChars="200"/>
        <w:rPr>
          <w:rFonts w:ascii="仿宋_GB2312" w:hAnsi="仿宋_GB2312" w:eastAsia="仿宋_GB2312" w:cs="仿宋_GB2312"/>
          <w:color w:val="000000"/>
          <w:sz w:val="32"/>
          <w:szCs w:val="32"/>
        </w:rPr>
      </w:pPr>
      <w:bookmarkStart w:id="113" w:name="_Toc15396621"/>
      <w:bookmarkStart w:id="114" w:name="_Toc79163638"/>
      <w:bookmarkStart w:id="115" w:name="_Toc79163888"/>
      <w:r>
        <w:rPr>
          <w:rFonts w:hint="eastAsia" w:ascii="仿宋_GB2312" w:hAnsi="仿宋_GB2312" w:eastAsia="仿宋_GB2312" w:cs="仿宋_GB2312"/>
          <w:color w:val="000000"/>
          <w:sz w:val="32"/>
          <w:szCs w:val="32"/>
        </w:rPr>
        <w:t>三、支出决算表</w:t>
      </w:r>
      <w:bookmarkEnd w:id="113"/>
      <w:bookmarkEnd w:id="114"/>
      <w:bookmarkEnd w:id="115"/>
    </w:p>
    <w:p w14:paraId="424FD999">
      <w:pPr>
        <w:spacing w:line="576" w:lineRule="exact"/>
        <w:ind w:left="315" w:leftChars="150" w:firstLine="640" w:firstLineChars="200"/>
        <w:rPr>
          <w:rFonts w:ascii="仿宋_GB2312" w:hAnsi="仿宋_GB2312" w:eastAsia="仿宋_GB2312" w:cs="仿宋_GB2312"/>
          <w:color w:val="000000"/>
          <w:sz w:val="32"/>
          <w:szCs w:val="32"/>
        </w:rPr>
      </w:pPr>
      <w:bookmarkStart w:id="116" w:name="_Toc79163889"/>
      <w:bookmarkStart w:id="117" w:name="_Toc79163639"/>
      <w:bookmarkStart w:id="118" w:name="_Toc15396622"/>
      <w:r>
        <w:rPr>
          <w:rFonts w:hint="eastAsia" w:ascii="仿宋_GB2312" w:hAnsi="仿宋_GB2312" w:eastAsia="仿宋_GB2312" w:cs="仿宋_GB2312"/>
          <w:color w:val="000000"/>
          <w:sz w:val="32"/>
          <w:szCs w:val="32"/>
        </w:rPr>
        <w:t>四、财政拨款收入支出决算总表</w:t>
      </w:r>
      <w:bookmarkEnd w:id="116"/>
      <w:bookmarkEnd w:id="117"/>
      <w:bookmarkEnd w:id="118"/>
    </w:p>
    <w:p w14:paraId="0B215927">
      <w:pPr>
        <w:spacing w:line="576" w:lineRule="exact"/>
        <w:ind w:left="315" w:leftChars="150" w:firstLine="640" w:firstLineChars="200"/>
        <w:rPr>
          <w:rFonts w:ascii="仿宋_GB2312" w:hAnsi="仿宋_GB2312" w:eastAsia="仿宋_GB2312" w:cs="仿宋_GB2312"/>
          <w:color w:val="000000"/>
          <w:sz w:val="32"/>
          <w:szCs w:val="32"/>
        </w:rPr>
      </w:pPr>
      <w:bookmarkStart w:id="119" w:name="_Toc79163640"/>
      <w:bookmarkStart w:id="120" w:name="_Toc15396623"/>
      <w:bookmarkStart w:id="121" w:name="_Toc79163890"/>
      <w:r>
        <w:rPr>
          <w:rFonts w:hint="eastAsia" w:ascii="仿宋_GB2312" w:hAnsi="仿宋_GB2312" w:eastAsia="仿宋_GB2312" w:cs="仿宋_GB2312"/>
          <w:color w:val="000000"/>
          <w:sz w:val="32"/>
          <w:szCs w:val="32"/>
        </w:rPr>
        <w:t>五、财政拨款支出决算明细表</w:t>
      </w:r>
      <w:bookmarkEnd w:id="119"/>
      <w:bookmarkEnd w:id="120"/>
      <w:bookmarkEnd w:id="121"/>
      <w:bookmarkStart w:id="122" w:name="_Toc15396624"/>
    </w:p>
    <w:p w14:paraId="7091E878">
      <w:pPr>
        <w:spacing w:line="576" w:lineRule="exact"/>
        <w:ind w:left="315" w:leftChars="150" w:firstLine="640" w:firstLineChars="200"/>
        <w:rPr>
          <w:rFonts w:ascii="仿宋_GB2312" w:hAnsi="仿宋_GB2312" w:eastAsia="仿宋_GB2312" w:cs="仿宋_GB2312"/>
          <w:color w:val="000000"/>
          <w:sz w:val="32"/>
          <w:szCs w:val="32"/>
        </w:rPr>
      </w:pPr>
      <w:bookmarkStart w:id="123" w:name="_Toc79163641"/>
      <w:bookmarkStart w:id="124" w:name="_Toc79163891"/>
      <w:r>
        <w:rPr>
          <w:rFonts w:hint="eastAsia" w:ascii="仿宋_GB2312" w:hAnsi="仿宋_GB2312" w:eastAsia="仿宋_GB2312" w:cs="仿宋_GB2312"/>
          <w:color w:val="000000"/>
          <w:sz w:val="32"/>
          <w:szCs w:val="32"/>
        </w:rPr>
        <w:t>六、一般公共预算财政拨款支出决算表</w:t>
      </w:r>
      <w:bookmarkEnd w:id="122"/>
      <w:bookmarkEnd w:id="123"/>
      <w:bookmarkEnd w:id="124"/>
    </w:p>
    <w:p w14:paraId="16432B75">
      <w:pPr>
        <w:spacing w:line="576" w:lineRule="exact"/>
        <w:ind w:left="315" w:leftChars="150" w:firstLine="640" w:firstLineChars="200"/>
        <w:rPr>
          <w:rFonts w:ascii="仿宋_GB2312" w:hAnsi="仿宋_GB2312" w:eastAsia="仿宋_GB2312" w:cs="仿宋_GB2312"/>
          <w:color w:val="000000"/>
          <w:sz w:val="32"/>
          <w:szCs w:val="32"/>
        </w:rPr>
      </w:pPr>
      <w:bookmarkStart w:id="125" w:name="_Toc15396625"/>
      <w:bookmarkStart w:id="126" w:name="_Toc79163892"/>
      <w:bookmarkStart w:id="127" w:name="_Toc79163642"/>
      <w:r>
        <w:rPr>
          <w:rFonts w:hint="eastAsia" w:ascii="仿宋_GB2312" w:hAnsi="仿宋_GB2312" w:eastAsia="仿宋_GB2312" w:cs="仿宋_GB2312"/>
          <w:color w:val="000000"/>
          <w:sz w:val="32"/>
          <w:szCs w:val="32"/>
        </w:rPr>
        <w:t>七、一般公共预算财政拨款支出决算明细表</w:t>
      </w:r>
      <w:bookmarkEnd w:id="125"/>
      <w:bookmarkEnd w:id="126"/>
      <w:bookmarkEnd w:id="127"/>
    </w:p>
    <w:p w14:paraId="58B69372">
      <w:pPr>
        <w:spacing w:line="576" w:lineRule="exact"/>
        <w:ind w:left="315" w:leftChars="150" w:firstLine="640" w:firstLineChars="200"/>
        <w:rPr>
          <w:rFonts w:ascii="仿宋_GB2312" w:hAnsi="仿宋_GB2312" w:eastAsia="仿宋_GB2312" w:cs="仿宋_GB2312"/>
          <w:color w:val="000000"/>
          <w:sz w:val="32"/>
          <w:szCs w:val="32"/>
        </w:rPr>
      </w:pPr>
      <w:bookmarkStart w:id="128" w:name="_Toc15396626"/>
      <w:bookmarkStart w:id="129" w:name="_Toc79163893"/>
      <w:bookmarkStart w:id="130" w:name="_Toc79163643"/>
      <w:r>
        <w:rPr>
          <w:rFonts w:hint="eastAsia" w:ascii="仿宋_GB2312" w:hAnsi="仿宋_GB2312" w:eastAsia="仿宋_GB2312" w:cs="仿宋_GB2312"/>
          <w:color w:val="000000"/>
          <w:sz w:val="32"/>
          <w:szCs w:val="32"/>
        </w:rPr>
        <w:t>八、一般公共预算财政拨款基本支出决算表</w:t>
      </w:r>
      <w:bookmarkEnd w:id="128"/>
      <w:bookmarkEnd w:id="129"/>
      <w:bookmarkEnd w:id="130"/>
    </w:p>
    <w:p w14:paraId="60FAD262">
      <w:pPr>
        <w:spacing w:line="576" w:lineRule="exact"/>
        <w:ind w:left="315" w:leftChars="150" w:firstLine="640" w:firstLineChars="200"/>
        <w:rPr>
          <w:rFonts w:ascii="仿宋_GB2312" w:hAnsi="仿宋_GB2312" w:eastAsia="仿宋_GB2312" w:cs="仿宋_GB2312"/>
          <w:color w:val="000000"/>
          <w:sz w:val="32"/>
          <w:szCs w:val="32"/>
        </w:rPr>
      </w:pPr>
      <w:bookmarkStart w:id="131" w:name="_Toc15396627"/>
      <w:bookmarkStart w:id="132" w:name="_Toc79163894"/>
      <w:bookmarkStart w:id="133" w:name="_Toc79163644"/>
      <w:r>
        <w:rPr>
          <w:rFonts w:hint="eastAsia" w:ascii="仿宋_GB2312" w:hAnsi="仿宋_GB2312" w:eastAsia="仿宋_GB2312" w:cs="仿宋_GB2312"/>
          <w:color w:val="000000"/>
          <w:sz w:val="32"/>
          <w:szCs w:val="32"/>
        </w:rPr>
        <w:t>九、一般公共预算财政拨款项目支出决算表</w:t>
      </w:r>
      <w:bookmarkEnd w:id="131"/>
      <w:bookmarkEnd w:id="132"/>
      <w:bookmarkEnd w:id="133"/>
    </w:p>
    <w:p w14:paraId="2A5629BC">
      <w:pPr>
        <w:spacing w:line="576" w:lineRule="exact"/>
        <w:ind w:left="315" w:leftChars="150" w:firstLine="640" w:firstLineChars="200"/>
        <w:rPr>
          <w:rFonts w:ascii="仿宋_GB2312" w:hAnsi="仿宋_GB2312" w:eastAsia="仿宋_GB2312" w:cs="仿宋_GB2312"/>
          <w:color w:val="000000"/>
          <w:sz w:val="32"/>
          <w:szCs w:val="32"/>
        </w:rPr>
      </w:pPr>
      <w:bookmarkStart w:id="134" w:name="_Toc79163645"/>
      <w:bookmarkStart w:id="135" w:name="_Toc79163895"/>
      <w:bookmarkStart w:id="136" w:name="_Toc15396628"/>
      <w:r>
        <w:rPr>
          <w:rFonts w:hint="eastAsia" w:ascii="仿宋_GB2312" w:hAnsi="仿宋_GB2312" w:eastAsia="仿宋_GB2312" w:cs="仿宋_GB2312"/>
          <w:color w:val="000000"/>
          <w:sz w:val="32"/>
          <w:szCs w:val="32"/>
        </w:rPr>
        <w:t>十、</w:t>
      </w:r>
      <w:bookmarkEnd w:id="134"/>
      <w:bookmarkEnd w:id="135"/>
      <w:bookmarkEnd w:id="136"/>
      <w:bookmarkStart w:id="137" w:name="_Toc79163896"/>
      <w:bookmarkStart w:id="138" w:name="_Toc79163646"/>
      <w:bookmarkStart w:id="139" w:name="_Toc15396629"/>
      <w:r>
        <w:rPr>
          <w:rFonts w:hint="eastAsia" w:ascii="仿宋_GB2312" w:hAnsi="仿宋_GB2312" w:eastAsia="仿宋_GB2312" w:cs="仿宋_GB2312"/>
          <w:color w:val="000000"/>
          <w:sz w:val="32"/>
          <w:szCs w:val="32"/>
        </w:rPr>
        <w:t>政府性基金预算财政拨款收入支出决算表</w:t>
      </w:r>
      <w:bookmarkEnd w:id="137"/>
      <w:bookmarkEnd w:id="138"/>
      <w:bookmarkEnd w:id="139"/>
    </w:p>
    <w:p w14:paraId="51EA7064">
      <w:pPr>
        <w:spacing w:line="576" w:lineRule="exact"/>
        <w:ind w:left="315" w:leftChars="150" w:firstLine="640" w:firstLineChars="200"/>
        <w:rPr>
          <w:rFonts w:ascii="仿宋_GB2312" w:hAnsi="仿宋_GB2312" w:eastAsia="仿宋_GB2312" w:cs="仿宋_GB2312"/>
          <w:color w:val="000000"/>
          <w:sz w:val="32"/>
          <w:szCs w:val="32"/>
        </w:rPr>
      </w:pPr>
      <w:bookmarkStart w:id="140" w:name="_Toc79163647"/>
      <w:bookmarkStart w:id="141" w:name="_Toc15396630"/>
      <w:bookmarkStart w:id="142" w:name="_Toc79163897"/>
      <w:r>
        <w:rPr>
          <w:rFonts w:hint="eastAsia" w:ascii="仿宋_GB2312" w:hAnsi="仿宋_GB2312" w:eastAsia="仿宋_GB2312" w:cs="仿宋_GB2312"/>
          <w:color w:val="000000"/>
          <w:sz w:val="32"/>
          <w:szCs w:val="32"/>
        </w:rPr>
        <w:t>十一、</w:t>
      </w:r>
      <w:bookmarkEnd w:id="140"/>
      <w:bookmarkEnd w:id="141"/>
      <w:bookmarkEnd w:id="142"/>
      <w:bookmarkStart w:id="143" w:name="_Toc79163648"/>
      <w:bookmarkStart w:id="144" w:name="_Toc79163898"/>
      <w:bookmarkStart w:id="145" w:name="_Toc15396631"/>
      <w:r>
        <w:rPr>
          <w:rFonts w:hint="eastAsia" w:ascii="仿宋_GB2312" w:hAnsi="仿宋_GB2312" w:eastAsia="仿宋_GB2312" w:cs="仿宋_GB2312"/>
          <w:color w:val="000000"/>
          <w:sz w:val="32"/>
          <w:szCs w:val="32"/>
        </w:rPr>
        <w:t>国有资本经营预算财政拨款收入支出决算表</w:t>
      </w:r>
      <w:bookmarkEnd w:id="143"/>
      <w:bookmarkEnd w:id="144"/>
      <w:bookmarkEnd w:id="145"/>
    </w:p>
    <w:p w14:paraId="5F618574">
      <w:pPr>
        <w:spacing w:line="576" w:lineRule="exact"/>
        <w:ind w:left="315" w:leftChars="150" w:firstLine="640" w:firstLineChars="200"/>
        <w:rPr>
          <w:rFonts w:ascii="仿宋_GB2312" w:hAnsi="仿宋_GB2312" w:eastAsia="仿宋_GB2312" w:cs="仿宋_GB2312"/>
          <w:color w:val="000000"/>
          <w:sz w:val="32"/>
          <w:szCs w:val="32"/>
        </w:rPr>
      </w:pPr>
      <w:bookmarkStart w:id="146" w:name="_Toc79163899"/>
      <w:bookmarkStart w:id="147" w:name="_Toc79163649"/>
      <w:r>
        <w:rPr>
          <w:rFonts w:hint="eastAsia" w:ascii="仿宋_GB2312" w:hAnsi="仿宋_GB2312" w:eastAsia="仿宋_GB2312" w:cs="仿宋_GB2312"/>
          <w:color w:val="000000"/>
          <w:sz w:val="32"/>
          <w:szCs w:val="32"/>
        </w:rPr>
        <w:t>十</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rPr>
        <w:t>、国有资本经营预算财政拨款支出决算表</w:t>
      </w:r>
      <w:bookmarkEnd w:id="146"/>
      <w:bookmarkEnd w:id="147"/>
    </w:p>
    <w:p w14:paraId="20C9D230">
      <w:pPr>
        <w:spacing w:line="576" w:lineRule="exact"/>
        <w:ind w:left="315" w:leftChars="150"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十三、</w:t>
      </w:r>
      <w:r>
        <w:rPr>
          <w:rFonts w:hint="eastAsia" w:ascii="仿宋_GB2312" w:hAnsi="仿宋_GB2312" w:eastAsia="仿宋_GB2312" w:cs="仿宋_GB2312"/>
          <w:color w:val="000000"/>
          <w:sz w:val="32"/>
          <w:szCs w:val="32"/>
        </w:rPr>
        <w:t>财政拨款“三公”经费支出决算表</w:t>
      </w:r>
    </w:p>
    <w:p w14:paraId="164A3802">
      <w:pPr>
        <w:autoSpaceDE w:val="0"/>
        <w:autoSpaceDN w:val="0"/>
        <w:adjustRightInd w:val="0"/>
        <w:spacing w:line="576" w:lineRule="exact"/>
        <w:ind w:firstLine="640" w:firstLineChars="200"/>
        <w:jc w:val="left"/>
        <w:outlineLvl w:val="2"/>
        <w:rPr>
          <w:rFonts w:ascii="仿宋_GB2312" w:hAnsi="仿宋_GB2312" w:eastAsia="仿宋_GB2312" w:cs="仿宋_GB2312"/>
          <w:color w:val="000000"/>
          <w:sz w:val="32"/>
          <w:szCs w:val="32"/>
        </w:rPr>
      </w:pPr>
    </w:p>
    <w:sectPr>
      <w:footerReference r:id="rId7" w:type="first"/>
      <w:headerReference r:id="rId5" w:type="default"/>
      <w:footerReference r:id="rId6"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C0759">
    <w:pPr>
      <w:pStyle w:val="10"/>
    </w:pPr>
    <w:r>
      <w:rPr>
        <w:sz w:val="18"/>
      </w:rPr>
      <w:pict>
        <v:shape id="_x0000_s2056" o:spid="_x0000_s2056" o:spt="202" type="#_x0000_t202" style="position:absolute;left:0pt;margin-top:0pt;height:144pt;width:144pt;mso-position-horizontal:right;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25D27D75">
                <w:pPr>
                  <w:pStyle w:val="10"/>
                </w:pPr>
                <w:r>
                  <w:t>—</w:t>
                </w:r>
                <w:r>
                  <w:rPr>
                    <w:sz w:val="28"/>
                    <w:szCs w:val="28"/>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5BB79">
    <w:pPr>
      <w:pStyle w:val="10"/>
    </w:pPr>
    <w:r>
      <w:rPr>
        <w:sz w:val="18"/>
      </w:rPr>
      <w:pict>
        <v:shape id="_x0000_s2057" o:spid="_x0000_s2057" o:spt="202" type="#_x0000_t202" style="position:absolute;left:0pt;margin-top:0pt;height:144pt;width:144pt;mso-position-horizontal:right;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1870F551">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CABB1">
    <w:pPr>
      <w:pStyle w:val="10"/>
      <w:jc w:val="center"/>
    </w:pPr>
    <w:r>
      <w:rPr>
        <w:sz w:val="18"/>
      </w:rPr>
      <w:pict>
        <v:shape id="_x0000_s2054" o:spid="_x0000_s2054"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577DD1D">
                <w:r>
                  <w:t xml:space="preserve">— </w:t>
                </w:r>
                <w:r>
                  <w:fldChar w:fldCharType="begin"/>
                </w:r>
                <w:r>
                  <w:instrText xml:space="preserve"> PAGE  \* MERGEFORMAT </w:instrText>
                </w:r>
                <w:r>
                  <w:fldChar w:fldCharType="separate"/>
                </w:r>
                <w:r>
                  <w:t>35</w:t>
                </w:r>
                <w:r>
                  <w:fldChar w:fldCharType="end"/>
                </w:r>
                <w:r>
                  <w:t xml:space="preserve"> —</w:t>
                </w:r>
              </w:p>
            </w:txbxContent>
          </v:textbox>
        </v:shape>
      </w:pict>
    </w:r>
  </w:p>
  <w:p w14:paraId="16D869BD">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24E20">
    <w:pPr>
      <w:pStyle w:val="10"/>
    </w:pPr>
    <w:r>
      <w:rPr>
        <w:sz w:val="18"/>
      </w:rPr>
      <w:pict>
        <v:shape id="_x0000_s2055" o:spid="_x0000_s2055"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F6FF5AA">
                <w:pPr>
                  <w:pStyle w:val="10"/>
                </w:pPr>
                <w:r>
                  <w:t xml:space="preserve">— </w:t>
                </w:r>
                <w:r>
                  <w:fldChar w:fldCharType="begin"/>
                </w:r>
                <w:r>
                  <w:instrText xml:space="preserve"> PAGE  \* MERGEFORMAT </w:instrText>
                </w:r>
                <w:r>
                  <w:fldChar w:fldCharType="separate"/>
                </w:r>
                <w:r>
                  <w:t>34</w:t>
                </w:r>
                <w:r>
                  <w:fldChar w:fldCharType="end"/>
                </w:r>
                <w: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97B8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315E524"/>
    <w:multiLevelType w:val="singleLevel"/>
    <w:tmpl w:val="F315E524"/>
    <w:lvl w:ilvl="0" w:tentative="0">
      <w:start w:val="4"/>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43C7CF8A"/>
    <w:multiLevelType w:val="singleLevel"/>
    <w:tmpl w:val="43C7CF8A"/>
    <w:lvl w:ilvl="0" w:tentative="0">
      <w:start w:val="2"/>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JhYTZiYWMyMjExZGMzMjM0ZWE1MzM4ZDRjOGNhZmQifQ=="/>
  </w:docVars>
  <w:rsids>
    <w:rsidRoot w:val="00F1361C"/>
    <w:rsid w:val="00003925"/>
    <w:rsid w:val="00011DB9"/>
    <w:rsid w:val="000222C6"/>
    <w:rsid w:val="0002549F"/>
    <w:rsid w:val="00031867"/>
    <w:rsid w:val="00037B44"/>
    <w:rsid w:val="000468DB"/>
    <w:rsid w:val="00047587"/>
    <w:rsid w:val="0006487A"/>
    <w:rsid w:val="00065F8F"/>
    <w:rsid w:val="00070A43"/>
    <w:rsid w:val="000768F2"/>
    <w:rsid w:val="0009184B"/>
    <w:rsid w:val="000936C8"/>
    <w:rsid w:val="00094236"/>
    <w:rsid w:val="0009593C"/>
    <w:rsid w:val="00097322"/>
    <w:rsid w:val="000A025A"/>
    <w:rsid w:val="000A07EC"/>
    <w:rsid w:val="000A2D6F"/>
    <w:rsid w:val="000A4660"/>
    <w:rsid w:val="000A6A92"/>
    <w:rsid w:val="000A78B6"/>
    <w:rsid w:val="000B047F"/>
    <w:rsid w:val="000B5923"/>
    <w:rsid w:val="000B5A48"/>
    <w:rsid w:val="000B6FF3"/>
    <w:rsid w:val="000C3467"/>
    <w:rsid w:val="000C3CA6"/>
    <w:rsid w:val="000C3DD9"/>
    <w:rsid w:val="000D1267"/>
    <w:rsid w:val="000D1D50"/>
    <w:rsid w:val="000D3D0A"/>
    <w:rsid w:val="000D5200"/>
    <w:rsid w:val="000D5782"/>
    <w:rsid w:val="000E0717"/>
    <w:rsid w:val="000E6613"/>
    <w:rsid w:val="000E7119"/>
    <w:rsid w:val="000F7D14"/>
    <w:rsid w:val="00114E9B"/>
    <w:rsid w:val="00134DD3"/>
    <w:rsid w:val="00142216"/>
    <w:rsid w:val="0014433D"/>
    <w:rsid w:val="00144D6A"/>
    <w:rsid w:val="0014706F"/>
    <w:rsid w:val="0014729F"/>
    <w:rsid w:val="00151354"/>
    <w:rsid w:val="00157372"/>
    <w:rsid w:val="00157BAB"/>
    <w:rsid w:val="001629C9"/>
    <w:rsid w:val="00164D2A"/>
    <w:rsid w:val="001654D1"/>
    <w:rsid w:val="00174518"/>
    <w:rsid w:val="0018106D"/>
    <w:rsid w:val="001831E2"/>
    <w:rsid w:val="001877A7"/>
    <w:rsid w:val="00191536"/>
    <w:rsid w:val="00193C9E"/>
    <w:rsid w:val="00196687"/>
    <w:rsid w:val="001C0962"/>
    <w:rsid w:val="001C3C4E"/>
    <w:rsid w:val="001D7531"/>
    <w:rsid w:val="001E1DD7"/>
    <w:rsid w:val="001E737D"/>
    <w:rsid w:val="001E7D9E"/>
    <w:rsid w:val="001F0592"/>
    <w:rsid w:val="001F7506"/>
    <w:rsid w:val="001F7820"/>
    <w:rsid w:val="002006CD"/>
    <w:rsid w:val="00202B36"/>
    <w:rsid w:val="00204B7A"/>
    <w:rsid w:val="00204CDE"/>
    <w:rsid w:val="00207071"/>
    <w:rsid w:val="00210BB9"/>
    <w:rsid w:val="0021101A"/>
    <w:rsid w:val="00220536"/>
    <w:rsid w:val="002226CC"/>
    <w:rsid w:val="002233F1"/>
    <w:rsid w:val="002276C3"/>
    <w:rsid w:val="00235629"/>
    <w:rsid w:val="00244DE7"/>
    <w:rsid w:val="002509D6"/>
    <w:rsid w:val="00260C38"/>
    <w:rsid w:val="002616C0"/>
    <w:rsid w:val="00265372"/>
    <w:rsid w:val="002662AA"/>
    <w:rsid w:val="0027084F"/>
    <w:rsid w:val="00280496"/>
    <w:rsid w:val="00294DC9"/>
    <w:rsid w:val="00295495"/>
    <w:rsid w:val="002A31DE"/>
    <w:rsid w:val="002A3307"/>
    <w:rsid w:val="002B2613"/>
    <w:rsid w:val="002B7ED3"/>
    <w:rsid w:val="002C3AAF"/>
    <w:rsid w:val="002D19B0"/>
    <w:rsid w:val="002D6D05"/>
    <w:rsid w:val="002E1CB4"/>
    <w:rsid w:val="002F1818"/>
    <w:rsid w:val="002F567B"/>
    <w:rsid w:val="002F5F2F"/>
    <w:rsid w:val="002F78A2"/>
    <w:rsid w:val="00320D06"/>
    <w:rsid w:val="003216A9"/>
    <w:rsid w:val="0033258B"/>
    <w:rsid w:val="0033450F"/>
    <w:rsid w:val="00335A74"/>
    <w:rsid w:val="003455E3"/>
    <w:rsid w:val="00362EA8"/>
    <w:rsid w:val="0036561B"/>
    <w:rsid w:val="00366617"/>
    <w:rsid w:val="0037013F"/>
    <w:rsid w:val="003703C2"/>
    <w:rsid w:val="00373E9F"/>
    <w:rsid w:val="0038010F"/>
    <w:rsid w:val="00380C92"/>
    <w:rsid w:val="003A31E6"/>
    <w:rsid w:val="003A484F"/>
    <w:rsid w:val="003A4883"/>
    <w:rsid w:val="003B0BE0"/>
    <w:rsid w:val="003B0C1B"/>
    <w:rsid w:val="003B688C"/>
    <w:rsid w:val="003C0291"/>
    <w:rsid w:val="003C39AE"/>
    <w:rsid w:val="003C7B60"/>
    <w:rsid w:val="003D0C0F"/>
    <w:rsid w:val="003D1FB2"/>
    <w:rsid w:val="003D66DA"/>
    <w:rsid w:val="003E0CFB"/>
    <w:rsid w:val="003E1310"/>
    <w:rsid w:val="003E6F55"/>
    <w:rsid w:val="003F627D"/>
    <w:rsid w:val="003F6619"/>
    <w:rsid w:val="00401D55"/>
    <w:rsid w:val="00406254"/>
    <w:rsid w:val="00416CD4"/>
    <w:rsid w:val="00421F55"/>
    <w:rsid w:val="004223DE"/>
    <w:rsid w:val="00434489"/>
    <w:rsid w:val="00437085"/>
    <w:rsid w:val="004406FC"/>
    <w:rsid w:val="00440C35"/>
    <w:rsid w:val="00441C72"/>
    <w:rsid w:val="00443880"/>
    <w:rsid w:val="00443D73"/>
    <w:rsid w:val="004464F4"/>
    <w:rsid w:val="00461AC3"/>
    <w:rsid w:val="004703B5"/>
    <w:rsid w:val="00471401"/>
    <w:rsid w:val="0047399F"/>
    <w:rsid w:val="00473F31"/>
    <w:rsid w:val="0048127E"/>
    <w:rsid w:val="0048263A"/>
    <w:rsid w:val="00487E5D"/>
    <w:rsid w:val="0049273C"/>
    <w:rsid w:val="00497B5A"/>
    <w:rsid w:val="004A711F"/>
    <w:rsid w:val="004B00CE"/>
    <w:rsid w:val="004B199D"/>
    <w:rsid w:val="004B4690"/>
    <w:rsid w:val="004C2615"/>
    <w:rsid w:val="004C3AA4"/>
    <w:rsid w:val="004E0A2D"/>
    <w:rsid w:val="004E206B"/>
    <w:rsid w:val="004E6DF7"/>
    <w:rsid w:val="004F0FBD"/>
    <w:rsid w:val="004F403E"/>
    <w:rsid w:val="004F5C5B"/>
    <w:rsid w:val="00500514"/>
    <w:rsid w:val="00502A87"/>
    <w:rsid w:val="00505A47"/>
    <w:rsid w:val="00512FDA"/>
    <w:rsid w:val="00520DA0"/>
    <w:rsid w:val="005279F4"/>
    <w:rsid w:val="00532C87"/>
    <w:rsid w:val="00555552"/>
    <w:rsid w:val="00556921"/>
    <w:rsid w:val="005664BB"/>
    <w:rsid w:val="00566FFA"/>
    <w:rsid w:val="00567C22"/>
    <w:rsid w:val="0057481D"/>
    <w:rsid w:val="00575F0B"/>
    <w:rsid w:val="00583C57"/>
    <w:rsid w:val="0058486E"/>
    <w:rsid w:val="00585B33"/>
    <w:rsid w:val="0059014D"/>
    <w:rsid w:val="00593C63"/>
    <w:rsid w:val="005B2F51"/>
    <w:rsid w:val="005B5C64"/>
    <w:rsid w:val="005C6857"/>
    <w:rsid w:val="005C6BD0"/>
    <w:rsid w:val="005C6C4C"/>
    <w:rsid w:val="005D1C8B"/>
    <w:rsid w:val="005D468D"/>
    <w:rsid w:val="005D5CED"/>
    <w:rsid w:val="005F1A4C"/>
    <w:rsid w:val="006002DF"/>
    <w:rsid w:val="00605688"/>
    <w:rsid w:val="006070AF"/>
    <w:rsid w:val="00607E6C"/>
    <w:rsid w:val="006101B1"/>
    <w:rsid w:val="006146F8"/>
    <w:rsid w:val="00614E44"/>
    <w:rsid w:val="0062270A"/>
    <w:rsid w:val="00622830"/>
    <w:rsid w:val="00622EBC"/>
    <w:rsid w:val="00623DA0"/>
    <w:rsid w:val="00627DDB"/>
    <w:rsid w:val="00630657"/>
    <w:rsid w:val="00630AEF"/>
    <w:rsid w:val="006325F8"/>
    <w:rsid w:val="00633463"/>
    <w:rsid w:val="00634C9A"/>
    <w:rsid w:val="00635024"/>
    <w:rsid w:val="006440E4"/>
    <w:rsid w:val="006608F7"/>
    <w:rsid w:val="0066343B"/>
    <w:rsid w:val="00664777"/>
    <w:rsid w:val="006748A4"/>
    <w:rsid w:val="00680F63"/>
    <w:rsid w:val="00681064"/>
    <w:rsid w:val="00681A31"/>
    <w:rsid w:val="00683E73"/>
    <w:rsid w:val="0069465C"/>
    <w:rsid w:val="006A3141"/>
    <w:rsid w:val="006A5E34"/>
    <w:rsid w:val="006B2422"/>
    <w:rsid w:val="006B2B9A"/>
    <w:rsid w:val="006B7439"/>
    <w:rsid w:val="006C1639"/>
    <w:rsid w:val="006C1937"/>
    <w:rsid w:val="006C38C5"/>
    <w:rsid w:val="006D7C94"/>
    <w:rsid w:val="006F020C"/>
    <w:rsid w:val="006F3780"/>
    <w:rsid w:val="006F41D9"/>
    <w:rsid w:val="00712156"/>
    <w:rsid w:val="007127B7"/>
    <w:rsid w:val="0071798E"/>
    <w:rsid w:val="007236A6"/>
    <w:rsid w:val="007258E4"/>
    <w:rsid w:val="00726C29"/>
    <w:rsid w:val="00727533"/>
    <w:rsid w:val="007305EB"/>
    <w:rsid w:val="007416B6"/>
    <w:rsid w:val="00746F48"/>
    <w:rsid w:val="00752E95"/>
    <w:rsid w:val="0075404D"/>
    <w:rsid w:val="0076182A"/>
    <w:rsid w:val="0076598F"/>
    <w:rsid w:val="00767B7E"/>
    <w:rsid w:val="00767CC9"/>
    <w:rsid w:val="00772141"/>
    <w:rsid w:val="00773D82"/>
    <w:rsid w:val="00776629"/>
    <w:rsid w:val="007770C3"/>
    <w:rsid w:val="00784D24"/>
    <w:rsid w:val="00785FBA"/>
    <w:rsid w:val="007860C9"/>
    <w:rsid w:val="00786E4A"/>
    <w:rsid w:val="007875EB"/>
    <w:rsid w:val="0079426B"/>
    <w:rsid w:val="007A1DAA"/>
    <w:rsid w:val="007D1682"/>
    <w:rsid w:val="007D312A"/>
    <w:rsid w:val="007D3F19"/>
    <w:rsid w:val="007E23B0"/>
    <w:rsid w:val="007F1991"/>
    <w:rsid w:val="007F2C2F"/>
    <w:rsid w:val="007F55FC"/>
    <w:rsid w:val="007F5665"/>
    <w:rsid w:val="00800112"/>
    <w:rsid w:val="00807E8E"/>
    <w:rsid w:val="00813348"/>
    <w:rsid w:val="0082071C"/>
    <w:rsid w:val="008253BB"/>
    <w:rsid w:val="00833962"/>
    <w:rsid w:val="0083706E"/>
    <w:rsid w:val="008408F6"/>
    <w:rsid w:val="008423A5"/>
    <w:rsid w:val="00847A34"/>
    <w:rsid w:val="00850625"/>
    <w:rsid w:val="00853718"/>
    <w:rsid w:val="00855221"/>
    <w:rsid w:val="00860645"/>
    <w:rsid w:val="00871F71"/>
    <w:rsid w:val="00872FD8"/>
    <w:rsid w:val="00877689"/>
    <w:rsid w:val="00885AF4"/>
    <w:rsid w:val="008939CD"/>
    <w:rsid w:val="008A2BE1"/>
    <w:rsid w:val="008A4B53"/>
    <w:rsid w:val="008B1A58"/>
    <w:rsid w:val="008B494E"/>
    <w:rsid w:val="008B768C"/>
    <w:rsid w:val="008B7F51"/>
    <w:rsid w:val="008C08EC"/>
    <w:rsid w:val="008C4DB1"/>
    <w:rsid w:val="008C4EAF"/>
    <w:rsid w:val="008C5176"/>
    <w:rsid w:val="008C7FD0"/>
    <w:rsid w:val="008E1DE7"/>
    <w:rsid w:val="008E5932"/>
    <w:rsid w:val="008E707C"/>
    <w:rsid w:val="008F141D"/>
    <w:rsid w:val="00900B08"/>
    <w:rsid w:val="00902155"/>
    <w:rsid w:val="00902FA3"/>
    <w:rsid w:val="00914370"/>
    <w:rsid w:val="00914A73"/>
    <w:rsid w:val="00915AE4"/>
    <w:rsid w:val="00923564"/>
    <w:rsid w:val="0092392E"/>
    <w:rsid w:val="009315F9"/>
    <w:rsid w:val="00933499"/>
    <w:rsid w:val="00935C98"/>
    <w:rsid w:val="00946945"/>
    <w:rsid w:val="00951248"/>
    <w:rsid w:val="0095152F"/>
    <w:rsid w:val="00954C49"/>
    <w:rsid w:val="00955E37"/>
    <w:rsid w:val="00961A48"/>
    <w:rsid w:val="00963AFE"/>
    <w:rsid w:val="0097099F"/>
    <w:rsid w:val="00971997"/>
    <w:rsid w:val="00971FFC"/>
    <w:rsid w:val="00972A48"/>
    <w:rsid w:val="00973CC9"/>
    <w:rsid w:val="0098660A"/>
    <w:rsid w:val="00986880"/>
    <w:rsid w:val="00992DCF"/>
    <w:rsid w:val="009931C3"/>
    <w:rsid w:val="00996CA5"/>
    <w:rsid w:val="009970FA"/>
    <w:rsid w:val="009A0993"/>
    <w:rsid w:val="009A4F00"/>
    <w:rsid w:val="009B2C43"/>
    <w:rsid w:val="009B3128"/>
    <w:rsid w:val="009B4EAE"/>
    <w:rsid w:val="009B7573"/>
    <w:rsid w:val="009C22F4"/>
    <w:rsid w:val="009C2E98"/>
    <w:rsid w:val="009C37FB"/>
    <w:rsid w:val="009D3447"/>
    <w:rsid w:val="009D4711"/>
    <w:rsid w:val="009F1185"/>
    <w:rsid w:val="009F18CD"/>
    <w:rsid w:val="009F2A13"/>
    <w:rsid w:val="009F6792"/>
    <w:rsid w:val="009F7527"/>
    <w:rsid w:val="00A01711"/>
    <w:rsid w:val="00A039ED"/>
    <w:rsid w:val="00A04EB0"/>
    <w:rsid w:val="00A13CC1"/>
    <w:rsid w:val="00A16847"/>
    <w:rsid w:val="00A16C42"/>
    <w:rsid w:val="00A237D8"/>
    <w:rsid w:val="00A268C4"/>
    <w:rsid w:val="00A307CD"/>
    <w:rsid w:val="00A331C8"/>
    <w:rsid w:val="00A35117"/>
    <w:rsid w:val="00A40A00"/>
    <w:rsid w:val="00A4142F"/>
    <w:rsid w:val="00A422EB"/>
    <w:rsid w:val="00A45BB7"/>
    <w:rsid w:val="00A5577C"/>
    <w:rsid w:val="00A56DF2"/>
    <w:rsid w:val="00A56E6E"/>
    <w:rsid w:val="00A576C4"/>
    <w:rsid w:val="00A67AB5"/>
    <w:rsid w:val="00A733B2"/>
    <w:rsid w:val="00A741C2"/>
    <w:rsid w:val="00A778F6"/>
    <w:rsid w:val="00A86F98"/>
    <w:rsid w:val="00A91760"/>
    <w:rsid w:val="00A93B00"/>
    <w:rsid w:val="00A93C21"/>
    <w:rsid w:val="00AA347C"/>
    <w:rsid w:val="00AB4AAA"/>
    <w:rsid w:val="00AB64C9"/>
    <w:rsid w:val="00AC3C6A"/>
    <w:rsid w:val="00AC7903"/>
    <w:rsid w:val="00AD0F83"/>
    <w:rsid w:val="00AD5620"/>
    <w:rsid w:val="00AD656B"/>
    <w:rsid w:val="00AD7C1B"/>
    <w:rsid w:val="00AE16BA"/>
    <w:rsid w:val="00AE1EBE"/>
    <w:rsid w:val="00AF37A0"/>
    <w:rsid w:val="00B03C9D"/>
    <w:rsid w:val="00B04C7B"/>
    <w:rsid w:val="00B060AE"/>
    <w:rsid w:val="00B10517"/>
    <w:rsid w:val="00B10F2B"/>
    <w:rsid w:val="00B14E76"/>
    <w:rsid w:val="00B161B8"/>
    <w:rsid w:val="00B2048C"/>
    <w:rsid w:val="00B20A7D"/>
    <w:rsid w:val="00B20D4C"/>
    <w:rsid w:val="00B310B9"/>
    <w:rsid w:val="00B35F3F"/>
    <w:rsid w:val="00B36CBB"/>
    <w:rsid w:val="00B425E0"/>
    <w:rsid w:val="00B440AA"/>
    <w:rsid w:val="00B44B70"/>
    <w:rsid w:val="00B45D91"/>
    <w:rsid w:val="00B53C56"/>
    <w:rsid w:val="00B57DAF"/>
    <w:rsid w:val="00B66F66"/>
    <w:rsid w:val="00B73F29"/>
    <w:rsid w:val="00B77EA6"/>
    <w:rsid w:val="00B81345"/>
    <w:rsid w:val="00B81598"/>
    <w:rsid w:val="00B841F1"/>
    <w:rsid w:val="00B928EE"/>
    <w:rsid w:val="00B931C7"/>
    <w:rsid w:val="00B944D6"/>
    <w:rsid w:val="00B951BD"/>
    <w:rsid w:val="00BA2A5A"/>
    <w:rsid w:val="00BB4DF0"/>
    <w:rsid w:val="00BB5ABF"/>
    <w:rsid w:val="00BC289F"/>
    <w:rsid w:val="00BC2D50"/>
    <w:rsid w:val="00BC5361"/>
    <w:rsid w:val="00BC5460"/>
    <w:rsid w:val="00BC6B50"/>
    <w:rsid w:val="00BD0E25"/>
    <w:rsid w:val="00BE0091"/>
    <w:rsid w:val="00BE4B75"/>
    <w:rsid w:val="00BF5BD6"/>
    <w:rsid w:val="00BF7AA1"/>
    <w:rsid w:val="00C03E31"/>
    <w:rsid w:val="00C251D8"/>
    <w:rsid w:val="00C26F8C"/>
    <w:rsid w:val="00C277F8"/>
    <w:rsid w:val="00C30E69"/>
    <w:rsid w:val="00C33E72"/>
    <w:rsid w:val="00C354B2"/>
    <w:rsid w:val="00C35554"/>
    <w:rsid w:val="00C42709"/>
    <w:rsid w:val="00C43ABB"/>
    <w:rsid w:val="00C533CC"/>
    <w:rsid w:val="00C5751C"/>
    <w:rsid w:val="00C603DA"/>
    <w:rsid w:val="00C61BFC"/>
    <w:rsid w:val="00C62B85"/>
    <w:rsid w:val="00C65438"/>
    <w:rsid w:val="00C67F3F"/>
    <w:rsid w:val="00C7013E"/>
    <w:rsid w:val="00C818C4"/>
    <w:rsid w:val="00C860DE"/>
    <w:rsid w:val="00C91CBB"/>
    <w:rsid w:val="00C922B5"/>
    <w:rsid w:val="00CA7FFB"/>
    <w:rsid w:val="00CB1032"/>
    <w:rsid w:val="00CB4E70"/>
    <w:rsid w:val="00CC09B6"/>
    <w:rsid w:val="00CC3A69"/>
    <w:rsid w:val="00CC3DB4"/>
    <w:rsid w:val="00CC666F"/>
    <w:rsid w:val="00CD1E3F"/>
    <w:rsid w:val="00CE44F6"/>
    <w:rsid w:val="00CE49DA"/>
    <w:rsid w:val="00CE68D7"/>
    <w:rsid w:val="00CE7B61"/>
    <w:rsid w:val="00CF63C2"/>
    <w:rsid w:val="00D00095"/>
    <w:rsid w:val="00D01322"/>
    <w:rsid w:val="00D114F0"/>
    <w:rsid w:val="00D178E7"/>
    <w:rsid w:val="00D179F5"/>
    <w:rsid w:val="00D20620"/>
    <w:rsid w:val="00D2207C"/>
    <w:rsid w:val="00D254F7"/>
    <w:rsid w:val="00D26091"/>
    <w:rsid w:val="00D2685C"/>
    <w:rsid w:val="00D26B1B"/>
    <w:rsid w:val="00D31325"/>
    <w:rsid w:val="00D335A0"/>
    <w:rsid w:val="00D34E7C"/>
    <w:rsid w:val="00D35489"/>
    <w:rsid w:val="00D36AFE"/>
    <w:rsid w:val="00D44B74"/>
    <w:rsid w:val="00D45274"/>
    <w:rsid w:val="00D51276"/>
    <w:rsid w:val="00D52F41"/>
    <w:rsid w:val="00D64C67"/>
    <w:rsid w:val="00D7035F"/>
    <w:rsid w:val="00D77631"/>
    <w:rsid w:val="00D83742"/>
    <w:rsid w:val="00D90266"/>
    <w:rsid w:val="00D92DA7"/>
    <w:rsid w:val="00DA634F"/>
    <w:rsid w:val="00DA65AC"/>
    <w:rsid w:val="00DB1913"/>
    <w:rsid w:val="00DC410D"/>
    <w:rsid w:val="00DC5A81"/>
    <w:rsid w:val="00DC68CA"/>
    <w:rsid w:val="00DC7CBA"/>
    <w:rsid w:val="00DD49C2"/>
    <w:rsid w:val="00DD73B7"/>
    <w:rsid w:val="00DF28BC"/>
    <w:rsid w:val="00DF2E69"/>
    <w:rsid w:val="00DF3322"/>
    <w:rsid w:val="00DF34B9"/>
    <w:rsid w:val="00DF7548"/>
    <w:rsid w:val="00DF769A"/>
    <w:rsid w:val="00E004E3"/>
    <w:rsid w:val="00E01053"/>
    <w:rsid w:val="00E07ACF"/>
    <w:rsid w:val="00E11AD1"/>
    <w:rsid w:val="00E16FE8"/>
    <w:rsid w:val="00E331A1"/>
    <w:rsid w:val="00E33202"/>
    <w:rsid w:val="00E336A9"/>
    <w:rsid w:val="00E3642A"/>
    <w:rsid w:val="00E46A67"/>
    <w:rsid w:val="00E472B1"/>
    <w:rsid w:val="00E50624"/>
    <w:rsid w:val="00E566AD"/>
    <w:rsid w:val="00E568DF"/>
    <w:rsid w:val="00E64269"/>
    <w:rsid w:val="00E66797"/>
    <w:rsid w:val="00E82267"/>
    <w:rsid w:val="00E853CE"/>
    <w:rsid w:val="00E867B6"/>
    <w:rsid w:val="00E87F08"/>
    <w:rsid w:val="00E90A5E"/>
    <w:rsid w:val="00E95D55"/>
    <w:rsid w:val="00E96E57"/>
    <w:rsid w:val="00EA010F"/>
    <w:rsid w:val="00ED1B63"/>
    <w:rsid w:val="00ED1FDC"/>
    <w:rsid w:val="00ED3C1F"/>
    <w:rsid w:val="00ED4085"/>
    <w:rsid w:val="00ED420E"/>
    <w:rsid w:val="00ED6FBE"/>
    <w:rsid w:val="00EE2F57"/>
    <w:rsid w:val="00EF4C34"/>
    <w:rsid w:val="00EF77C6"/>
    <w:rsid w:val="00F05438"/>
    <w:rsid w:val="00F12862"/>
    <w:rsid w:val="00F1299D"/>
    <w:rsid w:val="00F1361C"/>
    <w:rsid w:val="00F156F0"/>
    <w:rsid w:val="00F160C7"/>
    <w:rsid w:val="00F20FEF"/>
    <w:rsid w:val="00F2408F"/>
    <w:rsid w:val="00F240E9"/>
    <w:rsid w:val="00F24291"/>
    <w:rsid w:val="00F25A72"/>
    <w:rsid w:val="00F2671F"/>
    <w:rsid w:val="00F329E1"/>
    <w:rsid w:val="00F36D8F"/>
    <w:rsid w:val="00F407C2"/>
    <w:rsid w:val="00F417B1"/>
    <w:rsid w:val="00F45853"/>
    <w:rsid w:val="00F520D4"/>
    <w:rsid w:val="00F520FE"/>
    <w:rsid w:val="00F602DF"/>
    <w:rsid w:val="00F619A6"/>
    <w:rsid w:val="00F754A1"/>
    <w:rsid w:val="00F81FD9"/>
    <w:rsid w:val="00F841AA"/>
    <w:rsid w:val="00F84A94"/>
    <w:rsid w:val="00F87E96"/>
    <w:rsid w:val="00FA23E8"/>
    <w:rsid w:val="00FD1395"/>
    <w:rsid w:val="00FD3CC1"/>
    <w:rsid w:val="00FD4FED"/>
    <w:rsid w:val="00FF1E02"/>
    <w:rsid w:val="00FF30B4"/>
    <w:rsid w:val="0276787F"/>
    <w:rsid w:val="02AC2E4C"/>
    <w:rsid w:val="032F4154"/>
    <w:rsid w:val="036A69BA"/>
    <w:rsid w:val="03A252BE"/>
    <w:rsid w:val="03B94246"/>
    <w:rsid w:val="03F87DBC"/>
    <w:rsid w:val="04473C07"/>
    <w:rsid w:val="05BC2F2E"/>
    <w:rsid w:val="06005B80"/>
    <w:rsid w:val="06A72A7B"/>
    <w:rsid w:val="074C413D"/>
    <w:rsid w:val="08400A92"/>
    <w:rsid w:val="09434CDD"/>
    <w:rsid w:val="098B19C3"/>
    <w:rsid w:val="09B72FD5"/>
    <w:rsid w:val="0AD3052A"/>
    <w:rsid w:val="0AF049F1"/>
    <w:rsid w:val="0B356BEA"/>
    <w:rsid w:val="0D5155C1"/>
    <w:rsid w:val="0E1C0F1B"/>
    <w:rsid w:val="0E3A4EB9"/>
    <w:rsid w:val="0EBE0AFF"/>
    <w:rsid w:val="0F0377C4"/>
    <w:rsid w:val="0F612708"/>
    <w:rsid w:val="0FB83603"/>
    <w:rsid w:val="10BE733F"/>
    <w:rsid w:val="10C055FF"/>
    <w:rsid w:val="11616CF0"/>
    <w:rsid w:val="119F2CCD"/>
    <w:rsid w:val="120B2110"/>
    <w:rsid w:val="12DD5483"/>
    <w:rsid w:val="132C683F"/>
    <w:rsid w:val="1386759A"/>
    <w:rsid w:val="13F04A27"/>
    <w:rsid w:val="143E4984"/>
    <w:rsid w:val="14821143"/>
    <w:rsid w:val="14CE6478"/>
    <w:rsid w:val="168E50BE"/>
    <w:rsid w:val="16BB723D"/>
    <w:rsid w:val="16C31547"/>
    <w:rsid w:val="170A6E3A"/>
    <w:rsid w:val="17920BDE"/>
    <w:rsid w:val="17AA0D42"/>
    <w:rsid w:val="181A2B1F"/>
    <w:rsid w:val="181C5ADF"/>
    <w:rsid w:val="19E37C9A"/>
    <w:rsid w:val="1A7C004F"/>
    <w:rsid w:val="1AC6629F"/>
    <w:rsid w:val="1C8A597C"/>
    <w:rsid w:val="1D4618A9"/>
    <w:rsid w:val="1DA50291"/>
    <w:rsid w:val="1DDBFEDB"/>
    <w:rsid w:val="1EDC2172"/>
    <w:rsid w:val="1EDD8AAD"/>
    <w:rsid w:val="1F4F7C3B"/>
    <w:rsid w:val="1FFD0310"/>
    <w:rsid w:val="207D60B5"/>
    <w:rsid w:val="20B41BC5"/>
    <w:rsid w:val="21951276"/>
    <w:rsid w:val="220A7FB3"/>
    <w:rsid w:val="22B46D74"/>
    <w:rsid w:val="23963804"/>
    <w:rsid w:val="240371BF"/>
    <w:rsid w:val="24344539"/>
    <w:rsid w:val="24FF3D57"/>
    <w:rsid w:val="25113A8A"/>
    <w:rsid w:val="25C7479E"/>
    <w:rsid w:val="25DB5D86"/>
    <w:rsid w:val="25F3318F"/>
    <w:rsid w:val="266364F2"/>
    <w:rsid w:val="26E461A3"/>
    <w:rsid w:val="27266A89"/>
    <w:rsid w:val="28505F41"/>
    <w:rsid w:val="285F3187"/>
    <w:rsid w:val="291931BB"/>
    <w:rsid w:val="29A307A6"/>
    <w:rsid w:val="29EF5F59"/>
    <w:rsid w:val="29FD04D3"/>
    <w:rsid w:val="2A5341A4"/>
    <w:rsid w:val="2AB4334C"/>
    <w:rsid w:val="2AE552D5"/>
    <w:rsid w:val="2B4F17CA"/>
    <w:rsid w:val="2B7B7EAF"/>
    <w:rsid w:val="30442F65"/>
    <w:rsid w:val="306929CC"/>
    <w:rsid w:val="30711881"/>
    <w:rsid w:val="319F7F4E"/>
    <w:rsid w:val="31D37E27"/>
    <w:rsid w:val="31F14A27"/>
    <w:rsid w:val="33E412BD"/>
    <w:rsid w:val="33EA1139"/>
    <w:rsid w:val="35167B64"/>
    <w:rsid w:val="356E2791"/>
    <w:rsid w:val="35DB4766"/>
    <w:rsid w:val="362401FB"/>
    <w:rsid w:val="38A44E40"/>
    <w:rsid w:val="392A565E"/>
    <w:rsid w:val="3A691675"/>
    <w:rsid w:val="3AC1495A"/>
    <w:rsid w:val="3B3BF078"/>
    <w:rsid w:val="3B7C4987"/>
    <w:rsid w:val="3BAD398E"/>
    <w:rsid w:val="3BBB0981"/>
    <w:rsid w:val="3BF92E21"/>
    <w:rsid w:val="3BFD046C"/>
    <w:rsid w:val="3CC74A0C"/>
    <w:rsid w:val="3D3A6003"/>
    <w:rsid w:val="3D751162"/>
    <w:rsid w:val="3D820BE1"/>
    <w:rsid w:val="3DE75C5E"/>
    <w:rsid w:val="3E764ACC"/>
    <w:rsid w:val="3E8A6C2A"/>
    <w:rsid w:val="3F7F9A9B"/>
    <w:rsid w:val="3FB86B84"/>
    <w:rsid w:val="3FFA719D"/>
    <w:rsid w:val="409B6EA7"/>
    <w:rsid w:val="40FB7670"/>
    <w:rsid w:val="42661114"/>
    <w:rsid w:val="43386F43"/>
    <w:rsid w:val="448636F5"/>
    <w:rsid w:val="44897961"/>
    <w:rsid w:val="44CA35EB"/>
    <w:rsid w:val="44FA7C3F"/>
    <w:rsid w:val="451F6064"/>
    <w:rsid w:val="452F4A80"/>
    <w:rsid w:val="45B002FD"/>
    <w:rsid w:val="46954FDF"/>
    <w:rsid w:val="471F06CF"/>
    <w:rsid w:val="47DC362C"/>
    <w:rsid w:val="493375A8"/>
    <w:rsid w:val="499775E5"/>
    <w:rsid w:val="49C800BC"/>
    <w:rsid w:val="4BBB4DDF"/>
    <w:rsid w:val="4C07336D"/>
    <w:rsid w:val="4D67EB92"/>
    <w:rsid w:val="4D695962"/>
    <w:rsid w:val="4DF3FB70"/>
    <w:rsid w:val="4ECE2238"/>
    <w:rsid w:val="4F0654EA"/>
    <w:rsid w:val="4F8C1E10"/>
    <w:rsid w:val="4FFF34E2"/>
    <w:rsid w:val="511107EA"/>
    <w:rsid w:val="51554D47"/>
    <w:rsid w:val="51AF6AC7"/>
    <w:rsid w:val="522E28C0"/>
    <w:rsid w:val="528648C0"/>
    <w:rsid w:val="5323717F"/>
    <w:rsid w:val="53296BAC"/>
    <w:rsid w:val="53F00B8B"/>
    <w:rsid w:val="53FBA523"/>
    <w:rsid w:val="53FF6BD1"/>
    <w:rsid w:val="54873780"/>
    <w:rsid w:val="55197FB1"/>
    <w:rsid w:val="561548D9"/>
    <w:rsid w:val="573E4E9F"/>
    <w:rsid w:val="597015DE"/>
    <w:rsid w:val="5AA05F2C"/>
    <w:rsid w:val="5AC87661"/>
    <w:rsid w:val="5B3823B7"/>
    <w:rsid w:val="5B47145F"/>
    <w:rsid w:val="5BB07FF9"/>
    <w:rsid w:val="5C0C22DA"/>
    <w:rsid w:val="5C7B406C"/>
    <w:rsid w:val="5CD050A1"/>
    <w:rsid w:val="5DA458BA"/>
    <w:rsid w:val="5F28567D"/>
    <w:rsid w:val="5F7E4420"/>
    <w:rsid w:val="5FBBDB67"/>
    <w:rsid w:val="5FEEED11"/>
    <w:rsid w:val="608D6928"/>
    <w:rsid w:val="617955FF"/>
    <w:rsid w:val="623B574A"/>
    <w:rsid w:val="62894684"/>
    <w:rsid w:val="62BB05B6"/>
    <w:rsid w:val="637D586B"/>
    <w:rsid w:val="647F52EC"/>
    <w:rsid w:val="650B5856"/>
    <w:rsid w:val="65770825"/>
    <w:rsid w:val="65787386"/>
    <w:rsid w:val="65B4016B"/>
    <w:rsid w:val="66CA337D"/>
    <w:rsid w:val="673A5239"/>
    <w:rsid w:val="677A27ED"/>
    <w:rsid w:val="677C5CC9"/>
    <w:rsid w:val="677F7224"/>
    <w:rsid w:val="695D5F23"/>
    <w:rsid w:val="69B0699A"/>
    <w:rsid w:val="69FD2D93"/>
    <w:rsid w:val="6A3A2708"/>
    <w:rsid w:val="6A674B7F"/>
    <w:rsid w:val="6B072D3A"/>
    <w:rsid w:val="6B8C6F93"/>
    <w:rsid w:val="6BBA26E8"/>
    <w:rsid w:val="6BF45D25"/>
    <w:rsid w:val="6C727F37"/>
    <w:rsid w:val="6DAF0D17"/>
    <w:rsid w:val="6DC9002B"/>
    <w:rsid w:val="6DFC9CB9"/>
    <w:rsid w:val="6ED3FB70"/>
    <w:rsid w:val="6FF14BA2"/>
    <w:rsid w:val="702D5518"/>
    <w:rsid w:val="712437CA"/>
    <w:rsid w:val="716EFBDD"/>
    <w:rsid w:val="719A3A8C"/>
    <w:rsid w:val="71F87B8C"/>
    <w:rsid w:val="71FB7A83"/>
    <w:rsid w:val="720A75BB"/>
    <w:rsid w:val="72734D90"/>
    <w:rsid w:val="73521A0A"/>
    <w:rsid w:val="74082F2F"/>
    <w:rsid w:val="74251D33"/>
    <w:rsid w:val="74F27DED"/>
    <w:rsid w:val="759E3B4B"/>
    <w:rsid w:val="75A650F5"/>
    <w:rsid w:val="75B21C07"/>
    <w:rsid w:val="75BF4C72"/>
    <w:rsid w:val="76696235"/>
    <w:rsid w:val="773D297D"/>
    <w:rsid w:val="77776E3C"/>
    <w:rsid w:val="77F71C38"/>
    <w:rsid w:val="78865D58"/>
    <w:rsid w:val="78F9378E"/>
    <w:rsid w:val="79304861"/>
    <w:rsid w:val="7AC5601E"/>
    <w:rsid w:val="7B360475"/>
    <w:rsid w:val="7C405469"/>
    <w:rsid w:val="7C8D37BF"/>
    <w:rsid w:val="7C8F341B"/>
    <w:rsid w:val="7D270829"/>
    <w:rsid w:val="7D6F8883"/>
    <w:rsid w:val="7EBFD1E0"/>
    <w:rsid w:val="7F59436D"/>
    <w:rsid w:val="7FFB15ED"/>
    <w:rsid w:val="7FFC682A"/>
    <w:rsid w:val="8EAFB004"/>
    <w:rsid w:val="AEBF2EE7"/>
    <w:rsid w:val="BB974071"/>
    <w:rsid w:val="BBF78183"/>
    <w:rsid w:val="BF673BC8"/>
    <w:rsid w:val="C7CA1B2D"/>
    <w:rsid w:val="C7F67C78"/>
    <w:rsid w:val="CFE78641"/>
    <w:rsid w:val="D36F7F94"/>
    <w:rsid w:val="D673AAD4"/>
    <w:rsid w:val="D96ABAF7"/>
    <w:rsid w:val="DBD22AA7"/>
    <w:rsid w:val="DBFDB69A"/>
    <w:rsid w:val="DF5BAB2C"/>
    <w:rsid w:val="DF7D7EBE"/>
    <w:rsid w:val="DF9FE9F0"/>
    <w:rsid w:val="DFBDCFB1"/>
    <w:rsid w:val="DFBE26B3"/>
    <w:rsid w:val="DFDE1AD9"/>
    <w:rsid w:val="DFFF4640"/>
    <w:rsid w:val="E1EE30A3"/>
    <w:rsid w:val="E7F7E54F"/>
    <w:rsid w:val="E9B566DD"/>
    <w:rsid w:val="EB3EE3EF"/>
    <w:rsid w:val="EFF7BB94"/>
    <w:rsid w:val="EFFFC1B0"/>
    <w:rsid w:val="F05F856D"/>
    <w:rsid w:val="F8ACD097"/>
    <w:rsid w:val="FAFE8327"/>
    <w:rsid w:val="FB5B6017"/>
    <w:rsid w:val="FBED11E0"/>
    <w:rsid w:val="FD3FD294"/>
    <w:rsid w:val="FEFF0547"/>
    <w:rsid w:val="FFFDACC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qFormat/>
    <w:uiPriority w:val="0"/>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Emphasis"/>
    <w:basedOn w:val="18"/>
    <w:qFormat/>
    <w:uiPriority w:val="20"/>
    <w:rPr>
      <w:i/>
      <w:iCs/>
    </w:rPr>
  </w:style>
  <w:style w:type="character" w:styleId="21">
    <w:name w:val="Hyperlink"/>
    <w:basedOn w:val="18"/>
    <w:unhideWhenUsed/>
    <w:qFormat/>
    <w:uiPriority w:val="99"/>
    <w:rPr>
      <w:color w:val="0000FF" w:themeColor="hyperlink"/>
      <w:u w:val="single"/>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styleId="36">
    <w:name w:val="No Spacing"/>
    <w:link w:val="37"/>
    <w:qFormat/>
    <w:uiPriority w:val="99"/>
    <w:pPr>
      <w:widowControl w:val="0"/>
      <w:jc w:val="both"/>
    </w:pPr>
    <w:rPr>
      <w:rFonts w:ascii="Calibri" w:hAnsi="Calibri" w:eastAsia="宋体" w:cs="Times New Roman"/>
      <w:kern w:val="2"/>
      <w:sz w:val="21"/>
      <w:szCs w:val="22"/>
      <w:lang w:val="en-US" w:eastAsia="zh-CN" w:bidi="ar-SA"/>
    </w:rPr>
  </w:style>
  <w:style w:type="character" w:customStyle="1" w:styleId="37">
    <w:name w:val="无间隔 Char"/>
    <w:basedOn w:val="18"/>
    <w:link w:val="36"/>
    <w:qFormat/>
    <w:locked/>
    <w:uiPriority w:val="99"/>
    <w:rPr>
      <w:kern w:val="2"/>
      <w:sz w:val="21"/>
      <w:szCs w:val="22"/>
    </w:rPr>
  </w:style>
  <w:style w:type="character" w:customStyle="1" w:styleId="38">
    <w:name w:val="apple-converted-space"/>
    <w:basedOn w:val="18"/>
    <w:qFormat/>
    <w:uiPriority w:val="99"/>
    <w:rPr>
      <w:rFonts w:cs="Times New Roman"/>
    </w:rPr>
  </w:style>
  <w:style w:type="paragraph" w:customStyle="1" w:styleId="3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0">
    <w:name w:val="标题 1 Char1"/>
    <w:basedOn w:val="18"/>
    <w:qFormat/>
    <w:uiPriority w:val="9"/>
    <w:rPr>
      <w:rFonts w:ascii="Times New Roman" w:hAnsi="Times New Roman"/>
      <w:b/>
      <w:bCs/>
      <w:kern w:val="44"/>
      <w:sz w:val="44"/>
      <w:szCs w:val="44"/>
    </w:rPr>
  </w:style>
  <w:style w:type="paragraph" w:customStyle="1" w:styleId="41">
    <w:name w:val="列表段落1"/>
    <w:basedOn w:val="1"/>
    <w:qFormat/>
    <w:uiPriority w:val="34"/>
    <w:pPr>
      <w:ind w:firstLine="420" w:firstLineChars="200"/>
    </w:pPr>
  </w:style>
  <w:style w:type="paragraph" w:customStyle="1" w:styleId="42">
    <w:name w:val="四号正文"/>
    <w:basedOn w:val="1"/>
    <w:qFormat/>
    <w:uiPriority w:val="0"/>
    <w:pPr>
      <w:spacing w:line="360" w:lineRule="auto"/>
    </w:pPr>
    <w:rPr>
      <w:rFonts w:ascii="??" w:hAnsi="??"/>
      <w:color w:val="000000"/>
      <w:kern w:val="0"/>
      <w:sz w:val="28"/>
      <w:szCs w:val="21"/>
      <w:lang w:val="zh-CN"/>
    </w:rPr>
  </w:style>
  <w:style w:type="paragraph" w:customStyle="1" w:styleId="43">
    <w:name w:val="WPSOffice手动目录 3"/>
    <w:qFormat/>
    <w:uiPriority w:val="0"/>
    <w:pPr>
      <w:ind w:leftChars="400"/>
    </w:pPr>
    <w:rPr>
      <w:rFonts w:ascii="Times New Roman" w:hAnsi="Times New Roman" w:eastAsia="宋体" w:cs="Times New Roman"/>
      <w:sz w:val="20"/>
      <w:szCs w:val="20"/>
    </w:rPr>
  </w:style>
  <w:style w:type="paragraph" w:customStyle="1" w:styleId="44">
    <w:name w:val="WPSOffice手动目录 2"/>
    <w:qFormat/>
    <w:uiPriority w:val="0"/>
    <w:pPr>
      <w:ind w:leftChars="200"/>
    </w:pPr>
    <w:rPr>
      <w:rFonts w:ascii="Times New Roman" w:hAnsi="Times New Roman" w:eastAsia="宋体" w:cs="Times New Roman"/>
      <w:sz w:val="20"/>
      <w:szCs w:val="20"/>
    </w:rPr>
  </w:style>
  <w:style w:type="paragraph" w:customStyle="1" w:styleId="45">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收支决算总计变动情况图</a:t>
            </a:r>
            <a:endParaRPr lang="zh-CN" altLang="en-US"/>
          </a:p>
        </c:rich>
      </c:tx>
      <c:layout>
        <c:manualLayout>
          <c:xMode val="edge"/>
          <c:yMode val="edge"/>
          <c:x val="0.241427788658611"/>
          <c:y val="0.0330237358101137"/>
        </c:manualLayout>
      </c:layout>
      <c:overlay val="0"/>
    </c:title>
    <c:autoTitleDeleted val="0"/>
    <c:plotArea>
      <c:layout>
        <c:manualLayout>
          <c:layoutTarget val="inner"/>
          <c:xMode val="edge"/>
          <c:yMode val="edge"/>
          <c:x val="0.0769323671497585"/>
          <c:y val="0.224842767295597"/>
          <c:w val="0.750845410628019"/>
          <c:h val="0.668553459119497"/>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Sheet1!$B$2</c:f>
              <c:numCache>
                <c:formatCode>General</c:formatCode>
                <c:ptCount val="1"/>
                <c:pt idx="0">
                  <c:v>1007.14</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Sheet1!$C$2</c:f>
              <c:numCache>
                <c:formatCode>General</c:formatCode>
                <c:ptCount val="1"/>
                <c:pt idx="0">
                  <c:v>995.26</c:v>
                </c:pt>
              </c:numCache>
            </c:numRef>
          </c:val>
        </c:ser>
        <c:dLbls>
          <c:showLegendKey val="0"/>
          <c:showVal val="1"/>
          <c:showCatName val="0"/>
          <c:showSerName val="0"/>
          <c:showPercent val="0"/>
          <c:showBubbleSize val="0"/>
        </c:dLbls>
        <c:gapWidth val="150"/>
        <c:axId val="243807744"/>
        <c:axId val="277832064"/>
      </c:barChart>
      <c:catAx>
        <c:axId val="243807744"/>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832064"/>
        <c:crosses val="autoZero"/>
        <c:auto val="1"/>
        <c:lblAlgn val="ctr"/>
        <c:lblOffset val="100"/>
        <c:noMultiLvlLbl val="0"/>
      </c:catAx>
      <c:valAx>
        <c:axId val="277832064"/>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4380774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60131f6-c10b-4115-8c85-e4834ace666a}"/>
      </c:ext>
    </c:extLst>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2025年度收入决算结构图</a:t>
            </a:r>
          </a:p>
        </c:rich>
      </c:tx>
      <c:layout/>
      <c:overlay val="0"/>
      <c:spPr>
        <a:noFill/>
        <a:ln>
          <a:noFill/>
        </a:ln>
        <a:effectLst/>
      </c:spPr>
    </c:title>
    <c:autoTitleDeleted val="0"/>
    <c:plotArea>
      <c:layout/>
      <c:pieChart>
        <c:varyColors val="1"/>
        <c:ser>
          <c:idx val="0"/>
          <c:order val="0"/>
          <c:tx>
            <c:strRef>
              <c:f>Sheet1!$B$1</c:f>
              <c:strCache>
                <c:ptCount val="1"/>
                <c:pt idx="0">
                  <c:v>2025年收入决算结构图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97.61%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2.38%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97.61</c:v>
                </c:pt>
                <c:pt idx="1">
                  <c:v>2.38</c:v>
                </c:pt>
              </c:numCache>
            </c:numRef>
          </c:val>
        </c:ser>
        <c:ser>
          <c:idx val="1"/>
          <c:order val="1"/>
          <c:tx>
            <c:strRef>
              <c:f>Sheet1!$C$1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Sheet1!$C$2:$C$3</c:f>
              <c:numCache>
                <c:formatCode>General</c:formatCode>
                <c:ptCount val="2"/>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573da0-7bf1-4fa5-8f24-d78a2f60ebf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年度支出决算结构图</a:t>
            </a:r>
            <a:endParaRPr lang="zh-CN" altLang="en-US"/>
          </a:p>
        </c:rich>
      </c:tx>
      <c:layout/>
      <c:overlay val="0"/>
    </c:title>
    <c:autoTitleDeleted val="0"/>
    <c:plotArea>
      <c:layout/>
      <c:pieChart>
        <c:varyColors val="1"/>
        <c:ser>
          <c:idx val="0"/>
          <c:order val="0"/>
          <c:tx>
            <c:strRef>
              <c:f>Sheet1!$B$1</c:f>
              <c:strCache>
                <c:ptCount val="1"/>
                <c:pt idx="0">
                  <c:v>2025年支出决算结构图</c:v>
                </c:pt>
              </c:strCache>
            </c:strRef>
          </c:tx>
          <c:explosion val="0"/>
          <c:dPt>
            <c:idx val="0"/>
            <c:bubble3D val="0"/>
          </c:dPt>
          <c:dPt>
            <c:idx val="1"/>
            <c:bubble3D val="0"/>
          </c:dPt>
          <c:dPt>
            <c:idx val="2"/>
            <c:bubble3D val="0"/>
          </c:dPt>
          <c:dPt>
            <c:idx val="3"/>
            <c:bubble3D val="0"/>
          </c:dPt>
          <c:dPt>
            <c:idx val="4"/>
            <c:bubble3D val="0"/>
          </c:dPt>
          <c:dLbls>
            <c:dLbl>
              <c:idx val="0"/>
              <c:delete val="1"/>
            </c:dLbl>
            <c:dLbl>
              <c:idx val="1"/>
              <c:layout>
                <c:manualLayout>
                  <c:x val="0.0626474190421383"/>
                  <c:y val="0.027970883512814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33.94</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14710873710102"/>
                  <c:y val="0.34291177888478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66.06</a:t>
                    </a:r>
                    <a:r>
                      <a:rPr lang="en-US" altLang="zh-CN"/>
                      <a:t>%</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66.06</c:v>
                </c:pt>
                <c:pt idx="1">
                  <c:v>33.94</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c8dc14e7-22ec-42db-92d9-8bfbbbc1bbb2}"/>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solidFill>
                <a:latin typeface="+mn-lt"/>
                <a:ea typeface="+mn-ea"/>
                <a:cs typeface="+mn-cs"/>
              </a:defRPr>
            </a:pPr>
            <a:r>
              <a:rPr lang="zh-CN" altLang="en-US" sz="1400"/>
              <a:t>财政拨款收支决算总计变动情况图</a:t>
            </a:r>
            <a:endParaRPr lang="zh-CN" altLang="en-US" sz="1400"/>
          </a:p>
        </c:rich>
      </c:tx>
      <c:layout>
        <c:manualLayout>
          <c:xMode val="edge"/>
          <c:yMode val="edge"/>
          <c:x val="0.239012324546389"/>
          <c:y val="0.0521624031445839"/>
        </c:manualLayout>
      </c:layout>
      <c:overlay val="0"/>
    </c:title>
    <c:autoTitleDeleted val="0"/>
    <c:plotArea>
      <c:layout>
        <c:manualLayout>
          <c:layoutTarget val="inner"/>
          <c:xMode val="edge"/>
          <c:yMode val="edge"/>
          <c:x val="0.0769356344423438"/>
          <c:y val="0.212981143314532"/>
          <c:w val="0.763500149073545"/>
          <c:h val="0.68032464027103"/>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Sheet1!$B$2</c:f>
              <c:numCache>
                <c:formatCode>General</c:formatCode>
                <c:ptCount val="1"/>
                <c:pt idx="0">
                  <c:v>983.08</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c:f>
              <c:numCache>
                <c:formatCode>General</c:formatCode>
                <c:ptCount val="1"/>
              </c:numCache>
            </c:numRef>
          </c:cat>
          <c:val>
            <c:numRef>
              <c:f>Sheet1!$C$2</c:f>
              <c:numCache>
                <c:formatCode>General</c:formatCode>
                <c:ptCount val="1"/>
                <c:pt idx="0">
                  <c:v>995.26</c:v>
                </c:pt>
              </c:numCache>
            </c:numRef>
          </c:val>
        </c:ser>
        <c:dLbls>
          <c:showLegendKey val="0"/>
          <c:showVal val="1"/>
          <c:showCatName val="0"/>
          <c:showSerName val="0"/>
          <c:showPercent val="0"/>
          <c:showBubbleSize val="0"/>
        </c:dLbls>
        <c:gapWidth val="150"/>
        <c:axId val="105224832"/>
        <c:axId val="105406848"/>
      </c:barChart>
      <c:catAx>
        <c:axId val="10522483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06848"/>
        <c:crosses val="autoZero"/>
        <c:auto val="1"/>
        <c:lblAlgn val="ctr"/>
        <c:lblOffset val="100"/>
        <c:noMultiLvlLbl val="0"/>
      </c:catAx>
      <c:valAx>
        <c:axId val="105406848"/>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22483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fdadff6-6cb6-49d6-ac13-953ac34c0494}"/>
      </c:ext>
    </c:extLst>
  </c:chart>
  <c:txPr>
    <a:bodyPr/>
    <a:lstStyle/>
    <a:p>
      <a:pPr>
        <a:defRPr lang="zh-CN"/>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zh-CN" altLang="en-US" sz="1200"/>
              <a:t>一般公共预算财政拨款支出决算变动情况图</a:t>
            </a:r>
            <a:endParaRPr lang="zh-CN" altLang="en-US" sz="1200"/>
          </a:p>
        </c:rich>
      </c:tx>
      <c:layout/>
      <c:overlay val="0"/>
    </c:title>
    <c:autoTitleDeleted val="0"/>
    <c:plotArea>
      <c:layout>
        <c:manualLayout>
          <c:layoutTarget val="inner"/>
          <c:xMode val="edge"/>
          <c:yMode val="edge"/>
          <c:x val="0.0746107073721493"/>
          <c:y val="0.209319129226495"/>
          <c:w val="0.770646966143447"/>
          <c:h val="0.683986901018178"/>
        </c:manualLayout>
      </c:layout>
      <c:barChart>
        <c:barDir val="col"/>
        <c:grouping val="clustered"/>
        <c:varyColors val="0"/>
        <c:ser>
          <c:idx val="0"/>
          <c:order val="0"/>
          <c:tx>
            <c:strRef>
              <c:f>Sheet1!$B$1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983.08</c:v>
                </c:pt>
              </c:numCache>
            </c:numRef>
          </c:val>
        </c:ser>
        <c:ser>
          <c:idx val="1"/>
          <c:order val="1"/>
          <c:tx>
            <c:strRef>
              <c:f>Sheet1!$C$1</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995.26</c:v>
                </c:pt>
              </c:numCache>
            </c:numRef>
          </c:val>
        </c:ser>
        <c:dLbls>
          <c:showLegendKey val="0"/>
          <c:showVal val="1"/>
          <c:showCatName val="0"/>
          <c:showSerName val="0"/>
          <c:showPercent val="0"/>
          <c:showBubbleSize val="0"/>
        </c:dLbls>
        <c:gapWidth val="150"/>
        <c:axId val="105444864"/>
        <c:axId val="105446400"/>
      </c:barChart>
      <c:catAx>
        <c:axId val="1054448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46400"/>
        <c:crosses val="autoZero"/>
        <c:auto val="1"/>
        <c:lblAlgn val="ctr"/>
        <c:lblOffset val="100"/>
        <c:noMultiLvlLbl val="0"/>
      </c:catAx>
      <c:valAx>
        <c:axId val="1054464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5444864"/>
        <c:crosses val="autoZero"/>
        <c:crossBetween val="between"/>
      </c:valAx>
    </c:plotArea>
    <c:legend>
      <c:legendPos val="r"/>
      <c:layout>
        <c:manualLayout>
          <c:xMode val="edge"/>
          <c:yMode val="edge"/>
          <c:x val="0.881289744596317"/>
          <c:y val="0.460636092476829"/>
          <c:w val="0.118710255403684"/>
          <c:h val="0.20996125847113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a8b061b-3edc-4af5-b8d5-3fbe75d1c120}"/>
      </c:ext>
    </c:extLst>
  </c:chart>
  <c:txPr>
    <a:bodyPr/>
    <a:lstStyle/>
    <a:p>
      <a:pPr>
        <a:defRPr lang="zh-CN"/>
      </a:pP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altLang="en-US" sz="1400"/>
              <a:t>20</a:t>
            </a:r>
            <a:r>
              <a:rPr lang="en-US" altLang="zh-CN" sz="1400"/>
              <a:t>25</a:t>
            </a:r>
            <a:r>
              <a:rPr altLang="en-US" sz="1400"/>
              <a:t>年</a:t>
            </a:r>
            <a:r>
              <a:rPr lang="zh-CN" altLang="en-US" sz="1400"/>
              <a:t>一般公共预算财政拨款</a:t>
            </a:r>
            <a:r>
              <a:rPr altLang="en-US" sz="1400"/>
              <a:t>支出</a:t>
            </a:r>
            <a:r>
              <a:rPr lang="zh-CN" altLang="en-US" sz="1400"/>
              <a:t>决算</a:t>
            </a:r>
            <a:r>
              <a:rPr altLang="en-US" sz="1400"/>
              <a:t>结构图</a:t>
            </a:r>
            <a:endParaRPr altLang="en-US" sz="1400"/>
          </a:p>
        </c:rich>
      </c:tx>
      <c:layout>
        <c:manualLayout>
          <c:xMode val="edge"/>
          <c:yMode val="edge"/>
          <c:x val="0.157430432208409"/>
          <c:y val="0.0326441784548425"/>
        </c:manualLayout>
      </c:layout>
      <c:overlay val="0"/>
    </c:title>
    <c:autoTitleDeleted val="0"/>
    <c:plotArea>
      <c:layout/>
      <c:pieChart>
        <c:varyColors val="1"/>
        <c:ser>
          <c:idx val="0"/>
          <c:order val="0"/>
          <c:tx>
            <c:strRef>
              <c:f>Sheet1!$B$1</c:f>
              <c:strCache>
                <c:ptCount val="1"/>
                <c:pt idx="0">
                  <c:v>2022年部门决算支出结构图</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Lbls>
            <c:dLbl>
              <c:idx val="0"/>
              <c:layout>
                <c:manualLayout>
                  <c:x val="-0.00650102707000315"/>
                  <c:y val="-0.1869052494149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91.18</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94503304160594"/>
                  <c:y val="0.0530467899891186"/>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3.68%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0729425695677916"/>
                      <c:h val="0.0930359085963003"/>
                    </c:manualLayout>
                  </c15:layout>
                </c:ext>
              </c:extLst>
            </c:dLbl>
            <c:dLbl>
              <c:idx val="2"/>
              <c:delete val="1"/>
            </c:dLbl>
            <c:dLbl>
              <c:idx val="3"/>
              <c:layout>
                <c:manualLayout>
                  <c:x val="0.118625092850259"/>
                  <c:y val="0.047083220201660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t>5.14</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delete val="1"/>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Sheet1!$A$2:$A$8</c:f>
              <c:strCache>
                <c:ptCount val="7"/>
                <c:pt idx="0">
                  <c:v>社会保障和就业支出</c:v>
                </c:pt>
                <c:pt idx="1">
                  <c:v>卫生健康支出</c:v>
                </c:pt>
                <c:pt idx="2">
                  <c:v>住房保障支出</c:v>
                </c:pt>
              </c:strCache>
            </c:strRef>
          </c:cat>
          <c:val>
            <c:numRef>
              <c:f>Sheet1!$B$2:$B$8</c:f>
              <c:numCache>
                <c:formatCode>General</c:formatCode>
                <c:ptCount val="7"/>
                <c:pt idx="0">
                  <c:v>91.13</c:v>
                </c:pt>
                <c:pt idx="1">
                  <c:v>3.93</c:v>
                </c:pt>
                <c:pt idx="2">
                  <c:v>4.94</c:v>
                </c:pt>
                <c:pt idx="4">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dfcfdfd4-717f-42f2-831f-e600941acb68}"/>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“三公”经费财政拨款支出结构图</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87.31</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12</a:t>
                    </a:r>
                    <a:r>
                      <a:rPr lang="en-US" altLang="zh-CN"/>
                      <a:t>.69</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因公出国（境）费支出</c:v>
                </c:pt>
                <c:pt idx="1">
                  <c:v>公务用车购置及运行维护费</c:v>
                </c:pt>
                <c:pt idx="2">
                  <c:v>公务接待费支出</c:v>
                </c:pt>
              </c:strCache>
            </c:strRef>
          </c:cat>
          <c:val>
            <c:numRef>
              <c:f>Sheet1!$B$2:$B$4</c:f>
              <c:numCache>
                <c:formatCode>General</c:formatCode>
                <c:ptCount val="3"/>
                <c:pt idx="1">
                  <c:v>87.31</c:v>
                </c:pt>
                <c:pt idx="2">
                  <c:v>12.69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04c52dbb-e76e-4d4c-aa5d-edee9ad910c4}"/>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0.84137</cdr:x>
      <cdr:y>0.0461</cdr:y>
    </cdr:from>
    <cdr:to>
      <cdr:x>0.96787</cdr:x>
      <cdr:y>0.19831</cdr:y>
    </cdr:to>
    <cdr:sp>
      <cdr:nvSpPr>
        <cdr:cNvPr id="2" name="矩形 1"/>
        <cdr:cNvSpPr/>
      </cdr:nvSpPr>
      <cdr:spPr xmlns:a="http://schemas.openxmlformats.org/drawingml/2006/main">
        <a:xfrm xmlns:a="http://schemas.openxmlformats.org/drawingml/2006/main">
          <a:off x="4656163" y="104067"/>
          <a:ext cx="700054" cy="343608"/>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0.81727</cdr:x>
      <cdr:y>0.0922</cdr:y>
    </cdr:from>
    <cdr:to>
      <cdr:x>1</cdr:x>
      <cdr:y>0.22363</cdr:y>
    </cdr:to>
    <cdr:sp>
      <cdr:nvSpPr>
        <cdr:cNvPr id="3" name="矩形 2"/>
        <cdr:cNvSpPr/>
      </cdr:nvSpPr>
      <cdr:spPr xmlns:a="http://schemas.openxmlformats.org/drawingml/2006/main">
        <a:xfrm xmlns:a="http://schemas.openxmlformats.org/drawingml/2006/main">
          <a:off x="4522793" y="208135"/>
          <a:ext cx="1011232" cy="29669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    单位：万元</a:t>
          </a:r>
          <a:endParaRPr lang="zh-CN" altLang="en-US" sz="900"/>
        </a:p>
      </cdr:txBody>
    </cdr:sp>
  </cdr:relSizeAnchor>
</c:userShapes>
</file>

<file path=word/drawings/drawing2.xml><?xml version="1.0" encoding="utf-8"?>
<c:userShapes xmlns:c="http://schemas.openxmlformats.org/drawingml/2006/chart">
  <cdr:relSizeAnchor xmlns:cdr="http://schemas.openxmlformats.org/drawingml/2006/chartDrawing">
    <cdr:from>
      <cdr:x>0.82892</cdr:x>
      <cdr:y>0.0805</cdr:y>
    </cdr:from>
    <cdr:to>
      <cdr:x>0.98784</cdr:x>
      <cdr:y>0.17028</cdr:y>
    </cdr:to>
    <cdr:sp>
      <cdr:nvSpPr>
        <cdr:cNvPr id="2" name="矩形 1"/>
        <cdr:cNvSpPr/>
      </cdr:nvSpPr>
      <cdr:spPr xmlns:a="http://schemas.openxmlformats.org/drawingml/2006/main">
        <a:xfrm xmlns:a="http://schemas.openxmlformats.org/drawingml/2006/main">
          <a:off x="4371975" y="247650"/>
          <a:ext cx="838200" cy="2762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单位：万元</a:t>
          </a:r>
          <a:endParaRPr lang="zh-CN" altLang="en-US" sz="900"/>
        </a:p>
      </cdr:txBody>
    </cdr:sp>
  </cdr:relSizeAnchor>
</c:userShapes>
</file>

<file path=word/drawings/drawing3.xml><?xml version="1.0" encoding="utf-8"?>
<c:userShapes xmlns:c="http://schemas.openxmlformats.org/drawingml/2006/chart">
  <cdr:relSizeAnchor xmlns:cdr="http://schemas.openxmlformats.org/drawingml/2006/chartDrawing">
    <cdr:from>
      <cdr:x>0.84137</cdr:x>
      <cdr:y>0.0461</cdr:y>
    </cdr:from>
    <cdr:to>
      <cdr:x>0.96787</cdr:x>
      <cdr:y>0.19831</cdr:y>
    </cdr:to>
    <cdr:sp>
      <cdr:nvSpPr>
        <cdr:cNvPr id="2" name="矩形 1"/>
        <cdr:cNvSpPr/>
      </cdr:nvSpPr>
      <cdr:spPr xmlns:a="http://schemas.openxmlformats.org/drawingml/2006/main">
        <a:xfrm xmlns:a="http://schemas.openxmlformats.org/drawingml/2006/main">
          <a:off x="4656163" y="104067"/>
          <a:ext cx="700054" cy="343608"/>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0.81727</cdr:x>
      <cdr:y>0.0922</cdr:y>
    </cdr:from>
    <cdr:to>
      <cdr:x>1</cdr:x>
      <cdr:y>0.22363</cdr:y>
    </cdr:to>
    <cdr:sp>
      <cdr:nvSpPr>
        <cdr:cNvPr id="3" name="矩形 2"/>
        <cdr:cNvSpPr/>
      </cdr:nvSpPr>
      <cdr:spPr xmlns:a="http://schemas.openxmlformats.org/drawingml/2006/main">
        <a:xfrm xmlns:a="http://schemas.openxmlformats.org/drawingml/2006/main">
          <a:off x="4522793" y="208135"/>
          <a:ext cx="1011232" cy="29669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900"/>
            <a:t>    单位：万元</a:t>
          </a:r>
          <a:endParaRPr lang="zh-CN" alt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6" textRotate="1"/>
    <customShpInfo spid="_x0000_s2057" textRotate="1"/>
    <customShpInfo spid="_x0000_s2054" textRotate="1"/>
    <customShpInfo spid="_x0000_s205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31</Pages>
  <Words>58</Words>
  <Characters>64</Characters>
  <Lines>159</Lines>
  <Paragraphs>44</Paragraphs>
  <TotalTime>8</TotalTime>
  <ScaleCrop>false</ScaleCrop>
  <LinksUpToDate>false</LinksUpToDate>
  <CharactersWithSpaces>65</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kylin</cp:lastModifiedBy>
  <cp:lastPrinted>2026-08-27T17:07:00Z</cp:lastPrinted>
  <dcterms:modified xsi:type="dcterms:W3CDTF">2026-09-07T10:51:12Z</dcterms:modified>
  <dc:title>四川省***</dc:title>
  <cp:revision>170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A08F2A8B83024382BEBCB4A3E8D8E32D</vt:lpwstr>
  </property>
  <property fmtid="{D5CDD505-2E9C-101B-9397-08002B2CF9AE}" pid="4" name="KSOTemplateDocerSaveRecord">
    <vt:lpwstr>eyJoZGlkIjoiMjJhYTZiYWMyMjExZGMzMjM0ZWE1MzM4ZDRjOGNhZmQiLCJ1c2VySWQiOiI4MjcwNzU3NTMifQ==</vt:lpwstr>
  </property>
</Properties>
</file>