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水务局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3.组织编制洪水干早灾害防治规划，承担水情、旱情监测预警，组织编制防洪抗旱应急水量调度方案，编制防御洪水抗早调度方案。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拟订水利行业经济调节措施;负责编制全县水利建设项目资金计划，对水利资金进行管理、监督和内部审计。研究提出有关水利方面价格、税收、信贷、财务等经济调节建议。单位国有资产保值增值的监督和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8.负责全县水利方面的科技与外事工作，组织本县重大水利行业科学研究的技术推广。监督实施水利行业技术质量标准和规程、规范，承办水利行业对外经济、技术合作与交流等涉外事务。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9.完成县委和县政府交办的其他任务。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争取县级资金，引进省厅资源，编制一个与国家水利发展政策和形势相吻合的，符合茂县地域、生态、水资源、全产业发展实际的中长期规划，作为未来一个时期水利事业发展的纲领和指南，确保项目申报有针对性、成体系，以高效益高价值的内涵搏得上级更多的关注和支持。</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在当前调研成果的基础上推进项目储备。结合“十五五”规划前期工作，将原有的13个储备项目增加至26个，涵盖防汛安全工程治理、岷江流域治理、中小流域治理、水土保持、集镇和农村安全饮水、防灾能力提升等领域，并启动项目前期工作。其中，重点谋划一个大项目，即壳壳村中型水库项目，设计容量1000万立方米，以县城生活用水第二水源点为主要功能，配套水厂一座，并涵盖防洪、灌溉功能。其次，重点谋划水情雨情监测系统扩面升级，在精准监测预警的基础上，确保监测覆盖不留盲区和三断情况下预警信息畅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着眼于当下，确保年内有2-3个项目落地。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茂县水务局属一级预算单位，</w:t>
      </w:r>
      <w:r>
        <w:rPr>
          <w:rFonts w:hint="eastAsia" w:ascii="仿宋_GB2312" w:eastAsia="仿宋_GB2312"/>
          <w:sz w:val="32"/>
          <w:szCs w:val="32"/>
        </w:rPr>
        <w:t xml:space="preserve">下属二级预算单位 </w:t>
      </w:r>
      <w:r>
        <w:rPr>
          <w:rFonts w:hint="default" w:ascii="仿宋_GB2312" w:eastAsia="仿宋_GB2312"/>
          <w:sz w:val="32"/>
          <w:szCs w:val="32"/>
        </w:rPr>
        <w:t>1</w:t>
      </w:r>
      <w:r>
        <w:rPr>
          <w:rFonts w:hint="eastAsia" w:ascii="仿宋_GB2312" w:eastAsia="仿宋_GB2312"/>
          <w:sz w:val="32"/>
          <w:szCs w:val="32"/>
        </w:rPr>
        <w:t xml:space="preserve"> 个</w:t>
      </w:r>
      <w:r>
        <w:rPr>
          <w:rFonts w:hint="default" w:ascii="仿宋_GB2312" w:eastAsia="仿宋_GB2312"/>
          <w:sz w:val="32"/>
          <w:szCs w:val="32"/>
        </w:rPr>
        <w:t>;</w:t>
      </w:r>
      <w:r>
        <w:rPr>
          <w:rFonts w:hint="eastAsia" w:ascii="仿宋_GB2312" w:hAnsi="仿宋_GB2312" w:eastAsia="仿宋_GB2312" w:cs="仿宋_GB2312"/>
          <w:sz w:val="32"/>
          <w:szCs w:val="32"/>
        </w:rPr>
        <w:t>其中</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行政单位1个，其他事业单位1个。</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val="en-US" w:eastAsia="zh-CN"/>
        </w:rPr>
        <w:t>茂县水务局</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元；支出包括：社会保障和就业支出508526.77元，卫生健康支出280184.22元，农林水支出3503656.52</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住房保障支出389760</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茂县水务局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年收支预算总数增加</w:t>
      </w:r>
      <w:r>
        <w:rPr>
          <w:rFonts w:hint="eastAsia" w:ascii="仿宋_GB2312" w:hAnsi="仿宋_GB2312" w:eastAsia="仿宋_GB2312" w:cs="仿宋_GB2312"/>
          <w:sz w:val="32"/>
          <w:szCs w:val="32"/>
          <w:lang w:val="en-US" w:eastAsia="zh-CN"/>
        </w:rPr>
        <w:t>4858.72</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kern w:val="2"/>
          <w:sz w:val="32"/>
          <w:szCs w:val="32"/>
          <w:lang w:val="en-US" w:eastAsia="zh-CN"/>
        </w:rPr>
        <w:t>人员经费增长。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元；一般公共预算拨款收入</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占</w:t>
      </w:r>
      <w:r>
        <w:rPr>
          <w:rFonts w:hint="default"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年财政拨款收支总预算增加</w:t>
      </w:r>
      <w:r>
        <w:rPr>
          <w:rFonts w:hint="eastAsia" w:ascii="仿宋_GB2312" w:hAnsi="仿宋_GB2312" w:eastAsia="仿宋_GB2312" w:cs="仿宋_GB2312"/>
          <w:sz w:val="32"/>
          <w:szCs w:val="32"/>
          <w:lang w:val="en-US" w:eastAsia="zh-CN"/>
        </w:rPr>
        <w:t>4858.72</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kern w:val="2"/>
          <w:sz w:val="32"/>
          <w:szCs w:val="32"/>
          <w:lang w:val="en-US" w:eastAsia="zh-CN"/>
        </w:rPr>
        <w:t>人员经费增长。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支出包括：社会保障和就业支出508526.77元，卫生健康支出280184.22元，农林水支出3503656.52</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住房保障支出389760</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pStyle w:val="9"/>
        <w:keepNext w:val="0"/>
        <w:keepLines w:val="0"/>
        <w:pageBreakBefore w:val="0"/>
        <w:widowControl w:val="0"/>
        <w:kinsoku/>
        <w:wordWrap/>
        <w:overflowPunct/>
        <w:topLinePunct w:val="0"/>
        <w:autoSpaceDE/>
        <w:autoSpaceDN/>
        <w:bidi w:val="0"/>
        <w:adjustRightInd/>
        <w:snapToGrid/>
        <w:spacing w:before="0" w:line="576" w:lineRule="exact"/>
        <w:ind w:left="0" w:leftChars="0" w:firstLine="642" w:firstLineChars="200"/>
        <w:jc w:val="both"/>
        <w:rPr>
          <w:rFonts w:hint="eastAsia" w:ascii="楷体_GB2312" w:hAnsi="楷体_GB2312" w:eastAsia="楷体_GB2312" w:cs="楷体_GB2312"/>
          <w:b/>
          <w:kern w:val="2"/>
          <w:sz w:val="32"/>
          <w:szCs w:val="32"/>
        </w:rPr>
      </w:pPr>
      <w:r>
        <w:rPr>
          <w:rFonts w:hint="eastAsia" w:ascii="楷体_GB2312" w:hAnsi="楷体_GB2312" w:eastAsia="楷体_GB2312" w:cs="楷体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年预算数增加</w:t>
      </w:r>
      <w:r>
        <w:rPr>
          <w:rFonts w:hint="eastAsia" w:ascii="仿宋_GB2312" w:hAnsi="仿宋_GB2312" w:eastAsia="仿宋_GB2312" w:cs="仿宋_GB2312"/>
          <w:sz w:val="32"/>
          <w:szCs w:val="32"/>
          <w:lang w:val="en-US" w:eastAsia="zh-CN"/>
        </w:rPr>
        <w:t>4858.72</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kern w:val="2"/>
          <w:sz w:val="32"/>
          <w:szCs w:val="32"/>
          <w:lang w:val="en-US" w:eastAsia="zh-CN"/>
        </w:rPr>
        <w:t>人员经费增长。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社会保障和就业支出508526.77元，占</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%；卫生健康支出280184.22元，占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%；农林水支出3503656.52</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%；住房保障支出389760</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topLinePunct w:val="0"/>
        <w:autoSpaceDE/>
        <w:autoSpaceDN/>
        <w:bidi w:val="0"/>
        <w:adjustRightInd/>
        <w:snapToGrid/>
        <w:spacing w:before="0" w:line="576" w:lineRule="exact"/>
        <w:ind w:left="0" w:leftChars="0" w:firstLine="642" w:firstLineChars="200"/>
        <w:jc w:val="both"/>
        <w:rPr>
          <w:rFonts w:hint="eastAsia" w:ascii="楷体_GB2312" w:hAnsi="楷体_GB2312" w:eastAsia="楷体_GB2312" w:cs="楷体_GB2312"/>
          <w:b/>
          <w:kern w:val="2"/>
          <w:sz w:val="32"/>
          <w:szCs w:val="32"/>
        </w:rPr>
      </w:pPr>
      <w:r>
        <w:rPr>
          <w:rFonts w:hint="eastAsia" w:ascii="楷体_GB2312" w:hAnsi="楷体_GB2312" w:eastAsia="楷体_GB2312" w:cs="楷体_GB2312"/>
          <w:b/>
          <w:kern w:val="2"/>
          <w:sz w:val="32"/>
          <w:szCs w:val="32"/>
        </w:rPr>
        <w:t>（三）一般公共预算当年拨款具体使用情况</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1.社会保障和就业支出（208）行政事业单位养老支出（05）机关事业单位基本养老保险缴费支出（05）</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预算数339017.87元，主要用于单位缴纳基本养老保险费。</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2.社会保障和就业支出（208）行政事业单位养老支出（05）机关事业单位职业年金缴费支出（06）</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预算数169508.9</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元，主要用于单位缴纳职业年金。</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3.卫生健康支出（210）行政单位医疗（11）行政事业单位医疗（01）</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预算数74875.41元，主要用于行政单位缴纳基本医疗保险。</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4.卫生健康支出（210）行政事业单位医疗（11）事业单位医疗（02）</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预算数205308.81元，主要用于事业单位缴纳基本医疗保险。</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5.农林水支出（213）水利（03）行政运行（01）</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预算数940210.74元，主要用于行政单位人员经费和日常公用经费等基本支出。</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6.农林水支出（213）水利（03）其他水利支出（99）</w:t>
      </w:r>
      <w:r>
        <w:rPr>
          <w:rFonts w:hint="default" w:ascii="仿宋_GB2312" w:hAnsi="仿宋_GB2312" w:eastAsia="仿宋_GB2312" w:cs="仿宋_GB2312"/>
          <w:sz w:val="32"/>
          <w:szCs w:val="32"/>
        </w:rPr>
        <w:t>2025年</w:t>
      </w:r>
      <w:r>
        <w:rPr>
          <w:rFonts w:hint="eastAsia" w:ascii="仿宋_GB2312" w:hAnsi="仿宋_GB2312" w:eastAsia="仿宋_GB2312" w:cs="仿宋_GB2312"/>
          <w:sz w:val="32"/>
          <w:szCs w:val="32"/>
        </w:rPr>
        <w:t>预算数2563445.78元，主要用于事业单位人员经费和日常公用经费等基本支出。</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7.住房保障支出（221）住房改革支出（02）住房公积金（01）预算数389760</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元，主要用于单位为职工缴纳住房公积金。</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4682127.51</w:t>
      </w:r>
      <w:r>
        <w:rPr>
          <w:rFonts w:hint="eastAsia" w:ascii="仿宋_GB2312" w:hAnsi="仿宋_GB2312" w:eastAsia="仿宋_GB2312" w:cs="仿宋_GB2312"/>
          <w:sz w:val="32"/>
          <w:szCs w:val="32"/>
        </w:rPr>
        <w:t>元，其中：人员经费4338546.56元，主要包括：基本工资、津贴补贴、奖金、其他社会保障缴费、绩效工资、机关事业单位基本养老保险缴费、职业年金缴费、医疗费、生活补助、奖励金、住房公积金。</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公用经费343580.95元，主要包括：办公费、邮电费、差旅费、公务接待费、福利费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rPr>
        <w:t>。</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年“三公”经费财政拨款预算数44100</w:t>
      </w:r>
      <w:r>
        <w:rPr>
          <w:rFonts w:hint="default" w:ascii="仿宋_GB2312" w:hAnsi="仿宋_GB2312" w:eastAsia="仿宋_GB2312" w:cs="仿宋_GB2312"/>
          <w:kern w:val="2"/>
          <w:sz w:val="32"/>
          <w:szCs w:val="32"/>
        </w:rPr>
        <w:t>.00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kern w:val="2"/>
          <w:sz w:val="32"/>
          <w:szCs w:val="32"/>
          <w:highlight w:val="none"/>
        </w:rPr>
        <w:t>公务接待费4100</w:t>
      </w:r>
      <w:r>
        <w:rPr>
          <w:rFonts w:hint="default" w:ascii="仿宋_GB2312" w:hAnsi="仿宋_GB2312" w:eastAsia="仿宋_GB2312" w:cs="仿宋_GB2312"/>
          <w:kern w:val="2"/>
          <w:sz w:val="32"/>
          <w:szCs w:val="32"/>
          <w:highlight w:val="none"/>
        </w:rPr>
        <w:t>.00</w:t>
      </w:r>
      <w:r>
        <w:rPr>
          <w:rFonts w:hint="eastAsia" w:ascii="仿宋_GB2312" w:hAnsi="仿宋_GB2312" w:eastAsia="仿宋_GB2312" w:cs="仿宋_GB2312"/>
          <w:kern w:val="2"/>
          <w:sz w:val="32"/>
          <w:szCs w:val="32"/>
          <w:highlight w:val="none"/>
        </w:rPr>
        <w:t>元，公务用车购置及运行维护费</w:t>
      </w:r>
      <w:r>
        <w:rPr>
          <w:rFonts w:hint="eastAsia" w:ascii="仿宋_GB2312" w:hAnsi="仿宋_GB2312" w:eastAsia="仿宋_GB2312" w:cs="仿宋_GB2312"/>
          <w:kern w:val="2"/>
          <w:sz w:val="32"/>
          <w:szCs w:val="32"/>
          <w:highlight w:val="none"/>
          <w:lang w:val="en-US" w:eastAsia="zh-CN"/>
        </w:rPr>
        <w:t>40000</w:t>
      </w:r>
      <w:r>
        <w:rPr>
          <w:rFonts w:hint="default" w:ascii="仿宋_GB2312" w:hAnsi="仿宋_GB2312" w:eastAsia="仿宋_GB2312" w:cs="仿宋_GB2312"/>
          <w:kern w:val="2"/>
          <w:sz w:val="32"/>
          <w:szCs w:val="32"/>
          <w:highlight w:val="none"/>
          <w:lang w:eastAsia="zh-CN"/>
        </w:rPr>
        <w:t>.00</w:t>
      </w:r>
      <w:r>
        <w:rPr>
          <w:rFonts w:hint="eastAsia" w:ascii="仿宋_GB2312" w:hAnsi="仿宋_GB2312" w:eastAsia="仿宋_GB2312" w:cs="仿宋_GB2312"/>
          <w:kern w:val="2"/>
          <w:sz w:val="32"/>
          <w:szCs w:val="32"/>
          <w:highlight w:val="none"/>
        </w:rPr>
        <w:t>元</w:t>
      </w:r>
      <w:r>
        <w:rPr>
          <w:rFonts w:hint="eastAsia" w:ascii="仿宋_GB2312" w:hAnsi="仿宋_GB2312" w:eastAsia="仿宋_GB2312" w:cs="仿宋_GB2312"/>
          <w:kern w:val="2"/>
          <w:sz w:val="32"/>
          <w:szCs w:val="32"/>
          <w:highlight w:val="none"/>
          <w:lang w:eastAsia="zh-CN"/>
        </w:rPr>
        <w:t>。</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年无因公出国（境）经费。</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firstLine="640" w:firstLineChars="200"/>
        <w:jc w:val="both"/>
        <w:textAlignment w:val="baseline"/>
        <w:rPr>
          <w:rFonts w:hint="eastAsia" w:cs="仿宋_GB2312"/>
          <w:sz w:val="32"/>
          <w:szCs w:val="32"/>
          <w:lang w:val="en-US"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仿宋_GB2312" w:hAnsi="仿宋_GB2312" w:eastAsia="仿宋_GB2312" w:cs="仿宋_GB2312"/>
          <w:kern w:val="2"/>
          <w:sz w:val="32"/>
          <w:szCs w:val="32"/>
          <w:highlight w:val="none"/>
        </w:rPr>
        <w:t>4100</w:t>
      </w:r>
      <w:r>
        <w:rPr>
          <w:rFonts w:hint="default" w:ascii="仿宋_GB2312" w:hAnsi="仿宋_GB2312" w:eastAsia="仿宋_GB2312" w:cs="仿宋_GB2312"/>
          <w:kern w:val="2"/>
          <w:sz w:val="32"/>
          <w:szCs w:val="32"/>
          <w:highlight w:val="none"/>
        </w:rPr>
        <w:t>.00</w:t>
      </w:r>
      <w:r>
        <w:rPr>
          <w:rFonts w:hint="eastAsia" w:ascii="仿宋_GB2312" w:hAnsi="仿宋_GB2312" w:eastAsia="仿宋_GB2312" w:cs="仿宋_GB2312"/>
          <w:color w:val="000000"/>
          <w:kern w:val="2"/>
          <w:sz w:val="32"/>
          <w:szCs w:val="32"/>
        </w:rPr>
        <w:t>元。较202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r>
        <w:rPr>
          <w:rFonts w:hint="eastAsia" w:cs="仿宋_GB2312"/>
          <w:sz w:val="32"/>
          <w:szCs w:val="32"/>
          <w:lang w:val="en-US" w:eastAsia="zh-CN"/>
        </w:rPr>
        <w:t>。</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40000</w:t>
      </w:r>
      <w:r>
        <w:rPr>
          <w:rFonts w:hint="default" w:ascii="仿宋_GB2312" w:hAnsi="仿宋_GB2312" w:eastAsia="仿宋_GB2312" w:cs="仿宋_GB2312"/>
          <w:color w:val="000000"/>
          <w:kern w:val="2"/>
          <w:sz w:val="32"/>
          <w:szCs w:val="32"/>
          <w:lang w:eastAsia="zh-CN"/>
        </w:rPr>
        <w:t>.00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color w:val="000000"/>
          <w:kern w:val="2"/>
          <w:sz w:val="32"/>
          <w:szCs w:val="32"/>
        </w:rPr>
        <w:t>公务用车购置</w:t>
      </w:r>
      <w:r>
        <w:rPr>
          <w:rFonts w:hint="eastAsia" w:ascii="仿宋_GB2312" w:hAnsi="仿宋_GB2312" w:eastAsia="仿宋_GB2312" w:cs="仿宋_GB2312"/>
          <w:color w:val="000000"/>
          <w:kern w:val="2"/>
          <w:sz w:val="32"/>
          <w:szCs w:val="32"/>
          <w:lang w:eastAsia="zh-CN"/>
        </w:rPr>
        <w:t>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公务用车</w:t>
      </w:r>
      <w:r>
        <w:rPr>
          <w:rFonts w:hint="eastAsia" w:ascii="仿宋_GB2312" w:hAnsi="仿宋_GB2312" w:eastAsia="仿宋_GB2312" w:cs="仿宋_GB2312"/>
          <w:color w:val="000000"/>
          <w:kern w:val="2"/>
          <w:sz w:val="32"/>
          <w:szCs w:val="32"/>
          <w:lang w:eastAsia="zh-CN"/>
        </w:rPr>
        <w:t>运行维护费</w:t>
      </w:r>
      <w:r>
        <w:rPr>
          <w:rFonts w:hint="eastAsia" w:ascii="仿宋_GB2312" w:hAnsi="仿宋_GB2312" w:eastAsia="仿宋_GB2312" w:cs="仿宋_GB2312"/>
          <w:color w:val="000000"/>
          <w:kern w:val="2"/>
          <w:sz w:val="32"/>
          <w:szCs w:val="32"/>
          <w:lang w:val="en-US" w:eastAsia="zh-CN"/>
        </w:rPr>
        <w:t>40000</w:t>
      </w:r>
      <w:r>
        <w:rPr>
          <w:rFonts w:hint="default" w:ascii="仿宋_GB2312" w:hAnsi="仿宋_GB2312" w:eastAsia="仿宋_GB2312" w:cs="仿宋_GB2312"/>
          <w:color w:val="000000"/>
          <w:kern w:val="2"/>
          <w:sz w:val="32"/>
          <w:szCs w:val="32"/>
          <w:lang w:eastAsia="zh-CN"/>
        </w:rPr>
        <w:t>.00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持平。</w:t>
      </w:r>
    </w:p>
    <w:p>
      <w:pPr>
        <w:keepNext w:val="0"/>
        <w:keepLines w:val="0"/>
        <w:pageBreakBefore w:val="0"/>
        <w:widowControl w:val="0"/>
        <w:numPr>
          <w:ilvl w:val="0"/>
          <w:numId w:val="1"/>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政府性基金预算支出情况说明</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年无政府性基金预算拨款安排的支出。</w:t>
      </w:r>
    </w:p>
    <w:p>
      <w:pPr>
        <w:keepNext w:val="0"/>
        <w:keepLines w:val="0"/>
        <w:pageBreakBefore w:val="0"/>
        <w:widowControl w:val="0"/>
        <w:numPr>
          <w:ilvl w:val="0"/>
          <w:numId w:val="1"/>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righ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其他重要事项的情况说明</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2" w:firstLineChars="200"/>
        <w:jc w:val="both"/>
        <w:textAlignment w:val="baseline"/>
        <w:rPr>
          <w:rFonts w:hint="eastAsia" w:ascii="楷体_GB2312" w:hAnsi="楷体_GB2312" w:eastAsia="楷体_GB2312" w:cs="楷体_GB2312"/>
          <w:b/>
          <w:sz w:val="32"/>
          <w:szCs w:val="32"/>
        </w:rPr>
      </w:pPr>
      <w:r>
        <w:rPr>
          <w:rFonts w:hint="eastAsia" w:ascii="楷体_GB2312" w:hAnsi="楷体_GB2312" w:eastAsia="楷体_GB2312" w:cs="楷体_GB2312"/>
          <w:b/>
          <w:kern w:val="2"/>
          <w:sz w:val="32"/>
          <w:szCs w:val="32"/>
          <w:lang w:val="en-US" w:eastAsia="zh-CN" w:bidi="ar-SA"/>
        </w:rPr>
        <w:t>（一）</w:t>
      </w:r>
      <w:r>
        <w:rPr>
          <w:rFonts w:hint="eastAsia" w:ascii="楷体_GB2312" w:hAnsi="楷体_GB2312" w:eastAsia="楷体_GB2312" w:cs="楷体_GB2312"/>
          <w:b/>
          <w:sz w:val="32"/>
          <w:szCs w:val="32"/>
        </w:rPr>
        <w:t>机关运行经费</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年机关运行经费财政拨款预算</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rPr>
        <w:t>为343580.95元，比202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年预算增加</w:t>
      </w:r>
      <w:r>
        <w:rPr>
          <w:rFonts w:hint="eastAsia" w:ascii="仿宋_GB2312" w:hAnsi="仿宋_GB2312" w:eastAsia="仿宋_GB2312" w:cs="仿宋_GB2312"/>
          <w:sz w:val="32"/>
          <w:szCs w:val="32"/>
          <w:lang w:val="en-US" w:eastAsia="zh-CN"/>
        </w:rPr>
        <w:t>116120.95</w:t>
      </w:r>
      <w:r>
        <w:rPr>
          <w:rFonts w:hint="eastAsia" w:ascii="仿宋_GB2312" w:hAnsi="仿宋_GB2312" w:eastAsia="仿宋_GB2312" w:cs="仿宋_GB2312"/>
          <w:sz w:val="32"/>
          <w:szCs w:val="32"/>
        </w:rPr>
        <w:t>元，增长</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rPr>
        <w:t>2025年预算增加了残疾人就业保证金和福利费。</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rightChars="0" w:firstLine="642" w:firstLineChars="200"/>
        <w:jc w:val="both"/>
        <w:textAlignment w:val="baseline"/>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kern w:val="2"/>
          <w:sz w:val="32"/>
          <w:szCs w:val="32"/>
          <w:lang w:val="en-US" w:eastAsia="zh-CN" w:bidi="ar-SA"/>
        </w:rPr>
        <w:t>（二）</w:t>
      </w:r>
      <w:r>
        <w:rPr>
          <w:rFonts w:hint="eastAsia" w:ascii="楷体_GB2312" w:hAnsi="楷体_GB2312" w:eastAsia="楷体_GB2312" w:cs="楷体_GB2312"/>
          <w:b/>
          <w:kern w:val="2"/>
          <w:sz w:val="32"/>
          <w:szCs w:val="32"/>
        </w:rPr>
        <w:t>政府采购情况</w:t>
      </w:r>
      <w:r>
        <w:rPr>
          <w:rFonts w:hint="eastAsia" w:ascii="仿宋_GB2312" w:hAnsi="仿宋_GB2312" w:eastAsia="仿宋_GB2312" w:cs="仿宋_GB2312"/>
          <w:b/>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color w:val="000000"/>
          <w:kern w:val="2"/>
          <w:sz w:val="32"/>
          <w:szCs w:val="32"/>
        </w:rPr>
        <w:t>　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color w:val="000000"/>
          <w:kern w:val="2"/>
          <w:sz w:val="32"/>
          <w:szCs w:val="32"/>
          <w:lang w:val="en-US" w:eastAsia="zh-CN"/>
        </w:rPr>
        <w:t>未</w:t>
      </w:r>
      <w:r>
        <w:rPr>
          <w:rFonts w:hint="eastAsia" w:ascii="仿宋_GB2312" w:hAnsi="仿宋_GB2312" w:eastAsia="仿宋_GB2312" w:cs="仿宋_GB2312"/>
          <w:color w:val="000000"/>
          <w:kern w:val="2"/>
          <w:sz w:val="32"/>
          <w:szCs w:val="32"/>
        </w:rPr>
        <w:t>安排政府采购预算</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rightChars="0" w:firstLine="642" w:firstLineChars="200"/>
        <w:jc w:val="both"/>
        <w:textAlignment w:val="baseline"/>
        <w:rPr>
          <w:rFonts w:hint="eastAsia" w:ascii="楷体_GB2312" w:hAnsi="楷体_GB2312" w:eastAsia="楷体_GB2312" w:cs="楷体_GB2312"/>
          <w:b/>
          <w:kern w:val="2"/>
          <w:sz w:val="32"/>
          <w:szCs w:val="32"/>
        </w:rPr>
      </w:pPr>
      <w:r>
        <w:rPr>
          <w:rFonts w:hint="eastAsia" w:ascii="楷体_GB2312" w:hAnsi="楷体_GB2312" w:eastAsia="楷体_GB2312" w:cs="楷体_GB2312"/>
          <w:b/>
          <w:kern w:val="2"/>
          <w:sz w:val="32"/>
          <w:szCs w:val="32"/>
          <w:lang w:val="en-US" w:eastAsia="zh-CN" w:bidi="ar-SA"/>
        </w:rPr>
        <w:t>（三）</w:t>
      </w:r>
      <w:r>
        <w:rPr>
          <w:rFonts w:hint="eastAsia" w:ascii="楷体_GB2312" w:hAnsi="楷体_GB2312" w:eastAsia="楷体_GB2312" w:cs="楷体_GB2312"/>
          <w:b/>
          <w:kern w:val="2"/>
          <w:sz w:val="32"/>
          <w:szCs w:val="32"/>
        </w:rPr>
        <w:t>国有资产占有使用情况</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年12月31日，我单位固定资产总额</w:t>
      </w:r>
      <w:r>
        <w:rPr>
          <w:rFonts w:hint="eastAsia" w:ascii="仿宋_GB2312" w:hAnsi="仿宋_GB2312" w:eastAsia="仿宋_GB2312" w:cs="仿宋_GB2312"/>
          <w:sz w:val="32"/>
          <w:szCs w:val="32"/>
          <w:lang w:val="en-US" w:eastAsia="zh-CN"/>
        </w:rPr>
        <w:t>1107909</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元，其中：公务用车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400149</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其他固定资产</w:t>
      </w:r>
      <w:r>
        <w:rPr>
          <w:rFonts w:hint="eastAsia" w:ascii="仿宋_GB2312" w:hAnsi="仿宋_GB2312" w:eastAsia="仿宋_GB2312" w:cs="仿宋_GB2312"/>
          <w:sz w:val="32"/>
          <w:szCs w:val="32"/>
          <w:lang w:val="en-US" w:eastAsia="zh-CN"/>
        </w:rPr>
        <w:t>707760</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w:t>
      </w:r>
      <w:bookmarkStart w:id="0" w:name="_GoBack"/>
      <w:bookmarkEnd w:id="0"/>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rightChars="0" w:firstLine="642" w:firstLineChars="200"/>
        <w:jc w:val="both"/>
        <w:textAlignment w:val="baseline"/>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val="en-US" w:eastAsia="zh-CN" w:bidi="ar-SA"/>
        </w:rPr>
        <w:t>（四）</w:t>
      </w:r>
      <w:r>
        <w:rPr>
          <w:rFonts w:hint="eastAsia" w:ascii="楷体_GB2312" w:hAnsi="楷体_GB2312" w:eastAsia="楷体_GB2312" w:cs="楷体_GB2312"/>
          <w:b/>
          <w:sz w:val="32"/>
          <w:szCs w:val="32"/>
        </w:rPr>
        <w:t>绩效目标设置情况</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sz w:val="32"/>
          <w:szCs w:val="32"/>
        </w:rPr>
        <w:t>　　</w:t>
      </w:r>
      <w:r>
        <w:rPr>
          <w:rFonts w:hint="default" w:ascii="仿宋_GB2312" w:eastAsia="仿宋_GB2312"/>
          <w:sz w:val="32"/>
          <w:szCs w:val="32"/>
          <w:lang w:eastAsia="zh-CN"/>
        </w:rPr>
        <w:t>2025年</w:t>
      </w:r>
      <w:r>
        <w:rPr>
          <w:rFonts w:hint="default" w:ascii="仿宋_GB2312" w:eastAsia="仿宋_GB2312"/>
          <w:sz w:val="32"/>
          <w:szCs w:val="32"/>
          <w:lang w:eastAsia="zh-CN"/>
        </w:rPr>
        <w:t>项目支出均</w:t>
      </w:r>
      <w:r>
        <w:rPr>
          <w:rFonts w:hint="default" w:ascii="仿宋_GB2312" w:eastAsia="仿宋_GB2312"/>
          <w:sz w:val="32"/>
          <w:szCs w:val="32"/>
          <w:lang w:eastAsia="zh-CN"/>
        </w:rPr>
        <w:t>按要求</w:t>
      </w:r>
      <w:r>
        <w:rPr>
          <w:rFonts w:hint="default" w:ascii="仿宋_GB2312" w:eastAsia="仿宋_GB2312"/>
          <w:sz w:val="32"/>
          <w:szCs w:val="32"/>
          <w:lang w:eastAsia="zh-CN"/>
        </w:rPr>
        <w:t>实行</w:t>
      </w:r>
      <w:r>
        <w:rPr>
          <w:rFonts w:hint="default" w:ascii="仿宋_GB2312" w:eastAsia="仿宋_GB2312"/>
          <w:sz w:val="32"/>
          <w:szCs w:val="32"/>
          <w:lang w:eastAsia="zh-CN"/>
        </w:rPr>
        <w:t>绩效</w:t>
      </w:r>
      <w:r>
        <w:rPr>
          <w:rFonts w:hint="default" w:ascii="仿宋_GB2312" w:eastAsia="仿宋_GB2312"/>
          <w:sz w:val="32"/>
          <w:szCs w:val="32"/>
          <w:lang w:eastAsia="zh-CN"/>
        </w:rPr>
        <w:t>目标管理</w:t>
      </w:r>
      <w:r>
        <w:rPr>
          <w:rFonts w:hint="default" w:ascii="仿宋_GB2312" w:eastAsia="仿宋_GB2312"/>
          <w:sz w:val="32"/>
          <w:szCs w:val="32"/>
          <w:lang w:eastAsia="zh-CN"/>
        </w:rPr>
        <w:t>，</w:t>
      </w:r>
      <w:r>
        <w:rPr>
          <w:rFonts w:hint="default" w:ascii="仿宋_GB2312" w:eastAsia="仿宋_GB2312"/>
          <w:sz w:val="32"/>
          <w:szCs w:val="32"/>
          <w:lang w:eastAsia="zh-CN"/>
        </w:rPr>
        <w:t>涉及项目</w:t>
      </w:r>
      <w:r>
        <w:rPr>
          <w:rFonts w:hint="eastAsia" w:ascii="仿宋_GB2312" w:eastAsia="仿宋_GB2312"/>
          <w:sz w:val="32"/>
          <w:szCs w:val="32"/>
          <w:lang w:val="en-US" w:eastAsia="zh-CN"/>
        </w:rPr>
        <w:t>目0个，</w:t>
      </w:r>
      <w:r>
        <w:rPr>
          <w:rFonts w:hint="default" w:ascii="仿宋_GB2312" w:eastAsia="仿宋_GB2312"/>
          <w:sz w:val="32"/>
          <w:szCs w:val="32"/>
          <w:lang w:eastAsia="zh-CN"/>
        </w:rPr>
        <w:t>一般公共预算当年拨款</w:t>
      </w:r>
      <w:r>
        <w:rPr>
          <w:rFonts w:hint="eastAsia" w:ascii="仿宋_GB2312" w:eastAsia="仿宋_GB2312"/>
          <w:sz w:val="32"/>
          <w:szCs w:val="32"/>
          <w:lang w:val="en-US" w:eastAsia="zh-CN"/>
        </w:rPr>
        <w:t xml:space="preserve"> 0</w:t>
      </w:r>
      <w:r>
        <w:rPr>
          <w:rFonts w:hint="eastAsia" w:cs="仿宋_GB2312"/>
          <w:kern w:val="2"/>
          <w:sz w:val="32"/>
          <w:szCs w:val="32"/>
        </w:rPr>
        <w:t>元</w:t>
      </w:r>
      <w:r>
        <w:rPr>
          <w:rFonts w:hint="eastAsia" w:ascii="仿宋_GB2312" w:eastAsia="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2"/>
          <w:sz w:val="32"/>
          <w:szCs w:val="32"/>
        </w:rPr>
        <w:t>　</w:t>
      </w:r>
      <w:r>
        <w:rPr>
          <w:rFonts w:hint="eastAsia" w:ascii="楷体_GB2312" w:hAnsi="楷体_GB2312" w:eastAsia="楷体_GB2312" w:cs="楷体_GB2312"/>
          <w:kern w:val="2"/>
          <w:sz w:val="32"/>
          <w:szCs w:val="32"/>
        </w:rPr>
        <w:t>　</w:t>
      </w: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指由财政拨款形成的部门收入。按现行管理制度，部门预算中反映的财政拨款仅包括一般公共预算拨款和政府性基金预算拨款。</w:t>
      </w:r>
      <w:r>
        <w:rPr>
          <w:rFonts w:hint="eastAsia" w:ascii="仿宋_GB2312" w:hAnsi="仿宋_GB2312" w:eastAsia="仿宋_GB2312"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指所属事业单位开展专业业务活动及辅助活动所取得的收入。</w:t>
      </w:r>
      <w:r>
        <w:rPr>
          <w:rFonts w:hint="eastAsia" w:ascii="仿宋_GB2312" w:hAnsi="仿宋_GB2312" w:eastAsia="仿宋_GB2312"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指所属事业单位在专业业务活动及其辅助活动之外开展非独立核算经营活动取得的收入。</w:t>
      </w:r>
      <w:r>
        <w:rPr>
          <w:rFonts w:hint="eastAsia" w:ascii="仿宋_GB2312" w:hAnsi="仿宋_GB2312" w:eastAsia="仿宋_GB2312"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2" w:firstLineChars="200"/>
        <w:jc w:val="both"/>
        <w:textAlignment w:val="baseline"/>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eastAsia" w:ascii="仿宋_GB2312" w:eastAsia="仿宋_GB2312"/>
          <w:sz w:val="32"/>
          <w:szCs w:val="32"/>
        </w:rPr>
      </w:pP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default" w:ascii="仿宋_GB2312" w:eastAsia="仿宋_GB2312"/>
          <w:sz w:val="32"/>
          <w:szCs w:val="32"/>
        </w:rPr>
      </w:pPr>
      <w:r>
        <w:rPr>
          <w:rFonts w:hint="default" w:ascii="仿宋_GB2312" w:eastAsia="仿宋_GB2312"/>
          <w:sz w:val="32"/>
          <w:szCs w:val="32"/>
        </w:rPr>
        <w:t>附件：茂县水务局2025年部门预算公开表</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640" w:firstLineChars="200"/>
        <w:jc w:val="both"/>
        <w:textAlignment w:val="baseline"/>
        <w:rPr>
          <w:rFonts w:hint="default" w:ascii="仿宋_GB2312" w:eastAsia="仿宋_GB2312"/>
          <w:sz w:val="32"/>
          <w:szCs w:val="32"/>
        </w:rPr>
      </w:pP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right="0" w:rightChars="0" w:firstLine="4800" w:firstLineChars="1500"/>
        <w:jc w:val="both"/>
        <w:textAlignment w:val="baseline"/>
        <w:rPr>
          <w:rFonts w:hint="default" w:ascii="仿宋_GB2312" w:eastAsia="仿宋_GB2312"/>
          <w:sz w:val="32"/>
          <w:szCs w:val="32"/>
        </w:rPr>
      </w:pPr>
      <w:r>
        <w:rPr>
          <w:rFonts w:hint="default" w:ascii="仿宋_GB2312" w:eastAsia="仿宋_GB2312"/>
          <w:sz w:val="32"/>
          <w:szCs w:val="32"/>
        </w:rPr>
        <w:t>茂县水务局</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Chars="0" w:right="0" w:rightChars="0" w:firstLine="4480" w:firstLineChars="1400"/>
        <w:jc w:val="both"/>
        <w:textAlignment w:val="baseline"/>
        <w:rPr>
          <w:rFonts w:hint="default" w:ascii="仿宋_GB2312" w:eastAsia="仿宋_GB2312"/>
          <w:sz w:val="32"/>
          <w:szCs w:val="32"/>
        </w:rPr>
      </w:pPr>
      <w:r>
        <w:rPr>
          <w:rFonts w:hint="default" w:ascii="仿宋_GB2312" w:eastAsia="仿宋_GB2312"/>
          <w:sz w:val="32"/>
          <w:szCs w:val="32"/>
        </w:rPr>
        <w:t>2025年3月26日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F930"/>
    <w:multiLevelType w:val="singleLevel"/>
    <w:tmpl w:val="8A6CF9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307175"/>
    <w:rsid w:val="02CF7A3A"/>
    <w:rsid w:val="02F547CF"/>
    <w:rsid w:val="04C24358"/>
    <w:rsid w:val="07674A16"/>
    <w:rsid w:val="08C90F3C"/>
    <w:rsid w:val="0993046C"/>
    <w:rsid w:val="0AC77248"/>
    <w:rsid w:val="0D360F53"/>
    <w:rsid w:val="0ED6170B"/>
    <w:rsid w:val="107D61F9"/>
    <w:rsid w:val="13197D31"/>
    <w:rsid w:val="15620F59"/>
    <w:rsid w:val="164003A4"/>
    <w:rsid w:val="16C5583A"/>
    <w:rsid w:val="177904B8"/>
    <w:rsid w:val="1B0406D7"/>
    <w:rsid w:val="1B9D4375"/>
    <w:rsid w:val="1E3B0933"/>
    <w:rsid w:val="1F3802BD"/>
    <w:rsid w:val="1FE81CE3"/>
    <w:rsid w:val="20361CB8"/>
    <w:rsid w:val="20C41BBB"/>
    <w:rsid w:val="21B71486"/>
    <w:rsid w:val="2499362A"/>
    <w:rsid w:val="2725381D"/>
    <w:rsid w:val="286E4EC6"/>
    <w:rsid w:val="28855FD1"/>
    <w:rsid w:val="29566940"/>
    <w:rsid w:val="29B7778E"/>
    <w:rsid w:val="2AD90104"/>
    <w:rsid w:val="32BF7DF5"/>
    <w:rsid w:val="37885A5B"/>
    <w:rsid w:val="3B9C7F12"/>
    <w:rsid w:val="3BDE3CD5"/>
    <w:rsid w:val="3F052C6F"/>
    <w:rsid w:val="43361880"/>
    <w:rsid w:val="43496BE1"/>
    <w:rsid w:val="43DC76A4"/>
    <w:rsid w:val="48EB0A3F"/>
    <w:rsid w:val="4B4D5C2F"/>
    <w:rsid w:val="50735A5B"/>
    <w:rsid w:val="51783ECE"/>
    <w:rsid w:val="51F16034"/>
    <w:rsid w:val="556303A5"/>
    <w:rsid w:val="560F497F"/>
    <w:rsid w:val="572D2D10"/>
    <w:rsid w:val="57BE172A"/>
    <w:rsid w:val="580F0E92"/>
    <w:rsid w:val="59B937CD"/>
    <w:rsid w:val="5BA67D81"/>
    <w:rsid w:val="5C3D3122"/>
    <w:rsid w:val="5CFF0C01"/>
    <w:rsid w:val="5E892804"/>
    <w:rsid w:val="5EFF6BFE"/>
    <w:rsid w:val="608B21F7"/>
    <w:rsid w:val="61693C9D"/>
    <w:rsid w:val="62BD432E"/>
    <w:rsid w:val="63650DBE"/>
    <w:rsid w:val="64CC0F4B"/>
    <w:rsid w:val="67297ED0"/>
    <w:rsid w:val="67E96994"/>
    <w:rsid w:val="699D2E51"/>
    <w:rsid w:val="6A6D1BB9"/>
    <w:rsid w:val="6B6C0DA2"/>
    <w:rsid w:val="6C44478E"/>
    <w:rsid w:val="6DCA0612"/>
    <w:rsid w:val="6E970F73"/>
    <w:rsid w:val="6F094B4B"/>
    <w:rsid w:val="6F0A64FA"/>
    <w:rsid w:val="716772A9"/>
    <w:rsid w:val="722A2F40"/>
    <w:rsid w:val="72D71001"/>
    <w:rsid w:val="741D5E44"/>
    <w:rsid w:val="7436465A"/>
    <w:rsid w:val="745E72A9"/>
    <w:rsid w:val="75420C99"/>
    <w:rsid w:val="77E10A4D"/>
    <w:rsid w:val="79E22FA5"/>
    <w:rsid w:val="7AE4629A"/>
    <w:rsid w:val="7AFB4220"/>
    <w:rsid w:val="7EE32C29"/>
    <w:rsid w:val="7F9D7289"/>
    <w:rsid w:val="EBF784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pPr>
    <w:rPr>
      <w:rFonts w:ascii="方正仿宋_GBK" w:eastAsia="方正仿宋_GBK"/>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文档正文"/>
    <w:basedOn w:val="1"/>
    <w:next w:val="2"/>
    <w:qFormat/>
    <w:uiPriority w:val="0"/>
    <w:pPr>
      <w:spacing w:line="480" w:lineRule="atLeast"/>
      <w:textAlignment w:val="baseline"/>
    </w:p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3760</Words>
  <Characters>4226</Characters>
  <Lines>23</Lines>
  <Paragraphs>6</Paragraphs>
  <TotalTime>5</TotalTime>
  <ScaleCrop>false</ScaleCrop>
  <LinksUpToDate>false</LinksUpToDate>
  <CharactersWithSpaces>4249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2025-03-17T15:42:13Z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eyJoZGlkIjoiZGFlM2I1MDNhMDkyMTFhNmY0Y2QyOGQ1NjFmMTE0M2EiLCJ1c2VySWQiOiIxNTMwMTQ0MjQ5In0=</vt:lpwstr>
  </property>
  <property fmtid="{D5CDD505-2E9C-101B-9397-08002B2CF9AE}" pid="4" name="ICV">
    <vt:lpwstr>B1F29C1BC7284F9089538F7426F141A5_12</vt:lpwstr>
  </property>
</Properties>
</file>