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4890B">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Toc15396475"/>
      <w:bookmarkStart w:id="1" w:name="_Toc15377425"/>
      <w:bookmarkStart w:id="2" w:name="_Toc15378441"/>
      <w:bookmarkStart w:id="3" w:name="_Toc15396597"/>
      <w:bookmarkStart w:id="4" w:name="_Toc15377193"/>
      <w:bookmarkStart w:id="5" w:name="_Toc15306267"/>
    </w:p>
    <w:p w14:paraId="480AF87B">
      <w:pPr>
        <w:pStyle w:val="15"/>
        <w:rPr>
          <w:rFonts w:hint="eastAsia"/>
        </w:rPr>
      </w:pPr>
    </w:p>
    <w:p w14:paraId="5597C79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609AE7C3">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2024</w:t>
      </w:r>
      <w:r>
        <w:rPr>
          <w:rFonts w:hint="eastAsia"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14:paraId="3606B3F5">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bookmarkStart w:id="6" w:name="_Toc15378442"/>
      <w:bookmarkStart w:id="7" w:name="_Toc15377194"/>
      <w:bookmarkStart w:id="8" w:name="_Toc15377426"/>
      <w:bookmarkStart w:id="9" w:name="_Toc15396476"/>
      <w:bookmarkStart w:id="10" w:name="_Toc15396598"/>
      <w:bookmarkStart w:id="11" w:name="_Toc1530626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茂县水务局</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汇总</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w:t>
      </w:r>
    </w:p>
    <w:p w14:paraId="6DBC95D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sz w:val="44"/>
          <w:u w:color="auto"/>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sz w:val="44"/>
          <w:u w:color="auto"/>
          <w:lang w:val="en-US" w:eastAsia="zh-CN"/>
        </w:rPr>
        <w:t>公开编制说明</w:t>
      </w:r>
    </w:p>
    <w:p w14:paraId="0E2C97A9">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14:paraId="49203D4D">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部门</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2AD3064">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部门</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w:t>
      </w:r>
      <w:bookmarkStart w:id="95" w:name="_GoBack"/>
      <w:bookmarkEnd w:id="95"/>
      <w:r>
        <w:rPr>
          <w:rFonts w:hint="eastAsia" w:ascii="仿宋" w:hAnsi="仿宋" w:eastAsia="仿宋" w:cs="仿宋"/>
          <w:bCs w:val="0"/>
          <w:color w:val="000000" w:themeColor="text1"/>
          <w:sz w:val="32"/>
          <w:szCs w:val="32"/>
          <w14:textFill>
            <w14:solidFill>
              <w14:schemeClr w14:val="tx1"/>
            </w14:solidFill>
          </w14:textFill>
        </w:rPr>
        <w:t>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C39B0B7">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185CA32">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49EB3F66">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41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E3B3E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2FF81B7">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5A68A9FF">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14:paraId="521E39E1">
      <w:pPr>
        <w:pStyle w:val="2"/>
        <w:pageBreakBefore w:val="0"/>
        <w:kinsoku/>
        <w:wordWrap/>
        <w:overflowPunct/>
        <w:topLinePunct w:val="0"/>
        <w:autoSpaceDE/>
        <w:autoSpaceDN/>
        <w:bidi w:val="0"/>
        <w:spacing w:before="0" w:after="0" w:line="560" w:lineRule="exact"/>
        <w:jc w:val="center"/>
        <w:textAlignment w:val="auto"/>
        <w:rPr>
          <w:rFonts w:hint="eastAsia" w:ascii="黑体" w:hAnsi="黑体" w:eastAsia="黑体" w:cs="黑体"/>
          <w:b w:val="0"/>
          <w:bCs w:val="0"/>
        </w:rPr>
      </w:pPr>
      <w:r>
        <w:rPr>
          <w:rFonts w:hint="eastAsia" w:ascii="黑体" w:hAnsi="黑体" w:eastAsia="黑体" w:cs="黑体"/>
          <w:b w:val="0"/>
          <w:bCs w:val="0"/>
        </w:rPr>
        <w:t xml:space="preserve">第一部分 </w:t>
      </w:r>
      <w:r>
        <w:rPr>
          <w:rStyle w:val="34"/>
          <w:rFonts w:hint="eastAsia" w:ascii="黑体" w:hAnsi="黑体" w:eastAsia="黑体" w:cs="黑体"/>
          <w:b w:val="0"/>
          <w:bCs w:val="0"/>
        </w:rPr>
        <w:t>部门</w:t>
      </w:r>
      <w:r>
        <w:rPr>
          <w:rStyle w:val="34"/>
          <w:rFonts w:ascii="黑体" w:hAnsi="黑体" w:eastAsia="黑体" w:cs="黑体"/>
          <w:b w:val="0"/>
          <w:bCs w:val="0"/>
          <w:u w:color="auto"/>
        </w:rPr>
        <w:t>概况</w:t>
      </w:r>
      <w:bookmarkEnd w:id="12"/>
      <w:bookmarkEnd w:id="13"/>
      <w:bookmarkEnd w:id="14"/>
    </w:p>
    <w:p w14:paraId="24C03C62">
      <w:pPr>
        <w:pStyle w:val="3"/>
        <w:pageBreakBefore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color w:val="000000"/>
          <w:lang w:val="en-US" w:eastAsia="zh-CN"/>
        </w:rPr>
      </w:pPr>
      <w:bookmarkStart w:id="15" w:name="_Toc111208496"/>
      <w:bookmarkStart w:id="16" w:name="_Toc113981010"/>
      <w:bookmarkStart w:id="17" w:name="_Toc15377197"/>
      <w:bookmarkStart w:id="18" w:name="_Toc28564"/>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8445"/>
      <w:bookmarkStart w:id="21" w:name="_Toc15377198"/>
      <w:r>
        <w:rPr>
          <w:rFonts w:hint="eastAsia" w:ascii="黑体" w:hAnsi="黑体" w:eastAsia="黑体" w:cs="黑体"/>
          <w:b w:val="0"/>
          <w:bCs/>
          <w:color w:val="000000"/>
          <w:lang w:val="en-US" w:eastAsia="zh-CN"/>
        </w:rPr>
        <w:t>部门职责</w:t>
      </w:r>
    </w:p>
    <w:bookmarkEnd w:id="20"/>
    <w:bookmarkEnd w:id="21"/>
    <w:p w14:paraId="3AFAE7F9">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bookmarkStart w:id="22" w:name="_Toc111208497"/>
      <w:bookmarkStart w:id="23" w:name="_Toc22056"/>
      <w:bookmarkStart w:id="24" w:name="_Toc15377200"/>
      <w:bookmarkStart w:id="25" w:name="_Toc113981011"/>
      <w:r>
        <w:rPr>
          <w:rFonts w:hint="eastAsia" w:ascii="仿宋_GB2312" w:eastAsia="仿宋_GB2312"/>
          <w:sz w:val="32"/>
          <w:szCs w:val="32"/>
        </w:rPr>
        <w:t>1.</w:t>
      </w:r>
      <w:r>
        <w:rPr>
          <w:rFonts w:hint="eastAsia" w:ascii="仿宋_GB2312" w:eastAsia="仿宋_GB2312" w:cs="宋体"/>
          <w:color w:val="000000"/>
          <w:kern w:val="0"/>
          <w:sz w:val="32"/>
          <w:szCs w:val="32"/>
          <w:shd w:val="clear" w:color="auto" w:fill="FFFFFF"/>
          <w:lang w:val="zh-CN"/>
        </w:rPr>
        <w:t>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14:paraId="6D21AED3">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2.</w:t>
      </w:r>
      <w:r>
        <w:rPr>
          <w:rFonts w:hint="eastAsia" w:ascii="仿宋_GB2312" w:eastAsia="仿宋_GB2312" w:cs="宋体"/>
          <w:color w:val="000000"/>
          <w:kern w:val="0"/>
          <w:sz w:val="32"/>
          <w:szCs w:val="32"/>
          <w:shd w:val="clear" w:color="auto" w:fill="FFFFFF"/>
          <w:lang w:val="zh-CN"/>
        </w:rPr>
        <w:t>统一管理全县水资源，负责生活、生产经营和生态环境用水的统筹兼顾和保障。拟订全县和跨县水中长期供求规划、水量分配方案、计划用水、节约用水规划，推动节水型社会建设工作。组织实施取水许可、水资源论证、防洪论证和水土保持论证制度。按规划发布全县水资源公报。</w:t>
      </w:r>
    </w:p>
    <w:p w14:paraId="37C97CD0">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3.</w:t>
      </w:r>
      <w:r>
        <w:rPr>
          <w:rFonts w:hint="eastAsia" w:ascii="仿宋_GB2312" w:eastAsia="仿宋_GB2312" w:cs="宋体"/>
          <w:color w:val="000000"/>
          <w:kern w:val="0"/>
          <w:sz w:val="32"/>
          <w:szCs w:val="32"/>
          <w:shd w:val="clear" w:color="auto" w:fill="FFFFFF"/>
          <w:lang w:val="zh-CN"/>
        </w:rPr>
        <w:t>组织编制洪水干旱灾害防治规划，承担水情、旱情监测预警，组织编制防洪抗旱应急水量调度方案，编制防御洪水抗旱调度方案。</w:t>
      </w:r>
    </w:p>
    <w:p w14:paraId="05C1DFC8">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4.</w:t>
      </w:r>
      <w:r>
        <w:rPr>
          <w:rFonts w:hint="eastAsia" w:ascii="仿宋_GB2312" w:eastAsia="仿宋_GB2312" w:cs="宋体"/>
          <w:color w:val="000000"/>
          <w:kern w:val="0"/>
          <w:sz w:val="32"/>
          <w:szCs w:val="32"/>
          <w:shd w:val="clear" w:color="auto" w:fill="FFFFFF"/>
          <w:lang w:val="zh-CN"/>
        </w:rPr>
        <w:t>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14:paraId="558B41BB">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5.</w:t>
      </w:r>
      <w:r>
        <w:rPr>
          <w:rFonts w:hint="eastAsia" w:ascii="仿宋_GB2312" w:eastAsia="仿宋_GB2312" w:cs="宋体"/>
          <w:color w:val="000000"/>
          <w:kern w:val="0"/>
          <w:sz w:val="32"/>
          <w:szCs w:val="32"/>
          <w:shd w:val="clear" w:color="auto" w:fill="FFFFFF"/>
          <w:lang w:val="zh-CN"/>
        </w:rPr>
        <w:t>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14:paraId="3AE99F66">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6.</w:t>
      </w:r>
      <w:r>
        <w:rPr>
          <w:rFonts w:hint="eastAsia" w:ascii="仿宋_GB2312" w:eastAsia="仿宋_GB2312" w:cs="宋体"/>
          <w:color w:val="000000"/>
          <w:kern w:val="0"/>
          <w:sz w:val="32"/>
          <w:szCs w:val="32"/>
          <w:shd w:val="clear" w:color="auto" w:fill="FFFFFF"/>
          <w:lang w:val="zh-CN"/>
        </w:rPr>
        <w:t>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14:paraId="194E3710">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7.</w:t>
      </w:r>
      <w:r>
        <w:rPr>
          <w:rFonts w:hint="eastAsia" w:ascii="仿宋_GB2312" w:eastAsia="仿宋_GB2312" w:cs="宋体"/>
          <w:color w:val="000000"/>
          <w:kern w:val="0"/>
          <w:sz w:val="32"/>
          <w:szCs w:val="32"/>
          <w:shd w:val="clear" w:color="auto" w:fill="FFFFFF"/>
          <w:lang w:val="zh-CN"/>
        </w:rPr>
        <w:t>拟订水利行业经济调节措施；负责编制全县水利建设项目资金计划，对水利资金进行管理、监督和内部审计。研究提出有关水利方面价格、税收、信贷、财务等经济调节建议。单位国有资产保值增值的监督和管理。</w:t>
      </w:r>
    </w:p>
    <w:p w14:paraId="61C7F620">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8.</w:t>
      </w:r>
      <w:r>
        <w:rPr>
          <w:rFonts w:hint="eastAsia" w:ascii="仿宋_GB2312" w:eastAsia="仿宋_GB2312" w:cs="宋体"/>
          <w:color w:val="000000"/>
          <w:kern w:val="0"/>
          <w:sz w:val="32"/>
          <w:szCs w:val="32"/>
          <w:shd w:val="clear" w:color="auto" w:fill="FFFFFF"/>
          <w:lang w:val="zh-CN"/>
        </w:rPr>
        <w:t>负责全县水利方面的科技与外事工作，组织本县重大水利行业科学研究的技术推广。监督实施水利行业技术质量标准和规程、规范，承办水利行业对外经济、技术合作与交流等涉外事务。</w:t>
      </w:r>
    </w:p>
    <w:p w14:paraId="4FE57346">
      <w:pPr>
        <w:pStyle w:val="7"/>
        <w:pageBreakBefore w:val="0"/>
        <w:kinsoku/>
        <w:wordWrap/>
        <w:overflowPunct/>
        <w:topLinePunct w:val="0"/>
        <w:autoSpaceDE/>
        <w:autoSpaceDN/>
        <w:bidi w:val="0"/>
        <w:adjustRightInd w:val="0"/>
        <w:snapToGrid w:val="0"/>
        <w:spacing w:beforeLines="0" w:line="560" w:lineRule="exact"/>
        <w:ind w:left="0" w:leftChars="0" w:right="0" w:firstLine="640" w:firstLineChars="200"/>
        <w:jc w:val="both"/>
        <w:textAlignment w:val="auto"/>
        <w:outlineLvl w:val="2"/>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9.完成县委、县政府交办的其他任务。</w:t>
      </w:r>
    </w:p>
    <w:p w14:paraId="2CF1E803">
      <w:pPr>
        <w:pStyle w:val="3"/>
        <w:pageBreakBefore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14:paraId="018C7CEC">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茂县水务局下属二级</w:t>
      </w:r>
      <w:r>
        <w:rPr>
          <w:rFonts w:hint="eastAsia" w:ascii="仿宋_GB2312" w:eastAsia="仿宋_GB2312" w:cs="宋体"/>
          <w:color w:val="000000"/>
          <w:kern w:val="0"/>
          <w:sz w:val="32"/>
          <w:szCs w:val="32"/>
          <w:shd w:val="clear" w:color="auto" w:fill="FFFFFF"/>
          <w:lang w:val="zh-CN" w:eastAsia="zh-CN"/>
        </w:rPr>
        <w:t>预算</w:t>
      </w:r>
      <w:r>
        <w:rPr>
          <w:rFonts w:hint="eastAsia" w:ascii="仿宋_GB2312" w:eastAsia="仿宋_GB2312" w:cs="宋体"/>
          <w:color w:val="000000"/>
          <w:kern w:val="0"/>
          <w:sz w:val="32"/>
          <w:szCs w:val="32"/>
          <w:shd w:val="clear" w:color="auto" w:fill="FFFFFF"/>
          <w:lang w:val="zh-CN"/>
        </w:rPr>
        <w:t>单位</w:t>
      </w: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个，其中行政单位</w:t>
      </w: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个，参照公务员法管理的事业单位</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个，其他事业单位</w:t>
      </w: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个。</w:t>
      </w:r>
    </w:p>
    <w:p w14:paraId="5A04B536">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纳入茂县水务局</w:t>
      </w:r>
      <w:r>
        <w:rPr>
          <w:rFonts w:hint="eastAsia" w:ascii="仿宋_GB2312" w:eastAsia="仿宋_GB2312" w:cs="宋体"/>
          <w:color w:val="000000"/>
          <w:kern w:val="0"/>
          <w:sz w:val="32"/>
          <w:szCs w:val="32"/>
          <w:shd w:val="clear" w:color="auto" w:fill="FFFFFF"/>
          <w:lang w:val="zh-CN" w:eastAsia="zh-CN"/>
        </w:rPr>
        <w:t>2024年度</w:t>
      </w:r>
      <w:r>
        <w:rPr>
          <w:rFonts w:hint="eastAsia" w:ascii="仿宋_GB2312" w:eastAsia="仿宋_GB2312" w:cs="宋体"/>
          <w:color w:val="000000"/>
          <w:kern w:val="0"/>
          <w:sz w:val="32"/>
          <w:szCs w:val="32"/>
          <w:shd w:val="clear" w:color="auto" w:fill="FFFFFF"/>
          <w:lang w:val="zh-CN"/>
        </w:rPr>
        <w:t>部门决算编制范围的二级预算单位包括：</w:t>
      </w:r>
      <w:r>
        <w:rPr>
          <w:rFonts w:hint="eastAsia" w:ascii="仿宋_GB2312" w:eastAsia="仿宋_GB2312" w:cs="宋体"/>
          <w:color w:val="000000"/>
          <w:kern w:val="0"/>
          <w:sz w:val="32"/>
          <w:szCs w:val="32"/>
          <w:shd w:val="clear" w:color="auto" w:fill="FFFFFF"/>
          <w:lang w:val="en-US" w:eastAsia="zh-CN"/>
        </w:rPr>
        <w:t>茂县水务服务中心。</w:t>
      </w:r>
      <w:r>
        <w:rPr>
          <w:rFonts w:hint="eastAsia" w:ascii="仿宋_GB2312" w:eastAsia="仿宋_GB2312" w:cs="宋体"/>
          <w:color w:val="000000"/>
          <w:kern w:val="0"/>
          <w:sz w:val="32"/>
          <w:szCs w:val="32"/>
          <w:shd w:val="clear" w:color="auto" w:fill="FFFFFF"/>
          <w:lang w:val="zh-CN"/>
        </w:rPr>
        <w:br w:type="page"/>
      </w:r>
    </w:p>
    <w:p w14:paraId="4DE8AC96">
      <w:pPr>
        <w:pStyle w:val="2"/>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 xml:space="preserve">第二部分 </w:t>
      </w:r>
      <w:r>
        <w:rPr>
          <w:rFonts w:ascii="黑体" w:hAnsi="黑体" w:eastAsia="黑体" w:cs="黑体"/>
          <w:u w:color="auto"/>
        </w:rPr>
        <w:t>2024年度</w:t>
      </w:r>
      <w:r>
        <w:rPr>
          <w:rFonts w:hint="eastAsia" w:ascii="黑体" w:hAnsi="黑体" w:eastAsia="黑体" w:cs="黑体"/>
          <w:b w:val="0"/>
          <w:bCs w:val="0"/>
          <w:lang w:val="en-US" w:eastAsia="zh-CN"/>
        </w:rPr>
        <w:t>部门</w:t>
      </w:r>
      <w:r>
        <w:rPr>
          <w:rFonts w:hint="eastAsia" w:ascii="黑体" w:hAnsi="黑体" w:eastAsia="黑体" w:cs="黑体"/>
          <w:b w:val="0"/>
          <w:bCs w:val="0"/>
        </w:rPr>
        <w:t>决算情况说明</w:t>
      </w:r>
      <w:bookmarkEnd w:id="19"/>
      <w:bookmarkEnd w:id="26"/>
      <w:bookmarkEnd w:id="27"/>
    </w:p>
    <w:p w14:paraId="778F85CC">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28" w:name="_Toc15377205"/>
      <w:bookmarkStart w:id="29" w:name="_Toc111208499"/>
      <w:bookmarkStart w:id="30" w:name="_Toc19710"/>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_GB2312" w:eastAsia="仿宋_GB2312" w:cs="宋体"/>
          <w:color w:val="000000"/>
          <w:kern w:val="0"/>
          <w:sz w:val="32"/>
          <w:szCs w:val="32"/>
          <w:shd w:val="clear" w:color="auto" w:fill="FFFFFF"/>
          <w:lang w:val="zh-CN"/>
        </w:rPr>
        <w:t>2024年度收入、支出总计均为3,021.65万元。与2023</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相比，收入、支出总计各减少826.68万元，下降21.5%</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en-US" w:eastAsia="zh-CN"/>
        </w:rPr>
        <w:t>下降的</w:t>
      </w:r>
      <w:r>
        <w:rPr>
          <w:rFonts w:hint="eastAsia" w:ascii="仿宋_GB2312" w:eastAsia="仿宋_GB2312" w:cs="宋体"/>
          <w:color w:val="000000"/>
          <w:kern w:val="0"/>
          <w:sz w:val="32"/>
          <w:szCs w:val="32"/>
          <w:shd w:val="clear" w:color="auto" w:fill="FFFFFF"/>
          <w:lang w:val="zh-CN"/>
        </w:rPr>
        <w:t>主要原因是</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en-US" w:eastAsia="zh-CN"/>
        </w:rPr>
        <w:t>项目建设资金减少</w:t>
      </w:r>
      <w:r>
        <w:rPr>
          <w:rFonts w:hint="eastAsia" w:ascii="仿宋_GB2312" w:eastAsia="仿宋_GB2312" w:cs="宋体"/>
          <w:color w:val="000000"/>
          <w:kern w:val="0"/>
          <w:sz w:val="32"/>
          <w:szCs w:val="32"/>
          <w:shd w:val="clear" w:color="auto" w:fill="FFFFFF"/>
          <w:lang w:val="zh-CN"/>
        </w:rPr>
        <w:t>。</w:t>
      </w:r>
      <w:r>
        <w:rPr>
          <w:rFonts w:ascii="仿宋" w:hAnsi="仿宋" w:eastAsia="仿宋" w:cs="仿宋"/>
          <w:color w:val="000000"/>
          <w:sz w:val="32"/>
          <w:u w:color="auto"/>
        </w:rPr>
        <w:t xml:space="preserve"> </w:t>
      </w:r>
    </w:p>
    <w:p w14:paraId="78590810">
      <w:pPr>
        <w:pStyle w:val="5"/>
        <w:jc w:val="center"/>
        <w:rPr>
          <w:rFonts w:hint="eastAsia" w:ascii="仿宋" w:hAnsi="仿宋" w:eastAsia="仿宋" w:cs="仿宋"/>
        </w:rPr>
      </w:pPr>
      <w:r>
        <w:rPr>
          <w:rFonts w:hint="eastAsia" w:ascii="思源黑体 CN Normal" w:hAnsi="思源黑体 CN Normal" w:eastAsia="思源黑体 CN Normal" w:cs="思源黑体 CN Normal"/>
        </w:rPr>
        <w:drawing>
          <wp:inline distT="0" distB="0" distL="114300" distR="114300">
            <wp:extent cx="3463925" cy="1757680"/>
            <wp:effectExtent l="4445" t="4445" r="17780" b="952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3D363">
      <w:pPr>
        <w:pStyle w:val="3"/>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Cs w:val="0"/>
          <w:color w:val="000000"/>
        </w:rPr>
      </w:pPr>
      <w:bookmarkStart w:id="31" w:name="_Toc111208500"/>
      <w:bookmarkStart w:id="32" w:name="_Toc8125"/>
      <w:bookmarkStart w:id="33" w:name="_Toc15377206"/>
      <w:r>
        <w:rPr>
          <w:rFonts w:hint="eastAsia" w:ascii="黑体" w:hAnsi="黑体" w:eastAsia="黑体" w:cs="黑体"/>
          <w:b w:val="0"/>
          <w:bCs/>
          <w:color w:val="000000"/>
        </w:rPr>
        <w:t>二、收入决算情况说明</w:t>
      </w:r>
      <w:bookmarkEnd w:id="31"/>
      <w:bookmarkEnd w:id="32"/>
      <w:bookmarkEnd w:id="33"/>
    </w:p>
    <w:p w14:paraId="7DAB40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本年收入合计3,021.65万元</w:t>
      </w:r>
      <w:r>
        <w:rPr>
          <w:rFonts w:hint="eastAsia" w:ascii="仿宋_GB2312" w:eastAsia="仿宋_GB2312" w:cs="宋体"/>
          <w:color w:val="000000"/>
          <w:kern w:val="0"/>
          <w:sz w:val="32"/>
          <w:szCs w:val="32"/>
          <w:shd w:val="clear" w:color="auto" w:fill="FFFFFF"/>
          <w:lang w:val="en-US" w:eastAsia="zh-CN"/>
        </w:rPr>
        <w:t>，其中:一般公共预算财政拨款收入2,657.16万元，占87.9%；政府性基金预算财政拨款收入364.48万元，占12.1%</w:t>
      </w:r>
      <w:r>
        <w:rPr>
          <w:rFonts w:hint="eastAsia" w:ascii="仿宋_GB2312" w:eastAsia="仿宋_GB2312" w:cs="宋体"/>
          <w:color w:val="000000"/>
          <w:kern w:val="0"/>
          <w:sz w:val="32"/>
          <w:szCs w:val="32"/>
          <w:shd w:val="clear" w:color="auto" w:fill="FFFFFF"/>
          <w:lang w:val="zh-CN"/>
        </w:rPr>
        <w:t>。</w:t>
      </w:r>
    </w:p>
    <w:p w14:paraId="79D541CD">
      <w:pPr>
        <w:pStyle w:val="16"/>
        <w:ind w:left="1060" w:hanging="640"/>
        <w:jc w:val="center"/>
        <w:rPr>
          <w:rFonts w:hint="eastAsia" w:ascii="仿宋" w:hAnsi="仿宋" w:eastAsia="仿宋" w:cs="仿宋"/>
        </w:rPr>
      </w:pPr>
      <w:r>
        <w:rPr>
          <w:rFonts w:hint="eastAsia" w:ascii="思源黑体 CN Normal" w:hAnsi="思源黑体 CN Normal" w:eastAsia="思源黑体 CN Normal" w:cs="思源黑体 CN Normal"/>
          <w:color w:val="FF0000"/>
          <w:sz w:val="32"/>
          <w:szCs w:val="32"/>
        </w:rPr>
        <w:drawing>
          <wp:inline distT="0" distB="0" distL="114300" distR="114300">
            <wp:extent cx="3314700" cy="1772285"/>
            <wp:effectExtent l="4445" t="4445" r="1460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96F3EB">
      <w:pPr>
        <w:pStyle w:val="3"/>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34" w:name="_Toc28283"/>
      <w:bookmarkStart w:id="35" w:name="_Toc15377207"/>
      <w:bookmarkStart w:id="36" w:name="_Toc111208501"/>
      <w:r>
        <w:rPr>
          <w:rFonts w:hint="eastAsia" w:ascii="黑体" w:hAnsi="黑体" w:eastAsia="黑体" w:cs="黑体"/>
          <w:b w:val="0"/>
          <w:bCs/>
          <w:color w:val="000000"/>
        </w:rPr>
        <w:t>三、支出决算情况说明</w:t>
      </w:r>
      <w:bookmarkEnd w:id="34"/>
      <w:bookmarkEnd w:id="35"/>
      <w:bookmarkEnd w:id="36"/>
    </w:p>
    <w:p w14:paraId="175383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eastAsia="zh-CN"/>
        </w:rPr>
        <w:t>本年支出合计3,021.65万元</w:t>
      </w:r>
      <w:r>
        <w:rPr>
          <w:rFonts w:hint="eastAsia" w:ascii="仿宋_GB2312" w:eastAsia="仿宋_GB2312" w:cs="宋体"/>
          <w:color w:val="000000"/>
          <w:kern w:val="0"/>
          <w:sz w:val="32"/>
          <w:szCs w:val="32"/>
          <w:shd w:val="clear" w:color="auto" w:fill="FFFFFF"/>
          <w:lang w:val="en-US" w:eastAsia="zh-CN"/>
        </w:rPr>
        <w:t>，其中:基本支出552.78万元，占18.3%；项目支出2,468.87万元，占81.7%</w:t>
      </w:r>
      <w:r>
        <w:rPr>
          <w:rFonts w:hint="eastAsia" w:ascii="仿宋_GB2312" w:eastAsia="仿宋_GB2312" w:cs="宋体"/>
          <w:color w:val="000000"/>
          <w:kern w:val="0"/>
          <w:sz w:val="32"/>
          <w:szCs w:val="32"/>
          <w:shd w:val="clear" w:color="auto" w:fill="FFFFFF"/>
          <w:lang w:val="zh-CN" w:eastAsia="zh-CN"/>
        </w:rPr>
        <w:t>。</w:t>
      </w:r>
    </w:p>
    <w:p w14:paraId="77E40098">
      <w:pPr>
        <w:jc w:val="center"/>
        <w:rPr>
          <w:rFonts w:hint="eastAsia" w:ascii="仿宋" w:hAnsi="仿宋" w:eastAsia="仿宋" w:cs="仿宋"/>
          <w:color w:val="00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115310" cy="1761490"/>
            <wp:effectExtent l="4445" t="4445" r="2349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9694F">
      <w:pPr>
        <w:pStyle w:val="3"/>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37" w:name="_Toc15377208"/>
      <w:bookmarkStart w:id="38" w:name="_Toc111208502"/>
      <w:bookmarkStart w:id="39" w:name="_Toc19521"/>
      <w:r>
        <w:rPr>
          <w:rFonts w:hint="eastAsia" w:ascii="黑体" w:hAnsi="黑体" w:eastAsia="黑体" w:cs="黑体"/>
          <w:b w:val="0"/>
          <w:bCs/>
          <w:color w:val="000000"/>
        </w:rPr>
        <w:t>四、财政拨款收入支出决算总体情况说明</w:t>
      </w:r>
      <w:bookmarkEnd w:id="37"/>
      <w:bookmarkEnd w:id="38"/>
      <w:bookmarkEnd w:id="39"/>
    </w:p>
    <w:p w14:paraId="66D817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_GB2312" w:eastAsia="仿宋_GB2312" w:cs="宋体"/>
          <w:color w:val="000000"/>
          <w:kern w:val="0"/>
          <w:sz w:val="32"/>
          <w:szCs w:val="32"/>
          <w:shd w:val="clear" w:color="auto" w:fill="FFFFFF"/>
          <w:lang w:val="zh-CN" w:eastAsia="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eastAsia="zh-CN"/>
        </w:rPr>
        <w:t>财政拨款收</w:t>
      </w:r>
      <w:r>
        <w:rPr>
          <w:rFonts w:hint="eastAsia" w:ascii="仿宋_GB2312" w:eastAsia="仿宋_GB2312" w:cs="宋体"/>
          <w:color w:val="000000"/>
          <w:kern w:val="0"/>
          <w:sz w:val="32"/>
          <w:szCs w:val="32"/>
          <w:shd w:val="clear" w:color="auto" w:fill="FFFFFF"/>
          <w:lang w:val="en-US" w:eastAsia="zh-CN"/>
        </w:rPr>
        <w:t>入</w:t>
      </w:r>
      <w:r>
        <w:rPr>
          <w:rFonts w:hint="eastAsia" w:ascii="仿宋_GB2312" w:eastAsia="仿宋_GB2312" w:cs="宋体"/>
          <w:color w:val="000000"/>
          <w:kern w:val="0"/>
          <w:sz w:val="32"/>
          <w:szCs w:val="32"/>
          <w:shd w:val="clear" w:color="auto" w:fill="FFFFFF"/>
          <w:lang w:val="zh-CN" w:eastAsia="zh-CN"/>
        </w:rPr>
        <w:t>、支</w:t>
      </w:r>
      <w:r>
        <w:rPr>
          <w:rFonts w:hint="eastAsia" w:ascii="仿宋_GB2312" w:eastAsia="仿宋_GB2312" w:cs="宋体"/>
          <w:color w:val="000000"/>
          <w:kern w:val="0"/>
          <w:sz w:val="32"/>
          <w:szCs w:val="32"/>
          <w:shd w:val="clear" w:color="auto" w:fill="FFFFFF"/>
          <w:lang w:val="en-US" w:eastAsia="zh-CN"/>
        </w:rPr>
        <w:t>出</w:t>
      </w:r>
      <w:r>
        <w:rPr>
          <w:rFonts w:hint="eastAsia" w:ascii="仿宋_GB2312" w:eastAsia="仿宋_GB2312" w:cs="宋体"/>
          <w:color w:val="000000"/>
          <w:kern w:val="0"/>
          <w:sz w:val="32"/>
          <w:szCs w:val="32"/>
          <w:shd w:val="clear" w:color="auto" w:fill="FFFFFF"/>
          <w:lang w:val="zh-CN" w:eastAsia="zh-CN"/>
        </w:rPr>
        <w:t>总计均为3,021.65万元。与2023</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eastAsia="zh-CN"/>
        </w:rPr>
        <w:t>相比，财政拨款收</w:t>
      </w:r>
      <w:r>
        <w:rPr>
          <w:rFonts w:hint="eastAsia" w:ascii="仿宋_GB2312" w:eastAsia="仿宋_GB2312" w:cs="宋体"/>
          <w:color w:val="000000"/>
          <w:kern w:val="0"/>
          <w:sz w:val="32"/>
          <w:szCs w:val="32"/>
          <w:shd w:val="clear" w:color="auto" w:fill="FFFFFF"/>
          <w:lang w:val="en-US" w:eastAsia="zh-CN"/>
        </w:rPr>
        <w:t>入</w:t>
      </w:r>
      <w:r>
        <w:rPr>
          <w:rFonts w:hint="eastAsia" w:ascii="仿宋_GB2312" w:eastAsia="仿宋_GB2312" w:cs="宋体"/>
          <w:color w:val="000000"/>
          <w:kern w:val="0"/>
          <w:sz w:val="32"/>
          <w:szCs w:val="32"/>
          <w:shd w:val="clear" w:color="auto" w:fill="FFFFFF"/>
          <w:lang w:val="zh-CN" w:eastAsia="zh-CN"/>
        </w:rPr>
        <w:t>、支</w:t>
      </w:r>
      <w:r>
        <w:rPr>
          <w:rFonts w:hint="eastAsia" w:ascii="仿宋_GB2312" w:eastAsia="仿宋_GB2312" w:cs="宋体"/>
          <w:color w:val="000000"/>
          <w:kern w:val="0"/>
          <w:sz w:val="32"/>
          <w:szCs w:val="32"/>
          <w:shd w:val="clear" w:color="auto" w:fill="FFFFFF"/>
          <w:lang w:val="en-US" w:eastAsia="zh-CN"/>
        </w:rPr>
        <w:t>出</w:t>
      </w:r>
      <w:r>
        <w:rPr>
          <w:rFonts w:hint="eastAsia" w:ascii="仿宋_GB2312" w:eastAsia="仿宋_GB2312" w:cs="宋体"/>
          <w:color w:val="000000"/>
          <w:kern w:val="0"/>
          <w:sz w:val="32"/>
          <w:szCs w:val="32"/>
          <w:shd w:val="clear" w:color="auto" w:fill="FFFFFF"/>
          <w:lang w:val="zh-CN" w:eastAsia="zh-CN"/>
        </w:rPr>
        <w:t>总计各减少826.68万元，下降21.5%；</w:t>
      </w:r>
      <w:r>
        <w:rPr>
          <w:rFonts w:hint="eastAsia" w:ascii="仿宋_GB2312" w:eastAsia="仿宋_GB2312" w:cs="宋体"/>
          <w:color w:val="000000"/>
          <w:kern w:val="0"/>
          <w:sz w:val="32"/>
          <w:szCs w:val="32"/>
          <w:shd w:val="clear" w:color="auto" w:fill="FFFFFF"/>
          <w:lang w:val="en-US" w:eastAsia="zh-CN"/>
        </w:rPr>
        <w:t>减少</w:t>
      </w:r>
      <w:r>
        <w:rPr>
          <w:rFonts w:hint="eastAsia" w:ascii="仿宋_GB2312" w:eastAsia="仿宋_GB2312" w:cs="宋体"/>
          <w:color w:val="000000"/>
          <w:kern w:val="0"/>
          <w:sz w:val="32"/>
          <w:szCs w:val="32"/>
          <w:shd w:val="clear" w:color="auto" w:fill="FFFFFF"/>
          <w:lang w:val="zh-CN" w:eastAsia="zh-CN"/>
        </w:rPr>
        <w:t>主要原因是：</w:t>
      </w:r>
      <w:r>
        <w:rPr>
          <w:rFonts w:hint="eastAsia" w:ascii="仿宋_GB2312" w:eastAsia="仿宋_GB2312" w:cs="宋体"/>
          <w:color w:val="000000"/>
          <w:kern w:val="0"/>
          <w:sz w:val="32"/>
          <w:szCs w:val="32"/>
          <w:shd w:val="clear" w:color="auto" w:fill="FFFFFF"/>
          <w:lang w:val="en-US" w:eastAsia="zh-CN"/>
        </w:rPr>
        <w:t>项目建设资金减少</w:t>
      </w:r>
      <w:r>
        <w:rPr>
          <w:rFonts w:hint="eastAsia" w:ascii="仿宋_GB2312" w:eastAsia="仿宋_GB2312" w:cs="宋体"/>
          <w:color w:val="000000"/>
          <w:kern w:val="0"/>
          <w:sz w:val="32"/>
          <w:szCs w:val="32"/>
          <w:shd w:val="clear" w:color="auto" w:fill="FFFFFF"/>
          <w:lang w:val="zh-CN" w:eastAsia="zh-CN"/>
        </w:rPr>
        <w:t>。</w:t>
      </w:r>
      <w:r>
        <w:rPr>
          <w:rFonts w:ascii="仿宋" w:hAnsi="仿宋" w:eastAsia="仿宋" w:cs="仿宋"/>
          <w:color w:val="000000"/>
          <w:sz w:val="32"/>
          <w:u w:color="auto"/>
        </w:rPr>
        <w:t xml:space="preserve"> </w:t>
      </w:r>
    </w:p>
    <w:p w14:paraId="619EF256">
      <w:pPr>
        <w:jc w:val="center"/>
        <w:rPr>
          <w:rFonts w:hint="eastAsia" w:ascii="仿宋" w:hAnsi="仿宋" w:eastAsia="仿宋" w:cs="仿宋"/>
        </w:rPr>
      </w:pPr>
      <w:r>
        <w:rPr>
          <w:rFonts w:hint="eastAsia" w:ascii="思源黑体 CN Normal" w:hAnsi="思源黑体 CN Normal" w:eastAsia="思源黑体 CN Normal" w:cs="思源黑体 CN Normal"/>
          <w:color w:val="000000"/>
          <w:sz w:val="32"/>
          <w:szCs w:val="32"/>
        </w:rPr>
        <w:drawing>
          <wp:inline distT="0" distB="0" distL="0" distR="0">
            <wp:extent cx="3391535" cy="2110105"/>
            <wp:effectExtent l="4445" t="4445" r="13970" b="190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4987CA">
      <w:pPr>
        <w:pStyle w:val="3"/>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40" w:name="_Toc15377209"/>
      <w:bookmarkStart w:id="41" w:name="_Toc14368"/>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14:paraId="371C2F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en-US" w:eastAsia="zh-CN"/>
        </w:rPr>
      </w:pPr>
      <w:bookmarkStart w:id="44" w:name="_Toc15377211"/>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一般公共预算财政拨款支出2,657.16万元，占本年支出合计的87.9%。与2023</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相比，一般公共预算财政拨款减少750.09万元，下降22%。</w:t>
      </w:r>
      <w:r>
        <w:rPr>
          <w:rFonts w:hint="eastAsia" w:ascii="仿宋_GB2312" w:eastAsia="仿宋_GB2312" w:cs="宋体"/>
          <w:color w:val="000000"/>
          <w:kern w:val="0"/>
          <w:sz w:val="32"/>
          <w:szCs w:val="32"/>
          <w:shd w:val="clear" w:color="auto" w:fill="FFFFFF"/>
          <w:lang w:val="en-US" w:eastAsia="zh-CN"/>
        </w:rPr>
        <w:t>减少</w:t>
      </w:r>
      <w:r>
        <w:rPr>
          <w:rFonts w:hint="eastAsia" w:ascii="仿宋_GB2312" w:eastAsia="仿宋_GB2312" w:cs="宋体"/>
          <w:color w:val="000000"/>
          <w:kern w:val="0"/>
          <w:sz w:val="32"/>
          <w:szCs w:val="32"/>
          <w:shd w:val="clear" w:color="auto" w:fill="FFFFFF"/>
          <w:lang w:val="zh-CN"/>
        </w:rPr>
        <w:t>主要原因是</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en-US" w:eastAsia="zh-CN"/>
        </w:rPr>
        <w:t>项目建设资金减少</w:t>
      </w:r>
      <w:r>
        <w:rPr>
          <w:rFonts w:hint="eastAsia" w:ascii="仿宋_GB2312" w:eastAsia="仿宋_GB2312" w:cs="宋体"/>
          <w:color w:val="000000"/>
          <w:kern w:val="0"/>
          <w:sz w:val="32"/>
          <w:szCs w:val="32"/>
          <w:shd w:val="clear" w:color="auto" w:fill="FFFFFF"/>
          <w:lang w:val="zh-CN"/>
        </w:rPr>
        <w:t>。</w:t>
      </w:r>
    </w:p>
    <w:p w14:paraId="10DE6975">
      <w:pPr>
        <w:pStyle w:val="5"/>
        <w:ind w:firstLine="0"/>
        <w:jc w:val="center"/>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3402965" cy="2053590"/>
            <wp:effectExtent l="4445" t="4445" r="21590" b="184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4B7C4">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44"/>
    </w:p>
    <w:p w14:paraId="1E3404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一般公共预算财政拨款支出2,657.16万元，主要用于以下方面: 社会保障和就业支出86.66万元，占3.3%；卫生健康支出40.01万元，占1.5%；节能环保支出267.07万元，占10%；农林水支出2,221.67万元，占83.6%；住房保障支出41.75万元，占1.6%。</w:t>
      </w:r>
    </w:p>
    <w:p w14:paraId="68BC5887">
      <w:pPr>
        <w:pStyle w:val="5"/>
        <w:jc w:val="center"/>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3208655" cy="1784985"/>
            <wp:effectExtent l="4445" t="4445" r="6350"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678BDA">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14:paraId="13506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bookmarkStart w:id="46" w:name="_Toc15377444"/>
      <w:bookmarkStart w:id="47" w:name="_Toc15378460"/>
      <w:bookmarkStart w:id="48" w:name="_Toc15377213"/>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一般公共预算支出决算数为2,657.16万元，完成预算100%。其中：</w:t>
      </w:r>
      <w:bookmarkEnd w:id="46"/>
      <w:bookmarkEnd w:id="47"/>
      <w:bookmarkEnd w:id="48"/>
    </w:p>
    <w:p w14:paraId="2BC0BA5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社会保障和就业支出（</w:t>
      </w:r>
      <w:r>
        <w:rPr>
          <w:rFonts w:hint="eastAsia" w:ascii="仿宋_GB2312" w:eastAsia="仿宋_GB2312" w:cs="宋体"/>
          <w:color w:val="000000"/>
          <w:kern w:val="0"/>
          <w:sz w:val="32"/>
          <w:szCs w:val="32"/>
          <w:shd w:val="clear" w:color="auto" w:fill="FFFFFF"/>
          <w:lang w:val="en-US" w:eastAsia="zh-CN"/>
        </w:rPr>
        <w:t>208</w:t>
      </w:r>
      <w:r>
        <w:rPr>
          <w:rFonts w:hint="eastAsia" w:ascii="仿宋_GB2312" w:eastAsia="仿宋_GB2312" w:cs="宋体"/>
          <w:color w:val="000000"/>
          <w:kern w:val="0"/>
          <w:sz w:val="32"/>
          <w:szCs w:val="32"/>
          <w:shd w:val="clear" w:color="auto" w:fill="FFFFFF"/>
          <w:lang w:val="zh-CN"/>
        </w:rPr>
        <w:t>）行政事业单位养老支出（</w:t>
      </w:r>
      <w:r>
        <w:rPr>
          <w:rFonts w:hint="eastAsia" w:ascii="仿宋_GB2312" w:eastAsia="仿宋_GB2312" w:cs="宋体"/>
          <w:color w:val="000000"/>
          <w:kern w:val="0"/>
          <w:sz w:val="32"/>
          <w:szCs w:val="32"/>
          <w:shd w:val="clear" w:color="auto" w:fill="FFFFFF"/>
          <w:lang w:val="en-US" w:eastAsia="zh-CN"/>
        </w:rPr>
        <w:t>05</w:t>
      </w:r>
      <w:r>
        <w:rPr>
          <w:rFonts w:hint="eastAsia" w:ascii="仿宋_GB2312" w:eastAsia="仿宋_GB2312" w:cs="宋体"/>
          <w:color w:val="000000"/>
          <w:kern w:val="0"/>
          <w:sz w:val="32"/>
          <w:szCs w:val="32"/>
          <w:shd w:val="clear" w:color="auto" w:fill="FFFFFF"/>
          <w:lang w:val="zh-CN"/>
        </w:rPr>
        <w:t>）机关事业单位基本养老保险缴费支出（</w:t>
      </w:r>
      <w:r>
        <w:rPr>
          <w:rFonts w:hint="eastAsia" w:ascii="仿宋_GB2312" w:eastAsia="仿宋_GB2312" w:cs="宋体"/>
          <w:color w:val="000000"/>
          <w:kern w:val="0"/>
          <w:sz w:val="32"/>
          <w:szCs w:val="32"/>
          <w:shd w:val="clear" w:color="auto" w:fill="FFFFFF"/>
          <w:lang w:val="en-US" w:eastAsia="zh-CN"/>
        </w:rPr>
        <w:t>05</w:t>
      </w:r>
      <w:r>
        <w:rPr>
          <w:rFonts w:hint="eastAsia" w:ascii="仿宋_GB2312" w:eastAsia="仿宋_GB2312" w:cs="宋体"/>
          <w:color w:val="000000"/>
          <w:kern w:val="0"/>
          <w:sz w:val="32"/>
          <w:szCs w:val="32"/>
          <w:shd w:val="clear" w:color="auto" w:fill="FFFFFF"/>
          <w:lang w:val="zh-CN"/>
        </w:rPr>
        <w:t>）:支出决算58.39万元，完成预算100%。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2.社会保障和就业支出（</w:t>
      </w:r>
      <w:r>
        <w:rPr>
          <w:rFonts w:hint="eastAsia" w:ascii="仿宋_GB2312" w:eastAsia="仿宋_GB2312" w:cs="宋体"/>
          <w:color w:val="000000"/>
          <w:kern w:val="0"/>
          <w:sz w:val="32"/>
          <w:szCs w:val="32"/>
          <w:shd w:val="clear" w:color="auto" w:fill="FFFFFF"/>
          <w:lang w:val="en-US" w:eastAsia="zh-CN"/>
        </w:rPr>
        <w:t>208</w:t>
      </w:r>
      <w:r>
        <w:rPr>
          <w:rFonts w:hint="eastAsia" w:ascii="仿宋_GB2312" w:eastAsia="仿宋_GB2312" w:cs="宋体"/>
          <w:color w:val="000000"/>
          <w:kern w:val="0"/>
          <w:sz w:val="32"/>
          <w:szCs w:val="32"/>
          <w:shd w:val="clear" w:color="auto" w:fill="FFFFFF"/>
          <w:lang w:val="zh-CN"/>
        </w:rPr>
        <w:t>）行政事业单位养老支出（</w:t>
      </w:r>
      <w:r>
        <w:rPr>
          <w:rFonts w:hint="eastAsia" w:ascii="仿宋_GB2312" w:eastAsia="仿宋_GB2312" w:cs="宋体"/>
          <w:color w:val="000000"/>
          <w:kern w:val="0"/>
          <w:sz w:val="32"/>
          <w:szCs w:val="32"/>
          <w:shd w:val="clear" w:color="auto" w:fill="FFFFFF"/>
          <w:lang w:val="en-US" w:eastAsia="zh-CN"/>
        </w:rPr>
        <w:t>05</w:t>
      </w:r>
      <w:r>
        <w:rPr>
          <w:rFonts w:hint="eastAsia" w:ascii="仿宋_GB2312" w:eastAsia="仿宋_GB2312" w:cs="宋体"/>
          <w:color w:val="000000"/>
          <w:kern w:val="0"/>
          <w:sz w:val="32"/>
          <w:szCs w:val="32"/>
          <w:shd w:val="clear" w:color="auto" w:fill="FFFFFF"/>
          <w:lang w:val="zh-CN"/>
        </w:rPr>
        <w:t>）机关事业单位职业年金缴费支出（</w:t>
      </w:r>
      <w:r>
        <w:rPr>
          <w:rFonts w:hint="eastAsia" w:ascii="仿宋_GB2312" w:eastAsia="仿宋_GB2312" w:cs="宋体"/>
          <w:color w:val="000000"/>
          <w:kern w:val="0"/>
          <w:sz w:val="32"/>
          <w:szCs w:val="32"/>
          <w:shd w:val="clear" w:color="auto" w:fill="FFFFFF"/>
          <w:lang w:val="en-US" w:eastAsia="zh-CN"/>
        </w:rPr>
        <w:t>06</w:t>
      </w:r>
      <w:r>
        <w:rPr>
          <w:rFonts w:hint="eastAsia" w:ascii="仿宋_GB2312" w:eastAsia="仿宋_GB2312" w:cs="宋体"/>
          <w:color w:val="000000"/>
          <w:kern w:val="0"/>
          <w:sz w:val="32"/>
          <w:szCs w:val="32"/>
          <w:shd w:val="clear" w:color="auto" w:fill="FFFFFF"/>
          <w:lang w:val="zh-CN"/>
        </w:rPr>
        <w:t>）:支出决算17.73万元，完成预算100%。</w:t>
      </w:r>
      <w:r>
        <w:rPr>
          <w:rFonts w:hint="eastAsia" w:ascii="仿宋_GB2312" w:eastAsia="仿宋_GB2312" w:cs="宋体"/>
          <w:color w:val="000000"/>
          <w:kern w:val="0"/>
          <w:sz w:val="32"/>
          <w:szCs w:val="32"/>
          <w:shd w:val="clear" w:color="auto" w:fill="FFFFFF"/>
          <w:lang w:val="en-US" w:eastAsia="zh-CN"/>
        </w:rPr>
        <w:t>决算数与预算数持平。</w:t>
      </w:r>
    </w:p>
    <w:p w14:paraId="7AED4EFD">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3.社会保障和就业支出（</w:t>
      </w:r>
      <w:r>
        <w:rPr>
          <w:rFonts w:hint="eastAsia" w:ascii="仿宋_GB2312" w:eastAsia="仿宋_GB2312" w:cs="宋体"/>
          <w:color w:val="000000"/>
          <w:kern w:val="0"/>
          <w:sz w:val="32"/>
          <w:szCs w:val="32"/>
          <w:shd w:val="clear" w:color="auto" w:fill="FFFFFF"/>
          <w:lang w:val="en-US" w:eastAsia="zh-CN"/>
        </w:rPr>
        <w:t>208</w:t>
      </w:r>
      <w:r>
        <w:rPr>
          <w:rFonts w:hint="eastAsia" w:ascii="仿宋_GB2312" w:eastAsia="仿宋_GB2312" w:cs="宋体"/>
          <w:color w:val="000000"/>
          <w:kern w:val="0"/>
          <w:sz w:val="32"/>
          <w:szCs w:val="32"/>
          <w:shd w:val="clear" w:color="auto" w:fill="FFFFFF"/>
          <w:lang w:val="zh-CN"/>
        </w:rPr>
        <w:t>）就业补助（</w:t>
      </w:r>
      <w:r>
        <w:rPr>
          <w:rFonts w:hint="eastAsia" w:ascii="仿宋_GB2312" w:eastAsia="仿宋_GB2312" w:cs="宋体"/>
          <w:color w:val="000000"/>
          <w:kern w:val="0"/>
          <w:sz w:val="32"/>
          <w:szCs w:val="32"/>
          <w:shd w:val="clear" w:color="auto" w:fill="FFFFFF"/>
          <w:lang w:val="en-US" w:eastAsia="zh-CN"/>
        </w:rPr>
        <w:t>07</w:t>
      </w:r>
      <w:r>
        <w:rPr>
          <w:rFonts w:hint="eastAsia" w:ascii="仿宋_GB2312" w:eastAsia="仿宋_GB2312" w:cs="宋体"/>
          <w:color w:val="000000"/>
          <w:kern w:val="0"/>
          <w:sz w:val="32"/>
          <w:szCs w:val="32"/>
          <w:shd w:val="clear" w:color="auto" w:fill="FFFFFF"/>
          <w:lang w:val="zh-CN"/>
        </w:rPr>
        <w:t>）公益性岗位补贴（</w:t>
      </w:r>
      <w:r>
        <w:rPr>
          <w:rFonts w:hint="eastAsia" w:ascii="仿宋_GB2312" w:eastAsia="仿宋_GB2312" w:cs="宋体"/>
          <w:color w:val="000000"/>
          <w:kern w:val="0"/>
          <w:sz w:val="32"/>
          <w:szCs w:val="32"/>
          <w:shd w:val="clear" w:color="auto" w:fill="FFFFFF"/>
          <w:lang w:val="en-US" w:eastAsia="zh-CN"/>
        </w:rPr>
        <w:t>05</w:t>
      </w:r>
      <w:r>
        <w:rPr>
          <w:rFonts w:hint="eastAsia" w:ascii="仿宋_GB2312" w:eastAsia="仿宋_GB2312" w:cs="宋体"/>
          <w:color w:val="000000"/>
          <w:kern w:val="0"/>
          <w:sz w:val="32"/>
          <w:szCs w:val="32"/>
          <w:shd w:val="clear" w:color="auto" w:fill="FFFFFF"/>
          <w:lang w:val="zh-CN"/>
        </w:rPr>
        <w:t>）:支出决算10.54万元，完成预算100%。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4.卫生健康支出（</w:t>
      </w:r>
      <w:r>
        <w:rPr>
          <w:rFonts w:hint="eastAsia" w:ascii="仿宋_GB2312" w:eastAsia="仿宋_GB2312" w:cs="宋体"/>
          <w:color w:val="000000"/>
          <w:kern w:val="0"/>
          <w:sz w:val="32"/>
          <w:szCs w:val="32"/>
          <w:shd w:val="clear" w:color="auto" w:fill="FFFFFF"/>
          <w:lang w:val="en-US" w:eastAsia="zh-CN"/>
        </w:rPr>
        <w:t>210</w:t>
      </w:r>
      <w:r>
        <w:rPr>
          <w:rFonts w:hint="eastAsia" w:ascii="仿宋_GB2312" w:eastAsia="仿宋_GB2312" w:cs="宋体"/>
          <w:color w:val="000000"/>
          <w:kern w:val="0"/>
          <w:sz w:val="32"/>
          <w:szCs w:val="32"/>
          <w:shd w:val="clear" w:color="auto" w:fill="FFFFFF"/>
          <w:lang w:val="zh-CN"/>
        </w:rPr>
        <w:t>）行政事业单位医疗（</w:t>
      </w:r>
      <w:r>
        <w:rPr>
          <w:rFonts w:hint="eastAsia" w:ascii="仿宋_GB2312" w:eastAsia="仿宋_GB2312" w:cs="宋体"/>
          <w:color w:val="000000"/>
          <w:kern w:val="0"/>
          <w:sz w:val="32"/>
          <w:szCs w:val="32"/>
          <w:shd w:val="clear" w:color="auto" w:fill="FFFFFF"/>
          <w:lang w:val="en-US" w:eastAsia="zh-CN"/>
        </w:rPr>
        <w:t>11</w:t>
      </w:r>
      <w:r>
        <w:rPr>
          <w:rFonts w:hint="eastAsia" w:ascii="仿宋_GB2312" w:eastAsia="仿宋_GB2312" w:cs="宋体"/>
          <w:color w:val="000000"/>
          <w:kern w:val="0"/>
          <w:sz w:val="32"/>
          <w:szCs w:val="32"/>
          <w:shd w:val="clear" w:color="auto" w:fill="FFFFFF"/>
          <w:lang w:val="zh-CN"/>
        </w:rPr>
        <w:t>）行政单位医疗（</w:t>
      </w:r>
      <w:r>
        <w:rPr>
          <w:rFonts w:hint="eastAsia" w:ascii="仿宋_GB2312" w:eastAsia="仿宋_GB2312" w:cs="宋体"/>
          <w:color w:val="000000"/>
          <w:kern w:val="0"/>
          <w:sz w:val="32"/>
          <w:szCs w:val="32"/>
          <w:shd w:val="clear" w:color="auto" w:fill="FFFFFF"/>
          <w:lang w:val="en-US" w:eastAsia="zh-CN"/>
        </w:rPr>
        <w:t>01</w:t>
      </w:r>
      <w:r>
        <w:rPr>
          <w:rFonts w:hint="eastAsia" w:ascii="仿宋_GB2312" w:eastAsia="仿宋_GB2312" w:cs="宋体"/>
          <w:color w:val="000000"/>
          <w:kern w:val="0"/>
          <w:sz w:val="32"/>
          <w:szCs w:val="32"/>
          <w:shd w:val="clear" w:color="auto" w:fill="FFFFFF"/>
          <w:lang w:val="zh-CN"/>
        </w:rPr>
        <w:t>）:支出决算8.97万元，完成预算100%。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5.卫生健康支出（</w:t>
      </w:r>
      <w:r>
        <w:rPr>
          <w:rFonts w:hint="eastAsia" w:ascii="仿宋_GB2312" w:eastAsia="仿宋_GB2312" w:cs="宋体"/>
          <w:color w:val="000000"/>
          <w:kern w:val="0"/>
          <w:sz w:val="32"/>
          <w:szCs w:val="32"/>
          <w:shd w:val="clear" w:color="auto" w:fill="FFFFFF"/>
          <w:lang w:val="en-US" w:eastAsia="zh-CN"/>
        </w:rPr>
        <w:t>210</w:t>
      </w:r>
      <w:r>
        <w:rPr>
          <w:rFonts w:hint="eastAsia" w:ascii="仿宋_GB2312" w:eastAsia="仿宋_GB2312" w:cs="宋体"/>
          <w:color w:val="000000"/>
          <w:kern w:val="0"/>
          <w:sz w:val="32"/>
          <w:szCs w:val="32"/>
          <w:shd w:val="clear" w:color="auto" w:fill="FFFFFF"/>
          <w:lang w:val="zh-CN"/>
        </w:rPr>
        <w:t>）行政事业单位医疗（</w:t>
      </w:r>
      <w:r>
        <w:rPr>
          <w:rFonts w:hint="eastAsia" w:ascii="仿宋_GB2312" w:eastAsia="仿宋_GB2312" w:cs="宋体"/>
          <w:color w:val="000000"/>
          <w:kern w:val="0"/>
          <w:sz w:val="32"/>
          <w:szCs w:val="32"/>
          <w:shd w:val="clear" w:color="auto" w:fill="FFFFFF"/>
          <w:lang w:val="en-US" w:eastAsia="zh-CN"/>
        </w:rPr>
        <w:t>11</w:t>
      </w:r>
      <w:r>
        <w:rPr>
          <w:rFonts w:hint="eastAsia" w:ascii="仿宋_GB2312" w:eastAsia="仿宋_GB2312" w:cs="宋体"/>
          <w:color w:val="000000"/>
          <w:kern w:val="0"/>
          <w:sz w:val="32"/>
          <w:szCs w:val="32"/>
          <w:shd w:val="clear" w:color="auto" w:fill="FFFFFF"/>
          <w:lang w:val="zh-CN"/>
        </w:rPr>
        <w:t>）事业单位医疗（</w:t>
      </w:r>
      <w:r>
        <w:rPr>
          <w:rFonts w:hint="eastAsia" w:ascii="仿宋_GB2312" w:eastAsia="仿宋_GB2312" w:cs="宋体"/>
          <w:color w:val="000000"/>
          <w:kern w:val="0"/>
          <w:sz w:val="32"/>
          <w:szCs w:val="32"/>
          <w:shd w:val="clear" w:color="auto" w:fill="FFFFFF"/>
          <w:lang w:val="en-US" w:eastAsia="zh-CN"/>
        </w:rPr>
        <w:t>02</w:t>
      </w:r>
      <w:r>
        <w:rPr>
          <w:rFonts w:hint="eastAsia" w:ascii="仿宋_GB2312" w:eastAsia="仿宋_GB2312" w:cs="宋体"/>
          <w:color w:val="000000"/>
          <w:kern w:val="0"/>
          <w:sz w:val="32"/>
          <w:szCs w:val="32"/>
          <w:shd w:val="clear" w:color="auto" w:fill="FFFFFF"/>
          <w:lang w:val="zh-CN"/>
        </w:rPr>
        <w:t>）:支出决算31.04万元，完成预算100%。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6.节能环保支出（</w:t>
      </w:r>
      <w:r>
        <w:rPr>
          <w:rFonts w:hint="eastAsia" w:ascii="仿宋_GB2312" w:eastAsia="仿宋_GB2312" w:cs="宋体"/>
          <w:color w:val="000000"/>
          <w:kern w:val="0"/>
          <w:sz w:val="32"/>
          <w:szCs w:val="32"/>
          <w:shd w:val="clear" w:color="auto" w:fill="FFFFFF"/>
          <w:lang w:val="en-US" w:eastAsia="zh-CN"/>
        </w:rPr>
        <w:t>211</w:t>
      </w:r>
      <w:r>
        <w:rPr>
          <w:rFonts w:hint="eastAsia" w:ascii="仿宋_GB2312" w:eastAsia="仿宋_GB2312" w:cs="宋体"/>
          <w:color w:val="000000"/>
          <w:kern w:val="0"/>
          <w:sz w:val="32"/>
          <w:szCs w:val="32"/>
          <w:shd w:val="clear" w:color="auto" w:fill="FFFFFF"/>
          <w:lang w:val="zh-CN"/>
        </w:rPr>
        <w:t>）自然生态保护（</w:t>
      </w:r>
      <w:r>
        <w:rPr>
          <w:rFonts w:hint="eastAsia" w:ascii="仿宋_GB2312" w:eastAsia="仿宋_GB2312" w:cs="宋体"/>
          <w:color w:val="000000"/>
          <w:kern w:val="0"/>
          <w:sz w:val="32"/>
          <w:szCs w:val="32"/>
          <w:shd w:val="clear" w:color="auto" w:fill="FFFFFF"/>
          <w:lang w:val="en-US" w:eastAsia="zh-CN"/>
        </w:rPr>
        <w:t>04</w:t>
      </w:r>
      <w:r>
        <w:rPr>
          <w:rFonts w:hint="eastAsia" w:ascii="仿宋_GB2312" w:eastAsia="仿宋_GB2312" w:cs="宋体"/>
          <w:color w:val="000000"/>
          <w:kern w:val="0"/>
          <w:sz w:val="32"/>
          <w:szCs w:val="32"/>
          <w:shd w:val="clear" w:color="auto" w:fill="FFFFFF"/>
          <w:lang w:val="zh-CN"/>
        </w:rPr>
        <w:t>）生态保护（</w:t>
      </w:r>
      <w:r>
        <w:rPr>
          <w:rFonts w:hint="eastAsia" w:ascii="仿宋_GB2312" w:eastAsia="仿宋_GB2312" w:cs="宋体"/>
          <w:color w:val="000000"/>
          <w:kern w:val="0"/>
          <w:sz w:val="32"/>
          <w:szCs w:val="32"/>
          <w:shd w:val="clear" w:color="auto" w:fill="FFFFFF"/>
          <w:lang w:val="en-US" w:eastAsia="zh-CN"/>
        </w:rPr>
        <w:t>01</w:t>
      </w:r>
      <w:r>
        <w:rPr>
          <w:rFonts w:hint="eastAsia" w:ascii="仿宋_GB2312" w:eastAsia="仿宋_GB2312" w:cs="宋体"/>
          <w:color w:val="000000"/>
          <w:kern w:val="0"/>
          <w:sz w:val="32"/>
          <w:szCs w:val="32"/>
          <w:shd w:val="clear" w:color="auto" w:fill="FFFFFF"/>
          <w:lang w:val="zh-CN"/>
        </w:rPr>
        <w:t>）:支出决算267.07万元，完成预算100%。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7.农林水支出（</w:t>
      </w:r>
      <w:r>
        <w:rPr>
          <w:rFonts w:hint="eastAsia" w:ascii="仿宋_GB2312" w:eastAsia="仿宋_GB2312" w:cs="宋体"/>
          <w:color w:val="000000"/>
          <w:kern w:val="0"/>
          <w:sz w:val="32"/>
          <w:szCs w:val="32"/>
          <w:shd w:val="clear" w:color="auto" w:fill="FFFFFF"/>
          <w:lang w:val="en-US" w:eastAsia="zh-CN"/>
        </w:rPr>
        <w:t>213</w:t>
      </w:r>
      <w:r>
        <w:rPr>
          <w:rFonts w:hint="eastAsia" w:ascii="仿宋_GB2312" w:eastAsia="仿宋_GB2312" w:cs="宋体"/>
          <w:color w:val="000000"/>
          <w:kern w:val="0"/>
          <w:sz w:val="32"/>
          <w:szCs w:val="32"/>
          <w:shd w:val="clear" w:color="auto" w:fill="FFFFFF"/>
          <w:lang w:val="zh-CN"/>
        </w:rPr>
        <w:t>）水利（</w:t>
      </w:r>
      <w:r>
        <w:rPr>
          <w:rFonts w:hint="eastAsia" w:ascii="仿宋_GB2312" w:eastAsia="仿宋_GB2312" w:cs="宋体"/>
          <w:color w:val="000000"/>
          <w:kern w:val="0"/>
          <w:sz w:val="32"/>
          <w:szCs w:val="32"/>
          <w:shd w:val="clear" w:color="auto" w:fill="FFFFFF"/>
          <w:lang w:val="en-US" w:eastAsia="zh-CN"/>
        </w:rPr>
        <w:t>03</w:t>
      </w:r>
      <w:r>
        <w:rPr>
          <w:rFonts w:hint="eastAsia" w:ascii="仿宋_GB2312" w:eastAsia="仿宋_GB2312" w:cs="宋体"/>
          <w:color w:val="000000"/>
          <w:kern w:val="0"/>
          <w:sz w:val="32"/>
          <w:szCs w:val="32"/>
          <w:shd w:val="clear" w:color="auto" w:fill="FFFFFF"/>
          <w:lang w:val="zh-CN"/>
        </w:rPr>
        <w:t>）行政运行（</w:t>
      </w:r>
      <w:r>
        <w:rPr>
          <w:rFonts w:hint="eastAsia" w:ascii="仿宋_GB2312" w:eastAsia="仿宋_GB2312" w:cs="宋体"/>
          <w:color w:val="000000"/>
          <w:kern w:val="0"/>
          <w:sz w:val="32"/>
          <w:szCs w:val="32"/>
          <w:shd w:val="clear" w:color="auto" w:fill="FFFFFF"/>
          <w:lang w:val="en-US" w:eastAsia="zh-CN"/>
        </w:rPr>
        <w:t>01</w:t>
      </w:r>
      <w:r>
        <w:rPr>
          <w:rFonts w:hint="eastAsia" w:ascii="仿宋_GB2312" w:eastAsia="仿宋_GB2312" w:cs="宋体"/>
          <w:color w:val="000000"/>
          <w:kern w:val="0"/>
          <w:sz w:val="32"/>
          <w:szCs w:val="32"/>
          <w:shd w:val="clear" w:color="auto" w:fill="FFFFFF"/>
          <w:lang w:val="zh-CN"/>
        </w:rPr>
        <w:t>）:支出决算104.34万元，完成预算100%。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8.农林水支出（</w:t>
      </w:r>
      <w:r>
        <w:rPr>
          <w:rFonts w:hint="eastAsia" w:ascii="仿宋_GB2312" w:eastAsia="仿宋_GB2312" w:cs="宋体"/>
          <w:color w:val="000000"/>
          <w:kern w:val="0"/>
          <w:sz w:val="32"/>
          <w:szCs w:val="32"/>
          <w:shd w:val="clear" w:color="auto" w:fill="FFFFFF"/>
          <w:lang w:val="en-US" w:eastAsia="zh-CN"/>
        </w:rPr>
        <w:t>213</w:t>
      </w:r>
      <w:r>
        <w:rPr>
          <w:rFonts w:hint="eastAsia" w:ascii="仿宋_GB2312" w:eastAsia="仿宋_GB2312" w:cs="宋体"/>
          <w:color w:val="000000"/>
          <w:kern w:val="0"/>
          <w:sz w:val="32"/>
          <w:szCs w:val="32"/>
          <w:shd w:val="clear" w:color="auto" w:fill="FFFFFF"/>
          <w:lang w:val="zh-CN"/>
        </w:rPr>
        <w:t>）水利（</w:t>
      </w:r>
      <w:r>
        <w:rPr>
          <w:rFonts w:hint="eastAsia" w:ascii="仿宋_GB2312" w:eastAsia="仿宋_GB2312" w:cs="宋体"/>
          <w:color w:val="000000"/>
          <w:kern w:val="0"/>
          <w:sz w:val="32"/>
          <w:szCs w:val="32"/>
          <w:shd w:val="clear" w:color="auto" w:fill="FFFFFF"/>
          <w:lang w:val="en-US" w:eastAsia="zh-CN"/>
        </w:rPr>
        <w:t>03</w:t>
      </w:r>
      <w:r>
        <w:rPr>
          <w:rFonts w:hint="eastAsia" w:ascii="仿宋_GB2312" w:eastAsia="仿宋_GB2312" w:cs="宋体"/>
          <w:color w:val="000000"/>
          <w:kern w:val="0"/>
          <w:sz w:val="32"/>
          <w:szCs w:val="32"/>
          <w:shd w:val="clear" w:color="auto" w:fill="FFFFFF"/>
          <w:lang w:val="zh-CN"/>
        </w:rPr>
        <w:t>）大中型水库移民后期扶持专项支出（</w:t>
      </w:r>
      <w:r>
        <w:rPr>
          <w:rFonts w:hint="eastAsia" w:ascii="仿宋_GB2312" w:eastAsia="仿宋_GB2312" w:cs="宋体"/>
          <w:color w:val="000000"/>
          <w:kern w:val="0"/>
          <w:sz w:val="32"/>
          <w:szCs w:val="32"/>
          <w:shd w:val="clear" w:color="auto" w:fill="FFFFFF"/>
          <w:lang w:val="en-US" w:eastAsia="zh-CN"/>
        </w:rPr>
        <w:t>21</w:t>
      </w:r>
      <w:r>
        <w:rPr>
          <w:rFonts w:hint="eastAsia" w:ascii="仿宋_GB2312" w:eastAsia="仿宋_GB2312" w:cs="宋体"/>
          <w:color w:val="000000"/>
          <w:kern w:val="0"/>
          <w:sz w:val="32"/>
          <w:szCs w:val="32"/>
          <w:shd w:val="clear" w:color="auto" w:fill="FFFFFF"/>
          <w:lang w:val="zh-CN"/>
        </w:rPr>
        <w:t>）:支出决算38.79万元，完成预算100%。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9.农林水支出（</w:t>
      </w:r>
      <w:r>
        <w:rPr>
          <w:rFonts w:hint="eastAsia" w:ascii="仿宋_GB2312" w:eastAsia="仿宋_GB2312" w:cs="宋体"/>
          <w:color w:val="000000"/>
          <w:kern w:val="0"/>
          <w:sz w:val="32"/>
          <w:szCs w:val="32"/>
          <w:shd w:val="clear" w:color="auto" w:fill="FFFFFF"/>
          <w:lang w:val="en-US" w:eastAsia="zh-CN"/>
        </w:rPr>
        <w:t>213</w:t>
      </w:r>
      <w:r>
        <w:rPr>
          <w:rFonts w:hint="eastAsia" w:ascii="仿宋_GB2312" w:eastAsia="仿宋_GB2312" w:cs="宋体"/>
          <w:color w:val="000000"/>
          <w:kern w:val="0"/>
          <w:sz w:val="32"/>
          <w:szCs w:val="32"/>
          <w:shd w:val="clear" w:color="auto" w:fill="FFFFFF"/>
          <w:lang w:val="zh-CN"/>
        </w:rPr>
        <w:t>）水利（</w:t>
      </w:r>
      <w:r>
        <w:rPr>
          <w:rFonts w:hint="eastAsia" w:ascii="仿宋_GB2312" w:eastAsia="仿宋_GB2312" w:cs="宋体"/>
          <w:color w:val="000000"/>
          <w:kern w:val="0"/>
          <w:sz w:val="32"/>
          <w:szCs w:val="32"/>
          <w:shd w:val="clear" w:color="auto" w:fill="FFFFFF"/>
          <w:lang w:val="en-US" w:eastAsia="zh-CN"/>
        </w:rPr>
        <w:t>03</w:t>
      </w:r>
      <w:r>
        <w:rPr>
          <w:rFonts w:hint="eastAsia" w:ascii="仿宋_GB2312" w:eastAsia="仿宋_GB2312" w:cs="宋体"/>
          <w:color w:val="000000"/>
          <w:kern w:val="0"/>
          <w:sz w:val="32"/>
          <w:szCs w:val="32"/>
          <w:shd w:val="clear" w:color="auto" w:fill="FFFFFF"/>
          <w:lang w:val="zh-CN"/>
        </w:rPr>
        <w:t>）其他水利支出（</w:t>
      </w:r>
      <w:r>
        <w:rPr>
          <w:rFonts w:hint="eastAsia" w:ascii="仿宋_GB2312" w:eastAsia="仿宋_GB2312" w:cs="宋体"/>
          <w:color w:val="000000"/>
          <w:kern w:val="0"/>
          <w:sz w:val="32"/>
          <w:szCs w:val="32"/>
          <w:shd w:val="clear" w:color="auto" w:fill="FFFFFF"/>
          <w:lang w:val="en-US" w:eastAsia="zh-CN"/>
        </w:rPr>
        <w:t>99</w:t>
      </w:r>
      <w:r>
        <w:rPr>
          <w:rFonts w:hint="eastAsia" w:ascii="仿宋_GB2312" w:eastAsia="仿宋_GB2312" w:cs="宋体"/>
          <w:color w:val="000000"/>
          <w:kern w:val="0"/>
          <w:sz w:val="32"/>
          <w:szCs w:val="32"/>
          <w:shd w:val="clear" w:color="auto" w:fill="FFFFFF"/>
          <w:lang w:val="zh-CN"/>
        </w:rPr>
        <w:t>）:支出决算1,665.04万元，完成预算100%。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10.农林水支出（</w:t>
      </w:r>
      <w:r>
        <w:rPr>
          <w:rFonts w:hint="eastAsia" w:ascii="仿宋_GB2312" w:eastAsia="仿宋_GB2312" w:cs="宋体"/>
          <w:color w:val="000000"/>
          <w:kern w:val="0"/>
          <w:sz w:val="32"/>
          <w:szCs w:val="32"/>
          <w:shd w:val="clear" w:color="auto" w:fill="FFFFFF"/>
          <w:lang w:val="en-US" w:eastAsia="zh-CN"/>
        </w:rPr>
        <w:t>213</w:t>
      </w:r>
      <w:r>
        <w:rPr>
          <w:rFonts w:hint="eastAsia" w:ascii="仿宋_GB2312" w:eastAsia="仿宋_GB2312" w:cs="宋体"/>
          <w:color w:val="000000"/>
          <w:kern w:val="0"/>
          <w:sz w:val="32"/>
          <w:szCs w:val="32"/>
          <w:shd w:val="clear" w:color="auto" w:fill="FFFFFF"/>
          <w:lang w:val="zh-CN"/>
        </w:rPr>
        <w:t>）巩固脱贫攻坚成果衔接乡村振兴（</w:t>
      </w:r>
      <w:r>
        <w:rPr>
          <w:rFonts w:hint="eastAsia" w:ascii="仿宋_GB2312" w:eastAsia="仿宋_GB2312" w:cs="宋体"/>
          <w:color w:val="000000"/>
          <w:kern w:val="0"/>
          <w:sz w:val="32"/>
          <w:szCs w:val="32"/>
          <w:shd w:val="clear" w:color="auto" w:fill="FFFFFF"/>
          <w:lang w:val="en-US" w:eastAsia="zh-CN"/>
        </w:rPr>
        <w:t>05</w:t>
      </w:r>
      <w:r>
        <w:rPr>
          <w:rFonts w:hint="eastAsia" w:ascii="仿宋_GB2312" w:eastAsia="仿宋_GB2312" w:cs="宋体"/>
          <w:color w:val="000000"/>
          <w:kern w:val="0"/>
          <w:sz w:val="32"/>
          <w:szCs w:val="32"/>
          <w:shd w:val="clear" w:color="auto" w:fill="FFFFFF"/>
          <w:lang w:val="zh-CN"/>
        </w:rPr>
        <w:t>）其他巩固脱贫攻坚成果衔接乡村振兴支出（</w:t>
      </w:r>
      <w:r>
        <w:rPr>
          <w:rFonts w:hint="eastAsia" w:ascii="仿宋_GB2312" w:eastAsia="仿宋_GB2312" w:cs="宋体"/>
          <w:color w:val="000000"/>
          <w:kern w:val="0"/>
          <w:sz w:val="32"/>
          <w:szCs w:val="32"/>
          <w:shd w:val="clear" w:color="auto" w:fill="FFFFFF"/>
          <w:lang w:val="en-US" w:eastAsia="zh-CN"/>
        </w:rPr>
        <w:t>99</w:t>
      </w:r>
      <w:r>
        <w:rPr>
          <w:rFonts w:hint="eastAsia" w:ascii="仿宋_GB2312" w:eastAsia="仿宋_GB2312" w:cs="宋体"/>
          <w:color w:val="000000"/>
          <w:kern w:val="0"/>
          <w:sz w:val="32"/>
          <w:szCs w:val="32"/>
          <w:shd w:val="clear" w:color="auto" w:fill="FFFFFF"/>
          <w:lang w:val="zh-CN"/>
        </w:rPr>
        <w:t>）:支出决算413.51万元，完成预算100%。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11.住房保障支出（</w:t>
      </w:r>
      <w:r>
        <w:rPr>
          <w:rFonts w:hint="eastAsia" w:ascii="仿宋_GB2312" w:eastAsia="仿宋_GB2312" w:cs="宋体"/>
          <w:color w:val="000000"/>
          <w:kern w:val="0"/>
          <w:sz w:val="32"/>
          <w:szCs w:val="32"/>
          <w:shd w:val="clear" w:color="auto" w:fill="FFFFFF"/>
          <w:lang w:val="en-US" w:eastAsia="zh-CN"/>
        </w:rPr>
        <w:t>221</w:t>
      </w:r>
      <w:r>
        <w:rPr>
          <w:rFonts w:hint="eastAsia" w:ascii="仿宋_GB2312" w:eastAsia="仿宋_GB2312" w:cs="宋体"/>
          <w:color w:val="000000"/>
          <w:kern w:val="0"/>
          <w:sz w:val="32"/>
          <w:szCs w:val="32"/>
          <w:shd w:val="clear" w:color="auto" w:fill="FFFFFF"/>
          <w:lang w:val="zh-CN"/>
        </w:rPr>
        <w:t>）住房改革支出（</w:t>
      </w:r>
      <w:r>
        <w:rPr>
          <w:rFonts w:hint="eastAsia" w:ascii="仿宋_GB2312" w:eastAsia="仿宋_GB2312" w:cs="宋体"/>
          <w:color w:val="000000"/>
          <w:kern w:val="0"/>
          <w:sz w:val="32"/>
          <w:szCs w:val="32"/>
          <w:shd w:val="clear" w:color="auto" w:fill="FFFFFF"/>
          <w:lang w:val="en-US" w:eastAsia="zh-CN"/>
        </w:rPr>
        <w:t>02</w:t>
      </w:r>
      <w:r>
        <w:rPr>
          <w:rFonts w:hint="eastAsia" w:ascii="仿宋_GB2312" w:eastAsia="仿宋_GB2312" w:cs="宋体"/>
          <w:color w:val="000000"/>
          <w:kern w:val="0"/>
          <w:sz w:val="32"/>
          <w:szCs w:val="32"/>
          <w:shd w:val="clear" w:color="auto" w:fill="FFFFFF"/>
          <w:lang w:val="zh-CN"/>
        </w:rPr>
        <w:t>）住房公积金（</w:t>
      </w:r>
      <w:r>
        <w:rPr>
          <w:rFonts w:hint="eastAsia" w:ascii="仿宋_GB2312" w:eastAsia="仿宋_GB2312" w:cs="宋体"/>
          <w:color w:val="000000"/>
          <w:kern w:val="0"/>
          <w:sz w:val="32"/>
          <w:szCs w:val="32"/>
          <w:shd w:val="clear" w:color="auto" w:fill="FFFFFF"/>
          <w:lang w:val="en-US" w:eastAsia="zh-CN"/>
        </w:rPr>
        <w:t>01</w:t>
      </w:r>
      <w:r>
        <w:rPr>
          <w:rFonts w:hint="eastAsia" w:ascii="仿宋_GB2312" w:eastAsia="仿宋_GB2312" w:cs="宋体"/>
          <w:color w:val="000000"/>
          <w:kern w:val="0"/>
          <w:sz w:val="32"/>
          <w:szCs w:val="32"/>
          <w:shd w:val="clear" w:color="auto" w:fill="FFFFFF"/>
          <w:lang w:val="zh-CN"/>
        </w:rPr>
        <w:t>）:支出决算39.34万元，完成预算100%。</w:t>
      </w:r>
      <w:r>
        <w:rPr>
          <w:rFonts w:hint="eastAsia" w:ascii="仿宋_GB2312" w:eastAsia="仿宋_GB2312" w:cs="宋体"/>
          <w:color w:val="000000"/>
          <w:kern w:val="0"/>
          <w:sz w:val="32"/>
          <w:szCs w:val="32"/>
          <w:shd w:val="clear" w:color="auto" w:fill="FFFFFF"/>
          <w:lang w:val="en-US" w:eastAsia="zh-CN"/>
        </w:rPr>
        <w:t>决算数与预算数持平。</w:t>
      </w:r>
      <w:r>
        <w:rPr>
          <w:rFonts w:hint="eastAsia" w:ascii="仿宋_GB2312" w:eastAsia="仿宋_GB2312" w:cs="宋体"/>
          <w:color w:val="000000"/>
          <w:kern w:val="0"/>
          <w:sz w:val="32"/>
          <w:szCs w:val="32"/>
          <w:shd w:val="clear" w:color="auto" w:fill="FFFFFF"/>
          <w:lang w:val="zh-CN"/>
        </w:rPr>
        <w:cr/>
      </w:r>
      <w:r>
        <w:rPr>
          <w:rFonts w:hint="eastAsia" w:ascii="仿宋_GB2312" w:eastAsia="仿宋_GB2312" w:cs="宋体"/>
          <w:color w:val="000000"/>
          <w:kern w:val="0"/>
          <w:sz w:val="32"/>
          <w:szCs w:val="32"/>
          <w:shd w:val="clear" w:color="auto" w:fill="FFFFFF"/>
          <w:lang w:val="zh-CN"/>
        </w:rPr>
        <w:t xml:space="preserve">    12.住房保障支出（</w:t>
      </w:r>
      <w:r>
        <w:rPr>
          <w:rFonts w:hint="eastAsia" w:ascii="仿宋_GB2312" w:eastAsia="仿宋_GB2312" w:cs="宋体"/>
          <w:color w:val="000000"/>
          <w:kern w:val="0"/>
          <w:sz w:val="32"/>
          <w:szCs w:val="32"/>
          <w:shd w:val="clear" w:color="auto" w:fill="FFFFFF"/>
          <w:lang w:val="en-US" w:eastAsia="zh-CN"/>
        </w:rPr>
        <w:t>213</w:t>
      </w:r>
      <w:r>
        <w:rPr>
          <w:rFonts w:hint="eastAsia" w:ascii="仿宋_GB2312" w:eastAsia="仿宋_GB2312" w:cs="宋体"/>
          <w:color w:val="000000"/>
          <w:kern w:val="0"/>
          <w:sz w:val="32"/>
          <w:szCs w:val="32"/>
          <w:shd w:val="clear" w:color="auto" w:fill="FFFFFF"/>
          <w:lang w:val="zh-CN"/>
        </w:rPr>
        <w:t>）住房改革支出（</w:t>
      </w:r>
      <w:r>
        <w:rPr>
          <w:rFonts w:hint="eastAsia" w:ascii="仿宋_GB2312" w:eastAsia="仿宋_GB2312" w:cs="宋体"/>
          <w:color w:val="000000"/>
          <w:kern w:val="0"/>
          <w:sz w:val="32"/>
          <w:szCs w:val="32"/>
          <w:shd w:val="clear" w:color="auto" w:fill="FFFFFF"/>
          <w:lang w:val="en-US" w:eastAsia="zh-CN"/>
        </w:rPr>
        <w:t>02</w:t>
      </w:r>
      <w:r>
        <w:rPr>
          <w:rFonts w:hint="eastAsia" w:ascii="仿宋_GB2312" w:eastAsia="仿宋_GB2312" w:cs="宋体"/>
          <w:color w:val="000000"/>
          <w:kern w:val="0"/>
          <w:sz w:val="32"/>
          <w:szCs w:val="32"/>
          <w:shd w:val="clear" w:color="auto" w:fill="FFFFFF"/>
          <w:lang w:val="zh-CN"/>
        </w:rPr>
        <w:t>）购房补贴（</w:t>
      </w:r>
      <w:r>
        <w:rPr>
          <w:rFonts w:hint="eastAsia" w:ascii="仿宋_GB2312" w:eastAsia="仿宋_GB2312" w:cs="宋体"/>
          <w:color w:val="000000"/>
          <w:kern w:val="0"/>
          <w:sz w:val="32"/>
          <w:szCs w:val="32"/>
          <w:shd w:val="clear" w:color="auto" w:fill="FFFFFF"/>
          <w:lang w:val="en-US" w:eastAsia="zh-CN"/>
        </w:rPr>
        <w:t>03</w:t>
      </w:r>
      <w:r>
        <w:rPr>
          <w:rFonts w:hint="eastAsia" w:ascii="仿宋_GB2312" w:eastAsia="仿宋_GB2312" w:cs="宋体"/>
          <w:color w:val="000000"/>
          <w:kern w:val="0"/>
          <w:sz w:val="32"/>
          <w:szCs w:val="32"/>
          <w:shd w:val="clear" w:color="auto" w:fill="FFFFFF"/>
          <w:lang w:val="zh-CN"/>
        </w:rPr>
        <w:t>）:支出决算2.42万元，完成预算100%。</w:t>
      </w:r>
      <w:r>
        <w:rPr>
          <w:rFonts w:hint="eastAsia" w:ascii="仿宋_GB2312" w:eastAsia="仿宋_GB2312" w:cs="宋体"/>
          <w:color w:val="000000"/>
          <w:kern w:val="0"/>
          <w:sz w:val="32"/>
          <w:szCs w:val="32"/>
          <w:shd w:val="clear" w:color="auto" w:fill="FFFFFF"/>
          <w:lang w:val="en-US" w:eastAsia="zh-CN"/>
        </w:rPr>
        <w:t>决算数与预算数持平。</w:t>
      </w:r>
    </w:p>
    <w:p w14:paraId="5F1461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kern w:val="0"/>
          <w:sz w:val="32"/>
          <w:szCs w:val="32"/>
          <w:shd w:val="clear" w:color="auto" w:fill="FFFFFF"/>
          <w:lang w:val="zh-CN"/>
        </w:rPr>
      </w:pPr>
      <w:bookmarkStart w:id="49" w:name="_Toc15377214"/>
      <w:bookmarkStart w:id="50" w:name="_Toc31578"/>
      <w:bookmarkStart w:id="51" w:name="_Toc111208504"/>
      <w:r>
        <w:rPr>
          <w:rFonts w:hint="eastAsia" w:ascii="黑体" w:hAnsi="黑体" w:eastAsia="黑体" w:cs="黑体"/>
          <w:color w:val="000000"/>
          <w:kern w:val="0"/>
          <w:sz w:val="32"/>
          <w:szCs w:val="32"/>
          <w:shd w:val="clear" w:color="auto" w:fill="FFFFFF"/>
          <w:lang w:val="zh-CN"/>
        </w:rPr>
        <w:t>六、一般公共预算财政拨款基本支出决算情况说</w:t>
      </w:r>
      <w:bookmarkEnd w:id="49"/>
      <w:r>
        <w:rPr>
          <w:rFonts w:hint="eastAsia" w:ascii="黑体" w:hAnsi="黑体" w:eastAsia="黑体" w:cs="黑体"/>
          <w:color w:val="000000"/>
          <w:kern w:val="0"/>
          <w:sz w:val="32"/>
          <w:szCs w:val="32"/>
          <w:shd w:val="clear" w:color="auto" w:fill="FFFFFF"/>
          <w:lang w:val="zh-CN"/>
        </w:rPr>
        <w:t>明</w:t>
      </w:r>
      <w:bookmarkEnd w:id="50"/>
      <w:bookmarkEnd w:id="51"/>
    </w:p>
    <w:p w14:paraId="5A9F53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一般公共预算财政拨款基本支出552.78万元，其中：</w:t>
      </w:r>
    </w:p>
    <w:p w14:paraId="116EF1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人员经费530.3</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万元，主要包括：基本工资110.63万元、津贴补贴42.28万元、奖金31.53万元、绩效工资164</w:t>
      </w:r>
      <w:r>
        <w:rPr>
          <w:rFonts w:hint="eastAsia" w:ascii="仿宋_GB2312" w:eastAsia="仿宋_GB2312" w:cs="宋体"/>
          <w:color w:val="000000"/>
          <w:kern w:val="0"/>
          <w:sz w:val="32"/>
          <w:szCs w:val="32"/>
          <w:shd w:val="clear" w:color="auto" w:fill="FFFFFF"/>
          <w:lang w:val="en-US" w:eastAsia="zh-CN"/>
        </w:rPr>
        <w:t>.00</w:t>
      </w:r>
      <w:r>
        <w:rPr>
          <w:rFonts w:hint="eastAsia" w:ascii="仿宋_GB2312" w:eastAsia="仿宋_GB2312" w:cs="宋体"/>
          <w:color w:val="000000"/>
          <w:kern w:val="0"/>
          <w:sz w:val="32"/>
          <w:szCs w:val="32"/>
          <w:shd w:val="clear" w:color="auto" w:fill="FFFFFF"/>
          <w:lang w:val="zh-CN"/>
        </w:rPr>
        <w:t>万元、机关事业单位基本养老保险缴费58.39万元、职业年金缴费17.73万元、职工基本医疗保险缴费40.01万元、其他社会保障缴费7.18万元、住房公积金39.34万元、医疗费6.12万元、生活补助13.09万元、奖励金0.01万元。</w:t>
      </w:r>
    </w:p>
    <w:p w14:paraId="39B6CA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公用经费22.48万元，主要包括：办公费7</w:t>
      </w:r>
      <w:r>
        <w:rPr>
          <w:rFonts w:hint="eastAsia" w:ascii="仿宋_GB2312" w:eastAsia="仿宋_GB2312" w:cs="宋体"/>
          <w:color w:val="000000"/>
          <w:kern w:val="0"/>
          <w:sz w:val="32"/>
          <w:szCs w:val="32"/>
          <w:shd w:val="clear" w:color="auto" w:fill="FFFFFF"/>
          <w:lang w:val="en-US" w:eastAsia="zh-CN"/>
        </w:rPr>
        <w:t>.00</w:t>
      </w:r>
      <w:r>
        <w:rPr>
          <w:rFonts w:hint="eastAsia" w:ascii="仿宋_GB2312" w:eastAsia="仿宋_GB2312" w:cs="宋体"/>
          <w:color w:val="000000"/>
          <w:kern w:val="0"/>
          <w:sz w:val="32"/>
          <w:szCs w:val="32"/>
          <w:shd w:val="clear" w:color="auto" w:fill="FFFFFF"/>
          <w:lang w:val="zh-CN"/>
        </w:rPr>
        <w:t>万元、电费0.23万元、邮电费1.2</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万元、差旅费9.9</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万元、公务接待费0.15万元、公务用车运行维护费4</w:t>
      </w:r>
      <w:r>
        <w:rPr>
          <w:rFonts w:hint="eastAsia" w:ascii="仿宋_GB2312" w:eastAsia="仿宋_GB2312" w:cs="宋体"/>
          <w:color w:val="000000"/>
          <w:kern w:val="0"/>
          <w:sz w:val="32"/>
          <w:szCs w:val="32"/>
          <w:shd w:val="clear" w:color="auto" w:fill="FFFFFF"/>
          <w:lang w:val="en-US" w:eastAsia="zh-CN"/>
        </w:rPr>
        <w:t>.00</w:t>
      </w:r>
      <w:r>
        <w:rPr>
          <w:rFonts w:hint="eastAsia" w:ascii="仿宋_GB2312" w:eastAsia="仿宋_GB2312" w:cs="宋体"/>
          <w:color w:val="000000"/>
          <w:kern w:val="0"/>
          <w:sz w:val="32"/>
          <w:szCs w:val="32"/>
          <w:shd w:val="clear" w:color="auto" w:fill="FFFFFF"/>
          <w:lang w:val="zh-CN"/>
        </w:rPr>
        <w:t>万元。</w:t>
      </w:r>
    </w:p>
    <w:p w14:paraId="151B178E">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color w:val="000000"/>
        </w:rPr>
      </w:pPr>
      <w:bookmarkStart w:id="52" w:name="_Toc6614"/>
      <w:bookmarkStart w:id="53" w:name="_Toc15377215"/>
      <w:bookmarkStart w:id="54" w:name="_Toc111208505"/>
      <w:r>
        <w:rPr>
          <w:rFonts w:hint="eastAsia" w:ascii="黑体" w:hAnsi="黑体" w:eastAsia="黑体" w:cs="黑体"/>
          <w:b w:val="0"/>
          <w:bCs/>
          <w:color w:val="000000"/>
        </w:rPr>
        <w:t>七、“三公”经费财政拨款支出决算情况说明</w:t>
      </w:r>
      <w:bookmarkEnd w:id="52"/>
      <w:bookmarkEnd w:id="53"/>
      <w:bookmarkEnd w:id="54"/>
    </w:p>
    <w:p w14:paraId="613FE387">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0C6B4B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“三公”经费财政拨款支出决算为12.43万元，完成预算100%，较上年度减少0.76万元，下降5.8%。</w:t>
      </w:r>
      <w:bookmarkStart w:id="56" w:name="_Toc15377217"/>
      <w:r>
        <w:rPr>
          <w:rFonts w:hint="eastAsia" w:ascii="仿宋_GB2312" w:eastAsia="仿宋_GB2312" w:cs="宋体"/>
          <w:color w:val="000000"/>
          <w:kern w:val="0"/>
          <w:sz w:val="32"/>
          <w:szCs w:val="32"/>
          <w:shd w:val="clear" w:color="auto" w:fill="FFFFFF"/>
          <w:lang w:val="en-US" w:eastAsia="zh-CN"/>
        </w:rPr>
        <w:t>下降的主要原因是：公务用车费用减少。</w:t>
      </w:r>
    </w:p>
    <w:p w14:paraId="5BC57BE3">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F3236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2024</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“三公”经费财政拨款支出12.43万元，因公出国（境）费支出决算0万元，占0%；公务用车购置及运行维护费支出决算12.28万元，占98.8%；公务接待费支出决算0.15万元，占1.2%。具体情况如下：</w:t>
      </w:r>
    </w:p>
    <w:p w14:paraId="3D793809">
      <w:pPr>
        <w:pStyle w:val="5"/>
        <w:jc w:val="center"/>
        <w:rPr>
          <w:rFonts w:hint="eastAsia" w:ascii="仿宋" w:hAnsi="仿宋" w:eastAsia="仿宋" w:cs="仿宋"/>
        </w:rPr>
      </w:pPr>
      <w:r>
        <w:rPr>
          <w:rFonts w:hint="eastAsia" w:ascii="思源黑体 CN Normal" w:hAnsi="思源黑体 CN Normal" w:eastAsia="思源黑体 CN Normal" w:cs="思源黑体 CN Normal"/>
        </w:rPr>
        <w:drawing>
          <wp:inline distT="0" distB="0" distL="0" distR="0">
            <wp:extent cx="2608580" cy="1837690"/>
            <wp:effectExtent l="4445" t="4445" r="1587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9D76AF">
      <w:pPr>
        <w:pageBreakBefore w:val="0"/>
        <w:kinsoku/>
        <w:wordWrap/>
        <w:topLinePunct w:val="0"/>
        <w:bidi w:val="0"/>
        <w:spacing w:line="576" w:lineRule="exact"/>
        <w:ind w:leftChars="0" w:firstLine="640"/>
        <w:rPr>
          <w:rFonts w:hint="eastAsia" w:ascii="仿宋_GB2312" w:eastAsia="仿宋_GB2312" w:cs="宋体"/>
          <w:color w:val="000000"/>
          <w:kern w:val="0"/>
          <w:sz w:val="32"/>
          <w:szCs w:val="32"/>
          <w:shd w:val="clear" w:color="auto" w:fill="FFFFFF"/>
          <w:lang w:val="zh-CN"/>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w:t>
      </w:r>
      <w:r>
        <w:rPr>
          <w:rFonts w:ascii="仿宋" w:hAnsi="仿宋" w:eastAsia="仿宋" w:cs="仿宋"/>
          <w:color w:val="000000"/>
          <w:sz w:val="32"/>
          <w:u w:color="auto"/>
        </w:rPr>
        <w:t>万元,</w:t>
      </w:r>
      <w:r>
        <w:rPr>
          <w:rFonts w:hint="eastAsia" w:ascii="仿宋_GB2312" w:eastAsia="仿宋_GB2312" w:cs="宋体"/>
          <w:color w:val="000000"/>
          <w:kern w:val="0"/>
          <w:sz w:val="32"/>
          <w:szCs w:val="32"/>
          <w:shd w:val="clear" w:color="auto" w:fill="FFFFFF"/>
          <w:lang w:val="zh-CN"/>
        </w:rPr>
        <w:t xml:space="preserve">完成预算100%。全年安排因公出国（境）团组0次，出国（境）0人。因公出国（境）支出决算比2023年增加0万元，增长0%。 </w:t>
      </w:r>
    </w:p>
    <w:p w14:paraId="327BF985">
      <w:pPr>
        <w:pageBreakBefore w:val="0"/>
        <w:kinsoku/>
        <w:wordWrap/>
        <w:topLinePunct w:val="0"/>
        <w:bidi w:val="0"/>
        <w:spacing w:line="576" w:lineRule="exact"/>
        <w:ind w:leftChars="0" w:firstLine="640"/>
        <w:rPr>
          <w:rFonts w:hint="eastAsia" w:ascii="仿宋_GB2312" w:eastAsia="仿宋_GB2312" w:cs="宋体"/>
          <w:color w:val="000000"/>
          <w:kern w:val="0"/>
          <w:sz w:val="32"/>
          <w:szCs w:val="32"/>
          <w:shd w:val="clear" w:color="auto" w:fill="FFFFFF"/>
          <w:lang w:val="zh-CN"/>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12.28</w:t>
      </w:r>
      <w:r>
        <w:rPr>
          <w:rFonts w:ascii="仿宋" w:hAnsi="仿宋" w:eastAsia="仿宋" w:cs="仿宋"/>
          <w:color w:val="000000"/>
          <w:sz w:val="32"/>
          <w:u w:color="auto"/>
        </w:rPr>
        <w:t>万元,</w:t>
      </w:r>
      <w:r>
        <w:rPr>
          <w:rFonts w:hint="eastAsia" w:ascii="仿宋_GB2312" w:eastAsia="仿宋_GB2312" w:cs="宋体"/>
          <w:color w:val="000000"/>
          <w:kern w:val="0"/>
          <w:sz w:val="32"/>
          <w:szCs w:val="32"/>
          <w:shd w:val="clear" w:color="auto" w:fill="FFFFFF"/>
          <w:lang w:val="zh-CN"/>
        </w:rPr>
        <w:t>完成预算100%。公务用车购置及运行维护费支出决算比2023</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 xml:space="preserve">减少0.85万元，下降6.4%。 </w:t>
      </w:r>
    </w:p>
    <w:p w14:paraId="7D2B639A">
      <w:pPr>
        <w:pageBreakBefore w:val="0"/>
        <w:kinsoku/>
        <w:wordWrap/>
        <w:topLinePunct w:val="0"/>
        <w:bidi w:val="0"/>
        <w:spacing w:line="576" w:lineRule="exact"/>
        <w:ind w:leftChars="0" w:firstLine="640" w:firstLineChars="200"/>
        <w:rPr>
          <w:rFonts w:hint="eastAsia" w:ascii="仿宋_GB2312" w:eastAsia="仿宋_GB2312" w:cs="宋体"/>
          <w:color w:val="000000"/>
          <w:kern w:val="0"/>
          <w:sz w:val="32"/>
          <w:szCs w:val="32"/>
          <w:shd w:val="clear" w:color="auto" w:fill="FFFFFF"/>
          <w:lang w:val="en-US" w:eastAsia="zh-CN"/>
        </w:rPr>
      </w:pPr>
      <w:r>
        <w:rPr>
          <w:rFonts w:hint="eastAsia" w:ascii="仿宋" w:hAnsi="仿宋" w:eastAsia="仿宋" w:cs="仿宋"/>
          <w:color w:val="auto"/>
          <w:sz w:val="32"/>
          <w:szCs w:val="32"/>
          <w:highlight w:val="none"/>
        </w:rPr>
        <w:t>其中：</w:t>
      </w:r>
      <w:r>
        <w:rPr>
          <w:rFonts w:hint="eastAsia" w:ascii="仿宋" w:hAnsi="仿宋" w:eastAsia="仿宋" w:cs="仿宋"/>
          <w:b/>
          <w:bCs/>
          <w:color w:val="auto"/>
          <w:sz w:val="32"/>
          <w:szCs w:val="32"/>
          <w:highlight w:val="none"/>
        </w:rPr>
        <w:t>公务用车购置支出</w:t>
      </w:r>
      <w:r>
        <w:rPr>
          <w:rFonts w:hint="eastAsia" w:ascii="仿宋" w:hAnsi="仿宋" w:eastAsia="仿宋" w:cs="仿宋"/>
          <w:color w:val="auto"/>
          <w:sz w:val="32"/>
          <w:szCs w:val="32"/>
          <w:highlight w:val="none"/>
        </w:rPr>
        <w:t>0</w:t>
      </w:r>
      <w:r>
        <w:rPr>
          <w:rFonts w:ascii="仿宋" w:hAnsi="仿宋" w:eastAsia="仿宋" w:cs="仿宋"/>
          <w:color w:val="auto"/>
          <w:sz w:val="32"/>
          <w:highlight w:val="none"/>
          <w:u w:color="auto"/>
        </w:rPr>
        <w:t>万元。</w:t>
      </w:r>
      <w:r>
        <w:rPr>
          <w:rFonts w:hint="eastAsia" w:ascii="仿宋_GB2312" w:eastAsia="仿宋_GB2312" w:cs="宋体"/>
          <w:color w:val="000000"/>
          <w:kern w:val="0"/>
          <w:sz w:val="32"/>
          <w:szCs w:val="32"/>
          <w:shd w:val="clear" w:color="auto" w:fill="FFFFFF"/>
          <w:lang w:val="zh-CN"/>
        </w:rPr>
        <w:t>全年按规定更新购置公务用车</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辆，其中：轿车</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辆、金额</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万元，越野车</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辆、金额</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万元，载客汽车</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辆、金额</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万元。截至2024年12月</w:t>
      </w:r>
      <w:r>
        <w:rPr>
          <w:rFonts w:hint="eastAsia" w:ascii="仿宋_GB2312" w:eastAsia="仿宋_GB2312" w:cs="宋体"/>
          <w:color w:val="000000"/>
          <w:kern w:val="0"/>
          <w:sz w:val="32"/>
          <w:szCs w:val="32"/>
          <w:shd w:val="clear" w:color="auto" w:fill="FFFFFF"/>
          <w:lang w:val="en-US" w:eastAsia="zh-CN"/>
        </w:rPr>
        <w:t>31日</w:t>
      </w:r>
      <w:r>
        <w:rPr>
          <w:rFonts w:hint="eastAsia" w:ascii="仿宋_GB2312" w:eastAsia="仿宋_GB2312" w:cs="宋体"/>
          <w:color w:val="000000"/>
          <w:kern w:val="0"/>
          <w:sz w:val="32"/>
          <w:szCs w:val="32"/>
          <w:shd w:val="clear" w:color="auto" w:fill="FFFFFF"/>
          <w:lang w:val="zh-CN"/>
        </w:rPr>
        <w:t>，单位共有公务用车2辆，其中：轿车</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辆、越野车</w:t>
      </w:r>
      <w:r>
        <w:rPr>
          <w:rFonts w:hint="eastAsia" w:ascii="仿宋_GB2312" w:eastAsia="仿宋_GB2312" w:cs="宋体"/>
          <w:color w:val="000000"/>
          <w:kern w:val="0"/>
          <w:sz w:val="32"/>
          <w:szCs w:val="32"/>
          <w:shd w:val="clear" w:color="auto" w:fill="FFFFFF"/>
          <w:lang w:val="en-US" w:eastAsia="zh-CN"/>
        </w:rPr>
        <w:t>2</w:t>
      </w:r>
      <w:r>
        <w:rPr>
          <w:rFonts w:hint="eastAsia" w:ascii="仿宋_GB2312" w:eastAsia="仿宋_GB2312" w:cs="宋体"/>
          <w:color w:val="000000"/>
          <w:kern w:val="0"/>
          <w:sz w:val="32"/>
          <w:szCs w:val="32"/>
          <w:shd w:val="clear" w:color="auto" w:fill="FFFFFF"/>
          <w:lang w:val="zh-CN"/>
        </w:rPr>
        <w:t>辆、载客汽车</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辆</w:t>
      </w:r>
      <w:r>
        <w:rPr>
          <w:rFonts w:hint="eastAsia" w:ascii="仿宋_GB2312" w:eastAsia="仿宋_GB2312" w:cs="宋体"/>
          <w:color w:val="000000"/>
          <w:kern w:val="0"/>
          <w:sz w:val="32"/>
          <w:szCs w:val="32"/>
          <w:shd w:val="clear" w:color="auto" w:fill="FFFFFF"/>
          <w:lang w:val="en-US" w:eastAsia="zh-CN"/>
        </w:rPr>
        <w:t>。</w:t>
      </w:r>
    </w:p>
    <w:p w14:paraId="2ED6A1A6">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12.28</w:t>
      </w:r>
      <w:r>
        <w:rPr>
          <w:rFonts w:ascii="仿宋" w:hAnsi="仿宋" w:eastAsia="仿宋" w:cs="仿宋"/>
          <w:color w:val="000000"/>
          <w:sz w:val="32"/>
          <w:u w:color="auto"/>
        </w:rPr>
        <w:t xml:space="preserve">万元。 </w:t>
      </w:r>
    </w:p>
    <w:p w14:paraId="2C1431EB">
      <w:pPr>
        <w:pageBreakBefore w:val="0"/>
        <w:kinsoku/>
        <w:wordWrap/>
        <w:topLinePunct w:val="0"/>
        <w:bidi w:val="0"/>
        <w:spacing w:line="576" w:lineRule="exact"/>
        <w:ind w:leftChars="0" w:firstLine="640"/>
        <w:rPr>
          <w:rFonts w:hint="eastAsia" w:ascii="仿宋_GB2312" w:eastAsia="仿宋_GB2312" w:cs="宋体"/>
          <w:color w:val="000000"/>
          <w:kern w:val="0"/>
          <w:sz w:val="32"/>
          <w:szCs w:val="32"/>
          <w:shd w:val="clear" w:color="auto" w:fill="FFFFFF"/>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0.15</w:t>
      </w:r>
      <w:r>
        <w:rPr>
          <w:rFonts w:ascii="仿宋" w:hAnsi="仿宋" w:eastAsia="仿宋" w:cs="仿宋"/>
          <w:color w:val="000000"/>
          <w:sz w:val="32"/>
          <w:u w:color="auto"/>
        </w:rPr>
        <w:t>万元，</w:t>
      </w:r>
      <w:r>
        <w:rPr>
          <w:rFonts w:hint="eastAsia" w:ascii="仿宋_GB2312" w:eastAsia="仿宋_GB2312" w:cs="宋体"/>
          <w:color w:val="000000"/>
          <w:kern w:val="0"/>
          <w:sz w:val="32"/>
          <w:szCs w:val="32"/>
          <w:shd w:val="clear" w:color="auto" w:fill="FFFFFF"/>
          <w:lang w:val="zh-CN"/>
        </w:rPr>
        <w:t>完成预算100%。公务接待费支出决算比2023</w:t>
      </w:r>
      <w:r>
        <w:rPr>
          <w:rFonts w:hint="eastAsia" w:ascii="仿宋_GB2312" w:eastAsia="仿宋_GB2312" w:cs="宋体"/>
          <w:color w:val="000000"/>
          <w:kern w:val="0"/>
          <w:sz w:val="32"/>
          <w:szCs w:val="32"/>
          <w:shd w:val="clear" w:color="auto" w:fill="FFFFFF"/>
          <w:lang w:val="en-US" w:eastAsia="zh-CN"/>
        </w:rPr>
        <w:t>年度</w:t>
      </w:r>
      <w:r>
        <w:rPr>
          <w:rFonts w:hint="eastAsia" w:ascii="仿宋_GB2312" w:eastAsia="仿宋_GB2312" w:cs="宋体"/>
          <w:color w:val="000000"/>
          <w:kern w:val="0"/>
          <w:sz w:val="32"/>
          <w:szCs w:val="32"/>
          <w:shd w:val="clear" w:color="auto" w:fill="FFFFFF"/>
          <w:lang w:val="zh-CN"/>
        </w:rPr>
        <w:t>增加0.09万元，增长147.9%。</w:t>
      </w:r>
      <w:bookmarkStart w:id="57" w:name="_Toc15377218"/>
      <w:r>
        <w:rPr>
          <w:rFonts w:hint="eastAsia" w:ascii="仿宋_GB2312" w:eastAsia="仿宋_GB2312" w:cs="宋体"/>
          <w:color w:val="000000"/>
          <w:kern w:val="0"/>
          <w:sz w:val="32"/>
          <w:szCs w:val="32"/>
          <w:shd w:val="clear" w:color="auto" w:fill="FFFFFF"/>
          <w:lang w:val="zh-CN"/>
        </w:rPr>
        <w:t xml:space="preserve"> </w:t>
      </w:r>
      <w:r>
        <w:rPr>
          <w:rFonts w:hint="eastAsia" w:ascii="仿宋_GB2312" w:eastAsia="仿宋_GB2312" w:cs="宋体"/>
          <w:color w:val="000000"/>
          <w:kern w:val="0"/>
          <w:sz w:val="32"/>
          <w:szCs w:val="32"/>
          <w:shd w:val="clear" w:color="auto" w:fill="FFFFFF"/>
          <w:lang w:val="en-US" w:eastAsia="zh-CN"/>
        </w:rPr>
        <w:t>其中：</w:t>
      </w:r>
    </w:p>
    <w:p w14:paraId="7F3EE578">
      <w:pPr>
        <w:pageBreakBefore w:val="0"/>
        <w:kinsoku/>
        <w:wordWrap/>
        <w:topLinePunct w:val="0"/>
        <w:bidi w:val="0"/>
        <w:spacing w:line="576" w:lineRule="exact"/>
        <w:ind w:leftChars="0" w:firstLine="640"/>
        <w:rPr>
          <w:rFonts w:hint="eastAsia" w:ascii="仿宋_GB2312" w:eastAsia="仿宋_GB2312" w:cs="宋体"/>
          <w:color w:val="000000"/>
          <w:kern w:val="0"/>
          <w:sz w:val="32"/>
          <w:szCs w:val="32"/>
          <w:shd w:val="clear" w:color="auto" w:fill="FFFFFF"/>
          <w:lang w:val="zh-CN"/>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0.15</w:t>
      </w:r>
      <w:r>
        <w:rPr>
          <w:rFonts w:ascii="仿宋" w:hAnsi="仿宋" w:eastAsia="仿宋" w:cs="仿宋"/>
          <w:color w:val="000000"/>
          <w:sz w:val="32"/>
          <w:u w:color="auto"/>
        </w:rPr>
        <w:t>万元，</w:t>
      </w:r>
      <w:r>
        <w:rPr>
          <w:rFonts w:hint="eastAsia" w:ascii="仿宋_GB2312" w:eastAsia="仿宋_GB2312" w:cs="宋体"/>
          <w:color w:val="000000"/>
          <w:kern w:val="0"/>
          <w:sz w:val="32"/>
          <w:szCs w:val="32"/>
          <w:shd w:val="clear" w:color="auto" w:fill="FFFFFF"/>
          <w:lang w:val="zh-CN"/>
        </w:rPr>
        <w:t>主要用于执行公务、开展业务活动开支的交通费、住宿费、用餐费等。国内公务接待4批次，24人次，共计支出0.15万元。</w:t>
      </w:r>
    </w:p>
    <w:p w14:paraId="662C5F0F">
      <w:pPr>
        <w:pStyle w:val="5"/>
        <w:pageBreakBefore w:val="0"/>
        <w:kinsoku/>
        <w:wordWrap/>
        <w:topLinePunct w:val="0"/>
        <w:bidi w:val="0"/>
        <w:spacing w:line="576" w:lineRule="exact"/>
        <w:ind w:leftChars="0"/>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w:t>
      </w:r>
      <w:r>
        <w:rPr>
          <w:rFonts w:ascii="仿宋" w:hAnsi="仿宋" w:eastAsia="仿宋" w:cs="仿宋"/>
          <w:color w:val="000000"/>
          <w:sz w:val="32"/>
          <w:u w:color="auto"/>
        </w:rPr>
        <w:t>万元，</w:t>
      </w:r>
      <w:r>
        <w:rPr>
          <w:rFonts w:hint="eastAsia" w:ascii="仿宋_GB2312" w:hAnsi="Times New Roman" w:eastAsia="仿宋_GB2312" w:cs="宋体"/>
          <w:color w:val="000000"/>
          <w:kern w:val="0"/>
          <w:sz w:val="32"/>
          <w:szCs w:val="32"/>
          <w:shd w:val="clear" w:color="auto" w:fill="FFFFFF"/>
          <w:lang w:val="zh-CN" w:eastAsia="zh-CN" w:bidi="ar-SA"/>
        </w:rPr>
        <w:t>外事接待0批次，0人次，共计支出0万元。</w:t>
      </w:r>
    </w:p>
    <w:p w14:paraId="5DA11626">
      <w:pPr>
        <w:pStyle w:val="3"/>
        <w:pageBreakBefore w:val="0"/>
        <w:kinsoku/>
        <w:wordWrap/>
        <w:topLinePunct w:val="0"/>
        <w:bidi w:val="0"/>
        <w:spacing w:before="0" w:after="0" w:line="576" w:lineRule="exact"/>
        <w:ind w:leftChars="0" w:firstLine="640" w:firstLineChars="200"/>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1C230691">
      <w:pPr>
        <w:spacing w:line="600" w:lineRule="exact"/>
        <w:ind w:firstLine="640" w:firstLineChars="200"/>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2024</w:t>
      </w:r>
      <w:r>
        <w:rPr>
          <w:rFonts w:hint="eastAsia" w:ascii="仿宋_GB2312" w:hAnsi="Times New Roman" w:eastAsia="仿宋_GB2312" w:cs="宋体"/>
          <w:color w:val="000000"/>
          <w:kern w:val="0"/>
          <w:sz w:val="32"/>
          <w:szCs w:val="32"/>
          <w:shd w:val="clear" w:color="auto" w:fill="FFFFFF"/>
          <w:lang w:val="en-US" w:eastAsia="zh-CN" w:bidi="ar-SA"/>
        </w:rPr>
        <w:t>年度</w:t>
      </w:r>
      <w:r>
        <w:rPr>
          <w:rFonts w:hint="eastAsia" w:ascii="仿宋_GB2312" w:hAnsi="Times New Roman" w:eastAsia="仿宋_GB2312" w:cs="宋体"/>
          <w:color w:val="000000"/>
          <w:kern w:val="0"/>
          <w:sz w:val="32"/>
          <w:szCs w:val="32"/>
          <w:shd w:val="clear" w:color="auto" w:fill="FFFFFF"/>
          <w:lang w:val="zh-CN" w:eastAsia="zh-CN" w:bidi="ar-SA"/>
        </w:rPr>
        <w:t>政府性基金预算拨款支出364.48万元</w:t>
      </w:r>
      <w:bookmarkStart w:id="60" w:name="_Toc15377219"/>
      <w:r>
        <w:rPr>
          <w:rFonts w:hint="eastAsia" w:ascii="仿宋_GB2312" w:hAnsi="Times New Roman" w:eastAsia="仿宋_GB2312" w:cs="宋体"/>
          <w:color w:val="000000"/>
          <w:kern w:val="0"/>
          <w:sz w:val="32"/>
          <w:szCs w:val="32"/>
          <w:shd w:val="clear" w:color="auto" w:fill="FFFFFF"/>
          <w:lang w:val="en-US" w:eastAsia="zh-CN" w:bidi="ar-SA"/>
        </w:rPr>
        <w:t>，占本年支出合计的</w:t>
      </w:r>
      <w:r>
        <w:rPr>
          <w:rFonts w:hint="eastAsia" w:ascii="仿宋_GB2312" w:hAnsi="Times New Roman" w:eastAsia="仿宋_GB2312" w:cs="宋体"/>
          <w:color w:val="000000"/>
          <w:kern w:val="0"/>
          <w:sz w:val="32"/>
          <w:szCs w:val="32"/>
          <w:shd w:val="clear" w:color="auto" w:fill="FFFFFF"/>
          <w:lang w:val="zh-CN" w:eastAsia="zh-CN" w:bidi="ar-SA"/>
        </w:rPr>
        <w:t>12.1%</w:t>
      </w:r>
      <w:r>
        <w:rPr>
          <w:rFonts w:hint="eastAsia" w:ascii="仿宋_GB2312" w:hAnsi="Times New Roman" w:eastAsia="仿宋_GB2312" w:cs="宋体"/>
          <w:color w:val="000000"/>
          <w:kern w:val="0"/>
          <w:sz w:val="32"/>
          <w:szCs w:val="32"/>
          <w:shd w:val="clear" w:color="auto" w:fill="FFFFFF"/>
          <w:lang w:val="en-US" w:eastAsia="zh-CN" w:bidi="ar-SA"/>
        </w:rPr>
        <w:t>。与</w:t>
      </w:r>
      <w:r>
        <w:rPr>
          <w:rFonts w:hint="eastAsia" w:ascii="仿宋_GB2312" w:hAnsi="Times New Roman" w:eastAsia="仿宋_GB2312" w:cs="宋体"/>
          <w:color w:val="000000"/>
          <w:kern w:val="0"/>
          <w:sz w:val="32"/>
          <w:szCs w:val="32"/>
          <w:shd w:val="clear" w:color="auto" w:fill="FFFFFF"/>
          <w:lang w:val="zh-CN" w:eastAsia="zh-CN" w:bidi="ar-SA"/>
        </w:rPr>
        <w:t>2023</w:t>
      </w:r>
      <w:r>
        <w:rPr>
          <w:rFonts w:hint="eastAsia" w:ascii="仿宋_GB2312" w:hAnsi="Times New Roman" w:eastAsia="仿宋_GB2312" w:cs="宋体"/>
          <w:color w:val="000000"/>
          <w:kern w:val="0"/>
          <w:sz w:val="32"/>
          <w:szCs w:val="32"/>
          <w:shd w:val="clear" w:color="auto" w:fill="FFFFFF"/>
          <w:lang w:val="en-US" w:eastAsia="zh-CN" w:bidi="ar-SA"/>
        </w:rPr>
        <w:t>年度相比，政府性基金预算财政拨款支出</w:t>
      </w:r>
      <w:r>
        <w:rPr>
          <w:rFonts w:hint="eastAsia" w:ascii="仿宋_GB2312" w:hAnsi="Times New Roman" w:eastAsia="仿宋_GB2312" w:cs="宋体"/>
          <w:color w:val="000000"/>
          <w:kern w:val="0"/>
          <w:sz w:val="32"/>
          <w:szCs w:val="32"/>
          <w:shd w:val="clear" w:color="auto" w:fill="FFFFFF"/>
          <w:lang w:val="zh-CN" w:eastAsia="zh-CN" w:bidi="ar-SA"/>
        </w:rPr>
        <w:t>减少76</w:t>
      </w:r>
      <w:r>
        <w:rPr>
          <w:rFonts w:hint="eastAsia" w:ascii="仿宋_GB2312" w:eastAsia="仿宋_GB2312" w:cs="宋体"/>
          <w:color w:val="000000"/>
          <w:kern w:val="0"/>
          <w:sz w:val="32"/>
          <w:szCs w:val="32"/>
          <w:shd w:val="clear" w:color="auto" w:fill="FFFFFF"/>
          <w:lang w:val="en-US" w:eastAsia="zh-CN" w:bidi="ar-SA"/>
        </w:rPr>
        <w:t>.60</w:t>
      </w:r>
      <w:r>
        <w:rPr>
          <w:rFonts w:hint="eastAsia" w:ascii="仿宋_GB2312" w:hAnsi="Times New Roman" w:eastAsia="仿宋_GB2312" w:cs="宋体"/>
          <w:color w:val="000000"/>
          <w:kern w:val="0"/>
          <w:sz w:val="32"/>
          <w:szCs w:val="32"/>
          <w:shd w:val="clear" w:color="auto" w:fill="FFFFFF"/>
          <w:lang w:val="en-US" w:eastAsia="zh-CN" w:bidi="ar-SA"/>
        </w:rPr>
        <w:t>万元，</w:t>
      </w:r>
      <w:r>
        <w:rPr>
          <w:rFonts w:hint="eastAsia" w:ascii="仿宋_GB2312" w:hAnsi="Times New Roman" w:eastAsia="仿宋_GB2312" w:cs="宋体"/>
          <w:color w:val="000000"/>
          <w:kern w:val="0"/>
          <w:sz w:val="32"/>
          <w:szCs w:val="32"/>
          <w:shd w:val="clear" w:color="auto" w:fill="FFFFFF"/>
          <w:lang w:val="zh-CN" w:eastAsia="zh-CN" w:bidi="ar-SA"/>
        </w:rPr>
        <w:t>下降17.4%。</w:t>
      </w:r>
      <w:r>
        <w:rPr>
          <w:rFonts w:hint="eastAsia" w:ascii="仿宋_GB2312" w:hAnsi="Times New Roman" w:eastAsia="仿宋_GB2312" w:cs="宋体"/>
          <w:color w:val="000000"/>
          <w:kern w:val="0"/>
          <w:sz w:val="32"/>
          <w:szCs w:val="32"/>
          <w:shd w:val="clear" w:color="auto" w:fill="FFFFFF"/>
          <w:lang w:val="en-US" w:eastAsia="zh-CN" w:bidi="ar-SA"/>
        </w:rPr>
        <w:t>减少</w:t>
      </w:r>
      <w:r>
        <w:rPr>
          <w:rFonts w:hint="eastAsia" w:ascii="仿宋_GB2312" w:hAnsi="Times New Roman" w:eastAsia="仿宋_GB2312" w:cs="宋体"/>
          <w:color w:val="000000"/>
          <w:kern w:val="0"/>
          <w:sz w:val="32"/>
          <w:szCs w:val="32"/>
          <w:shd w:val="clear" w:color="auto" w:fill="FFFFFF"/>
          <w:lang w:val="zh-CN" w:eastAsia="zh-CN" w:bidi="ar-SA"/>
        </w:rPr>
        <w:t>主要原因是：</w:t>
      </w:r>
      <w:r>
        <w:rPr>
          <w:rFonts w:hint="eastAsia" w:ascii="仿宋_GB2312" w:hAnsi="Times New Roman" w:eastAsia="仿宋_GB2312" w:cs="宋体"/>
          <w:color w:val="000000"/>
          <w:kern w:val="0"/>
          <w:sz w:val="32"/>
          <w:szCs w:val="32"/>
          <w:shd w:val="clear" w:color="auto" w:fill="FFFFFF"/>
          <w:lang w:val="en-US" w:eastAsia="zh-CN" w:bidi="ar-SA"/>
        </w:rPr>
        <w:t>项目建设资金减少</w:t>
      </w:r>
      <w:r>
        <w:rPr>
          <w:rFonts w:hint="eastAsia" w:ascii="仿宋_GB2312" w:hAnsi="Times New Roman" w:eastAsia="仿宋_GB2312" w:cs="宋体"/>
          <w:color w:val="000000"/>
          <w:kern w:val="0"/>
          <w:sz w:val="32"/>
          <w:szCs w:val="32"/>
          <w:shd w:val="clear" w:color="auto" w:fill="FFFFFF"/>
          <w:lang w:val="zh-CN" w:eastAsia="zh-CN" w:bidi="ar-SA"/>
        </w:rPr>
        <w:t xml:space="preserve">。 </w:t>
      </w:r>
    </w:p>
    <w:p w14:paraId="79E1D034">
      <w:pPr>
        <w:pStyle w:val="3"/>
        <w:pageBreakBefore w:val="0"/>
        <w:widowControl w:val="0"/>
        <w:kinsoku/>
        <w:wordWrap/>
        <w:overflowPunct/>
        <w:topLinePunct w:val="0"/>
        <w:autoSpaceDE/>
        <w:autoSpaceDN/>
        <w:bidi w:val="0"/>
        <w:adjustRightInd/>
        <w:snapToGrid/>
        <w:spacing w:before="0" w:after="0" w:line="576" w:lineRule="exact"/>
        <w:ind w:leftChars="0" w:firstLine="640" w:firstLineChars="200"/>
        <w:textAlignment w:val="auto"/>
        <w:rPr>
          <w:rFonts w:hint="eastAsia" w:ascii="黑体" w:hAnsi="黑体" w:eastAsia="黑体" w:cs="黑体"/>
          <w:b w:val="0"/>
          <w:bCs/>
          <w:color w:val="000000"/>
        </w:rPr>
      </w:pPr>
      <w:bookmarkStart w:id="61" w:name="_Toc111208507"/>
      <w:bookmarkStart w:id="62" w:name="_Toc23467"/>
      <w:r>
        <w:rPr>
          <w:rFonts w:hint="eastAsia" w:ascii="黑体" w:hAnsi="黑体" w:eastAsia="黑体" w:cs="黑体"/>
          <w:b w:val="0"/>
          <w:bCs/>
          <w:color w:val="000000"/>
        </w:rPr>
        <w:t>九、国有资本经营预算支出决算情况说明</w:t>
      </w:r>
      <w:bookmarkEnd w:id="60"/>
      <w:bookmarkEnd w:id="61"/>
      <w:bookmarkEnd w:id="62"/>
    </w:p>
    <w:p w14:paraId="3A5EDB82">
      <w:pPr>
        <w:pageBreakBefore w:val="0"/>
        <w:widowControl w:val="0"/>
        <w:kinsoku/>
        <w:wordWrap/>
        <w:overflowPunct/>
        <w:topLinePunct w:val="0"/>
        <w:autoSpaceDE/>
        <w:autoSpaceDN/>
        <w:bidi w:val="0"/>
        <w:adjustRightInd/>
        <w:snapToGrid/>
        <w:spacing w:line="576" w:lineRule="exact"/>
        <w:ind w:leftChars="0" w:firstLine="640"/>
        <w:textAlignment w:val="auto"/>
        <w:rPr>
          <w:rFonts w:hint="eastAsia"/>
        </w:rPr>
      </w:pPr>
      <w:r>
        <w:rPr>
          <w:rFonts w:hint="eastAsia" w:ascii="仿宋_GB2312" w:hAnsi="Times New Roman" w:eastAsia="仿宋_GB2312" w:cs="宋体"/>
          <w:color w:val="000000"/>
          <w:kern w:val="0"/>
          <w:sz w:val="32"/>
          <w:szCs w:val="32"/>
          <w:shd w:val="clear" w:color="auto" w:fill="FFFFFF"/>
          <w:lang w:val="zh-CN" w:eastAsia="zh-CN" w:bidi="ar-SA"/>
        </w:rPr>
        <w:t>2024</w:t>
      </w:r>
      <w:r>
        <w:rPr>
          <w:rFonts w:hint="eastAsia" w:ascii="仿宋_GB2312" w:hAnsi="Times New Roman" w:eastAsia="仿宋_GB2312" w:cs="宋体"/>
          <w:color w:val="000000"/>
          <w:kern w:val="0"/>
          <w:sz w:val="32"/>
          <w:szCs w:val="32"/>
          <w:shd w:val="clear" w:color="auto" w:fill="FFFFFF"/>
          <w:lang w:val="en-US" w:eastAsia="zh-CN" w:bidi="ar-SA"/>
        </w:rPr>
        <w:t>年度</w:t>
      </w:r>
      <w:r>
        <w:rPr>
          <w:rFonts w:hint="eastAsia" w:ascii="仿宋_GB2312" w:hAnsi="Times New Roman" w:eastAsia="仿宋_GB2312" w:cs="宋体"/>
          <w:color w:val="000000"/>
          <w:kern w:val="0"/>
          <w:sz w:val="32"/>
          <w:szCs w:val="32"/>
          <w:shd w:val="clear" w:color="auto" w:fill="FFFFFF"/>
          <w:lang w:val="zh-CN" w:eastAsia="zh-CN" w:bidi="ar-SA"/>
        </w:rPr>
        <w:t>国有资本经营预算拨款支出0万元。</w:t>
      </w:r>
      <w:r>
        <w:rPr>
          <w:rFonts w:ascii="仿宋" w:hAnsi="仿宋" w:eastAsia="仿宋" w:cs="仿宋"/>
          <w:color w:val="000000"/>
          <w:sz w:val="32"/>
          <w:u w:color="auto"/>
        </w:rPr>
        <w:t xml:space="preserve"> </w:t>
      </w:r>
    </w:p>
    <w:p w14:paraId="76FD0E14">
      <w:pPr>
        <w:pStyle w:val="3"/>
        <w:pageBreakBefore w:val="0"/>
        <w:widowControl w:val="0"/>
        <w:kinsoku/>
        <w:wordWrap/>
        <w:overflowPunct/>
        <w:topLinePunct w:val="0"/>
        <w:autoSpaceDE/>
        <w:autoSpaceDN/>
        <w:bidi w:val="0"/>
        <w:adjustRightInd/>
        <w:snapToGrid/>
        <w:spacing w:before="0" w:after="0" w:line="576" w:lineRule="exact"/>
        <w:ind w:leftChars="0" w:firstLine="640" w:firstLineChars="200"/>
        <w:textAlignment w:val="auto"/>
        <w:rPr>
          <w:rFonts w:hint="eastAsia" w:ascii="黑体" w:hAnsi="黑体" w:eastAsia="黑体" w:cs="黑体"/>
          <w:b w:val="0"/>
          <w:bCs/>
          <w:color w:val="000000"/>
        </w:rPr>
      </w:pPr>
      <w:bookmarkStart w:id="63" w:name="_Toc111208508"/>
      <w:bookmarkStart w:id="64" w:name="_Toc18455"/>
      <w:bookmarkStart w:id="65" w:name="_Toc15377221"/>
      <w:r>
        <w:rPr>
          <w:rFonts w:hint="eastAsia" w:ascii="黑体" w:hAnsi="黑体" w:eastAsia="黑体" w:cs="黑体"/>
          <w:b w:val="0"/>
          <w:bCs/>
          <w:color w:val="000000"/>
        </w:rPr>
        <w:t>十、其他重要事项的情况说明</w:t>
      </w:r>
      <w:bookmarkEnd w:id="63"/>
      <w:bookmarkEnd w:id="64"/>
      <w:bookmarkEnd w:id="65"/>
    </w:p>
    <w:p w14:paraId="019CBB22">
      <w:pPr>
        <w:pageBreakBefore w:val="0"/>
        <w:widowControl w:val="0"/>
        <w:kinsoku/>
        <w:wordWrap/>
        <w:overflowPunct/>
        <w:topLinePunct w:val="0"/>
        <w:autoSpaceDE/>
        <w:autoSpaceDN/>
        <w:bidi w:val="0"/>
        <w:adjustRightInd/>
        <w:snapToGrid/>
        <w:spacing w:line="576" w:lineRule="exact"/>
        <w:ind w:leftChars="0" w:firstLine="643"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14:paraId="527675A8">
      <w:pPr>
        <w:pageBreakBefore w:val="0"/>
        <w:widowControl w:val="0"/>
        <w:kinsoku/>
        <w:wordWrap/>
        <w:overflowPunct/>
        <w:topLinePunct w:val="0"/>
        <w:autoSpaceDE/>
        <w:autoSpaceDN/>
        <w:bidi w:val="0"/>
        <w:adjustRightInd/>
        <w:snapToGrid/>
        <w:spacing w:line="576" w:lineRule="exact"/>
        <w:ind w:leftChars="0" w:firstLine="64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2024</w:t>
      </w:r>
      <w:r>
        <w:rPr>
          <w:rFonts w:hint="eastAsia" w:ascii="仿宋_GB2312" w:hAnsi="Times New Roman" w:eastAsia="仿宋_GB2312" w:cs="宋体"/>
          <w:color w:val="000000"/>
          <w:kern w:val="0"/>
          <w:sz w:val="32"/>
          <w:szCs w:val="32"/>
          <w:shd w:val="clear" w:color="auto" w:fill="FFFFFF"/>
          <w:lang w:val="en-US" w:eastAsia="zh-CN" w:bidi="ar-SA"/>
        </w:rPr>
        <w:t>年度</w:t>
      </w:r>
      <w:r>
        <w:rPr>
          <w:rFonts w:hint="eastAsia" w:ascii="仿宋_GB2312" w:hAnsi="Times New Roman" w:eastAsia="仿宋_GB2312" w:cs="宋体"/>
          <w:color w:val="000000"/>
          <w:kern w:val="0"/>
          <w:sz w:val="32"/>
          <w:szCs w:val="32"/>
          <w:shd w:val="clear" w:color="auto" w:fill="FFFFFF"/>
          <w:lang w:val="zh-CN" w:eastAsia="zh-CN" w:bidi="ar-SA"/>
        </w:rPr>
        <w:t xml:space="preserve">，茂县水务局机关运行经费支出8.23万元，比2023年减少0.06万元，下降0.7%。 </w:t>
      </w:r>
    </w:p>
    <w:p w14:paraId="66094D57">
      <w:pPr>
        <w:pageBreakBefore w:val="0"/>
        <w:widowControl w:val="0"/>
        <w:kinsoku/>
        <w:wordWrap/>
        <w:overflowPunct/>
        <w:topLinePunct w:val="0"/>
        <w:autoSpaceDE/>
        <w:autoSpaceDN/>
        <w:bidi w:val="0"/>
        <w:adjustRightInd/>
        <w:snapToGrid/>
        <w:spacing w:line="576" w:lineRule="exact"/>
        <w:ind w:leftChars="0" w:firstLine="643" w:firstLineChars="200"/>
        <w:textAlignment w:val="auto"/>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14:paraId="2CEFD7AE">
      <w:pPr>
        <w:pageBreakBefore w:val="0"/>
        <w:widowControl w:val="0"/>
        <w:kinsoku/>
        <w:wordWrap/>
        <w:overflowPunct/>
        <w:topLinePunct w:val="0"/>
        <w:autoSpaceDE/>
        <w:autoSpaceDN/>
        <w:bidi w:val="0"/>
        <w:adjustRightInd/>
        <w:snapToGrid/>
        <w:spacing w:line="576" w:lineRule="exact"/>
        <w:ind w:leftChars="0" w:firstLine="64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2024</w:t>
      </w:r>
      <w:r>
        <w:rPr>
          <w:rFonts w:hint="eastAsia" w:ascii="仿宋_GB2312" w:hAnsi="Times New Roman" w:eastAsia="仿宋_GB2312" w:cs="宋体"/>
          <w:color w:val="000000"/>
          <w:kern w:val="0"/>
          <w:sz w:val="32"/>
          <w:szCs w:val="32"/>
          <w:shd w:val="clear" w:color="auto" w:fill="FFFFFF"/>
          <w:lang w:val="en-US" w:eastAsia="zh-CN" w:bidi="ar-SA"/>
        </w:rPr>
        <w:t>年度</w:t>
      </w:r>
      <w:r>
        <w:rPr>
          <w:rFonts w:hint="eastAsia" w:ascii="仿宋_GB2312" w:hAnsi="Times New Roman" w:eastAsia="仿宋_GB2312" w:cs="宋体"/>
          <w:color w:val="000000"/>
          <w:kern w:val="0"/>
          <w:sz w:val="32"/>
          <w:szCs w:val="32"/>
          <w:shd w:val="clear" w:color="auto" w:fill="FFFFFF"/>
          <w:lang w:val="zh-CN" w:eastAsia="zh-CN" w:bidi="ar-SA"/>
        </w:rPr>
        <w:t>，茂县水务局政府采购支出总额754.24万元，其中：政府采购货物支出544.24万元、政府采购工程支出0万元、政府采购服务支出210</w:t>
      </w:r>
      <w:r>
        <w:rPr>
          <w:rFonts w:hint="eastAsia" w:ascii="仿宋_GB2312" w:hAnsi="Times New Roman" w:eastAsia="仿宋_GB2312" w:cs="宋体"/>
          <w:color w:val="000000"/>
          <w:kern w:val="0"/>
          <w:sz w:val="32"/>
          <w:szCs w:val="32"/>
          <w:shd w:val="clear" w:color="auto" w:fill="FFFFFF"/>
          <w:lang w:val="en-US" w:eastAsia="zh-CN" w:bidi="ar-SA"/>
        </w:rPr>
        <w:t>.00</w:t>
      </w:r>
      <w:r>
        <w:rPr>
          <w:rFonts w:hint="eastAsia" w:ascii="仿宋_GB2312" w:hAnsi="Times New Roman" w:eastAsia="仿宋_GB2312" w:cs="宋体"/>
          <w:color w:val="000000"/>
          <w:kern w:val="0"/>
          <w:sz w:val="32"/>
          <w:szCs w:val="32"/>
          <w:shd w:val="clear" w:color="auto" w:fill="FFFFFF"/>
          <w:lang w:val="zh-CN" w:eastAsia="zh-CN" w:bidi="ar-SA"/>
        </w:rPr>
        <w:t>万元。授予中小企业合同金额754.24万元，</w:t>
      </w:r>
      <w:r>
        <w:rPr>
          <w:rFonts w:hint="eastAsia" w:ascii="仿宋_GB2312" w:hAnsi="Times New Roman" w:eastAsia="仿宋_GB2312" w:cs="宋体"/>
          <w:color w:val="000000"/>
          <w:kern w:val="0"/>
          <w:sz w:val="32"/>
          <w:szCs w:val="32"/>
          <w:shd w:val="clear" w:color="auto" w:fill="FFFFFF"/>
          <w:lang w:val="en-US" w:eastAsia="zh-CN" w:bidi="ar-SA"/>
        </w:rPr>
        <w:t>占政府采购支出总额的</w:t>
      </w:r>
      <w:r>
        <w:rPr>
          <w:rFonts w:hint="eastAsia" w:ascii="仿宋_GB2312" w:hAnsi="Times New Roman" w:eastAsia="仿宋_GB2312" w:cs="宋体"/>
          <w:color w:val="000000"/>
          <w:kern w:val="0"/>
          <w:sz w:val="32"/>
          <w:szCs w:val="32"/>
          <w:shd w:val="clear" w:color="auto" w:fill="FFFFFF"/>
          <w:lang w:val="zh-CN" w:eastAsia="zh-CN" w:bidi="ar-SA"/>
        </w:rPr>
        <w:t>100%,其中：授予小微企业合同金额754.24万元，占</w:t>
      </w:r>
      <w:r>
        <w:rPr>
          <w:rFonts w:hint="eastAsia" w:ascii="仿宋_GB2312" w:hAnsi="Times New Roman" w:eastAsia="仿宋_GB2312" w:cs="宋体"/>
          <w:color w:val="000000"/>
          <w:kern w:val="0"/>
          <w:sz w:val="32"/>
          <w:szCs w:val="32"/>
          <w:shd w:val="clear" w:color="auto" w:fill="FFFFFF"/>
          <w:lang w:val="en-US" w:eastAsia="zh-CN" w:bidi="ar-SA"/>
        </w:rPr>
        <w:t>政府采购支出总额</w:t>
      </w:r>
      <w:r>
        <w:rPr>
          <w:rFonts w:hint="eastAsia" w:ascii="仿宋_GB2312" w:hAnsi="Times New Roman" w:eastAsia="仿宋_GB2312" w:cs="宋体"/>
          <w:color w:val="000000"/>
          <w:kern w:val="0"/>
          <w:sz w:val="32"/>
          <w:szCs w:val="32"/>
          <w:shd w:val="clear" w:color="auto" w:fill="FFFFFF"/>
          <w:lang w:val="zh-CN" w:eastAsia="zh-CN" w:bidi="ar-SA"/>
        </w:rPr>
        <w:t>的100%。</w:t>
      </w:r>
    </w:p>
    <w:p w14:paraId="12B7C937">
      <w:pPr>
        <w:pageBreakBefore w:val="0"/>
        <w:kinsoku/>
        <w:wordWrap/>
        <w:topLinePunct w:val="0"/>
        <w:bidi w:val="0"/>
        <w:spacing w:line="576" w:lineRule="exact"/>
        <w:ind w:leftChars="0" w:firstLine="643"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14:paraId="17A0ED70">
      <w:pPr>
        <w:pageBreakBefore w:val="0"/>
        <w:widowControl w:val="0"/>
        <w:kinsoku/>
        <w:wordWrap/>
        <w:overflowPunct/>
        <w:topLinePunct w:val="0"/>
        <w:autoSpaceDE/>
        <w:autoSpaceDN/>
        <w:bidi w:val="0"/>
        <w:adjustRightInd/>
        <w:snapToGrid/>
        <w:spacing w:line="576" w:lineRule="exact"/>
        <w:ind w:leftChars="0" w:firstLine="64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截至2024年12月31日，茂县水务局共有车辆2辆，其中：主要领导干部用车0辆、机要通信用车0辆、应急保障用车0辆、其他用车2辆。单价100万元以上专用设备（</w:t>
      </w:r>
      <w:r>
        <w:rPr>
          <w:rFonts w:hint="eastAsia" w:ascii="仿宋_GB2312" w:hAnsi="Times New Roman" w:eastAsia="仿宋_GB2312" w:cs="宋体"/>
          <w:color w:val="000000"/>
          <w:kern w:val="0"/>
          <w:sz w:val="32"/>
          <w:szCs w:val="32"/>
          <w:shd w:val="clear" w:color="auto" w:fill="FFFFFF"/>
          <w:lang w:val="en-US" w:eastAsia="zh-CN" w:bidi="ar-SA"/>
        </w:rPr>
        <w:t>不含车辆</w:t>
      </w:r>
      <w:r>
        <w:rPr>
          <w:rFonts w:hint="eastAsia" w:ascii="仿宋_GB2312" w:hAnsi="Times New Roman" w:eastAsia="仿宋_GB2312" w:cs="宋体"/>
          <w:color w:val="000000"/>
          <w:kern w:val="0"/>
          <w:sz w:val="32"/>
          <w:szCs w:val="32"/>
          <w:shd w:val="clear" w:color="auto" w:fill="FFFFFF"/>
          <w:lang w:val="zh-CN" w:eastAsia="zh-CN" w:bidi="ar-SA"/>
        </w:rPr>
        <w:t>）0台（套）。</w:t>
      </w:r>
    </w:p>
    <w:p w14:paraId="4EF50863">
      <w:pPr>
        <w:pageBreakBefore w:val="0"/>
        <w:kinsoku/>
        <w:wordWrap/>
        <w:topLinePunct w:val="0"/>
        <w:bidi w:val="0"/>
        <w:spacing w:line="576" w:lineRule="exact"/>
        <w:ind w:leftChars="0"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14:paraId="37F14194">
      <w:pPr>
        <w:keepNext w:val="0"/>
        <w:keepLines w:val="0"/>
        <w:pageBreakBefore w:val="0"/>
        <w:widowControl w:val="0"/>
        <w:kinsoku/>
        <w:wordWrap/>
        <w:overflowPunct/>
        <w:topLinePunct w:val="0"/>
        <w:autoSpaceDE/>
        <w:autoSpaceDN/>
        <w:bidi w:val="0"/>
        <w:adjustRightInd/>
        <w:snapToGrid w:val="0"/>
        <w:spacing w:line="576" w:lineRule="exact"/>
        <w:ind w:leftChars="0" w:right="0" w:firstLine="640" w:firstLineChars="200"/>
        <w:jc w:val="left"/>
        <w:textAlignment w:val="auto"/>
        <w:rPr>
          <w:rFonts w:hint="eastAsia" w:ascii="仿宋_GB2312" w:eastAsia="仿宋_GB2312" w:cs="宋体"/>
          <w:color w:val="000000"/>
          <w:kern w:val="0"/>
          <w:sz w:val="32"/>
          <w:szCs w:val="32"/>
          <w:shd w:val="clear" w:color="auto" w:fill="FFFFFF"/>
          <w:lang w:val="en-US" w:eastAsia="zh-CN" w:bidi="ar-SA"/>
        </w:rPr>
      </w:pPr>
      <w:r>
        <w:rPr>
          <w:rFonts w:hint="eastAsia" w:ascii="仿宋" w:hAnsi="仿宋" w:eastAsia="仿宋" w:cs="仿宋"/>
          <w:sz w:val="32"/>
          <w:szCs w:val="32"/>
        </w:rPr>
        <w:t xml:space="preserve"> </w:t>
      </w:r>
      <w:r>
        <w:rPr>
          <w:rFonts w:hint="eastAsia" w:ascii="仿宋_GB2312" w:hAnsi="Times New Roman" w:eastAsia="仿宋_GB2312" w:cs="宋体"/>
          <w:color w:val="000000"/>
          <w:kern w:val="0"/>
          <w:sz w:val="32"/>
          <w:szCs w:val="32"/>
          <w:shd w:val="clear" w:color="auto" w:fill="FFFFFF"/>
          <w:lang w:val="en-US" w:eastAsia="zh-CN" w:bidi="ar-SA"/>
        </w:rPr>
        <w:t>根据预算绩效管理要求，本单位在2024年度预算编制阶段，组织对</w:t>
      </w:r>
      <w:r>
        <w:rPr>
          <w:rFonts w:hint="eastAsia" w:ascii="仿宋_GB2312" w:hAnsi="Times New Roman" w:eastAsia="仿宋_GB2312" w:cs="宋体"/>
          <w:color w:val="000000"/>
          <w:kern w:val="0"/>
          <w:sz w:val="32"/>
          <w:szCs w:val="32"/>
          <w:shd w:val="clear" w:color="auto" w:fill="FFFFFF"/>
          <w:lang w:val="zh-CN" w:eastAsia="zh-CN" w:bidi="ar-SA"/>
        </w:rPr>
        <w:t>2024年度省级水利发展资金（2024年农村安全饮水维修养护项目）、2024年度</w:t>
      </w:r>
      <w:r>
        <w:rPr>
          <w:rFonts w:hint="eastAsia" w:ascii="仿宋_GB2312" w:hAnsi="Times New Roman" w:eastAsia="仿宋_GB2312" w:cs="宋体"/>
          <w:color w:val="000000"/>
          <w:kern w:val="0"/>
          <w:sz w:val="32"/>
          <w:szCs w:val="32"/>
          <w:shd w:val="clear" w:color="auto" w:fill="FFFFFF"/>
          <w:lang w:val="en-US" w:eastAsia="zh-CN" w:bidi="ar-SA"/>
        </w:rPr>
        <w:t>中央</w:t>
      </w:r>
      <w:r>
        <w:rPr>
          <w:rFonts w:hint="eastAsia" w:ascii="仿宋_GB2312" w:hAnsi="Times New Roman" w:eastAsia="仿宋_GB2312" w:cs="宋体"/>
          <w:color w:val="000000"/>
          <w:kern w:val="0"/>
          <w:sz w:val="32"/>
          <w:szCs w:val="32"/>
          <w:shd w:val="clear" w:color="auto" w:fill="FFFFFF"/>
          <w:lang w:val="zh-CN" w:eastAsia="zh-CN" w:bidi="ar-SA"/>
        </w:rPr>
        <w:t>水利发展资金（山洪灾害防治非工程措施）、2024年度中央水利发展资金（2024年农业水价综合改革项目）、</w:t>
      </w:r>
      <w:r>
        <w:rPr>
          <w:rFonts w:hint="eastAsia" w:ascii="仿宋_GB2312" w:hAnsi="Times New Roman" w:eastAsia="仿宋_GB2312" w:cs="宋体"/>
          <w:color w:val="000000"/>
          <w:kern w:val="0"/>
          <w:sz w:val="32"/>
          <w:szCs w:val="32"/>
          <w:shd w:val="clear" w:color="auto" w:fill="FFFFFF"/>
          <w:lang w:val="en-US" w:eastAsia="zh-CN" w:bidi="ar-SA"/>
        </w:rPr>
        <w:t>2024年统筹整合使用财政涉农资金农村安全饮水提升改造项目</w:t>
      </w:r>
      <w:r>
        <w:rPr>
          <w:rFonts w:hint="eastAsia" w:ascii="仿宋_GB2312" w:hAnsi="Times New Roman" w:eastAsia="仿宋_GB2312" w:cs="宋体"/>
          <w:color w:val="000000"/>
          <w:kern w:val="0"/>
          <w:sz w:val="32"/>
          <w:szCs w:val="32"/>
          <w:shd w:val="clear" w:color="auto" w:fill="FFFFFF"/>
          <w:lang w:val="zh-CN" w:eastAsia="zh-CN" w:bidi="ar-SA"/>
        </w:rPr>
        <w:t>、</w:t>
      </w:r>
      <w:r>
        <w:rPr>
          <w:rFonts w:hint="eastAsia" w:ascii="仿宋_GB2312" w:hAnsi="Times New Roman" w:eastAsia="仿宋_GB2312" w:cs="宋体"/>
          <w:color w:val="000000"/>
          <w:kern w:val="0"/>
          <w:sz w:val="32"/>
          <w:szCs w:val="32"/>
          <w:shd w:val="clear" w:color="auto" w:fill="FFFFFF"/>
          <w:lang w:val="en-US" w:eastAsia="zh-CN" w:bidi="ar-SA"/>
        </w:rPr>
        <w:t>茂县山洪灾害危险区责任人履职补助等</w:t>
      </w:r>
      <w:r>
        <w:rPr>
          <w:rFonts w:hint="eastAsia" w:ascii="仿宋_GB2312" w:eastAsia="仿宋_GB2312" w:cs="宋体"/>
          <w:color w:val="000000"/>
          <w:kern w:val="0"/>
          <w:sz w:val="32"/>
          <w:szCs w:val="32"/>
          <w:shd w:val="clear" w:color="auto" w:fill="FFFFFF"/>
          <w:lang w:val="en-US" w:eastAsia="zh-CN" w:bidi="ar-SA"/>
        </w:rPr>
        <w:t>5</w:t>
      </w:r>
      <w:r>
        <w:rPr>
          <w:rFonts w:hint="eastAsia" w:ascii="仿宋_GB2312" w:hAnsi="Times New Roman" w:eastAsia="仿宋_GB2312" w:cs="宋体"/>
          <w:color w:val="000000"/>
          <w:kern w:val="0"/>
          <w:sz w:val="32"/>
          <w:szCs w:val="32"/>
          <w:shd w:val="clear" w:color="auto" w:fill="FFFFFF"/>
          <w:lang w:val="en-US" w:eastAsia="zh-CN" w:bidi="ar-SA"/>
        </w:rPr>
        <w:t>个项目开展了预算事前绩效评估，对</w:t>
      </w:r>
      <w:r>
        <w:rPr>
          <w:rFonts w:hint="eastAsia" w:ascii="仿宋_GB2312" w:eastAsia="仿宋_GB2312" w:cs="宋体"/>
          <w:color w:val="000000"/>
          <w:kern w:val="0"/>
          <w:sz w:val="32"/>
          <w:szCs w:val="32"/>
          <w:shd w:val="clear" w:color="auto" w:fill="FFFFFF"/>
          <w:lang w:val="en-US" w:eastAsia="zh-CN" w:bidi="ar-SA"/>
        </w:rPr>
        <w:t>5</w:t>
      </w:r>
      <w:r>
        <w:rPr>
          <w:rFonts w:hint="eastAsia" w:ascii="仿宋_GB2312" w:hAnsi="Times New Roman" w:eastAsia="仿宋_GB2312" w:cs="宋体"/>
          <w:color w:val="000000"/>
          <w:kern w:val="0"/>
          <w:sz w:val="32"/>
          <w:szCs w:val="32"/>
          <w:shd w:val="clear" w:color="auto" w:fill="FFFFFF"/>
          <w:lang w:val="en-US" w:eastAsia="zh-CN" w:bidi="ar-SA"/>
        </w:rPr>
        <w:t>个项目编制了绩效目标，预算执行过程中，选取</w:t>
      </w:r>
      <w:r>
        <w:rPr>
          <w:rFonts w:hint="eastAsia" w:ascii="仿宋_GB2312" w:eastAsia="仿宋_GB2312" w:cs="宋体"/>
          <w:color w:val="000000"/>
          <w:kern w:val="0"/>
          <w:sz w:val="32"/>
          <w:szCs w:val="32"/>
          <w:shd w:val="clear" w:color="auto" w:fill="FFFFFF"/>
          <w:lang w:val="en-US" w:eastAsia="zh-CN" w:bidi="ar-SA"/>
        </w:rPr>
        <w:t>5</w:t>
      </w:r>
      <w:r>
        <w:rPr>
          <w:rFonts w:hint="eastAsia" w:ascii="仿宋_GB2312" w:hAnsi="Times New Roman" w:eastAsia="仿宋_GB2312" w:cs="宋体"/>
          <w:color w:val="000000"/>
          <w:kern w:val="0"/>
          <w:sz w:val="32"/>
          <w:szCs w:val="32"/>
          <w:shd w:val="clear" w:color="auto" w:fill="FFFFFF"/>
          <w:lang w:val="en-US" w:eastAsia="zh-CN" w:bidi="ar-SA"/>
        </w:rPr>
        <w:t>个项目开展绩效监控，</w:t>
      </w:r>
      <w:r>
        <w:rPr>
          <w:rFonts w:hint="eastAsia" w:ascii="仿宋_GB2312" w:hAnsi="Times New Roman" w:eastAsia="仿宋_GB2312" w:cs="宋体"/>
          <w:color w:val="000000"/>
          <w:kern w:val="0"/>
          <w:sz w:val="32"/>
          <w:szCs w:val="32"/>
          <w:shd w:val="clear" w:color="auto" w:fill="FFFFFF"/>
          <w:lang w:val="zh-CN" w:eastAsia="zh-CN" w:bidi="ar-SA"/>
        </w:rPr>
        <w:t>组织对</w:t>
      </w:r>
      <w:r>
        <w:rPr>
          <w:rFonts w:hint="eastAsia" w:ascii="仿宋_GB2312" w:eastAsia="仿宋_GB2312" w:cs="宋体"/>
          <w:color w:val="000000"/>
          <w:kern w:val="0"/>
          <w:sz w:val="32"/>
          <w:szCs w:val="32"/>
          <w:shd w:val="clear" w:color="auto" w:fill="FFFFFF"/>
          <w:lang w:val="en-US" w:eastAsia="zh-CN" w:bidi="ar-SA"/>
        </w:rPr>
        <w:t>5</w:t>
      </w:r>
      <w:r>
        <w:rPr>
          <w:rFonts w:hint="eastAsia" w:ascii="仿宋_GB2312" w:hAnsi="Times New Roman" w:eastAsia="仿宋_GB2312" w:cs="宋体"/>
          <w:color w:val="000000"/>
          <w:kern w:val="0"/>
          <w:sz w:val="32"/>
          <w:szCs w:val="32"/>
          <w:shd w:val="clear" w:color="auto" w:fill="FFFFFF"/>
          <w:lang w:val="en-US" w:eastAsia="zh-CN" w:bidi="ar-SA"/>
        </w:rPr>
        <w:t>个项目开展绩效自评</w:t>
      </w:r>
      <w:r>
        <w:rPr>
          <w:rFonts w:hint="eastAsia" w:ascii="仿宋_GB2312" w:eastAsia="仿宋_GB2312" w:cs="宋体"/>
          <w:color w:val="000000"/>
          <w:kern w:val="0"/>
          <w:sz w:val="32"/>
          <w:szCs w:val="32"/>
          <w:shd w:val="clear" w:color="auto" w:fill="FFFFFF"/>
          <w:lang w:val="en-US" w:eastAsia="zh-CN" w:bidi="ar-SA"/>
        </w:rPr>
        <w:t>。</w:t>
      </w:r>
    </w:p>
    <w:p w14:paraId="4CD24062">
      <w:pPr>
        <w:keepNext w:val="0"/>
        <w:keepLines w:val="0"/>
        <w:pageBreakBefore w:val="0"/>
        <w:widowControl w:val="0"/>
        <w:kinsoku/>
        <w:wordWrap/>
        <w:overflowPunct/>
        <w:topLinePunct w:val="0"/>
        <w:autoSpaceDE/>
        <w:autoSpaceDN/>
        <w:bidi w:val="0"/>
        <w:adjustRightInd/>
        <w:snapToGrid w:val="0"/>
        <w:spacing w:line="576" w:lineRule="exact"/>
        <w:ind w:leftChars="0" w:right="0" w:firstLine="640" w:firstLineChars="200"/>
        <w:jc w:val="left"/>
        <w:textAlignment w:val="auto"/>
        <w:rPr>
          <w:rFonts w:hint="eastAsia" w:ascii="仿宋_GB2312" w:hAnsi="Times New Roman" w:eastAsia="仿宋_GB2312" w:cs="宋体"/>
          <w:color w:val="000000"/>
          <w:kern w:val="0"/>
          <w:sz w:val="32"/>
          <w:szCs w:val="32"/>
          <w:shd w:val="clear" w:color="auto" w:fill="FFFFFF"/>
          <w:lang w:val="en-US" w:eastAsia="zh-CN" w:bidi="ar-SA"/>
        </w:rPr>
      </w:pPr>
      <w:r>
        <w:rPr>
          <w:rFonts w:hint="eastAsia" w:ascii="仿宋_GB2312" w:hAnsi="Times New Roman" w:eastAsia="仿宋_GB2312" w:cs="宋体"/>
          <w:color w:val="000000"/>
          <w:kern w:val="0"/>
          <w:sz w:val="32"/>
          <w:szCs w:val="32"/>
          <w:shd w:val="clear" w:color="auto" w:fill="FFFFFF"/>
          <w:lang w:val="en-US" w:eastAsia="zh-CN" w:bidi="ar-SA"/>
        </w:rPr>
        <w:t>绩效自评表详见第四部分附件</w:t>
      </w:r>
    </w:p>
    <w:p w14:paraId="3069A811">
      <w:pPr>
        <w:pStyle w:val="5"/>
        <w:pageBreakBefore w:val="0"/>
        <w:kinsoku/>
        <w:wordWrap/>
        <w:topLinePunct w:val="0"/>
        <w:bidi w:val="0"/>
        <w:spacing w:line="576" w:lineRule="exact"/>
        <w:ind w:leftChars="0"/>
        <w:rPr>
          <w:rFonts w:hint="eastAsia" w:ascii="仿宋" w:hAnsi="仿宋" w:eastAsia="仿宋" w:cs="仿宋"/>
          <w:sz w:val="32"/>
          <w:szCs w:val="32"/>
        </w:rPr>
      </w:pPr>
    </w:p>
    <w:p w14:paraId="1F943EA8">
      <w:pPr>
        <w:pageBreakBefore w:val="0"/>
        <w:widowControl/>
        <w:kinsoku/>
        <w:wordWrap/>
        <w:topLinePunct w:val="0"/>
        <w:bidi w:val="0"/>
        <w:spacing w:line="576" w:lineRule="exact"/>
        <w:ind w:leftChars="0"/>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2"/>
        <w:pageBreakBefore w:val="0"/>
        <w:kinsoku/>
        <w:wordWrap/>
        <w:topLinePunct w:val="0"/>
        <w:bidi w:val="0"/>
        <w:spacing w:before="0" w:after="0" w:line="576" w:lineRule="exact"/>
        <w:ind w:leftChars="0"/>
        <w:jc w:val="center"/>
        <w:rPr>
          <w:rFonts w:hint="eastAsia" w:ascii="黑体" w:hAnsi="黑体" w:eastAsia="黑体" w:cs="黑体"/>
          <w:b w:val="0"/>
          <w:bCs w:val="0"/>
        </w:rPr>
      </w:pPr>
      <w:bookmarkStart w:id="69" w:name="_Toc15377225"/>
      <w:bookmarkStart w:id="70" w:name="_Toc111208509"/>
      <w:bookmarkStart w:id="71" w:name="_Toc18122"/>
      <w:r>
        <w:rPr>
          <w:rFonts w:hint="eastAsia" w:ascii="黑体" w:hAnsi="黑体" w:eastAsia="黑体" w:cs="黑体"/>
          <w:b w:val="0"/>
          <w:bCs w:val="0"/>
        </w:rPr>
        <w:t>第三部分 名词解释</w:t>
      </w:r>
      <w:bookmarkEnd w:id="69"/>
      <w:bookmarkEnd w:id="70"/>
      <w:bookmarkEnd w:id="71"/>
    </w:p>
    <w:p w14:paraId="022F61EC">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9.社会保障和就业支出（类）行政事业单位养老支出（款）机关事业单位基本养老保险缴费支出（项）:反映机关事业单位实施养老保险制度由单位缴纳的基本养老保险费支出。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11.社会保障和就业支出（类）就业补助（款）公益性岗位补贴（项）:反映财政对符合条件的就业困难人员在公益性岗位就业给予的岗位补贴支出。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节能环保支出（类）自然生态保护（款）生态保护（项）:反映用于生态功能区、生态示范区、生态省（市、县）管理及能力建设、日常管护、宣教、试点示范等支出，生态修复支出，资源开发生态监管支出，生态护林员的劳务报酬等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15.农林水支出（类）水利（款）行政运行（项）:反映行政单位（包括实行公务员管理的事业单位）的基本支出。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农林水支出（类）水利（款）大中型水库移民后期扶持专项支出（项）:反映中央财政划转大中型水库移民后期扶持基金的支出，包括对销售电量加价部分征收的增值税返还以及用于解决水库移民遗留问题的定额补助。</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17.农林水支出（类）水利（款）其他水利支出（项）:反映除上述项目以外其他用于水利方面的支出。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18.农林水支出（类）巩固脱贫攻坚成果衔接乡村振兴（款）其他巩固脱贫攻坚成果衔接乡村振兴支出（项）:反映除上述项目以外其他用于扶贫方面的支出。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20.住房保障支出（类）住房改革支出（款）购房补贴（项）:反映按房改政策规定，行政事业单位向符合条件职工（含离退休人员）、军队（含武警）向转役复员离退休人员发放的用于购买住房的补贴。</w:t>
      </w:r>
    </w:p>
    <w:p w14:paraId="773E015D">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21</w:t>
      </w:r>
      <w:r>
        <w:rPr>
          <w:rFonts w:ascii="仿宋" w:hAnsi="仿宋" w:eastAsia="仿宋" w:cs="仿宋"/>
          <w:color w:val="000000"/>
          <w:sz w:val="32"/>
          <w:u w:color="auto"/>
        </w:rPr>
        <w:t>.基本支出：指为保障机构正常运转、完成日常工作任务而发生的人员支出和公用支出。</w:t>
      </w:r>
    </w:p>
    <w:p w14:paraId="0010CAE3">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22</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23</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24</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pageBreakBefore w:val="0"/>
        <w:kinsoku/>
        <w:wordWrap/>
        <w:topLinePunct w:val="0"/>
        <w:bidi w:val="0"/>
        <w:spacing w:line="576" w:lineRule="exact"/>
        <w:ind w:leftChars="0" w:firstLine="640"/>
        <w:rPr>
          <w:rFonts w:hint="eastAsia" w:ascii="仿宋" w:hAnsi="仿宋" w:eastAsia="仿宋" w:cs="仿宋"/>
          <w:color w:val="000000"/>
          <w:sz w:val="32"/>
          <w:szCs w:val="32"/>
        </w:rPr>
      </w:pPr>
      <w:r>
        <w:rPr>
          <w:rFonts w:hint="eastAsia" w:ascii="仿宋" w:hAnsi="仿宋" w:eastAsia="仿宋" w:cs="仿宋"/>
          <w:color w:val="000000"/>
          <w:sz w:val="32"/>
          <w:szCs w:val="32"/>
        </w:rPr>
        <w:t>25</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326A87">
      <w:pPr>
        <w:pageBreakBefore w:val="0"/>
        <w:kinsoku/>
        <w:wordWrap/>
        <w:topLinePunct w:val="0"/>
        <w:bidi w:val="0"/>
        <w:spacing w:line="576" w:lineRule="exact"/>
        <w:ind w:leftChars="0" w:firstLine="640"/>
        <w:rPr>
          <w:rFonts w:hint="eastAsia" w:ascii="仿宋" w:hAnsi="仿宋" w:eastAsia="仿宋" w:cs="仿宋"/>
          <w:sz w:val="32"/>
          <w:szCs w:val="32"/>
        </w:rPr>
      </w:pPr>
      <w:r>
        <w:rPr>
          <w:rFonts w:hint="eastAsia" w:ascii="仿宋" w:hAnsi="仿宋" w:eastAsia="仿宋" w:cs="仿宋"/>
          <w:color w:val="000000"/>
          <w:sz w:val="32"/>
          <w:szCs w:val="32"/>
        </w:rPr>
        <w:t>26</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2D3D8A8E">
      <w:pPr>
        <w:pageBreakBefore w:val="0"/>
        <w:widowControl/>
        <w:kinsoku/>
        <w:wordWrap/>
        <w:topLinePunct w:val="0"/>
        <w:bidi w:val="0"/>
        <w:spacing w:line="576" w:lineRule="exact"/>
        <w:ind w:leftChars="0"/>
        <w:jc w:val="left"/>
        <w:rPr>
          <w:rStyle w:val="34"/>
          <w:rFonts w:hint="eastAsia" w:ascii="思源黑体 CN Normal" w:hAnsi="思源黑体 CN Normal" w:eastAsia="思源黑体 CN Normal" w:cs="思源黑体 CN Normal"/>
        </w:rPr>
      </w:pPr>
      <w:r>
        <w:rPr>
          <w:rStyle w:val="34"/>
          <w:rFonts w:hint="eastAsia" w:ascii="思源黑体 CN Normal" w:hAnsi="思源黑体 CN Normal" w:eastAsia="思源黑体 CN Normal" w:cs="思源黑体 CN Normal"/>
        </w:rPr>
        <w:br w:type="page"/>
      </w:r>
    </w:p>
    <w:p w14:paraId="06638D99">
      <w:pPr>
        <w:pStyle w:val="2"/>
        <w:pageBreakBefore w:val="0"/>
        <w:numPr>
          <w:ilvl w:val="0"/>
          <w:numId w:val="2"/>
        </w:numPr>
        <w:kinsoku/>
        <w:wordWrap/>
        <w:topLinePunct w:val="0"/>
        <w:bidi w:val="0"/>
        <w:spacing w:before="0" w:after="0" w:line="576" w:lineRule="exact"/>
        <w:ind w:leftChars="0"/>
        <w:jc w:val="center"/>
        <w:rPr>
          <w:rFonts w:hint="eastAsia" w:ascii="黑体" w:hAnsi="黑体" w:eastAsia="黑体" w:cs="黑体"/>
          <w:b w:val="0"/>
          <w:bCs w:val="0"/>
        </w:rPr>
      </w:pPr>
      <w:bookmarkStart w:id="72" w:name="_Toc25539"/>
      <w:bookmarkStart w:id="73" w:name="_Toc111208510"/>
      <w:r>
        <w:rPr>
          <w:rFonts w:hint="eastAsia" w:ascii="黑体" w:hAnsi="黑体" w:eastAsia="黑体" w:cs="黑体"/>
          <w:b w:val="0"/>
          <w:bCs w:val="0"/>
        </w:rPr>
        <w:t>附件</w:t>
      </w:r>
      <w:bookmarkEnd w:id="72"/>
      <w:bookmarkEnd w:id="73"/>
    </w:p>
    <w:p w14:paraId="46E6924D">
      <w:pPr>
        <w:numPr>
          <w:ilvl w:val="0"/>
          <w:numId w:val="0"/>
        </w:numPr>
        <w:rPr>
          <w:rFonts w:hint="eastAsia"/>
        </w:rPr>
      </w:pPr>
    </w:p>
    <w:p w14:paraId="737B701B">
      <w:pPr>
        <w:pageBreakBefore w:val="0"/>
        <w:widowControl/>
        <w:kinsoku/>
        <w:wordWrap/>
        <w:topLinePunct w:val="0"/>
        <w:bidi w:val="0"/>
        <w:spacing w:line="576" w:lineRule="exact"/>
        <w:ind w:leftChars="0"/>
        <w:contextualSpacing/>
        <w:jc w:val="center"/>
        <w:rPr>
          <w:rFonts w:ascii="方正小标宋简体" w:hAnsi="Times New Roman" w:eastAsia="方正小标宋简体" w:cs="Times New Roman"/>
          <w:sz w:val="44"/>
          <w:szCs w:val="44"/>
          <w:shd w:val="clear" w:color="auto" w:fill="FFFFFF"/>
        </w:rPr>
      </w:pPr>
      <w:r>
        <w:rPr>
          <w:rFonts w:hint="eastAsia" w:ascii="仿宋" w:hAnsi="仿宋" w:eastAsia="仿宋" w:cs="仿宋"/>
          <w:sz w:val="32"/>
          <w:szCs w:val="32"/>
        </w:rPr>
        <w:t xml:space="preserve"> </w:t>
      </w:r>
      <w:r>
        <w:rPr>
          <w:rFonts w:hint="eastAsia" w:ascii="方正小标宋简体" w:hAnsi="Times New Roman" w:eastAsia="方正小标宋简体" w:cs="Times New Roman"/>
          <w:sz w:val="44"/>
          <w:szCs w:val="44"/>
          <w:shd w:val="clear" w:color="auto" w:fill="FFFFFF"/>
        </w:rPr>
        <w:t>茂县水务局</w:t>
      </w:r>
    </w:p>
    <w:p w14:paraId="5279A6F5">
      <w:pPr>
        <w:pageBreakBefore w:val="0"/>
        <w:widowControl/>
        <w:kinsoku/>
        <w:wordWrap/>
        <w:topLinePunct w:val="0"/>
        <w:bidi w:val="0"/>
        <w:spacing w:line="576" w:lineRule="exact"/>
        <w:ind w:leftChars="0"/>
        <w:contextualSpacing/>
        <w:jc w:val="center"/>
        <w:rPr>
          <w:rFonts w:ascii="方正小标宋简体" w:hAnsi="Times New Roman" w:eastAsia="方正小标宋简体" w:cs="Times New Roman"/>
          <w:sz w:val="44"/>
          <w:szCs w:val="44"/>
          <w:shd w:val="clear" w:color="auto" w:fill="FFFFFF"/>
        </w:rPr>
      </w:pPr>
      <w:r>
        <w:rPr>
          <w:rFonts w:hint="eastAsia" w:ascii="方正小标宋简体" w:hAnsi="Times New Roman" w:eastAsia="方正小标宋简体" w:cs="Times New Roman"/>
          <w:sz w:val="44"/>
          <w:szCs w:val="44"/>
          <w:shd w:val="clear" w:color="auto" w:fill="FFFFFF"/>
        </w:rPr>
        <w:t>202</w:t>
      </w:r>
      <w:r>
        <w:rPr>
          <w:rFonts w:hint="eastAsia" w:ascii="方正小标宋简体" w:eastAsia="方正小标宋简体" w:cs="Times New Roman"/>
          <w:sz w:val="44"/>
          <w:szCs w:val="44"/>
          <w:shd w:val="clear" w:color="auto" w:fill="FFFFFF"/>
          <w:lang w:val="en-US" w:eastAsia="zh-CN"/>
        </w:rPr>
        <w:t>4</w:t>
      </w:r>
      <w:r>
        <w:rPr>
          <w:rFonts w:hint="eastAsia" w:ascii="方正小标宋简体" w:hAnsi="Times New Roman" w:eastAsia="方正小标宋简体" w:cs="Times New Roman"/>
          <w:sz w:val="44"/>
          <w:szCs w:val="44"/>
          <w:shd w:val="clear" w:color="auto" w:fill="FFFFFF"/>
        </w:rPr>
        <w:t>年整体支出绩效评价报告</w:t>
      </w:r>
    </w:p>
    <w:p w14:paraId="4177806E">
      <w:pPr>
        <w:pageBreakBefore w:val="0"/>
        <w:widowControl/>
        <w:kinsoku/>
        <w:wordWrap/>
        <w:topLinePunct w:val="0"/>
        <w:bidi w:val="0"/>
        <w:adjustRightInd w:val="0"/>
        <w:snapToGrid w:val="0"/>
        <w:spacing w:line="576" w:lineRule="exact"/>
        <w:ind w:leftChars="0" w:firstLine="480" w:firstLineChars="200"/>
        <w:contextualSpacing/>
        <w:jc w:val="left"/>
        <w:rPr>
          <w:rFonts w:eastAsia="黑体"/>
          <w:color w:val="000000"/>
          <w:kern w:val="0"/>
          <w:sz w:val="24"/>
          <w:szCs w:val="32"/>
          <w:shd w:val="clear" w:color="auto" w:fill="FFFFFF"/>
        </w:rPr>
      </w:pPr>
    </w:p>
    <w:p w14:paraId="0D5ED3B3">
      <w:pPr>
        <w:pageBreakBefore w:val="0"/>
        <w:widowControl/>
        <w:kinsoku/>
        <w:wordWrap/>
        <w:topLinePunct w:val="0"/>
        <w:bidi w:val="0"/>
        <w:adjustRightInd w:val="0"/>
        <w:snapToGrid w:val="0"/>
        <w:spacing w:line="576" w:lineRule="exact"/>
        <w:ind w:leftChars="0" w:firstLine="640" w:firstLineChars="200"/>
        <w:contextualSpacing/>
        <w:rPr>
          <w:rFonts w:ascii="黑体" w:hAnsi="Times New Roman" w:eastAsia="黑体" w:cs="宋体"/>
          <w:color w:val="000000"/>
          <w:kern w:val="0"/>
          <w:sz w:val="32"/>
          <w:szCs w:val="32"/>
          <w:shd w:val="clear" w:color="auto" w:fill="FFFFFF"/>
          <w:lang w:val="zh-CN"/>
        </w:rPr>
      </w:pPr>
      <w:r>
        <w:rPr>
          <w:rFonts w:hint="eastAsia" w:ascii="黑体" w:hAnsi="Times New Roman" w:eastAsia="黑体" w:cs="宋体"/>
          <w:color w:val="000000"/>
          <w:kern w:val="0"/>
          <w:sz w:val="32"/>
          <w:szCs w:val="32"/>
          <w:shd w:val="clear" w:color="auto" w:fill="FFFFFF"/>
        </w:rPr>
        <w:t>一、</w:t>
      </w:r>
      <w:r>
        <w:rPr>
          <w:rFonts w:hint="eastAsia" w:ascii="黑体" w:hAnsi="Times New Roman" w:eastAsia="黑体" w:cs="宋体"/>
          <w:color w:val="000000"/>
          <w:kern w:val="0"/>
          <w:sz w:val="32"/>
          <w:szCs w:val="32"/>
          <w:shd w:val="clear" w:color="auto" w:fill="FFFFFF"/>
          <w:lang w:val="zh-CN"/>
        </w:rPr>
        <w:t>单位概况</w:t>
      </w:r>
    </w:p>
    <w:p w14:paraId="1560B126">
      <w:pPr>
        <w:pageBreakBefore w:val="0"/>
        <w:widowControl/>
        <w:kinsoku/>
        <w:wordWrap/>
        <w:topLinePunct w:val="0"/>
        <w:bidi w:val="0"/>
        <w:adjustRightInd w:val="0"/>
        <w:snapToGrid w:val="0"/>
        <w:spacing w:line="576" w:lineRule="exact"/>
        <w:ind w:leftChars="0" w:firstLine="643" w:firstLineChars="200"/>
        <w:contextualSpacing/>
        <w:rPr>
          <w:rFonts w:hint="eastAsia" w:ascii="楷体_GB2312" w:hAnsi="Times New Roman" w:eastAsia="楷体_GB2312" w:cs="宋体"/>
          <w:b/>
          <w:color w:val="000000"/>
          <w:kern w:val="0"/>
          <w:sz w:val="32"/>
          <w:szCs w:val="32"/>
          <w:shd w:val="clear" w:color="auto" w:fill="FFFFFF"/>
          <w:lang w:val="zh-CN"/>
        </w:rPr>
      </w:pPr>
      <w:r>
        <w:rPr>
          <w:rFonts w:hint="eastAsia" w:ascii="楷体_GB2312" w:hAnsi="Times New Roman" w:eastAsia="楷体_GB2312" w:cs="宋体"/>
          <w:b/>
          <w:color w:val="000000"/>
          <w:kern w:val="0"/>
          <w:sz w:val="32"/>
          <w:szCs w:val="32"/>
          <w:shd w:val="clear" w:color="auto" w:fill="FFFFFF"/>
          <w:lang w:val="zh-CN"/>
        </w:rPr>
        <w:t>（一）机构组成</w:t>
      </w:r>
    </w:p>
    <w:p w14:paraId="57239B23">
      <w:pPr>
        <w:pageBreakBefore w:val="0"/>
        <w:kinsoku/>
        <w:wordWrap/>
        <w:overflowPunct/>
        <w:topLinePunct w:val="0"/>
        <w:autoSpaceDE/>
        <w:autoSpaceDN/>
        <w:bidi w:val="0"/>
        <w:spacing w:line="576" w:lineRule="exact"/>
        <w:ind w:left="0" w:leftChars="0" w:right="0" w:firstLine="640" w:firstLineChars="200"/>
        <w:textAlignment w:val="auto"/>
        <w:rPr>
          <w:rFonts w:hint="eastAsia" w:ascii="黑体" w:hAnsi="黑体" w:eastAsia="仿宋_GB2312"/>
          <w:b w:val="0"/>
          <w:bCs/>
          <w:color w:val="auto"/>
          <w:highlight w:val="none"/>
          <w:lang w:eastAsia="zh-CN"/>
        </w:rPr>
      </w:pPr>
      <w:r>
        <w:rPr>
          <w:rFonts w:hint="eastAsia" w:ascii="仿宋_GB2312" w:hAnsi="仿宋_GB2312" w:eastAsia="仿宋_GB2312" w:cs="仿宋_GB2312"/>
          <w:sz w:val="32"/>
          <w:szCs w:val="32"/>
        </w:rPr>
        <w:t>茂县水务局属一级预算单位，下属二级单位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茂县水务服务中心</w:t>
      </w:r>
      <w:r>
        <w:rPr>
          <w:rFonts w:hint="eastAsia" w:ascii="仿宋_GB2312" w:hAnsi="仿宋_GB2312" w:eastAsia="仿宋_GB2312" w:cs="仿宋_GB2312"/>
          <w:sz w:val="32"/>
          <w:szCs w:val="32"/>
          <w:lang w:eastAsia="zh-CN"/>
        </w:rPr>
        <w:t>。</w:t>
      </w:r>
    </w:p>
    <w:p w14:paraId="39F2B79F">
      <w:pPr>
        <w:pageBreakBefore w:val="0"/>
        <w:widowControl/>
        <w:numPr>
          <w:ilvl w:val="0"/>
          <w:numId w:val="3"/>
        </w:numPr>
        <w:kinsoku/>
        <w:wordWrap/>
        <w:topLinePunct w:val="0"/>
        <w:bidi w:val="0"/>
        <w:adjustRightInd w:val="0"/>
        <w:snapToGrid w:val="0"/>
        <w:spacing w:line="576" w:lineRule="exact"/>
        <w:ind w:leftChars="0" w:firstLine="643" w:firstLineChars="200"/>
        <w:contextualSpacing/>
        <w:rPr>
          <w:rFonts w:hint="eastAsia" w:ascii="楷体_GB2312" w:hAnsi="Times New Roman" w:eastAsia="楷体_GB2312" w:cs="宋体"/>
          <w:b/>
          <w:color w:val="000000"/>
          <w:kern w:val="0"/>
          <w:sz w:val="32"/>
          <w:szCs w:val="32"/>
          <w:shd w:val="clear" w:color="auto" w:fill="FFFFFF"/>
          <w:lang w:val="zh-CN"/>
        </w:rPr>
      </w:pPr>
      <w:r>
        <w:rPr>
          <w:rFonts w:hint="eastAsia" w:ascii="楷体_GB2312" w:hAnsi="Times New Roman" w:eastAsia="楷体_GB2312" w:cs="宋体"/>
          <w:b/>
          <w:color w:val="000000"/>
          <w:kern w:val="0"/>
          <w:sz w:val="32"/>
          <w:szCs w:val="32"/>
          <w:shd w:val="clear" w:color="auto" w:fill="FFFFFF"/>
          <w:lang w:val="zh-CN"/>
        </w:rPr>
        <w:t>机构职能</w:t>
      </w:r>
    </w:p>
    <w:p w14:paraId="0E1788A8">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1.</w:t>
      </w:r>
      <w:r>
        <w:rPr>
          <w:rFonts w:hint="eastAsia" w:ascii="仿宋_GB2312" w:eastAsia="仿宋_GB2312" w:cs="宋体"/>
          <w:color w:val="000000"/>
          <w:kern w:val="0"/>
          <w:sz w:val="32"/>
          <w:szCs w:val="32"/>
          <w:shd w:val="clear" w:color="auto" w:fill="FFFFFF"/>
          <w:lang w:val="zh-CN"/>
        </w:rPr>
        <w:t>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14:paraId="58905C0A">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2.</w:t>
      </w:r>
      <w:r>
        <w:rPr>
          <w:rFonts w:hint="eastAsia" w:ascii="仿宋_GB2312" w:eastAsia="仿宋_GB2312" w:cs="宋体"/>
          <w:color w:val="000000"/>
          <w:kern w:val="0"/>
          <w:sz w:val="32"/>
          <w:szCs w:val="32"/>
          <w:shd w:val="clear" w:color="auto" w:fill="FFFFFF"/>
          <w:lang w:val="zh-CN"/>
        </w:rPr>
        <w:t>统一管理全县水资源，负责生活、生产经营和生态环境用水的统筹兼顾和保障。拟订全县和跨县水中长期供求规划、水量分配方案、计划用水、节约用水规划，推动节水型社会建设工作。组织实施取水许可、水资源论证、防洪论证和水土保持论证制度。按规划发布全县水资源公报。</w:t>
      </w:r>
    </w:p>
    <w:p w14:paraId="33C92FE6">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3.</w:t>
      </w:r>
      <w:r>
        <w:rPr>
          <w:rFonts w:hint="eastAsia" w:ascii="仿宋_GB2312" w:eastAsia="仿宋_GB2312" w:cs="宋体"/>
          <w:color w:val="000000"/>
          <w:kern w:val="0"/>
          <w:sz w:val="32"/>
          <w:szCs w:val="32"/>
          <w:shd w:val="clear" w:color="auto" w:fill="FFFFFF"/>
          <w:lang w:val="zh-CN"/>
        </w:rPr>
        <w:t>组织编制洪水干旱灾害防治规划，承担水情、旱情监测预警，组织编制防洪抗旱应急水量调度方案，编制防御洪水抗旱调度方案。</w:t>
      </w:r>
    </w:p>
    <w:p w14:paraId="33AB4635">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4.</w:t>
      </w:r>
      <w:r>
        <w:rPr>
          <w:rFonts w:hint="eastAsia" w:ascii="仿宋_GB2312" w:eastAsia="仿宋_GB2312" w:cs="宋体"/>
          <w:color w:val="000000"/>
          <w:kern w:val="0"/>
          <w:sz w:val="32"/>
          <w:szCs w:val="32"/>
          <w:shd w:val="clear" w:color="auto" w:fill="FFFFFF"/>
          <w:lang w:val="zh-CN"/>
        </w:rPr>
        <w:t>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14:paraId="0AC6E153">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5.</w:t>
      </w:r>
      <w:r>
        <w:rPr>
          <w:rFonts w:hint="eastAsia" w:ascii="仿宋_GB2312" w:eastAsia="仿宋_GB2312" w:cs="宋体"/>
          <w:color w:val="000000"/>
          <w:kern w:val="0"/>
          <w:sz w:val="32"/>
          <w:szCs w:val="32"/>
          <w:shd w:val="clear" w:color="auto" w:fill="FFFFFF"/>
          <w:lang w:val="zh-CN"/>
        </w:rPr>
        <w:t>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14:paraId="792FD28D">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6.</w:t>
      </w:r>
      <w:r>
        <w:rPr>
          <w:rFonts w:hint="eastAsia" w:ascii="仿宋_GB2312" w:eastAsia="仿宋_GB2312" w:cs="宋体"/>
          <w:color w:val="000000"/>
          <w:kern w:val="0"/>
          <w:sz w:val="32"/>
          <w:szCs w:val="32"/>
          <w:shd w:val="clear" w:color="auto" w:fill="FFFFFF"/>
          <w:lang w:val="zh-CN"/>
        </w:rPr>
        <w:t>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14:paraId="27F04F5E">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7.</w:t>
      </w:r>
      <w:r>
        <w:rPr>
          <w:rFonts w:hint="eastAsia" w:ascii="仿宋_GB2312" w:eastAsia="仿宋_GB2312" w:cs="宋体"/>
          <w:color w:val="000000"/>
          <w:kern w:val="0"/>
          <w:sz w:val="32"/>
          <w:szCs w:val="32"/>
          <w:shd w:val="clear" w:color="auto" w:fill="FFFFFF"/>
          <w:lang w:val="zh-CN"/>
        </w:rPr>
        <w:t>拟订水利行业经济调节措施；负责编制全县水利建设项目资金计划，对水利资金进行管理、监督和内部审计。研究提出有关水利方面价格、税收、信贷、财务等经济调节建议。单位国有资产保值增值的监督和管理。</w:t>
      </w:r>
    </w:p>
    <w:p w14:paraId="1D6523CA">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8.</w:t>
      </w:r>
      <w:r>
        <w:rPr>
          <w:rFonts w:hint="eastAsia" w:ascii="仿宋_GB2312" w:eastAsia="仿宋_GB2312" w:cs="宋体"/>
          <w:color w:val="000000"/>
          <w:kern w:val="0"/>
          <w:sz w:val="32"/>
          <w:szCs w:val="32"/>
          <w:shd w:val="clear" w:color="auto" w:fill="FFFFFF"/>
          <w:lang w:val="zh-CN"/>
        </w:rPr>
        <w:t>负责全县水利方面的科技与外事工作，组织本县重大水利行业科学研究的技术推广。监督实施水利行业技术质量标准和规程、规范，承办水利行业对外经济、技术合作与交流等涉外事务。</w:t>
      </w:r>
    </w:p>
    <w:p w14:paraId="47A1F27C">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9.完成县委、县政府交办的其他任务。</w:t>
      </w:r>
    </w:p>
    <w:p w14:paraId="53FA7A5D">
      <w:pPr>
        <w:pageBreakBefore w:val="0"/>
        <w:widowControl/>
        <w:kinsoku/>
        <w:wordWrap/>
        <w:topLinePunct w:val="0"/>
        <w:bidi w:val="0"/>
        <w:adjustRightInd w:val="0"/>
        <w:snapToGrid w:val="0"/>
        <w:spacing w:line="576" w:lineRule="exact"/>
        <w:ind w:leftChars="0" w:firstLine="643" w:firstLineChars="200"/>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（三）人员概况</w:t>
      </w:r>
    </w:p>
    <w:p w14:paraId="284C553F">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w:t>
      </w:r>
      <w:r>
        <w:rPr>
          <w:rFonts w:hint="eastAsia" w:ascii="仿宋_GB2312" w:cs="宋体"/>
          <w:color w:val="000000"/>
          <w:kern w:val="0"/>
          <w:sz w:val="32"/>
          <w:szCs w:val="32"/>
          <w:shd w:val="clear" w:color="auto" w:fill="FFFFFF"/>
          <w:lang w:val="en-US" w:eastAsia="zh-CN"/>
        </w:rPr>
        <w:t>4</w:t>
      </w:r>
      <w:r>
        <w:rPr>
          <w:rFonts w:hint="eastAsia" w:ascii="仿宋_GB2312" w:eastAsia="仿宋_GB2312" w:cs="宋体"/>
          <w:color w:val="000000"/>
          <w:kern w:val="0"/>
          <w:sz w:val="32"/>
          <w:szCs w:val="32"/>
          <w:shd w:val="clear" w:color="auto" w:fill="FFFFFF"/>
          <w:lang w:val="zh-CN"/>
        </w:rPr>
        <w:t>年</w:t>
      </w:r>
      <w:r>
        <w:rPr>
          <w:rFonts w:hint="eastAsia" w:ascii="仿宋_GB2312" w:eastAsia="仿宋_GB2312" w:cs="宋体"/>
          <w:color w:val="000000"/>
          <w:kern w:val="0"/>
          <w:sz w:val="32"/>
          <w:szCs w:val="32"/>
          <w:shd w:val="clear" w:color="auto" w:fill="FFFFFF"/>
          <w:lang w:val="en-US" w:eastAsia="zh-CN"/>
        </w:rPr>
        <w:t>末</w:t>
      </w:r>
      <w:r>
        <w:rPr>
          <w:rFonts w:hint="eastAsia" w:ascii="仿宋_GB2312" w:eastAsia="仿宋_GB2312" w:cs="宋体"/>
          <w:color w:val="000000"/>
          <w:kern w:val="0"/>
          <w:sz w:val="32"/>
          <w:szCs w:val="32"/>
          <w:shd w:val="clear" w:color="auto" w:fill="FFFFFF"/>
          <w:lang w:val="zh-CN"/>
        </w:rPr>
        <w:t>茂县水务局编制27名。其中：行政编制5名，机关工勤事业编制1名，事业编制21名；在职人员2</w:t>
      </w:r>
      <w:r>
        <w:rPr>
          <w:rFonts w:hint="eastAsia" w:ascii="仿宋_GB2312" w:cs="宋体"/>
          <w:color w:val="000000"/>
          <w:kern w:val="0"/>
          <w:sz w:val="32"/>
          <w:szCs w:val="32"/>
          <w:shd w:val="clear" w:color="auto" w:fill="FFFFFF"/>
          <w:lang w:val="en-US" w:eastAsia="zh-CN"/>
        </w:rPr>
        <w:t>5</w:t>
      </w:r>
      <w:r>
        <w:rPr>
          <w:rFonts w:hint="eastAsia" w:ascii="仿宋_GB2312" w:eastAsia="仿宋_GB2312" w:cs="宋体"/>
          <w:color w:val="000000"/>
          <w:kern w:val="0"/>
          <w:sz w:val="32"/>
          <w:szCs w:val="32"/>
          <w:shd w:val="clear" w:color="auto" w:fill="FFFFFF"/>
          <w:lang w:val="zh-CN"/>
        </w:rPr>
        <w:t>人，其中：行政人员5人，机关工勤1人，事业人员</w:t>
      </w:r>
      <w:r>
        <w:rPr>
          <w:rFonts w:hint="eastAsia" w:ascii="仿宋_GB2312" w:cs="宋体"/>
          <w:color w:val="000000"/>
          <w:kern w:val="0"/>
          <w:sz w:val="32"/>
          <w:szCs w:val="32"/>
          <w:shd w:val="clear" w:color="auto" w:fill="FFFFFF"/>
          <w:lang w:val="en-US" w:eastAsia="zh-CN"/>
        </w:rPr>
        <w:t>19</w:t>
      </w:r>
      <w:r>
        <w:rPr>
          <w:rFonts w:hint="eastAsia" w:ascii="仿宋_GB2312" w:eastAsia="仿宋_GB2312" w:cs="宋体"/>
          <w:color w:val="000000"/>
          <w:kern w:val="0"/>
          <w:sz w:val="32"/>
          <w:szCs w:val="32"/>
          <w:shd w:val="clear" w:color="auto" w:fill="FFFFFF"/>
          <w:lang w:val="zh-CN"/>
        </w:rPr>
        <w:t>人。为财政全额拨款单位。</w:t>
      </w:r>
    </w:p>
    <w:p w14:paraId="63E0D664">
      <w:pPr>
        <w:pageBreakBefore w:val="0"/>
        <w:widowControl/>
        <w:kinsoku/>
        <w:wordWrap/>
        <w:topLinePunct w:val="0"/>
        <w:bidi w:val="0"/>
        <w:adjustRightInd w:val="0"/>
        <w:snapToGrid w:val="0"/>
        <w:spacing w:line="576" w:lineRule="exact"/>
        <w:ind w:leftChars="0"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14:paraId="0C56A0FB">
      <w:pPr>
        <w:pageBreakBefore w:val="0"/>
        <w:widowControl/>
        <w:numPr>
          <w:ilvl w:val="0"/>
          <w:numId w:val="0"/>
        </w:numPr>
        <w:kinsoku/>
        <w:wordWrap/>
        <w:topLinePunct w:val="0"/>
        <w:bidi w:val="0"/>
        <w:adjustRightInd w:val="0"/>
        <w:snapToGrid w:val="0"/>
        <w:spacing w:line="576" w:lineRule="exact"/>
        <w:ind w:leftChars="0" w:firstLine="643" w:firstLineChars="200"/>
        <w:rPr>
          <w:rFonts w:hint="eastAsia" w:eastAsia="楷体_GB2312"/>
          <w:b/>
          <w:bCs/>
          <w:color w:val="000000"/>
          <w:kern w:val="0"/>
          <w:sz w:val="32"/>
          <w:szCs w:val="32"/>
          <w:shd w:val="clear" w:color="auto" w:fill="FFFFFF"/>
          <w:lang w:val="en-US" w:eastAsia="zh-CN"/>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en-US" w:eastAsia="zh-CN"/>
        </w:rPr>
        <w:t>一</w:t>
      </w: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en-US" w:eastAsia="zh-CN"/>
        </w:rPr>
        <w:t>收入情况</w:t>
      </w:r>
    </w:p>
    <w:p w14:paraId="4EF78228">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w:t>
      </w:r>
      <w:r>
        <w:rPr>
          <w:rFonts w:hint="eastAsia" w:ascii="仿宋_GB2312" w:cs="宋体"/>
          <w:color w:val="000000"/>
          <w:kern w:val="0"/>
          <w:sz w:val="32"/>
          <w:szCs w:val="32"/>
          <w:shd w:val="clear" w:color="auto" w:fill="FFFFFF"/>
          <w:lang w:val="en-US" w:eastAsia="zh-CN"/>
        </w:rPr>
        <w:t>4</w:t>
      </w:r>
      <w:r>
        <w:rPr>
          <w:rFonts w:hint="eastAsia" w:ascii="仿宋_GB2312" w:eastAsia="仿宋_GB2312" w:cs="宋体"/>
          <w:color w:val="000000"/>
          <w:kern w:val="0"/>
          <w:sz w:val="32"/>
          <w:szCs w:val="32"/>
          <w:shd w:val="clear" w:color="auto" w:fill="FFFFFF"/>
          <w:lang w:val="zh-CN"/>
        </w:rPr>
        <w:t>年总收入</w:t>
      </w:r>
      <w:r>
        <w:rPr>
          <w:rFonts w:hint="eastAsia" w:ascii="仿宋_GB2312" w:cs="宋体"/>
          <w:color w:val="000000"/>
          <w:kern w:val="0"/>
          <w:sz w:val="32"/>
          <w:szCs w:val="32"/>
          <w:shd w:val="clear" w:color="auto" w:fill="FFFFFF"/>
          <w:lang w:val="en-US" w:eastAsia="zh-CN"/>
        </w:rPr>
        <w:t>3021.65</w:t>
      </w:r>
      <w:r>
        <w:rPr>
          <w:rFonts w:hint="eastAsia" w:ascii="仿宋_GB2312" w:eastAsia="仿宋_GB2312" w:cs="宋体"/>
          <w:color w:val="000000"/>
          <w:kern w:val="0"/>
          <w:sz w:val="32"/>
          <w:szCs w:val="32"/>
          <w:shd w:val="clear" w:color="auto" w:fill="FFFFFF"/>
          <w:lang w:val="en-US" w:eastAsia="zh-CN"/>
        </w:rPr>
        <w:t>万</w:t>
      </w:r>
      <w:r>
        <w:rPr>
          <w:rFonts w:hint="eastAsia" w:ascii="仿宋_GB2312" w:eastAsia="仿宋_GB2312" w:cs="宋体"/>
          <w:color w:val="000000"/>
          <w:kern w:val="0"/>
          <w:sz w:val="32"/>
          <w:szCs w:val="32"/>
          <w:shd w:val="clear" w:color="auto" w:fill="FFFFFF"/>
          <w:lang w:val="zh-CN"/>
        </w:rPr>
        <w:t>元，其中：一般公共预算财政拨款收入</w:t>
      </w:r>
      <w:r>
        <w:rPr>
          <w:rFonts w:hint="eastAsia" w:ascii="仿宋_GB2312" w:cs="宋体"/>
          <w:color w:val="000000"/>
          <w:kern w:val="0"/>
          <w:sz w:val="32"/>
          <w:szCs w:val="32"/>
          <w:shd w:val="clear" w:color="auto" w:fill="FFFFFF"/>
          <w:lang w:val="en-US" w:eastAsia="zh-CN"/>
        </w:rPr>
        <w:t>2657.17</w:t>
      </w:r>
      <w:r>
        <w:rPr>
          <w:rFonts w:hint="eastAsia" w:ascii="仿宋_GB2312" w:eastAsia="仿宋_GB2312" w:cs="宋体"/>
          <w:color w:val="000000"/>
          <w:kern w:val="0"/>
          <w:sz w:val="32"/>
          <w:szCs w:val="32"/>
          <w:shd w:val="clear" w:color="auto" w:fill="FFFFFF"/>
          <w:lang w:val="en-US" w:eastAsia="zh-CN"/>
        </w:rPr>
        <w:t>万</w:t>
      </w:r>
      <w:r>
        <w:rPr>
          <w:rFonts w:hint="eastAsia" w:ascii="仿宋_GB2312" w:eastAsia="仿宋_GB2312" w:cs="宋体"/>
          <w:color w:val="000000"/>
          <w:kern w:val="0"/>
          <w:sz w:val="32"/>
          <w:szCs w:val="32"/>
          <w:shd w:val="clear" w:color="auto" w:fill="FFFFFF"/>
          <w:lang w:val="zh-CN" w:eastAsia="zh-CN"/>
        </w:rPr>
        <w:t>元</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政府性基金预算财政拨款收入</w:t>
      </w:r>
      <w:r>
        <w:rPr>
          <w:rFonts w:hint="eastAsia" w:ascii="仿宋_GB2312" w:cs="宋体"/>
          <w:color w:val="000000"/>
          <w:kern w:val="0"/>
          <w:sz w:val="32"/>
          <w:szCs w:val="32"/>
          <w:shd w:val="clear" w:color="auto" w:fill="FFFFFF"/>
          <w:lang w:val="en-US" w:eastAsia="zh-CN"/>
        </w:rPr>
        <w:t>364.48</w:t>
      </w:r>
      <w:r>
        <w:rPr>
          <w:rFonts w:hint="eastAsia" w:ascii="仿宋_GB2312" w:eastAsia="仿宋_GB2312" w:cs="宋体"/>
          <w:color w:val="000000"/>
          <w:kern w:val="0"/>
          <w:sz w:val="32"/>
          <w:szCs w:val="32"/>
          <w:shd w:val="clear" w:color="auto" w:fill="FFFFFF"/>
          <w:lang w:val="en-US" w:eastAsia="zh-CN"/>
        </w:rPr>
        <w:t>万</w:t>
      </w:r>
      <w:r>
        <w:rPr>
          <w:rFonts w:ascii="仿宋_GB2312" w:eastAsia="仿宋_GB2312" w:cs="宋体"/>
          <w:color w:val="000000"/>
          <w:kern w:val="0"/>
          <w:sz w:val="32"/>
          <w:szCs w:val="32"/>
          <w:shd w:val="clear" w:color="auto" w:fill="FFFFFF"/>
          <w:lang w:val="zh-CN"/>
        </w:rPr>
        <w:t>元</w:t>
      </w:r>
      <w:r>
        <w:rPr>
          <w:rFonts w:hint="eastAsia" w:ascii="仿宋_GB2312" w:eastAsia="仿宋_GB2312" w:cs="宋体"/>
          <w:color w:val="000000"/>
          <w:kern w:val="0"/>
          <w:sz w:val="32"/>
          <w:szCs w:val="32"/>
          <w:shd w:val="clear" w:color="auto" w:fill="FFFFFF"/>
          <w:lang w:val="zh-CN"/>
        </w:rPr>
        <w:t>。</w:t>
      </w:r>
    </w:p>
    <w:p w14:paraId="574ACBB0">
      <w:pPr>
        <w:pageBreakBefore w:val="0"/>
        <w:widowControl/>
        <w:numPr>
          <w:ilvl w:val="0"/>
          <w:numId w:val="0"/>
        </w:numPr>
        <w:kinsoku/>
        <w:wordWrap/>
        <w:topLinePunct w:val="0"/>
        <w:bidi w:val="0"/>
        <w:adjustRightInd w:val="0"/>
        <w:snapToGrid w:val="0"/>
        <w:spacing w:line="576" w:lineRule="exact"/>
        <w:ind w:leftChars="0" w:firstLine="643" w:firstLineChars="200"/>
        <w:rPr>
          <w:rFonts w:ascii="仿宋_GB2312" w:eastAsia="仿宋_GB2312" w:cs="宋体"/>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en-US" w:eastAsia="zh-CN"/>
        </w:rPr>
        <w:t>二</w:t>
      </w:r>
      <w:r>
        <w:rPr>
          <w:rFonts w:hint="eastAsia" w:eastAsia="楷体_GB2312"/>
          <w:b/>
          <w:bCs/>
          <w:color w:val="000000"/>
          <w:kern w:val="0"/>
          <w:sz w:val="32"/>
          <w:szCs w:val="32"/>
          <w:shd w:val="clear" w:color="auto" w:fill="FFFFFF"/>
          <w:lang w:val="zh-CN"/>
        </w:rPr>
        <w:t>）支出情况</w:t>
      </w:r>
    </w:p>
    <w:p w14:paraId="4E188ED9">
      <w:pPr>
        <w:pageBreakBefore w:val="0"/>
        <w:widowControl/>
        <w:numPr>
          <w:ilvl w:val="0"/>
          <w:numId w:val="0"/>
        </w:numPr>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w:t>
      </w:r>
      <w:r>
        <w:rPr>
          <w:rFonts w:hint="eastAsia" w:ascii="仿宋_GB2312" w:cs="宋体"/>
          <w:color w:val="000000"/>
          <w:kern w:val="0"/>
          <w:sz w:val="32"/>
          <w:szCs w:val="32"/>
          <w:shd w:val="clear" w:color="auto" w:fill="FFFFFF"/>
          <w:lang w:val="en-US" w:eastAsia="zh-CN"/>
        </w:rPr>
        <w:t>4</w:t>
      </w:r>
      <w:r>
        <w:rPr>
          <w:rFonts w:hint="eastAsia" w:ascii="仿宋_GB2312" w:eastAsia="仿宋_GB2312" w:cs="宋体"/>
          <w:color w:val="000000"/>
          <w:kern w:val="0"/>
          <w:sz w:val="32"/>
          <w:szCs w:val="32"/>
          <w:shd w:val="clear" w:color="auto" w:fill="FFFFFF"/>
          <w:lang w:val="zh-CN"/>
        </w:rPr>
        <w:t>年部门总支出</w:t>
      </w:r>
      <w:r>
        <w:rPr>
          <w:rFonts w:hint="eastAsia" w:ascii="仿宋_GB2312" w:cs="宋体"/>
          <w:color w:val="000000"/>
          <w:kern w:val="0"/>
          <w:sz w:val="32"/>
          <w:szCs w:val="32"/>
          <w:shd w:val="clear" w:color="auto" w:fill="FFFFFF"/>
          <w:lang w:val="en-US" w:eastAsia="zh-CN"/>
        </w:rPr>
        <w:t>3021.65</w:t>
      </w:r>
      <w:r>
        <w:rPr>
          <w:rFonts w:hint="eastAsia" w:ascii="仿宋_GB2312" w:eastAsia="仿宋_GB2312" w:cs="宋体"/>
          <w:color w:val="000000"/>
          <w:kern w:val="0"/>
          <w:sz w:val="32"/>
          <w:szCs w:val="32"/>
          <w:shd w:val="clear" w:color="auto" w:fill="FFFFFF"/>
          <w:lang w:val="en-US" w:eastAsia="zh-CN"/>
        </w:rPr>
        <w:t>万</w:t>
      </w:r>
      <w:r>
        <w:rPr>
          <w:rFonts w:hint="eastAsia" w:ascii="仿宋_GB2312" w:eastAsia="仿宋_GB2312" w:cs="宋体"/>
          <w:color w:val="000000"/>
          <w:kern w:val="0"/>
          <w:sz w:val="32"/>
          <w:szCs w:val="32"/>
          <w:shd w:val="clear" w:color="auto" w:fill="FFFFFF"/>
          <w:lang w:val="zh-CN"/>
        </w:rPr>
        <w:t>元，其中：基本支出</w:t>
      </w:r>
      <w:r>
        <w:rPr>
          <w:rFonts w:hint="eastAsia" w:ascii="仿宋_GB2312" w:cs="宋体"/>
          <w:color w:val="000000"/>
          <w:kern w:val="0"/>
          <w:sz w:val="32"/>
          <w:szCs w:val="32"/>
          <w:shd w:val="clear" w:color="auto" w:fill="FFFFFF"/>
          <w:lang w:val="en-US" w:eastAsia="zh-CN"/>
        </w:rPr>
        <w:t>552.78</w:t>
      </w:r>
      <w:r>
        <w:rPr>
          <w:rFonts w:hint="eastAsia" w:ascii="仿宋_GB2312" w:eastAsia="仿宋_GB2312" w:cs="宋体"/>
          <w:color w:val="000000"/>
          <w:kern w:val="0"/>
          <w:sz w:val="32"/>
          <w:szCs w:val="32"/>
          <w:shd w:val="clear" w:color="auto" w:fill="FFFFFF"/>
          <w:lang w:val="en-US" w:eastAsia="zh-CN"/>
        </w:rPr>
        <w:t>万</w:t>
      </w:r>
      <w:r>
        <w:rPr>
          <w:rFonts w:hint="eastAsia" w:ascii="仿宋_GB2312" w:eastAsia="仿宋_GB2312" w:cs="宋体"/>
          <w:color w:val="000000"/>
          <w:kern w:val="0"/>
          <w:sz w:val="32"/>
          <w:szCs w:val="32"/>
          <w:shd w:val="clear" w:color="auto" w:fill="FFFFFF"/>
          <w:lang w:val="zh-CN"/>
        </w:rPr>
        <w:t>元，占总支出的</w:t>
      </w:r>
      <w:r>
        <w:rPr>
          <w:rFonts w:hint="eastAsia" w:ascii="仿宋_GB2312" w:cs="宋体"/>
          <w:color w:val="000000"/>
          <w:kern w:val="0"/>
          <w:sz w:val="32"/>
          <w:szCs w:val="32"/>
          <w:shd w:val="clear" w:color="auto" w:fill="FFFFFF"/>
          <w:lang w:val="en-US" w:eastAsia="zh-CN"/>
        </w:rPr>
        <w:t>18</w:t>
      </w:r>
      <w:r>
        <w:rPr>
          <w:rFonts w:hint="eastAsia" w:ascii="仿宋_GB2312" w:eastAsia="仿宋_GB2312" w:cs="宋体"/>
          <w:color w:val="000000"/>
          <w:kern w:val="0"/>
          <w:sz w:val="32"/>
          <w:szCs w:val="32"/>
          <w:shd w:val="clear" w:color="auto" w:fill="FFFFFF"/>
          <w:lang w:val="zh-CN"/>
        </w:rPr>
        <w:t>％，项目支出</w:t>
      </w:r>
      <w:r>
        <w:rPr>
          <w:rFonts w:hint="eastAsia" w:ascii="仿宋_GB2312" w:cs="宋体"/>
          <w:color w:val="000000"/>
          <w:kern w:val="0"/>
          <w:sz w:val="32"/>
          <w:szCs w:val="32"/>
          <w:shd w:val="clear" w:color="auto" w:fill="FFFFFF"/>
          <w:lang w:val="en-US" w:eastAsia="zh-CN"/>
        </w:rPr>
        <w:t>2468.87</w:t>
      </w:r>
      <w:r>
        <w:rPr>
          <w:rFonts w:hint="eastAsia" w:ascii="仿宋_GB2312" w:eastAsia="仿宋_GB2312" w:cs="宋体"/>
          <w:color w:val="000000"/>
          <w:kern w:val="0"/>
          <w:sz w:val="32"/>
          <w:szCs w:val="32"/>
          <w:shd w:val="clear" w:color="auto" w:fill="FFFFFF"/>
          <w:lang w:val="en-US" w:eastAsia="zh-CN"/>
        </w:rPr>
        <w:t>万</w:t>
      </w:r>
      <w:r>
        <w:rPr>
          <w:rFonts w:hint="eastAsia" w:ascii="仿宋_GB2312" w:eastAsia="仿宋_GB2312" w:cs="宋体"/>
          <w:color w:val="000000"/>
          <w:kern w:val="0"/>
          <w:sz w:val="32"/>
          <w:szCs w:val="32"/>
          <w:shd w:val="clear" w:color="auto" w:fill="FFFFFF"/>
          <w:lang w:val="zh-CN"/>
        </w:rPr>
        <w:t>元，占总支出的</w:t>
      </w:r>
      <w:r>
        <w:rPr>
          <w:rFonts w:hint="eastAsia" w:ascii="仿宋_GB2312" w:cs="宋体"/>
          <w:color w:val="000000"/>
          <w:kern w:val="0"/>
          <w:sz w:val="32"/>
          <w:szCs w:val="32"/>
          <w:shd w:val="clear" w:color="auto" w:fill="FFFFFF"/>
          <w:lang w:val="en-US" w:eastAsia="zh-CN"/>
        </w:rPr>
        <w:t>82</w:t>
      </w:r>
      <w:r>
        <w:rPr>
          <w:rFonts w:hint="eastAsia" w:ascii="仿宋_GB2312" w:eastAsia="仿宋_GB2312" w:cs="宋体"/>
          <w:color w:val="000000"/>
          <w:kern w:val="0"/>
          <w:sz w:val="32"/>
          <w:szCs w:val="32"/>
          <w:shd w:val="clear" w:color="auto" w:fill="FFFFFF"/>
          <w:lang w:val="zh-CN"/>
        </w:rPr>
        <w:t>％。</w:t>
      </w:r>
    </w:p>
    <w:p w14:paraId="0072CFA8">
      <w:pPr>
        <w:pageBreakBefore w:val="0"/>
        <w:widowControl/>
        <w:kinsoku/>
        <w:wordWrap/>
        <w:topLinePunct w:val="0"/>
        <w:bidi w:val="0"/>
        <w:adjustRightInd w:val="0"/>
        <w:snapToGrid w:val="0"/>
        <w:spacing w:line="576" w:lineRule="exact"/>
        <w:ind w:leftChars="0" w:firstLine="640" w:firstLineChars="200"/>
        <w:contextualSpacing/>
        <w:jc w:val="left"/>
        <w:rPr>
          <w:rFonts w:eastAsia="黑体"/>
          <w:color w:val="000000" w:themeColor="text1"/>
          <w:kern w:val="0"/>
          <w:sz w:val="32"/>
          <w:szCs w:val="32"/>
          <w:shd w:val="clear" w:color="auto" w:fill="FFFFFF"/>
          <w14:textFill>
            <w14:solidFill>
              <w14:schemeClr w14:val="tx1"/>
            </w14:solidFill>
          </w14:textFill>
        </w:rPr>
      </w:pPr>
      <w:r>
        <w:rPr>
          <w:rFonts w:eastAsia="黑体"/>
          <w:color w:val="000000"/>
          <w:kern w:val="0"/>
          <w:sz w:val="32"/>
          <w:szCs w:val="32"/>
          <w:shd w:val="clear" w:color="auto" w:fill="FFFFFF"/>
        </w:rPr>
        <w:t>三、部门预算绩效分析</w:t>
      </w:r>
    </w:p>
    <w:p w14:paraId="11219795">
      <w:pPr>
        <w:pageBreakBefore w:val="0"/>
        <w:kinsoku/>
        <w:wordWrap/>
        <w:topLinePunct w:val="0"/>
        <w:bidi w:val="0"/>
        <w:adjustRightInd w:val="0"/>
        <w:snapToGrid w:val="0"/>
        <w:spacing w:line="576" w:lineRule="exact"/>
        <w:ind w:leftChars="0"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3E4E7661">
      <w:pPr>
        <w:pageBreakBefore w:val="0"/>
        <w:kinsoku/>
        <w:wordWrap/>
        <w:topLinePunct w:val="0"/>
        <w:bidi w:val="0"/>
        <w:adjustRightInd w:val="0"/>
        <w:snapToGrid w:val="0"/>
        <w:spacing w:line="576" w:lineRule="exact"/>
        <w:ind w:leftChars="0"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1.我单位严格按照《政府会计制度》等相关财务制度执行单位支出及设置会计账簿，会计凭证、财务会计报告，加强票据审批报销管理，规范会计核算和账务处理。</w:t>
      </w:r>
    </w:p>
    <w:p w14:paraId="745F82B1">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2.我单位按照县财政局相关股室的要求按时报表、对账，完成本单位财务管理、决算组织、编报、审核工作。</w:t>
      </w:r>
    </w:p>
    <w:p w14:paraId="46E4C1A5">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3.我单位建立了严格的财务管理制度、由会计专人负责决算报表录制、编报、审核工作。按要求在规定的时间内，对本单位的预算和决算进行了公开。</w:t>
      </w:r>
    </w:p>
    <w:p w14:paraId="79BB96DC">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cs="宋体"/>
          <w:color w:val="000000"/>
          <w:kern w:val="0"/>
          <w:sz w:val="32"/>
          <w:szCs w:val="32"/>
          <w:shd w:val="clear" w:color="auto" w:fill="FFFFFF"/>
          <w:lang w:val="en-US" w:eastAsia="zh-CN"/>
        </w:rPr>
        <w:t>4</w:t>
      </w:r>
      <w:r>
        <w:rPr>
          <w:rFonts w:hint="eastAsia" w:ascii="仿宋_GB2312" w:eastAsia="仿宋_GB2312" w:cs="宋体"/>
          <w:color w:val="000000"/>
          <w:kern w:val="0"/>
          <w:sz w:val="32"/>
          <w:szCs w:val="32"/>
          <w:shd w:val="clear" w:color="auto" w:fill="FFFFFF"/>
          <w:lang w:val="zh-CN"/>
        </w:rPr>
        <w:t>.按照中央和省项目资金管理要求，建立健全资金管理制度，对项目资金实行专户存储、分项核算、按内容分设明细账、专款专用、封闭运行。项目资金的发放由村公示、乡镇审查、项目责任人签字、县财政审核后兑现，纪委监察进行监督，切实加强资金使用监督管理，确保资金使用安全，发挥最大效益。在全县项目资金兑现过程中，没有出现骗取、套取、挤占挪用、虚列支出、贪污或其他违规违纪使用资金的现象。</w:t>
      </w:r>
    </w:p>
    <w:p w14:paraId="2EBBC783">
      <w:pPr>
        <w:pageBreakBefore w:val="0"/>
        <w:widowControl/>
        <w:kinsoku/>
        <w:wordWrap/>
        <w:topLinePunct w:val="0"/>
        <w:bidi w:val="0"/>
        <w:adjustRightInd w:val="0"/>
        <w:snapToGrid w:val="0"/>
        <w:spacing w:line="576" w:lineRule="exact"/>
        <w:ind w:leftChars="0" w:firstLine="640" w:firstLineChars="200"/>
        <w:rPr>
          <w:rFonts w:hint="eastAsia" w:ascii="仿宋_GB2312" w:eastAsia="仿宋_GB2312" w:cs="宋体"/>
          <w:color w:val="000000"/>
          <w:kern w:val="0"/>
          <w:sz w:val="32"/>
          <w:szCs w:val="32"/>
          <w:shd w:val="clear" w:color="auto" w:fill="FFFFFF"/>
          <w:lang w:val="zh-CN"/>
        </w:rPr>
      </w:pPr>
      <w:r>
        <w:rPr>
          <w:rFonts w:hint="eastAsia" w:ascii="仿宋_GB2312" w:cs="宋体"/>
          <w:color w:val="000000"/>
          <w:kern w:val="0"/>
          <w:sz w:val="32"/>
          <w:szCs w:val="32"/>
          <w:shd w:val="clear" w:color="auto" w:fill="FFFFFF"/>
          <w:lang w:val="en-US" w:eastAsia="zh-CN"/>
        </w:rPr>
        <w:t>5.</w:t>
      </w:r>
      <w:r>
        <w:rPr>
          <w:rFonts w:hint="eastAsia" w:ascii="仿宋_GB2312" w:eastAsia="仿宋_GB2312" w:cs="宋体"/>
          <w:color w:val="000000"/>
          <w:kern w:val="0"/>
          <w:sz w:val="32"/>
          <w:szCs w:val="32"/>
          <w:shd w:val="clear" w:color="auto" w:fill="FFFFFF"/>
          <w:lang w:val="zh-CN"/>
        </w:rPr>
        <w:t>涉及政府采购的我局严格按政府采购制度执行。在采购办公用品时严格按照</w:t>
      </w:r>
      <w:r>
        <w:rPr>
          <w:rFonts w:hint="eastAsia" w:ascii="仿宋_GB2312" w:eastAsia="仿宋_GB2312" w:cs="宋体"/>
          <w:color w:val="000000"/>
          <w:kern w:val="0"/>
          <w:sz w:val="32"/>
          <w:szCs w:val="32"/>
          <w:shd w:val="clear" w:color="auto" w:fill="FFFFFF"/>
          <w:lang w:val="en-US" w:eastAsia="zh-CN"/>
        </w:rPr>
        <w:t>茂县采购</w:t>
      </w:r>
      <w:r>
        <w:rPr>
          <w:rFonts w:hint="eastAsia" w:ascii="仿宋_GB2312" w:eastAsia="仿宋_GB2312" w:cs="宋体"/>
          <w:color w:val="000000"/>
          <w:kern w:val="0"/>
          <w:sz w:val="32"/>
          <w:szCs w:val="32"/>
          <w:shd w:val="clear" w:color="auto" w:fill="FFFFFF"/>
          <w:lang w:val="zh-CN"/>
        </w:rPr>
        <w:t>文件精神</w:t>
      </w:r>
      <w:r>
        <w:rPr>
          <w:rFonts w:hint="eastAsia" w:ascii="仿宋_GB2312" w:eastAsia="仿宋_GB2312" w:cs="宋体"/>
          <w:color w:val="000000"/>
          <w:kern w:val="0"/>
          <w:sz w:val="32"/>
          <w:szCs w:val="32"/>
          <w:shd w:val="clear" w:color="auto" w:fill="FFFFFF"/>
          <w:lang w:val="en-US" w:eastAsia="zh-CN"/>
        </w:rPr>
        <w:t>要求进行采购</w:t>
      </w:r>
      <w:r>
        <w:rPr>
          <w:rFonts w:hint="eastAsia" w:ascii="仿宋_GB2312" w:eastAsia="仿宋_GB2312" w:cs="宋体"/>
          <w:color w:val="000000"/>
          <w:kern w:val="0"/>
          <w:sz w:val="32"/>
          <w:szCs w:val="32"/>
          <w:shd w:val="clear" w:color="auto" w:fill="FFFFFF"/>
          <w:lang w:val="zh-CN"/>
        </w:rPr>
        <w:t>，项目预算资金在限额标准以上的都通过填报《茂县政府采购计划申请表》向县财政</w:t>
      </w:r>
      <w:r>
        <w:rPr>
          <w:rFonts w:hint="eastAsia" w:ascii="仿宋_GB2312" w:eastAsia="仿宋_GB2312" w:cs="宋体"/>
          <w:color w:val="000000"/>
          <w:kern w:val="0"/>
          <w:sz w:val="32"/>
          <w:szCs w:val="32"/>
          <w:shd w:val="clear" w:color="auto" w:fill="FFFFFF"/>
          <w:lang w:val="en-US" w:eastAsia="zh-CN"/>
        </w:rPr>
        <w:t>局</w:t>
      </w:r>
      <w:r>
        <w:rPr>
          <w:rFonts w:hint="eastAsia" w:ascii="仿宋_GB2312" w:eastAsia="仿宋_GB2312" w:cs="宋体"/>
          <w:color w:val="000000"/>
          <w:kern w:val="0"/>
          <w:sz w:val="32"/>
          <w:szCs w:val="32"/>
          <w:shd w:val="clear" w:color="auto" w:fill="FFFFFF"/>
          <w:lang w:val="zh-CN"/>
        </w:rPr>
        <w:t>申请，经审核批准后在组织实施。项目预算资金在限额标准以下的都通过填报《茂县政府采购备案表》经备案后进行采购。</w:t>
      </w:r>
    </w:p>
    <w:p w14:paraId="2F2A5F75">
      <w:pPr>
        <w:pageBreakBefore w:val="0"/>
        <w:kinsoku/>
        <w:wordWrap/>
        <w:topLinePunct w:val="0"/>
        <w:bidi w:val="0"/>
        <w:adjustRightInd w:val="0"/>
        <w:snapToGrid w:val="0"/>
        <w:spacing w:line="576" w:lineRule="exact"/>
        <w:ind w:leftChars="0"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14:paraId="7BE29A1C">
      <w:pPr>
        <w:pageBreakBefore w:val="0"/>
        <w:widowControl/>
        <w:kinsoku/>
        <w:wordWrap/>
        <w:topLinePunct w:val="0"/>
        <w:bidi w:val="0"/>
        <w:adjustRightInd w:val="0"/>
        <w:snapToGrid w:val="0"/>
        <w:spacing w:line="576" w:lineRule="exact"/>
        <w:ind w:leftChars="0" w:firstLine="640" w:firstLineChars="200"/>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项目绩效分析总数</w:t>
      </w:r>
      <w:r>
        <w:rPr>
          <w:rFonts w:hint="eastAsia" w:ascii="仿宋_GB2312" w:eastAsia="仿宋_GB2312" w:cs="宋体"/>
          <w:color w:val="000000"/>
          <w:kern w:val="0"/>
          <w:sz w:val="32"/>
          <w:szCs w:val="32"/>
          <w:shd w:val="clear" w:color="auto" w:fill="FFFFFF"/>
          <w:lang w:val="en-US" w:eastAsia="zh-CN"/>
        </w:rPr>
        <w:t>7</w:t>
      </w:r>
      <w:r>
        <w:rPr>
          <w:rFonts w:hint="eastAsia" w:ascii="仿宋_GB2312" w:eastAsia="仿宋_GB2312" w:cs="宋体"/>
          <w:color w:val="000000"/>
          <w:kern w:val="0"/>
          <w:sz w:val="32"/>
          <w:szCs w:val="32"/>
          <w:shd w:val="clear" w:color="auto" w:fill="FFFFFF"/>
          <w:lang w:val="zh-CN"/>
        </w:rPr>
        <w:t>个，涉及预算总金额</w:t>
      </w:r>
      <w:r>
        <w:rPr>
          <w:rFonts w:hint="eastAsia" w:ascii="仿宋_GB2312" w:eastAsia="仿宋_GB2312" w:cs="宋体"/>
          <w:color w:val="000000"/>
          <w:kern w:val="0"/>
          <w:sz w:val="32"/>
          <w:szCs w:val="32"/>
          <w:shd w:val="clear" w:color="auto" w:fill="FFFFFF"/>
          <w:lang w:val="en-US" w:eastAsia="zh-CN"/>
        </w:rPr>
        <w:t>1639.26</w:t>
      </w:r>
      <w:r>
        <w:rPr>
          <w:rFonts w:hint="eastAsia" w:ascii="仿宋_GB2312" w:eastAsia="仿宋_GB2312" w:cs="宋体"/>
          <w:color w:val="000000"/>
          <w:kern w:val="0"/>
          <w:sz w:val="32"/>
          <w:szCs w:val="32"/>
          <w:shd w:val="clear" w:color="auto" w:fill="FFFFFF"/>
          <w:lang w:val="zh-CN"/>
        </w:rPr>
        <w:t>万元，1—12月预算执行总体进度为</w:t>
      </w:r>
      <w:r>
        <w:rPr>
          <w:rFonts w:hint="eastAsia" w:ascii="仿宋_GB2312" w:eastAsia="仿宋_GB2312" w:cs="宋体"/>
          <w:color w:val="000000"/>
          <w:kern w:val="0"/>
          <w:sz w:val="32"/>
          <w:szCs w:val="32"/>
          <w:shd w:val="clear" w:color="auto" w:fill="FFFFFF"/>
          <w:lang w:val="en-US" w:eastAsia="zh-CN"/>
        </w:rPr>
        <w:t>72</w:t>
      </w:r>
      <w:r>
        <w:rPr>
          <w:rFonts w:hint="eastAsia" w:ascii="仿宋_GB2312" w:eastAsia="仿宋_GB2312" w:cs="宋体"/>
          <w:color w:val="000000"/>
          <w:kern w:val="0"/>
          <w:sz w:val="32"/>
          <w:szCs w:val="32"/>
          <w:shd w:val="clear" w:color="auto" w:fill="FFFFFF"/>
          <w:lang w:val="zh-CN"/>
        </w:rPr>
        <w:t>%，其中：预算结余率大于10%的项目共计</w:t>
      </w:r>
      <w:r>
        <w:rPr>
          <w:rFonts w:hint="eastAsia" w:ascii="仿宋_GB2312" w:eastAsia="仿宋_GB2312" w:cs="宋体"/>
          <w:color w:val="000000"/>
          <w:kern w:val="0"/>
          <w:sz w:val="32"/>
          <w:szCs w:val="32"/>
          <w:shd w:val="clear" w:color="auto" w:fill="FFFFFF"/>
          <w:lang w:val="en-US" w:eastAsia="zh-CN"/>
        </w:rPr>
        <w:t>2</w:t>
      </w:r>
      <w:r>
        <w:rPr>
          <w:rFonts w:hint="eastAsia" w:ascii="仿宋_GB2312" w:eastAsia="仿宋_GB2312" w:cs="宋体"/>
          <w:color w:val="000000"/>
          <w:kern w:val="0"/>
          <w:sz w:val="32"/>
          <w:szCs w:val="32"/>
          <w:shd w:val="clear" w:color="auto" w:fill="FFFFFF"/>
          <w:lang w:val="zh-CN"/>
        </w:rPr>
        <w:t>个。</w:t>
      </w:r>
    </w:p>
    <w:p w14:paraId="6EDF6FC6">
      <w:pPr>
        <w:pageBreakBefore w:val="0"/>
        <w:kinsoku/>
        <w:wordWrap/>
        <w:topLinePunct w:val="0"/>
        <w:bidi w:val="0"/>
        <w:spacing w:line="576" w:lineRule="exact"/>
        <w:ind w:leftChars="0" w:firstLine="640" w:firstLineChars="200"/>
        <w:rPr>
          <w:rFonts w:hint="eastAsia" w:ascii="仿宋_GB2312" w:eastAsia="仿宋_GB2312" w:cs="宋体"/>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eastAsia="zh-CN" w:bidi="ar-SA"/>
        </w:rPr>
        <w:t>1.项目决策。</w:t>
      </w:r>
      <w:r>
        <w:rPr>
          <w:rFonts w:hint="eastAsia" w:ascii="仿宋_GB2312" w:eastAsia="仿宋_GB2312" w:cs="宋体"/>
          <w:color w:val="000000"/>
          <w:kern w:val="0"/>
          <w:sz w:val="32"/>
          <w:szCs w:val="32"/>
          <w:shd w:val="clear" w:color="auto" w:fill="FFFFFF"/>
          <w:lang w:val="zh-CN"/>
        </w:rPr>
        <w:t>通过事前绩效评估，为项目</w:t>
      </w:r>
      <w:r>
        <w:rPr>
          <w:rFonts w:hint="eastAsia" w:ascii="仿宋_GB2312" w:eastAsia="仿宋_GB2312" w:cs="宋体"/>
          <w:color w:val="000000"/>
          <w:kern w:val="0"/>
          <w:sz w:val="32"/>
          <w:szCs w:val="32"/>
          <w:shd w:val="clear" w:color="auto" w:fill="FFFFFF"/>
          <w:lang w:val="en-US" w:eastAsia="zh-CN"/>
        </w:rPr>
        <w:t>决策</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zh-CN"/>
        </w:rPr>
        <w:t>预算安排提供重要参考依据，提高</w:t>
      </w:r>
      <w:r>
        <w:rPr>
          <w:rFonts w:hint="eastAsia" w:ascii="仿宋_GB2312" w:eastAsia="仿宋_GB2312" w:cs="宋体"/>
          <w:color w:val="000000"/>
          <w:kern w:val="0"/>
          <w:sz w:val="32"/>
          <w:szCs w:val="32"/>
          <w:shd w:val="clear" w:color="auto" w:fill="FFFFFF"/>
          <w:lang w:val="en-US" w:eastAsia="zh-CN"/>
        </w:rPr>
        <w:t>项目决策的</w:t>
      </w:r>
      <w:r>
        <w:rPr>
          <w:rFonts w:hint="eastAsia" w:ascii="仿宋_GB2312" w:eastAsia="仿宋_GB2312" w:cs="宋体"/>
          <w:color w:val="000000"/>
          <w:kern w:val="0"/>
          <w:sz w:val="32"/>
          <w:szCs w:val="32"/>
          <w:shd w:val="clear" w:color="auto" w:fill="FFFFFF"/>
          <w:lang w:val="zh-CN"/>
        </w:rPr>
        <w:t>科学性、合理性，优化财政支出结构，从源头上防控财政资源配置的低效无效，提高财政资源配置效率和财政资金使用效益。</w:t>
      </w:r>
    </w:p>
    <w:p w14:paraId="3C5BBBC9">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Chars="0" w:right="0" w:firstLine="640" w:firstLineChars="200"/>
        <w:textAlignment w:val="auto"/>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楷体_GB2312" w:hAnsi="楷体_GB2312" w:eastAsia="楷体_GB2312" w:cs="楷体_GB2312"/>
          <w:color w:val="000000"/>
          <w:kern w:val="0"/>
          <w:sz w:val="32"/>
          <w:szCs w:val="32"/>
          <w:shd w:val="clear" w:color="auto" w:fill="FFFFFF"/>
          <w:lang w:val="zh-CN" w:eastAsia="zh-CN" w:bidi="ar-SA"/>
        </w:rPr>
        <w:t>2.项目执行。</w:t>
      </w:r>
      <w:r>
        <w:rPr>
          <w:rFonts w:hint="eastAsia" w:ascii="仿宋_GB2312" w:hAnsi="Times New Roman" w:eastAsia="仿宋_GB2312" w:cs="宋体"/>
          <w:color w:val="000000"/>
          <w:kern w:val="0"/>
          <w:sz w:val="32"/>
          <w:szCs w:val="32"/>
          <w:shd w:val="clear" w:color="auto" w:fill="FFFFFF"/>
          <w:lang w:val="en-US" w:eastAsia="zh-CN" w:bidi="ar-SA"/>
        </w:rPr>
        <w:t>项目资金由县水务局具体管理，按投资计划，制定管理制度，对项目资金按项目单独核算实行“专款专用、专人管理”，不得挤占挪用项目资金。</w:t>
      </w:r>
      <w:r>
        <w:rPr>
          <w:rFonts w:hint="eastAsia" w:ascii="仿宋_GB2312" w:hAnsi="Times New Roman" w:eastAsia="仿宋_GB2312" w:cs="宋体"/>
          <w:color w:val="000000"/>
          <w:kern w:val="0"/>
          <w:sz w:val="32"/>
          <w:szCs w:val="32"/>
          <w:shd w:val="clear" w:color="auto" w:fill="FFFFFF"/>
          <w:lang w:val="zh-CN" w:eastAsia="zh-CN" w:bidi="ar-SA"/>
        </w:rPr>
        <w:t>项目实施及财务管理都严格按照相关文件规定进行严格把关审核，严格按照项目资金管理办法对资金进行计划申请、划拨、使用，资金使用严格执行财务管理制度、财务处理及时、会计核算规范。</w:t>
      </w:r>
    </w:p>
    <w:p w14:paraId="124DEB6F">
      <w:pPr>
        <w:pageBreakBefore w:val="0"/>
        <w:widowControl/>
        <w:kinsoku/>
        <w:wordWrap/>
        <w:topLinePunct w:val="0"/>
        <w:bidi w:val="0"/>
        <w:adjustRightInd w:val="0"/>
        <w:snapToGrid w:val="0"/>
        <w:spacing w:line="576" w:lineRule="exact"/>
        <w:ind w:leftChars="0" w:firstLine="640" w:firstLineChars="200"/>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楷体_GB2312" w:hAnsi="楷体_GB2312" w:eastAsia="楷体_GB2312" w:cs="楷体_GB2312"/>
          <w:color w:val="000000"/>
          <w:kern w:val="0"/>
          <w:sz w:val="32"/>
          <w:szCs w:val="32"/>
          <w:shd w:val="clear" w:color="auto" w:fill="FFFFFF"/>
          <w:lang w:val="zh-CN" w:eastAsia="zh-CN" w:bidi="ar-SA"/>
        </w:rPr>
        <w:t>3.目标实现。</w:t>
      </w:r>
      <w:r>
        <w:rPr>
          <w:rFonts w:hint="eastAsia" w:ascii="仿宋_GB2312" w:hAnsi="Times New Roman" w:eastAsia="仿宋_GB2312" w:cs="宋体"/>
          <w:color w:val="000000"/>
          <w:kern w:val="0"/>
          <w:sz w:val="32"/>
          <w:szCs w:val="32"/>
          <w:shd w:val="clear" w:color="auto" w:fill="FFFFFF"/>
          <w:lang w:val="zh-CN" w:eastAsia="zh-CN" w:bidi="ar-SA"/>
        </w:rPr>
        <w:t>按照年初预算项目，实施完工后改善了我县广大人民群众的生产、生活条件，促进了社会稳定与和谐发展，为县域经济的发展打下了坚实的基础，保护了全县生态环境，促进了经济的可持续发展，为民族地区的经济发展提供了有利保障，</w:t>
      </w:r>
      <w:r>
        <w:rPr>
          <w:rFonts w:hint="eastAsia" w:ascii="仿宋_GB2312" w:hAnsi="Times New Roman" w:eastAsia="仿宋_GB2312" w:cs="宋体"/>
          <w:color w:val="000000"/>
          <w:kern w:val="0"/>
          <w:sz w:val="32"/>
          <w:szCs w:val="32"/>
          <w:shd w:val="clear" w:color="auto" w:fill="FFFFFF"/>
          <w:lang w:val="en-US" w:eastAsia="zh-CN" w:bidi="ar-SA"/>
        </w:rPr>
        <w:t>具</w:t>
      </w:r>
      <w:r>
        <w:rPr>
          <w:rFonts w:hint="eastAsia" w:ascii="仿宋_GB2312" w:hAnsi="Times New Roman" w:eastAsia="仿宋_GB2312" w:cs="宋体"/>
          <w:color w:val="000000"/>
          <w:kern w:val="0"/>
          <w:sz w:val="32"/>
          <w:szCs w:val="32"/>
          <w:shd w:val="clear" w:color="auto" w:fill="FFFFFF"/>
          <w:lang w:val="zh-CN" w:eastAsia="zh-CN" w:bidi="ar-SA"/>
        </w:rPr>
        <w:t>有巨大的经济、社会和生态效益。</w:t>
      </w:r>
    </w:p>
    <w:p w14:paraId="56D148D6">
      <w:pPr>
        <w:pageBreakBefore w:val="0"/>
        <w:kinsoku/>
        <w:wordWrap/>
        <w:topLinePunct w:val="0"/>
        <w:bidi w:val="0"/>
        <w:adjustRightInd w:val="0"/>
        <w:snapToGrid w:val="0"/>
        <w:spacing w:line="576" w:lineRule="exact"/>
        <w:ind w:leftChars="0"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）重点领域绩效分析</w:t>
      </w:r>
    </w:p>
    <w:p w14:paraId="0E4DE206">
      <w:pPr>
        <w:pageBreakBefore w:val="0"/>
        <w:widowControl/>
        <w:kinsoku/>
        <w:wordWrap/>
        <w:topLinePunct w:val="0"/>
        <w:bidi w:val="0"/>
        <w:adjustRightInd w:val="0"/>
        <w:snapToGrid w:val="0"/>
        <w:spacing w:line="576" w:lineRule="exact"/>
        <w:ind w:leftChars="0" w:firstLine="640" w:firstLineChars="200"/>
        <w:rPr>
          <w:rFonts w:hint="eastAsia" w:ascii="仿宋_GB2312" w:hAnsi="Times New Roman" w:eastAsia="仿宋_GB2312" w:cs="宋体"/>
          <w:color w:val="000000"/>
          <w:kern w:val="0"/>
          <w:sz w:val="32"/>
          <w:szCs w:val="32"/>
          <w:shd w:val="clear" w:color="auto" w:fill="FFFFFF"/>
          <w:lang w:val="zh-CN" w:eastAsia="zh-CN" w:bidi="ar-SA"/>
        </w:rPr>
      </w:pPr>
      <w:r>
        <w:rPr>
          <w:rFonts w:hint="eastAsia" w:ascii="仿宋_GB2312" w:hAnsi="Times New Roman" w:eastAsia="仿宋_GB2312" w:cs="宋体"/>
          <w:color w:val="000000"/>
          <w:kern w:val="0"/>
          <w:sz w:val="32"/>
          <w:szCs w:val="32"/>
          <w:shd w:val="clear" w:color="auto" w:fill="FFFFFF"/>
          <w:lang w:val="zh-CN" w:eastAsia="zh-CN" w:bidi="ar-SA"/>
        </w:rPr>
        <w:t>单位对固定资产实物情况进行全面管理;对资产盘盈、盘亏、报废、清理等处置业务在获得有关部门审核批准后及时办理相应手续。每年定期对现有固定资产进行账物实物清查盘点，并按要求在四川省资产管理系统中准确、真实、完整地录入相关数据并上报。</w:t>
      </w:r>
    </w:p>
    <w:p w14:paraId="7FC7B177">
      <w:pPr>
        <w:pageBreakBefore w:val="0"/>
        <w:kinsoku/>
        <w:wordWrap/>
        <w:topLinePunct w:val="0"/>
        <w:bidi w:val="0"/>
        <w:adjustRightInd w:val="0"/>
        <w:snapToGrid w:val="0"/>
        <w:spacing w:line="576" w:lineRule="exact"/>
        <w:ind w:leftChars="0" w:firstLine="643" w:firstLineChars="200"/>
        <w:contextualSpacing/>
        <w:jc w:val="left"/>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（四）绩效结果应用情况</w:t>
      </w:r>
    </w:p>
    <w:p w14:paraId="0698E6AB">
      <w:pPr>
        <w:keepNext w:val="0"/>
        <w:keepLines w:val="0"/>
        <w:pageBreakBefore w:val="0"/>
        <w:widowControl/>
        <w:suppressAutoHyphens/>
        <w:kinsoku/>
        <w:wordWrap/>
        <w:overflowPunct/>
        <w:topLinePunct w:val="0"/>
        <w:autoSpaceDE/>
        <w:autoSpaceDN/>
        <w:bidi w:val="0"/>
        <w:adjustRightInd w:val="0"/>
        <w:snapToGrid w:val="0"/>
        <w:spacing w:line="576" w:lineRule="exact"/>
        <w:ind w:left="0" w:leftChars="0" w:firstLine="640" w:firstLineChars="200"/>
        <w:jc w:val="left"/>
        <w:textAlignment w:val="auto"/>
        <w:rPr>
          <w:rFonts w:ascii="仿宋_GB2312" w:hAnsi="Times New Roman" w:eastAsia="仿宋_GB2312" w:cs="仿宋_GB2312"/>
          <w:b/>
          <w:sz w:val="32"/>
          <w:szCs w:val="32"/>
        </w:rPr>
      </w:pPr>
      <w:r>
        <w:rPr>
          <w:rFonts w:hint="eastAsia" w:ascii="仿宋_GB2312" w:hAnsi="Times New Roman" w:eastAsia="仿宋_GB2312" w:cs="宋体"/>
          <w:color w:val="000000"/>
          <w:kern w:val="0"/>
          <w:sz w:val="32"/>
          <w:szCs w:val="32"/>
          <w:shd w:val="clear" w:color="auto" w:fill="FFFFFF"/>
          <w:lang w:val="zh-CN"/>
        </w:rPr>
        <w:t>绩效结果为管理层提供了重要的决策支持信息。根据绩效数据，能够评估项目的效率、效果以及</w:t>
      </w:r>
      <w:r>
        <w:rPr>
          <w:rFonts w:hint="eastAsia" w:ascii="仿宋_GB2312" w:eastAsia="仿宋_GB2312" w:cs="宋体"/>
          <w:color w:val="000000"/>
          <w:kern w:val="0"/>
          <w:sz w:val="32"/>
          <w:szCs w:val="32"/>
          <w:shd w:val="clear" w:color="auto" w:fill="FFFFFF"/>
          <w:lang w:val="en-US" w:eastAsia="zh-CN"/>
        </w:rPr>
        <w:t>资金、</w:t>
      </w:r>
      <w:r>
        <w:rPr>
          <w:rFonts w:hint="eastAsia" w:ascii="仿宋_GB2312" w:hAnsi="Times New Roman" w:eastAsia="仿宋_GB2312" w:cs="宋体"/>
          <w:color w:val="000000"/>
          <w:kern w:val="0"/>
          <w:sz w:val="32"/>
          <w:szCs w:val="32"/>
          <w:shd w:val="clear" w:color="auto" w:fill="FFFFFF"/>
          <w:lang w:val="zh-CN"/>
        </w:rPr>
        <w:t>资源利用情况，从而对策略进行调整和优化；基于绩效结果，可以更精准地进行</w:t>
      </w:r>
      <w:r>
        <w:rPr>
          <w:rFonts w:hint="eastAsia" w:ascii="仿宋_GB2312" w:eastAsia="仿宋_GB2312" w:cs="宋体"/>
          <w:color w:val="000000"/>
          <w:kern w:val="0"/>
          <w:sz w:val="32"/>
          <w:szCs w:val="32"/>
          <w:shd w:val="clear" w:color="auto" w:fill="FFFFFF"/>
          <w:lang w:val="en-US" w:eastAsia="zh-CN"/>
        </w:rPr>
        <w:t>资金、</w:t>
      </w:r>
      <w:r>
        <w:rPr>
          <w:rFonts w:hint="eastAsia" w:ascii="仿宋_GB2312" w:hAnsi="Times New Roman" w:eastAsia="仿宋_GB2312" w:cs="宋体"/>
          <w:color w:val="000000"/>
          <w:kern w:val="0"/>
          <w:sz w:val="32"/>
          <w:szCs w:val="32"/>
          <w:shd w:val="clear" w:color="auto" w:fill="FFFFFF"/>
          <w:lang w:val="zh-CN"/>
        </w:rPr>
        <w:t>资源分配。将</w:t>
      </w:r>
      <w:r>
        <w:rPr>
          <w:rFonts w:hint="eastAsia" w:ascii="仿宋_GB2312" w:eastAsia="仿宋_GB2312" w:cs="宋体"/>
          <w:color w:val="000000"/>
          <w:kern w:val="0"/>
          <w:sz w:val="32"/>
          <w:szCs w:val="32"/>
          <w:shd w:val="clear" w:color="auto" w:fill="FFFFFF"/>
          <w:lang w:val="en-US" w:eastAsia="zh-CN"/>
        </w:rPr>
        <w:t>资金、</w:t>
      </w:r>
      <w:r>
        <w:rPr>
          <w:rFonts w:hint="eastAsia" w:ascii="仿宋_GB2312" w:hAnsi="Times New Roman" w:eastAsia="仿宋_GB2312" w:cs="宋体"/>
          <w:color w:val="000000"/>
          <w:kern w:val="0"/>
          <w:sz w:val="32"/>
          <w:szCs w:val="32"/>
          <w:shd w:val="clear" w:color="auto" w:fill="FFFFFF"/>
          <w:lang w:val="zh-CN"/>
        </w:rPr>
        <w:t>资源投向表现好、影响大的项目或区域，减少对表现不佳项目的投入；绩效结果帮助我</w:t>
      </w:r>
      <w:r>
        <w:rPr>
          <w:rFonts w:hint="eastAsia" w:ascii="仿宋_GB2312" w:eastAsia="仿宋_GB2312" w:cs="宋体"/>
          <w:color w:val="000000"/>
          <w:kern w:val="0"/>
          <w:sz w:val="32"/>
          <w:szCs w:val="32"/>
          <w:shd w:val="clear" w:color="auto" w:fill="FFFFFF"/>
          <w:lang w:val="en-US" w:eastAsia="zh-CN"/>
        </w:rPr>
        <w:t>局</w:t>
      </w:r>
      <w:r>
        <w:rPr>
          <w:rFonts w:hint="eastAsia" w:ascii="仿宋_GB2312" w:hAnsi="Times New Roman" w:eastAsia="仿宋_GB2312" w:cs="宋体"/>
          <w:color w:val="000000"/>
          <w:kern w:val="0"/>
          <w:sz w:val="32"/>
          <w:szCs w:val="32"/>
          <w:shd w:val="clear" w:color="auto" w:fill="FFFFFF"/>
          <w:lang w:val="zh-CN"/>
        </w:rPr>
        <w:t>识别运行中存在的问题和挑战，如</w:t>
      </w:r>
      <w:r>
        <w:rPr>
          <w:rFonts w:hint="eastAsia" w:ascii="仿宋_GB2312" w:eastAsia="仿宋_GB2312" w:cs="宋体"/>
          <w:color w:val="000000"/>
          <w:kern w:val="0"/>
          <w:sz w:val="32"/>
          <w:szCs w:val="32"/>
          <w:shd w:val="clear" w:color="auto" w:fill="FFFFFF"/>
          <w:lang w:val="en-US" w:eastAsia="zh-CN"/>
        </w:rPr>
        <w:t>安全饮水</w:t>
      </w:r>
      <w:r>
        <w:rPr>
          <w:rFonts w:hint="eastAsia" w:ascii="仿宋_GB2312" w:hAnsi="Times New Roman" w:eastAsia="仿宋_GB2312" w:cs="宋体"/>
          <w:color w:val="000000"/>
          <w:kern w:val="0"/>
          <w:sz w:val="32"/>
          <w:szCs w:val="32"/>
          <w:shd w:val="clear" w:color="auto" w:fill="FFFFFF"/>
          <w:lang w:val="zh-CN"/>
        </w:rPr>
        <w:t>资金使用不合理等问题；一旦识别出具体问题，我</w:t>
      </w:r>
      <w:r>
        <w:rPr>
          <w:rFonts w:hint="eastAsia" w:ascii="仿宋_GB2312" w:eastAsia="仿宋_GB2312" w:cs="宋体"/>
          <w:color w:val="000000"/>
          <w:kern w:val="0"/>
          <w:sz w:val="32"/>
          <w:szCs w:val="32"/>
          <w:shd w:val="clear" w:color="auto" w:fill="FFFFFF"/>
          <w:lang w:val="en-US" w:eastAsia="zh-CN"/>
        </w:rPr>
        <w:t>局</w:t>
      </w:r>
      <w:r>
        <w:rPr>
          <w:rFonts w:hint="eastAsia" w:ascii="仿宋_GB2312" w:hAnsi="Times New Roman" w:eastAsia="仿宋_GB2312" w:cs="宋体"/>
          <w:color w:val="000000"/>
          <w:kern w:val="0"/>
          <w:sz w:val="32"/>
          <w:szCs w:val="32"/>
          <w:shd w:val="clear" w:color="auto" w:fill="FFFFFF"/>
          <w:lang w:val="zh-CN"/>
        </w:rPr>
        <w:t>会制定相应的改进措施，例如优化流程、调整资源配置、加强员工培训等；实施改进措施后，持续跟踪其效果，确保问题得到实际解决；我单位通常会将绩效管理视为一个持续的过程，通过不断的评估和反馈循环来追求效率的</w:t>
      </w:r>
      <w:r>
        <w:rPr>
          <w:rFonts w:hint="eastAsia" w:ascii="仿宋_GB2312" w:eastAsia="仿宋_GB2312" w:cs="宋体"/>
          <w:color w:val="000000"/>
          <w:kern w:val="0"/>
          <w:sz w:val="32"/>
          <w:szCs w:val="32"/>
          <w:shd w:val="clear" w:color="auto" w:fill="FFFFFF"/>
          <w:lang w:val="en-US" w:eastAsia="zh-CN"/>
        </w:rPr>
        <w:t>不断</w:t>
      </w:r>
      <w:r>
        <w:rPr>
          <w:rFonts w:hint="eastAsia" w:ascii="仿宋_GB2312" w:hAnsi="Times New Roman" w:eastAsia="仿宋_GB2312" w:cs="宋体"/>
          <w:color w:val="000000"/>
          <w:kern w:val="0"/>
          <w:sz w:val="32"/>
          <w:szCs w:val="32"/>
          <w:shd w:val="clear" w:color="auto" w:fill="FFFFFF"/>
          <w:lang w:val="zh-CN"/>
        </w:rPr>
        <w:t>提高。</w:t>
      </w:r>
    </w:p>
    <w:p w14:paraId="05DFC039">
      <w:pPr>
        <w:pageBreakBefore w:val="0"/>
        <w:widowControl/>
        <w:kinsoku/>
        <w:wordWrap/>
        <w:topLinePunct w:val="0"/>
        <w:bidi w:val="0"/>
        <w:adjustRightInd w:val="0"/>
        <w:snapToGrid w:val="0"/>
        <w:spacing w:line="576" w:lineRule="exact"/>
        <w:ind w:leftChars="0"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6A691F2A">
      <w:pPr>
        <w:pageBreakBefore w:val="0"/>
        <w:kinsoku/>
        <w:wordWrap/>
        <w:topLinePunct w:val="0"/>
        <w:bidi w:val="0"/>
        <w:adjustRightInd w:val="0"/>
        <w:snapToGrid w:val="0"/>
        <w:spacing w:line="576" w:lineRule="exact"/>
        <w:ind w:leftChars="0"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370BC496">
      <w:pPr>
        <w:pageBreakBefore w:val="0"/>
        <w:widowControl/>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单位按照预算法按时完成预决算编制。在执行过程中有计划进行资金申报使用，完善资金管理及内部控制制度，确保资金安全，做到账款、账账、账实相符。为本单位经济和社会事业发展提供资金保障，我单位将进一步优化完善实施方案和绩效目标，加强运行监控，节约财政资金并提升资金效益，提升预算绩效管理水平。</w:t>
      </w:r>
    </w:p>
    <w:p w14:paraId="2378D712">
      <w:pPr>
        <w:pageBreakBefore w:val="0"/>
        <w:kinsoku/>
        <w:wordWrap/>
        <w:topLinePunct w:val="0"/>
        <w:bidi w:val="0"/>
        <w:adjustRightInd w:val="0"/>
        <w:snapToGrid w:val="0"/>
        <w:spacing w:line="576" w:lineRule="exact"/>
        <w:ind w:leftChars="0"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en-US" w:eastAsia="zh-CN"/>
        </w:rPr>
        <w:t>二</w:t>
      </w:r>
      <w:r>
        <w:rPr>
          <w:rFonts w:hint="eastAsia" w:eastAsia="楷体_GB2312"/>
          <w:b/>
          <w:bCs/>
          <w:color w:val="000000"/>
          <w:kern w:val="0"/>
          <w:sz w:val="32"/>
          <w:szCs w:val="32"/>
          <w:shd w:val="clear" w:color="auto" w:fill="FFFFFF"/>
          <w:lang w:val="zh-CN"/>
        </w:rPr>
        <w:t>）</w:t>
      </w:r>
      <w:r>
        <w:rPr>
          <w:rFonts w:eastAsia="楷体_GB2312"/>
          <w:b/>
          <w:bCs/>
          <w:color w:val="000000"/>
          <w:kern w:val="0"/>
          <w:sz w:val="32"/>
          <w:szCs w:val="32"/>
          <w:shd w:val="clear" w:color="auto" w:fill="FFFFFF"/>
          <w:lang w:val="zh-CN"/>
        </w:rPr>
        <w:t>存在问题</w:t>
      </w:r>
    </w:p>
    <w:p w14:paraId="460C30D2">
      <w:pPr>
        <w:pageBreakBefore w:val="0"/>
        <w:widowControl/>
        <w:numPr>
          <w:ilvl w:val="0"/>
          <w:numId w:val="0"/>
        </w:numPr>
        <w:kinsoku/>
        <w:wordWrap/>
        <w:topLinePunct w:val="0"/>
        <w:bidi w:val="0"/>
        <w:adjustRightInd w:val="0"/>
        <w:snapToGrid w:val="0"/>
        <w:spacing w:line="576" w:lineRule="exact"/>
        <w:ind w:leftChars="0"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对本单位经济和社会事业发展在资金安排、使用、核算上存在不合理现象，导致预算经费科目与支出科目存在差异。</w:t>
      </w:r>
    </w:p>
    <w:p w14:paraId="3AF7E3E2">
      <w:pPr>
        <w:pageBreakBefore w:val="0"/>
        <w:widowControl/>
        <w:numPr>
          <w:ilvl w:val="0"/>
          <w:numId w:val="3"/>
        </w:numPr>
        <w:kinsoku/>
        <w:wordWrap/>
        <w:topLinePunct w:val="0"/>
        <w:bidi w:val="0"/>
        <w:adjustRightInd w:val="0"/>
        <w:snapToGrid w:val="0"/>
        <w:spacing w:line="576" w:lineRule="exact"/>
        <w:ind w:left="0" w:leftChars="0" w:firstLine="643" w:firstLineChars="200"/>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改进建议</w:t>
      </w:r>
    </w:p>
    <w:p w14:paraId="54D258F9">
      <w:pPr>
        <w:pageBreakBefore w:val="0"/>
        <w:widowControl/>
        <w:numPr>
          <w:ilvl w:val="0"/>
          <w:numId w:val="0"/>
        </w:numPr>
        <w:kinsoku/>
        <w:wordWrap/>
        <w:topLinePunct w:val="0"/>
        <w:bidi w:val="0"/>
        <w:adjustRightInd w:val="0"/>
        <w:snapToGrid w:val="0"/>
        <w:spacing w:line="576" w:lineRule="exact"/>
        <w:ind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在今后工作中，进一步提高工作效率，在合法、合规的前提下，合理安排和使用本单位资金，为茂县经济和水利事业发展更好地服务。</w:t>
      </w:r>
    </w:p>
    <w:p w14:paraId="6D7B08A4">
      <w:pPr>
        <w:pageBreakBefore w:val="0"/>
        <w:kinsoku/>
        <w:wordWrap/>
        <w:topLinePunct w:val="0"/>
        <w:bidi w:val="0"/>
        <w:spacing w:line="576" w:lineRule="exact"/>
        <w:ind w:leftChars="0" w:firstLine="420" w:firstLineChars="200"/>
        <w:rPr>
          <w:color w:val="000000"/>
          <w:kern w:val="0"/>
          <w:szCs w:val="32"/>
          <w:shd w:val="clear" w:color="auto" w:fill="FFFFFF"/>
        </w:rPr>
      </w:pPr>
    </w:p>
    <w:p w14:paraId="2BFC314C">
      <w:pPr>
        <w:pStyle w:val="9"/>
        <w:ind w:left="0" w:leftChars="0" w:firstLine="0" w:firstLineChars="0"/>
      </w:pPr>
    </w:p>
    <w:p w14:paraId="5D797862">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省级</w:t>
      </w:r>
      <w:r>
        <w:rPr>
          <w:rFonts w:hint="eastAsia" w:ascii="方正小标宋简体" w:hAnsi="方正小标宋简体" w:eastAsia="方正小标宋简体" w:cs="方正小标宋简体"/>
          <w:sz w:val="44"/>
          <w:szCs w:val="44"/>
        </w:rPr>
        <w:t>水利发展资金</w:t>
      </w:r>
    </w:p>
    <w:p w14:paraId="1BDAE2AF">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FA494DF">
      <w:pPr>
        <w:pStyle w:val="9"/>
        <w:keepNext w:val="0"/>
        <w:keepLines w:val="0"/>
        <w:pageBreakBefore w:val="0"/>
        <w:widowControl w:val="0"/>
        <w:kinsoku/>
        <w:wordWrap/>
        <w:overflowPunct/>
        <w:topLinePunct w:val="0"/>
        <w:bidi w:val="0"/>
        <w:spacing w:after="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年农村安全饮水维修养护项目</w:t>
      </w:r>
      <w:r>
        <w:rPr>
          <w:rFonts w:hint="eastAsia" w:ascii="仿宋_GB2312" w:hAnsi="仿宋_GB2312" w:eastAsia="仿宋_GB2312" w:cs="仿宋_GB2312"/>
          <w:sz w:val="32"/>
          <w:szCs w:val="32"/>
          <w:lang w:eastAsia="zh-CN"/>
        </w:rPr>
        <w:t>）</w:t>
      </w:r>
    </w:p>
    <w:p w14:paraId="0C8DD1C5">
      <w:pPr>
        <w:keepNext w:val="0"/>
        <w:keepLines w:val="0"/>
        <w:pageBreakBefore w:val="0"/>
        <w:widowControl w:val="0"/>
        <w:kinsoku/>
        <w:wordWrap/>
        <w:overflowPunct/>
        <w:topLinePunct w:val="0"/>
        <w:bidi w:val="0"/>
        <w:snapToGrid w:val="0"/>
        <w:spacing w:line="576" w:lineRule="exact"/>
        <w:ind w:leftChars="0" w:firstLine="640" w:firstLineChars="200"/>
        <w:jc w:val="center"/>
        <w:textAlignment w:val="auto"/>
        <w:rPr>
          <w:rFonts w:hint="eastAsia" w:ascii="仿宋_GB2312" w:hAnsi="仿宋_GB2312" w:eastAsia="仿宋_GB2312" w:cs="仿宋_GB2312"/>
          <w:bCs/>
          <w:sz w:val="32"/>
          <w:szCs w:val="32"/>
        </w:rPr>
      </w:pPr>
    </w:p>
    <w:p w14:paraId="11332F3A">
      <w:pPr>
        <w:keepNext w:val="0"/>
        <w:keepLines w:val="0"/>
        <w:pageBreakBefore w:val="0"/>
        <w:widowControl w:val="0"/>
        <w:kinsoku/>
        <w:wordWrap/>
        <w:overflowPunct/>
        <w:topLinePunct w:val="0"/>
        <w:bidi w:val="0"/>
        <w:snapToGrid w:val="0"/>
        <w:spacing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一、绩效目标分解下达情况</w:t>
      </w:r>
    </w:p>
    <w:p w14:paraId="574D8E9D">
      <w:pPr>
        <w:keepNext w:val="0"/>
        <w:keepLines w:val="0"/>
        <w:pageBreakBefore w:val="0"/>
        <w:widowControl w:val="0"/>
        <w:kinsoku/>
        <w:wordWrap/>
        <w:overflowPunct/>
        <w:topLinePunct w:val="0"/>
        <w:autoSpaceDE w:val="0"/>
        <w:autoSpaceDN w:val="0"/>
        <w:bidi w:val="0"/>
        <w:adjustRightInd w:val="0"/>
        <w:snapToGrid/>
        <w:spacing w:line="576" w:lineRule="exact"/>
        <w:ind w:leftChars="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解决我县农村广大人民群众的饮水困难和饮水安全，通过提升、改造和水质提升等方式，进一步提高供水保障能力，提升人民群众的生活质量，促进社会的和谐发展，计划对11个镇农村饮水安全工程进行提升改造：一是清洗水池、更换漏水管道、闸阀等措施维修工程100处；二是采购应急备用管道保障应急灾损期间供水，采购简易、一体化消毒设备40套对11个镇的农村饮水工程水质等进行提质改造。</w:t>
      </w:r>
    </w:p>
    <w:p w14:paraId="2499628D">
      <w:pPr>
        <w:keepNext w:val="0"/>
        <w:keepLines w:val="0"/>
        <w:pageBreakBefore w:val="0"/>
        <w:widowControl w:val="0"/>
        <w:kinsoku/>
        <w:wordWrap/>
        <w:overflowPunct/>
        <w:topLinePunct w:val="0"/>
        <w:autoSpaceDE w:val="0"/>
        <w:autoSpaceDN w:val="0"/>
        <w:bidi w:val="0"/>
        <w:adjustRightInd w:val="0"/>
        <w:snapToGrid/>
        <w:spacing w:line="576" w:lineRule="exact"/>
        <w:ind w:leftChars="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根据四川省财政厅 四川省水利厅《关于提前下达</w:t>
      </w: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4年中央水利发展资金预算的通知》（川财农</w:t>
      </w: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144）、关于下达</w:t>
      </w: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4年省级水利发展资金预算的通知（川财农</w:t>
      </w:r>
      <w:r>
        <w:rPr>
          <w:rFonts w:hint="eastAsia"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71号），下达中央财政水利发展资金370.00万元用于茂县农村饮水安全工程维修养护。结合我县实际，按照轻重缓急，对全县11镇的农村饮水安全进行筛选统筹安排维修养护。茂县2024年饮水安全维修养护项目中工程维修涉及11镇，其中：维护农村供水工程清洗水池、更换漏水管道、闸阀等措施提升水质100处；采购应急备用管道保障应急灾损期间供水、采购简易自动消毒设备及消毒药剂及采购、安装40套自动净化设备。总计划投资为370.00万元，其中：中央资金215.00万元，省级资金155.00万元。</w:t>
      </w:r>
    </w:p>
    <w:p w14:paraId="6E5F9835">
      <w:pPr>
        <w:keepNext w:val="0"/>
        <w:keepLines w:val="0"/>
        <w:pageBreakBefore w:val="0"/>
        <w:widowControl w:val="0"/>
        <w:kinsoku/>
        <w:wordWrap/>
        <w:overflowPunct/>
        <w:topLinePunct w:val="0"/>
        <w:bidi w:val="0"/>
        <w:snapToGrid w:val="0"/>
        <w:spacing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二、绩效情况分析</w:t>
      </w:r>
    </w:p>
    <w:p w14:paraId="4EBDCF60">
      <w:pPr>
        <w:keepNext w:val="0"/>
        <w:keepLines w:val="0"/>
        <w:pageBreakBefore w:val="0"/>
        <w:widowControl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14:paraId="48F21611">
      <w:pPr>
        <w:keepNext w:val="0"/>
        <w:keepLines w:val="0"/>
        <w:pageBreakBefore w:val="0"/>
        <w:widowControl w:val="0"/>
        <w:kinsoku/>
        <w:wordWrap/>
        <w:overflowPunct/>
        <w:topLinePunct w:val="0"/>
        <w:bidi w:val="0"/>
        <w:adjustRightInd w:val="0"/>
        <w:snapToGrid w:val="0"/>
        <w:spacing w:line="576" w:lineRule="exact"/>
        <w:ind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根据《茂县财政局关于下达202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年中央水利发展资金的通知》（茂财农〔202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en-US" w:eastAsia="zh-CN"/>
        </w:rPr>
        <w:t>40</w:t>
      </w:r>
      <w:r>
        <w:rPr>
          <w:rFonts w:hint="eastAsia" w:ascii="仿宋_GB2312" w:hAnsi="仿宋_GB2312" w:eastAsia="仿宋_GB2312" w:cs="仿宋_GB2312"/>
          <w:sz w:val="32"/>
          <w:szCs w:val="32"/>
          <w:lang w:val="zh-CN"/>
        </w:rPr>
        <w:t>号）下达资金</w:t>
      </w:r>
      <w:r>
        <w:rPr>
          <w:rFonts w:hint="eastAsia" w:ascii="仿宋_GB2312" w:hAnsi="仿宋_GB2312" w:cs="仿宋_GB2312"/>
          <w:sz w:val="32"/>
          <w:szCs w:val="32"/>
          <w:lang w:val="en-US" w:eastAsia="zh-CN"/>
        </w:rPr>
        <w:t>155.00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000000"/>
          <w:kern w:val="0"/>
          <w:sz w:val="32"/>
          <w:szCs w:val="32"/>
          <w:lang w:val="en-US" w:eastAsia="zh-CN" w:bidi="ar"/>
        </w:rPr>
        <w:t>资金到位及时，</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率</w:t>
      </w:r>
      <w:r>
        <w:rPr>
          <w:rFonts w:hint="eastAsia" w:ascii="仿宋_GB2312" w:hAnsi="仿宋_GB2312" w:eastAsia="仿宋_GB2312" w:cs="仿宋_GB2312"/>
          <w:sz w:val="32"/>
          <w:szCs w:val="32"/>
          <w:lang w:val="zh-CN"/>
        </w:rPr>
        <w:t>100%。</w:t>
      </w:r>
    </w:p>
    <w:p w14:paraId="77BDB195">
      <w:pPr>
        <w:keepNext w:val="0"/>
        <w:keepLines w:val="0"/>
        <w:pageBreakBefore w:val="0"/>
        <w:widowControl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（二）资金管理情况分析</w:t>
      </w:r>
    </w:p>
    <w:p w14:paraId="014E5F9A">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资金在县财政部门监督下由</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水务局统一使用和管理，实行项目专账管理，资金拨付、管理、使用及核算严格执行相关规定制度。</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财政局与</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水务局对项目建设和资金</w:t>
      </w:r>
      <w:r>
        <w:rPr>
          <w:rFonts w:hint="eastAsia" w:ascii="仿宋_GB2312" w:hAnsi="仿宋_GB2312" w:eastAsia="仿宋_GB2312" w:cs="仿宋_GB2312"/>
          <w:kern w:val="0"/>
          <w:sz w:val="32"/>
          <w:szCs w:val="32"/>
          <w:lang w:val="en-US" w:eastAsia="zh-CN"/>
        </w:rPr>
        <w:t>进行</w:t>
      </w:r>
      <w:r>
        <w:rPr>
          <w:rFonts w:hint="eastAsia" w:ascii="仿宋_GB2312" w:hAnsi="仿宋_GB2312" w:eastAsia="仿宋_GB2312" w:cs="仿宋_GB2312"/>
          <w:kern w:val="0"/>
          <w:sz w:val="32"/>
          <w:szCs w:val="32"/>
        </w:rPr>
        <w:t>日常监督管理，及时发现问题并整改，充分发挥资金使用效益。</w:t>
      </w:r>
    </w:p>
    <w:p w14:paraId="19ACFFF7">
      <w:pPr>
        <w:keepNext w:val="0"/>
        <w:keepLines w:val="0"/>
        <w:pageBreakBefore w:val="0"/>
        <w:widowControl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（三）总体绩效目标完成情况分析</w:t>
      </w:r>
    </w:p>
    <w:p w14:paraId="0EDCB5A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数量指标完成情况：截至2024年底，已完成对</w:t>
      </w:r>
      <w:r>
        <w:rPr>
          <w:rFonts w:hint="eastAsia" w:ascii="仿宋_GB2312" w:hAnsi="仿宋_GB2312" w:eastAsia="仿宋_GB2312" w:cs="仿宋_GB2312"/>
          <w:b w:val="0"/>
          <w:bCs w:val="0"/>
          <w:sz w:val="32"/>
          <w:szCs w:val="32"/>
          <w:lang w:val="en-US" w:eastAsia="zh-CN"/>
        </w:rPr>
        <w:t>11镇</w:t>
      </w:r>
      <w:r>
        <w:rPr>
          <w:rFonts w:hint="eastAsia" w:ascii="仿宋_GB2312" w:hAnsi="仿宋_GB2312" w:eastAsia="仿宋_GB2312" w:cs="仿宋_GB2312"/>
          <w:b w:val="0"/>
          <w:bCs w:val="0"/>
          <w:sz w:val="32"/>
          <w:szCs w:val="32"/>
        </w:rPr>
        <w:t>供水工程维修养护，与年初设定的绩</w:t>
      </w:r>
      <w:r>
        <w:rPr>
          <w:rFonts w:hint="eastAsia" w:ascii="仿宋_GB2312" w:hAnsi="仿宋_GB2312" w:eastAsia="仿宋_GB2312" w:cs="仿宋_GB2312"/>
          <w:sz w:val="32"/>
          <w:szCs w:val="32"/>
        </w:rPr>
        <w:t>效目标一致，完成率达到100%。通过对这些工程的维修养护，有效改善了供</w:t>
      </w:r>
      <w:r>
        <w:rPr>
          <w:rFonts w:hint="eastAsia" w:ascii="仿宋_GB2312" w:hAnsi="仿宋_GB2312" w:eastAsia="仿宋_GB2312" w:cs="仿宋_GB2312"/>
          <w:b w:val="0"/>
          <w:bCs w:val="0"/>
          <w:sz w:val="32"/>
          <w:szCs w:val="32"/>
        </w:rPr>
        <w:t>区居民的用水条件。</w:t>
      </w:r>
    </w:p>
    <w:p w14:paraId="697F2D7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质量指标完成情况：所有完工的农村饮水工程维修养护项目均通过了质量验收，工程质量达到合格标准，未出现任何质量问题。在验收过程中，严格按照相关质量验收标准进行检测，包括工程外观质量、设备运行性能、管网水压等方面，确保工程质量符合要求，能够长期稳定运行。</w:t>
      </w:r>
    </w:p>
    <w:p w14:paraId="518A34E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时效指标完成情况：项目严格按照预定的实施进度计划推进，在规定的时间节点内完成了项目规划设计、招标、施工建设以及验收等各项工作。从项目启动到最</w:t>
      </w:r>
      <w:r>
        <w:rPr>
          <w:rFonts w:hint="eastAsia" w:ascii="仿宋_GB2312" w:hAnsi="仿宋_GB2312" w:eastAsia="仿宋_GB2312" w:cs="仿宋_GB2312"/>
          <w:sz w:val="32"/>
          <w:szCs w:val="32"/>
        </w:rPr>
        <w:t>终完工验收，符合年初设定的时效要求，保障了项目能够及时投入使用，发挥效益。</w:t>
      </w:r>
    </w:p>
    <w:p w14:paraId="5704C9E4">
      <w:pPr>
        <w:keepNext w:val="0"/>
        <w:keepLines w:val="0"/>
        <w:pageBreakBefore w:val="0"/>
        <w:widowControl w:val="0"/>
        <w:kinsoku/>
        <w:wordWrap/>
        <w:overflowPunct/>
        <w:topLinePunct w:val="0"/>
        <w:bidi w:val="0"/>
        <w:snapToGrid w:val="0"/>
        <w:spacing w:line="576" w:lineRule="exact"/>
        <w:ind w:leftChars="0" w:firstLine="643" w:firstLineChars="200"/>
        <w:textAlignment w:val="auto"/>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（四）绩效指标完成情况分析</w:t>
      </w:r>
    </w:p>
    <w:p w14:paraId="3BE60E4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经济效益：通过对农村饮水工程的维修养护，有效减少了因供水设施故障导致的停水次数和时间，改善后的供水条件为农村地区的产业发展提供了有力支持，促进了农村经济的发展。</w:t>
      </w:r>
    </w:p>
    <w:p w14:paraId="0A6217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社会效益：项目的实施极大地改善了当地农民群众的饮水条件，提高了农村居民的生活质量。安全、稳定的饮用水供应有效保障了农村居民的身体健康，减少了因饮用不洁水导致的疾病发生率。同时，用水矛盾大幅减少，促进了农村社会的和谐稳定。</w:t>
      </w:r>
    </w:p>
    <w:p w14:paraId="513E502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生态效益：在项目实施过程中，注重对水源地的保护与生态修复。通过对取水口周边环境的整治、建设水源保护设施等措施，有效减少了水源污染，保护了当地的生态环境。同时，合理的供水规划与设施维护，提高了水资源的利用效率，促进了水资源的可持续利用。</w:t>
      </w:r>
    </w:p>
    <w:p w14:paraId="4C57D844">
      <w:pPr>
        <w:keepNext w:val="0"/>
        <w:keepLines w:val="0"/>
        <w:pageBreakBefore w:val="0"/>
        <w:widowControl w:val="0"/>
        <w:kinsoku/>
        <w:wordWrap/>
        <w:overflowPunct/>
        <w:topLinePunct w:val="0"/>
        <w:bidi w:val="0"/>
        <w:snapToGrid w:val="0"/>
        <w:spacing w:line="576" w:lineRule="exact"/>
        <w:ind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bCs/>
          <w:sz w:val="32"/>
          <w:szCs w:val="32"/>
        </w:rPr>
        <w:t>三、偏离绩效目标的原因和下一步改进措施</w:t>
      </w:r>
    </w:p>
    <w:p w14:paraId="01A1F6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（一）存在的问题</w:t>
      </w:r>
    </w:p>
    <w:p w14:paraId="0A243B8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部分工程设施老化严重：尽管进行了维修养护，但仍有部分农村饮水工程设施建设年代久远，老化腐蚀问题较为突出，即使经过维修，短期内仍可能再次出现故障，影响供水稳定性。</w:t>
      </w:r>
    </w:p>
    <w:p w14:paraId="34C0EA6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专业技术人员短缺：在农村饮水工程运行管理过程中，专业技术人员数量不足，部分管理人员业务水平有限，在设备维护、水质检测等方面存在一定困难，影响了工程管理的质量与效率。</w:t>
      </w:r>
    </w:p>
    <w:p w14:paraId="3126FAD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水费收缴难度较大：部分农村居民对水费的认识不足，存在拖欠水费的现象，导致水费收缴率不高，影响了工程的日常运行维护资金筹集。</w:t>
      </w:r>
    </w:p>
    <w:p w14:paraId="4A86D0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（二）改进措施</w:t>
      </w:r>
    </w:p>
    <w:p w14:paraId="5A563C8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加大工程设施更新改造力度：制定农村饮水工程设施更新改造规划，逐步加大对老化严重工程设施的更新改造投入。积极争取上级资金支持，同时整合本地区财政资金，确保工程设施更新改造工作有序推进，提高供水设施的可靠性与稳定性。</w:t>
      </w:r>
    </w:p>
    <w:p w14:paraId="6C23BD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加强专业技术人员队伍建设：通过招聘、培训等方式，充实农村饮水工程专业技术人员队伍。定期组织专业技术培训和业务交流活动，提高管理人员的业务水平和技术能力。建立健全激励机制，吸引和留住专业技术人才，为农村饮水工程管理提供人才保障。</w:t>
      </w:r>
    </w:p>
    <w:p w14:paraId="05A7EEE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强化水费收缴管理：加强对农村居民的宣传教育，提高其对水费重要性的认识，增强缴费意识。完善水费收缴制度，规范水费收缴流程，采取多种收费方式，如委托银行代收、线上缴费等，方便农村居民缴费。同时，对于长期拖欠水费的用户，依法依规采取相应措施，提高水费收缴率，保障工程运行维护资金来源。</w:t>
      </w:r>
    </w:p>
    <w:p w14:paraId="70E7E903">
      <w:pPr>
        <w:keepNext w:val="0"/>
        <w:keepLines w:val="0"/>
        <w:pageBreakBefore w:val="0"/>
        <w:widowControl w:val="0"/>
        <w:numPr>
          <w:ilvl w:val="0"/>
          <w:numId w:val="4"/>
        </w:numPr>
        <w:kinsoku/>
        <w:wordWrap/>
        <w:overflowPunct/>
        <w:topLinePunct w:val="0"/>
        <w:bidi w:val="0"/>
        <w:snapToGrid w:val="0"/>
        <w:spacing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14:paraId="6508E94B">
      <w:pPr>
        <w:keepNext w:val="0"/>
        <w:keepLines w:val="0"/>
        <w:pageBreakBefore w:val="0"/>
        <w:widowControl w:val="0"/>
        <w:numPr>
          <w:ilvl w:val="0"/>
          <w:numId w:val="0"/>
        </w:numPr>
        <w:kinsoku/>
        <w:wordWrap/>
        <w:overflowPunct/>
        <w:topLinePunct w:val="0"/>
        <w:bidi w:val="0"/>
        <w:snapToGrid w:val="0"/>
        <w:spacing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优化项目决策：将本次绩效自评结果作为今后农村饮水工程维修养护项目决策的重要依据。通过对项目实施过程和绩效结果的分析，总结经验教训，优化项目规划设计和资金分配方案，提高项目决策的科学性与合理性。</w:t>
      </w:r>
    </w:p>
    <w:p w14:paraId="1E82A09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改进项目管理：针对绩效自评中发现的问题，制定切实可行的改进措施，加强项目实施过程管理，提高项目管理水平。同时，建立项目绩效跟踪机制，定期对项目绩效进行评估，及时发现问题并加以解决，确保项目顺利实施并达到预期绩效目标。</w:t>
      </w:r>
    </w:p>
    <w:p w14:paraId="4AECDE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信息公开与监督：按照相关规定，将绩效自评结果在政府网站等平台进行公开，接受社会公众的监督。通过信息公开，增强项目实施的透明度，提高政府公信力，同时也为社会各界提供参考，促进农村饮水工程维修养护工作的持续改进。</w:t>
      </w:r>
    </w:p>
    <w:p w14:paraId="52F3325D">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3E453FE5">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70DB837B">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30B8F525">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748440F3">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4053A5FF">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78675101">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1BE4109A">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6CEEE271">
      <w:pPr>
        <w:keepNext w:val="0"/>
        <w:keepLines w:val="0"/>
        <w:pageBreakBefore w:val="0"/>
        <w:widowControl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p>
    <w:p w14:paraId="5AD82E8E">
      <w:pPr>
        <w:keepNext w:val="0"/>
        <w:keepLines w:val="0"/>
        <w:pageBreakBefore w:val="0"/>
        <w:widowControl w:val="0"/>
        <w:kinsoku/>
        <w:wordWrap/>
        <w:overflowPunct/>
        <w:topLinePunct w:val="0"/>
        <w:bidi w:val="0"/>
        <w:snapToGrid w:val="0"/>
        <w:spacing w:beforeAutospacing="0" w:afterAutospacing="0"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中央</w:t>
      </w:r>
      <w:r>
        <w:rPr>
          <w:rFonts w:hint="eastAsia" w:ascii="方正小标宋简体" w:hAnsi="方正小标宋简体" w:eastAsia="方正小标宋简体" w:cs="方正小标宋简体"/>
          <w:sz w:val="44"/>
          <w:szCs w:val="44"/>
        </w:rPr>
        <w:t>水利发展资金</w:t>
      </w:r>
    </w:p>
    <w:p w14:paraId="0D2A0775">
      <w:pPr>
        <w:keepNext w:val="0"/>
        <w:keepLines w:val="0"/>
        <w:pageBreakBefore w:val="0"/>
        <w:widowControl w:val="0"/>
        <w:kinsoku/>
        <w:wordWrap/>
        <w:overflowPunct/>
        <w:topLinePunct w:val="0"/>
        <w:bidi w:val="0"/>
        <w:snapToGrid w:val="0"/>
        <w:spacing w:beforeAutospacing="0" w:afterAutospacing="0"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转移支付绩效自评报告</w:t>
      </w:r>
    </w:p>
    <w:p w14:paraId="0B31671B">
      <w:pPr>
        <w:pStyle w:val="9"/>
        <w:keepNext w:val="0"/>
        <w:keepLines w:val="0"/>
        <w:pageBreakBefore w:val="0"/>
        <w:widowControl w:val="0"/>
        <w:kinsoku/>
        <w:wordWrap/>
        <w:overflowPunct/>
        <w:topLinePunct w:val="0"/>
        <w:bidi w:val="0"/>
        <w:spacing w:beforeAutospacing="0" w:after="0" w:afterAutospacing="0" w:line="576"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山洪灾害防治非工程措施</w:t>
      </w:r>
      <w:r>
        <w:rPr>
          <w:rFonts w:hint="eastAsia" w:ascii="仿宋_GB2312" w:hAnsi="仿宋_GB2312" w:cs="仿宋_GB2312"/>
          <w:sz w:val="32"/>
          <w:szCs w:val="32"/>
          <w:lang w:eastAsia="zh-CN"/>
        </w:rPr>
        <w:t>）</w:t>
      </w:r>
    </w:p>
    <w:p w14:paraId="4EFCDA82">
      <w:pPr>
        <w:keepNext w:val="0"/>
        <w:keepLines w:val="0"/>
        <w:pageBreakBefore w:val="0"/>
        <w:widowControl w:val="0"/>
        <w:kinsoku/>
        <w:wordWrap/>
        <w:overflowPunct/>
        <w:topLinePunct w:val="0"/>
        <w:bidi w:val="0"/>
        <w:snapToGrid w:val="0"/>
        <w:spacing w:beforeAutospacing="0" w:afterAutospacing="0" w:line="576" w:lineRule="exact"/>
        <w:ind w:leftChars="0" w:firstLine="640" w:firstLineChars="200"/>
        <w:textAlignment w:val="auto"/>
        <w:rPr>
          <w:rFonts w:hint="eastAsia" w:ascii="仿宋_GB2312" w:hAnsi="仿宋_GB2312" w:eastAsia="仿宋_GB2312" w:cs="仿宋_GB2312"/>
          <w:bCs/>
          <w:sz w:val="32"/>
          <w:szCs w:val="32"/>
        </w:rPr>
      </w:pPr>
    </w:p>
    <w:p w14:paraId="0A838BE1">
      <w:pPr>
        <w:keepNext w:val="0"/>
        <w:keepLines w:val="0"/>
        <w:pageBreakBefore w:val="0"/>
        <w:widowControl w:val="0"/>
        <w:kinsoku/>
        <w:wordWrap/>
        <w:overflowPunct/>
        <w:topLinePunct w:val="0"/>
        <w:bidi w:val="0"/>
        <w:snapToGrid w:val="0"/>
        <w:spacing w:beforeAutospacing="0" w:afterAutospacing="0"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一、绩效目标分解下达情况</w:t>
      </w:r>
    </w:p>
    <w:p w14:paraId="2BFB2BE2">
      <w:pPr>
        <w:pStyle w:val="40"/>
        <w:keepNext w:val="0"/>
        <w:keepLines w:val="0"/>
        <w:pageBreakBefore w:val="0"/>
        <w:kinsoku/>
        <w:wordWrap/>
        <w:overflowPunct/>
        <w:topLinePunct w:val="0"/>
        <w:bidi w:val="0"/>
        <w:spacing w:beforeAutospacing="0" w:afterAutospacing="0" w:line="576" w:lineRule="exact"/>
        <w:ind w:leftChars="0"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建设目标</w:t>
      </w:r>
    </w:p>
    <w:p w14:paraId="2D0605F8">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已建非工程措施补充完善，全面提升茂县山洪灾害监测预警能力，高效发挥山洪灾害防治非工程措施的作用。在已经取得的县级非工程措施项目建设成果的基础上，进一步补充完善监测站点，提高骨干监测站点通讯保障能力；由于部分自动监测站点设备老化和损坏，致使站点监测系统可能处于不稳定状态，因此需要对目前的自动监测站点老化和损坏的设备进行更换；根据最新《四川省山洪灾害自动监测站点标准化测试技术要求（试行）》等标准，茂县对现有自动监测站运行情况进行了全面调查评价和标准化测试，本方案针对重点区域目前存在的一部分监测设备通信保证率低等问题，设计要求进行优化调整，更新改造或增加卫星通信信道。以小流域为单元开展山洪灾害“四预”能力建设，开展风险隐患调查、沟道断面测量与淹没分析，进一步提升预报预警预演精准度。形成非工程措施与工程措施相结合的山洪灾害综合防御体系，包括监测预警、群测群防、综合保障、社会服务和工程治理等系统，有效减少山洪灾害人员伤亡和财产损失，保障社会经济环境协调发展。</w:t>
      </w:r>
    </w:p>
    <w:p w14:paraId="65511A7D">
      <w:pPr>
        <w:pStyle w:val="40"/>
        <w:keepNext w:val="0"/>
        <w:keepLines w:val="0"/>
        <w:pageBreakBefore w:val="0"/>
        <w:kinsoku/>
        <w:wordWrap/>
        <w:overflowPunct/>
        <w:topLinePunct w:val="0"/>
        <w:bidi w:val="0"/>
        <w:spacing w:beforeAutospacing="0" w:afterAutospacing="0" w:line="576" w:lineRule="exact"/>
        <w:ind w:leftChars="0" w:firstLine="643" w:firstLineChars="200"/>
        <w:jc w:val="left"/>
        <w:textAlignment w:val="auto"/>
        <w:rPr>
          <w:rFonts w:hint="eastAsia" w:ascii="楷体_GB2312" w:hAnsi="楷体_GB2312" w:eastAsia="楷体_GB2312" w:cs="楷体_GB2312"/>
          <w:sz w:val="32"/>
          <w:szCs w:val="32"/>
        </w:rPr>
      </w:pPr>
      <w:bookmarkStart w:id="74" w:name="_Toc157370163"/>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建设任务</w:t>
      </w:r>
      <w:bookmarkEnd w:id="74"/>
    </w:p>
    <w:p w14:paraId="523564DB">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根据茂县2024年的山洪灾害非工程项目投资规模和任务安排，本次方案茂县非工程项目主要任务是监测站点的补充和更新改造，小流域山洪灾害“四预”能力建设，群测群防体系等。</w:t>
      </w:r>
    </w:p>
    <w:p w14:paraId="4F982718">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监测能力提升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补充新建雨量监测站点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根据2023年山洪灾害调查评价成果，新建4个雨量监测站点。</w:t>
      </w:r>
    </w:p>
    <w:p w14:paraId="5A6168FE">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更新雨水情监测站点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更新改造9个雨量监测站点老化和损坏设备。</w:t>
      </w:r>
    </w:p>
    <w:p w14:paraId="020F2927">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小流域山洪灾害“四预”能力建设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开展6个小流域山洪灾害“四预”能力建设，茂县62个中高危险区大断面补充测量。</w:t>
      </w:r>
    </w:p>
    <w:p w14:paraId="4D962A38">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群测群防体系建设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完善责任制体系，修订县、</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、村防御预案，持续开展宣传、培训和演练。</w:t>
      </w:r>
    </w:p>
    <w:p w14:paraId="6A9D8A05">
      <w:pPr>
        <w:keepNext w:val="0"/>
        <w:keepLines w:val="0"/>
        <w:pageBreakBefore w:val="0"/>
        <w:widowControl w:val="0"/>
        <w:kinsoku/>
        <w:wordWrap/>
        <w:overflowPunct/>
        <w:topLinePunct w:val="0"/>
        <w:bidi w:val="0"/>
        <w:snapToGrid w:val="0"/>
        <w:spacing w:beforeAutospacing="0" w:afterAutospacing="0"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二、绩效情况分析</w:t>
      </w:r>
    </w:p>
    <w:p w14:paraId="4F2C4C76">
      <w:pPr>
        <w:keepNext w:val="0"/>
        <w:keepLines w:val="0"/>
        <w:pageBreakBefore w:val="0"/>
        <w:widowControl w:val="0"/>
        <w:kinsoku/>
        <w:wordWrap/>
        <w:overflowPunct/>
        <w:topLinePunct w:val="0"/>
        <w:bidi w:val="0"/>
        <w:adjustRightInd w:val="0"/>
        <w:snapToGrid w:val="0"/>
        <w:spacing w:beforeAutospacing="0" w:afterAutospacing="0" w:line="576" w:lineRule="exact"/>
        <w:ind w:leftChars="0"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（一）资金投入情况分析</w:t>
      </w:r>
    </w:p>
    <w:p w14:paraId="22F9A2F5">
      <w:pPr>
        <w:keepNext w:val="0"/>
        <w:keepLines w:val="0"/>
        <w:pageBreakBefore w:val="0"/>
        <w:widowControl/>
        <w:suppressLineNumbers w:val="0"/>
        <w:kinsoku/>
        <w:wordWrap/>
        <w:overflowPunct/>
        <w:topLinePunct w:val="0"/>
        <w:bidi w:val="0"/>
        <w:spacing w:beforeAutospacing="0" w:afterAutospacing="0" w:line="576" w:lineRule="exact"/>
        <w:ind w:leftChars="0"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根据《茂县财政局关于下达202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zh-CN"/>
        </w:rPr>
        <w:t>年中央水利发展资金的通知》（茂财农〔202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rPr>
        <w:t>号）下达资金</w:t>
      </w:r>
      <w:r>
        <w:rPr>
          <w:rFonts w:hint="eastAsia" w:ascii="仿宋_GB2312" w:hAnsi="仿宋_GB2312" w:cs="仿宋_GB2312"/>
          <w:sz w:val="32"/>
          <w:szCs w:val="32"/>
          <w:lang w:val="en-US" w:eastAsia="zh-CN"/>
        </w:rPr>
        <w:t>163.00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000000"/>
          <w:sz w:val="32"/>
          <w:szCs w:val="32"/>
        </w:rPr>
        <w:t>资金足额按时到位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sz w:val="32"/>
          <w:szCs w:val="32"/>
          <w:lang w:val="zh-CN"/>
        </w:rPr>
        <w:t>资金到位</w:t>
      </w:r>
      <w:r>
        <w:rPr>
          <w:rFonts w:hint="eastAsia" w:ascii="仿宋_GB2312" w:hAnsi="仿宋_GB2312" w:cs="仿宋_GB2312"/>
          <w:sz w:val="32"/>
          <w:szCs w:val="32"/>
          <w:lang w:val="en-US" w:eastAsia="zh-CN"/>
        </w:rPr>
        <w:t>率</w:t>
      </w:r>
      <w:r>
        <w:rPr>
          <w:rFonts w:hint="eastAsia" w:ascii="仿宋_GB2312" w:hAnsi="仿宋_GB2312" w:eastAsia="仿宋_GB2312" w:cs="仿宋_GB2312"/>
          <w:sz w:val="32"/>
          <w:szCs w:val="32"/>
          <w:lang w:val="zh-CN"/>
        </w:rPr>
        <w:t>100%。</w:t>
      </w:r>
      <w:r>
        <w:rPr>
          <w:rFonts w:hint="eastAsia" w:ascii="仿宋_GB2312" w:hAnsi="仿宋_GB2312" w:eastAsia="仿宋_GB2312" w:cs="仿宋_GB2312"/>
          <w:kern w:val="0"/>
          <w:sz w:val="32"/>
          <w:szCs w:val="32"/>
          <w:lang w:val="en-US" w:eastAsia="zh-CN" w:bidi="ar"/>
        </w:rPr>
        <w:t>2024 年，中央水利发展资金中针对山洪灾害防治非工程措施的资金及时下拨</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为各项防治工作的开展提供了坚实的资金保障</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该资金严格按照相关财政资金管理办法，专款专用，确保资金精准投入到山洪灾害防治非工程措施建设、维护及相关工作中。</w:t>
      </w:r>
    </w:p>
    <w:p w14:paraId="6C91664C">
      <w:pPr>
        <w:keepNext w:val="0"/>
        <w:keepLines w:val="0"/>
        <w:pageBreakBefore w:val="0"/>
        <w:widowControl w:val="0"/>
        <w:kinsoku/>
        <w:wordWrap/>
        <w:overflowPunct/>
        <w:topLinePunct w:val="0"/>
        <w:bidi w:val="0"/>
        <w:adjustRightInd w:val="0"/>
        <w:snapToGrid w:val="0"/>
        <w:spacing w:beforeAutospacing="0" w:afterAutospacing="0"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（二）资金管理情况分析</w:t>
      </w:r>
    </w:p>
    <w:p w14:paraId="7F6EB120">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资金管理制度执行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严格遵循国家及地方关于中央水利发展资金的管理规定，从资金的申请、审批到拨付，每个环节都明确，确保了资金使用与项目规划紧密结合，提高了资金使用的科学性和规范性。</w:t>
      </w:r>
    </w:p>
    <w:p w14:paraId="05EC1BCA">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资金使用合规性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在资金使用过程中，严格把控支出范围。所有资金均用于山洪灾害防治非工程措施相关领域，如监测站点设备购置与维护、预警系统建设与升级、宣传教育活动开展等，杜绝了截留、挪用、虚报冒领等违规行为，未发现任何资金使用不合规的情况，确保了资金安全、有效地运行。</w:t>
      </w:r>
    </w:p>
    <w:p w14:paraId="270BFAE3">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资金监督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定期对项目资金使用情况进行检查，及时发现并纠正潜在问题。同时，积极配合上级财政、审计等部门的监督检查工作，主动接受外部监督。此外，利用信息化手段，对资金流向进行实时监控，实现了资金使用的透明化管理，提高了资金监督的效率和效果。</w:t>
      </w:r>
    </w:p>
    <w:p w14:paraId="6906ADD5">
      <w:pPr>
        <w:keepNext w:val="0"/>
        <w:keepLines w:val="0"/>
        <w:pageBreakBefore w:val="0"/>
        <w:widowControl w:val="0"/>
        <w:kinsoku/>
        <w:wordWrap/>
        <w:overflowPunct/>
        <w:topLinePunct w:val="0"/>
        <w:bidi w:val="0"/>
        <w:adjustRightInd w:val="0"/>
        <w:snapToGrid w:val="0"/>
        <w:spacing w:beforeAutospacing="0" w:afterAutospacing="0"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（三）总体绩效目标完成情况分析</w:t>
      </w:r>
    </w:p>
    <w:p w14:paraId="0A238F7D">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项目实施后，将与已经建成的县级非工程措施形成较为完善的综合防御系统。区内受山洪灾害威胁的人口将得到综合防治措施的有效保护，人员伤亡大大减少。</w:t>
      </w:r>
    </w:p>
    <w:p w14:paraId="2832CFE9">
      <w:pPr>
        <w:pStyle w:val="42"/>
        <w:keepNext w:val="0"/>
        <w:keepLines w:val="0"/>
        <w:pageBreakBefore w:val="0"/>
        <w:kinsoku/>
        <w:wordWrap/>
        <w:overflowPunct/>
        <w:topLinePunct w:val="0"/>
        <w:bidi w:val="0"/>
        <w:spacing w:beforeAutospacing="0" w:afterAutospacing="0" w:line="576" w:lineRule="exact"/>
        <w:ind w:leftChars="0" w:firstLine="643" w:firstLineChars="200"/>
        <w:textAlignment w:val="auto"/>
        <w:rPr>
          <w:rFonts w:hint="eastAsia" w:ascii="仿宋_GB2312" w:hAnsi="仿宋_GB2312" w:eastAsia="仿宋_GB2312" w:cs="仿宋_GB2312"/>
          <w:b/>
          <w:bCs/>
          <w:sz w:val="32"/>
          <w:szCs w:val="32"/>
        </w:rPr>
      </w:pPr>
      <w:bookmarkStart w:id="75" w:name="_Toc157370218"/>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社会效益</w:t>
      </w:r>
      <w:bookmarkEnd w:id="75"/>
    </w:p>
    <w:p w14:paraId="7166A593">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（1）减轻山洪灾害对人民生命的威胁,避免人员伤亡</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通过建立山洪灾害监测、通讯及预警系统等非工程措施，可以提前预见山洪灾害的发生，提前做好人员转移，有效躲避灾害，避免或减少人员伤亡。</w:t>
      </w:r>
    </w:p>
    <w:p w14:paraId="09EAF191">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（2）促进社会稳定，保证社会正常的生产和生活秩序</w:t>
      </w:r>
      <w:r>
        <w:rPr>
          <w:rFonts w:hint="eastAsia" w:ascii="仿宋_GB2312" w:hAnsi="仿宋_GB2312" w:cs="仿宋_GB2312"/>
          <w:color w:val="000000" w:themeColor="text1"/>
          <w:sz w:val="32"/>
          <w:szCs w:val="32"/>
          <w:lang w:eastAsia="zh-CN"/>
          <w14:textFill>
            <w14:solidFill>
              <w14:schemeClr w14:val="tx1"/>
            </w14:solidFill>
          </w14:textFill>
        </w:rPr>
        <w:t>；</w:t>
      </w:r>
    </w:p>
    <w:p w14:paraId="1541F037">
      <w:pPr>
        <w:keepNext w:val="0"/>
        <w:keepLines w:val="0"/>
        <w:pageBreakBefore w:val="0"/>
        <w:kinsoku/>
        <w:wordWrap/>
        <w:overflowPunct/>
        <w:topLinePunct w:val="0"/>
        <w:bidi w:val="0"/>
        <w:spacing w:beforeAutospacing="0" w:afterAutospacing="0" w:line="576" w:lineRule="exact"/>
        <w:ind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实施山洪灾害防治措施,可减免或减轻山洪灾害对社会经济造成的不利影响，促进社会稳定,为山丘区社会经济发展提供良好的环境。</w:t>
      </w:r>
    </w:p>
    <w:p w14:paraId="7DFF2574">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（3）减轻人们精神负担和心理创伤,使其安居乐业</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通过采取一定的防治措施,可以避免或减少人员伤亡,调动他们发展生产、建设美好家园的积极性和主动性。</w:t>
      </w:r>
    </w:p>
    <w:p w14:paraId="5FE436D0">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（4）促进当地经济社会可持续发展</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山洪灾害防治,一方面可减免山洪灾害对基础设施造成的不利影响,另一方面可促进第三产业的发展,提高居民生活水平,改善人民群众居住环境。</w:t>
      </w:r>
    </w:p>
    <w:p w14:paraId="0D9892C3">
      <w:pPr>
        <w:pStyle w:val="42"/>
        <w:keepNext w:val="0"/>
        <w:keepLines w:val="0"/>
        <w:pageBreakBefore w:val="0"/>
        <w:kinsoku/>
        <w:wordWrap/>
        <w:overflowPunct/>
        <w:topLinePunct w:val="0"/>
        <w:bidi w:val="0"/>
        <w:spacing w:beforeAutospacing="0" w:afterAutospacing="0" w:line="576" w:lineRule="exact"/>
        <w:ind w:leftChars="0" w:firstLine="643" w:firstLineChars="200"/>
        <w:textAlignment w:val="auto"/>
        <w:rPr>
          <w:rFonts w:hint="eastAsia" w:ascii="仿宋_GB2312" w:hAnsi="仿宋_GB2312" w:eastAsia="仿宋_GB2312" w:cs="仿宋_GB2312"/>
          <w:sz w:val="32"/>
          <w:szCs w:val="32"/>
        </w:rPr>
      </w:pPr>
      <w:bookmarkStart w:id="76" w:name="_Toc157370219"/>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经济效益</w:t>
      </w:r>
      <w:bookmarkEnd w:id="76"/>
    </w:p>
    <w:p w14:paraId="0BB3ED6F">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项目的实施建设将显著提高山洪灾害防御的支撑和保障能力，进一步完善防洪排涝和抗旱减灾体系，可以有效减低山洪灾害造成的经济损失。</w:t>
      </w:r>
    </w:p>
    <w:p w14:paraId="307772BA">
      <w:pPr>
        <w:pStyle w:val="42"/>
        <w:keepNext w:val="0"/>
        <w:keepLines w:val="0"/>
        <w:pageBreakBefore w:val="0"/>
        <w:kinsoku/>
        <w:wordWrap/>
        <w:overflowPunct/>
        <w:topLinePunct w:val="0"/>
        <w:bidi w:val="0"/>
        <w:spacing w:beforeAutospacing="0" w:afterAutospacing="0" w:line="576" w:lineRule="exact"/>
        <w:ind w:leftChars="0" w:firstLine="643" w:firstLineChars="200"/>
        <w:textAlignment w:val="auto"/>
        <w:rPr>
          <w:rFonts w:hint="eastAsia" w:ascii="仿宋_GB2312" w:hAnsi="仿宋_GB2312" w:eastAsia="仿宋_GB2312" w:cs="仿宋_GB2312"/>
          <w:sz w:val="32"/>
          <w:szCs w:val="32"/>
        </w:rPr>
      </w:pPr>
      <w:bookmarkStart w:id="77" w:name="_Toc157370220"/>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环境效益</w:t>
      </w:r>
      <w:bookmarkEnd w:id="77"/>
    </w:p>
    <w:p w14:paraId="0CCB263E">
      <w:pPr>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通过实施山洪灾害防治项目，可以减免山洪灾害对生态环境的破坏。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可以</w:t>
      </w:r>
      <w:r>
        <w:rPr>
          <w:rFonts w:hint="eastAsia" w:ascii="仿宋_GB2312" w:hAnsi="仿宋_GB2312" w:eastAsia="仿宋_GB2312" w:cs="仿宋_GB2312"/>
          <w:color w:val="000000" w:themeColor="text1"/>
          <w:sz w:val="32"/>
          <w:szCs w:val="32"/>
          <w14:textFill>
            <w14:solidFill>
              <w14:schemeClr w14:val="tx1"/>
            </w14:solidFill>
          </w14:textFill>
        </w:rPr>
        <w:t>减少水土流失，保护山丘区宝贵的土地资源，保护森林植被、水质和自然景观，改善人居环境等方面。</w:t>
      </w:r>
    </w:p>
    <w:p w14:paraId="3AEF9F68">
      <w:pPr>
        <w:keepNext w:val="0"/>
        <w:keepLines w:val="0"/>
        <w:pageBreakBefore w:val="0"/>
        <w:widowControl w:val="0"/>
        <w:kinsoku/>
        <w:wordWrap/>
        <w:overflowPunct/>
        <w:topLinePunct w:val="0"/>
        <w:bidi w:val="0"/>
        <w:snapToGrid w:val="0"/>
        <w:spacing w:beforeAutospacing="0" w:afterAutospacing="0" w:line="576" w:lineRule="exact"/>
        <w:ind w:leftChars="0" w:firstLine="643" w:firstLineChars="200"/>
        <w:textAlignment w:val="auto"/>
        <w:outlineLvl w:val="0"/>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（四）绩效指标完成情况分析</w:t>
      </w:r>
    </w:p>
    <w:p w14:paraId="69164F9E">
      <w:pPr>
        <w:pStyle w:val="41"/>
        <w:keepNext w:val="0"/>
        <w:keepLines w:val="0"/>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完成</w:t>
      </w:r>
      <w:r>
        <w:rPr>
          <w:rFonts w:hint="eastAsia" w:ascii="仿宋_GB2312" w:hAnsi="仿宋_GB2312" w:eastAsia="仿宋_GB2312" w:cs="仿宋_GB2312"/>
          <w:sz w:val="32"/>
          <w:szCs w:val="32"/>
        </w:rPr>
        <w:t>新建4个雨量监测站点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更新改造9个雨量监测站点老化和损坏设备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开展6个小流域山洪灾害“四预”能力建设，茂县62个中高危险区大断面补充测量。</w:t>
      </w:r>
    </w:p>
    <w:p w14:paraId="4D75D634">
      <w:pPr>
        <w:keepNext w:val="0"/>
        <w:keepLines w:val="0"/>
        <w:pageBreakBefore w:val="0"/>
        <w:widowControl w:val="0"/>
        <w:kinsoku/>
        <w:wordWrap/>
        <w:overflowPunct/>
        <w:topLinePunct w:val="0"/>
        <w:bidi w:val="0"/>
        <w:snapToGrid w:val="0"/>
        <w:spacing w:beforeAutospacing="0" w:afterAutospacing="0" w:line="576" w:lineRule="exact"/>
        <w:ind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bCs/>
          <w:sz w:val="32"/>
          <w:szCs w:val="32"/>
        </w:rPr>
        <w:t>三、偏离绩效目标的原因和下一步改进措施</w:t>
      </w:r>
    </w:p>
    <w:p w14:paraId="46B1537D">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（一）偏离绩效目标的原因</w:t>
      </w:r>
    </w:p>
    <w:p w14:paraId="05788EDE">
      <w:pPr>
        <w:keepNext w:val="0"/>
        <w:keepLines w:val="0"/>
        <w:pageBreakBefore w:val="0"/>
        <w:widowControl/>
        <w:numPr>
          <w:ilvl w:val="0"/>
          <w:numId w:val="0"/>
        </w:numPr>
        <w:suppressLineNumbers w:val="0"/>
        <w:pBdr>
          <w:left w:val="none" w:color="auto" w:sz="0" w:space="0"/>
        </w:pBd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预算执行方面：预算执行率未达到预期目标，主要原因是部分项目前期准备工作耗时较</w:t>
      </w:r>
      <w:r>
        <w:rPr>
          <w:rFonts w:hint="eastAsia" w:ascii="仿宋_GB2312" w:hAnsi="仿宋_GB2312" w:eastAsia="仿宋_GB2312" w:cs="仿宋_GB2312"/>
          <w:sz w:val="32"/>
          <w:szCs w:val="32"/>
        </w:rPr>
        <w:t>长，如项目招投标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导致资金支付进度滞后。此外，在项目实施过程中，遇到了一些不可预见的因素，如恶劣天气影响工程进度，使得</w:t>
      </w:r>
      <w:r>
        <w:rPr>
          <w:rFonts w:hint="eastAsia" w:ascii="仿宋_GB2312" w:hAnsi="仿宋_GB2312" w:cs="仿宋_GB2312"/>
          <w:sz w:val="32"/>
          <w:szCs w:val="32"/>
          <w:lang w:val="en-US" w:eastAsia="zh-CN"/>
        </w:rPr>
        <w:t>资金</w:t>
      </w:r>
      <w:r>
        <w:rPr>
          <w:rFonts w:hint="eastAsia" w:ascii="仿宋_GB2312" w:hAnsi="仿宋_GB2312" w:eastAsia="仿宋_GB2312" w:cs="仿宋_GB2312"/>
          <w:sz w:val="32"/>
          <w:szCs w:val="32"/>
        </w:rPr>
        <w:t>支出未能按原计划进行。</w:t>
      </w:r>
    </w:p>
    <w:p w14:paraId="4E8C51E1">
      <w:pPr>
        <w:keepNext w:val="0"/>
        <w:keepLines w:val="0"/>
        <w:pageBreakBefore w:val="0"/>
        <w:widowControl/>
        <w:numPr>
          <w:ilvl w:val="0"/>
          <w:numId w:val="0"/>
        </w:numPr>
        <w:suppressLineNumbers w:val="0"/>
        <w:pBdr>
          <w:left w:val="none" w:color="auto" w:sz="0" w:space="0"/>
        </w:pBd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部分指标完成质量方面：虽然整体指标完成情况较好，但在个别指标上仍存在一定差距。例如，在个别</w:t>
      </w:r>
      <w:r>
        <w:rPr>
          <w:rFonts w:hint="eastAsia" w:ascii="仿宋_GB2312" w:hAnsi="仿宋_GB2312" w:eastAsia="仿宋_GB2312" w:cs="仿宋_GB2312"/>
          <w:sz w:val="32"/>
          <w:szCs w:val="32"/>
        </w:rPr>
        <w:t>偏远地区的监测站点，由于通信信号不稳定等原因，导致数据传输偶尔出现中断，影响了数据准确率的进一步提升。</w:t>
      </w:r>
    </w:p>
    <w:p w14:paraId="1B926FC5">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（二）下一步改进措施</w:t>
      </w:r>
    </w:p>
    <w:p w14:paraId="171349E6">
      <w:pPr>
        <w:keepNext w:val="0"/>
        <w:keepLines w:val="0"/>
        <w:pageBreakBefore w:val="0"/>
        <w:widowControl/>
        <w:numPr>
          <w:ilvl w:val="0"/>
          <w:numId w:val="0"/>
        </w:numPr>
        <w:suppressLineNumbers w:val="0"/>
        <w:pBdr>
          <w:left w:val="none" w:color="auto" w:sz="0" w:space="0"/>
        </w:pBd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针对预算执行问题：加强项目前期准备工作的管理，优化项目招投标和合同签订流程，提</w:t>
      </w:r>
      <w:r>
        <w:rPr>
          <w:rFonts w:hint="eastAsia" w:ascii="仿宋_GB2312" w:hAnsi="仿宋_GB2312" w:eastAsia="仿宋_GB2312" w:cs="仿宋_GB2312"/>
          <w:sz w:val="32"/>
          <w:szCs w:val="32"/>
        </w:rPr>
        <w:t>前做好各项准备工作，确保项目能够按时启动。建立健全项目进度跟踪机制，及时掌握项目进展情况，对可能影响项目进度的因素提前制定应对措施。加强与财政部门的沟通协调，按照项目实际进度及时申请资金支付，提高预算执行率。</w:t>
      </w:r>
    </w:p>
    <w:p w14:paraId="6826B6B9">
      <w:pPr>
        <w:keepNext w:val="0"/>
        <w:keepLines w:val="0"/>
        <w:pageBreakBefore w:val="0"/>
        <w:widowControl/>
        <w:numPr>
          <w:ilvl w:val="0"/>
          <w:numId w:val="0"/>
        </w:numPr>
        <w:suppressLineNumbers w:val="0"/>
        <w:pBdr>
          <w:left w:val="none" w:color="auto" w:sz="0" w:space="0"/>
        </w:pBd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针对指标完成质量问题：加大对偏远地区</w:t>
      </w:r>
      <w:r>
        <w:rPr>
          <w:rFonts w:hint="eastAsia" w:ascii="仿宋_GB2312" w:hAnsi="仿宋_GB2312" w:eastAsia="仿宋_GB2312" w:cs="仿宋_GB2312"/>
          <w:sz w:val="32"/>
          <w:szCs w:val="32"/>
        </w:rPr>
        <w:t>监测站点的通信设施建设投入，通过增设信号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设备、优化通信网络等方式，提高通信信号的稳定性，确保数据传输的连续性和准确性。加强对监测设备的日常维护和巡检力度，建立设备故障快速响应机制，及时发现并解决设备故障问题，保障设备正常运行。</w:t>
      </w:r>
    </w:p>
    <w:p w14:paraId="08D02E1D">
      <w:pPr>
        <w:keepNext w:val="0"/>
        <w:keepLines w:val="0"/>
        <w:pageBreakBefore w:val="0"/>
        <w:widowControl w:val="0"/>
        <w:kinsoku/>
        <w:wordWrap/>
        <w:overflowPunct/>
        <w:topLinePunct w:val="0"/>
        <w:bidi w:val="0"/>
        <w:snapToGrid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四、绩效自评结果拟应用和公开情况</w:t>
      </w:r>
    </w:p>
    <w:p w14:paraId="6DD76ADB">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（一）绩效目标结果拟应用</w:t>
      </w:r>
    </w:p>
    <w:p w14:paraId="231D94A7">
      <w:pPr>
        <w:keepNext w:val="0"/>
        <w:keepLines w:val="0"/>
        <w:pageBreakBefore w:val="0"/>
        <w:widowControl/>
        <w:numPr>
          <w:ilvl w:val="0"/>
          <w:numId w:val="0"/>
        </w:numPr>
        <w:suppressLineNumbers w:val="0"/>
        <w:pBdr>
          <w:left w:val="none" w:color="auto" w:sz="0" w:space="0"/>
        </w:pBd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资金分配调整：将绩效自评结果作为下一年度中央水利发展资金分配的重要依据。对于绩效评价结果优秀的项目，在资金分配上给予适当倾斜，加大支持力度；对于绩效评价结果不理想的项目，认真分析原因，提出整改措施，并根据整改情况调整资金分配额度。</w:t>
      </w:r>
    </w:p>
    <w:p w14:paraId="61895132">
      <w:pPr>
        <w:keepNext w:val="0"/>
        <w:keepLines w:val="0"/>
        <w:pageBreakBefore w:val="0"/>
        <w:widowControl/>
        <w:numPr>
          <w:ilvl w:val="0"/>
          <w:numId w:val="0"/>
        </w:numPr>
        <w:suppressLineNumbers w:val="0"/>
        <w:pBdr>
          <w:left w:val="none" w:color="auto" w:sz="0" w:space="0"/>
        </w:pBdr>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项目管理优化：针对绩效自评中发现的问题，进一步完善项目管理制度和流程。加强项目立项、实施、验收等各个环节的管理，提高项目管理水平和质量。同时，将绩效评价结果与项目负责人的绩效考核挂钩，增强项目负责人的责任意识和绩效意识。</w:t>
      </w:r>
    </w:p>
    <w:p w14:paraId="322E0F33">
      <w:pPr>
        <w:pStyle w:val="4"/>
        <w:keepNext w:val="0"/>
        <w:keepLines w:val="0"/>
        <w:pageBreakBefore w:val="0"/>
        <w:widowControl/>
        <w:suppressLineNumbers w:val="0"/>
        <w:kinsoku/>
        <w:wordWrap/>
        <w:overflowPunct/>
        <w:topLinePunct w:val="0"/>
        <w:bidi w:val="0"/>
        <w:spacing w:before="0" w:beforeAutospacing="0" w:after="0" w:afterAutospacing="0" w:line="576" w:lineRule="exact"/>
        <w:ind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（二）绩效目标结果公开情况</w:t>
      </w:r>
    </w:p>
    <w:p w14:paraId="7B147BD5">
      <w:pPr>
        <w:keepNext w:val="0"/>
        <w:keepLines w:val="0"/>
        <w:pageBreakBefore w:val="0"/>
        <w:widowControl/>
        <w:suppressLineNumbers w:val="0"/>
        <w:kinsoku/>
        <w:wordWrap/>
        <w:overflowPunct/>
        <w:topLinePunct w:val="0"/>
        <w:bidi w:val="0"/>
        <w:spacing w:beforeAutospacing="0" w:afterAutospacing="0" w:line="576" w:lineRule="exact"/>
        <w:ind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按照相关规定，本次绩效自评结果接受社会各界的监督。</w:t>
      </w:r>
      <w:r>
        <w:rPr>
          <w:rFonts w:hint="eastAsia" w:ascii="仿宋_GB2312" w:hAnsi="仿宋_GB2312" w:cs="仿宋_GB2312"/>
          <w:kern w:val="0"/>
          <w:sz w:val="32"/>
          <w:szCs w:val="32"/>
          <w:lang w:val="en-US" w:eastAsia="zh-CN" w:bidi="ar"/>
        </w:rPr>
        <w:t>监督</w:t>
      </w:r>
      <w:r>
        <w:rPr>
          <w:rFonts w:hint="eastAsia" w:ascii="仿宋_GB2312" w:hAnsi="仿宋_GB2312" w:eastAsia="仿宋_GB2312" w:cs="仿宋_GB2312"/>
          <w:kern w:val="0"/>
          <w:sz w:val="32"/>
          <w:szCs w:val="32"/>
          <w:lang w:val="en-US" w:eastAsia="zh-CN" w:bidi="ar"/>
        </w:rPr>
        <w:t>内容包括绩效目标完成情况、资金使用情况、存在的问题及改进措施等，确保绩效自评工作的透明度和公信力。通过公开绩效自评结果，广泛听取社会公众的意见和建议，进一步改进和完善山洪灾害防治非工程措施工作。</w:t>
      </w:r>
    </w:p>
    <w:p w14:paraId="305AD19B">
      <w:pPr>
        <w:pStyle w:val="15"/>
        <w:rPr>
          <w:rFonts w:hint="eastAsia" w:ascii="仿宋_GB2312" w:hAnsi="仿宋_GB2312" w:eastAsia="仿宋_GB2312" w:cs="仿宋_GB2312"/>
          <w:kern w:val="0"/>
          <w:sz w:val="32"/>
          <w:szCs w:val="32"/>
          <w:lang w:val="en-US" w:eastAsia="zh-CN" w:bidi="ar"/>
        </w:rPr>
      </w:pPr>
    </w:p>
    <w:p w14:paraId="1F78F9E1">
      <w:pPr>
        <w:pStyle w:val="9"/>
        <w:rPr>
          <w:rFonts w:hint="eastAsia" w:ascii="仿宋_GB2312" w:hAnsi="仿宋_GB2312" w:eastAsia="仿宋_GB2312" w:cs="仿宋_GB2312"/>
          <w:kern w:val="0"/>
          <w:sz w:val="32"/>
          <w:szCs w:val="32"/>
          <w:lang w:val="en-US" w:eastAsia="zh-CN" w:bidi="ar"/>
        </w:rPr>
      </w:pPr>
    </w:p>
    <w:p w14:paraId="6F51E4B1">
      <w:pPr>
        <w:pStyle w:val="9"/>
        <w:rPr>
          <w:rFonts w:hint="eastAsia" w:ascii="仿宋_GB2312" w:hAnsi="仿宋_GB2312" w:eastAsia="仿宋_GB2312" w:cs="仿宋_GB2312"/>
          <w:kern w:val="0"/>
          <w:sz w:val="32"/>
          <w:szCs w:val="32"/>
          <w:lang w:val="en-US" w:eastAsia="zh-CN" w:bidi="ar"/>
        </w:rPr>
      </w:pPr>
    </w:p>
    <w:p w14:paraId="56A98DB5">
      <w:pPr>
        <w:pStyle w:val="9"/>
        <w:rPr>
          <w:rFonts w:hint="eastAsia" w:ascii="仿宋_GB2312" w:hAnsi="仿宋_GB2312" w:eastAsia="仿宋_GB2312" w:cs="仿宋_GB2312"/>
          <w:kern w:val="0"/>
          <w:sz w:val="32"/>
          <w:szCs w:val="32"/>
          <w:lang w:val="en-US" w:eastAsia="zh-CN" w:bidi="ar"/>
        </w:rPr>
      </w:pPr>
    </w:p>
    <w:p w14:paraId="4C3A52BA">
      <w:pPr>
        <w:pStyle w:val="9"/>
        <w:rPr>
          <w:rFonts w:hint="eastAsia" w:ascii="仿宋_GB2312" w:hAnsi="仿宋_GB2312" w:eastAsia="仿宋_GB2312" w:cs="仿宋_GB2312"/>
          <w:kern w:val="0"/>
          <w:sz w:val="32"/>
          <w:szCs w:val="32"/>
          <w:lang w:val="en-US" w:eastAsia="zh-CN" w:bidi="ar"/>
        </w:rPr>
      </w:pPr>
    </w:p>
    <w:p w14:paraId="0C5678F3">
      <w:pPr>
        <w:pStyle w:val="9"/>
        <w:ind w:left="0" w:leftChars="0" w:firstLine="0" w:firstLineChars="0"/>
        <w:rPr>
          <w:rFonts w:hint="eastAsia" w:ascii="仿宋_GB2312" w:hAnsi="仿宋_GB2312" w:eastAsia="仿宋_GB2312" w:cs="仿宋_GB2312"/>
          <w:kern w:val="0"/>
          <w:sz w:val="32"/>
          <w:szCs w:val="32"/>
          <w:lang w:val="en-US" w:eastAsia="zh-CN" w:bidi="ar"/>
        </w:rPr>
      </w:pPr>
    </w:p>
    <w:p w14:paraId="5736BF09">
      <w:pPr>
        <w:keepNext w:val="0"/>
        <w:keepLines w:val="0"/>
        <w:pageBreakBefore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中央</w:t>
      </w:r>
      <w:r>
        <w:rPr>
          <w:rFonts w:hint="eastAsia" w:ascii="方正小标宋简体" w:hAnsi="方正小标宋简体" w:eastAsia="方正小标宋简体" w:cs="方正小标宋简体"/>
          <w:sz w:val="44"/>
          <w:szCs w:val="44"/>
        </w:rPr>
        <w:t>水利发展资金</w:t>
      </w:r>
    </w:p>
    <w:p w14:paraId="6DDF6D83">
      <w:pPr>
        <w:keepNext w:val="0"/>
        <w:keepLines w:val="0"/>
        <w:pageBreakBefore w:val="0"/>
        <w:kinsoku/>
        <w:wordWrap/>
        <w:overflowPunct/>
        <w:topLinePunct w:val="0"/>
        <w:bidi w:val="0"/>
        <w:snapToGrid w:val="0"/>
        <w:spacing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转移支付绩效自评报告</w:t>
      </w:r>
    </w:p>
    <w:p w14:paraId="4BB5AEF8">
      <w:pPr>
        <w:keepNext w:val="0"/>
        <w:keepLines w:val="0"/>
        <w:pageBreakBefore w:val="0"/>
        <w:kinsoku/>
        <w:wordWrap/>
        <w:overflowPunct/>
        <w:topLinePunct w:val="0"/>
        <w:bidi w:val="0"/>
        <w:snapToGrid w:val="0"/>
        <w:spacing w:line="576" w:lineRule="exact"/>
        <w:ind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年农业水价综合改革项目）</w:t>
      </w:r>
    </w:p>
    <w:p w14:paraId="3EB7976B">
      <w:pPr>
        <w:keepNext w:val="0"/>
        <w:keepLines w:val="0"/>
        <w:pageBreakBefore w:val="0"/>
        <w:kinsoku/>
        <w:wordWrap/>
        <w:overflowPunct/>
        <w:topLinePunct w:val="0"/>
        <w:bidi w:val="0"/>
        <w:snapToGrid w:val="0"/>
        <w:spacing w:line="576" w:lineRule="exact"/>
        <w:ind w:leftChars="0" w:firstLine="640" w:firstLineChars="200"/>
        <w:textAlignment w:val="auto"/>
        <w:rPr>
          <w:rFonts w:hint="eastAsia" w:ascii="仿宋_GB2312" w:hAnsi="仿宋_GB2312" w:eastAsia="仿宋_GB2312" w:cs="仿宋_GB2312"/>
          <w:bCs/>
          <w:sz w:val="32"/>
          <w:szCs w:val="32"/>
        </w:rPr>
      </w:pPr>
    </w:p>
    <w:p w14:paraId="4ED3F37D">
      <w:pPr>
        <w:keepNext w:val="0"/>
        <w:keepLines w:val="0"/>
        <w:pageBreakBefore w:val="0"/>
        <w:kinsoku/>
        <w:wordWrap/>
        <w:overflowPunct/>
        <w:topLinePunct w:val="0"/>
        <w:bidi w:val="0"/>
        <w:snapToGrid w:val="0"/>
        <w:spacing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一、绩效目标分解下达情况</w:t>
      </w:r>
    </w:p>
    <w:p w14:paraId="1C16462C">
      <w:pPr>
        <w:pStyle w:val="19"/>
        <w:keepNext w:val="0"/>
        <w:keepLines w:val="0"/>
        <w:pageBreakBefore w:val="0"/>
        <w:kinsoku/>
        <w:wordWrap/>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b w:val="0"/>
          <w:bCs w:val="0"/>
          <w:snapToGrid/>
          <w:color w:val="000000"/>
          <w:kern w:val="0"/>
          <w:sz w:val="32"/>
          <w:szCs w:val="32"/>
          <w:lang w:val="en-US" w:eastAsia="zh-CN" w:bidi="ar"/>
        </w:rPr>
      </w:pPr>
      <w:r>
        <w:rPr>
          <w:rFonts w:hint="eastAsia" w:ascii="仿宋_GB2312" w:hAnsi="仿宋_GB2312" w:eastAsia="仿宋_GB2312" w:cs="仿宋_GB2312"/>
          <w:color w:val="000000"/>
          <w:kern w:val="2"/>
          <w:sz w:val="32"/>
          <w:szCs w:val="32"/>
          <w:lang w:val="en-US" w:eastAsia="zh-CN"/>
        </w:rPr>
        <w:t>(一)精准补贴和节水奖励。</w:t>
      </w:r>
      <w:r>
        <w:rPr>
          <w:rFonts w:hint="eastAsia" w:ascii="仿宋_GB2312" w:hAnsi="仿宋_GB2312" w:eastAsia="仿宋_GB2312" w:cs="仿宋_GB2312"/>
          <w:b w:val="0"/>
          <w:bCs w:val="0"/>
          <w:snapToGrid/>
          <w:color w:val="000000"/>
          <w:kern w:val="0"/>
          <w:sz w:val="32"/>
          <w:szCs w:val="32"/>
          <w:highlight w:val="none"/>
          <w:lang w:val="en-US" w:eastAsia="zh-CN" w:bidi="ar"/>
        </w:rPr>
        <w:t>中央财政水利发展资金用于精准补贴用水主体15个，涉及管理的灌溉面积1.2万亩。</w:t>
      </w:r>
    </w:p>
    <w:p w14:paraId="2ECC42D7">
      <w:pPr>
        <w:pStyle w:val="19"/>
        <w:keepNext w:val="0"/>
        <w:keepLines w:val="0"/>
        <w:pageBreakBefore w:val="0"/>
        <w:kinsoku/>
        <w:wordWrap/>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b w:val="0"/>
          <w:bCs w:val="0"/>
          <w:snapToGrid/>
          <w:color w:val="000000"/>
          <w:kern w:val="0"/>
          <w:sz w:val="32"/>
          <w:szCs w:val="32"/>
          <w:lang w:val="en-US" w:eastAsia="zh-CN" w:bidi="ar"/>
        </w:rPr>
      </w:pPr>
      <w:r>
        <w:rPr>
          <w:rFonts w:hint="eastAsia" w:ascii="仿宋_GB2312" w:hAnsi="仿宋_GB2312" w:eastAsia="仿宋_GB2312" w:cs="仿宋_GB2312"/>
          <w:b w:val="0"/>
          <w:bCs w:val="0"/>
          <w:snapToGrid/>
          <w:color w:val="000000"/>
          <w:kern w:val="0"/>
          <w:sz w:val="32"/>
          <w:szCs w:val="32"/>
          <w:lang w:val="en-US" w:eastAsia="zh-CN" w:bidi="ar"/>
        </w:rPr>
        <w:t>(二)其它。</w:t>
      </w:r>
      <w:r>
        <w:rPr>
          <w:rFonts w:hint="eastAsia" w:ascii="仿宋_GB2312" w:hAnsi="仿宋_GB2312" w:eastAsia="仿宋_GB2312" w:cs="仿宋_GB2312"/>
          <w:b w:val="0"/>
          <w:bCs w:val="0"/>
          <w:snapToGrid/>
          <w:color w:val="000000"/>
          <w:kern w:val="0"/>
          <w:sz w:val="32"/>
          <w:szCs w:val="32"/>
          <w:highlight w:val="none"/>
          <w:lang w:val="en-US" w:eastAsia="zh-CN" w:bidi="ar"/>
        </w:rPr>
        <w:t>中央财政水利发展资金用于</w:t>
      </w:r>
      <w:r>
        <w:rPr>
          <w:rFonts w:hint="eastAsia" w:ascii="仿宋_GB2312" w:hAnsi="仿宋_GB2312" w:eastAsia="仿宋_GB2312" w:cs="仿宋_GB2312"/>
          <w:b w:val="0"/>
          <w:bCs w:val="0"/>
          <w:snapToGrid/>
          <w:color w:val="000000"/>
          <w:kern w:val="0"/>
          <w:sz w:val="32"/>
          <w:szCs w:val="32"/>
          <w:lang w:val="en-US" w:eastAsia="zh-CN" w:bidi="ar"/>
        </w:rPr>
        <w:t>维修养护工程4处，建设内容：恢复各类管道3万米、4个减压阀，1座钢架桥。</w:t>
      </w:r>
    </w:p>
    <w:p w14:paraId="5FFFA9DF">
      <w:pPr>
        <w:keepNext w:val="0"/>
        <w:keepLines w:val="0"/>
        <w:pageBreakBefore w:val="0"/>
        <w:kinsoku/>
        <w:wordWrap/>
        <w:overflowPunct/>
        <w:topLinePunct w:val="0"/>
        <w:bidi w:val="0"/>
        <w:snapToGrid w:val="0"/>
        <w:spacing w:line="576" w:lineRule="exact"/>
        <w:ind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二、绩效情况分析</w:t>
      </w:r>
    </w:p>
    <w:p w14:paraId="04B31DCE">
      <w:pPr>
        <w:keepNext w:val="0"/>
        <w:keepLines w:val="0"/>
        <w:pageBreakBefore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14:paraId="281165FB">
      <w:pPr>
        <w:keepNext w:val="0"/>
        <w:keepLines w:val="0"/>
        <w:pageBreakBefore w:val="0"/>
        <w:widowControl/>
        <w:suppressLineNumbers w:val="0"/>
        <w:kinsoku/>
        <w:wordWrap/>
        <w:topLinePunct w:val="0"/>
        <w:bidi w:val="0"/>
        <w:spacing w:line="576" w:lineRule="exact"/>
        <w:ind w:leftChars="0" w:firstLine="640" w:firstLineChars="200"/>
        <w:jc w:val="left"/>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zh-CN" w:eastAsia="zh-CN" w:bidi="ar"/>
        </w:rPr>
        <w:t>根据《茂县财政局关于下达202</w:t>
      </w:r>
      <w:r>
        <w:rPr>
          <w:rFonts w:hint="eastAsia" w:ascii="仿宋_GB2312" w:hAnsi="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zh-CN" w:eastAsia="zh-CN" w:bidi="ar"/>
        </w:rPr>
        <w:t>年中央水利发展资金的通知》（茂财农〔202</w:t>
      </w:r>
      <w:r>
        <w:rPr>
          <w:rFonts w:hint="eastAsia" w:ascii="仿宋_GB2312" w:hAnsi="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zh-CN" w:eastAsia="zh-CN" w:bidi="ar"/>
        </w:rPr>
        <w:t>〕</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zh-CN" w:eastAsia="zh-CN" w:bidi="ar"/>
        </w:rPr>
        <w:t>号）下达资金</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0.00</w:t>
      </w:r>
      <w:r>
        <w:rPr>
          <w:rFonts w:hint="eastAsia" w:ascii="仿宋_GB2312" w:hAnsi="仿宋_GB2312" w:eastAsia="仿宋_GB2312" w:cs="仿宋_GB2312"/>
          <w:color w:val="000000"/>
          <w:kern w:val="0"/>
          <w:sz w:val="32"/>
          <w:szCs w:val="32"/>
          <w:lang w:val="zh-CN" w:eastAsia="zh-CN" w:bidi="ar"/>
        </w:rPr>
        <w:t>万元，</w:t>
      </w:r>
      <w:r>
        <w:rPr>
          <w:rFonts w:hint="eastAsia" w:ascii="仿宋_GB2312" w:hAnsi="仿宋_GB2312" w:eastAsia="仿宋_GB2312" w:cs="仿宋_GB2312"/>
          <w:color w:val="000000"/>
          <w:kern w:val="0"/>
          <w:sz w:val="32"/>
          <w:szCs w:val="32"/>
          <w:lang w:val="en-US" w:eastAsia="zh-CN" w:bidi="ar"/>
        </w:rPr>
        <w:t>资金到位及时，到位率100%。资金主要用于供水计量设施安装、水价形成机制完善、精准补贴和节水奖励机制落实等方面。截至2024年12月31日，已支出资金</w:t>
      </w:r>
      <w:r>
        <w:rPr>
          <w:rFonts w:hint="eastAsia" w:ascii="仿宋_GB2312" w:hAnsi="仿宋_GB2312" w:cs="仿宋_GB2312"/>
          <w:color w:val="000000"/>
          <w:kern w:val="0"/>
          <w:sz w:val="32"/>
          <w:szCs w:val="32"/>
          <w:lang w:val="en-US" w:eastAsia="zh-CN" w:bidi="ar"/>
        </w:rPr>
        <w:t>33.6</w:t>
      </w:r>
      <w:r>
        <w:rPr>
          <w:rFonts w:hint="eastAsia" w:ascii="仿宋_GB2312" w:hAnsi="仿宋_GB2312" w:eastAsia="仿宋_GB2312" w:cs="仿宋_GB2312"/>
          <w:color w:val="000000"/>
          <w:kern w:val="0"/>
          <w:sz w:val="32"/>
          <w:szCs w:val="32"/>
          <w:lang w:val="en-US" w:eastAsia="zh-CN" w:bidi="ar"/>
        </w:rPr>
        <w:t>3万元，资金执率达到44%。</w:t>
      </w:r>
    </w:p>
    <w:p w14:paraId="1095E567">
      <w:pPr>
        <w:keepNext w:val="0"/>
        <w:keepLines w:val="0"/>
        <w:pageBreakBefore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（二）资金管理情况分析</w:t>
      </w:r>
    </w:p>
    <w:p w14:paraId="19A39BE4">
      <w:pPr>
        <w:keepNext w:val="0"/>
        <w:keepLines w:val="0"/>
        <w:pageBreakBefore w:val="0"/>
        <w:kinsoku/>
        <w:wordWrap/>
        <w:overflowPunct/>
        <w:topLinePunct w:val="0"/>
        <w:autoSpaceDE w:val="0"/>
        <w:autoSpaceDN w:val="0"/>
        <w:bidi w:val="0"/>
        <w:adjustRightInd w:val="0"/>
        <w:spacing w:line="576"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资金在县财政部门监督下由</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水务局统一使用和管理，实行项目专账管理，资金拨付、管理、使用及核算严格执行相关规定制度。</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财政局与</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水务局对项目建设和资金使用开展了日常监督管理，及时发现问题并整改，充分发挥了资金使用效益。</w:t>
      </w:r>
    </w:p>
    <w:p w14:paraId="2252D207">
      <w:pPr>
        <w:keepNext w:val="0"/>
        <w:keepLines w:val="0"/>
        <w:pageBreakBefore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（三）总体绩效目标完成情况分析</w:t>
      </w:r>
    </w:p>
    <w:p w14:paraId="4ABF0127">
      <w:pPr>
        <w:keepNext w:val="0"/>
        <w:keepLines w:val="0"/>
        <w:pageBreakBefore w:val="0"/>
        <w:widowControl w:val="0"/>
        <w:suppressLineNumbers w:val="0"/>
        <w:kinsoku/>
        <w:wordWrap/>
        <w:overflowPunct w:val="0"/>
        <w:topLinePunct w:val="0"/>
        <w:autoSpaceDE/>
        <w:autoSpaceDN/>
        <w:bidi w:val="0"/>
        <w:adjustRightInd/>
        <w:snapToGrid/>
        <w:spacing w:line="576" w:lineRule="exact"/>
        <w:ind w:leftChars="0" w:right="0" w:firstLine="640" w:firstLineChars="200"/>
        <w:jc w:val="both"/>
        <w:textAlignment w:val="auto"/>
        <w:rPr>
          <w:rFonts w:hint="eastAsia" w:ascii="Times New Roman" w:hAnsi="Times New Roman" w:eastAsia="仿宋_GB2312" w:cs="Times New Roman"/>
          <w:b w:val="0"/>
          <w:bCs w:val="0"/>
          <w:snapToGrid/>
          <w:color w:val="000000"/>
          <w:kern w:val="0"/>
          <w:sz w:val="32"/>
          <w:szCs w:val="32"/>
          <w:highlight w:val="none"/>
          <w:lang w:val="en-US" w:eastAsia="zh-CN" w:bidi="ar"/>
        </w:rPr>
      </w:pPr>
      <w:r>
        <w:rPr>
          <w:rFonts w:hint="eastAsia" w:ascii="Times New Roman" w:hAnsi="Times New Roman" w:eastAsia="仿宋_GB2312" w:cs="Times New Roman"/>
          <w:b w:val="0"/>
          <w:bCs w:val="0"/>
          <w:snapToGrid/>
          <w:color w:val="000000"/>
          <w:kern w:val="0"/>
          <w:sz w:val="32"/>
          <w:szCs w:val="32"/>
          <w:highlight w:val="none"/>
          <w:lang w:val="en-US" w:eastAsia="zh-CN" w:bidi="ar"/>
        </w:rPr>
        <w:t>项目实施后，通过实行灌溉定额，减少了农民灌溉用水量，灌溉水费从低于成本到接近或达到成本。通过水费征收，有效遏制了农业用水浪费现象，提高灌溉水利用系数，将原来粗放型灌溉方式向精细化转变。计量设施的完善可保障灌区实行量水到户，核算到亩，按方收费，有效杜绝乱收费现象，能大大改善用水秩序，节约用水，减轻农民水费负担，维护社会稳定和谐。对维护灌区生态平衡、实现灌区自然、经济和社会的和谐发展，具有积极的意义。</w:t>
      </w:r>
    </w:p>
    <w:p w14:paraId="51A67A42">
      <w:pPr>
        <w:keepNext w:val="0"/>
        <w:keepLines w:val="0"/>
        <w:pageBreakBefore w:val="0"/>
        <w:widowControl w:val="0"/>
        <w:suppressLineNumbers w:val="0"/>
        <w:kinsoku/>
        <w:wordWrap/>
        <w:overflowPunct w:val="0"/>
        <w:topLinePunct w:val="0"/>
        <w:autoSpaceDE/>
        <w:autoSpaceDN/>
        <w:bidi w:val="0"/>
        <w:adjustRightInd/>
        <w:snapToGrid/>
        <w:spacing w:line="576" w:lineRule="exact"/>
        <w:ind w:leftChars="0" w:right="0" w:firstLine="640" w:firstLineChars="200"/>
        <w:jc w:val="both"/>
        <w:textAlignment w:val="auto"/>
        <w:rPr>
          <w:rFonts w:hint="eastAsia" w:ascii="Times New Roman" w:hAnsi="Times New Roman" w:eastAsia="仿宋_GB2312" w:cs="Times New Roman"/>
          <w:b w:val="0"/>
          <w:bCs w:val="0"/>
          <w:snapToGrid/>
          <w:color w:val="000000"/>
          <w:kern w:val="0"/>
          <w:sz w:val="32"/>
          <w:szCs w:val="32"/>
          <w:highlight w:val="none"/>
          <w:lang w:val="en-US" w:eastAsia="zh-CN" w:bidi="ar"/>
        </w:rPr>
      </w:pPr>
      <w:r>
        <w:rPr>
          <w:rFonts w:hint="eastAsia" w:ascii="Times New Roman" w:hAnsi="Times New Roman" w:eastAsia="仿宋_GB2312" w:cs="Times New Roman"/>
          <w:b w:val="0"/>
          <w:bCs w:val="0"/>
          <w:snapToGrid/>
          <w:color w:val="000000"/>
          <w:kern w:val="0"/>
          <w:sz w:val="32"/>
          <w:szCs w:val="32"/>
          <w:highlight w:val="none"/>
          <w:lang w:val="en-US" w:eastAsia="zh-CN" w:bidi="ar"/>
        </w:rPr>
        <w:t>随着农业水价的收取，一些经济价值高的作物种植面积不断扩大，并采用高效节水灌溉技术后，水分与肥料可适时、适量满足作物需要，增加作物产量，实现农牧民增收增效的目的。农业水价的收取也促进了农业种植结构的调整，高价值低耗水作物大面积推广，提高了农业生产率。</w:t>
      </w:r>
    </w:p>
    <w:p w14:paraId="54D4FC7A">
      <w:pPr>
        <w:keepNext w:val="0"/>
        <w:keepLines w:val="0"/>
        <w:pageBreakBefore w:val="0"/>
        <w:widowControl w:val="0"/>
        <w:suppressLineNumbers w:val="0"/>
        <w:kinsoku/>
        <w:wordWrap/>
        <w:overflowPunct w:val="0"/>
        <w:topLinePunct w:val="0"/>
        <w:autoSpaceDE/>
        <w:autoSpaceDN/>
        <w:bidi w:val="0"/>
        <w:adjustRightInd/>
        <w:snapToGrid/>
        <w:spacing w:line="576" w:lineRule="exact"/>
        <w:ind w:leftChars="0" w:right="0" w:firstLine="640" w:firstLineChars="200"/>
        <w:jc w:val="both"/>
        <w:textAlignment w:val="auto"/>
        <w:rPr>
          <w:rFonts w:hint="eastAsia" w:ascii="Times New Roman" w:hAnsi="Times New Roman" w:eastAsia="仿宋_GB2312" w:cs="Times New Roman"/>
          <w:b w:val="0"/>
          <w:bCs w:val="0"/>
          <w:snapToGrid/>
          <w:color w:val="000000"/>
          <w:kern w:val="0"/>
          <w:sz w:val="32"/>
          <w:szCs w:val="32"/>
          <w:highlight w:val="none"/>
          <w:lang w:val="en-US" w:eastAsia="zh-CN" w:bidi="ar"/>
        </w:rPr>
      </w:pPr>
      <w:r>
        <w:rPr>
          <w:rFonts w:hint="eastAsia" w:ascii="Times New Roman" w:hAnsi="Times New Roman" w:eastAsia="仿宋_GB2312" w:cs="Times New Roman"/>
          <w:b w:val="0"/>
          <w:bCs w:val="0"/>
          <w:snapToGrid/>
          <w:color w:val="000000"/>
          <w:kern w:val="0"/>
          <w:sz w:val="32"/>
          <w:szCs w:val="32"/>
          <w:highlight w:val="none"/>
          <w:lang w:val="en-US" w:eastAsia="zh-CN" w:bidi="ar"/>
        </w:rPr>
        <w:t>农业水价改革发展高效节水灌溉技术，可有效降低化肥施用量，提高肥料利用率，降低面源污染输入量。</w:t>
      </w:r>
    </w:p>
    <w:p w14:paraId="4928C548">
      <w:pPr>
        <w:keepNext w:val="0"/>
        <w:keepLines w:val="0"/>
        <w:pageBreakBefore w:val="0"/>
        <w:widowControl w:val="0"/>
        <w:suppressLineNumbers w:val="0"/>
        <w:kinsoku/>
        <w:wordWrap/>
        <w:overflowPunct w:val="0"/>
        <w:topLinePunct w:val="0"/>
        <w:autoSpaceDE/>
        <w:autoSpaceDN/>
        <w:bidi w:val="0"/>
        <w:adjustRightInd/>
        <w:snapToGrid/>
        <w:spacing w:line="576" w:lineRule="exact"/>
        <w:ind w:leftChars="0" w:right="0" w:firstLine="640" w:firstLineChars="200"/>
        <w:jc w:val="both"/>
        <w:textAlignment w:val="auto"/>
        <w:rPr>
          <w:rFonts w:hint="eastAsia" w:ascii="Times New Roman" w:hAnsi="Times New Roman" w:eastAsia="仿宋_GB2312" w:cs="Times New Roman"/>
          <w:b w:val="0"/>
          <w:bCs w:val="0"/>
          <w:snapToGrid/>
          <w:color w:val="000000"/>
          <w:kern w:val="0"/>
          <w:sz w:val="32"/>
          <w:szCs w:val="32"/>
          <w:highlight w:val="none"/>
          <w:lang w:val="en-US" w:eastAsia="zh-CN" w:bidi="ar"/>
        </w:rPr>
      </w:pPr>
      <w:r>
        <w:rPr>
          <w:rFonts w:hint="eastAsia" w:ascii="Times New Roman" w:hAnsi="Times New Roman" w:eastAsia="仿宋_GB2312" w:cs="Times New Roman"/>
          <w:b w:val="0"/>
          <w:bCs w:val="0"/>
          <w:snapToGrid/>
          <w:color w:val="000000"/>
          <w:kern w:val="0"/>
          <w:sz w:val="32"/>
          <w:szCs w:val="32"/>
          <w:highlight w:val="none"/>
          <w:lang w:val="en-US" w:eastAsia="zh-CN" w:bidi="ar"/>
        </w:rPr>
        <w:t>农业水价的改革促进土地流转和规模化经营并大幅度提高管理水平，可做到精细化施肥与灌溉、通过作物墒情来指导灌溉，通过测土配方，确定适宜的施肥量等。</w:t>
      </w:r>
    </w:p>
    <w:p w14:paraId="11E52C23">
      <w:pPr>
        <w:keepNext w:val="0"/>
        <w:keepLines w:val="0"/>
        <w:pageBreakBefore w:val="0"/>
        <w:kinsoku/>
        <w:wordWrap/>
        <w:overflowPunct/>
        <w:topLinePunct w:val="0"/>
        <w:bidi w:val="0"/>
        <w:adjustRightInd w:val="0"/>
        <w:snapToGrid w:val="0"/>
        <w:spacing w:line="576"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（四）绩效指标完成情况分析</w:t>
      </w:r>
    </w:p>
    <w:p w14:paraId="2DDEDC2D">
      <w:pPr>
        <w:keepNext w:val="0"/>
        <w:keepLines w:val="0"/>
        <w:pageBreakBefore w:val="0"/>
        <w:kinsoku/>
        <w:wordWrap/>
        <w:overflowPunct/>
        <w:topLinePunct w:val="0"/>
        <w:bidi w:val="0"/>
        <w:snapToGrid w:val="0"/>
        <w:spacing w:line="576" w:lineRule="exact"/>
        <w:ind w:leftChars="0"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将灌区水权细化到了用水管理组织;灌溉供水量测水设施相对完善;明确了终端管水方式，落实了管护主体和管护经费;将农业水价机制和节水奖励、精准补贴制度落实到位，能够保障项目实施后灌区的良性运行。</w:t>
      </w:r>
    </w:p>
    <w:p w14:paraId="23B01C19">
      <w:pPr>
        <w:keepNext w:val="0"/>
        <w:keepLines w:val="0"/>
        <w:pageBreakBefore w:val="0"/>
        <w:kinsoku/>
        <w:wordWrap/>
        <w:overflowPunct/>
        <w:topLinePunct w:val="0"/>
        <w:bidi w:val="0"/>
        <w:adjustRightInd w:val="0"/>
        <w:snapToGrid w:val="0"/>
        <w:spacing w:line="576"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三、偏离绩效目标的原因和下一步改进措施</w:t>
      </w:r>
    </w:p>
    <w:p w14:paraId="6162539D">
      <w:pPr>
        <w:keepNext w:val="0"/>
        <w:keepLines w:val="0"/>
        <w:pageBreakBefore w:val="0"/>
        <w:kinsoku/>
        <w:wordWrap/>
        <w:overflowPunct/>
        <w:topLinePunct w:val="0"/>
        <w:bidi w:val="0"/>
        <w:snapToGrid w:val="0"/>
        <w:spacing w:line="576" w:lineRule="exact"/>
        <w:ind w:leftChars="0" w:firstLine="643" w:firstLineChars="200"/>
        <w:textAlignment w:val="auto"/>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（一）存在的问题</w:t>
      </w:r>
    </w:p>
    <w:p w14:paraId="2D97C9C1">
      <w:pPr>
        <w:keepNext w:val="0"/>
        <w:keepLines w:val="0"/>
        <w:pageBreakBefore w:val="0"/>
        <w:kinsoku/>
        <w:wordWrap/>
        <w:overflowPunct/>
        <w:topLinePunct w:val="0"/>
        <w:bidi w:val="0"/>
        <w:snapToGrid w:val="0"/>
        <w:spacing w:line="576" w:lineRule="exact"/>
        <w:ind w:lef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农民对农业水价综合改革政策理解不够深入，节水意识有待进一步提高。农业用水计量设施后期维护管理难度较大，存在设施损坏维修不及时的情况。精准补贴和节水奖励资金发放程序较为繁琐，影响资金发放效率。</w:t>
      </w:r>
    </w:p>
    <w:p w14:paraId="6A99F569">
      <w:pPr>
        <w:keepNext w:val="0"/>
        <w:keepLines w:val="0"/>
        <w:pageBreakBefore w:val="0"/>
        <w:kinsoku/>
        <w:wordWrap/>
        <w:overflowPunct/>
        <w:topLinePunct w:val="0"/>
        <w:bidi w:val="0"/>
        <w:snapToGrid w:val="0"/>
        <w:spacing w:line="576" w:lineRule="exact"/>
        <w:ind w:leftChars="0" w:firstLine="643" w:firstLineChars="200"/>
        <w:textAlignment w:val="auto"/>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（二）改进措施</w:t>
      </w:r>
    </w:p>
    <w:p w14:paraId="0E4F6CA0">
      <w:pPr>
        <w:keepNext w:val="0"/>
        <w:keepLines w:val="0"/>
        <w:pageBreakBefore w:val="0"/>
        <w:kinsoku/>
        <w:wordWrap/>
        <w:overflowPunct/>
        <w:topLinePunct w:val="0"/>
        <w:bidi w:val="0"/>
        <w:snapToGrid w:val="0"/>
        <w:spacing w:line="576" w:lineRule="exact"/>
        <w:ind w:lef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政策宣传力度，通过多种形式广泛宣传农业水价综合改革政策，提高农民对政策的知晓度和理解度，增强农民节水意识。建立健全农业用水计量设施维护管理长效机制，明确维护管理责任主体，加大资金投入，加强设施维护管理培训，确保设施正常运行。优化精准补贴和节水奖励资金发放程序，简化手续，提高资金发放效率，确保补贴和奖励资金及时足额发放到农民手中。</w:t>
      </w:r>
    </w:p>
    <w:p w14:paraId="5E061484">
      <w:pPr>
        <w:keepNext w:val="0"/>
        <w:keepLines w:val="0"/>
        <w:pageBreakBefore w:val="0"/>
        <w:kinsoku/>
        <w:wordWrap/>
        <w:overflowPunct/>
        <w:topLinePunct w:val="0"/>
        <w:bidi w:val="0"/>
        <w:snapToGrid w:val="0"/>
        <w:spacing w:line="576" w:lineRule="exact"/>
        <w:ind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bCs/>
          <w:sz w:val="32"/>
          <w:szCs w:val="32"/>
        </w:rPr>
        <w:t>四、绩效自评结果拟应用和公开情况</w:t>
      </w:r>
    </w:p>
    <w:p w14:paraId="7EB098A3">
      <w:pPr>
        <w:keepNext w:val="0"/>
        <w:keepLines w:val="0"/>
        <w:pageBreakBefore w:val="0"/>
        <w:kinsoku/>
        <w:wordWrap/>
        <w:overflowPunct/>
        <w:topLinePunct w:val="0"/>
        <w:bidi w:val="0"/>
        <w:snapToGrid w:val="0"/>
        <w:spacing w:line="576" w:lineRule="exact"/>
        <w:ind w:lef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将绩效自评结果作为下一年度项目资金安排和项目管理的重要依据。对绩效评价结果为“优”的项目，在资金安排上给予优先支持；对绩效评价中发现的问题，及时进行整改，不断提高项目管理水平和资金使用效益。同时，将绩效自评结果在一定范围内公开，接受社会监督。</w:t>
      </w:r>
    </w:p>
    <w:p w14:paraId="1E761C58">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14:paraId="14CC9123">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14:paraId="45C27DB7">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14:paraId="3EDD396F">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14:paraId="23B23D11">
      <w:pPr>
        <w:pStyle w:val="15"/>
        <w:rPr>
          <w:rFonts w:hint="eastAsia"/>
          <w:lang w:val="en-US" w:eastAsia="zh-CN"/>
        </w:rPr>
      </w:pPr>
    </w:p>
    <w:p w14:paraId="3A61230B">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茂县水务局</w:t>
      </w:r>
    </w:p>
    <w:p w14:paraId="68B0701B">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val="en-US" w:eastAsia="zh-CN"/>
        </w:rPr>
        <w:t>关于2</w:t>
      </w:r>
      <w:r>
        <w:rPr>
          <w:rFonts w:hint="eastAsia" w:ascii="方正小标宋简体" w:hAnsi="方正小标宋简体" w:eastAsia="方正小标宋简体" w:cs="方正小标宋简体"/>
          <w:b w:val="0"/>
          <w:bCs w:val="0"/>
          <w:color w:val="000000"/>
          <w:sz w:val="44"/>
          <w:szCs w:val="44"/>
          <w:lang w:eastAsia="zh-CN"/>
        </w:rPr>
        <w:t>024年统筹整合使用财政涉农</w:t>
      </w:r>
      <w:r>
        <w:rPr>
          <w:rFonts w:hint="eastAsia" w:ascii="方正小标宋简体" w:hAnsi="方正小标宋简体" w:eastAsia="方正小标宋简体" w:cs="方正小标宋简体"/>
          <w:b w:val="0"/>
          <w:bCs w:val="0"/>
          <w:color w:val="000000"/>
          <w:sz w:val="44"/>
          <w:szCs w:val="44"/>
          <w:lang w:val="en-US" w:eastAsia="zh-CN"/>
        </w:rPr>
        <w:t>资金</w:t>
      </w:r>
      <w:r>
        <w:rPr>
          <w:rFonts w:hint="eastAsia" w:ascii="方正小标宋简体" w:hAnsi="方正小标宋简体" w:eastAsia="方正小标宋简体" w:cs="方正小标宋简体"/>
          <w:b w:val="0"/>
          <w:bCs w:val="0"/>
          <w:color w:val="000000"/>
          <w:sz w:val="44"/>
          <w:szCs w:val="44"/>
          <w:lang w:eastAsia="zh-CN"/>
        </w:rPr>
        <w:t>农村安全饮水提升改造项目绩效自评</w:t>
      </w:r>
      <w:r>
        <w:rPr>
          <w:rFonts w:hint="eastAsia" w:ascii="方正小标宋简体" w:hAnsi="方正小标宋简体" w:eastAsia="方正小标宋简体" w:cs="方正小标宋简体"/>
          <w:b w:val="0"/>
          <w:bCs w:val="0"/>
          <w:color w:val="000000"/>
          <w:sz w:val="44"/>
          <w:szCs w:val="44"/>
          <w:lang w:val="en-US" w:eastAsia="zh-CN"/>
        </w:rPr>
        <w:t>报告</w:t>
      </w:r>
    </w:p>
    <w:p w14:paraId="7B1B2D6E">
      <w:pPr>
        <w:keepNext w:val="0"/>
        <w:keepLines w:val="0"/>
        <w:pageBreakBefore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bCs/>
          <w:color w:val="000000"/>
          <w:sz w:val="32"/>
          <w:szCs w:val="32"/>
        </w:rPr>
      </w:pPr>
    </w:p>
    <w:p w14:paraId="72B74D99">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一、绩效目标分解下达情况</w:t>
      </w:r>
    </w:p>
    <w:p w14:paraId="32541844">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衔接资金</w:t>
      </w:r>
      <w:r>
        <w:rPr>
          <w:rFonts w:hint="eastAsia" w:ascii="仿宋_GB2312" w:hAnsi="仿宋_GB2312" w:eastAsia="仿宋_GB2312" w:cs="仿宋_GB2312"/>
          <w:color w:val="000000"/>
          <w:sz w:val="32"/>
          <w:szCs w:val="32"/>
        </w:rPr>
        <w:t>下达预算及项目情况</w:t>
      </w:r>
    </w:p>
    <w:p w14:paraId="0A0829F5">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为改善</w:t>
      </w:r>
      <w:r>
        <w:rPr>
          <w:rFonts w:hint="eastAsia" w:ascii="仿宋_GB2312" w:hAnsi="仿宋_GB2312" w:eastAsia="仿宋_GB2312" w:cs="仿宋_GB2312"/>
          <w:sz w:val="32"/>
          <w:szCs w:val="32"/>
          <w:lang w:eastAsia="zh-CN"/>
        </w:rPr>
        <w:t>凤仪镇、</w:t>
      </w:r>
      <w:r>
        <w:rPr>
          <w:rFonts w:hint="eastAsia" w:ascii="仿宋_GB2312" w:hAnsi="仿宋_GB2312" w:eastAsia="仿宋_GB2312" w:cs="仿宋_GB2312"/>
          <w:sz w:val="32"/>
          <w:szCs w:val="32"/>
        </w:rPr>
        <w:t>渭门镇</w:t>
      </w: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黑虎镇、</w:t>
      </w:r>
      <w:r>
        <w:rPr>
          <w:rFonts w:hint="eastAsia" w:ascii="仿宋_GB2312" w:hAnsi="仿宋_GB2312" w:eastAsia="仿宋_GB2312" w:cs="仿宋_GB2312"/>
          <w:sz w:val="32"/>
          <w:szCs w:val="32"/>
          <w:lang w:eastAsia="zh-CN"/>
        </w:rPr>
        <w:t>洼底镇、沙坝镇、富顺镇等</w:t>
      </w:r>
      <w:r>
        <w:rPr>
          <w:rFonts w:hint="eastAsia" w:ascii="仿宋_GB2312" w:hAnsi="仿宋_GB2312" w:eastAsia="仿宋_GB2312" w:cs="仿宋_GB2312"/>
          <w:sz w:val="32"/>
          <w:szCs w:val="32"/>
          <w:lang w:val="en-US" w:eastAsia="zh-CN"/>
        </w:rPr>
        <w:t>7个镇，</w:t>
      </w:r>
      <w:r>
        <w:rPr>
          <w:rFonts w:hint="eastAsia" w:ascii="仿宋_GB2312" w:hAnsi="仿宋_GB2312" w:eastAsia="仿宋_GB2312" w:cs="仿宋_GB2312"/>
          <w:sz w:val="32"/>
          <w:szCs w:val="32"/>
          <w:lang w:eastAsia="zh-CN"/>
        </w:rPr>
        <w:t>沟口村、德胜村、永宁村、苏家坪村、霭紫关村、耕读百吉村、神溪村、马蹄村、唱斗村、新洋村、坪头村、静州村、五寨村、百合村、沙湖寨村、三雅村、白溪村、黄草坪村、纳胡村、沙坝村等</w:t>
      </w:r>
      <w:r>
        <w:rPr>
          <w:rFonts w:hint="eastAsia" w:ascii="仿宋_GB2312" w:hAnsi="仿宋_GB2312" w:eastAsia="仿宋_GB2312" w:cs="仿宋_GB2312"/>
          <w:sz w:val="32"/>
          <w:szCs w:val="32"/>
          <w:lang w:val="en-US" w:eastAsia="zh-CN"/>
        </w:rPr>
        <w:t>20个村</w:t>
      </w:r>
      <w:r>
        <w:rPr>
          <w:rFonts w:hint="eastAsia" w:ascii="仿宋_GB2312" w:hAnsi="仿宋_GB2312" w:eastAsia="仿宋_GB2312" w:cs="仿宋_GB2312"/>
          <w:sz w:val="32"/>
          <w:szCs w:val="32"/>
        </w:rPr>
        <w:t>村民生产生活条件，促进农业生产的发展，减轻老百姓生产负担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涉农</w:t>
      </w:r>
      <w:r>
        <w:rPr>
          <w:rFonts w:hint="eastAsia" w:ascii="仿宋_GB2312" w:hAnsi="仿宋_GB2312" w:eastAsia="仿宋_GB2312" w:cs="仿宋_GB2312"/>
          <w:sz w:val="32"/>
          <w:szCs w:val="32"/>
          <w:lang w:eastAsia="zh-CN"/>
        </w:rPr>
        <w:t>统筹整合下达</w:t>
      </w:r>
      <w:r>
        <w:rPr>
          <w:rFonts w:hint="eastAsia" w:ascii="仿宋_GB2312" w:eastAsia="仿宋_GB2312" w:hAnsiTheme="minorHAnsi" w:cstheme="minorBidi"/>
          <w:kern w:val="2"/>
          <w:sz w:val="32"/>
          <w:szCs w:val="32"/>
          <w:lang w:val="en-US" w:eastAsia="zh-CN" w:bidi="ar-SA"/>
        </w:rPr>
        <w:t>茂县农村安全饮水提升改造项目资金</w:t>
      </w:r>
      <w:r>
        <w:rPr>
          <w:rFonts w:hint="eastAsia" w:ascii="仿宋_GB2312" w:eastAsia="仿宋_GB2312" w:cstheme="minorBidi"/>
          <w:kern w:val="2"/>
          <w:sz w:val="32"/>
          <w:szCs w:val="32"/>
          <w:lang w:val="en-US" w:eastAsia="zh-CN" w:bidi="ar-SA"/>
        </w:rPr>
        <w:t>386.00</w:t>
      </w:r>
      <w:r>
        <w:rPr>
          <w:rFonts w:hint="eastAsia" w:ascii="仿宋_GB2312" w:hAnsi="仿宋_GB2312" w:eastAsia="仿宋_GB2312" w:cs="仿宋_GB2312"/>
          <w:sz w:val="32"/>
          <w:szCs w:val="32"/>
        </w:rPr>
        <w:t>万元</w:t>
      </w:r>
    </w:p>
    <w:p w14:paraId="63999908">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衔接资金</w:t>
      </w:r>
      <w:r>
        <w:rPr>
          <w:rFonts w:hint="eastAsia" w:ascii="仿宋_GB2312" w:hAnsi="仿宋_GB2312" w:eastAsia="仿宋_GB2312" w:cs="仿宋_GB2312"/>
          <w:color w:val="000000"/>
          <w:sz w:val="32"/>
          <w:szCs w:val="32"/>
        </w:rPr>
        <w:t>项目绩效目标设定情况。</w:t>
      </w:r>
    </w:p>
    <w:p w14:paraId="18EDBC5F">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w:t>
      </w:r>
      <w:r>
        <w:rPr>
          <w:rFonts w:hint="eastAsia" w:ascii="仿宋_GB2312" w:eastAsia="仿宋_GB2312" w:cstheme="minorBidi"/>
          <w:kern w:val="2"/>
          <w:sz w:val="32"/>
          <w:szCs w:val="32"/>
          <w:lang w:val="en-US" w:eastAsia="zh-CN" w:bidi="ar-SA"/>
        </w:rPr>
        <w:t>局</w:t>
      </w:r>
      <w:r>
        <w:rPr>
          <w:rFonts w:hint="eastAsia" w:ascii="仿宋_GB2312" w:eastAsia="仿宋_GB2312" w:hAnsiTheme="minorHAnsi" w:cstheme="minorBidi"/>
          <w:kern w:val="2"/>
          <w:sz w:val="32"/>
          <w:szCs w:val="32"/>
          <w:lang w:val="en-US" w:eastAsia="zh-CN" w:bidi="ar-SA"/>
        </w:rPr>
        <w:t>根据项目</w:t>
      </w:r>
      <w:r>
        <w:rPr>
          <w:rFonts w:hint="eastAsia" w:ascii="仿宋_GB2312" w:eastAsia="仿宋_GB2312" w:cstheme="minorBidi"/>
          <w:kern w:val="2"/>
          <w:sz w:val="32"/>
          <w:szCs w:val="32"/>
          <w:lang w:val="en-US" w:eastAsia="zh-CN" w:bidi="ar-SA"/>
        </w:rPr>
        <w:t>类别</w:t>
      </w:r>
      <w:r>
        <w:rPr>
          <w:rFonts w:hint="eastAsia" w:ascii="仿宋_GB2312" w:eastAsia="仿宋_GB2312" w:hAnsiTheme="minorHAnsi" w:cstheme="minorBidi"/>
          <w:kern w:val="2"/>
          <w:sz w:val="32"/>
          <w:szCs w:val="32"/>
          <w:lang w:val="en-US" w:eastAsia="zh-CN" w:bidi="ar-SA"/>
        </w:rPr>
        <w:t>设定</w:t>
      </w:r>
      <w:r>
        <w:rPr>
          <w:rFonts w:hint="eastAsia" w:ascii="仿宋_GB2312" w:eastAsia="仿宋_GB2312" w:cstheme="minorBidi"/>
          <w:kern w:val="2"/>
          <w:sz w:val="32"/>
          <w:szCs w:val="32"/>
          <w:lang w:val="en-US" w:eastAsia="zh-CN" w:bidi="ar-SA"/>
        </w:rPr>
        <w:t>了</w:t>
      </w:r>
      <w:r>
        <w:rPr>
          <w:rFonts w:hint="eastAsia" w:ascii="仿宋_GB2312" w:eastAsia="仿宋_GB2312" w:hAnsiTheme="minorHAnsi" w:cstheme="minorBidi"/>
          <w:kern w:val="2"/>
          <w:sz w:val="32"/>
          <w:szCs w:val="32"/>
          <w:lang w:val="en-US" w:eastAsia="zh-CN" w:bidi="ar-SA"/>
        </w:rPr>
        <w:t>绩效目标，分别设定了数量指标、质量指标、时效指标、社会效益指标、可持续影响指标、服务对象满意度指标</w:t>
      </w:r>
      <w:r>
        <w:rPr>
          <w:rFonts w:hint="eastAsia" w:ascii="仿宋_GB2312" w:eastAsia="仿宋_GB2312" w:cstheme="minorBidi"/>
          <w:kern w:val="2"/>
          <w:sz w:val="32"/>
          <w:szCs w:val="32"/>
          <w:lang w:val="en-US" w:eastAsia="zh-CN" w:bidi="ar-SA"/>
        </w:rPr>
        <w:t>等指标</w:t>
      </w:r>
      <w:r>
        <w:rPr>
          <w:rFonts w:hint="eastAsia" w:ascii="仿宋_GB2312" w:eastAsia="仿宋_GB2312" w:hAnsiTheme="minorHAnsi" w:cstheme="minorBidi"/>
          <w:kern w:val="2"/>
          <w:sz w:val="32"/>
          <w:szCs w:val="32"/>
          <w:lang w:val="en-US" w:eastAsia="zh-CN" w:bidi="ar-SA"/>
        </w:rPr>
        <w:t>。</w:t>
      </w:r>
    </w:p>
    <w:p w14:paraId="58A27A1D">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二、绩效自评工作开展情况</w:t>
      </w:r>
    </w:p>
    <w:p w14:paraId="36D7564C">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项目采取自评方式，结合上级下达的项目支出绩效评价指标体系，对申报内容、实施情况、资金兑现、社会效益等完成情况开展自评，对项目建设所在地随机抽取群众调查满意度等。</w:t>
      </w:r>
    </w:p>
    <w:p w14:paraId="700D5BC9">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三、绩效目标自评完成情况分析</w:t>
      </w:r>
    </w:p>
    <w:p w14:paraId="041EF94E">
      <w:pPr>
        <w:keepNext w:val="0"/>
        <w:keepLines w:val="0"/>
        <w:pageBreakBefore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color w:val="000000"/>
          <w:sz w:val="32"/>
          <w:szCs w:val="32"/>
        </w:rPr>
        <w:t>（一）资金投入情况分析</w:t>
      </w:r>
    </w:p>
    <w:p w14:paraId="005AD6E7">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Chars="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1．项目资金到位情况分析</w:t>
      </w:r>
    </w:p>
    <w:p w14:paraId="73369CCD">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hAnsiTheme="minorHAnsi" w:cstheme="minorBidi"/>
          <w:kern w:val="2"/>
          <w:sz w:val="32"/>
          <w:szCs w:val="32"/>
          <w:lang w:val="en-US" w:eastAsia="zh-CN" w:bidi="ar-SA"/>
        </w:rPr>
        <w:t>茂县农村安全饮水提升改造项目资金386.00</w:t>
      </w:r>
      <w:r>
        <w:rPr>
          <w:rFonts w:hint="eastAsia" w:ascii="仿宋_GB2312" w:hAnsi="仿宋_GB2312" w:eastAsia="仿宋_GB2312" w:cs="仿宋_GB2312"/>
          <w:sz w:val="32"/>
          <w:szCs w:val="32"/>
        </w:rPr>
        <w:t>万元，资金</w:t>
      </w:r>
      <w:r>
        <w:rPr>
          <w:rFonts w:hint="eastAsia" w:ascii="仿宋_GB2312" w:hAnsi="仿宋_GB2312" w:eastAsia="仿宋_GB2312" w:cs="仿宋_GB2312"/>
          <w:sz w:val="32"/>
          <w:szCs w:val="32"/>
          <w:lang w:eastAsia="zh-CN"/>
        </w:rPr>
        <w:t>全部及时到位</w:t>
      </w:r>
      <w:r>
        <w:rPr>
          <w:rFonts w:hint="eastAsia" w:ascii="仿宋_GB2312" w:hAnsi="仿宋_GB2312" w:eastAsia="仿宋_GB2312" w:cs="仿宋_GB2312"/>
          <w:sz w:val="32"/>
          <w:szCs w:val="32"/>
        </w:rPr>
        <w:t>，资金到位与资金计划持平，到位率100%</w:t>
      </w:r>
      <w:r>
        <w:rPr>
          <w:rFonts w:hint="eastAsia" w:ascii="仿宋_GB2312" w:hAnsi="仿宋_GB2312" w:eastAsia="仿宋_GB2312" w:cs="仿宋_GB2312"/>
          <w:sz w:val="32"/>
          <w:szCs w:val="32"/>
          <w:lang w:eastAsia="zh-CN"/>
        </w:rPr>
        <w:t>。</w:t>
      </w:r>
    </w:p>
    <w:p w14:paraId="5243B2FA">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项目资金执行情况分析</w:t>
      </w:r>
    </w:p>
    <w:p w14:paraId="47B51FB7">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项目资金主要用于</w:t>
      </w:r>
      <w:r>
        <w:rPr>
          <w:rFonts w:hint="eastAsia" w:ascii="仿宋_GB2312" w:hAnsi="仿宋_GB2312" w:eastAsia="仿宋_GB2312" w:cs="仿宋_GB2312"/>
          <w:sz w:val="32"/>
          <w:szCs w:val="32"/>
          <w:lang w:val="en-US" w:eastAsia="zh-CN"/>
        </w:rPr>
        <w:t>7个镇20个村的农村饮水提升改造</w:t>
      </w:r>
      <w:r>
        <w:rPr>
          <w:rFonts w:hint="eastAsia" w:ascii="仿宋_GB2312" w:hAnsi="仿宋_GB2312" w:eastAsia="仿宋_GB2312" w:cs="仿宋_GB2312"/>
          <w:sz w:val="32"/>
          <w:szCs w:val="32"/>
          <w:lang w:eastAsia="zh-CN"/>
        </w:rPr>
        <w:t>。项目资金按照项目进度完成支付，结余资金退回财政，</w:t>
      </w:r>
      <w:r>
        <w:rPr>
          <w:rFonts w:hint="eastAsia" w:ascii="仿宋_GB2312" w:hAnsi="仿宋_GB2312" w:eastAsia="仿宋_GB2312" w:cs="仿宋_GB2312"/>
          <w:sz w:val="32"/>
          <w:szCs w:val="32"/>
        </w:rPr>
        <w:t>项目支付依据合规合法，资金支付与预算相符。</w:t>
      </w:r>
    </w:p>
    <w:p w14:paraId="4BBED6B8">
      <w:pPr>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项目资金管理情况分析</w:t>
      </w:r>
    </w:p>
    <w:p w14:paraId="70E889DB">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项目资金由县水务局具体管理，按投资计划，对项目资金按项目单独核算实行“专款专用、专人管理”，项目资金有结余的已做退回财政处理，不挪做他用。</w:t>
      </w:r>
      <w:r>
        <w:rPr>
          <w:rFonts w:hint="eastAsia" w:ascii="仿宋_GB2312" w:hAnsi="仿宋_GB2312" w:eastAsia="仿宋_GB2312" w:cs="仿宋_GB2312"/>
          <w:sz w:val="32"/>
          <w:szCs w:val="32"/>
        </w:rPr>
        <w:t>项目实施及财务管理都严格按照相关文件规定进行严格把关审核，</w:t>
      </w:r>
      <w:r>
        <w:rPr>
          <w:rFonts w:hint="eastAsia" w:ascii="仿宋_GB2312" w:hAnsi="仿宋_GB2312" w:eastAsia="仿宋_GB2312" w:cs="仿宋_GB2312"/>
          <w:bCs/>
          <w:sz w:val="32"/>
          <w:szCs w:val="32"/>
          <w:highlight w:val="none"/>
          <w:lang w:eastAsia="zh-CN"/>
        </w:rPr>
        <w:t>严格按照项目资金管理办法对资金进行计划申请、划拨、使用，资金使用</w:t>
      </w:r>
      <w:r>
        <w:rPr>
          <w:rFonts w:hint="eastAsia" w:ascii="仿宋_GB2312" w:hAnsi="仿宋_GB2312" w:eastAsia="仿宋_GB2312" w:cs="仿宋_GB2312"/>
          <w:sz w:val="32"/>
          <w:szCs w:val="32"/>
        </w:rPr>
        <w:t>严格执行财务管理制度、财务处理及时、会计核算规范。</w:t>
      </w:r>
    </w:p>
    <w:p w14:paraId="241A8299">
      <w:pPr>
        <w:keepNext w:val="0"/>
        <w:keepLines w:val="0"/>
        <w:pageBreakBefore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sz w:val="32"/>
          <w:szCs w:val="32"/>
        </w:rPr>
        <w:t>（二）绩效目标完成情况分析</w:t>
      </w:r>
    </w:p>
    <w:p w14:paraId="1994E7A2">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1．产出指标完成情况分析</w:t>
      </w:r>
    </w:p>
    <w:p w14:paraId="705D873D">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项目建设资金由县级统一拨款，乡镇组织实施，县水务局统一监督管理，按照要求推进完成,项目全部完成了绩效表上填报的数量、质量、时效、成本指标。</w:t>
      </w:r>
    </w:p>
    <w:p w14:paraId="6BF8B0B9">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2．效益指标完成情况分析</w:t>
      </w:r>
    </w:p>
    <w:p w14:paraId="72D540EB">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项目的实施可有效提高当地群众安全饮水保证率，防止因安全饮水保障不达标返贫、致贫的现象发生，进一步改善群众生产生活条件，促进农业生产的发展，解决制约老百姓经济发展的主要因素，加速村经济快速发展，促进群众致富增收。项目建设中有效带动当地群众参与项目建设，获取劳动报酬，促使增收。项目产生的经济效益、社会效益及减贫带贫效果都十分显著，是一项利村、利民的民心工程、德政工程。</w:t>
      </w:r>
    </w:p>
    <w:p w14:paraId="629FCB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满意度指标完成情况分析</w:t>
      </w:r>
    </w:p>
    <w:p w14:paraId="18131774">
      <w:pPr>
        <w:pStyle w:val="43"/>
        <w:pageBreakBefore w:val="0"/>
        <w:kinsoku/>
        <w:wordWrap/>
        <w:topLinePunct w:val="0"/>
        <w:bidi w:val="0"/>
        <w:spacing w:line="576" w:lineRule="exact"/>
        <w:ind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kern w:val="0"/>
          <w:sz w:val="32"/>
          <w:szCs w:val="32"/>
          <w:highlight w:val="none"/>
          <w:lang w:val="en-US" w:eastAsia="zh-CN" w:bidi="ar"/>
        </w:rPr>
        <w:t>通过项目建设，不仅解决群众生产生活中的困难，同时带动当地群众参与建设，促进群众致富增收，</w:t>
      </w:r>
      <w:r>
        <w:rPr>
          <w:rFonts w:hint="eastAsia" w:ascii="仿宋_GB2312" w:hAnsi="仿宋_GB2312" w:eastAsia="仿宋_GB2312" w:cs="仿宋_GB2312"/>
          <w:color w:val="000000"/>
          <w:sz w:val="32"/>
          <w:szCs w:val="32"/>
        </w:rPr>
        <w:t>经调查，实施项目的各村村民对所实施项目满意度均达到 9</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%以上。</w:t>
      </w:r>
    </w:p>
    <w:p w14:paraId="6D5E0533">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四、资产后续管护及运营情况</w:t>
      </w:r>
    </w:p>
    <w:p w14:paraId="7D27DF3E">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按照“谁建设、谁所有、谁受益、谁管护”的原则，工程项目竣工验收后，及时明确产权归属，落实管护主体，充分发挥受益群众的主体作用，充分调动群众参与自主管理的积极性，切实管好用好水利设施，确保工程管得好、用得久，发挥其最大效益；二是加强宣传引导，全面提升群众思想意识，强化工程后期管护运营。</w:t>
      </w:r>
    </w:p>
    <w:p w14:paraId="59454497">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p>
    <w:p w14:paraId="1F50EA6F">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p>
    <w:p w14:paraId="46E33F72">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p>
    <w:p w14:paraId="7B8557AE">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p>
    <w:p w14:paraId="0A4CDCE0">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p>
    <w:p w14:paraId="7E99C7DE">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p>
    <w:p w14:paraId="7396E960">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eastAsia="仿宋_GB2312"/>
          <w:sz w:val="32"/>
          <w:szCs w:val="32"/>
          <w:lang w:val="en-US" w:eastAsia="zh-CN"/>
        </w:rPr>
      </w:pPr>
    </w:p>
    <w:p w14:paraId="3CDE4946">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茂县水务局</w:t>
      </w:r>
    </w:p>
    <w:p w14:paraId="10E1C86E">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outlineLvl w:val="9"/>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关于茂县</w:t>
      </w:r>
      <w:r>
        <w:rPr>
          <w:rFonts w:hint="eastAsia" w:ascii="方正小标宋简体" w:hAnsi="方正小标宋简体" w:eastAsia="方正小标宋简体" w:cs="方正小标宋简体"/>
          <w:b w:val="0"/>
          <w:bCs w:val="0"/>
          <w:color w:val="000000"/>
          <w:sz w:val="44"/>
          <w:szCs w:val="44"/>
          <w:lang w:eastAsia="zh-CN"/>
        </w:rPr>
        <w:t>山洪灾害危险区责任人履职补助绩效自评</w:t>
      </w:r>
      <w:r>
        <w:rPr>
          <w:rFonts w:hint="eastAsia" w:ascii="方正小标宋简体" w:hAnsi="方正小标宋简体" w:eastAsia="方正小标宋简体" w:cs="方正小标宋简体"/>
          <w:b w:val="0"/>
          <w:bCs w:val="0"/>
          <w:color w:val="000000"/>
          <w:sz w:val="44"/>
          <w:szCs w:val="44"/>
          <w:lang w:val="en-US" w:eastAsia="zh-CN"/>
        </w:rPr>
        <w:t>报告</w:t>
      </w:r>
    </w:p>
    <w:p w14:paraId="3CABE958">
      <w:pPr>
        <w:keepNext w:val="0"/>
        <w:keepLines w:val="0"/>
        <w:pageBreakBefore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b/>
          <w:bCs/>
          <w:color w:val="000000"/>
          <w:sz w:val="32"/>
          <w:szCs w:val="32"/>
        </w:rPr>
      </w:pPr>
    </w:p>
    <w:p w14:paraId="43928400">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一、绩效目标分解下达情况</w:t>
      </w:r>
    </w:p>
    <w:p w14:paraId="7FD405AA">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衔接资金</w:t>
      </w:r>
      <w:r>
        <w:rPr>
          <w:rFonts w:hint="eastAsia" w:ascii="仿宋_GB2312" w:hAnsi="仿宋_GB2312" w:eastAsia="仿宋_GB2312" w:cs="仿宋_GB2312"/>
          <w:color w:val="000000"/>
          <w:sz w:val="32"/>
          <w:szCs w:val="32"/>
        </w:rPr>
        <w:t>下达预算及项目情况</w:t>
      </w:r>
    </w:p>
    <w:p w14:paraId="1B13ED49">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ascii="仿宋" w:hAnsi="仿宋" w:eastAsia="仿宋" w:cs="仿宋"/>
          <w:i w:val="0"/>
          <w:iCs w:val="0"/>
          <w:caps w:val="0"/>
          <w:color w:val="000000"/>
          <w:spacing w:val="0"/>
          <w:sz w:val="32"/>
          <w:szCs w:val="32"/>
          <w:shd w:val="clear" w:fill="FFFFFF"/>
        </w:rPr>
        <w:t>进一步提升</w:t>
      </w:r>
      <w:r>
        <w:rPr>
          <w:rFonts w:hint="eastAsia" w:ascii="仿宋" w:hAnsi="仿宋" w:eastAsia="仿宋" w:cs="仿宋"/>
          <w:i w:val="0"/>
          <w:iCs w:val="0"/>
          <w:caps w:val="0"/>
          <w:color w:val="000000"/>
          <w:spacing w:val="0"/>
          <w:sz w:val="32"/>
          <w:szCs w:val="32"/>
          <w:shd w:val="clear" w:fill="FFFFFF"/>
          <w:lang w:eastAsia="zh-CN"/>
        </w:rPr>
        <w:t>我县</w:t>
      </w:r>
      <w:r>
        <w:rPr>
          <w:rFonts w:ascii="仿宋" w:hAnsi="仿宋" w:eastAsia="仿宋" w:cs="仿宋"/>
          <w:i w:val="0"/>
          <w:iCs w:val="0"/>
          <w:caps w:val="0"/>
          <w:color w:val="000000"/>
          <w:spacing w:val="0"/>
          <w:sz w:val="32"/>
          <w:szCs w:val="32"/>
          <w:shd w:val="clear" w:fill="FFFFFF"/>
        </w:rPr>
        <w:t>防御能力，有效避免和减少山洪灾害造成的人员伤亡和财产损失</w:t>
      </w:r>
      <w:r>
        <w:rPr>
          <w:rFonts w:hint="eastAsia" w:ascii="仿宋" w:hAnsi="仿宋" w:eastAsia="仿宋" w:cs="仿宋"/>
          <w:i w:val="0"/>
          <w:iCs w:val="0"/>
          <w:caps w:val="0"/>
          <w:color w:val="000000"/>
          <w:spacing w:val="0"/>
          <w:sz w:val="32"/>
          <w:szCs w:val="32"/>
          <w:shd w:val="clear" w:fill="FFFFFF"/>
          <w:lang w:eastAsia="zh-CN"/>
        </w:rPr>
        <w:t>，</w:t>
      </w:r>
      <w:r>
        <w:rPr>
          <w:rFonts w:ascii="仿宋" w:hAnsi="仿宋" w:eastAsia="仿宋" w:cs="仿宋"/>
          <w:i w:val="0"/>
          <w:iCs w:val="0"/>
          <w:caps w:val="0"/>
          <w:color w:val="000000"/>
          <w:spacing w:val="0"/>
          <w:sz w:val="32"/>
          <w:szCs w:val="32"/>
          <w:shd w:val="clear" w:fill="FFFFFF"/>
        </w:rPr>
        <w:t>加强山洪灾害危险区的风险隐患排查，</w:t>
      </w:r>
      <w:r>
        <w:rPr>
          <w:rFonts w:hint="eastAsia" w:ascii="仿宋" w:hAnsi="仿宋" w:eastAsia="仿宋" w:cs="仿宋"/>
          <w:i w:val="0"/>
          <w:iCs w:val="0"/>
          <w:caps w:val="0"/>
          <w:color w:val="000000"/>
          <w:spacing w:val="0"/>
          <w:sz w:val="32"/>
          <w:szCs w:val="32"/>
          <w:shd w:val="clear" w:fill="FFFFFF"/>
          <w:lang w:eastAsia="zh-CN"/>
        </w:rPr>
        <w:t>我县</w:t>
      </w:r>
      <w:r>
        <w:rPr>
          <w:rFonts w:hint="eastAsia" w:ascii="仿宋" w:hAnsi="仿宋" w:eastAsia="仿宋" w:cs="仿宋"/>
          <w:i w:val="0"/>
          <w:iCs w:val="0"/>
          <w:caps w:val="0"/>
          <w:color w:val="000000"/>
          <w:spacing w:val="0"/>
          <w:sz w:val="32"/>
          <w:szCs w:val="32"/>
          <w:shd w:val="clear" w:fill="FFFFFF"/>
        </w:rPr>
        <w:t>聘用</w:t>
      </w:r>
      <w:r>
        <w:rPr>
          <w:rFonts w:hint="eastAsia" w:ascii="仿宋" w:hAnsi="仿宋" w:eastAsia="仿宋" w:cs="仿宋"/>
          <w:i w:val="0"/>
          <w:iCs w:val="0"/>
          <w:caps w:val="0"/>
          <w:color w:val="000000"/>
          <w:spacing w:val="0"/>
          <w:sz w:val="32"/>
          <w:szCs w:val="32"/>
          <w:shd w:val="clear" w:fill="FFFFFF"/>
          <w:lang w:val="en-US" w:eastAsia="zh-CN"/>
        </w:rPr>
        <w:t>120名</w:t>
      </w:r>
      <w:r>
        <w:rPr>
          <w:rFonts w:hint="eastAsia" w:ascii="仿宋" w:hAnsi="仿宋" w:eastAsia="仿宋" w:cs="仿宋"/>
          <w:i w:val="0"/>
          <w:iCs w:val="0"/>
          <w:caps w:val="0"/>
          <w:color w:val="000000"/>
          <w:spacing w:val="0"/>
          <w:sz w:val="32"/>
          <w:szCs w:val="32"/>
          <w:shd w:val="clear" w:fill="FFFFFF"/>
        </w:rPr>
        <w:t>山洪灾害危险区责任人</w:t>
      </w:r>
      <w:r>
        <w:rPr>
          <w:rFonts w:hint="eastAsia" w:ascii="仿宋" w:hAnsi="仿宋" w:eastAsia="仿宋" w:cs="仿宋"/>
          <w:i w:val="0"/>
          <w:iCs w:val="0"/>
          <w:caps w:val="0"/>
          <w:color w:val="000000"/>
          <w:spacing w:val="0"/>
          <w:sz w:val="32"/>
          <w:szCs w:val="32"/>
          <w:shd w:val="clear" w:fill="FFFFFF"/>
          <w:lang w:eastAsia="zh-CN"/>
        </w:rPr>
        <w:t>对</w:t>
      </w:r>
      <w:r>
        <w:rPr>
          <w:rFonts w:hint="eastAsia" w:ascii="仿宋" w:hAnsi="仿宋" w:eastAsia="仿宋" w:cs="仿宋"/>
          <w:i w:val="0"/>
          <w:iCs w:val="0"/>
          <w:caps w:val="0"/>
          <w:color w:val="000000"/>
          <w:spacing w:val="0"/>
          <w:sz w:val="32"/>
          <w:szCs w:val="32"/>
          <w:shd w:val="clear" w:fill="FFFFFF"/>
          <w:lang w:val="en-US" w:eastAsia="zh-CN"/>
        </w:rPr>
        <w:t>120</w:t>
      </w:r>
      <w:r>
        <w:rPr>
          <w:rFonts w:hint="eastAsia" w:ascii="仿宋" w:hAnsi="仿宋" w:eastAsia="仿宋" w:cs="仿宋"/>
          <w:i w:val="0"/>
          <w:iCs w:val="0"/>
          <w:caps w:val="0"/>
          <w:color w:val="000000"/>
          <w:spacing w:val="0"/>
          <w:sz w:val="32"/>
          <w:szCs w:val="32"/>
          <w:shd w:val="clear" w:fill="FFFFFF"/>
          <w:lang w:eastAsia="zh-CN"/>
        </w:rPr>
        <w:t>处</w:t>
      </w:r>
      <w:r>
        <w:rPr>
          <w:rFonts w:hint="eastAsia" w:ascii="仿宋" w:hAnsi="仿宋" w:eastAsia="仿宋" w:cs="仿宋"/>
          <w:i w:val="0"/>
          <w:iCs w:val="0"/>
          <w:caps w:val="0"/>
          <w:color w:val="000000"/>
          <w:spacing w:val="0"/>
          <w:sz w:val="32"/>
          <w:szCs w:val="32"/>
          <w:shd w:val="clear" w:fill="FFFFFF"/>
        </w:rPr>
        <w:t>山洪灾害危险区</w:t>
      </w:r>
      <w:r>
        <w:rPr>
          <w:rFonts w:hint="eastAsia" w:ascii="仿宋" w:hAnsi="仿宋" w:eastAsia="仿宋" w:cs="仿宋"/>
          <w:i w:val="0"/>
          <w:iCs w:val="0"/>
          <w:caps w:val="0"/>
          <w:color w:val="000000"/>
          <w:spacing w:val="0"/>
          <w:sz w:val="32"/>
          <w:szCs w:val="32"/>
          <w:shd w:val="clear" w:fill="FFFFFF"/>
          <w:lang w:eastAsia="zh-CN"/>
        </w:rPr>
        <w:t>开展监测工作。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涉农</w:t>
      </w:r>
      <w:r>
        <w:rPr>
          <w:rFonts w:hint="eastAsia" w:ascii="仿宋_GB2312" w:hAnsi="仿宋_GB2312" w:eastAsia="仿宋_GB2312" w:cs="仿宋_GB2312"/>
          <w:sz w:val="32"/>
          <w:szCs w:val="32"/>
          <w:lang w:eastAsia="zh-CN"/>
        </w:rPr>
        <w:t>统筹整合下达茂县</w:t>
      </w:r>
      <w:r>
        <w:rPr>
          <w:rFonts w:hint="eastAsia" w:ascii="仿宋_GB2312" w:eastAsia="仿宋_GB2312" w:cstheme="minorBidi"/>
          <w:kern w:val="2"/>
          <w:sz w:val="32"/>
          <w:szCs w:val="32"/>
          <w:lang w:val="en-US" w:eastAsia="zh-CN" w:bidi="ar-SA"/>
        </w:rPr>
        <w:t>山洪灾害危险区责任人履职补助</w:t>
      </w:r>
      <w:r>
        <w:rPr>
          <w:rFonts w:hint="eastAsia" w:ascii="仿宋_GB2312" w:eastAsia="仿宋_GB2312" w:hAnsiTheme="minorHAnsi" w:cstheme="minorBidi"/>
          <w:kern w:val="2"/>
          <w:sz w:val="32"/>
          <w:szCs w:val="32"/>
          <w:lang w:val="en-US" w:eastAsia="zh-CN" w:bidi="ar-SA"/>
        </w:rPr>
        <w:t>资金</w:t>
      </w:r>
      <w:r>
        <w:rPr>
          <w:rFonts w:hint="eastAsia" w:ascii="仿宋_GB2312" w:eastAsia="仿宋_GB2312" w:cstheme="minorBidi"/>
          <w:kern w:val="2"/>
          <w:sz w:val="32"/>
          <w:szCs w:val="32"/>
          <w:lang w:val="en-US" w:eastAsia="zh-CN" w:bidi="ar-SA"/>
        </w:rPr>
        <w:t>54.00</w:t>
      </w:r>
      <w:r>
        <w:rPr>
          <w:rFonts w:hint="eastAsia" w:ascii="仿宋_GB2312" w:hAnsi="仿宋_GB2312" w:eastAsia="仿宋_GB2312" w:cs="仿宋_GB2312"/>
          <w:sz w:val="32"/>
          <w:szCs w:val="32"/>
        </w:rPr>
        <w:t>万元。</w:t>
      </w:r>
    </w:p>
    <w:p w14:paraId="2BB4D5EC">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衔接资金</w:t>
      </w:r>
      <w:r>
        <w:rPr>
          <w:rFonts w:hint="eastAsia" w:ascii="仿宋_GB2312" w:hAnsi="仿宋_GB2312" w:eastAsia="仿宋_GB2312" w:cs="仿宋_GB2312"/>
          <w:color w:val="000000"/>
          <w:sz w:val="32"/>
          <w:szCs w:val="32"/>
        </w:rPr>
        <w:t>项目绩效目标设定情况</w:t>
      </w:r>
    </w:p>
    <w:p w14:paraId="5F99C110">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w:t>
      </w:r>
      <w:r>
        <w:rPr>
          <w:rFonts w:hint="eastAsia" w:ascii="仿宋_GB2312" w:eastAsia="仿宋_GB2312" w:cstheme="minorBidi"/>
          <w:kern w:val="2"/>
          <w:sz w:val="32"/>
          <w:szCs w:val="32"/>
          <w:lang w:val="en-US" w:eastAsia="zh-CN" w:bidi="ar-SA"/>
        </w:rPr>
        <w:t>局</w:t>
      </w:r>
      <w:r>
        <w:rPr>
          <w:rFonts w:hint="eastAsia" w:ascii="仿宋_GB2312" w:eastAsia="仿宋_GB2312" w:hAnsiTheme="minorHAnsi" w:cstheme="minorBidi"/>
          <w:kern w:val="2"/>
          <w:sz w:val="32"/>
          <w:szCs w:val="32"/>
          <w:lang w:val="en-US" w:eastAsia="zh-CN" w:bidi="ar-SA"/>
        </w:rPr>
        <w:t>根据项目</w:t>
      </w:r>
      <w:r>
        <w:rPr>
          <w:rFonts w:hint="eastAsia" w:ascii="仿宋_GB2312" w:eastAsia="仿宋_GB2312" w:cstheme="minorBidi"/>
          <w:kern w:val="2"/>
          <w:sz w:val="32"/>
          <w:szCs w:val="32"/>
          <w:lang w:val="en-US" w:eastAsia="zh-CN" w:bidi="ar-SA"/>
        </w:rPr>
        <w:t>类别</w:t>
      </w:r>
      <w:r>
        <w:rPr>
          <w:rFonts w:hint="eastAsia" w:ascii="仿宋_GB2312" w:eastAsia="仿宋_GB2312" w:hAnsiTheme="minorHAnsi" w:cstheme="minorBidi"/>
          <w:kern w:val="2"/>
          <w:sz w:val="32"/>
          <w:szCs w:val="32"/>
          <w:lang w:val="en-US" w:eastAsia="zh-CN" w:bidi="ar-SA"/>
        </w:rPr>
        <w:t>设定</w:t>
      </w:r>
      <w:r>
        <w:rPr>
          <w:rFonts w:hint="eastAsia" w:ascii="仿宋_GB2312" w:eastAsia="仿宋_GB2312" w:cstheme="minorBidi"/>
          <w:kern w:val="2"/>
          <w:sz w:val="32"/>
          <w:szCs w:val="32"/>
          <w:lang w:val="en-US" w:eastAsia="zh-CN" w:bidi="ar-SA"/>
        </w:rPr>
        <w:t>了</w:t>
      </w:r>
      <w:r>
        <w:rPr>
          <w:rFonts w:hint="eastAsia" w:ascii="仿宋_GB2312" w:eastAsia="仿宋_GB2312" w:hAnsiTheme="minorHAnsi" w:cstheme="minorBidi"/>
          <w:kern w:val="2"/>
          <w:sz w:val="32"/>
          <w:szCs w:val="32"/>
          <w:lang w:val="en-US" w:eastAsia="zh-CN" w:bidi="ar-SA"/>
        </w:rPr>
        <w:t>绩效目标，分别设定了数量指标、质量指标、时效指标、社会效益指标、可持续影响指标、服务对象满意度指标</w:t>
      </w:r>
      <w:r>
        <w:rPr>
          <w:rFonts w:hint="eastAsia" w:ascii="仿宋_GB2312" w:eastAsia="仿宋_GB2312" w:cstheme="minorBidi"/>
          <w:kern w:val="2"/>
          <w:sz w:val="32"/>
          <w:szCs w:val="32"/>
          <w:lang w:val="en-US" w:eastAsia="zh-CN" w:bidi="ar-SA"/>
        </w:rPr>
        <w:t>等指标</w:t>
      </w:r>
      <w:r>
        <w:rPr>
          <w:rFonts w:hint="eastAsia" w:ascii="仿宋_GB2312" w:eastAsia="仿宋_GB2312" w:hAnsiTheme="minorHAnsi" w:cstheme="minorBidi"/>
          <w:kern w:val="2"/>
          <w:sz w:val="32"/>
          <w:szCs w:val="32"/>
          <w:lang w:val="en-US" w:eastAsia="zh-CN" w:bidi="ar-SA"/>
        </w:rPr>
        <w:t>。</w:t>
      </w:r>
    </w:p>
    <w:p w14:paraId="605FC1B1">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二、绩效自评工作开展情况</w:t>
      </w:r>
    </w:p>
    <w:p w14:paraId="0F64F3DE">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项目采取自评方式，结合上级下达的项目支出绩效评价指标体系，对申报内容、实施情况、资金兑现、社会效益等完成情况开展自评，对项目建设所在地随机抽取群众调查满意度等。</w:t>
      </w:r>
    </w:p>
    <w:p w14:paraId="776F234A">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三、绩效目标自评完成情况分析</w:t>
      </w:r>
    </w:p>
    <w:p w14:paraId="32C45447">
      <w:pPr>
        <w:keepNext w:val="0"/>
        <w:keepLines w:val="0"/>
        <w:pageBreakBefore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color w:val="000000"/>
          <w:sz w:val="32"/>
          <w:szCs w:val="32"/>
        </w:rPr>
        <w:t>（一）资金投入情况分析</w:t>
      </w:r>
    </w:p>
    <w:p w14:paraId="323904DC">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Chars="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1．项目资金到位情况分析</w:t>
      </w:r>
    </w:p>
    <w:p w14:paraId="6CDF55F1">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茂县农村安全饮水提升改造项目资金54.00万元，资金全部及时到位，资金到位与资金计划持平，到位率100%。</w:t>
      </w:r>
    </w:p>
    <w:p w14:paraId="5F757DE9">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项目资金执行情况分析</w:t>
      </w:r>
    </w:p>
    <w:p w14:paraId="2A938A1A">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rPr>
        <w:t>主要用于</w:t>
      </w:r>
      <w:r>
        <w:rPr>
          <w:rFonts w:hint="eastAsia" w:ascii="仿宋_GB2312" w:eastAsia="仿宋_GB2312" w:hAnsiTheme="minorHAnsi" w:cstheme="minorBidi"/>
          <w:kern w:val="2"/>
          <w:sz w:val="32"/>
          <w:szCs w:val="32"/>
          <w:lang w:val="en-US" w:eastAsia="zh-CN" w:bidi="ar-SA"/>
        </w:rPr>
        <w:t>山洪灾害危险区责任人履职补助</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全县</w:t>
      </w:r>
      <w:r>
        <w:rPr>
          <w:rFonts w:hint="eastAsia" w:ascii="仿宋" w:hAnsi="仿宋" w:eastAsia="仿宋" w:cs="仿宋"/>
          <w:i w:val="0"/>
          <w:iCs w:val="0"/>
          <w:caps w:val="0"/>
          <w:color w:val="000000"/>
          <w:spacing w:val="0"/>
          <w:sz w:val="32"/>
          <w:szCs w:val="32"/>
          <w:shd w:val="clear" w:fill="FFFFFF"/>
          <w:lang w:val="en-US" w:eastAsia="zh-CN"/>
        </w:rPr>
        <w:t>120</w:t>
      </w:r>
      <w:r>
        <w:rPr>
          <w:rFonts w:hint="eastAsia" w:ascii="仿宋" w:hAnsi="仿宋" w:eastAsia="仿宋" w:cs="仿宋"/>
          <w:i w:val="0"/>
          <w:iCs w:val="0"/>
          <w:caps w:val="0"/>
          <w:color w:val="000000"/>
          <w:spacing w:val="0"/>
          <w:sz w:val="32"/>
          <w:szCs w:val="32"/>
          <w:shd w:val="clear" w:fill="FFFFFF"/>
          <w:lang w:eastAsia="zh-CN"/>
        </w:rPr>
        <w:t>处</w:t>
      </w:r>
      <w:r>
        <w:rPr>
          <w:rFonts w:hint="eastAsia" w:ascii="仿宋" w:hAnsi="仿宋" w:eastAsia="仿宋" w:cs="仿宋"/>
          <w:i w:val="0"/>
          <w:iCs w:val="0"/>
          <w:caps w:val="0"/>
          <w:color w:val="000000"/>
          <w:spacing w:val="0"/>
          <w:sz w:val="32"/>
          <w:szCs w:val="32"/>
          <w:shd w:val="clear" w:fill="FFFFFF"/>
        </w:rPr>
        <w:t>山洪灾害危险区</w:t>
      </w:r>
      <w:r>
        <w:rPr>
          <w:rFonts w:hint="eastAsia" w:ascii="仿宋" w:hAnsi="仿宋" w:eastAsia="仿宋" w:cs="仿宋"/>
          <w:i w:val="0"/>
          <w:iCs w:val="0"/>
          <w:caps w:val="0"/>
          <w:color w:val="000000"/>
          <w:spacing w:val="0"/>
          <w:sz w:val="32"/>
          <w:szCs w:val="32"/>
          <w:shd w:val="clear" w:fill="FFFFFF"/>
          <w:lang w:eastAsia="zh-CN"/>
        </w:rPr>
        <w:t>的监测工作。</w:t>
      </w:r>
      <w:r>
        <w:rPr>
          <w:rFonts w:hint="eastAsia" w:ascii="仿宋_GB2312" w:hAnsi="仿宋_GB2312" w:eastAsia="仿宋_GB2312" w:cs="仿宋_GB2312"/>
          <w:sz w:val="32"/>
          <w:szCs w:val="32"/>
        </w:rPr>
        <w:t>项目支付依据合规合法，资金支付与预算相符。</w:t>
      </w:r>
    </w:p>
    <w:p w14:paraId="332677F2">
      <w:pPr>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项目资金管理情况分析</w:t>
      </w:r>
    </w:p>
    <w:p w14:paraId="4B96442E">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由县水务局具体管理，按投资计划，对项目资金按项目单独核算实行“专款专用、专人管理”，项目资金如有结余的做退回财政处理，不挪做他用。项目实施及财务管理都严格按照相关文件规定进行严格把关审核，严格按照项目资金管理办法对资金进行计划申请、划拨、使用，资金使用严格执行财务管理制度、财务处理及时、会计核算规范。</w:t>
      </w:r>
    </w:p>
    <w:p w14:paraId="5889F480">
      <w:pPr>
        <w:keepNext w:val="0"/>
        <w:keepLines w:val="0"/>
        <w:pageBreakBefore w:val="0"/>
        <w:kinsoku/>
        <w:wordWrap/>
        <w:overflowPunct/>
        <w:topLinePunct w:val="0"/>
        <w:autoSpaceDE/>
        <w:autoSpaceDN/>
        <w:bidi w:val="0"/>
        <w:adjustRightInd/>
        <w:snapToGrid/>
        <w:spacing w:line="576" w:lineRule="exact"/>
        <w:ind w:leftChars="0"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sz w:val="32"/>
          <w:szCs w:val="32"/>
        </w:rPr>
        <w:t>（二）绩效目标完成情况分析</w:t>
      </w:r>
    </w:p>
    <w:p w14:paraId="2675E54E">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1．产出指标完成情况分析</w:t>
      </w:r>
    </w:p>
    <w:p w14:paraId="5D295B46">
      <w:pPr>
        <w:keepNext w:val="0"/>
        <w:keepLines w:val="0"/>
        <w:pageBreakBefore w:val="0"/>
        <w:widowControl w:val="0"/>
        <w:tabs>
          <w:tab w:val="left" w:pos="7491"/>
        </w:tabs>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县水务局</w:t>
      </w:r>
      <w:r>
        <w:rPr>
          <w:rFonts w:hint="eastAsia" w:ascii="仿宋_GB2312" w:hAnsi="仿宋_GB2312" w:eastAsia="仿宋_GB2312" w:cs="仿宋_GB2312"/>
          <w:sz w:val="32"/>
          <w:szCs w:val="32"/>
        </w:rPr>
        <w:t>统一监督管理，</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照</w:t>
      </w:r>
      <w:r>
        <w:rPr>
          <w:rFonts w:hint="eastAsia" w:ascii="仿宋_GB2312" w:hAnsi="仿宋_GB2312" w:eastAsia="仿宋_GB2312" w:cs="仿宋_GB2312"/>
          <w:sz w:val="32"/>
          <w:szCs w:val="32"/>
          <w:lang w:eastAsia="zh-CN"/>
        </w:rPr>
        <w:t>要求推进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确保在时间节点内保质保量完成项目建设任务。</w:t>
      </w:r>
    </w:p>
    <w:p w14:paraId="5C946F20">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2．效益指标完成情况分析</w:t>
      </w:r>
    </w:p>
    <w:p w14:paraId="275E2BAB">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项目的实施</w:t>
      </w:r>
      <w:r>
        <w:rPr>
          <w:rFonts w:ascii="仿宋" w:hAnsi="仿宋" w:eastAsia="仿宋" w:cs="仿宋"/>
          <w:i w:val="0"/>
          <w:iCs w:val="0"/>
          <w:caps w:val="0"/>
          <w:color w:val="000000"/>
          <w:spacing w:val="0"/>
          <w:sz w:val="32"/>
          <w:szCs w:val="32"/>
          <w:shd w:val="clear" w:fill="FFFFFF"/>
        </w:rPr>
        <w:t>进一步提升</w:t>
      </w:r>
      <w:r>
        <w:rPr>
          <w:rFonts w:hint="eastAsia" w:ascii="仿宋" w:hAnsi="仿宋" w:eastAsia="仿宋" w:cs="仿宋"/>
          <w:i w:val="0"/>
          <w:iCs w:val="0"/>
          <w:caps w:val="0"/>
          <w:color w:val="000000"/>
          <w:spacing w:val="0"/>
          <w:sz w:val="32"/>
          <w:szCs w:val="32"/>
          <w:shd w:val="clear" w:fill="FFFFFF"/>
          <w:lang w:eastAsia="zh-CN"/>
        </w:rPr>
        <w:t>我县</w:t>
      </w:r>
      <w:r>
        <w:rPr>
          <w:rFonts w:ascii="仿宋" w:hAnsi="仿宋" w:eastAsia="仿宋" w:cs="仿宋"/>
          <w:i w:val="0"/>
          <w:iCs w:val="0"/>
          <w:caps w:val="0"/>
          <w:color w:val="000000"/>
          <w:spacing w:val="0"/>
          <w:sz w:val="32"/>
          <w:szCs w:val="32"/>
          <w:shd w:val="clear" w:fill="FFFFFF"/>
        </w:rPr>
        <w:t>防御能力，有效避免和减少山洪灾害造成的人员伤亡和财产损失</w:t>
      </w:r>
      <w:r>
        <w:rPr>
          <w:rFonts w:hint="eastAsia" w:ascii="仿宋" w:hAnsi="仿宋" w:eastAsia="仿宋" w:cs="仿宋"/>
          <w:i w:val="0"/>
          <w:iCs w:val="0"/>
          <w:caps w:val="0"/>
          <w:color w:val="000000"/>
          <w:spacing w:val="0"/>
          <w:sz w:val="32"/>
          <w:szCs w:val="32"/>
          <w:shd w:val="clear" w:fill="FFFFFF"/>
          <w:lang w:eastAsia="zh-CN"/>
        </w:rPr>
        <w:t>，</w:t>
      </w:r>
      <w:r>
        <w:rPr>
          <w:rFonts w:ascii="仿宋" w:hAnsi="仿宋" w:eastAsia="仿宋" w:cs="仿宋"/>
          <w:i w:val="0"/>
          <w:iCs w:val="0"/>
          <w:caps w:val="0"/>
          <w:color w:val="000000"/>
          <w:spacing w:val="0"/>
          <w:sz w:val="32"/>
          <w:szCs w:val="32"/>
          <w:shd w:val="clear" w:fill="FFFFFF"/>
        </w:rPr>
        <w:t>加强山洪灾害危险区的风险隐患排查</w:t>
      </w:r>
      <w:r>
        <w:rPr>
          <w:rFonts w:hint="eastAsia" w:ascii="仿宋_GB2312" w:hAnsi="仿宋_GB2312" w:eastAsia="仿宋_GB2312" w:cs="仿宋_GB2312"/>
          <w:kern w:val="0"/>
          <w:sz w:val="32"/>
          <w:szCs w:val="32"/>
          <w:lang w:eastAsia="zh-CN"/>
        </w:rPr>
        <w:t>。项目推进中有效带动当地群众参与项目建设，获取劳动报酬，促使增收。项目产生的其经济效益、社会效益及减贫带贫效果都十分显著，是一项利村、利民的民心工程、德政工程。</w:t>
      </w:r>
    </w:p>
    <w:p w14:paraId="2906FCF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满意度指标完成情况分析</w:t>
      </w:r>
    </w:p>
    <w:p w14:paraId="725AE1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Cs/>
          <w:kern w:val="0"/>
          <w:sz w:val="32"/>
          <w:szCs w:val="32"/>
          <w:highlight w:val="none"/>
          <w:lang w:val="en-US" w:eastAsia="zh-CN" w:bidi="ar"/>
        </w:rPr>
      </w:pPr>
      <w:r>
        <w:rPr>
          <w:rFonts w:hint="eastAsia" w:ascii="仿宋_GB2312" w:hAnsi="仿宋_GB2312" w:eastAsia="仿宋_GB2312" w:cs="仿宋_GB2312"/>
          <w:bCs/>
          <w:kern w:val="0"/>
          <w:sz w:val="32"/>
          <w:szCs w:val="32"/>
          <w:highlight w:val="none"/>
          <w:lang w:val="en-US" w:eastAsia="zh-CN" w:bidi="ar"/>
        </w:rPr>
        <w:t>通过项目投入，不仅解决群众生产生活中的困难，同时通过项目带动当地群众参与建设，促进群众致富增收，进一步提升群众的参与感、获得感、幸福感。</w:t>
      </w:r>
    </w:p>
    <w:p w14:paraId="212E7244">
      <w:pPr>
        <w:keepNext w:val="0"/>
        <w:keepLines w:val="0"/>
        <w:pageBreakBefore w:val="0"/>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四、资产后续管护及运营情况</w:t>
      </w:r>
    </w:p>
    <w:p w14:paraId="497C7788">
      <w:pPr>
        <w:pStyle w:val="5"/>
        <w:pageBreakBefore w:val="0"/>
        <w:kinsoku/>
        <w:wordWrap/>
        <w:topLinePunct w:val="0"/>
        <w:bidi w:val="0"/>
        <w:spacing w:line="576" w:lineRule="exact"/>
        <w:ind w:leftChars="0"/>
        <w:rPr>
          <w:rFonts w:hint="eastAsia" w:ascii="仿宋" w:hAnsi="仿宋" w:eastAsia="仿宋" w:cs="仿宋"/>
          <w:sz w:val="32"/>
          <w:szCs w:val="32"/>
        </w:rPr>
      </w:pPr>
      <w:r>
        <w:rPr>
          <w:rFonts w:hint="eastAsia" w:ascii="仿宋_GB2312" w:hAnsi="仿宋_GB2312" w:eastAsia="仿宋_GB2312" w:cs="仿宋_GB2312"/>
          <w:kern w:val="0"/>
          <w:sz w:val="32"/>
          <w:szCs w:val="32"/>
          <w:lang w:val="en-US" w:eastAsia="zh-CN" w:bidi="ar"/>
        </w:rPr>
        <w:t>充分发挥受益群众的主体作用，充分调动群众参与自主管理的积极性，提高我县山洪灾害预警预报能力和广大人民群众防灾减灾意识，最大限度保障人民群众生命财产安全。</w:t>
      </w:r>
    </w:p>
    <w:p w14:paraId="60DA63A6">
      <w:pPr>
        <w:pageBreakBefore w:val="0"/>
        <w:kinsoku/>
        <w:wordWrap/>
        <w:topLinePunct w:val="0"/>
        <w:bidi w:val="0"/>
        <w:spacing w:line="576" w:lineRule="exact"/>
        <w:ind w:leftChars="0"/>
        <w:rPr>
          <w:rStyle w:val="39"/>
          <w:rFonts w:hint="eastAsia" w:ascii="黑体" w:hAnsi="黑体" w:eastAsia="黑体"/>
          <w:b w:val="0"/>
          <w:color w:val="auto"/>
          <w:highlight w:val="none"/>
        </w:rPr>
      </w:pPr>
      <w:bookmarkStart w:id="78" w:name="_Toc21200"/>
      <w:bookmarkStart w:id="79" w:name="_Toc111208512"/>
      <w:bookmarkStart w:id="80" w:name="_Toc79163635"/>
      <w:bookmarkStart w:id="81" w:name="_Toc79163885"/>
      <w:r>
        <w:rPr>
          <w:rStyle w:val="39"/>
          <w:rFonts w:hint="eastAsia" w:ascii="黑体" w:hAnsi="黑体" w:eastAsia="黑体"/>
          <w:b w:val="0"/>
          <w:color w:val="auto"/>
          <w:highlight w:val="none"/>
        </w:rPr>
        <w:br w:type="page"/>
      </w: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9"/>
          <w:rFonts w:hint="eastAsia" w:ascii="黑体" w:hAnsi="黑体" w:eastAsia="黑体"/>
          <w:b w:val="0"/>
          <w:color w:val="auto"/>
          <w:highlight w:val="none"/>
        </w:rPr>
        <w:t>第五部分 附表</w:t>
      </w:r>
      <w:bookmarkEnd w:id="78"/>
      <w:bookmarkEnd w:id="79"/>
      <w:bookmarkEnd w:id="80"/>
      <w:bookmarkEnd w:id="81"/>
    </w:p>
    <w:p w14:paraId="39407B2D">
      <w:pPr>
        <w:pStyle w:val="3"/>
        <w:ind w:firstLine="640" w:firstLineChars="200"/>
        <w:rPr>
          <w:rFonts w:hint="eastAsia" w:ascii="仿宋" w:hAnsi="仿宋" w:eastAsia="仿宋" w:cs="仿宋"/>
          <w:b w:val="0"/>
          <w:bCs/>
          <w:color w:val="000000"/>
        </w:rPr>
      </w:pPr>
      <w:bookmarkStart w:id="82" w:name="_Toc16431"/>
      <w:r>
        <w:rPr>
          <w:rFonts w:hint="eastAsia" w:ascii="仿宋" w:hAnsi="仿宋" w:eastAsia="仿宋" w:cs="仿宋"/>
          <w:b w:val="0"/>
          <w:bCs/>
          <w:color w:val="000000"/>
        </w:rPr>
        <w:t>一、收入支出决算总表</w:t>
      </w:r>
      <w:bookmarkEnd w:id="82"/>
    </w:p>
    <w:p w14:paraId="2B7DC4AC">
      <w:pPr>
        <w:pStyle w:val="3"/>
        <w:ind w:firstLine="640" w:firstLineChars="200"/>
        <w:rPr>
          <w:rFonts w:hint="eastAsia" w:ascii="仿宋" w:hAnsi="仿宋" w:eastAsia="仿宋" w:cs="仿宋"/>
          <w:b w:val="0"/>
          <w:bCs/>
          <w:color w:val="000000"/>
        </w:rPr>
      </w:pPr>
      <w:bookmarkStart w:id="83" w:name="_Toc25389"/>
      <w:r>
        <w:rPr>
          <w:rFonts w:hint="eastAsia" w:ascii="仿宋" w:hAnsi="仿宋" w:eastAsia="仿宋" w:cs="仿宋"/>
          <w:b w:val="0"/>
          <w:bCs/>
          <w:color w:val="000000"/>
        </w:rPr>
        <w:t>二、收入决算表</w:t>
      </w:r>
      <w:bookmarkEnd w:id="83"/>
    </w:p>
    <w:p w14:paraId="7858E927">
      <w:pPr>
        <w:pStyle w:val="3"/>
        <w:ind w:firstLine="640" w:firstLineChars="200"/>
        <w:rPr>
          <w:rFonts w:hint="eastAsia" w:ascii="仿宋" w:hAnsi="仿宋" w:eastAsia="仿宋" w:cs="仿宋"/>
          <w:b w:val="0"/>
          <w:bCs/>
          <w:color w:val="000000"/>
        </w:rPr>
      </w:pPr>
      <w:bookmarkStart w:id="84" w:name="_Toc10450"/>
      <w:r>
        <w:rPr>
          <w:rFonts w:hint="eastAsia" w:ascii="仿宋" w:hAnsi="仿宋" w:eastAsia="仿宋" w:cs="仿宋"/>
          <w:b w:val="0"/>
          <w:bCs/>
          <w:color w:val="000000"/>
        </w:rPr>
        <w:t>三、支出决算表</w:t>
      </w:r>
      <w:bookmarkEnd w:id="84"/>
    </w:p>
    <w:p w14:paraId="31EC7FA5">
      <w:pPr>
        <w:pStyle w:val="3"/>
        <w:ind w:firstLine="640" w:firstLineChars="200"/>
        <w:rPr>
          <w:rFonts w:hint="eastAsia" w:ascii="仿宋" w:hAnsi="仿宋" w:eastAsia="仿宋" w:cs="仿宋"/>
          <w:b w:val="0"/>
          <w:bCs/>
          <w:color w:val="000000"/>
        </w:rPr>
      </w:pPr>
      <w:bookmarkStart w:id="85" w:name="_Toc15415"/>
      <w:r>
        <w:rPr>
          <w:rFonts w:hint="eastAsia" w:ascii="仿宋" w:hAnsi="仿宋" w:eastAsia="仿宋" w:cs="仿宋"/>
          <w:b w:val="0"/>
          <w:bCs/>
          <w:color w:val="000000"/>
        </w:rPr>
        <w:t>四、财政拨款收入支出决算总表</w:t>
      </w:r>
      <w:bookmarkEnd w:id="85"/>
    </w:p>
    <w:p w14:paraId="4A2F30BB">
      <w:pPr>
        <w:pStyle w:val="3"/>
        <w:ind w:firstLine="640" w:firstLineChars="200"/>
        <w:rPr>
          <w:rFonts w:hint="eastAsia" w:ascii="仿宋" w:hAnsi="仿宋" w:eastAsia="仿宋" w:cs="仿宋"/>
          <w:b w:val="0"/>
          <w:bCs/>
          <w:color w:val="000000"/>
        </w:rPr>
      </w:pPr>
      <w:bookmarkStart w:id="86" w:name="_Toc17530"/>
      <w:r>
        <w:rPr>
          <w:rFonts w:hint="eastAsia" w:ascii="仿宋" w:hAnsi="仿宋" w:eastAsia="仿宋" w:cs="仿宋"/>
          <w:b w:val="0"/>
          <w:bCs/>
          <w:color w:val="000000"/>
        </w:rPr>
        <w:t>五、财政拨款支出决算明细表</w:t>
      </w:r>
      <w:bookmarkEnd w:id="86"/>
    </w:p>
    <w:p w14:paraId="712C880D">
      <w:pPr>
        <w:pStyle w:val="3"/>
        <w:ind w:firstLine="640" w:firstLineChars="200"/>
        <w:rPr>
          <w:rFonts w:hint="eastAsia" w:ascii="仿宋" w:hAnsi="仿宋" w:eastAsia="仿宋" w:cs="仿宋"/>
          <w:b w:val="0"/>
          <w:bCs/>
          <w:color w:val="000000"/>
        </w:rPr>
      </w:pPr>
      <w:bookmarkStart w:id="87" w:name="_Toc22032"/>
      <w:r>
        <w:rPr>
          <w:rFonts w:hint="eastAsia" w:ascii="仿宋" w:hAnsi="仿宋" w:eastAsia="仿宋" w:cs="仿宋"/>
          <w:b w:val="0"/>
          <w:bCs/>
          <w:color w:val="000000"/>
        </w:rPr>
        <w:t>六、一般公共预算财政拨款支出决算表</w:t>
      </w:r>
      <w:bookmarkEnd w:id="87"/>
    </w:p>
    <w:p w14:paraId="51429EF5">
      <w:pPr>
        <w:pStyle w:val="3"/>
        <w:ind w:firstLine="640" w:firstLineChars="200"/>
        <w:rPr>
          <w:rFonts w:hint="eastAsia" w:ascii="仿宋" w:hAnsi="仿宋" w:eastAsia="仿宋" w:cs="仿宋"/>
          <w:b w:val="0"/>
          <w:bCs/>
          <w:color w:val="000000"/>
        </w:rPr>
      </w:pPr>
      <w:bookmarkStart w:id="88" w:name="_Toc3364"/>
      <w:r>
        <w:rPr>
          <w:rFonts w:hint="eastAsia" w:ascii="仿宋" w:hAnsi="仿宋" w:eastAsia="仿宋" w:cs="仿宋"/>
          <w:b w:val="0"/>
          <w:bCs/>
          <w:color w:val="000000"/>
        </w:rPr>
        <w:t>七、一般公共预算财政拨款支出决算明细表</w:t>
      </w:r>
      <w:bookmarkEnd w:id="88"/>
    </w:p>
    <w:p w14:paraId="672B9B4D">
      <w:pPr>
        <w:pStyle w:val="3"/>
        <w:ind w:firstLine="640" w:firstLineChars="200"/>
        <w:rPr>
          <w:rFonts w:hint="eastAsia" w:ascii="仿宋" w:hAnsi="仿宋" w:eastAsia="仿宋" w:cs="仿宋"/>
          <w:b w:val="0"/>
          <w:bCs/>
          <w:color w:val="000000"/>
        </w:rPr>
      </w:pPr>
      <w:bookmarkStart w:id="89" w:name="_Toc9110"/>
      <w:r>
        <w:rPr>
          <w:rFonts w:hint="eastAsia" w:ascii="仿宋" w:hAnsi="仿宋" w:eastAsia="仿宋" w:cs="仿宋"/>
          <w:b w:val="0"/>
          <w:bCs/>
          <w:color w:val="000000"/>
        </w:rPr>
        <w:t>八、一般公共预算财政拨款基本支出决算表</w:t>
      </w:r>
      <w:bookmarkEnd w:id="89"/>
    </w:p>
    <w:p w14:paraId="2002A273">
      <w:pPr>
        <w:pStyle w:val="3"/>
        <w:ind w:firstLine="640" w:firstLineChars="200"/>
        <w:rPr>
          <w:rFonts w:hint="eastAsia" w:ascii="仿宋" w:hAnsi="仿宋" w:eastAsia="仿宋" w:cs="仿宋"/>
          <w:b w:val="0"/>
          <w:bCs/>
          <w:color w:val="000000"/>
        </w:rPr>
      </w:pPr>
      <w:bookmarkStart w:id="90" w:name="_Toc28582"/>
      <w:r>
        <w:rPr>
          <w:rFonts w:hint="eastAsia" w:ascii="仿宋" w:hAnsi="仿宋" w:eastAsia="仿宋" w:cs="仿宋"/>
          <w:b w:val="0"/>
          <w:bCs/>
          <w:color w:val="000000"/>
        </w:rPr>
        <w:t>九、一般公共预算财政拨款项目支出决算表</w:t>
      </w:r>
      <w:bookmarkEnd w:id="90"/>
    </w:p>
    <w:p w14:paraId="0A36D281">
      <w:pPr>
        <w:pStyle w:val="3"/>
        <w:ind w:firstLine="640" w:firstLineChars="200"/>
        <w:rPr>
          <w:rFonts w:hint="eastAsia" w:ascii="仿宋" w:hAnsi="仿宋" w:eastAsia="仿宋" w:cs="仿宋"/>
          <w:b w:val="0"/>
          <w:bCs/>
          <w:color w:val="000000"/>
        </w:rPr>
      </w:pPr>
      <w:bookmarkStart w:id="91" w:name="_Toc22001"/>
      <w:r>
        <w:rPr>
          <w:rFonts w:hint="eastAsia" w:ascii="仿宋" w:hAnsi="仿宋" w:eastAsia="仿宋" w:cs="仿宋"/>
          <w:b w:val="0"/>
          <w:bCs/>
          <w:color w:val="000000"/>
        </w:rPr>
        <w:t>十、政府性基金预算财政拨款收入支出决算表</w:t>
      </w:r>
      <w:bookmarkEnd w:id="91"/>
    </w:p>
    <w:p w14:paraId="0BD12BAB">
      <w:pPr>
        <w:pStyle w:val="3"/>
        <w:ind w:firstLine="640" w:firstLineChars="200"/>
        <w:rPr>
          <w:rFonts w:hint="eastAsia" w:ascii="仿宋" w:hAnsi="仿宋" w:eastAsia="仿宋" w:cs="仿宋"/>
          <w:b w:val="0"/>
          <w:bCs/>
          <w:color w:val="000000"/>
        </w:rPr>
      </w:pPr>
      <w:bookmarkStart w:id="92" w:name="_Toc6538"/>
      <w:r>
        <w:rPr>
          <w:rFonts w:hint="eastAsia" w:ascii="仿宋" w:hAnsi="仿宋" w:eastAsia="仿宋" w:cs="仿宋"/>
          <w:b w:val="0"/>
          <w:bCs/>
          <w:color w:val="000000"/>
        </w:rPr>
        <w:t>十一、国有资本经营预算财政拨款收入支出决算表</w:t>
      </w:r>
      <w:bookmarkEnd w:id="92"/>
    </w:p>
    <w:p w14:paraId="124CF2DF">
      <w:pPr>
        <w:pStyle w:val="3"/>
        <w:ind w:firstLine="640" w:firstLineChars="200"/>
        <w:rPr>
          <w:rFonts w:hint="eastAsia" w:ascii="仿宋" w:hAnsi="仿宋" w:eastAsia="仿宋" w:cs="仿宋"/>
          <w:b w:val="0"/>
          <w:bCs/>
          <w:color w:val="000000"/>
        </w:rPr>
      </w:pPr>
      <w:bookmarkStart w:id="93" w:name="_Toc10625"/>
      <w:r>
        <w:rPr>
          <w:rFonts w:hint="eastAsia" w:ascii="仿宋" w:hAnsi="仿宋" w:eastAsia="仿宋" w:cs="仿宋"/>
          <w:b w:val="0"/>
          <w:bCs/>
          <w:color w:val="000000"/>
        </w:rPr>
        <w:t>十二、国有资本经营预算财政拨款支出决算表</w:t>
      </w:r>
      <w:bookmarkEnd w:id="93"/>
    </w:p>
    <w:p w14:paraId="39A925A5">
      <w:pPr>
        <w:pStyle w:val="3"/>
        <w:ind w:firstLine="640" w:firstLineChars="200"/>
        <w:rPr>
          <w:rFonts w:hint="eastAsia" w:ascii="仿宋" w:hAnsi="仿宋" w:eastAsia="仿宋" w:cs="仿宋"/>
          <w:b w:val="0"/>
          <w:bCs/>
          <w:color w:val="000000"/>
        </w:rPr>
      </w:pPr>
      <w:bookmarkStart w:id="94" w:name="_Toc28356"/>
      <w:r>
        <w:rPr>
          <w:rFonts w:hint="eastAsia" w:ascii="仿宋" w:hAnsi="仿宋" w:eastAsia="仿宋" w:cs="仿宋"/>
          <w:b w:val="0"/>
          <w:bCs/>
          <w:color w:val="000000"/>
        </w:rPr>
        <w:t>十三、财政拨款“三公”经费支出决算表</w:t>
      </w:r>
      <w:bookmarkEnd w:id="94"/>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85EE84-518C-4B1B-BBF5-A2F9BB5755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1090BB-5522-46CD-9FB4-2929458F86C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8AF9CCE-56CC-4E7F-816A-3A3CA9F7978B}"/>
  </w:font>
  <w:font w:name="仿宋">
    <w:panose1 w:val="02010609060101010101"/>
    <w:charset w:val="86"/>
    <w:family w:val="modern"/>
    <w:pitch w:val="default"/>
    <w:sig w:usb0="800002BF" w:usb1="38CF7CFA" w:usb2="00000016" w:usb3="00000000" w:csb0="00040001" w:csb1="00000000"/>
    <w:embedRegular r:id="rId4" w:fontKey="{BDEFE079-1222-40DF-BCF8-1125A01B4518}"/>
  </w:font>
  <w:font w:name="方正小标宋简体">
    <w:panose1 w:val="03000509000000000000"/>
    <w:charset w:val="86"/>
    <w:family w:val="auto"/>
    <w:pitch w:val="default"/>
    <w:sig w:usb0="00000001" w:usb1="080E0000" w:usb2="00000000" w:usb3="00000000" w:csb0="00040000" w:csb1="00000000"/>
    <w:embedRegular r:id="rId5" w:fontKey="{A6910250-E3C0-4403-9353-7179CD831DFE}"/>
  </w:font>
  <w:font w:name="思源黑体 CN Normal">
    <w:altName w:val="黑体"/>
    <w:panose1 w:val="020B0400000000000000"/>
    <w:charset w:val="86"/>
    <w:family w:val="auto"/>
    <w:pitch w:val="default"/>
    <w:sig w:usb0="00000000" w:usb1="00000000" w:usb2="00000016" w:usb3="00000000" w:csb0="60060107" w:csb1="00000000"/>
    <w:embedRegular r:id="rId6" w:fontKey="{2FCB2EEC-CA2B-4264-B7D8-EBFDAD434F18}"/>
  </w:font>
  <w:font w:name="楷体">
    <w:panose1 w:val="02010609060101010101"/>
    <w:charset w:val="86"/>
    <w:family w:val="auto"/>
    <w:pitch w:val="default"/>
    <w:sig w:usb0="800002BF" w:usb1="38CF7CFA" w:usb2="00000016" w:usb3="00000000" w:csb0="00040001" w:csb1="00000000"/>
    <w:embedRegular r:id="rId7" w:fontKey="{23A73E55-5F46-42B6-9246-66A1B79DDEF9}"/>
  </w:font>
  <w:font w:name="楷体_GB2312">
    <w:panose1 w:val="02010609030101010101"/>
    <w:charset w:val="86"/>
    <w:family w:val="auto"/>
    <w:pitch w:val="default"/>
    <w:sig w:usb0="00000001" w:usb1="080E0000" w:usb2="00000000" w:usb3="00000000" w:csb0="00040000" w:csb1="00000000"/>
    <w:embedRegular r:id="rId8" w:fontKey="{1A076582-3C0F-4652-937F-1467418E927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9A47C"/>
    <w:multiLevelType w:val="singleLevel"/>
    <w:tmpl w:val="CDC9A47C"/>
    <w:lvl w:ilvl="0" w:tentative="0">
      <w:start w:val="1"/>
      <w:numFmt w:val="decimal"/>
      <w:lvlText w:val="%1."/>
      <w:lvlJc w:val="left"/>
      <w:pPr>
        <w:tabs>
          <w:tab w:val="left" w:pos="312"/>
        </w:tabs>
      </w:pPr>
    </w:lvl>
  </w:abstractNum>
  <w:abstractNum w:abstractNumId="1">
    <w:nsid w:val="CEDFF86A"/>
    <w:multiLevelType w:val="singleLevel"/>
    <w:tmpl w:val="CEDFF86A"/>
    <w:lvl w:ilvl="0" w:tentative="0">
      <w:start w:val="4"/>
      <w:numFmt w:val="chineseCounting"/>
      <w:suff w:val="space"/>
      <w:lvlText w:val="第%1部分"/>
      <w:lvlJc w:val="left"/>
      <w:rPr>
        <w:rFonts w:hint="eastAsia"/>
      </w:rPr>
    </w:lvl>
  </w:abstractNum>
  <w:abstractNum w:abstractNumId="2">
    <w:nsid w:val="CF092B84"/>
    <w:multiLevelType w:val="singleLevel"/>
    <w:tmpl w:val="CF092B84"/>
    <w:lvl w:ilvl="0" w:tentative="0">
      <w:start w:val="4"/>
      <w:numFmt w:val="chineseCounting"/>
      <w:suff w:val="nothing"/>
      <w:lvlText w:val="%1、"/>
      <w:lvlJc w:val="left"/>
      <w:rPr>
        <w:rFonts w:hint="eastAsia"/>
      </w:rPr>
    </w:lvl>
  </w:abstractNum>
  <w:abstractNum w:abstractNumId="3">
    <w:nsid w:val="0053208E"/>
    <w:multiLevelType w:val="singleLevel"/>
    <w:tmpl w:val="0053208E"/>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0870"/>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06B2F"/>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685"/>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91903"/>
    <w:rsid w:val="012F3CEB"/>
    <w:rsid w:val="01B354EA"/>
    <w:rsid w:val="01CF32DE"/>
    <w:rsid w:val="01D74DB7"/>
    <w:rsid w:val="01D86637"/>
    <w:rsid w:val="01F04616"/>
    <w:rsid w:val="02111B48"/>
    <w:rsid w:val="037A757D"/>
    <w:rsid w:val="03F359AA"/>
    <w:rsid w:val="043A3897"/>
    <w:rsid w:val="044A699F"/>
    <w:rsid w:val="045647CC"/>
    <w:rsid w:val="0463543B"/>
    <w:rsid w:val="04892435"/>
    <w:rsid w:val="048D6B52"/>
    <w:rsid w:val="04A56E6E"/>
    <w:rsid w:val="04D45254"/>
    <w:rsid w:val="04D550AF"/>
    <w:rsid w:val="051A6F96"/>
    <w:rsid w:val="055C132D"/>
    <w:rsid w:val="05C25E8C"/>
    <w:rsid w:val="06951176"/>
    <w:rsid w:val="07001BE1"/>
    <w:rsid w:val="07267DE7"/>
    <w:rsid w:val="088F55D5"/>
    <w:rsid w:val="089C4B49"/>
    <w:rsid w:val="08C950B6"/>
    <w:rsid w:val="09081517"/>
    <w:rsid w:val="091B747D"/>
    <w:rsid w:val="092E626A"/>
    <w:rsid w:val="09A572B6"/>
    <w:rsid w:val="0A19737C"/>
    <w:rsid w:val="0A6A0048"/>
    <w:rsid w:val="0B5B6ECA"/>
    <w:rsid w:val="0B7218AA"/>
    <w:rsid w:val="0B99373B"/>
    <w:rsid w:val="0BA37CB5"/>
    <w:rsid w:val="0C680125"/>
    <w:rsid w:val="0D0429D6"/>
    <w:rsid w:val="0D093B48"/>
    <w:rsid w:val="0D322E51"/>
    <w:rsid w:val="0D6C338E"/>
    <w:rsid w:val="0DB37F58"/>
    <w:rsid w:val="0DB742A8"/>
    <w:rsid w:val="0E6D2010"/>
    <w:rsid w:val="0EC00B7E"/>
    <w:rsid w:val="0F5E6610"/>
    <w:rsid w:val="0FB52B86"/>
    <w:rsid w:val="0FDB629D"/>
    <w:rsid w:val="0FFD0B0D"/>
    <w:rsid w:val="102F2879"/>
    <w:rsid w:val="103747CF"/>
    <w:rsid w:val="103F4D68"/>
    <w:rsid w:val="10C055FF"/>
    <w:rsid w:val="10C90718"/>
    <w:rsid w:val="116A6D7C"/>
    <w:rsid w:val="11761AF6"/>
    <w:rsid w:val="11851C0B"/>
    <w:rsid w:val="1189484A"/>
    <w:rsid w:val="11D56DF6"/>
    <w:rsid w:val="11ED6591"/>
    <w:rsid w:val="11F85D8C"/>
    <w:rsid w:val="13367661"/>
    <w:rsid w:val="136F089E"/>
    <w:rsid w:val="138D6FE5"/>
    <w:rsid w:val="13D81ACD"/>
    <w:rsid w:val="13E2194D"/>
    <w:rsid w:val="14D728AA"/>
    <w:rsid w:val="158B6F91"/>
    <w:rsid w:val="15F1786F"/>
    <w:rsid w:val="1665477F"/>
    <w:rsid w:val="16676753"/>
    <w:rsid w:val="16BB723D"/>
    <w:rsid w:val="16BD44F8"/>
    <w:rsid w:val="17283764"/>
    <w:rsid w:val="17BC7656"/>
    <w:rsid w:val="17EA348C"/>
    <w:rsid w:val="1840212F"/>
    <w:rsid w:val="184656CF"/>
    <w:rsid w:val="18A95B7D"/>
    <w:rsid w:val="193C261A"/>
    <w:rsid w:val="196260A3"/>
    <w:rsid w:val="19934117"/>
    <w:rsid w:val="19943114"/>
    <w:rsid w:val="19DE22C0"/>
    <w:rsid w:val="1A1F5FA3"/>
    <w:rsid w:val="1AB026BC"/>
    <w:rsid w:val="1ABB32B6"/>
    <w:rsid w:val="1B787B60"/>
    <w:rsid w:val="1BF70747"/>
    <w:rsid w:val="1C06153F"/>
    <w:rsid w:val="1C986C96"/>
    <w:rsid w:val="1D73275B"/>
    <w:rsid w:val="1D7371C3"/>
    <w:rsid w:val="1D7E1D16"/>
    <w:rsid w:val="1DDC2BB3"/>
    <w:rsid w:val="1E34479D"/>
    <w:rsid w:val="1E881296"/>
    <w:rsid w:val="1EF81F78"/>
    <w:rsid w:val="1F047ACB"/>
    <w:rsid w:val="1F620905"/>
    <w:rsid w:val="1FD12B34"/>
    <w:rsid w:val="201A6AB0"/>
    <w:rsid w:val="203B66A0"/>
    <w:rsid w:val="206D278F"/>
    <w:rsid w:val="211A679A"/>
    <w:rsid w:val="21253DA0"/>
    <w:rsid w:val="21A94BCD"/>
    <w:rsid w:val="21CC16EF"/>
    <w:rsid w:val="21E1137E"/>
    <w:rsid w:val="227710FC"/>
    <w:rsid w:val="22857975"/>
    <w:rsid w:val="231F61B9"/>
    <w:rsid w:val="237613B4"/>
    <w:rsid w:val="23844B7E"/>
    <w:rsid w:val="23902475"/>
    <w:rsid w:val="23FA0B3C"/>
    <w:rsid w:val="240371BF"/>
    <w:rsid w:val="2435534E"/>
    <w:rsid w:val="244017F7"/>
    <w:rsid w:val="24534F10"/>
    <w:rsid w:val="246D6944"/>
    <w:rsid w:val="24DF6C66"/>
    <w:rsid w:val="253D03DB"/>
    <w:rsid w:val="253F66D1"/>
    <w:rsid w:val="25481F49"/>
    <w:rsid w:val="2557798A"/>
    <w:rsid w:val="25A20B86"/>
    <w:rsid w:val="25B1070F"/>
    <w:rsid w:val="25BC6564"/>
    <w:rsid w:val="25DD571A"/>
    <w:rsid w:val="26181471"/>
    <w:rsid w:val="264F6618"/>
    <w:rsid w:val="265C1D1F"/>
    <w:rsid w:val="26BB36DB"/>
    <w:rsid w:val="271C5A93"/>
    <w:rsid w:val="276F1834"/>
    <w:rsid w:val="27B459F9"/>
    <w:rsid w:val="27C51E91"/>
    <w:rsid w:val="280173B2"/>
    <w:rsid w:val="28513369"/>
    <w:rsid w:val="28BF6D42"/>
    <w:rsid w:val="28C822A0"/>
    <w:rsid w:val="292E058E"/>
    <w:rsid w:val="296B7A4B"/>
    <w:rsid w:val="29FD04D3"/>
    <w:rsid w:val="2C1E1BB4"/>
    <w:rsid w:val="2CAE1BBE"/>
    <w:rsid w:val="2CCF04B2"/>
    <w:rsid w:val="2DD03F58"/>
    <w:rsid w:val="2DF079DB"/>
    <w:rsid w:val="2E1D3A94"/>
    <w:rsid w:val="2E4C04E0"/>
    <w:rsid w:val="2E67588F"/>
    <w:rsid w:val="2EAD2496"/>
    <w:rsid w:val="2F181A45"/>
    <w:rsid w:val="2F772A1B"/>
    <w:rsid w:val="2F803D16"/>
    <w:rsid w:val="2FE45810"/>
    <w:rsid w:val="2FF22B1D"/>
    <w:rsid w:val="301B0160"/>
    <w:rsid w:val="30CB71E3"/>
    <w:rsid w:val="30E36C85"/>
    <w:rsid w:val="31810DA9"/>
    <w:rsid w:val="318A49A8"/>
    <w:rsid w:val="31903F88"/>
    <w:rsid w:val="319F7F4E"/>
    <w:rsid w:val="31B72CAD"/>
    <w:rsid w:val="32004B5E"/>
    <w:rsid w:val="323A1C2F"/>
    <w:rsid w:val="329448A6"/>
    <w:rsid w:val="32F45598"/>
    <w:rsid w:val="33204932"/>
    <w:rsid w:val="33447C07"/>
    <w:rsid w:val="345D075E"/>
    <w:rsid w:val="35244754"/>
    <w:rsid w:val="356A22B3"/>
    <w:rsid w:val="361C390A"/>
    <w:rsid w:val="364D41F6"/>
    <w:rsid w:val="36FD0156"/>
    <w:rsid w:val="377423C6"/>
    <w:rsid w:val="377D52D1"/>
    <w:rsid w:val="38207F4E"/>
    <w:rsid w:val="38A74264"/>
    <w:rsid w:val="38F8371D"/>
    <w:rsid w:val="39226F5F"/>
    <w:rsid w:val="39902098"/>
    <w:rsid w:val="39FD5F33"/>
    <w:rsid w:val="3A3A0F35"/>
    <w:rsid w:val="3A4E1148"/>
    <w:rsid w:val="3AF15A98"/>
    <w:rsid w:val="3C72082F"/>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0C902B3"/>
    <w:rsid w:val="40EA7211"/>
    <w:rsid w:val="4119235A"/>
    <w:rsid w:val="41677310"/>
    <w:rsid w:val="422C2C46"/>
    <w:rsid w:val="424874E4"/>
    <w:rsid w:val="4251506E"/>
    <w:rsid w:val="42B75819"/>
    <w:rsid w:val="42B921BE"/>
    <w:rsid w:val="43684120"/>
    <w:rsid w:val="437E249E"/>
    <w:rsid w:val="444F07DA"/>
    <w:rsid w:val="44555013"/>
    <w:rsid w:val="44601E28"/>
    <w:rsid w:val="447D4085"/>
    <w:rsid w:val="46256F3D"/>
    <w:rsid w:val="472E4611"/>
    <w:rsid w:val="475E72DC"/>
    <w:rsid w:val="47F514AF"/>
    <w:rsid w:val="4839282C"/>
    <w:rsid w:val="48FD75BD"/>
    <w:rsid w:val="49243056"/>
    <w:rsid w:val="492D2C82"/>
    <w:rsid w:val="494C4A06"/>
    <w:rsid w:val="49553535"/>
    <w:rsid w:val="4984098A"/>
    <w:rsid w:val="49D919B4"/>
    <w:rsid w:val="4A113668"/>
    <w:rsid w:val="4A143551"/>
    <w:rsid w:val="4A1D0657"/>
    <w:rsid w:val="4A277A41"/>
    <w:rsid w:val="4A517356"/>
    <w:rsid w:val="4A745623"/>
    <w:rsid w:val="4ACC1D22"/>
    <w:rsid w:val="4B187071"/>
    <w:rsid w:val="4B2B2DCB"/>
    <w:rsid w:val="4B6A5BC2"/>
    <w:rsid w:val="4B6D2BD3"/>
    <w:rsid w:val="4C517FEB"/>
    <w:rsid w:val="4C7555EC"/>
    <w:rsid w:val="4D135D42"/>
    <w:rsid w:val="4D846266"/>
    <w:rsid w:val="4D8D78A2"/>
    <w:rsid w:val="4DF04A24"/>
    <w:rsid w:val="4DF123A8"/>
    <w:rsid w:val="4E290981"/>
    <w:rsid w:val="4E832A53"/>
    <w:rsid w:val="4E9E44C2"/>
    <w:rsid w:val="4EBC1A30"/>
    <w:rsid w:val="4F395B30"/>
    <w:rsid w:val="4F3B530F"/>
    <w:rsid w:val="4F6F7A34"/>
    <w:rsid w:val="4FD74194"/>
    <w:rsid w:val="4FDA49F5"/>
    <w:rsid w:val="500362FC"/>
    <w:rsid w:val="50AE413E"/>
    <w:rsid w:val="51074E73"/>
    <w:rsid w:val="51480290"/>
    <w:rsid w:val="51822E36"/>
    <w:rsid w:val="51E1640E"/>
    <w:rsid w:val="51EE42CA"/>
    <w:rsid w:val="52195E38"/>
    <w:rsid w:val="52302EF2"/>
    <w:rsid w:val="524810E8"/>
    <w:rsid w:val="526E48F5"/>
    <w:rsid w:val="52ED6284"/>
    <w:rsid w:val="5322283B"/>
    <w:rsid w:val="532B0C13"/>
    <w:rsid w:val="533D4F08"/>
    <w:rsid w:val="53440794"/>
    <w:rsid w:val="53BA6F17"/>
    <w:rsid w:val="53BE2B80"/>
    <w:rsid w:val="54136CE6"/>
    <w:rsid w:val="541505F1"/>
    <w:rsid w:val="542D2749"/>
    <w:rsid w:val="54643F33"/>
    <w:rsid w:val="54992FD0"/>
    <w:rsid w:val="549E3DBD"/>
    <w:rsid w:val="55872E29"/>
    <w:rsid w:val="558A46C7"/>
    <w:rsid w:val="55923320"/>
    <w:rsid w:val="55BF4A88"/>
    <w:rsid w:val="56D0674C"/>
    <w:rsid w:val="57D23F06"/>
    <w:rsid w:val="58724F80"/>
    <w:rsid w:val="58A14202"/>
    <w:rsid w:val="58BA52C3"/>
    <w:rsid w:val="58BC5D23"/>
    <w:rsid w:val="59177DCC"/>
    <w:rsid w:val="59E040FC"/>
    <w:rsid w:val="59E11CD3"/>
    <w:rsid w:val="5A857BDE"/>
    <w:rsid w:val="5B2A4567"/>
    <w:rsid w:val="5BE202EA"/>
    <w:rsid w:val="5CAD7C22"/>
    <w:rsid w:val="5CE95B0C"/>
    <w:rsid w:val="5CFA7F1D"/>
    <w:rsid w:val="5D577E65"/>
    <w:rsid w:val="5D635F29"/>
    <w:rsid w:val="5D6F6B2F"/>
    <w:rsid w:val="5E2506F8"/>
    <w:rsid w:val="5E416ED2"/>
    <w:rsid w:val="5E5E7F75"/>
    <w:rsid w:val="5EA316D6"/>
    <w:rsid w:val="5ECE1AC8"/>
    <w:rsid w:val="5EF556B7"/>
    <w:rsid w:val="5F3A07D2"/>
    <w:rsid w:val="5F593A88"/>
    <w:rsid w:val="5FBD7D92"/>
    <w:rsid w:val="5FE356D0"/>
    <w:rsid w:val="5FF901AE"/>
    <w:rsid w:val="60651EAC"/>
    <w:rsid w:val="60BB3927"/>
    <w:rsid w:val="611A47B9"/>
    <w:rsid w:val="611F2AAF"/>
    <w:rsid w:val="6200749A"/>
    <w:rsid w:val="620F0B35"/>
    <w:rsid w:val="6240022D"/>
    <w:rsid w:val="62A42EE2"/>
    <w:rsid w:val="62BE686B"/>
    <w:rsid w:val="62E719FB"/>
    <w:rsid w:val="62F14F12"/>
    <w:rsid w:val="630D013F"/>
    <w:rsid w:val="63263A2B"/>
    <w:rsid w:val="63347FC4"/>
    <w:rsid w:val="63604CB9"/>
    <w:rsid w:val="63FE5258"/>
    <w:rsid w:val="646F42C2"/>
    <w:rsid w:val="64A36D0B"/>
    <w:rsid w:val="64C656C1"/>
    <w:rsid w:val="64F77166"/>
    <w:rsid w:val="65201386"/>
    <w:rsid w:val="652B0680"/>
    <w:rsid w:val="657F4183"/>
    <w:rsid w:val="658466A7"/>
    <w:rsid w:val="6596487B"/>
    <w:rsid w:val="65DF63C9"/>
    <w:rsid w:val="65E950BC"/>
    <w:rsid w:val="662A7F2C"/>
    <w:rsid w:val="66627873"/>
    <w:rsid w:val="66D65FFA"/>
    <w:rsid w:val="679D0FC1"/>
    <w:rsid w:val="67C24194"/>
    <w:rsid w:val="67EB36EB"/>
    <w:rsid w:val="686C42FA"/>
    <w:rsid w:val="68DA2DB6"/>
    <w:rsid w:val="69041FCF"/>
    <w:rsid w:val="69725134"/>
    <w:rsid w:val="6B4666B6"/>
    <w:rsid w:val="6B4C44A1"/>
    <w:rsid w:val="6BB306BC"/>
    <w:rsid w:val="6BFB52B2"/>
    <w:rsid w:val="6C10722E"/>
    <w:rsid w:val="6C3F7B62"/>
    <w:rsid w:val="6CC85DA9"/>
    <w:rsid w:val="6D2A5F93"/>
    <w:rsid w:val="6D715F41"/>
    <w:rsid w:val="6D8F2D6B"/>
    <w:rsid w:val="6DB91990"/>
    <w:rsid w:val="6DC31436"/>
    <w:rsid w:val="6E581F1C"/>
    <w:rsid w:val="6E6F4E2B"/>
    <w:rsid w:val="6ECB49CF"/>
    <w:rsid w:val="6ECB5A2B"/>
    <w:rsid w:val="6F4D197C"/>
    <w:rsid w:val="6F806E0F"/>
    <w:rsid w:val="70202A42"/>
    <w:rsid w:val="70CE6F39"/>
    <w:rsid w:val="70ED3F4C"/>
    <w:rsid w:val="72227D09"/>
    <w:rsid w:val="724F2AC9"/>
    <w:rsid w:val="725E1D1F"/>
    <w:rsid w:val="72853F89"/>
    <w:rsid w:val="72E476B5"/>
    <w:rsid w:val="72F22338"/>
    <w:rsid w:val="73327580"/>
    <w:rsid w:val="733572FD"/>
    <w:rsid w:val="739764D5"/>
    <w:rsid w:val="73BE3A62"/>
    <w:rsid w:val="746C7E4B"/>
    <w:rsid w:val="750E6C6B"/>
    <w:rsid w:val="755E374E"/>
    <w:rsid w:val="75884CEA"/>
    <w:rsid w:val="759255F4"/>
    <w:rsid w:val="75B310E7"/>
    <w:rsid w:val="75B318F4"/>
    <w:rsid w:val="761A4623"/>
    <w:rsid w:val="76377F56"/>
    <w:rsid w:val="764B35A7"/>
    <w:rsid w:val="769E6A57"/>
    <w:rsid w:val="77B238DE"/>
    <w:rsid w:val="7872665C"/>
    <w:rsid w:val="789F798E"/>
    <w:rsid w:val="78A4106B"/>
    <w:rsid w:val="78E178D3"/>
    <w:rsid w:val="7986325F"/>
    <w:rsid w:val="79975481"/>
    <w:rsid w:val="79B4511D"/>
    <w:rsid w:val="79F60BE5"/>
    <w:rsid w:val="7A1B4027"/>
    <w:rsid w:val="7A965738"/>
    <w:rsid w:val="7ABC1C9C"/>
    <w:rsid w:val="7B022DCE"/>
    <w:rsid w:val="7B272834"/>
    <w:rsid w:val="7B8F71DF"/>
    <w:rsid w:val="7C1568F9"/>
    <w:rsid w:val="7C913580"/>
    <w:rsid w:val="7CB2612E"/>
    <w:rsid w:val="7CB26E8E"/>
    <w:rsid w:val="7CC25607"/>
    <w:rsid w:val="7DE859ED"/>
    <w:rsid w:val="7E4C610E"/>
    <w:rsid w:val="7ECA59B1"/>
    <w:rsid w:val="7EFB363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2"/>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7"/>
    <w:semiHidden/>
    <w:unhideWhenUsed/>
    <w:qFormat/>
    <w:uiPriority w:val="99"/>
    <w:rPr>
      <w:sz w:val="18"/>
      <w:szCs w:val="18"/>
    </w:rPr>
  </w:style>
  <w:style w:type="paragraph" w:styleId="12">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99"/>
    <w:pPr>
      <w:widowControl/>
      <w:jc w:val="left"/>
    </w:pPr>
    <w:rPr>
      <w:rFonts w:ascii="宋体" w:hAnsi="宋体" w:cs="宋体"/>
      <w:kern w:val="0"/>
      <w:sz w:val="24"/>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next w:val="10"/>
    <w:qFormat/>
    <w:uiPriority w:val="99"/>
    <w:pPr>
      <w:adjustRightInd w:val="0"/>
      <w:spacing w:line="480" w:lineRule="atLeast"/>
      <w:textAlignment w:val="baseline"/>
    </w:pPr>
    <w:rPr>
      <w:rFonts w:hAnsi="Arial"/>
      <w:kern w:val="0"/>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1"/>
    <w:semiHidden/>
    <w:qFormat/>
    <w:uiPriority w:val="99"/>
    <w:rPr>
      <w:rFonts w:ascii="Times New Roman" w:hAnsi="Times New Roman"/>
      <w:sz w:val="18"/>
      <w:szCs w:val="18"/>
    </w:rPr>
  </w:style>
  <w:style w:type="character" w:customStyle="1" w:styleId="28">
    <w:name w:val="页眉 字符"/>
    <w:link w:val="13"/>
    <w:semiHidden/>
    <w:qFormat/>
    <w:locked/>
    <w:uiPriority w:val="99"/>
    <w:rPr>
      <w:sz w:val="18"/>
    </w:rPr>
  </w:style>
  <w:style w:type="character" w:customStyle="1" w:styleId="29">
    <w:name w:val="Footer Char"/>
    <w:basedOn w:val="21"/>
    <w:autoRedefine/>
    <w:semiHidden/>
    <w:qFormat/>
    <w:uiPriority w:val="99"/>
    <w:rPr>
      <w:rFonts w:ascii="Times New Roman" w:hAnsi="Times New Roman"/>
      <w:sz w:val="18"/>
      <w:szCs w:val="18"/>
    </w:rPr>
  </w:style>
  <w:style w:type="character" w:customStyle="1" w:styleId="30">
    <w:name w:val="页脚 字符"/>
    <w:link w:val="12"/>
    <w:autoRedefine/>
    <w:qFormat/>
    <w:locked/>
    <w:uiPriority w:val="99"/>
    <w:rPr>
      <w:sz w:val="18"/>
    </w:rPr>
  </w:style>
  <w:style w:type="character" w:customStyle="1" w:styleId="31">
    <w:name w:val="Body Text Char"/>
    <w:basedOn w:val="21"/>
    <w:semiHidden/>
    <w:qFormat/>
    <w:uiPriority w:val="99"/>
    <w:rPr>
      <w:rFonts w:ascii="Times New Roman" w:hAnsi="Times New Roman"/>
      <w:szCs w:val="24"/>
    </w:rPr>
  </w:style>
  <w:style w:type="character" w:customStyle="1" w:styleId="32">
    <w:name w:val="正文文本 字符"/>
    <w:link w:val="7"/>
    <w:qFormat/>
    <w:locked/>
    <w:uiPriority w:val="99"/>
    <w:rPr>
      <w:rFonts w:ascii="仿宋_GB2312" w:hAnsi="Times New Roman" w:eastAsia="仿宋_GB2312"/>
      <w:sz w:val="24"/>
    </w:rPr>
  </w:style>
  <w:style w:type="paragraph" w:styleId="33">
    <w:name w:val="List Paragraph"/>
    <w:basedOn w:val="1"/>
    <w:autoRedefine/>
    <w:qFormat/>
    <w:uiPriority w:val="34"/>
    <w:pPr>
      <w:ind w:firstLine="420" w:firstLineChars="200"/>
    </w:pPr>
  </w:style>
  <w:style w:type="character" w:customStyle="1" w:styleId="34">
    <w:name w:val="标题 1 字符"/>
    <w:basedOn w:val="21"/>
    <w:link w:val="2"/>
    <w:qFormat/>
    <w:uiPriority w:val="9"/>
    <w:rPr>
      <w:rFonts w:ascii="Times New Roman" w:hAnsi="Times New Roman"/>
      <w:b/>
      <w:bCs/>
      <w:kern w:val="44"/>
      <w:sz w:val="44"/>
      <w:szCs w:val="44"/>
    </w:rPr>
  </w:style>
  <w:style w:type="character" w:customStyle="1" w:styleId="35">
    <w:name w:val="标题 2 字符"/>
    <w:basedOn w:val="21"/>
    <w:link w:val="3"/>
    <w:qFormat/>
    <w:uiPriority w:val="9"/>
    <w:rPr>
      <w:rFonts w:asciiTheme="majorHAnsi" w:hAnsiTheme="majorHAnsi" w:eastAsiaTheme="majorEastAsia" w:cstheme="majorBidi"/>
      <w:b/>
      <w:bCs/>
      <w:kern w:val="2"/>
      <w:sz w:val="32"/>
      <w:szCs w:val="32"/>
    </w:rPr>
  </w:style>
  <w:style w:type="paragraph" w:customStyle="1" w:styleId="36">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1"/>
    <w:link w:val="11"/>
    <w:autoRedefine/>
    <w:semiHidden/>
    <w:qFormat/>
    <w:uiPriority w:val="99"/>
    <w:rPr>
      <w:rFonts w:ascii="Times New Roman" w:hAnsi="Times New Roman"/>
      <w:kern w:val="2"/>
      <w:sz w:val="18"/>
      <w:szCs w:val="18"/>
    </w:rPr>
  </w:style>
  <w:style w:type="character" w:customStyle="1" w:styleId="38">
    <w:name w:val="标题 3 字符"/>
    <w:basedOn w:val="21"/>
    <w:link w:val="4"/>
    <w:autoRedefine/>
    <w:qFormat/>
    <w:uiPriority w:val="9"/>
    <w:rPr>
      <w:rFonts w:ascii="Times New Roman" w:hAnsi="Times New Roman"/>
      <w:b/>
      <w:bCs/>
      <w:kern w:val="2"/>
      <w:sz w:val="32"/>
      <w:szCs w:val="32"/>
    </w:rPr>
  </w:style>
  <w:style w:type="character" w:customStyle="1" w:styleId="39">
    <w:name w:val="标题 1 Char"/>
    <w:basedOn w:val="21"/>
    <w:link w:val="2"/>
    <w:qFormat/>
    <w:uiPriority w:val="9"/>
    <w:rPr>
      <w:b/>
      <w:bCs/>
      <w:kern w:val="44"/>
      <w:sz w:val="44"/>
      <w:szCs w:val="44"/>
    </w:rPr>
  </w:style>
  <w:style w:type="paragraph" w:customStyle="1" w:styleId="40">
    <w:name w:val="3级标题"/>
    <w:basedOn w:val="1"/>
    <w:qFormat/>
    <w:uiPriority w:val="0"/>
    <w:pPr>
      <w:spacing w:line="360" w:lineRule="auto"/>
      <w:outlineLvl w:val="2"/>
    </w:pPr>
    <w:rPr>
      <w:rFonts w:ascii="黑体" w:hAnsi="黑体" w:eastAsia="黑体"/>
      <w:b/>
      <w:bCs/>
      <w:color w:val="000000" w:themeColor="text1"/>
      <w:sz w:val="28"/>
      <w:szCs w:val="28"/>
      <w14:textFill>
        <w14:solidFill>
          <w14:schemeClr w14:val="tx1"/>
        </w14:solidFill>
      </w14:textFill>
    </w:rPr>
  </w:style>
  <w:style w:type="paragraph" w:customStyle="1" w:styleId="41">
    <w:name w:val="文本1"/>
    <w:basedOn w:val="1"/>
    <w:qFormat/>
    <w:uiPriority w:val="0"/>
    <w:pPr>
      <w:adjustRightInd w:val="0"/>
      <w:snapToGrid w:val="0"/>
      <w:spacing w:line="360" w:lineRule="auto"/>
      <w:ind w:firstLine="1040" w:firstLineChars="200"/>
    </w:pPr>
    <w:rPr>
      <w:rFonts w:ascii="Times New Roman" w:hAnsi="Times New Roman" w:eastAsia="宋体" w:cs="宋体"/>
      <w:sz w:val="24"/>
      <w:szCs w:val="24"/>
    </w:rPr>
  </w:style>
  <w:style w:type="paragraph" w:customStyle="1" w:styleId="42">
    <w:name w:val="2级标题"/>
    <w:basedOn w:val="1"/>
    <w:qFormat/>
    <w:uiPriority w:val="0"/>
    <w:pPr>
      <w:spacing w:line="360" w:lineRule="auto"/>
      <w:jc w:val="left"/>
      <w:outlineLvl w:val="1"/>
    </w:pPr>
    <w:rPr>
      <w:rFonts w:ascii="黑体" w:hAnsi="黑体" w:eastAsia="黑体"/>
      <w:b/>
      <w:bCs/>
      <w:color w:val="000000" w:themeColor="text1"/>
      <w:sz w:val="30"/>
      <w:szCs w:val="30"/>
      <w14:textFill>
        <w14:solidFill>
          <w14:schemeClr w14:val="tx1"/>
        </w14:solidFill>
      </w14:textFill>
    </w:rPr>
  </w:style>
  <w:style w:type="paragraph" w:customStyle="1" w:styleId="43">
    <w:name w:val="文档正文1"/>
    <w:basedOn w:val="1"/>
    <w:qFormat/>
    <w:uiPriority w:val="99"/>
    <w:pPr>
      <w:adjustRightInd w:val="0"/>
      <w:spacing w:line="480" w:lineRule="atLeast"/>
      <w:textAlignment w:val="baseline"/>
    </w:pPr>
    <w:rPr>
      <w:rFonts w:hAnsi="Arial"/>
      <w:kern w:val="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900"/>
              <a:t>收、支决算总计变动情况图</a:t>
            </a:r>
            <a:endParaRPr lang="zh-CN" sz="9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{3848.33,3021.65}</c:f>
              <c:numCache>
                <c:formatCode>General</c:formatCode>
                <c:ptCount val="2"/>
                <c:pt idx="0">
                  <c:v>3848.33</c:v>
                </c:pt>
                <c:pt idx="1">
                  <c:v>3021.65</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6e6b1b-a5c7-4896-8b45-eb61aad265c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收入决算结构图</a:t>
            </a:r>
            <a:endParaRPr lang="en-US" sz="12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{2657.16,364.48}</c:f>
              <c:numCache>
                <c:formatCode>General</c:formatCode>
                <c:ptCount val="2"/>
                <c:pt idx="0">
                  <c:v>2657.16</c:v>
                </c:pt>
                <c:pt idx="1">
                  <c:v>364.48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支出决算结构图</a:t>
            </a:r>
            <a:endParaRPr lang="en-US" sz="12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{552.78,2468.87}</c:f>
              <c:numCache>
                <c:formatCode>General</c:formatCode>
                <c:ptCount val="2"/>
                <c:pt idx="0">
                  <c:v>552.78</c:v>
                </c:pt>
                <c:pt idx="1">
                  <c:v>2468.87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f2932d16-61fe-4e19-9081-2d4f0a0a64c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sz="1200"/>
              <a:t>财政拨款收、支决算总计变动情况</a:t>
            </a:r>
            <a:endParaRPr lang="en-US" altLang="zh-CN" sz="1200"/>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{3848.33,3021.65}</c:f>
              <c:numCache>
                <c:formatCode>General</c:formatCode>
                <c:ptCount val="2"/>
                <c:pt idx="0">
                  <c:v>3848.33</c:v>
                </c:pt>
                <c:pt idx="1">
                  <c:v>3021.65</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59487755-1466-4a80-ae4f-b996273c4387}"/>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{3407.25}</c:f>
              <c:numCache>
                <c:formatCode>General</c:formatCode>
                <c:ptCount val="1"/>
                <c:pt idx="0">
                  <c:v>3407.25</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{2657.16}</c:f>
              <c:numCache>
                <c:formatCode>General</c:formatCode>
                <c:ptCount val="1"/>
                <c:pt idx="0">
                  <c:v>2657.16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951291-93c5-49e5-9867-c8397a7c53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900"/>
              <a:t>一般公共预算财政拨款支出</a:t>
            </a:r>
            <a:endParaRPr lang="en-US" sz="9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{"社会保障和就业支出","卫生健康支出","节能环保支出","农林水支出","住房保障支出"}</c:f>
              <c:strCache>
                <c:ptCount val="5"/>
                <c:pt idx="0">
                  <c:v>社会保障和就业支出</c:v>
                </c:pt>
                <c:pt idx="1">
                  <c:v>卫生健康支出</c:v>
                </c:pt>
                <c:pt idx="2">
                  <c:v>节能环保支出</c:v>
                </c:pt>
                <c:pt idx="3">
                  <c:v>农林水支出</c:v>
                </c:pt>
                <c:pt idx="4">
                  <c:v>住房保障支出</c:v>
                </c:pt>
              </c:strCache>
            </c:strRef>
          </c:cat>
          <c:val>
            <c:numRef>
              <c:f>{86.66,40.01,267.07,2221.67,41.75}</c:f>
              <c:numCache>
                <c:formatCode>General</c:formatCode>
                <c:ptCount val="5"/>
                <c:pt idx="0">
                  <c:v>86.66</c:v>
                </c:pt>
                <c:pt idx="1">
                  <c:v>40.01</c:v>
                </c:pt>
                <c:pt idx="2">
                  <c:v>267.07</c:v>
                </c:pt>
                <c:pt idx="3">
                  <c:v>2221.67</c:v>
                </c:pt>
                <c:pt idx="4">
                  <c:v>41.75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0552e2-769c-4caa-9419-c8327308f8d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{0,12.28,0.15}</c:f>
              <c:numCache>
                <c:formatCode>General</c:formatCode>
                <c:ptCount val="3"/>
                <c:pt idx="0">
                  <c:v>0</c:v>
                </c:pt>
                <c:pt idx="1">
                  <c:v>12.28</c:v>
                </c:pt>
                <c:pt idx="2">
                  <c:v>0.15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c7f3fb-64f9-4c45-9ac8-a841c7b3b89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18027</Words>
  <Characters>19037</Characters>
  <Lines>48</Lines>
  <Paragraphs>13</Paragraphs>
  <TotalTime>23</TotalTime>
  <ScaleCrop>false</ScaleCrop>
  <LinksUpToDate>false</LinksUpToDate>
  <CharactersWithSpaces>19183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WPS_1693969678</cp:lastModifiedBy>
  <cp:lastPrinted>2021-09-26T08:39:00Z</cp:lastPrinted>
  <dcterms:modified xsi:type="dcterms:W3CDTF">2025-09-19T01:51:15Z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5F5EAE46023B41039AB8027ACF0B1765_13</vt:lpwstr>
  </property>
  <property fmtid="{D5CDD505-2E9C-101B-9397-08002B2CF9AE}" pid="4" name="KSOTemplateDocerSaveRecord">
    <vt:lpwstr>eyJoZGlkIjoiZGFlM2I1MDNhMDkyMTFhNmY0Y2QyOGQ1NjFmMTE0M2EiLCJ1c2VySWQiOiIxNTMwMTQ0MjQ5In0=</vt:lpwstr>
  </property>
</Properties>
</file>