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6C6A">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8441"/>
      <w:bookmarkStart w:id="1" w:name="_Toc15396475"/>
      <w:bookmarkStart w:id="2" w:name="_Toc15396597"/>
      <w:bookmarkStart w:id="3" w:name="_Toc15377425"/>
      <w:bookmarkStart w:id="4" w:name="_Toc15377193"/>
      <w:bookmarkStart w:id="5" w:name="_Toc15306267"/>
    </w:p>
    <w:p w14:paraId="7D73BD19">
      <w:pPr>
        <w:pStyle w:val="5"/>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14:paraId="5597C79E">
      <w:pPr>
        <w:jc w:val="both"/>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609AE7C3">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color w:val="000000" w:themeColor="text1"/>
          <w:sz w:val="44"/>
          <w:szCs w:val="44"/>
          <w14:textFill>
            <w14:solidFill>
              <w14:schemeClr w14:val="tx1"/>
            </w14:solidFill>
          </w14:textFill>
        </w:rPr>
      </w:pPr>
      <w:r>
        <w:rPr>
          <w:rFonts w:hint="eastAsia" w:ascii="黑体" w:hAnsi="黑体" w:eastAsia="黑体" w:cs="黑体"/>
          <w:b w:val="0"/>
          <w:bCs/>
          <w:color w:val="000000" w:themeColor="text1"/>
          <w:sz w:val="44"/>
          <w:szCs w:val="44"/>
          <w14:textFill>
            <w14:solidFill>
              <w14:schemeClr w14:val="tx1"/>
            </w14:solidFill>
          </w14:textFill>
        </w:rPr>
        <w:t>2024</w:t>
      </w:r>
      <w:r>
        <w:rPr>
          <w:rFonts w:ascii="黑体" w:hAnsi="黑体" w:eastAsia="黑体" w:cs="黑体"/>
          <w:color w:val="000000"/>
          <w:sz w:val="44"/>
          <w:u w:color="auto"/>
        </w:rPr>
        <w:t>年度</w:t>
      </w:r>
      <w:bookmarkEnd w:id="0"/>
      <w:bookmarkEnd w:id="1"/>
      <w:bookmarkEnd w:id="2"/>
      <w:bookmarkEnd w:id="3"/>
      <w:bookmarkEnd w:id="4"/>
    </w:p>
    <w:bookmarkEnd w:id="5"/>
    <w:p w14:paraId="604D137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color w:val="000000" w:themeColor="text1"/>
          <w:sz w:val="44"/>
          <w:szCs w:val="44"/>
          <w14:textFill>
            <w14:solidFill>
              <w14:schemeClr w14:val="tx1"/>
            </w14:solidFill>
          </w14:textFill>
        </w:rPr>
      </w:pPr>
      <w:bookmarkStart w:id="6" w:name="_Toc15378442"/>
      <w:bookmarkStart w:id="7" w:name="_Toc15396476"/>
      <w:bookmarkStart w:id="8" w:name="_Toc15377194"/>
      <w:bookmarkStart w:id="9" w:name="_Toc15396598"/>
      <w:bookmarkStart w:id="10" w:name="_Toc15377426"/>
      <w:bookmarkStart w:id="11" w:name="_Toc15306268"/>
      <w:r>
        <w:rPr>
          <w:rFonts w:hint="eastAsia" w:ascii="黑体" w:hAnsi="黑体" w:eastAsia="黑体" w:cs="黑体"/>
          <w:b w:val="0"/>
          <w:bCs/>
          <w:color w:val="000000" w:themeColor="text1"/>
          <w:sz w:val="44"/>
          <w:szCs w:val="44"/>
          <w14:textFill>
            <w14:solidFill>
              <w14:schemeClr w14:val="tx1"/>
            </w14:solidFill>
          </w14:textFill>
        </w:rPr>
        <w:t>茂县水务局（本级）</w:t>
      </w:r>
    </w:p>
    <w:p w14:paraId="6DBC95DC">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黑体" w:hAnsi="黑体" w:eastAsia="黑体" w:cs="黑体"/>
          <w:b w:val="0"/>
          <w:bCs/>
          <w:color w:val="000000" w:themeColor="text1"/>
          <w:sz w:val="44"/>
          <w:szCs w:val="44"/>
          <w:lang w:val="en-US" w:eastAsia="zh-CN"/>
          <w14:textFill>
            <w14:solidFill>
              <w14:schemeClr w14:val="tx1"/>
            </w14:solidFill>
          </w14:textFill>
        </w:rPr>
      </w:pPr>
      <w:r>
        <w:rPr>
          <w:rFonts w:ascii="黑体" w:hAnsi="黑体" w:eastAsia="黑体" w:cs="黑体"/>
          <w:color w:val="000000"/>
          <w:sz w:val="44"/>
          <w:u w:color="auto"/>
        </w:rPr>
        <w:t>单位决算</w:t>
      </w:r>
      <w:bookmarkEnd w:id="6"/>
      <w:bookmarkEnd w:id="7"/>
      <w:bookmarkEnd w:id="8"/>
      <w:bookmarkEnd w:id="9"/>
      <w:bookmarkEnd w:id="10"/>
      <w:bookmarkEnd w:id="11"/>
      <w:r>
        <w:rPr>
          <w:rFonts w:hint="eastAsia" w:ascii="黑体" w:hAnsi="黑体" w:eastAsia="黑体" w:cs="黑体"/>
          <w:color w:val="000000"/>
          <w:sz w:val="44"/>
          <w:u w:color="auto"/>
          <w:lang w:val="en-US" w:eastAsia="zh-CN"/>
        </w:rPr>
        <w:t>公开编制说明</w:t>
      </w:r>
    </w:p>
    <w:p w14:paraId="0E2C97A9">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3128AF52">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1EF872D2">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6BF74D53">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741A663E">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637D1FC6">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54DDB020">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450F9C78">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30002D04">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423E6F5F">
      <w:pPr>
        <w:pStyle w:val="5"/>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13FE0EC1">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743D9D22">
      <w:pPr>
        <w:pStyle w:val="14"/>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0992FC4D">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14:paraId="297F534D">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日</w:t>
      </w:r>
    </w:p>
    <w:p w14:paraId="49203D4D">
      <w:pPr>
        <w:pStyle w:val="14"/>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_Toc9016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第一部分 </w:t>
      </w:r>
      <w:r>
        <w:rPr>
          <w:rFonts w:hint="eastAsia" w:ascii="黑体" w:hAnsi="黑体" w:eastAsia="黑体" w:cs="黑体"/>
          <w:bCs w:val="0"/>
          <w:color w:val="000000" w:themeColor="text1"/>
          <w:sz w:val="32"/>
          <w:szCs w:val="32"/>
          <w14:textFill>
            <w14:solidFill>
              <w14:schemeClr w14:val="tx1"/>
            </w14:solidFill>
          </w14:textFill>
        </w:rPr>
        <w:t>单位</w:t>
      </w:r>
      <w:r>
        <w:rPr>
          <w:rFonts w:ascii="黑体" w:hAnsi="黑体" w:eastAsia="黑体" w:cs="黑体"/>
          <w:color w:val="000000"/>
          <w:sz w:val="32"/>
          <w:u w:color="auto"/>
        </w:rPr>
        <w:t>概况</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_Toc9016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68CC578D">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w:t>
      </w:r>
      <w:r>
        <w:rPr>
          <w:rFonts w:hint="eastAsia" w:ascii="仿宋" w:hAnsi="仿宋" w:eastAsia="仿宋" w:cs="仿宋"/>
          <w:bCs w:val="0"/>
          <w:color w:val="000000" w:themeColor="text1"/>
          <w:sz w:val="32"/>
          <w:szCs w:val="32"/>
          <w:lang w:val="en-US" w:eastAsia="zh-CN"/>
          <w14:textFill>
            <w14:solidFill>
              <w14:schemeClr w14:val="tx1"/>
            </w14:solidFill>
          </w14:textFill>
        </w:rPr>
        <w:t>主要职责</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9D3FCBB">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二、机构设置</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2AD3064">
      <w:pPr>
        <w:pStyle w:val="14"/>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_Toc9058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第二部分 </w:t>
      </w:r>
      <w:r>
        <w:rPr>
          <w:rFonts w:ascii="黑体" w:hAnsi="黑体" w:eastAsia="黑体" w:cs="黑体"/>
          <w:color w:val="000000"/>
          <w:sz w:val="32"/>
          <w:u w:color="auto"/>
        </w:rPr>
        <w:t>2024年度</w:t>
      </w:r>
      <w:r>
        <w:rPr>
          <w:rFonts w:hint="eastAsia" w:ascii="黑体" w:hAnsi="黑体" w:eastAsia="黑体" w:cs="黑体"/>
          <w:color w:val="000000" w:themeColor="text1"/>
          <w:sz w:val="32"/>
          <w:szCs w:val="32"/>
          <w:lang w:val="en-US"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决算情况说明</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_Toc9058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5775D898">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_Toc19710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_Toc19710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28B92BF">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_Toc8125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_Toc8125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F99C6CD">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_Toc28283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_Toc28283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05425E03">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_Toc19521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_Toc19521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6C145AC">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_Toc14368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五、一般公共预算财政拨款支出决算情况说明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_Toc14368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53451D8">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_Toc31578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六、一般公共预算财政拨款基本支出决算情况说明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_Toc31578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3372F60">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_Toc6614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七、“三公”经费财政拨款支出决算情况说明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_Toc6614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567BA51">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_Toc20439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八、政府性基金预算支出决算情况说明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_Toc20439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1EF486F">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_Toc23467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九、国有资本经营预算支出决算情况说明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_Toc23467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10F5F4F">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_Toc18455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十、其他重要事项的情况说明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_Toc18455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C39B0B7">
      <w:pPr>
        <w:pStyle w:val="14"/>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_Toc18122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第三部分 名词解释</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_Toc18122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11</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5185CA32">
      <w:pPr>
        <w:pStyle w:val="14"/>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_Toc25539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第四部分 附件</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_Toc25539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15</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49EB3F66">
      <w:pPr>
        <w:pStyle w:val="14"/>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_Toc21200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第五部分 附表</w:t>
      </w:r>
      <w:bookmarkStart w:id="93" w:name="_GoBack"/>
      <w:bookmarkEnd w:id="93"/>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_Toc21200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15</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1D314EC7">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_Toc16431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_Toc16431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7C5159B">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_Toc25389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_Toc25389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44CBCE1">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_Toc10450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_Toc10450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F1C1D86">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_Toc15415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_Toc15415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367FA2B">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_Toc17530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_Toc17530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E0B0EA8">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_Toc22032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_Toc22032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EF11141">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_Toc3364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七、一般公共预算财政拨款支出决算明细表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_Toc3364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81F5848">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_Toc9110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八、一般公共预算财政拨款基本支出决算表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_Toc9110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3984AF3">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_Toc28582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九、一般公共预算财政拨款项目支出决算表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_Toc28582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6DAFCA7">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_Toc22001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十、政府性基金预算财政拨款收入支出决算表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_Toc22001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A4664BE">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_Toc6538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十一、国有资本经营预算财政拨款收入支出决算表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_Toc6538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E3B3EF3">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_Toc10625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十二、国有资本经营预算财政拨款支出决算表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_Toc10625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01685675">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_Toc28356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十三、财政拨款“三公”经费支出决算表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_Toc28356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2FF81B7">
      <w:pPr>
        <w:pStyle w:val="5"/>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5A68A9FF">
      <w:pPr>
        <w:pStyle w:val="2"/>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9016"/>
      <w:bookmarkStart w:id="14" w:name="_Toc111208495"/>
    </w:p>
    <w:p w14:paraId="4038EF76">
      <w:pPr>
        <w:pStyle w:val="2"/>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76" w:lineRule="exact"/>
        <w:ind w:left="0" w:leftChars="0" w:firstLine="880" w:firstLineChars="200"/>
        <w:jc w:val="center"/>
        <w:textAlignment w:val="auto"/>
        <w:rPr>
          <w:rFonts w:hint="eastAsia"/>
        </w:rPr>
      </w:pPr>
      <w:r>
        <w:rPr>
          <w:rStyle w:val="34"/>
          <w:rFonts w:hint="eastAsia" w:ascii="黑体" w:hAnsi="黑体" w:eastAsia="黑体" w:cs="黑体"/>
          <w:b w:val="0"/>
          <w:bCs w:val="0"/>
        </w:rPr>
        <w:t>单位</w:t>
      </w:r>
      <w:r>
        <w:rPr>
          <w:rStyle w:val="34"/>
          <w:rFonts w:ascii="黑体" w:hAnsi="黑体" w:eastAsia="黑体" w:cs="黑体"/>
          <w:b w:val="0"/>
          <w:bCs w:val="0"/>
          <w:u w:color="auto"/>
        </w:rPr>
        <w:t>概况</w:t>
      </w:r>
      <w:bookmarkEnd w:id="12"/>
      <w:bookmarkEnd w:id="13"/>
      <w:bookmarkEnd w:id="14"/>
    </w:p>
    <w:p w14:paraId="3036C6A8">
      <w:pPr>
        <w:pStyle w:val="3"/>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黑体" w:hAnsi="黑体" w:eastAsia="黑体" w:cs="黑体"/>
          <w:b w:val="0"/>
          <w:bCs/>
          <w:color w:val="000000"/>
          <w:sz w:val="32"/>
          <w:szCs w:val="32"/>
        </w:rPr>
      </w:pPr>
      <w:bookmarkStart w:id="15" w:name="_Toc15377197"/>
      <w:bookmarkStart w:id="16" w:name="_Toc113981010"/>
      <w:bookmarkStart w:id="17" w:name="_Toc111208496"/>
      <w:bookmarkStart w:id="18" w:name="_Toc28564"/>
      <w:bookmarkStart w:id="19" w:name="_Toc15377204"/>
    </w:p>
    <w:p w14:paraId="24C03C62">
      <w:pPr>
        <w:pStyle w:val="3"/>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rPr>
        <w:t>一、</w:t>
      </w:r>
      <w:bookmarkEnd w:id="15"/>
      <w:bookmarkEnd w:id="16"/>
      <w:bookmarkEnd w:id="17"/>
      <w:bookmarkEnd w:id="18"/>
      <w:bookmarkStart w:id="20" w:name="_Toc15377198"/>
      <w:bookmarkStart w:id="21" w:name="_Toc15378445"/>
      <w:r>
        <w:rPr>
          <w:rFonts w:hint="eastAsia" w:ascii="黑体" w:hAnsi="黑体" w:eastAsia="黑体" w:cs="黑体"/>
          <w:b w:val="0"/>
          <w:bCs/>
          <w:color w:val="000000"/>
          <w:sz w:val="32"/>
          <w:szCs w:val="32"/>
          <w:lang w:val="en-US" w:eastAsia="zh-CN"/>
        </w:rPr>
        <w:t>主要职责</w:t>
      </w:r>
    </w:p>
    <w:bookmarkEnd w:id="20"/>
    <w:bookmarkEnd w:id="21"/>
    <w:p w14:paraId="2F4B168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1.贯彻执行国家、省、州有关水利工作的方针、政策和法律、法规，研究拟订配套适合县情的实施办法和规范性文件，并监督实施；负责保障水资源的合理开发利用，组织编制全县重要江河的流域综合规划、防洪规划等重大水利规划；拟订全县水利发展目标、发展战略以及编制中长期规划和年度计划，拟订水利工程建设有关制度并组织实施。</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统一管理全县水资源，负责生活、生产经营和生态环境用水的统筹兼顾和保障。拟订全县和跨县水中长期供求规划、水量分配方案、计划用水、节约用水规划，推动节水型社会建设工作。组织实施取水许可、水资源论证、防洪论证和水土保持论证制度。按规划发布全县水资源公报。</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3.组织编制洪水干旱灾害防治规划，承担水情、旱情监测预警，组织编制防洪抗旱应急水量调度方案，编制防御洪水抗旱调度方案。</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4.按照管理权限编制、审查全县水利基本建设项目建议书和可行性研究报告；初审、转报水利基本建设项目初步设计。负责水利设施的管理与保护，负责全县重要江河、湖泊、水库、滩涂的治理和开发，管理和负责水利工程建设与运行管理，组织实施具有控制性或跨县重要水利工程建设与运行管理，负责河道采砂的统一监督管理工作。负责全县农村饮水安全的建设与管理工作。</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5.负责防治水土流失。拟订水土保持规划并监督实施，组织实施全县水土流失的综合防治、监测预报，按照管理权限负责建设项目水土保持方案的审批、监督实施及水土保持设施的验收工作，承担重点水土保持建设项目的实施。</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6.负责重大涉水违法事件的查处和协调跨县或部门间水事纠纷，承担水政监察和水行政执法。负责水利建设工程项目的招标投标活动的监督执法。依法负责水利行业安全生产工作，组织、承担水库大坝、水电站大坝等水利工程的安全监管，组织实施水利工程建设的监督和定额管理。承担水利统计工作。</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7.拟订水利行业经济调节措施；负责编制全县水利建设项目资金计划，对水利资金进行管理、监督和内部审计。研究提出有关水利方面价格、税收、信贷、财务等经济调节建议。单位国有资产保值增值的监督和管理。</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8.负责全县水利方面的科技与外事工作，组织本县重大水利行业科学研究的技术推广。监督实施水利行业技术质量标准和规程、规范，承办水利行业对外经济、技术合作与交流等涉外事务。</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9.完成县委、县政府交办的其他任务。</w:t>
      </w:r>
    </w:p>
    <w:p w14:paraId="2CF1E803">
      <w:pPr>
        <w:pStyle w:val="3"/>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720" w:firstLineChars="200"/>
        <w:textAlignment w:val="auto"/>
        <w:rPr>
          <w:rFonts w:hint="eastAsia" w:ascii="黑体" w:hAnsi="黑体" w:eastAsia="黑体" w:cs="黑体"/>
          <w:b w:val="0"/>
          <w:bCs/>
          <w:color w:val="000000"/>
        </w:rPr>
      </w:pPr>
      <w:bookmarkStart w:id="22" w:name="_Toc22056"/>
      <w:bookmarkStart w:id="23" w:name="_Toc111208497"/>
      <w:bookmarkStart w:id="24" w:name="_Toc15377200"/>
      <w:bookmarkStart w:id="25" w:name="_Toc113981011"/>
      <w:r>
        <w:rPr>
          <w:rFonts w:hint="eastAsia" w:ascii="黑体" w:hAnsi="黑体" w:eastAsia="黑体" w:cs="黑体"/>
          <w:b w:val="0"/>
          <w:bCs/>
          <w:color w:val="000000"/>
        </w:rPr>
        <w:t>二、机构设置</w:t>
      </w:r>
      <w:bookmarkEnd w:id="22"/>
      <w:bookmarkEnd w:id="23"/>
      <w:bookmarkEnd w:id="24"/>
      <w:bookmarkEnd w:id="25"/>
    </w:p>
    <w:p w14:paraId="35A282C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茂县水务局属一级预算单位</w:t>
      </w:r>
      <w:r>
        <w:rPr>
          <w:rFonts w:hint="eastAsia" w:ascii="仿宋" w:hAnsi="仿宋" w:eastAsia="仿宋" w:cs="仿宋"/>
          <w:color w:val="000000"/>
          <w:sz w:val="32"/>
          <w:szCs w:val="32"/>
          <w:lang w:eastAsia="zh-CN"/>
        </w:rPr>
        <w:t>。</w:t>
      </w:r>
    </w:p>
    <w:p w14:paraId="5A04B536">
      <w:pPr>
        <w:widowControl/>
        <w:jc w:val="left"/>
        <w:rPr>
          <w:rFonts w:hint="eastAsia" w:ascii="思源黑体 CN Normal" w:hAnsi="思源黑体 CN Normal" w:eastAsia="思源黑体 CN Normal" w:cs="思源黑体 CN Normal"/>
          <w:b/>
          <w:bCs/>
          <w:color w:val="000000"/>
          <w:kern w:val="44"/>
          <w:sz w:val="44"/>
          <w:szCs w:val="44"/>
        </w:rPr>
      </w:pPr>
      <w:r>
        <w:rPr>
          <w:rFonts w:hint="eastAsia" w:ascii="思源黑体 CN Normal" w:hAnsi="思源黑体 CN Normal" w:eastAsia="思源黑体 CN Normal" w:cs="思源黑体 CN Normal"/>
          <w:color w:val="000000"/>
        </w:rPr>
        <w:br w:type="page"/>
      </w:r>
    </w:p>
    <w:p w14:paraId="4DE8AC96">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黑体" w:hAnsi="黑体" w:eastAsia="黑体" w:cs="黑体"/>
          <w:b w:val="0"/>
          <w:bCs w:val="0"/>
          <w:sz w:val="36"/>
          <w:szCs w:val="36"/>
        </w:rPr>
      </w:pPr>
      <w:bookmarkStart w:id="26" w:name="_Toc9058"/>
      <w:bookmarkStart w:id="27" w:name="_Toc111208498"/>
      <w:r>
        <w:rPr>
          <w:rFonts w:hint="eastAsia" w:ascii="黑体" w:hAnsi="黑体" w:eastAsia="黑体" w:cs="黑体"/>
          <w:b w:val="0"/>
          <w:bCs w:val="0"/>
          <w:sz w:val="36"/>
          <w:szCs w:val="36"/>
        </w:rPr>
        <w:t xml:space="preserve">第二部分 </w:t>
      </w:r>
      <w:r>
        <w:rPr>
          <w:rFonts w:hint="eastAsia" w:ascii="黑体" w:hAnsi="黑体" w:eastAsia="黑体" w:cs="黑体"/>
          <w:sz w:val="36"/>
          <w:szCs w:val="36"/>
          <w:u w:color="auto"/>
        </w:rPr>
        <w:t>2024年度</w:t>
      </w:r>
      <w:r>
        <w:rPr>
          <w:rFonts w:hint="eastAsia" w:ascii="黑体" w:hAnsi="黑体" w:eastAsia="黑体" w:cs="黑体"/>
          <w:b w:val="0"/>
          <w:bCs w:val="0"/>
          <w:sz w:val="36"/>
          <w:szCs w:val="36"/>
          <w:lang w:val="en-US" w:eastAsia="zh-CN"/>
        </w:rPr>
        <w:t>单位</w:t>
      </w:r>
      <w:r>
        <w:rPr>
          <w:rFonts w:hint="eastAsia" w:ascii="黑体" w:hAnsi="黑体" w:eastAsia="黑体" w:cs="黑体"/>
          <w:b w:val="0"/>
          <w:bCs w:val="0"/>
          <w:sz w:val="36"/>
          <w:szCs w:val="36"/>
        </w:rPr>
        <w:t>决算情况说明</w:t>
      </w:r>
      <w:bookmarkEnd w:id="19"/>
      <w:bookmarkEnd w:id="26"/>
      <w:bookmarkEnd w:id="27"/>
    </w:p>
    <w:p w14:paraId="778F85CC">
      <w:pPr>
        <w:pStyle w:val="3"/>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黑体" w:hAnsi="黑体" w:eastAsia="黑体" w:cs="黑体"/>
          <w:b w:val="0"/>
          <w:bCs/>
          <w:color w:val="000000"/>
          <w:sz w:val="32"/>
          <w:szCs w:val="32"/>
        </w:rPr>
      </w:pPr>
      <w:bookmarkStart w:id="28" w:name="_Toc15377205"/>
      <w:bookmarkStart w:id="29" w:name="_Toc111208499"/>
      <w:bookmarkStart w:id="30" w:name="_Toc19710"/>
      <w:r>
        <w:rPr>
          <w:rFonts w:hint="eastAsia" w:ascii="黑体" w:hAnsi="黑体" w:eastAsia="黑体" w:cs="黑体"/>
          <w:b w:val="0"/>
          <w:bCs/>
          <w:color w:val="000000"/>
          <w:sz w:val="32"/>
          <w:szCs w:val="32"/>
        </w:rPr>
        <w:t>一、收入支出决算总体情况说</w:t>
      </w:r>
      <w:bookmarkEnd w:id="28"/>
      <w:r>
        <w:rPr>
          <w:rFonts w:hint="eastAsia" w:ascii="黑体" w:hAnsi="黑体" w:eastAsia="黑体" w:cs="黑体"/>
          <w:b w:val="0"/>
          <w:bCs/>
          <w:color w:val="000000"/>
          <w:sz w:val="32"/>
          <w:szCs w:val="32"/>
        </w:rPr>
        <w:t>明</w:t>
      </w:r>
      <w:bookmarkEnd w:id="29"/>
      <w:bookmarkEnd w:id="30"/>
    </w:p>
    <w:p w14:paraId="1B46268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ascii="仿宋" w:hAnsi="仿宋" w:eastAsia="仿宋" w:cs="仿宋"/>
          <w:color w:val="000000"/>
          <w:sz w:val="32"/>
          <w:u w:color="auto"/>
        </w:rPr>
        <w:t>年度收入、支出总计均为2,605.59</w:t>
      </w:r>
      <w:r>
        <w:rPr>
          <w:rFonts w:hint="eastAsia" w:ascii="仿宋" w:hAnsi="仿宋" w:eastAsia="仿宋" w:cs="仿宋"/>
          <w:color w:val="000000"/>
          <w:sz w:val="32"/>
          <w:szCs w:val="32"/>
        </w:rPr>
        <w:t>万元。与</w:t>
      </w:r>
      <w:r>
        <w:rPr>
          <w:rFonts w:ascii="仿宋" w:hAnsi="仿宋" w:eastAsia="仿宋" w:cs="仿宋"/>
          <w:color w:val="000000"/>
          <w:sz w:val="32"/>
          <w:u w:color="auto"/>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相比，收入、支出总计各</w:t>
      </w:r>
      <w:r>
        <w:rPr>
          <w:rFonts w:ascii="仿宋" w:hAnsi="仿宋" w:eastAsia="仿宋" w:cs="仿宋"/>
          <w:color w:val="000000"/>
          <w:sz w:val="32"/>
          <w:u w:color="auto"/>
        </w:rPr>
        <w:t>减少842.31万元，下降24.4%</w:t>
      </w:r>
      <w:r>
        <w:rPr>
          <w:rFonts w:hint="eastAsia" w:ascii="仿宋" w:hAnsi="仿宋" w:eastAsia="仿宋" w:cs="仿宋"/>
          <w:color w:val="000000"/>
          <w:sz w:val="32"/>
          <w:szCs w:val="32"/>
        </w:rPr>
        <w:t>。</w:t>
      </w:r>
      <w:r>
        <w:rPr>
          <w:rFonts w:ascii="仿宋" w:hAnsi="仿宋" w:eastAsia="仿宋" w:cs="仿宋"/>
          <w:color w:val="000000"/>
          <w:sz w:val="32"/>
          <w:u w:color="auto"/>
        </w:rPr>
        <w:t>主要变动原因是</w:t>
      </w:r>
      <w:r>
        <w:rPr>
          <w:rFonts w:hint="eastAsia" w:ascii="仿宋" w:hAnsi="仿宋" w:eastAsia="仿宋" w:cs="仿宋"/>
          <w:color w:val="000000"/>
          <w:sz w:val="32"/>
          <w:u w:color="auto"/>
          <w:lang w:eastAsia="zh-CN"/>
        </w:rPr>
        <w:t>：</w:t>
      </w:r>
      <w:r>
        <w:rPr>
          <w:rFonts w:ascii="仿宋" w:hAnsi="仿宋" w:eastAsia="仿宋" w:cs="仿宋"/>
          <w:color w:val="000000"/>
          <w:sz w:val="32"/>
          <w:u w:color="auto"/>
        </w:rPr>
        <w:t>项目</w:t>
      </w:r>
      <w:r>
        <w:rPr>
          <w:rFonts w:hint="eastAsia" w:ascii="仿宋" w:hAnsi="仿宋" w:eastAsia="仿宋" w:cs="仿宋"/>
          <w:color w:val="000000"/>
          <w:sz w:val="32"/>
          <w:u w:color="auto"/>
          <w:lang w:val="en-US" w:eastAsia="zh-CN"/>
        </w:rPr>
        <w:t>资金</w:t>
      </w:r>
      <w:r>
        <w:rPr>
          <w:rFonts w:ascii="仿宋" w:hAnsi="仿宋" w:eastAsia="仿宋" w:cs="仿宋"/>
          <w:color w:val="000000"/>
          <w:sz w:val="32"/>
          <w:u w:color="auto"/>
        </w:rPr>
        <w:t xml:space="preserve">减少。 </w:t>
      </w:r>
    </w:p>
    <w:p w14:paraId="61134D0D">
      <w:pPr>
        <w:pStyle w:val="5"/>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114300" distR="114300">
            <wp:extent cx="3757930" cy="2224405"/>
            <wp:effectExtent l="4445" t="4445" r="9525" b="1905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B3D363">
      <w:pPr>
        <w:pStyle w:val="3"/>
        <w:keepNext w:val="0"/>
        <w:keepLines w:val="0"/>
        <w:pageBreakBefore w:val="0"/>
        <w:widowControl w:val="0"/>
        <w:kinsoku/>
        <w:wordWrap/>
        <w:overflowPunct/>
        <w:topLinePunct w:val="0"/>
        <w:autoSpaceDE/>
        <w:autoSpaceDN/>
        <w:bidi w:val="0"/>
        <w:adjustRightInd/>
        <w:snapToGrid/>
        <w:spacing w:beforeAutospacing="0" w:afterAutospacing="0"/>
        <w:ind w:firstLine="720" w:firstLineChars="200"/>
        <w:textAlignment w:val="auto"/>
        <w:rPr>
          <w:rFonts w:hint="eastAsia" w:ascii="黑体" w:hAnsi="黑体" w:eastAsia="黑体" w:cs="黑体"/>
          <w:bCs w:val="0"/>
          <w:color w:val="000000"/>
        </w:rPr>
      </w:pPr>
      <w:bookmarkStart w:id="31" w:name="_Toc111208500"/>
      <w:bookmarkStart w:id="32" w:name="_Toc8125"/>
      <w:bookmarkStart w:id="33" w:name="_Toc15377206"/>
      <w:r>
        <w:rPr>
          <w:rFonts w:hint="eastAsia" w:ascii="黑体" w:hAnsi="黑体" w:eastAsia="黑体" w:cs="黑体"/>
          <w:b w:val="0"/>
          <w:bCs/>
          <w:color w:val="000000"/>
        </w:rPr>
        <w:t>二、收入决算情况说明</w:t>
      </w:r>
      <w:bookmarkEnd w:id="31"/>
      <w:bookmarkEnd w:id="32"/>
      <w:bookmarkEnd w:id="33"/>
    </w:p>
    <w:p w14:paraId="7DAB409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本年收入合计</w:t>
      </w:r>
      <w:r>
        <w:rPr>
          <w:rFonts w:ascii="仿宋" w:hAnsi="仿宋" w:eastAsia="仿宋" w:cs="仿宋"/>
          <w:color w:val="000000"/>
          <w:sz w:val="32"/>
          <w:u w:color="auto"/>
        </w:rPr>
        <w:t>2,605.59万元</w:t>
      </w:r>
      <w:r>
        <w:rPr>
          <w:rFonts w:hint="eastAsia" w:ascii="仿宋" w:hAnsi="仿宋" w:eastAsia="仿宋" w:cs="仿宋"/>
          <w:color w:val="000000"/>
          <w:sz w:val="32"/>
          <w:szCs w:val="32"/>
          <w:lang w:val="en-US" w:eastAsia="zh-CN"/>
        </w:rPr>
        <w:t>，其中:一般公共预算财政拨款收入2,241.11万元，占86%；政府性基金预算财政拨款收入364.48万元，占14%</w:t>
      </w:r>
      <w:r>
        <w:rPr>
          <w:rFonts w:hint="eastAsia" w:ascii="仿宋" w:hAnsi="仿宋" w:eastAsia="仿宋" w:cs="仿宋"/>
          <w:color w:val="000000"/>
          <w:sz w:val="32"/>
          <w:szCs w:val="32"/>
        </w:rPr>
        <w:t>。</w:t>
      </w:r>
    </w:p>
    <w:p w14:paraId="6E48941D">
      <w:pPr>
        <w:pStyle w:val="17"/>
        <w:ind w:left="1060" w:hanging="640"/>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3724275" cy="1897380"/>
            <wp:effectExtent l="4445" t="5080" r="5080" b="215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96F3EB">
      <w:pPr>
        <w:pStyle w:val="3"/>
        <w:keepNext w:val="0"/>
        <w:keepLines w:val="0"/>
        <w:pageBreakBefore w:val="0"/>
        <w:widowControl w:val="0"/>
        <w:kinsoku/>
        <w:wordWrap/>
        <w:overflowPunct/>
        <w:topLinePunct w:val="0"/>
        <w:autoSpaceDE/>
        <w:autoSpaceDN/>
        <w:bidi w:val="0"/>
        <w:adjustRightInd/>
        <w:snapToGrid/>
        <w:spacing w:beforeAutospacing="0" w:afterAutospacing="0"/>
        <w:ind w:firstLine="720" w:firstLineChars="200"/>
        <w:textAlignment w:val="auto"/>
        <w:rPr>
          <w:rFonts w:hint="eastAsia" w:ascii="黑体" w:hAnsi="黑体" w:eastAsia="黑体" w:cs="黑体"/>
          <w:b w:val="0"/>
          <w:bCs/>
          <w:color w:val="000000"/>
        </w:rPr>
      </w:pPr>
      <w:bookmarkStart w:id="34" w:name="_Toc28283"/>
      <w:bookmarkStart w:id="35" w:name="_Toc15377207"/>
      <w:bookmarkStart w:id="36" w:name="_Toc111208501"/>
      <w:r>
        <w:rPr>
          <w:rFonts w:hint="eastAsia" w:ascii="黑体" w:hAnsi="黑体" w:eastAsia="黑体" w:cs="黑体"/>
          <w:b w:val="0"/>
          <w:bCs/>
          <w:color w:val="000000"/>
        </w:rPr>
        <w:t>三、支出决算情况说明</w:t>
      </w:r>
      <w:bookmarkEnd w:id="34"/>
      <w:bookmarkEnd w:id="35"/>
      <w:bookmarkEnd w:id="36"/>
    </w:p>
    <w:p w14:paraId="1753835D">
      <w:pPr>
        <w:pStyle w:val="5"/>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本年支出合计</w:t>
      </w:r>
      <w:r>
        <w:rPr>
          <w:rFonts w:ascii="仿宋" w:hAnsi="仿宋" w:eastAsia="仿宋" w:cs="仿宋"/>
          <w:color w:val="000000"/>
          <w:sz w:val="32"/>
          <w:u w:color="auto"/>
        </w:rPr>
        <w:t>2,605.59万元</w:t>
      </w:r>
      <w:r>
        <w:rPr>
          <w:rFonts w:hint="eastAsia" w:ascii="仿宋" w:hAnsi="仿宋" w:eastAsia="仿宋" w:cs="仿宋"/>
          <w:color w:val="000000"/>
          <w:sz w:val="32"/>
          <w:szCs w:val="32"/>
          <w:lang w:val="en-US" w:eastAsia="zh-CN"/>
        </w:rPr>
        <w:t>，其中:基本支出136.73万元，占5.3%；项目支出2,468.87万元，占94.8%</w:t>
      </w:r>
      <w:r>
        <w:rPr>
          <w:rFonts w:hint="eastAsia" w:ascii="仿宋" w:hAnsi="仿宋" w:eastAsia="仿宋" w:cs="仿宋"/>
          <w:color w:val="000000"/>
          <w:sz w:val="32"/>
          <w:szCs w:val="32"/>
        </w:rPr>
        <w:t>。</w:t>
      </w:r>
    </w:p>
    <w:p w14:paraId="77E40098">
      <w:pPr>
        <w:jc w:val="center"/>
        <w:rPr>
          <w:rFonts w:hint="eastAsia" w:ascii="仿宋" w:hAnsi="仿宋" w:eastAsia="仿宋" w:cs="仿宋"/>
          <w:color w:val="00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3279775" cy="1995170"/>
            <wp:effectExtent l="4445" t="4445" r="11430" b="1968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29694F">
      <w:pPr>
        <w:pStyle w:val="3"/>
        <w:keepNext w:val="0"/>
        <w:keepLines w:val="0"/>
        <w:pageBreakBefore w:val="0"/>
        <w:widowControl w:val="0"/>
        <w:kinsoku/>
        <w:wordWrap/>
        <w:overflowPunct/>
        <w:topLinePunct w:val="0"/>
        <w:autoSpaceDE/>
        <w:autoSpaceDN/>
        <w:bidi w:val="0"/>
        <w:adjustRightInd/>
        <w:snapToGrid/>
        <w:spacing w:beforeAutospacing="0" w:afterAutospacing="0"/>
        <w:ind w:firstLine="720" w:firstLineChars="200"/>
        <w:textAlignment w:val="auto"/>
        <w:rPr>
          <w:rFonts w:hint="eastAsia" w:ascii="黑体" w:hAnsi="黑体" w:eastAsia="黑体" w:cs="黑体"/>
          <w:b w:val="0"/>
          <w:bCs/>
          <w:color w:val="000000"/>
        </w:rPr>
      </w:pPr>
      <w:bookmarkStart w:id="37" w:name="_Toc15377208"/>
      <w:bookmarkStart w:id="38" w:name="_Toc111208502"/>
      <w:bookmarkStart w:id="39" w:name="_Toc19521"/>
      <w:r>
        <w:rPr>
          <w:rFonts w:hint="eastAsia" w:ascii="黑体" w:hAnsi="黑体" w:eastAsia="黑体" w:cs="黑体"/>
          <w:b w:val="0"/>
          <w:bCs/>
          <w:color w:val="000000"/>
        </w:rPr>
        <w:t>四、财政拨款收入支出决算总体情况说明</w:t>
      </w:r>
      <w:bookmarkEnd w:id="37"/>
      <w:bookmarkEnd w:id="38"/>
      <w:bookmarkEnd w:id="39"/>
    </w:p>
    <w:p w14:paraId="66D8173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财政拨款收</w:t>
      </w:r>
      <w:r>
        <w:rPr>
          <w:rFonts w:hint="eastAsia" w:ascii="仿宋" w:hAnsi="仿宋" w:eastAsia="仿宋" w:cs="仿宋"/>
          <w:color w:val="000000"/>
          <w:sz w:val="32"/>
          <w:szCs w:val="32"/>
          <w:lang w:val="en-US" w:eastAsia="zh-CN"/>
        </w:rPr>
        <w:t>入</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w:t>
      </w:r>
      <w:r>
        <w:rPr>
          <w:rFonts w:hint="eastAsia" w:ascii="仿宋" w:hAnsi="仿宋" w:eastAsia="仿宋" w:cs="仿宋"/>
          <w:color w:val="000000"/>
          <w:sz w:val="32"/>
          <w:szCs w:val="32"/>
        </w:rPr>
        <w:t>总计均为</w:t>
      </w:r>
      <w:r>
        <w:rPr>
          <w:rFonts w:ascii="仿宋" w:hAnsi="仿宋" w:eastAsia="仿宋" w:cs="仿宋"/>
          <w:color w:val="000000"/>
          <w:sz w:val="32"/>
          <w:u w:color="auto"/>
        </w:rPr>
        <w:t>2,605.59万元。与2023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相比，财政拨款收</w:t>
      </w:r>
      <w:r>
        <w:rPr>
          <w:rFonts w:hint="eastAsia" w:ascii="仿宋" w:hAnsi="仿宋" w:eastAsia="仿宋" w:cs="仿宋"/>
          <w:color w:val="000000"/>
          <w:sz w:val="32"/>
          <w:szCs w:val="32"/>
          <w:lang w:val="en-US" w:eastAsia="zh-CN"/>
        </w:rPr>
        <w:t>入</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w:t>
      </w:r>
      <w:r>
        <w:rPr>
          <w:rFonts w:hint="eastAsia" w:ascii="仿宋" w:hAnsi="仿宋" w:eastAsia="仿宋" w:cs="仿宋"/>
          <w:color w:val="000000"/>
          <w:sz w:val="32"/>
          <w:szCs w:val="32"/>
        </w:rPr>
        <w:t>总计各</w:t>
      </w:r>
      <w:r>
        <w:rPr>
          <w:rFonts w:ascii="仿宋" w:hAnsi="仿宋" w:eastAsia="仿宋" w:cs="仿宋"/>
          <w:color w:val="000000"/>
          <w:sz w:val="32"/>
          <w:u w:color="auto"/>
        </w:rPr>
        <w:t>减少842.31万元，下降24.4%。主要变动原因是</w:t>
      </w:r>
      <w:r>
        <w:rPr>
          <w:rFonts w:hint="eastAsia" w:ascii="仿宋" w:hAnsi="仿宋" w:eastAsia="仿宋" w:cs="仿宋"/>
          <w:color w:val="000000"/>
          <w:sz w:val="32"/>
          <w:u w:color="auto"/>
          <w:lang w:eastAsia="zh-CN"/>
        </w:rPr>
        <w:t>：</w:t>
      </w:r>
      <w:r>
        <w:rPr>
          <w:rFonts w:ascii="仿宋" w:hAnsi="仿宋" w:eastAsia="仿宋" w:cs="仿宋"/>
          <w:color w:val="000000"/>
          <w:sz w:val="32"/>
          <w:u w:color="auto"/>
        </w:rPr>
        <w:t>项目</w:t>
      </w:r>
      <w:r>
        <w:rPr>
          <w:rFonts w:hint="eastAsia" w:ascii="仿宋" w:hAnsi="仿宋" w:eastAsia="仿宋" w:cs="仿宋"/>
          <w:color w:val="000000"/>
          <w:sz w:val="32"/>
          <w:u w:color="auto"/>
          <w:lang w:val="en-US" w:eastAsia="zh-CN"/>
        </w:rPr>
        <w:t>资金</w:t>
      </w:r>
      <w:r>
        <w:rPr>
          <w:rFonts w:ascii="仿宋" w:hAnsi="仿宋" w:eastAsia="仿宋" w:cs="仿宋"/>
          <w:color w:val="000000"/>
          <w:sz w:val="32"/>
          <w:u w:color="auto"/>
        </w:rPr>
        <w:t>减少。</w:t>
      </w:r>
    </w:p>
    <w:p w14:paraId="304F310C">
      <w:pPr>
        <w:pStyle w:val="5"/>
        <w:ind w:left="0" w:leftChars="0" w:firstLine="0" w:firstLineChars="0"/>
        <w:jc w:val="center"/>
        <w:rPr>
          <w:rFonts w:hint="eastAsia" w:ascii="思源黑体 CN Normal" w:hAnsi="思源黑体 CN Normal" w:eastAsia="思源黑体 CN Normal" w:cs="思源黑体 CN Normal"/>
          <w:color w:val="000000"/>
          <w:sz w:val="32"/>
          <w:szCs w:val="32"/>
        </w:rPr>
      </w:pPr>
      <w:r>
        <w:rPr>
          <w:rFonts w:hint="eastAsia" w:ascii="思源黑体 CN Normal" w:hAnsi="思源黑体 CN Normal" w:eastAsia="思源黑体 CN Normal" w:cs="思源黑体 CN Normal"/>
          <w:color w:val="000000"/>
          <w:sz w:val="32"/>
          <w:szCs w:val="32"/>
        </w:rPr>
        <w:drawing>
          <wp:inline distT="0" distB="0" distL="0" distR="0">
            <wp:extent cx="3577590" cy="2056130"/>
            <wp:effectExtent l="4445" t="4445" r="18415" b="1587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4987CA">
      <w:pPr>
        <w:pStyle w:val="3"/>
        <w:keepNext w:val="0"/>
        <w:keepLines w:val="0"/>
        <w:pageBreakBefore w:val="0"/>
        <w:widowControl w:val="0"/>
        <w:kinsoku/>
        <w:wordWrap/>
        <w:overflowPunct/>
        <w:topLinePunct w:val="0"/>
        <w:autoSpaceDE/>
        <w:autoSpaceDN/>
        <w:bidi w:val="0"/>
        <w:adjustRightInd/>
        <w:snapToGrid/>
        <w:spacing w:beforeAutospacing="0" w:afterAutospacing="0"/>
        <w:ind w:firstLine="720" w:firstLineChars="200"/>
        <w:textAlignment w:val="auto"/>
        <w:rPr>
          <w:rFonts w:hint="eastAsia" w:ascii="黑体" w:hAnsi="黑体" w:eastAsia="黑体" w:cs="黑体"/>
          <w:b w:val="0"/>
          <w:bCs/>
          <w:color w:val="000000"/>
        </w:rPr>
      </w:pPr>
      <w:bookmarkStart w:id="40" w:name="_Toc15377209"/>
      <w:bookmarkStart w:id="41" w:name="_Toc111208503"/>
      <w:bookmarkStart w:id="42" w:name="_Toc14368"/>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14:paraId="36EE17B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2"/>
        <w:rPr>
          <w:rFonts w:hint="eastAsia" w:ascii="楷体" w:hAnsi="楷体" w:eastAsia="楷体" w:cs="楷体"/>
          <w:b/>
          <w:color w:val="000000"/>
          <w:sz w:val="32"/>
          <w:szCs w:val="32"/>
        </w:rPr>
      </w:pPr>
      <w:bookmarkStart w:id="43" w:name="_Toc15377210"/>
      <w:r>
        <w:rPr>
          <w:rFonts w:hint="eastAsia" w:ascii="楷体" w:hAnsi="楷体" w:eastAsia="楷体" w:cs="楷体"/>
          <w:b/>
          <w:color w:val="000000"/>
          <w:sz w:val="32"/>
          <w:szCs w:val="32"/>
        </w:rPr>
        <w:t>（一）一般公共预算财政拨款支出决算总体情况</w:t>
      </w:r>
      <w:bookmarkEnd w:id="43"/>
    </w:p>
    <w:p w14:paraId="371C2FB4">
      <w:pPr>
        <w:spacing w:line="600" w:lineRule="exact"/>
        <w:ind w:firstLine="640" w:firstLineChars="200"/>
        <w:rPr>
          <w:rFonts w:hint="eastAsia" w:ascii="思源黑体 CN Normal" w:hAnsi="思源黑体 CN Normal" w:eastAsia="仿宋" w:cs="思源黑体 CN Normal"/>
          <w:b/>
          <w:color w:val="000000"/>
          <w:sz w:val="32"/>
          <w:szCs w:val="32"/>
          <w:lang w:val="en-US" w:eastAsia="zh-CN"/>
        </w:rPr>
      </w:pPr>
      <w:bookmarkStart w:id="44" w:name="_Toc15377211"/>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ascii="仿宋" w:hAnsi="仿宋" w:eastAsia="仿宋" w:cs="仿宋"/>
          <w:color w:val="000000"/>
          <w:sz w:val="32"/>
          <w:u w:color="auto"/>
        </w:rPr>
        <w:t>2,241.11万元，占本年支出合计的86%。与2023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相比，一般公共预算财政拨款</w:t>
      </w:r>
      <w:r>
        <w:rPr>
          <w:rFonts w:ascii="仿宋" w:hAnsi="仿宋" w:eastAsia="仿宋" w:cs="仿宋"/>
          <w:color w:val="000000"/>
          <w:sz w:val="32"/>
          <w:u w:color="auto"/>
        </w:rPr>
        <w:t>减少765.71万元，下降25.5%。主要变动原因是</w:t>
      </w:r>
      <w:r>
        <w:rPr>
          <w:rFonts w:hint="eastAsia" w:ascii="仿宋" w:hAnsi="仿宋" w:eastAsia="仿宋" w:cs="仿宋"/>
          <w:color w:val="000000"/>
          <w:sz w:val="32"/>
          <w:u w:color="auto"/>
          <w:lang w:eastAsia="zh-CN"/>
        </w:rPr>
        <w:t>：</w:t>
      </w:r>
      <w:r>
        <w:rPr>
          <w:rFonts w:ascii="仿宋" w:hAnsi="仿宋" w:eastAsia="仿宋" w:cs="仿宋"/>
          <w:color w:val="000000"/>
          <w:sz w:val="32"/>
          <w:u w:color="auto"/>
        </w:rPr>
        <w:t>项目</w:t>
      </w:r>
      <w:r>
        <w:rPr>
          <w:rFonts w:hint="eastAsia" w:ascii="仿宋" w:hAnsi="仿宋" w:eastAsia="仿宋" w:cs="仿宋"/>
          <w:color w:val="000000"/>
          <w:sz w:val="32"/>
          <w:u w:color="auto"/>
          <w:lang w:val="en-US" w:eastAsia="zh-CN"/>
        </w:rPr>
        <w:t>资金</w:t>
      </w:r>
      <w:r>
        <w:rPr>
          <w:rFonts w:ascii="仿宋" w:hAnsi="仿宋" w:eastAsia="仿宋" w:cs="仿宋"/>
          <w:color w:val="000000"/>
          <w:sz w:val="32"/>
          <w:u w:color="auto"/>
        </w:rPr>
        <w:t xml:space="preserve">减少。。 </w:t>
      </w:r>
    </w:p>
    <w:p w14:paraId="1392859B">
      <w:pPr>
        <w:pStyle w:val="5"/>
        <w:ind w:firstLine="0"/>
        <w:jc w:val="center"/>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2849245" cy="1838960"/>
            <wp:effectExtent l="4445" t="4445" r="22860" b="234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A4B7C4">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（二）一般公共预算财政拨款支出决算结构情况</w:t>
      </w:r>
      <w:bookmarkEnd w:id="44"/>
    </w:p>
    <w:p w14:paraId="1E3404D8">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ascii="仿宋" w:hAnsi="仿宋" w:eastAsia="仿宋" w:cs="仿宋"/>
          <w:color w:val="000000"/>
          <w:sz w:val="32"/>
          <w:u w:color="auto"/>
        </w:rPr>
        <w:t>2,241.11万元，主要用于以下方面: 社会保障和就业支出23.58万元，占1%；卫生健康支出8.97万元，占0.4%；节能环保支出267.07万元，占11.9%；农林水支出1,931.11万元，占86.2%；住房保障支出10.38万元，占0.5%。</w:t>
      </w:r>
    </w:p>
    <w:p w14:paraId="68BC5887">
      <w:pPr>
        <w:pStyle w:val="5"/>
        <w:jc w:val="center"/>
        <w:rPr>
          <w:rFonts w:hint="eastAsia" w:ascii="思源黑体 CN Normal" w:hAnsi="思源黑体 CN Normal" w:eastAsia="思源黑体 CN Normal" w:cs="思源黑体 CN Normal"/>
        </w:rPr>
      </w:pPr>
      <w:bookmarkStart w:id="45" w:name="_Toc15377212"/>
      <w:r>
        <w:rPr>
          <w:rFonts w:hint="eastAsia" w:ascii="思源黑体 CN Normal" w:hAnsi="思源黑体 CN Normal" w:eastAsia="思源黑体 CN Normal" w:cs="思源黑体 CN Normal"/>
        </w:rPr>
        <w:drawing>
          <wp:inline distT="0" distB="0" distL="0" distR="0">
            <wp:extent cx="2686685" cy="1610360"/>
            <wp:effectExtent l="4445" t="4445" r="13970" b="234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678BDA">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（三）一般公共预算财政拨款支出决算具体情况</w:t>
      </w:r>
      <w:bookmarkEnd w:id="45"/>
    </w:p>
    <w:p w14:paraId="13506E72">
      <w:pPr>
        <w:spacing w:line="600" w:lineRule="exact"/>
        <w:ind w:firstLine="640"/>
        <w:rPr>
          <w:rFonts w:hint="eastAsia" w:ascii="仿宋" w:hAnsi="仿宋" w:eastAsia="仿宋" w:cs="仿宋"/>
          <w:color w:val="000000"/>
          <w:sz w:val="32"/>
          <w:szCs w:val="32"/>
        </w:rPr>
      </w:pPr>
      <w:bookmarkStart w:id="46" w:name="_Toc15377213"/>
      <w:bookmarkStart w:id="47" w:name="_Toc15378460"/>
      <w:bookmarkStart w:id="48" w:name="_Toc15377444"/>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一般公共预算支出决算数为</w:t>
      </w:r>
      <w:r>
        <w:rPr>
          <w:rFonts w:ascii="仿宋" w:hAnsi="仿宋" w:eastAsia="仿宋" w:cs="仿宋"/>
          <w:color w:val="000000"/>
          <w:sz w:val="32"/>
          <w:u w:color="auto"/>
        </w:rPr>
        <w:t>2,241.11万元，完成预算100%。其中：</w:t>
      </w:r>
      <w:bookmarkEnd w:id="46"/>
      <w:bookmarkEnd w:id="47"/>
      <w:bookmarkEnd w:id="48"/>
    </w:p>
    <w:p w14:paraId="7AED4EF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1.社会保障和就业支出（</w:t>
      </w:r>
      <w:r>
        <w:rPr>
          <w:rFonts w:hint="eastAsia" w:ascii="仿宋" w:hAnsi="仿宋" w:eastAsia="仿宋" w:cs="仿宋"/>
          <w:color w:val="000000"/>
          <w:sz w:val="32"/>
          <w:szCs w:val="32"/>
          <w:lang w:val="en-US" w:eastAsia="zh-CN"/>
        </w:rPr>
        <w:t>208</w:t>
      </w:r>
      <w:r>
        <w:rPr>
          <w:rFonts w:hint="eastAsia" w:ascii="仿宋" w:hAnsi="仿宋" w:eastAsia="仿宋" w:cs="仿宋"/>
          <w:color w:val="000000"/>
          <w:sz w:val="32"/>
          <w:szCs w:val="32"/>
        </w:rPr>
        <w:t>）行政事业单位养老支出（</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）机关事业单位基本养老保险缴费支出（</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）:支出决算8.69万元，完成预算100%。</w:t>
      </w:r>
      <w:r>
        <w:rPr>
          <w:rFonts w:hint="eastAsia" w:ascii="仿宋" w:hAnsi="仿宋" w:eastAsia="仿宋" w:cs="仿宋"/>
          <w:color w:val="000000"/>
          <w:sz w:val="32"/>
          <w:szCs w:val="32"/>
          <w:lang w:val="en-US"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2.社会保障和就业支出（</w:t>
      </w:r>
      <w:r>
        <w:rPr>
          <w:rFonts w:hint="eastAsia" w:ascii="仿宋" w:hAnsi="仿宋" w:eastAsia="仿宋" w:cs="仿宋"/>
          <w:color w:val="000000"/>
          <w:sz w:val="32"/>
          <w:szCs w:val="32"/>
          <w:lang w:val="en-US" w:eastAsia="zh-CN"/>
        </w:rPr>
        <w:t>208</w:t>
      </w:r>
      <w:r>
        <w:rPr>
          <w:rFonts w:hint="eastAsia" w:ascii="仿宋" w:hAnsi="仿宋" w:eastAsia="仿宋" w:cs="仿宋"/>
          <w:color w:val="000000"/>
          <w:sz w:val="32"/>
          <w:szCs w:val="32"/>
        </w:rPr>
        <w:t>）行政事业单位养老支出（</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）机关事业单位职业年金缴费支出（</w:t>
      </w:r>
      <w:r>
        <w:rPr>
          <w:rFonts w:hint="eastAsia" w:ascii="仿宋" w:hAnsi="仿宋" w:eastAsia="仿宋" w:cs="仿宋"/>
          <w:color w:val="000000"/>
          <w:sz w:val="32"/>
          <w:szCs w:val="32"/>
          <w:lang w:val="en-US" w:eastAsia="zh-CN"/>
        </w:rPr>
        <w:t>06</w:t>
      </w:r>
      <w:r>
        <w:rPr>
          <w:rFonts w:hint="eastAsia" w:ascii="仿宋" w:hAnsi="仿宋" w:eastAsia="仿宋" w:cs="仿宋"/>
          <w:color w:val="000000"/>
          <w:sz w:val="32"/>
          <w:szCs w:val="32"/>
        </w:rPr>
        <w:t>）:支出决算4.35万元，完成预算100%。</w:t>
      </w:r>
      <w:r>
        <w:rPr>
          <w:rFonts w:hint="eastAsia" w:ascii="仿宋" w:hAnsi="仿宋" w:eastAsia="仿宋" w:cs="仿宋"/>
          <w:color w:val="000000"/>
          <w:sz w:val="32"/>
          <w:szCs w:val="32"/>
          <w:lang w:val="en-US"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3.社会保障和就业支出（</w:t>
      </w:r>
      <w:r>
        <w:rPr>
          <w:rFonts w:hint="eastAsia" w:ascii="仿宋" w:hAnsi="仿宋" w:eastAsia="仿宋" w:cs="仿宋"/>
          <w:color w:val="000000"/>
          <w:sz w:val="32"/>
          <w:szCs w:val="32"/>
          <w:lang w:val="en-US" w:eastAsia="zh-CN"/>
        </w:rPr>
        <w:t>208</w:t>
      </w:r>
      <w:r>
        <w:rPr>
          <w:rFonts w:hint="eastAsia" w:ascii="仿宋" w:hAnsi="仿宋" w:eastAsia="仿宋" w:cs="仿宋"/>
          <w:color w:val="000000"/>
          <w:sz w:val="32"/>
          <w:szCs w:val="32"/>
        </w:rPr>
        <w:t>）就业补助（</w:t>
      </w:r>
      <w:r>
        <w:rPr>
          <w:rFonts w:hint="eastAsia" w:ascii="仿宋" w:hAnsi="仿宋" w:eastAsia="仿宋" w:cs="仿宋"/>
          <w:color w:val="000000"/>
          <w:sz w:val="32"/>
          <w:szCs w:val="32"/>
          <w:lang w:val="en-US" w:eastAsia="zh-CN"/>
        </w:rPr>
        <w:t>07</w:t>
      </w:r>
      <w:r>
        <w:rPr>
          <w:rFonts w:hint="eastAsia" w:ascii="仿宋" w:hAnsi="仿宋" w:eastAsia="仿宋" w:cs="仿宋"/>
          <w:color w:val="000000"/>
          <w:sz w:val="32"/>
          <w:szCs w:val="32"/>
        </w:rPr>
        <w:t>）公益性岗位补贴（</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）:支出决算10.54万元，完成预算100%。</w:t>
      </w:r>
      <w:r>
        <w:rPr>
          <w:rFonts w:hint="eastAsia" w:ascii="仿宋" w:hAnsi="仿宋" w:eastAsia="仿宋" w:cs="仿宋"/>
          <w:color w:val="000000"/>
          <w:sz w:val="32"/>
          <w:szCs w:val="32"/>
          <w:lang w:val="en-US"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4.卫生健康支出（</w:t>
      </w:r>
      <w:r>
        <w:rPr>
          <w:rFonts w:hint="eastAsia" w:ascii="仿宋" w:hAnsi="仿宋" w:eastAsia="仿宋" w:cs="仿宋"/>
          <w:color w:val="000000"/>
          <w:sz w:val="32"/>
          <w:szCs w:val="32"/>
          <w:lang w:val="en-US" w:eastAsia="zh-CN"/>
        </w:rPr>
        <w:t>210</w:t>
      </w:r>
      <w:r>
        <w:rPr>
          <w:rFonts w:hint="eastAsia" w:ascii="仿宋" w:hAnsi="仿宋" w:eastAsia="仿宋" w:cs="仿宋"/>
          <w:color w:val="000000"/>
          <w:sz w:val="32"/>
          <w:szCs w:val="32"/>
        </w:rPr>
        <w:t>）行政事业单位医疗（</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）行政单位医疗（</w:t>
      </w:r>
      <w:r>
        <w:rPr>
          <w:rFonts w:hint="eastAsia" w:ascii="仿宋" w:hAnsi="仿宋" w:eastAsia="仿宋" w:cs="仿宋"/>
          <w:color w:val="000000"/>
          <w:sz w:val="32"/>
          <w:szCs w:val="32"/>
          <w:lang w:val="en-US" w:eastAsia="zh-CN"/>
        </w:rPr>
        <w:t>02</w:t>
      </w:r>
      <w:r>
        <w:rPr>
          <w:rFonts w:hint="eastAsia" w:ascii="仿宋" w:hAnsi="仿宋" w:eastAsia="仿宋" w:cs="仿宋"/>
          <w:color w:val="000000"/>
          <w:sz w:val="32"/>
          <w:szCs w:val="32"/>
        </w:rPr>
        <w:t>）:支出决算8.97万元，完成预算100%。</w:t>
      </w:r>
      <w:r>
        <w:rPr>
          <w:rFonts w:hint="eastAsia" w:ascii="仿宋" w:hAnsi="仿宋" w:eastAsia="仿宋" w:cs="仿宋"/>
          <w:color w:val="000000"/>
          <w:sz w:val="32"/>
          <w:szCs w:val="32"/>
          <w:lang w:val="en-US"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5.节能环保支出（</w:t>
      </w:r>
      <w:r>
        <w:rPr>
          <w:rFonts w:hint="eastAsia" w:ascii="仿宋" w:hAnsi="仿宋" w:eastAsia="仿宋" w:cs="仿宋"/>
          <w:color w:val="000000"/>
          <w:sz w:val="32"/>
          <w:szCs w:val="32"/>
          <w:lang w:val="en-US" w:eastAsia="zh-CN"/>
        </w:rPr>
        <w:t>211</w:t>
      </w:r>
      <w:r>
        <w:rPr>
          <w:rFonts w:hint="eastAsia" w:ascii="仿宋" w:hAnsi="仿宋" w:eastAsia="仿宋" w:cs="仿宋"/>
          <w:color w:val="000000"/>
          <w:sz w:val="32"/>
          <w:szCs w:val="32"/>
        </w:rPr>
        <w:t>）自然生态保护（</w:t>
      </w:r>
      <w:r>
        <w:rPr>
          <w:rFonts w:hint="eastAsia" w:ascii="仿宋" w:hAnsi="仿宋" w:eastAsia="仿宋" w:cs="仿宋"/>
          <w:color w:val="000000"/>
          <w:sz w:val="32"/>
          <w:szCs w:val="32"/>
          <w:lang w:val="en-US" w:eastAsia="zh-CN"/>
        </w:rPr>
        <w:t>04</w:t>
      </w:r>
      <w:r>
        <w:rPr>
          <w:rFonts w:hint="eastAsia" w:ascii="仿宋" w:hAnsi="仿宋" w:eastAsia="仿宋" w:cs="仿宋"/>
          <w:color w:val="000000"/>
          <w:sz w:val="32"/>
          <w:szCs w:val="32"/>
        </w:rPr>
        <w:t>）生态保护（</w:t>
      </w:r>
      <w:r>
        <w:rPr>
          <w:rFonts w:hint="eastAsia" w:ascii="仿宋" w:hAnsi="仿宋" w:eastAsia="仿宋" w:cs="仿宋"/>
          <w:color w:val="000000"/>
          <w:sz w:val="32"/>
          <w:szCs w:val="32"/>
          <w:lang w:val="en-US" w:eastAsia="zh-CN"/>
        </w:rPr>
        <w:t>01</w:t>
      </w:r>
      <w:r>
        <w:rPr>
          <w:rFonts w:hint="eastAsia" w:ascii="仿宋" w:hAnsi="仿宋" w:eastAsia="仿宋" w:cs="仿宋"/>
          <w:color w:val="000000"/>
          <w:sz w:val="32"/>
          <w:szCs w:val="32"/>
        </w:rPr>
        <w:t>）:支出决算267.07万元，完成预算100%。</w:t>
      </w:r>
      <w:r>
        <w:rPr>
          <w:rFonts w:hint="eastAsia" w:ascii="仿宋" w:hAnsi="仿宋" w:eastAsia="仿宋" w:cs="仿宋"/>
          <w:color w:val="000000"/>
          <w:sz w:val="32"/>
          <w:szCs w:val="32"/>
          <w:lang w:val="en-US"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6.农林水支出（</w:t>
      </w:r>
      <w:r>
        <w:rPr>
          <w:rFonts w:hint="eastAsia" w:ascii="仿宋" w:hAnsi="仿宋" w:eastAsia="仿宋" w:cs="仿宋"/>
          <w:color w:val="000000"/>
          <w:sz w:val="32"/>
          <w:szCs w:val="32"/>
          <w:lang w:val="en-US" w:eastAsia="zh-CN"/>
        </w:rPr>
        <w:t>213</w:t>
      </w:r>
      <w:r>
        <w:rPr>
          <w:rFonts w:hint="eastAsia" w:ascii="仿宋" w:hAnsi="仿宋" w:eastAsia="仿宋" w:cs="仿宋"/>
          <w:color w:val="000000"/>
          <w:sz w:val="32"/>
          <w:szCs w:val="32"/>
        </w:rPr>
        <w:t>）水利（</w:t>
      </w:r>
      <w:r>
        <w:rPr>
          <w:rFonts w:hint="eastAsia" w:ascii="仿宋" w:hAnsi="仿宋" w:eastAsia="仿宋" w:cs="仿宋"/>
          <w:color w:val="000000"/>
          <w:sz w:val="32"/>
          <w:szCs w:val="32"/>
          <w:lang w:val="en-US" w:eastAsia="zh-CN"/>
        </w:rPr>
        <w:t>03</w:t>
      </w:r>
      <w:r>
        <w:rPr>
          <w:rFonts w:hint="eastAsia" w:ascii="仿宋" w:hAnsi="仿宋" w:eastAsia="仿宋" w:cs="仿宋"/>
          <w:color w:val="000000"/>
          <w:sz w:val="32"/>
          <w:szCs w:val="32"/>
        </w:rPr>
        <w:t>）行政运行（</w:t>
      </w:r>
      <w:r>
        <w:rPr>
          <w:rFonts w:hint="eastAsia" w:ascii="仿宋" w:hAnsi="仿宋" w:eastAsia="仿宋" w:cs="仿宋"/>
          <w:color w:val="000000"/>
          <w:sz w:val="32"/>
          <w:szCs w:val="32"/>
          <w:lang w:val="en-US" w:eastAsia="zh-CN"/>
        </w:rPr>
        <w:t>01</w:t>
      </w:r>
      <w:r>
        <w:rPr>
          <w:rFonts w:hint="eastAsia" w:ascii="仿宋" w:hAnsi="仿宋" w:eastAsia="仿宋" w:cs="仿宋"/>
          <w:color w:val="000000"/>
          <w:sz w:val="32"/>
          <w:szCs w:val="32"/>
        </w:rPr>
        <w:t>）:支出决算104.34万元，完成预算100%。</w:t>
      </w:r>
      <w:r>
        <w:rPr>
          <w:rFonts w:hint="eastAsia" w:ascii="仿宋" w:hAnsi="仿宋" w:eastAsia="仿宋" w:cs="仿宋"/>
          <w:color w:val="000000"/>
          <w:sz w:val="32"/>
          <w:szCs w:val="32"/>
          <w:lang w:val="en-US"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7.农林水支出（</w:t>
      </w:r>
      <w:r>
        <w:rPr>
          <w:rFonts w:hint="eastAsia" w:ascii="仿宋" w:hAnsi="仿宋" w:eastAsia="仿宋" w:cs="仿宋"/>
          <w:color w:val="000000"/>
          <w:sz w:val="32"/>
          <w:szCs w:val="32"/>
          <w:lang w:val="en-US" w:eastAsia="zh-CN"/>
        </w:rPr>
        <w:t>213</w:t>
      </w:r>
      <w:r>
        <w:rPr>
          <w:rFonts w:hint="eastAsia" w:ascii="仿宋" w:hAnsi="仿宋" w:eastAsia="仿宋" w:cs="仿宋"/>
          <w:color w:val="000000"/>
          <w:sz w:val="32"/>
          <w:szCs w:val="32"/>
        </w:rPr>
        <w:t>）水利（</w:t>
      </w:r>
      <w:r>
        <w:rPr>
          <w:rFonts w:hint="eastAsia" w:ascii="仿宋" w:hAnsi="仿宋" w:eastAsia="仿宋" w:cs="仿宋"/>
          <w:color w:val="000000"/>
          <w:sz w:val="32"/>
          <w:szCs w:val="32"/>
          <w:lang w:val="en-US" w:eastAsia="zh-CN"/>
        </w:rPr>
        <w:t>03</w:t>
      </w:r>
      <w:r>
        <w:rPr>
          <w:rFonts w:hint="eastAsia" w:ascii="仿宋" w:hAnsi="仿宋" w:eastAsia="仿宋" w:cs="仿宋"/>
          <w:color w:val="000000"/>
          <w:sz w:val="32"/>
          <w:szCs w:val="32"/>
        </w:rPr>
        <w:t>）大中型水库移民后期扶持专项支出（</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）:支出决算38.79万元，完成预算100%。</w:t>
      </w:r>
      <w:r>
        <w:rPr>
          <w:rFonts w:hint="eastAsia" w:ascii="仿宋" w:hAnsi="仿宋" w:eastAsia="仿宋" w:cs="仿宋"/>
          <w:color w:val="000000"/>
          <w:sz w:val="32"/>
          <w:szCs w:val="32"/>
          <w:lang w:val="en-US"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8.农林水支出（</w:t>
      </w:r>
      <w:r>
        <w:rPr>
          <w:rFonts w:hint="eastAsia" w:ascii="仿宋" w:hAnsi="仿宋" w:eastAsia="仿宋" w:cs="仿宋"/>
          <w:color w:val="000000"/>
          <w:sz w:val="32"/>
          <w:szCs w:val="32"/>
          <w:lang w:val="en-US" w:eastAsia="zh-CN"/>
        </w:rPr>
        <w:t>213</w:t>
      </w:r>
      <w:r>
        <w:rPr>
          <w:rFonts w:hint="eastAsia" w:ascii="仿宋" w:hAnsi="仿宋" w:eastAsia="仿宋" w:cs="仿宋"/>
          <w:color w:val="000000"/>
          <w:sz w:val="32"/>
          <w:szCs w:val="32"/>
        </w:rPr>
        <w:t>）水利（</w:t>
      </w:r>
      <w:r>
        <w:rPr>
          <w:rFonts w:hint="eastAsia" w:ascii="仿宋" w:hAnsi="仿宋" w:eastAsia="仿宋" w:cs="仿宋"/>
          <w:color w:val="000000"/>
          <w:sz w:val="32"/>
          <w:szCs w:val="32"/>
          <w:lang w:val="en-US" w:eastAsia="zh-CN"/>
        </w:rPr>
        <w:t>03</w:t>
      </w:r>
      <w:r>
        <w:rPr>
          <w:rFonts w:hint="eastAsia" w:ascii="仿宋" w:hAnsi="仿宋" w:eastAsia="仿宋" w:cs="仿宋"/>
          <w:color w:val="000000"/>
          <w:sz w:val="32"/>
          <w:szCs w:val="32"/>
        </w:rPr>
        <w:t>）其他水利支出（</w:t>
      </w:r>
      <w:r>
        <w:rPr>
          <w:rFonts w:hint="eastAsia" w:ascii="仿宋" w:hAnsi="仿宋" w:eastAsia="仿宋" w:cs="仿宋"/>
          <w:color w:val="000000"/>
          <w:sz w:val="32"/>
          <w:szCs w:val="32"/>
          <w:lang w:val="en-US" w:eastAsia="zh-CN"/>
        </w:rPr>
        <w:t>99</w:t>
      </w:r>
      <w:r>
        <w:rPr>
          <w:rFonts w:hint="eastAsia" w:ascii="仿宋" w:hAnsi="仿宋" w:eastAsia="仿宋" w:cs="仿宋"/>
          <w:color w:val="000000"/>
          <w:sz w:val="32"/>
          <w:szCs w:val="32"/>
        </w:rPr>
        <w:t>）:支出决算1,374.48万元，完成预算100%。</w:t>
      </w:r>
      <w:r>
        <w:rPr>
          <w:rFonts w:hint="eastAsia" w:ascii="仿宋" w:hAnsi="仿宋" w:eastAsia="仿宋" w:cs="仿宋"/>
          <w:color w:val="000000"/>
          <w:sz w:val="32"/>
          <w:szCs w:val="32"/>
          <w:lang w:val="en-US"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9.农林水支出（</w:t>
      </w:r>
      <w:r>
        <w:rPr>
          <w:rFonts w:hint="eastAsia" w:ascii="仿宋" w:hAnsi="仿宋" w:eastAsia="仿宋" w:cs="仿宋"/>
          <w:color w:val="000000"/>
          <w:sz w:val="32"/>
          <w:szCs w:val="32"/>
          <w:lang w:val="en-US" w:eastAsia="zh-CN"/>
        </w:rPr>
        <w:t>213</w:t>
      </w:r>
      <w:r>
        <w:rPr>
          <w:rFonts w:hint="eastAsia" w:ascii="仿宋" w:hAnsi="仿宋" w:eastAsia="仿宋" w:cs="仿宋"/>
          <w:color w:val="000000"/>
          <w:sz w:val="32"/>
          <w:szCs w:val="32"/>
        </w:rPr>
        <w:t>）巩固脱贫攻坚成果衔接乡村振兴（</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）其他巩固脱贫攻坚成果衔接乡村振兴支出（</w:t>
      </w:r>
      <w:r>
        <w:rPr>
          <w:rFonts w:hint="eastAsia" w:ascii="仿宋" w:hAnsi="仿宋" w:eastAsia="仿宋" w:cs="仿宋"/>
          <w:color w:val="000000"/>
          <w:sz w:val="32"/>
          <w:szCs w:val="32"/>
          <w:lang w:val="en-US" w:eastAsia="zh-CN"/>
        </w:rPr>
        <w:t>99</w:t>
      </w:r>
      <w:r>
        <w:rPr>
          <w:rFonts w:hint="eastAsia" w:ascii="仿宋" w:hAnsi="仿宋" w:eastAsia="仿宋" w:cs="仿宋"/>
          <w:color w:val="000000"/>
          <w:sz w:val="32"/>
          <w:szCs w:val="32"/>
        </w:rPr>
        <w:t>）:支出决算413.51万元，完成预算100%。</w:t>
      </w:r>
      <w:r>
        <w:rPr>
          <w:rFonts w:hint="eastAsia" w:ascii="仿宋" w:hAnsi="仿宋" w:eastAsia="仿宋" w:cs="仿宋"/>
          <w:color w:val="000000"/>
          <w:sz w:val="32"/>
          <w:szCs w:val="32"/>
          <w:lang w:val="en-US"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10.住房保障支出（</w:t>
      </w:r>
      <w:r>
        <w:rPr>
          <w:rFonts w:hint="eastAsia" w:ascii="仿宋" w:hAnsi="仿宋" w:eastAsia="仿宋" w:cs="仿宋"/>
          <w:color w:val="000000"/>
          <w:sz w:val="32"/>
          <w:szCs w:val="32"/>
          <w:lang w:val="en-US" w:eastAsia="zh-CN"/>
        </w:rPr>
        <w:t>221</w:t>
      </w:r>
      <w:r>
        <w:rPr>
          <w:rFonts w:hint="eastAsia" w:ascii="仿宋" w:hAnsi="仿宋" w:eastAsia="仿宋" w:cs="仿宋"/>
          <w:color w:val="000000"/>
          <w:sz w:val="32"/>
          <w:szCs w:val="32"/>
        </w:rPr>
        <w:t>）住房改革支出（</w:t>
      </w:r>
      <w:r>
        <w:rPr>
          <w:rFonts w:hint="eastAsia" w:ascii="仿宋" w:hAnsi="仿宋" w:eastAsia="仿宋" w:cs="仿宋"/>
          <w:color w:val="000000"/>
          <w:sz w:val="32"/>
          <w:szCs w:val="32"/>
          <w:lang w:val="en-US" w:eastAsia="zh-CN"/>
        </w:rPr>
        <w:t>02</w:t>
      </w:r>
      <w:r>
        <w:rPr>
          <w:rFonts w:hint="eastAsia" w:ascii="仿宋" w:hAnsi="仿宋" w:eastAsia="仿宋" w:cs="仿宋"/>
          <w:color w:val="000000"/>
          <w:sz w:val="32"/>
          <w:szCs w:val="32"/>
        </w:rPr>
        <w:t>）住房公积金（</w:t>
      </w:r>
      <w:r>
        <w:rPr>
          <w:rFonts w:hint="eastAsia" w:ascii="仿宋" w:hAnsi="仿宋" w:eastAsia="仿宋" w:cs="仿宋"/>
          <w:color w:val="000000"/>
          <w:sz w:val="32"/>
          <w:szCs w:val="32"/>
          <w:lang w:val="en-US" w:eastAsia="zh-CN"/>
        </w:rPr>
        <w:t>01</w:t>
      </w:r>
      <w:r>
        <w:rPr>
          <w:rFonts w:hint="eastAsia" w:ascii="仿宋" w:hAnsi="仿宋" w:eastAsia="仿宋" w:cs="仿宋"/>
          <w:color w:val="000000"/>
          <w:sz w:val="32"/>
          <w:szCs w:val="32"/>
        </w:rPr>
        <w:t>）:支出决算7.96万元，完成预算100%。</w:t>
      </w:r>
      <w:r>
        <w:rPr>
          <w:rFonts w:hint="eastAsia" w:ascii="仿宋" w:hAnsi="仿宋" w:eastAsia="仿宋" w:cs="仿宋"/>
          <w:color w:val="000000"/>
          <w:sz w:val="32"/>
          <w:szCs w:val="32"/>
          <w:lang w:val="en-US"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11.住房保障支出（</w:t>
      </w:r>
      <w:r>
        <w:rPr>
          <w:rFonts w:hint="eastAsia" w:ascii="仿宋" w:hAnsi="仿宋" w:eastAsia="仿宋" w:cs="仿宋"/>
          <w:color w:val="000000"/>
          <w:sz w:val="32"/>
          <w:szCs w:val="32"/>
          <w:lang w:val="en-US" w:eastAsia="zh-CN"/>
        </w:rPr>
        <w:t>221</w:t>
      </w:r>
      <w:r>
        <w:rPr>
          <w:rFonts w:hint="eastAsia" w:ascii="仿宋" w:hAnsi="仿宋" w:eastAsia="仿宋" w:cs="仿宋"/>
          <w:color w:val="000000"/>
          <w:sz w:val="32"/>
          <w:szCs w:val="32"/>
        </w:rPr>
        <w:t>）住房改革支出（</w:t>
      </w:r>
      <w:r>
        <w:rPr>
          <w:rFonts w:hint="eastAsia" w:ascii="仿宋" w:hAnsi="仿宋" w:eastAsia="仿宋" w:cs="仿宋"/>
          <w:color w:val="000000"/>
          <w:sz w:val="32"/>
          <w:szCs w:val="32"/>
          <w:lang w:val="en-US" w:eastAsia="zh-CN"/>
        </w:rPr>
        <w:t>02</w:t>
      </w:r>
      <w:r>
        <w:rPr>
          <w:rFonts w:hint="eastAsia" w:ascii="仿宋" w:hAnsi="仿宋" w:eastAsia="仿宋" w:cs="仿宋"/>
          <w:color w:val="000000"/>
          <w:sz w:val="32"/>
          <w:szCs w:val="32"/>
        </w:rPr>
        <w:t>）购房补贴（</w:t>
      </w:r>
      <w:r>
        <w:rPr>
          <w:rFonts w:hint="eastAsia" w:ascii="仿宋" w:hAnsi="仿宋" w:eastAsia="仿宋" w:cs="仿宋"/>
          <w:color w:val="000000"/>
          <w:sz w:val="32"/>
          <w:szCs w:val="32"/>
          <w:lang w:val="en-US" w:eastAsia="zh-CN"/>
        </w:rPr>
        <w:t>03</w:t>
      </w:r>
      <w:r>
        <w:rPr>
          <w:rFonts w:hint="eastAsia" w:ascii="仿宋" w:hAnsi="仿宋" w:eastAsia="仿宋" w:cs="仿宋"/>
          <w:color w:val="000000"/>
          <w:sz w:val="32"/>
          <w:szCs w:val="32"/>
        </w:rPr>
        <w:t>）:支出决算2.42万元，完成预算100%。</w:t>
      </w:r>
      <w:r>
        <w:rPr>
          <w:rFonts w:hint="eastAsia" w:ascii="仿宋" w:hAnsi="仿宋" w:eastAsia="仿宋" w:cs="仿宋"/>
          <w:color w:val="000000"/>
          <w:sz w:val="32"/>
          <w:szCs w:val="32"/>
          <w:lang w:val="en-US" w:eastAsia="zh-CN"/>
        </w:rPr>
        <w:t>决算数与预算数持平。</w:t>
      </w:r>
    </w:p>
    <w:p w14:paraId="5F1461C4">
      <w:pPr>
        <w:pStyle w:val="3"/>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黑体" w:hAnsi="黑体" w:eastAsia="黑体" w:cs="黑体"/>
          <w:b w:val="0"/>
          <w:color w:val="000000"/>
          <w:sz w:val="32"/>
          <w:szCs w:val="32"/>
        </w:rPr>
      </w:pPr>
      <w:bookmarkStart w:id="49" w:name="_Toc15377214"/>
      <w:bookmarkStart w:id="50" w:name="_Toc31578"/>
      <w:bookmarkStart w:id="51" w:name="_Toc111208504"/>
      <w:r>
        <w:rPr>
          <w:rFonts w:hint="eastAsia" w:ascii="黑体" w:hAnsi="黑体" w:eastAsia="黑体" w:cs="黑体"/>
          <w:b w:val="0"/>
          <w:bCs/>
          <w:color w:val="000000"/>
          <w:sz w:val="32"/>
          <w:szCs w:val="32"/>
        </w:rPr>
        <w:t>六、一般公共预算财政拨款基本支出决算情况说</w:t>
      </w:r>
      <w:bookmarkEnd w:id="49"/>
      <w:r>
        <w:rPr>
          <w:rFonts w:hint="eastAsia" w:ascii="黑体" w:hAnsi="黑体" w:eastAsia="黑体" w:cs="黑体"/>
          <w:b w:val="0"/>
          <w:bCs/>
          <w:color w:val="000000"/>
          <w:sz w:val="32"/>
          <w:szCs w:val="32"/>
        </w:rPr>
        <w:t>明</w:t>
      </w:r>
      <w:bookmarkEnd w:id="50"/>
      <w:bookmarkEnd w:id="51"/>
    </w:p>
    <w:p w14:paraId="5A9F538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一般公共预算财政拨款基本支出</w:t>
      </w:r>
      <w:r>
        <w:rPr>
          <w:rFonts w:ascii="仿宋" w:hAnsi="仿宋" w:eastAsia="仿宋" w:cs="仿宋"/>
          <w:color w:val="000000"/>
          <w:sz w:val="32"/>
          <w:u w:color="auto"/>
        </w:rPr>
        <w:t>136.73万元，其中：</w:t>
      </w:r>
    </w:p>
    <w:p w14:paraId="116EF1FA">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人员经费</w:t>
      </w:r>
      <w:r>
        <w:rPr>
          <w:rFonts w:ascii="仿宋" w:hAnsi="仿宋" w:eastAsia="仿宋" w:cs="仿宋"/>
          <w:color w:val="000000"/>
          <w:sz w:val="32"/>
          <w:u w:color="auto"/>
        </w:rPr>
        <w:t>128.5</w:t>
      </w:r>
      <w:r>
        <w:rPr>
          <w:rFonts w:hint="eastAsia" w:ascii="仿宋" w:hAnsi="仿宋" w:eastAsia="仿宋" w:cs="仿宋"/>
          <w:color w:val="000000"/>
          <w:sz w:val="32"/>
          <w:u w:color="auto"/>
          <w:lang w:val="en-US" w:eastAsia="zh-CN"/>
        </w:rPr>
        <w:t>0</w:t>
      </w:r>
      <w:r>
        <w:rPr>
          <w:rFonts w:ascii="仿宋" w:hAnsi="仿宋" w:eastAsia="仿宋" w:cs="仿宋"/>
          <w:color w:val="000000"/>
          <w:sz w:val="32"/>
          <w:u w:color="auto"/>
        </w:rPr>
        <w:t>万元，主要包括：基本工资28.15万元、津贴补贴27.72万元、奖金31.53万元、机关事业单位基本养老保险缴费8.69万元、职业年金缴费4.35万元、职工基本医疗保险缴费8.97万元、其他社会保障缴费5</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万元、住房公积金7.96万元、医疗费1.67万元、生活补助4.45万元。</w:t>
      </w:r>
    </w:p>
    <w:p w14:paraId="39B6CA0F">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公用经费</w:t>
      </w:r>
      <w:r>
        <w:rPr>
          <w:rFonts w:ascii="仿宋" w:hAnsi="仿宋" w:eastAsia="仿宋" w:cs="仿宋"/>
          <w:color w:val="000000"/>
          <w:sz w:val="32"/>
          <w:u w:color="auto"/>
        </w:rPr>
        <w:t>8.23万元，主要包括：办公费2</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万元、电费0.23万元、差旅费2</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万元、公务用车运行维护费4</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w:t>
      </w:r>
    </w:p>
    <w:p w14:paraId="151B178E">
      <w:pPr>
        <w:pStyle w:val="3"/>
        <w:keepNext w:val="0"/>
        <w:keepLines w:val="0"/>
        <w:pageBreakBefore w:val="0"/>
        <w:widowControl w:val="0"/>
        <w:kinsoku/>
        <w:wordWrap/>
        <w:overflowPunct/>
        <w:topLinePunct w:val="0"/>
        <w:autoSpaceDE/>
        <w:autoSpaceDN/>
        <w:bidi w:val="0"/>
        <w:adjustRightInd/>
        <w:snapToGrid/>
        <w:spacing w:beforeAutospacing="0" w:afterAutospacing="0"/>
        <w:ind w:firstLine="720" w:firstLineChars="200"/>
        <w:textAlignment w:val="auto"/>
        <w:rPr>
          <w:rFonts w:hint="eastAsia" w:ascii="黑体" w:hAnsi="黑体" w:eastAsia="黑体" w:cs="黑体"/>
          <w:b w:val="0"/>
          <w:bCs/>
          <w:color w:val="000000"/>
        </w:rPr>
      </w:pPr>
      <w:bookmarkStart w:id="52" w:name="_Toc15377215"/>
      <w:bookmarkStart w:id="53" w:name="_Toc6614"/>
      <w:bookmarkStart w:id="54" w:name="_Toc111208505"/>
      <w:r>
        <w:rPr>
          <w:rFonts w:hint="eastAsia" w:ascii="黑体" w:hAnsi="黑体" w:eastAsia="黑体" w:cs="黑体"/>
          <w:b w:val="0"/>
          <w:bCs/>
          <w:color w:val="000000"/>
        </w:rPr>
        <w:t>七、“三公”经费财政拨款支出决算情况说明</w:t>
      </w:r>
      <w:bookmarkEnd w:id="52"/>
      <w:bookmarkEnd w:id="53"/>
      <w:bookmarkEnd w:id="54"/>
    </w:p>
    <w:p w14:paraId="613FE38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14:paraId="0C6B4B9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“三公”经费财政拨款支出决算为</w:t>
      </w:r>
      <w:r>
        <w:rPr>
          <w:rFonts w:ascii="仿宋" w:hAnsi="仿宋" w:eastAsia="仿宋" w:cs="仿宋"/>
          <w:color w:val="000000"/>
          <w:sz w:val="32"/>
          <w:u w:color="auto"/>
        </w:rPr>
        <w:t>12.28万元，完成预算100%，较上年度减少0.9</w:t>
      </w:r>
      <w:r>
        <w:rPr>
          <w:rFonts w:hint="eastAsia" w:ascii="仿宋" w:hAnsi="仿宋" w:eastAsia="仿宋" w:cs="仿宋"/>
          <w:color w:val="000000"/>
          <w:sz w:val="32"/>
          <w:u w:color="auto"/>
          <w:lang w:val="en-US" w:eastAsia="zh-CN"/>
        </w:rPr>
        <w:t>0</w:t>
      </w:r>
      <w:r>
        <w:rPr>
          <w:rFonts w:ascii="仿宋" w:hAnsi="仿宋" w:eastAsia="仿宋" w:cs="仿宋"/>
          <w:color w:val="000000"/>
          <w:sz w:val="32"/>
          <w:u w:color="auto"/>
        </w:rPr>
        <w:t>万元，下降6.9%。</w:t>
      </w:r>
      <w:bookmarkStart w:id="56" w:name="_Toc15377217"/>
      <w:r>
        <w:rPr>
          <w:rFonts w:hint="eastAsia" w:ascii="仿宋" w:hAnsi="仿宋" w:eastAsia="仿宋" w:cs="仿宋"/>
          <w:color w:val="000000"/>
          <w:sz w:val="32"/>
          <w:u w:color="auto"/>
          <w:lang w:val="en-US" w:eastAsia="zh-CN"/>
        </w:rPr>
        <w:t>减少的原因是：公务用车费用减少。</w:t>
      </w:r>
    </w:p>
    <w:p w14:paraId="5BC57BE3">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14:paraId="3F323677">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w:t>
      </w:r>
      <w:r>
        <w:rPr>
          <w:rFonts w:ascii="仿宋" w:hAnsi="仿宋" w:eastAsia="仿宋" w:cs="仿宋"/>
          <w:color w:val="000000"/>
          <w:sz w:val="32"/>
          <w:u w:color="auto"/>
        </w:rPr>
        <w:t>12.28万元，因公出国（境）费支出决算0万元，占0%；公务用车购置及运行维护费支出决算12.28万元，占100%；公务接待费支出决算0万元，占0%。具体情况如下：</w:t>
      </w:r>
    </w:p>
    <w:p w14:paraId="35A33F8D">
      <w:pPr>
        <w:pStyle w:val="5"/>
        <w:jc w:val="center"/>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2767330" cy="1435735"/>
            <wp:effectExtent l="5080" t="4445" r="8890" b="762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9D76AF">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1.因公出国（境）经费支出</w:t>
      </w:r>
      <w:r>
        <w:rPr>
          <w:rFonts w:hint="eastAsia" w:ascii="仿宋" w:hAnsi="仿宋" w:eastAsia="仿宋" w:cs="仿宋"/>
          <w:color w:val="000000"/>
          <w:sz w:val="32"/>
          <w:szCs w:val="32"/>
        </w:rPr>
        <w:t>0</w:t>
      </w:r>
      <w:r>
        <w:rPr>
          <w:rFonts w:ascii="仿宋" w:hAnsi="仿宋" w:eastAsia="仿宋" w:cs="仿宋"/>
          <w:color w:val="000000"/>
          <w:sz w:val="32"/>
          <w:u w:color="auto"/>
        </w:rPr>
        <w:t xml:space="preserve">万元,完成预算100%。全年安排因公出国（境）团组0次，出国（境）0人。因公出国（境）支出决算比2023年增加0万元，增长0%。 </w:t>
      </w:r>
    </w:p>
    <w:p w14:paraId="327BF985">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2.公务用车购置及运行维护费支出</w:t>
      </w:r>
      <w:r>
        <w:rPr>
          <w:rFonts w:hint="eastAsia" w:ascii="仿宋" w:hAnsi="仿宋" w:eastAsia="仿宋" w:cs="仿宋"/>
          <w:color w:val="000000"/>
          <w:sz w:val="32"/>
          <w:szCs w:val="32"/>
        </w:rPr>
        <w:t>12.28</w:t>
      </w:r>
      <w:r>
        <w:rPr>
          <w:rFonts w:ascii="仿宋" w:hAnsi="仿宋" w:eastAsia="仿宋" w:cs="仿宋"/>
          <w:color w:val="000000"/>
          <w:sz w:val="32"/>
          <w:u w:color="auto"/>
        </w:rPr>
        <w:t>万元,完成预算100%。公务用车购置及运行维护费支出决算比2023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减少0.85</w:t>
      </w:r>
      <w:r>
        <w:rPr>
          <w:rFonts w:ascii="仿宋" w:hAnsi="仿宋" w:eastAsia="仿宋" w:cs="仿宋"/>
          <w:color w:val="000000"/>
          <w:sz w:val="32"/>
          <w:u w:color="auto"/>
        </w:rPr>
        <w:t xml:space="preserve">万元，下降6.4%。 </w:t>
      </w:r>
    </w:p>
    <w:p w14:paraId="7D2B639A">
      <w:pPr>
        <w:spacing w:line="60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其中：</w:t>
      </w:r>
      <w:r>
        <w:rPr>
          <w:rFonts w:hint="eastAsia" w:ascii="仿宋" w:hAnsi="仿宋" w:eastAsia="仿宋" w:cs="仿宋"/>
          <w:b/>
          <w:bCs/>
          <w:color w:val="000000"/>
          <w:sz w:val="32"/>
          <w:szCs w:val="32"/>
          <w:highlight w:val="none"/>
        </w:rPr>
        <w:t>公务用车购置支出</w:t>
      </w:r>
      <w:r>
        <w:rPr>
          <w:rFonts w:hint="eastAsia" w:ascii="仿宋" w:hAnsi="仿宋" w:eastAsia="仿宋" w:cs="仿宋"/>
          <w:color w:val="000000"/>
          <w:sz w:val="32"/>
          <w:szCs w:val="32"/>
          <w:highlight w:val="none"/>
        </w:rPr>
        <w:t>0</w:t>
      </w:r>
      <w:r>
        <w:rPr>
          <w:rFonts w:ascii="仿宋" w:hAnsi="仿宋" w:eastAsia="仿宋" w:cs="仿宋"/>
          <w:color w:val="000000"/>
          <w:sz w:val="32"/>
          <w:highlight w:val="none"/>
          <w:u w:color="auto"/>
        </w:rPr>
        <w:t>万元。全年按规定更新购置公务用车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辆，其中：轿车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辆、金额</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万元，越野车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辆、金额</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万元，载客汽车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辆、金额</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万元。截至</w:t>
      </w:r>
      <w:r>
        <w:rPr>
          <w:rFonts w:ascii="仿宋" w:hAnsi="仿宋" w:eastAsia="仿宋" w:cs="仿宋"/>
          <w:color w:val="000000"/>
          <w:sz w:val="32"/>
          <w:highlight w:val="none"/>
          <w:u w:color="auto"/>
        </w:rPr>
        <w:t>2024年12月</w:t>
      </w:r>
      <w:r>
        <w:rPr>
          <w:rFonts w:hint="eastAsia" w:ascii="仿宋" w:hAnsi="仿宋" w:eastAsia="仿宋" w:cs="仿宋"/>
          <w:color w:val="000000"/>
          <w:sz w:val="32"/>
          <w:szCs w:val="32"/>
          <w:highlight w:val="none"/>
          <w:lang w:val="en-US" w:eastAsia="zh-CN"/>
        </w:rPr>
        <w:t>31日</w:t>
      </w:r>
      <w:r>
        <w:rPr>
          <w:rFonts w:hint="eastAsia" w:ascii="仿宋" w:hAnsi="仿宋" w:eastAsia="仿宋" w:cs="仿宋"/>
          <w:color w:val="000000"/>
          <w:sz w:val="32"/>
          <w:szCs w:val="32"/>
          <w:highlight w:val="none"/>
        </w:rPr>
        <w:t>，单位共有公务用车</w:t>
      </w:r>
      <w:r>
        <w:rPr>
          <w:rFonts w:ascii="仿宋" w:hAnsi="仿宋" w:eastAsia="仿宋" w:cs="仿宋"/>
          <w:color w:val="000000"/>
          <w:sz w:val="32"/>
          <w:highlight w:val="none"/>
          <w:u w:color="auto"/>
        </w:rPr>
        <w:t>2辆，其中：轿车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辆、越野车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辆、载客汽车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w:t>
      </w:r>
      <w:r>
        <w:rPr>
          <w:rFonts w:hint="eastAsia" w:ascii="仿宋" w:hAnsi="仿宋" w:eastAsia="仿宋" w:cs="仿宋"/>
          <w:color w:val="000000"/>
          <w:sz w:val="32"/>
          <w:szCs w:val="32"/>
          <w:highlight w:val="none"/>
          <w:lang w:val="en-US" w:eastAsia="zh-CN"/>
        </w:rPr>
        <w:t>。</w:t>
      </w:r>
    </w:p>
    <w:p w14:paraId="2ED6A1A6">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公务用车运行维护费支出</w:t>
      </w:r>
      <w:r>
        <w:rPr>
          <w:rFonts w:hint="eastAsia" w:ascii="仿宋" w:hAnsi="仿宋" w:eastAsia="仿宋" w:cs="仿宋"/>
          <w:color w:val="000000"/>
          <w:sz w:val="32"/>
          <w:szCs w:val="32"/>
        </w:rPr>
        <w:t>12.28</w:t>
      </w:r>
      <w:r>
        <w:rPr>
          <w:rFonts w:ascii="仿宋" w:hAnsi="仿宋" w:eastAsia="仿宋" w:cs="仿宋"/>
          <w:color w:val="000000"/>
          <w:sz w:val="32"/>
          <w:u w:color="auto"/>
        </w:rPr>
        <w:t xml:space="preserve">万元。 </w:t>
      </w:r>
    </w:p>
    <w:p w14:paraId="2C1431EB">
      <w:pPr>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rPr>
        <w:t>3.公务接待费支出</w:t>
      </w:r>
      <w:r>
        <w:rPr>
          <w:rFonts w:hint="eastAsia" w:ascii="仿宋" w:hAnsi="仿宋" w:eastAsia="仿宋" w:cs="仿宋"/>
          <w:color w:val="000000"/>
          <w:sz w:val="32"/>
          <w:szCs w:val="32"/>
        </w:rPr>
        <w:t>0</w:t>
      </w:r>
      <w:r>
        <w:rPr>
          <w:rFonts w:ascii="仿宋" w:hAnsi="仿宋" w:eastAsia="仿宋" w:cs="仿宋"/>
          <w:color w:val="000000"/>
          <w:sz w:val="32"/>
          <w:u w:color="auto"/>
        </w:rPr>
        <w:t>万元，完成预算0%。公务接待费支出决算比2023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减少0.06</w:t>
      </w:r>
      <w:r>
        <w:rPr>
          <w:rFonts w:ascii="仿宋" w:hAnsi="仿宋" w:eastAsia="仿宋" w:cs="仿宋"/>
          <w:color w:val="000000"/>
          <w:sz w:val="32"/>
          <w:u w:color="auto"/>
        </w:rPr>
        <w:t>万元，下降100%</w:t>
      </w:r>
      <w:bookmarkStart w:id="57" w:name="_Toc15377218"/>
      <w:r>
        <w:rPr>
          <w:rFonts w:hint="eastAsia" w:ascii="仿宋" w:hAnsi="仿宋" w:eastAsia="仿宋" w:cs="仿宋"/>
          <w:color w:val="000000"/>
          <w:sz w:val="32"/>
          <w:szCs w:val="32"/>
        </w:rPr>
        <w:t xml:space="preserve">。 </w:t>
      </w:r>
    </w:p>
    <w:p w14:paraId="7F3EE578">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国内公务接待支出</w:t>
      </w:r>
      <w:r>
        <w:rPr>
          <w:rFonts w:hint="eastAsia" w:ascii="仿宋" w:hAnsi="仿宋" w:eastAsia="仿宋" w:cs="仿宋"/>
          <w:color w:val="000000"/>
          <w:sz w:val="32"/>
          <w:szCs w:val="32"/>
        </w:rPr>
        <w:t>0</w:t>
      </w:r>
      <w:r>
        <w:rPr>
          <w:rFonts w:ascii="仿宋" w:hAnsi="仿宋" w:eastAsia="仿宋" w:cs="仿宋"/>
          <w:color w:val="000000"/>
          <w:sz w:val="32"/>
          <w:u w:color="auto"/>
        </w:rPr>
        <w:t>万元，主要用于执行公务、开展业务活动开支的交通费、住宿费、用餐费等。国内公务接待0批次，0人次（不包括陪同人员），共计支出0万元。</w:t>
      </w:r>
    </w:p>
    <w:p w14:paraId="662C5F0F">
      <w:pPr>
        <w:pStyle w:val="5"/>
        <w:rPr>
          <w:rFonts w:hint="eastAsia" w:ascii="仿宋" w:hAnsi="仿宋" w:eastAsia="仿宋" w:cs="仿宋"/>
          <w:color w:val="000000"/>
          <w:sz w:val="32"/>
          <w:szCs w:val="32"/>
        </w:rPr>
      </w:pPr>
      <w:r>
        <w:rPr>
          <w:rFonts w:hint="eastAsia" w:ascii="仿宋" w:hAnsi="仿宋" w:eastAsia="仿宋" w:cs="仿宋"/>
          <w:b/>
          <w:bCs/>
          <w:color w:val="000000"/>
          <w:sz w:val="32"/>
          <w:szCs w:val="32"/>
        </w:rPr>
        <w:t>外事接待支出</w:t>
      </w:r>
      <w:r>
        <w:rPr>
          <w:rFonts w:hint="eastAsia" w:ascii="仿宋" w:hAnsi="仿宋" w:eastAsia="仿宋" w:cs="仿宋"/>
          <w:color w:val="000000"/>
          <w:sz w:val="32"/>
          <w:szCs w:val="32"/>
        </w:rPr>
        <w:t>0</w:t>
      </w:r>
      <w:r>
        <w:rPr>
          <w:rFonts w:ascii="仿宋" w:hAnsi="仿宋" w:eastAsia="仿宋" w:cs="仿宋"/>
          <w:color w:val="000000"/>
          <w:sz w:val="32"/>
          <w:u w:color="auto"/>
        </w:rPr>
        <w:t>万元，外事接待0批次，0人次（不包括陪同人员），共计支出0万元。</w:t>
      </w:r>
    </w:p>
    <w:p w14:paraId="5DA11626">
      <w:pPr>
        <w:pStyle w:val="3"/>
        <w:keepNext w:val="0"/>
        <w:keepLines w:val="0"/>
        <w:pageBreakBefore w:val="0"/>
        <w:widowControl w:val="0"/>
        <w:kinsoku/>
        <w:wordWrap/>
        <w:overflowPunct/>
        <w:topLinePunct w:val="0"/>
        <w:autoSpaceDE/>
        <w:autoSpaceDN/>
        <w:bidi w:val="0"/>
        <w:adjustRightInd/>
        <w:snapToGrid/>
        <w:spacing w:beforeAutospacing="0" w:afterAutospacing="0"/>
        <w:ind w:firstLine="720" w:firstLineChars="200"/>
        <w:textAlignment w:val="auto"/>
        <w:rPr>
          <w:rFonts w:hint="eastAsia" w:ascii="黑体" w:hAnsi="黑体" w:eastAsia="黑体" w:cs="黑体"/>
          <w:b w:val="0"/>
          <w:bCs/>
          <w:color w:val="000000"/>
        </w:rPr>
      </w:pPr>
      <w:bookmarkStart w:id="58" w:name="_Toc111208506"/>
      <w:bookmarkStart w:id="59" w:name="_Toc20439"/>
      <w:r>
        <w:rPr>
          <w:rFonts w:hint="eastAsia" w:ascii="黑体" w:hAnsi="黑体" w:eastAsia="黑体" w:cs="黑体"/>
          <w:b w:val="0"/>
          <w:bCs/>
          <w:color w:val="000000"/>
        </w:rPr>
        <w:t>八、政府性基金预算支出决算情况说明</w:t>
      </w:r>
      <w:bookmarkEnd w:id="57"/>
      <w:bookmarkEnd w:id="58"/>
      <w:bookmarkEnd w:id="59"/>
    </w:p>
    <w:p w14:paraId="1C23069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 w:hAnsi="仿宋" w:eastAsia="仿宋" w:cs="仿宋"/>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政府性基金预算拨款支出</w:t>
      </w:r>
      <w:r>
        <w:rPr>
          <w:rFonts w:ascii="仿宋" w:hAnsi="仿宋" w:eastAsia="仿宋" w:cs="仿宋"/>
          <w:color w:val="000000"/>
          <w:sz w:val="32"/>
          <w:u w:color="auto"/>
        </w:rPr>
        <w:t>364.48万元</w:t>
      </w:r>
      <w:bookmarkStart w:id="60" w:name="_Toc15377219"/>
      <w:r>
        <w:rPr>
          <w:rFonts w:hint="eastAsia" w:ascii="Times New Roman" w:hAnsi="Times New Roman" w:eastAsia="仿宋_GB2312" w:cs="仿宋_GB2312"/>
          <w:color w:val="auto"/>
          <w:kern w:val="2"/>
          <w:sz w:val="32"/>
          <w:szCs w:val="32"/>
          <w:highlight w:val="none"/>
          <w:lang w:val="en-US" w:eastAsia="zh-CN" w:bidi="ar-SA"/>
        </w:rPr>
        <w:t>，占本年支出合计的</w:t>
      </w:r>
      <w:r>
        <w:rPr>
          <w:rFonts w:hint="eastAsia" w:ascii="仿宋" w:hAnsi="仿宋" w:eastAsia="仿宋" w:cs="仿宋"/>
          <w:color w:val="000000"/>
          <w:sz w:val="32"/>
          <w:szCs w:val="32"/>
        </w:rPr>
        <w:t>14%</w:t>
      </w:r>
      <w:r>
        <w:rPr>
          <w:rFonts w:hint="eastAsia" w:ascii="Times New Roman" w:hAnsi="Times New Roman" w:eastAsia="仿宋_GB2312" w:cs="仿宋_GB2312"/>
          <w:color w:val="auto"/>
          <w:kern w:val="2"/>
          <w:sz w:val="32"/>
          <w:szCs w:val="32"/>
          <w:highlight w:val="none"/>
          <w:lang w:val="en-US" w:eastAsia="zh-CN" w:bidi="ar-SA"/>
        </w:rPr>
        <w:t>。与</w:t>
      </w:r>
      <w:r>
        <w:rPr>
          <w:rFonts w:hint="eastAsia" w:ascii="仿宋" w:hAnsi="仿宋" w:eastAsia="仿宋" w:cs="仿宋"/>
          <w:color w:val="000000"/>
          <w:sz w:val="32"/>
          <w:szCs w:val="32"/>
        </w:rPr>
        <w:t>2023</w:t>
      </w:r>
      <w:r>
        <w:rPr>
          <w:rFonts w:hint="eastAsia" w:ascii="Times New Roman" w:hAnsi="Times New Roman" w:eastAsia="仿宋_GB2312" w:cs="仿宋_GB2312"/>
          <w:color w:val="auto"/>
          <w:kern w:val="2"/>
          <w:sz w:val="32"/>
          <w:szCs w:val="32"/>
          <w:highlight w:val="none"/>
          <w:lang w:val="en-US" w:eastAsia="zh-CN" w:bidi="ar-SA"/>
        </w:rPr>
        <w:t>年度相比，政府性基金预算财政拨款支出</w:t>
      </w:r>
      <w:r>
        <w:rPr>
          <w:rFonts w:hint="eastAsia" w:ascii="仿宋" w:hAnsi="仿宋" w:eastAsia="仿宋" w:cs="仿宋"/>
          <w:color w:val="000000"/>
          <w:sz w:val="32"/>
          <w:szCs w:val="32"/>
        </w:rPr>
        <w:t>减少76</w:t>
      </w:r>
      <w:r>
        <w:rPr>
          <w:rFonts w:hint="eastAsia" w:ascii="仿宋" w:hAnsi="仿宋" w:eastAsia="仿宋" w:cs="仿宋"/>
          <w:color w:val="000000"/>
          <w:sz w:val="32"/>
          <w:szCs w:val="32"/>
          <w:lang w:val="en-US" w:eastAsia="zh-CN"/>
        </w:rPr>
        <w:t>.60万元</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color w:val="000000"/>
          <w:sz w:val="32"/>
          <w:szCs w:val="32"/>
        </w:rPr>
        <w:t>下降17.4%。</w:t>
      </w:r>
      <w:r>
        <w:rPr>
          <w:rFonts w:ascii="仿宋" w:hAnsi="仿宋" w:eastAsia="仿宋" w:cs="仿宋"/>
          <w:color w:val="000000"/>
          <w:sz w:val="32"/>
          <w:u w:color="auto"/>
        </w:rPr>
        <w:t>主要变动原因是</w:t>
      </w:r>
      <w:r>
        <w:rPr>
          <w:rFonts w:hint="eastAsia" w:ascii="仿宋" w:hAnsi="仿宋" w:eastAsia="仿宋" w:cs="仿宋"/>
          <w:color w:val="000000"/>
          <w:sz w:val="32"/>
          <w:u w:color="auto"/>
          <w:lang w:eastAsia="zh-CN"/>
        </w:rPr>
        <w:t>：</w:t>
      </w:r>
      <w:r>
        <w:rPr>
          <w:rFonts w:hint="eastAsia" w:ascii="仿宋" w:hAnsi="仿宋" w:eastAsia="仿宋" w:cs="仿宋"/>
          <w:color w:val="000000"/>
          <w:sz w:val="32"/>
          <w:u w:color="auto"/>
          <w:lang w:val="en-US" w:eastAsia="zh-CN"/>
        </w:rPr>
        <w:t>项目建设资金减少</w:t>
      </w:r>
      <w:r>
        <w:rPr>
          <w:rFonts w:ascii="仿宋" w:hAnsi="仿宋" w:eastAsia="仿宋" w:cs="仿宋"/>
          <w:color w:val="000000"/>
          <w:sz w:val="32"/>
          <w:u w:color="auto"/>
        </w:rPr>
        <w:t xml:space="preserve">。 </w:t>
      </w:r>
    </w:p>
    <w:p w14:paraId="79E1D034">
      <w:pPr>
        <w:pStyle w:val="3"/>
        <w:keepNext w:val="0"/>
        <w:keepLines w:val="0"/>
        <w:pageBreakBefore w:val="0"/>
        <w:widowControl w:val="0"/>
        <w:kinsoku/>
        <w:wordWrap/>
        <w:overflowPunct/>
        <w:topLinePunct w:val="0"/>
        <w:autoSpaceDE/>
        <w:autoSpaceDN/>
        <w:bidi w:val="0"/>
        <w:adjustRightInd/>
        <w:snapToGrid/>
        <w:spacing w:beforeAutospacing="0" w:afterAutospacing="0"/>
        <w:ind w:firstLine="720" w:firstLineChars="200"/>
        <w:textAlignment w:val="auto"/>
        <w:rPr>
          <w:rFonts w:hint="eastAsia" w:ascii="黑体" w:hAnsi="黑体" w:eastAsia="黑体" w:cs="黑体"/>
          <w:b w:val="0"/>
          <w:bCs/>
          <w:color w:val="000000"/>
        </w:rPr>
      </w:pPr>
      <w:bookmarkStart w:id="61" w:name="_Toc111208507"/>
      <w:bookmarkStart w:id="62" w:name="_Toc23467"/>
      <w:r>
        <w:rPr>
          <w:rFonts w:hint="eastAsia" w:ascii="黑体" w:hAnsi="黑体" w:eastAsia="黑体" w:cs="黑体"/>
          <w:b w:val="0"/>
          <w:bCs/>
          <w:color w:val="000000"/>
        </w:rPr>
        <w:t>九、国有资本经营预算支出决算情况说明</w:t>
      </w:r>
      <w:bookmarkEnd w:id="60"/>
      <w:bookmarkEnd w:id="61"/>
      <w:bookmarkEnd w:id="62"/>
    </w:p>
    <w:p w14:paraId="19F0375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 w:hAnsi="仿宋" w:eastAsia="仿宋" w:cs="仿宋"/>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国有资本经营预算拨款支出</w:t>
      </w:r>
      <w:r>
        <w:rPr>
          <w:rFonts w:ascii="仿宋" w:hAnsi="仿宋" w:eastAsia="仿宋" w:cs="仿宋"/>
          <w:color w:val="000000"/>
          <w:sz w:val="32"/>
          <w:u w:color="auto"/>
        </w:rPr>
        <w:t>0万元</w:t>
      </w:r>
      <w:r>
        <w:rPr>
          <w:rFonts w:hint="eastAsia" w:ascii="仿宋" w:hAnsi="仿宋" w:eastAsia="仿宋" w:cs="仿宋"/>
          <w:color w:val="000000"/>
          <w:sz w:val="32"/>
          <w:szCs w:val="32"/>
        </w:rPr>
        <w:t>。</w:t>
      </w:r>
      <w:r>
        <w:rPr>
          <w:rFonts w:ascii="仿宋" w:hAnsi="仿宋" w:eastAsia="仿宋" w:cs="仿宋"/>
          <w:color w:val="000000"/>
          <w:sz w:val="32"/>
          <w:u w:color="auto"/>
        </w:rPr>
        <w:t xml:space="preserve"> </w:t>
      </w:r>
    </w:p>
    <w:p w14:paraId="76FD0E14">
      <w:pPr>
        <w:pStyle w:val="3"/>
        <w:keepNext w:val="0"/>
        <w:keepLines w:val="0"/>
        <w:pageBreakBefore w:val="0"/>
        <w:widowControl w:val="0"/>
        <w:kinsoku/>
        <w:wordWrap/>
        <w:overflowPunct/>
        <w:topLinePunct w:val="0"/>
        <w:autoSpaceDE/>
        <w:autoSpaceDN/>
        <w:bidi w:val="0"/>
        <w:adjustRightInd/>
        <w:snapToGrid/>
        <w:spacing w:beforeAutospacing="0" w:afterAutospacing="0"/>
        <w:ind w:firstLine="720" w:firstLineChars="200"/>
        <w:textAlignment w:val="auto"/>
        <w:rPr>
          <w:rFonts w:hint="eastAsia" w:ascii="黑体" w:hAnsi="黑体" w:eastAsia="黑体" w:cs="黑体"/>
          <w:b w:val="0"/>
          <w:bCs/>
          <w:color w:val="000000"/>
        </w:rPr>
      </w:pPr>
      <w:bookmarkStart w:id="63" w:name="_Toc15377221"/>
      <w:bookmarkStart w:id="64" w:name="_Toc18455"/>
      <w:bookmarkStart w:id="65" w:name="_Toc111208508"/>
      <w:r>
        <w:rPr>
          <w:rFonts w:hint="eastAsia" w:ascii="黑体" w:hAnsi="黑体" w:eastAsia="黑体" w:cs="黑体"/>
          <w:b w:val="0"/>
          <w:bCs/>
          <w:color w:val="000000"/>
        </w:rPr>
        <w:t>十、其他重要事项的情况说明</w:t>
      </w:r>
      <w:bookmarkEnd w:id="63"/>
      <w:bookmarkEnd w:id="64"/>
      <w:bookmarkEnd w:id="65"/>
    </w:p>
    <w:p w14:paraId="019CBB2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2"/>
        <w:rPr>
          <w:rFonts w:hint="eastAsia" w:ascii="楷体" w:hAnsi="楷体" w:eastAsia="楷体" w:cs="楷体"/>
          <w:b/>
          <w:color w:val="000000"/>
          <w:sz w:val="32"/>
          <w:szCs w:val="32"/>
        </w:rPr>
      </w:pPr>
      <w:bookmarkStart w:id="66" w:name="_Toc15377222"/>
      <w:r>
        <w:rPr>
          <w:rFonts w:hint="eastAsia" w:ascii="楷体" w:hAnsi="楷体" w:eastAsia="楷体" w:cs="楷体"/>
          <w:b/>
          <w:color w:val="000000"/>
          <w:sz w:val="32"/>
          <w:szCs w:val="32"/>
        </w:rPr>
        <w:t>（一）机关运行经费支出情况</w:t>
      </w:r>
      <w:bookmarkEnd w:id="66"/>
    </w:p>
    <w:p w14:paraId="527675A8">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w:t>
      </w:r>
      <w:r>
        <w:rPr>
          <w:rFonts w:ascii="仿宋" w:hAnsi="仿宋" w:eastAsia="仿宋" w:cs="仿宋"/>
          <w:color w:val="000000"/>
          <w:sz w:val="32"/>
          <w:u w:color="auto"/>
        </w:rPr>
        <w:t xml:space="preserve">茂县水务局（本级）机关运行经费支出8.23万元，比2023年减少0.06万元，下降0.7%。 </w:t>
      </w:r>
    </w:p>
    <w:p w14:paraId="66094D57">
      <w:pPr>
        <w:spacing w:line="600" w:lineRule="exact"/>
        <w:ind w:firstLine="643" w:firstLineChars="200"/>
        <w:outlineLvl w:val="2"/>
        <w:rPr>
          <w:rFonts w:hint="eastAsia" w:ascii="楷体" w:hAnsi="楷体" w:eastAsia="楷体" w:cs="楷体"/>
          <w:b/>
          <w:color w:val="000000"/>
          <w:sz w:val="32"/>
          <w:szCs w:val="32"/>
        </w:rPr>
      </w:pPr>
      <w:bookmarkStart w:id="67" w:name="_Toc15377223"/>
      <w:r>
        <w:rPr>
          <w:rFonts w:hint="eastAsia" w:ascii="楷体" w:hAnsi="楷体" w:eastAsia="楷体" w:cs="楷体"/>
          <w:b/>
          <w:color w:val="000000"/>
          <w:sz w:val="32"/>
          <w:szCs w:val="32"/>
        </w:rPr>
        <w:t>（二）政府采购支出情况</w:t>
      </w:r>
      <w:bookmarkEnd w:id="67"/>
    </w:p>
    <w:p w14:paraId="2CEFD7A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w:t>
      </w:r>
      <w:r>
        <w:rPr>
          <w:rFonts w:ascii="仿宋" w:hAnsi="仿宋" w:eastAsia="仿宋" w:cs="仿宋"/>
          <w:color w:val="000000"/>
          <w:sz w:val="32"/>
          <w:u w:color="auto"/>
        </w:rPr>
        <w:t>茂县水务局（本级）政府采购支出总额754.24万元，其中：政府采购货物支出544.24万元、政府采购工程支出0万元、政府采购服务支出210万元。授予中小企业合同金额754.24万元，</w:t>
      </w:r>
      <w:r>
        <w:rPr>
          <w:rFonts w:hint="eastAsia" w:ascii="仿宋" w:hAnsi="仿宋" w:eastAsia="仿宋" w:cs="仿宋"/>
          <w:color w:val="000000"/>
          <w:sz w:val="32"/>
          <w:szCs w:val="32"/>
          <w:lang w:val="en-US" w:eastAsia="zh-CN"/>
        </w:rPr>
        <w:t>占政府采购支出总额的</w:t>
      </w:r>
      <w:r>
        <w:rPr>
          <w:rFonts w:ascii="仿宋" w:hAnsi="仿宋" w:eastAsia="仿宋" w:cs="仿宋"/>
          <w:color w:val="000000"/>
          <w:sz w:val="32"/>
          <w:u w:color="auto"/>
        </w:rPr>
        <w:t>100%,</w:t>
      </w:r>
      <w:r>
        <w:rPr>
          <w:rFonts w:hint="eastAsia" w:ascii="仿宋" w:hAnsi="仿宋" w:eastAsia="仿宋" w:cs="仿宋"/>
          <w:color w:val="000000"/>
          <w:sz w:val="32"/>
          <w:szCs w:val="32"/>
        </w:rPr>
        <w:t>其中：授予小微企业合同金额</w:t>
      </w:r>
      <w:r>
        <w:rPr>
          <w:rFonts w:ascii="仿宋" w:hAnsi="仿宋" w:eastAsia="仿宋" w:cs="仿宋"/>
          <w:color w:val="000000"/>
          <w:sz w:val="32"/>
          <w:u w:color="auto"/>
        </w:rPr>
        <w:t>754.24万元，占</w:t>
      </w:r>
      <w:r>
        <w:rPr>
          <w:rFonts w:hint="eastAsia" w:ascii="仿宋" w:hAnsi="仿宋" w:eastAsia="仿宋" w:cs="仿宋"/>
          <w:color w:val="000000"/>
          <w:sz w:val="32"/>
          <w:szCs w:val="32"/>
          <w:lang w:val="en-US" w:eastAsia="zh-CN"/>
        </w:rPr>
        <w:t>政府采购支出总额</w:t>
      </w:r>
      <w:r>
        <w:rPr>
          <w:rFonts w:hint="eastAsia" w:ascii="仿宋" w:hAnsi="仿宋" w:eastAsia="仿宋" w:cs="仿宋"/>
          <w:color w:val="000000"/>
          <w:sz w:val="32"/>
          <w:szCs w:val="32"/>
        </w:rPr>
        <w:t>的</w:t>
      </w:r>
      <w:r>
        <w:rPr>
          <w:rFonts w:ascii="仿宋" w:hAnsi="仿宋" w:eastAsia="仿宋" w:cs="仿宋"/>
          <w:color w:val="000000"/>
          <w:sz w:val="32"/>
          <w:u w:color="auto"/>
        </w:rPr>
        <w:t>100%。</w:t>
      </w:r>
    </w:p>
    <w:p w14:paraId="12B7C937">
      <w:pPr>
        <w:spacing w:line="600" w:lineRule="exact"/>
        <w:ind w:firstLine="643" w:firstLineChars="200"/>
        <w:outlineLvl w:val="2"/>
        <w:rPr>
          <w:rFonts w:hint="eastAsia" w:ascii="楷体" w:hAnsi="楷体" w:eastAsia="楷体" w:cs="楷体"/>
          <w:b/>
          <w:color w:val="000000"/>
          <w:sz w:val="32"/>
          <w:szCs w:val="32"/>
        </w:rPr>
      </w:pPr>
      <w:bookmarkStart w:id="68" w:name="_Toc15377224"/>
      <w:r>
        <w:rPr>
          <w:rFonts w:hint="eastAsia" w:ascii="楷体" w:hAnsi="楷体" w:eastAsia="楷体" w:cs="楷体"/>
          <w:b/>
          <w:color w:val="000000"/>
          <w:sz w:val="32"/>
          <w:szCs w:val="32"/>
        </w:rPr>
        <w:t>（三）国有资产占有使用情况</w:t>
      </w:r>
      <w:bookmarkEnd w:id="68"/>
    </w:p>
    <w:p w14:paraId="17A0ED7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截至</w:t>
      </w:r>
      <w:r>
        <w:rPr>
          <w:rFonts w:ascii="仿宋" w:hAnsi="仿宋" w:eastAsia="仿宋" w:cs="仿宋"/>
          <w:color w:val="000000"/>
          <w:sz w:val="32"/>
          <w:u w:color="auto"/>
        </w:rPr>
        <w:t>2024年12月31日，茂县水务局（本级）共有车辆2辆，其中：主要领导干部用车0辆、机要通信用车0辆、应急保障用车0辆、其他用车2辆。单价100万元以上专用设备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不含车辆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0</w:t>
      </w:r>
      <w:r>
        <w:rPr>
          <w:rFonts w:ascii="仿宋" w:hAnsi="仿宋" w:eastAsia="仿宋" w:cs="仿宋"/>
          <w:color w:val="000000"/>
          <w:sz w:val="32"/>
          <w:u w:color="auto"/>
        </w:rPr>
        <w:t>台（套）。</w:t>
      </w:r>
    </w:p>
    <w:p w14:paraId="4EF50863">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（四）预算绩效管理情况</w:t>
      </w:r>
    </w:p>
    <w:p w14:paraId="08A9B81F">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jc w:val="left"/>
        <w:textAlignment w:val="auto"/>
        <w:rPr>
          <w:rFonts w:hint="eastAsia" w:ascii="仿宋_GB2312" w:cs="Times New Roman"/>
          <w:color w:val="auto"/>
          <w:sz w:val="32"/>
          <w:szCs w:val="32"/>
          <w:highlight w:val="none"/>
          <w:lang w:val="en-US" w:eastAsia="zh-CN"/>
        </w:rPr>
      </w:pPr>
      <w:r>
        <w:rPr>
          <w:rFonts w:hint="eastAsia" w:ascii="仿宋_GB2312" w:hAnsi="Times New Roman" w:eastAsia="仿宋_GB2312" w:cs="Times New Roman"/>
          <w:color w:val="000000"/>
          <w:sz w:val="32"/>
          <w:szCs w:val="32"/>
          <w:lang w:val="en-US" w:eastAsia="zh-CN"/>
        </w:rPr>
        <w:t>根据预算绩效管理要求，本单位在2024年度预算编制阶段，组织对</w:t>
      </w:r>
      <w:r>
        <w:rPr>
          <w:rFonts w:hint="eastAsia" w:ascii="仿宋_GB2312" w:hAnsi="仿宋_GB2312" w:eastAsia="仿宋_GB2312" w:cs="仿宋_GB2312"/>
          <w:b w:val="0"/>
          <w:bCs w:val="0"/>
          <w:color w:val="000000"/>
          <w:sz w:val="32"/>
          <w:szCs w:val="32"/>
          <w:lang w:eastAsia="zh-CN"/>
        </w:rPr>
        <w:t>2024年度省级水利发展资金（2024年农村安全饮水维修养护项目）、2024年度</w:t>
      </w:r>
      <w:r>
        <w:rPr>
          <w:rFonts w:hint="eastAsia" w:ascii="仿宋_GB2312" w:hAnsi="仿宋_GB2312" w:eastAsia="仿宋_GB2312" w:cs="仿宋_GB2312"/>
          <w:b w:val="0"/>
          <w:bCs w:val="0"/>
          <w:color w:val="000000"/>
          <w:sz w:val="32"/>
          <w:szCs w:val="32"/>
          <w:lang w:val="en-US" w:eastAsia="zh-CN"/>
        </w:rPr>
        <w:t>中央</w:t>
      </w:r>
      <w:r>
        <w:rPr>
          <w:rFonts w:hint="eastAsia" w:ascii="仿宋_GB2312" w:hAnsi="仿宋_GB2312" w:eastAsia="仿宋_GB2312" w:cs="仿宋_GB2312"/>
          <w:b w:val="0"/>
          <w:bCs w:val="0"/>
          <w:color w:val="000000"/>
          <w:sz w:val="32"/>
          <w:szCs w:val="32"/>
          <w:lang w:eastAsia="zh-CN"/>
        </w:rPr>
        <w:t>水利发展资金（山洪灾害防治非工程措施）、2024年度中央水利发展资金（2024年农业水价综合改革项目）、</w:t>
      </w:r>
      <w:r>
        <w:rPr>
          <w:rFonts w:hint="eastAsia" w:ascii="仿宋_GB2312" w:hAnsi="仿宋_GB2312" w:eastAsia="仿宋_GB2312" w:cs="仿宋_GB2312"/>
          <w:sz w:val="32"/>
          <w:szCs w:val="32"/>
          <w:lang w:val="en-US" w:eastAsia="zh-CN"/>
        </w:rPr>
        <w:t>2024年统筹整合使用财政涉农项目农村安全饮水提升改造项目</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sz w:val="32"/>
          <w:szCs w:val="32"/>
          <w:lang w:val="en-US" w:eastAsia="zh-CN"/>
        </w:rPr>
        <w:t>茂县山洪灾害危险区责任人履职补助</w:t>
      </w:r>
      <w:r>
        <w:rPr>
          <w:rFonts w:hint="eastAsia" w:ascii="仿宋_GB2312" w:hAnsi="Times New Roman" w:eastAsia="仿宋_GB2312" w:cs="Times New Roman"/>
          <w:color w:val="000000"/>
          <w:sz w:val="32"/>
          <w:szCs w:val="32"/>
          <w:lang w:val="en-US" w:eastAsia="zh-CN"/>
        </w:rPr>
        <w:t>等</w:t>
      </w:r>
      <w:r>
        <w:rPr>
          <w:rFonts w:hint="eastAsia" w:ascii="仿宋_GB2312" w:cs="Times New Roman"/>
          <w:color w:val="000000"/>
          <w:sz w:val="32"/>
          <w:szCs w:val="32"/>
          <w:lang w:val="en-US" w:eastAsia="zh-CN"/>
        </w:rPr>
        <w:t>5</w:t>
      </w:r>
      <w:r>
        <w:rPr>
          <w:rFonts w:hint="eastAsia" w:ascii="仿宋_GB2312" w:hAnsi="Times New Roman" w:eastAsia="仿宋_GB2312" w:cs="Times New Roman"/>
          <w:color w:val="000000"/>
          <w:sz w:val="32"/>
          <w:szCs w:val="32"/>
          <w:lang w:val="en-US" w:eastAsia="zh-CN"/>
        </w:rPr>
        <w:t>个项目开展了预算事前绩效评估，对</w:t>
      </w:r>
      <w:r>
        <w:rPr>
          <w:rFonts w:hint="eastAsia" w:ascii="仿宋_GB2312" w:cs="Times New Roman"/>
          <w:color w:val="000000"/>
          <w:sz w:val="32"/>
          <w:szCs w:val="32"/>
          <w:lang w:val="en-US" w:eastAsia="zh-CN"/>
        </w:rPr>
        <w:t>5</w:t>
      </w:r>
      <w:r>
        <w:rPr>
          <w:rFonts w:hint="eastAsia" w:ascii="仿宋_GB2312" w:hAnsi="Times New Roman" w:eastAsia="仿宋_GB2312" w:cs="Times New Roman"/>
          <w:color w:val="000000"/>
          <w:sz w:val="32"/>
          <w:szCs w:val="32"/>
          <w:lang w:val="en-US" w:eastAsia="zh-CN"/>
        </w:rPr>
        <w:t>个项目编制了绩效目标，预算执行过程中，选取</w:t>
      </w:r>
      <w:r>
        <w:rPr>
          <w:rFonts w:hint="eastAsia" w:ascii="仿宋_GB2312" w:cs="Times New Roman"/>
          <w:color w:val="000000"/>
          <w:sz w:val="32"/>
          <w:szCs w:val="32"/>
          <w:lang w:val="en-US" w:eastAsia="zh-CN"/>
        </w:rPr>
        <w:t>5</w:t>
      </w:r>
      <w:r>
        <w:rPr>
          <w:rFonts w:hint="eastAsia" w:ascii="仿宋_GB2312" w:hAnsi="Times New Roman" w:eastAsia="仿宋_GB2312" w:cs="Times New Roman"/>
          <w:color w:val="000000"/>
          <w:sz w:val="32"/>
          <w:szCs w:val="32"/>
          <w:lang w:val="en-US" w:eastAsia="zh-CN"/>
        </w:rPr>
        <w:t>个项目开展绩效监控，</w:t>
      </w:r>
      <w:r>
        <w:rPr>
          <w:rFonts w:hint="eastAsia" w:ascii="仿宋_GB2312" w:hAnsi="Times New Roman" w:eastAsia="仿宋_GB2312" w:cs="Times New Roman"/>
          <w:color w:val="auto"/>
          <w:sz w:val="32"/>
          <w:szCs w:val="32"/>
          <w:highlight w:val="none"/>
          <w:lang w:eastAsia="zh-CN"/>
        </w:rPr>
        <w:t>组织对</w:t>
      </w:r>
      <w:r>
        <w:rPr>
          <w:rFonts w:hint="eastAsia" w:ascii="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lang w:val="en-US" w:eastAsia="zh-CN"/>
        </w:rPr>
        <w:t>个项目开展绩效自评</w:t>
      </w:r>
      <w:r>
        <w:rPr>
          <w:rFonts w:hint="eastAsia" w:ascii="仿宋_GB2312" w:cs="Times New Roman"/>
          <w:color w:val="auto"/>
          <w:sz w:val="32"/>
          <w:szCs w:val="32"/>
          <w:highlight w:val="none"/>
          <w:lang w:val="en-US" w:eastAsia="zh-CN"/>
        </w:rPr>
        <w:t>。</w:t>
      </w:r>
    </w:p>
    <w:p w14:paraId="4CD24062">
      <w:pPr>
        <w:keepNext w:val="0"/>
        <w:keepLines w:val="0"/>
        <w:pageBreakBefore w:val="0"/>
        <w:widowControl w:val="0"/>
        <w:kinsoku/>
        <w:wordWrap/>
        <w:overflowPunct/>
        <w:topLinePunct w:val="0"/>
        <w:autoSpaceDE/>
        <w:autoSpaceDN/>
        <w:bidi w:val="0"/>
        <w:adjustRightInd/>
        <w:snapToGrid w:val="0"/>
        <w:spacing w:line="576" w:lineRule="exact"/>
        <w:ind w:right="0" w:firstLine="643" w:firstLineChars="200"/>
        <w:jc w:val="left"/>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b/>
          <w:bCs/>
          <w:color w:val="auto"/>
          <w:sz w:val="32"/>
          <w:szCs w:val="32"/>
          <w:highlight w:val="none"/>
          <w:lang w:val="en-US" w:eastAsia="zh-CN"/>
        </w:rPr>
        <w:t>绩效自评表详见第四部分附件</w:t>
      </w:r>
    </w:p>
    <w:p w14:paraId="7F33C512"/>
    <w:p w14:paraId="1F943EA8">
      <w:pPr>
        <w:widowControl/>
        <w:jc w:val="left"/>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14:paraId="7A1AED01">
      <w:pPr>
        <w:pStyle w:val="2"/>
        <w:jc w:val="center"/>
        <w:rPr>
          <w:rFonts w:hint="eastAsia" w:ascii="黑体" w:hAnsi="黑体" w:eastAsia="黑体" w:cs="黑体"/>
          <w:b w:val="0"/>
          <w:bCs w:val="0"/>
        </w:rPr>
      </w:pPr>
      <w:bookmarkStart w:id="69" w:name="_Toc18122"/>
      <w:bookmarkStart w:id="70" w:name="_Toc15377225"/>
      <w:bookmarkStart w:id="71" w:name="_Toc111208509"/>
      <w:r>
        <w:rPr>
          <w:rFonts w:hint="eastAsia" w:ascii="黑体" w:hAnsi="黑体" w:eastAsia="黑体" w:cs="黑体"/>
          <w:b w:val="0"/>
          <w:bCs w:val="0"/>
        </w:rPr>
        <w:t>第三部分 名词解释</w:t>
      </w:r>
      <w:bookmarkEnd w:id="69"/>
      <w:bookmarkEnd w:id="70"/>
      <w:bookmarkEnd w:id="71"/>
    </w:p>
    <w:p w14:paraId="022F61EC">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1.财政拨款收入：指单位从同级财政部门取得的财政预算资金。</w:t>
      </w:r>
    </w:p>
    <w:p w14:paraId="0CFB853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2.事业收入：指事业单位开展专业业务活动及辅助活动取得的收入。</w:t>
      </w:r>
    </w:p>
    <w:p w14:paraId="616A190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3.经营收入：指事业单位在专业业务活动及其辅助活动之外开展非独立核算经营活动取得的收入</w:t>
      </w:r>
    </w:p>
    <w:p w14:paraId="3F55D9B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4.其他收入：指单位取得的除上述收入以外的各项收入。</w:t>
      </w:r>
    </w:p>
    <w:p w14:paraId="619A9CF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5.使用非财政拨款结余（含专用结余）：指事业单位使用以前年度积累的非财政拨款结余弥补当年收支差额的金额。 </w:t>
      </w:r>
    </w:p>
    <w:p w14:paraId="68EE8AD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6.年初结转和结余：指以前年度尚未完成、结转到本年按有关规定继续使用的资金。 </w:t>
      </w:r>
    </w:p>
    <w:p w14:paraId="0839DE2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7.结余分配：指事业单位按照会计制度规定缴纳的所得税、提取的专用结余以及转入非财政拨款结余的金额等。</w:t>
      </w:r>
    </w:p>
    <w:p w14:paraId="32ED236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8.年末结转和结余：指单位按有关规定结转到下年或以后年度继续使用的资金。</w:t>
      </w:r>
    </w:p>
    <w:p w14:paraId="15C4A99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9.社会保障和就业支出（类）行政事业单位养老支出（款）机关事业单位基本养老保险缴费支出（项）:反映机关事业单位实施养老保险制度由单位缴纳的基本养老保险费支出。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10.社会保障和就业支出（类）行政事业单位养老支出（款）机关事业单位职业年金缴费支出（项）:反映机关事业单位实施养老保险制度由单位实际缴纳的职业年金支出。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11.社会保障和就业支出（类）就业补助（款）公益性岗位补贴（项）:反映财政对符合条件的就业困难人员在公益性岗位就业给予的岗位补贴支出。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12.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13.节能环保支出（类）自然生态保护（款）生态保护（项）:反映用于生态功能区、生态示范区、生态省（市、县）管理及能力建设、日常管护、宣教、试点示范等支出，生态修复支出，资源开发生态监管支出，生态护林员的劳务报酬等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14.农林水支出（类）水利（款）行政运行（项）:反映行政单位（包括实行公务员管理的事业单位）的基本支出。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15.农林水支出（类）水利（款）大中型水库移民后期扶持专项支出（项）:反映中央财政划转大中型水库移民后期扶持基金的支出，包括对销售电量加价部分征收的增值税返还以及用于解决水库移民遗留问题的定额补助。</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16.农林水支出（类）水利（款）其他水利支出（项）:反映除上述项目以外其他用于水利方面的支出。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17.农林水支出（类）巩固脱贫攻坚成果衔接乡村振兴（款）其他巩固脱贫攻坚成果衔接乡村振兴支出（项）:反映除上述项目以外其他用于扶贫方面的支出。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18.住房保障支出（类）住房改革支出（款）住房公积金（项）:反映行政事业单位按人力资源和社会保障部、财政部规定的基本工资和津贴补贴以及规定比例为职工缴纳的住房公积金。</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19.住房保障支出（类）住房改革支出（款）购房补贴（项）:反映按房改政策规定，行政事业单位向符合条件职工（含离退休人员）、军队（含武警）向转役复员离退休人员发放的用于购买住房的补贴。</w:t>
      </w:r>
    </w:p>
    <w:p w14:paraId="773E015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ascii="仿宋" w:hAnsi="仿宋" w:eastAsia="仿宋" w:cs="仿宋"/>
          <w:color w:val="000000"/>
          <w:sz w:val="32"/>
          <w:u w:color="auto"/>
        </w:rPr>
        <w:t>.基本支出：指为保障机构正常运转、完成日常工作任务而发生的人员支出和公用支出。</w:t>
      </w:r>
    </w:p>
    <w:p w14:paraId="0010CAE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21</w:t>
      </w:r>
      <w:r>
        <w:rPr>
          <w:rFonts w:ascii="仿宋" w:hAnsi="仿宋" w:eastAsia="仿宋" w:cs="仿宋"/>
          <w:color w:val="000000"/>
          <w:sz w:val="32"/>
          <w:u w:color="auto"/>
        </w:rPr>
        <w:t xml:space="preserve">.项目支出：指在基本支出之外为完成特定行政任务和事业发展目标所发生的支出。 </w:t>
      </w:r>
    </w:p>
    <w:p w14:paraId="77C94036">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22</w:t>
      </w:r>
      <w:r>
        <w:rPr>
          <w:rFonts w:ascii="仿宋" w:hAnsi="仿宋" w:eastAsia="仿宋" w:cs="仿宋"/>
          <w:color w:val="000000"/>
          <w:sz w:val="32"/>
          <w:u w:color="auto"/>
        </w:rPr>
        <w:t>.经营支出：指事业单位在专业业务活动及其辅助活动之外开展非独立核算经营活动发生的支出。</w:t>
      </w:r>
    </w:p>
    <w:p w14:paraId="2180527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23</w:t>
      </w:r>
      <w:r>
        <w:rPr>
          <w:rFonts w:ascii="仿宋" w:hAnsi="仿宋" w:eastAsia="仿宋" w:cs="仿宋"/>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F45032">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24</w:t>
      </w:r>
      <w:r>
        <w:rPr>
          <w:rFonts w:ascii="仿宋" w:hAnsi="仿宋" w:eastAsia="仿宋" w:cs="仿宋"/>
          <w:color w:val="000000"/>
          <w:sz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E326A87">
      <w:pPr>
        <w:spacing w:line="600" w:lineRule="exact"/>
        <w:ind w:firstLine="640"/>
        <w:rPr>
          <w:rFonts w:hint="eastAsia" w:ascii="仿宋" w:hAnsi="仿宋" w:eastAsia="仿宋" w:cs="仿宋"/>
          <w:sz w:val="32"/>
          <w:szCs w:val="32"/>
        </w:rPr>
      </w:pPr>
      <w:r>
        <w:rPr>
          <w:rFonts w:hint="eastAsia" w:ascii="仿宋" w:hAnsi="仿宋" w:eastAsia="仿宋" w:cs="仿宋"/>
          <w:color w:val="000000"/>
          <w:sz w:val="32"/>
          <w:szCs w:val="32"/>
        </w:rPr>
        <w:t>25</w:t>
      </w:r>
      <w:r>
        <w:rPr>
          <w:rFonts w:ascii="仿宋" w:hAnsi="仿宋" w:eastAsia="仿宋" w:cs="仿宋"/>
          <w:color w:val="000000"/>
          <w:sz w:val="32"/>
          <w:u w:color="auto"/>
        </w:rPr>
        <w:t>.财政应返还额度：为行政事业单位会计核算科目，用于核算实行国库集中支付的行政事业单位应收财政返还的资金额度。</w:t>
      </w:r>
    </w:p>
    <w:p w14:paraId="5882754F">
      <w:pPr>
        <w:widowControl/>
        <w:jc w:val="left"/>
        <w:rPr>
          <w:rFonts w:hint="eastAsia" w:ascii="黑体" w:hAnsi="黑体" w:eastAsia="黑体" w:cs="黑体"/>
          <w:b w:val="0"/>
          <w:bCs w:val="0"/>
        </w:rPr>
      </w:pPr>
      <w:r>
        <w:rPr>
          <w:rStyle w:val="34"/>
          <w:rFonts w:hint="eastAsia" w:ascii="思源黑体 CN Normal" w:hAnsi="思源黑体 CN Normal" w:eastAsia="思源黑体 CN Normal" w:cs="思源黑体 CN Normal"/>
        </w:rPr>
        <w:br w:type="page"/>
      </w:r>
      <w:bookmarkStart w:id="72" w:name="_Toc111208510"/>
      <w:bookmarkStart w:id="73" w:name="_Toc25539"/>
    </w:p>
    <w:p w14:paraId="0D712539">
      <w:pPr>
        <w:pStyle w:val="2"/>
        <w:numPr>
          <w:ilvl w:val="0"/>
          <w:numId w:val="2"/>
        </w:numPr>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附件</w:t>
      </w:r>
      <w:bookmarkEnd w:id="72"/>
      <w:bookmarkEnd w:id="73"/>
      <w:bookmarkStart w:id="74" w:name="_Toc21200"/>
      <w:bookmarkStart w:id="75" w:name="_Toc111208512"/>
      <w:bookmarkStart w:id="76" w:name="_Toc79163885"/>
      <w:bookmarkStart w:id="77" w:name="_Toc79163635"/>
    </w:p>
    <w:p w14:paraId="1E6CFB6B">
      <w:pPr>
        <w:pStyle w:val="7"/>
        <w:jc w:val="center"/>
        <w:rPr>
          <w:rFonts w:hint="eastAsia"/>
          <w:sz w:val="30"/>
          <w:szCs w:val="30"/>
        </w:rPr>
      </w:pPr>
      <w:bookmarkStart w:id="78" w:name="_Toc24411"/>
      <w:bookmarkStart w:id="79" w:name="_Toc13911"/>
      <w:r>
        <w:rPr>
          <w:rFonts w:hint="eastAsia" w:hAnsi="Times New Roman"/>
          <w:sz w:val="30"/>
          <w:szCs w:val="30"/>
        </w:rPr>
        <w:t>单位预算项目支出绩效自评表（202</w:t>
      </w:r>
      <w:r>
        <w:rPr>
          <w:rFonts w:hint="eastAsia"/>
          <w:sz w:val="30"/>
          <w:szCs w:val="30"/>
          <w:lang w:val="en-US" w:eastAsia="zh-CN"/>
        </w:rPr>
        <w:t>4</w:t>
      </w:r>
      <w:r>
        <w:rPr>
          <w:rFonts w:hint="eastAsia" w:hAnsi="Times New Roman"/>
          <w:sz w:val="30"/>
          <w:szCs w:val="30"/>
        </w:rPr>
        <w:t>年度）</w:t>
      </w:r>
      <w:bookmarkEnd w:id="78"/>
      <w:bookmarkEnd w:id="79"/>
    </w:p>
    <w:tbl>
      <w:tblPr>
        <w:tblStyle w:val="21"/>
        <w:tblW w:w="80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117"/>
        <w:gridCol w:w="1148"/>
        <w:gridCol w:w="1370"/>
        <w:gridCol w:w="506"/>
        <w:gridCol w:w="516"/>
        <w:gridCol w:w="336"/>
        <w:gridCol w:w="636"/>
        <w:gridCol w:w="496"/>
        <w:gridCol w:w="446"/>
        <w:gridCol w:w="972"/>
      </w:tblGrid>
      <w:tr w14:paraId="46B6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31656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黑体" w:hAnsi="宋体" w:eastAsia="黑体" w:cs="黑体"/>
                <w:b/>
                <w:bCs/>
                <w:i w:val="0"/>
                <w:iCs w:val="0"/>
                <w:color w:val="000000"/>
                <w:sz w:val="12"/>
                <w:szCs w:val="12"/>
                <w:u w:val="none"/>
              </w:rPr>
            </w:pPr>
            <w:r>
              <w:rPr>
                <w:rFonts w:hint="eastAsia" w:ascii="黑体" w:hAnsi="宋体" w:eastAsia="黑体" w:cs="黑体"/>
                <w:b/>
                <w:bCs/>
                <w:i w:val="0"/>
                <w:iCs w:val="0"/>
                <w:color w:val="000000"/>
                <w:kern w:val="0"/>
                <w:sz w:val="12"/>
                <w:szCs w:val="12"/>
                <w:u w:val="none"/>
                <w:lang w:val="en-US" w:eastAsia="zh-CN" w:bidi="ar"/>
              </w:rPr>
              <w:t>部门预算项目支出绩效自评表（2024年度）</w:t>
            </w:r>
          </w:p>
        </w:tc>
      </w:tr>
      <w:tr w14:paraId="4828A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AD48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项目名称</w:t>
            </w:r>
          </w:p>
        </w:tc>
        <w:tc>
          <w:tcPr>
            <w:tcW w:w="64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A7153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51322324T000009950130-大中型水库移民后期扶持中央资金项目</w:t>
            </w:r>
          </w:p>
        </w:tc>
      </w:tr>
      <w:tr w14:paraId="6BF8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E762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主管部门</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6BE73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w:t>
            </w:r>
          </w:p>
        </w:tc>
        <w:tc>
          <w:tcPr>
            <w:tcW w:w="636" w:type="dxa"/>
            <w:tcBorders>
              <w:top w:val="nil"/>
              <w:left w:val="nil"/>
              <w:bottom w:val="nil"/>
              <w:right w:val="nil"/>
            </w:tcBorders>
            <w:shd w:val="clear" w:color="auto" w:fill="auto"/>
            <w:vAlign w:val="center"/>
          </w:tcPr>
          <w:p w14:paraId="530C5CE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实施单位</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F219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茂县水务局（行政）</w:t>
            </w:r>
          </w:p>
        </w:tc>
      </w:tr>
      <w:tr w14:paraId="2137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2DF4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项目基本情况</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BF71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1.项目年度目标完成情况</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8ED04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项目年度目标</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AD65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年度目标完成情况</w:t>
            </w:r>
          </w:p>
        </w:tc>
      </w:tr>
      <w:tr w14:paraId="3742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B9455">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3EDEB">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45D49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实施后，可提升村基础设施建设，改善群众生产生活条件，促进农业产业的发展，增强农业产业园区标准化建设，加速村经济快速发展，解决制约我村经济发展的主要因素，其经济效益和社会效益都将十分显著，是一项利村、利民、利社会的系统工程、民心工程、德政工程。</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914B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已按照目标完成任务</w:t>
            </w:r>
          </w:p>
        </w:tc>
      </w:tr>
      <w:tr w14:paraId="51DA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0243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预算执行情况（10分）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1FE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年度预算数（万元）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E12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年初预算</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479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调整后预算数</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E51F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C71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C04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411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D5F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原因</w:t>
            </w:r>
          </w:p>
        </w:tc>
      </w:tr>
      <w:tr w14:paraId="4F77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D5D0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D18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总额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2CC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360.00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9EC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318.42</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6572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318.42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EB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2B5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7A7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15E4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iCs/>
                <w:color w:val="000000"/>
                <w:sz w:val="12"/>
                <w:szCs w:val="12"/>
                <w:u w:val="none"/>
              </w:rPr>
            </w:pPr>
            <w:r>
              <w:rPr>
                <w:rFonts w:hint="eastAsia" w:ascii="黑体" w:hAnsi="黑体" w:eastAsia="黑体" w:cs="黑体"/>
                <w:i/>
                <w:iCs/>
                <w:color w:val="000000"/>
                <w:kern w:val="0"/>
                <w:sz w:val="12"/>
                <w:szCs w:val="12"/>
                <w:u w:val="none"/>
                <w:lang w:val="en-US" w:eastAsia="zh-CN" w:bidi="ar"/>
              </w:rPr>
              <w:t xml:space="preserve"> </w:t>
            </w:r>
          </w:p>
        </w:tc>
      </w:tr>
      <w:tr w14:paraId="481F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856C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31C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其中：财政资金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C49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360.00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436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318.42</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8D7C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318.42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A05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33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C6E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F8AC">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3DE41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C91F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FE7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财政专户管理资金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D94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E15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5B03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946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A19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8F9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2F993">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0F64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F18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57D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单位资金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037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E04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B448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306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6B2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7C0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A3610">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5756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3C8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643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其他资金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F85A">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1AD1">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DB9EE">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97CC">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E3B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F66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FF570">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526B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6F41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绩效指标（90分）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21B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一级指标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953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二级指标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CCB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B58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FC6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指标值</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E44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度量单位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91E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E7A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B70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13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未完成原因分析</w:t>
            </w:r>
          </w:p>
        </w:tc>
      </w:tr>
      <w:tr w14:paraId="056F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896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4F79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产出指标</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E267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数量指标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A32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安全饮水及功能提升项目（个）</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E3D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81F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85B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5D3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31C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92E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773C">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62D4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1FED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672A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CD1F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559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移民美丽家园建设项目（个）</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896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0D5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A1D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616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C01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B73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1AE6">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60D9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C991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102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228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909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后期扶持受益移民人口（人）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609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693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677</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FE9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DC6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677</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2FC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9FA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9CE5">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27D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6527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15B2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94E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质量指标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B98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项目验收合格率(%)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F66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69A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D0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F7F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66C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FE7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672C">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60E0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E021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806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效益指标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3A3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可持续影响指标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70C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已建工程项目良性运行比例（%）</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D77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B7F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8D3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E5B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74F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46D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37DA">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48DE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4F44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25D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FEB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208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人民群满意度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4FD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D1C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270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3E0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3F4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DA6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8985">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33E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1D22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82B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成本指标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45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经济成本指标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7D3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项目投资不超预算</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BD7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8FE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360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063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万元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521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360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010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FEB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A6B9">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7FFD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D5C89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F8D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6455">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EB1C">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r>
      <w:tr w14:paraId="2465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A3A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评价结论</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EBE63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通过总体上看，项目决策依据充分，总体目标清晰，完成了2024年目标任务，通过项目实施，让农村基础设施到了进一步的改善，绩效目标基本实现</w:t>
            </w:r>
          </w:p>
        </w:tc>
      </w:tr>
      <w:tr w14:paraId="7713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252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存在问题</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2D44B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4754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416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改进措施</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37340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0355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4F10C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b/>
                <w:bCs/>
                <w:i w:val="0"/>
                <w:iCs w:val="0"/>
                <w:color w:val="000000"/>
                <w:sz w:val="12"/>
                <w:szCs w:val="12"/>
                <w:u w:val="none"/>
              </w:rPr>
            </w:pPr>
            <w:r>
              <w:rPr>
                <w:rFonts w:hint="eastAsia" w:ascii="黑体" w:hAnsi="宋体" w:eastAsia="黑体" w:cs="黑体"/>
                <w:b/>
                <w:bCs/>
                <w:i w:val="0"/>
                <w:iCs w:val="0"/>
                <w:color w:val="000000"/>
                <w:kern w:val="0"/>
                <w:sz w:val="12"/>
                <w:szCs w:val="12"/>
                <w:u w:val="none"/>
                <w:lang w:val="en-US" w:eastAsia="zh-CN" w:bidi="ar"/>
              </w:rPr>
              <w:t>部门预算项目支出绩效自评表（2024年度）</w:t>
            </w:r>
          </w:p>
        </w:tc>
      </w:tr>
      <w:tr w14:paraId="0618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C724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项目名称</w:t>
            </w:r>
          </w:p>
        </w:tc>
        <w:tc>
          <w:tcPr>
            <w:tcW w:w="64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4D056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51322324T000011256972-农村饮水工程维修养护</w:t>
            </w:r>
          </w:p>
        </w:tc>
      </w:tr>
      <w:tr w14:paraId="4106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35CA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主管部门</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2234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w:t>
            </w:r>
          </w:p>
        </w:tc>
        <w:tc>
          <w:tcPr>
            <w:tcW w:w="636" w:type="dxa"/>
            <w:tcBorders>
              <w:top w:val="nil"/>
              <w:left w:val="nil"/>
              <w:bottom w:val="nil"/>
              <w:right w:val="nil"/>
            </w:tcBorders>
            <w:shd w:val="clear" w:color="auto" w:fill="auto"/>
            <w:vAlign w:val="center"/>
          </w:tcPr>
          <w:p w14:paraId="0EC724F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 xml:space="preserve">实施单位 </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B84A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茂县水务局（行政）</w:t>
            </w:r>
          </w:p>
        </w:tc>
      </w:tr>
      <w:tr w14:paraId="5EAC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2B55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项目基本情况</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8D43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1.项目年度目标完成情况</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616DA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项目年度目标</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B3302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年度目标完成情况</w:t>
            </w:r>
          </w:p>
        </w:tc>
      </w:tr>
      <w:tr w14:paraId="4AB7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3168">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1D7C0">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F0A5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我县农村居民的饮用水质量得到较大改善，农村居民生活水平和生活质量得到提高；不但解决了当地群众生活饮用水，改善了项目区群众的生存环境,通过安全饮水项目建设，我县农村人口饮水安全工作已得到全面解决。</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10AB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已按照目标完成任务</w:t>
            </w:r>
          </w:p>
        </w:tc>
      </w:tr>
      <w:tr w14:paraId="5744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E4A5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预算执行情况（10分）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40D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年度预算数（万元）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B38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年初预算</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747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调整后预算数</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3BB6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16A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9FB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0E8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615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原因</w:t>
            </w:r>
          </w:p>
        </w:tc>
      </w:tr>
      <w:tr w14:paraId="1D2B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757C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99E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总额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EE1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96D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160.23</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2E5A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160.23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E6A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005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704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AEEF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iCs/>
                <w:color w:val="000000"/>
                <w:sz w:val="12"/>
                <w:szCs w:val="12"/>
                <w:u w:val="none"/>
              </w:rPr>
            </w:pPr>
            <w:r>
              <w:rPr>
                <w:rFonts w:hint="eastAsia" w:ascii="黑体" w:hAnsi="黑体" w:eastAsia="黑体" w:cs="黑体"/>
                <w:i/>
                <w:iCs/>
                <w:color w:val="000000"/>
                <w:kern w:val="0"/>
                <w:sz w:val="12"/>
                <w:szCs w:val="12"/>
                <w:u w:val="none"/>
                <w:lang w:val="en-US" w:eastAsia="zh-CN" w:bidi="ar"/>
              </w:rPr>
              <w:t xml:space="preserve"> </w:t>
            </w:r>
          </w:p>
        </w:tc>
      </w:tr>
      <w:tr w14:paraId="6CDF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FC5E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FC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其中：财政资金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C65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2F6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160.23</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513E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160.23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E7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523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73F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49838">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46D0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C76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231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财政专户管理资金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1C8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A42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DD9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E73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7C1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D2F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F6C3">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3B3C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0316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65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单位资金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ABD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E1F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C247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BE9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78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038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A8891">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790E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D0B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0FC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其他资金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2B4F">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95D8">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80D48">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DC39">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D73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F6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BB115">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0E5E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96B9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绩效指标（90分）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36C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一级指标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5AB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二级指标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719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197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7F9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指标值</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D8F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度量单位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DDD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98D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78A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862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未完成原因分析</w:t>
            </w:r>
          </w:p>
        </w:tc>
      </w:tr>
      <w:tr w14:paraId="2FAD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FE8B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AAFE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产出指标</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21F6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数量指标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9C6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解决供水人口</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6EB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8FB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5.2</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C1C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万人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6B6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226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89D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5DC1">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67FE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F4C7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3005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4FB5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249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维修养护农村供水工程</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588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58B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1DD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处</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4A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997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0AA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3AF4">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1A84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D62A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9B7B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B05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质量指标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B1F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项目验收合格率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EB8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938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769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8FE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4C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CD0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CC4D">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5BD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8248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B7F9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8D0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时效指标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EF3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12月前任务完成率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A17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E4B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812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D19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1CB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4AC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82B4">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50B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8A0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5091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效益指标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5B7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可持续发展指标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90A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项目建成后可持续使用</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B99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971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CC5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7A7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954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312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8081">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62C6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A95B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F8D8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2DC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可持续影响指标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D72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解决存在水质问题</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306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定性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199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合格</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5A0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0A6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合格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A95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C33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2A1A">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4C35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E1D7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0F4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5A6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8B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受益群众满意度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219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08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EB4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19A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500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0CA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ACF6">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0549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631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BF1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成本指标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110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经济成本指标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2B6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项目不超预算投资</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B64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16B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215</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51D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万元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150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215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766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A01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B407">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146E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A1823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D0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9BB0">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6BB6">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r>
      <w:tr w14:paraId="1280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A5C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评价结论</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928FC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通过总体上看，项目决策依据充分，总体目标清晰，完成了2024年目标任务，通过项目实施，让农村基础设施到了进一步的改善，绩效目标基本实现</w:t>
            </w:r>
          </w:p>
        </w:tc>
      </w:tr>
      <w:tr w14:paraId="4BEC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656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存在问题</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0BA16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088A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EC5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改进措施</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2FF5C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2C83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C2180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b/>
                <w:bCs/>
                <w:i w:val="0"/>
                <w:iCs w:val="0"/>
                <w:color w:val="000000"/>
                <w:sz w:val="12"/>
                <w:szCs w:val="12"/>
                <w:u w:val="none"/>
              </w:rPr>
            </w:pPr>
            <w:r>
              <w:rPr>
                <w:rFonts w:hint="eastAsia" w:ascii="黑体" w:hAnsi="宋体" w:eastAsia="黑体" w:cs="黑体"/>
                <w:b/>
                <w:bCs/>
                <w:i w:val="0"/>
                <w:iCs w:val="0"/>
                <w:color w:val="000000"/>
                <w:kern w:val="0"/>
                <w:sz w:val="12"/>
                <w:szCs w:val="12"/>
                <w:u w:val="none"/>
                <w:lang w:val="en-US" w:eastAsia="zh-CN" w:bidi="ar"/>
              </w:rPr>
              <w:t>部门预算项目支出绩效自评表（2024年度）</w:t>
            </w:r>
          </w:p>
        </w:tc>
      </w:tr>
      <w:tr w14:paraId="69DD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B559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项目名称</w:t>
            </w:r>
          </w:p>
        </w:tc>
        <w:tc>
          <w:tcPr>
            <w:tcW w:w="64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42A63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51322324T000011257287-农业水价综合改革项目</w:t>
            </w:r>
          </w:p>
        </w:tc>
      </w:tr>
      <w:tr w14:paraId="7325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B1CF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主管部门</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80348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w:t>
            </w:r>
          </w:p>
        </w:tc>
        <w:tc>
          <w:tcPr>
            <w:tcW w:w="636" w:type="dxa"/>
            <w:tcBorders>
              <w:top w:val="nil"/>
              <w:left w:val="nil"/>
              <w:bottom w:val="nil"/>
              <w:right w:val="nil"/>
            </w:tcBorders>
            <w:shd w:val="clear" w:color="auto" w:fill="auto"/>
            <w:vAlign w:val="center"/>
          </w:tcPr>
          <w:p w14:paraId="1D73B66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 xml:space="preserve">实施单位 </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B52B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茂县水务局（行政）</w:t>
            </w:r>
          </w:p>
        </w:tc>
      </w:tr>
      <w:tr w14:paraId="6DF4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E861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项目基本情况</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979B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1.项目年度目标完成情况</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79E1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项目年度目标</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511EC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年度目标完成情况</w:t>
            </w:r>
          </w:p>
        </w:tc>
      </w:tr>
      <w:tr w14:paraId="08AD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37D21">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89BE">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516D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建立健全农业水权制度、建立健全农业水价形成机制、建立精准补贴和节水奖励机制、完善工程配套设施设备、加强农业用水需求管理等。</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BDD47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已按照目标完成任务</w:t>
            </w:r>
          </w:p>
        </w:tc>
      </w:tr>
      <w:tr w14:paraId="501D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D97B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预算执行情况（10分）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D8F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年度预算数（万元）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42F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年初预算</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41D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调整后预算数</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A0D1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0A6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13C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9C3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139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原因</w:t>
            </w:r>
          </w:p>
        </w:tc>
      </w:tr>
      <w:tr w14:paraId="0521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7C6A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6DB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总额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403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71E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33.63</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D82C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33.63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B45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587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908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1399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iCs/>
                <w:color w:val="000000"/>
                <w:sz w:val="12"/>
                <w:szCs w:val="12"/>
                <w:u w:val="none"/>
              </w:rPr>
            </w:pPr>
            <w:r>
              <w:rPr>
                <w:rFonts w:hint="eastAsia" w:ascii="黑体" w:hAnsi="黑体" w:eastAsia="黑体" w:cs="黑体"/>
                <w:i/>
                <w:iCs/>
                <w:color w:val="000000"/>
                <w:kern w:val="0"/>
                <w:sz w:val="12"/>
                <w:szCs w:val="12"/>
                <w:u w:val="none"/>
                <w:lang w:val="en-US" w:eastAsia="zh-CN" w:bidi="ar"/>
              </w:rPr>
              <w:t xml:space="preserve"> </w:t>
            </w:r>
          </w:p>
        </w:tc>
      </w:tr>
      <w:tr w14:paraId="7176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729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278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其中：财政资金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F9B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008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33.63</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EF8F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33.63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456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BA0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535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B12CD">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24CD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F1D9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5D7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财政专户管理资金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F57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DDC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85D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258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931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1B9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60DB">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2E0A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22A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E88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单位资金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D2A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9AF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57EA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255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964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757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4EC8D">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3419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E7A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96D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其他资金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A889">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47D0">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DEFFE">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1907">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3D2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5CC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3EA2D">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0A6A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4910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绩效指标（90分）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E89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一级指标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F0C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二级指标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143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498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6D8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指标值</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1ED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度量单位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4BE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131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DDE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0E6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未完成原因分析</w:t>
            </w:r>
          </w:p>
        </w:tc>
      </w:tr>
      <w:tr w14:paraId="228E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26FD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6CC8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产出指标</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0D84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数量指标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443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精准补贴用水主体</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9D9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8E6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15</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552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B71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26E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F1D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BF97">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001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F7A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4C82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E2F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8C1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涉及管理的灌溉面积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9EA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EA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1.2</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F8C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万亩</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415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D6B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490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9C7F">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180B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C3FF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D2CE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974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质量指标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827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项目验收合格率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78D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F6E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5C6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D87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6DE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58B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3217">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6A54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4F3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E09C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352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时效指标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67F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12月前任务完成率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F45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088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DE4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D73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2D2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25A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6852">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057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F0E6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AA3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效益指标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639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可持续发展指标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EEA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项目建成后可持续使用</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462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7F4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3C3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E48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E07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E67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A04F">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511D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FDB9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19B9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15A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可持续影响指标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0CB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提高节水能力</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E6E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定性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127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合格</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E6B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952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合格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A0B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901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49A2">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1015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633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F7C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717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231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受益群众满意度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3D0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7B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A27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E5C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7A7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952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D08C">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2439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4CC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A24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成本指标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CE2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经济成本指标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999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项目不超预算投资</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7CC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D28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1D7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万元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697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110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540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449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830E">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7A8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23B2C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374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77A4">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A846">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r>
      <w:tr w14:paraId="3504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F77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评价结论</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F32C4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通过总体上看，项目决策依据充分，总体目标清晰，完成了2024年目标任务，通过项目实施，让农村基础设施到了进一步的改善，绩效目标基本实现</w:t>
            </w:r>
          </w:p>
        </w:tc>
      </w:tr>
      <w:tr w14:paraId="08E8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28B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存在问题</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9FA87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1A13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15C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改进措施</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08589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0305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2D8BD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b/>
                <w:bCs/>
                <w:i w:val="0"/>
                <w:iCs w:val="0"/>
                <w:color w:val="000000"/>
                <w:sz w:val="12"/>
                <w:szCs w:val="12"/>
                <w:u w:val="none"/>
              </w:rPr>
            </w:pPr>
            <w:r>
              <w:rPr>
                <w:rFonts w:hint="eastAsia" w:ascii="黑体" w:hAnsi="宋体" w:eastAsia="黑体" w:cs="黑体"/>
                <w:b/>
                <w:bCs/>
                <w:i w:val="0"/>
                <w:iCs w:val="0"/>
                <w:color w:val="000000"/>
                <w:kern w:val="0"/>
                <w:sz w:val="12"/>
                <w:szCs w:val="12"/>
                <w:u w:val="none"/>
                <w:lang w:val="en-US" w:eastAsia="zh-CN" w:bidi="ar"/>
              </w:rPr>
              <w:t>部门预算项目支出绩效自评表（2024年度）</w:t>
            </w:r>
          </w:p>
        </w:tc>
      </w:tr>
      <w:tr w14:paraId="4BBD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0106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项目名称</w:t>
            </w:r>
          </w:p>
        </w:tc>
        <w:tc>
          <w:tcPr>
            <w:tcW w:w="64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355EB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51322324T000011258254-山洪灾害防治设施维修养护项目</w:t>
            </w:r>
          </w:p>
        </w:tc>
      </w:tr>
      <w:tr w14:paraId="1ADB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4E05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主管部门</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D825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w:t>
            </w:r>
          </w:p>
        </w:tc>
        <w:tc>
          <w:tcPr>
            <w:tcW w:w="636" w:type="dxa"/>
            <w:tcBorders>
              <w:top w:val="nil"/>
              <w:left w:val="nil"/>
              <w:bottom w:val="nil"/>
              <w:right w:val="nil"/>
            </w:tcBorders>
            <w:shd w:val="clear" w:color="auto" w:fill="auto"/>
            <w:vAlign w:val="center"/>
          </w:tcPr>
          <w:p w14:paraId="0B0CA69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 xml:space="preserve">实施单位 </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8191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茂县水务局（行政）</w:t>
            </w:r>
          </w:p>
        </w:tc>
      </w:tr>
      <w:tr w14:paraId="09878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C22F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项目基本情况</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C451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1.项目年度目标完成情况</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33903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项目年度目标</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7654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年度目标完成情况</w:t>
            </w:r>
          </w:p>
        </w:tc>
      </w:tr>
      <w:tr w14:paraId="5281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B3EF7">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C7900">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AF526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全县26处山洪灾害防治设施、防汛会议系统、8处视频站点的维修养护，确保监测设施、会议系统的正常运转，有效避免和减少山洪灾害造成的人员伤亡和财产损失</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09B3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已按照目标完成任务</w:t>
            </w:r>
          </w:p>
        </w:tc>
      </w:tr>
      <w:tr w14:paraId="4394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89AA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预算执行情况（10分）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E18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年度预算数（万元）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EC0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年初预算</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605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调整后预算数</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0D5B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DC7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845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E1F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3B3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原因</w:t>
            </w:r>
          </w:p>
        </w:tc>
      </w:tr>
      <w:tr w14:paraId="1E6F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DC80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05A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总额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A4F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564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27.88</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F8E5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27.88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3F0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EF6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7B5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097C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iCs/>
                <w:color w:val="000000"/>
                <w:sz w:val="12"/>
                <w:szCs w:val="12"/>
                <w:u w:val="none"/>
              </w:rPr>
            </w:pPr>
            <w:r>
              <w:rPr>
                <w:rFonts w:hint="eastAsia" w:ascii="黑体" w:hAnsi="黑体" w:eastAsia="黑体" w:cs="黑体"/>
                <w:i/>
                <w:iCs/>
                <w:color w:val="000000"/>
                <w:kern w:val="0"/>
                <w:sz w:val="12"/>
                <w:szCs w:val="12"/>
                <w:u w:val="none"/>
                <w:lang w:val="en-US" w:eastAsia="zh-CN" w:bidi="ar"/>
              </w:rPr>
              <w:t xml:space="preserve"> </w:t>
            </w:r>
          </w:p>
        </w:tc>
      </w:tr>
      <w:tr w14:paraId="430E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F28D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6CA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其中：财政资金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499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5BF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27.88</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6161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27.88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620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746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277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08E07">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3294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6AD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4C9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财政专户管理资金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E7F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D21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9F5E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EE6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140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FC1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D08A1">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2C1F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A8D3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C6B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单位资金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0BC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19D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4325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8A8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73D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011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9C3B">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4807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EAE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25F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其他资金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17EA">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8ED1">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64837">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491A">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B87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DBA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E5C1">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7C32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6289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绩效指标（90分）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A5A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一级指标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9A4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二级指标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1F6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E54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7F6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指标值</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2E2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度量单位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735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B9D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45F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9BC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未完成原因分析</w:t>
            </w:r>
          </w:p>
        </w:tc>
      </w:tr>
      <w:tr w14:paraId="5E86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3016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C3F9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产出指标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067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数量指标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AFA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监测26个站点、会议系统及8处视频站</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502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46A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120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EDC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处</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636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120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B8E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708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D189">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610A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965B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20E8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152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质量指标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52E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项目验收合格率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D2F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B51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B26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EC2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0F8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6E6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F340">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032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B5C9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4C54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279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时效指标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7F9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10月前任务完成率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81E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3BA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CCC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4FF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3FB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A1D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74E7">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0996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E7BB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A337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效益指标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F90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社会效益指标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BCE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山洪危险区责任人抽查在岗率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162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D0F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D50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921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2E0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893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EC1B">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AB7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EAEA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B724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3D4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可持续影响指标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83E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治理影响可持续性时限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304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12D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1E3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4ED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610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DC6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1FB3">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2220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543A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2F0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2AD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D8D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受益群众满意度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412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402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4D2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2B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565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E0A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446F">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50E4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05BC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847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成本指标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385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经济成本指标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30E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项目投资不超预算</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84D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481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28</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98A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万元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BEB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28</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8D0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BB7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5FE2">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1E65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D7AA1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643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F9C1">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0D75">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r>
      <w:tr w14:paraId="4DB2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B67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评价结论</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34AEB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通过总体上看，项目决策依据充分，总体目标清晰，完成了2024年目标任务，通过项目实施，让农村基础设施到了进一步的改善，绩效目标基本实现</w:t>
            </w:r>
          </w:p>
        </w:tc>
      </w:tr>
      <w:tr w14:paraId="0385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093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存在问题</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0F29E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2D58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4D1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改进措施</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5D1E6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68F0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2E2B3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b/>
                <w:bCs/>
                <w:i w:val="0"/>
                <w:iCs w:val="0"/>
                <w:color w:val="000000"/>
                <w:sz w:val="12"/>
                <w:szCs w:val="12"/>
                <w:u w:val="none"/>
              </w:rPr>
            </w:pPr>
            <w:r>
              <w:rPr>
                <w:rFonts w:hint="eastAsia" w:ascii="黑体" w:hAnsi="宋体" w:eastAsia="黑体" w:cs="黑体"/>
                <w:b/>
                <w:bCs/>
                <w:i w:val="0"/>
                <w:iCs w:val="0"/>
                <w:color w:val="000000"/>
                <w:kern w:val="0"/>
                <w:sz w:val="12"/>
                <w:szCs w:val="12"/>
                <w:u w:val="none"/>
                <w:lang w:val="en-US" w:eastAsia="zh-CN" w:bidi="ar"/>
              </w:rPr>
              <w:t>部门预算项目支出绩效自评表（2024年度）</w:t>
            </w:r>
          </w:p>
        </w:tc>
      </w:tr>
      <w:tr w14:paraId="090D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A0B8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项目名称</w:t>
            </w:r>
          </w:p>
        </w:tc>
        <w:tc>
          <w:tcPr>
            <w:tcW w:w="64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A81B2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51322324T000011716508-2024年度大中型水库移民后期扶持项目</w:t>
            </w:r>
          </w:p>
        </w:tc>
      </w:tr>
      <w:tr w14:paraId="411B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F6E2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主管部门</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D71F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w:t>
            </w:r>
          </w:p>
        </w:tc>
        <w:tc>
          <w:tcPr>
            <w:tcW w:w="636" w:type="dxa"/>
            <w:tcBorders>
              <w:top w:val="nil"/>
              <w:left w:val="nil"/>
              <w:bottom w:val="nil"/>
              <w:right w:val="nil"/>
            </w:tcBorders>
            <w:shd w:val="clear" w:color="auto" w:fill="auto"/>
            <w:vAlign w:val="center"/>
          </w:tcPr>
          <w:p w14:paraId="471F4B7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 xml:space="preserve">实施单位 </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3000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茂县水务局（行政）</w:t>
            </w:r>
          </w:p>
        </w:tc>
      </w:tr>
      <w:tr w14:paraId="0914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0473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项目基本情况</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637B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1.项目年度目标完成情况</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8B1FC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项目年度目标</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6B57C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年度目标完成情况</w:t>
            </w:r>
          </w:p>
        </w:tc>
      </w:tr>
      <w:tr w14:paraId="6A4F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51968">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1ADD3">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BC08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农村安全饮水及功能提升，安装净化消毒一体化设备9套</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BCE6A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已按照目标完成任务</w:t>
            </w:r>
          </w:p>
        </w:tc>
      </w:tr>
      <w:tr w14:paraId="597C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E9A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预算执行情况（10分）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04A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年度预算数（万元）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57C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年初预算</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9F6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调整后预算数</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9BB6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5F1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B27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E86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E94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原因</w:t>
            </w:r>
          </w:p>
        </w:tc>
      </w:tr>
      <w:tr w14:paraId="2594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6170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552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总额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0F5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A84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38.79</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7D6E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38.79</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C1E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740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54E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3AF5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iCs/>
                <w:color w:val="000000"/>
                <w:sz w:val="12"/>
                <w:szCs w:val="12"/>
                <w:u w:val="none"/>
              </w:rPr>
            </w:pPr>
            <w:r>
              <w:rPr>
                <w:rFonts w:hint="eastAsia" w:ascii="黑体" w:hAnsi="黑体" w:eastAsia="黑体" w:cs="黑体"/>
                <w:i/>
                <w:iCs/>
                <w:color w:val="000000"/>
                <w:kern w:val="0"/>
                <w:sz w:val="12"/>
                <w:szCs w:val="12"/>
                <w:u w:val="none"/>
                <w:lang w:val="en-US" w:eastAsia="zh-CN" w:bidi="ar"/>
              </w:rPr>
              <w:t xml:space="preserve"> </w:t>
            </w:r>
          </w:p>
        </w:tc>
      </w:tr>
      <w:tr w14:paraId="3C1D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ECDE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766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其中：财政资金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58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433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38.79</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6462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38.79</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BC8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CD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C1F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2BC49">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4983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AEDF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773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财政专户管理资金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A2F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C3C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DEBA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6AA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FF4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A8F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D2C6">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1B64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6DE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927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单位资金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3B0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112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2B41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F6E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4D4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1F1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48BCF">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24F2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6BAE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27D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其他资金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2BBC">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5547">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43B11">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C11E">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DED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B2C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DD42D">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554E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177D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绩效指标（90分）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3F1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一级指标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358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二级指标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3AB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74F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1EF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指标值</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3C8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度量单位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B0E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6C6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48C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3AA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未完成原因分析</w:t>
            </w:r>
          </w:p>
        </w:tc>
      </w:tr>
      <w:tr w14:paraId="7DB6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18E2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F6E3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产出指标</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83AC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数量指标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A0B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安全饮水及功能提升项目</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D3D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23F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8F0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8E1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5D1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A3F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CA30">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2D92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8FB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4CED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7BE3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DF5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后期扶持受益移民人口</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F05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66C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677</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45D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13D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677</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36F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5B2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3FE2">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205C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42EF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EAC1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2898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质量指标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BBA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项目验收合格率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8D4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660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93A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D58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C4B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96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D9DE">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1786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79D4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380D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54BC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B03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完工项目验收率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B04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A1C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EBA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C0A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0C4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11A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1561">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A23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B2D6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501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BD9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时效指标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EB0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截止当年低，项目资金完成率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222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3FA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80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EDB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480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80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773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99F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3DD6">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65C5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BB3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6E4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效益指标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600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可持续影响指标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723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已建工程项目良性运行比例</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F10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D76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101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C25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E53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CA3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E9E5">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2E71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189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543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686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服务对象满意度指标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02C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移民对后期扶持政策实施满意度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9BF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664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A92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0D2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6A7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D28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DFFB">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7226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5C393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249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6236">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E42D">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r>
      <w:tr w14:paraId="3D81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0F4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评价结论</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7D40C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通过总体上看，项目决策依据充分，总体目标清晰，完成了2024年目标任务，通过项目实施，让农村基础设施到了进一步的改善，绩效目标基本实现</w:t>
            </w:r>
          </w:p>
        </w:tc>
      </w:tr>
      <w:tr w14:paraId="0A8C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D52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存在问题</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3228D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7CAE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D49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改进措施</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46016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2A5D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64C36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b/>
                <w:bCs/>
                <w:i w:val="0"/>
                <w:iCs w:val="0"/>
                <w:color w:val="000000"/>
                <w:sz w:val="12"/>
                <w:szCs w:val="12"/>
                <w:u w:val="none"/>
              </w:rPr>
            </w:pPr>
            <w:r>
              <w:rPr>
                <w:rFonts w:hint="eastAsia" w:ascii="黑体" w:hAnsi="宋体" w:eastAsia="黑体" w:cs="黑体"/>
                <w:b/>
                <w:bCs/>
                <w:i w:val="0"/>
                <w:iCs w:val="0"/>
                <w:color w:val="000000"/>
                <w:kern w:val="0"/>
                <w:sz w:val="12"/>
                <w:szCs w:val="12"/>
                <w:u w:val="none"/>
                <w:lang w:val="en-US" w:eastAsia="zh-CN" w:bidi="ar"/>
              </w:rPr>
              <w:t>部门预算项目支出绩效自评表（2024年度）</w:t>
            </w:r>
          </w:p>
        </w:tc>
      </w:tr>
      <w:tr w14:paraId="0612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93F9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项目名称</w:t>
            </w:r>
          </w:p>
        </w:tc>
        <w:tc>
          <w:tcPr>
            <w:tcW w:w="64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E3DD0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51322324T000011756268-山洪灾害危险区监测补助项目</w:t>
            </w:r>
          </w:p>
        </w:tc>
      </w:tr>
      <w:tr w14:paraId="4E8C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6102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主管部门</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16C4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w:t>
            </w:r>
          </w:p>
        </w:tc>
        <w:tc>
          <w:tcPr>
            <w:tcW w:w="636" w:type="dxa"/>
            <w:tcBorders>
              <w:top w:val="nil"/>
              <w:left w:val="nil"/>
              <w:bottom w:val="nil"/>
              <w:right w:val="nil"/>
            </w:tcBorders>
            <w:shd w:val="clear" w:color="auto" w:fill="auto"/>
            <w:vAlign w:val="center"/>
          </w:tcPr>
          <w:p w14:paraId="1C71781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 xml:space="preserve">实施单位 </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B7F5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茂县水务局（行政）</w:t>
            </w:r>
          </w:p>
        </w:tc>
      </w:tr>
      <w:tr w14:paraId="1539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E2C5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项目基本情况</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6008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1.项目年度目标完成情况</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6965A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项目年度目标</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9F7A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年度目标完成情况</w:t>
            </w:r>
          </w:p>
        </w:tc>
      </w:tr>
      <w:tr w14:paraId="0620C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2CA4D">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1D654">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D201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完成县域山洪灾害危险区监测责任人补贴及时发放，确保汛期安全度汛</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BD443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已按照目标完成任务</w:t>
            </w:r>
          </w:p>
        </w:tc>
      </w:tr>
      <w:tr w14:paraId="46CA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DDCD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预算执行情况（10分）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9F9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年度预算数（万元）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F70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年初预算</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61D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调整后预算数</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9DCD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737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C0C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2AF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6E7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原因</w:t>
            </w:r>
          </w:p>
        </w:tc>
      </w:tr>
      <w:tr w14:paraId="7DEA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2038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E4B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总额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859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672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635B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F02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F1B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D46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3C20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iCs/>
                <w:color w:val="000000"/>
                <w:sz w:val="12"/>
                <w:szCs w:val="12"/>
                <w:u w:val="none"/>
              </w:rPr>
            </w:pPr>
            <w:r>
              <w:rPr>
                <w:rFonts w:hint="eastAsia" w:ascii="黑体" w:hAnsi="黑体" w:eastAsia="黑体" w:cs="黑体"/>
                <w:i/>
                <w:iCs/>
                <w:color w:val="000000"/>
                <w:kern w:val="0"/>
                <w:sz w:val="12"/>
                <w:szCs w:val="12"/>
                <w:u w:val="none"/>
                <w:lang w:val="en-US" w:eastAsia="zh-CN" w:bidi="ar"/>
              </w:rPr>
              <w:t xml:space="preserve"> </w:t>
            </w:r>
          </w:p>
        </w:tc>
      </w:tr>
      <w:tr w14:paraId="1B17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0C7E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F4B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其中：财政资金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96A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C1D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5E68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63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C7D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073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919C2">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2B9B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7E9C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817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财政专户管理资金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5DC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B56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59E1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647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34C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E98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5F8A4">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0AE4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DEB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EBE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单位资金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617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9D6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C1AB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709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7DE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274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14614">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0403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08FA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1BC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其他资金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0698">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E6D9">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0A173">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9382">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7BD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C1D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4FAC0">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2F6C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306D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绩效指标（90分）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99A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一级指标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55D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二级指标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833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DC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E11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指标值</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46B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度量单位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23F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651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026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FFB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未完成原因分析</w:t>
            </w:r>
          </w:p>
        </w:tc>
      </w:tr>
      <w:tr w14:paraId="100C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FE43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5A02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产出指标</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C211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数量指标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7D8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山洪危险区监测人数</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788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70E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151</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01D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CF2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151</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75E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847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8DE2">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78A5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EC07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E21C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992B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8D6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年补助金额</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505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8D1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6600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D9D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元/人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3DC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6600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BBC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049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BF2E">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1014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CB15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0600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D5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质量指标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B46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项目验收合格率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F48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4B3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2E0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A8F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351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4B2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BCA6">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4059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B845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B952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361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时效指标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7B9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汛期内工作完成率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E0C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B84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123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8AF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A14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EDC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11A1">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4E48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681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2E3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效益指标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852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社会效益指标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5CE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确保汛期内安全度汛</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01B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定性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AC6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优良</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DE9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4E9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优良</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3F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216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9958">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1CFD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AC24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24E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274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9D0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受益群众满意度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EC9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9DE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52F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D55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2C0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F06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4C6B">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12E5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1D43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86E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成本指标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647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经济成本指标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139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投资不超预算</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666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118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FF8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万元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8E8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C58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5A2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72DF">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DF2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0502B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769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B2CD">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803F">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r>
      <w:tr w14:paraId="5961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66F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评价结论</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65977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通过总体上看，项目决策依据充分，总体目标清晰，完成了2024年目标任务，绩效目标基本实现</w:t>
            </w:r>
          </w:p>
        </w:tc>
      </w:tr>
      <w:tr w14:paraId="14C5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A1E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存在问题</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DF235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677D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F68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改进措施</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8D3D9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1DA9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FBEE5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b/>
                <w:bCs/>
                <w:i w:val="0"/>
                <w:iCs w:val="0"/>
                <w:color w:val="000000"/>
                <w:sz w:val="12"/>
                <w:szCs w:val="12"/>
                <w:u w:val="none"/>
              </w:rPr>
            </w:pPr>
            <w:r>
              <w:rPr>
                <w:rFonts w:hint="eastAsia" w:ascii="黑体" w:hAnsi="宋体" w:eastAsia="黑体" w:cs="黑体"/>
                <w:b/>
                <w:bCs/>
                <w:i w:val="0"/>
                <w:iCs w:val="0"/>
                <w:color w:val="000000"/>
                <w:kern w:val="0"/>
                <w:sz w:val="12"/>
                <w:szCs w:val="12"/>
                <w:u w:val="none"/>
                <w:lang w:val="en-US" w:eastAsia="zh-CN" w:bidi="ar"/>
              </w:rPr>
              <w:t>部门预算项目支出绩效自评表（2024年度）</w:t>
            </w:r>
          </w:p>
        </w:tc>
      </w:tr>
      <w:tr w14:paraId="42E5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FE1B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项目名称</w:t>
            </w:r>
          </w:p>
        </w:tc>
        <w:tc>
          <w:tcPr>
            <w:tcW w:w="64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6B984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51322324T000011825412-2024年财政衔接推进乡村振兴补助资金项目（2024年农村安全饮水提升改造项目）</w:t>
            </w:r>
          </w:p>
        </w:tc>
      </w:tr>
      <w:tr w14:paraId="308E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B950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主管部门</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66AA8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w:t>
            </w:r>
          </w:p>
        </w:tc>
        <w:tc>
          <w:tcPr>
            <w:tcW w:w="636" w:type="dxa"/>
            <w:tcBorders>
              <w:top w:val="nil"/>
              <w:left w:val="nil"/>
              <w:bottom w:val="nil"/>
              <w:right w:val="nil"/>
            </w:tcBorders>
            <w:shd w:val="clear" w:color="auto" w:fill="auto"/>
            <w:vAlign w:val="center"/>
          </w:tcPr>
          <w:p w14:paraId="32A4D22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 xml:space="preserve">实施单位 </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9E8D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茂县水务局（行政）</w:t>
            </w:r>
          </w:p>
        </w:tc>
      </w:tr>
      <w:tr w14:paraId="5A1B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5E30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项目基本情况</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7B38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1.项目年度目标完成情况</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42B8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项目年度目标</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A9EFF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年度目标完成情况</w:t>
            </w:r>
          </w:p>
        </w:tc>
      </w:tr>
      <w:tr w14:paraId="656A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8A6C">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3FD33">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6946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完成沟口村：32管道1200m，水井及配套设施；德胜村：维修改造提灌站设施设备；永宁村：30m3水池1口，50管道5000m，32管道4000m，25管道3000m；苏家坪村：蓄水池50m35个、20m32个，50管道4500m，32管道3000m，25管道5000m；霭紫关村：10m3水池2口、50m3水池1口，50水管5000m；耕读百吉村：20m3水池3个，32管道3200m，50管道2200m；小河坝村：打水井1口，购置消毒设备1套；神溪村：50m3水池1口，110管道300m；马蹄村：20m3水池1口，75管道2000m，50管道2000m；唱斗村：横井一口；新洋村：140Ф钢管60m。通过实施安全饮水改造提升建设项目，农户安全饮水得到整体提升，改善群众生产生活条件，促进农业产业的发展，增强农业产业园区标准化建设，加速村经济快速发展，是解决制约村经济发展的主要因素，其经济效益和社会效益都将十分显著，是一项利村、利民、利社会的系统工程、民心工程、德政工程。</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92AE9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已按照目标完成任务</w:t>
            </w:r>
          </w:p>
        </w:tc>
      </w:tr>
      <w:tr w14:paraId="66A6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B045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预算执行情况（10分）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B46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年度预算数（万元）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EBA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年初预算</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C4D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调整后预算数</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53BE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BEB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157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28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AB9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原因</w:t>
            </w:r>
          </w:p>
        </w:tc>
      </w:tr>
      <w:tr w14:paraId="74BB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8864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534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总额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CC4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A3C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320.86</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53D5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320.86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7E8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E87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703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F05A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iCs/>
                <w:color w:val="000000"/>
                <w:sz w:val="12"/>
                <w:szCs w:val="12"/>
                <w:u w:val="none"/>
              </w:rPr>
            </w:pPr>
            <w:r>
              <w:rPr>
                <w:rFonts w:hint="eastAsia" w:ascii="黑体" w:hAnsi="黑体" w:eastAsia="黑体" w:cs="黑体"/>
                <w:i/>
                <w:iCs/>
                <w:color w:val="000000"/>
                <w:kern w:val="0"/>
                <w:sz w:val="12"/>
                <w:szCs w:val="12"/>
                <w:u w:val="none"/>
                <w:lang w:val="en-US" w:eastAsia="zh-CN" w:bidi="ar"/>
              </w:rPr>
              <w:t xml:space="preserve"> </w:t>
            </w:r>
          </w:p>
        </w:tc>
      </w:tr>
      <w:tr w14:paraId="707C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FE12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8EA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其中：财政资金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BE8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D8F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320.86</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B69A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320.86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497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3F9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A15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47C2">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3549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9503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754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财政专户管理资金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BA8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193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5488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BCB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438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013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8632A">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491E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12A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9C1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单位资金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276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EE0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124D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0BF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862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930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80C15">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2EF4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E250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C0F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其他资金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45D9">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BCE9">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78827">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C8E1">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ACF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B49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8806">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6D6E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7214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绩效指标（90分）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ABA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一级指标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492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二级指标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00D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A95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88A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指标值</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3F9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度量单位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6ED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882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76D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C94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未完成原因分析</w:t>
            </w:r>
          </w:p>
        </w:tc>
      </w:tr>
      <w:tr w14:paraId="4907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3D0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3BB7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产出指标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F76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数量指标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166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实施村个数</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9FB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14B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9A8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BEA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CF2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E5C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FB40">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61B2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9FC2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1DB4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F51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质量指标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A60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项目验收合格率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A69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4CC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7A2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CE6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098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0C7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19B8">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6F6A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E8A4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9DBE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25E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时效指标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7D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项目完成及时率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2A2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568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3C6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221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57F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ACB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ABBA">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D56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58BA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A340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效益指标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FB0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经济效益指标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6F5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预计保障群众增收</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D0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5B0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40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C59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万元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4C5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40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773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8BD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F4B5">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1E11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1E68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8355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5C4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可持续影响指标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81B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项目可持续使用年限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C13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1A7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DAD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954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3DF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79C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D033">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5BD0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197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989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7E2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54E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受益群众满意度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C57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D86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6CA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C89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EB3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C57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A5E3">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5FF7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7CB3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332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成本指标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D3C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经济成本指标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553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不超计划投资</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4A7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4D2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386</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18F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万元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09B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386</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2B5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669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1701">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2E046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970A6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A2C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6516">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F14F">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r>
      <w:tr w14:paraId="641E5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CB0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评价结论</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5C10A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通过总体上看，项目决策依据充分，总体目标清晰，完成了2024年目标任务，通过项目实施，让农村基础设施到了进一步的改善，绩效目标基本实现</w:t>
            </w:r>
          </w:p>
        </w:tc>
      </w:tr>
      <w:tr w14:paraId="2545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F7A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存在问题</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8164B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2079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2D1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改进措施</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90245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7F8F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CB85E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b/>
                <w:bCs/>
                <w:i w:val="0"/>
                <w:iCs w:val="0"/>
                <w:color w:val="000000"/>
                <w:sz w:val="12"/>
                <w:szCs w:val="12"/>
                <w:u w:val="none"/>
              </w:rPr>
            </w:pPr>
            <w:r>
              <w:rPr>
                <w:rFonts w:hint="eastAsia" w:ascii="黑体" w:hAnsi="宋体" w:eastAsia="黑体" w:cs="黑体"/>
                <w:b/>
                <w:bCs/>
                <w:i w:val="0"/>
                <w:iCs w:val="0"/>
                <w:color w:val="000000"/>
                <w:kern w:val="0"/>
                <w:sz w:val="12"/>
                <w:szCs w:val="12"/>
                <w:u w:val="none"/>
                <w:lang w:val="en-US" w:eastAsia="zh-CN" w:bidi="ar"/>
              </w:rPr>
              <w:t>部门预算项目支出绩效自评表（2024年度）</w:t>
            </w:r>
          </w:p>
        </w:tc>
      </w:tr>
      <w:tr w14:paraId="0DE7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1F6F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项目名称</w:t>
            </w:r>
          </w:p>
        </w:tc>
        <w:tc>
          <w:tcPr>
            <w:tcW w:w="64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76671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51322324T000011825685-2024年财政衔接推进乡村振兴补助资金项目（公益性岗位补贴项目）</w:t>
            </w:r>
          </w:p>
        </w:tc>
      </w:tr>
      <w:tr w14:paraId="6DA1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FE4D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主管部门</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5871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w:t>
            </w:r>
          </w:p>
        </w:tc>
        <w:tc>
          <w:tcPr>
            <w:tcW w:w="636" w:type="dxa"/>
            <w:tcBorders>
              <w:top w:val="nil"/>
              <w:left w:val="nil"/>
              <w:bottom w:val="nil"/>
              <w:right w:val="nil"/>
            </w:tcBorders>
            <w:shd w:val="clear" w:color="auto" w:fill="auto"/>
            <w:vAlign w:val="center"/>
          </w:tcPr>
          <w:p w14:paraId="2ED69D6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 xml:space="preserve">实施单位 </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DF5E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茂县水务局（行政）</w:t>
            </w:r>
          </w:p>
        </w:tc>
      </w:tr>
      <w:tr w14:paraId="2897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76DF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项目基本情况</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B758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1.项目年度目标完成情况</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3A80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项目年度目标</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F43F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年度目标完成情况</w:t>
            </w:r>
          </w:p>
        </w:tc>
      </w:tr>
      <w:tr w14:paraId="5E32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8D765">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53F89">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446B3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山洪灾害危险区责任人履职补助资金54万元，主要用于全县151处山洪灾害危险区的监测工作。项目建设中有效带动当地群众参与山洪灾害危险区项目建设，获得务工收入，有效避免和减少山洪灾害造成的人员伤亡和财产损失，加强山洪灾害危险区的风险隐患排查，进一步提升我县防御能力。</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5713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已按照目标完成任务</w:t>
            </w:r>
          </w:p>
        </w:tc>
      </w:tr>
      <w:tr w14:paraId="644C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4E37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预算执行情况（10分）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CCE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年度预算数（万元）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679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年初预算</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3D1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调整后预算数</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5A5C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8BC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A07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77B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D96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原因</w:t>
            </w:r>
          </w:p>
        </w:tc>
      </w:tr>
      <w:tr w14:paraId="6B082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C9B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D57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总额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78D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FBC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54.00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B46D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54.00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1EE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6A2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A5C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AC01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iCs/>
                <w:color w:val="000000"/>
                <w:sz w:val="12"/>
                <w:szCs w:val="12"/>
                <w:u w:val="none"/>
              </w:rPr>
            </w:pPr>
            <w:r>
              <w:rPr>
                <w:rFonts w:hint="eastAsia" w:ascii="黑体" w:hAnsi="黑体" w:eastAsia="黑体" w:cs="黑体"/>
                <w:i/>
                <w:iCs/>
                <w:color w:val="000000"/>
                <w:kern w:val="0"/>
                <w:sz w:val="12"/>
                <w:szCs w:val="12"/>
                <w:u w:val="none"/>
                <w:lang w:val="en-US" w:eastAsia="zh-CN" w:bidi="ar"/>
              </w:rPr>
              <w:t xml:space="preserve"> </w:t>
            </w:r>
          </w:p>
        </w:tc>
      </w:tr>
      <w:tr w14:paraId="1FA5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D243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BB8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其中：财政资金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4A2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F57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54.00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F7B5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54.00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141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CCB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3B3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B7E94">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4BA5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8B4C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192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财政专户管理资金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5B1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C83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0314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F93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741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A13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BED3A">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2A5C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9901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AF1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单位资金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A7B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DFE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AEC4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0FE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FD4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835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9CDE">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27F08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B38D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7B5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其他资金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2320">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58D7">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FD7D6">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8950">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E0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7E6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C25B">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05EE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FC86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绩效指标（90分）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9EE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一级指标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A0F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二级指标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31B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B49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204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指标值</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A99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度量单位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498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5A3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C5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71C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未完成原因分析</w:t>
            </w:r>
          </w:p>
        </w:tc>
      </w:tr>
      <w:tr w14:paraId="429A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953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02FD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产出指标</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C6A5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数量指标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D02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补助标准</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5EF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660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3600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AE6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元/人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AC5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3600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845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A88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DCEF">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25CF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ED41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5BF0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3C0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7AA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山洪危险区监测个数</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B3B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B68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151</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213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D9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151</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D3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2F8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460B">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A5D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AB8F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3C6A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F08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质量指标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655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项目验收合格率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3B7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394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073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3BA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5B0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225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BB9A">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0D24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9F2A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A35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D50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时效指标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64C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项目完成及时率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5BE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5EC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369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D80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24C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93B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0278">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163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2E77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77F5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效益指标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DB7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经济效益指标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F20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带动群众增收</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250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BBD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3600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7E8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元/人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01D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3600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E93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DF1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6CD4">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2EAD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8FE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AF64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B5C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可持续发展指标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082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保障人民群众居住环境安全</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476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定性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366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优良</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745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81D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优良</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843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D5C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62A2">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4846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2460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79A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5E3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D46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受益群众满意度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ED5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834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02B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782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7B4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FEE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488E">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1073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EB34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4C9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成本指标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C72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经济成本指标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340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投资不超预算</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0F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E21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54</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564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万元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67B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54</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E04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C77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D276">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84F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BD7F6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433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4AEC">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180D">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r>
      <w:tr w14:paraId="1DA7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B3E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评价结论</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97B38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通过总体上看，项目决策依据充分，总体目标清晰，完成了2024年目标任务，绩效目标基本实现</w:t>
            </w:r>
          </w:p>
        </w:tc>
      </w:tr>
      <w:tr w14:paraId="0328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A00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存在问题</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02D79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667B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769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改进措施</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A58FD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无</w:t>
            </w:r>
          </w:p>
        </w:tc>
      </w:tr>
      <w:tr w14:paraId="6B08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5B792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b/>
                <w:bCs/>
                <w:i w:val="0"/>
                <w:iCs w:val="0"/>
                <w:color w:val="000000"/>
                <w:sz w:val="12"/>
                <w:szCs w:val="12"/>
                <w:u w:val="none"/>
              </w:rPr>
            </w:pPr>
            <w:r>
              <w:rPr>
                <w:rFonts w:hint="eastAsia" w:ascii="黑体" w:hAnsi="宋体" w:eastAsia="黑体" w:cs="黑体"/>
                <w:b/>
                <w:bCs/>
                <w:i w:val="0"/>
                <w:iCs w:val="0"/>
                <w:color w:val="000000"/>
                <w:kern w:val="0"/>
                <w:sz w:val="12"/>
                <w:szCs w:val="12"/>
                <w:u w:val="none"/>
                <w:lang w:val="en-US" w:eastAsia="zh-CN" w:bidi="ar"/>
              </w:rPr>
              <w:t>部门预算项目支出绩效自评表（2024年度）</w:t>
            </w:r>
          </w:p>
        </w:tc>
      </w:tr>
      <w:tr w14:paraId="5A5A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965E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项目名称</w:t>
            </w:r>
          </w:p>
        </w:tc>
        <w:tc>
          <w:tcPr>
            <w:tcW w:w="64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80486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51322324T000012038156-2024年第二季度水库移民项目</w:t>
            </w:r>
          </w:p>
        </w:tc>
      </w:tr>
      <w:tr w14:paraId="5A86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7E74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主管部门</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78E9B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w:t>
            </w:r>
          </w:p>
        </w:tc>
        <w:tc>
          <w:tcPr>
            <w:tcW w:w="636" w:type="dxa"/>
            <w:tcBorders>
              <w:top w:val="nil"/>
              <w:left w:val="nil"/>
              <w:bottom w:val="nil"/>
              <w:right w:val="nil"/>
            </w:tcBorders>
            <w:shd w:val="clear" w:color="auto" w:fill="auto"/>
            <w:vAlign w:val="center"/>
          </w:tcPr>
          <w:p w14:paraId="35366F0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 xml:space="preserve">实施单位 </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45EF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茂县水务局（行政）</w:t>
            </w:r>
          </w:p>
        </w:tc>
      </w:tr>
      <w:tr w14:paraId="6745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03FD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项目基本情况</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24B8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1.项目年度目标完成情况</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94B1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项目年度目标</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41688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年度目标完成情况</w:t>
            </w:r>
          </w:p>
        </w:tc>
      </w:tr>
      <w:tr w14:paraId="5EDB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FAB3F">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DDF79">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92E5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安装农村安全饮水及功能提升，有效改善农村饮水水质</w:t>
            </w:r>
          </w:p>
        </w:tc>
        <w:tc>
          <w:tcPr>
            <w:tcW w:w="2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A215F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2"/>
                <w:szCs w:val="12"/>
                <w:u w:val="none"/>
              </w:rPr>
            </w:pPr>
            <w:r>
              <w:rPr>
                <w:rFonts w:hint="eastAsia" w:ascii="黑体" w:hAnsi="黑体" w:eastAsia="黑体" w:cs="黑体"/>
                <w:i w:val="0"/>
                <w:iCs w:val="0"/>
                <w:color w:val="000000"/>
                <w:kern w:val="0"/>
                <w:sz w:val="12"/>
                <w:szCs w:val="12"/>
                <w:u w:val="none"/>
                <w:lang w:val="en-US" w:eastAsia="zh-CN" w:bidi="ar"/>
              </w:rPr>
              <w:t>已按照目标完成任务</w:t>
            </w:r>
          </w:p>
        </w:tc>
      </w:tr>
      <w:tr w14:paraId="7865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07C7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预算执行情况（10分）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A50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年度预算数（万元）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881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年初预算</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DF1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调整后预算数</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A479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A09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BCA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4FD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6B6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原因</w:t>
            </w:r>
          </w:p>
        </w:tc>
      </w:tr>
      <w:tr w14:paraId="5BB0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8B9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CF8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总额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008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26A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27.27</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BCBD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27.27</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AAD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E6D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66E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85DE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iCs/>
                <w:color w:val="000000"/>
                <w:sz w:val="12"/>
                <w:szCs w:val="12"/>
                <w:u w:val="none"/>
              </w:rPr>
            </w:pPr>
            <w:r>
              <w:rPr>
                <w:rFonts w:hint="eastAsia" w:ascii="黑体" w:hAnsi="黑体" w:eastAsia="黑体" w:cs="黑体"/>
                <w:i/>
                <w:iCs/>
                <w:color w:val="000000"/>
                <w:kern w:val="0"/>
                <w:sz w:val="12"/>
                <w:szCs w:val="12"/>
                <w:u w:val="none"/>
                <w:lang w:val="en-US" w:eastAsia="zh-CN" w:bidi="ar"/>
              </w:rPr>
              <w:t xml:space="preserve"> </w:t>
            </w:r>
          </w:p>
        </w:tc>
      </w:tr>
      <w:tr w14:paraId="3428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D3C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334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其中：财政资金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EB1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CAF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27.27</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503C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27.27</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D12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26B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C18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01B3B">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1A71C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3B8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6D3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财政专户管理资金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78F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B6C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64C8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4B3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98E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F0C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1E2A4">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3061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C417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EC9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单位资金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B93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B78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D0D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CEF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85A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DB6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587DD">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52CE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C122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49D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其他资金</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1FF8">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3AC8">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2401D">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F45D">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67F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DBA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C1B56">
            <w:pPr>
              <w:keepNext w:val="0"/>
              <w:keepLines w:val="0"/>
              <w:pageBreakBefore w:val="0"/>
              <w:kinsoku/>
              <w:wordWrap/>
              <w:overflowPunct/>
              <w:topLinePunct w:val="0"/>
              <w:autoSpaceDE/>
              <w:autoSpaceDN/>
              <w:bidi w:val="0"/>
              <w:adjustRightInd/>
              <w:snapToGrid/>
              <w:spacing w:line="180" w:lineRule="exact"/>
              <w:rPr>
                <w:rFonts w:hint="eastAsia" w:ascii="黑体" w:hAnsi="黑体" w:eastAsia="黑体" w:cs="黑体"/>
                <w:i/>
                <w:iCs/>
                <w:color w:val="000000"/>
                <w:sz w:val="12"/>
                <w:szCs w:val="12"/>
                <w:u w:val="none"/>
              </w:rPr>
            </w:pPr>
          </w:p>
        </w:tc>
      </w:tr>
      <w:tr w14:paraId="09FB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3416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绩效指标（90分）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A71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一级指标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8FD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二级指标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5E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057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5B2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指标值</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0C8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度量单位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DFC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9A7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77C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BB1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未完成原因分析</w:t>
            </w:r>
          </w:p>
        </w:tc>
      </w:tr>
      <w:tr w14:paraId="5F77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CDDF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40C9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产出指标</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7C8F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数量指标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D4D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净化消毒一体化设备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81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DDB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08B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46B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883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9E4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E475">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F02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D162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1A1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2C64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FD7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涉及村个数</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D0B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98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224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580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5D1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066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BC9">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13EA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3602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6F67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2F2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质量指标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FF3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验收合格率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A54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199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55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57E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9FA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2E5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18FF">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1A64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3A9F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9324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F1B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时效指标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134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项目按时完工率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8F7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C79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A75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59E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FAE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40A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3854">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2135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639C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E37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效益指标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9CB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可持续影响指标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F7A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保障农村供水水质</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201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定性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CEC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优良</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9FC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9C9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优良</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6B2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D5A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9759">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20B6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778A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437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2FB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B58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受益群众满意度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61C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CE0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992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DA4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95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731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D82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3A52">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F8D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ADDB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D87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成本指标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1AF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经济成本指标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7CA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投资不超预算</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CF4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936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27.27</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193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万元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62E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27.27</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4FA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1B5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AB47">
            <w:pPr>
              <w:keepNext w:val="0"/>
              <w:keepLines w:val="0"/>
              <w:pageBreakBefore w:val="0"/>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2"/>
                <w:szCs w:val="12"/>
                <w:u w:val="none"/>
              </w:rPr>
            </w:pPr>
          </w:p>
        </w:tc>
      </w:tr>
      <w:tr w14:paraId="36D0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C9118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10D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100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27B5">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EE7F">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2"/>
                <w:szCs w:val="12"/>
                <w:u w:val="none"/>
              </w:rPr>
            </w:pPr>
          </w:p>
        </w:tc>
      </w:tr>
      <w:tr w14:paraId="05FE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7FF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评价结论</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685F1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通过总体上看，项目决策依据充分，总体目标清晰，完成了2024年目标任务，通过项目实施，让农村基础设施到了进一步的改善，绩效目标基本实现</w:t>
            </w:r>
          </w:p>
        </w:tc>
      </w:tr>
      <w:tr w14:paraId="41D6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915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存在问题</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67F33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无</w:t>
            </w:r>
          </w:p>
        </w:tc>
      </w:tr>
      <w:tr w14:paraId="28B6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FA4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2"/>
                <w:szCs w:val="12"/>
                <w:u w:val="none"/>
              </w:rPr>
            </w:pPr>
            <w:r>
              <w:rPr>
                <w:rFonts w:ascii="宋体" w:hAnsi="宋体" w:eastAsia="宋体" w:cs="宋体"/>
                <w:i w:val="0"/>
                <w:iCs w:val="0"/>
                <w:color w:val="000000"/>
                <w:kern w:val="0"/>
                <w:sz w:val="12"/>
                <w:szCs w:val="12"/>
                <w:u w:val="none"/>
                <w:lang w:val="en-US" w:eastAsia="zh-CN" w:bidi="ar"/>
              </w:rPr>
              <w:t>改进措施</w:t>
            </w:r>
          </w:p>
        </w:tc>
        <w:tc>
          <w:tcPr>
            <w:tcW w:w="75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4848F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无</w:t>
            </w:r>
          </w:p>
        </w:tc>
      </w:tr>
    </w:tbl>
    <w:p w14:paraId="48F86C14">
      <w:pPr>
        <w:suppressAutoHyphens/>
        <w:bidi w:val="0"/>
        <w:spacing w:line="600" w:lineRule="exact"/>
        <w:jc w:val="center"/>
        <w:outlineLvl w:val="0"/>
        <w:rPr>
          <w:rStyle w:val="39"/>
          <w:rFonts w:hint="eastAsia" w:ascii="仿宋_GB2312" w:hAnsi="仿宋_GB2312" w:eastAsia="仿宋_GB2312" w:cs="仿宋_GB2312"/>
          <w:b w:val="0"/>
          <w:color w:val="auto"/>
          <w:sz w:val="18"/>
          <w:szCs w:val="18"/>
          <w:highlight w:val="none"/>
        </w:rPr>
      </w:pPr>
    </w:p>
    <w:p w14:paraId="4AD9E68E">
      <w:pPr>
        <w:suppressAutoHyphens/>
        <w:bidi w:val="0"/>
        <w:spacing w:line="600" w:lineRule="exact"/>
        <w:jc w:val="center"/>
        <w:outlineLvl w:val="0"/>
        <w:rPr>
          <w:rStyle w:val="39"/>
          <w:rFonts w:hint="eastAsia" w:ascii="仿宋_GB2312" w:hAnsi="仿宋_GB2312" w:eastAsia="仿宋_GB2312" w:cs="仿宋_GB2312"/>
          <w:b w:val="0"/>
          <w:color w:val="auto"/>
          <w:sz w:val="18"/>
          <w:szCs w:val="18"/>
          <w:highlight w:val="none"/>
        </w:rPr>
      </w:pPr>
    </w:p>
    <w:p w14:paraId="7800018D">
      <w:pPr>
        <w:suppressAutoHyphens/>
        <w:bidi w:val="0"/>
        <w:spacing w:line="600" w:lineRule="exact"/>
        <w:jc w:val="center"/>
        <w:outlineLvl w:val="0"/>
        <w:rPr>
          <w:rStyle w:val="39"/>
          <w:rFonts w:hint="eastAsia" w:ascii="仿宋_GB2312" w:hAnsi="仿宋_GB2312" w:eastAsia="仿宋_GB2312" w:cs="仿宋_GB2312"/>
          <w:b w:val="0"/>
          <w:color w:val="auto"/>
          <w:sz w:val="18"/>
          <w:szCs w:val="18"/>
          <w:highlight w:val="none"/>
        </w:rPr>
      </w:pPr>
    </w:p>
    <w:p w14:paraId="51D7AC27">
      <w:pPr>
        <w:suppressAutoHyphens/>
        <w:bidi w:val="0"/>
        <w:spacing w:line="600" w:lineRule="exact"/>
        <w:jc w:val="center"/>
        <w:outlineLvl w:val="0"/>
        <w:rPr>
          <w:rStyle w:val="39"/>
          <w:rFonts w:hint="eastAsia" w:ascii="仿宋_GB2312" w:hAnsi="仿宋_GB2312" w:eastAsia="仿宋_GB2312" w:cs="仿宋_GB2312"/>
          <w:b w:val="0"/>
          <w:color w:val="auto"/>
          <w:sz w:val="18"/>
          <w:szCs w:val="18"/>
          <w:highlight w:val="none"/>
        </w:rPr>
      </w:pPr>
    </w:p>
    <w:p w14:paraId="0F7B93CA">
      <w:pPr>
        <w:suppressAutoHyphens/>
        <w:bidi w:val="0"/>
        <w:spacing w:line="600" w:lineRule="exact"/>
        <w:jc w:val="center"/>
        <w:outlineLvl w:val="0"/>
        <w:rPr>
          <w:rStyle w:val="39"/>
          <w:rFonts w:hint="eastAsia" w:ascii="仿宋_GB2312" w:hAnsi="仿宋_GB2312" w:eastAsia="仿宋_GB2312" w:cs="仿宋_GB2312"/>
          <w:b w:val="0"/>
          <w:color w:val="auto"/>
          <w:sz w:val="18"/>
          <w:szCs w:val="18"/>
          <w:highlight w:val="none"/>
        </w:rPr>
      </w:pPr>
    </w:p>
    <w:p w14:paraId="64280C02">
      <w:pPr>
        <w:suppressAutoHyphens/>
        <w:bidi w:val="0"/>
        <w:spacing w:line="600" w:lineRule="exact"/>
        <w:jc w:val="center"/>
        <w:outlineLvl w:val="0"/>
        <w:rPr>
          <w:rStyle w:val="39"/>
          <w:rFonts w:hint="eastAsia" w:ascii="仿宋_GB2312" w:hAnsi="仿宋_GB2312" w:eastAsia="仿宋_GB2312" w:cs="仿宋_GB2312"/>
          <w:b w:val="0"/>
          <w:color w:val="auto"/>
          <w:sz w:val="18"/>
          <w:szCs w:val="18"/>
          <w:highlight w:val="none"/>
        </w:rPr>
      </w:pPr>
    </w:p>
    <w:p w14:paraId="3846583C">
      <w:pPr>
        <w:suppressAutoHyphens/>
        <w:bidi w:val="0"/>
        <w:spacing w:line="600" w:lineRule="exact"/>
        <w:jc w:val="center"/>
        <w:outlineLvl w:val="0"/>
        <w:rPr>
          <w:rStyle w:val="39"/>
          <w:rFonts w:hint="eastAsia" w:ascii="仿宋_GB2312" w:hAnsi="仿宋_GB2312" w:eastAsia="仿宋_GB2312" w:cs="仿宋_GB2312"/>
          <w:b w:val="0"/>
          <w:color w:val="auto"/>
          <w:sz w:val="18"/>
          <w:szCs w:val="18"/>
          <w:highlight w:val="none"/>
        </w:rPr>
      </w:pPr>
    </w:p>
    <w:p w14:paraId="3C17750C">
      <w:pPr>
        <w:suppressAutoHyphens/>
        <w:bidi w:val="0"/>
        <w:spacing w:line="600" w:lineRule="exact"/>
        <w:jc w:val="both"/>
        <w:outlineLvl w:val="0"/>
        <w:rPr>
          <w:rStyle w:val="39"/>
          <w:rFonts w:hint="eastAsia" w:ascii="黑体" w:hAnsi="黑体" w:eastAsia="黑体"/>
          <w:b w:val="0"/>
          <w:color w:val="auto"/>
          <w:highlight w:val="none"/>
        </w:rPr>
      </w:pPr>
    </w:p>
    <w:p w14:paraId="1F22B6C2">
      <w:pPr>
        <w:suppressAutoHyphens/>
        <w:bidi w:val="0"/>
        <w:spacing w:line="600" w:lineRule="exact"/>
        <w:jc w:val="both"/>
        <w:outlineLvl w:val="0"/>
        <w:rPr>
          <w:rStyle w:val="39"/>
          <w:rFonts w:hint="eastAsia" w:ascii="黑体" w:hAnsi="黑体" w:eastAsia="黑体"/>
          <w:b w:val="0"/>
          <w:color w:val="auto"/>
          <w:highlight w:val="none"/>
        </w:rPr>
      </w:pPr>
    </w:p>
    <w:p w14:paraId="3660DC96">
      <w:pPr>
        <w:suppressAutoHyphens/>
        <w:bidi w:val="0"/>
        <w:spacing w:line="600" w:lineRule="exact"/>
        <w:jc w:val="center"/>
        <w:outlineLvl w:val="0"/>
        <w:rPr>
          <w:rStyle w:val="39"/>
          <w:rFonts w:hint="eastAsia" w:ascii="黑体" w:hAnsi="黑体" w:eastAsia="黑体"/>
          <w:b w:val="0"/>
          <w:color w:val="auto"/>
          <w:highlight w:val="none"/>
        </w:rPr>
      </w:pPr>
    </w:p>
    <w:p w14:paraId="1DD58993">
      <w:pPr>
        <w:suppressAutoHyphens/>
        <w:bidi w:val="0"/>
        <w:spacing w:line="600" w:lineRule="exact"/>
        <w:jc w:val="center"/>
        <w:outlineLvl w:val="0"/>
        <w:rPr>
          <w:rFonts w:hint="eastAsia" w:ascii="思源黑体 CN Normal" w:hAnsi="思源黑体 CN Normal" w:eastAsia="思源黑体 CN Normal" w:cs="思源黑体 CN Normal"/>
          <w:b w:val="0"/>
          <w:bCs w:val="0"/>
        </w:rPr>
      </w:pPr>
      <w:r>
        <w:rPr>
          <w:rStyle w:val="39"/>
          <w:rFonts w:hint="eastAsia" w:ascii="黑体" w:hAnsi="黑体" w:eastAsia="黑体"/>
          <w:b w:val="0"/>
          <w:color w:val="auto"/>
          <w:highlight w:val="none"/>
        </w:rPr>
        <w:t>第五部分 附表</w:t>
      </w:r>
      <w:bookmarkEnd w:id="74"/>
      <w:bookmarkEnd w:id="75"/>
      <w:bookmarkEnd w:id="76"/>
      <w:bookmarkEnd w:id="77"/>
    </w:p>
    <w:p w14:paraId="39407B2D">
      <w:pPr>
        <w:pStyle w:val="3"/>
        <w:ind w:firstLine="640" w:firstLineChars="200"/>
        <w:rPr>
          <w:rFonts w:hint="eastAsia" w:ascii="仿宋" w:hAnsi="仿宋" w:eastAsia="仿宋" w:cs="仿宋"/>
          <w:b w:val="0"/>
          <w:bCs/>
          <w:color w:val="000000"/>
          <w:sz w:val="32"/>
          <w:szCs w:val="32"/>
        </w:rPr>
      </w:pPr>
      <w:bookmarkStart w:id="80" w:name="_Toc16431"/>
      <w:r>
        <w:rPr>
          <w:rFonts w:hint="eastAsia" w:ascii="仿宋" w:hAnsi="仿宋" w:eastAsia="仿宋" w:cs="仿宋"/>
          <w:b w:val="0"/>
          <w:bCs/>
          <w:color w:val="000000"/>
          <w:sz w:val="32"/>
          <w:szCs w:val="32"/>
        </w:rPr>
        <w:t>一、收入支出决算总表</w:t>
      </w:r>
      <w:bookmarkEnd w:id="80"/>
    </w:p>
    <w:p w14:paraId="2B7DC4AC">
      <w:pPr>
        <w:pStyle w:val="3"/>
        <w:ind w:firstLine="640" w:firstLineChars="200"/>
        <w:rPr>
          <w:rFonts w:hint="eastAsia" w:ascii="仿宋" w:hAnsi="仿宋" w:eastAsia="仿宋" w:cs="仿宋"/>
          <w:b w:val="0"/>
          <w:bCs/>
          <w:color w:val="000000"/>
          <w:sz w:val="32"/>
          <w:szCs w:val="32"/>
        </w:rPr>
      </w:pPr>
      <w:bookmarkStart w:id="81" w:name="_Toc25389"/>
      <w:r>
        <w:rPr>
          <w:rFonts w:hint="eastAsia" w:ascii="仿宋" w:hAnsi="仿宋" w:eastAsia="仿宋" w:cs="仿宋"/>
          <w:b w:val="0"/>
          <w:bCs/>
          <w:color w:val="000000"/>
          <w:sz w:val="32"/>
          <w:szCs w:val="32"/>
        </w:rPr>
        <w:t>二、收入决算表</w:t>
      </w:r>
      <w:bookmarkEnd w:id="81"/>
    </w:p>
    <w:p w14:paraId="7858E927">
      <w:pPr>
        <w:pStyle w:val="3"/>
        <w:ind w:firstLine="640" w:firstLineChars="200"/>
        <w:rPr>
          <w:rFonts w:hint="eastAsia" w:ascii="仿宋" w:hAnsi="仿宋" w:eastAsia="仿宋" w:cs="仿宋"/>
          <w:b w:val="0"/>
          <w:bCs/>
          <w:color w:val="000000"/>
          <w:sz w:val="32"/>
          <w:szCs w:val="32"/>
        </w:rPr>
      </w:pPr>
      <w:bookmarkStart w:id="82" w:name="_Toc10450"/>
      <w:r>
        <w:rPr>
          <w:rFonts w:hint="eastAsia" w:ascii="仿宋" w:hAnsi="仿宋" w:eastAsia="仿宋" w:cs="仿宋"/>
          <w:b w:val="0"/>
          <w:bCs/>
          <w:color w:val="000000"/>
          <w:sz w:val="32"/>
          <w:szCs w:val="32"/>
        </w:rPr>
        <w:t>三、支出决算表</w:t>
      </w:r>
      <w:bookmarkEnd w:id="82"/>
    </w:p>
    <w:p w14:paraId="31EC7FA5">
      <w:pPr>
        <w:pStyle w:val="3"/>
        <w:ind w:firstLine="640" w:firstLineChars="200"/>
        <w:rPr>
          <w:rFonts w:hint="eastAsia" w:ascii="仿宋" w:hAnsi="仿宋" w:eastAsia="仿宋" w:cs="仿宋"/>
          <w:b w:val="0"/>
          <w:bCs/>
          <w:color w:val="000000"/>
          <w:sz w:val="32"/>
          <w:szCs w:val="32"/>
        </w:rPr>
      </w:pPr>
      <w:bookmarkStart w:id="83" w:name="_Toc15415"/>
      <w:r>
        <w:rPr>
          <w:rFonts w:hint="eastAsia" w:ascii="仿宋" w:hAnsi="仿宋" w:eastAsia="仿宋" w:cs="仿宋"/>
          <w:b w:val="0"/>
          <w:bCs/>
          <w:color w:val="000000"/>
          <w:sz w:val="32"/>
          <w:szCs w:val="32"/>
        </w:rPr>
        <w:t>四、财政拨款收入支出决算总表</w:t>
      </w:r>
      <w:bookmarkEnd w:id="83"/>
    </w:p>
    <w:p w14:paraId="4A2F30BB">
      <w:pPr>
        <w:pStyle w:val="3"/>
        <w:ind w:firstLine="640" w:firstLineChars="200"/>
        <w:rPr>
          <w:rFonts w:hint="eastAsia" w:ascii="仿宋" w:hAnsi="仿宋" w:eastAsia="仿宋" w:cs="仿宋"/>
          <w:b w:val="0"/>
          <w:bCs/>
          <w:color w:val="000000"/>
          <w:sz w:val="32"/>
          <w:szCs w:val="32"/>
        </w:rPr>
      </w:pPr>
      <w:bookmarkStart w:id="84" w:name="_Toc17530"/>
      <w:r>
        <w:rPr>
          <w:rFonts w:hint="eastAsia" w:ascii="仿宋" w:hAnsi="仿宋" w:eastAsia="仿宋" w:cs="仿宋"/>
          <w:b w:val="0"/>
          <w:bCs/>
          <w:color w:val="000000"/>
          <w:sz w:val="32"/>
          <w:szCs w:val="32"/>
        </w:rPr>
        <w:t>五、财政拨款支出决算明细表</w:t>
      </w:r>
      <w:bookmarkEnd w:id="84"/>
    </w:p>
    <w:p w14:paraId="712C880D">
      <w:pPr>
        <w:pStyle w:val="3"/>
        <w:ind w:firstLine="640" w:firstLineChars="200"/>
        <w:rPr>
          <w:rFonts w:hint="eastAsia" w:ascii="仿宋" w:hAnsi="仿宋" w:eastAsia="仿宋" w:cs="仿宋"/>
          <w:b w:val="0"/>
          <w:bCs/>
          <w:color w:val="000000"/>
          <w:sz w:val="32"/>
          <w:szCs w:val="32"/>
        </w:rPr>
      </w:pPr>
      <w:bookmarkStart w:id="85" w:name="_Toc22032"/>
      <w:r>
        <w:rPr>
          <w:rFonts w:hint="eastAsia" w:ascii="仿宋" w:hAnsi="仿宋" w:eastAsia="仿宋" w:cs="仿宋"/>
          <w:b w:val="0"/>
          <w:bCs/>
          <w:color w:val="000000"/>
          <w:sz w:val="32"/>
          <w:szCs w:val="32"/>
        </w:rPr>
        <w:t>六、一般公共预算财政拨款支出决算表</w:t>
      </w:r>
      <w:bookmarkEnd w:id="85"/>
    </w:p>
    <w:p w14:paraId="51429EF5">
      <w:pPr>
        <w:pStyle w:val="3"/>
        <w:ind w:firstLine="640" w:firstLineChars="200"/>
        <w:rPr>
          <w:rFonts w:hint="eastAsia" w:ascii="仿宋" w:hAnsi="仿宋" w:eastAsia="仿宋" w:cs="仿宋"/>
          <w:b w:val="0"/>
          <w:bCs/>
          <w:color w:val="000000"/>
          <w:sz w:val="32"/>
          <w:szCs w:val="32"/>
        </w:rPr>
      </w:pPr>
      <w:bookmarkStart w:id="86" w:name="_Toc3364"/>
      <w:r>
        <w:rPr>
          <w:rFonts w:hint="eastAsia" w:ascii="仿宋" w:hAnsi="仿宋" w:eastAsia="仿宋" w:cs="仿宋"/>
          <w:b w:val="0"/>
          <w:bCs/>
          <w:color w:val="000000"/>
          <w:sz w:val="32"/>
          <w:szCs w:val="32"/>
        </w:rPr>
        <w:t>七、一般公共预算财政拨款支出决算明细表</w:t>
      </w:r>
      <w:bookmarkEnd w:id="86"/>
    </w:p>
    <w:p w14:paraId="672B9B4D">
      <w:pPr>
        <w:pStyle w:val="3"/>
        <w:ind w:firstLine="640" w:firstLineChars="200"/>
        <w:rPr>
          <w:rFonts w:hint="eastAsia" w:ascii="仿宋" w:hAnsi="仿宋" w:eastAsia="仿宋" w:cs="仿宋"/>
          <w:b w:val="0"/>
          <w:bCs/>
          <w:color w:val="000000"/>
          <w:sz w:val="32"/>
          <w:szCs w:val="32"/>
        </w:rPr>
      </w:pPr>
      <w:bookmarkStart w:id="87" w:name="_Toc9110"/>
      <w:r>
        <w:rPr>
          <w:rFonts w:hint="eastAsia" w:ascii="仿宋" w:hAnsi="仿宋" w:eastAsia="仿宋" w:cs="仿宋"/>
          <w:b w:val="0"/>
          <w:bCs/>
          <w:color w:val="000000"/>
          <w:sz w:val="32"/>
          <w:szCs w:val="32"/>
        </w:rPr>
        <w:t>八、一般公共预算财政拨款基本支出决算表</w:t>
      </w:r>
      <w:bookmarkEnd w:id="87"/>
    </w:p>
    <w:p w14:paraId="2002A273">
      <w:pPr>
        <w:pStyle w:val="3"/>
        <w:ind w:firstLine="640" w:firstLineChars="200"/>
        <w:rPr>
          <w:rFonts w:hint="eastAsia" w:ascii="仿宋" w:hAnsi="仿宋" w:eastAsia="仿宋" w:cs="仿宋"/>
          <w:b w:val="0"/>
          <w:bCs/>
          <w:color w:val="000000"/>
          <w:sz w:val="32"/>
          <w:szCs w:val="32"/>
        </w:rPr>
      </w:pPr>
      <w:bookmarkStart w:id="88" w:name="_Toc28582"/>
      <w:r>
        <w:rPr>
          <w:rFonts w:hint="eastAsia" w:ascii="仿宋" w:hAnsi="仿宋" w:eastAsia="仿宋" w:cs="仿宋"/>
          <w:b w:val="0"/>
          <w:bCs/>
          <w:color w:val="000000"/>
          <w:sz w:val="32"/>
          <w:szCs w:val="32"/>
        </w:rPr>
        <w:t>九、一般公共预算财政拨款项目支出决算表</w:t>
      </w:r>
      <w:bookmarkEnd w:id="88"/>
    </w:p>
    <w:p w14:paraId="0A36D281">
      <w:pPr>
        <w:pStyle w:val="3"/>
        <w:ind w:firstLine="640" w:firstLineChars="200"/>
        <w:rPr>
          <w:rFonts w:hint="eastAsia" w:ascii="仿宋" w:hAnsi="仿宋" w:eastAsia="仿宋" w:cs="仿宋"/>
          <w:b w:val="0"/>
          <w:bCs/>
          <w:color w:val="000000"/>
          <w:sz w:val="32"/>
          <w:szCs w:val="32"/>
        </w:rPr>
      </w:pPr>
      <w:bookmarkStart w:id="89" w:name="_Toc22001"/>
      <w:r>
        <w:rPr>
          <w:rFonts w:hint="eastAsia" w:ascii="仿宋" w:hAnsi="仿宋" w:eastAsia="仿宋" w:cs="仿宋"/>
          <w:b w:val="0"/>
          <w:bCs/>
          <w:color w:val="000000"/>
          <w:sz w:val="32"/>
          <w:szCs w:val="32"/>
        </w:rPr>
        <w:t>十、政府性基金预算财政拨款收入支出决算表</w:t>
      </w:r>
      <w:bookmarkEnd w:id="89"/>
    </w:p>
    <w:p w14:paraId="0BD12BAB">
      <w:pPr>
        <w:pStyle w:val="3"/>
        <w:ind w:firstLine="640" w:firstLineChars="200"/>
        <w:rPr>
          <w:rFonts w:hint="eastAsia" w:ascii="仿宋" w:hAnsi="仿宋" w:eastAsia="仿宋" w:cs="仿宋"/>
          <w:b w:val="0"/>
          <w:bCs/>
          <w:color w:val="000000"/>
          <w:sz w:val="32"/>
          <w:szCs w:val="32"/>
        </w:rPr>
      </w:pPr>
      <w:bookmarkStart w:id="90" w:name="_Toc6538"/>
      <w:r>
        <w:rPr>
          <w:rFonts w:hint="eastAsia" w:ascii="仿宋" w:hAnsi="仿宋" w:eastAsia="仿宋" w:cs="仿宋"/>
          <w:b w:val="0"/>
          <w:bCs/>
          <w:color w:val="000000"/>
          <w:sz w:val="32"/>
          <w:szCs w:val="32"/>
        </w:rPr>
        <w:t>十一、国有资本经营预算财政拨款收入支出决算表</w:t>
      </w:r>
      <w:bookmarkEnd w:id="90"/>
    </w:p>
    <w:p w14:paraId="124CF2DF">
      <w:pPr>
        <w:pStyle w:val="3"/>
        <w:ind w:firstLine="640" w:firstLineChars="200"/>
        <w:rPr>
          <w:rFonts w:hint="eastAsia" w:ascii="仿宋" w:hAnsi="仿宋" w:eastAsia="仿宋" w:cs="仿宋"/>
          <w:b w:val="0"/>
          <w:bCs/>
          <w:color w:val="000000"/>
          <w:sz w:val="32"/>
          <w:szCs w:val="32"/>
        </w:rPr>
      </w:pPr>
      <w:bookmarkStart w:id="91" w:name="_Toc10625"/>
      <w:r>
        <w:rPr>
          <w:rFonts w:hint="eastAsia" w:ascii="仿宋" w:hAnsi="仿宋" w:eastAsia="仿宋" w:cs="仿宋"/>
          <w:b w:val="0"/>
          <w:bCs/>
          <w:color w:val="000000"/>
          <w:sz w:val="32"/>
          <w:szCs w:val="32"/>
        </w:rPr>
        <w:t>十二、国有资本经营预算财政拨款支出决算表</w:t>
      </w:r>
      <w:bookmarkEnd w:id="91"/>
    </w:p>
    <w:p w14:paraId="39A925A5">
      <w:pPr>
        <w:pStyle w:val="3"/>
        <w:ind w:firstLine="640" w:firstLineChars="200"/>
        <w:rPr>
          <w:rFonts w:hint="eastAsia" w:ascii="仿宋" w:hAnsi="仿宋" w:eastAsia="仿宋" w:cs="仿宋"/>
          <w:b w:val="0"/>
          <w:bCs/>
          <w:color w:val="000000"/>
          <w:sz w:val="32"/>
          <w:szCs w:val="32"/>
        </w:rPr>
      </w:pPr>
      <w:bookmarkStart w:id="92" w:name="_Toc28356"/>
      <w:r>
        <w:rPr>
          <w:rFonts w:hint="eastAsia" w:ascii="仿宋" w:hAnsi="仿宋" w:eastAsia="仿宋" w:cs="仿宋"/>
          <w:b w:val="0"/>
          <w:bCs/>
          <w:color w:val="000000"/>
          <w:sz w:val="32"/>
          <w:szCs w:val="32"/>
        </w:rPr>
        <w:t>十三、财政拨款“三公”经费支出决算表</w:t>
      </w:r>
      <w:bookmarkEnd w:id="92"/>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F67122-29B2-4721-B6A3-ABF7A22F1C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2DF99DD-34C3-4B7A-91ED-012A719C148D}"/>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E418EB2E-5501-4D1B-9822-A126DC39FF85}"/>
  </w:font>
  <w:font w:name="Cambria">
    <w:panose1 w:val="02040503050406030204"/>
    <w:charset w:val="00"/>
    <w:family w:val="roman"/>
    <w:pitch w:val="default"/>
    <w:sig w:usb0="E00006FF" w:usb1="420024FF" w:usb2="02000000" w:usb3="00000000" w:csb0="2000019F" w:csb1="00000000"/>
  </w:font>
  <w:font w:name="思源黑体 CN Normal">
    <w:altName w:val="黑体"/>
    <w:panose1 w:val="020B0400000000000000"/>
    <w:charset w:val="86"/>
    <w:family w:val="auto"/>
    <w:pitch w:val="default"/>
    <w:sig w:usb0="00000000" w:usb1="00000000" w:usb2="00000016" w:usb3="00000000" w:csb0="60060107" w:csb1="00000000"/>
    <w:embedRegular r:id="rId4" w:fontKey="{570E2ACB-6B2B-4B15-B532-E702F0B9948C}"/>
  </w:font>
  <w:font w:name="方正小标宋简体">
    <w:panose1 w:val="03000509000000000000"/>
    <w:charset w:val="86"/>
    <w:family w:val="auto"/>
    <w:pitch w:val="default"/>
    <w:sig w:usb0="00000001" w:usb1="080E0000" w:usb2="00000000" w:usb3="00000000" w:csb0="00040000" w:csb1="00000000"/>
    <w:embedRegular r:id="rId5" w:fontKey="{BD05194C-750A-4B81-9A19-77FD91067E0A}"/>
  </w:font>
  <w:font w:name="楷体">
    <w:panose1 w:val="02010609060101010101"/>
    <w:charset w:val="86"/>
    <w:family w:val="auto"/>
    <w:pitch w:val="default"/>
    <w:sig w:usb0="800002BF" w:usb1="38CF7CFA" w:usb2="00000016" w:usb3="00000000" w:csb0="00040001" w:csb1="00000000"/>
    <w:embedRegular r:id="rId6" w:fontKey="{C570C049-A011-4BF5-911F-79670E346572}"/>
  </w:font>
  <w:font w:name="微软雅黑">
    <w:panose1 w:val="020B0503020204020204"/>
    <w:charset w:val="86"/>
    <w:family w:val="auto"/>
    <w:pitch w:val="default"/>
    <w:sig w:usb0="80000287" w:usb1="2ACF3C50" w:usb2="00000016" w:usb3="00000000" w:csb0="0004001F" w:csb1="00000000"/>
    <w:embedRegular r:id="rId7" w:fontKey="{6A762B97-C854-402F-A5A3-B7B744B8575E}"/>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F7B9">
    <w:pPr>
      <w:pStyle w:val="12"/>
      <w:jc w:val="center"/>
    </w:pPr>
  </w:p>
  <w:p w14:paraId="4009213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41CB">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v:textbox>
            </v:shape>
          </w:pict>
        </mc:Fallback>
      </mc:AlternateContent>
    </w:r>
  </w:p>
  <w:p w14:paraId="6AA3FF4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34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CC6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0CC6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B520F"/>
    <w:multiLevelType w:val="singleLevel"/>
    <w:tmpl w:val="D27B520F"/>
    <w:lvl w:ilvl="0" w:tentative="0">
      <w:start w:val="4"/>
      <w:numFmt w:val="chineseCounting"/>
      <w:suff w:val="space"/>
      <w:lvlText w:val="第%1部分"/>
      <w:lvlJc w:val="left"/>
      <w:rPr>
        <w:rFonts w:hint="eastAsia"/>
      </w:rPr>
    </w:lvl>
  </w:abstractNum>
  <w:abstractNum w:abstractNumId="1">
    <w:nsid w:val="189459F0"/>
    <w:multiLevelType w:val="singleLevel"/>
    <w:tmpl w:val="189459F0"/>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F359AA"/>
    <w:rsid w:val="043A3897"/>
    <w:rsid w:val="045647CC"/>
    <w:rsid w:val="0463543B"/>
    <w:rsid w:val="048D6B52"/>
    <w:rsid w:val="04A56E6E"/>
    <w:rsid w:val="04D45254"/>
    <w:rsid w:val="04D550AF"/>
    <w:rsid w:val="051A6F96"/>
    <w:rsid w:val="05C25E8C"/>
    <w:rsid w:val="06951176"/>
    <w:rsid w:val="07001BE1"/>
    <w:rsid w:val="07267DE7"/>
    <w:rsid w:val="07B70A9C"/>
    <w:rsid w:val="088F55D5"/>
    <w:rsid w:val="089C4B49"/>
    <w:rsid w:val="09081517"/>
    <w:rsid w:val="091B747D"/>
    <w:rsid w:val="092E626A"/>
    <w:rsid w:val="09A572B6"/>
    <w:rsid w:val="0A19737C"/>
    <w:rsid w:val="0A3C605D"/>
    <w:rsid w:val="0A441619"/>
    <w:rsid w:val="0B7218AA"/>
    <w:rsid w:val="0B99373B"/>
    <w:rsid w:val="0BA37CB5"/>
    <w:rsid w:val="0CB8607E"/>
    <w:rsid w:val="0CC447E0"/>
    <w:rsid w:val="0D0429D6"/>
    <w:rsid w:val="0D093B48"/>
    <w:rsid w:val="0D322E51"/>
    <w:rsid w:val="0D6C338E"/>
    <w:rsid w:val="0D7423C2"/>
    <w:rsid w:val="0DB37F58"/>
    <w:rsid w:val="0DB742A8"/>
    <w:rsid w:val="0E6D2010"/>
    <w:rsid w:val="0EC00B7E"/>
    <w:rsid w:val="0F5E6610"/>
    <w:rsid w:val="0FB52B86"/>
    <w:rsid w:val="0FB57FB7"/>
    <w:rsid w:val="0FDB629D"/>
    <w:rsid w:val="0FFD0B0D"/>
    <w:rsid w:val="103747CF"/>
    <w:rsid w:val="103F4D68"/>
    <w:rsid w:val="10C055FF"/>
    <w:rsid w:val="116A6D7C"/>
    <w:rsid w:val="11761AF6"/>
    <w:rsid w:val="11851C0B"/>
    <w:rsid w:val="11D56DF6"/>
    <w:rsid w:val="11ED6591"/>
    <w:rsid w:val="11F37341"/>
    <w:rsid w:val="11F85D8C"/>
    <w:rsid w:val="13367661"/>
    <w:rsid w:val="136F089E"/>
    <w:rsid w:val="13D81ACD"/>
    <w:rsid w:val="14D728AA"/>
    <w:rsid w:val="15F1786F"/>
    <w:rsid w:val="1665477F"/>
    <w:rsid w:val="16A60B0B"/>
    <w:rsid w:val="16BB723D"/>
    <w:rsid w:val="17283764"/>
    <w:rsid w:val="17BC7656"/>
    <w:rsid w:val="17EA348C"/>
    <w:rsid w:val="1840212F"/>
    <w:rsid w:val="184656CF"/>
    <w:rsid w:val="18A94077"/>
    <w:rsid w:val="193C261A"/>
    <w:rsid w:val="19934117"/>
    <w:rsid w:val="19943114"/>
    <w:rsid w:val="19DE22C0"/>
    <w:rsid w:val="1A24311D"/>
    <w:rsid w:val="1AB026BC"/>
    <w:rsid w:val="1ABB32B6"/>
    <w:rsid w:val="1B7451A7"/>
    <w:rsid w:val="1B787B60"/>
    <w:rsid w:val="1BE81A43"/>
    <w:rsid w:val="1BF70747"/>
    <w:rsid w:val="1C06153F"/>
    <w:rsid w:val="1C986C96"/>
    <w:rsid w:val="1D7371C3"/>
    <w:rsid w:val="1DDC2BB3"/>
    <w:rsid w:val="1E34479D"/>
    <w:rsid w:val="1EF81F78"/>
    <w:rsid w:val="1F620905"/>
    <w:rsid w:val="1FD12B34"/>
    <w:rsid w:val="201A6AB0"/>
    <w:rsid w:val="203B66A0"/>
    <w:rsid w:val="206D278F"/>
    <w:rsid w:val="211A679A"/>
    <w:rsid w:val="21253DA0"/>
    <w:rsid w:val="21A94BCD"/>
    <w:rsid w:val="21E552DE"/>
    <w:rsid w:val="22857975"/>
    <w:rsid w:val="23844B7E"/>
    <w:rsid w:val="23902475"/>
    <w:rsid w:val="23FA0B3C"/>
    <w:rsid w:val="240371BF"/>
    <w:rsid w:val="2435534E"/>
    <w:rsid w:val="244017F7"/>
    <w:rsid w:val="24534F10"/>
    <w:rsid w:val="24DF6C66"/>
    <w:rsid w:val="252D0733"/>
    <w:rsid w:val="253D03DB"/>
    <w:rsid w:val="253F66D1"/>
    <w:rsid w:val="25A20B86"/>
    <w:rsid w:val="25B1070F"/>
    <w:rsid w:val="25BC6564"/>
    <w:rsid w:val="25DD571A"/>
    <w:rsid w:val="262A3B55"/>
    <w:rsid w:val="265C1D1F"/>
    <w:rsid w:val="26A5092E"/>
    <w:rsid w:val="26BB36DB"/>
    <w:rsid w:val="271C31C7"/>
    <w:rsid w:val="271C5A93"/>
    <w:rsid w:val="276F1834"/>
    <w:rsid w:val="27B459F9"/>
    <w:rsid w:val="27C51E91"/>
    <w:rsid w:val="280173B2"/>
    <w:rsid w:val="28513369"/>
    <w:rsid w:val="28BF6D42"/>
    <w:rsid w:val="28C822A0"/>
    <w:rsid w:val="292D4147"/>
    <w:rsid w:val="292E058E"/>
    <w:rsid w:val="295D49CD"/>
    <w:rsid w:val="29FD04D3"/>
    <w:rsid w:val="2A104310"/>
    <w:rsid w:val="2A3A313B"/>
    <w:rsid w:val="2C1E1BB4"/>
    <w:rsid w:val="2C2A7611"/>
    <w:rsid w:val="2CAE1BBE"/>
    <w:rsid w:val="2CCF04B2"/>
    <w:rsid w:val="2DF079DB"/>
    <w:rsid w:val="2E4C04E0"/>
    <w:rsid w:val="2E67588F"/>
    <w:rsid w:val="2EC1626D"/>
    <w:rsid w:val="2F803D16"/>
    <w:rsid w:val="2FF22B1D"/>
    <w:rsid w:val="2FFE27C4"/>
    <w:rsid w:val="30CB71E3"/>
    <w:rsid w:val="30E36C85"/>
    <w:rsid w:val="31810DA9"/>
    <w:rsid w:val="31903F88"/>
    <w:rsid w:val="319F7F4E"/>
    <w:rsid w:val="31B56699"/>
    <w:rsid w:val="31B72CAD"/>
    <w:rsid w:val="32004B5E"/>
    <w:rsid w:val="323A1C2F"/>
    <w:rsid w:val="329448A6"/>
    <w:rsid w:val="32F45598"/>
    <w:rsid w:val="33204932"/>
    <w:rsid w:val="33447C07"/>
    <w:rsid w:val="338C630E"/>
    <w:rsid w:val="345D075E"/>
    <w:rsid w:val="34DF500B"/>
    <w:rsid w:val="35244754"/>
    <w:rsid w:val="361C390A"/>
    <w:rsid w:val="364D41F6"/>
    <w:rsid w:val="36700CAF"/>
    <w:rsid w:val="36FD0156"/>
    <w:rsid w:val="37933F26"/>
    <w:rsid w:val="38207F4E"/>
    <w:rsid w:val="384B5C9F"/>
    <w:rsid w:val="38F04A89"/>
    <w:rsid w:val="38F8371D"/>
    <w:rsid w:val="39226F5F"/>
    <w:rsid w:val="39902098"/>
    <w:rsid w:val="39FD5F33"/>
    <w:rsid w:val="3A3A0F35"/>
    <w:rsid w:val="3A4E1148"/>
    <w:rsid w:val="3AEA64B7"/>
    <w:rsid w:val="3AF15A98"/>
    <w:rsid w:val="3C8D2F9D"/>
    <w:rsid w:val="3CE0510E"/>
    <w:rsid w:val="3CEA0415"/>
    <w:rsid w:val="3D0E3B71"/>
    <w:rsid w:val="3D1927CA"/>
    <w:rsid w:val="3D1E4B3E"/>
    <w:rsid w:val="3D6F2272"/>
    <w:rsid w:val="3D8344ED"/>
    <w:rsid w:val="3E03620E"/>
    <w:rsid w:val="3E343C22"/>
    <w:rsid w:val="3E4164DE"/>
    <w:rsid w:val="3E5B3D40"/>
    <w:rsid w:val="3F512FA9"/>
    <w:rsid w:val="3F7C601F"/>
    <w:rsid w:val="3FAC4683"/>
    <w:rsid w:val="3FEA5DFB"/>
    <w:rsid w:val="40035B02"/>
    <w:rsid w:val="401C35B7"/>
    <w:rsid w:val="40EA7211"/>
    <w:rsid w:val="4119235A"/>
    <w:rsid w:val="41677310"/>
    <w:rsid w:val="422C2C46"/>
    <w:rsid w:val="4251506E"/>
    <w:rsid w:val="42620093"/>
    <w:rsid w:val="42B75819"/>
    <w:rsid w:val="43473EC5"/>
    <w:rsid w:val="43684120"/>
    <w:rsid w:val="444F07DA"/>
    <w:rsid w:val="44601E28"/>
    <w:rsid w:val="46CB53EF"/>
    <w:rsid w:val="472E4611"/>
    <w:rsid w:val="475E72DC"/>
    <w:rsid w:val="47F514AF"/>
    <w:rsid w:val="48182F89"/>
    <w:rsid w:val="4839282C"/>
    <w:rsid w:val="48FD75BD"/>
    <w:rsid w:val="49243056"/>
    <w:rsid w:val="494C4A06"/>
    <w:rsid w:val="4A113668"/>
    <w:rsid w:val="4A277A41"/>
    <w:rsid w:val="4A745623"/>
    <w:rsid w:val="4A92339E"/>
    <w:rsid w:val="4B187071"/>
    <w:rsid w:val="4B2B2DCB"/>
    <w:rsid w:val="4B6A5BC2"/>
    <w:rsid w:val="4B6D2BD3"/>
    <w:rsid w:val="4BAB468D"/>
    <w:rsid w:val="4C655A76"/>
    <w:rsid w:val="4C7555EC"/>
    <w:rsid w:val="4CE729DC"/>
    <w:rsid w:val="4D135D42"/>
    <w:rsid w:val="4D846266"/>
    <w:rsid w:val="4D8D78A2"/>
    <w:rsid w:val="4DF123A8"/>
    <w:rsid w:val="4E290981"/>
    <w:rsid w:val="4E832A53"/>
    <w:rsid w:val="4E9E44C2"/>
    <w:rsid w:val="4EBC1A30"/>
    <w:rsid w:val="4EF52B06"/>
    <w:rsid w:val="4F395B30"/>
    <w:rsid w:val="4F3B530F"/>
    <w:rsid w:val="4F6F7A34"/>
    <w:rsid w:val="4FC96B8B"/>
    <w:rsid w:val="4FD51CD8"/>
    <w:rsid w:val="4FD74194"/>
    <w:rsid w:val="4FDA49F5"/>
    <w:rsid w:val="50AE413E"/>
    <w:rsid w:val="51E1640E"/>
    <w:rsid w:val="51EE42CA"/>
    <w:rsid w:val="52195E38"/>
    <w:rsid w:val="52302EF2"/>
    <w:rsid w:val="526E48F5"/>
    <w:rsid w:val="52AB2578"/>
    <w:rsid w:val="52ED6284"/>
    <w:rsid w:val="5322283B"/>
    <w:rsid w:val="532B0C13"/>
    <w:rsid w:val="53362781"/>
    <w:rsid w:val="533D4F08"/>
    <w:rsid w:val="53B96C98"/>
    <w:rsid w:val="53BA6F17"/>
    <w:rsid w:val="53BE2B80"/>
    <w:rsid w:val="54136CE6"/>
    <w:rsid w:val="541505F1"/>
    <w:rsid w:val="542D2749"/>
    <w:rsid w:val="54992FD0"/>
    <w:rsid w:val="55872E29"/>
    <w:rsid w:val="55923320"/>
    <w:rsid w:val="56A96DCF"/>
    <w:rsid w:val="56D0674C"/>
    <w:rsid w:val="57D23F06"/>
    <w:rsid w:val="587360E8"/>
    <w:rsid w:val="58BA52C3"/>
    <w:rsid w:val="58BC5D23"/>
    <w:rsid w:val="58E34992"/>
    <w:rsid w:val="59177DCC"/>
    <w:rsid w:val="59E040FC"/>
    <w:rsid w:val="59E11CD3"/>
    <w:rsid w:val="5A857BDE"/>
    <w:rsid w:val="5B2A4567"/>
    <w:rsid w:val="5BE202EA"/>
    <w:rsid w:val="5BF6533F"/>
    <w:rsid w:val="5C3F1F3A"/>
    <w:rsid w:val="5CAD7C22"/>
    <w:rsid w:val="5CE95B0C"/>
    <w:rsid w:val="5CFA7F1D"/>
    <w:rsid w:val="5D577E65"/>
    <w:rsid w:val="5D6F6B2F"/>
    <w:rsid w:val="5E2506F8"/>
    <w:rsid w:val="5E5E7F75"/>
    <w:rsid w:val="5EA316D6"/>
    <w:rsid w:val="5ECE1AC8"/>
    <w:rsid w:val="5EF556B7"/>
    <w:rsid w:val="5F3A07D2"/>
    <w:rsid w:val="5F593A88"/>
    <w:rsid w:val="5FE356D0"/>
    <w:rsid w:val="5FF901AE"/>
    <w:rsid w:val="60651EAC"/>
    <w:rsid w:val="60BB3927"/>
    <w:rsid w:val="6200749A"/>
    <w:rsid w:val="620F0B35"/>
    <w:rsid w:val="6240022D"/>
    <w:rsid w:val="62A42EE2"/>
    <w:rsid w:val="62BE686B"/>
    <w:rsid w:val="62F14F12"/>
    <w:rsid w:val="630D013F"/>
    <w:rsid w:val="63347FC4"/>
    <w:rsid w:val="63604CB9"/>
    <w:rsid w:val="64A36D0B"/>
    <w:rsid w:val="64C656C1"/>
    <w:rsid w:val="64F77166"/>
    <w:rsid w:val="65201386"/>
    <w:rsid w:val="657F4183"/>
    <w:rsid w:val="658466A7"/>
    <w:rsid w:val="6596487B"/>
    <w:rsid w:val="65DF63C9"/>
    <w:rsid w:val="65E950BC"/>
    <w:rsid w:val="662A7F2C"/>
    <w:rsid w:val="66627873"/>
    <w:rsid w:val="66D65FFA"/>
    <w:rsid w:val="67C24194"/>
    <w:rsid w:val="67EB36EB"/>
    <w:rsid w:val="68DA2DB6"/>
    <w:rsid w:val="69725134"/>
    <w:rsid w:val="6B4666B6"/>
    <w:rsid w:val="6B772B53"/>
    <w:rsid w:val="6BB306BC"/>
    <w:rsid w:val="6CC85DA9"/>
    <w:rsid w:val="6D2A5F93"/>
    <w:rsid w:val="6D8F2D6B"/>
    <w:rsid w:val="6DB91990"/>
    <w:rsid w:val="6DC31436"/>
    <w:rsid w:val="6E6F4E2B"/>
    <w:rsid w:val="6ECB49CF"/>
    <w:rsid w:val="6ECB5A2B"/>
    <w:rsid w:val="6EF530A1"/>
    <w:rsid w:val="6F3E4099"/>
    <w:rsid w:val="6F4D197C"/>
    <w:rsid w:val="6F806E0F"/>
    <w:rsid w:val="6FAB3ED6"/>
    <w:rsid w:val="70202A42"/>
    <w:rsid w:val="70375FC5"/>
    <w:rsid w:val="70ED3F4C"/>
    <w:rsid w:val="71B27028"/>
    <w:rsid w:val="72227D09"/>
    <w:rsid w:val="72E476B5"/>
    <w:rsid w:val="72F22338"/>
    <w:rsid w:val="73327580"/>
    <w:rsid w:val="733572FD"/>
    <w:rsid w:val="7337685D"/>
    <w:rsid w:val="733E5017"/>
    <w:rsid w:val="73BE3A62"/>
    <w:rsid w:val="74114753"/>
    <w:rsid w:val="746C7E4B"/>
    <w:rsid w:val="750E6C6B"/>
    <w:rsid w:val="755E374E"/>
    <w:rsid w:val="756A088D"/>
    <w:rsid w:val="75884CEA"/>
    <w:rsid w:val="75B310E7"/>
    <w:rsid w:val="75B318F4"/>
    <w:rsid w:val="761A4623"/>
    <w:rsid w:val="76377F56"/>
    <w:rsid w:val="764B35A7"/>
    <w:rsid w:val="769E6A57"/>
    <w:rsid w:val="77661901"/>
    <w:rsid w:val="77B238DE"/>
    <w:rsid w:val="78942624"/>
    <w:rsid w:val="78A4106B"/>
    <w:rsid w:val="790979AA"/>
    <w:rsid w:val="79975481"/>
    <w:rsid w:val="79B4511D"/>
    <w:rsid w:val="79F60BE5"/>
    <w:rsid w:val="7A1B4027"/>
    <w:rsid w:val="7A8E41D1"/>
    <w:rsid w:val="7A965738"/>
    <w:rsid w:val="7ABC1C9C"/>
    <w:rsid w:val="7B022DCE"/>
    <w:rsid w:val="7B272834"/>
    <w:rsid w:val="7B8F71DF"/>
    <w:rsid w:val="7C1568F9"/>
    <w:rsid w:val="7CB2612E"/>
    <w:rsid w:val="7CC25607"/>
    <w:rsid w:val="7D0C3355"/>
    <w:rsid w:val="7DE859ED"/>
    <w:rsid w:val="7E4C610E"/>
    <w:rsid w:val="7E64377F"/>
    <w:rsid w:val="7ECA59B1"/>
    <w:rsid w:val="7F09108F"/>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39"/>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35"/>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38"/>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32"/>
    <w:qFormat/>
    <w:uiPriority w:val="99"/>
    <w:pPr>
      <w:spacing w:beforeLines="30"/>
    </w:pPr>
    <w:rPr>
      <w:rFonts w:ascii="仿宋_GB2312" w:eastAsia="仿宋_GB2312"/>
      <w:kern w:val="0"/>
      <w:sz w:val="30"/>
    </w:rPr>
  </w:style>
  <w:style w:type="paragraph" w:styleId="8">
    <w:name w:val="Body Text Indent"/>
    <w:basedOn w:val="1"/>
    <w:qFormat/>
    <w:uiPriority w:val="0"/>
    <w:pPr>
      <w:ind w:firstLine="560"/>
      <w:textAlignment w:val="baseline"/>
    </w:pPr>
    <w:rPr>
      <w:kern w:val="0"/>
      <w:sz w:val="28"/>
    </w:rPr>
  </w:style>
  <w:style w:type="paragraph" w:styleId="9">
    <w:name w:val="toc 3"/>
    <w:basedOn w:val="1"/>
    <w:next w:val="1"/>
    <w:qFormat/>
    <w:uiPriority w:val="0"/>
    <w:pPr>
      <w:tabs>
        <w:tab w:val="right" w:leader="dot" w:pos="8296"/>
      </w:tabs>
      <w:ind w:left="840"/>
    </w:pPr>
    <w:rPr>
      <w:rFonts w:ascii="方正仿宋_GBK" w:eastAsia="方正仿宋_GBK"/>
      <w:sz w:val="32"/>
      <w:szCs w:val="32"/>
    </w:rPr>
  </w:style>
  <w:style w:type="paragraph" w:styleId="10">
    <w:name w:val="Plain Text"/>
    <w:basedOn w:val="1"/>
    <w:qFormat/>
    <w:uiPriority w:val="99"/>
    <w:pPr>
      <w:spacing w:line="240" w:lineRule="auto"/>
      <w:ind w:firstLine="0" w:firstLineChars="0"/>
    </w:pPr>
    <w:rPr>
      <w:rFonts w:ascii="宋体" w:hAnsi="Courier New"/>
      <w:sz w:val="21"/>
      <w:szCs w:val="20"/>
    </w:rPr>
  </w:style>
  <w:style w:type="paragraph" w:styleId="11">
    <w:name w:val="Balloon Text"/>
    <w:basedOn w:val="1"/>
    <w:link w:val="37"/>
    <w:semiHidden/>
    <w:unhideWhenUsed/>
    <w:qFormat/>
    <w:uiPriority w:val="99"/>
    <w:rPr>
      <w:sz w:val="18"/>
      <w:szCs w:val="18"/>
    </w:rPr>
  </w:style>
  <w:style w:type="paragraph" w:styleId="12">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16"/>
    <w:semiHidden/>
    <w:qFormat/>
    <w:uiPriority w:val="0"/>
    <w:pPr>
      <w:snapToGrid w:val="0"/>
      <w:jc w:val="left"/>
    </w:pPr>
    <w:rPr>
      <w:sz w:val="18"/>
      <w:szCs w:val="18"/>
    </w:rPr>
  </w:style>
  <w:style w:type="paragraph" w:styleId="16">
    <w:name w:val="Body Text First Indent 2"/>
    <w:basedOn w:val="8"/>
    <w:qFormat/>
    <w:uiPriority w:val="0"/>
    <w:pPr>
      <w:adjustRightInd/>
      <w:snapToGrid/>
      <w:spacing w:after="120" w:line="240" w:lineRule="auto"/>
      <w:ind w:left="200" w:leftChars="200" w:firstLine="200" w:firstLineChars="200"/>
      <w:textAlignment w:val="auto"/>
    </w:pPr>
    <w:rPr>
      <w:kern w:val="2"/>
      <w:sz w:val="21"/>
      <w:szCs w:val="24"/>
    </w:rPr>
  </w:style>
  <w:style w:type="paragraph" w:styleId="17">
    <w:name w:val="table of figures"/>
    <w:basedOn w:val="1"/>
    <w:next w:val="1"/>
    <w:autoRedefine/>
    <w:qFormat/>
    <w:uiPriority w:val="0"/>
    <w:pPr>
      <w:ind w:left="200" w:leftChars="200" w:hanging="200" w:hangingChars="200"/>
    </w:pPr>
  </w:style>
  <w:style w:type="paragraph" w:styleId="18">
    <w:name w:val="toc 2"/>
    <w:basedOn w:val="1"/>
    <w:next w:val="1"/>
    <w:autoRedefine/>
    <w:unhideWhenUsed/>
    <w:qFormat/>
    <w:uiPriority w:val="39"/>
    <w:pPr>
      <w:tabs>
        <w:tab w:val="right" w:leader="dot" w:pos="8296"/>
      </w:tabs>
      <w:ind w:left="420" w:leftChars="200"/>
    </w:p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unhideWhenUsed/>
    <w:qFormat/>
    <w:uiPriority w:val="99"/>
    <w:pPr>
      <w:widowControl/>
      <w:jc w:val="left"/>
    </w:pPr>
    <w:rPr>
      <w:rFonts w:ascii="宋体" w:hAnsi="宋体" w:cs="宋体"/>
      <w:kern w:val="0"/>
      <w:sz w:val="24"/>
    </w:rPr>
  </w:style>
  <w:style w:type="character" w:styleId="23">
    <w:name w:val="Strong"/>
    <w:basedOn w:val="22"/>
    <w:qFormat/>
    <w:uiPriority w:val="99"/>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semiHidden/>
    <w:unhideWhenUsed/>
    <w:qFormat/>
    <w:uiPriority w:val="99"/>
    <w:rPr>
      <w:sz w:val="21"/>
      <w:szCs w:val="21"/>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7">
    <w:name w:val="Header Char"/>
    <w:basedOn w:val="22"/>
    <w:semiHidden/>
    <w:qFormat/>
    <w:uiPriority w:val="99"/>
    <w:rPr>
      <w:rFonts w:ascii="Times New Roman" w:hAnsi="Times New Roman"/>
      <w:sz w:val="18"/>
      <w:szCs w:val="18"/>
    </w:rPr>
  </w:style>
  <w:style w:type="character" w:customStyle="1" w:styleId="28">
    <w:name w:val="页眉 字符"/>
    <w:link w:val="13"/>
    <w:semiHidden/>
    <w:qFormat/>
    <w:locked/>
    <w:uiPriority w:val="99"/>
    <w:rPr>
      <w:sz w:val="18"/>
    </w:rPr>
  </w:style>
  <w:style w:type="character" w:customStyle="1" w:styleId="29">
    <w:name w:val="Footer Char"/>
    <w:basedOn w:val="22"/>
    <w:autoRedefine/>
    <w:semiHidden/>
    <w:qFormat/>
    <w:uiPriority w:val="99"/>
    <w:rPr>
      <w:rFonts w:ascii="Times New Roman" w:hAnsi="Times New Roman"/>
      <w:sz w:val="18"/>
      <w:szCs w:val="18"/>
    </w:rPr>
  </w:style>
  <w:style w:type="character" w:customStyle="1" w:styleId="30">
    <w:name w:val="页脚 字符"/>
    <w:link w:val="12"/>
    <w:autoRedefine/>
    <w:qFormat/>
    <w:locked/>
    <w:uiPriority w:val="99"/>
    <w:rPr>
      <w:sz w:val="18"/>
    </w:rPr>
  </w:style>
  <w:style w:type="character" w:customStyle="1" w:styleId="31">
    <w:name w:val="Body Text Char"/>
    <w:basedOn w:val="22"/>
    <w:semiHidden/>
    <w:qFormat/>
    <w:uiPriority w:val="99"/>
    <w:rPr>
      <w:rFonts w:ascii="Times New Roman" w:hAnsi="Times New Roman"/>
      <w:szCs w:val="24"/>
    </w:rPr>
  </w:style>
  <w:style w:type="character" w:customStyle="1" w:styleId="32">
    <w:name w:val="正文文本 字符"/>
    <w:link w:val="7"/>
    <w:qFormat/>
    <w:locked/>
    <w:uiPriority w:val="99"/>
    <w:rPr>
      <w:rFonts w:ascii="仿宋_GB2312" w:hAnsi="Times New Roman" w:eastAsia="仿宋_GB2312"/>
      <w:sz w:val="24"/>
    </w:rPr>
  </w:style>
  <w:style w:type="paragraph" w:styleId="33">
    <w:name w:val="List Paragraph"/>
    <w:basedOn w:val="1"/>
    <w:autoRedefine/>
    <w:qFormat/>
    <w:uiPriority w:val="34"/>
    <w:pPr>
      <w:ind w:firstLine="420" w:firstLineChars="200"/>
    </w:pPr>
  </w:style>
  <w:style w:type="character" w:customStyle="1" w:styleId="34">
    <w:name w:val="标题 1 字符"/>
    <w:basedOn w:val="22"/>
    <w:link w:val="2"/>
    <w:qFormat/>
    <w:uiPriority w:val="9"/>
    <w:rPr>
      <w:rFonts w:ascii="Times New Roman" w:hAnsi="Times New Roman"/>
      <w:b/>
      <w:bCs/>
      <w:kern w:val="44"/>
      <w:sz w:val="44"/>
      <w:szCs w:val="44"/>
    </w:rPr>
  </w:style>
  <w:style w:type="character" w:customStyle="1" w:styleId="35">
    <w:name w:val="标题 2 字符"/>
    <w:basedOn w:val="22"/>
    <w:link w:val="3"/>
    <w:qFormat/>
    <w:uiPriority w:val="9"/>
    <w:rPr>
      <w:rFonts w:asciiTheme="majorHAnsi" w:hAnsiTheme="majorHAnsi" w:eastAsiaTheme="majorEastAsia" w:cstheme="majorBidi"/>
      <w:b/>
      <w:bCs/>
      <w:kern w:val="2"/>
      <w:sz w:val="32"/>
      <w:szCs w:val="32"/>
    </w:rPr>
  </w:style>
  <w:style w:type="paragraph" w:customStyle="1" w:styleId="36">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字符"/>
    <w:basedOn w:val="22"/>
    <w:link w:val="11"/>
    <w:autoRedefine/>
    <w:semiHidden/>
    <w:qFormat/>
    <w:uiPriority w:val="99"/>
    <w:rPr>
      <w:rFonts w:ascii="Times New Roman" w:hAnsi="Times New Roman"/>
      <w:kern w:val="2"/>
      <w:sz w:val="18"/>
      <w:szCs w:val="18"/>
    </w:rPr>
  </w:style>
  <w:style w:type="character" w:customStyle="1" w:styleId="38">
    <w:name w:val="标题 3 字符"/>
    <w:basedOn w:val="22"/>
    <w:link w:val="4"/>
    <w:autoRedefine/>
    <w:qFormat/>
    <w:uiPriority w:val="9"/>
    <w:rPr>
      <w:rFonts w:ascii="Times New Roman" w:hAnsi="Times New Roman"/>
      <w:b/>
      <w:bCs/>
      <w:kern w:val="2"/>
      <w:sz w:val="32"/>
      <w:szCs w:val="32"/>
    </w:rPr>
  </w:style>
  <w:style w:type="character" w:customStyle="1" w:styleId="39">
    <w:name w:val="标题 1 Char"/>
    <w:basedOn w:val="22"/>
    <w:link w:val="2"/>
    <w:qFormat/>
    <w:uiPriority w:val="9"/>
    <w:rPr>
      <w:b/>
      <w:bCs/>
      <w:kern w:val="44"/>
      <w:sz w:val="44"/>
      <w:szCs w:val="44"/>
    </w:rPr>
  </w:style>
  <w:style w:type="paragraph" w:customStyle="1" w:styleId="40">
    <w:name w:val="文档正文"/>
    <w:basedOn w:val="1"/>
    <w:next w:val="16"/>
    <w:qFormat/>
    <w:uiPriority w:val="99"/>
    <w:pPr>
      <w:adjustRightInd w:val="0"/>
      <w:spacing w:line="480" w:lineRule="atLeast"/>
      <w:textAlignment w:val="baseline"/>
    </w:pPr>
    <w:rPr>
      <w:rFonts w:hAnsi="Arial"/>
      <w:kern w:val="0"/>
    </w:rPr>
  </w:style>
  <w:style w:type="paragraph" w:customStyle="1" w:styleId="41">
    <w:name w:val="文档正文1"/>
    <w:basedOn w:val="1"/>
    <w:qFormat/>
    <w:uiPriority w:val="99"/>
    <w:pPr>
      <w:adjustRightInd w:val="0"/>
      <w:spacing w:line="480" w:lineRule="atLeast"/>
      <w:textAlignment w:val="baseline"/>
    </w:pPr>
    <w:rPr>
      <w:rFonts w:hAnsi="Arial"/>
      <w:kern w:val="0"/>
    </w:rPr>
  </w:style>
  <w:style w:type="paragraph" w:customStyle="1" w:styleId="42">
    <w:name w:val="3级标题"/>
    <w:basedOn w:val="1"/>
    <w:qFormat/>
    <w:uiPriority w:val="0"/>
    <w:pPr>
      <w:spacing w:line="360" w:lineRule="auto"/>
      <w:outlineLvl w:val="2"/>
    </w:pPr>
    <w:rPr>
      <w:rFonts w:ascii="黑体" w:hAnsi="黑体" w:eastAsia="黑体"/>
      <w:b/>
      <w:bCs/>
      <w:color w:val="000000" w:themeColor="text1"/>
      <w:sz w:val="28"/>
      <w:szCs w:val="28"/>
      <w14:textFill>
        <w14:solidFill>
          <w14:schemeClr w14:val="tx1"/>
        </w14:solidFill>
      </w14:textFill>
    </w:rPr>
  </w:style>
  <w:style w:type="paragraph" w:customStyle="1" w:styleId="43">
    <w:name w:val="文本1"/>
    <w:basedOn w:val="1"/>
    <w:qFormat/>
    <w:uiPriority w:val="0"/>
    <w:pPr>
      <w:adjustRightInd w:val="0"/>
      <w:snapToGrid w:val="0"/>
      <w:spacing w:line="360" w:lineRule="auto"/>
      <w:ind w:firstLine="1040" w:firstLineChars="200"/>
    </w:pPr>
    <w:rPr>
      <w:rFonts w:ascii="Times New Roman" w:hAnsi="Times New Roman" w:eastAsia="宋体" w:cs="宋体"/>
      <w:sz w:val="24"/>
      <w:szCs w:val="24"/>
    </w:rPr>
  </w:style>
  <w:style w:type="paragraph" w:customStyle="1" w:styleId="44">
    <w:name w:val="2级标题"/>
    <w:basedOn w:val="1"/>
    <w:qFormat/>
    <w:uiPriority w:val="0"/>
    <w:pPr>
      <w:spacing w:line="360" w:lineRule="auto"/>
      <w:jc w:val="left"/>
      <w:outlineLvl w:val="1"/>
    </w:pPr>
    <w:rPr>
      <w:rFonts w:ascii="黑体" w:hAnsi="黑体" w:eastAsia="黑体"/>
      <w:b/>
      <w:bCs/>
      <w:color w:val="000000" w:themeColor="text1"/>
      <w:sz w:val="30"/>
      <w:szCs w:val="30"/>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t>收、支决算总计变动情况图</a:t>
            </a:r>
            <a:endParaRPr lang="en-US" sz="12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{3447.9,2605.59}</c:f>
              <c:numCache>
                <c:formatCode>General</c:formatCode>
                <c:ptCount val="2"/>
                <c:pt idx="0">
                  <c:v>3447.9</c:v>
                </c:pt>
                <c:pt idx="1">
                  <c:v>2605.59</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56e6b1b-a5c7-4896-8b45-eb61aad265cb}"/>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t>收入决算结构图</a:t>
            </a:r>
            <a:endParaRPr lang="zh-CN" sz="1200"/>
          </a:p>
        </c:rich>
      </c:tx>
      <c:layout/>
      <c:overlay val="0"/>
    </c:title>
    <c:autoTitleDeleted val="0"/>
    <c:plotArea>
      <c:layout/>
      <c:pieChart>
        <c:varyColors val="1"/>
        <c:ser>
          <c:idx val="1"/>
          <c:order val="0"/>
          <c:explosion val="0"/>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c:f>
              <c:strCache>
                <c:ptCount val="2"/>
                <c:pt idx="0">
                  <c:v>一般公共预算财政拨款收入</c:v>
                </c:pt>
                <c:pt idx="1">
                  <c:v>政府性基金预算财政拨款收入</c:v>
                </c:pt>
              </c:strCache>
            </c:strRef>
          </c:cat>
          <c:val>
            <c:numRef>
              <c:f>{2241.11,364.48}</c:f>
              <c:numCache>
                <c:formatCode>General</c:formatCode>
                <c:ptCount val="2"/>
                <c:pt idx="0">
                  <c:v>2241.11</c:v>
                </c:pt>
                <c:pt idx="1">
                  <c:v>364.48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e3effd8a-66c7-4ba0-80a2-8d63075e80f9}"/>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t>支出决算结构图</a:t>
            </a:r>
            <a:endParaRPr lang="zh-CN" sz="1200"/>
          </a:p>
        </c:rich>
      </c:tx>
      <c:layout/>
      <c:overlay val="0"/>
    </c:title>
    <c:autoTitleDeleted val="0"/>
    <c:plotArea>
      <c:layout/>
      <c:pieChart>
        <c:varyColors val="1"/>
        <c:ser>
          <c:idx val="1"/>
          <c:order val="0"/>
          <c:explosion val="0"/>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{136.73,2468.87}</c:f>
              <c:numCache>
                <c:formatCode>General</c:formatCode>
                <c:ptCount val="2"/>
                <c:pt idx="0">
                  <c:v>136.73</c:v>
                </c:pt>
                <c:pt idx="1">
                  <c:v>2468.87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f2932d16-61fe-4e19-9081-2d4f0a0a64c1}"/>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sz="1400"/>
              <a:t>财政拨款收、支决算总计变动情况</a:t>
            </a:r>
            <a:endParaRPr lang="en-US" altLang="zh-CN" sz="1400"/>
          </a:p>
        </c:rich>
      </c:tx>
      <c:layout>
        <c:manualLayout>
          <c:xMode val="edge"/>
          <c:yMode val="edge"/>
          <c:x val="0.109561102953173"/>
          <c:y val="0.00866551126516464"/>
        </c:manualLayout>
      </c:layout>
      <c:overlay val="0"/>
      <c:spPr>
        <a:noFill/>
        <a:ln>
          <a:noFill/>
        </a:ln>
        <a:effectLst/>
      </c:spPr>
    </c:title>
    <c:autoTitleDeleted val="0"/>
    <c:plotArea>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{3447.9,2605.59}</c:f>
              <c:numCache>
                <c:formatCode>General</c:formatCode>
                <c:ptCount val="2"/>
                <c:pt idx="0">
                  <c:v>3447.9</c:v>
                </c:pt>
                <c:pt idx="1">
                  <c:v>2605.59</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59487755-1466-4a80-ae4f-b996273c4387}"/>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{3006.82}</c:f>
              <c:numCache>
                <c:formatCode>General</c:formatCode>
                <c:ptCount val="1"/>
                <c:pt idx="0">
                  <c:v>3006.82</c:v>
                </c:pt>
              </c:numCache>
            </c:numRef>
          </c:val>
        </c:ser>
        <c:ser>
          <c:idx val="2"/>
          <c:order val="1"/>
          <c:tx>
            <c:strRef>
              <c:f>2024</c:f>
              <c:strCache>
                <c:ptCount val="1"/>
                <c:pt idx="0">
                  <c:v>2024</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{2241.11}</c:f>
              <c:numCache>
                <c:formatCode>General</c:formatCode>
                <c:ptCount val="1"/>
                <c:pt idx="0">
                  <c:v>2241.11</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6951291-93c5-49e5-9867-c8397a7c53d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400"/>
              <a:t>一般公共预算财政拨款支出</a:t>
            </a:r>
            <a:endParaRPr lang="en-US" sz="14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{"社会保障和就业支出","卫生健康支出","节能环保支出","农林水支出","住房保障支出"}</c:f>
              <c:strCache>
                <c:ptCount val="5"/>
                <c:pt idx="0">
                  <c:v>社会保障和就业支出</c:v>
                </c:pt>
                <c:pt idx="1">
                  <c:v>卫生健康支出</c:v>
                </c:pt>
                <c:pt idx="2">
                  <c:v>节能环保支出</c:v>
                </c:pt>
                <c:pt idx="3">
                  <c:v>农林水支出</c:v>
                </c:pt>
                <c:pt idx="4">
                  <c:v>住房保障支出</c:v>
                </c:pt>
              </c:strCache>
            </c:strRef>
          </c:cat>
          <c:val>
            <c:numRef>
              <c:f>{23.58,8.97,267.07,1931.11,10.38}</c:f>
              <c:numCache>
                <c:formatCode>General</c:formatCode>
                <c:ptCount val="5"/>
                <c:pt idx="0">
                  <c:v>23.58</c:v>
                </c:pt>
                <c:pt idx="1">
                  <c:v>8.97</c:v>
                </c:pt>
                <c:pt idx="2">
                  <c:v>267.07</c:v>
                </c:pt>
                <c:pt idx="3">
                  <c:v>1931.11</c:v>
                </c:pt>
                <c:pt idx="4">
                  <c:v>10.38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520552e2-769c-4caa-9419-c8327308f8d9}"/>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{0,12.28,0}</c:f>
              <c:numCache>
                <c:formatCode>General</c:formatCode>
                <c:ptCount val="3"/>
                <c:pt idx="0">
                  <c:v>0</c:v>
                </c:pt>
                <c:pt idx="1">
                  <c:v>12.28</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5c7f3fb-64f9-4c45-9ac8-a841c7b3b897}"/>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5857</Words>
  <Characters>6539</Characters>
  <Lines>48</Lines>
  <Paragraphs>13</Paragraphs>
  <TotalTime>5</TotalTime>
  <ScaleCrop>false</ScaleCrop>
  <LinksUpToDate>false</LinksUpToDate>
  <CharactersWithSpaces>6702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WPS_1693969678</cp:lastModifiedBy>
  <cp:lastPrinted>2025-09-11T08:44:00Z</cp:lastPrinted>
  <dcterms:modified xsi:type="dcterms:W3CDTF">2025-09-19T01:57:24Z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5F5EAE46023B41039AB8027ACF0B1765_13</vt:lpwstr>
  </property>
  <property fmtid="{D5CDD505-2E9C-101B-9397-08002B2CF9AE}" pid="4" name="KSOTemplateDocerSaveRecord">
    <vt:lpwstr>eyJoZGlkIjoiZGFlM2I1MDNhMDkyMTFhNmY0Y2QyOGQ1NjFmMTE0M2EiLCJ1c2VySWQiOiIxNTMwMTQ0MjQ5In0=</vt:lpwstr>
  </property>
</Properties>
</file>