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C6C6A">
      <w:pPr>
        <w:rPr>
          <w:rFonts w:hint="eastAsia" w:ascii="思源黑体 CN Normal" w:hAnsi="思源黑体 CN Normal" w:eastAsia="思源黑体 CN Normal" w:cs="思源黑体 CN Normal"/>
          <w:b/>
          <w:color w:val="000000" w:themeColor="text1"/>
          <w:sz w:val="72"/>
          <w:szCs w:val="72"/>
          <w14:textFill>
            <w14:solidFill>
              <w14:schemeClr w14:val="tx1"/>
            </w14:solidFill>
          </w14:textFill>
        </w:rPr>
      </w:pPr>
      <w:bookmarkStart w:id="0" w:name="_Toc15378441"/>
      <w:bookmarkStart w:id="1" w:name="_Toc15377425"/>
      <w:bookmarkStart w:id="2" w:name="_Toc15377193"/>
      <w:bookmarkStart w:id="3" w:name="_Toc15396475"/>
      <w:bookmarkStart w:id="4" w:name="_Toc15396597"/>
      <w:bookmarkStart w:id="5" w:name="_Toc15306267"/>
    </w:p>
    <w:p w14:paraId="7D73BD19">
      <w:pPr>
        <w:pStyle w:val="8"/>
        <w:ind w:firstLine="0"/>
        <w:rPr>
          <w:rFonts w:hint="eastAsia" w:ascii="思源黑体 CN Normal" w:hAnsi="思源黑体 CN Normal" w:eastAsia="思源黑体 CN Normal" w:cs="思源黑体 CN Normal"/>
          <w:color w:val="000000" w:themeColor="text1"/>
          <w14:textFill>
            <w14:solidFill>
              <w14:schemeClr w14:val="tx1"/>
            </w14:solidFill>
          </w14:textFill>
        </w:rPr>
      </w:pPr>
    </w:p>
    <w:p w14:paraId="5597C79E">
      <w:pPr>
        <w:keepNext w:val="0"/>
        <w:keepLines w:val="0"/>
        <w:pageBreakBefore w:val="0"/>
        <w:widowControl w:val="0"/>
        <w:kinsoku/>
        <w:wordWrap/>
        <w:overflowPunct/>
        <w:topLinePunct w:val="0"/>
        <w:autoSpaceDE/>
        <w:autoSpaceDN/>
        <w:bidi w:val="0"/>
        <w:adjustRightInd/>
        <w:snapToGrid/>
        <w:spacing w:line="720" w:lineRule="auto"/>
        <w:jc w:val="both"/>
        <w:textAlignment w:val="auto"/>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p>
    <w:p w14:paraId="609AE7C3">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黑体" w:hAnsi="黑体" w:eastAsia="黑体" w:cs="黑体"/>
          <w:b w:val="0"/>
          <w:bCs/>
          <w:color w:val="000000" w:themeColor="text1"/>
          <w:sz w:val="44"/>
          <w:szCs w:val="44"/>
          <w14:textFill>
            <w14:solidFill>
              <w14:schemeClr w14:val="tx1"/>
            </w14:solidFill>
          </w14:textFill>
        </w:rPr>
      </w:pPr>
      <w:r>
        <w:rPr>
          <w:rFonts w:hint="eastAsia" w:ascii="黑体" w:hAnsi="黑体" w:eastAsia="黑体" w:cs="黑体"/>
          <w:b w:val="0"/>
          <w:bCs/>
          <w:color w:val="000000" w:themeColor="text1"/>
          <w:sz w:val="44"/>
          <w:szCs w:val="44"/>
          <w14:textFill>
            <w14:solidFill>
              <w14:schemeClr w14:val="tx1"/>
            </w14:solidFill>
          </w14:textFill>
        </w:rPr>
        <w:t>2024</w:t>
      </w:r>
      <w:r>
        <w:rPr>
          <w:rFonts w:ascii="黑体" w:hAnsi="黑体" w:eastAsia="黑体" w:cs="黑体"/>
          <w:color w:val="000000"/>
          <w:sz w:val="44"/>
          <w:u w:color="auto"/>
        </w:rPr>
        <w:t>年度</w:t>
      </w:r>
      <w:bookmarkEnd w:id="0"/>
      <w:bookmarkEnd w:id="1"/>
      <w:bookmarkEnd w:id="2"/>
      <w:bookmarkEnd w:id="3"/>
      <w:bookmarkEnd w:id="4"/>
    </w:p>
    <w:bookmarkEnd w:id="5"/>
    <w:p w14:paraId="102BA02C">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黑体" w:hAnsi="黑体" w:eastAsia="黑体" w:cs="黑体"/>
          <w:b w:val="0"/>
          <w:bCs/>
          <w:color w:val="000000" w:themeColor="text1"/>
          <w:sz w:val="44"/>
          <w:szCs w:val="44"/>
          <w14:textFill>
            <w14:solidFill>
              <w14:schemeClr w14:val="tx1"/>
            </w14:solidFill>
          </w14:textFill>
        </w:rPr>
      </w:pPr>
      <w:bookmarkStart w:id="6" w:name="_Toc15396598"/>
      <w:bookmarkStart w:id="7" w:name="_Toc15378442"/>
      <w:bookmarkStart w:id="8" w:name="_Toc15377194"/>
      <w:bookmarkStart w:id="9" w:name="_Toc15377426"/>
      <w:bookmarkStart w:id="10" w:name="_Toc15306268"/>
      <w:bookmarkStart w:id="11" w:name="_Toc15396476"/>
      <w:r>
        <w:rPr>
          <w:rFonts w:hint="eastAsia" w:ascii="黑体" w:hAnsi="黑体" w:eastAsia="黑体" w:cs="黑体"/>
          <w:b w:val="0"/>
          <w:bCs/>
          <w:color w:val="000000" w:themeColor="text1"/>
          <w:sz w:val="44"/>
          <w:szCs w:val="44"/>
          <w14:textFill>
            <w14:solidFill>
              <w14:schemeClr w14:val="tx1"/>
            </w14:solidFill>
          </w14:textFill>
        </w:rPr>
        <w:t>茂县水务服务中心</w:t>
      </w:r>
    </w:p>
    <w:p w14:paraId="6DBC95DC">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default" w:ascii="黑体" w:hAnsi="黑体" w:eastAsia="黑体" w:cs="黑体"/>
          <w:b w:val="0"/>
          <w:bCs/>
          <w:color w:val="000000" w:themeColor="text1"/>
          <w:sz w:val="44"/>
          <w:szCs w:val="44"/>
          <w:lang w:val="en-US" w:eastAsia="zh-CN"/>
          <w14:textFill>
            <w14:solidFill>
              <w14:schemeClr w14:val="tx1"/>
            </w14:solidFill>
          </w14:textFill>
        </w:rPr>
      </w:pPr>
      <w:r>
        <w:rPr>
          <w:rFonts w:ascii="黑体" w:hAnsi="黑体" w:eastAsia="黑体" w:cs="黑体"/>
          <w:color w:val="000000"/>
          <w:sz w:val="44"/>
          <w:u w:color="auto"/>
        </w:rPr>
        <w:t>单位决算</w:t>
      </w:r>
      <w:bookmarkEnd w:id="6"/>
      <w:bookmarkEnd w:id="7"/>
      <w:bookmarkEnd w:id="8"/>
      <w:bookmarkEnd w:id="9"/>
      <w:bookmarkEnd w:id="10"/>
      <w:bookmarkEnd w:id="11"/>
      <w:r>
        <w:rPr>
          <w:rFonts w:hint="eastAsia" w:ascii="黑体" w:hAnsi="黑体" w:eastAsia="黑体" w:cs="黑体"/>
          <w:color w:val="000000"/>
          <w:sz w:val="44"/>
          <w:u w:color="auto"/>
          <w:lang w:val="en-US" w:eastAsia="zh-CN"/>
        </w:rPr>
        <w:t>公开编制说明</w:t>
      </w:r>
    </w:p>
    <w:p w14:paraId="0E2C97A9">
      <w:pPr>
        <w:pStyle w:val="8"/>
        <w:rPr>
          <w:rFonts w:hint="eastAsia" w:ascii="思源黑体 CN Normal" w:hAnsi="思源黑体 CN Normal" w:eastAsia="思源黑体 CN Normal" w:cs="思源黑体 CN Normal"/>
          <w:color w:val="000000" w:themeColor="text1"/>
          <w14:textFill>
            <w14:solidFill>
              <w14:schemeClr w14:val="tx1"/>
            </w14:solidFill>
          </w14:textFill>
        </w:rPr>
      </w:pPr>
    </w:p>
    <w:p w14:paraId="3128AF52">
      <w:pPr>
        <w:pStyle w:val="8"/>
        <w:rPr>
          <w:rFonts w:hint="eastAsia" w:ascii="思源黑体 CN Normal" w:hAnsi="思源黑体 CN Normal" w:eastAsia="思源黑体 CN Normal" w:cs="思源黑体 CN Normal"/>
          <w:color w:val="000000" w:themeColor="text1"/>
          <w14:textFill>
            <w14:solidFill>
              <w14:schemeClr w14:val="tx1"/>
            </w14:solidFill>
          </w14:textFill>
        </w:rPr>
      </w:pPr>
    </w:p>
    <w:p w14:paraId="1EF872D2">
      <w:pPr>
        <w:pStyle w:val="8"/>
        <w:rPr>
          <w:rFonts w:hint="eastAsia" w:ascii="思源黑体 CN Normal" w:hAnsi="思源黑体 CN Normal" w:eastAsia="思源黑体 CN Normal" w:cs="思源黑体 CN Normal"/>
          <w:color w:val="000000" w:themeColor="text1"/>
          <w14:textFill>
            <w14:solidFill>
              <w14:schemeClr w14:val="tx1"/>
            </w14:solidFill>
          </w14:textFill>
        </w:rPr>
      </w:pPr>
    </w:p>
    <w:p w14:paraId="6BF74D53">
      <w:pPr>
        <w:pStyle w:val="8"/>
        <w:rPr>
          <w:rFonts w:hint="eastAsia" w:ascii="思源黑体 CN Normal" w:hAnsi="思源黑体 CN Normal" w:eastAsia="思源黑体 CN Normal" w:cs="思源黑体 CN Normal"/>
          <w:color w:val="000000" w:themeColor="text1"/>
          <w14:textFill>
            <w14:solidFill>
              <w14:schemeClr w14:val="tx1"/>
            </w14:solidFill>
          </w14:textFill>
        </w:rPr>
      </w:pPr>
    </w:p>
    <w:p w14:paraId="741A663E">
      <w:pPr>
        <w:pStyle w:val="8"/>
        <w:rPr>
          <w:rFonts w:hint="eastAsia" w:ascii="思源黑体 CN Normal" w:hAnsi="思源黑体 CN Normal" w:eastAsia="思源黑体 CN Normal" w:cs="思源黑体 CN Normal"/>
          <w:color w:val="000000" w:themeColor="text1"/>
          <w14:textFill>
            <w14:solidFill>
              <w14:schemeClr w14:val="tx1"/>
            </w14:solidFill>
          </w14:textFill>
        </w:rPr>
      </w:pPr>
    </w:p>
    <w:p w14:paraId="637D1FC6">
      <w:pPr>
        <w:pStyle w:val="8"/>
        <w:rPr>
          <w:rFonts w:hint="eastAsia" w:ascii="思源黑体 CN Normal" w:hAnsi="思源黑体 CN Normal" w:eastAsia="思源黑体 CN Normal" w:cs="思源黑体 CN Normal"/>
          <w:color w:val="000000" w:themeColor="text1"/>
          <w14:textFill>
            <w14:solidFill>
              <w14:schemeClr w14:val="tx1"/>
            </w14:solidFill>
          </w14:textFill>
        </w:rPr>
      </w:pPr>
    </w:p>
    <w:p w14:paraId="54DDB020">
      <w:pPr>
        <w:pStyle w:val="8"/>
        <w:rPr>
          <w:rFonts w:hint="eastAsia" w:ascii="思源黑体 CN Normal" w:hAnsi="思源黑体 CN Normal" w:eastAsia="思源黑体 CN Normal" w:cs="思源黑体 CN Normal"/>
          <w:color w:val="000000" w:themeColor="text1"/>
          <w14:textFill>
            <w14:solidFill>
              <w14:schemeClr w14:val="tx1"/>
            </w14:solidFill>
          </w14:textFill>
        </w:rPr>
      </w:pPr>
    </w:p>
    <w:p w14:paraId="450F9C78">
      <w:pPr>
        <w:pStyle w:val="8"/>
        <w:rPr>
          <w:rFonts w:hint="eastAsia" w:ascii="思源黑体 CN Normal" w:hAnsi="思源黑体 CN Normal" w:eastAsia="思源黑体 CN Normal" w:cs="思源黑体 CN Normal"/>
          <w:color w:val="000000" w:themeColor="text1"/>
          <w14:textFill>
            <w14:solidFill>
              <w14:schemeClr w14:val="tx1"/>
            </w14:solidFill>
          </w14:textFill>
        </w:rPr>
      </w:pPr>
    </w:p>
    <w:p w14:paraId="30002D04">
      <w:pPr>
        <w:pStyle w:val="8"/>
        <w:rPr>
          <w:rFonts w:hint="eastAsia" w:ascii="思源黑体 CN Normal" w:hAnsi="思源黑体 CN Normal" w:eastAsia="思源黑体 CN Normal" w:cs="思源黑体 CN Normal"/>
          <w:color w:val="000000" w:themeColor="text1"/>
          <w14:textFill>
            <w14:solidFill>
              <w14:schemeClr w14:val="tx1"/>
            </w14:solidFill>
          </w14:textFill>
        </w:rPr>
      </w:pPr>
    </w:p>
    <w:p w14:paraId="423E6F5F">
      <w:pPr>
        <w:pStyle w:val="8"/>
        <w:tabs>
          <w:tab w:val="left" w:pos="3600"/>
        </w:tabs>
        <w:rPr>
          <w:rFonts w:hint="eastAsia" w:ascii="思源黑体 CN Normal" w:hAnsi="思源黑体 CN Normal" w:eastAsia="思源黑体 CN Normal" w:cs="思源黑体 CN Normal"/>
          <w:color w:val="000000" w:themeColor="text1"/>
          <w14:textFill>
            <w14:solidFill>
              <w14:schemeClr w14:val="tx1"/>
            </w14:solidFill>
          </w14:textFill>
        </w:rPr>
      </w:pPr>
      <w:r>
        <w:rPr>
          <w:rFonts w:hint="eastAsia" w:ascii="思源黑体 CN Normal" w:hAnsi="思源黑体 CN Normal" w:eastAsia="思源黑体 CN Normal" w:cs="思源黑体 CN Normal"/>
          <w:color w:val="000000" w:themeColor="text1"/>
          <w14:textFill>
            <w14:solidFill>
              <w14:schemeClr w14:val="tx1"/>
            </w14:solidFill>
          </w14:textFill>
        </w:rPr>
        <w:tab/>
      </w:r>
    </w:p>
    <w:p w14:paraId="13FE0EC1">
      <w:pPr>
        <w:pStyle w:val="8"/>
        <w:rPr>
          <w:rFonts w:hint="eastAsia" w:ascii="思源黑体 CN Normal" w:hAnsi="思源黑体 CN Normal" w:eastAsia="思源黑体 CN Normal" w:cs="思源黑体 CN Normal"/>
          <w:color w:val="000000" w:themeColor="text1"/>
          <w14:textFill>
            <w14:solidFill>
              <w14:schemeClr w14:val="tx1"/>
            </w14:solidFill>
          </w14:textFill>
        </w:rPr>
      </w:pPr>
    </w:p>
    <w:p w14:paraId="743D9D22">
      <w:pPr>
        <w:pStyle w:val="15"/>
        <w:jc w:val="both"/>
        <w:rPr>
          <w:rFonts w:hint="eastAsia" w:ascii="思源黑体 CN Normal" w:hAnsi="思源黑体 CN Normal" w:eastAsia="思源黑体 CN Normal" w:cs="思源黑体 CN Normal"/>
          <w:color w:val="000000" w:themeColor="text1"/>
          <w:sz w:val="36"/>
          <w:szCs w:val="36"/>
          <w14:textFill>
            <w14:solidFill>
              <w14:schemeClr w14:val="tx1"/>
            </w14:solidFill>
          </w14:textFill>
        </w:rPr>
      </w:pPr>
      <w:r>
        <w:rPr>
          <w:rFonts w:hint="eastAsia" w:ascii="思源黑体 CN Normal" w:hAnsi="思源黑体 CN Normal" w:eastAsia="思源黑体 CN Normal" w:cs="思源黑体 CN Normal"/>
          <w:color w:val="000000" w:themeColor="text1"/>
          <w:sz w:val="36"/>
          <w:szCs w:val="36"/>
          <w14:textFill>
            <w14:solidFill>
              <w14:schemeClr w14:val="tx1"/>
            </w14:solidFill>
          </w14:textFill>
        </w:rPr>
        <w:br w:type="page"/>
      </w:r>
    </w:p>
    <w:p w14:paraId="0992FC4D">
      <w:pPr>
        <w:widowControl/>
        <w:jc w:val="center"/>
        <w:rPr>
          <w:rFonts w:hint="eastAsia" w:ascii="思源黑体 CN Normal" w:hAnsi="思源黑体 CN Normal" w:eastAsia="思源黑体 CN Normal" w:cs="思源黑体 CN Normal"/>
          <w:b w:val="0"/>
          <w:bCs w:val="0"/>
          <w:color w:val="000000" w:themeColor="text1"/>
          <w:sz w:val="36"/>
          <w:szCs w:val="36"/>
          <w14:textFill>
            <w14:solidFill>
              <w14:schemeClr w14:val="tx1"/>
            </w14:solidFill>
          </w14:textFill>
        </w:rPr>
      </w:pPr>
      <w:r>
        <w:rPr>
          <w:rFonts w:hint="eastAsia" w:ascii="思源黑体 CN Normal" w:hAnsi="思源黑体 CN Normal" w:eastAsia="思源黑体 CN Normal" w:cs="思源黑体 CN Normal"/>
          <w:b w:val="0"/>
          <w:bCs w:val="0"/>
          <w:color w:val="000000" w:themeColor="text1"/>
          <w:sz w:val="48"/>
          <w:szCs w:val="48"/>
          <w14:textFill>
            <w14:solidFill>
              <w14:schemeClr w14:val="tx1"/>
            </w14:solidFill>
          </w14:textFill>
        </w:rPr>
        <w:t>目录</w:t>
      </w:r>
    </w:p>
    <w:p w14:paraId="297F534D">
      <w:pPr>
        <w:pStyle w:val="1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公开时间：20</w:t>
      </w:r>
      <w:r>
        <w:rPr>
          <w:rFonts w:hint="eastAsia"/>
          <w:color w:val="000000" w:themeColor="text1"/>
          <w:highlight w:val="none"/>
          <w:lang w:val="en-US" w:eastAsia="zh-CN"/>
          <w14:textFill>
            <w14:solidFill>
              <w14:schemeClr w14:val="tx1"/>
            </w14:solidFill>
          </w14:textFill>
        </w:rPr>
        <w:t>25</w:t>
      </w:r>
      <w:r>
        <w:rPr>
          <w:rFonts w:hint="eastAsia"/>
          <w:color w:val="000000" w:themeColor="text1"/>
          <w:highlight w:val="none"/>
          <w14:textFill>
            <w14:solidFill>
              <w14:schemeClr w14:val="tx1"/>
            </w14:solidFill>
          </w14:textFill>
        </w:rPr>
        <w:t>年</w:t>
      </w:r>
      <w:r>
        <w:rPr>
          <w:rFonts w:hint="eastAsia"/>
          <w:color w:val="000000" w:themeColor="text1"/>
          <w:highlight w:val="none"/>
          <w:lang w:val="en-US" w:eastAsia="zh-CN"/>
          <w14:textFill>
            <w14:solidFill>
              <w14:schemeClr w14:val="tx1"/>
            </w14:solidFill>
          </w14:textFill>
        </w:rPr>
        <w:t>9</w:t>
      </w:r>
      <w:r>
        <w:rPr>
          <w:rFonts w:hint="eastAsia"/>
          <w:color w:val="000000" w:themeColor="text1"/>
          <w:highlight w:val="none"/>
          <w14:textFill>
            <w14:solidFill>
              <w14:schemeClr w14:val="tx1"/>
            </w14:solidFill>
          </w14:textFill>
        </w:rPr>
        <w:t>月</w:t>
      </w:r>
      <w:r>
        <w:rPr>
          <w:rFonts w:hint="eastAsia"/>
          <w:color w:val="000000" w:themeColor="text1"/>
          <w:highlight w:val="none"/>
          <w:lang w:val="en-US" w:eastAsia="zh-CN"/>
          <w14:textFill>
            <w14:solidFill>
              <w14:schemeClr w14:val="tx1"/>
            </w14:solidFill>
          </w14:textFill>
        </w:rPr>
        <w:t>25</w:t>
      </w:r>
      <w:r>
        <w:rPr>
          <w:rFonts w:hint="eastAsia"/>
          <w:color w:val="000000" w:themeColor="text1"/>
          <w:highlight w:val="none"/>
          <w14:textFill>
            <w14:solidFill>
              <w14:schemeClr w14:val="tx1"/>
            </w14:solidFill>
          </w14:textFill>
        </w:rPr>
        <w:t>日</w:t>
      </w:r>
    </w:p>
    <w:p w14:paraId="49203D4D">
      <w:pPr>
        <w:pStyle w:val="15"/>
        <w:tabs>
          <w:tab w:val="right" w:leader="dot" w:pos="8306"/>
          <w:tab w:val="clear" w:pos="8296"/>
        </w:tabs>
        <w:rPr>
          <w:rFonts w:hint="eastAsia" w:ascii="黑体" w:hAnsi="黑体" w:eastAsia="黑体" w:cs="黑体"/>
          <w:color w:val="000000" w:themeColor="text1"/>
          <w:sz w:val="32"/>
          <w:szCs w:val="32"/>
          <w14:textFill>
            <w14:solidFill>
              <w14:schemeClr w14:val="tx1"/>
            </w14:solidFill>
          </w14:textFill>
        </w:rPr>
      </w:pPr>
      <w:bookmarkStart w:id="12" w:name="_Toc15377196"/>
      <w:r>
        <w:rPr>
          <w:rFonts w:hint="eastAsia" w:ascii="宋体" w:hAnsi="宋体" w:eastAsia="宋体" w:cs="宋体"/>
          <w:smallCaps/>
          <w:color w:val="000000" w:themeColor="text1"/>
          <w:sz w:val="20"/>
          <w:szCs w:val="20"/>
          <w14:textFill>
            <w14:solidFill>
              <w14:schemeClr w14:val="tx1"/>
            </w14:solidFill>
          </w14:textFill>
        </w:rPr>
        <w:fldChar w:fldCharType="begin"/>
      </w:r>
      <w:r>
        <w:rPr>
          <w:rFonts w:hint="eastAsia" w:ascii="宋体" w:hAnsi="宋体" w:eastAsia="宋体" w:cs="宋体"/>
          <w:smallCaps/>
          <w:color w:val="000000" w:themeColor="text1"/>
          <w:sz w:val="20"/>
          <w:szCs w:val="20"/>
          <w14:textFill>
            <w14:solidFill>
              <w14:schemeClr w14:val="tx1"/>
            </w14:solidFill>
          </w14:textFill>
        </w:rPr>
        <w:instrText xml:space="preserve"> TOC \o "1-2" \h \z \u </w:instrText>
      </w:r>
      <w:r>
        <w:rPr>
          <w:rFonts w:hint="eastAsia" w:ascii="宋体" w:hAnsi="宋体" w:eastAsia="宋体" w:cs="宋体"/>
          <w:smallCaps/>
          <w:color w:val="000000" w:themeColor="text1"/>
          <w:sz w:val="20"/>
          <w:szCs w:val="20"/>
          <w14:textFill>
            <w14:solidFill>
              <w14:schemeClr w14:val="tx1"/>
            </w14:solidFill>
          </w14:textFill>
        </w:rPr>
        <w:fldChar w:fldCharType="separate"/>
      </w:r>
      <w:r>
        <w:rPr>
          <w:rFonts w:hint="eastAsia" w:ascii="黑体" w:hAnsi="黑体" w:eastAsia="黑体" w:cs="黑体"/>
          <w:smallCaps/>
          <w:color w:val="000000" w:themeColor="text1"/>
          <w:sz w:val="32"/>
          <w:szCs w:val="32"/>
          <w14:textFill>
            <w14:solidFill>
              <w14:schemeClr w14:val="tx1"/>
            </w14:solidFill>
          </w14:textFill>
        </w:rPr>
        <w:fldChar w:fldCharType="begin"/>
      </w:r>
      <w:r>
        <w:rPr>
          <w:rFonts w:hint="eastAsia" w:ascii="黑体" w:hAnsi="黑体" w:eastAsia="黑体" w:cs="黑体"/>
          <w:smallCaps/>
          <w:color w:val="000000" w:themeColor="text1"/>
          <w:sz w:val="32"/>
          <w:szCs w:val="32"/>
          <w14:textFill>
            <w14:solidFill>
              <w14:schemeClr w14:val="tx1"/>
            </w14:solidFill>
          </w14:textFill>
        </w:rPr>
        <w:instrText xml:space="preserve"> HYPERLINK \l _Toc9016 </w:instrText>
      </w:r>
      <w:r>
        <w:rPr>
          <w:rFonts w:hint="eastAsia" w:ascii="黑体" w:hAnsi="黑体" w:eastAsia="黑体" w:cs="黑体"/>
          <w:smallCaps/>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 xml:space="preserve">第一部分 </w:t>
      </w:r>
      <w:r>
        <w:rPr>
          <w:rFonts w:hint="eastAsia" w:ascii="黑体" w:hAnsi="黑体" w:eastAsia="黑体" w:cs="黑体"/>
          <w:bCs w:val="0"/>
          <w:color w:val="000000" w:themeColor="text1"/>
          <w:sz w:val="32"/>
          <w:szCs w:val="32"/>
          <w14:textFill>
            <w14:solidFill>
              <w14:schemeClr w14:val="tx1"/>
            </w14:solidFill>
          </w14:textFill>
        </w:rPr>
        <w:t>单位</w:t>
      </w:r>
      <w:r>
        <w:rPr>
          <w:rFonts w:ascii="黑体" w:hAnsi="黑体" w:eastAsia="黑体" w:cs="黑体"/>
          <w:color w:val="000000"/>
          <w:sz w:val="32"/>
          <w:u w:color="auto"/>
        </w:rPr>
        <w:t>概况</w:t>
      </w:r>
      <w:r>
        <w:tab/>
      </w:r>
      <w:r>
        <w:rPr>
          <w:rFonts w:hint="eastAsia" w:ascii="黑体" w:hAnsi="黑体" w:eastAsia="黑体" w:cs="黑体"/>
          <w:color w:val="000000" w:themeColor="text1"/>
          <w:sz w:val="32"/>
          <w:szCs w:val="32"/>
          <w14:textFill>
            <w14:solidFill>
              <w14:schemeClr w14:val="tx1"/>
            </w14:solidFill>
          </w14:textFill>
        </w:rPr>
        <w:fldChar w:fldCharType="begin"/>
      </w:r>
      <w:r>
        <w:rPr>
          <w:rFonts w:hint="eastAsia" w:ascii="黑体" w:hAnsi="黑体" w:eastAsia="黑体" w:cs="黑体"/>
          <w:color w:val="000000" w:themeColor="text1"/>
          <w:sz w:val="32"/>
          <w:szCs w:val="32"/>
          <w14:textFill>
            <w14:solidFill>
              <w14:schemeClr w14:val="tx1"/>
            </w14:solidFill>
          </w14:textFill>
        </w:rPr>
        <w:instrText xml:space="preserve"> PAGEREF _Toc9016 \h </w:instrText>
      </w:r>
      <w:r>
        <w:rPr>
          <w:rFonts w:hint="eastAsia" w:ascii="黑体" w:hAnsi="黑体" w:eastAsia="黑体" w:cs="黑体"/>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1</w:t>
      </w:r>
      <w:r>
        <w:rPr>
          <w:rFonts w:hint="eastAsia" w:ascii="黑体" w:hAnsi="黑体" w:eastAsia="黑体" w:cs="黑体"/>
          <w:color w:val="000000" w:themeColor="text1"/>
          <w:sz w:val="32"/>
          <w:szCs w:val="32"/>
          <w14:textFill>
            <w14:solidFill>
              <w14:schemeClr w14:val="tx1"/>
            </w14:solidFill>
          </w14:textFill>
        </w:rPr>
        <w:fldChar w:fldCharType="end"/>
      </w:r>
      <w:r>
        <w:rPr>
          <w:rFonts w:hint="eastAsia" w:ascii="黑体" w:hAnsi="黑体" w:eastAsia="黑体" w:cs="黑体"/>
          <w:smallCaps/>
          <w:color w:val="000000" w:themeColor="text1"/>
          <w:sz w:val="32"/>
          <w:szCs w:val="32"/>
          <w14:textFill>
            <w14:solidFill>
              <w14:schemeClr w14:val="tx1"/>
            </w14:solidFill>
          </w14:textFill>
        </w:rPr>
        <w:fldChar w:fldCharType="end"/>
      </w:r>
    </w:p>
    <w:p w14:paraId="68CC578D">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_Toc28564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一、</w:t>
      </w:r>
      <w:r>
        <w:rPr>
          <w:rFonts w:hint="eastAsia" w:ascii="仿宋" w:hAnsi="仿宋" w:eastAsia="仿宋" w:cs="仿宋"/>
          <w:bCs w:val="0"/>
          <w:color w:val="000000" w:themeColor="text1"/>
          <w:sz w:val="32"/>
          <w:szCs w:val="32"/>
          <w:lang w:val="en-US" w:eastAsia="zh-CN"/>
          <w14:textFill>
            <w14:solidFill>
              <w14:schemeClr w14:val="tx1"/>
            </w14:solidFill>
          </w14:textFill>
        </w:rPr>
        <w:t>主要职责</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_Toc28564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19D3FCBB">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_Toc22056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二、机构设置</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_Toc22056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72AD3064">
      <w:pPr>
        <w:pStyle w:val="15"/>
        <w:tabs>
          <w:tab w:val="right" w:leader="dot" w:pos="8306"/>
          <w:tab w:val="clear" w:pos="8296"/>
        </w:tabs>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smallCaps/>
          <w:color w:val="000000" w:themeColor="text1"/>
          <w:sz w:val="32"/>
          <w:szCs w:val="32"/>
          <w14:textFill>
            <w14:solidFill>
              <w14:schemeClr w14:val="tx1"/>
            </w14:solidFill>
          </w14:textFill>
        </w:rPr>
        <w:fldChar w:fldCharType="begin"/>
      </w:r>
      <w:r>
        <w:rPr>
          <w:rFonts w:hint="eastAsia" w:ascii="黑体" w:hAnsi="黑体" w:eastAsia="黑体" w:cs="黑体"/>
          <w:smallCaps/>
          <w:color w:val="000000" w:themeColor="text1"/>
          <w:sz w:val="32"/>
          <w:szCs w:val="32"/>
          <w14:textFill>
            <w14:solidFill>
              <w14:schemeClr w14:val="tx1"/>
            </w14:solidFill>
          </w14:textFill>
        </w:rPr>
        <w:instrText xml:space="preserve"> HYPERLINK \l _Toc9058 </w:instrText>
      </w:r>
      <w:r>
        <w:rPr>
          <w:rFonts w:hint="eastAsia" w:ascii="黑体" w:hAnsi="黑体" w:eastAsia="黑体" w:cs="黑体"/>
          <w:smallCaps/>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 xml:space="preserve">第二部分 </w:t>
      </w:r>
      <w:r>
        <w:rPr>
          <w:rFonts w:ascii="黑体" w:hAnsi="黑体" w:eastAsia="黑体" w:cs="黑体"/>
          <w:color w:val="000000"/>
          <w:sz w:val="32"/>
          <w:u w:color="auto"/>
        </w:rPr>
        <w:t>2024年度</w:t>
      </w:r>
      <w:r>
        <w:rPr>
          <w:rFonts w:hint="eastAsia" w:ascii="黑体" w:hAnsi="黑体" w:eastAsia="黑体" w:cs="黑体"/>
          <w:color w:val="000000" w:themeColor="text1"/>
          <w:sz w:val="32"/>
          <w:szCs w:val="32"/>
          <w:lang w:val="en-US" w:eastAsia="zh-CN"/>
          <w14:textFill>
            <w14:solidFill>
              <w14:schemeClr w14:val="tx1"/>
            </w14:solidFill>
          </w14:textFill>
        </w:rPr>
        <w:t>单位</w:t>
      </w:r>
      <w:r>
        <w:rPr>
          <w:rFonts w:hint="eastAsia" w:ascii="黑体" w:hAnsi="黑体" w:eastAsia="黑体" w:cs="黑体"/>
          <w:color w:val="000000" w:themeColor="text1"/>
          <w:sz w:val="32"/>
          <w:szCs w:val="32"/>
          <w14:textFill>
            <w14:solidFill>
              <w14:schemeClr w14:val="tx1"/>
            </w14:solidFill>
          </w14:textFill>
        </w:rPr>
        <w:t>决算情况说明</w:t>
      </w:r>
      <w:r>
        <w:tab/>
      </w:r>
      <w:r>
        <w:rPr>
          <w:rFonts w:hint="eastAsia" w:ascii="黑体" w:hAnsi="黑体" w:eastAsia="黑体" w:cs="黑体"/>
          <w:color w:val="000000" w:themeColor="text1"/>
          <w:sz w:val="32"/>
          <w:szCs w:val="32"/>
          <w14:textFill>
            <w14:solidFill>
              <w14:schemeClr w14:val="tx1"/>
            </w14:solidFill>
          </w14:textFill>
        </w:rPr>
        <w:fldChar w:fldCharType="begin"/>
      </w:r>
      <w:r>
        <w:rPr>
          <w:rFonts w:hint="eastAsia" w:ascii="黑体" w:hAnsi="黑体" w:eastAsia="黑体" w:cs="黑体"/>
          <w:color w:val="000000" w:themeColor="text1"/>
          <w:sz w:val="32"/>
          <w:szCs w:val="32"/>
          <w14:textFill>
            <w14:solidFill>
              <w14:schemeClr w14:val="tx1"/>
            </w14:solidFill>
          </w14:textFill>
        </w:rPr>
        <w:instrText xml:space="preserve"> PAGEREF _Toc9058 \h </w:instrText>
      </w:r>
      <w:r>
        <w:rPr>
          <w:rFonts w:hint="eastAsia" w:ascii="黑体" w:hAnsi="黑体" w:eastAsia="黑体" w:cs="黑体"/>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3</w:t>
      </w:r>
      <w:r>
        <w:rPr>
          <w:rFonts w:hint="eastAsia" w:ascii="黑体" w:hAnsi="黑体" w:eastAsia="黑体" w:cs="黑体"/>
          <w:color w:val="000000" w:themeColor="text1"/>
          <w:sz w:val="32"/>
          <w:szCs w:val="32"/>
          <w14:textFill>
            <w14:solidFill>
              <w14:schemeClr w14:val="tx1"/>
            </w14:solidFill>
          </w14:textFill>
        </w:rPr>
        <w:fldChar w:fldCharType="end"/>
      </w:r>
      <w:r>
        <w:rPr>
          <w:rFonts w:hint="eastAsia" w:ascii="黑体" w:hAnsi="黑体" w:eastAsia="黑体" w:cs="黑体"/>
          <w:smallCaps/>
          <w:color w:val="000000" w:themeColor="text1"/>
          <w:sz w:val="32"/>
          <w:szCs w:val="32"/>
          <w14:textFill>
            <w14:solidFill>
              <w14:schemeClr w14:val="tx1"/>
            </w14:solidFill>
          </w14:textFill>
        </w:rPr>
        <w:fldChar w:fldCharType="end"/>
      </w:r>
    </w:p>
    <w:p w14:paraId="5775D898">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_Toc19710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一、收入支出决算总体情况说明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_Toc19710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228B92BF">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_Toc8125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二、收入决算情况说明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_Toc8125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6F99C6CD">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_Toc28283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三、支出决算情况说明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_Toc28283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05425E03">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_Toc19521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四、财政拨款收入支出决算总体情况说明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_Toc19521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16C145AC">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_Toc14368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五、一般公共预算财政拨款支出决算情况说明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_Toc14368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253451D8">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_Toc31578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六、一般公共预算财政拨款基本支出决算情况说明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_Toc31578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13372F60">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_Toc6614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七、“三公”经费财政拨款支出决算情况说明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_Toc6614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7</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4567BA51">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_Toc20439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八、政府性基金预算支出决算情况说明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_Toc20439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8</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71EF486F">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_Toc23467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九、国有资本经营预算支</w:t>
      </w:r>
      <w:bookmarkStart w:id="87" w:name="_GoBack"/>
      <w:bookmarkEnd w:id="87"/>
      <w:r>
        <w:rPr>
          <w:rFonts w:hint="eastAsia" w:ascii="仿宋" w:hAnsi="仿宋" w:eastAsia="仿宋" w:cs="仿宋"/>
          <w:bCs w:val="0"/>
          <w:color w:val="000000" w:themeColor="text1"/>
          <w:sz w:val="32"/>
          <w:szCs w:val="32"/>
          <w14:textFill>
            <w14:solidFill>
              <w14:schemeClr w14:val="tx1"/>
            </w14:solidFill>
          </w14:textFill>
        </w:rPr>
        <w:t>出决算情况说明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_Toc23467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9</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610F5F4F">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_Toc18455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十、其他重要事项的情况说明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_Toc18455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9</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1C39B0B7">
      <w:pPr>
        <w:pStyle w:val="15"/>
        <w:tabs>
          <w:tab w:val="right" w:leader="dot" w:pos="8306"/>
          <w:tab w:val="clear" w:pos="8296"/>
        </w:tabs>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smallCaps/>
          <w:color w:val="000000" w:themeColor="text1"/>
          <w:sz w:val="32"/>
          <w:szCs w:val="32"/>
          <w14:textFill>
            <w14:solidFill>
              <w14:schemeClr w14:val="tx1"/>
            </w14:solidFill>
          </w14:textFill>
        </w:rPr>
        <w:fldChar w:fldCharType="begin"/>
      </w:r>
      <w:r>
        <w:rPr>
          <w:rFonts w:hint="eastAsia" w:ascii="黑体" w:hAnsi="黑体" w:eastAsia="黑体" w:cs="黑体"/>
          <w:smallCaps/>
          <w:color w:val="000000" w:themeColor="text1"/>
          <w:sz w:val="32"/>
          <w:szCs w:val="32"/>
          <w14:textFill>
            <w14:solidFill>
              <w14:schemeClr w14:val="tx1"/>
            </w14:solidFill>
          </w14:textFill>
        </w:rPr>
        <w:instrText xml:space="preserve"> HYPERLINK \l _Toc18122 </w:instrText>
      </w:r>
      <w:r>
        <w:rPr>
          <w:rFonts w:hint="eastAsia" w:ascii="黑体" w:hAnsi="黑体" w:eastAsia="黑体" w:cs="黑体"/>
          <w:smallCaps/>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第三部分 名词解释</w:t>
      </w:r>
      <w:r>
        <w:rPr>
          <w:rFonts w:hint="eastAsia" w:ascii="黑体" w:hAnsi="黑体" w:eastAsia="黑体" w:cs="黑体"/>
          <w:color w:val="000000" w:themeColor="text1"/>
          <w:sz w:val="32"/>
          <w:szCs w:val="32"/>
          <w14:textFill>
            <w14:solidFill>
              <w14:schemeClr w14:val="tx1"/>
            </w14:solidFill>
          </w14:textFill>
        </w:rPr>
        <w:tab/>
      </w:r>
      <w:r>
        <w:rPr>
          <w:rFonts w:hint="eastAsia" w:ascii="黑体" w:hAnsi="黑体" w:eastAsia="黑体" w:cs="黑体"/>
          <w:color w:val="000000" w:themeColor="text1"/>
          <w:sz w:val="32"/>
          <w:szCs w:val="32"/>
          <w14:textFill>
            <w14:solidFill>
              <w14:schemeClr w14:val="tx1"/>
            </w14:solidFill>
          </w14:textFill>
        </w:rPr>
        <w:fldChar w:fldCharType="begin"/>
      </w:r>
      <w:r>
        <w:rPr>
          <w:rFonts w:hint="eastAsia" w:ascii="黑体" w:hAnsi="黑体" w:eastAsia="黑体" w:cs="黑体"/>
          <w:color w:val="000000" w:themeColor="text1"/>
          <w:sz w:val="32"/>
          <w:szCs w:val="32"/>
          <w14:textFill>
            <w14:solidFill>
              <w14:schemeClr w14:val="tx1"/>
            </w14:solidFill>
          </w14:textFill>
        </w:rPr>
        <w:instrText xml:space="preserve"> PAGEREF _Toc18122 \h </w:instrText>
      </w:r>
      <w:r>
        <w:rPr>
          <w:rFonts w:hint="eastAsia" w:ascii="黑体" w:hAnsi="黑体" w:eastAsia="黑体" w:cs="黑体"/>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10</w:t>
      </w:r>
      <w:r>
        <w:rPr>
          <w:rFonts w:hint="eastAsia" w:ascii="黑体" w:hAnsi="黑体" w:eastAsia="黑体" w:cs="黑体"/>
          <w:color w:val="000000" w:themeColor="text1"/>
          <w:sz w:val="32"/>
          <w:szCs w:val="32"/>
          <w14:textFill>
            <w14:solidFill>
              <w14:schemeClr w14:val="tx1"/>
            </w14:solidFill>
          </w14:textFill>
        </w:rPr>
        <w:fldChar w:fldCharType="end"/>
      </w:r>
      <w:r>
        <w:rPr>
          <w:rFonts w:hint="eastAsia" w:ascii="黑体" w:hAnsi="黑体" w:eastAsia="黑体" w:cs="黑体"/>
          <w:smallCaps/>
          <w:color w:val="000000" w:themeColor="text1"/>
          <w:sz w:val="32"/>
          <w:szCs w:val="32"/>
          <w14:textFill>
            <w14:solidFill>
              <w14:schemeClr w14:val="tx1"/>
            </w14:solidFill>
          </w14:textFill>
        </w:rPr>
        <w:fldChar w:fldCharType="end"/>
      </w:r>
    </w:p>
    <w:p w14:paraId="5185CA32">
      <w:pPr>
        <w:pStyle w:val="15"/>
        <w:tabs>
          <w:tab w:val="right" w:leader="dot" w:pos="8306"/>
          <w:tab w:val="clear" w:pos="8296"/>
        </w:tabs>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smallCaps/>
          <w:color w:val="000000" w:themeColor="text1"/>
          <w:sz w:val="32"/>
          <w:szCs w:val="32"/>
          <w14:textFill>
            <w14:solidFill>
              <w14:schemeClr w14:val="tx1"/>
            </w14:solidFill>
          </w14:textFill>
        </w:rPr>
        <w:fldChar w:fldCharType="begin"/>
      </w:r>
      <w:r>
        <w:rPr>
          <w:rFonts w:hint="eastAsia" w:ascii="黑体" w:hAnsi="黑体" w:eastAsia="黑体" w:cs="黑体"/>
          <w:smallCaps/>
          <w:color w:val="000000" w:themeColor="text1"/>
          <w:sz w:val="32"/>
          <w:szCs w:val="32"/>
          <w14:textFill>
            <w14:solidFill>
              <w14:schemeClr w14:val="tx1"/>
            </w14:solidFill>
          </w14:textFill>
        </w:rPr>
        <w:instrText xml:space="preserve"> HYPERLINK \l _Toc25539 </w:instrText>
      </w:r>
      <w:r>
        <w:rPr>
          <w:rFonts w:hint="eastAsia" w:ascii="黑体" w:hAnsi="黑体" w:eastAsia="黑体" w:cs="黑体"/>
          <w:smallCaps/>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第四部分 附件</w:t>
      </w:r>
      <w:r>
        <w:rPr>
          <w:rFonts w:hint="eastAsia" w:ascii="黑体" w:hAnsi="黑体" w:eastAsia="黑体" w:cs="黑体"/>
          <w:color w:val="000000" w:themeColor="text1"/>
          <w:sz w:val="32"/>
          <w:szCs w:val="32"/>
          <w14:textFill>
            <w14:solidFill>
              <w14:schemeClr w14:val="tx1"/>
            </w14:solidFill>
          </w14:textFill>
        </w:rPr>
        <w:tab/>
      </w:r>
      <w:r>
        <w:rPr>
          <w:rFonts w:hint="eastAsia" w:ascii="黑体" w:hAnsi="黑体" w:eastAsia="黑体" w:cs="黑体"/>
          <w:color w:val="000000" w:themeColor="text1"/>
          <w:sz w:val="32"/>
          <w:szCs w:val="32"/>
          <w14:textFill>
            <w14:solidFill>
              <w14:schemeClr w14:val="tx1"/>
            </w14:solidFill>
          </w14:textFill>
        </w:rPr>
        <w:fldChar w:fldCharType="begin"/>
      </w:r>
      <w:r>
        <w:rPr>
          <w:rFonts w:hint="eastAsia" w:ascii="黑体" w:hAnsi="黑体" w:eastAsia="黑体" w:cs="黑体"/>
          <w:color w:val="000000" w:themeColor="text1"/>
          <w:sz w:val="32"/>
          <w:szCs w:val="32"/>
          <w14:textFill>
            <w14:solidFill>
              <w14:schemeClr w14:val="tx1"/>
            </w14:solidFill>
          </w14:textFill>
        </w:rPr>
        <w:instrText xml:space="preserve"> PAGEREF _Toc25539 \h </w:instrText>
      </w:r>
      <w:r>
        <w:rPr>
          <w:rFonts w:hint="eastAsia" w:ascii="黑体" w:hAnsi="黑体" w:eastAsia="黑体" w:cs="黑体"/>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13</w:t>
      </w:r>
      <w:r>
        <w:rPr>
          <w:rFonts w:hint="eastAsia" w:ascii="黑体" w:hAnsi="黑体" w:eastAsia="黑体" w:cs="黑体"/>
          <w:color w:val="000000" w:themeColor="text1"/>
          <w:sz w:val="32"/>
          <w:szCs w:val="32"/>
          <w14:textFill>
            <w14:solidFill>
              <w14:schemeClr w14:val="tx1"/>
            </w14:solidFill>
          </w14:textFill>
        </w:rPr>
        <w:fldChar w:fldCharType="end"/>
      </w:r>
      <w:r>
        <w:rPr>
          <w:rFonts w:hint="eastAsia" w:ascii="黑体" w:hAnsi="黑体" w:eastAsia="黑体" w:cs="黑体"/>
          <w:smallCaps/>
          <w:color w:val="000000" w:themeColor="text1"/>
          <w:sz w:val="32"/>
          <w:szCs w:val="32"/>
          <w14:textFill>
            <w14:solidFill>
              <w14:schemeClr w14:val="tx1"/>
            </w14:solidFill>
          </w14:textFill>
        </w:rPr>
        <w:fldChar w:fldCharType="end"/>
      </w:r>
    </w:p>
    <w:p w14:paraId="1D314EC7">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_Toc16431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一、收入支出决算总表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_Toc16431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13</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67C5159B">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_Toc25389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二、收入决算表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_Toc25389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13</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744CBCE1">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_Toc10450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三、支出决算表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_Toc10450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13</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6F1C1D86">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_Toc15415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四、财政拨款收入支出决算总表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_Toc15415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13</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1367FA2B">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_Toc17530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五、财政拨款支出决算明细表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_Toc17530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13</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4E0B0EA8">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_Toc22032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六、一般公共预算财政拨款支出决算表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_Toc22032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13</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4EF11141">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_Toc3364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七、一般公共预算财政拨款支出决算明细表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_Toc3364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13</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281F5848">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_Toc9110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八、一般公共预算财政拨款基本支出决算表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_Toc9110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13</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23984AF3">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_Toc28582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九、一般公共预算财政拨款项目支出决算表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_Toc28582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13</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16DAFCA7">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_Toc22001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十、政府性基金预算财政拨款收入支出决算表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_Toc22001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13</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7A4664BE">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_Toc6538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十一、国有资本经营预算财政拨款收入支出决算表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_Toc6538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13</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6E3B3EF3">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_Toc10625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十二、国有资本经营预算财政拨款支出决算表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_Toc10625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13</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01685675">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_Toc28356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十三、财政拨款“三公”经费支出决算表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_Toc28356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13</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62FF81B7">
      <w:pPr>
        <w:pStyle w:val="8"/>
        <w:rPr>
          <w:rFonts w:hint="eastAsia" w:ascii="宋体" w:hAnsi="宋体" w:eastAsia="宋体" w:cs="宋体"/>
        </w:rPr>
      </w:pPr>
      <w:r>
        <w:rPr>
          <w:rFonts w:hint="eastAsia" w:ascii="宋体" w:hAnsi="宋体" w:eastAsia="宋体" w:cs="宋体"/>
          <w:smallCaps/>
          <w:color w:val="000000" w:themeColor="text1"/>
          <w:szCs w:val="20"/>
          <w14:textFill>
            <w14:solidFill>
              <w14:schemeClr w14:val="tx1"/>
            </w14:solidFill>
          </w14:textFill>
        </w:rPr>
        <w:fldChar w:fldCharType="end"/>
      </w:r>
    </w:p>
    <w:p w14:paraId="5A68A9FF">
      <w:pPr>
        <w:pStyle w:val="5"/>
        <w:jc w:val="center"/>
        <w:rPr>
          <w:rFonts w:hint="eastAsia" w:ascii="黑体" w:hAnsi="黑体" w:eastAsia="黑体" w:cs="黑体"/>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bookmarkStart w:id="13" w:name="_Toc9016"/>
      <w:bookmarkStart w:id="14" w:name="_Toc111208495"/>
    </w:p>
    <w:p w14:paraId="521E39E1">
      <w:pPr>
        <w:pStyle w:val="5"/>
        <w:jc w:val="center"/>
        <w:rPr>
          <w:rFonts w:hint="eastAsia" w:ascii="黑体" w:hAnsi="黑体" w:eastAsia="黑体" w:cs="黑体"/>
          <w:b w:val="0"/>
          <w:bCs w:val="0"/>
        </w:rPr>
      </w:pPr>
      <w:r>
        <w:rPr>
          <w:rFonts w:hint="eastAsia" w:ascii="黑体" w:hAnsi="黑体" w:eastAsia="黑体" w:cs="黑体"/>
          <w:b w:val="0"/>
          <w:bCs w:val="0"/>
        </w:rPr>
        <w:t xml:space="preserve">第一部分 </w:t>
      </w:r>
      <w:r>
        <w:rPr>
          <w:rStyle w:val="32"/>
          <w:rFonts w:hint="eastAsia" w:ascii="黑体" w:hAnsi="黑体" w:eastAsia="黑体" w:cs="黑体"/>
          <w:b w:val="0"/>
          <w:bCs w:val="0"/>
        </w:rPr>
        <w:t>单位</w:t>
      </w:r>
      <w:r>
        <w:rPr>
          <w:rStyle w:val="32"/>
          <w:rFonts w:ascii="黑体" w:hAnsi="黑体" w:eastAsia="黑体" w:cs="黑体"/>
          <w:b w:val="0"/>
          <w:bCs w:val="0"/>
          <w:u w:color="auto"/>
        </w:rPr>
        <w:t>概况</w:t>
      </w:r>
      <w:bookmarkEnd w:id="12"/>
      <w:bookmarkEnd w:id="13"/>
      <w:bookmarkEnd w:id="14"/>
    </w:p>
    <w:p w14:paraId="24C03C62">
      <w:pPr>
        <w:pStyle w:val="6"/>
        <w:pageBreakBefore w:val="0"/>
        <w:kinsoku/>
        <w:wordWrap/>
        <w:overflowPunct/>
        <w:topLinePunct w:val="0"/>
        <w:autoSpaceDE/>
        <w:autoSpaceDN/>
        <w:bidi w:val="0"/>
        <w:spacing w:after="0"/>
        <w:ind w:firstLine="640" w:firstLineChars="200"/>
        <w:textAlignment w:val="auto"/>
        <w:rPr>
          <w:rFonts w:hint="eastAsia" w:ascii="黑体" w:hAnsi="黑体" w:eastAsia="黑体" w:cs="黑体"/>
          <w:b w:val="0"/>
          <w:bCs/>
          <w:color w:val="000000"/>
          <w:lang w:val="en-US" w:eastAsia="zh-CN"/>
        </w:rPr>
      </w:pPr>
      <w:bookmarkStart w:id="15" w:name="_Toc111208496"/>
      <w:bookmarkStart w:id="16" w:name="_Toc15377197"/>
      <w:bookmarkStart w:id="17" w:name="_Toc28564"/>
      <w:bookmarkStart w:id="18" w:name="_Toc113981010"/>
      <w:bookmarkStart w:id="19" w:name="_Toc15377204"/>
      <w:r>
        <w:rPr>
          <w:rFonts w:hint="eastAsia" w:ascii="黑体" w:hAnsi="黑体" w:eastAsia="黑体" w:cs="黑体"/>
          <w:b w:val="0"/>
          <w:bCs/>
          <w:color w:val="000000"/>
        </w:rPr>
        <w:t>一、</w:t>
      </w:r>
      <w:bookmarkEnd w:id="15"/>
      <w:bookmarkEnd w:id="16"/>
      <w:bookmarkEnd w:id="17"/>
      <w:bookmarkEnd w:id="18"/>
      <w:bookmarkStart w:id="20" w:name="_Toc15378445"/>
      <w:bookmarkStart w:id="21" w:name="_Toc15377198"/>
      <w:r>
        <w:rPr>
          <w:rFonts w:hint="eastAsia" w:ascii="黑体" w:hAnsi="黑体" w:eastAsia="黑体" w:cs="黑体"/>
          <w:b w:val="0"/>
          <w:bCs/>
          <w:color w:val="000000"/>
          <w:lang w:val="en-US" w:eastAsia="zh-CN"/>
        </w:rPr>
        <w:t>主要职责</w:t>
      </w:r>
    </w:p>
    <w:bookmarkEnd w:id="20"/>
    <w:bookmarkEnd w:id="21"/>
    <w:p w14:paraId="3AFAE7F9">
      <w:pPr>
        <w:pageBreakBefore w:val="0"/>
        <w:widowControl/>
        <w:kinsoku/>
        <w:wordWrap/>
        <w:overflowPunct/>
        <w:topLinePunct w:val="0"/>
        <w:autoSpaceDE/>
        <w:autoSpaceDN/>
        <w:bidi w:val="0"/>
        <w:adjustRightInd w:val="0"/>
        <w:snapToGrid w:val="0"/>
        <w:spacing w:line="560" w:lineRule="exact"/>
        <w:ind w:left="0" w:leftChars="0" w:right="0" w:firstLine="640" w:firstLineChars="200"/>
        <w:jc w:val="both"/>
        <w:textAlignment w:val="auto"/>
        <w:rPr>
          <w:rFonts w:ascii="仿宋_GB2312" w:eastAsia="仿宋_GB2312" w:cs="宋体"/>
          <w:color w:val="000000"/>
          <w:kern w:val="0"/>
          <w:sz w:val="32"/>
          <w:szCs w:val="32"/>
          <w:shd w:val="clear" w:color="auto" w:fill="FFFFFF"/>
          <w:lang w:val="zh-CN"/>
        </w:rPr>
      </w:pPr>
      <w:bookmarkStart w:id="22" w:name="_Toc113981011"/>
      <w:bookmarkStart w:id="23" w:name="_Toc111208497"/>
      <w:bookmarkStart w:id="24" w:name="_Toc15377200"/>
      <w:bookmarkStart w:id="25" w:name="_Toc22056"/>
      <w:r>
        <w:rPr>
          <w:rFonts w:hint="eastAsia" w:ascii="仿宋_GB2312" w:eastAsia="仿宋_GB2312"/>
          <w:sz w:val="32"/>
          <w:szCs w:val="32"/>
        </w:rPr>
        <w:t>1.</w:t>
      </w:r>
      <w:r>
        <w:rPr>
          <w:rFonts w:hint="eastAsia" w:ascii="仿宋_GB2312" w:eastAsia="仿宋_GB2312" w:cs="宋体"/>
          <w:color w:val="000000"/>
          <w:kern w:val="0"/>
          <w:sz w:val="32"/>
          <w:szCs w:val="32"/>
          <w:shd w:val="clear" w:color="auto" w:fill="FFFFFF"/>
          <w:lang w:val="zh-CN"/>
        </w:rPr>
        <w:t>贯彻执行国家、省、州有关水利工作的方针、政策和法律、法规，研究拟订配套适合县情的实施办法和规范性文件，并监督实施；负责保障水资源的合理开发利用，组织编制全县重要江河的流域综合规划、防洪规划等重大水利规划；拟订全县水利发展目标、发展战略以及编制中长期规划和年度计划，拟订水利工程建设有关制度并组织实施。</w:t>
      </w:r>
    </w:p>
    <w:p w14:paraId="6D21AED3">
      <w:pPr>
        <w:pageBreakBefore w:val="0"/>
        <w:widowControl/>
        <w:kinsoku/>
        <w:wordWrap/>
        <w:overflowPunct/>
        <w:topLinePunct w:val="0"/>
        <w:autoSpaceDE/>
        <w:autoSpaceDN/>
        <w:bidi w:val="0"/>
        <w:adjustRightInd w:val="0"/>
        <w:snapToGrid w:val="0"/>
        <w:spacing w:line="560" w:lineRule="exact"/>
        <w:ind w:left="0" w:leftChars="0" w:right="0" w:firstLine="640" w:firstLineChars="200"/>
        <w:jc w:val="both"/>
        <w:textAlignment w:val="auto"/>
        <w:rPr>
          <w:rFonts w:ascii="仿宋_GB2312" w:eastAsia="仿宋_GB2312" w:cs="宋体"/>
          <w:color w:val="000000"/>
          <w:kern w:val="0"/>
          <w:sz w:val="32"/>
          <w:szCs w:val="32"/>
          <w:shd w:val="clear" w:color="auto" w:fill="FFFFFF"/>
          <w:lang w:val="zh-CN"/>
        </w:rPr>
      </w:pPr>
      <w:r>
        <w:rPr>
          <w:rFonts w:hint="eastAsia" w:ascii="仿宋_GB2312" w:eastAsia="仿宋_GB2312"/>
          <w:sz w:val="32"/>
          <w:szCs w:val="32"/>
        </w:rPr>
        <w:t>2.</w:t>
      </w:r>
      <w:r>
        <w:rPr>
          <w:rFonts w:hint="eastAsia" w:ascii="仿宋_GB2312" w:eastAsia="仿宋_GB2312" w:cs="宋体"/>
          <w:color w:val="000000"/>
          <w:kern w:val="0"/>
          <w:sz w:val="32"/>
          <w:szCs w:val="32"/>
          <w:shd w:val="clear" w:color="auto" w:fill="FFFFFF"/>
          <w:lang w:val="zh-CN"/>
        </w:rPr>
        <w:t>统一管理全县水资源，负责生活、生产经营和生态环境用水的统筹兼顾和保障。拟订全县和跨县水中长期供求规划、水量分配方案、计划用水、节约用水规划，推动节水型社会建设工作。组织实施取水许可、水资源论证、防洪论证和水土保持论证制度。按规划发布全县水资源公报。</w:t>
      </w:r>
    </w:p>
    <w:p w14:paraId="37C97CD0">
      <w:pPr>
        <w:pageBreakBefore w:val="0"/>
        <w:widowControl/>
        <w:kinsoku/>
        <w:wordWrap/>
        <w:overflowPunct/>
        <w:topLinePunct w:val="0"/>
        <w:autoSpaceDE/>
        <w:autoSpaceDN/>
        <w:bidi w:val="0"/>
        <w:adjustRightInd w:val="0"/>
        <w:snapToGrid w:val="0"/>
        <w:spacing w:line="560" w:lineRule="exact"/>
        <w:ind w:left="0" w:leftChars="0" w:right="0" w:firstLine="640" w:firstLineChars="200"/>
        <w:jc w:val="both"/>
        <w:textAlignment w:val="auto"/>
        <w:rPr>
          <w:rFonts w:ascii="仿宋_GB2312" w:eastAsia="仿宋_GB2312" w:cs="宋体"/>
          <w:color w:val="000000"/>
          <w:kern w:val="0"/>
          <w:sz w:val="32"/>
          <w:szCs w:val="32"/>
          <w:shd w:val="clear" w:color="auto" w:fill="FFFFFF"/>
          <w:lang w:val="zh-CN"/>
        </w:rPr>
      </w:pPr>
      <w:r>
        <w:rPr>
          <w:rFonts w:hint="eastAsia" w:ascii="仿宋_GB2312" w:eastAsia="仿宋_GB2312"/>
          <w:sz w:val="32"/>
          <w:szCs w:val="32"/>
        </w:rPr>
        <w:t>3.</w:t>
      </w:r>
      <w:r>
        <w:rPr>
          <w:rFonts w:hint="eastAsia" w:ascii="仿宋_GB2312" w:eastAsia="仿宋_GB2312" w:cs="宋体"/>
          <w:color w:val="000000"/>
          <w:kern w:val="0"/>
          <w:sz w:val="32"/>
          <w:szCs w:val="32"/>
          <w:shd w:val="clear" w:color="auto" w:fill="FFFFFF"/>
          <w:lang w:val="zh-CN"/>
        </w:rPr>
        <w:t>组织编制洪水干旱灾害防治规划，承担水情、旱情监测预警，组织编制防洪抗旱应急水量调度方案，编制防御洪水抗旱调度方案。</w:t>
      </w:r>
    </w:p>
    <w:p w14:paraId="05C1DFC8">
      <w:pPr>
        <w:pageBreakBefore w:val="0"/>
        <w:widowControl/>
        <w:kinsoku/>
        <w:wordWrap/>
        <w:overflowPunct/>
        <w:topLinePunct w:val="0"/>
        <w:autoSpaceDE/>
        <w:autoSpaceDN/>
        <w:bidi w:val="0"/>
        <w:adjustRightInd w:val="0"/>
        <w:snapToGrid w:val="0"/>
        <w:spacing w:line="560" w:lineRule="exact"/>
        <w:ind w:left="0" w:leftChars="0" w:right="0" w:firstLine="640" w:firstLineChars="200"/>
        <w:jc w:val="both"/>
        <w:textAlignment w:val="auto"/>
        <w:rPr>
          <w:rFonts w:ascii="仿宋_GB2312" w:eastAsia="仿宋_GB2312" w:cs="宋体"/>
          <w:color w:val="000000"/>
          <w:kern w:val="0"/>
          <w:sz w:val="32"/>
          <w:szCs w:val="32"/>
          <w:shd w:val="clear" w:color="auto" w:fill="FFFFFF"/>
          <w:lang w:val="zh-CN"/>
        </w:rPr>
      </w:pPr>
      <w:r>
        <w:rPr>
          <w:rFonts w:hint="eastAsia" w:ascii="仿宋_GB2312" w:eastAsia="仿宋_GB2312"/>
          <w:sz w:val="32"/>
          <w:szCs w:val="32"/>
        </w:rPr>
        <w:t>4.</w:t>
      </w:r>
      <w:r>
        <w:rPr>
          <w:rFonts w:hint="eastAsia" w:ascii="仿宋_GB2312" w:eastAsia="仿宋_GB2312" w:cs="宋体"/>
          <w:color w:val="000000"/>
          <w:kern w:val="0"/>
          <w:sz w:val="32"/>
          <w:szCs w:val="32"/>
          <w:shd w:val="clear" w:color="auto" w:fill="FFFFFF"/>
          <w:lang w:val="zh-CN"/>
        </w:rPr>
        <w:t>按照管理权限编制、审查全县水利基本建设项目建议书和可行性研究报告；初审、转报水利基本建设项目初步设计。负责水利设施的管理与保护，负责全县重要江河、湖泊、水库、滩涂的治理和开发，管理和负责水利工程建设与运行管理，组织实施具有控制性或跨县重要水利工程建设与运行管理，负责河道采砂的统一监督管理工作。负责全县农村饮水安全的建设与管理工作。</w:t>
      </w:r>
    </w:p>
    <w:p w14:paraId="558B41BB">
      <w:pPr>
        <w:pageBreakBefore w:val="0"/>
        <w:widowControl/>
        <w:kinsoku/>
        <w:wordWrap/>
        <w:overflowPunct/>
        <w:topLinePunct w:val="0"/>
        <w:autoSpaceDE/>
        <w:autoSpaceDN/>
        <w:bidi w:val="0"/>
        <w:adjustRightInd w:val="0"/>
        <w:snapToGrid w:val="0"/>
        <w:spacing w:line="560" w:lineRule="exact"/>
        <w:ind w:left="0" w:leftChars="0" w:right="0" w:firstLine="640" w:firstLineChars="200"/>
        <w:jc w:val="both"/>
        <w:textAlignment w:val="auto"/>
        <w:rPr>
          <w:rFonts w:ascii="仿宋_GB2312" w:eastAsia="仿宋_GB2312" w:cs="宋体"/>
          <w:color w:val="000000"/>
          <w:kern w:val="0"/>
          <w:sz w:val="32"/>
          <w:szCs w:val="32"/>
          <w:shd w:val="clear" w:color="auto" w:fill="FFFFFF"/>
          <w:lang w:val="zh-CN"/>
        </w:rPr>
      </w:pPr>
      <w:r>
        <w:rPr>
          <w:rFonts w:hint="eastAsia" w:ascii="仿宋_GB2312" w:eastAsia="仿宋_GB2312"/>
          <w:sz w:val="32"/>
          <w:szCs w:val="32"/>
        </w:rPr>
        <w:t>5.</w:t>
      </w:r>
      <w:r>
        <w:rPr>
          <w:rFonts w:hint="eastAsia" w:ascii="仿宋_GB2312" w:eastAsia="仿宋_GB2312" w:cs="宋体"/>
          <w:color w:val="000000"/>
          <w:kern w:val="0"/>
          <w:sz w:val="32"/>
          <w:szCs w:val="32"/>
          <w:shd w:val="clear" w:color="auto" w:fill="FFFFFF"/>
          <w:lang w:val="zh-CN"/>
        </w:rPr>
        <w:t>负责防治水土流失。拟订水土保持规划并监督实施，组织实施全县水土流失的综合防治、监测预报，按照管理权限负责建设项目水土保持方案的审批、监督实施及水土保持设施的验收工作，承担重点水土保持建设项目的实施。</w:t>
      </w:r>
    </w:p>
    <w:p w14:paraId="3AE99F66">
      <w:pPr>
        <w:pageBreakBefore w:val="0"/>
        <w:widowControl/>
        <w:kinsoku/>
        <w:wordWrap/>
        <w:overflowPunct/>
        <w:topLinePunct w:val="0"/>
        <w:autoSpaceDE/>
        <w:autoSpaceDN/>
        <w:bidi w:val="0"/>
        <w:adjustRightInd w:val="0"/>
        <w:snapToGrid w:val="0"/>
        <w:spacing w:line="560" w:lineRule="exact"/>
        <w:ind w:left="0" w:leftChars="0" w:right="0" w:firstLine="640" w:firstLineChars="200"/>
        <w:jc w:val="both"/>
        <w:textAlignment w:val="auto"/>
        <w:rPr>
          <w:rFonts w:ascii="仿宋_GB2312" w:eastAsia="仿宋_GB2312" w:cs="宋体"/>
          <w:color w:val="000000"/>
          <w:kern w:val="0"/>
          <w:sz w:val="32"/>
          <w:szCs w:val="32"/>
          <w:shd w:val="clear" w:color="auto" w:fill="FFFFFF"/>
          <w:lang w:val="zh-CN"/>
        </w:rPr>
      </w:pPr>
      <w:r>
        <w:rPr>
          <w:rFonts w:hint="eastAsia" w:ascii="仿宋_GB2312" w:eastAsia="仿宋_GB2312"/>
          <w:sz w:val="32"/>
          <w:szCs w:val="32"/>
        </w:rPr>
        <w:t>6.</w:t>
      </w:r>
      <w:r>
        <w:rPr>
          <w:rFonts w:hint="eastAsia" w:ascii="仿宋_GB2312" w:eastAsia="仿宋_GB2312" w:cs="宋体"/>
          <w:color w:val="000000"/>
          <w:kern w:val="0"/>
          <w:sz w:val="32"/>
          <w:szCs w:val="32"/>
          <w:shd w:val="clear" w:color="auto" w:fill="FFFFFF"/>
          <w:lang w:val="zh-CN"/>
        </w:rPr>
        <w:t>负责重大涉水违法事件的查处和协调跨县或部门间水事纠纷，承担水政监察和水行政执法。负责水利建设工程项目的招标投标活动的监督执法。依法负责水利行业安全生产工作，组织、承担水库大坝、水电站大坝等水利工程的安全监管，组织实施水利工程建设的监督和定额管理。承担水利统计工作。</w:t>
      </w:r>
    </w:p>
    <w:p w14:paraId="194E3710">
      <w:pPr>
        <w:pageBreakBefore w:val="0"/>
        <w:widowControl/>
        <w:kinsoku/>
        <w:wordWrap/>
        <w:overflowPunct/>
        <w:topLinePunct w:val="0"/>
        <w:autoSpaceDE/>
        <w:autoSpaceDN/>
        <w:bidi w:val="0"/>
        <w:adjustRightInd w:val="0"/>
        <w:snapToGrid w:val="0"/>
        <w:spacing w:line="560" w:lineRule="exact"/>
        <w:ind w:left="0" w:leftChars="0" w:right="0" w:firstLine="640" w:firstLineChars="200"/>
        <w:jc w:val="both"/>
        <w:textAlignment w:val="auto"/>
        <w:rPr>
          <w:rFonts w:ascii="仿宋_GB2312" w:eastAsia="仿宋_GB2312" w:cs="宋体"/>
          <w:color w:val="000000"/>
          <w:kern w:val="0"/>
          <w:sz w:val="32"/>
          <w:szCs w:val="32"/>
          <w:shd w:val="clear" w:color="auto" w:fill="FFFFFF"/>
          <w:lang w:val="zh-CN"/>
        </w:rPr>
      </w:pPr>
      <w:r>
        <w:rPr>
          <w:rFonts w:hint="eastAsia" w:ascii="仿宋_GB2312" w:eastAsia="仿宋_GB2312"/>
          <w:sz w:val="32"/>
          <w:szCs w:val="32"/>
        </w:rPr>
        <w:t>7.</w:t>
      </w:r>
      <w:r>
        <w:rPr>
          <w:rFonts w:hint="eastAsia" w:ascii="仿宋_GB2312" w:eastAsia="仿宋_GB2312" w:cs="宋体"/>
          <w:color w:val="000000"/>
          <w:kern w:val="0"/>
          <w:sz w:val="32"/>
          <w:szCs w:val="32"/>
          <w:shd w:val="clear" w:color="auto" w:fill="FFFFFF"/>
          <w:lang w:val="zh-CN"/>
        </w:rPr>
        <w:t>拟订水利行业经济调节措施；负责编制全县水利建设项目资金计划，对水利资金进行管理、监督和内部审计。研究提出有关水利方面价格、税收、信贷、财务等经济调节建议。单位国有资产保值增值的监督和管理。</w:t>
      </w:r>
    </w:p>
    <w:p w14:paraId="61C7F620">
      <w:pPr>
        <w:pageBreakBefore w:val="0"/>
        <w:widowControl/>
        <w:kinsoku/>
        <w:wordWrap/>
        <w:overflowPunct/>
        <w:topLinePunct w:val="0"/>
        <w:autoSpaceDE/>
        <w:autoSpaceDN/>
        <w:bidi w:val="0"/>
        <w:adjustRightInd w:val="0"/>
        <w:snapToGrid w:val="0"/>
        <w:spacing w:line="560" w:lineRule="exact"/>
        <w:ind w:left="0" w:leftChars="0" w:right="0" w:firstLine="640" w:firstLineChars="200"/>
        <w:jc w:val="both"/>
        <w:textAlignment w:val="auto"/>
        <w:rPr>
          <w:rFonts w:ascii="仿宋_GB2312" w:eastAsia="仿宋_GB2312" w:cs="宋体"/>
          <w:color w:val="000000"/>
          <w:kern w:val="0"/>
          <w:sz w:val="32"/>
          <w:szCs w:val="32"/>
          <w:shd w:val="clear" w:color="auto" w:fill="FFFFFF"/>
          <w:lang w:val="zh-CN"/>
        </w:rPr>
      </w:pPr>
      <w:r>
        <w:rPr>
          <w:rFonts w:hint="eastAsia" w:ascii="仿宋_GB2312" w:eastAsia="仿宋_GB2312"/>
          <w:sz w:val="32"/>
          <w:szCs w:val="32"/>
        </w:rPr>
        <w:t>8.</w:t>
      </w:r>
      <w:r>
        <w:rPr>
          <w:rFonts w:hint="eastAsia" w:ascii="仿宋_GB2312" w:eastAsia="仿宋_GB2312" w:cs="宋体"/>
          <w:color w:val="000000"/>
          <w:kern w:val="0"/>
          <w:sz w:val="32"/>
          <w:szCs w:val="32"/>
          <w:shd w:val="clear" w:color="auto" w:fill="FFFFFF"/>
          <w:lang w:val="zh-CN"/>
        </w:rPr>
        <w:t>负责全县水利方面的科技与外事工作，组织本县重大水利行业科学研究的技术推广。监督实施水利行业技术质量标准和规程、规范，承办水利行业对外经济、技术合作与交流等涉外事务。</w:t>
      </w:r>
    </w:p>
    <w:p w14:paraId="4FE57346">
      <w:pPr>
        <w:pStyle w:val="10"/>
        <w:pageBreakBefore w:val="0"/>
        <w:kinsoku/>
        <w:wordWrap/>
        <w:overflowPunct/>
        <w:topLinePunct w:val="0"/>
        <w:autoSpaceDE/>
        <w:autoSpaceDN/>
        <w:bidi w:val="0"/>
        <w:adjustRightInd w:val="0"/>
        <w:snapToGrid w:val="0"/>
        <w:spacing w:beforeLines="0" w:line="560" w:lineRule="exact"/>
        <w:ind w:left="0" w:leftChars="0" w:right="0" w:firstLine="640" w:firstLineChars="200"/>
        <w:jc w:val="both"/>
        <w:textAlignment w:val="auto"/>
        <w:outlineLvl w:val="2"/>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9.完成县委、县政府交办的其他任务。</w:t>
      </w:r>
    </w:p>
    <w:p w14:paraId="2CF1E803">
      <w:pPr>
        <w:pStyle w:val="6"/>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黑体" w:hAnsi="黑体" w:eastAsia="黑体" w:cs="黑体"/>
          <w:b w:val="0"/>
          <w:bCs/>
          <w:color w:val="000000"/>
        </w:rPr>
      </w:pPr>
      <w:r>
        <w:rPr>
          <w:rFonts w:hint="eastAsia" w:ascii="黑体" w:hAnsi="黑体" w:eastAsia="黑体" w:cs="黑体"/>
          <w:b w:val="0"/>
          <w:bCs/>
          <w:color w:val="000000"/>
        </w:rPr>
        <w:t>二、机构设置</w:t>
      </w:r>
      <w:bookmarkEnd w:id="22"/>
      <w:bookmarkEnd w:id="23"/>
      <w:bookmarkEnd w:id="24"/>
      <w:bookmarkEnd w:id="25"/>
    </w:p>
    <w:p w14:paraId="661DECA3">
      <w:pPr>
        <w:pageBreakBefore w:val="0"/>
        <w:widowControl w:val="0"/>
        <w:kinsoku/>
        <w:wordWrap/>
        <w:overflowPunct/>
        <w:topLinePunct w:val="0"/>
        <w:autoSpaceDE/>
        <w:autoSpaceDN/>
        <w:bidi w:val="0"/>
        <w:adjustRightInd/>
        <w:snapToGrid/>
        <w:spacing w:line="576" w:lineRule="exact"/>
        <w:ind w:left="0" w:leftChars="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茂县水务服务中心属于茂县水务局下属二级事业单位。</w:t>
      </w:r>
    </w:p>
    <w:p w14:paraId="5A04B536">
      <w:pPr>
        <w:widowControl/>
        <w:jc w:val="left"/>
        <w:rPr>
          <w:rFonts w:hint="eastAsia" w:ascii="思源黑体 CN Normal" w:hAnsi="思源黑体 CN Normal" w:eastAsia="思源黑体 CN Normal" w:cs="思源黑体 CN Normal"/>
          <w:b/>
          <w:bCs/>
          <w:color w:val="000000"/>
          <w:kern w:val="44"/>
          <w:sz w:val="44"/>
          <w:szCs w:val="44"/>
        </w:rPr>
      </w:pPr>
      <w:r>
        <w:rPr>
          <w:rFonts w:hint="eastAsia" w:ascii="思源黑体 CN Normal" w:hAnsi="思源黑体 CN Normal" w:eastAsia="思源黑体 CN Normal" w:cs="思源黑体 CN Normal"/>
          <w:color w:val="000000"/>
        </w:rPr>
        <w:br w:type="page"/>
      </w:r>
    </w:p>
    <w:p w14:paraId="4DE8AC96">
      <w:pPr>
        <w:pStyle w:val="5"/>
        <w:jc w:val="center"/>
        <w:rPr>
          <w:rFonts w:hint="eastAsia" w:ascii="黑体" w:hAnsi="黑体" w:eastAsia="黑体" w:cs="黑体"/>
          <w:b w:val="0"/>
          <w:bCs w:val="0"/>
        </w:rPr>
      </w:pPr>
      <w:bookmarkStart w:id="26" w:name="_Toc9058"/>
      <w:bookmarkStart w:id="27" w:name="_Toc111208498"/>
      <w:r>
        <w:rPr>
          <w:rFonts w:hint="eastAsia" w:ascii="黑体" w:hAnsi="黑体" w:eastAsia="黑体" w:cs="黑体"/>
          <w:b w:val="0"/>
          <w:bCs w:val="0"/>
        </w:rPr>
        <w:t xml:space="preserve">第二部分 </w:t>
      </w:r>
      <w:r>
        <w:rPr>
          <w:rFonts w:ascii="黑体" w:hAnsi="黑体" w:eastAsia="黑体" w:cs="黑体"/>
          <w:u w:color="auto"/>
        </w:rPr>
        <w:t>2024年度</w:t>
      </w:r>
      <w:r>
        <w:rPr>
          <w:rFonts w:hint="eastAsia" w:ascii="黑体" w:hAnsi="黑体" w:eastAsia="黑体" w:cs="黑体"/>
          <w:b w:val="0"/>
          <w:bCs w:val="0"/>
          <w:lang w:val="en-US" w:eastAsia="zh-CN"/>
        </w:rPr>
        <w:t>单位</w:t>
      </w:r>
      <w:r>
        <w:rPr>
          <w:rFonts w:hint="eastAsia" w:ascii="黑体" w:hAnsi="黑体" w:eastAsia="黑体" w:cs="黑体"/>
          <w:b w:val="0"/>
          <w:bCs w:val="0"/>
        </w:rPr>
        <w:t>决算情况说明</w:t>
      </w:r>
      <w:bookmarkEnd w:id="19"/>
      <w:bookmarkEnd w:id="26"/>
      <w:bookmarkEnd w:id="27"/>
    </w:p>
    <w:p w14:paraId="778F85CC">
      <w:pPr>
        <w:pStyle w:val="6"/>
        <w:pageBreakBefore w:val="0"/>
        <w:widowControl w:val="0"/>
        <w:kinsoku/>
        <w:wordWrap/>
        <w:overflowPunct/>
        <w:topLinePunct w:val="0"/>
        <w:autoSpaceDE/>
        <w:autoSpaceDN/>
        <w:bidi w:val="0"/>
        <w:adjustRightInd/>
        <w:snapToGrid/>
        <w:spacing w:after="0"/>
        <w:ind w:firstLine="640" w:firstLineChars="200"/>
        <w:textAlignment w:val="auto"/>
        <w:rPr>
          <w:rFonts w:hint="eastAsia" w:ascii="黑体" w:hAnsi="黑体" w:eastAsia="黑体" w:cs="黑体"/>
          <w:b w:val="0"/>
          <w:bCs/>
          <w:color w:val="000000"/>
        </w:rPr>
      </w:pPr>
      <w:bookmarkStart w:id="28" w:name="_Toc15377205"/>
      <w:bookmarkStart w:id="29" w:name="_Toc111208499"/>
      <w:bookmarkStart w:id="30" w:name="_Toc19710"/>
      <w:r>
        <w:rPr>
          <w:rFonts w:hint="eastAsia" w:ascii="黑体" w:hAnsi="黑体" w:eastAsia="黑体" w:cs="黑体"/>
          <w:b w:val="0"/>
          <w:bCs/>
          <w:color w:val="000000"/>
        </w:rPr>
        <w:t>一、收入支出决算总体情况说</w:t>
      </w:r>
      <w:bookmarkEnd w:id="28"/>
      <w:r>
        <w:rPr>
          <w:rFonts w:hint="eastAsia" w:ascii="黑体" w:hAnsi="黑体" w:eastAsia="黑体" w:cs="黑体"/>
          <w:b w:val="0"/>
          <w:bCs/>
          <w:color w:val="000000"/>
        </w:rPr>
        <w:t>明</w:t>
      </w:r>
      <w:bookmarkEnd w:id="29"/>
      <w:bookmarkEnd w:id="30"/>
    </w:p>
    <w:p w14:paraId="1B462682">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2024</w:t>
      </w:r>
      <w:r>
        <w:rPr>
          <w:rFonts w:ascii="仿宋" w:hAnsi="仿宋" w:eastAsia="仿宋" w:cs="仿宋"/>
          <w:color w:val="000000"/>
          <w:sz w:val="32"/>
          <w:u w:color="auto"/>
        </w:rPr>
        <w:t>年度收入、支出总计均为416.06</w:t>
      </w:r>
      <w:r>
        <w:rPr>
          <w:rFonts w:hint="eastAsia" w:ascii="仿宋" w:hAnsi="仿宋" w:eastAsia="仿宋" w:cs="仿宋"/>
          <w:color w:val="000000"/>
          <w:sz w:val="32"/>
          <w:szCs w:val="32"/>
        </w:rPr>
        <w:t>万元。与</w:t>
      </w:r>
      <w:r>
        <w:rPr>
          <w:rFonts w:ascii="仿宋" w:hAnsi="仿宋" w:eastAsia="仿宋" w:cs="仿宋"/>
          <w:color w:val="000000"/>
          <w:sz w:val="32"/>
          <w:u w:color="auto"/>
        </w:rPr>
        <w:t>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相比，收入、支出总计各</w:t>
      </w:r>
      <w:r>
        <w:rPr>
          <w:rFonts w:ascii="仿宋" w:hAnsi="仿宋" w:eastAsia="仿宋" w:cs="仿宋"/>
          <w:color w:val="000000"/>
          <w:sz w:val="32"/>
          <w:u w:color="auto"/>
        </w:rPr>
        <w:t>增加15.62万元，增长3.9%</w:t>
      </w:r>
      <w:r>
        <w:rPr>
          <w:rFonts w:hint="eastAsia" w:ascii="仿宋" w:hAnsi="仿宋" w:eastAsia="仿宋" w:cs="仿宋"/>
          <w:color w:val="000000"/>
          <w:sz w:val="32"/>
          <w:u w:color="auto"/>
          <w:lang w:eastAsia="zh-CN"/>
        </w:rPr>
        <w:t>；</w:t>
      </w:r>
      <w:r>
        <w:rPr>
          <w:rFonts w:ascii="仿宋" w:hAnsi="仿宋" w:eastAsia="仿宋" w:cs="仿宋"/>
          <w:color w:val="000000"/>
          <w:sz w:val="32"/>
          <w:u w:color="auto"/>
        </w:rPr>
        <w:t>增长</w:t>
      </w:r>
      <w:r>
        <w:rPr>
          <w:rFonts w:hint="eastAsia" w:ascii="仿宋" w:hAnsi="仿宋" w:eastAsia="仿宋" w:cs="仿宋"/>
          <w:color w:val="000000"/>
          <w:sz w:val="32"/>
          <w:u w:color="auto"/>
          <w:lang w:val="en-US" w:eastAsia="zh-CN"/>
        </w:rPr>
        <w:t>的</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人员工资保险变动</w:t>
      </w:r>
      <w:r>
        <w:rPr>
          <w:rFonts w:hint="eastAsia" w:ascii="仿宋" w:hAnsi="仿宋" w:eastAsia="仿宋" w:cs="仿宋"/>
          <w:color w:val="000000"/>
          <w:sz w:val="32"/>
          <w:szCs w:val="32"/>
        </w:rPr>
        <w:t>。</w:t>
      </w:r>
      <w:r>
        <w:rPr>
          <w:rFonts w:ascii="仿宋" w:hAnsi="仿宋" w:eastAsia="仿宋" w:cs="仿宋"/>
          <w:color w:val="000000"/>
          <w:sz w:val="32"/>
          <w:u w:color="auto"/>
        </w:rPr>
        <w:t xml:space="preserve"> </w:t>
      </w:r>
    </w:p>
    <w:p w14:paraId="61134D0D">
      <w:pPr>
        <w:pStyle w:val="8"/>
        <w:jc w:val="center"/>
        <w:rPr>
          <w:rFonts w:hint="eastAsia" w:ascii="思源黑体 CN Normal" w:hAnsi="思源黑体 CN Normal" w:eastAsia="思源黑体 CN Normal" w:cs="思源黑体 CN Normal"/>
        </w:rPr>
      </w:pPr>
      <w:r>
        <w:rPr>
          <w:rFonts w:hint="eastAsia" w:ascii="思源黑体 CN Normal" w:hAnsi="思源黑体 CN Normal" w:eastAsia="思源黑体 CN Normal" w:cs="思源黑体 CN Normal"/>
        </w:rPr>
        <w:drawing>
          <wp:inline distT="0" distB="0" distL="114300" distR="114300">
            <wp:extent cx="3282315" cy="2096135"/>
            <wp:effectExtent l="4445" t="4445" r="8890" b="13970"/>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3B3D363">
      <w:pPr>
        <w:pStyle w:val="6"/>
        <w:pageBreakBefore w:val="0"/>
        <w:widowControl w:val="0"/>
        <w:kinsoku/>
        <w:wordWrap/>
        <w:overflowPunct/>
        <w:topLinePunct w:val="0"/>
        <w:autoSpaceDE/>
        <w:autoSpaceDN/>
        <w:bidi w:val="0"/>
        <w:adjustRightInd/>
        <w:snapToGrid/>
        <w:spacing w:after="0"/>
        <w:ind w:firstLine="640" w:firstLineChars="200"/>
        <w:textAlignment w:val="auto"/>
        <w:rPr>
          <w:rFonts w:hint="eastAsia" w:ascii="黑体" w:hAnsi="黑体" w:eastAsia="黑体" w:cs="黑体"/>
          <w:bCs w:val="0"/>
          <w:color w:val="000000"/>
        </w:rPr>
      </w:pPr>
      <w:bookmarkStart w:id="31" w:name="_Toc8125"/>
      <w:bookmarkStart w:id="32" w:name="_Toc15377206"/>
      <w:bookmarkStart w:id="33" w:name="_Toc111208500"/>
      <w:r>
        <w:rPr>
          <w:rFonts w:hint="eastAsia" w:ascii="黑体" w:hAnsi="黑体" w:eastAsia="黑体" w:cs="黑体"/>
          <w:b w:val="0"/>
          <w:bCs/>
          <w:color w:val="000000"/>
        </w:rPr>
        <w:t>二、收入决算情况说明</w:t>
      </w:r>
      <w:bookmarkEnd w:id="31"/>
      <w:bookmarkEnd w:id="32"/>
      <w:bookmarkEnd w:id="33"/>
    </w:p>
    <w:p w14:paraId="7DAB4092">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2024</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本年收入合计</w:t>
      </w:r>
      <w:r>
        <w:rPr>
          <w:rFonts w:ascii="仿宋" w:hAnsi="仿宋" w:eastAsia="仿宋" w:cs="仿宋"/>
          <w:color w:val="000000"/>
          <w:sz w:val="32"/>
          <w:u w:color="auto"/>
        </w:rPr>
        <w:t>416.06万元</w:t>
      </w:r>
      <w:r>
        <w:rPr>
          <w:rFonts w:hint="eastAsia" w:ascii="仿宋" w:hAnsi="仿宋" w:eastAsia="仿宋" w:cs="仿宋"/>
          <w:color w:val="000000"/>
          <w:sz w:val="32"/>
          <w:szCs w:val="32"/>
          <w:lang w:val="en-US" w:eastAsia="zh-CN"/>
        </w:rPr>
        <w:t>，其中:一般公共预算财政拨款收入416.06万元，占100%</w:t>
      </w:r>
      <w:r>
        <w:rPr>
          <w:rFonts w:hint="eastAsia" w:ascii="仿宋" w:hAnsi="仿宋" w:eastAsia="仿宋" w:cs="仿宋"/>
          <w:color w:val="000000"/>
          <w:sz w:val="32"/>
          <w:szCs w:val="32"/>
        </w:rPr>
        <w:t>。</w:t>
      </w:r>
    </w:p>
    <w:p w14:paraId="6E48941D">
      <w:pPr>
        <w:pStyle w:val="16"/>
        <w:ind w:left="1060" w:hanging="640"/>
        <w:jc w:val="center"/>
        <w:rPr>
          <w:rFonts w:hint="eastAsia" w:ascii="思源黑体 CN Normal" w:hAnsi="思源黑体 CN Normal" w:eastAsia="思源黑体 CN Normal" w:cs="思源黑体 CN Normal"/>
          <w:color w:val="FF0000"/>
          <w:sz w:val="32"/>
          <w:szCs w:val="32"/>
        </w:rPr>
      </w:pPr>
      <w:r>
        <w:rPr>
          <w:rFonts w:hint="eastAsia" w:ascii="思源黑体 CN Normal" w:hAnsi="思源黑体 CN Normal" w:eastAsia="思源黑体 CN Normal" w:cs="思源黑体 CN Normal"/>
          <w:color w:val="FF0000"/>
          <w:sz w:val="32"/>
          <w:szCs w:val="32"/>
        </w:rPr>
        <w:drawing>
          <wp:inline distT="0" distB="0" distL="114300" distR="114300">
            <wp:extent cx="3079750" cy="2077085"/>
            <wp:effectExtent l="5080" t="4445" r="20320" b="1397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196F3EB">
      <w:pPr>
        <w:pStyle w:val="6"/>
        <w:pageBreakBefore w:val="0"/>
        <w:widowControl w:val="0"/>
        <w:kinsoku/>
        <w:wordWrap/>
        <w:overflowPunct/>
        <w:topLinePunct w:val="0"/>
        <w:autoSpaceDE/>
        <w:autoSpaceDN/>
        <w:bidi w:val="0"/>
        <w:adjustRightInd/>
        <w:snapToGrid/>
        <w:spacing w:after="0"/>
        <w:ind w:firstLine="640" w:firstLineChars="200"/>
        <w:textAlignment w:val="auto"/>
        <w:rPr>
          <w:rFonts w:hint="eastAsia" w:ascii="黑体" w:hAnsi="黑体" w:eastAsia="黑体" w:cs="黑体"/>
          <w:b w:val="0"/>
          <w:bCs/>
          <w:color w:val="000000"/>
        </w:rPr>
      </w:pPr>
      <w:bookmarkStart w:id="34" w:name="_Toc111208501"/>
      <w:bookmarkStart w:id="35" w:name="_Toc28283"/>
      <w:bookmarkStart w:id="36" w:name="_Toc15377207"/>
      <w:r>
        <w:rPr>
          <w:rFonts w:hint="eastAsia" w:ascii="黑体" w:hAnsi="黑体" w:eastAsia="黑体" w:cs="黑体"/>
          <w:b w:val="0"/>
          <w:bCs/>
          <w:color w:val="000000"/>
        </w:rPr>
        <w:t>三、支出决算情况说明</w:t>
      </w:r>
      <w:bookmarkEnd w:id="34"/>
      <w:bookmarkEnd w:id="35"/>
      <w:bookmarkEnd w:id="36"/>
    </w:p>
    <w:p w14:paraId="1753835D">
      <w:pPr>
        <w:pStyle w:val="8"/>
        <w:pageBreakBefore w:val="0"/>
        <w:widowControl w:val="0"/>
        <w:kinsoku/>
        <w:wordWrap/>
        <w:overflowPunct/>
        <w:topLinePunct w:val="0"/>
        <w:autoSpaceDE/>
        <w:autoSpaceDN/>
        <w:bidi w:val="0"/>
        <w:adjustRightInd/>
        <w:snapToGrid/>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2024</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本年支出合计</w:t>
      </w:r>
      <w:r>
        <w:rPr>
          <w:rFonts w:ascii="仿宋" w:hAnsi="仿宋" w:eastAsia="仿宋" w:cs="仿宋"/>
          <w:color w:val="000000"/>
          <w:sz w:val="32"/>
          <w:u w:color="auto"/>
        </w:rPr>
        <w:t>416.06万元</w:t>
      </w:r>
      <w:r>
        <w:rPr>
          <w:rFonts w:hint="eastAsia" w:ascii="仿宋" w:hAnsi="仿宋" w:eastAsia="仿宋" w:cs="仿宋"/>
          <w:color w:val="000000"/>
          <w:sz w:val="32"/>
          <w:szCs w:val="32"/>
          <w:lang w:val="en-US" w:eastAsia="zh-CN"/>
        </w:rPr>
        <w:t>，其中:基本支出416.06万元，占100%</w:t>
      </w:r>
      <w:r>
        <w:rPr>
          <w:rFonts w:hint="eastAsia" w:ascii="仿宋" w:hAnsi="仿宋" w:eastAsia="仿宋" w:cs="仿宋"/>
          <w:color w:val="000000"/>
          <w:sz w:val="32"/>
          <w:szCs w:val="32"/>
        </w:rPr>
        <w:t>。</w:t>
      </w:r>
    </w:p>
    <w:p w14:paraId="25194A6F">
      <w:pPr>
        <w:jc w:val="center"/>
        <w:rPr>
          <w:rFonts w:hint="eastAsia" w:ascii="思源黑体 CN Normal" w:hAnsi="思源黑体 CN Normal" w:eastAsia="思源黑体 CN Normal" w:cs="思源黑体 CN Normal"/>
          <w:color w:val="FF0000"/>
          <w:sz w:val="32"/>
          <w:szCs w:val="32"/>
        </w:rPr>
      </w:pPr>
      <w:r>
        <w:rPr>
          <w:rFonts w:hint="eastAsia" w:ascii="思源黑体 CN Normal" w:hAnsi="思源黑体 CN Normal" w:eastAsia="思源黑体 CN Normal" w:cs="思源黑体 CN Normal"/>
          <w:color w:val="FF0000"/>
          <w:sz w:val="32"/>
          <w:szCs w:val="32"/>
        </w:rPr>
        <w:drawing>
          <wp:inline distT="0" distB="0" distL="114300" distR="114300">
            <wp:extent cx="3272790" cy="2243455"/>
            <wp:effectExtent l="4445" t="4445" r="18415" b="1905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429694F">
      <w:pPr>
        <w:pStyle w:val="6"/>
        <w:pageBreakBefore w:val="0"/>
        <w:widowControl w:val="0"/>
        <w:kinsoku/>
        <w:wordWrap/>
        <w:overflowPunct/>
        <w:topLinePunct w:val="0"/>
        <w:autoSpaceDE/>
        <w:autoSpaceDN/>
        <w:bidi w:val="0"/>
        <w:adjustRightInd/>
        <w:snapToGrid/>
        <w:spacing w:after="0"/>
        <w:ind w:firstLine="640" w:firstLineChars="200"/>
        <w:textAlignment w:val="auto"/>
        <w:rPr>
          <w:rFonts w:hint="eastAsia" w:ascii="黑体" w:hAnsi="黑体" w:eastAsia="黑体" w:cs="黑体"/>
          <w:b w:val="0"/>
          <w:bCs/>
          <w:color w:val="000000"/>
        </w:rPr>
      </w:pPr>
      <w:bookmarkStart w:id="37" w:name="_Toc111208502"/>
      <w:bookmarkStart w:id="38" w:name="_Toc19521"/>
      <w:bookmarkStart w:id="39" w:name="_Toc15377208"/>
      <w:r>
        <w:rPr>
          <w:rFonts w:hint="eastAsia" w:ascii="黑体" w:hAnsi="黑体" w:eastAsia="黑体" w:cs="黑体"/>
          <w:b w:val="0"/>
          <w:bCs/>
          <w:color w:val="000000"/>
        </w:rPr>
        <w:t>四、财政拨款收入支出决算总体情况说明</w:t>
      </w:r>
      <w:bookmarkEnd w:id="37"/>
      <w:bookmarkEnd w:id="38"/>
      <w:bookmarkEnd w:id="39"/>
    </w:p>
    <w:p w14:paraId="66D81735">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2024</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财政拨款收</w:t>
      </w:r>
      <w:r>
        <w:rPr>
          <w:rFonts w:hint="eastAsia" w:ascii="仿宋" w:hAnsi="仿宋" w:eastAsia="仿宋" w:cs="仿宋"/>
          <w:color w:val="000000"/>
          <w:sz w:val="32"/>
          <w:szCs w:val="32"/>
          <w:lang w:val="en-US" w:eastAsia="zh-CN"/>
        </w:rPr>
        <w:t>入</w:t>
      </w:r>
      <w:r>
        <w:rPr>
          <w:rFonts w:hint="eastAsia" w:ascii="仿宋" w:hAnsi="仿宋" w:eastAsia="仿宋" w:cs="仿宋"/>
          <w:color w:val="000000"/>
          <w:sz w:val="32"/>
          <w:szCs w:val="32"/>
        </w:rPr>
        <w:t>、支</w:t>
      </w:r>
      <w:r>
        <w:rPr>
          <w:rFonts w:hint="eastAsia" w:ascii="仿宋" w:hAnsi="仿宋" w:eastAsia="仿宋" w:cs="仿宋"/>
          <w:color w:val="000000"/>
          <w:sz w:val="32"/>
          <w:szCs w:val="32"/>
          <w:lang w:val="en-US" w:eastAsia="zh-CN"/>
        </w:rPr>
        <w:t>出</w:t>
      </w:r>
      <w:r>
        <w:rPr>
          <w:rFonts w:hint="eastAsia" w:ascii="仿宋" w:hAnsi="仿宋" w:eastAsia="仿宋" w:cs="仿宋"/>
          <w:color w:val="000000"/>
          <w:sz w:val="32"/>
          <w:szCs w:val="32"/>
        </w:rPr>
        <w:t>总计均为</w:t>
      </w:r>
      <w:r>
        <w:rPr>
          <w:rFonts w:ascii="仿宋" w:hAnsi="仿宋" w:eastAsia="仿宋" w:cs="仿宋"/>
          <w:color w:val="000000"/>
          <w:sz w:val="32"/>
          <w:u w:color="auto"/>
        </w:rPr>
        <w:t>416.06万元。与2023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相比，财政拨款收</w:t>
      </w:r>
      <w:r>
        <w:rPr>
          <w:rFonts w:hint="eastAsia" w:ascii="仿宋" w:hAnsi="仿宋" w:eastAsia="仿宋" w:cs="仿宋"/>
          <w:color w:val="000000"/>
          <w:sz w:val="32"/>
          <w:szCs w:val="32"/>
          <w:lang w:val="en-US" w:eastAsia="zh-CN"/>
        </w:rPr>
        <w:t>入</w:t>
      </w:r>
      <w:r>
        <w:rPr>
          <w:rFonts w:hint="eastAsia" w:ascii="仿宋" w:hAnsi="仿宋" w:eastAsia="仿宋" w:cs="仿宋"/>
          <w:color w:val="000000"/>
          <w:sz w:val="32"/>
          <w:szCs w:val="32"/>
        </w:rPr>
        <w:t>、支</w:t>
      </w:r>
      <w:r>
        <w:rPr>
          <w:rFonts w:hint="eastAsia" w:ascii="仿宋" w:hAnsi="仿宋" w:eastAsia="仿宋" w:cs="仿宋"/>
          <w:color w:val="000000"/>
          <w:sz w:val="32"/>
          <w:szCs w:val="32"/>
          <w:lang w:val="en-US" w:eastAsia="zh-CN"/>
        </w:rPr>
        <w:t>出</w:t>
      </w:r>
      <w:r>
        <w:rPr>
          <w:rFonts w:hint="eastAsia" w:ascii="仿宋" w:hAnsi="仿宋" w:eastAsia="仿宋" w:cs="仿宋"/>
          <w:color w:val="000000"/>
          <w:sz w:val="32"/>
          <w:szCs w:val="32"/>
        </w:rPr>
        <w:t>总计各</w:t>
      </w:r>
      <w:r>
        <w:rPr>
          <w:rFonts w:ascii="仿宋" w:hAnsi="仿宋" w:eastAsia="仿宋" w:cs="仿宋"/>
          <w:color w:val="000000"/>
          <w:sz w:val="32"/>
          <w:u w:color="auto"/>
        </w:rPr>
        <w:t>增加15.62万元，增长3.9%</w:t>
      </w:r>
      <w:r>
        <w:rPr>
          <w:rFonts w:hint="eastAsia" w:ascii="仿宋" w:hAnsi="仿宋" w:eastAsia="仿宋" w:cs="仿宋"/>
          <w:color w:val="000000"/>
          <w:sz w:val="32"/>
          <w:u w:color="auto"/>
          <w:lang w:eastAsia="zh-CN"/>
        </w:rPr>
        <w:t>；</w:t>
      </w:r>
      <w:r>
        <w:rPr>
          <w:rFonts w:ascii="仿宋" w:hAnsi="仿宋" w:eastAsia="仿宋" w:cs="仿宋"/>
          <w:color w:val="000000"/>
          <w:sz w:val="32"/>
          <w:u w:color="auto"/>
        </w:rPr>
        <w:t>增长</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人员工资保险变动</w:t>
      </w:r>
      <w:r>
        <w:rPr>
          <w:rFonts w:hint="eastAsia" w:ascii="仿宋" w:hAnsi="仿宋" w:eastAsia="仿宋" w:cs="仿宋"/>
          <w:color w:val="000000"/>
          <w:sz w:val="32"/>
          <w:szCs w:val="32"/>
        </w:rPr>
        <w:t>。</w:t>
      </w:r>
    </w:p>
    <w:p w14:paraId="00E9C3F0">
      <w:pPr>
        <w:jc w:val="center"/>
        <w:rPr>
          <w:rFonts w:hint="eastAsia" w:ascii="思源黑体 CN Normal" w:hAnsi="思源黑体 CN Normal" w:eastAsia="思源黑体 CN Normal" w:cs="思源黑体 CN Normal"/>
          <w:color w:val="000000"/>
          <w:sz w:val="32"/>
          <w:szCs w:val="32"/>
        </w:rPr>
      </w:pPr>
      <w:r>
        <w:rPr>
          <w:rFonts w:hint="eastAsia" w:ascii="思源黑体 CN Normal" w:hAnsi="思源黑体 CN Normal" w:eastAsia="思源黑体 CN Normal" w:cs="思源黑体 CN Normal"/>
          <w:color w:val="000000"/>
          <w:sz w:val="32"/>
          <w:szCs w:val="32"/>
        </w:rPr>
        <w:drawing>
          <wp:inline distT="0" distB="0" distL="0" distR="0">
            <wp:extent cx="3882390" cy="2242185"/>
            <wp:effectExtent l="4445" t="4445" r="18415" b="2032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94987CA">
      <w:pPr>
        <w:pStyle w:val="6"/>
        <w:pageBreakBefore w:val="0"/>
        <w:widowControl w:val="0"/>
        <w:kinsoku/>
        <w:wordWrap/>
        <w:overflowPunct/>
        <w:topLinePunct w:val="0"/>
        <w:autoSpaceDE/>
        <w:autoSpaceDN/>
        <w:bidi w:val="0"/>
        <w:adjustRightInd/>
        <w:snapToGrid/>
        <w:spacing w:after="0"/>
        <w:ind w:firstLine="640" w:firstLineChars="200"/>
        <w:textAlignment w:val="auto"/>
        <w:rPr>
          <w:rFonts w:hint="eastAsia" w:ascii="黑体" w:hAnsi="黑体" w:eastAsia="黑体" w:cs="黑体"/>
          <w:b w:val="0"/>
          <w:bCs/>
          <w:color w:val="000000"/>
        </w:rPr>
      </w:pPr>
      <w:bookmarkStart w:id="40" w:name="_Toc15377209"/>
      <w:bookmarkStart w:id="41" w:name="_Toc14368"/>
      <w:bookmarkStart w:id="42" w:name="_Toc111208503"/>
      <w:r>
        <w:rPr>
          <w:rFonts w:hint="eastAsia" w:ascii="黑体" w:hAnsi="黑体" w:eastAsia="黑体" w:cs="黑体"/>
          <w:b w:val="0"/>
          <w:bCs/>
          <w:color w:val="000000"/>
        </w:rPr>
        <w:t>五、一般公共预算财政拨款支出决算情况说</w:t>
      </w:r>
      <w:bookmarkEnd w:id="40"/>
      <w:r>
        <w:rPr>
          <w:rFonts w:hint="eastAsia" w:ascii="黑体" w:hAnsi="黑体" w:eastAsia="黑体" w:cs="黑体"/>
          <w:b w:val="0"/>
          <w:bCs/>
          <w:color w:val="000000"/>
        </w:rPr>
        <w:t>明</w:t>
      </w:r>
      <w:bookmarkEnd w:id="41"/>
      <w:bookmarkEnd w:id="42"/>
    </w:p>
    <w:p w14:paraId="36EE17BD">
      <w:pPr>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楷体" w:hAnsi="楷体" w:eastAsia="楷体" w:cs="楷体"/>
          <w:b/>
          <w:color w:val="000000"/>
          <w:sz w:val="32"/>
          <w:szCs w:val="32"/>
        </w:rPr>
      </w:pPr>
      <w:bookmarkStart w:id="43" w:name="_Toc15377210"/>
      <w:r>
        <w:rPr>
          <w:rFonts w:hint="eastAsia" w:ascii="楷体" w:hAnsi="楷体" w:eastAsia="楷体" w:cs="楷体"/>
          <w:b/>
          <w:color w:val="000000"/>
          <w:sz w:val="32"/>
          <w:szCs w:val="32"/>
        </w:rPr>
        <w:t>（一）一般公共预算财政拨款支出决算总体情况</w:t>
      </w:r>
      <w:bookmarkEnd w:id="43"/>
    </w:p>
    <w:p w14:paraId="371C2FB4">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思源黑体 CN Normal" w:hAnsi="思源黑体 CN Normal" w:eastAsia="仿宋" w:cs="思源黑体 CN Normal"/>
          <w:b/>
          <w:color w:val="000000"/>
          <w:sz w:val="32"/>
          <w:szCs w:val="32"/>
          <w:lang w:val="en-US" w:eastAsia="zh-CN"/>
        </w:rPr>
      </w:pPr>
      <w:bookmarkStart w:id="44" w:name="_Toc15377211"/>
      <w:r>
        <w:rPr>
          <w:rFonts w:hint="eastAsia" w:ascii="仿宋" w:hAnsi="仿宋" w:eastAsia="仿宋" w:cs="仿宋"/>
          <w:color w:val="000000"/>
          <w:sz w:val="32"/>
          <w:szCs w:val="32"/>
        </w:rPr>
        <w:t>2024</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一般公共预算财政拨款支出</w:t>
      </w:r>
      <w:r>
        <w:rPr>
          <w:rFonts w:ascii="仿宋" w:hAnsi="仿宋" w:eastAsia="仿宋" w:cs="仿宋"/>
          <w:color w:val="000000"/>
          <w:sz w:val="32"/>
          <w:u w:color="auto"/>
        </w:rPr>
        <w:t>416.06万元，占本年支出合计的100%。与2023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相比，一般公共预算财政拨款</w:t>
      </w:r>
      <w:r>
        <w:rPr>
          <w:rFonts w:ascii="仿宋" w:hAnsi="仿宋" w:eastAsia="仿宋" w:cs="仿宋"/>
          <w:color w:val="000000"/>
          <w:sz w:val="32"/>
          <w:u w:color="auto"/>
        </w:rPr>
        <w:t>增加15.62万元，增长3.9%</w:t>
      </w:r>
      <w:r>
        <w:rPr>
          <w:rFonts w:hint="eastAsia" w:ascii="仿宋" w:hAnsi="仿宋" w:eastAsia="仿宋" w:cs="仿宋"/>
          <w:color w:val="000000"/>
          <w:sz w:val="32"/>
          <w:u w:color="auto"/>
          <w:lang w:eastAsia="zh-CN"/>
        </w:rPr>
        <w:t>；</w:t>
      </w:r>
      <w:r>
        <w:rPr>
          <w:rFonts w:ascii="仿宋" w:hAnsi="仿宋" w:eastAsia="仿宋" w:cs="仿宋"/>
          <w:color w:val="000000"/>
          <w:sz w:val="32"/>
          <w:u w:color="auto"/>
        </w:rPr>
        <w:t>增长</w:t>
      </w:r>
      <w:r>
        <w:rPr>
          <w:rFonts w:hint="eastAsia" w:ascii="仿宋" w:hAnsi="仿宋" w:eastAsia="仿宋" w:cs="仿宋"/>
          <w:color w:val="000000"/>
          <w:sz w:val="32"/>
          <w:u w:color="auto"/>
          <w:lang w:val="en-US" w:eastAsia="zh-CN"/>
        </w:rPr>
        <w:t>的</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人员工资保险变动</w:t>
      </w:r>
      <w:r>
        <w:rPr>
          <w:rFonts w:ascii="仿宋" w:hAnsi="仿宋" w:eastAsia="仿宋" w:cs="仿宋"/>
          <w:color w:val="000000"/>
          <w:sz w:val="32"/>
          <w:u w:color="auto"/>
        </w:rPr>
        <w:t xml:space="preserve">。 </w:t>
      </w:r>
    </w:p>
    <w:p w14:paraId="1392859B">
      <w:pPr>
        <w:pStyle w:val="8"/>
        <w:ind w:firstLine="0"/>
        <w:jc w:val="center"/>
        <w:rPr>
          <w:rFonts w:hint="eastAsia" w:ascii="思源黑体 CN Normal" w:hAnsi="思源黑体 CN Normal" w:eastAsia="思源黑体 CN Normal" w:cs="思源黑体 CN Normal"/>
          <w:b/>
          <w:color w:val="000000"/>
          <w:sz w:val="32"/>
          <w:szCs w:val="32"/>
        </w:rPr>
      </w:pPr>
      <w:r>
        <w:rPr>
          <w:rFonts w:hint="eastAsia" w:ascii="思源黑体 CN Normal" w:hAnsi="思源黑体 CN Normal" w:eastAsia="思源黑体 CN Normal" w:cs="思源黑体 CN Normal"/>
          <w:b/>
          <w:color w:val="000000"/>
          <w:sz w:val="32"/>
          <w:szCs w:val="32"/>
        </w:rPr>
        <w:drawing>
          <wp:inline distT="0" distB="0" distL="0" distR="0">
            <wp:extent cx="3942715" cy="2809240"/>
            <wp:effectExtent l="4445" t="5080" r="15240" b="508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5A4B7C4">
      <w:pPr>
        <w:spacing w:line="600" w:lineRule="exact"/>
        <w:ind w:firstLine="643" w:firstLineChars="200"/>
        <w:outlineLvl w:val="2"/>
        <w:rPr>
          <w:rFonts w:hint="eastAsia" w:ascii="楷体" w:hAnsi="楷体" w:eastAsia="楷体" w:cs="楷体"/>
          <w:b/>
          <w:color w:val="000000"/>
          <w:sz w:val="32"/>
          <w:szCs w:val="32"/>
        </w:rPr>
      </w:pPr>
      <w:r>
        <w:rPr>
          <w:rFonts w:hint="eastAsia" w:ascii="楷体" w:hAnsi="楷体" w:eastAsia="楷体" w:cs="楷体"/>
          <w:b/>
          <w:color w:val="000000"/>
          <w:sz w:val="32"/>
          <w:szCs w:val="32"/>
        </w:rPr>
        <w:t>（二）一般公共预算财政拨款支出决算结构情况</w:t>
      </w:r>
      <w:bookmarkEnd w:id="44"/>
    </w:p>
    <w:p w14:paraId="1E3404D8">
      <w:pPr>
        <w:spacing w:line="60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sz w:val="32"/>
          <w:szCs w:val="32"/>
        </w:rPr>
        <w:t>2024</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一般公共预算财政拨款支出</w:t>
      </w:r>
      <w:r>
        <w:rPr>
          <w:rFonts w:ascii="仿宋" w:hAnsi="仿宋" w:eastAsia="仿宋" w:cs="仿宋"/>
          <w:color w:val="000000"/>
          <w:sz w:val="32"/>
          <w:u w:color="auto"/>
        </w:rPr>
        <w:t>416.06万元，主要用于以下方面: 社会保障和就业支出63.08万元，占15.2%；卫生健康支出31.04万元，占7.5%；农林水支出290.56万元，占69.8%；住房保障支出31.37万元，占7.5%。</w:t>
      </w:r>
    </w:p>
    <w:p w14:paraId="68BC5887">
      <w:pPr>
        <w:pStyle w:val="8"/>
        <w:jc w:val="center"/>
        <w:rPr>
          <w:rFonts w:hint="eastAsia" w:ascii="思源黑体 CN Normal" w:hAnsi="思源黑体 CN Normal" w:eastAsia="思源黑体 CN Normal" w:cs="思源黑体 CN Normal"/>
        </w:rPr>
      </w:pPr>
      <w:bookmarkStart w:id="45" w:name="_Toc15377212"/>
      <w:r>
        <w:rPr>
          <w:rFonts w:hint="eastAsia" w:ascii="思源黑体 CN Normal" w:hAnsi="思源黑体 CN Normal" w:eastAsia="思源黑体 CN Normal" w:cs="思源黑体 CN Normal"/>
        </w:rPr>
        <w:drawing>
          <wp:inline distT="0" distB="0" distL="0" distR="0">
            <wp:extent cx="3475990" cy="2441575"/>
            <wp:effectExtent l="4445" t="4445" r="5715" b="1143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B678BDA">
      <w:pPr>
        <w:spacing w:line="600" w:lineRule="exact"/>
        <w:ind w:firstLine="643" w:firstLineChars="200"/>
        <w:outlineLvl w:val="2"/>
        <w:rPr>
          <w:rFonts w:hint="eastAsia" w:ascii="楷体" w:hAnsi="楷体" w:eastAsia="楷体" w:cs="楷体"/>
          <w:b/>
          <w:color w:val="000000"/>
          <w:sz w:val="32"/>
          <w:szCs w:val="32"/>
        </w:rPr>
      </w:pPr>
      <w:r>
        <w:rPr>
          <w:rFonts w:hint="eastAsia" w:ascii="楷体" w:hAnsi="楷体" w:eastAsia="楷体" w:cs="楷体"/>
          <w:b/>
          <w:color w:val="000000"/>
          <w:sz w:val="32"/>
          <w:szCs w:val="32"/>
        </w:rPr>
        <w:t>（三）一般公共预算财政拨款支出决算具体情况</w:t>
      </w:r>
      <w:bookmarkEnd w:id="45"/>
    </w:p>
    <w:p w14:paraId="13506E72">
      <w:pPr>
        <w:spacing w:line="600" w:lineRule="exact"/>
        <w:ind w:firstLine="640"/>
        <w:rPr>
          <w:rFonts w:hint="eastAsia" w:ascii="仿宋" w:hAnsi="仿宋" w:eastAsia="仿宋" w:cs="仿宋"/>
          <w:color w:val="000000"/>
          <w:sz w:val="32"/>
          <w:szCs w:val="32"/>
        </w:rPr>
      </w:pPr>
      <w:bookmarkStart w:id="46" w:name="_Toc15377444"/>
      <w:bookmarkStart w:id="47" w:name="_Toc15377213"/>
      <w:bookmarkStart w:id="48" w:name="_Toc15378460"/>
      <w:r>
        <w:rPr>
          <w:rFonts w:hint="eastAsia" w:ascii="仿宋" w:hAnsi="仿宋" w:eastAsia="仿宋" w:cs="仿宋"/>
          <w:color w:val="000000"/>
          <w:sz w:val="32"/>
          <w:szCs w:val="32"/>
        </w:rPr>
        <w:t>2024</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一般公共预算支出决算数为</w:t>
      </w:r>
      <w:r>
        <w:rPr>
          <w:rFonts w:ascii="仿宋" w:hAnsi="仿宋" w:eastAsia="仿宋" w:cs="仿宋"/>
          <w:color w:val="000000"/>
          <w:sz w:val="32"/>
          <w:u w:color="auto"/>
        </w:rPr>
        <w:t>416.06万元，完成预算100%。其中：</w:t>
      </w:r>
      <w:bookmarkEnd w:id="46"/>
      <w:bookmarkEnd w:id="47"/>
      <w:bookmarkEnd w:id="48"/>
    </w:p>
    <w:p w14:paraId="7AED4EFD">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1.社会保障和就业支出（</w:t>
      </w:r>
      <w:r>
        <w:rPr>
          <w:rFonts w:hint="eastAsia" w:ascii="仿宋" w:hAnsi="仿宋" w:eastAsia="仿宋" w:cs="仿宋"/>
          <w:color w:val="000000"/>
          <w:sz w:val="32"/>
          <w:szCs w:val="32"/>
          <w:lang w:val="en-US" w:eastAsia="zh-CN"/>
        </w:rPr>
        <w:t>208</w:t>
      </w:r>
      <w:r>
        <w:rPr>
          <w:rFonts w:hint="eastAsia" w:ascii="仿宋" w:hAnsi="仿宋" w:eastAsia="仿宋" w:cs="仿宋"/>
          <w:color w:val="000000"/>
          <w:sz w:val="32"/>
          <w:szCs w:val="32"/>
        </w:rPr>
        <w:t>）行政事业单位养老支出（</w:t>
      </w:r>
      <w:r>
        <w:rPr>
          <w:rFonts w:hint="eastAsia" w:ascii="仿宋" w:hAnsi="仿宋" w:eastAsia="仿宋" w:cs="仿宋"/>
          <w:color w:val="000000"/>
          <w:sz w:val="32"/>
          <w:szCs w:val="32"/>
          <w:lang w:val="en-US" w:eastAsia="zh-CN"/>
        </w:rPr>
        <w:t>05</w:t>
      </w:r>
      <w:r>
        <w:rPr>
          <w:rFonts w:hint="eastAsia" w:ascii="仿宋" w:hAnsi="仿宋" w:eastAsia="仿宋" w:cs="仿宋"/>
          <w:color w:val="000000"/>
          <w:sz w:val="32"/>
          <w:szCs w:val="32"/>
        </w:rPr>
        <w:t>）机关事业单位基本养老保险缴费支出（</w:t>
      </w:r>
      <w:r>
        <w:rPr>
          <w:rFonts w:hint="eastAsia" w:ascii="仿宋" w:hAnsi="仿宋" w:eastAsia="仿宋" w:cs="仿宋"/>
          <w:color w:val="000000"/>
          <w:sz w:val="32"/>
          <w:szCs w:val="32"/>
          <w:lang w:val="en-US" w:eastAsia="zh-CN"/>
        </w:rPr>
        <w:t>05</w:t>
      </w:r>
      <w:r>
        <w:rPr>
          <w:rFonts w:hint="eastAsia" w:ascii="仿宋" w:hAnsi="仿宋" w:eastAsia="仿宋" w:cs="仿宋"/>
          <w:color w:val="000000"/>
          <w:sz w:val="32"/>
          <w:szCs w:val="32"/>
        </w:rPr>
        <w:t>）:支出决算49.7万元，完成预算100%。</w:t>
      </w:r>
      <w:r>
        <w:rPr>
          <w:rFonts w:hint="eastAsia" w:ascii="仿宋" w:hAnsi="仿宋" w:eastAsia="仿宋" w:cs="仿宋"/>
          <w:color w:val="000000"/>
          <w:sz w:val="32"/>
          <w:szCs w:val="32"/>
          <w:lang w:val="en-US" w:eastAsia="zh-CN"/>
        </w:rPr>
        <w:t>决算数与预算数持平。</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2.社会保障和就业支出（</w:t>
      </w:r>
      <w:r>
        <w:rPr>
          <w:rFonts w:hint="eastAsia" w:ascii="仿宋" w:hAnsi="仿宋" w:eastAsia="仿宋" w:cs="仿宋"/>
          <w:color w:val="000000"/>
          <w:sz w:val="32"/>
          <w:szCs w:val="32"/>
          <w:lang w:val="en-US" w:eastAsia="zh-CN"/>
        </w:rPr>
        <w:t>208</w:t>
      </w:r>
      <w:r>
        <w:rPr>
          <w:rFonts w:hint="eastAsia" w:ascii="仿宋" w:hAnsi="仿宋" w:eastAsia="仿宋" w:cs="仿宋"/>
          <w:color w:val="000000"/>
          <w:sz w:val="32"/>
          <w:szCs w:val="32"/>
        </w:rPr>
        <w:t>）行政事业单位养老支出（</w:t>
      </w:r>
      <w:r>
        <w:rPr>
          <w:rFonts w:hint="eastAsia" w:ascii="仿宋" w:hAnsi="仿宋" w:eastAsia="仿宋" w:cs="仿宋"/>
          <w:color w:val="000000"/>
          <w:sz w:val="32"/>
          <w:szCs w:val="32"/>
          <w:lang w:val="en-US" w:eastAsia="zh-CN"/>
        </w:rPr>
        <w:t>05</w:t>
      </w:r>
      <w:r>
        <w:rPr>
          <w:rFonts w:hint="eastAsia" w:ascii="仿宋" w:hAnsi="仿宋" w:eastAsia="仿宋" w:cs="仿宋"/>
          <w:color w:val="000000"/>
          <w:sz w:val="32"/>
          <w:szCs w:val="32"/>
        </w:rPr>
        <w:t>）机关事业单位职业年金缴费支出（</w:t>
      </w:r>
      <w:r>
        <w:rPr>
          <w:rFonts w:hint="eastAsia" w:ascii="仿宋" w:hAnsi="仿宋" w:eastAsia="仿宋" w:cs="仿宋"/>
          <w:color w:val="000000"/>
          <w:sz w:val="32"/>
          <w:szCs w:val="32"/>
          <w:lang w:val="en-US" w:eastAsia="zh-CN"/>
        </w:rPr>
        <w:t>06</w:t>
      </w:r>
      <w:r>
        <w:rPr>
          <w:rFonts w:hint="eastAsia" w:ascii="仿宋" w:hAnsi="仿宋" w:eastAsia="仿宋" w:cs="仿宋"/>
          <w:color w:val="000000"/>
          <w:sz w:val="32"/>
          <w:szCs w:val="32"/>
        </w:rPr>
        <w:t>）:支出决算13.38万元，完成预算100%。</w:t>
      </w:r>
      <w:r>
        <w:rPr>
          <w:rFonts w:hint="eastAsia" w:ascii="仿宋" w:hAnsi="仿宋" w:eastAsia="仿宋" w:cs="仿宋"/>
          <w:color w:val="000000"/>
          <w:sz w:val="32"/>
          <w:szCs w:val="32"/>
          <w:lang w:val="en-US" w:eastAsia="zh-CN"/>
        </w:rPr>
        <w:t>决算数与预算数持平。</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3.卫生健康支出（</w:t>
      </w:r>
      <w:r>
        <w:rPr>
          <w:rFonts w:hint="eastAsia" w:ascii="仿宋" w:hAnsi="仿宋" w:eastAsia="仿宋" w:cs="仿宋"/>
          <w:color w:val="000000"/>
          <w:sz w:val="32"/>
          <w:szCs w:val="32"/>
          <w:lang w:val="en-US" w:eastAsia="zh-CN"/>
        </w:rPr>
        <w:t>211</w:t>
      </w:r>
      <w:r>
        <w:rPr>
          <w:rFonts w:hint="eastAsia" w:ascii="仿宋" w:hAnsi="仿宋" w:eastAsia="仿宋" w:cs="仿宋"/>
          <w:color w:val="000000"/>
          <w:sz w:val="32"/>
          <w:szCs w:val="32"/>
        </w:rPr>
        <w:t>）行政事业单位医疗（</w:t>
      </w:r>
      <w:r>
        <w:rPr>
          <w:rFonts w:hint="eastAsia" w:ascii="仿宋" w:hAnsi="仿宋" w:eastAsia="仿宋" w:cs="仿宋"/>
          <w:color w:val="000000"/>
          <w:sz w:val="32"/>
          <w:szCs w:val="32"/>
          <w:lang w:val="en-US" w:eastAsia="zh-CN"/>
        </w:rPr>
        <w:t>01</w:t>
      </w:r>
      <w:r>
        <w:rPr>
          <w:rFonts w:hint="eastAsia" w:ascii="仿宋" w:hAnsi="仿宋" w:eastAsia="仿宋" w:cs="仿宋"/>
          <w:color w:val="000000"/>
          <w:sz w:val="32"/>
          <w:szCs w:val="32"/>
        </w:rPr>
        <w:t>）事业单位医疗（</w:t>
      </w:r>
      <w:r>
        <w:rPr>
          <w:rFonts w:hint="eastAsia" w:ascii="仿宋" w:hAnsi="仿宋" w:eastAsia="仿宋" w:cs="仿宋"/>
          <w:color w:val="000000"/>
          <w:sz w:val="32"/>
          <w:szCs w:val="32"/>
          <w:lang w:val="en-US" w:eastAsia="zh-CN"/>
        </w:rPr>
        <w:t>02</w:t>
      </w:r>
      <w:r>
        <w:rPr>
          <w:rFonts w:hint="eastAsia" w:ascii="仿宋" w:hAnsi="仿宋" w:eastAsia="仿宋" w:cs="仿宋"/>
          <w:color w:val="000000"/>
          <w:sz w:val="32"/>
          <w:szCs w:val="32"/>
        </w:rPr>
        <w:t>）:支出决算31.04万元，完成预算100%。</w:t>
      </w:r>
      <w:r>
        <w:rPr>
          <w:rFonts w:hint="eastAsia" w:ascii="仿宋" w:hAnsi="仿宋" w:eastAsia="仿宋" w:cs="仿宋"/>
          <w:color w:val="000000"/>
          <w:sz w:val="32"/>
          <w:szCs w:val="32"/>
          <w:lang w:val="en-US" w:eastAsia="zh-CN"/>
        </w:rPr>
        <w:t>决算数与预算数持平。</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4.农林水支出（</w:t>
      </w:r>
      <w:r>
        <w:rPr>
          <w:rFonts w:hint="eastAsia" w:ascii="仿宋" w:hAnsi="仿宋" w:eastAsia="仿宋" w:cs="仿宋"/>
          <w:color w:val="000000"/>
          <w:sz w:val="32"/>
          <w:szCs w:val="32"/>
          <w:lang w:val="en-US" w:eastAsia="zh-CN"/>
        </w:rPr>
        <w:t>213</w:t>
      </w:r>
      <w:r>
        <w:rPr>
          <w:rFonts w:hint="eastAsia" w:ascii="仿宋" w:hAnsi="仿宋" w:eastAsia="仿宋" w:cs="仿宋"/>
          <w:color w:val="000000"/>
          <w:sz w:val="32"/>
          <w:szCs w:val="32"/>
        </w:rPr>
        <w:t>）水利（</w:t>
      </w:r>
      <w:r>
        <w:rPr>
          <w:rFonts w:hint="eastAsia" w:ascii="仿宋" w:hAnsi="仿宋" w:eastAsia="仿宋" w:cs="仿宋"/>
          <w:color w:val="000000"/>
          <w:sz w:val="32"/>
          <w:szCs w:val="32"/>
          <w:lang w:val="en-US" w:eastAsia="zh-CN"/>
        </w:rPr>
        <w:t>03</w:t>
      </w:r>
      <w:r>
        <w:rPr>
          <w:rFonts w:hint="eastAsia" w:ascii="仿宋" w:hAnsi="仿宋" w:eastAsia="仿宋" w:cs="仿宋"/>
          <w:color w:val="000000"/>
          <w:sz w:val="32"/>
          <w:szCs w:val="32"/>
        </w:rPr>
        <w:t>）其他水利支出（</w:t>
      </w:r>
      <w:r>
        <w:rPr>
          <w:rFonts w:hint="eastAsia" w:ascii="仿宋" w:hAnsi="仿宋" w:eastAsia="仿宋" w:cs="仿宋"/>
          <w:color w:val="000000"/>
          <w:sz w:val="32"/>
          <w:szCs w:val="32"/>
          <w:lang w:val="en-US" w:eastAsia="zh-CN"/>
        </w:rPr>
        <w:t>99</w:t>
      </w:r>
      <w:r>
        <w:rPr>
          <w:rFonts w:hint="eastAsia" w:ascii="仿宋" w:hAnsi="仿宋" w:eastAsia="仿宋" w:cs="仿宋"/>
          <w:color w:val="000000"/>
          <w:sz w:val="32"/>
          <w:szCs w:val="32"/>
        </w:rPr>
        <w:t>）:支出决算290.56万元，完成预算100%。</w:t>
      </w:r>
      <w:r>
        <w:rPr>
          <w:rFonts w:hint="eastAsia" w:ascii="仿宋" w:hAnsi="仿宋" w:eastAsia="仿宋" w:cs="仿宋"/>
          <w:color w:val="000000"/>
          <w:sz w:val="32"/>
          <w:szCs w:val="32"/>
          <w:lang w:val="en-US" w:eastAsia="zh-CN"/>
        </w:rPr>
        <w:t>决算数与预算数持平。</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5.住房保障支出（</w:t>
      </w:r>
      <w:r>
        <w:rPr>
          <w:rFonts w:hint="eastAsia" w:ascii="仿宋" w:hAnsi="仿宋" w:eastAsia="仿宋" w:cs="仿宋"/>
          <w:color w:val="000000"/>
          <w:sz w:val="32"/>
          <w:szCs w:val="32"/>
          <w:lang w:val="en-US" w:eastAsia="zh-CN"/>
        </w:rPr>
        <w:t>221</w:t>
      </w:r>
      <w:r>
        <w:rPr>
          <w:rFonts w:hint="eastAsia" w:ascii="仿宋" w:hAnsi="仿宋" w:eastAsia="仿宋" w:cs="仿宋"/>
          <w:color w:val="000000"/>
          <w:sz w:val="32"/>
          <w:szCs w:val="32"/>
        </w:rPr>
        <w:t>）住房改革支出（</w:t>
      </w:r>
      <w:r>
        <w:rPr>
          <w:rFonts w:hint="eastAsia" w:ascii="仿宋" w:hAnsi="仿宋" w:eastAsia="仿宋" w:cs="仿宋"/>
          <w:color w:val="000000"/>
          <w:sz w:val="32"/>
          <w:szCs w:val="32"/>
          <w:lang w:val="en-US" w:eastAsia="zh-CN"/>
        </w:rPr>
        <w:t>02</w:t>
      </w:r>
      <w:r>
        <w:rPr>
          <w:rFonts w:hint="eastAsia" w:ascii="仿宋" w:hAnsi="仿宋" w:eastAsia="仿宋" w:cs="仿宋"/>
          <w:color w:val="000000"/>
          <w:sz w:val="32"/>
          <w:szCs w:val="32"/>
        </w:rPr>
        <w:t>）住房公积金（</w:t>
      </w:r>
      <w:r>
        <w:rPr>
          <w:rFonts w:hint="eastAsia" w:ascii="仿宋" w:hAnsi="仿宋" w:eastAsia="仿宋" w:cs="仿宋"/>
          <w:color w:val="000000"/>
          <w:sz w:val="32"/>
          <w:szCs w:val="32"/>
          <w:lang w:val="en-US" w:eastAsia="zh-CN"/>
        </w:rPr>
        <w:t>01</w:t>
      </w:r>
      <w:r>
        <w:rPr>
          <w:rFonts w:hint="eastAsia" w:ascii="仿宋" w:hAnsi="仿宋" w:eastAsia="仿宋" w:cs="仿宋"/>
          <w:color w:val="000000"/>
          <w:sz w:val="32"/>
          <w:szCs w:val="32"/>
        </w:rPr>
        <w:t>）:支出决算31.37万元，完成预算100%。</w:t>
      </w:r>
      <w:r>
        <w:rPr>
          <w:rFonts w:hint="eastAsia" w:ascii="仿宋" w:hAnsi="仿宋" w:eastAsia="仿宋" w:cs="仿宋"/>
          <w:color w:val="000000"/>
          <w:sz w:val="32"/>
          <w:szCs w:val="32"/>
          <w:lang w:val="en-US" w:eastAsia="zh-CN"/>
        </w:rPr>
        <w:t>决算数与预算数持平。</w:t>
      </w:r>
    </w:p>
    <w:p w14:paraId="5F1461C4">
      <w:pPr>
        <w:pStyle w:val="6"/>
        <w:pageBreakBefore w:val="0"/>
        <w:widowControl w:val="0"/>
        <w:kinsoku/>
        <w:wordWrap/>
        <w:overflowPunct/>
        <w:topLinePunct w:val="0"/>
        <w:autoSpaceDE/>
        <w:autoSpaceDN/>
        <w:bidi w:val="0"/>
        <w:adjustRightInd/>
        <w:snapToGrid/>
        <w:spacing w:after="0"/>
        <w:ind w:firstLine="640" w:firstLineChars="200"/>
        <w:textAlignment w:val="auto"/>
        <w:rPr>
          <w:rFonts w:hint="eastAsia" w:ascii="黑体" w:hAnsi="黑体" w:eastAsia="黑体" w:cs="黑体"/>
          <w:b w:val="0"/>
          <w:color w:val="000000"/>
        </w:rPr>
      </w:pPr>
      <w:bookmarkStart w:id="49" w:name="_Toc15377214"/>
      <w:bookmarkStart w:id="50" w:name="_Toc31578"/>
      <w:bookmarkStart w:id="51" w:name="_Toc111208504"/>
      <w:r>
        <w:rPr>
          <w:rFonts w:hint="eastAsia" w:ascii="黑体" w:hAnsi="黑体" w:eastAsia="黑体" w:cs="黑体"/>
          <w:b w:val="0"/>
          <w:bCs/>
          <w:color w:val="000000"/>
        </w:rPr>
        <w:t>六、一般公共预算财政拨款基本支出决算情况说</w:t>
      </w:r>
      <w:bookmarkEnd w:id="49"/>
      <w:r>
        <w:rPr>
          <w:rFonts w:hint="eastAsia" w:ascii="黑体" w:hAnsi="黑体" w:eastAsia="黑体" w:cs="黑体"/>
          <w:b w:val="0"/>
          <w:bCs/>
          <w:color w:val="000000"/>
        </w:rPr>
        <w:t>明</w:t>
      </w:r>
      <w:bookmarkEnd w:id="50"/>
      <w:bookmarkEnd w:id="51"/>
    </w:p>
    <w:p w14:paraId="5A9F5381">
      <w:pPr>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2024</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一般公共预算财政拨款基本支出</w:t>
      </w:r>
      <w:r>
        <w:rPr>
          <w:rFonts w:ascii="仿宋" w:hAnsi="仿宋" w:eastAsia="仿宋" w:cs="仿宋"/>
          <w:color w:val="000000"/>
          <w:sz w:val="32"/>
          <w:u w:color="auto"/>
        </w:rPr>
        <w:t>416.06万元，其中：</w:t>
      </w:r>
    </w:p>
    <w:p w14:paraId="116EF1FA">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人员经费</w:t>
      </w:r>
      <w:r>
        <w:rPr>
          <w:rFonts w:ascii="仿宋" w:hAnsi="仿宋" w:eastAsia="仿宋" w:cs="仿宋"/>
          <w:color w:val="000000"/>
          <w:sz w:val="32"/>
          <w:u w:color="auto"/>
        </w:rPr>
        <w:t>401.81万元，主要包括：基本工资82.48万元、津贴补贴14.56万元、绩效工资164</w:t>
      </w:r>
      <w:r>
        <w:rPr>
          <w:rFonts w:hint="eastAsia" w:ascii="仿宋" w:hAnsi="仿宋" w:eastAsia="仿宋" w:cs="仿宋"/>
          <w:color w:val="000000"/>
          <w:sz w:val="32"/>
          <w:u w:color="auto"/>
          <w:lang w:val="en-US" w:eastAsia="zh-CN"/>
        </w:rPr>
        <w:t>.00</w:t>
      </w:r>
      <w:r>
        <w:rPr>
          <w:rFonts w:ascii="仿宋" w:hAnsi="仿宋" w:eastAsia="仿宋" w:cs="仿宋"/>
          <w:color w:val="000000"/>
          <w:sz w:val="32"/>
          <w:u w:color="auto"/>
        </w:rPr>
        <w:t>万元、机关事业单位基本养老保险缴费49.7</w:t>
      </w:r>
      <w:r>
        <w:rPr>
          <w:rFonts w:hint="eastAsia" w:ascii="仿宋" w:hAnsi="仿宋" w:eastAsia="仿宋" w:cs="仿宋"/>
          <w:color w:val="000000"/>
          <w:sz w:val="32"/>
          <w:u w:color="auto"/>
          <w:lang w:val="en-US" w:eastAsia="zh-CN"/>
        </w:rPr>
        <w:t>0</w:t>
      </w:r>
      <w:r>
        <w:rPr>
          <w:rFonts w:ascii="仿宋" w:hAnsi="仿宋" w:eastAsia="仿宋" w:cs="仿宋"/>
          <w:color w:val="000000"/>
          <w:sz w:val="32"/>
          <w:u w:color="auto"/>
        </w:rPr>
        <w:t>万元、职业年金缴费13.38万元、职工基本医疗保险缴费31.04万元、其他社会保障缴费2.18万元、住房公积金31.37万元、医疗费4.45万元、生活补助8.64万元。</w:t>
      </w:r>
    </w:p>
    <w:p w14:paraId="39B6CA0F">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公用经费</w:t>
      </w:r>
      <w:r>
        <w:rPr>
          <w:rFonts w:ascii="仿宋" w:hAnsi="仿宋" w:eastAsia="仿宋" w:cs="仿宋"/>
          <w:color w:val="000000"/>
          <w:sz w:val="32"/>
          <w:u w:color="auto"/>
        </w:rPr>
        <w:t>14.25万元，主要包括：办公费5</w:t>
      </w:r>
      <w:r>
        <w:rPr>
          <w:rFonts w:hint="eastAsia" w:ascii="仿宋" w:hAnsi="仿宋" w:eastAsia="仿宋" w:cs="仿宋"/>
          <w:color w:val="000000"/>
          <w:sz w:val="32"/>
          <w:u w:color="auto"/>
          <w:lang w:val="en-US" w:eastAsia="zh-CN"/>
        </w:rPr>
        <w:t>.00</w:t>
      </w:r>
      <w:r>
        <w:rPr>
          <w:rFonts w:ascii="仿宋" w:hAnsi="仿宋" w:eastAsia="仿宋" w:cs="仿宋"/>
          <w:color w:val="000000"/>
          <w:sz w:val="32"/>
          <w:u w:color="auto"/>
        </w:rPr>
        <w:t>万元、邮电费1.2</w:t>
      </w:r>
      <w:r>
        <w:rPr>
          <w:rFonts w:hint="eastAsia" w:ascii="仿宋" w:hAnsi="仿宋" w:eastAsia="仿宋" w:cs="仿宋"/>
          <w:color w:val="000000"/>
          <w:sz w:val="32"/>
          <w:u w:color="auto"/>
          <w:lang w:val="en-US" w:eastAsia="zh-CN"/>
        </w:rPr>
        <w:t>0</w:t>
      </w:r>
      <w:r>
        <w:rPr>
          <w:rFonts w:ascii="仿宋" w:hAnsi="仿宋" w:eastAsia="仿宋" w:cs="仿宋"/>
          <w:color w:val="000000"/>
          <w:sz w:val="32"/>
          <w:u w:color="auto"/>
        </w:rPr>
        <w:t>万元、差旅费7.9</w:t>
      </w:r>
      <w:r>
        <w:rPr>
          <w:rFonts w:hint="eastAsia" w:ascii="仿宋" w:hAnsi="仿宋" w:eastAsia="仿宋" w:cs="仿宋"/>
          <w:color w:val="000000"/>
          <w:sz w:val="32"/>
          <w:u w:color="auto"/>
          <w:lang w:val="en-US" w:eastAsia="zh-CN"/>
        </w:rPr>
        <w:t>0</w:t>
      </w:r>
      <w:r>
        <w:rPr>
          <w:rFonts w:ascii="仿宋" w:hAnsi="仿宋" w:eastAsia="仿宋" w:cs="仿宋"/>
          <w:color w:val="000000"/>
          <w:sz w:val="32"/>
          <w:u w:color="auto"/>
        </w:rPr>
        <w:t>万元、公务接待费0.15万元。</w:t>
      </w:r>
    </w:p>
    <w:p w14:paraId="151B178E">
      <w:pPr>
        <w:pStyle w:val="6"/>
        <w:pageBreakBefore w:val="0"/>
        <w:widowControl w:val="0"/>
        <w:kinsoku/>
        <w:wordWrap/>
        <w:overflowPunct/>
        <w:topLinePunct w:val="0"/>
        <w:autoSpaceDE/>
        <w:autoSpaceDN/>
        <w:bidi w:val="0"/>
        <w:adjustRightInd/>
        <w:snapToGrid/>
        <w:spacing w:after="0"/>
        <w:ind w:firstLine="640" w:firstLineChars="200"/>
        <w:textAlignment w:val="auto"/>
        <w:rPr>
          <w:rFonts w:hint="eastAsia" w:ascii="黑体" w:hAnsi="黑体" w:eastAsia="黑体" w:cs="黑体"/>
          <w:b w:val="0"/>
          <w:bCs/>
          <w:color w:val="000000"/>
        </w:rPr>
      </w:pPr>
      <w:bookmarkStart w:id="52" w:name="_Toc6614"/>
      <w:bookmarkStart w:id="53" w:name="_Toc111208505"/>
      <w:bookmarkStart w:id="54" w:name="_Toc15377215"/>
      <w:r>
        <w:rPr>
          <w:rFonts w:hint="eastAsia" w:ascii="黑体" w:hAnsi="黑体" w:eastAsia="黑体" w:cs="黑体"/>
          <w:b w:val="0"/>
          <w:bCs/>
          <w:color w:val="000000"/>
        </w:rPr>
        <w:t>七、“三公”经费财政拨款支出决算情况说明</w:t>
      </w:r>
      <w:bookmarkEnd w:id="52"/>
      <w:bookmarkEnd w:id="53"/>
      <w:bookmarkEnd w:id="54"/>
    </w:p>
    <w:p w14:paraId="613FE387">
      <w:pPr>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仿宋" w:hAnsi="仿宋" w:eastAsia="仿宋" w:cs="仿宋"/>
          <w:b/>
          <w:color w:val="000000"/>
          <w:sz w:val="32"/>
          <w:szCs w:val="32"/>
        </w:rPr>
      </w:pPr>
      <w:bookmarkStart w:id="55" w:name="_Toc15377216"/>
      <w:r>
        <w:rPr>
          <w:rFonts w:hint="eastAsia" w:ascii="仿宋" w:hAnsi="仿宋" w:eastAsia="仿宋" w:cs="仿宋"/>
          <w:b/>
          <w:color w:val="000000"/>
          <w:sz w:val="32"/>
          <w:szCs w:val="32"/>
        </w:rPr>
        <w:t>（一）“三公”经费财政拨款支出决算总体情况说明</w:t>
      </w:r>
      <w:bookmarkEnd w:id="55"/>
    </w:p>
    <w:p w14:paraId="0C6B4B9F">
      <w:pPr>
        <w:spacing w:line="600" w:lineRule="exact"/>
        <w:ind w:firstLine="640"/>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rPr>
        <w:t>2024</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“三公”经费财政拨款支出决算为</w:t>
      </w:r>
      <w:r>
        <w:rPr>
          <w:rFonts w:ascii="仿宋" w:hAnsi="仿宋" w:eastAsia="仿宋" w:cs="仿宋"/>
          <w:color w:val="000000"/>
          <w:sz w:val="32"/>
          <w:u w:color="auto"/>
        </w:rPr>
        <w:t>0.15万元，完成预算100%，较上年度增加0.15万元，增长100%。</w:t>
      </w:r>
      <w:bookmarkStart w:id="56" w:name="_Toc15377217"/>
      <w:r>
        <w:rPr>
          <w:rFonts w:hint="eastAsia" w:ascii="仿宋" w:hAnsi="仿宋" w:eastAsia="仿宋" w:cs="仿宋"/>
          <w:color w:val="000000"/>
          <w:sz w:val="32"/>
          <w:u w:color="auto"/>
          <w:lang w:val="en-US" w:eastAsia="zh-CN"/>
        </w:rPr>
        <w:t>增长的原因是：本年有公务接待活动。</w:t>
      </w:r>
    </w:p>
    <w:p w14:paraId="5BC57BE3">
      <w:pPr>
        <w:spacing w:line="600" w:lineRule="exact"/>
        <w:ind w:firstLine="643" w:firstLineChars="200"/>
        <w:outlineLvl w:val="2"/>
        <w:rPr>
          <w:rFonts w:hint="eastAsia" w:ascii="仿宋" w:hAnsi="仿宋" w:eastAsia="仿宋" w:cs="仿宋"/>
          <w:b/>
          <w:color w:val="000000"/>
          <w:sz w:val="32"/>
          <w:szCs w:val="32"/>
        </w:rPr>
      </w:pPr>
      <w:r>
        <w:rPr>
          <w:rFonts w:hint="eastAsia" w:ascii="仿宋" w:hAnsi="仿宋" w:eastAsia="仿宋" w:cs="仿宋"/>
          <w:b/>
          <w:color w:val="000000"/>
          <w:sz w:val="32"/>
          <w:szCs w:val="32"/>
        </w:rPr>
        <w:t>（二）“三公”经费财政拨款支出决算具体情况说明</w:t>
      </w:r>
      <w:bookmarkEnd w:id="56"/>
    </w:p>
    <w:p w14:paraId="3F323677">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2024</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“三公”经费财政拨款支出</w:t>
      </w:r>
      <w:r>
        <w:rPr>
          <w:rFonts w:ascii="仿宋" w:hAnsi="仿宋" w:eastAsia="仿宋" w:cs="仿宋"/>
          <w:color w:val="000000"/>
          <w:sz w:val="32"/>
          <w:u w:color="auto"/>
        </w:rPr>
        <w:t>0.15万元，因公出国（境）费支出决算0万元，占0%；公务用车购置及运行维护费支出决算0万元，占0%；公务接待费支出决算0.15万元，占100%。具体情况如下：</w:t>
      </w:r>
    </w:p>
    <w:p w14:paraId="35A33F8D">
      <w:pPr>
        <w:pStyle w:val="8"/>
        <w:jc w:val="center"/>
        <w:rPr>
          <w:rFonts w:hint="eastAsia" w:ascii="思源黑体 CN Normal" w:hAnsi="思源黑体 CN Normal" w:eastAsia="思源黑体 CN Normal" w:cs="思源黑体 CN Normal"/>
        </w:rPr>
      </w:pPr>
      <w:r>
        <w:rPr>
          <w:rFonts w:hint="eastAsia" w:ascii="思源黑体 CN Normal" w:hAnsi="思源黑体 CN Normal" w:eastAsia="思源黑体 CN Normal" w:cs="思源黑体 CN Normal"/>
        </w:rPr>
        <w:drawing>
          <wp:inline distT="0" distB="0" distL="0" distR="0">
            <wp:extent cx="3001645" cy="1872615"/>
            <wp:effectExtent l="4445" t="4445" r="22860" b="889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E9D76AF">
      <w:pPr>
        <w:spacing w:line="600" w:lineRule="exact"/>
        <w:ind w:firstLine="640"/>
        <w:rPr>
          <w:rFonts w:hint="eastAsia" w:ascii="仿宋" w:hAnsi="仿宋" w:eastAsia="仿宋" w:cs="仿宋"/>
          <w:color w:val="000000"/>
          <w:sz w:val="32"/>
          <w:szCs w:val="32"/>
        </w:rPr>
      </w:pPr>
      <w:r>
        <w:rPr>
          <w:rFonts w:hint="eastAsia" w:ascii="仿宋" w:hAnsi="仿宋" w:eastAsia="仿宋" w:cs="仿宋"/>
          <w:b/>
          <w:bCs/>
          <w:color w:val="000000"/>
          <w:sz w:val="32"/>
          <w:szCs w:val="32"/>
        </w:rPr>
        <w:t>1.因公出国（境）经费支出</w:t>
      </w:r>
      <w:r>
        <w:rPr>
          <w:rFonts w:hint="eastAsia" w:ascii="仿宋" w:hAnsi="仿宋" w:eastAsia="仿宋" w:cs="仿宋"/>
          <w:color w:val="000000"/>
          <w:sz w:val="32"/>
          <w:szCs w:val="32"/>
        </w:rPr>
        <w:t>0</w:t>
      </w:r>
      <w:r>
        <w:rPr>
          <w:rFonts w:ascii="仿宋" w:hAnsi="仿宋" w:eastAsia="仿宋" w:cs="仿宋"/>
          <w:color w:val="000000"/>
          <w:sz w:val="32"/>
          <w:u w:color="auto"/>
        </w:rPr>
        <w:t xml:space="preserve">万元,完成预算100%。全年安排因公出国（境）团组0次，出国（境）0人。因公出国（境）支出决算比2023年增加0万元，增长0%。 </w:t>
      </w:r>
    </w:p>
    <w:p w14:paraId="327BF985">
      <w:pPr>
        <w:spacing w:line="600" w:lineRule="exact"/>
        <w:ind w:firstLine="640"/>
        <w:rPr>
          <w:rFonts w:hint="eastAsia" w:ascii="仿宋" w:hAnsi="仿宋" w:eastAsia="仿宋" w:cs="仿宋"/>
          <w:color w:val="000000"/>
          <w:sz w:val="32"/>
          <w:szCs w:val="32"/>
        </w:rPr>
      </w:pPr>
      <w:r>
        <w:rPr>
          <w:rFonts w:hint="eastAsia" w:ascii="仿宋" w:hAnsi="仿宋" w:eastAsia="仿宋" w:cs="仿宋"/>
          <w:b/>
          <w:bCs/>
          <w:color w:val="000000"/>
          <w:sz w:val="32"/>
          <w:szCs w:val="32"/>
        </w:rPr>
        <w:t>2.公务用车购置及运行维护费支出</w:t>
      </w:r>
      <w:r>
        <w:rPr>
          <w:rFonts w:hint="eastAsia" w:ascii="仿宋" w:hAnsi="仿宋" w:eastAsia="仿宋" w:cs="仿宋"/>
          <w:color w:val="000000"/>
          <w:sz w:val="32"/>
          <w:szCs w:val="32"/>
        </w:rPr>
        <w:t>0</w:t>
      </w:r>
      <w:r>
        <w:rPr>
          <w:rFonts w:ascii="仿宋" w:hAnsi="仿宋" w:eastAsia="仿宋" w:cs="仿宋"/>
          <w:color w:val="000000"/>
          <w:sz w:val="32"/>
          <w:u w:color="auto"/>
        </w:rPr>
        <w:t>万元,完成预算0%。公务用车购置及运行维护费支出决算比2023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增加0</w:t>
      </w:r>
      <w:r>
        <w:rPr>
          <w:rFonts w:ascii="仿宋" w:hAnsi="仿宋" w:eastAsia="仿宋" w:cs="仿宋"/>
          <w:color w:val="000000"/>
          <w:sz w:val="32"/>
          <w:u w:color="auto"/>
        </w:rPr>
        <w:t xml:space="preserve">万元，增长0%。 </w:t>
      </w:r>
    </w:p>
    <w:p w14:paraId="7D2B639A">
      <w:pPr>
        <w:spacing w:line="600" w:lineRule="exact"/>
        <w:ind w:firstLine="640" w:firstLineChars="200"/>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rPr>
        <w:t>其中：</w:t>
      </w:r>
      <w:r>
        <w:rPr>
          <w:rFonts w:hint="eastAsia" w:ascii="仿宋" w:hAnsi="仿宋" w:eastAsia="仿宋" w:cs="仿宋"/>
          <w:b/>
          <w:bCs/>
          <w:color w:val="000000"/>
          <w:sz w:val="32"/>
          <w:szCs w:val="32"/>
          <w:highlight w:val="none"/>
        </w:rPr>
        <w:t>公务用车购置支出</w:t>
      </w:r>
      <w:r>
        <w:rPr>
          <w:rFonts w:hint="eastAsia" w:ascii="仿宋" w:hAnsi="仿宋" w:eastAsia="仿宋" w:cs="仿宋"/>
          <w:color w:val="000000"/>
          <w:sz w:val="32"/>
          <w:szCs w:val="32"/>
          <w:highlight w:val="none"/>
        </w:rPr>
        <w:t>0</w:t>
      </w:r>
      <w:r>
        <w:rPr>
          <w:rFonts w:ascii="仿宋" w:hAnsi="仿宋" w:eastAsia="仿宋" w:cs="仿宋"/>
          <w:color w:val="000000"/>
          <w:sz w:val="32"/>
          <w:highlight w:val="none"/>
          <w:u w:color="auto"/>
        </w:rPr>
        <w:t>万元。全年按规定更新购置公务用车</w:t>
      </w:r>
      <w:r>
        <w:rPr>
          <w:rFonts w:hint="eastAsia" w:ascii="仿宋" w:hAnsi="仿宋" w:eastAsia="仿宋" w:cs="仿宋"/>
          <w:color w:val="000000"/>
          <w:sz w:val="32"/>
          <w:szCs w:val="32"/>
          <w:highlight w:val="none"/>
          <w:lang w:val="en-US" w:eastAsia="zh-CN"/>
        </w:rPr>
        <w:t>0</w:t>
      </w:r>
      <w:r>
        <w:rPr>
          <w:rFonts w:hint="eastAsia" w:ascii="仿宋" w:hAnsi="仿宋" w:eastAsia="仿宋" w:cs="仿宋"/>
          <w:color w:val="000000"/>
          <w:sz w:val="32"/>
          <w:szCs w:val="32"/>
          <w:highlight w:val="none"/>
        </w:rPr>
        <w:t>辆，其中：轿车</w:t>
      </w:r>
      <w:r>
        <w:rPr>
          <w:rFonts w:hint="eastAsia" w:ascii="仿宋" w:hAnsi="仿宋" w:eastAsia="仿宋" w:cs="仿宋"/>
          <w:color w:val="000000"/>
          <w:sz w:val="32"/>
          <w:szCs w:val="32"/>
          <w:highlight w:val="none"/>
          <w:lang w:val="en-US" w:eastAsia="zh-CN"/>
        </w:rPr>
        <w:t>0</w:t>
      </w:r>
      <w:r>
        <w:rPr>
          <w:rFonts w:hint="eastAsia" w:ascii="仿宋" w:hAnsi="仿宋" w:eastAsia="仿宋" w:cs="仿宋"/>
          <w:color w:val="000000"/>
          <w:sz w:val="32"/>
          <w:szCs w:val="32"/>
          <w:highlight w:val="none"/>
        </w:rPr>
        <w:t>辆、金额</w:t>
      </w:r>
      <w:r>
        <w:rPr>
          <w:rFonts w:hint="eastAsia" w:ascii="仿宋" w:hAnsi="仿宋" w:eastAsia="仿宋" w:cs="仿宋"/>
          <w:color w:val="000000"/>
          <w:sz w:val="32"/>
          <w:szCs w:val="32"/>
          <w:highlight w:val="none"/>
          <w:lang w:val="en-US" w:eastAsia="zh-CN"/>
        </w:rPr>
        <w:t>0</w:t>
      </w:r>
      <w:r>
        <w:rPr>
          <w:rFonts w:hint="eastAsia" w:ascii="仿宋" w:hAnsi="仿宋" w:eastAsia="仿宋" w:cs="仿宋"/>
          <w:color w:val="000000"/>
          <w:sz w:val="32"/>
          <w:szCs w:val="32"/>
          <w:highlight w:val="none"/>
        </w:rPr>
        <w:t>万元，越野车</w:t>
      </w:r>
      <w:r>
        <w:rPr>
          <w:rFonts w:hint="eastAsia" w:ascii="仿宋" w:hAnsi="仿宋" w:eastAsia="仿宋" w:cs="仿宋"/>
          <w:color w:val="000000"/>
          <w:sz w:val="32"/>
          <w:szCs w:val="32"/>
          <w:highlight w:val="none"/>
          <w:lang w:val="en-US" w:eastAsia="zh-CN"/>
        </w:rPr>
        <w:t>0</w:t>
      </w:r>
      <w:r>
        <w:rPr>
          <w:rFonts w:hint="eastAsia" w:ascii="仿宋" w:hAnsi="仿宋" w:eastAsia="仿宋" w:cs="仿宋"/>
          <w:color w:val="000000"/>
          <w:sz w:val="32"/>
          <w:szCs w:val="32"/>
          <w:highlight w:val="none"/>
        </w:rPr>
        <w:t>辆、金额</w:t>
      </w:r>
      <w:r>
        <w:rPr>
          <w:rFonts w:hint="eastAsia" w:ascii="仿宋" w:hAnsi="仿宋" w:eastAsia="仿宋" w:cs="仿宋"/>
          <w:color w:val="000000"/>
          <w:sz w:val="32"/>
          <w:szCs w:val="32"/>
          <w:highlight w:val="none"/>
          <w:lang w:val="en-US" w:eastAsia="zh-CN"/>
        </w:rPr>
        <w:t>0</w:t>
      </w:r>
      <w:r>
        <w:rPr>
          <w:rFonts w:hint="eastAsia" w:ascii="仿宋" w:hAnsi="仿宋" w:eastAsia="仿宋" w:cs="仿宋"/>
          <w:color w:val="000000"/>
          <w:sz w:val="32"/>
          <w:szCs w:val="32"/>
          <w:highlight w:val="none"/>
        </w:rPr>
        <w:t>万元，载客汽车</w:t>
      </w:r>
      <w:r>
        <w:rPr>
          <w:rFonts w:hint="eastAsia" w:ascii="仿宋" w:hAnsi="仿宋" w:eastAsia="仿宋" w:cs="仿宋"/>
          <w:color w:val="000000"/>
          <w:sz w:val="32"/>
          <w:szCs w:val="32"/>
          <w:highlight w:val="none"/>
          <w:lang w:val="en-US" w:eastAsia="zh-CN"/>
        </w:rPr>
        <w:t>0</w:t>
      </w:r>
      <w:r>
        <w:rPr>
          <w:rFonts w:hint="eastAsia" w:ascii="仿宋" w:hAnsi="仿宋" w:eastAsia="仿宋" w:cs="仿宋"/>
          <w:color w:val="000000"/>
          <w:sz w:val="32"/>
          <w:szCs w:val="32"/>
          <w:highlight w:val="none"/>
        </w:rPr>
        <w:t>辆、金额</w:t>
      </w:r>
      <w:r>
        <w:rPr>
          <w:rFonts w:hint="eastAsia" w:ascii="仿宋" w:hAnsi="仿宋" w:eastAsia="仿宋" w:cs="仿宋"/>
          <w:color w:val="000000"/>
          <w:sz w:val="32"/>
          <w:szCs w:val="32"/>
          <w:highlight w:val="none"/>
          <w:lang w:val="en-US" w:eastAsia="zh-CN"/>
        </w:rPr>
        <w:t>0</w:t>
      </w:r>
      <w:r>
        <w:rPr>
          <w:rFonts w:hint="eastAsia" w:ascii="仿宋" w:hAnsi="仿宋" w:eastAsia="仿宋" w:cs="仿宋"/>
          <w:color w:val="000000"/>
          <w:sz w:val="32"/>
          <w:szCs w:val="32"/>
          <w:highlight w:val="none"/>
        </w:rPr>
        <w:t>万元。截至</w:t>
      </w:r>
      <w:r>
        <w:rPr>
          <w:rFonts w:ascii="仿宋" w:hAnsi="仿宋" w:eastAsia="仿宋" w:cs="仿宋"/>
          <w:color w:val="000000"/>
          <w:sz w:val="32"/>
          <w:highlight w:val="none"/>
          <w:u w:color="auto"/>
        </w:rPr>
        <w:t>2024年12月</w:t>
      </w:r>
      <w:r>
        <w:rPr>
          <w:rFonts w:hint="eastAsia" w:ascii="仿宋" w:hAnsi="仿宋" w:eastAsia="仿宋" w:cs="仿宋"/>
          <w:color w:val="000000"/>
          <w:sz w:val="32"/>
          <w:szCs w:val="32"/>
          <w:highlight w:val="none"/>
          <w:lang w:val="en-US" w:eastAsia="zh-CN"/>
        </w:rPr>
        <w:t>31日</w:t>
      </w:r>
      <w:r>
        <w:rPr>
          <w:rFonts w:hint="eastAsia" w:ascii="仿宋" w:hAnsi="仿宋" w:eastAsia="仿宋" w:cs="仿宋"/>
          <w:color w:val="000000"/>
          <w:sz w:val="32"/>
          <w:szCs w:val="32"/>
          <w:highlight w:val="none"/>
        </w:rPr>
        <w:t>，单位共有公务用车</w:t>
      </w:r>
      <w:r>
        <w:rPr>
          <w:rFonts w:ascii="仿宋" w:hAnsi="仿宋" w:eastAsia="仿宋" w:cs="仿宋"/>
          <w:color w:val="000000"/>
          <w:sz w:val="32"/>
          <w:highlight w:val="none"/>
          <w:u w:color="auto"/>
        </w:rPr>
        <w:t>0辆，其中：轿车</w:t>
      </w:r>
      <w:r>
        <w:rPr>
          <w:rFonts w:hint="eastAsia" w:ascii="仿宋" w:hAnsi="仿宋" w:eastAsia="仿宋" w:cs="仿宋"/>
          <w:color w:val="000000"/>
          <w:sz w:val="32"/>
          <w:szCs w:val="32"/>
          <w:highlight w:val="none"/>
          <w:lang w:val="en-US" w:eastAsia="zh-CN"/>
        </w:rPr>
        <w:t>0</w:t>
      </w:r>
      <w:r>
        <w:rPr>
          <w:rFonts w:hint="eastAsia" w:ascii="仿宋" w:hAnsi="仿宋" w:eastAsia="仿宋" w:cs="仿宋"/>
          <w:color w:val="000000"/>
          <w:sz w:val="32"/>
          <w:szCs w:val="32"/>
          <w:highlight w:val="none"/>
        </w:rPr>
        <w:t>辆、越野车</w:t>
      </w:r>
      <w:r>
        <w:rPr>
          <w:rFonts w:hint="eastAsia" w:ascii="仿宋" w:hAnsi="仿宋" w:eastAsia="仿宋" w:cs="仿宋"/>
          <w:color w:val="000000"/>
          <w:sz w:val="32"/>
          <w:szCs w:val="32"/>
          <w:highlight w:val="none"/>
          <w:lang w:val="en-US" w:eastAsia="zh-CN"/>
        </w:rPr>
        <w:t>0</w:t>
      </w:r>
      <w:r>
        <w:rPr>
          <w:rFonts w:hint="eastAsia" w:ascii="仿宋" w:hAnsi="仿宋" w:eastAsia="仿宋" w:cs="仿宋"/>
          <w:color w:val="000000"/>
          <w:sz w:val="32"/>
          <w:szCs w:val="32"/>
          <w:highlight w:val="none"/>
        </w:rPr>
        <w:t>辆、载客汽车</w:t>
      </w:r>
      <w:r>
        <w:rPr>
          <w:rFonts w:hint="eastAsia" w:ascii="仿宋" w:hAnsi="仿宋" w:eastAsia="仿宋" w:cs="仿宋"/>
          <w:color w:val="000000"/>
          <w:sz w:val="32"/>
          <w:szCs w:val="32"/>
          <w:highlight w:val="none"/>
          <w:lang w:val="en-US" w:eastAsia="zh-CN"/>
        </w:rPr>
        <w:t>0</w:t>
      </w:r>
      <w:r>
        <w:rPr>
          <w:rFonts w:hint="eastAsia" w:ascii="仿宋" w:hAnsi="仿宋" w:eastAsia="仿宋" w:cs="仿宋"/>
          <w:color w:val="000000"/>
          <w:sz w:val="32"/>
          <w:szCs w:val="32"/>
          <w:highlight w:val="none"/>
        </w:rPr>
        <w:t>辆</w:t>
      </w:r>
      <w:r>
        <w:rPr>
          <w:rFonts w:hint="eastAsia" w:ascii="仿宋" w:hAnsi="仿宋" w:eastAsia="仿宋" w:cs="仿宋"/>
          <w:color w:val="000000"/>
          <w:sz w:val="32"/>
          <w:szCs w:val="32"/>
          <w:highlight w:val="none"/>
          <w:lang w:val="en-US" w:eastAsia="zh-CN"/>
        </w:rPr>
        <w:t>。</w:t>
      </w:r>
    </w:p>
    <w:p w14:paraId="2ED6A1A6">
      <w:pPr>
        <w:spacing w:line="600" w:lineRule="exact"/>
        <w:ind w:firstLine="640"/>
        <w:rPr>
          <w:rFonts w:hint="eastAsia" w:ascii="仿宋" w:hAnsi="仿宋" w:eastAsia="仿宋" w:cs="仿宋"/>
          <w:color w:val="000000"/>
          <w:sz w:val="32"/>
          <w:szCs w:val="32"/>
        </w:rPr>
      </w:pPr>
      <w:r>
        <w:rPr>
          <w:rFonts w:hint="eastAsia" w:ascii="仿宋" w:hAnsi="仿宋" w:eastAsia="仿宋" w:cs="仿宋"/>
          <w:b/>
          <w:bCs/>
          <w:color w:val="000000"/>
          <w:sz w:val="32"/>
          <w:szCs w:val="32"/>
        </w:rPr>
        <w:t>公务用车运行维护费支出</w:t>
      </w:r>
      <w:r>
        <w:rPr>
          <w:rFonts w:hint="eastAsia" w:ascii="仿宋" w:hAnsi="仿宋" w:eastAsia="仿宋" w:cs="仿宋"/>
          <w:color w:val="000000"/>
          <w:sz w:val="32"/>
          <w:szCs w:val="32"/>
        </w:rPr>
        <w:t>0</w:t>
      </w:r>
      <w:r>
        <w:rPr>
          <w:rFonts w:ascii="仿宋" w:hAnsi="仿宋" w:eastAsia="仿宋" w:cs="仿宋"/>
          <w:color w:val="000000"/>
          <w:sz w:val="32"/>
          <w:u w:color="auto"/>
        </w:rPr>
        <w:t xml:space="preserve">万元。 </w:t>
      </w:r>
    </w:p>
    <w:p w14:paraId="6ACEBA3B">
      <w:pPr>
        <w:numPr>
          <w:ilvl w:val="0"/>
          <w:numId w:val="1"/>
        </w:numPr>
        <w:spacing w:line="600" w:lineRule="exact"/>
        <w:ind w:firstLine="640"/>
        <w:rPr>
          <w:rFonts w:hint="eastAsia" w:ascii="仿宋" w:hAnsi="仿宋" w:eastAsia="仿宋" w:cs="仿宋"/>
          <w:color w:val="000000"/>
          <w:sz w:val="32"/>
          <w:szCs w:val="32"/>
          <w:lang w:val="en-US" w:eastAsia="zh-CN"/>
        </w:rPr>
      </w:pPr>
      <w:r>
        <w:rPr>
          <w:rFonts w:hint="eastAsia" w:ascii="仿宋" w:hAnsi="仿宋" w:eastAsia="仿宋" w:cs="仿宋"/>
          <w:b/>
          <w:bCs/>
          <w:color w:val="000000"/>
          <w:sz w:val="32"/>
          <w:szCs w:val="32"/>
        </w:rPr>
        <w:t>公务接待费支出</w:t>
      </w:r>
      <w:r>
        <w:rPr>
          <w:rFonts w:hint="eastAsia" w:ascii="仿宋" w:hAnsi="仿宋" w:eastAsia="仿宋" w:cs="仿宋"/>
          <w:color w:val="000000"/>
          <w:sz w:val="32"/>
          <w:szCs w:val="32"/>
        </w:rPr>
        <w:t>0.15</w:t>
      </w:r>
      <w:r>
        <w:rPr>
          <w:rFonts w:ascii="仿宋" w:hAnsi="仿宋" w:eastAsia="仿宋" w:cs="仿宋"/>
          <w:color w:val="000000"/>
          <w:sz w:val="32"/>
          <w:u w:color="auto"/>
        </w:rPr>
        <w:t>万元，完成预算100%。公务接待费支出决算比2023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增加0.15</w:t>
      </w:r>
      <w:r>
        <w:rPr>
          <w:rFonts w:ascii="仿宋" w:hAnsi="仿宋" w:eastAsia="仿宋" w:cs="仿宋"/>
          <w:color w:val="000000"/>
          <w:sz w:val="32"/>
          <w:u w:color="auto"/>
        </w:rPr>
        <w:t>万元，增长100%。</w:t>
      </w:r>
      <w:bookmarkStart w:id="57" w:name="_Toc15377218"/>
      <w:r>
        <w:rPr>
          <w:rFonts w:hint="eastAsia" w:ascii="仿宋" w:hAnsi="仿宋" w:eastAsia="仿宋" w:cs="仿宋"/>
          <w:color w:val="000000"/>
          <w:sz w:val="32"/>
          <w:szCs w:val="32"/>
        </w:rPr>
        <w:t>主要原因是2024年发生4批24人次的公务接待。</w:t>
      </w:r>
      <w:r>
        <w:rPr>
          <w:rFonts w:hint="eastAsia" w:ascii="仿宋" w:hAnsi="仿宋" w:eastAsia="仿宋" w:cs="仿宋"/>
          <w:color w:val="000000"/>
          <w:sz w:val="32"/>
          <w:szCs w:val="32"/>
          <w:lang w:val="en-US" w:eastAsia="zh-CN"/>
        </w:rPr>
        <w:t xml:space="preserve"> </w:t>
      </w:r>
    </w:p>
    <w:p w14:paraId="7F3EE578">
      <w:pPr>
        <w:numPr>
          <w:ilvl w:val="0"/>
          <w:numId w:val="0"/>
        </w:numPr>
        <w:spacing w:line="600" w:lineRule="exact"/>
        <w:ind w:firstLine="643" w:firstLineChars="200"/>
        <w:rPr>
          <w:rFonts w:hint="eastAsia" w:ascii="仿宋" w:hAnsi="仿宋" w:eastAsia="仿宋" w:cs="仿宋"/>
          <w:color w:val="000000"/>
          <w:sz w:val="32"/>
          <w:szCs w:val="32"/>
        </w:rPr>
      </w:pPr>
      <w:r>
        <w:rPr>
          <w:rFonts w:hint="eastAsia" w:ascii="仿宋" w:hAnsi="仿宋" w:eastAsia="仿宋" w:cs="仿宋"/>
          <w:b/>
          <w:bCs/>
          <w:color w:val="000000"/>
          <w:sz w:val="32"/>
          <w:szCs w:val="32"/>
        </w:rPr>
        <w:t>国内公务接待支出</w:t>
      </w:r>
      <w:r>
        <w:rPr>
          <w:rFonts w:hint="eastAsia" w:ascii="仿宋" w:hAnsi="仿宋" w:eastAsia="仿宋" w:cs="仿宋"/>
          <w:color w:val="000000"/>
          <w:sz w:val="32"/>
          <w:szCs w:val="32"/>
        </w:rPr>
        <w:t>0.15</w:t>
      </w:r>
      <w:r>
        <w:rPr>
          <w:rFonts w:ascii="仿宋" w:hAnsi="仿宋" w:eastAsia="仿宋" w:cs="仿宋"/>
          <w:color w:val="000000"/>
          <w:sz w:val="32"/>
          <w:u w:color="auto"/>
        </w:rPr>
        <w:t>万元，主要用于执行公务、开展业务活动开支的交通费、住宿费、用餐费等。国内公务接待4批次，24人次，共计支出0.15万元。</w:t>
      </w:r>
    </w:p>
    <w:p w14:paraId="662C5F0F">
      <w:pPr>
        <w:pStyle w:val="8"/>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color w:val="000000"/>
          <w:sz w:val="32"/>
          <w:szCs w:val="32"/>
        </w:rPr>
      </w:pPr>
      <w:r>
        <w:rPr>
          <w:rFonts w:hint="eastAsia" w:ascii="仿宋" w:hAnsi="仿宋" w:eastAsia="仿宋" w:cs="仿宋"/>
          <w:b/>
          <w:bCs/>
          <w:color w:val="000000"/>
          <w:sz w:val="32"/>
          <w:szCs w:val="32"/>
        </w:rPr>
        <w:t>外事接待支出</w:t>
      </w:r>
      <w:r>
        <w:rPr>
          <w:rFonts w:hint="eastAsia" w:ascii="仿宋" w:hAnsi="仿宋" w:eastAsia="仿宋" w:cs="仿宋"/>
          <w:color w:val="000000"/>
          <w:sz w:val="32"/>
          <w:szCs w:val="32"/>
        </w:rPr>
        <w:t>0</w:t>
      </w:r>
      <w:r>
        <w:rPr>
          <w:rFonts w:ascii="仿宋" w:hAnsi="仿宋" w:eastAsia="仿宋" w:cs="仿宋"/>
          <w:color w:val="000000"/>
          <w:sz w:val="32"/>
          <w:u w:color="auto"/>
        </w:rPr>
        <w:t>万元，外事接待0批次，0人次（不包括陪同人员），共计支出0万元。</w:t>
      </w:r>
    </w:p>
    <w:p w14:paraId="5DA11626">
      <w:pPr>
        <w:pStyle w:val="6"/>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黑体" w:hAnsi="黑体" w:eastAsia="黑体" w:cs="黑体"/>
          <w:b w:val="0"/>
          <w:bCs/>
          <w:color w:val="000000"/>
        </w:rPr>
      </w:pPr>
      <w:bookmarkStart w:id="58" w:name="_Toc111208506"/>
      <w:bookmarkStart w:id="59" w:name="_Toc20439"/>
      <w:r>
        <w:rPr>
          <w:rFonts w:hint="eastAsia" w:ascii="黑体" w:hAnsi="黑体" w:eastAsia="黑体" w:cs="黑体"/>
          <w:b w:val="0"/>
          <w:bCs/>
          <w:color w:val="000000"/>
        </w:rPr>
        <w:t>八、政府性基金预算支出决算情况说明</w:t>
      </w:r>
      <w:bookmarkEnd w:id="57"/>
      <w:bookmarkEnd w:id="58"/>
      <w:bookmarkEnd w:id="59"/>
    </w:p>
    <w:p w14:paraId="1C230691">
      <w:pPr>
        <w:pageBreakBefore w:val="0"/>
        <w:widowControl w:val="0"/>
        <w:kinsoku/>
        <w:wordWrap/>
        <w:overflowPunct/>
        <w:topLinePunct w:val="0"/>
        <w:autoSpaceDE/>
        <w:autoSpaceDN/>
        <w:bidi w:val="0"/>
        <w:adjustRightInd/>
        <w:snapToGrid/>
        <w:spacing w:line="576" w:lineRule="exact"/>
        <w:ind w:firstLine="640"/>
        <w:textAlignment w:val="auto"/>
        <w:rPr>
          <w:rFonts w:hint="eastAsia" w:ascii="仿宋" w:hAnsi="仿宋" w:eastAsia="仿宋" w:cs="仿宋"/>
        </w:rPr>
      </w:pPr>
      <w:r>
        <w:rPr>
          <w:rFonts w:hint="eastAsia" w:ascii="仿宋" w:hAnsi="仿宋" w:eastAsia="仿宋" w:cs="仿宋"/>
          <w:color w:val="000000"/>
          <w:sz w:val="32"/>
          <w:szCs w:val="32"/>
        </w:rPr>
        <w:t>2024</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政府性基金预算拨款支出</w:t>
      </w:r>
      <w:r>
        <w:rPr>
          <w:rFonts w:ascii="仿宋" w:hAnsi="仿宋" w:eastAsia="仿宋" w:cs="仿宋"/>
          <w:color w:val="000000"/>
          <w:sz w:val="32"/>
          <w:u w:color="auto"/>
        </w:rPr>
        <w:t>0万元</w:t>
      </w:r>
      <w:bookmarkStart w:id="60" w:name="_Toc15377219"/>
      <w:r>
        <w:rPr>
          <w:rFonts w:hint="eastAsia" w:ascii="仿宋" w:hAnsi="仿宋" w:eastAsia="仿宋" w:cs="仿宋"/>
          <w:color w:val="000000"/>
          <w:sz w:val="32"/>
          <w:szCs w:val="32"/>
        </w:rPr>
        <w:t>。</w:t>
      </w:r>
      <w:r>
        <w:rPr>
          <w:rFonts w:ascii="仿宋" w:hAnsi="仿宋" w:eastAsia="仿宋" w:cs="仿宋"/>
          <w:color w:val="000000"/>
          <w:sz w:val="32"/>
          <w:u w:color="auto"/>
        </w:rPr>
        <w:t xml:space="preserve"> </w:t>
      </w:r>
    </w:p>
    <w:p w14:paraId="79E1D034">
      <w:pPr>
        <w:pStyle w:val="6"/>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黑体" w:hAnsi="黑体" w:eastAsia="黑体" w:cs="黑体"/>
          <w:b w:val="0"/>
          <w:bCs/>
          <w:color w:val="000000"/>
        </w:rPr>
      </w:pPr>
      <w:bookmarkStart w:id="61" w:name="_Toc111208507"/>
      <w:bookmarkStart w:id="62" w:name="_Toc23467"/>
      <w:r>
        <w:rPr>
          <w:rFonts w:hint="eastAsia" w:ascii="黑体" w:hAnsi="黑体" w:eastAsia="黑体" w:cs="黑体"/>
          <w:b w:val="0"/>
          <w:bCs/>
          <w:color w:val="000000"/>
        </w:rPr>
        <w:t>九、国有资本经营预算支出决算情况说明</w:t>
      </w:r>
      <w:bookmarkEnd w:id="60"/>
      <w:bookmarkEnd w:id="61"/>
      <w:bookmarkEnd w:id="62"/>
    </w:p>
    <w:p w14:paraId="3A5EDB82">
      <w:pPr>
        <w:pageBreakBefore w:val="0"/>
        <w:widowControl w:val="0"/>
        <w:kinsoku/>
        <w:wordWrap/>
        <w:overflowPunct/>
        <w:topLinePunct w:val="0"/>
        <w:autoSpaceDE/>
        <w:autoSpaceDN/>
        <w:bidi w:val="0"/>
        <w:adjustRightInd/>
        <w:snapToGrid/>
        <w:spacing w:line="576" w:lineRule="exact"/>
        <w:ind w:firstLine="640"/>
        <w:textAlignment w:val="auto"/>
        <w:rPr>
          <w:rFonts w:hint="eastAsia"/>
        </w:rPr>
      </w:pPr>
      <w:r>
        <w:rPr>
          <w:rFonts w:hint="eastAsia" w:ascii="仿宋" w:hAnsi="仿宋" w:eastAsia="仿宋" w:cs="仿宋"/>
          <w:color w:val="000000"/>
          <w:sz w:val="32"/>
          <w:szCs w:val="32"/>
        </w:rPr>
        <w:t>2024</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国有资本经营预算拨款支出</w:t>
      </w:r>
      <w:r>
        <w:rPr>
          <w:rFonts w:ascii="仿宋" w:hAnsi="仿宋" w:eastAsia="仿宋" w:cs="仿宋"/>
          <w:color w:val="000000"/>
          <w:sz w:val="32"/>
          <w:u w:color="auto"/>
        </w:rPr>
        <w:t>0万元</w:t>
      </w:r>
      <w:r>
        <w:rPr>
          <w:rFonts w:hint="eastAsia" w:ascii="仿宋" w:hAnsi="仿宋" w:eastAsia="仿宋" w:cs="仿宋"/>
          <w:color w:val="000000"/>
          <w:sz w:val="32"/>
          <w:szCs w:val="32"/>
        </w:rPr>
        <w:t>。</w:t>
      </w:r>
      <w:r>
        <w:rPr>
          <w:rFonts w:ascii="仿宋" w:hAnsi="仿宋" w:eastAsia="仿宋" w:cs="仿宋"/>
          <w:color w:val="000000"/>
          <w:sz w:val="32"/>
          <w:u w:color="auto"/>
        </w:rPr>
        <w:t xml:space="preserve"> </w:t>
      </w:r>
    </w:p>
    <w:p w14:paraId="76FD0E14">
      <w:pPr>
        <w:pStyle w:val="6"/>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黑体" w:hAnsi="黑体" w:eastAsia="黑体" w:cs="黑体"/>
          <w:b w:val="0"/>
          <w:bCs/>
          <w:color w:val="000000"/>
        </w:rPr>
      </w:pPr>
      <w:bookmarkStart w:id="63" w:name="_Toc18455"/>
      <w:bookmarkStart w:id="64" w:name="_Toc111208508"/>
      <w:bookmarkStart w:id="65" w:name="_Toc15377221"/>
      <w:r>
        <w:rPr>
          <w:rFonts w:hint="eastAsia" w:ascii="黑体" w:hAnsi="黑体" w:eastAsia="黑体" w:cs="黑体"/>
          <w:b w:val="0"/>
          <w:bCs/>
          <w:color w:val="000000"/>
        </w:rPr>
        <w:t>十、其他重要事项的情况说明</w:t>
      </w:r>
      <w:bookmarkEnd w:id="63"/>
      <w:bookmarkEnd w:id="64"/>
      <w:bookmarkEnd w:id="65"/>
    </w:p>
    <w:p w14:paraId="019CBB22">
      <w:pPr>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hint="eastAsia" w:ascii="楷体" w:hAnsi="楷体" w:eastAsia="楷体" w:cs="楷体"/>
          <w:b/>
          <w:color w:val="000000"/>
          <w:sz w:val="32"/>
          <w:szCs w:val="32"/>
        </w:rPr>
      </w:pPr>
      <w:bookmarkStart w:id="66" w:name="_Toc15377222"/>
      <w:r>
        <w:rPr>
          <w:rFonts w:hint="eastAsia" w:ascii="楷体" w:hAnsi="楷体" w:eastAsia="楷体" w:cs="楷体"/>
          <w:b/>
          <w:color w:val="000000"/>
          <w:sz w:val="32"/>
          <w:szCs w:val="32"/>
        </w:rPr>
        <w:t>（一）机关运行经费支出情况</w:t>
      </w:r>
      <w:bookmarkEnd w:id="66"/>
    </w:p>
    <w:p w14:paraId="527675A8">
      <w:pPr>
        <w:pageBreakBefore w:val="0"/>
        <w:widowControl w:val="0"/>
        <w:kinsoku/>
        <w:wordWrap/>
        <w:overflowPunct/>
        <w:topLinePunct w:val="0"/>
        <w:autoSpaceDE/>
        <w:autoSpaceDN/>
        <w:bidi w:val="0"/>
        <w:adjustRightInd/>
        <w:snapToGrid/>
        <w:spacing w:line="576" w:lineRule="exact"/>
        <w:ind w:firstLine="64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2024</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w:t>
      </w:r>
      <w:r>
        <w:rPr>
          <w:rFonts w:ascii="仿宋" w:hAnsi="仿宋" w:eastAsia="仿宋" w:cs="仿宋"/>
          <w:color w:val="000000"/>
          <w:sz w:val="32"/>
          <w:u w:color="auto"/>
        </w:rPr>
        <w:t xml:space="preserve">茂县水务服务中心机关运行经费支出0万元。 </w:t>
      </w:r>
    </w:p>
    <w:p w14:paraId="66094D57">
      <w:pPr>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hint="eastAsia" w:ascii="楷体" w:hAnsi="楷体" w:eastAsia="楷体" w:cs="楷体"/>
          <w:b/>
          <w:color w:val="000000"/>
          <w:sz w:val="32"/>
          <w:szCs w:val="32"/>
        </w:rPr>
      </w:pPr>
      <w:bookmarkStart w:id="67" w:name="_Toc15377223"/>
      <w:r>
        <w:rPr>
          <w:rFonts w:hint="eastAsia" w:ascii="楷体" w:hAnsi="楷体" w:eastAsia="楷体" w:cs="楷体"/>
          <w:b/>
          <w:color w:val="000000"/>
          <w:sz w:val="32"/>
          <w:szCs w:val="32"/>
        </w:rPr>
        <w:t>（二）政府采购支出情况</w:t>
      </w:r>
      <w:bookmarkEnd w:id="67"/>
    </w:p>
    <w:p w14:paraId="2CEFD7AE">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2024</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w:t>
      </w:r>
      <w:r>
        <w:rPr>
          <w:rFonts w:ascii="仿宋" w:hAnsi="仿宋" w:eastAsia="仿宋" w:cs="仿宋"/>
          <w:color w:val="000000"/>
          <w:sz w:val="32"/>
          <w:u w:color="auto"/>
        </w:rPr>
        <w:t>茂县水务服务中心政府采购支出总额0万元，其中：政府采购货物支出0万元、政府采购工程支出0万元、政府采购服务支出0万元。授予中小企业合同金额0万元，</w:t>
      </w:r>
      <w:r>
        <w:rPr>
          <w:rFonts w:hint="eastAsia" w:ascii="仿宋" w:hAnsi="仿宋" w:eastAsia="仿宋" w:cs="仿宋"/>
          <w:color w:val="000000"/>
          <w:sz w:val="32"/>
          <w:szCs w:val="32"/>
          <w:lang w:val="en-US" w:eastAsia="zh-CN"/>
        </w:rPr>
        <w:t>占政府采购支出总额的</w:t>
      </w:r>
      <w:r>
        <w:rPr>
          <w:rFonts w:ascii="仿宋" w:hAnsi="仿宋" w:eastAsia="仿宋" w:cs="仿宋"/>
          <w:color w:val="000000"/>
          <w:sz w:val="32"/>
          <w:u w:color="auto"/>
        </w:rPr>
        <w:t>0%,</w:t>
      </w:r>
      <w:r>
        <w:rPr>
          <w:rFonts w:hint="eastAsia" w:ascii="仿宋" w:hAnsi="仿宋" w:eastAsia="仿宋" w:cs="仿宋"/>
          <w:color w:val="000000"/>
          <w:sz w:val="32"/>
          <w:szCs w:val="32"/>
        </w:rPr>
        <w:t>其中：授予小微企业合同金额</w:t>
      </w:r>
      <w:r>
        <w:rPr>
          <w:rFonts w:ascii="仿宋" w:hAnsi="仿宋" w:eastAsia="仿宋" w:cs="仿宋"/>
          <w:color w:val="000000"/>
          <w:sz w:val="32"/>
          <w:u w:color="auto"/>
        </w:rPr>
        <w:t>0万元，占</w:t>
      </w:r>
      <w:r>
        <w:rPr>
          <w:rFonts w:hint="eastAsia" w:ascii="仿宋" w:hAnsi="仿宋" w:eastAsia="仿宋" w:cs="仿宋"/>
          <w:color w:val="000000"/>
          <w:sz w:val="32"/>
          <w:szCs w:val="32"/>
          <w:lang w:val="en-US" w:eastAsia="zh-CN"/>
        </w:rPr>
        <w:t>政府采购支出总额</w:t>
      </w:r>
      <w:r>
        <w:rPr>
          <w:rFonts w:hint="eastAsia" w:ascii="仿宋" w:hAnsi="仿宋" w:eastAsia="仿宋" w:cs="仿宋"/>
          <w:color w:val="000000"/>
          <w:sz w:val="32"/>
          <w:szCs w:val="32"/>
        </w:rPr>
        <w:t>的</w:t>
      </w:r>
      <w:r>
        <w:rPr>
          <w:rFonts w:ascii="仿宋" w:hAnsi="仿宋" w:eastAsia="仿宋" w:cs="仿宋"/>
          <w:color w:val="000000"/>
          <w:sz w:val="32"/>
          <w:u w:color="auto"/>
        </w:rPr>
        <w:t>0%。</w:t>
      </w:r>
    </w:p>
    <w:p w14:paraId="12B7C937">
      <w:pPr>
        <w:spacing w:line="600" w:lineRule="exact"/>
        <w:ind w:firstLine="643" w:firstLineChars="200"/>
        <w:outlineLvl w:val="2"/>
        <w:rPr>
          <w:rFonts w:hint="eastAsia" w:ascii="楷体" w:hAnsi="楷体" w:eastAsia="楷体" w:cs="楷体"/>
          <w:b/>
          <w:color w:val="000000"/>
          <w:sz w:val="32"/>
          <w:szCs w:val="32"/>
        </w:rPr>
      </w:pPr>
      <w:bookmarkStart w:id="68" w:name="_Toc15377224"/>
      <w:r>
        <w:rPr>
          <w:rFonts w:hint="eastAsia" w:ascii="楷体" w:hAnsi="楷体" w:eastAsia="楷体" w:cs="楷体"/>
          <w:b/>
          <w:color w:val="000000"/>
          <w:sz w:val="32"/>
          <w:szCs w:val="32"/>
        </w:rPr>
        <w:t>（三）国有资产占有使用情况</w:t>
      </w:r>
      <w:bookmarkEnd w:id="68"/>
    </w:p>
    <w:p w14:paraId="4EF50863">
      <w:pPr>
        <w:spacing w:line="600" w:lineRule="exact"/>
        <w:ind w:firstLine="640"/>
        <w:rPr>
          <w:rFonts w:hint="eastAsia" w:ascii="楷体" w:hAnsi="楷体" w:eastAsia="楷体" w:cs="楷体"/>
          <w:b/>
          <w:color w:val="000000"/>
          <w:sz w:val="32"/>
          <w:szCs w:val="32"/>
        </w:rPr>
      </w:pPr>
      <w:r>
        <w:rPr>
          <w:rFonts w:hint="eastAsia" w:ascii="仿宋" w:hAnsi="仿宋" w:eastAsia="仿宋" w:cs="仿宋"/>
          <w:color w:val="000000"/>
          <w:sz w:val="32"/>
          <w:szCs w:val="32"/>
        </w:rPr>
        <w:t>截至</w:t>
      </w:r>
      <w:r>
        <w:rPr>
          <w:rFonts w:ascii="仿宋" w:hAnsi="仿宋" w:eastAsia="仿宋" w:cs="仿宋"/>
          <w:color w:val="000000"/>
          <w:sz w:val="32"/>
          <w:u w:color="auto"/>
        </w:rPr>
        <w:t>2024年12月31日，茂县水务服务中心共有车辆0辆，其中：主要领导干部用车0辆、机要通信用车0辆、应急保障用车0辆、其他用车0辆。单价100万元以上专用设备</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不含车辆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0</w:t>
      </w:r>
      <w:r>
        <w:rPr>
          <w:rFonts w:ascii="仿宋" w:hAnsi="仿宋" w:eastAsia="仿宋" w:cs="仿宋"/>
          <w:color w:val="000000"/>
          <w:sz w:val="32"/>
          <w:u w:color="auto"/>
        </w:rPr>
        <w:t>台（套）。</w:t>
      </w:r>
    </w:p>
    <w:p w14:paraId="18F029C8">
      <w:pPr>
        <w:pStyle w:val="8"/>
        <w:rPr>
          <w:rFonts w:hint="eastAsia" w:ascii="仿宋" w:hAnsi="仿宋" w:eastAsia="仿宋" w:cs="仿宋"/>
          <w:sz w:val="32"/>
          <w:szCs w:val="32"/>
        </w:rPr>
      </w:pPr>
      <w:r>
        <w:rPr>
          <w:rFonts w:hint="eastAsia" w:ascii="仿宋" w:hAnsi="仿宋" w:eastAsia="仿宋" w:cs="仿宋"/>
          <w:sz w:val="32"/>
          <w:szCs w:val="32"/>
        </w:rPr>
        <w:t xml:space="preserve"> </w:t>
      </w:r>
    </w:p>
    <w:p w14:paraId="1F943EA8">
      <w:pPr>
        <w:widowControl/>
        <w:jc w:val="left"/>
        <w:rPr>
          <w:rFonts w:hint="eastAsia" w:ascii="思源黑体 CN Normal" w:hAnsi="思源黑体 CN Normal" w:eastAsia="思源黑体 CN Normal" w:cs="思源黑体 CN Normal"/>
          <w:b/>
          <w:color w:val="000000"/>
          <w:sz w:val="32"/>
          <w:szCs w:val="32"/>
        </w:rPr>
      </w:pPr>
      <w:r>
        <w:rPr>
          <w:rFonts w:hint="eastAsia" w:ascii="思源黑体 CN Normal" w:hAnsi="思源黑体 CN Normal" w:eastAsia="思源黑体 CN Normal" w:cs="思源黑体 CN Normal"/>
          <w:b/>
          <w:color w:val="000000"/>
          <w:sz w:val="32"/>
          <w:szCs w:val="32"/>
        </w:rPr>
        <w:br w:type="page"/>
      </w:r>
    </w:p>
    <w:p w14:paraId="7A1AED01">
      <w:pPr>
        <w:pStyle w:val="5"/>
        <w:jc w:val="center"/>
        <w:rPr>
          <w:rFonts w:hint="eastAsia" w:ascii="黑体" w:hAnsi="黑体" w:eastAsia="黑体" w:cs="黑体"/>
          <w:b w:val="0"/>
          <w:bCs w:val="0"/>
        </w:rPr>
      </w:pPr>
      <w:bookmarkStart w:id="69" w:name="_Toc111208509"/>
      <w:bookmarkStart w:id="70" w:name="_Toc15377225"/>
      <w:bookmarkStart w:id="71" w:name="_Toc18122"/>
      <w:r>
        <w:rPr>
          <w:rFonts w:hint="eastAsia" w:ascii="黑体" w:hAnsi="黑体" w:eastAsia="黑体" w:cs="黑体"/>
          <w:b w:val="0"/>
          <w:bCs w:val="0"/>
        </w:rPr>
        <w:t>第三部分 名词解释</w:t>
      </w:r>
      <w:bookmarkEnd w:id="69"/>
      <w:bookmarkEnd w:id="70"/>
      <w:bookmarkEnd w:id="71"/>
    </w:p>
    <w:p w14:paraId="022F61EC">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1.财政拨款收入：指单位从同级财政部门取得的财政预算资金。</w:t>
      </w:r>
    </w:p>
    <w:p w14:paraId="0CFB8533">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2.事业收入：指事业单位开展专业业务活动及辅助活动取得的收入。</w:t>
      </w:r>
    </w:p>
    <w:p w14:paraId="616A190D">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3.经营收入：指事业单位在专业业务活动及其辅助活动之外开展非独立核算经营活动取得的收入</w:t>
      </w:r>
    </w:p>
    <w:p w14:paraId="3F55D9BE">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4.其他收入：指单位取得的除上述收入以外的各项收入。</w:t>
      </w:r>
    </w:p>
    <w:p w14:paraId="619A9CFE">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5.使用非财政拨款结余（含专用结余）：指事业单位使用以前年度积累的非财政拨款结余弥补当年收支差额的金额。 </w:t>
      </w:r>
    </w:p>
    <w:p w14:paraId="68EE8AD0">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6.年初结转和结余：指以前年度尚未完成、结转到本年按有关规定继续使用的资金。 </w:t>
      </w:r>
    </w:p>
    <w:p w14:paraId="0839DE2D">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7.结余分配：指事业单位按照会计制度规定缴纳的所得税、提取的专用结余以及转入非财政拨款结余的金额等。</w:t>
      </w:r>
    </w:p>
    <w:p w14:paraId="32ED2363">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8.年末结转和结余：指单位按有关规定结转到下年或以后年度继续使用的资金。</w:t>
      </w:r>
    </w:p>
    <w:p w14:paraId="15C4A990">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9.社会保障和就业支出（类）行政事业单位养老支出（款）机关事业单位基本养老保险缴费支出（项）:反映机关事业单位实施养老保险制度由单位缴纳的基本养老保险费支出。</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10.社会保障和就业支出（类）行政事业单位养老支出（款）机关事业单位职业年金缴费支出（项）:反映机关事业单位实施养老保险制度由单位实际缴纳的职业年金支出。</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11.卫生健康支出（类）行政事业单位医疗（款）事业单位医疗（项）:反映财政部门安排的事业单位基本医疗保险缴费经费，未参加医疗保险的事业单位的公费医疗经费，按国家规定享受离休人员待遇的医疗经费。</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12.农林水支出（类）水利（款）其他水利支出（项）:反映除上述项目以外其他用于水利方面的支出。</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13.住房保障支出（类）住房改革支出（款）住房公积金（项）:反映行政事业单位按人力资源和社会保障部、财政部规定的基本工资和津贴补贴以及规定比例为职工缴纳的住房公积金。</w:t>
      </w:r>
    </w:p>
    <w:p w14:paraId="773E015D">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14</w:t>
      </w:r>
      <w:r>
        <w:rPr>
          <w:rFonts w:ascii="仿宋" w:hAnsi="仿宋" w:eastAsia="仿宋" w:cs="仿宋"/>
          <w:color w:val="000000"/>
          <w:sz w:val="32"/>
          <w:u w:color="auto"/>
        </w:rPr>
        <w:t>.基本支出：指为保障机构正常运转、完成日常工作任务而发生的人员支出和公用支出。</w:t>
      </w:r>
    </w:p>
    <w:p w14:paraId="0010CAE3">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15</w:t>
      </w:r>
      <w:r>
        <w:rPr>
          <w:rFonts w:ascii="仿宋" w:hAnsi="仿宋" w:eastAsia="仿宋" w:cs="仿宋"/>
          <w:color w:val="000000"/>
          <w:sz w:val="32"/>
          <w:u w:color="auto"/>
        </w:rPr>
        <w:t xml:space="preserve">.项目支出：指在基本支出之外为完成特定行政任务和事业发展目标所发生的支出。 </w:t>
      </w:r>
    </w:p>
    <w:p w14:paraId="77C94036">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16</w:t>
      </w:r>
      <w:r>
        <w:rPr>
          <w:rFonts w:ascii="仿宋" w:hAnsi="仿宋" w:eastAsia="仿宋" w:cs="仿宋"/>
          <w:color w:val="000000"/>
          <w:sz w:val="32"/>
          <w:u w:color="auto"/>
        </w:rPr>
        <w:t>.经营支出：指事业单位在专业业务活动及其辅助活动之外开展非独立核算经营活动发生的支出。</w:t>
      </w:r>
    </w:p>
    <w:p w14:paraId="2180527E">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17</w:t>
      </w:r>
      <w:r>
        <w:rPr>
          <w:rFonts w:ascii="仿宋" w:hAnsi="仿宋" w:eastAsia="仿宋" w:cs="仿宋"/>
          <w:color w:val="000000"/>
          <w:sz w:val="32"/>
          <w:u w:color="auto"/>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1F45032">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18</w:t>
      </w:r>
      <w:r>
        <w:rPr>
          <w:rFonts w:ascii="仿宋" w:hAnsi="仿宋" w:eastAsia="仿宋" w:cs="仿宋"/>
          <w:color w:val="000000"/>
          <w:sz w:val="32"/>
          <w:u w:color="auto"/>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E326A87">
      <w:pPr>
        <w:spacing w:line="600" w:lineRule="exact"/>
        <w:ind w:firstLine="640"/>
        <w:rPr>
          <w:rFonts w:hint="eastAsia" w:ascii="仿宋" w:hAnsi="仿宋" w:eastAsia="仿宋" w:cs="仿宋"/>
          <w:sz w:val="32"/>
          <w:szCs w:val="32"/>
        </w:rPr>
      </w:pPr>
      <w:r>
        <w:rPr>
          <w:rFonts w:hint="eastAsia" w:ascii="仿宋" w:hAnsi="仿宋" w:eastAsia="仿宋" w:cs="仿宋"/>
          <w:color w:val="000000"/>
          <w:sz w:val="32"/>
          <w:szCs w:val="32"/>
        </w:rPr>
        <w:t>19</w:t>
      </w:r>
      <w:r>
        <w:rPr>
          <w:rFonts w:ascii="仿宋" w:hAnsi="仿宋" w:eastAsia="仿宋" w:cs="仿宋"/>
          <w:color w:val="000000"/>
          <w:sz w:val="32"/>
          <w:u w:color="auto"/>
        </w:rPr>
        <w:t>.财政应返还额度：为行政事业单位会计核算科目，用于核算实行国库集中支付的行政事业单位应收财政返还的资金额度。</w:t>
      </w:r>
    </w:p>
    <w:p w14:paraId="2D3D8A8E">
      <w:pPr>
        <w:widowControl/>
        <w:jc w:val="left"/>
        <w:rPr>
          <w:rStyle w:val="32"/>
          <w:rFonts w:hint="eastAsia" w:ascii="思源黑体 CN Normal" w:hAnsi="思源黑体 CN Normal" w:eastAsia="思源黑体 CN Normal" w:cs="思源黑体 CN Normal"/>
        </w:rPr>
      </w:pPr>
      <w:r>
        <w:rPr>
          <w:rStyle w:val="32"/>
          <w:rFonts w:hint="eastAsia" w:ascii="思源黑体 CN Normal" w:hAnsi="思源黑体 CN Normal" w:eastAsia="思源黑体 CN Normal" w:cs="思源黑体 CN Normal"/>
        </w:rPr>
        <w:br w:type="page"/>
      </w:r>
    </w:p>
    <w:p w14:paraId="06638D99">
      <w:pPr>
        <w:pStyle w:val="5"/>
        <w:jc w:val="center"/>
        <w:rPr>
          <w:rFonts w:hint="eastAsia" w:ascii="黑体" w:hAnsi="黑体" w:eastAsia="黑体" w:cs="黑体"/>
          <w:b w:val="0"/>
          <w:bCs w:val="0"/>
        </w:rPr>
      </w:pPr>
      <w:bookmarkStart w:id="72" w:name="_Toc25539"/>
      <w:bookmarkStart w:id="73" w:name="_Toc111208510"/>
      <w:r>
        <w:rPr>
          <w:rFonts w:hint="eastAsia" w:ascii="黑体" w:hAnsi="黑体" w:eastAsia="黑体" w:cs="黑体"/>
          <w:b w:val="0"/>
          <w:bCs w:val="0"/>
        </w:rPr>
        <w:t>第四部分 附件</w:t>
      </w:r>
      <w:bookmarkEnd w:id="72"/>
      <w:bookmarkEnd w:id="73"/>
    </w:p>
    <w:p w14:paraId="6C0AB0B1">
      <w:pPr>
        <w:pStyle w:val="8"/>
        <w:rPr>
          <w:rFonts w:hint="eastAsia" w:ascii="仿宋" w:hAnsi="仿宋" w:eastAsia="仿宋" w:cs="仿宋"/>
          <w:sz w:val="32"/>
          <w:szCs w:val="32"/>
        </w:rPr>
      </w:pPr>
      <w:r>
        <w:rPr>
          <w:rFonts w:hint="eastAsia" w:ascii="仿宋" w:hAnsi="仿宋" w:eastAsia="仿宋" w:cs="仿宋"/>
          <w:sz w:val="32"/>
          <w:szCs w:val="32"/>
        </w:rPr>
        <w:t xml:space="preserve"> </w:t>
      </w:r>
    </w:p>
    <w:p w14:paraId="39407B2D">
      <w:pPr>
        <w:pStyle w:val="6"/>
        <w:ind w:firstLine="640" w:firstLineChars="200"/>
        <w:rPr>
          <w:rFonts w:hint="eastAsia" w:ascii="仿宋" w:hAnsi="仿宋" w:eastAsia="仿宋" w:cs="仿宋"/>
          <w:b w:val="0"/>
          <w:bCs/>
          <w:color w:val="000000"/>
        </w:rPr>
      </w:pPr>
      <w:bookmarkStart w:id="74" w:name="_Toc16431"/>
      <w:r>
        <w:rPr>
          <w:rFonts w:hint="eastAsia" w:ascii="仿宋" w:hAnsi="仿宋" w:eastAsia="仿宋" w:cs="仿宋"/>
          <w:b w:val="0"/>
          <w:bCs/>
          <w:color w:val="000000"/>
        </w:rPr>
        <w:t>一、收入支出决算总表</w:t>
      </w:r>
      <w:bookmarkEnd w:id="74"/>
    </w:p>
    <w:p w14:paraId="2B7DC4AC">
      <w:pPr>
        <w:pStyle w:val="6"/>
        <w:ind w:firstLine="640" w:firstLineChars="200"/>
        <w:rPr>
          <w:rFonts w:hint="eastAsia" w:ascii="仿宋" w:hAnsi="仿宋" w:eastAsia="仿宋" w:cs="仿宋"/>
          <w:b w:val="0"/>
          <w:bCs/>
          <w:color w:val="000000"/>
        </w:rPr>
      </w:pPr>
      <w:bookmarkStart w:id="75" w:name="_Toc25389"/>
      <w:r>
        <w:rPr>
          <w:rFonts w:hint="eastAsia" w:ascii="仿宋" w:hAnsi="仿宋" w:eastAsia="仿宋" w:cs="仿宋"/>
          <w:b w:val="0"/>
          <w:bCs/>
          <w:color w:val="000000"/>
        </w:rPr>
        <w:t>二、收入决算表</w:t>
      </w:r>
      <w:bookmarkEnd w:id="75"/>
    </w:p>
    <w:p w14:paraId="7858E927">
      <w:pPr>
        <w:pStyle w:val="6"/>
        <w:ind w:firstLine="640" w:firstLineChars="200"/>
        <w:rPr>
          <w:rFonts w:hint="eastAsia" w:ascii="仿宋" w:hAnsi="仿宋" w:eastAsia="仿宋" w:cs="仿宋"/>
          <w:b w:val="0"/>
          <w:bCs/>
          <w:color w:val="000000"/>
        </w:rPr>
      </w:pPr>
      <w:bookmarkStart w:id="76" w:name="_Toc10450"/>
      <w:r>
        <w:rPr>
          <w:rFonts w:hint="eastAsia" w:ascii="仿宋" w:hAnsi="仿宋" w:eastAsia="仿宋" w:cs="仿宋"/>
          <w:b w:val="0"/>
          <w:bCs/>
          <w:color w:val="000000"/>
        </w:rPr>
        <w:t>三、支出决算表</w:t>
      </w:r>
      <w:bookmarkEnd w:id="76"/>
    </w:p>
    <w:p w14:paraId="31EC7FA5">
      <w:pPr>
        <w:pStyle w:val="6"/>
        <w:ind w:firstLine="640" w:firstLineChars="200"/>
        <w:rPr>
          <w:rFonts w:hint="eastAsia" w:ascii="仿宋" w:hAnsi="仿宋" w:eastAsia="仿宋" w:cs="仿宋"/>
          <w:b w:val="0"/>
          <w:bCs/>
          <w:color w:val="000000"/>
        </w:rPr>
      </w:pPr>
      <w:bookmarkStart w:id="77" w:name="_Toc15415"/>
      <w:r>
        <w:rPr>
          <w:rFonts w:hint="eastAsia" w:ascii="仿宋" w:hAnsi="仿宋" w:eastAsia="仿宋" w:cs="仿宋"/>
          <w:b w:val="0"/>
          <w:bCs/>
          <w:color w:val="000000"/>
        </w:rPr>
        <w:t>四、财政拨款收入支出决算总表</w:t>
      </w:r>
      <w:bookmarkEnd w:id="77"/>
    </w:p>
    <w:p w14:paraId="4A2F30BB">
      <w:pPr>
        <w:pStyle w:val="6"/>
        <w:ind w:firstLine="640" w:firstLineChars="200"/>
        <w:rPr>
          <w:rFonts w:hint="eastAsia" w:ascii="仿宋" w:hAnsi="仿宋" w:eastAsia="仿宋" w:cs="仿宋"/>
          <w:b w:val="0"/>
          <w:bCs/>
          <w:color w:val="000000"/>
        </w:rPr>
      </w:pPr>
      <w:bookmarkStart w:id="78" w:name="_Toc17530"/>
      <w:r>
        <w:rPr>
          <w:rFonts w:hint="eastAsia" w:ascii="仿宋" w:hAnsi="仿宋" w:eastAsia="仿宋" w:cs="仿宋"/>
          <w:b w:val="0"/>
          <w:bCs/>
          <w:color w:val="000000"/>
        </w:rPr>
        <w:t>五、财政拨款支出决算明细表</w:t>
      </w:r>
      <w:bookmarkEnd w:id="78"/>
    </w:p>
    <w:p w14:paraId="712C880D">
      <w:pPr>
        <w:pStyle w:val="6"/>
        <w:ind w:firstLine="640" w:firstLineChars="200"/>
        <w:rPr>
          <w:rFonts w:hint="eastAsia" w:ascii="仿宋" w:hAnsi="仿宋" w:eastAsia="仿宋" w:cs="仿宋"/>
          <w:b w:val="0"/>
          <w:bCs/>
          <w:color w:val="000000"/>
        </w:rPr>
      </w:pPr>
      <w:bookmarkStart w:id="79" w:name="_Toc22032"/>
      <w:r>
        <w:rPr>
          <w:rFonts w:hint="eastAsia" w:ascii="仿宋" w:hAnsi="仿宋" w:eastAsia="仿宋" w:cs="仿宋"/>
          <w:b w:val="0"/>
          <w:bCs/>
          <w:color w:val="000000"/>
        </w:rPr>
        <w:t>六、一般公共预算财政拨款支出决算表</w:t>
      </w:r>
      <w:bookmarkEnd w:id="79"/>
    </w:p>
    <w:p w14:paraId="51429EF5">
      <w:pPr>
        <w:pStyle w:val="6"/>
        <w:ind w:firstLine="640" w:firstLineChars="200"/>
        <w:rPr>
          <w:rFonts w:hint="eastAsia" w:ascii="仿宋" w:hAnsi="仿宋" w:eastAsia="仿宋" w:cs="仿宋"/>
          <w:b w:val="0"/>
          <w:bCs/>
          <w:color w:val="000000"/>
        </w:rPr>
      </w:pPr>
      <w:bookmarkStart w:id="80" w:name="_Toc3364"/>
      <w:r>
        <w:rPr>
          <w:rFonts w:hint="eastAsia" w:ascii="仿宋" w:hAnsi="仿宋" w:eastAsia="仿宋" w:cs="仿宋"/>
          <w:b w:val="0"/>
          <w:bCs/>
          <w:color w:val="000000"/>
        </w:rPr>
        <w:t>七、一般公共预算财政拨款支出决算明细表</w:t>
      </w:r>
      <w:bookmarkEnd w:id="80"/>
    </w:p>
    <w:p w14:paraId="672B9B4D">
      <w:pPr>
        <w:pStyle w:val="6"/>
        <w:ind w:firstLine="640" w:firstLineChars="200"/>
        <w:rPr>
          <w:rFonts w:hint="eastAsia" w:ascii="仿宋" w:hAnsi="仿宋" w:eastAsia="仿宋" w:cs="仿宋"/>
          <w:b w:val="0"/>
          <w:bCs/>
          <w:color w:val="000000"/>
        </w:rPr>
      </w:pPr>
      <w:bookmarkStart w:id="81" w:name="_Toc9110"/>
      <w:r>
        <w:rPr>
          <w:rFonts w:hint="eastAsia" w:ascii="仿宋" w:hAnsi="仿宋" w:eastAsia="仿宋" w:cs="仿宋"/>
          <w:b w:val="0"/>
          <w:bCs/>
          <w:color w:val="000000"/>
        </w:rPr>
        <w:t>八、一般公共预算财政拨款基本支出决算表</w:t>
      </w:r>
      <w:bookmarkEnd w:id="81"/>
    </w:p>
    <w:p w14:paraId="2002A273">
      <w:pPr>
        <w:pStyle w:val="6"/>
        <w:ind w:firstLine="640" w:firstLineChars="200"/>
        <w:rPr>
          <w:rFonts w:hint="eastAsia" w:ascii="仿宋" w:hAnsi="仿宋" w:eastAsia="仿宋" w:cs="仿宋"/>
          <w:b w:val="0"/>
          <w:bCs/>
          <w:color w:val="000000"/>
        </w:rPr>
      </w:pPr>
      <w:bookmarkStart w:id="82" w:name="_Toc28582"/>
      <w:r>
        <w:rPr>
          <w:rFonts w:hint="eastAsia" w:ascii="仿宋" w:hAnsi="仿宋" w:eastAsia="仿宋" w:cs="仿宋"/>
          <w:b w:val="0"/>
          <w:bCs/>
          <w:color w:val="000000"/>
        </w:rPr>
        <w:t>九、一般公共预算财政拨款项目支出决算表</w:t>
      </w:r>
      <w:bookmarkEnd w:id="82"/>
    </w:p>
    <w:p w14:paraId="0A36D281">
      <w:pPr>
        <w:pStyle w:val="6"/>
        <w:ind w:firstLine="640" w:firstLineChars="200"/>
        <w:rPr>
          <w:rFonts w:hint="eastAsia" w:ascii="仿宋" w:hAnsi="仿宋" w:eastAsia="仿宋" w:cs="仿宋"/>
          <w:b w:val="0"/>
          <w:bCs/>
          <w:color w:val="000000"/>
        </w:rPr>
      </w:pPr>
      <w:bookmarkStart w:id="83" w:name="_Toc22001"/>
      <w:r>
        <w:rPr>
          <w:rFonts w:hint="eastAsia" w:ascii="仿宋" w:hAnsi="仿宋" w:eastAsia="仿宋" w:cs="仿宋"/>
          <w:b w:val="0"/>
          <w:bCs/>
          <w:color w:val="000000"/>
        </w:rPr>
        <w:t>十、政府性基金预算财政拨款收入支出决算表</w:t>
      </w:r>
      <w:bookmarkEnd w:id="83"/>
    </w:p>
    <w:p w14:paraId="0BD12BAB">
      <w:pPr>
        <w:pStyle w:val="6"/>
        <w:ind w:firstLine="640" w:firstLineChars="200"/>
        <w:rPr>
          <w:rFonts w:hint="eastAsia" w:ascii="仿宋" w:hAnsi="仿宋" w:eastAsia="仿宋" w:cs="仿宋"/>
          <w:b w:val="0"/>
          <w:bCs/>
          <w:color w:val="000000"/>
        </w:rPr>
      </w:pPr>
      <w:bookmarkStart w:id="84" w:name="_Toc6538"/>
      <w:r>
        <w:rPr>
          <w:rFonts w:hint="eastAsia" w:ascii="仿宋" w:hAnsi="仿宋" w:eastAsia="仿宋" w:cs="仿宋"/>
          <w:b w:val="0"/>
          <w:bCs/>
          <w:color w:val="000000"/>
        </w:rPr>
        <w:t>十一、国有资本经营预算财政拨款收入支出决算表</w:t>
      </w:r>
      <w:bookmarkEnd w:id="84"/>
    </w:p>
    <w:p w14:paraId="124CF2DF">
      <w:pPr>
        <w:pStyle w:val="6"/>
        <w:ind w:firstLine="640" w:firstLineChars="200"/>
        <w:rPr>
          <w:rFonts w:hint="eastAsia" w:ascii="仿宋" w:hAnsi="仿宋" w:eastAsia="仿宋" w:cs="仿宋"/>
          <w:b w:val="0"/>
          <w:bCs/>
          <w:color w:val="000000"/>
        </w:rPr>
      </w:pPr>
      <w:bookmarkStart w:id="85" w:name="_Toc10625"/>
      <w:r>
        <w:rPr>
          <w:rFonts w:hint="eastAsia" w:ascii="仿宋" w:hAnsi="仿宋" w:eastAsia="仿宋" w:cs="仿宋"/>
          <w:b w:val="0"/>
          <w:bCs/>
          <w:color w:val="000000"/>
        </w:rPr>
        <w:t>十二、国有资本经营预算财政拨款支出决算表</w:t>
      </w:r>
      <w:bookmarkEnd w:id="85"/>
    </w:p>
    <w:p w14:paraId="39A925A5">
      <w:pPr>
        <w:pStyle w:val="6"/>
        <w:ind w:firstLine="640" w:firstLineChars="200"/>
        <w:rPr>
          <w:rFonts w:hint="eastAsia" w:ascii="仿宋" w:hAnsi="仿宋" w:eastAsia="仿宋" w:cs="仿宋"/>
          <w:b w:val="0"/>
          <w:bCs/>
          <w:color w:val="000000"/>
        </w:rPr>
      </w:pPr>
      <w:bookmarkStart w:id="86" w:name="_Toc28356"/>
      <w:r>
        <w:rPr>
          <w:rFonts w:hint="eastAsia" w:ascii="仿宋" w:hAnsi="仿宋" w:eastAsia="仿宋" w:cs="仿宋"/>
          <w:b w:val="0"/>
          <w:bCs/>
          <w:color w:val="000000"/>
        </w:rPr>
        <w:t>十三、财政拨款“三公”经费支出决算表</w:t>
      </w:r>
      <w:bookmarkEnd w:id="86"/>
    </w:p>
    <w:sectPr>
      <w:footerReference r:id="rId6" w:type="first"/>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A14605A-5032-4439-9282-1030C6FC9FF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9755B8F2-75A3-48AB-8263-33B1FE090DCB}"/>
  </w:font>
  <w:font w:name="仿宋">
    <w:panose1 w:val="02010609060101010101"/>
    <w:charset w:val="86"/>
    <w:family w:val="modern"/>
    <w:pitch w:val="default"/>
    <w:sig w:usb0="800002BF" w:usb1="38CF7CFA" w:usb2="00000016" w:usb3="00000000" w:csb0="00040001" w:csb1="00000000"/>
    <w:embedRegular r:id="rId3" w:fontKey="{0A89D458-1E9F-456C-A0CF-8F5953DA053F}"/>
  </w:font>
  <w:font w:name="思源黑体 CN Normal">
    <w:altName w:val="黑体"/>
    <w:panose1 w:val="020B0400000000000000"/>
    <w:charset w:val="86"/>
    <w:family w:val="auto"/>
    <w:pitch w:val="default"/>
    <w:sig w:usb0="00000000" w:usb1="00000000" w:usb2="00000016" w:usb3="00000000" w:csb0="60060107" w:csb1="00000000"/>
    <w:embedRegular r:id="rId4" w:fontKey="{3D97DCDC-7AE2-473F-9C95-076028DB89C3}"/>
  </w:font>
  <w:font w:name="方正小标宋简体">
    <w:panose1 w:val="03000509000000000000"/>
    <w:charset w:val="86"/>
    <w:family w:val="auto"/>
    <w:pitch w:val="default"/>
    <w:sig w:usb0="00000001" w:usb1="080E0000" w:usb2="00000000" w:usb3="00000000" w:csb0="00040000" w:csb1="00000000"/>
    <w:embedRegular r:id="rId5" w:fontKey="{AE9EA2D9-1D87-4B6A-9C81-D3D8A09FEE26}"/>
  </w:font>
  <w:font w:name="楷体">
    <w:panose1 w:val="02010609060101010101"/>
    <w:charset w:val="86"/>
    <w:family w:val="auto"/>
    <w:pitch w:val="default"/>
    <w:sig w:usb0="800002BF" w:usb1="38CF7CFA" w:usb2="00000016" w:usb3="00000000" w:csb0="00040001" w:csb1="00000000"/>
    <w:embedRegular r:id="rId6" w:fontKey="{60F6AA33-CE31-4D11-ADAD-1C52260514C3}"/>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FF7B9">
    <w:pPr>
      <w:pStyle w:val="13"/>
      <w:jc w:val="center"/>
    </w:pPr>
  </w:p>
  <w:p w14:paraId="40092139">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F41CB">
    <w:pPr>
      <w:pStyle w:val="1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4856"/>
                          </w:sdtPr>
                          <w:sdtContent>
                            <w:p w14:paraId="18159799">
                              <w:pPr>
                                <w:pStyle w:val="13"/>
                                <w:jc w:val="center"/>
                              </w:pPr>
                              <w:r>
                                <w:fldChar w:fldCharType="begin"/>
                              </w:r>
                              <w:r>
                                <w:instrText xml:space="preserve">PAGE   \* MERGEFORMAT</w:instrText>
                              </w:r>
                              <w:r>
                                <w:fldChar w:fldCharType="separate"/>
                              </w:r>
                              <w:r>
                                <w:rPr>
                                  <w:lang w:val="zh-CN"/>
                                </w:rPr>
                                <w:t>4</w:t>
                              </w:r>
                              <w:r>
                                <w:fldChar w:fldCharType="end"/>
                              </w:r>
                            </w:p>
                          </w:sdtContent>
                        </w:sdt>
                        <w:p w14:paraId="0D4E28F1">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sdt>
                    <w:sdtPr>
                      <w:id w:val="147464856"/>
                    </w:sdtPr>
                    <w:sdtContent>
                      <w:p w14:paraId="18159799">
                        <w:pPr>
                          <w:pStyle w:val="13"/>
                          <w:jc w:val="center"/>
                        </w:pPr>
                        <w:r>
                          <w:fldChar w:fldCharType="begin"/>
                        </w:r>
                        <w:r>
                          <w:instrText xml:space="preserve">PAGE   \* MERGEFORMAT</w:instrText>
                        </w:r>
                        <w:r>
                          <w:fldChar w:fldCharType="separate"/>
                        </w:r>
                        <w:r>
                          <w:rPr>
                            <w:lang w:val="zh-CN"/>
                          </w:rPr>
                          <w:t>4</w:t>
                        </w:r>
                        <w:r>
                          <w:fldChar w:fldCharType="end"/>
                        </w:r>
                      </w:p>
                    </w:sdtContent>
                  </w:sdt>
                  <w:p w14:paraId="0D4E28F1">
                    <w:pPr>
                      <w:pStyle w:val="2"/>
                    </w:pPr>
                  </w:p>
                </w:txbxContent>
              </v:textbox>
            </v:shape>
          </w:pict>
        </mc:Fallback>
      </mc:AlternateContent>
    </w:r>
  </w:p>
  <w:p w14:paraId="6AA3FF41">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A8348">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D0CC68">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3D0CC68">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EE576">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DBD740"/>
    <w:multiLevelType w:val="singleLevel"/>
    <w:tmpl w:val="29DBD740"/>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hmNjAzMWJlZjFkMmQwODUwMTJkYzE2ODFiYmFmYTcifQ=="/>
  </w:docVars>
  <w:rsids>
    <w:rsidRoot w:val="00F1361C"/>
    <w:rsid w:val="000000BC"/>
    <w:rsid w:val="00000665"/>
    <w:rsid w:val="00000B38"/>
    <w:rsid w:val="000015A2"/>
    <w:rsid w:val="00002628"/>
    <w:rsid w:val="00003E5B"/>
    <w:rsid w:val="00004806"/>
    <w:rsid w:val="00007EA6"/>
    <w:rsid w:val="00012FB7"/>
    <w:rsid w:val="00013357"/>
    <w:rsid w:val="00013C9E"/>
    <w:rsid w:val="00015450"/>
    <w:rsid w:val="000175E6"/>
    <w:rsid w:val="00017F98"/>
    <w:rsid w:val="00020F07"/>
    <w:rsid w:val="000222C6"/>
    <w:rsid w:val="00022FC0"/>
    <w:rsid w:val="000230B2"/>
    <w:rsid w:val="0002359B"/>
    <w:rsid w:val="00023DEB"/>
    <w:rsid w:val="00025226"/>
    <w:rsid w:val="0002549F"/>
    <w:rsid w:val="00025F1E"/>
    <w:rsid w:val="0002749D"/>
    <w:rsid w:val="0003013F"/>
    <w:rsid w:val="00031598"/>
    <w:rsid w:val="00031926"/>
    <w:rsid w:val="000326D5"/>
    <w:rsid w:val="00033414"/>
    <w:rsid w:val="00034ABC"/>
    <w:rsid w:val="00034D1D"/>
    <w:rsid w:val="00034D24"/>
    <w:rsid w:val="00035A69"/>
    <w:rsid w:val="000366B3"/>
    <w:rsid w:val="00036E57"/>
    <w:rsid w:val="00047195"/>
    <w:rsid w:val="00047C09"/>
    <w:rsid w:val="00052D93"/>
    <w:rsid w:val="000551CF"/>
    <w:rsid w:val="000571AC"/>
    <w:rsid w:val="00063AA8"/>
    <w:rsid w:val="0006487A"/>
    <w:rsid w:val="00065F8F"/>
    <w:rsid w:val="00066365"/>
    <w:rsid w:val="00066A65"/>
    <w:rsid w:val="00070C93"/>
    <w:rsid w:val="00070D58"/>
    <w:rsid w:val="00070F40"/>
    <w:rsid w:val="00071796"/>
    <w:rsid w:val="00072BEC"/>
    <w:rsid w:val="00073345"/>
    <w:rsid w:val="000768F2"/>
    <w:rsid w:val="00077C80"/>
    <w:rsid w:val="00081156"/>
    <w:rsid w:val="000815F6"/>
    <w:rsid w:val="00083B72"/>
    <w:rsid w:val="000846FF"/>
    <w:rsid w:val="0008503A"/>
    <w:rsid w:val="000851B4"/>
    <w:rsid w:val="000859F0"/>
    <w:rsid w:val="00087C06"/>
    <w:rsid w:val="00090134"/>
    <w:rsid w:val="00090DB7"/>
    <w:rsid w:val="0009184B"/>
    <w:rsid w:val="00091AAC"/>
    <w:rsid w:val="000921CB"/>
    <w:rsid w:val="000925CB"/>
    <w:rsid w:val="0009389E"/>
    <w:rsid w:val="0009593C"/>
    <w:rsid w:val="000A1370"/>
    <w:rsid w:val="000A17C4"/>
    <w:rsid w:val="000A37A2"/>
    <w:rsid w:val="000A500C"/>
    <w:rsid w:val="000B007F"/>
    <w:rsid w:val="000B047F"/>
    <w:rsid w:val="000B071C"/>
    <w:rsid w:val="000B1716"/>
    <w:rsid w:val="000B202D"/>
    <w:rsid w:val="000B26BE"/>
    <w:rsid w:val="000B2D44"/>
    <w:rsid w:val="000B2FD8"/>
    <w:rsid w:val="000B44F0"/>
    <w:rsid w:val="000B5923"/>
    <w:rsid w:val="000B5A48"/>
    <w:rsid w:val="000B6FF3"/>
    <w:rsid w:val="000C0A06"/>
    <w:rsid w:val="000C148A"/>
    <w:rsid w:val="000C2B6A"/>
    <w:rsid w:val="000C3467"/>
    <w:rsid w:val="000C3CA6"/>
    <w:rsid w:val="000C4E3D"/>
    <w:rsid w:val="000C7136"/>
    <w:rsid w:val="000D1267"/>
    <w:rsid w:val="000D17A8"/>
    <w:rsid w:val="000D1D50"/>
    <w:rsid w:val="000D304F"/>
    <w:rsid w:val="000D4033"/>
    <w:rsid w:val="000D5782"/>
    <w:rsid w:val="000D620F"/>
    <w:rsid w:val="000D74AA"/>
    <w:rsid w:val="000E3AC5"/>
    <w:rsid w:val="000E4C84"/>
    <w:rsid w:val="000E6613"/>
    <w:rsid w:val="000E6663"/>
    <w:rsid w:val="000E7119"/>
    <w:rsid w:val="000E75B2"/>
    <w:rsid w:val="000F0D1B"/>
    <w:rsid w:val="000F3E1D"/>
    <w:rsid w:val="000F7336"/>
    <w:rsid w:val="00101546"/>
    <w:rsid w:val="00106B75"/>
    <w:rsid w:val="0010727E"/>
    <w:rsid w:val="00107CCA"/>
    <w:rsid w:val="00110310"/>
    <w:rsid w:val="0011211B"/>
    <w:rsid w:val="00112787"/>
    <w:rsid w:val="00114E9B"/>
    <w:rsid w:val="0011649B"/>
    <w:rsid w:val="00116E5E"/>
    <w:rsid w:val="0012218E"/>
    <w:rsid w:val="0012398F"/>
    <w:rsid w:val="00124113"/>
    <w:rsid w:val="00124BFE"/>
    <w:rsid w:val="0012516D"/>
    <w:rsid w:val="00125224"/>
    <w:rsid w:val="00130F18"/>
    <w:rsid w:val="00133C7A"/>
    <w:rsid w:val="0013434B"/>
    <w:rsid w:val="00137E3C"/>
    <w:rsid w:val="001418EE"/>
    <w:rsid w:val="00142F42"/>
    <w:rsid w:val="00143AE1"/>
    <w:rsid w:val="00143C8F"/>
    <w:rsid w:val="001446FE"/>
    <w:rsid w:val="00144A59"/>
    <w:rsid w:val="00146A3D"/>
    <w:rsid w:val="0014729F"/>
    <w:rsid w:val="00147410"/>
    <w:rsid w:val="001506F6"/>
    <w:rsid w:val="00151128"/>
    <w:rsid w:val="0015213E"/>
    <w:rsid w:val="001544D9"/>
    <w:rsid w:val="00156D25"/>
    <w:rsid w:val="00156D5D"/>
    <w:rsid w:val="00157BAB"/>
    <w:rsid w:val="0016151A"/>
    <w:rsid w:val="00163B54"/>
    <w:rsid w:val="00163F03"/>
    <w:rsid w:val="001654D1"/>
    <w:rsid w:val="00166A14"/>
    <w:rsid w:val="00166F25"/>
    <w:rsid w:val="0016730C"/>
    <w:rsid w:val="00167FD7"/>
    <w:rsid w:val="0017190C"/>
    <w:rsid w:val="00174145"/>
    <w:rsid w:val="0018106D"/>
    <w:rsid w:val="0018125C"/>
    <w:rsid w:val="00181856"/>
    <w:rsid w:val="00183B64"/>
    <w:rsid w:val="00184B52"/>
    <w:rsid w:val="001877A7"/>
    <w:rsid w:val="00187CD2"/>
    <w:rsid w:val="00191536"/>
    <w:rsid w:val="00191B2C"/>
    <w:rsid w:val="001927B3"/>
    <w:rsid w:val="00193E73"/>
    <w:rsid w:val="00193FE2"/>
    <w:rsid w:val="001959D9"/>
    <w:rsid w:val="00195AB7"/>
    <w:rsid w:val="00196687"/>
    <w:rsid w:val="001A0107"/>
    <w:rsid w:val="001A0B9F"/>
    <w:rsid w:val="001A0EA2"/>
    <w:rsid w:val="001A1DBF"/>
    <w:rsid w:val="001A41F1"/>
    <w:rsid w:val="001A5CF3"/>
    <w:rsid w:val="001A63BB"/>
    <w:rsid w:val="001B1840"/>
    <w:rsid w:val="001B1FA9"/>
    <w:rsid w:val="001B2FB3"/>
    <w:rsid w:val="001B5F65"/>
    <w:rsid w:val="001B6640"/>
    <w:rsid w:val="001B7FF7"/>
    <w:rsid w:val="001C0962"/>
    <w:rsid w:val="001C1941"/>
    <w:rsid w:val="001C1A81"/>
    <w:rsid w:val="001C38A5"/>
    <w:rsid w:val="001C597C"/>
    <w:rsid w:val="001C6464"/>
    <w:rsid w:val="001C746B"/>
    <w:rsid w:val="001D14B6"/>
    <w:rsid w:val="001D342B"/>
    <w:rsid w:val="001D6C1E"/>
    <w:rsid w:val="001D7531"/>
    <w:rsid w:val="001E0A1B"/>
    <w:rsid w:val="001E1402"/>
    <w:rsid w:val="001E2922"/>
    <w:rsid w:val="001E3680"/>
    <w:rsid w:val="001E6926"/>
    <w:rsid w:val="001E737D"/>
    <w:rsid w:val="001F0592"/>
    <w:rsid w:val="001F0C89"/>
    <w:rsid w:val="001F7506"/>
    <w:rsid w:val="002006CD"/>
    <w:rsid w:val="0020075A"/>
    <w:rsid w:val="00202B36"/>
    <w:rsid w:val="00202C44"/>
    <w:rsid w:val="00202F80"/>
    <w:rsid w:val="002030A5"/>
    <w:rsid w:val="00204B7A"/>
    <w:rsid w:val="00206616"/>
    <w:rsid w:val="0020689D"/>
    <w:rsid w:val="00206B0E"/>
    <w:rsid w:val="00207949"/>
    <w:rsid w:val="0021101A"/>
    <w:rsid w:val="0021190F"/>
    <w:rsid w:val="0021334C"/>
    <w:rsid w:val="00216B50"/>
    <w:rsid w:val="00220536"/>
    <w:rsid w:val="00220C02"/>
    <w:rsid w:val="00224F1D"/>
    <w:rsid w:val="00225CB7"/>
    <w:rsid w:val="0023060C"/>
    <w:rsid w:val="00234E40"/>
    <w:rsid w:val="00235629"/>
    <w:rsid w:val="00237409"/>
    <w:rsid w:val="00237AE4"/>
    <w:rsid w:val="00240C43"/>
    <w:rsid w:val="00240C5D"/>
    <w:rsid w:val="00243589"/>
    <w:rsid w:val="002527B1"/>
    <w:rsid w:val="0025301B"/>
    <w:rsid w:val="00253FF8"/>
    <w:rsid w:val="00260A32"/>
    <w:rsid w:val="00260C38"/>
    <w:rsid w:val="00260F84"/>
    <w:rsid w:val="002616C0"/>
    <w:rsid w:val="002620C0"/>
    <w:rsid w:val="002662AA"/>
    <w:rsid w:val="00267E1C"/>
    <w:rsid w:val="00272FB2"/>
    <w:rsid w:val="0027313F"/>
    <w:rsid w:val="00273F8B"/>
    <w:rsid w:val="002740FA"/>
    <w:rsid w:val="0027692F"/>
    <w:rsid w:val="0027703A"/>
    <w:rsid w:val="00277BF4"/>
    <w:rsid w:val="002803BD"/>
    <w:rsid w:val="00280496"/>
    <w:rsid w:val="00283D63"/>
    <w:rsid w:val="00283E91"/>
    <w:rsid w:val="002856F9"/>
    <w:rsid w:val="002866CA"/>
    <w:rsid w:val="00286C21"/>
    <w:rsid w:val="002875BF"/>
    <w:rsid w:val="0029076F"/>
    <w:rsid w:val="0029094E"/>
    <w:rsid w:val="00291DC2"/>
    <w:rsid w:val="00292626"/>
    <w:rsid w:val="00292E6B"/>
    <w:rsid w:val="00295495"/>
    <w:rsid w:val="002A0D55"/>
    <w:rsid w:val="002A0E88"/>
    <w:rsid w:val="002A1940"/>
    <w:rsid w:val="002A3F4C"/>
    <w:rsid w:val="002A70D7"/>
    <w:rsid w:val="002A77B7"/>
    <w:rsid w:val="002A7AE1"/>
    <w:rsid w:val="002B133E"/>
    <w:rsid w:val="002B1B6D"/>
    <w:rsid w:val="002B2613"/>
    <w:rsid w:val="002B2C2A"/>
    <w:rsid w:val="002B2F51"/>
    <w:rsid w:val="002B44FC"/>
    <w:rsid w:val="002B5438"/>
    <w:rsid w:val="002B544A"/>
    <w:rsid w:val="002B5F40"/>
    <w:rsid w:val="002B79B7"/>
    <w:rsid w:val="002C00BF"/>
    <w:rsid w:val="002C0137"/>
    <w:rsid w:val="002C1004"/>
    <w:rsid w:val="002C1E97"/>
    <w:rsid w:val="002C4022"/>
    <w:rsid w:val="002C5275"/>
    <w:rsid w:val="002C6074"/>
    <w:rsid w:val="002D1F9E"/>
    <w:rsid w:val="002D30E8"/>
    <w:rsid w:val="002E0F9C"/>
    <w:rsid w:val="002E1F75"/>
    <w:rsid w:val="002E202A"/>
    <w:rsid w:val="002E5C3A"/>
    <w:rsid w:val="002E64D0"/>
    <w:rsid w:val="002F1818"/>
    <w:rsid w:val="002F1A28"/>
    <w:rsid w:val="002F2C84"/>
    <w:rsid w:val="002F335F"/>
    <w:rsid w:val="002F567B"/>
    <w:rsid w:val="002F66D8"/>
    <w:rsid w:val="002F7353"/>
    <w:rsid w:val="0030080A"/>
    <w:rsid w:val="0030298F"/>
    <w:rsid w:val="00302AF1"/>
    <w:rsid w:val="00305126"/>
    <w:rsid w:val="0030593B"/>
    <w:rsid w:val="00310306"/>
    <w:rsid w:val="0031156F"/>
    <w:rsid w:val="00317FD1"/>
    <w:rsid w:val="00321358"/>
    <w:rsid w:val="003216A9"/>
    <w:rsid w:val="00322D89"/>
    <w:rsid w:val="00325332"/>
    <w:rsid w:val="00325856"/>
    <w:rsid w:val="00325985"/>
    <w:rsid w:val="003278AA"/>
    <w:rsid w:val="00332726"/>
    <w:rsid w:val="0033309F"/>
    <w:rsid w:val="00335ED6"/>
    <w:rsid w:val="00337694"/>
    <w:rsid w:val="003431B7"/>
    <w:rsid w:val="0034381A"/>
    <w:rsid w:val="003440C6"/>
    <w:rsid w:val="00350C26"/>
    <w:rsid w:val="003515CF"/>
    <w:rsid w:val="00353569"/>
    <w:rsid w:val="00354D51"/>
    <w:rsid w:val="0035612F"/>
    <w:rsid w:val="00356A32"/>
    <w:rsid w:val="0035779A"/>
    <w:rsid w:val="00360394"/>
    <w:rsid w:val="0036392A"/>
    <w:rsid w:val="003663FE"/>
    <w:rsid w:val="0036688B"/>
    <w:rsid w:val="00366A86"/>
    <w:rsid w:val="00367683"/>
    <w:rsid w:val="00367B91"/>
    <w:rsid w:val="0037013F"/>
    <w:rsid w:val="00373FCE"/>
    <w:rsid w:val="00377A4C"/>
    <w:rsid w:val="003802FF"/>
    <w:rsid w:val="00380C92"/>
    <w:rsid w:val="00383877"/>
    <w:rsid w:val="00385025"/>
    <w:rsid w:val="00386455"/>
    <w:rsid w:val="00390D36"/>
    <w:rsid w:val="00390F3B"/>
    <w:rsid w:val="0039111A"/>
    <w:rsid w:val="003936B4"/>
    <w:rsid w:val="00393AFD"/>
    <w:rsid w:val="003A079E"/>
    <w:rsid w:val="003A10FA"/>
    <w:rsid w:val="003A163E"/>
    <w:rsid w:val="003A32EC"/>
    <w:rsid w:val="003A36AE"/>
    <w:rsid w:val="003A3ACA"/>
    <w:rsid w:val="003A4404"/>
    <w:rsid w:val="003A484F"/>
    <w:rsid w:val="003A4F96"/>
    <w:rsid w:val="003A5540"/>
    <w:rsid w:val="003B0BE0"/>
    <w:rsid w:val="003B0C1A"/>
    <w:rsid w:val="003B0C1B"/>
    <w:rsid w:val="003B5601"/>
    <w:rsid w:val="003B688C"/>
    <w:rsid w:val="003C0291"/>
    <w:rsid w:val="003C2ECB"/>
    <w:rsid w:val="003C350E"/>
    <w:rsid w:val="003C39AE"/>
    <w:rsid w:val="003C6D0D"/>
    <w:rsid w:val="003C76CC"/>
    <w:rsid w:val="003C7B60"/>
    <w:rsid w:val="003D0821"/>
    <w:rsid w:val="003D1FB2"/>
    <w:rsid w:val="003D2303"/>
    <w:rsid w:val="003D3CC9"/>
    <w:rsid w:val="003D4221"/>
    <w:rsid w:val="003D644D"/>
    <w:rsid w:val="003D66DA"/>
    <w:rsid w:val="003E10D3"/>
    <w:rsid w:val="003E1310"/>
    <w:rsid w:val="003E2E1C"/>
    <w:rsid w:val="003E5BD3"/>
    <w:rsid w:val="003E6348"/>
    <w:rsid w:val="003E6F55"/>
    <w:rsid w:val="003F133D"/>
    <w:rsid w:val="003F2794"/>
    <w:rsid w:val="003F339D"/>
    <w:rsid w:val="003F363F"/>
    <w:rsid w:val="003F3A2A"/>
    <w:rsid w:val="003F3DED"/>
    <w:rsid w:val="003F3E94"/>
    <w:rsid w:val="003F44B8"/>
    <w:rsid w:val="003F7CD6"/>
    <w:rsid w:val="00400549"/>
    <w:rsid w:val="00401C71"/>
    <w:rsid w:val="004026F9"/>
    <w:rsid w:val="00402FCE"/>
    <w:rsid w:val="00405639"/>
    <w:rsid w:val="00406254"/>
    <w:rsid w:val="004071E0"/>
    <w:rsid w:val="00407AD0"/>
    <w:rsid w:val="00410C16"/>
    <w:rsid w:val="00422023"/>
    <w:rsid w:val="004223DE"/>
    <w:rsid w:val="004234B2"/>
    <w:rsid w:val="00426FA8"/>
    <w:rsid w:val="00427162"/>
    <w:rsid w:val="0043341C"/>
    <w:rsid w:val="004343F3"/>
    <w:rsid w:val="00434489"/>
    <w:rsid w:val="0043475E"/>
    <w:rsid w:val="0043497B"/>
    <w:rsid w:val="00435137"/>
    <w:rsid w:val="00436E88"/>
    <w:rsid w:val="00437085"/>
    <w:rsid w:val="004370D1"/>
    <w:rsid w:val="00440872"/>
    <w:rsid w:val="00440A29"/>
    <w:rsid w:val="00441C18"/>
    <w:rsid w:val="004422EF"/>
    <w:rsid w:val="00443880"/>
    <w:rsid w:val="00444CE1"/>
    <w:rsid w:val="0044578E"/>
    <w:rsid w:val="0044581C"/>
    <w:rsid w:val="004464F4"/>
    <w:rsid w:val="00446FA9"/>
    <w:rsid w:val="00447035"/>
    <w:rsid w:val="00450BFF"/>
    <w:rsid w:val="00454FA9"/>
    <w:rsid w:val="004571F2"/>
    <w:rsid w:val="0045723A"/>
    <w:rsid w:val="00460A67"/>
    <w:rsid w:val="00461A98"/>
    <w:rsid w:val="00462B33"/>
    <w:rsid w:val="0046346E"/>
    <w:rsid w:val="004700E2"/>
    <w:rsid w:val="004708B9"/>
    <w:rsid w:val="00471401"/>
    <w:rsid w:val="00471CBB"/>
    <w:rsid w:val="00473F31"/>
    <w:rsid w:val="00474218"/>
    <w:rsid w:val="004750E8"/>
    <w:rsid w:val="00476F1B"/>
    <w:rsid w:val="0047729B"/>
    <w:rsid w:val="0048263A"/>
    <w:rsid w:val="0048368B"/>
    <w:rsid w:val="0048372E"/>
    <w:rsid w:val="00483F46"/>
    <w:rsid w:val="00484CD3"/>
    <w:rsid w:val="004857E4"/>
    <w:rsid w:val="00486073"/>
    <w:rsid w:val="0048694C"/>
    <w:rsid w:val="00486E3E"/>
    <w:rsid w:val="00487E5D"/>
    <w:rsid w:val="00491181"/>
    <w:rsid w:val="00492070"/>
    <w:rsid w:val="004941B6"/>
    <w:rsid w:val="00497E59"/>
    <w:rsid w:val="004A2A48"/>
    <w:rsid w:val="004A4A66"/>
    <w:rsid w:val="004A4B01"/>
    <w:rsid w:val="004A5576"/>
    <w:rsid w:val="004A6B85"/>
    <w:rsid w:val="004A711F"/>
    <w:rsid w:val="004A7B2B"/>
    <w:rsid w:val="004B01AE"/>
    <w:rsid w:val="004B199D"/>
    <w:rsid w:val="004B2279"/>
    <w:rsid w:val="004B25B9"/>
    <w:rsid w:val="004B3F00"/>
    <w:rsid w:val="004B4690"/>
    <w:rsid w:val="004B7108"/>
    <w:rsid w:val="004B778F"/>
    <w:rsid w:val="004B785F"/>
    <w:rsid w:val="004C01B1"/>
    <w:rsid w:val="004C062D"/>
    <w:rsid w:val="004C4638"/>
    <w:rsid w:val="004C5745"/>
    <w:rsid w:val="004C5DBD"/>
    <w:rsid w:val="004C62FA"/>
    <w:rsid w:val="004C6FB9"/>
    <w:rsid w:val="004D1DC6"/>
    <w:rsid w:val="004D31FB"/>
    <w:rsid w:val="004D4BB1"/>
    <w:rsid w:val="004D4D6E"/>
    <w:rsid w:val="004D4DA3"/>
    <w:rsid w:val="004D798C"/>
    <w:rsid w:val="004D7AEF"/>
    <w:rsid w:val="004E028C"/>
    <w:rsid w:val="004E0815"/>
    <w:rsid w:val="004E0A2D"/>
    <w:rsid w:val="004E206B"/>
    <w:rsid w:val="004E3DEC"/>
    <w:rsid w:val="004E67E0"/>
    <w:rsid w:val="004E6DF7"/>
    <w:rsid w:val="004F0FBD"/>
    <w:rsid w:val="00501436"/>
    <w:rsid w:val="00501B3E"/>
    <w:rsid w:val="00502053"/>
    <w:rsid w:val="005020BB"/>
    <w:rsid w:val="00505843"/>
    <w:rsid w:val="00505A47"/>
    <w:rsid w:val="0050679E"/>
    <w:rsid w:val="0051166F"/>
    <w:rsid w:val="0051173A"/>
    <w:rsid w:val="00512FDA"/>
    <w:rsid w:val="00513ED7"/>
    <w:rsid w:val="0051467D"/>
    <w:rsid w:val="00520DA0"/>
    <w:rsid w:val="005225FC"/>
    <w:rsid w:val="00524AC4"/>
    <w:rsid w:val="0052729E"/>
    <w:rsid w:val="0052733D"/>
    <w:rsid w:val="00530E19"/>
    <w:rsid w:val="00530F71"/>
    <w:rsid w:val="005322EB"/>
    <w:rsid w:val="0053459C"/>
    <w:rsid w:val="00550726"/>
    <w:rsid w:val="00550F95"/>
    <w:rsid w:val="0055106D"/>
    <w:rsid w:val="005559A4"/>
    <w:rsid w:val="0056304B"/>
    <w:rsid w:val="005651E3"/>
    <w:rsid w:val="00565D17"/>
    <w:rsid w:val="005664BB"/>
    <w:rsid w:val="00566C08"/>
    <w:rsid w:val="0056722F"/>
    <w:rsid w:val="00567B67"/>
    <w:rsid w:val="00570C62"/>
    <w:rsid w:val="00572EB1"/>
    <w:rsid w:val="00572EC9"/>
    <w:rsid w:val="00573576"/>
    <w:rsid w:val="0057481D"/>
    <w:rsid w:val="0057798B"/>
    <w:rsid w:val="00577A75"/>
    <w:rsid w:val="00577DF2"/>
    <w:rsid w:val="00580D35"/>
    <w:rsid w:val="0058486E"/>
    <w:rsid w:val="00584F2B"/>
    <w:rsid w:val="005935E9"/>
    <w:rsid w:val="005939BC"/>
    <w:rsid w:val="00593D4E"/>
    <w:rsid w:val="005975DB"/>
    <w:rsid w:val="00597919"/>
    <w:rsid w:val="005A0204"/>
    <w:rsid w:val="005A0CF8"/>
    <w:rsid w:val="005A324B"/>
    <w:rsid w:val="005B186A"/>
    <w:rsid w:val="005B553C"/>
    <w:rsid w:val="005B57DB"/>
    <w:rsid w:val="005B58F9"/>
    <w:rsid w:val="005B5ACB"/>
    <w:rsid w:val="005B76E6"/>
    <w:rsid w:val="005C0AF7"/>
    <w:rsid w:val="005C0B82"/>
    <w:rsid w:val="005C0D5C"/>
    <w:rsid w:val="005C4A4C"/>
    <w:rsid w:val="005C52C6"/>
    <w:rsid w:val="005C7204"/>
    <w:rsid w:val="005D1C8B"/>
    <w:rsid w:val="005D5CED"/>
    <w:rsid w:val="005D6054"/>
    <w:rsid w:val="005E1522"/>
    <w:rsid w:val="005E3365"/>
    <w:rsid w:val="005E5517"/>
    <w:rsid w:val="005F0705"/>
    <w:rsid w:val="005F0C83"/>
    <w:rsid w:val="005F1A4C"/>
    <w:rsid w:val="005F1F76"/>
    <w:rsid w:val="005F2C70"/>
    <w:rsid w:val="005F32B6"/>
    <w:rsid w:val="005F4162"/>
    <w:rsid w:val="005F44C7"/>
    <w:rsid w:val="005F632F"/>
    <w:rsid w:val="00600946"/>
    <w:rsid w:val="006044AC"/>
    <w:rsid w:val="00604551"/>
    <w:rsid w:val="00605688"/>
    <w:rsid w:val="006070AF"/>
    <w:rsid w:val="00607816"/>
    <w:rsid w:val="00607E6C"/>
    <w:rsid w:val="006101B1"/>
    <w:rsid w:val="00611AD3"/>
    <w:rsid w:val="00612209"/>
    <w:rsid w:val="00614423"/>
    <w:rsid w:val="00614E44"/>
    <w:rsid w:val="006155B0"/>
    <w:rsid w:val="006205F4"/>
    <w:rsid w:val="00620717"/>
    <w:rsid w:val="00622830"/>
    <w:rsid w:val="006256DB"/>
    <w:rsid w:val="00630AEF"/>
    <w:rsid w:val="00630BB3"/>
    <w:rsid w:val="006325F8"/>
    <w:rsid w:val="00633AE4"/>
    <w:rsid w:val="006348B1"/>
    <w:rsid w:val="00634C9A"/>
    <w:rsid w:val="00635FC7"/>
    <w:rsid w:val="00636040"/>
    <w:rsid w:val="00642529"/>
    <w:rsid w:val="0064301E"/>
    <w:rsid w:val="00643322"/>
    <w:rsid w:val="00643C0A"/>
    <w:rsid w:val="006440E4"/>
    <w:rsid w:val="00645301"/>
    <w:rsid w:val="00645F78"/>
    <w:rsid w:val="0064753B"/>
    <w:rsid w:val="00650D36"/>
    <w:rsid w:val="00650F17"/>
    <w:rsid w:val="006511E7"/>
    <w:rsid w:val="0065182B"/>
    <w:rsid w:val="00660339"/>
    <w:rsid w:val="00660F57"/>
    <w:rsid w:val="00661830"/>
    <w:rsid w:val="0066343B"/>
    <w:rsid w:val="00663BDD"/>
    <w:rsid w:val="00664777"/>
    <w:rsid w:val="00664ED7"/>
    <w:rsid w:val="0066615D"/>
    <w:rsid w:val="00666366"/>
    <w:rsid w:val="0066748A"/>
    <w:rsid w:val="0067155A"/>
    <w:rsid w:val="00671D25"/>
    <w:rsid w:val="00672345"/>
    <w:rsid w:val="00673381"/>
    <w:rsid w:val="006740AB"/>
    <w:rsid w:val="00674446"/>
    <w:rsid w:val="006748A4"/>
    <w:rsid w:val="006757D8"/>
    <w:rsid w:val="00680EF7"/>
    <w:rsid w:val="00683E73"/>
    <w:rsid w:val="0068590F"/>
    <w:rsid w:val="00686CF0"/>
    <w:rsid w:val="00687CAC"/>
    <w:rsid w:val="00691D82"/>
    <w:rsid w:val="006931FE"/>
    <w:rsid w:val="006947FC"/>
    <w:rsid w:val="006950FD"/>
    <w:rsid w:val="00695AD3"/>
    <w:rsid w:val="00696ACE"/>
    <w:rsid w:val="006A01D3"/>
    <w:rsid w:val="006A04FE"/>
    <w:rsid w:val="006A0C2C"/>
    <w:rsid w:val="006A0C51"/>
    <w:rsid w:val="006A1E7E"/>
    <w:rsid w:val="006A2BCD"/>
    <w:rsid w:val="006A3141"/>
    <w:rsid w:val="006A5E34"/>
    <w:rsid w:val="006A75B7"/>
    <w:rsid w:val="006B0ABA"/>
    <w:rsid w:val="006B2422"/>
    <w:rsid w:val="006B2B9A"/>
    <w:rsid w:val="006B2E2F"/>
    <w:rsid w:val="006B471C"/>
    <w:rsid w:val="006B4C59"/>
    <w:rsid w:val="006B533E"/>
    <w:rsid w:val="006C04D7"/>
    <w:rsid w:val="006C1937"/>
    <w:rsid w:val="006C397F"/>
    <w:rsid w:val="006C6427"/>
    <w:rsid w:val="006C76DB"/>
    <w:rsid w:val="006D1F0B"/>
    <w:rsid w:val="006D42C6"/>
    <w:rsid w:val="006E0081"/>
    <w:rsid w:val="006E0706"/>
    <w:rsid w:val="006E3700"/>
    <w:rsid w:val="006E6C66"/>
    <w:rsid w:val="006F020C"/>
    <w:rsid w:val="006F3DF7"/>
    <w:rsid w:val="006F7849"/>
    <w:rsid w:val="006F7CBD"/>
    <w:rsid w:val="0070094B"/>
    <w:rsid w:val="007040F2"/>
    <w:rsid w:val="00705B7C"/>
    <w:rsid w:val="00705E24"/>
    <w:rsid w:val="00707EEC"/>
    <w:rsid w:val="007115FE"/>
    <w:rsid w:val="007127B7"/>
    <w:rsid w:val="00713977"/>
    <w:rsid w:val="00714DBE"/>
    <w:rsid w:val="007220F2"/>
    <w:rsid w:val="007231D9"/>
    <w:rsid w:val="007244D2"/>
    <w:rsid w:val="00725B08"/>
    <w:rsid w:val="007355BA"/>
    <w:rsid w:val="0074019B"/>
    <w:rsid w:val="007403C2"/>
    <w:rsid w:val="007410FA"/>
    <w:rsid w:val="007416B6"/>
    <w:rsid w:val="007426C0"/>
    <w:rsid w:val="00746F48"/>
    <w:rsid w:val="0074730D"/>
    <w:rsid w:val="0075129E"/>
    <w:rsid w:val="00751951"/>
    <w:rsid w:val="00751EE9"/>
    <w:rsid w:val="007522D6"/>
    <w:rsid w:val="007525C3"/>
    <w:rsid w:val="007537B3"/>
    <w:rsid w:val="00753DC2"/>
    <w:rsid w:val="0075404D"/>
    <w:rsid w:val="0075503D"/>
    <w:rsid w:val="0076078E"/>
    <w:rsid w:val="00760D5E"/>
    <w:rsid w:val="0076182A"/>
    <w:rsid w:val="00763BC1"/>
    <w:rsid w:val="0076499D"/>
    <w:rsid w:val="007656DB"/>
    <w:rsid w:val="007676D8"/>
    <w:rsid w:val="00767A7D"/>
    <w:rsid w:val="00767B7E"/>
    <w:rsid w:val="00767BE6"/>
    <w:rsid w:val="00775A39"/>
    <w:rsid w:val="00776900"/>
    <w:rsid w:val="007770C3"/>
    <w:rsid w:val="00780AAA"/>
    <w:rsid w:val="00781060"/>
    <w:rsid w:val="0078143E"/>
    <w:rsid w:val="0078201F"/>
    <w:rsid w:val="007820E1"/>
    <w:rsid w:val="00784D24"/>
    <w:rsid w:val="00784D4C"/>
    <w:rsid w:val="00784E42"/>
    <w:rsid w:val="00785FBA"/>
    <w:rsid w:val="00786E4A"/>
    <w:rsid w:val="007875EB"/>
    <w:rsid w:val="00787E51"/>
    <w:rsid w:val="00792C26"/>
    <w:rsid w:val="0079426B"/>
    <w:rsid w:val="00794D8C"/>
    <w:rsid w:val="00794F74"/>
    <w:rsid w:val="0079655C"/>
    <w:rsid w:val="007A0619"/>
    <w:rsid w:val="007A762F"/>
    <w:rsid w:val="007B0CA2"/>
    <w:rsid w:val="007B5C15"/>
    <w:rsid w:val="007B6032"/>
    <w:rsid w:val="007B6B9B"/>
    <w:rsid w:val="007C014E"/>
    <w:rsid w:val="007C0C20"/>
    <w:rsid w:val="007C0E0A"/>
    <w:rsid w:val="007C2008"/>
    <w:rsid w:val="007C26C9"/>
    <w:rsid w:val="007C57E7"/>
    <w:rsid w:val="007C6362"/>
    <w:rsid w:val="007C70B5"/>
    <w:rsid w:val="007C72D0"/>
    <w:rsid w:val="007D028D"/>
    <w:rsid w:val="007D0AE2"/>
    <w:rsid w:val="007D0C80"/>
    <w:rsid w:val="007D312A"/>
    <w:rsid w:val="007D3F19"/>
    <w:rsid w:val="007D40BF"/>
    <w:rsid w:val="007D598F"/>
    <w:rsid w:val="007D7F29"/>
    <w:rsid w:val="007E0391"/>
    <w:rsid w:val="007E2118"/>
    <w:rsid w:val="007E23B0"/>
    <w:rsid w:val="007E30F0"/>
    <w:rsid w:val="007E4E9E"/>
    <w:rsid w:val="007E4F63"/>
    <w:rsid w:val="007E5C1C"/>
    <w:rsid w:val="007E6821"/>
    <w:rsid w:val="007E6A33"/>
    <w:rsid w:val="007E6D1B"/>
    <w:rsid w:val="007F0CD6"/>
    <w:rsid w:val="007F0EAA"/>
    <w:rsid w:val="007F1991"/>
    <w:rsid w:val="007F1E4C"/>
    <w:rsid w:val="007F2C2F"/>
    <w:rsid w:val="007F2D6D"/>
    <w:rsid w:val="007F55FC"/>
    <w:rsid w:val="007F5665"/>
    <w:rsid w:val="007F57B1"/>
    <w:rsid w:val="007F5B1E"/>
    <w:rsid w:val="007F703A"/>
    <w:rsid w:val="007F772D"/>
    <w:rsid w:val="007F78DE"/>
    <w:rsid w:val="00800112"/>
    <w:rsid w:val="0080112E"/>
    <w:rsid w:val="008014B3"/>
    <w:rsid w:val="008031B0"/>
    <w:rsid w:val="008068DA"/>
    <w:rsid w:val="00806B6F"/>
    <w:rsid w:val="00807797"/>
    <w:rsid w:val="0081195D"/>
    <w:rsid w:val="00811C29"/>
    <w:rsid w:val="00812255"/>
    <w:rsid w:val="00813AEF"/>
    <w:rsid w:val="00815AF8"/>
    <w:rsid w:val="008169F8"/>
    <w:rsid w:val="00820AF4"/>
    <w:rsid w:val="008212F9"/>
    <w:rsid w:val="008244FA"/>
    <w:rsid w:val="008248EC"/>
    <w:rsid w:val="00824C90"/>
    <w:rsid w:val="00824CEE"/>
    <w:rsid w:val="008253BB"/>
    <w:rsid w:val="008273C2"/>
    <w:rsid w:val="00830A33"/>
    <w:rsid w:val="00830F24"/>
    <w:rsid w:val="0083234B"/>
    <w:rsid w:val="00833D7A"/>
    <w:rsid w:val="008347A0"/>
    <w:rsid w:val="00835B31"/>
    <w:rsid w:val="00836025"/>
    <w:rsid w:val="0083706E"/>
    <w:rsid w:val="00840550"/>
    <w:rsid w:val="008423A5"/>
    <w:rsid w:val="00843431"/>
    <w:rsid w:val="00845501"/>
    <w:rsid w:val="008503A5"/>
    <w:rsid w:val="00850625"/>
    <w:rsid w:val="008511F3"/>
    <w:rsid w:val="00851894"/>
    <w:rsid w:val="0085265B"/>
    <w:rsid w:val="00852C5C"/>
    <w:rsid w:val="00853718"/>
    <w:rsid w:val="00855221"/>
    <w:rsid w:val="00855AF5"/>
    <w:rsid w:val="00855E16"/>
    <w:rsid w:val="00857B79"/>
    <w:rsid w:val="00860645"/>
    <w:rsid w:val="00860C44"/>
    <w:rsid w:val="0086131A"/>
    <w:rsid w:val="00862A9D"/>
    <w:rsid w:val="00863483"/>
    <w:rsid w:val="00863CF0"/>
    <w:rsid w:val="00863D72"/>
    <w:rsid w:val="00865F20"/>
    <w:rsid w:val="00867695"/>
    <w:rsid w:val="00870000"/>
    <w:rsid w:val="00870C33"/>
    <w:rsid w:val="00871F71"/>
    <w:rsid w:val="008722FB"/>
    <w:rsid w:val="00872F95"/>
    <w:rsid w:val="00873D8F"/>
    <w:rsid w:val="0087464B"/>
    <w:rsid w:val="00875814"/>
    <w:rsid w:val="00877427"/>
    <w:rsid w:val="0088122F"/>
    <w:rsid w:val="00885AF4"/>
    <w:rsid w:val="00886435"/>
    <w:rsid w:val="008875FA"/>
    <w:rsid w:val="00887A58"/>
    <w:rsid w:val="008918AA"/>
    <w:rsid w:val="008918C9"/>
    <w:rsid w:val="008920D1"/>
    <w:rsid w:val="008939CD"/>
    <w:rsid w:val="00893E7C"/>
    <w:rsid w:val="00895862"/>
    <w:rsid w:val="00896814"/>
    <w:rsid w:val="00897199"/>
    <w:rsid w:val="008A04BB"/>
    <w:rsid w:val="008A6293"/>
    <w:rsid w:val="008A6BC0"/>
    <w:rsid w:val="008A7CE3"/>
    <w:rsid w:val="008B045D"/>
    <w:rsid w:val="008B2B26"/>
    <w:rsid w:val="008B5614"/>
    <w:rsid w:val="008B6287"/>
    <w:rsid w:val="008B69A5"/>
    <w:rsid w:val="008B768C"/>
    <w:rsid w:val="008B7992"/>
    <w:rsid w:val="008C1D33"/>
    <w:rsid w:val="008C33D9"/>
    <w:rsid w:val="008C4DB1"/>
    <w:rsid w:val="008C4EAF"/>
    <w:rsid w:val="008C5176"/>
    <w:rsid w:val="008C7FD0"/>
    <w:rsid w:val="008D06D5"/>
    <w:rsid w:val="008D08E5"/>
    <w:rsid w:val="008D2C92"/>
    <w:rsid w:val="008D2DE2"/>
    <w:rsid w:val="008D55A6"/>
    <w:rsid w:val="008E0EF3"/>
    <w:rsid w:val="008E1DC6"/>
    <w:rsid w:val="008E1DE7"/>
    <w:rsid w:val="008E2847"/>
    <w:rsid w:val="008E380B"/>
    <w:rsid w:val="008E707C"/>
    <w:rsid w:val="008E7651"/>
    <w:rsid w:val="008F24AB"/>
    <w:rsid w:val="00900B08"/>
    <w:rsid w:val="00901E1C"/>
    <w:rsid w:val="00902155"/>
    <w:rsid w:val="00902BCF"/>
    <w:rsid w:val="00902FA3"/>
    <w:rsid w:val="009109D0"/>
    <w:rsid w:val="00910FAA"/>
    <w:rsid w:val="00912DEB"/>
    <w:rsid w:val="00913706"/>
    <w:rsid w:val="00913A29"/>
    <w:rsid w:val="00915BE4"/>
    <w:rsid w:val="009205F5"/>
    <w:rsid w:val="009215C3"/>
    <w:rsid w:val="00923564"/>
    <w:rsid w:val="0092392E"/>
    <w:rsid w:val="00923F58"/>
    <w:rsid w:val="00924FB0"/>
    <w:rsid w:val="00930109"/>
    <w:rsid w:val="00930E8F"/>
    <w:rsid w:val="009315F9"/>
    <w:rsid w:val="009337F3"/>
    <w:rsid w:val="009339C3"/>
    <w:rsid w:val="00934AB8"/>
    <w:rsid w:val="00935D57"/>
    <w:rsid w:val="00936283"/>
    <w:rsid w:val="00940B88"/>
    <w:rsid w:val="00940F73"/>
    <w:rsid w:val="0094526A"/>
    <w:rsid w:val="00945399"/>
    <w:rsid w:val="00945492"/>
    <w:rsid w:val="00945EEC"/>
    <w:rsid w:val="009461EE"/>
    <w:rsid w:val="00946945"/>
    <w:rsid w:val="00947929"/>
    <w:rsid w:val="00947BF1"/>
    <w:rsid w:val="009500E2"/>
    <w:rsid w:val="00951248"/>
    <w:rsid w:val="0095152F"/>
    <w:rsid w:val="009534A8"/>
    <w:rsid w:val="009540C0"/>
    <w:rsid w:val="00954C49"/>
    <w:rsid w:val="00955EAD"/>
    <w:rsid w:val="0095708C"/>
    <w:rsid w:val="00957098"/>
    <w:rsid w:val="00960F20"/>
    <w:rsid w:val="009620B2"/>
    <w:rsid w:val="00962131"/>
    <w:rsid w:val="00962556"/>
    <w:rsid w:val="00964305"/>
    <w:rsid w:val="0096477D"/>
    <w:rsid w:val="00964EBA"/>
    <w:rsid w:val="0097099F"/>
    <w:rsid w:val="009710DA"/>
    <w:rsid w:val="00971997"/>
    <w:rsid w:val="00971FFC"/>
    <w:rsid w:val="00972A49"/>
    <w:rsid w:val="00973726"/>
    <w:rsid w:val="00974188"/>
    <w:rsid w:val="0098033F"/>
    <w:rsid w:val="00985645"/>
    <w:rsid w:val="0098595E"/>
    <w:rsid w:val="00985C49"/>
    <w:rsid w:val="0098660A"/>
    <w:rsid w:val="009869AA"/>
    <w:rsid w:val="009931C3"/>
    <w:rsid w:val="00995CE3"/>
    <w:rsid w:val="009B2C43"/>
    <w:rsid w:val="009B4EAE"/>
    <w:rsid w:val="009B6C92"/>
    <w:rsid w:val="009B7573"/>
    <w:rsid w:val="009C0EF0"/>
    <w:rsid w:val="009C1B2D"/>
    <w:rsid w:val="009C22F4"/>
    <w:rsid w:val="009C2AE3"/>
    <w:rsid w:val="009C2E98"/>
    <w:rsid w:val="009C5896"/>
    <w:rsid w:val="009C6399"/>
    <w:rsid w:val="009D3447"/>
    <w:rsid w:val="009D3AA6"/>
    <w:rsid w:val="009D4711"/>
    <w:rsid w:val="009D5EF4"/>
    <w:rsid w:val="009E0018"/>
    <w:rsid w:val="009E2320"/>
    <w:rsid w:val="009E2C7B"/>
    <w:rsid w:val="009E576A"/>
    <w:rsid w:val="009E7FBF"/>
    <w:rsid w:val="009F1185"/>
    <w:rsid w:val="009F178D"/>
    <w:rsid w:val="009F18CD"/>
    <w:rsid w:val="009F2021"/>
    <w:rsid w:val="009F2A13"/>
    <w:rsid w:val="009F4A42"/>
    <w:rsid w:val="009F4D78"/>
    <w:rsid w:val="009F6A87"/>
    <w:rsid w:val="009F6B63"/>
    <w:rsid w:val="009F6F4A"/>
    <w:rsid w:val="00A02DD4"/>
    <w:rsid w:val="00A04EB0"/>
    <w:rsid w:val="00A05E7E"/>
    <w:rsid w:val="00A06741"/>
    <w:rsid w:val="00A06EF8"/>
    <w:rsid w:val="00A07DE7"/>
    <w:rsid w:val="00A07E24"/>
    <w:rsid w:val="00A1247B"/>
    <w:rsid w:val="00A13443"/>
    <w:rsid w:val="00A13CC1"/>
    <w:rsid w:val="00A15286"/>
    <w:rsid w:val="00A1571F"/>
    <w:rsid w:val="00A1637E"/>
    <w:rsid w:val="00A16684"/>
    <w:rsid w:val="00A16847"/>
    <w:rsid w:val="00A1745F"/>
    <w:rsid w:val="00A2301F"/>
    <w:rsid w:val="00A237D8"/>
    <w:rsid w:val="00A25634"/>
    <w:rsid w:val="00A268C4"/>
    <w:rsid w:val="00A27771"/>
    <w:rsid w:val="00A300FE"/>
    <w:rsid w:val="00A307CD"/>
    <w:rsid w:val="00A3233A"/>
    <w:rsid w:val="00A35068"/>
    <w:rsid w:val="00A3556D"/>
    <w:rsid w:val="00A35870"/>
    <w:rsid w:val="00A35FE0"/>
    <w:rsid w:val="00A40A00"/>
    <w:rsid w:val="00A4142F"/>
    <w:rsid w:val="00A41D4A"/>
    <w:rsid w:val="00A43522"/>
    <w:rsid w:val="00A4622C"/>
    <w:rsid w:val="00A462AA"/>
    <w:rsid w:val="00A46A63"/>
    <w:rsid w:val="00A47A0F"/>
    <w:rsid w:val="00A50F96"/>
    <w:rsid w:val="00A514F8"/>
    <w:rsid w:val="00A52260"/>
    <w:rsid w:val="00A53D20"/>
    <w:rsid w:val="00A54687"/>
    <w:rsid w:val="00A54CE0"/>
    <w:rsid w:val="00A55073"/>
    <w:rsid w:val="00A55447"/>
    <w:rsid w:val="00A55ED8"/>
    <w:rsid w:val="00A56DF2"/>
    <w:rsid w:val="00A56E1B"/>
    <w:rsid w:val="00A57F63"/>
    <w:rsid w:val="00A61738"/>
    <w:rsid w:val="00A62ECF"/>
    <w:rsid w:val="00A63814"/>
    <w:rsid w:val="00A64138"/>
    <w:rsid w:val="00A64421"/>
    <w:rsid w:val="00A659FC"/>
    <w:rsid w:val="00A65DE6"/>
    <w:rsid w:val="00A66D73"/>
    <w:rsid w:val="00A67AB5"/>
    <w:rsid w:val="00A70317"/>
    <w:rsid w:val="00A72FA8"/>
    <w:rsid w:val="00A76B3A"/>
    <w:rsid w:val="00A77CB7"/>
    <w:rsid w:val="00A804D8"/>
    <w:rsid w:val="00A85003"/>
    <w:rsid w:val="00A85A0C"/>
    <w:rsid w:val="00A91460"/>
    <w:rsid w:val="00A91760"/>
    <w:rsid w:val="00A93902"/>
    <w:rsid w:val="00A93B00"/>
    <w:rsid w:val="00A93C21"/>
    <w:rsid w:val="00A94004"/>
    <w:rsid w:val="00A95D33"/>
    <w:rsid w:val="00A96D42"/>
    <w:rsid w:val="00AA1212"/>
    <w:rsid w:val="00AA14EC"/>
    <w:rsid w:val="00AA2E83"/>
    <w:rsid w:val="00AA6693"/>
    <w:rsid w:val="00AA6D23"/>
    <w:rsid w:val="00AA7B07"/>
    <w:rsid w:val="00AB1A65"/>
    <w:rsid w:val="00AB26EC"/>
    <w:rsid w:val="00AB2A36"/>
    <w:rsid w:val="00AB5E60"/>
    <w:rsid w:val="00AB5E86"/>
    <w:rsid w:val="00AB6DD7"/>
    <w:rsid w:val="00AC20D9"/>
    <w:rsid w:val="00AC3237"/>
    <w:rsid w:val="00AC3A9E"/>
    <w:rsid w:val="00AC3C6A"/>
    <w:rsid w:val="00AC40DA"/>
    <w:rsid w:val="00AC6A20"/>
    <w:rsid w:val="00AD013F"/>
    <w:rsid w:val="00AD1561"/>
    <w:rsid w:val="00AD1E04"/>
    <w:rsid w:val="00AD4E89"/>
    <w:rsid w:val="00AD5090"/>
    <w:rsid w:val="00AD55F4"/>
    <w:rsid w:val="00AD5620"/>
    <w:rsid w:val="00AD654C"/>
    <w:rsid w:val="00AD712A"/>
    <w:rsid w:val="00AD7C1B"/>
    <w:rsid w:val="00AE16BA"/>
    <w:rsid w:val="00AE1B18"/>
    <w:rsid w:val="00AE1EBE"/>
    <w:rsid w:val="00AE3F47"/>
    <w:rsid w:val="00AE5217"/>
    <w:rsid w:val="00AE57E5"/>
    <w:rsid w:val="00AE5ACD"/>
    <w:rsid w:val="00AE7003"/>
    <w:rsid w:val="00AE78D4"/>
    <w:rsid w:val="00AF334F"/>
    <w:rsid w:val="00AF567D"/>
    <w:rsid w:val="00B03C9D"/>
    <w:rsid w:val="00B03D45"/>
    <w:rsid w:val="00B03DEF"/>
    <w:rsid w:val="00B04041"/>
    <w:rsid w:val="00B046DB"/>
    <w:rsid w:val="00B059FA"/>
    <w:rsid w:val="00B060AE"/>
    <w:rsid w:val="00B06286"/>
    <w:rsid w:val="00B06EEB"/>
    <w:rsid w:val="00B07376"/>
    <w:rsid w:val="00B10406"/>
    <w:rsid w:val="00B10517"/>
    <w:rsid w:val="00B1323D"/>
    <w:rsid w:val="00B1364D"/>
    <w:rsid w:val="00B13D51"/>
    <w:rsid w:val="00B13F34"/>
    <w:rsid w:val="00B14E76"/>
    <w:rsid w:val="00B15718"/>
    <w:rsid w:val="00B15757"/>
    <w:rsid w:val="00B161B8"/>
    <w:rsid w:val="00B2048C"/>
    <w:rsid w:val="00B22224"/>
    <w:rsid w:val="00B22E19"/>
    <w:rsid w:val="00B268D9"/>
    <w:rsid w:val="00B30B06"/>
    <w:rsid w:val="00B310B9"/>
    <w:rsid w:val="00B3183E"/>
    <w:rsid w:val="00B330FA"/>
    <w:rsid w:val="00B35211"/>
    <w:rsid w:val="00B35F3F"/>
    <w:rsid w:val="00B36CBB"/>
    <w:rsid w:val="00B370EB"/>
    <w:rsid w:val="00B40532"/>
    <w:rsid w:val="00B425E0"/>
    <w:rsid w:val="00B440AA"/>
    <w:rsid w:val="00B44B70"/>
    <w:rsid w:val="00B47B8F"/>
    <w:rsid w:val="00B50563"/>
    <w:rsid w:val="00B507B7"/>
    <w:rsid w:val="00B51BBE"/>
    <w:rsid w:val="00B53703"/>
    <w:rsid w:val="00B53C56"/>
    <w:rsid w:val="00B53E4F"/>
    <w:rsid w:val="00B54341"/>
    <w:rsid w:val="00B545A6"/>
    <w:rsid w:val="00B5556B"/>
    <w:rsid w:val="00B60A7E"/>
    <w:rsid w:val="00B6427E"/>
    <w:rsid w:val="00B67CE3"/>
    <w:rsid w:val="00B706F1"/>
    <w:rsid w:val="00B725E6"/>
    <w:rsid w:val="00B736DE"/>
    <w:rsid w:val="00B74FE7"/>
    <w:rsid w:val="00B753E0"/>
    <w:rsid w:val="00B7569F"/>
    <w:rsid w:val="00B75C09"/>
    <w:rsid w:val="00B76674"/>
    <w:rsid w:val="00B77EA6"/>
    <w:rsid w:val="00B80439"/>
    <w:rsid w:val="00B80BAB"/>
    <w:rsid w:val="00B81598"/>
    <w:rsid w:val="00B82F7D"/>
    <w:rsid w:val="00B839DA"/>
    <w:rsid w:val="00B83EE2"/>
    <w:rsid w:val="00B841F1"/>
    <w:rsid w:val="00B8480B"/>
    <w:rsid w:val="00B91D3E"/>
    <w:rsid w:val="00B92400"/>
    <w:rsid w:val="00B93AA8"/>
    <w:rsid w:val="00B944D6"/>
    <w:rsid w:val="00B96CD2"/>
    <w:rsid w:val="00BA054C"/>
    <w:rsid w:val="00BA0777"/>
    <w:rsid w:val="00BA0AED"/>
    <w:rsid w:val="00BA22CD"/>
    <w:rsid w:val="00BA3028"/>
    <w:rsid w:val="00BA3356"/>
    <w:rsid w:val="00BA49E7"/>
    <w:rsid w:val="00BA5298"/>
    <w:rsid w:val="00BB1990"/>
    <w:rsid w:val="00BB2D7E"/>
    <w:rsid w:val="00BB4C52"/>
    <w:rsid w:val="00BB4DF0"/>
    <w:rsid w:val="00BC0AE4"/>
    <w:rsid w:val="00BC1202"/>
    <w:rsid w:val="00BC1A97"/>
    <w:rsid w:val="00BC2731"/>
    <w:rsid w:val="00BC289F"/>
    <w:rsid w:val="00BC5361"/>
    <w:rsid w:val="00BC5460"/>
    <w:rsid w:val="00BC6B50"/>
    <w:rsid w:val="00BD0E25"/>
    <w:rsid w:val="00BD2458"/>
    <w:rsid w:val="00BD5121"/>
    <w:rsid w:val="00BD6D67"/>
    <w:rsid w:val="00BD6E57"/>
    <w:rsid w:val="00BE01DE"/>
    <w:rsid w:val="00BE218A"/>
    <w:rsid w:val="00BE39F0"/>
    <w:rsid w:val="00BE5FB5"/>
    <w:rsid w:val="00BE7259"/>
    <w:rsid w:val="00BF060C"/>
    <w:rsid w:val="00BF2962"/>
    <w:rsid w:val="00BF2E85"/>
    <w:rsid w:val="00BF5BD6"/>
    <w:rsid w:val="00BF6316"/>
    <w:rsid w:val="00BF718F"/>
    <w:rsid w:val="00C01DBE"/>
    <w:rsid w:val="00C03E31"/>
    <w:rsid w:val="00C05BAF"/>
    <w:rsid w:val="00C05CAD"/>
    <w:rsid w:val="00C05F29"/>
    <w:rsid w:val="00C06A2B"/>
    <w:rsid w:val="00C11626"/>
    <w:rsid w:val="00C137AD"/>
    <w:rsid w:val="00C13B26"/>
    <w:rsid w:val="00C1480D"/>
    <w:rsid w:val="00C1658B"/>
    <w:rsid w:val="00C23BFD"/>
    <w:rsid w:val="00C24603"/>
    <w:rsid w:val="00C259D0"/>
    <w:rsid w:val="00C30983"/>
    <w:rsid w:val="00C30D73"/>
    <w:rsid w:val="00C313B9"/>
    <w:rsid w:val="00C31B41"/>
    <w:rsid w:val="00C33276"/>
    <w:rsid w:val="00C33E72"/>
    <w:rsid w:val="00C3423D"/>
    <w:rsid w:val="00C342CE"/>
    <w:rsid w:val="00C34C84"/>
    <w:rsid w:val="00C34EED"/>
    <w:rsid w:val="00C354B2"/>
    <w:rsid w:val="00C35554"/>
    <w:rsid w:val="00C36831"/>
    <w:rsid w:val="00C4133E"/>
    <w:rsid w:val="00C41611"/>
    <w:rsid w:val="00C41EB1"/>
    <w:rsid w:val="00C426CE"/>
    <w:rsid w:val="00C42709"/>
    <w:rsid w:val="00C516E5"/>
    <w:rsid w:val="00C5216D"/>
    <w:rsid w:val="00C533CC"/>
    <w:rsid w:val="00C54531"/>
    <w:rsid w:val="00C5751C"/>
    <w:rsid w:val="00C61BFC"/>
    <w:rsid w:val="00C62B85"/>
    <w:rsid w:val="00C634C6"/>
    <w:rsid w:val="00C63DE6"/>
    <w:rsid w:val="00C65438"/>
    <w:rsid w:val="00C65FA1"/>
    <w:rsid w:val="00C663B4"/>
    <w:rsid w:val="00C66789"/>
    <w:rsid w:val="00C677E0"/>
    <w:rsid w:val="00C71C3C"/>
    <w:rsid w:val="00C73C9E"/>
    <w:rsid w:val="00C77033"/>
    <w:rsid w:val="00C77575"/>
    <w:rsid w:val="00C77955"/>
    <w:rsid w:val="00C77D11"/>
    <w:rsid w:val="00C80BE1"/>
    <w:rsid w:val="00C80E5E"/>
    <w:rsid w:val="00C87773"/>
    <w:rsid w:val="00C91BEF"/>
    <w:rsid w:val="00C91CBB"/>
    <w:rsid w:val="00C94460"/>
    <w:rsid w:val="00C94755"/>
    <w:rsid w:val="00C9494C"/>
    <w:rsid w:val="00C976D8"/>
    <w:rsid w:val="00C9779E"/>
    <w:rsid w:val="00CA1D7E"/>
    <w:rsid w:val="00CA4889"/>
    <w:rsid w:val="00CA6417"/>
    <w:rsid w:val="00CA7A47"/>
    <w:rsid w:val="00CA7CBE"/>
    <w:rsid w:val="00CB2258"/>
    <w:rsid w:val="00CB37D6"/>
    <w:rsid w:val="00CB5AA7"/>
    <w:rsid w:val="00CC09B6"/>
    <w:rsid w:val="00CC2ECC"/>
    <w:rsid w:val="00CC42AE"/>
    <w:rsid w:val="00CC5828"/>
    <w:rsid w:val="00CC666F"/>
    <w:rsid w:val="00CD0159"/>
    <w:rsid w:val="00CD1E3F"/>
    <w:rsid w:val="00CD2CD4"/>
    <w:rsid w:val="00CD2F8E"/>
    <w:rsid w:val="00CD33CA"/>
    <w:rsid w:val="00CD41F7"/>
    <w:rsid w:val="00CD7039"/>
    <w:rsid w:val="00CE07D1"/>
    <w:rsid w:val="00CE10F5"/>
    <w:rsid w:val="00CE245D"/>
    <w:rsid w:val="00CE298B"/>
    <w:rsid w:val="00CE41E9"/>
    <w:rsid w:val="00CE4476"/>
    <w:rsid w:val="00CE44F6"/>
    <w:rsid w:val="00CE49DA"/>
    <w:rsid w:val="00CE6166"/>
    <w:rsid w:val="00CE7B61"/>
    <w:rsid w:val="00CF0C95"/>
    <w:rsid w:val="00CF303D"/>
    <w:rsid w:val="00CF32A8"/>
    <w:rsid w:val="00CF47D0"/>
    <w:rsid w:val="00CF537A"/>
    <w:rsid w:val="00CF5A38"/>
    <w:rsid w:val="00D00095"/>
    <w:rsid w:val="00D007A3"/>
    <w:rsid w:val="00D00CD9"/>
    <w:rsid w:val="00D01872"/>
    <w:rsid w:val="00D01D1C"/>
    <w:rsid w:val="00D03F76"/>
    <w:rsid w:val="00D07457"/>
    <w:rsid w:val="00D120DF"/>
    <w:rsid w:val="00D12260"/>
    <w:rsid w:val="00D14981"/>
    <w:rsid w:val="00D17582"/>
    <w:rsid w:val="00D20620"/>
    <w:rsid w:val="00D21AB8"/>
    <w:rsid w:val="00D21B96"/>
    <w:rsid w:val="00D21FCA"/>
    <w:rsid w:val="00D23CC1"/>
    <w:rsid w:val="00D253CD"/>
    <w:rsid w:val="00D26091"/>
    <w:rsid w:val="00D26765"/>
    <w:rsid w:val="00D30031"/>
    <w:rsid w:val="00D34E7C"/>
    <w:rsid w:val="00D35489"/>
    <w:rsid w:val="00D41FB4"/>
    <w:rsid w:val="00D42D3C"/>
    <w:rsid w:val="00D43BB3"/>
    <w:rsid w:val="00D4531F"/>
    <w:rsid w:val="00D5056E"/>
    <w:rsid w:val="00D51276"/>
    <w:rsid w:val="00D577F9"/>
    <w:rsid w:val="00D6086D"/>
    <w:rsid w:val="00D60B63"/>
    <w:rsid w:val="00D6672E"/>
    <w:rsid w:val="00D66F3E"/>
    <w:rsid w:val="00D67949"/>
    <w:rsid w:val="00D70080"/>
    <w:rsid w:val="00D7035F"/>
    <w:rsid w:val="00D70D9E"/>
    <w:rsid w:val="00D7255A"/>
    <w:rsid w:val="00D729A5"/>
    <w:rsid w:val="00D7311E"/>
    <w:rsid w:val="00D74434"/>
    <w:rsid w:val="00D74948"/>
    <w:rsid w:val="00D75E52"/>
    <w:rsid w:val="00D769DB"/>
    <w:rsid w:val="00D8058B"/>
    <w:rsid w:val="00D811F1"/>
    <w:rsid w:val="00D81CF0"/>
    <w:rsid w:val="00D86259"/>
    <w:rsid w:val="00D87885"/>
    <w:rsid w:val="00D9128F"/>
    <w:rsid w:val="00D938FB"/>
    <w:rsid w:val="00D95A81"/>
    <w:rsid w:val="00DA2414"/>
    <w:rsid w:val="00DA2E7B"/>
    <w:rsid w:val="00DA376F"/>
    <w:rsid w:val="00DA4CF4"/>
    <w:rsid w:val="00DA517E"/>
    <w:rsid w:val="00DA64CE"/>
    <w:rsid w:val="00DA65AC"/>
    <w:rsid w:val="00DA73F4"/>
    <w:rsid w:val="00DB1913"/>
    <w:rsid w:val="00DB23A2"/>
    <w:rsid w:val="00DB31AE"/>
    <w:rsid w:val="00DB469B"/>
    <w:rsid w:val="00DB6217"/>
    <w:rsid w:val="00DB6D81"/>
    <w:rsid w:val="00DB7682"/>
    <w:rsid w:val="00DB774B"/>
    <w:rsid w:val="00DB7B27"/>
    <w:rsid w:val="00DB7ED3"/>
    <w:rsid w:val="00DC1D19"/>
    <w:rsid w:val="00DC29F0"/>
    <w:rsid w:val="00DC410D"/>
    <w:rsid w:val="00DC482F"/>
    <w:rsid w:val="00DC4E3B"/>
    <w:rsid w:val="00DC53AB"/>
    <w:rsid w:val="00DC68CA"/>
    <w:rsid w:val="00DC7CBA"/>
    <w:rsid w:val="00DD0F4D"/>
    <w:rsid w:val="00DD109B"/>
    <w:rsid w:val="00DD2D64"/>
    <w:rsid w:val="00DD73B7"/>
    <w:rsid w:val="00DE28E8"/>
    <w:rsid w:val="00DE57ED"/>
    <w:rsid w:val="00DE6D3D"/>
    <w:rsid w:val="00DF0369"/>
    <w:rsid w:val="00DF256A"/>
    <w:rsid w:val="00DF28BC"/>
    <w:rsid w:val="00DF2BBE"/>
    <w:rsid w:val="00DF34B9"/>
    <w:rsid w:val="00DF36DA"/>
    <w:rsid w:val="00DF4EE4"/>
    <w:rsid w:val="00DF69F2"/>
    <w:rsid w:val="00E00C0C"/>
    <w:rsid w:val="00E01053"/>
    <w:rsid w:val="00E032C4"/>
    <w:rsid w:val="00E03AB5"/>
    <w:rsid w:val="00E04FF6"/>
    <w:rsid w:val="00E07ACF"/>
    <w:rsid w:val="00E07C49"/>
    <w:rsid w:val="00E1142E"/>
    <w:rsid w:val="00E11EA9"/>
    <w:rsid w:val="00E13C23"/>
    <w:rsid w:val="00E17451"/>
    <w:rsid w:val="00E176E0"/>
    <w:rsid w:val="00E20F23"/>
    <w:rsid w:val="00E21189"/>
    <w:rsid w:val="00E22344"/>
    <w:rsid w:val="00E22D73"/>
    <w:rsid w:val="00E24A28"/>
    <w:rsid w:val="00E2598A"/>
    <w:rsid w:val="00E26D43"/>
    <w:rsid w:val="00E2719A"/>
    <w:rsid w:val="00E331A1"/>
    <w:rsid w:val="00E33202"/>
    <w:rsid w:val="00E336A9"/>
    <w:rsid w:val="00E339F9"/>
    <w:rsid w:val="00E34D61"/>
    <w:rsid w:val="00E352AD"/>
    <w:rsid w:val="00E35DF9"/>
    <w:rsid w:val="00E36162"/>
    <w:rsid w:val="00E4020E"/>
    <w:rsid w:val="00E41572"/>
    <w:rsid w:val="00E42E24"/>
    <w:rsid w:val="00E4326C"/>
    <w:rsid w:val="00E43716"/>
    <w:rsid w:val="00E43E83"/>
    <w:rsid w:val="00E4418C"/>
    <w:rsid w:val="00E442E7"/>
    <w:rsid w:val="00E47FEC"/>
    <w:rsid w:val="00E50624"/>
    <w:rsid w:val="00E50EC1"/>
    <w:rsid w:val="00E559C8"/>
    <w:rsid w:val="00E559F4"/>
    <w:rsid w:val="00E568DF"/>
    <w:rsid w:val="00E6091E"/>
    <w:rsid w:val="00E63E1C"/>
    <w:rsid w:val="00E64269"/>
    <w:rsid w:val="00E648BF"/>
    <w:rsid w:val="00E67B9B"/>
    <w:rsid w:val="00E70395"/>
    <w:rsid w:val="00E71182"/>
    <w:rsid w:val="00E7180C"/>
    <w:rsid w:val="00E71EE8"/>
    <w:rsid w:val="00E759C7"/>
    <w:rsid w:val="00E778AF"/>
    <w:rsid w:val="00E82267"/>
    <w:rsid w:val="00E82D19"/>
    <w:rsid w:val="00E8382C"/>
    <w:rsid w:val="00E84714"/>
    <w:rsid w:val="00E879E6"/>
    <w:rsid w:val="00E9375F"/>
    <w:rsid w:val="00E938AA"/>
    <w:rsid w:val="00E95984"/>
    <w:rsid w:val="00E96D03"/>
    <w:rsid w:val="00EA010F"/>
    <w:rsid w:val="00EA039B"/>
    <w:rsid w:val="00EA2455"/>
    <w:rsid w:val="00EA262D"/>
    <w:rsid w:val="00EA4AA3"/>
    <w:rsid w:val="00EA4BCA"/>
    <w:rsid w:val="00EA545A"/>
    <w:rsid w:val="00EA5E4F"/>
    <w:rsid w:val="00EB2461"/>
    <w:rsid w:val="00EC1C2C"/>
    <w:rsid w:val="00EC25B6"/>
    <w:rsid w:val="00EC38BD"/>
    <w:rsid w:val="00EC3F04"/>
    <w:rsid w:val="00ED1B63"/>
    <w:rsid w:val="00ED29E6"/>
    <w:rsid w:val="00ED29EA"/>
    <w:rsid w:val="00ED360C"/>
    <w:rsid w:val="00ED3C1F"/>
    <w:rsid w:val="00ED4085"/>
    <w:rsid w:val="00ED420E"/>
    <w:rsid w:val="00ED6AD8"/>
    <w:rsid w:val="00ED71DF"/>
    <w:rsid w:val="00EE0963"/>
    <w:rsid w:val="00EE1FC9"/>
    <w:rsid w:val="00EE24E3"/>
    <w:rsid w:val="00EE2F57"/>
    <w:rsid w:val="00EE6332"/>
    <w:rsid w:val="00EF132A"/>
    <w:rsid w:val="00EF4C34"/>
    <w:rsid w:val="00EF5291"/>
    <w:rsid w:val="00EF64E8"/>
    <w:rsid w:val="00EF659B"/>
    <w:rsid w:val="00EF77C6"/>
    <w:rsid w:val="00EF7BDE"/>
    <w:rsid w:val="00EF7CA7"/>
    <w:rsid w:val="00F022B4"/>
    <w:rsid w:val="00F0292C"/>
    <w:rsid w:val="00F05438"/>
    <w:rsid w:val="00F0746A"/>
    <w:rsid w:val="00F110A1"/>
    <w:rsid w:val="00F113D8"/>
    <w:rsid w:val="00F118C3"/>
    <w:rsid w:val="00F1361C"/>
    <w:rsid w:val="00F14902"/>
    <w:rsid w:val="00F160C7"/>
    <w:rsid w:val="00F16FDE"/>
    <w:rsid w:val="00F20320"/>
    <w:rsid w:val="00F20532"/>
    <w:rsid w:val="00F21001"/>
    <w:rsid w:val="00F228F9"/>
    <w:rsid w:val="00F248A8"/>
    <w:rsid w:val="00F24E3F"/>
    <w:rsid w:val="00F26D60"/>
    <w:rsid w:val="00F30138"/>
    <w:rsid w:val="00F301B6"/>
    <w:rsid w:val="00F31EA1"/>
    <w:rsid w:val="00F3294D"/>
    <w:rsid w:val="00F354A9"/>
    <w:rsid w:val="00F36D8F"/>
    <w:rsid w:val="00F3744E"/>
    <w:rsid w:val="00F40698"/>
    <w:rsid w:val="00F406E9"/>
    <w:rsid w:val="00F417B1"/>
    <w:rsid w:val="00F460AB"/>
    <w:rsid w:val="00F50AC5"/>
    <w:rsid w:val="00F53E68"/>
    <w:rsid w:val="00F5454E"/>
    <w:rsid w:val="00F559FA"/>
    <w:rsid w:val="00F57903"/>
    <w:rsid w:val="00F602DF"/>
    <w:rsid w:val="00F6390A"/>
    <w:rsid w:val="00F6529E"/>
    <w:rsid w:val="00F6641D"/>
    <w:rsid w:val="00F75CC0"/>
    <w:rsid w:val="00F75CCC"/>
    <w:rsid w:val="00F75F9D"/>
    <w:rsid w:val="00F81FD9"/>
    <w:rsid w:val="00F82490"/>
    <w:rsid w:val="00F8281D"/>
    <w:rsid w:val="00F835D4"/>
    <w:rsid w:val="00F841AA"/>
    <w:rsid w:val="00F845B5"/>
    <w:rsid w:val="00F86932"/>
    <w:rsid w:val="00F875DB"/>
    <w:rsid w:val="00F87E73"/>
    <w:rsid w:val="00F905A4"/>
    <w:rsid w:val="00F92C70"/>
    <w:rsid w:val="00F93633"/>
    <w:rsid w:val="00F93DF5"/>
    <w:rsid w:val="00FA0947"/>
    <w:rsid w:val="00FA23E8"/>
    <w:rsid w:val="00FA2F5B"/>
    <w:rsid w:val="00FA4421"/>
    <w:rsid w:val="00FA4B00"/>
    <w:rsid w:val="00FA525F"/>
    <w:rsid w:val="00FA77AD"/>
    <w:rsid w:val="00FB0BBA"/>
    <w:rsid w:val="00FB1FF4"/>
    <w:rsid w:val="00FB55E6"/>
    <w:rsid w:val="00FC124C"/>
    <w:rsid w:val="00FC1E02"/>
    <w:rsid w:val="00FC3048"/>
    <w:rsid w:val="00FC4660"/>
    <w:rsid w:val="00FC46BC"/>
    <w:rsid w:val="00FC7DEF"/>
    <w:rsid w:val="00FD020D"/>
    <w:rsid w:val="00FD3016"/>
    <w:rsid w:val="00FD3828"/>
    <w:rsid w:val="00FD3CC1"/>
    <w:rsid w:val="00FD5BFE"/>
    <w:rsid w:val="00FE17BC"/>
    <w:rsid w:val="00FE2AD1"/>
    <w:rsid w:val="00FE4DB0"/>
    <w:rsid w:val="00FE5493"/>
    <w:rsid w:val="00FE625C"/>
    <w:rsid w:val="00FF1E02"/>
    <w:rsid w:val="00FF30B4"/>
    <w:rsid w:val="00FF66E8"/>
    <w:rsid w:val="012F3CEB"/>
    <w:rsid w:val="01B354EA"/>
    <w:rsid w:val="01CF32DE"/>
    <w:rsid w:val="01D74DB7"/>
    <w:rsid w:val="01D86637"/>
    <w:rsid w:val="01F04616"/>
    <w:rsid w:val="027A0A02"/>
    <w:rsid w:val="037A757D"/>
    <w:rsid w:val="03F359AA"/>
    <w:rsid w:val="043A3897"/>
    <w:rsid w:val="045647CC"/>
    <w:rsid w:val="0463543B"/>
    <w:rsid w:val="047F157A"/>
    <w:rsid w:val="048D6B52"/>
    <w:rsid w:val="04A56E6E"/>
    <w:rsid w:val="04D45254"/>
    <w:rsid w:val="04D550AF"/>
    <w:rsid w:val="051A6F96"/>
    <w:rsid w:val="05C25E8C"/>
    <w:rsid w:val="06951176"/>
    <w:rsid w:val="07001BE1"/>
    <w:rsid w:val="07267DE7"/>
    <w:rsid w:val="088F55D5"/>
    <w:rsid w:val="089C4B49"/>
    <w:rsid w:val="09081517"/>
    <w:rsid w:val="091B747D"/>
    <w:rsid w:val="092E626A"/>
    <w:rsid w:val="099E2AC5"/>
    <w:rsid w:val="09A572B6"/>
    <w:rsid w:val="0A19737C"/>
    <w:rsid w:val="0B7218AA"/>
    <w:rsid w:val="0B99373B"/>
    <w:rsid w:val="0BA37CB5"/>
    <w:rsid w:val="0D0429D6"/>
    <w:rsid w:val="0D093B48"/>
    <w:rsid w:val="0D322E51"/>
    <w:rsid w:val="0D6C338E"/>
    <w:rsid w:val="0D9A6E96"/>
    <w:rsid w:val="0DB37F58"/>
    <w:rsid w:val="0DB742A8"/>
    <w:rsid w:val="0E6D2010"/>
    <w:rsid w:val="0EC00B7E"/>
    <w:rsid w:val="0F5E6610"/>
    <w:rsid w:val="0FB52B86"/>
    <w:rsid w:val="0FDB629D"/>
    <w:rsid w:val="0FFD0B0D"/>
    <w:rsid w:val="103747CF"/>
    <w:rsid w:val="103F4D68"/>
    <w:rsid w:val="10C055FF"/>
    <w:rsid w:val="111A6BEA"/>
    <w:rsid w:val="116A6D7C"/>
    <w:rsid w:val="11761AF6"/>
    <w:rsid w:val="11851C0B"/>
    <w:rsid w:val="11D56DF6"/>
    <w:rsid w:val="11ED6591"/>
    <w:rsid w:val="11F85D8C"/>
    <w:rsid w:val="13367661"/>
    <w:rsid w:val="136F089E"/>
    <w:rsid w:val="13D81ACD"/>
    <w:rsid w:val="148B307B"/>
    <w:rsid w:val="14D728AA"/>
    <w:rsid w:val="15F1786F"/>
    <w:rsid w:val="1665477F"/>
    <w:rsid w:val="166F3635"/>
    <w:rsid w:val="16BB723D"/>
    <w:rsid w:val="17283764"/>
    <w:rsid w:val="17BC7656"/>
    <w:rsid w:val="17EA348C"/>
    <w:rsid w:val="1840212F"/>
    <w:rsid w:val="184656CF"/>
    <w:rsid w:val="192F4936"/>
    <w:rsid w:val="193C261A"/>
    <w:rsid w:val="19934117"/>
    <w:rsid w:val="19943114"/>
    <w:rsid w:val="19DE22C0"/>
    <w:rsid w:val="1A3F7692"/>
    <w:rsid w:val="1AB026BC"/>
    <w:rsid w:val="1ABB32B6"/>
    <w:rsid w:val="1AE8166C"/>
    <w:rsid w:val="1B787B60"/>
    <w:rsid w:val="1BF70747"/>
    <w:rsid w:val="1C06153F"/>
    <w:rsid w:val="1C986C96"/>
    <w:rsid w:val="1D7371C3"/>
    <w:rsid w:val="1DDC2BB3"/>
    <w:rsid w:val="1E34479D"/>
    <w:rsid w:val="1EF81F78"/>
    <w:rsid w:val="1F620905"/>
    <w:rsid w:val="1FD12B34"/>
    <w:rsid w:val="201A6AB0"/>
    <w:rsid w:val="202820DF"/>
    <w:rsid w:val="203B66A0"/>
    <w:rsid w:val="206D278F"/>
    <w:rsid w:val="211A679A"/>
    <w:rsid w:val="21253DA0"/>
    <w:rsid w:val="21A94BCD"/>
    <w:rsid w:val="22857975"/>
    <w:rsid w:val="229B128E"/>
    <w:rsid w:val="235D423C"/>
    <w:rsid w:val="23844B7E"/>
    <w:rsid w:val="23902475"/>
    <w:rsid w:val="23FA0B3C"/>
    <w:rsid w:val="240371BF"/>
    <w:rsid w:val="2435534E"/>
    <w:rsid w:val="244017F7"/>
    <w:rsid w:val="24534F10"/>
    <w:rsid w:val="24DF6C66"/>
    <w:rsid w:val="253D03DB"/>
    <w:rsid w:val="253F66D1"/>
    <w:rsid w:val="25A20B86"/>
    <w:rsid w:val="25B1070F"/>
    <w:rsid w:val="25BC6564"/>
    <w:rsid w:val="25DD571A"/>
    <w:rsid w:val="265C1D1F"/>
    <w:rsid w:val="26BB36DB"/>
    <w:rsid w:val="271C5A93"/>
    <w:rsid w:val="276F1834"/>
    <w:rsid w:val="27B459F9"/>
    <w:rsid w:val="27C51E91"/>
    <w:rsid w:val="280173B2"/>
    <w:rsid w:val="282F2168"/>
    <w:rsid w:val="28513369"/>
    <w:rsid w:val="28922533"/>
    <w:rsid w:val="28BF6D42"/>
    <w:rsid w:val="28C822A0"/>
    <w:rsid w:val="292E058E"/>
    <w:rsid w:val="29FD04D3"/>
    <w:rsid w:val="2BA708B7"/>
    <w:rsid w:val="2C1E1BB4"/>
    <w:rsid w:val="2CAE1BBE"/>
    <w:rsid w:val="2CCF04B2"/>
    <w:rsid w:val="2D253CB2"/>
    <w:rsid w:val="2DF079DB"/>
    <w:rsid w:val="2E4C04E0"/>
    <w:rsid w:val="2E67588F"/>
    <w:rsid w:val="2E8C3F48"/>
    <w:rsid w:val="2F803D16"/>
    <w:rsid w:val="2FF22B1D"/>
    <w:rsid w:val="30A73497"/>
    <w:rsid w:val="30CB71E3"/>
    <w:rsid w:val="30E36C85"/>
    <w:rsid w:val="31810DA9"/>
    <w:rsid w:val="31903F88"/>
    <w:rsid w:val="319F7F4E"/>
    <w:rsid w:val="31B72CAD"/>
    <w:rsid w:val="32004B5E"/>
    <w:rsid w:val="323A1C2F"/>
    <w:rsid w:val="329448A6"/>
    <w:rsid w:val="32F45598"/>
    <w:rsid w:val="33204932"/>
    <w:rsid w:val="33447C07"/>
    <w:rsid w:val="345D075E"/>
    <w:rsid w:val="35244754"/>
    <w:rsid w:val="361C390A"/>
    <w:rsid w:val="364D41F6"/>
    <w:rsid w:val="36FD0156"/>
    <w:rsid w:val="38207F4E"/>
    <w:rsid w:val="38F8371D"/>
    <w:rsid w:val="39226F5F"/>
    <w:rsid w:val="39902098"/>
    <w:rsid w:val="39FD5F33"/>
    <w:rsid w:val="3A3A0F35"/>
    <w:rsid w:val="3A4E1148"/>
    <w:rsid w:val="3AF15A98"/>
    <w:rsid w:val="3C74673F"/>
    <w:rsid w:val="3C8D2F9D"/>
    <w:rsid w:val="3CE0510E"/>
    <w:rsid w:val="3D0E3B71"/>
    <w:rsid w:val="3D1927CA"/>
    <w:rsid w:val="3D1E4B3E"/>
    <w:rsid w:val="3D6F2272"/>
    <w:rsid w:val="3D8344ED"/>
    <w:rsid w:val="3DC16794"/>
    <w:rsid w:val="3E03620E"/>
    <w:rsid w:val="3E343C22"/>
    <w:rsid w:val="3F512FA9"/>
    <w:rsid w:val="3F7C601F"/>
    <w:rsid w:val="3FAC4683"/>
    <w:rsid w:val="3FE519A5"/>
    <w:rsid w:val="3FEA5DFB"/>
    <w:rsid w:val="40035B02"/>
    <w:rsid w:val="401C35B7"/>
    <w:rsid w:val="40EA7211"/>
    <w:rsid w:val="4119235A"/>
    <w:rsid w:val="41677310"/>
    <w:rsid w:val="422C2C46"/>
    <w:rsid w:val="4251506E"/>
    <w:rsid w:val="42B75819"/>
    <w:rsid w:val="43684120"/>
    <w:rsid w:val="444F07DA"/>
    <w:rsid w:val="44601E28"/>
    <w:rsid w:val="472E4611"/>
    <w:rsid w:val="475E72DC"/>
    <w:rsid w:val="47F514AF"/>
    <w:rsid w:val="4839282C"/>
    <w:rsid w:val="48FD75BD"/>
    <w:rsid w:val="49243056"/>
    <w:rsid w:val="49460CB1"/>
    <w:rsid w:val="494C4A06"/>
    <w:rsid w:val="4A113668"/>
    <w:rsid w:val="4A277A41"/>
    <w:rsid w:val="4A4E4EC5"/>
    <w:rsid w:val="4A745623"/>
    <w:rsid w:val="4B187071"/>
    <w:rsid w:val="4B2B2DCB"/>
    <w:rsid w:val="4B6A5BC2"/>
    <w:rsid w:val="4B6D2BD3"/>
    <w:rsid w:val="4C7555EC"/>
    <w:rsid w:val="4D135D42"/>
    <w:rsid w:val="4D846266"/>
    <w:rsid w:val="4D8D78A2"/>
    <w:rsid w:val="4DE65A70"/>
    <w:rsid w:val="4DF123A8"/>
    <w:rsid w:val="4E290981"/>
    <w:rsid w:val="4E832A53"/>
    <w:rsid w:val="4E9E44C2"/>
    <w:rsid w:val="4EBC1A30"/>
    <w:rsid w:val="4F395B30"/>
    <w:rsid w:val="4F3B530F"/>
    <w:rsid w:val="4F6F7A34"/>
    <w:rsid w:val="4FD74194"/>
    <w:rsid w:val="4FDA49F5"/>
    <w:rsid w:val="50AE413E"/>
    <w:rsid w:val="51E1640E"/>
    <w:rsid w:val="51EE42CA"/>
    <w:rsid w:val="52195E38"/>
    <w:rsid w:val="52302EF2"/>
    <w:rsid w:val="5251102E"/>
    <w:rsid w:val="526E48F5"/>
    <w:rsid w:val="52ED6284"/>
    <w:rsid w:val="5322283B"/>
    <w:rsid w:val="532B0C13"/>
    <w:rsid w:val="533D4F08"/>
    <w:rsid w:val="53BA6F17"/>
    <w:rsid w:val="53BE2B80"/>
    <w:rsid w:val="53DD1B8C"/>
    <w:rsid w:val="54136CE6"/>
    <w:rsid w:val="541505F1"/>
    <w:rsid w:val="542061F2"/>
    <w:rsid w:val="542D2749"/>
    <w:rsid w:val="547E308A"/>
    <w:rsid w:val="54992FD0"/>
    <w:rsid w:val="55872E29"/>
    <w:rsid w:val="55923320"/>
    <w:rsid w:val="56D0674C"/>
    <w:rsid w:val="57D23F06"/>
    <w:rsid w:val="58BA52C3"/>
    <w:rsid w:val="58BC5D23"/>
    <w:rsid w:val="59177DCC"/>
    <w:rsid w:val="59E040FC"/>
    <w:rsid w:val="59E11CD3"/>
    <w:rsid w:val="5A5D6FB6"/>
    <w:rsid w:val="5A857BDE"/>
    <w:rsid w:val="5B2A4567"/>
    <w:rsid w:val="5BE202EA"/>
    <w:rsid w:val="5CAD7C22"/>
    <w:rsid w:val="5CE95B0C"/>
    <w:rsid w:val="5CFA7F1D"/>
    <w:rsid w:val="5D577E65"/>
    <w:rsid w:val="5D6F6B2F"/>
    <w:rsid w:val="5E2506F8"/>
    <w:rsid w:val="5E5C4534"/>
    <w:rsid w:val="5E5E7F75"/>
    <w:rsid w:val="5EA316D6"/>
    <w:rsid w:val="5ECE1AC8"/>
    <w:rsid w:val="5EF556B7"/>
    <w:rsid w:val="5F3A07D2"/>
    <w:rsid w:val="5F593A88"/>
    <w:rsid w:val="5FE356D0"/>
    <w:rsid w:val="5FF901AE"/>
    <w:rsid w:val="60651EAC"/>
    <w:rsid w:val="60BB3927"/>
    <w:rsid w:val="6200749A"/>
    <w:rsid w:val="620F0B35"/>
    <w:rsid w:val="6240022D"/>
    <w:rsid w:val="62A42EE2"/>
    <w:rsid w:val="62BE686B"/>
    <w:rsid w:val="62F14F12"/>
    <w:rsid w:val="630D013F"/>
    <w:rsid w:val="63347FC4"/>
    <w:rsid w:val="63604CB9"/>
    <w:rsid w:val="64A36D0B"/>
    <w:rsid w:val="64C656C1"/>
    <w:rsid w:val="64F77166"/>
    <w:rsid w:val="65201386"/>
    <w:rsid w:val="657F4183"/>
    <w:rsid w:val="658466A7"/>
    <w:rsid w:val="6596487B"/>
    <w:rsid w:val="65DF63C9"/>
    <w:rsid w:val="65E950BC"/>
    <w:rsid w:val="662A7F2C"/>
    <w:rsid w:val="66627873"/>
    <w:rsid w:val="66D65FFA"/>
    <w:rsid w:val="67C24194"/>
    <w:rsid w:val="67EB36EB"/>
    <w:rsid w:val="68DA2DB6"/>
    <w:rsid w:val="6910664B"/>
    <w:rsid w:val="69725134"/>
    <w:rsid w:val="6B124BC6"/>
    <w:rsid w:val="6B4666B6"/>
    <w:rsid w:val="6BB306BC"/>
    <w:rsid w:val="6CC85DA9"/>
    <w:rsid w:val="6D2A5F93"/>
    <w:rsid w:val="6D8F2D6B"/>
    <w:rsid w:val="6DB91990"/>
    <w:rsid w:val="6DC31436"/>
    <w:rsid w:val="6E6F4E2B"/>
    <w:rsid w:val="6ECB49CF"/>
    <w:rsid w:val="6ECB5A2B"/>
    <w:rsid w:val="6F4D197C"/>
    <w:rsid w:val="6F806E0F"/>
    <w:rsid w:val="70202A42"/>
    <w:rsid w:val="70ED3F4C"/>
    <w:rsid w:val="72227D09"/>
    <w:rsid w:val="72E476B5"/>
    <w:rsid w:val="72F22338"/>
    <w:rsid w:val="73327580"/>
    <w:rsid w:val="733572FD"/>
    <w:rsid w:val="7355581F"/>
    <w:rsid w:val="73BE3A62"/>
    <w:rsid w:val="742C11FC"/>
    <w:rsid w:val="746C7E4B"/>
    <w:rsid w:val="750E6C6B"/>
    <w:rsid w:val="755E374E"/>
    <w:rsid w:val="75884CEA"/>
    <w:rsid w:val="75B310E7"/>
    <w:rsid w:val="75B318F4"/>
    <w:rsid w:val="761A4623"/>
    <w:rsid w:val="76377F56"/>
    <w:rsid w:val="764B35A7"/>
    <w:rsid w:val="769E6A57"/>
    <w:rsid w:val="77B238DE"/>
    <w:rsid w:val="78A4106B"/>
    <w:rsid w:val="79975481"/>
    <w:rsid w:val="79B4511D"/>
    <w:rsid w:val="79F60BE5"/>
    <w:rsid w:val="7A1B4027"/>
    <w:rsid w:val="7A965738"/>
    <w:rsid w:val="7ABC1C9C"/>
    <w:rsid w:val="7B022DCE"/>
    <w:rsid w:val="7B272834"/>
    <w:rsid w:val="7B3B1EE5"/>
    <w:rsid w:val="7B8F71DF"/>
    <w:rsid w:val="7C1568F9"/>
    <w:rsid w:val="7CB2612E"/>
    <w:rsid w:val="7CC25607"/>
    <w:rsid w:val="7DB73780"/>
    <w:rsid w:val="7DCF5188"/>
    <w:rsid w:val="7DE859ED"/>
    <w:rsid w:val="7E4C610E"/>
    <w:rsid w:val="7ECA59B1"/>
    <w:rsid w:val="7F09108F"/>
    <w:rsid w:val="7FDC49A0"/>
    <w:rsid w:val="7FFB584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7"/>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6"/>
    <w:unhideWhenUsed/>
    <w:qFormat/>
    <w:uiPriority w:val="9"/>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Normal Indent"/>
    <w:basedOn w:val="1"/>
    <w:unhideWhenUsed/>
    <w:qFormat/>
    <w:uiPriority w:val="99"/>
    <w:pPr>
      <w:ind w:firstLine="680"/>
    </w:pPr>
  </w:style>
  <w:style w:type="paragraph" w:styleId="9">
    <w:name w:val="annotation text"/>
    <w:basedOn w:val="1"/>
    <w:semiHidden/>
    <w:unhideWhenUsed/>
    <w:qFormat/>
    <w:uiPriority w:val="99"/>
    <w:pPr>
      <w:jc w:val="left"/>
    </w:pPr>
  </w:style>
  <w:style w:type="paragraph" w:styleId="10">
    <w:name w:val="Body Text"/>
    <w:basedOn w:val="1"/>
    <w:link w:val="30"/>
    <w:qFormat/>
    <w:uiPriority w:val="99"/>
    <w:pPr>
      <w:spacing w:beforeLines="30"/>
    </w:pPr>
    <w:rPr>
      <w:rFonts w:ascii="仿宋_GB2312" w:eastAsia="仿宋_GB2312"/>
      <w:kern w:val="0"/>
      <w:sz w:val="30"/>
    </w:rPr>
  </w:style>
  <w:style w:type="paragraph" w:styleId="11">
    <w:name w:val="toc 3"/>
    <w:basedOn w:val="1"/>
    <w:next w:val="1"/>
    <w:unhideWhenUsed/>
    <w:qFormat/>
    <w:uiPriority w:val="39"/>
    <w:pPr>
      <w:tabs>
        <w:tab w:val="right" w:leader="dot" w:pos="8296"/>
      </w:tabs>
      <w:ind w:left="840" w:leftChars="400"/>
    </w:pPr>
  </w:style>
  <w:style w:type="paragraph" w:styleId="12">
    <w:name w:val="Balloon Text"/>
    <w:basedOn w:val="1"/>
    <w:link w:val="35"/>
    <w:semiHidden/>
    <w:unhideWhenUsed/>
    <w:qFormat/>
    <w:uiPriority w:val="99"/>
    <w:rPr>
      <w:sz w:val="18"/>
      <w:szCs w:val="18"/>
    </w:rPr>
  </w:style>
  <w:style w:type="paragraph" w:styleId="13">
    <w:name w:val="footer"/>
    <w:basedOn w:val="1"/>
    <w:link w:val="28"/>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link w:val="26"/>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6">
    <w:name w:val="table of figures"/>
    <w:basedOn w:val="1"/>
    <w:next w:val="1"/>
    <w:autoRedefine/>
    <w:qFormat/>
    <w:uiPriority w:val="0"/>
    <w:pPr>
      <w:ind w:left="200" w:leftChars="200" w:hanging="200" w:hangingChars="200"/>
    </w:pPr>
  </w:style>
  <w:style w:type="paragraph" w:styleId="17">
    <w:name w:val="toc 2"/>
    <w:basedOn w:val="1"/>
    <w:next w:val="1"/>
    <w:autoRedefine/>
    <w:unhideWhenUsed/>
    <w:qFormat/>
    <w:uiPriority w:val="39"/>
    <w:pPr>
      <w:tabs>
        <w:tab w:val="right" w:leader="dot" w:pos="8296"/>
      </w:tabs>
      <w:ind w:left="420" w:leftChars="200"/>
    </w:pPr>
  </w:style>
  <w:style w:type="paragraph" w:styleId="1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21">
    <w:name w:val="Strong"/>
    <w:basedOn w:val="20"/>
    <w:qFormat/>
    <w:uiPriority w:val="99"/>
    <w:rPr>
      <w:b/>
    </w:rPr>
  </w:style>
  <w:style w:type="character" w:styleId="22">
    <w:name w:val="Hyperlink"/>
    <w:basedOn w:val="20"/>
    <w:unhideWhenUsed/>
    <w:qFormat/>
    <w:uiPriority w:val="99"/>
    <w:rPr>
      <w:color w:val="0000FF" w:themeColor="hyperlink"/>
      <w:u w:val="single"/>
      <w14:textFill>
        <w14:solidFill>
          <w14:schemeClr w14:val="hlink"/>
        </w14:solidFill>
      </w14:textFill>
    </w:rPr>
  </w:style>
  <w:style w:type="character" w:styleId="23">
    <w:name w:val="annotation reference"/>
    <w:basedOn w:val="20"/>
    <w:semiHidden/>
    <w:unhideWhenUsed/>
    <w:qFormat/>
    <w:uiPriority w:val="99"/>
    <w:rPr>
      <w:sz w:val="21"/>
      <w:szCs w:val="21"/>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5">
    <w:name w:val="Header Char"/>
    <w:basedOn w:val="20"/>
    <w:semiHidden/>
    <w:qFormat/>
    <w:uiPriority w:val="99"/>
    <w:rPr>
      <w:rFonts w:ascii="Times New Roman" w:hAnsi="Times New Roman"/>
      <w:sz w:val="18"/>
      <w:szCs w:val="18"/>
    </w:rPr>
  </w:style>
  <w:style w:type="character" w:customStyle="1" w:styleId="26">
    <w:name w:val="页眉 字符"/>
    <w:link w:val="14"/>
    <w:semiHidden/>
    <w:qFormat/>
    <w:locked/>
    <w:uiPriority w:val="99"/>
    <w:rPr>
      <w:sz w:val="18"/>
    </w:rPr>
  </w:style>
  <w:style w:type="character" w:customStyle="1" w:styleId="27">
    <w:name w:val="Footer Char"/>
    <w:basedOn w:val="20"/>
    <w:autoRedefine/>
    <w:semiHidden/>
    <w:qFormat/>
    <w:uiPriority w:val="99"/>
    <w:rPr>
      <w:rFonts w:ascii="Times New Roman" w:hAnsi="Times New Roman"/>
      <w:sz w:val="18"/>
      <w:szCs w:val="18"/>
    </w:rPr>
  </w:style>
  <w:style w:type="character" w:customStyle="1" w:styleId="28">
    <w:name w:val="页脚 字符"/>
    <w:link w:val="13"/>
    <w:autoRedefine/>
    <w:qFormat/>
    <w:locked/>
    <w:uiPriority w:val="99"/>
    <w:rPr>
      <w:sz w:val="18"/>
    </w:rPr>
  </w:style>
  <w:style w:type="character" w:customStyle="1" w:styleId="29">
    <w:name w:val="Body Text Char"/>
    <w:basedOn w:val="20"/>
    <w:semiHidden/>
    <w:qFormat/>
    <w:uiPriority w:val="99"/>
    <w:rPr>
      <w:rFonts w:ascii="Times New Roman" w:hAnsi="Times New Roman"/>
      <w:szCs w:val="24"/>
    </w:rPr>
  </w:style>
  <w:style w:type="character" w:customStyle="1" w:styleId="30">
    <w:name w:val="正文文本 字符"/>
    <w:link w:val="10"/>
    <w:qFormat/>
    <w:locked/>
    <w:uiPriority w:val="99"/>
    <w:rPr>
      <w:rFonts w:ascii="仿宋_GB2312" w:hAnsi="Times New Roman" w:eastAsia="仿宋_GB2312"/>
      <w:sz w:val="24"/>
    </w:rPr>
  </w:style>
  <w:style w:type="paragraph" w:styleId="31">
    <w:name w:val="List Paragraph"/>
    <w:basedOn w:val="1"/>
    <w:autoRedefine/>
    <w:qFormat/>
    <w:uiPriority w:val="34"/>
    <w:pPr>
      <w:ind w:firstLine="420" w:firstLineChars="200"/>
    </w:pPr>
  </w:style>
  <w:style w:type="character" w:customStyle="1" w:styleId="32">
    <w:name w:val="标题 1 字符"/>
    <w:basedOn w:val="20"/>
    <w:link w:val="5"/>
    <w:qFormat/>
    <w:uiPriority w:val="9"/>
    <w:rPr>
      <w:rFonts w:ascii="Times New Roman" w:hAnsi="Times New Roman"/>
      <w:b/>
      <w:bCs/>
      <w:kern w:val="44"/>
      <w:sz w:val="44"/>
      <w:szCs w:val="44"/>
    </w:rPr>
  </w:style>
  <w:style w:type="character" w:customStyle="1" w:styleId="33">
    <w:name w:val="标题 2 字符"/>
    <w:basedOn w:val="20"/>
    <w:link w:val="6"/>
    <w:qFormat/>
    <w:uiPriority w:val="9"/>
    <w:rPr>
      <w:rFonts w:asciiTheme="majorHAnsi" w:hAnsiTheme="majorHAnsi" w:eastAsiaTheme="majorEastAsia" w:cstheme="majorBidi"/>
      <w:b/>
      <w:bCs/>
      <w:kern w:val="2"/>
      <w:sz w:val="32"/>
      <w:szCs w:val="32"/>
    </w:rPr>
  </w:style>
  <w:style w:type="paragraph" w:customStyle="1" w:styleId="34">
    <w:name w:val="TOC 标题1"/>
    <w:basedOn w:val="5"/>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字符"/>
    <w:basedOn w:val="20"/>
    <w:link w:val="12"/>
    <w:autoRedefine/>
    <w:semiHidden/>
    <w:qFormat/>
    <w:uiPriority w:val="99"/>
    <w:rPr>
      <w:rFonts w:ascii="Times New Roman" w:hAnsi="Times New Roman"/>
      <w:kern w:val="2"/>
      <w:sz w:val="18"/>
      <w:szCs w:val="18"/>
    </w:rPr>
  </w:style>
  <w:style w:type="character" w:customStyle="1" w:styleId="36">
    <w:name w:val="标题 3 字符"/>
    <w:basedOn w:val="20"/>
    <w:link w:val="7"/>
    <w:autoRedefine/>
    <w:qFormat/>
    <w:uiPriority w:val="9"/>
    <w:rPr>
      <w:rFonts w:ascii="Times New Roman" w:hAnsi="Times New Roman"/>
      <w:b/>
      <w:bCs/>
      <w:kern w:val="2"/>
      <w:sz w:val="32"/>
      <w:szCs w:val="32"/>
    </w:rPr>
  </w:style>
  <w:style w:type="character" w:customStyle="1" w:styleId="37">
    <w:name w:val="标题 1 Char"/>
    <w:basedOn w:val="20"/>
    <w:link w:val="5"/>
    <w:qFormat/>
    <w:uiPriority w:val="9"/>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sz="1200"/>
              <a:t>收、支决算总计变动情况图</a:t>
            </a:r>
            <a:endParaRPr lang="en-US" sz="1200"/>
          </a:p>
        </c:rich>
      </c:tx>
      <c:layout/>
      <c:overlay val="0"/>
    </c:title>
    <c:autoTitleDeleted val="0"/>
    <c:plotArea>
      <c:layout>
        <c:manualLayout>
          <c:layoutTarget val="inner"/>
          <c:xMode val="edge"/>
          <c:yMode val="edge"/>
          <c:x val="0.0559816218099468"/>
          <c:y val="0.247865112907836"/>
          <c:w val="0.800713012477719"/>
          <c:h val="0.654027777777778"/>
        </c:manualLayout>
      </c:layout>
      <c:barChart>
        <c:barDir val="col"/>
        <c:grouping val="clustered"/>
        <c:varyColors val="0"/>
        <c:ser>
          <c:idx val="1"/>
          <c:order val="0"/>
          <c:tx>
            <c:strRef>
              <c:f>收支总计</c:f>
              <c:strCache>
                <c:ptCount val="1"/>
                <c:pt idx="0">
                  <c:v>收支总计</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{"2023","2024"}</c:f>
              <c:strCache>
                <c:ptCount val="2"/>
                <c:pt idx="0">
                  <c:v>2023</c:v>
                </c:pt>
                <c:pt idx="1">
                  <c:v>2024</c:v>
                </c:pt>
              </c:strCache>
            </c:strRef>
          </c:cat>
          <c:val>
            <c:numRef>
              <c:f>{400.43,416.06}</c:f>
              <c:numCache>
                <c:formatCode>General</c:formatCode>
                <c:ptCount val="2"/>
                <c:pt idx="0">
                  <c:v>400.43</c:v>
                </c:pt>
                <c:pt idx="1">
                  <c:v>416.06</c:v>
                </c:pt>
              </c:numCache>
            </c:numRef>
          </c:val>
        </c:ser>
        <c:dLbls>
          <c:showLegendKey val="0"/>
          <c:showVal val="1"/>
          <c:showCatName val="0"/>
          <c:showSerName val="0"/>
          <c:showPercent val="0"/>
          <c:showBubbleSize val="0"/>
        </c:dLbls>
        <c:gapWidth val="41"/>
        <c:axId val="261387392"/>
        <c:axId val="261388928"/>
      </c:barChart>
      <c:catAx>
        <c:axId val="261387392"/>
        <c:scaling>
          <c:orientation val="minMax"/>
        </c:scaling>
        <c:delete val="0"/>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dk1">
                    <a:lumMod val="65000"/>
                    <a:lumOff val="35000"/>
                  </a:schemeClr>
                </a:solidFill>
                <a:effectLst/>
                <a:latin typeface="+mn-lt"/>
                <a:ea typeface="+mn-ea"/>
                <a:cs typeface="+mn-cs"/>
              </a:defRPr>
            </a:pPr>
          </a:p>
        </c:txPr>
        <c:crossAx val="261388928"/>
        <c:crosses val="autoZero"/>
        <c:auto val="1"/>
        <c:lblAlgn val="ctr"/>
        <c:lblOffset val="100"/>
        <c:noMultiLvlLbl val="0"/>
      </c:catAx>
      <c:valAx>
        <c:axId val="261388928"/>
        <c:scaling>
          <c:orientation val="minMax"/>
        </c:scaling>
        <c:delete val="1"/>
        <c:axPos val="l"/>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1387392"/>
        <c:crosses val="autoZero"/>
        <c:crossBetween val="between"/>
      </c:valAx>
      <c:spPr>
        <a:noFill/>
        <a:ln>
          <a:noFill/>
        </a:ln>
        <a:effectLst/>
      </c:spPr>
    </c:plotArea>
    <c:legend>
      <c:legendPos val="r"/>
      <c:layout>
        <c:manualLayout>
          <c:xMode val="edge"/>
          <c:yMode val="edge"/>
          <c:x val="0.834010446894951"/>
          <c:y val="0.501666161769161"/>
          <c:w val="0.142774230992455"/>
          <c:h val="0.100878521660103"/>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56e6b1b-a5c7-4896-8b45-eb61aad265cb}"/>
      </c:ext>
    </c:extLst>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sz="1200"/>
              <a:t>收入决算结构图</a:t>
            </a:r>
            <a:endParaRPr lang="zh-CN" sz="1200"/>
          </a:p>
        </c:rich>
      </c:tx>
      <c:layout/>
      <c:overlay val="0"/>
    </c:title>
    <c:autoTitleDeleted val="0"/>
    <c:plotArea>
      <c:layout/>
      <c:pieChart>
        <c:varyColors val="1"/>
        <c:ser>
          <c:idx val="1"/>
          <c:order val="0"/>
          <c:explosion val="0"/>
          <c:dPt>
            <c:idx val="0"/>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{"一般公共预算财政拨款收入"}</c:f>
              <c:strCache>
                <c:ptCount val="1"/>
                <c:pt idx="0">
                  <c:v>一般公共预算财政拨款收入</c:v>
                </c:pt>
              </c:strCache>
            </c:strRef>
          </c:cat>
          <c:val>
            <c:numRef>
              <c:f>{416.06}</c:f>
              <c:numCache>
                <c:formatCode>General</c:formatCode>
                <c:ptCount val="1"/>
                <c:pt idx="0">
                  <c:v>416.06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extLst>
      <c:ext uri="{0b15fc19-7d7d-44ad-8c2d-2c3a37ce22c3}">
        <chartProps xmlns="https://web.wps.cn/et/2018/main" chartId="{e3effd8a-66c7-4ba0-80a2-8d63075e80f9}"/>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sz="1400"/>
              <a:t>支出决算结构图</a:t>
            </a:r>
            <a:endParaRPr lang="zh-CN" sz="1400"/>
          </a:p>
        </c:rich>
      </c:tx>
      <c:layout/>
      <c:overlay val="0"/>
    </c:title>
    <c:autoTitleDeleted val="0"/>
    <c:plotArea>
      <c:layout/>
      <c:pieChart>
        <c:varyColors val="1"/>
        <c:ser>
          <c:idx val="1"/>
          <c:order val="0"/>
          <c:explosion val="0"/>
          <c:dPt>
            <c:idx val="0"/>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{"基本支出"}</c:f>
              <c:strCache>
                <c:ptCount val="1"/>
                <c:pt idx="0">
                  <c:v>基本支出</c:v>
                </c:pt>
              </c:strCache>
            </c:strRef>
          </c:cat>
          <c:val>
            <c:numRef>
              <c:f>{416.06}</c:f>
              <c:numCache>
                <c:formatCode>General</c:formatCode>
                <c:ptCount val="1"/>
                <c:pt idx="0">
                  <c:v>416.06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extLst>
      <c:ext uri="{0b15fc19-7d7d-44ad-8c2d-2c3a37ce22c3}">
        <chartProps xmlns="https://web.wps.cn/et/2018/main" chartId="{f2932d16-61fe-4e19-9081-2d4f0a0a64c1}"/>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2"/>
                </a:solidFill>
                <a:latin typeface="+mn-lt"/>
                <a:ea typeface="+mn-ea"/>
                <a:cs typeface="+mn-cs"/>
              </a:defRPr>
            </a:pPr>
            <a:r>
              <a:rPr lang="en-US" altLang="zh-CN" sz="1400"/>
              <a:t>财政拨款收、支决算总计变动情况</a:t>
            </a:r>
            <a:endParaRPr lang="en-US" altLang="zh-CN" sz="1400"/>
          </a:p>
        </c:rich>
      </c:tx>
      <c:layout/>
      <c:overlay val="0"/>
      <c:spPr>
        <a:noFill/>
        <a:ln>
          <a:noFill/>
        </a:ln>
        <a:effectLst/>
      </c:spPr>
    </c:title>
    <c:autoTitleDeleted val="0"/>
    <c:plotArea>
      <c:layout/>
      <c:barChart>
        <c:barDir val="col"/>
        <c:grouping val="clustered"/>
        <c:varyColors val="0"/>
        <c:ser>
          <c:idx val="1"/>
          <c:order val="0"/>
          <c:tx>
            <c:strRef>
              <c:f>收支总计</c:f>
              <c:strCache>
                <c:ptCount val="1"/>
                <c:pt idx="0">
                  <c:v>收支总计</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{"2023","2024"}</c:f>
              <c:strCache>
                <c:ptCount val="2"/>
                <c:pt idx="0">
                  <c:v>2023</c:v>
                </c:pt>
                <c:pt idx="1">
                  <c:v>2024</c:v>
                </c:pt>
              </c:strCache>
            </c:strRef>
          </c:cat>
          <c:val>
            <c:numRef>
              <c:f>{400.43,416.06}</c:f>
              <c:numCache>
                <c:formatCode>General</c:formatCode>
                <c:ptCount val="2"/>
                <c:pt idx="0">
                  <c:v>400.43</c:v>
                </c:pt>
                <c:pt idx="1">
                  <c:v>416.06</c:v>
                </c:pt>
              </c:numCache>
            </c:numRef>
          </c:val>
        </c:ser>
        <c:dLbls>
          <c:showLegendKey val="0"/>
          <c:showVal val="1"/>
          <c:showCatName val="0"/>
          <c:showSerName val="0"/>
          <c:showPercent val="0"/>
          <c:showBubbleSize val="0"/>
        </c:dLbls>
        <c:gapWidth val="100"/>
        <c:overlap val="-24"/>
        <c:axId val="263359104"/>
        <c:axId val="263373184"/>
      </c:barChart>
      <c:catAx>
        <c:axId val="263359104"/>
        <c:scaling>
          <c:orientation val="minMax"/>
        </c:scaling>
        <c:delete val="0"/>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extTo"/>
        <c:spPr>
          <a:noFill/>
          <a:ln w="9525" cap="flat" cmpd="sng" algn="ctr">
            <a:solidFill>
              <a:schemeClr val="tx2">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263373184"/>
        <c:crosses val="autoZero"/>
        <c:auto val="1"/>
        <c:lblAlgn val="ctr"/>
        <c:lblOffset val="100"/>
        <c:noMultiLvlLbl val="0"/>
      </c:catAx>
      <c:valAx>
        <c:axId val="263373184"/>
        <c:scaling>
          <c:orientation val="minMax"/>
        </c:scaling>
        <c:delete val="0"/>
        <c:axPos val="l"/>
        <c:majorGridlines>
          <c:spPr>
            <a:ln w="9525" cap="flat" cmpd="sng" algn="ctr">
              <a:solidFill>
                <a:schemeClr val="tx2">
                  <a:lumMod val="15000"/>
                  <a:lumOff val="85000"/>
                </a:schemeClr>
              </a:solidFill>
              <a:prstDash val="solid"/>
              <a:round/>
            </a:ln>
            <a:effectLst/>
          </c:spPr>
        </c:majorGridlines>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263359104"/>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extLst>
      <c:ext uri="{0b15fc19-7d7d-44ad-8c2d-2c3a37ce22c3}">
        <chartProps xmlns="https://web.wps.cn/et/2018/main" chartId="{59487755-1466-4a80-ae4f-b996273c4387}"/>
      </c:ext>
    </c:extLst>
  </c:chart>
  <c:spPr>
    <a:solidFill>
      <a:schemeClr val="bg1"/>
    </a:solidFill>
    <a:ln w="9525" cap="flat" cmpd="sng" algn="ctr">
      <a:solidFill>
        <a:schemeClr val="tx2">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1">
                    <a:lumMod val="65000"/>
                    <a:lumOff val="35000"/>
                  </a:schemeClr>
                </a:solidFill>
                <a:latin typeface="+mn-lt"/>
                <a:ea typeface="+mn-ea"/>
                <a:cs typeface="+mn-cs"/>
              </a:defRPr>
            </a:pPr>
            <a:r>
              <a:rPr lang="zh-CN" altLang="en-US" sz="1200"/>
              <a:t>一般公共预算财政拨款支出</a:t>
            </a:r>
            <a:endParaRPr lang="zh-CN" altLang="en-US" sz="1200"/>
          </a:p>
        </c:rich>
      </c:tx>
      <c:layout/>
      <c:overlay val="0"/>
      <c:spPr>
        <a:noFill/>
        <a:ln>
          <a:noFill/>
        </a:ln>
        <a:effectLst/>
      </c:spPr>
    </c:title>
    <c:autoTitleDeleted val="0"/>
    <c:plotArea>
      <c:layout>
        <c:manualLayout>
          <c:layoutTarget val="inner"/>
          <c:xMode val="edge"/>
          <c:yMode val="edge"/>
          <c:x val="0.0736333103993069"/>
          <c:y val="0.199582873033408"/>
          <c:w val="0.767623678108199"/>
          <c:h val="0.708506514060342"/>
        </c:manualLayout>
      </c:layout>
      <c:barChart>
        <c:barDir val="col"/>
        <c:grouping val="clustered"/>
        <c:varyColors val="0"/>
        <c:ser>
          <c:idx val="1"/>
          <c:order val="0"/>
          <c:tx>
            <c:strRef>
              <c:f>2023</c:f>
              <c:strCache>
                <c:ptCount val="1"/>
                <c:pt idx="0">
                  <c:v>2023</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{400.43}</c:f>
              <c:numCache>
                <c:formatCode>General</c:formatCode>
                <c:ptCount val="1"/>
                <c:pt idx="0">
                  <c:v>400.43</c:v>
                </c:pt>
              </c:numCache>
            </c:numRef>
          </c:val>
        </c:ser>
        <c:ser>
          <c:idx val="2"/>
          <c:order val="1"/>
          <c:tx>
            <c:strRef>
              <c:f>2024</c:f>
              <c:strCache>
                <c:ptCount val="1"/>
                <c:pt idx="0">
                  <c:v>2024</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{416.06}</c:f>
              <c:numCache>
                <c:formatCode>General</c:formatCode>
                <c:ptCount val="1"/>
                <c:pt idx="0">
                  <c:v>416.06</c:v>
                </c:pt>
              </c:numCache>
            </c:numRef>
          </c:val>
        </c:ser>
        <c:dLbls>
          <c:showLegendKey val="0"/>
          <c:showVal val="1"/>
          <c:showCatName val="0"/>
          <c:showSerName val="0"/>
          <c:showPercent val="0"/>
          <c:showBubbleSize val="0"/>
        </c:dLbls>
        <c:gapWidth val="100"/>
        <c:overlap val="-24"/>
        <c:axId val="263440640"/>
        <c:axId val="263135232"/>
      </c:barChart>
      <c:catAx>
        <c:axId val="263440640"/>
        <c:scaling>
          <c:orientation val="minMax"/>
        </c:scaling>
        <c:delete val="1"/>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3135232"/>
        <c:crosses val="autoZero"/>
        <c:auto val="1"/>
        <c:lblAlgn val="ctr"/>
        <c:lblOffset val="100"/>
        <c:noMultiLvlLbl val="0"/>
      </c:catAx>
      <c:valAx>
        <c:axId val="263135232"/>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344064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6951291-93c5-49e5-9867-c8397a7c53dd}"/>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sz="1200"/>
              <a:t>一般公共预算财政拨款支出</a:t>
            </a:r>
            <a:endParaRPr lang="en-US" sz="1200"/>
          </a:p>
        </c:rich>
      </c:tx>
      <c:layout/>
      <c:overlay val="0"/>
    </c:title>
    <c:autoTitleDeleted val="0"/>
    <c:plotArea>
      <c:layout/>
      <c:pieChart>
        <c:varyColors val="1"/>
        <c:ser>
          <c:idx val="1"/>
          <c:order val="0"/>
          <c:explosion val="0"/>
          <c:dPt>
            <c:idx val="0"/>
            <c:bubble3D val="0"/>
          </c:dPt>
          <c:dPt>
            <c:idx val="1"/>
            <c:bubble3D val="0"/>
          </c:dPt>
          <c:dPt>
            <c:idx val="2"/>
            <c:bubble3D val="0"/>
          </c:dPt>
          <c:dPt>
            <c:idx val="3"/>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{"社会保障和就业支出","卫生健康支出","农林水支出","住房保障支出"}</c:f>
              <c:strCache>
                <c:ptCount val="4"/>
                <c:pt idx="0">
                  <c:v>社会保障和就业支出</c:v>
                </c:pt>
                <c:pt idx="1">
                  <c:v>卫生健康支出</c:v>
                </c:pt>
                <c:pt idx="2">
                  <c:v>农林水支出</c:v>
                </c:pt>
                <c:pt idx="3">
                  <c:v>住房保障支出</c:v>
                </c:pt>
              </c:strCache>
            </c:strRef>
          </c:cat>
          <c:val>
            <c:numRef>
              <c:f>{63.08,31.04,290.56,31.37}</c:f>
              <c:numCache>
                <c:formatCode>General</c:formatCode>
                <c:ptCount val="4"/>
                <c:pt idx="0">
                  <c:v>63.08</c:v>
                </c:pt>
                <c:pt idx="1">
                  <c:v>31.04</c:v>
                </c:pt>
                <c:pt idx="2">
                  <c:v>290.56</c:v>
                </c:pt>
                <c:pt idx="3">
                  <c:v>31.37</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520552e2-769c-4caa-9419-c8327308f8d9}"/>
      </c:ext>
    </c:extLst>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三公经费</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{"因公出国（境）费","公务用车购置及运行维护费","公务接待费"}</c:f>
              <c:strCache>
                <c:ptCount val="3"/>
                <c:pt idx="0">
                  <c:v>因公出国（境）费</c:v>
                </c:pt>
                <c:pt idx="1">
                  <c:v>公务用车购置及运行维护费</c:v>
                </c:pt>
                <c:pt idx="2">
                  <c:v>公务接待费</c:v>
                </c:pt>
              </c:strCache>
            </c:strRef>
          </c:cat>
          <c:val>
            <c:numRef>
              <c:f>{0,0,0.15}</c:f>
              <c:numCache>
                <c:formatCode>General</c:formatCode>
                <c:ptCount val="3"/>
                <c:pt idx="0">
                  <c:v>0</c:v>
                </c:pt>
                <c:pt idx="1">
                  <c:v>0</c:v>
                </c:pt>
                <c:pt idx="2">
                  <c:v>0.15</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25c7f3fb-64f9-4c45-9ac8-a841c7b3b897}"/>
      </c:ext>
    </c:extLst>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4FC5A5-8DE4-4565-B639-6D345C1D7E6D}">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16</Pages>
  <Words>4821</Words>
  <Characters>5249</Characters>
  <Lines>48</Lines>
  <Paragraphs>13</Paragraphs>
  <TotalTime>1</TotalTime>
  <ScaleCrop>false</ScaleCrop>
  <LinksUpToDate>false</LinksUpToDate>
  <CharactersWithSpaces>5335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2023-08-18T07:28:00Z</dcterms:created>
  <dc:creator>pjf</dc:creator>
  <cp:lastModifiedBy>WPS_1693969678</cp:lastModifiedBy>
  <cp:lastPrinted>2021-09-26T08:39:00Z</cp:lastPrinted>
  <dcterms:modified xsi:type="dcterms:W3CDTF">2025-09-19T02:01:47Z</dcterms:modified>
  <dc:title>四川省决算编制说明</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5F5EAE46023B41039AB8027ACF0B1765_13</vt:lpwstr>
  </property>
  <property fmtid="{D5CDD505-2E9C-101B-9397-08002B2CF9AE}" pid="4" name="KSOTemplateDocerSaveRecord">
    <vt:lpwstr>eyJoZGlkIjoiZGFlM2I1MDNhMDkyMTFhNmY0Y2QyOGQ1NjFmMTE0M2EiLCJ1c2VySWQiOiIxNTMwMTQ0MjQ5In0=</vt:lpwstr>
  </property>
</Properties>
</file>