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思源黑体 CN Normal" w:hAnsi="思源黑体 CN Normal" w:eastAsia="思源黑体 CN Normal" w:cs="思源黑体 CN Normal"/>
          <w:b/>
          <w:color w:val="000000" w:themeColor="text1"/>
          <w:sz w:val="72"/>
          <w:szCs w:val="72"/>
          <w14:textFill>
            <w14:solidFill>
              <w14:schemeClr w14:val="tx1"/>
            </w14:solidFill>
          </w14:textFill>
        </w:rPr>
      </w:pPr>
      <w:bookmarkStart w:id="0" w:name="_Toc15377425"/>
      <w:bookmarkStart w:id="1" w:name="_Toc15377193"/>
      <w:bookmarkStart w:id="2" w:name="_Toc15396475"/>
      <w:bookmarkStart w:id="3" w:name="_Toc15396597"/>
      <w:bookmarkStart w:id="4" w:name="_Toc15378441"/>
      <w:bookmarkStart w:id="5" w:name="_Toc15306267"/>
    </w:p>
    <w:p>
      <w:pPr>
        <w:pStyle w:val="5"/>
        <w:ind w:firstLine="0"/>
        <w:rPr>
          <w:rFonts w:hint="eastAsia" w:ascii="思源黑体 CN Normal" w:hAnsi="思源黑体 CN Normal" w:eastAsia="思源黑体 CN Normal" w:cs="思源黑体 CN Normal"/>
          <w:color w:val="000000" w:themeColor="text1"/>
          <w14:textFill>
            <w14:solidFill>
              <w14:schemeClr w14:val="tx1"/>
            </w14:solidFill>
          </w14:textFill>
        </w:rPr>
      </w:pPr>
    </w:p>
    <w:p>
      <w:pPr>
        <w:jc w:val="both"/>
        <w:rPr>
          <w:rFonts w:hint="eastAsia" w:ascii="方正小标宋简体" w:hAnsi="方正小标宋简体" w:eastAsia="方正小标宋简体" w:cs="方正小标宋简体"/>
          <w:b w:val="0"/>
          <w:bCs/>
          <w:color w:val="000000" w:themeColor="text1"/>
          <w:sz w:val="44"/>
          <w:szCs w:val="44"/>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720" w:lineRule="auto"/>
        <w:jc w:val="center"/>
        <w:textAlignment w:val="auto"/>
        <w:rPr>
          <w:rFonts w:hint="eastAsia" w:ascii="黑体" w:hAnsi="黑体" w:eastAsia="黑体" w:cs="黑体"/>
          <w:b w:val="0"/>
          <w:bCs/>
          <w:color w:val="000000" w:themeColor="text1"/>
          <w:sz w:val="44"/>
          <w:szCs w:val="44"/>
          <w14:textFill>
            <w14:solidFill>
              <w14:schemeClr w14:val="tx1"/>
            </w14:solidFill>
          </w14:textFill>
        </w:rPr>
      </w:pPr>
      <w:r>
        <w:rPr>
          <w:rFonts w:hint="eastAsia" w:ascii="黑体" w:hAnsi="黑体" w:eastAsia="黑体" w:cs="黑体"/>
          <w:b w:val="0"/>
          <w:bCs/>
          <w:color w:val="000000" w:themeColor="text1"/>
          <w:sz w:val="44"/>
          <w:szCs w:val="44"/>
          <w14:textFill>
            <w14:solidFill>
              <w14:schemeClr w14:val="tx1"/>
            </w14:solidFill>
          </w14:textFill>
        </w:rPr>
        <w:t>202</w:t>
      </w:r>
      <w:r>
        <w:rPr>
          <w:rFonts w:hint="eastAsia" w:ascii="黑体" w:hAnsi="黑体" w:eastAsia="黑体" w:cs="黑体"/>
          <w:b w:val="0"/>
          <w:bCs/>
          <w:color w:val="000000" w:themeColor="text1"/>
          <w:sz w:val="44"/>
          <w:szCs w:val="44"/>
          <w:lang w:val="en-US" w:eastAsia="zh-CN"/>
          <w14:textFill>
            <w14:solidFill>
              <w14:schemeClr w14:val="tx1"/>
            </w14:solidFill>
          </w14:textFill>
        </w:rPr>
        <w:t>5</w:t>
      </w:r>
      <w:r>
        <w:rPr>
          <w:rFonts w:ascii="黑体" w:hAnsi="黑体" w:eastAsia="黑体" w:cs="黑体"/>
          <w:color w:val="000000"/>
          <w:sz w:val="44"/>
          <w:u w:color="auto"/>
        </w:rPr>
        <w:t>年度</w:t>
      </w:r>
      <w:bookmarkEnd w:id="0"/>
      <w:bookmarkEnd w:id="1"/>
      <w:bookmarkEnd w:id="2"/>
      <w:bookmarkEnd w:id="3"/>
      <w:bookmarkEnd w:id="4"/>
    </w:p>
    <w:bookmarkEnd w:id="5"/>
    <w:p>
      <w:pPr>
        <w:keepNext w:val="0"/>
        <w:keepLines w:val="0"/>
        <w:pageBreakBefore w:val="0"/>
        <w:widowControl w:val="0"/>
        <w:kinsoku/>
        <w:wordWrap/>
        <w:overflowPunct/>
        <w:topLinePunct w:val="0"/>
        <w:autoSpaceDE/>
        <w:autoSpaceDN/>
        <w:bidi w:val="0"/>
        <w:adjustRightInd/>
        <w:snapToGrid/>
        <w:spacing w:line="720" w:lineRule="auto"/>
        <w:jc w:val="center"/>
        <w:textAlignment w:val="auto"/>
        <w:rPr>
          <w:rFonts w:hint="eastAsia" w:ascii="黑体" w:hAnsi="黑体" w:eastAsia="黑体" w:cs="黑体"/>
          <w:b w:val="0"/>
          <w:bCs/>
          <w:color w:val="000000" w:themeColor="text1"/>
          <w:sz w:val="44"/>
          <w:szCs w:val="44"/>
          <w14:textFill>
            <w14:solidFill>
              <w14:schemeClr w14:val="tx1"/>
            </w14:solidFill>
          </w14:textFill>
        </w:rPr>
      </w:pPr>
      <w:bookmarkStart w:id="6" w:name="_Toc15377426"/>
      <w:bookmarkStart w:id="7" w:name="_Toc15377194"/>
      <w:bookmarkStart w:id="8" w:name="_Toc15396598"/>
      <w:bookmarkStart w:id="9" w:name="_Toc15378442"/>
      <w:bookmarkStart w:id="10" w:name="_Toc15396476"/>
      <w:bookmarkStart w:id="11" w:name="_Toc15306268"/>
      <w:r>
        <w:rPr>
          <w:rFonts w:hint="eastAsia" w:ascii="黑体" w:hAnsi="黑体" w:eastAsia="黑体" w:cs="黑体"/>
          <w:b w:val="0"/>
          <w:bCs/>
          <w:color w:val="000000" w:themeColor="text1"/>
          <w:sz w:val="44"/>
          <w:szCs w:val="44"/>
          <w14:textFill>
            <w14:solidFill>
              <w14:schemeClr w14:val="tx1"/>
            </w14:solidFill>
          </w14:textFill>
        </w:rPr>
        <w:t>茂县水务局（本级）</w:t>
      </w:r>
    </w:p>
    <w:p>
      <w:pPr>
        <w:keepNext w:val="0"/>
        <w:keepLines w:val="0"/>
        <w:pageBreakBefore w:val="0"/>
        <w:widowControl w:val="0"/>
        <w:kinsoku/>
        <w:wordWrap/>
        <w:overflowPunct/>
        <w:topLinePunct w:val="0"/>
        <w:autoSpaceDE/>
        <w:autoSpaceDN/>
        <w:bidi w:val="0"/>
        <w:adjustRightInd/>
        <w:snapToGrid/>
        <w:spacing w:line="720" w:lineRule="auto"/>
        <w:jc w:val="center"/>
        <w:textAlignment w:val="auto"/>
        <w:rPr>
          <w:rFonts w:hint="default" w:ascii="黑体" w:hAnsi="黑体" w:eastAsia="黑体" w:cs="黑体"/>
          <w:b w:val="0"/>
          <w:bCs/>
          <w:color w:val="000000" w:themeColor="text1"/>
          <w:sz w:val="44"/>
          <w:szCs w:val="44"/>
          <w:lang w:val="en-US" w:eastAsia="zh-CN"/>
          <w14:textFill>
            <w14:solidFill>
              <w14:schemeClr w14:val="tx1"/>
            </w14:solidFill>
          </w14:textFill>
        </w:rPr>
      </w:pPr>
      <w:r>
        <w:rPr>
          <w:rFonts w:ascii="黑体" w:hAnsi="黑体" w:eastAsia="黑体" w:cs="黑体"/>
          <w:color w:val="000000"/>
          <w:sz w:val="44"/>
          <w:u w:color="auto"/>
        </w:rPr>
        <w:t>单位决算</w:t>
      </w:r>
      <w:bookmarkEnd w:id="6"/>
      <w:bookmarkEnd w:id="7"/>
      <w:bookmarkEnd w:id="8"/>
      <w:bookmarkEnd w:id="9"/>
      <w:bookmarkEnd w:id="10"/>
      <w:bookmarkEnd w:id="11"/>
      <w:r>
        <w:rPr>
          <w:rFonts w:hint="eastAsia" w:ascii="黑体" w:hAnsi="黑体" w:eastAsia="黑体" w:cs="黑体"/>
          <w:color w:val="000000"/>
          <w:sz w:val="44"/>
          <w:u w:color="auto"/>
          <w:lang w:val="en-US" w:eastAsia="zh-CN"/>
        </w:rPr>
        <w:t>公开编制说明</w:t>
      </w:r>
    </w:p>
    <w:p>
      <w:pPr>
        <w:pStyle w:val="5"/>
        <w:rPr>
          <w:rFonts w:hint="eastAsia" w:ascii="思源黑体 CN Normal" w:hAnsi="思源黑体 CN Normal" w:eastAsia="思源黑体 CN Normal" w:cs="思源黑体 CN Normal"/>
          <w:color w:val="000000" w:themeColor="text1"/>
          <w14:textFill>
            <w14:solidFill>
              <w14:schemeClr w14:val="tx1"/>
            </w14:solidFill>
          </w14:textFill>
        </w:rPr>
      </w:pPr>
    </w:p>
    <w:p>
      <w:pPr>
        <w:pStyle w:val="5"/>
        <w:rPr>
          <w:rFonts w:hint="eastAsia" w:ascii="思源黑体 CN Normal" w:hAnsi="思源黑体 CN Normal" w:eastAsia="思源黑体 CN Normal" w:cs="思源黑体 CN Normal"/>
          <w:color w:val="000000" w:themeColor="text1"/>
          <w14:textFill>
            <w14:solidFill>
              <w14:schemeClr w14:val="tx1"/>
            </w14:solidFill>
          </w14:textFill>
        </w:rPr>
      </w:pPr>
    </w:p>
    <w:p>
      <w:pPr>
        <w:pStyle w:val="5"/>
        <w:rPr>
          <w:rFonts w:hint="eastAsia" w:ascii="思源黑体 CN Normal" w:hAnsi="思源黑体 CN Normal" w:eastAsia="思源黑体 CN Normal" w:cs="思源黑体 CN Normal"/>
          <w:color w:val="000000" w:themeColor="text1"/>
          <w14:textFill>
            <w14:solidFill>
              <w14:schemeClr w14:val="tx1"/>
            </w14:solidFill>
          </w14:textFill>
        </w:rPr>
      </w:pPr>
    </w:p>
    <w:p>
      <w:pPr>
        <w:pStyle w:val="5"/>
        <w:rPr>
          <w:rFonts w:hint="eastAsia" w:ascii="思源黑体 CN Normal" w:hAnsi="思源黑体 CN Normal" w:eastAsia="思源黑体 CN Normal" w:cs="思源黑体 CN Normal"/>
          <w:color w:val="000000" w:themeColor="text1"/>
          <w14:textFill>
            <w14:solidFill>
              <w14:schemeClr w14:val="tx1"/>
            </w14:solidFill>
          </w14:textFill>
        </w:rPr>
      </w:pPr>
    </w:p>
    <w:p>
      <w:pPr>
        <w:pStyle w:val="5"/>
        <w:rPr>
          <w:rFonts w:hint="eastAsia" w:ascii="思源黑体 CN Normal" w:hAnsi="思源黑体 CN Normal" w:eastAsia="思源黑体 CN Normal" w:cs="思源黑体 CN Normal"/>
          <w:color w:val="000000" w:themeColor="text1"/>
          <w14:textFill>
            <w14:solidFill>
              <w14:schemeClr w14:val="tx1"/>
            </w14:solidFill>
          </w14:textFill>
        </w:rPr>
      </w:pPr>
    </w:p>
    <w:p>
      <w:pPr>
        <w:pStyle w:val="5"/>
        <w:rPr>
          <w:rFonts w:hint="eastAsia" w:ascii="思源黑体 CN Normal" w:hAnsi="思源黑体 CN Normal" w:eastAsia="思源黑体 CN Normal" w:cs="思源黑体 CN Normal"/>
          <w:color w:val="000000" w:themeColor="text1"/>
          <w14:textFill>
            <w14:solidFill>
              <w14:schemeClr w14:val="tx1"/>
            </w14:solidFill>
          </w14:textFill>
        </w:rPr>
      </w:pPr>
    </w:p>
    <w:p>
      <w:pPr>
        <w:pStyle w:val="5"/>
        <w:rPr>
          <w:rFonts w:hint="eastAsia" w:ascii="思源黑体 CN Normal" w:hAnsi="思源黑体 CN Normal" w:eastAsia="思源黑体 CN Normal" w:cs="思源黑体 CN Normal"/>
          <w:color w:val="000000" w:themeColor="text1"/>
          <w14:textFill>
            <w14:solidFill>
              <w14:schemeClr w14:val="tx1"/>
            </w14:solidFill>
          </w14:textFill>
        </w:rPr>
      </w:pPr>
    </w:p>
    <w:p>
      <w:pPr>
        <w:pStyle w:val="5"/>
        <w:rPr>
          <w:rFonts w:hint="eastAsia" w:ascii="思源黑体 CN Normal" w:hAnsi="思源黑体 CN Normal" w:eastAsia="思源黑体 CN Normal" w:cs="思源黑体 CN Normal"/>
          <w:color w:val="000000" w:themeColor="text1"/>
          <w14:textFill>
            <w14:solidFill>
              <w14:schemeClr w14:val="tx1"/>
            </w14:solidFill>
          </w14:textFill>
        </w:rPr>
      </w:pPr>
    </w:p>
    <w:p>
      <w:pPr>
        <w:pStyle w:val="5"/>
        <w:rPr>
          <w:rFonts w:hint="eastAsia" w:ascii="思源黑体 CN Normal" w:hAnsi="思源黑体 CN Normal" w:eastAsia="思源黑体 CN Normal" w:cs="思源黑体 CN Normal"/>
          <w:color w:val="000000" w:themeColor="text1"/>
          <w14:textFill>
            <w14:solidFill>
              <w14:schemeClr w14:val="tx1"/>
            </w14:solidFill>
          </w14:textFill>
        </w:rPr>
      </w:pPr>
    </w:p>
    <w:p>
      <w:pPr>
        <w:pStyle w:val="5"/>
        <w:tabs>
          <w:tab w:val="left" w:pos="3600"/>
        </w:tabs>
        <w:rPr>
          <w:rFonts w:hint="eastAsia" w:ascii="思源黑体 CN Normal" w:hAnsi="思源黑体 CN Normal" w:eastAsia="思源黑体 CN Normal" w:cs="思源黑体 CN Normal"/>
          <w:color w:val="000000" w:themeColor="text1"/>
          <w14:textFill>
            <w14:solidFill>
              <w14:schemeClr w14:val="tx1"/>
            </w14:solidFill>
          </w14:textFill>
        </w:rPr>
      </w:pPr>
      <w:r>
        <w:rPr>
          <w:rFonts w:hint="eastAsia" w:ascii="思源黑体 CN Normal" w:hAnsi="思源黑体 CN Normal" w:eastAsia="思源黑体 CN Normal" w:cs="思源黑体 CN Normal"/>
          <w:color w:val="000000" w:themeColor="text1"/>
          <w14:textFill>
            <w14:solidFill>
              <w14:schemeClr w14:val="tx1"/>
            </w14:solidFill>
          </w14:textFill>
        </w:rPr>
        <w:tab/>
      </w:r>
    </w:p>
    <w:p>
      <w:pPr>
        <w:pStyle w:val="5"/>
        <w:rPr>
          <w:rFonts w:hint="eastAsia" w:ascii="思源黑体 CN Normal" w:hAnsi="思源黑体 CN Normal" w:eastAsia="思源黑体 CN Normal" w:cs="思源黑体 CN Normal"/>
          <w:color w:val="000000" w:themeColor="text1"/>
          <w14:textFill>
            <w14:solidFill>
              <w14:schemeClr w14:val="tx1"/>
            </w14:solidFill>
          </w14:textFill>
        </w:rPr>
      </w:pPr>
    </w:p>
    <w:p>
      <w:pPr>
        <w:pStyle w:val="14"/>
        <w:jc w:val="both"/>
        <w:rPr>
          <w:rFonts w:hint="eastAsia" w:ascii="思源黑体 CN Normal" w:hAnsi="思源黑体 CN Normal" w:eastAsia="思源黑体 CN Normal" w:cs="思源黑体 CN Normal"/>
          <w:color w:val="000000" w:themeColor="text1"/>
          <w:sz w:val="36"/>
          <w:szCs w:val="36"/>
          <w14:textFill>
            <w14:solidFill>
              <w14:schemeClr w14:val="tx1"/>
            </w14:solidFill>
          </w14:textFill>
        </w:rPr>
      </w:pPr>
      <w:r>
        <w:rPr>
          <w:rFonts w:hint="eastAsia" w:ascii="思源黑体 CN Normal" w:hAnsi="思源黑体 CN Normal" w:eastAsia="思源黑体 CN Normal" w:cs="思源黑体 CN Normal"/>
          <w:color w:val="000000" w:themeColor="text1"/>
          <w:sz w:val="36"/>
          <w:szCs w:val="36"/>
          <w14:textFill>
            <w14:solidFill>
              <w14:schemeClr w14:val="tx1"/>
            </w14:solidFill>
          </w14:textFill>
        </w:rPr>
        <w:br w:type="page"/>
      </w:r>
    </w:p>
    <w:p>
      <w:pPr>
        <w:widowControl/>
        <w:jc w:val="center"/>
        <w:rPr>
          <w:rFonts w:hint="eastAsia" w:ascii="思源黑体 CN Normal" w:hAnsi="思源黑体 CN Normal" w:eastAsia="思源黑体 CN Normal" w:cs="思源黑体 CN Normal"/>
          <w:b w:val="0"/>
          <w:bCs w:val="0"/>
          <w:color w:val="000000" w:themeColor="text1"/>
          <w:sz w:val="36"/>
          <w:szCs w:val="36"/>
          <w14:textFill>
            <w14:solidFill>
              <w14:schemeClr w14:val="tx1"/>
            </w14:solidFill>
          </w14:textFill>
        </w:rPr>
      </w:pPr>
      <w:r>
        <w:rPr>
          <w:rFonts w:hint="eastAsia" w:ascii="思源黑体 CN Normal" w:hAnsi="思源黑体 CN Normal" w:eastAsia="思源黑体 CN Normal" w:cs="思源黑体 CN Normal"/>
          <w:b w:val="0"/>
          <w:bCs w:val="0"/>
          <w:color w:val="000000" w:themeColor="text1"/>
          <w:sz w:val="48"/>
          <w:szCs w:val="48"/>
          <w14:textFill>
            <w14:solidFill>
              <w14:schemeClr w14:val="tx1"/>
            </w14:solidFill>
          </w14:textFill>
        </w:rPr>
        <w:t>目录</w:t>
      </w:r>
    </w:p>
    <w:p>
      <w:pPr>
        <w:pStyle w:val="14"/>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公开时间：20</w:t>
      </w:r>
      <w:r>
        <w:rPr>
          <w:rFonts w:hint="eastAsia"/>
          <w:color w:val="000000" w:themeColor="text1"/>
          <w:highlight w:val="none"/>
          <w:lang w:val="en-US" w:eastAsia="zh-CN"/>
          <w14:textFill>
            <w14:solidFill>
              <w14:schemeClr w14:val="tx1"/>
            </w14:solidFill>
          </w14:textFill>
        </w:rPr>
        <w:t>26</w:t>
      </w:r>
      <w:r>
        <w:rPr>
          <w:rFonts w:hint="eastAsia"/>
          <w:color w:val="000000" w:themeColor="text1"/>
          <w:highlight w:val="none"/>
          <w14:textFill>
            <w14:solidFill>
              <w14:schemeClr w14:val="tx1"/>
            </w14:solidFill>
          </w14:textFill>
        </w:rPr>
        <w:t>年</w:t>
      </w: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14:textFill>
            <w14:solidFill>
              <w14:schemeClr w14:val="tx1"/>
            </w14:solidFill>
          </w14:textFill>
        </w:rPr>
        <w:t>月</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日</w:t>
      </w:r>
    </w:p>
    <w:p>
      <w:pPr>
        <w:pStyle w:val="14"/>
        <w:tabs>
          <w:tab w:val="right" w:leader="dot" w:pos="8306"/>
          <w:tab w:val="clear" w:pos="8296"/>
        </w:tabs>
        <w:rPr>
          <w:rFonts w:hint="eastAsia" w:ascii="黑体" w:hAnsi="黑体" w:eastAsia="黑体" w:cs="黑体"/>
          <w:color w:val="000000" w:themeColor="text1"/>
          <w:sz w:val="32"/>
          <w:szCs w:val="32"/>
          <w14:textFill>
            <w14:solidFill>
              <w14:schemeClr w14:val="tx1"/>
            </w14:solidFill>
          </w14:textFill>
        </w:rPr>
      </w:pPr>
      <w:bookmarkStart w:id="12" w:name="_Toc15377196"/>
      <w:r>
        <w:rPr>
          <w:rFonts w:hint="eastAsia" w:ascii="宋体" w:hAnsi="宋体" w:eastAsia="宋体" w:cs="宋体"/>
          <w:smallCaps/>
          <w:color w:val="000000" w:themeColor="text1"/>
          <w:sz w:val="20"/>
          <w:szCs w:val="20"/>
          <w14:textFill>
            <w14:solidFill>
              <w14:schemeClr w14:val="tx1"/>
            </w14:solidFill>
          </w14:textFill>
        </w:rPr>
        <w:fldChar w:fldCharType="begin"/>
      </w:r>
      <w:r>
        <w:rPr>
          <w:rFonts w:hint="eastAsia" w:ascii="宋体" w:hAnsi="宋体" w:eastAsia="宋体" w:cs="宋体"/>
          <w:smallCaps/>
          <w:color w:val="000000" w:themeColor="text1"/>
          <w:sz w:val="20"/>
          <w:szCs w:val="20"/>
          <w14:textFill>
            <w14:solidFill>
              <w14:schemeClr w14:val="tx1"/>
            </w14:solidFill>
          </w14:textFill>
        </w:rPr>
        <w:instrText xml:space="preserve"> TOC \o "1-2" \h \z \u </w:instrText>
      </w:r>
      <w:r>
        <w:rPr>
          <w:rFonts w:hint="eastAsia" w:ascii="宋体" w:hAnsi="宋体" w:eastAsia="宋体" w:cs="宋体"/>
          <w:smallCaps/>
          <w:color w:val="000000" w:themeColor="text1"/>
          <w:sz w:val="20"/>
          <w:szCs w:val="20"/>
          <w14:textFill>
            <w14:solidFill>
              <w14:schemeClr w14:val="tx1"/>
            </w14:solidFill>
          </w14:textFill>
        </w:rPr>
        <w:fldChar w:fldCharType="separate"/>
      </w: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_Toc9016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 xml:space="preserve">第一部分 </w:t>
      </w:r>
      <w:r>
        <w:rPr>
          <w:rFonts w:hint="eastAsia" w:ascii="黑体" w:hAnsi="黑体" w:eastAsia="黑体" w:cs="黑体"/>
          <w:bCs w:val="0"/>
          <w:color w:val="000000" w:themeColor="text1"/>
          <w:sz w:val="32"/>
          <w:szCs w:val="32"/>
          <w14:textFill>
            <w14:solidFill>
              <w14:schemeClr w14:val="tx1"/>
            </w14:solidFill>
          </w14:textFill>
        </w:rPr>
        <w:t>单位</w:t>
      </w:r>
      <w:r>
        <w:rPr>
          <w:rFonts w:ascii="黑体" w:hAnsi="黑体" w:eastAsia="黑体" w:cs="黑体"/>
          <w:color w:val="000000"/>
          <w:sz w:val="32"/>
          <w:u w:color="auto"/>
        </w:rPr>
        <w:t>概况</w:t>
      </w:r>
      <w:r>
        <w:tab/>
      </w: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PAGEREF _Toc9016 \h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1</w:t>
      </w:r>
      <w:r>
        <w:rPr>
          <w:rFonts w:hint="eastAsia" w:ascii="黑体" w:hAnsi="黑体" w:eastAsia="黑体" w:cs="黑体"/>
          <w:color w:val="000000" w:themeColor="text1"/>
          <w:sz w:val="32"/>
          <w:szCs w:val="32"/>
          <w14:textFill>
            <w14:solidFill>
              <w14:schemeClr w14:val="tx1"/>
            </w14:solidFill>
          </w14:textFill>
        </w:rPr>
        <w:fldChar w:fldCharType="end"/>
      </w:r>
      <w:r>
        <w:rPr>
          <w:rFonts w:hint="eastAsia" w:ascii="黑体" w:hAnsi="黑体" w:eastAsia="黑体" w:cs="黑体"/>
          <w:smallCaps/>
          <w:color w:val="000000" w:themeColor="text1"/>
          <w:sz w:val="32"/>
          <w:szCs w:val="32"/>
          <w14:textFill>
            <w14:solidFill>
              <w14:schemeClr w14:val="tx1"/>
            </w14:solidFill>
          </w14:textFill>
        </w:rPr>
        <w:fldChar w:fldCharType="end"/>
      </w:r>
    </w:p>
    <w:p>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_Toc28564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一、</w:t>
      </w:r>
      <w:r>
        <w:rPr>
          <w:rFonts w:hint="eastAsia" w:ascii="仿宋" w:hAnsi="仿宋" w:eastAsia="仿宋" w:cs="仿宋"/>
          <w:bCs w:val="0"/>
          <w:color w:val="000000" w:themeColor="text1"/>
          <w:sz w:val="32"/>
          <w:szCs w:val="32"/>
          <w:lang w:val="en-US" w:eastAsia="zh-CN"/>
          <w14:textFill>
            <w14:solidFill>
              <w14:schemeClr w14:val="tx1"/>
            </w14:solidFill>
          </w14:textFill>
        </w:rPr>
        <w:t>主要职责</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_Toc28564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1</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_Toc22056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二、机构设置</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_Toc22056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2</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4"/>
        <w:tabs>
          <w:tab w:val="right" w:leader="dot" w:pos="8306"/>
          <w:tab w:val="clear" w:pos="8296"/>
        </w:tabs>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_Toc9058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 xml:space="preserve">第二部分 </w:t>
      </w:r>
      <w:r>
        <w:rPr>
          <w:rFonts w:ascii="黑体" w:hAnsi="黑体" w:eastAsia="黑体" w:cs="黑体"/>
          <w:color w:val="000000"/>
          <w:sz w:val="32"/>
          <w:u w:color="auto"/>
        </w:rPr>
        <w:t>202</w:t>
      </w:r>
      <w:r>
        <w:rPr>
          <w:rFonts w:hint="eastAsia" w:ascii="黑体" w:hAnsi="黑体" w:eastAsia="黑体" w:cs="黑体"/>
          <w:color w:val="000000"/>
          <w:sz w:val="32"/>
          <w:u w:color="auto"/>
          <w:lang w:val="en-US" w:eastAsia="zh-CN"/>
        </w:rPr>
        <w:t>5</w:t>
      </w:r>
      <w:r>
        <w:rPr>
          <w:rFonts w:ascii="黑体" w:hAnsi="黑体" w:eastAsia="黑体" w:cs="黑体"/>
          <w:color w:val="000000"/>
          <w:sz w:val="32"/>
          <w:u w:color="auto"/>
        </w:rPr>
        <w:t>年度</w:t>
      </w:r>
      <w:r>
        <w:rPr>
          <w:rFonts w:hint="eastAsia" w:ascii="黑体" w:hAnsi="黑体" w:eastAsia="黑体" w:cs="黑体"/>
          <w:color w:val="000000" w:themeColor="text1"/>
          <w:sz w:val="32"/>
          <w:szCs w:val="32"/>
          <w:lang w:val="en-US" w:eastAsia="zh-CN"/>
          <w14:textFill>
            <w14:solidFill>
              <w14:schemeClr w14:val="tx1"/>
            </w14:solidFill>
          </w14:textFill>
        </w:rPr>
        <w:t>单位</w:t>
      </w:r>
      <w:r>
        <w:rPr>
          <w:rFonts w:hint="eastAsia" w:ascii="黑体" w:hAnsi="黑体" w:eastAsia="黑体" w:cs="黑体"/>
          <w:color w:val="000000" w:themeColor="text1"/>
          <w:sz w:val="32"/>
          <w:szCs w:val="32"/>
          <w14:textFill>
            <w14:solidFill>
              <w14:schemeClr w14:val="tx1"/>
            </w14:solidFill>
          </w14:textFill>
        </w:rPr>
        <w:t>决算情况说明</w:t>
      </w:r>
      <w:r>
        <w:tab/>
      </w: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PAGEREF _Toc9058 \h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3</w:t>
      </w:r>
      <w:r>
        <w:rPr>
          <w:rFonts w:hint="eastAsia" w:ascii="黑体" w:hAnsi="黑体" w:eastAsia="黑体" w:cs="黑体"/>
          <w:color w:val="000000" w:themeColor="text1"/>
          <w:sz w:val="32"/>
          <w:szCs w:val="32"/>
          <w14:textFill>
            <w14:solidFill>
              <w14:schemeClr w14:val="tx1"/>
            </w14:solidFill>
          </w14:textFill>
        </w:rPr>
        <w:fldChar w:fldCharType="end"/>
      </w:r>
      <w:r>
        <w:rPr>
          <w:rFonts w:hint="eastAsia" w:ascii="黑体" w:hAnsi="黑体" w:eastAsia="黑体" w:cs="黑体"/>
          <w:smallCaps/>
          <w:color w:val="000000" w:themeColor="text1"/>
          <w:sz w:val="32"/>
          <w:szCs w:val="32"/>
          <w14:textFill>
            <w14:solidFill>
              <w14:schemeClr w14:val="tx1"/>
            </w14:solidFill>
          </w14:textFill>
        </w:rPr>
        <w:fldChar w:fldCharType="end"/>
      </w:r>
    </w:p>
    <w:p>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_Toc19710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一、收入支出决算总体情况说明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_Toc19710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3</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_Toc8125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二、收入决算情况说明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_Toc8125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3</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_Toc28283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三、支出决算情况说明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_Toc28283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3</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_Toc19521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四、财政拨款收入支出决算总体情况说明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_Toc19521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4</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_Toc14368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五、一般公共预算财政拨款支出决算情况说明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_Toc14368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4</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_Toc31578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六、一般公共预算财政拨款基本支出决算情况说明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_Toc31578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7</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_Toc6614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七、“三公”经费财政拨款支出决算情况说明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_Toc6614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7</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_Toc20439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八、政府性基金预算支出决算情况说明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_Toc20439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9</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_Toc23467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九、国有资本经营预算支出决算情况说明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_Toc23467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9</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_Toc18455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十、其他重要事项的情况说明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_Toc18455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9</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4"/>
        <w:tabs>
          <w:tab w:val="right" w:leader="dot" w:pos="8306"/>
          <w:tab w:val="clear" w:pos="8296"/>
        </w:tabs>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_Toc18122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第三部分 名词解释</w:t>
      </w:r>
      <w:r>
        <w:rPr>
          <w:rFonts w:hint="eastAsia" w:ascii="黑体" w:hAnsi="黑体" w:eastAsia="黑体" w:cs="黑体"/>
          <w:color w:val="000000" w:themeColor="text1"/>
          <w:sz w:val="32"/>
          <w:szCs w:val="32"/>
          <w14:textFill>
            <w14:solidFill>
              <w14:schemeClr w14:val="tx1"/>
            </w14:solidFill>
          </w14:textFill>
        </w:rPr>
        <w:tab/>
      </w: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PAGEREF _Toc18122 \h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11</w:t>
      </w:r>
      <w:r>
        <w:rPr>
          <w:rFonts w:hint="eastAsia" w:ascii="黑体" w:hAnsi="黑体" w:eastAsia="黑体" w:cs="黑体"/>
          <w:color w:val="000000" w:themeColor="text1"/>
          <w:sz w:val="32"/>
          <w:szCs w:val="32"/>
          <w14:textFill>
            <w14:solidFill>
              <w14:schemeClr w14:val="tx1"/>
            </w14:solidFill>
          </w14:textFill>
        </w:rPr>
        <w:fldChar w:fldCharType="end"/>
      </w:r>
      <w:r>
        <w:rPr>
          <w:rFonts w:hint="eastAsia" w:ascii="黑体" w:hAnsi="黑体" w:eastAsia="黑体" w:cs="黑体"/>
          <w:smallCaps/>
          <w:color w:val="000000" w:themeColor="text1"/>
          <w:sz w:val="32"/>
          <w:szCs w:val="32"/>
          <w14:textFill>
            <w14:solidFill>
              <w14:schemeClr w14:val="tx1"/>
            </w14:solidFill>
          </w14:textFill>
        </w:rPr>
        <w:fldChar w:fldCharType="end"/>
      </w:r>
    </w:p>
    <w:p>
      <w:pPr>
        <w:pStyle w:val="14"/>
        <w:tabs>
          <w:tab w:val="right" w:leader="dot" w:pos="8306"/>
          <w:tab w:val="clear" w:pos="8296"/>
        </w:tabs>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_Toc25539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第四部分 附件</w:t>
      </w:r>
      <w:r>
        <w:rPr>
          <w:rFonts w:hint="eastAsia" w:ascii="黑体" w:hAnsi="黑体" w:eastAsia="黑体" w:cs="黑体"/>
          <w:color w:val="000000" w:themeColor="text1"/>
          <w:sz w:val="32"/>
          <w:szCs w:val="32"/>
          <w14:textFill>
            <w14:solidFill>
              <w14:schemeClr w14:val="tx1"/>
            </w14:solidFill>
          </w14:textFill>
        </w:rPr>
        <w:tab/>
      </w: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PAGEREF _Toc25539 \h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15</w:t>
      </w:r>
      <w:r>
        <w:rPr>
          <w:rFonts w:hint="eastAsia" w:ascii="黑体" w:hAnsi="黑体" w:eastAsia="黑体" w:cs="黑体"/>
          <w:color w:val="000000" w:themeColor="text1"/>
          <w:sz w:val="32"/>
          <w:szCs w:val="32"/>
          <w14:textFill>
            <w14:solidFill>
              <w14:schemeClr w14:val="tx1"/>
            </w14:solidFill>
          </w14:textFill>
        </w:rPr>
        <w:fldChar w:fldCharType="end"/>
      </w:r>
      <w:r>
        <w:rPr>
          <w:rFonts w:hint="eastAsia" w:ascii="黑体" w:hAnsi="黑体" w:eastAsia="黑体" w:cs="黑体"/>
          <w:smallCaps/>
          <w:color w:val="000000" w:themeColor="text1"/>
          <w:sz w:val="32"/>
          <w:szCs w:val="32"/>
          <w14:textFill>
            <w14:solidFill>
              <w14:schemeClr w14:val="tx1"/>
            </w14:solidFill>
          </w14:textFill>
        </w:rPr>
        <w:fldChar w:fldCharType="end"/>
      </w:r>
    </w:p>
    <w:p>
      <w:pPr>
        <w:pStyle w:val="14"/>
        <w:tabs>
          <w:tab w:val="right" w:leader="dot" w:pos="8306"/>
          <w:tab w:val="clear" w:pos="8296"/>
        </w:tabs>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_Toc21200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第五部分 附表</w:t>
      </w:r>
      <w:r>
        <w:rPr>
          <w:rFonts w:hint="eastAsia" w:ascii="黑体" w:hAnsi="黑体" w:eastAsia="黑体" w:cs="黑体"/>
          <w:color w:val="000000" w:themeColor="text1"/>
          <w:sz w:val="32"/>
          <w:szCs w:val="32"/>
          <w14:textFill>
            <w14:solidFill>
              <w14:schemeClr w14:val="tx1"/>
            </w14:solidFill>
          </w14:textFill>
        </w:rPr>
        <w:tab/>
      </w: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PAGEREF _Toc21200 \h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15</w:t>
      </w:r>
      <w:r>
        <w:rPr>
          <w:rFonts w:hint="eastAsia" w:ascii="黑体" w:hAnsi="黑体" w:eastAsia="黑体" w:cs="黑体"/>
          <w:color w:val="000000" w:themeColor="text1"/>
          <w:sz w:val="32"/>
          <w:szCs w:val="32"/>
          <w14:textFill>
            <w14:solidFill>
              <w14:schemeClr w14:val="tx1"/>
            </w14:solidFill>
          </w14:textFill>
        </w:rPr>
        <w:fldChar w:fldCharType="end"/>
      </w:r>
      <w:r>
        <w:rPr>
          <w:rFonts w:hint="eastAsia" w:ascii="黑体" w:hAnsi="黑体" w:eastAsia="黑体" w:cs="黑体"/>
          <w:smallCaps/>
          <w:color w:val="000000" w:themeColor="text1"/>
          <w:sz w:val="32"/>
          <w:szCs w:val="32"/>
          <w14:textFill>
            <w14:solidFill>
              <w14:schemeClr w14:val="tx1"/>
            </w14:solidFill>
          </w14:textFill>
        </w:rPr>
        <w:fldChar w:fldCharType="end"/>
      </w:r>
    </w:p>
    <w:p>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_Toc16431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一、收入支出决算总表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_Toc16431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21</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_Toc25389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二、收入决算表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_Toc25389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21</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_Toc10450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三、支出决算表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_Toc10450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21</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_Toc15415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四、财政拨款收入支出决算总表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_Toc15415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21</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_Toc17530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五、财政拨款支出决算明细表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_Toc17530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21</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_Toc22032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六、一般公共预算财政拨款支出决算表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_Toc22032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21</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_Toc3364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七、一般公共预算财政拨款支出决算明细表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_Toc3364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21</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_Toc9110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八、一般公共预算财政拨款基本支出决算表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_Toc9110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21</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_Toc28582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九、一般公共预算财政拨款项目支出决算表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_Toc28582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21</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_Toc22001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十、政府性基金预算财政拨款收入支出决算表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_Toc22001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21</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_Toc6538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十一、国有资本经营预算财政拨款收入支出决算表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_Toc6538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21</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_Toc10625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十二、国有资本经营预算财政拨款支出决算表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_Toc10625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21</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_Toc28356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十三、财政拨款“三公”经费支出决算表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_Toc28356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21</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5"/>
        <w:rPr>
          <w:rFonts w:hint="eastAsia" w:ascii="宋体" w:hAnsi="宋体" w:eastAsia="宋体" w:cs="宋体"/>
        </w:rPr>
      </w:pPr>
      <w:r>
        <w:rPr>
          <w:rFonts w:hint="eastAsia" w:ascii="宋体" w:hAnsi="宋体" w:eastAsia="宋体" w:cs="宋体"/>
          <w:smallCaps/>
          <w:color w:val="000000" w:themeColor="text1"/>
          <w:szCs w:val="20"/>
          <w14:textFill>
            <w14:solidFill>
              <w14:schemeClr w14:val="tx1"/>
            </w14:solidFill>
          </w14:textFill>
        </w:rPr>
        <w:fldChar w:fldCharType="end"/>
      </w:r>
    </w:p>
    <w:p>
      <w:pPr>
        <w:pStyle w:val="2"/>
        <w:jc w:val="center"/>
        <w:rPr>
          <w:rFonts w:hint="eastAsia" w:ascii="黑体" w:hAnsi="黑体" w:eastAsia="黑体" w:cs="黑体"/>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bookmarkStart w:id="13" w:name="_Toc111208495"/>
      <w:bookmarkStart w:id="14" w:name="_Toc9016"/>
    </w:p>
    <w:p>
      <w:pPr>
        <w:pStyle w:val="2"/>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576" w:lineRule="exact"/>
        <w:ind w:left="0" w:leftChars="0" w:firstLine="880" w:firstLineChars="200"/>
        <w:jc w:val="center"/>
        <w:textAlignment w:val="auto"/>
        <w:rPr>
          <w:rFonts w:hint="eastAsia"/>
        </w:rPr>
      </w:pPr>
      <w:r>
        <w:rPr>
          <w:rStyle w:val="34"/>
          <w:rFonts w:hint="eastAsia" w:ascii="黑体" w:hAnsi="黑体" w:eastAsia="黑体" w:cs="黑体"/>
          <w:b w:val="0"/>
          <w:bCs w:val="0"/>
        </w:rPr>
        <w:t>单位</w:t>
      </w:r>
      <w:r>
        <w:rPr>
          <w:rStyle w:val="34"/>
          <w:rFonts w:ascii="黑体" w:hAnsi="黑体" w:eastAsia="黑体" w:cs="黑体"/>
          <w:b w:val="0"/>
          <w:bCs w:val="0"/>
          <w:u w:color="auto"/>
        </w:rPr>
        <w:t>概况</w:t>
      </w:r>
      <w:bookmarkEnd w:id="12"/>
      <w:bookmarkEnd w:id="13"/>
      <w:bookmarkEnd w:id="14"/>
    </w:p>
    <w:p>
      <w:pPr>
        <w:pStyle w:val="3"/>
        <w:keepNext w:val="0"/>
        <w:keepLines w:val="0"/>
        <w:pageBreakBefore w:val="0"/>
        <w:widowControl w:val="0"/>
        <w:kinsoku/>
        <w:wordWrap/>
        <w:overflowPunct/>
        <w:topLinePunct w:val="0"/>
        <w:autoSpaceDE/>
        <w:autoSpaceDN/>
        <w:bidi w:val="0"/>
        <w:adjustRightInd/>
        <w:snapToGrid/>
        <w:spacing w:beforeAutospacing="0" w:afterAutospacing="0" w:line="576" w:lineRule="exact"/>
        <w:ind w:left="0" w:leftChars="0" w:firstLine="640" w:firstLineChars="200"/>
        <w:textAlignment w:val="auto"/>
        <w:rPr>
          <w:rFonts w:hint="eastAsia" w:ascii="黑体" w:hAnsi="黑体" w:eastAsia="黑体" w:cs="黑体"/>
          <w:b w:val="0"/>
          <w:bCs/>
          <w:color w:val="000000"/>
          <w:sz w:val="32"/>
          <w:szCs w:val="32"/>
        </w:rPr>
      </w:pPr>
      <w:bookmarkStart w:id="15" w:name="_Toc111208496"/>
      <w:bookmarkStart w:id="16" w:name="_Toc15377197"/>
      <w:bookmarkStart w:id="17" w:name="_Toc113981010"/>
      <w:bookmarkStart w:id="18" w:name="_Toc28564"/>
      <w:bookmarkStart w:id="19" w:name="_Toc15377204"/>
    </w:p>
    <w:p>
      <w:pPr>
        <w:pStyle w:val="3"/>
        <w:keepNext w:val="0"/>
        <w:keepLines w:val="0"/>
        <w:pageBreakBefore w:val="0"/>
        <w:widowControl w:val="0"/>
        <w:kinsoku/>
        <w:wordWrap/>
        <w:overflowPunct/>
        <w:topLinePunct w:val="0"/>
        <w:autoSpaceDE/>
        <w:autoSpaceDN/>
        <w:bidi w:val="0"/>
        <w:adjustRightInd/>
        <w:snapToGrid/>
        <w:spacing w:beforeAutospacing="0" w:afterAutospacing="0" w:line="576" w:lineRule="exact"/>
        <w:ind w:left="0" w:leftChars="0" w:firstLine="640" w:firstLineChars="200"/>
        <w:textAlignment w:val="auto"/>
        <w:rPr>
          <w:rFonts w:hint="eastAsia" w:ascii="黑体" w:hAnsi="黑体" w:eastAsia="黑体" w:cs="黑体"/>
          <w:b w:val="0"/>
          <w:bCs/>
          <w:color w:val="000000"/>
          <w:sz w:val="32"/>
          <w:szCs w:val="32"/>
          <w:lang w:val="en-US" w:eastAsia="zh-CN"/>
        </w:rPr>
      </w:pPr>
      <w:r>
        <w:rPr>
          <w:rFonts w:hint="eastAsia" w:ascii="黑体" w:hAnsi="黑体" w:eastAsia="黑体" w:cs="黑体"/>
          <w:b w:val="0"/>
          <w:bCs/>
          <w:color w:val="000000"/>
          <w:sz w:val="32"/>
          <w:szCs w:val="32"/>
        </w:rPr>
        <w:t>一、</w:t>
      </w:r>
      <w:bookmarkEnd w:id="15"/>
      <w:bookmarkEnd w:id="16"/>
      <w:bookmarkEnd w:id="17"/>
      <w:bookmarkEnd w:id="18"/>
      <w:bookmarkStart w:id="20" w:name="_Toc15377198"/>
      <w:bookmarkStart w:id="21" w:name="_Toc15378445"/>
      <w:r>
        <w:rPr>
          <w:rFonts w:hint="eastAsia" w:ascii="黑体" w:hAnsi="黑体" w:eastAsia="黑体" w:cs="黑体"/>
          <w:b w:val="0"/>
          <w:bCs/>
          <w:color w:val="000000"/>
          <w:sz w:val="32"/>
          <w:szCs w:val="32"/>
          <w:lang w:val="en-US" w:eastAsia="zh-CN"/>
        </w:rPr>
        <w:t>主要职责</w:t>
      </w:r>
    </w:p>
    <w:bookmarkEnd w:id="20"/>
    <w:bookmarkEnd w:id="21"/>
    <w:p>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left="0" w:leftChars="0"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color w:val="000000"/>
          <w:sz w:val="32"/>
          <w:szCs w:val="32"/>
        </w:rPr>
        <w:t>1.贯彻执行国家、省、州有关水利工作的方针、政策和法律、法规，研究拟订配套适合县情的实施办法和规范性文件，并监督实施；负责保障水资源的合理开发利用，组织编制全县重要江河的流域综合规划、防洪规划等重大水利规划；拟订全县水利发展目标、发展战略以及编制中长期规划和年度计划，拟订水利工程建设有关制度并组织实施。</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2.统一管理全县水资源，负责生活、生产经营和生态环境用水的统筹兼顾和保障。拟订全县和跨县水中长期供求规划、水量分配方案、计划用水、节约用水规划，推动节水型社会建设工作。组织实施取水许可、水资源论证、防洪论证和水土保持论证制度。按规划发布全县水资源公报。</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3.组织编制洪水干旱灾害防治规划，承担水情、旱情监测预警，组织编制防洪抗旱应急水量调度方案，编制防御洪水抗旱调度方案。</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4.按照管理权限编制、审查全县水利基本建设项目建议书和可行性研究报告；初审、转报水利基本建设项目初步设计。负责水利设施的管理与保护，负责全县重要江河、湖泊、水库、滩涂的治理和开发，管理和负责水利工程建设与运行管理，组织实施具有控制性或跨县重要水利工程建设与运行管理，负责河道采砂的统一监督管理工作。负责全县农村饮水安全的建设与管理工作。</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5.负责防治水土流失。拟订水土保持规划并监督实施，组织实施全县水土流失的综合防治、监测预报，按照管理权限负责建设项目水土保持方案的审批、监督实施及水土保持设施的验收工作，承担重点水土保持建设项目的实施。</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6.负责重大涉水违法事件的查处和协调跨县或部门间水事纠纷，承担水政监察和水行政执法。负责水利建设工程项目的招标投标活动的监督执法。依法负责水利行业安全生产工作，组织、承担水库大坝、水电站大坝等水利工程的安全监管，组织实施水利工程建设的监督和定额管理。承担水利统计工作。</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7.拟订水利行业经济调节措施；负责编制全县水利建设项目资金计划，对水利资金进行管理、监督和内部审计。研究提出有关水利方面价格、税收、信贷、财务等经济调节建议。单位国有资产保值增值的监督和管理。</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8.负责全县水利方面的科技与外事工作，组织本县重大水利行业科学研究的技术推广。监督实施水利行业技术质量标准和规程、规范，承办水利行业对外经济、技术合作与交流等涉外事务。</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9.完成县委、县政府交办的其他任务。</w:t>
      </w:r>
    </w:p>
    <w:p>
      <w:pPr>
        <w:pStyle w:val="3"/>
        <w:keepNext w:val="0"/>
        <w:keepLines w:val="0"/>
        <w:pageBreakBefore w:val="0"/>
        <w:widowControl w:val="0"/>
        <w:kinsoku/>
        <w:wordWrap/>
        <w:overflowPunct/>
        <w:topLinePunct w:val="0"/>
        <w:autoSpaceDE/>
        <w:autoSpaceDN/>
        <w:bidi w:val="0"/>
        <w:adjustRightInd/>
        <w:snapToGrid/>
        <w:spacing w:beforeAutospacing="0" w:afterAutospacing="0" w:line="576" w:lineRule="exact"/>
        <w:ind w:left="0" w:leftChars="0" w:firstLine="720" w:firstLineChars="200"/>
        <w:textAlignment w:val="auto"/>
        <w:rPr>
          <w:rFonts w:hint="eastAsia" w:ascii="黑体" w:hAnsi="黑体" w:eastAsia="黑体" w:cs="黑体"/>
          <w:b w:val="0"/>
          <w:bCs/>
          <w:color w:val="000000"/>
        </w:rPr>
      </w:pPr>
      <w:bookmarkStart w:id="22" w:name="_Toc15377200"/>
      <w:bookmarkStart w:id="23" w:name="_Toc113981011"/>
      <w:bookmarkStart w:id="24" w:name="_Toc111208497"/>
      <w:bookmarkStart w:id="25" w:name="_Toc22056"/>
      <w:r>
        <w:rPr>
          <w:rFonts w:hint="eastAsia" w:ascii="黑体" w:hAnsi="黑体" w:eastAsia="黑体" w:cs="黑体"/>
          <w:b w:val="0"/>
          <w:bCs/>
          <w:color w:val="000000"/>
        </w:rPr>
        <w:t>二、机构设置</w:t>
      </w:r>
      <w:bookmarkEnd w:id="22"/>
      <w:bookmarkEnd w:id="23"/>
      <w:bookmarkEnd w:id="24"/>
      <w:bookmarkEnd w:id="25"/>
    </w:p>
    <w:p>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left="0" w:leftChars="0"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茂县水务局属一级预算单位</w:t>
      </w:r>
      <w:r>
        <w:rPr>
          <w:rFonts w:hint="eastAsia" w:ascii="仿宋_GB2312" w:hAnsi="仿宋_GB2312" w:eastAsia="仿宋_GB2312" w:cs="仿宋_GB2312"/>
          <w:color w:val="000000"/>
          <w:sz w:val="32"/>
          <w:szCs w:val="32"/>
          <w:lang w:eastAsia="zh-CN"/>
        </w:rPr>
        <w:t>。</w:t>
      </w:r>
    </w:p>
    <w:p>
      <w:pPr>
        <w:widowControl/>
        <w:jc w:val="left"/>
        <w:rPr>
          <w:rFonts w:hint="eastAsia" w:ascii="思源黑体 CN Normal" w:hAnsi="思源黑体 CN Normal" w:eastAsia="思源黑体 CN Normal" w:cs="思源黑体 CN Normal"/>
          <w:b/>
          <w:bCs/>
          <w:color w:val="000000"/>
          <w:kern w:val="44"/>
          <w:sz w:val="44"/>
          <w:szCs w:val="44"/>
        </w:rPr>
      </w:pPr>
      <w:r>
        <w:rPr>
          <w:rFonts w:hint="eastAsia" w:ascii="思源黑体 CN Normal" w:hAnsi="思源黑体 CN Normal" w:eastAsia="思源黑体 CN Normal" w:cs="思源黑体 CN Normal"/>
          <w:color w:val="000000"/>
        </w:rPr>
        <w:br w:type="page"/>
      </w:r>
    </w:p>
    <w:p>
      <w:pPr>
        <w:pStyle w:val="2"/>
        <w:keepNext w:val="0"/>
        <w:keepLines w:val="0"/>
        <w:pageBreakBefore w:val="0"/>
        <w:widowControl w:val="0"/>
        <w:kinsoku/>
        <w:wordWrap/>
        <w:overflowPunct/>
        <w:topLinePunct w:val="0"/>
        <w:autoSpaceDE/>
        <w:autoSpaceDN/>
        <w:bidi w:val="0"/>
        <w:adjustRightInd/>
        <w:snapToGrid/>
        <w:spacing w:beforeAutospacing="0" w:afterAutospacing="0"/>
        <w:jc w:val="center"/>
        <w:textAlignment w:val="auto"/>
        <w:rPr>
          <w:rFonts w:hint="eastAsia" w:ascii="黑体" w:hAnsi="黑体" w:eastAsia="黑体" w:cs="黑体"/>
          <w:b w:val="0"/>
          <w:bCs w:val="0"/>
          <w:sz w:val="36"/>
          <w:szCs w:val="36"/>
        </w:rPr>
      </w:pPr>
      <w:bookmarkStart w:id="26" w:name="_Toc9058"/>
      <w:bookmarkStart w:id="27" w:name="_Toc111208498"/>
      <w:r>
        <w:rPr>
          <w:rFonts w:hint="eastAsia" w:ascii="黑体" w:hAnsi="黑体" w:eastAsia="黑体" w:cs="黑体"/>
          <w:b w:val="0"/>
          <w:bCs w:val="0"/>
          <w:sz w:val="36"/>
          <w:szCs w:val="36"/>
        </w:rPr>
        <w:t xml:space="preserve">第二部分 </w:t>
      </w:r>
      <w:r>
        <w:rPr>
          <w:rFonts w:hint="eastAsia" w:ascii="黑体" w:hAnsi="黑体" w:eastAsia="黑体" w:cs="黑体"/>
          <w:sz w:val="36"/>
          <w:szCs w:val="36"/>
          <w:u w:color="auto"/>
        </w:rPr>
        <w:t>202</w:t>
      </w:r>
      <w:r>
        <w:rPr>
          <w:rFonts w:hint="eastAsia" w:ascii="黑体" w:hAnsi="黑体" w:eastAsia="黑体" w:cs="黑体"/>
          <w:sz w:val="36"/>
          <w:szCs w:val="36"/>
          <w:u w:color="auto"/>
          <w:lang w:val="en-US" w:eastAsia="zh-CN"/>
        </w:rPr>
        <w:t>5</w:t>
      </w:r>
      <w:r>
        <w:rPr>
          <w:rFonts w:hint="eastAsia" w:ascii="黑体" w:hAnsi="黑体" w:eastAsia="黑体" w:cs="黑体"/>
          <w:sz w:val="36"/>
          <w:szCs w:val="36"/>
          <w:u w:color="auto"/>
        </w:rPr>
        <w:t>年度</w:t>
      </w:r>
      <w:r>
        <w:rPr>
          <w:rFonts w:hint="eastAsia" w:ascii="黑体" w:hAnsi="黑体" w:eastAsia="黑体" w:cs="黑体"/>
          <w:b w:val="0"/>
          <w:bCs w:val="0"/>
          <w:sz w:val="36"/>
          <w:szCs w:val="36"/>
          <w:lang w:val="en-US" w:eastAsia="zh-CN"/>
        </w:rPr>
        <w:t>单位</w:t>
      </w:r>
      <w:r>
        <w:rPr>
          <w:rFonts w:hint="eastAsia" w:ascii="黑体" w:hAnsi="黑体" w:eastAsia="黑体" w:cs="黑体"/>
          <w:b w:val="0"/>
          <w:bCs w:val="0"/>
          <w:sz w:val="36"/>
          <w:szCs w:val="36"/>
        </w:rPr>
        <w:t>决算情况说明</w:t>
      </w:r>
      <w:bookmarkEnd w:id="19"/>
      <w:bookmarkEnd w:id="26"/>
      <w:bookmarkEnd w:id="27"/>
    </w:p>
    <w:p>
      <w:pPr>
        <w:pStyle w:val="3"/>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黑体" w:hAnsi="黑体" w:eastAsia="黑体" w:cs="黑体"/>
          <w:b w:val="0"/>
          <w:bCs/>
          <w:color w:val="000000"/>
          <w:sz w:val="32"/>
          <w:szCs w:val="32"/>
        </w:rPr>
      </w:pPr>
      <w:bookmarkStart w:id="28" w:name="_Toc15377205"/>
      <w:bookmarkStart w:id="29" w:name="_Toc111208499"/>
      <w:bookmarkStart w:id="30" w:name="_Toc19710"/>
      <w:r>
        <w:rPr>
          <w:rFonts w:hint="eastAsia" w:ascii="黑体" w:hAnsi="黑体" w:eastAsia="黑体" w:cs="黑体"/>
          <w:b w:val="0"/>
          <w:bCs/>
          <w:color w:val="000000"/>
          <w:sz w:val="32"/>
          <w:szCs w:val="32"/>
        </w:rPr>
        <w:t>一、收入支出决算总体情况说</w:t>
      </w:r>
      <w:bookmarkEnd w:id="28"/>
      <w:r>
        <w:rPr>
          <w:rFonts w:hint="eastAsia" w:ascii="黑体" w:hAnsi="黑体" w:eastAsia="黑体" w:cs="黑体"/>
          <w:b w:val="0"/>
          <w:bCs/>
          <w:color w:val="000000"/>
          <w:sz w:val="32"/>
          <w:szCs w:val="32"/>
        </w:rPr>
        <w:t>明</w:t>
      </w:r>
      <w:bookmarkEnd w:id="29"/>
      <w:bookmarkEnd w:id="30"/>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u w:color="auto"/>
        </w:rPr>
        <w:t>年度收入、支出总计均为</w:t>
      </w:r>
      <w:r>
        <w:rPr>
          <w:rFonts w:hint="eastAsia" w:ascii="仿宋_GB2312" w:hAnsi="仿宋_GB2312" w:eastAsia="仿宋_GB2312" w:cs="仿宋_GB2312"/>
          <w:color w:val="000000"/>
          <w:sz w:val="32"/>
          <w:u w:color="auto"/>
          <w:lang w:val="en-US" w:eastAsia="zh-CN"/>
        </w:rPr>
        <w:t>2762.86</w:t>
      </w:r>
      <w:r>
        <w:rPr>
          <w:rFonts w:hint="eastAsia" w:ascii="仿宋_GB2312" w:hAnsi="仿宋_GB2312" w:eastAsia="仿宋_GB2312" w:cs="仿宋_GB2312"/>
          <w:color w:val="000000"/>
          <w:sz w:val="32"/>
          <w:szCs w:val="32"/>
        </w:rPr>
        <w:t>万元。与</w:t>
      </w:r>
      <w:r>
        <w:rPr>
          <w:rFonts w:hint="eastAsia" w:ascii="仿宋_GB2312" w:hAnsi="仿宋_GB2312" w:eastAsia="仿宋_GB2312" w:cs="仿宋_GB2312"/>
          <w:color w:val="000000"/>
          <w:sz w:val="32"/>
          <w:u w:color="auto"/>
        </w:rPr>
        <w:t>202</w:t>
      </w:r>
      <w:r>
        <w:rPr>
          <w:rFonts w:hint="eastAsia" w:ascii="仿宋_GB2312" w:hAnsi="仿宋_GB2312" w:eastAsia="仿宋_GB2312" w:cs="仿宋_GB2312"/>
          <w:color w:val="000000"/>
          <w:sz w:val="32"/>
          <w:u w:color="auto"/>
          <w:lang w:val="en-US" w:eastAsia="zh-CN"/>
        </w:rPr>
        <w:t>4</w:t>
      </w:r>
      <w:r>
        <w:rPr>
          <w:rFonts w:hint="eastAsia" w:ascii="仿宋_GB2312" w:hAnsi="仿宋_GB2312" w:eastAsia="仿宋_GB2312" w:cs="仿宋_GB2312"/>
          <w:color w:val="000000"/>
          <w:sz w:val="32"/>
          <w:szCs w:val="32"/>
          <w:lang w:val="en-US" w:eastAsia="zh-CN"/>
        </w:rPr>
        <w:t>年度</w:t>
      </w:r>
      <w:r>
        <w:rPr>
          <w:rFonts w:hint="eastAsia" w:ascii="仿宋_GB2312" w:hAnsi="仿宋_GB2312" w:eastAsia="仿宋_GB2312" w:cs="仿宋_GB2312"/>
          <w:color w:val="000000"/>
          <w:sz w:val="32"/>
          <w:szCs w:val="32"/>
        </w:rPr>
        <w:t>相比，收入、支出总计各</w:t>
      </w:r>
      <w:r>
        <w:rPr>
          <w:rFonts w:hint="eastAsia" w:ascii="仿宋_GB2312" w:hAnsi="仿宋_GB2312" w:eastAsia="仿宋_GB2312" w:cs="仿宋_GB2312"/>
          <w:color w:val="000000"/>
          <w:sz w:val="32"/>
          <w:u w:color="auto"/>
          <w:lang w:val="en-US" w:eastAsia="zh-CN"/>
        </w:rPr>
        <w:t>增加157.27</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u w:color="auto"/>
          <w:lang w:val="en-US" w:eastAsia="zh-CN"/>
        </w:rPr>
        <w:t>增长5.69</w:t>
      </w:r>
      <w:r>
        <w:rPr>
          <w:rFonts w:hint="eastAsia" w:ascii="仿宋_GB2312" w:hAnsi="仿宋_GB2312" w:eastAsia="仿宋_GB2312" w:cs="仿宋_GB2312"/>
          <w:color w:val="000000"/>
          <w:sz w:val="32"/>
          <w:u w:color="auto"/>
        </w:rPr>
        <w:t>%</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u w:color="auto"/>
        </w:rPr>
        <w:t>主要变动原因是</w:t>
      </w:r>
      <w:r>
        <w:rPr>
          <w:rFonts w:hint="eastAsia" w:ascii="仿宋_GB2312" w:hAnsi="仿宋_GB2312" w:eastAsia="仿宋_GB2312" w:cs="仿宋_GB2312"/>
          <w:color w:val="000000"/>
          <w:sz w:val="32"/>
          <w:u w:color="auto"/>
          <w:lang w:eastAsia="zh-CN"/>
        </w:rPr>
        <w:t>：</w:t>
      </w:r>
      <w:r>
        <w:rPr>
          <w:rFonts w:hint="eastAsia" w:ascii="仿宋_GB2312" w:hAnsi="仿宋_GB2312" w:eastAsia="仿宋_GB2312" w:cs="仿宋_GB2312"/>
          <w:color w:val="000000"/>
          <w:sz w:val="32"/>
          <w:u w:color="auto"/>
        </w:rPr>
        <w:t>项目</w:t>
      </w:r>
      <w:r>
        <w:rPr>
          <w:rFonts w:hint="eastAsia" w:ascii="仿宋_GB2312" w:hAnsi="仿宋_GB2312" w:eastAsia="仿宋_GB2312" w:cs="仿宋_GB2312"/>
          <w:color w:val="000000"/>
          <w:sz w:val="32"/>
          <w:u w:color="auto"/>
          <w:lang w:val="en-US" w:eastAsia="zh-CN"/>
        </w:rPr>
        <w:t>资金增加</w:t>
      </w:r>
      <w:r>
        <w:rPr>
          <w:rFonts w:hint="eastAsia" w:ascii="仿宋_GB2312" w:hAnsi="仿宋_GB2312" w:eastAsia="仿宋_GB2312" w:cs="仿宋_GB2312"/>
          <w:color w:val="000000"/>
          <w:sz w:val="32"/>
          <w:u w:color="auto"/>
        </w:rPr>
        <w:t xml:space="preserve">。 </w:t>
      </w:r>
    </w:p>
    <w:p>
      <w:pPr>
        <w:pStyle w:val="5"/>
        <w:rPr>
          <w:rFonts w:hint="eastAsia" w:ascii="思源黑体 CN Normal" w:hAnsi="思源黑体 CN Normal" w:eastAsia="思源黑体 CN Normal" w:cs="思源黑体 CN Normal"/>
        </w:rPr>
      </w:pPr>
      <w:r>
        <w:rPr>
          <w:rFonts w:hint="eastAsia" w:ascii="思源黑体 CN Normal" w:hAnsi="思源黑体 CN Normal" w:eastAsia="思源黑体 CN Normal" w:cs="思源黑体 CN Normal"/>
        </w:rPr>
        <w:drawing>
          <wp:inline distT="0" distB="0" distL="114300" distR="114300">
            <wp:extent cx="3757930" cy="2052955"/>
            <wp:effectExtent l="4445" t="4445" r="9525" b="19050"/>
            <wp:docPr id="10"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pStyle w:val="3"/>
        <w:keepNext w:val="0"/>
        <w:keepLines w:val="0"/>
        <w:pageBreakBefore w:val="0"/>
        <w:widowControl w:val="0"/>
        <w:kinsoku/>
        <w:wordWrap/>
        <w:overflowPunct/>
        <w:topLinePunct w:val="0"/>
        <w:autoSpaceDE/>
        <w:autoSpaceDN/>
        <w:bidi w:val="0"/>
        <w:adjustRightInd/>
        <w:snapToGrid/>
        <w:spacing w:beforeAutospacing="0" w:afterAutospacing="0"/>
        <w:ind w:firstLine="720" w:firstLineChars="200"/>
        <w:textAlignment w:val="auto"/>
        <w:rPr>
          <w:rFonts w:hint="eastAsia" w:ascii="黑体" w:hAnsi="黑体" w:eastAsia="黑体" w:cs="黑体"/>
          <w:bCs w:val="0"/>
          <w:color w:val="000000"/>
        </w:rPr>
      </w:pPr>
      <w:bookmarkStart w:id="31" w:name="_Toc111208500"/>
      <w:bookmarkStart w:id="32" w:name="_Toc15377206"/>
      <w:bookmarkStart w:id="33" w:name="_Toc8125"/>
      <w:r>
        <w:rPr>
          <w:rFonts w:hint="eastAsia" w:ascii="黑体" w:hAnsi="黑体" w:eastAsia="黑体" w:cs="黑体"/>
          <w:b w:val="0"/>
          <w:bCs/>
          <w:color w:val="000000"/>
        </w:rPr>
        <w:t>二、收入决算情况说明</w:t>
      </w:r>
      <w:bookmarkEnd w:id="31"/>
      <w:bookmarkEnd w:id="32"/>
      <w:bookmarkEnd w:id="33"/>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本年收入合计</w:t>
      </w:r>
      <w:r>
        <w:rPr>
          <w:rFonts w:hint="eastAsia" w:ascii="仿宋_GB2312" w:hAnsi="仿宋_GB2312" w:eastAsia="仿宋_GB2312" w:cs="仿宋_GB2312"/>
          <w:color w:val="000000"/>
          <w:sz w:val="32"/>
          <w:u w:color="auto"/>
          <w:lang w:val="en-US" w:eastAsia="zh-CN"/>
        </w:rPr>
        <w:t>2762.86</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szCs w:val="32"/>
          <w:lang w:val="en-US" w:eastAsia="zh-CN"/>
        </w:rPr>
        <w:t>，其中:一般公共预算财政拨款收入2295.1万元，占83.07%；政府性基金预算财政拨款收入467.76万元，占16.93%</w:t>
      </w:r>
      <w:r>
        <w:rPr>
          <w:rFonts w:hint="eastAsia" w:ascii="仿宋_GB2312" w:hAnsi="仿宋_GB2312" w:eastAsia="仿宋_GB2312" w:cs="仿宋_GB2312"/>
          <w:color w:val="000000"/>
          <w:sz w:val="32"/>
          <w:szCs w:val="32"/>
        </w:rPr>
        <w:t>。</w:t>
      </w:r>
    </w:p>
    <w:p>
      <w:pPr>
        <w:pStyle w:val="17"/>
        <w:ind w:left="1060" w:hanging="640"/>
        <w:jc w:val="center"/>
        <w:rPr>
          <w:rFonts w:hint="eastAsia" w:ascii="思源黑体 CN Normal" w:hAnsi="思源黑体 CN Normal" w:eastAsia="思源黑体 CN Normal" w:cs="思源黑体 CN Normal"/>
          <w:color w:val="FF0000"/>
          <w:sz w:val="32"/>
          <w:szCs w:val="32"/>
        </w:rPr>
      </w:pPr>
      <w:r>
        <w:rPr>
          <w:rFonts w:hint="eastAsia" w:ascii="思源黑体 CN Normal" w:hAnsi="思源黑体 CN Normal" w:eastAsia="思源黑体 CN Normal" w:cs="思源黑体 CN Normal"/>
          <w:color w:val="FF0000"/>
          <w:sz w:val="32"/>
          <w:szCs w:val="32"/>
        </w:rPr>
        <w:drawing>
          <wp:inline distT="0" distB="0" distL="114300" distR="114300">
            <wp:extent cx="3315970" cy="1868805"/>
            <wp:effectExtent l="4445" t="4445" r="13335" b="1270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pStyle w:val="3"/>
        <w:keepNext w:val="0"/>
        <w:keepLines w:val="0"/>
        <w:pageBreakBefore w:val="0"/>
        <w:widowControl w:val="0"/>
        <w:kinsoku/>
        <w:wordWrap/>
        <w:overflowPunct/>
        <w:topLinePunct w:val="0"/>
        <w:autoSpaceDE/>
        <w:autoSpaceDN/>
        <w:bidi w:val="0"/>
        <w:adjustRightInd/>
        <w:snapToGrid/>
        <w:spacing w:beforeAutospacing="0" w:afterAutospacing="0"/>
        <w:ind w:firstLine="720" w:firstLineChars="200"/>
        <w:textAlignment w:val="auto"/>
        <w:rPr>
          <w:rFonts w:hint="eastAsia" w:ascii="黑体" w:hAnsi="黑体" w:eastAsia="黑体" w:cs="黑体"/>
          <w:b w:val="0"/>
          <w:bCs/>
          <w:color w:val="000000"/>
        </w:rPr>
      </w:pPr>
      <w:bookmarkStart w:id="34" w:name="_Toc15377207"/>
      <w:bookmarkStart w:id="35" w:name="_Toc111208501"/>
      <w:bookmarkStart w:id="36" w:name="_Toc28283"/>
      <w:r>
        <w:rPr>
          <w:rFonts w:hint="eastAsia" w:ascii="黑体" w:hAnsi="黑体" w:eastAsia="黑体" w:cs="黑体"/>
          <w:b w:val="0"/>
          <w:bCs/>
          <w:color w:val="000000"/>
        </w:rPr>
        <w:t>三、支出决算情况说明</w:t>
      </w:r>
      <w:bookmarkEnd w:id="34"/>
      <w:bookmarkEnd w:id="35"/>
      <w:bookmarkEnd w:id="36"/>
    </w:p>
    <w:p>
      <w:pPr>
        <w:pStyle w:val="5"/>
        <w:keepNext w:val="0"/>
        <w:keepLines w:val="0"/>
        <w:pageBreakBefore w:val="0"/>
        <w:widowControl w:val="0"/>
        <w:kinsoku/>
        <w:wordWrap/>
        <w:overflowPunct/>
        <w:topLinePunct w:val="0"/>
        <w:autoSpaceDE/>
        <w:autoSpaceDN/>
        <w:bidi w:val="0"/>
        <w:adjustRightInd/>
        <w:snapToGrid/>
        <w:spacing w:beforeAutospacing="0" w:afterAutospacing="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本年支出合计</w:t>
      </w:r>
      <w:r>
        <w:rPr>
          <w:rFonts w:hint="eastAsia" w:ascii="仿宋_GB2312" w:hAnsi="仿宋_GB2312" w:eastAsia="仿宋_GB2312" w:cs="仿宋_GB2312"/>
          <w:color w:val="000000"/>
          <w:sz w:val="32"/>
          <w:u w:color="auto"/>
          <w:lang w:val="en-US" w:eastAsia="zh-CN"/>
        </w:rPr>
        <w:t>2762.86</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szCs w:val="32"/>
          <w:lang w:val="en-US" w:eastAsia="zh-CN"/>
        </w:rPr>
        <w:t>，其中:基本支出138.28万元，占5%；项目支出2624.58万元，占95%</w:t>
      </w:r>
      <w:r>
        <w:rPr>
          <w:rFonts w:hint="eastAsia" w:ascii="仿宋_GB2312" w:hAnsi="仿宋_GB2312" w:eastAsia="仿宋_GB2312" w:cs="仿宋_GB2312"/>
          <w:color w:val="000000"/>
          <w:sz w:val="32"/>
          <w:szCs w:val="32"/>
        </w:rPr>
        <w:t>。</w:t>
      </w:r>
    </w:p>
    <w:p>
      <w:pPr>
        <w:jc w:val="center"/>
        <w:rPr>
          <w:rFonts w:hint="eastAsia" w:ascii="仿宋" w:hAnsi="仿宋" w:eastAsia="仿宋" w:cs="仿宋"/>
          <w:color w:val="000000"/>
          <w:sz w:val="32"/>
          <w:szCs w:val="32"/>
        </w:rPr>
      </w:pPr>
      <w:r>
        <w:rPr>
          <w:rFonts w:hint="eastAsia" w:ascii="思源黑体 CN Normal" w:hAnsi="思源黑体 CN Normal" w:eastAsia="思源黑体 CN Normal" w:cs="思源黑体 CN Normal"/>
          <w:color w:val="FF0000"/>
          <w:sz w:val="32"/>
          <w:szCs w:val="32"/>
        </w:rPr>
        <w:drawing>
          <wp:inline distT="0" distB="0" distL="114300" distR="114300">
            <wp:extent cx="3260725" cy="1671955"/>
            <wp:effectExtent l="4445" t="4445" r="11430" b="1905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pStyle w:val="3"/>
        <w:keepNext w:val="0"/>
        <w:keepLines w:val="0"/>
        <w:pageBreakBefore w:val="0"/>
        <w:widowControl w:val="0"/>
        <w:kinsoku/>
        <w:wordWrap/>
        <w:overflowPunct/>
        <w:topLinePunct w:val="0"/>
        <w:autoSpaceDE/>
        <w:autoSpaceDN/>
        <w:bidi w:val="0"/>
        <w:adjustRightInd/>
        <w:snapToGrid/>
        <w:spacing w:beforeAutospacing="0" w:afterAutospacing="0"/>
        <w:ind w:firstLine="720" w:firstLineChars="200"/>
        <w:textAlignment w:val="auto"/>
        <w:rPr>
          <w:rFonts w:hint="eastAsia" w:ascii="黑体" w:hAnsi="黑体" w:eastAsia="黑体" w:cs="黑体"/>
          <w:b w:val="0"/>
          <w:bCs/>
          <w:color w:val="000000"/>
        </w:rPr>
      </w:pPr>
      <w:bookmarkStart w:id="37" w:name="_Toc111208502"/>
      <w:bookmarkStart w:id="38" w:name="_Toc15377208"/>
      <w:bookmarkStart w:id="39" w:name="_Toc19521"/>
      <w:r>
        <w:rPr>
          <w:rFonts w:hint="eastAsia" w:ascii="黑体" w:hAnsi="黑体" w:eastAsia="黑体" w:cs="黑体"/>
          <w:b w:val="0"/>
          <w:bCs/>
          <w:color w:val="000000"/>
        </w:rPr>
        <w:t>四、财政拨款收入支出决算总体情况说明</w:t>
      </w:r>
      <w:bookmarkEnd w:id="37"/>
      <w:bookmarkEnd w:id="38"/>
      <w:bookmarkEnd w:id="39"/>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财政拨款收</w:t>
      </w:r>
      <w:r>
        <w:rPr>
          <w:rFonts w:hint="eastAsia" w:ascii="仿宋_GB2312" w:hAnsi="仿宋_GB2312" w:eastAsia="仿宋_GB2312" w:cs="仿宋_GB2312"/>
          <w:color w:val="000000"/>
          <w:sz w:val="32"/>
          <w:szCs w:val="32"/>
          <w:lang w:val="en-US" w:eastAsia="zh-CN"/>
        </w:rPr>
        <w:t>入</w:t>
      </w:r>
      <w:r>
        <w:rPr>
          <w:rFonts w:hint="eastAsia" w:ascii="仿宋_GB2312" w:hAnsi="仿宋_GB2312" w:eastAsia="仿宋_GB2312" w:cs="仿宋_GB2312"/>
          <w:color w:val="000000"/>
          <w:sz w:val="32"/>
          <w:szCs w:val="32"/>
        </w:rPr>
        <w:t>、支</w:t>
      </w:r>
      <w:r>
        <w:rPr>
          <w:rFonts w:hint="eastAsia" w:ascii="仿宋_GB2312" w:hAnsi="仿宋_GB2312" w:eastAsia="仿宋_GB2312" w:cs="仿宋_GB2312"/>
          <w:color w:val="000000"/>
          <w:sz w:val="32"/>
          <w:szCs w:val="32"/>
          <w:lang w:val="en-US" w:eastAsia="zh-CN"/>
        </w:rPr>
        <w:t>出</w:t>
      </w:r>
      <w:r>
        <w:rPr>
          <w:rFonts w:hint="eastAsia" w:ascii="仿宋_GB2312" w:hAnsi="仿宋_GB2312" w:eastAsia="仿宋_GB2312" w:cs="仿宋_GB2312"/>
          <w:color w:val="000000"/>
          <w:sz w:val="32"/>
          <w:szCs w:val="32"/>
        </w:rPr>
        <w:t>总计均为</w:t>
      </w:r>
      <w:r>
        <w:rPr>
          <w:rFonts w:hint="eastAsia" w:ascii="仿宋_GB2312" w:hAnsi="仿宋_GB2312" w:eastAsia="仿宋_GB2312" w:cs="仿宋_GB2312"/>
          <w:color w:val="000000"/>
          <w:sz w:val="32"/>
          <w:u w:color="auto"/>
          <w:lang w:val="en-US" w:eastAsia="zh-CN"/>
        </w:rPr>
        <w:t>2762.86</w:t>
      </w:r>
      <w:r>
        <w:rPr>
          <w:rFonts w:hint="eastAsia" w:ascii="仿宋_GB2312" w:hAnsi="仿宋_GB2312" w:eastAsia="仿宋_GB2312" w:cs="仿宋_GB2312"/>
          <w:color w:val="000000"/>
          <w:sz w:val="32"/>
          <w:u w:color="auto"/>
        </w:rPr>
        <w:t>万元。与202</w:t>
      </w:r>
      <w:r>
        <w:rPr>
          <w:rFonts w:hint="eastAsia" w:ascii="仿宋_GB2312" w:hAnsi="仿宋_GB2312" w:eastAsia="仿宋_GB2312" w:cs="仿宋_GB2312"/>
          <w:color w:val="000000"/>
          <w:sz w:val="32"/>
          <w:u w:color="auto"/>
          <w:lang w:val="en-US" w:eastAsia="zh-CN"/>
        </w:rPr>
        <w:t>4</w:t>
      </w:r>
      <w:r>
        <w:rPr>
          <w:rFonts w:hint="eastAsia" w:ascii="仿宋_GB2312" w:hAnsi="仿宋_GB2312" w:eastAsia="仿宋_GB2312" w:cs="仿宋_GB2312"/>
          <w:color w:val="000000"/>
          <w:sz w:val="32"/>
          <w:szCs w:val="32"/>
          <w:lang w:val="en-US" w:eastAsia="zh-CN"/>
        </w:rPr>
        <w:t>年度</w:t>
      </w:r>
      <w:r>
        <w:rPr>
          <w:rFonts w:hint="eastAsia" w:ascii="仿宋_GB2312" w:hAnsi="仿宋_GB2312" w:eastAsia="仿宋_GB2312" w:cs="仿宋_GB2312"/>
          <w:color w:val="000000"/>
          <w:sz w:val="32"/>
          <w:szCs w:val="32"/>
        </w:rPr>
        <w:t>相比，财政拨款收</w:t>
      </w:r>
      <w:r>
        <w:rPr>
          <w:rFonts w:hint="eastAsia" w:ascii="仿宋_GB2312" w:hAnsi="仿宋_GB2312" w:eastAsia="仿宋_GB2312" w:cs="仿宋_GB2312"/>
          <w:color w:val="000000"/>
          <w:sz w:val="32"/>
          <w:szCs w:val="32"/>
          <w:lang w:val="en-US" w:eastAsia="zh-CN"/>
        </w:rPr>
        <w:t>入</w:t>
      </w:r>
      <w:r>
        <w:rPr>
          <w:rFonts w:hint="eastAsia" w:ascii="仿宋_GB2312" w:hAnsi="仿宋_GB2312" w:eastAsia="仿宋_GB2312" w:cs="仿宋_GB2312"/>
          <w:color w:val="000000"/>
          <w:sz w:val="32"/>
          <w:szCs w:val="32"/>
        </w:rPr>
        <w:t>、支</w:t>
      </w:r>
      <w:r>
        <w:rPr>
          <w:rFonts w:hint="eastAsia" w:ascii="仿宋_GB2312" w:hAnsi="仿宋_GB2312" w:eastAsia="仿宋_GB2312" w:cs="仿宋_GB2312"/>
          <w:color w:val="000000"/>
          <w:sz w:val="32"/>
          <w:szCs w:val="32"/>
          <w:lang w:val="en-US" w:eastAsia="zh-CN"/>
        </w:rPr>
        <w:t>出</w:t>
      </w:r>
      <w:r>
        <w:rPr>
          <w:rFonts w:hint="eastAsia" w:ascii="仿宋_GB2312" w:hAnsi="仿宋_GB2312" w:eastAsia="仿宋_GB2312" w:cs="仿宋_GB2312"/>
          <w:color w:val="000000"/>
          <w:sz w:val="32"/>
          <w:szCs w:val="32"/>
        </w:rPr>
        <w:t>总计各</w:t>
      </w:r>
      <w:r>
        <w:rPr>
          <w:rFonts w:hint="eastAsia" w:ascii="仿宋_GB2312" w:hAnsi="仿宋_GB2312" w:eastAsia="仿宋_GB2312" w:cs="仿宋_GB2312"/>
          <w:color w:val="000000"/>
          <w:sz w:val="32"/>
          <w:u w:color="auto"/>
          <w:lang w:val="en-US" w:eastAsia="zh-CN"/>
        </w:rPr>
        <w:t>增加157.27</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u w:color="auto"/>
          <w:lang w:val="en-US" w:eastAsia="zh-CN"/>
        </w:rPr>
        <w:t>增长5.69</w:t>
      </w:r>
      <w:r>
        <w:rPr>
          <w:rFonts w:hint="eastAsia" w:ascii="仿宋_GB2312" w:hAnsi="仿宋_GB2312" w:eastAsia="仿宋_GB2312" w:cs="仿宋_GB2312"/>
          <w:color w:val="000000"/>
          <w:sz w:val="32"/>
          <w:u w:color="auto"/>
        </w:rPr>
        <w:t>%。主要变动原因是</w:t>
      </w:r>
      <w:r>
        <w:rPr>
          <w:rFonts w:hint="eastAsia" w:ascii="仿宋_GB2312" w:hAnsi="仿宋_GB2312" w:eastAsia="仿宋_GB2312" w:cs="仿宋_GB2312"/>
          <w:color w:val="000000"/>
          <w:sz w:val="32"/>
          <w:u w:color="auto"/>
          <w:lang w:eastAsia="zh-CN"/>
        </w:rPr>
        <w:t>：</w:t>
      </w:r>
      <w:r>
        <w:rPr>
          <w:rFonts w:hint="eastAsia" w:ascii="仿宋_GB2312" w:hAnsi="仿宋_GB2312" w:eastAsia="仿宋_GB2312" w:cs="仿宋_GB2312"/>
          <w:color w:val="000000"/>
          <w:sz w:val="32"/>
          <w:u w:color="auto"/>
        </w:rPr>
        <w:t>项目</w:t>
      </w:r>
      <w:r>
        <w:rPr>
          <w:rFonts w:hint="eastAsia" w:ascii="仿宋_GB2312" w:hAnsi="仿宋_GB2312" w:eastAsia="仿宋_GB2312" w:cs="仿宋_GB2312"/>
          <w:color w:val="000000"/>
          <w:sz w:val="32"/>
          <w:u w:color="auto"/>
          <w:lang w:val="en-US" w:eastAsia="zh-CN"/>
        </w:rPr>
        <w:t>资金增加</w:t>
      </w:r>
      <w:r>
        <w:rPr>
          <w:rFonts w:hint="eastAsia" w:ascii="仿宋_GB2312" w:hAnsi="仿宋_GB2312" w:eastAsia="仿宋_GB2312" w:cs="仿宋_GB2312"/>
          <w:color w:val="000000"/>
          <w:sz w:val="32"/>
          <w:u w:color="auto"/>
        </w:rPr>
        <w:t>。</w:t>
      </w:r>
    </w:p>
    <w:p>
      <w:pPr>
        <w:pStyle w:val="5"/>
        <w:ind w:left="0" w:leftChars="0" w:firstLine="0" w:firstLineChars="0"/>
        <w:jc w:val="center"/>
        <w:rPr>
          <w:rFonts w:hint="eastAsia" w:ascii="思源黑体 CN Normal" w:hAnsi="思源黑体 CN Normal" w:eastAsia="思源黑体 CN Normal" w:cs="思源黑体 CN Normal"/>
          <w:color w:val="000000"/>
          <w:sz w:val="32"/>
          <w:szCs w:val="32"/>
        </w:rPr>
      </w:pPr>
      <w:r>
        <w:rPr>
          <w:rFonts w:hint="eastAsia" w:ascii="思源黑体 CN Normal" w:hAnsi="思源黑体 CN Normal" w:eastAsia="思源黑体 CN Normal" w:cs="思源黑体 CN Normal"/>
          <w:color w:val="000000"/>
          <w:sz w:val="32"/>
          <w:szCs w:val="32"/>
        </w:rPr>
        <w:drawing>
          <wp:inline distT="0" distB="0" distL="0" distR="0">
            <wp:extent cx="3454400" cy="1923415"/>
            <wp:effectExtent l="4445" t="5080" r="8255" b="14605"/>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pStyle w:val="3"/>
        <w:keepNext w:val="0"/>
        <w:keepLines w:val="0"/>
        <w:pageBreakBefore w:val="0"/>
        <w:widowControl w:val="0"/>
        <w:kinsoku/>
        <w:wordWrap/>
        <w:overflowPunct/>
        <w:topLinePunct w:val="0"/>
        <w:autoSpaceDE/>
        <w:autoSpaceDN/>
        <w:bidi w:val="0"/>
        <w:adjustRightInd/>
        <w:snapToGrid/>
        <w:spacing w:beforeAutospacing="0" w:afterAutospacing="0"/>
        <w:ind w:firstLine="720" w:firstLineChars="200"/>
        <w:textAlignment w:val="auto"/>
        <w:rPr>
          <w:rFonts w:hint="eastAsia" w:ascii="黑体" w:hAnsi="黑体" w:eastAsia="黑体" w:cs="黑体"/>
          <w:b w:val="0"/>
          <w:bCs/>
          <w:color w:val="000000"/>
        </w:rPr>
      </w:pPr>
      <w:bookmarkStart w:id="40" w:name="_Toc15377209"/>
      <w:bookmarkStart w:id="41" w:name="_Toc14368"/>
      <w:bookmarkStart w:id="42" w:name="_Toc111208503"/>
      <w:r>
        <w:rPr>
          <w:rFonts w:hint="eastAsia" w:ascii="黑体" w:hAnsi="黑体" w:eastAsia="黑体" w:cs="黑体"/>
          <w:b w:val="0"/>
          <w:bCs/>
          <w:color w:val="000000"/>
        </w:rPr>
        <w:t>五、一般公共预算财政拨款支出决算情况说</w:t>
      </w:r>
      <w:bookmarkEnd w:id="40"/>
      <w:r>
        <w:rPr>
          <w:rFonts w:hint="eastAsia" w:ascii="黑体" w:hAnsi="黑体" w:eastAsia="黑体" w:cs="黑体"/>
          <w:b w:val="0"/>
          <w:bCs/>
          <w:color w:val="000000"/>
        </w:rPr>
        <w:t>明</w:t>
      </w:r>
      <w:bookmarkEnd w:id="41"/>
      <w:bookmarkEnd w:id="42"/>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2" w:firstLineChars="200"/>
        <w:textAlignment w:val="auto"/>
        <w:outlineLvl w:val="2"/>
        <w:rPr>
          <w:rFonts w:hint="eastAsia" w:ascii="楷体" w:hAnsi="楷体" w:eastAsia="楷体" w:cs="楷体"/>
          <w:b/>
          <w:color w:val="000000"/>
          <w:sz w:val="32"/>
          <w:szCs w:val="32"/>
        </w:rPr>
      </w:pPr>
      <w:bookmarkStart w:id="43" w:name="_Toc15377210"/>
      <w:r>
        <w:rPr>
          <w:rFonts w:hint="eastAsia" w:ascii="楷体" w:hAnsi="楷体" w:eastAsia="楷体" w:cs="楷体"/>
          <w:b/>
          <w:color w:val="000000"/>
          <w:sz w:val="32"/>
          <w:szCs w:val="32"/>
        </w:rPr>
        <w:t>（一）一般公共预算财政拨款支出决算总体情况</w:t>
      </w:r>
      <w:bookmarkEnd w:id="43"/>
    </w:p>
    <w:p>
      <w:pPr>
        <w:spacing w:line="600" w:lineRule="exact"/>
        <w:ind w:firstLine="640" w:firstLineChars="200"/>
        <w:rPr>
          <w:rFonts w:hint="eastAsia" w:ascii="仿宋_GB2312" w:hAnsi="仿宋_GB2312" w:eastAsia="仿宋_GB2312" w:cs="仿宋_GB2312"/>
          <w:b/>
          <w:color w:val="000000"/>
          <w:sz w:val="32"/>
          <w:szCs w:val="32"/>
          <w:lang w:val="en-US" w:eastAsia="zh-CN"/>
        </w:rPr>
      </w:pPr>
      <w:bookmarkStart w:id="44" w:name="_Toc15377211"/>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一般公共预算财政拨款支出</w:t>
      </w:r>
      <w:r>
        <w:rPr>
          <w:rFonts w:hint="eastAsia" w:ascii="仿宋_GB2312" w:hAnsi="仿宋_GB2312" w:eastAsia="仿宋_GB2312" w:cs="仿宋_GB2312"/>
          <w:color w:val="000000"/>
          <w:sz w:val="32"/>
          <w:u w:color="auto"/>
          <w:lang w:val="en-US" w:eastAsia="zh-CN"/>
        </w:rPr>
        <w:t>2295.1</w:t>
      </w:r>
      <w:r>
        <w:rPr>
          <w:rFonts w:hint="eastAsia" w:ascii="仿宋_GB2312" w:hAnsi="仿宋_GB2312" w:eastAsia="仿宋_GB2312" w:cs="仿宋_GB2312"/>
          <w:color w:val="000000"/>
          <w:sz w:val="32"/>
          <w:u w:color="auto"/>
        </w:rPr>
        <w:t>万元，占本年支出合计的8</w:t>
      </w:r>
      <w:r>
        <w:rPr>
          <w:rFonts w:hint="eastAsia" w:ascii="仿宋_GB2312" w:hAnsi="仿宋_GB2312" w:eastAsia="仿宋_GB2312" w:cs="仿宋_GB2312"/>
          <w:color w:val="000000"/>
          <w:sz w:val="32"/>
          <w:u w:color="auto"/>
          <w:lang w:val="en-US" w:eastAsia="zh-CN"/>
        </w:rPr>
        <w:t>3.07</w:t>
      </w:r>
      <w:r>
        <w:rPr>
          <w:rFonts w:hint="eastAsia" w:ascii="仿宋_GB2312" w:hAnsi="仿宋_GB2312" w:eastAsia="仿宋_GB2312" w:cs="仿宋_GB2312"/>
          <w:color w:val="000000"/>
          <w:sz w:val="32"/>
          <w:u w:color="auto"/>
        </w:rPr>
        <w:t>%。与202</w:t>
      </w:r>
      <w:r>
        <w:rPr>
          <w:rFonts w:hint="eastAsia" w:ascii="仿宋_GB2312" w:hAnsi="仿宋_GB2312" w:eastAsia="仿宋_GB2312" w:cs="仿宋_GB2312"/>
          <w:color w:val="000000"/>
          <w:sz w:val="32"/>
          <w:u w:color="auto"/>
          <w:lang w:val="en-US" w:eastAsia="zh-CN"/>
        </w:rPr>
        <w:t>4</w:t>
      </w:r>
      <w:r>
        <w:rPr>
          <w:rFonts w:hint="eastAsia" w:ascii="仿宋_GB2312" w:hAnsi="仿宋_GB2312" w:eastAsia="仿宋_GB2312" w:cs="仿宋_GB2312"/>
          <w:color w:val="000000"/>
          <w:sz w:val="32"/>
          <w:szCs w:val="32"/>
          <w:lang w:val="en-US" w:eastAsia="zh-CN"/>
        </w:rPr>
        <w:t>年度</w:t>
      </w:r>
      <w:r>
        <w:rPr>
          <w:rFonts w:hint="eastAsia" w:ascii="仿宋_GB2312" w:hAnsi="仿宋_GB2312" w:eastAsia="仿宋_GB2312" w:cs="仿宋_GB2312"/>
          <w:color w:val="000000"/>
          <w:sz w:val="32"/>
          <w:szCs w:val="32"/>
        </w:rPr>
        <w:t>相比，一般公共预算财政拨款</w:t>
      </w:r>
      <w:r>
        <w:rPr>
          <w:rFonts w:hint="eastAsia" w:ascii="仿宋_GB2312" w:hAnsi="仿宋_GB2312" w:eastAsia="仿宋_GB2312" w:cs="仿宋_GB2312"/>
          <w:color w:val="000000"/>
          <w:sz w:val="32"/>
          <w:u w:color="auto"/>
          <w:lang w:val="en-US" w:eastAsia="zh-CN"/>
        </w:rPr>
        <w:t>增加53.99</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u w:color="auto"/>
          <w:lang w:val="en-US" w:eastAsia="zh-CN"/>
        </w:rPr>
        <w:t>增长</w:t>
      </w:r>
      <w:r>
        <w:rPr>
          <w:rFonts w:hint="eastAsia" w:ascii="仿宋_GB2312" w:hAnsi="仿宋_GB2312" w:eastAsia="仿宋_GB2312" w:cs="仿宋_GB2312"/>
          <w:color w:val="000000"/>
          <w:sz w:val="32"/>
          <w:u w:color="auto"/>
        </w:rPr>
        <w:t>2</w:t>
      </w:r>
      <w:r>
        <w:rPr>
          <w:rFonts w:hint="eastAsia" w:ascii="仿宋_GB2312" w:hAnsi="仿宋_GB2312" w:eastAsia="仿宋_GB2312" w:cs="仿宋_GB2312"/>
          <w:color w:val="000000"/>
          <w:sz w:val="32"/>
          <w:u w:color="auto"/>
          <w:lang w:val="en-US" w:eastAsia="zh-CN"/>
        </w:rPr>
        <w:t>.35</w:t>
      </w:r>
      <w:r>
        <w:rPr>
          <w:rFonts w:hint="eastAsia" w:ascii="仿宋_GB2312" w:hAnsi="仿宋_GB2312" w:eastAsia="仿宋_GB2312" w:cs="仿宋_GB2312"/>
          <w:color w:val="000000"/>
          <w:sz w:val="32"/>
          <w:u w:color="auto"/>
        </w:rPr>
        <w:t>%。主要变动原因是</w:t>
      </w:r>
      <w:r>
        <w:rPr>
          <w:rFonts w:hint="eastAsia" w:ascii="仿宋_GB2312" w:hAnsi="仿宋_GB2312" w:eastAsia="仿宋_GB2312" w:cs="仿宋_GB2312"/>
          <w:color w:val="000000"/>
          <w:sz w:val="32"/>
          <w:u w:color="auto"/>
          <w:lang w:eastAsia="zh-CN"/>
        </w:rPr>
        <w:t>：</w:t>
      </w:r>
      <w:r>
        <w:rPr>
          <w:rFonts w:hint="eastAsia" w:ascii="仿宋_GB2312" w:hAnsi="仿宋_GB2312" w:eastAsia="仿宋_GB2312" w:cs="仿宋_GB2312"/>
          <w:color w:val="000000"/>
          <w:sz w:val="32"/>
          <w:u w:color="auto"/>
        </w:rPr>
        <w:t>项目</w:t>
      </w:r>
      <w:r>
        <w:rPr>
          <w:rFonts w:hint="eastAsia" w:ascii="仿宋_GB2312" w:hAnsi="仿宋_GB2312" w:eastAsia="仿宋_GB2312" w:cs="仿宋_GB2312"/>
          <w:color w:val="000000"/>
          <w:sz w:val="32"/>
          <w:u w:color="auto"/>
          <w:lang w:val="en-US" w:eastAsia="zh-CN"/>
        </w:rPr>
        <w:t>资金增加</w:t>
      </w:r>
      <w:r>
        <w:rPr>
          <w:rFonts w:hint="eastAsia" w:ascii="仿宋_GB2312" w:hAnsi="仿宋_GB2312" w:eastAsia="仿宋_GB2312" w:cs="仿宋_GB2312"/>
          <w:color w:val="000000"/>
          <w:sz w:val="32"/>
          <w:u w:color="auto"/>
        </w:rPr>
        <w:t xml:space="preserve">。 </w:t>
      </w:r>
    </w:p>
    <w:p>
      <w:pPr>
        <w:pStyle w:val="5"/>
        <w:ind w:firstLine="0"/>
        <w:jc w:val="center"/>
        <w:rPr>
          <w:rFonts w:hint="eastAsia" w:ascii="思源黑体 CN Normal" w:hAnsi="思源黑体 CN Normal" w:eastAsia="思源黑体 CN Normal" w:cs="思源黑体 CN Normal"/>
          <w:b/>
          <w:color w:val="000000"/>
          <w:sz w:val="32"/>
          <w:szCs w:val="32"/>
        </w:rPr>
      </w:pPr>
      <w:r>
        <w:rPr>
          <w:rFonts w:hint="eastAsia" w:ascii="思源黑体 CN Normal" w:hAnsi="思源黑体 CN Normal" w:eastAsia="思源黑体 CN Normal" w:cs="思源黑体 CN Normal"/>
          <w:b/>
          <w:color w:val="000000"/>
          <w:sz w:val="32"/>
          <w:szCs w:val="32"/>
        </w:rPr>
        <w:drawing>
          <wp:inline distT="0" distB="0" distL="0" distR="0">
            <wp:extent cx="2849245" cy="1838960"/>
            <wp:effectExtent l="4445" t="4445" r="22860" b="2349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spacing w:line="600" w:lineRule="exact"/>
        <w:ind w:firstLine="642" w:firstLineChars="200"/>
        <w:outlineLvl w:val="2"/>
        <w:rPr>
          <w:rFonts w:hint="eastAsia" w:ascii="楷体" w:hAnsi="楷体" w:eastAsia="楷体" w:cs="楷体"/>
          <w:b/>
          <w:color w:val="000000"/>
          <w:sz w:val="32"/>
          <w:szCs w:val="32"/>
        </w:rPr>
      </w:pPr>
      <w:r>
        <w:rPr>
          <w:rFonts w:hint="eastAsia" w:ascii="楷体" w:hAnsi="楷体" w:eastAsia="楷体" w:cs="楷体"/>
          <w:b/>
          <w:color w:val="000000"/>
          <w:sz w:val="32"/>
          <w:szCs w:val="32"/>
        </w:rPr>
        <w:t>（二）一般公共预算财政拨款支出决算结构情况</w:t>
      </w:r>
      <w:bookmarkEnd w:id="44"/>
    </w:p>
    <w:p>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一般公共预算财政拨款支出</w:t>
      </w:r>
      <w:r>
        <w:rPr>
          <w:rFonts w:hint="eastAsia" w:ascii="仿宋_GB2312" w:hAnsi="仿宋_GB2312" w:eastAsia="仿宋_GB2312" w:cs="仿宋_GB2312"/>
          <w:color w:val="000000"/>
          <w:sz w:val="32"/>
          <w:u w:color="auto"/>
          <w:lang w:val="en-US" w:eastAsia="zh-CN"/>
        </w:rPr>
        <w:t>2295.1</w:t>
      </w:r>
      <w:r>
        <w:rPr>
          <w:rFonts w:hint="eastAsia" w:ascii="仿宋_GB2312" w:hAnsi="仿宋_GB2312" w:eastAsia="仿宋_GB2312" w:cs="仿宋_GB2312"/>
          <w:color w:val="000000"/>
          <w:sz w:val="32"/>
          <w:u w:color="auto"/>
        </w:rPr>
        <w:t>万元，主要用于以下方面: 社会保障和就业支出</w:t>
      </w:r>
      <w:r>
        <w:rPr>
          <w:rFonts w:hint="eastAsia" w:ascii="仿宋_GB2312" w:hAnsi="仿宋_GB2312" w:eastAsia="仿宋_GB2312" w:cs="仿宋_GB2312"/>
          <w:color w:val="000000"/>
          <w:sz w:val="32"/>
          <w:u w:color="auto"/>
          <w:lang w:val="en-US" w:eastAsia="zh-CN"/>
        </w:rPr>
        <w:t>120.8</w:t>
      </w:r>
      <w:r>
        <w:rPr>
          <w:rFonts w:hint="eastAsia" w:ascii="仿宋_GB2312" w:hAnsi="仿宋_GB2312" w:eastAsia="仿宋_GB2312" w:cs="仿宋_GB2312"/>
          <w:color w:val="000000"/>
          <w:sz w:val="32"/>
          <w:u w:color="auto"/>
        </w:rPr>
        <w:t>万元，占</w:t>
      </w:r>
      <w:r>
        <w:rPr>
          <w:rFonts w:hint="eastAsia" w:ascii="仿宋_GB2312" w:hAnsi="仿宋_GB2312" w:eastAsia="仿宋_GB2312" w:cs="仿宋_GB2312"/>
          <w:color w:val="000000"/>
          <w:sz w:val="32"/>
          <w:u w:color="auto"/>
          <w:lang w:val="en-US" w:eastAsia="zh-CN"/>
        </w:rPr>
        <w:t>5.26</w:t>
      </w:r>
      <w:r>
        <w:rPr>
          <w:rFonts w:hint="eastAsia" w:ascii="仿宋_GB2312" w:hAnsi="仿宋_GB2312" w:eastAsia="仿宋_GB2312" w:cs="仿宋_GB2312"/>
          <w:color w:val="000000"/>
          <w:sz w:val="32"/>
          <w:u w:color="auto"/>
        </w:rPr>
        <w:t>%；卫生健康支出</w:t>
      </w:r>
      <w:r>
        <w:rPr>
          <w:rFonts w:hint="eastAsia" w:ascii="仿宋_GB2312" w:hAnsi="仿宋_GB2312" w:eastAsia="仿宋_GB2312" w:cs="仿宋_GB2312"/>
          <w:color w:val="000000"/>
          <w:sz w:val="32"/>
          <w:u w:color="auto"/>
          <w:lang w:val="en-US" w:eastAsia="zh-CN"/>
        </w:rPr>
        <w:t>8.68</w:t>
      </w:r>
      <w:r>
        <w:rPr>
          <w:rFonts w:hint="eastAsia" w:ascii="仿宋_GB2312" w:hAnsi="仿宋_GB2312" w:eastAsia="仿宋_GB2312" w:cs="仿宋_GB2312"/>
          <w:color w:val="000000"/>
          <w:sz w:val="32"/>
          <w:u w:color="auto"/>
        </w:rPr>
        <w:t>万元，占0.</w:t>
      </w:r>
      <w:r>
        <w:rPr>
          <w:rFonts w:hint="eastAsia" w:ascii="仿宋_GB2312" w:hAnsi="仿宋_GB2312" w:eastAsia="仿宋_GB2312" w:cs="仿宋_GB2312"/>
          <w:color w:val="000000"/>
          <w:sz w:val="32"/>
          <w:u w:color="auto"/>
          <w:lang w:val="en-US" w:eastAsia="zh-CN"/>
        </w:rPr>
        <w:t>38</w:t>
      </w:r>
      <w:r>
        <w:rPr>
          <w:rFonts w:hint="eastAsia" w:ascii="仿宋_GB2312" w:hAnsi="仿宋_GB2312" w:eastAsia="仿宋_GB2312" w:cs="仿宋_GB2312"/>
          <w:color w:val="000000"/>
          <w:sz w:val="32"/>
          <w:u w:color="auto"/>
        </w:rPr>
        <w:t>%；节能环保支出</w:t>
      </w:r>
      <w:r>
        <w:rPr>
          <w:rFonts w:hint="eastAsia" w:ascii="仿宋_GB2312" w:hAnsi="仿宋_GB2312" w:eastAsia="仿宋_GB2312" w:cs="仿宋_GB2312"/>
          <w:color w:val="000000"/>
          <w:sz w:val="32"/>
          <w:u w:color="auto"/>
          <w:lang w:val="en-US" w:eastAsia="zh-CN"/>
        </w:rPr>
        <w:t>119.52</w:t>
      </w:r>
      <w:r>
        <w:rPr>
          <w:rFonts w:hint="eastAsia" w:ascii="仿宋_GB2312" w:hAnsi="仿宋_GB2312" w:eastAsia="仿宋_GB2312" w:cs="仿宋_GB2312"/>
          <w:color w:val="000000"/>
          <w:sz w:val="32"/>
          <w:u w:color="auto"/>
        </w:rPr>
        <w:t>万元，占</w:t>
      </w:r>
      <w:r>
        <w:rPr>
          <w:rFonts w:hint="eastAsia" w:ascii="仿宋_GB2312" w:hAnsi="仿宋_GB2312" w:eastAsia="仿宋_GB2312" w:cs="仿宋_GB2312"/>
          <w:color w:val="000000"/>
          <w:sz w:val="32"/>
          <w:u w:color="auto"/>
          <w:lang w:val="en-US" w:eastAsia="zh-CN"/>
        </w:rPr>
        <w:t>5.21</w:t>
      </w:r>
      <w:r>
        <w:rPr>
          <w:rFonts w:hint="eastAsia" w:ascii="仿宋_GB2312" w:hAnsi="仿宋_GB2312" w:eastAsia="仿宋_GB2312" w:cs="仿宋_GB2312"/>
          <w:color w:val="000000"/>
          <w:sz w:val="32"/>
          <w:u w:color="auto"/>
        </w:rPr>
        <w:t>%；农林水支出</w:t>
      </w:r>
      <w:r>
        <w:rPr>
          <w:rFonts w:hint="eastAsia" w:ascii="仿宋_GB2312" w:hAnsi="仿宋_GB2312" w:eastAsia="仿宋_GB2312" w:cs="仿宋_GB2312"/>
          <w:color w:val="000000"/>
          <w:sz w:val="32"/>
          <w:u w:color="auto"/>
          <w:lang w:val="en-US" w:eastAsia="zh-CN"/>
        </w:rPr>
        <w:t>2034.89</w:t>
      </w:r>
      <w:r>
        <w:rPr>
          <w:rFonts w:hint="eastAsia" w:ascii="仿宋_GB2312" w:hAnsi="仿宋_GB2312" w:eastAsia="仿宋_GB2312" w:cs="仿宋_GB2312"/>
          <w:color w:val="000000"/>
          <w:sz w:val="32"/>
          <w:u w:color="auto"/>
        </w:rPr>
        <w:t>万元，占</w:t>
      </w:r>
      <w:r>
        <w:rPr>
          <w:rFonts w:hint="eastAsia" w:ascii="仿宋_GB2312" w:hAnsi="仿宋_GB2312" w:eastAsia="仿宋_GB2312" w:cs="仿宋_GB2312"/>
          <w:color w:val="000000"/>
          <w:sz w:val="32"/>
          <w:u w:color="auto"/>
          <w:lang w:val="en-US" w:eastAsia="zh-CN"/>
        </w:rPr>
        <w:t>88.66</w:t>
      </w:r>
      <w:r>
        <w:rPr>
          <w:rFonts w:hint="eastAsia" w:ascii="仿宋_GB2312" w:hAnsi="仿宋_GB2312" w:eastAsia="仿宋_GB2312" w:cs="仿宋_GB2312"/>
          <w:color w:val="000000"/>
          <w:sz w:val="32"/>
          <w:u w:color="auto"/>
        </w:rPr>
        <w:t>%；住房保障支出</w:t>
      </w:r>
      <w:r>
        <w:rPr>
          <w:rFonts w:hint="eastAsia" w:ascii="仿宋_GB2312" w:hAnsi="仿宋_GB2312" w:eastAsia="仿宋_GB2312" w:cs="仿宋_GB2312"/>
          <w:color w:val="000000"/>
          <w:sz w:val="32"/>
          <w:u w:color="auto"/>
          <w:lang w:val="en-US" w:eastAsia="zh-CN"/>
        </w:rPr>
        <w:t>11.2</w:t>
      </w:r>
      <w:r>
        <w:rPr>
          <w:rFonts w:hint="eastAsia" w:ascii="仿宋_GB2312" w:hAnsi="仿宋_GB2312" w:eastAsia="仿宋_GB2312" w:cs="仿宋_GB2312"/>
          <w:color w:val="000000"/>
          <w:sz w:val="32"/>
          <w:u w:color="auto"/>
        </w:rPr>
        <w:t>万元，占0.</w:t>
      </w:r>
      <w:r>
        <w:rPr>
          <w:rFonts w:hint="eastAsia" w:ascii="仿宋_GB2312" w:hAnsi="仿宋_GB2312" w:eastAsia="仿宋_GB2312" w:cs="仿宋_GB2312"/>
          <w:color w:val="000000"/>
          <w:sz w:val="32"/>
          <w:u w:color="auto"/>
          <w:lang w:val="en-US" w:eastAsia="zh-CN"/>
        </w:rPr>
        <w:t>49</w:t>
      </w:r>
      <w:r>
        <w:rPr>
          <w:rFonts w:hint="eastAsia" w:ascii="仿宋_GB2312" w:hAnsi="仿宋_GB2312" w:eastAsia="仿宋_GB2312" w:cs="仿宋_GB2312"/>
          <w:color w:val="000000"/>
          <w:sz w:val="32"/>
          <w:u w:color="auto"/>
        </w:rPr>
        <w:t>%。</w:t>
      </w:r>
    </w:p>
    <w:p>
      <w:pPr>
        <w:pStyle w:val="5"/>
        <w:jc w:val="center"/>
        <w:rPr>
          <w:rFonts w:hint="eastAsia" w:ascii="思源黑体 CN Normal" w:hAnsi="思源黑体 CN Normal" w:eastAsia="思源黑体 CN Normal" w:cs="思源黑体 CN Normal"/>
        </w:rPr>
      </w:pPr>
      <w:bookmarkStart w:id="45" w:name="_Toc15377212"/>
      <w:r>
        <w:rPr>
          <w:rFonts w:hint="eastAsia" w:ascii="思源黑体 CN Normal" w:hAnsi="思源黑体 CN Normal" w:eastAsia="思源黑体 CN Normal" w:cs="思源黑体 CN Normal"/>
        </w:rPr>
        <w:drawing>
          <wp:inline distT="0" distB="0" distL="0" distR="0">
            <wp:extent cx="2686685" cy="1610360"/>
            <wp:effectExtent l="4445" t="4445" r="13970" b="2349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spacing w:line="600" w:lineRule="exact"/>
        <w:ind w:firstLine="642" w:firstLineChars="200"/>
        <w:outlineLvl w:val="2"/>
        <w:rPr>
          <w:rFonts w:hint="eastAsia" w:ascii="楷体" w:hAnsi="楷体" w:eastAsia="楷体" w:cs="楷体"/>
          <w:b/>
          <w:color w:val="000000"/>
          <w:sz w:val="32"/>
          <w:szCs w:val="32"/>
        </w:rPr>
      </w:pPr>
      <w:r>
        <w:rPr>
          <w:rFonts w:hint="eastAsia" w:ascii="楷体" w:hAnsi="楷体" w:eastAsia="楷体" w:cs="楷体"/>
          <w:b/>
          <w:color w:val="000000"/>
          <w:sz w:val="32"/>
          <w:szCs w:val="32"/>
        </w:rPr>
        <w:t>（三）一般公共预算财政拨款支出决算具体情况</w:t>
      </w:r>
      <w:bookmarkEnd w:id="45"/>
    </w:p>
    <w:p>
      <w:pPr>
        <w:spacing w:line="600" w:lineRule="exact"/>
        <w:ind w:firstLine="640"/>
        <w:rPr>
          <w:rFonts w:hint="eastAsia" w:ascii="仿宋_GB2312" w:hAnsi="仿宋_GB2312" w:eastAsia="仿宋_GB2312" w:cs="仿宋_GB2312"/>
          <w:color w:val="000000"/>
          <w:sz w:val="32"/>
          <w:szCs w:val="32"/>
        </w:rPr>
      </w:pPr>
      <w:bookmarkStart w:id="46" w:name="_Toc15378460"/>
      <w:bookmarkStart w:id="47" w:name="_Toc15377213"/>
      <w:bookmarkStart w:id="48" w:name="_Toc15377444"/>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一般公共预算支出决算数为</w:t>
      </w:r>
      <w:r>
        <w:rPr>
          <w:rFonts w:hint="eastAsia" w:ascii="仿宋_GB2312" w:hAnsi="仿宋_GB2312" w:eastAsia="仿宋_GB2312" w:cs="仿宋_GB2312"/>
          <w:color w:val="000000"/>
          <w:sz w:val="32"/>
          <w:u w:color="auto"/>
          <w:lang w:val="en-US" w:eastAsia="zh-CN"/>
        </w:rPr>
        <w:t>2295.1</w:t>
      </w:r>
      <w:r>
        <w:rPr>
          <w:rFonts w:hint="eastAsia" w:ascii="仿宋_GB2312" w:hAnsi="仿宋_GB2312" w:eastAsia="仿宋_GB2312" w:cs="仿宋_GB2312"/>
          <w:color w:val="000000"/>
          <w:sz w:val="32"/>
          <w:u w:color="auto"/>
        </w:rPr>
        <w:t>万元，完成预算100%。其中：</w:t>
      </w:r>
      <w:bookmarkEnd w:id="46"/>
      <w:bookmarkEnd w:id="47"/>
      <w:bookmarkEnd w:id="48"/>
    </w:p>
    <w:p>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1.社会保障和就业支出（</w:t>
      </w:r>
      <w:r>
        <w:rPr>
          <w:rFonts w:hint="eastAsia" w:ascii="仿宋_GB2312" w:hAnsi="仿宋_GB2312" w:eastAsia="仿宋_GB2312" w:cs="仿宋_GB2312"/>
          <w:color w:val="000000"/>
          <w:sz w:val="32"/>
          <w:szCs w:val="32"/>
          <w:lang w:val="en-US" w:eastAsia="zh-CN"/>
        </w:rPr>
        <w:t>类</w:t>
      </w:r>
      <w:r>
        <w:rPr>
          <w:rFonts w:hint="eastAsia" w:ascii="仿宋_GB2312" w:hAnsi="仿宋_GB2312" w:eastAsia="仿宋_GB2312" w:cs="仿宋_GB2312"/>
          <w:color w:val="000000"/>
          <w:sz w:val="32"/>
          <w:szCs w:val="32"/>
        </w:rPr>
        <w:t>）行政事业单位养老支出（</w:t>
      </w:r>
      <w:r>
        <w:rPr>
          <w:rFonts w:hint="eastAsia" w:ascii="仿宋_GB2312" w:hAnsi="仿宋_GB2312" w:eastAsia="仿宋_GB2312" w:cs="仿宋_GB2312"/>
          <w:color w:val="000000"/>
          <w:sz w:val="32"/>
          <w:szCs w:val="32"/>
          <w:lang w:val="en-US" w:eastAsia="zh-CN"/>
        </w:rPr>
        <w:t>款</w:t>
      </w:r>
      <w:r>
        <w:rPr>
          <w:rFonts w:hint="eastAsia" w:ascii="仿宋_GB2312" w:hAnsi="仿宋_GB2312" w:eastAsia="仿宋_GB2312" w:cs="仿宋_GB2312"/>
          <w:color w:val="000000"/>
          <w:sz w:val="32"/>
          <w:szCs w:val="32"/>
        </w:rPr>
        <w:t>）机关事业单位基本养老保险缴费支出（</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8.78</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val="en-US" w:eastAsia="zh-CN"/>
        </w:rPr>
        <w:t>决算数与预算数持平。</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2.社会保障和就业支出（</w:t>
      </w:r>
      <w:r>
        <w:rPr>
          <w:rFonts w:hint="eastAsia" w:ascii="仿宋_GB2312" w:hAnsi="仿宋_GB2312" w:eastAsia="仿宋_GB2312" w:cs="仿宋_GB2312"/>
          <w:color w:val="000000"/>
          <w:sz w:val="32"/>
          <w:szCs w:val="32"/>
          <w:lang w:val="en-US" w:eastAsia="zh-CN"/>
        </w:rPr>
        <w:t>类</w:t>
      </w:r>
      <w:r>
        <w:rPr>
          <w:rFonts w:hint="eastAsia" w:ascii="仿宋_GB2312" w:hAnsi="仿宋_GB2312" w:eastAsia="仿宋_GB2312" w:cs="仿宋_GB2312"/>
          <w:color w:val="000000"/>
          <w:sz w:val="32"/>
          <w:szCs w:val="32"/>
        </w:rPr>
        <w:t>）行政事业单位养老支出（</w:t>
      </w:r>
      <w:r>
        <w:rPr>
          <w:rFonts w:hint="eastAsia" w:ascii="仿宋_GB2312" w:hAnsi="仿宋_GB2312" w:eastAsia="仿宋_GB2312" w:cs="仿宋_GB2312"/>
          <w:color w:val="000000"/>
          <w:sz w:val="32"/>
          <w:szCs w:val="32"/>
          <w:lang w:val="en-US" w:eastAsia="zh-CN"/>
        </w:rPr>
        <w:t>款</w:t>
      </w:r>
      <w:r>
        <w:rPr>
          <w:rFonts w:hint="eastAsia" w:ascii="仿宋_GB2312" w:hAnsi="仿宋_GB2312" w:eastAsia="仿宋_GB2312" w:cs="仿宋_GB2312"/>
          <w:color w:val="000000"/>
          <w:sz w:val="32"/>
          <w:szCs w:val="32"/>
        </w:rPr>
        <w:t>）机关事业单位职业年金缴费支出（</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）:支出决算4.3</w:t>
      </w:r>
      <w:r>
        <w:rPr>
          <w:rFonts w:hint="eastAsia" w:ascii="仿宋_GB2312" w:hAnsi="仿宋_GB2312" w:eastAsia="仿宋_GB2312" w:cs="仿宋_GB2312"/>
          <w:color w:val="000000"/>
          <w:sz w:val="32"/>
          <w:szCs w:val="32"/>
          <w:lang w:val="en-US" w:eastAsia="zh-CN"/>
        </w:rPr>
        <w:t>9</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val="en-US" w:eastAsia="zh-CN"/>
        </w:rPr>
        <w:t>决算数与预算数持平。</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3.社会保障和就业支出（</w:t>
      </w:r>
      <w:r>
        <w:rPr>
          <w:rFonts w:hint="eastAsia" w:ascii="仿宋_GB2312" w:hAnsi="仿宋_GB2312" w:eastAsia="仿宋_GB2312" w:cs="仿宋_GB2312"/>
          <w:color w:val="000000"/>
          <w:sz w:val="32"/>
          <w:szCs w:val="32"/>
          <w:lang w:val="en-US" w:eastAsia="zh-CN"/>
        </w:rPr>
        <w:t>类</w:t>
      </w:r>
      <w:r>
        <w:rPr>
          <w:rFonts w:hint="eastAsia" w:ascii="仿宋_GB2312" w:hAnsi="仿宋_GB2312" w:eastAsia="仿宋_GB2312" w:cs="仿宋_GB2312"/>
          <w:color w:val="000000"/>
          <w:sz w:val="32"/>
          <w:szCs w:val="32"/>
        </w:rPr>
        <w:t>）就业补助（</w:t>
      </w:r>
      <w:r>
        <w:rPr>
          <w:rFonts w:hint="eastAsia" w:ascii="仿宋_GB2312" w:hAnsi="仿宋_GB2312" w:eastAsia="仿宋_GB2312" w:cs="仿宋_GB2312"/>
          <w:color w:val="000000"/>
          <w:sz w:val="32"/>
          <w:szCs w:val="32"/>
          <w:lang w:val="en-US" w:eastAsia="zh-CN"/>
        </w:rPr>
        <w:t>款</w:t>
      </w:r>
      <w:r>
        <w:rPr>
          <w:rFonts w:hint="eastAsia" w:ascii="仿宋_GB2312" w:hAnsi="仿宋_GB2312" w:eastAsia="仿宋_GB2312" w:cs="仿宋_GB2312"/>
          <w:color w:val="000000"/>
          <w:sz w:val="32"/>
          <w:szCs w:val="32"/>
        </w:rPr>
        <w:t>）公益性岗位补贴（</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107.63</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val="en-US" w:eastAsia="zh-CN"/>
        </w:rPr>
        <w:t>决算数与预算数持平。</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4.卫生健康支出（</w:t>
      </w:r>
      <w:r>
        <w:rPr>
          <w:rFonts w:hint="eastAsia" w:ascii="仿宋_GB2312" w:hAnsi="仿宋_GB2312" w:eastAsia="仿宋_GB2312" w:cs="仿宋_GB2312"/>
          <w:color w:val="000000"/>
          <w:sz w:val="32"/>
          <w:szCs w:val="32"/>
          <w:lang w:val="en-US" w:eastAsia="zh-CN"/>
        </w:rPr>
        <w:t>类</w:t>
      </w:r>
      <w:r>
        <w:rPr>
          <w:rFonts w:hint="eastAsia" w:ascii="仿宋_GB2312" w:hAnsi="仿宋_GB2312" w:eastAsia="仿宋_GB2312" w:cs="仿宋_GB2312"/>
          <w:color w:val="000000"/>
          <w:sz w:val="32"/>
          <w:szCs w:val="32"/>
        </w:rPr>
        <w:t>）行政事业单位医疗（</w:t>
      </w:r>
      <w:r>
        <w:rPr>
          <w:rFonts w:hint="eastAsia" w:ascii="仿宋_GB2312" w:hAnsi="仿宋_GB2312" w:eastAsia="仿宋_GB2312" w:cs="仿宋_GB2312"/>
          <w:color w:val="000000"/>
          <w:sz w:val="32"/>
          <w:szCs w:val="32"/>
          <w:lang w:val="en-US" w:eastAsia="zh-CN"/>
        </w:rPr>
        <w:t>款</w:t>
      </w:r>
      <w:r>
        <w:rPr>
          <w:rFonts w:hint="eastAsia" w:ascii="仿宋_GB2312" w:hAnsi="仿宋_GB2312" w:eastAsia="仿宋_GB2312" w:cs="仿宋_GB2312"/>
          <w:color w:val="000000"/>
          <w:sz w:val="32"/>
          <w:szCs w:val="32"/>
        </w:rPr>
        <w:t>）行政单位医疗（</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）:支出决算8.</w:t>
      </w:r>
      <w:r>
        <w:rPr>
          <w:rFonts w:hint="eastAsia" w:ascii="仿宋_GB2312" w:hAnsi="仿宋_GB2312" w:eastAsia="仿宋_GB2312" w:cs="仿宋_GB2312"/>
          <w:color w:val="000000"/>
          <w:sz w:val="32"/>
          <w:szCs w:val="32"/>
          <w:lang w:val="en-US" w:eastAsia="zh-CN"/>
        </w:rPr>
        <w:t>68</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val="en-US" w:eastAsia="zh-CN"/>
        </w:rPr>
        <w:t>决算数与预算数持平。</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5.节能环保支出（</w:t>
      </w:r>
      <w:r>
        <w:rPr>
          <w:rFonts w:hint="eastAsia" w:ascii="仿宋_GB2312" w:hAnsi="仿宋_GB2312" w:eastAsia="仿宋_GB2312" w:cs="仿宋_GB2312"/>
          <w:color w:val="000000"/>
          <w:sz w:val="32"/>
          <w:szCs w:val="32"/>
          <w:lang w:val="en-US" w:eastAsia="zh-CN"/>
        </w:rPr>
        <w:t>类</w:t>
      </w:r>
      <w:r>
        <w:rPr>
          <w:rFonts w:hint="eastAsia" w:ascii="仿宋_GB2312" w:hAnsi="仿宋_GB2312" w:eastAsia="仿宋_GB2312" w:cs="仿宋_GB2312"/>
          <w:color w:val="000000"/>
          <w:sz w:val="32"/>
          <w:szCs w:val="32"/>
        </w:rPr>
        <w:t>）自然生态保护（</w:t>
      </w:r>
      <w:r>
        <w:rPr>
          <w:rFonts w:hint="eastAsia" w:ascii="仿宋_GB2312" w:hAnsi="仿宋_GB2312" w:eastAsia="仿宋_GB2312" w:cs="仿宋_GB2312"/>
          <w:color w:val="000000"/>
          <w:sz w:val="32"/>
          <w:szCs w:val="32"/>
          <w:lang w:val="en-US" w:eastAsia="zh-CN"/>
        </w:rPr>
        <w:t>款</w:t>
      </w:r>
      <w:r>
        <w:rPr>
          <w:rFonts w:hint="eastAsia" w:ascii="仿宋_GB2312" w:hAnsi="仿宋_GB2312" w:eastAsia="仿宋_GB2312" w:cs="仿宋_GB2312"/>
          <w:color w:val="000000"/>
          <w:sz w:val="32"/>
          <w:szCs w:val="32"/>
        </w:rPr>
        <w:t>）生态保护（</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119.52</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val="en-US" w:eastAsia="zh-CN"/>
        </w:rPr>
        <w:t>决算数与预算数持平。</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6.农林水支出（</w:t>
      </w:r>
      <w:r>
        <w:rPr>
          <w:rFonts w:hint="eastAsia" w:ascii="仿宋_GB2312" w:hAnsi="仿宋_GB2312" w:eastAsia="仿宋_GB2312" w:cs="仿宋_GB2312"/>
          <w:color w:val="000000"/>
          <w:sz w:val="32"/>
          <w:szCs w:val="32"/>
          <w:lang w:val="en-US" w:eastAsia="zh-CN"/>
        </w:rPr>
        <w:t>类</w:t>
      </w:r>
      <w:r>
        <w:rPr>
          <w:rFonts w:hint="eastAsia" w:ascii="仿宋_GB2312" w:hAnsi="仿宋_GB2312" w:eastAsia="仿宋_GB2312" w:cs="仿宋_GB2312"/>
          <w:color w:val="000000"/>
          <w:sz w:val="32"/>
          <w:szCs w:val="32"/>
        </w:rPr>
        <w:t>）水利（</w:t>
      </w:r>
      <w:r>
        <w:rPr>
          <w:rFonts w:hint="eastAsia" w:ascii="仿宋_GB2312" w:hAnsi="仿宋_GB2312" w:eastAsia="仿宋_GB2312" w:cs="仿宋_GB2312"/>
          <w:color w:val="000000"/>
          <w:sz w:val="32"/>
          <w:szCs w:val="32"/>
          <w:lang w:val="en-US" w:eastAsia="zh-CN"/>
        </w:rPr>
        <w:t>款</w:t>
      </w:r>
      <w:r>
        <w:rPr>
          <w:rFonts w:hint="eastAsia" w:ascii="仿宋_GB2312" w:hAnsi="仿宋_GB2312" w:eastAsia="仿宋_GB2312" w:cs="仿宋_GB2312"/>
          <w:color w:val="000000"/>
          <w:sz w:val="32"/>
          <w:szCs w:val="32"/>
        </w:rPr>
        <w:t>）行政运行（</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105.23</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val="en-US" w:eastAsia="zh-CN"/>
        </w:rPr>
        <w:t>决算数与预算数持平。</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7.农林水支出（</w:t>
      </w:r>
      <w:r>
        <w:rPr>
          <w:rFonts w:hint="eastAsia" w:ascii="仿宋_GB2312" w:hAnsi="仿宋_GB2312" w:eastAsia="仿宋_GB2312" w:cs="仿宋_GB2312"/>
          <w:color w:val="000000"/>
          <w:sz w:val="32"/>
          <w:szCs w:val="32"/>
          <w:lang w:val="en-US" w:eastAsia="zh-CN"/>
        </w:rPr>
        <w:t>类</w:t>
      </w:r>
      <w:r>
        <w:rPr>
          <w:rFonts w:hint="eastAsia" w:ascii="仿宋_GB2312" w:hAnsi="仿宋_GB2312" w:eastAsia="仿宋_GB2312" w:cs="仿宋_GB2312"/>
          <w:color w:val="000000"/>
          <w:sz w:val="32"/>
          <w:szCs w:val="32"/>
        </w:rPr>
        <w:t>）水利（</w:t>
      </w:r>
      <w:r>
        <w:rPr>
          <w:rFonts w:hint="eastAsia" w:ascii="仿宋_GB2312" w:hAnsi="仿宋_GB2312" w:eastAsia="仿宋_GB2312" w:cs="仿宋_GB2312"/>
          <w:color w:val="000000"/>
          <w:sz w:val="32"/>
          <w:szCs w:val="32"/>
          <w:lang w:val="en-US" w:eastAsia="zh-CN"/>
        </w:rPr>
        <w:t>款</w:t>
      </w:r>
      <w:r>
        <w:rPr>
          <w:rFonts w:hint="eastAsia" w:ascii="仿宋_GB2312" w:hAnsi="仿宋_GB2312" w:eastAsia="仿宋_GB2312" w:cs="仿宋_GB2312"/>
          <w:color w:val="000000"/>
          <w:sz w:val="32"/>
          <w:szCs w:val="32"/>
        </w:rPr>
        <w:t>）大中型水库移民后期扶持专项支出（</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125.35</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val="en-US" w:eastAsia="zh-CN"/>
        </w:rPr>
        <w:t>决算数与预算数持平。</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8.农林水支出（</w:t>
      </w:r>
      <w:r>
        <w:rPr>
          <w:rFonts w:hint="eastAsia" w:ascii="仿宋_GB2312" w:hAnsi="仿宋_GB2312" w:eastAsia="仿宋_GB2312" w:cs="仿宋_GB2312"/>
          <w:color w:val="000000"/>
          <w:sz w:val="32"/>
          <w:szCs w:val="32"/>
          <w:lang w:val="en-US" w:eastAsia="zh-CN"/>
        </w:rPr>
        <w:t>类</w:t>
      </w:r>
      <w:r>
        <w:rPr>
          <w:rFonts w:hint="eastAsia" w:ascii="仿宋_GB2312" w:hAnsi="仿宋_GB2312" w:eastAsia="仿宋_GB2312" w:cs="仿宋_GB2312"/>
          <w:color w:val="000000"/>
          <w:sz w:val="32"/>
          <w:szCs w:val="32"/>
        </w:rPr>
        <w:t>）水利（</w:t>
      </w:r>
      <w:r>
        <w:rPr>
          <w:rFonts w:hint="eastAsia" w:ascii="仿宋_GB2312" w:hAnsi="仿宋_GB2312" w:eastAsia="仿宋_GB2312" w:cs="仿宋_GB2312"/>
          <w:color w:val="000000"/>
          <w:sz w:val="32"/>
          <w:szCs w:val="32"/>
          <w:lang w:val="en-US" w:eastAsia="zh-CN"/>
        </w:rPr>
        <w:t>款</w:t>
      </w:r>
      <w:r>
        <w:rPr>
          <w:rFonts w:hint="eastAsia" w:ascii="仿宋_GB2312" w:hAnsi="仿宋_GB2312" w:eastAsia="仿宋_GB2312" w:cs="仿宋_GB2312"/>
          <w:color w:val="000000"/>
          <w:sz w:val="32"/>
          <w:szCs w:val="32"/>
        </w:rPr>
        <w:t>）其他水利支出（</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895.04</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val="en-US" w:eastAsia="zh-CN"/>
        </w:rPr>
        <w:t>决算数与预算数持平。</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9.农林水支出（</w:t>
      </w:r>
      <w:r>
        <w:rPr>
          <w:rFonts w:hint="eastAsia" w:ascii="仿宋_GB2312" w:hAnsi="仿宋_GB2312" w:eastAsia="仿宋_GB2312" w:cs="仿宋_GB2312"/>
          <w:color w:val="000000"/>
          <w:sz w:val="32"/>
          <w:szCs w:val="32"/>
          <w:lang w:val="en-US" w:eastAsia="zh-CN"/>
        </w:rPr>
        <w:t>类</w:t>
      </w:r>
      <w:r>
        <w:rPr>
          <w:rFonts w:hint="eastAsia" w:ascii="仿宋_GB2312" w:hAnsi="仿宋_GB2312" w:eastAsia="仿宋_GB2312" w:cs="仿宋_GB2312"/>
          <w:color w:val="000000"/>
          <w:sz w:val="32"/>
          <w:szCs w:val="32"/>
        </w:rPr>
        <w:t>）巩固脱贫攻坚成果衔接乡村振兴（</w:t>
      </w:r>
      <w:r>
        <w:rPr>
          <w:rFonts w:hint="eastAsia" w:ascii="仿宋_GB2312" w:hAnsi="仿宋_GB2312" w:eastAsia="仿宋_GB2312" w:cs="仿宋_GB2312"/>
          <w:color w:val="000000"/>
          <w:sz w:val="32"/>
          <w:szCs w:val="32"/>
          <w:lang w:val="en-US" w:eastAsia="zh-CN"/>
        </w:rPr>
        <w:t>款</w:t>
      </w:r>
      <w:r>
        <w:rPr>
          <w:rFonts w:hint="eastAsia" w:ascii="仿宋_GB2312" w:hAnsi="仿宋_GB2312" w:eastAsia="仿宋_GB2312" w:cs="仿宋_GB2312"/>
          <w:color w:val="000000"/>
          <w:sz w:val="32"/>
          <w:szCs w:val="32"/>
        </w:rPr>
        <w:t>）其他巩固脱贫攻坚成果衔接乡村振兴支出（</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909.28</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val="en-US" w:eastAsia="zh-CN"/>
        </w:rPr>
        <w:t>决算数与预算数持平。</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10.住房保障支出（</w:t>
      </w:r>
      <w:r>
        <w:rPr>
          <w:rFonts w:hint="eastAsia" w:ascii="仿宋_GB2312" w:hAnsi="仿宋_GB2312" w:eastAsia="仿宋_GB2312" w:cs="仿宋_GB2312"/>
          <w:color w:val="000000"/>
          <w:sz w:val="32"/>
          <w:szCs w:val="32"/>
          <w:lang w:val="en-US" w:eastAsia="zh-CN"/>
        </w:rPr>
        <w:t>类</w:t>
      </w:r>
      <w:r>
        <w:rPr>
          <w:rFonts w:hint="eastAsia" w:ascii="仿宋_GB2312" w:hAnsi="仿宋_GB2312" w:eastAsia="仿宋_GB2312" w:cs="仿宋_GB2312"/>
          <w:color w:val="000000"/>
          <w:sz w:val="32"/>
          <w:szCs w:val="32"/>
        </w:rPr>
        <w:t>）住房改革支出（</w:t>
      </w:r>
      <w:r>
        <w:rPr>
          <w:rFonts w:hint="eastAsia" w:ascii="仿宋_GB2312" w:hAnsi="仿宋_GB2312" w:eastAsia="仿宋_GB2312" w:cs="仿宋_GB2312"/>
          <w:color w:val="000000"/>
          <w:sz w:val="32"/>
          <w:szCs w:val="32"/>
          <w:lang w:val="en-US" w:eastAsia="zh-CN"/>
        </w:rPr>
        <w:t>款</w:t>
      </w:r>
      <w:r>
        <w:rPr>
          <w:rFonts w:hint="eastAsia" w:ascii="仿宋_GB2312" w:hAnsi="仿宋_GB2312" w:eastAsia="仿宋_GB2312" w:cs="仿宋_GB2312"/>
          <w:color w:val="000000"/>
          <w:sz w:val="32"/>
          <w:szCs w:val="32"/>
        </w:rPr>
        <w:t>）住房公积金（</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10.2</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val="en-US" w:eastAsia="zh-CN"/>
        </w:rPr>
        <w:t>决算数与预算数持平。</w:t>
      </w:r>
      <w:r>
        <w:rPr>
          <w:rFonts w:hint="eastAsia" w:ascii="仿宋_GB2312" w:hAnsi="仿宋_GB2312" w:eastAsia="仿宋_GB2312" w:cs="仿宋_GB2312"/>
          <w:color w:val="000000"/>
          <w:sz w:val="32"/>
          <w:szCs w:val="32"/>
        </w:rPr>
        <w:cr/>
      </w:r>
      <w:r>
        <w:rPr>
          <w:rFonts w:hint="eastAsia" w:ascii="仿宋" w:hAnsi="仿宋" w:eastAsia="仿宋" w:cs="仿宋"/>
          <w:color w:val="000000"/>
          <w:sz w:val="32"/>
          <w:szCs w:val="32"/>
        </w:rPr>
        <w:t xml:space="preserve">   </w:t>
      </w:r>
      <w:r>
        <w:rPr>
          <w:rFonts w:hint="eastAsia" w:ascii="仿宋_GB2312" w:hAnsi="仿宋_GB2312" w:eastAsia="仿宋_GB2312" w:cs="仿宋_GB2312"/>
          <w:color w:val="000000"/>
          <w:sz w:val="32"/>
          <w:szCs w:val="32"/>
        </w:rPr>
        <w:t xml:space="preserve"> 11.住房保障支出（</w:t>
      </w:r>
      <w:r>
        <w:rPr>
          <w:rFonts w:hint="eastAsia" w:ascii="仿宋_GB2312" w:hAnsi="仿宋_GB2312" w:eastAsia="仿宋_GB2312" w:cs="仿宋_GB2312"/>
          <w:color w:val="000000"/>
          <w:sz w:val="32"/>
          <w:szCs w:val="32"/>
          <w:lang w:val="en-US" w:eastAsia="zh-CN"/>
        </w:rPr>
        <w:t>类</w:t>
      </w:r>
      <w:r>
        <w:rPr>
          <w:rFonts w:hint="eastAsia" w:ascii="仿宋_GB2312" w:hAnsi="仿宋_GB2312" w:eastAsia="仿宋_GB2312" w:cs="仿宋_GB2312"/>
          <w:color w:val="000000"/>
          <w:sz w:val="32"/>
          <w:szCs w:val="32"/>
        </w:rPr>
        <w:t>）住房改革支出（</w:t>
      </w:r>
      <w:r>
        <w:rPr>
          <w:rFonts w:hint="eastAsia" w:ascii="仿宋_GB2312" w:hAnsi="仿宋_GB2312" w:eastAsia="仿宋_GB2312" w:cs="仿宋_GB2312"/>
          <w:color w:val="000000"/>
          <w:sz w:val="32"/>
          <w:szCs w:val="32"/>
          <w:lang w:val="en-US" w:eastAsia="zh-CN"/>
        </w:rPr>
        <w:t>款</w:t>
      </w:r>
      <w:r>
        <w:rPr>
          <w:rFonts w:hint="eastAsia" w:ascii="仿宋_GB2312" w:hAnsi="仿宋_GB2312" w:eastAsia="仿宋_GB2312" w:cs="仿宋_GB2312"/>
          <w:color w:val="000000"/>
          <w:sz w:val="32"/>
          <w:szCs w:val="32"/>
        </w:rPr>
        <w:t>）购房补贴（</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val="en-US" w:eastAsia="zh-CN"/>
        </w:rPr>
        <w:t>决算数与预算数持平。</w:t>
      </w:r>
    </w:p>
    <w:p>
      <w:pPr>
        <w:pStyle w:val="3"/>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黑体" w:hAnsi="黑体" w:eastAsia="黑体" w:cs="黑体"/>
          <w:b w:val="0"/>
          <w:color w:val="000000"/>
          <w:sz w:val="32"/>
          <w:szCs w:val="32"/>
        </w:rPr>
      </w:pPr>
      <w:bookmarkStart w:id="49" w:name="_Toc15377214"/>
      <w:bookmarkStart w:id="50" w:name="_Toc31578"/>
      <w:bookmarkStart w:id="51" w:name="_Toc111208504"/>
      <w:r>
        <w:rPr>
          <w:rFonts w:hint="eastAsia" w:ascii="黑体" w:hAnsi="黑体" w:eastAsia="黑体" w:cs="黑体"/>
          <w:b w:val="0"/>
          <w:bCs/>
          <w:color w:val="000000"/>
          <w:sz w:val="32"/>
          <w:szCs w:val="32"/>
        </w:rPr>
        <w:t>六、一般公共预算财政拨款基本支出决算情况说</w:t>
      </w:r>
      <w:bookmarkEnd w:id="49"/>
      <w:r>
        <w:rPr>
          <w:rFonts w:hint="eastAsia" w:ascii="黑体" w:hAnsi="黑体" w:eastAsia="黑体" w:cs="黑体"/>
          <w:b w:val="0"/>
          <w:bCs/>
          <w:color w:val="000000"/>
          <w:sz w:val="32"/>
          <w:szCs w:val="32"/>
        </w:rPr>
        <w:t>明</w:t>
      </w:r>
      <w:bookmarkEnd w:id="50"/>
      <w:bookmarkEnd w:id="51"/>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一般公共预算财政拨款基本支出</w:t>
      </w:r>
      <w:r>
        <w:rPr>
          <w:rFonts w:hint="eastAsia" w:ascii="仿宋_GB2312" w:hAnsi="仿宋_GB2312" w:eastAsia="仿宋_GB2312" w:cs="仿宋_GB2312"/>
          <w:color w:val="000000"/>
          <w:sz w:val="32"/>
          <w:u w:color="auto"/>
          <w:lang w:val="en-US" w:eastAsia="zh-CN"/>
        </w:rPr>
        <w:t>138.28</w:t>
      </w:r>
      <w:r>
        <w:rPr>
          <w:rFonts w:hint="eastAsia" w:ascii="仿宋_GB2312" w:hAnsi="仿宋_GB2312" w:eastAsia="仿宋_GB2312" w:cs="仿宋_GB2312"/>
          <w:color w:val="000000"/>
          <w:sz w:val="32"/>
          <w:u w:color="auto"/>
        </w:rPr>
        <w:t>万元，其中：</w:t>
      </w:r>
    </w:p>
    <w:p>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人员经费</w:t>
      </w:r>
      <w:r>
        <w:rPr>
          <w:rFonts w:hint="eastAsia" w:ascii="仿宋_GB2312" w:hAnsi="仿宋_GB2312" w:eastAsia="仿宋_GB2312" w:cs="仿宋_GB2312"/>
          <w:color w:val="000000"/>
          <w:sz w:val="32"/>
          <w:u w:color="auto"/>
          <w:lang w:val="en-US" w:eastAsia="zh-CN"/>
        </w:rPr>
        <w:t>130.05</w:t>
      </w:r>
      <w:r>
        <w:rPr>
          <w:rFonts w:hint="eastAsia" w:ascii="仿宋_GB2312" w:hAnsi="仿宋_GB2312" w:eastAsia="仿宋_GB2312" w:cs="仿宋_GB2312"/>
          <w:color w:val="000000"/>
          <w:sz w:val="32"/>
          <w:u w:color="auto"/>
        </w:rPr>
        <w:t>万元，主要包括：基本工资、津贴补贴、奖金、机关事业单位基本养老保险缴费、职业年金缴费、职工基本医疗保险缴费、其他社会保障缴费、住房公积金、医疗费、生活补助。</w:t>
      </w:r>
    </w:p>
    <w:p>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公用经费</w:t>
      </w:r>
      <w:r>
        <w:rPr>
          <w:rFonts w:hint="eastAsia" w:ascii="仿宋_GB2312" w:hAnsi="仿宋_GB2312" w:eastAsia="仿宋_GB2312" w:cs="仿宋_GB2312"/>
          <w:color w:val="000000"/>
          <w:sz w:val="32"/>
          <w:u w:color="auto"/>
        </w:rPr>
        <w:t>8.23万元，主要包括：办公费、差旅费、公务用车运行维护费</w:t>
      </w:r>
      <w:r>
        <w:rPr>
          <w:rFonts w:hint="eastAsia" w:ascii="仿宋_GB2312" w:hAnsi="仿宋_GB2312" w:eastAsia="仿宋_GB2312" w:cs="仿宋_GB2312"/>
          <w:color w:val="000000"/>
          <w:sz w:val="32"/>
          <w:u w:color="auto"/>
          <w:lang w:eastAsia="zh-CN"/>
        </w:rPr>
        <w:t>、</w:t>
      </w:r>
      <w:r>
        <w:rPr>
          <w:rFonts w:hint="eastAsia" w:ascii="仿宋_GB2312" w:hAnsi="仿宋_GB2312" w:eastAsia="仿宋_GB2312" w:cs="仿宋_GB2312"/>
          <w:color w:val="000000"/>
          <w:sz w:val="32"/>
          <w:u w:color="auto"/>
          <w:lang w:val="en-US" w:eastAsia="zh-CN"/>
        </w:rPr>
        <w:t>其他商品和服务支出</w:t>
      </w:r>
      <w:r>
        <w:rPr>
          <w:rFonts w:hint="eastAsia" w:ascii="仿宋_GB2312" w:hAnsi="仿宋_GB2312" w:eastAsia="仿宋_GB2312" w:cs="仿宋_GB2312"/>
          <w:color w:val="000000"/>
          <w:sz w:val="32"/>
          <w:u w:color="auto"/>
        </w:rPr>
        <w:t>。</w:t>
      </w:r>
    </w:p>
    <w:p>
      <w:pPr>
        <w:pStyle w:val="3"/>
        <w:keepNext w:val="0"/>
        <w:keepLines w:val="0"/>
        <w:pageBreakBefore w:val="0"/>
        <w:widowControl w:val="0"/>
        <w:kinsoku/>
        <w:wordWrap/>
        <w:overflowPunct/>
        <w:topLinePunct w:val="0"/>
        <w:autoSpaceDE/>
        <w:autoSpaceDN/>
        <w:bidi w:val="0"/>
        <w:adjustRightInd/>
        <w:snapToGrid/>
        <w:spacing w:beforeAutospacing="0" w:afterAutospacing="0"/>
        <w:ind w:firstLine="720" w:firstLineChars="200"/>
        <w:textAlignment w:val="auto"/>
        <w:rPr>
          <w:rFonts w:hint="eastAsia" w:ascii="黑体" w:hAnsi="黑体" w:eastAsia="黑体" w:cs="黑体"/>
          <w:b w:val="0"/>
          <w:bCs/>
          <w:color w:val="000000"/>
        </w:rPr>
      </w:pPr>
      <w:bookmarkStart w:id="52" w:name="_Toc111208505"/>
      <w:bookmarkStart w:id="53" w:name="_Toc6614"/>
      <w:bookmarkStart w:id="54" w:name="_Toc15377215"/>
      <w:r>
        <w:rPr>
          <w:rFonts w:hint="eastAsia" w:ascii="黑体" w:hAnsi="黑体" w:eastAsia="黑体" w:cs="黑体"/>
          <w:b w:val="0"/>
          <w:bCs/>
          <w:color w:val="000000"/>
        </w:rPr>
        <w:t>七、“三公”经费财政拨款支出决算情况说明</w:t>
      </w:r>
      <w:bookmarkEnd w:id="52"/>
      <w:bookmarkEnd w:id="53"/>
      <w:bookmarkEnd w:id="54"/>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2" w:firstLineChars="200"/>
        <w:textAlignment w:val="auto"/>
        <w:outlineLvl w:val="2"/>
        <w:rPr>
          <w:rFonts w:hint="eastAsia" w:ascii="仿宋" w:hAnsi="仿宋" w:eastAsia="仿宋" w:cs="仿宋"/>
          <w:b/>
          <w:color w:val="000000"/>
          <w:sz w:val="32"/>
          <w:szCs w:val="32"/>
        </w:rPr>
      </w:pPr>
      <w:bookmarkStart w:id="55" w:name="_Toc15377216"/>
      <w:r>
        <w:rPr>
          <w:rFonts w:hint="eastAsia" w:ascii="仿宋" w:hAnsi="仿宋" w:eastAsia="仿宋" w:cs="仿宋"/>
          <w:b/>
          <w:color w:val="000000"/>
          <w:sz w:val="32"/>
          <w:szCs w:val="32"/>
        </w:rPr>
        <w:t>（一）“三公”经费财政拨款支出决算总体情况说明</w:t>
      </w:r>
      <w:bookmarkEnd w:id="55"/>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“三公”经费财政拨款支出决算为</w:t>
      </w:r>
      <w:r>
        <w:rPr>
          <w:rFonts w:hint="eastAsia" w:ascii="仿宋_GB2312" w:hAnsi="仿宋_GB2312" w:eastAsia="仿宋_GB2312" w:cs="仿宋_GB2312"/>
          <w:color w:val="000000"/>
          <w:sz w:val="32"/>
          <w:u w:color="auto"/>
          <w:lang w:val="en-US" w:eastAsia="zh-CN"/>
        </w:rPr>
        <w:t>6.13</w:t>
      </w:r>
      <w:r>
        <w:rPr>
          <w:rFonts w:hint="eastAsia" w:ascii="仿宋_GB2312" w:hAnsi="仿宋_GB2312" w:eastAsia="仿宋_GB2312" w:cs="仿宋_GB2312"/>
          <w:color w:val="000000"/>
          <w:sz w:val="32"/>
          <w:u w:color="auto"/>
        </w:rPr>
        <w:t>万元，完成预算100%，</w:t>
      </w:r>
      <w:r>
        <w:rPr>
          <w:rFonts w:hint="default" w:ascii="仿宋_GB2312" w:hAnsi="仿宋_GB2312" w:cs="仿宋_GB2312"/>
          <w:color w:val="000000"/>
          <w:sz w:val="32"/>
          <w:u w:color="auto"/>
        </w:rPr>
        <w:t>与</w:t>
      </w:r>
      <w:r>
        <w:rPr>
          <w:rFonts w:hint="eastAsia" w:ascii="仿宋_GB2312" w:hAnsi="仿宋_GB2312" w:eastAsia="仿宋_GB2312" w:cs="仿宋_GB2312"/>
          <w:color w:val="000000"/>
          <w:sz w:val="32"/>
          <w:u w:color="auto"/>
        </w:rPr>
        <w:t>上年度</w:t>
      </w:r>
      <w:r>
        <w:rPr>
          <w:rFonts w:hint="default" w:ascii="仿宋_GB2312" w:hAnsi="仿宋_GB2312" w:cs="仿宋_GB2312"/>
          <w:color w:val="000000"/>
          <w:sz w:val="32"/>
          <w:u w:color="auto"/>
        </w:rPr>
        <w:t>相比</w:t>
      </w:r>
      <w:r>
        <w:rPr>
          <w:rFonts w:hint="eastAsia" w:ascii="仿宋_GB2312" w:hAnsi="仿宋_GB2312" w:eastAsia="仿宋_GB2312" w:cs="仿宋_GB2312"/>
          <w:color w:val="000000"/>
          <w:sz w:val="32"/>
          <w:u w:color="auto"/>
        </w:rPr>
        <w:t>减少</w:t>
      </w:r>
      <w:r>
        <w:rPr>
          <w:rFonts w:hint="eastAsia" w:ascii="仿宋_GB2312" w:hAnsi="仿宋_GB2312" w:eastAsia="仿宋_GB2312" w:cs="仿宋_GB2312"/>
          <w:color w:val="000000"/>
          <w:sz w:val="32"/>
          <w:u w:color="auto"/>
          <w:lang w:val="en-US" w:eastAsia="zh-CN"/>
        </w:rPr>
        <w:t>6.15</w:t>
      </w:r>
      <w:r>
        <w:rPr>
          <w:rFonts w:hint="eastAsia" w:ascii="仿宋_GB2312" w:hAnsi="仿宋_GB2312" w:eastAsia="仿宋_GB2312" w:cs="仿宋_GB2312"/>
          <w:color w:val="000000"/>
          <w:sz w:val="32"/>
          <w:u w:color="auto"/>
        </w:rPr>
        <w:t>万元，下降</w:t>
      </w:r>
      <w:r>
        <w:rPr>
          <w:rFonts w:hint="eastAsia" w:ascii="仿宋_GB2312" w:hAnsi="仿宋_GB2312" w:eastAsia="仿宋_GB2312" w:cs="仿宋_GB2312"/>
          <w:color w:val="000000"/>
          <w:sz w:val="32"/>
          <w:u w:color="auto"/>
          <w:lang w:val="en-US" w:eastAsia="zh-CN"/>
        </w:rPr>
        <w:t>50.08</w:t>
      </w:r>
      <w:r>
        <w:rPr>
          <w:rFonts w:hint="eastAsia" w:ascii="仿宋_GB2312" w:hAnsi="仿宋_GB2312" w:eastAsia="仿宋_GB2312" w:cs="仿宋_GB2312"/>
          <w:color w:val="000000"/>
          <w:sz w:val="32"/>
          <w:u w:color="auto"/>
        </w:rPr>
        <w:t>%。</w:t>
      </w:r>
      <w:bookmarkStart w:id="56" w:name="_Toc15377217"/>
      <w:r>
        <w:rPr>
          <w:rFonts w:hint="eastAsia" w:ascii="仿宋_GB2312" w:hAnsi="仿宋_GB2312" w:eastAsia="仿宋_GB2312" w:cs="仿宋_GB2312"/>
          <w:color w:val="000000"/>
          <w:sz w:val="32"/>
          <w:u w:color="auto"/>
          <w:lang w:val="en-US" w:eastAsia="zh-CN"/>
        </w:rPr>
        <w:t>主要原因是：公务用车费用减少。</w:t>
      </w:r>
    </w:p>
    <w:p>
      <w:pPr>
        <w:spacing w:line="600" w:lineRule="exact"/>
        <w:ind w:firstLine="642" w:firstLineChars="200"/>
        <w:outlineLvl w:val="2"/>
        <w:rPr>
          <w:rFonts w:hint="eastAsia" w:ascii="仿宋" w:hAnsi="仿宋" w:eastAsia="仿宋" w:cs="仿宋"/>
          <w:b/>
          <w:color w:val="000000"/>
          <w:sz w:val="32"/>
          <w:szCs w:val="32"/>
        </w:rPr>
      </w:pPr>
      <w:r>
        <w:rPr>
          <w:rFonts w:hint="eastAsia" w:ascii="仿宋" w:hAnsi="仿宋" w:eastAsia="仿宋" w:cs="仿宋"/>
          <w:b/>
          <w:color w:val="000000"/>
          <w:sz w:val="32"/>
          <w:szCs w:val="32"/>
        </w:rPr>
        <w:t>（二）“三公”经费财政拨款支出决算具体情况说明</w:t>
      </w:r>
      <w:bookmarkEnd w:id="56"/>
    </w:p>
    <w:p>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“三公”经费财政拨款支出</w:t>
      </w:r>
      <w:r>
        <w:rPr>
          <w:rFonts w:hint="eastAsia" w:ascii="仿宋_GB2312" w:hAnsi="仿宋_GB2312" w:eastAsia="仿宋_GB2312" w:cs="仿宋_GB2312"/>
          <w:color w:val="000000"/>
          <w:sz w:val="32"/>
          <w:u w:color="auto"/>
          <w:lang w:val="en-US" w:eastAsia="zh-CN"/>
        </w:rPr>
        <w:t>6.13</w:t>
      </w:r>
      <w:r>
        <w:rPr>
          <w:rFonts w:hint="eastAsia" w:ascii="仿宋_GB2312" w:hAnsi="仿宋_GB2312" w:eastAsia="仿宋_GB2312" w:cs="仿宋_GB2312"/>
          <w:color w:val="000000"/>
          <w:sz w:val="32"/>
          <w:u w:color="auto"/>
        </w:rPr>
        <w:t>万元公务用车购置及运行维护费支出决算</w:t>
      </w:r>
      <w:r>
        <w:rPr>
          <w:rFonts w:hint="eastAsia" w:ascii="仿宋_GB2312" w:hAnsi="仿宋_GB2312" w:eastAsia="仿宋_GB2312" w:cs="仿宋_GB2312"/>
          <w:color w:val="000000"/>
          <w:sz w:val="32"/>
          <w:u w:color="auto"/>
          <w:lang w:val="en-US" w:eastAsia="zh-CN"/>
        </w:rPr>
        <w:t>6.13</w:t>
      </w:r>
      <w:r>
        <w:rPr>
          <w:rFonts w:hint="eastAsia" w:ascii="仿宋_GB2312" w:hAnsi="仿宋_GB2312" w:eastAsia="仿宋_GB2312" w:cs="仿宋_GB2312"/>
          <w:color w:val="000000"/>
          <w:sz w:val="32"/>
          <w:u w:color="auto"/>
        </w:rPr>
        <w:t>万元，占100%。具体情况如下：</w:t>
      </w:r>
    </w:p>
    <w:p>
      <w:pPr>
        <w:pStyle w:val="5"/>
        <w:jc w:val="center"/>
        <w:rPr>
          <w:rFonts w:hint="eastAsia" w:ascii="思源黑体 CN Normal" w:hAnsi="思源黑体 CN Normal" w:eastAsia="思源黑体 CN Normal" w:cs="思源黑体 CN Normal"/>
        </w:rPr>
      </w:pPr>
      <w:r>
        <w:rPr>
          <w:rFonts w:hint="eastAsia" w:ascii="思源黑体 CN Normal" w:hAnsi="思源黑体 CN Normal" w:eastAsia="思源黑体 CN Normal" w:cs="思源黑体 CN Normal"/>
        </w:rPr>
        <w:drawing>
          <wp:inline distT="0" distB="0" distL="0" distR="0">
            <wp:extent cx="2767330" cy="1435735"/>
            <wp:effectExtent l="5080" t="4445" r="8890" b="7620"/>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spacing w:line="600" w:lineRule="exact"/>
        <w:ind w:firstLine="640"/>
        <w:rPr>
          <w:rFonts w:hint="eastAsia" w:ascii="仿宋_GB2312" w:hAnsi="仿宋_GB2312" w:eastAsia="仿宋_GB2312" w:cs="仿宋_GB2312"/>
          <w:color w:val="000000"/>
          <w:sz w:val="32"/>
          <w:szCs w:val="32"/>
        </w:rPr>
      </w:pPr>
      <w:r>
        <w:rPr>
          <w:rFonts w:hint="eastAsia" w:ascii="仿宋" w:hAnsi="仿宋" w:eastAsia="仿宋" w:cs="仿宋"/>
          <w:b/>
          <w:bCs/>
          <w:color w:val="000000"/>
          <w:sz w:val="32"/>
          <w:szCs w:val="32"/>
        </w:rPr>
        <w:t>1.因公出国（境）经费支出</w:t>
      </w:r>
      <w:r>
        <w:rPr>
          <w:rFonts w:hint="eastAsia" w:ascii="仿宋_GB2312" w:hAnsi="仿宋_GB2312" w:eastAsia="仿宋_GB2312" w:cs="仿宋_GB2312"/>
          <w:color w:val="000000"/>
          <w:sz w:val="32"/>
          <w:szCs w:val="32"/>
        </w:rPr>
        <w:t>0</w:t>
      </w:r>
      <w:r>
        <w:rPr>
          <w:rFonts w:hint="eastAsia" w:ascii="仿宋_GB2312" w:hAnsi="仿宋_GB2312" w:eastAsia="仿宋_GB2312" w:cs="仿宋_GB2312"/>
          <w:color w:val="000000"/>
          <w:sz w:val="32"/>
          <w:u w:color="auto"/>
        </w:rPr>
        <w:t xml:space="preserve">万元。 </w:t>
      </w:r>
    </w:p>
    <w:p>
      <w:pPr>
        <w:spacing w:line="600" w:lineRule="exact"/>
        <w:ind w:firstLine="640"/>
        <w:rPr>
          <w:rFonts w:hint="eastAsia" w:ascii="仿宋_GB2312" w:hAnsi="仿宋_GB2312" w:eastAsia="仿宋_GB2312" w:cs="仿宋_GB2312"/>
          <w:color w:val="000000"/>
          <w:sz w:val="32"/>
          <w:szCs w:val="32"/>
        </w:rPr>
      </w:pPr>
      <w:r>
        <w:rPr>
          <w:rFonts w:hint="eastAsia" w:ascii="仿宋" w:hAnsi="仿宋" w:eastAsia="仿宋" w:cs="仿宋"/>
          <w:b/>
          <w:bCs/>
          <w:color w:val="000000"/>
          <w:sz w:val="32"/>
          <w:szCs w:val="32"/>
        </w:rPr>
        <w:t>2.公务用车购置及运行维护费支出</w:t>
      </w:r>
      <w:r>
        <w:rPr>
          <w:rFonts w:hint="eastAsia" w:ascii="仿宋_GB2312" w:hAnsi="仿宋_GB2312" w:eastAsia="仿宋_GB2312" w:cs="仿宋_GB2312"/>
          <w:color w:val="000000"/>
          <w:sz w:val="32"/>
          <w:szCs w:val="32"/>
          <w:lang w:val="en-US" w:eastAsia="zh-CN"/>
        </w:rPr>
        <w:t>6.13</w:t>
      </w:r>
      <w:r>
        <w:rPr>
          <w:rFonts w:hint="eastAsia" w:ascii="仿宋_GB2312" w:hAnsi="仿宋_GB2312" w:eastAsia="仿宋_GB2312" w:cs="仿宋_GB2312"/>
          <w:color w:val="000000"/>
          <w:sz w:val="32"/>
          <w:u w:color="auto"/>
        </w:rPr>
        <w:t>万元,完成预算100%。公务用车购置及运行维护费支出决算</w:t>
      </w:r>
      <w:r>
        <w:rPr>
          <w:rFonts w:hint="default" w:ascii="仿宋_GB2312" w:hAnsi="仿宋_GB2312" w:cs="仿宋_GB2312"/>
          <w:color w:val="000000"/>
          <w:sz w:val="32"/>
          <w:u w:color="auto"/>
        </w:rPr>
        <w:t>与</w:t>
      </w:r>
      <w:r>
        <w:rPr>
          <w:rFonts w:hint="eastAsia" w:ascii="仿宋_GB2312" w:hAnsi="仿宋_GB2312" w:eastAsia="仿宋_GB2312" w:cs="仿宋_GB2312"/>
          <w:color w:val="000000"/>
          <w:sz w:val="32"/>
          <w:u w:color="auto"/>
        </w:rPr>
        <w:t>202</w:t>
      </w:r>
      <w:r>
        <w:rPr>
          <w:rFonts w:hint="eastAsia" w:ascii="仿宋_GB2312" w:hAnsi="仿宋_GB2312" w:eastAsia="仿宋_GB2312" w:cs="仿宋_GB2312"/>
          <w:color w:val="000000"/>
          <w:sz w:val="32"/>
          <w:u w:color="auto"/>
          <w:lang w:val="en-US" w:eastAsia="zh-CN"/>
        </w:rPr>
        <w:t>4</w:t>
      </w:r>
      <w:r>
        <w:rPr>
          <w:rFonts w:hint="eastAsia" w:ascii="仿宋_GB2312" w:hAnsi="仿宋_GB2312" w:eastAsia="仿宋_GB2312" w:cs="仿宋_GB2312"/>
          <w:color w:val="000000"/>
          <w:sz w:val="32"/>
          <w:szCs w:val="32"/>
          <w:lang w:val="en-US" w:eastAsia="zh-CN"/>
        </w:rPr>
        <w:t>年度</w:t>
      </w:r>
      <w:r>
        <w:rPr>
          <w:rFonts w:hint="default" w:ascii="仿宋_GB2312" w:hAnsi="仿宋_GB2312" w:cs="仿宋_GB2312"/>
          <w:color w:val="000000"/>
          <w:sz w:val="32"/>
          <w:szCs w:val="32"/>
          <w:lang w:eastAsia="zh-CN"/>
        </w:rPr>
        <w:t>相比</w:t>
      </w:r>
      <w:r>
        <w:rPr>
          <w:rFonts w:hint="eastAsia" w:ascii="仿宋_GB2312" w:hAnsi="仿宋_GB2312" w:eastAsia="仿宋_GB2312" w:cs="仿宋_GB2312"/>
          <w:color w:val="000000"/>
          <w:sz w:val="32"/>
          <w:szCs w:val="32"/>
        </w:rPr>
        <w:t>减少</w:t>
      </w:r>
      <w:r>
        <w:rPr>
          <w:rFonts w:hint="eastAsia" w:ascii="仿宋_GB2312" w:hAnsi="仿宋_GB2312" w:eastAsia="仿宋_GB2312" w:cs="仿宋_GB2312"/>
          <w:color w:val="000000"/>
          <w:sz w:val="32"/>
          <w:szCs w:val="32"/>
          <w:lang w:val="en-US" w:eastAsia="zh-CN"/>
        </w:rPr>
        <w:t>6.15</w:t>
      </w:r>
      <w:r>
        <w:rPr>
          <w:rFonts w:hint="eastAsia" w:ascii="仿宋_GB2312" w:hAnsi="仿宋_GB2312" w:eastAsia="仿宋_GB2312" w:cs="仿宋_GB2312"/>
          <w:color w:val="000000"/>
          <w:sz w:val="32"/>
          <w:u w:color="auto"/>
        </w:rPr>
        <w:t>万元，下降</w:t>
      </w:r>
      <w:r>
        <w:rPr>
          <w:rFonts w:hint="eastAsia" w:ascii="仿宋_GB2312" w:hAnsi="仿宋_GB2312" w:eastAsia="仿宋_GB2312" w:cs="仿宋_GB2312"/>
          <w:color w:val="000000"/>
          <w:sz w:val="32"/>
          <w:u w:color="auto"/>
          <w:lang w:val="en-US" w:eastAsia="zh-CN"/>
        </w:rPr>
        <w:t>50.08</w:t>
      </w:r>
      <w:r>
        <w:rPr>
          <w:rFonts w:hint="eastAsia" w:ascii="仿宋_GB2312" w:hAnsi="仿宋_GB2312" w:eastAsia="仿宋_GB2312" w:cs="仿宋_GB2312"/>
          <w:color w:val="000000"/>
          <w:sz w:val="32"/>
          <w:u w:color="auto"/>
        </w:rPr>
        <w:t xml:space="preserve">%。 </w:t>
      </w:r>
    </w:p>
    <w:p>
      <w:pPr>
        <w:spacing w:line="600" w:lineRule="exact"/>
        <w:ind w:firstLine="640" w:firstLineChars="200"/>
        <w:rPr>
          <w:rFonts w:hint="eastAsia" w:ascii="仿宋_GB2312" w:hAnsi="仿宋_GB2312" w:eastAsia="仿宋_GB2312" w:cs="仿宋_GB2312"/>
          <w:color w:val="000000"/>
          <w:sz w:val="32"/>
          <w:szCs w:val="32"/>
          <w:highlight w:val="none"/>
          <w:lang w:val="en-US" w:eastAsia="zh-CN"/>
        </w:rPr>
      </w:pPr>
      <w:r>
        <w:rPr>
          <w:rFonts w:hint="eastAsia" w:ascii="仿宋" w:hAnsi="仿宋" w:eastAsia="仿宋" w:cs="仿宋"/>
          <w:color w:val="000000"/>
          <w:sz w:val="32"/>
          <w:szCs w:val="32"/>
          <w:highlight w:val="none"/>
        </w:rPr>
        <w:t>其中：</w:t>
      </w:r>
      <w:r>
        <w:rPr>
          <w:rFonts w:hint="eastAsia" w:ascii="仿宋" w:hAnsi="仿宋" w:eastAsia="仿宋" w:cs="仿宋"/>
          <w:b/>
          <w:bCs/>
          <w:color w:val="000000"/>
          <w:sz w:val="32"/>
          <w:szCs w:val="32"/>
          <w:highlight w:val="none"/>
        </w:rPr>
        <w:t>公务用车购置支出</w:t>
      </w:r>
      <w:r>
        <w:rPr>
          <w:rFonts w:hint="eastAsia" w:ascii="仿宋_GB2312" w:hAnsi="仿宋_GB2312" w:eastAsia="仿宋_GB2312" w:cs="仿宋_GB2312"/>
          <w:color w:val="000000"/>
          <w:sz w:val="32"/>
          <w:szCs w:val="32"/>
          <w:highlight w:val="none"/>
        </w:rPr>
        <w:t>0</w:t>
      </w:r>
      <w:r>
        <w:rPr>
          <w:rFonts w:hint="eastAsia" w:ascii="仿宋_GB2312" w:hAnsi="仿宋_GB2312" w:eastAsia="仿宋_GB2312" w:cs="仿宋_GB2312"/>
          <w:color w:val="000000"/>
          <w:sz w:val="32"/>
          <w:highlight w:val="none"/>
          <w:u w:color="auto"/>
        </w:rPr>
        <w:t>万元。</w:t>
      </w:r>
      <w:r>
        <w:rPr>
          <w:rFonts w:hint="eastAsia" w:ascii="仿宋_GB2312" w:hAnsi="仿宋_GB2312" w:eastAsia="仿宋_GB2312" w:cs="仿宋_GB2312"/>
          <w:color w:val="000000"/>
          <w:sz w:val="32"/>
          <w:szCs w:val="32"/>
          <w:highlight w:val="none"/>
        </w:rPr>
        <w:t>截至</w:t>
      </w:r>
      <w:r>
        <w:rPr>
          <w:rFonts w:hint="eastAsia" w:ascii="仿宋_GB2312" w:hAnsi="仿宋_GB2312" w:eastAsia="仿宋_GB2312" w:cs="仿宋_GB2312"/>
          <w:color w:val="000000"/>
          <w:sz w:val="32"/>
          <w:highlight w:val="none"/>
          <w:u w:color="auto"/>
        </w:rPr>
        <w:t>202</w:t>
      </w:r>
      <w:r>
        <w:rPr>
          <w:rFonts w:hint="eastAsia" w:ascii="仿宋_GB2312" w:hAnsi="仿宋_GB2312" w:eastAsia="仿宋_GB2312" w:cs="仿宋_GB2312"/>
          <w:color w:val="000000"/>
          <w:sz w:val="32"/>
          <w:highlight w:val="none"/>
          <w:u w:color="auto"/>
          <w:lang w:val="en-US" w:eastAsia="zh-CN"/>
        </w:rPr>
        <w:t>5</w:t>
      </w:r>
      <w:r>
        <w:rPr>
          <w:rFonts w:hint="eastAsia" w:ascii="仿宋_GB2312" w:hAnsi="仿宋_GB2312" w:eastAsia="仿宋_GB2312" w:cs="仿宋_GB2312"/>
          <w:color w:val="000000"/>
          <w:sz w:val="32"/>
          <w:highlight w:val="none"/>
          <w:u w:color="auto"/>
        </w:rPr>
        <w:t>年12月</w:t>
      </w:r>
      <w:r>
        <w:rPr>
          <w:rFonts w:hint="eastAsia" w:ascii="仿宋_GB2312" w:hAnsi="仿宋_GB2312" w:eastAsia="仿宋_GB2312" w:cs="仿宋_GB2312"/>
          <w:color w:val="000000"/>
          <w:sz w:val="32"/>
          <w:szCs w:val="32"/>
          <w:highlight w:val="none"/>
          <w:lang w:val="en-US" w:eastAsia="zh-CN"/>
        </w:rPr>
        <w:t>31日</w:t>
      </w:r>
      <w:r>
        <w:rPr>
          <w:rFonts w:hint="eastAsia" w:ascii="仿宋_GB2312" w:hAnsi="仿宋_GB2312" w:eastAsia="仿宋_GB2312" w:cs="仿宋_GB2312"/>
          <w:color w:val="000000"/>
          <w:sz w:val="32"/>
          <w:szCs w:val="32"/>
          <w:highlight w:val="none"/>
        </w:rPr>
        <w:t>，单位共有公务用车</w:t>
      </w:r>
      <w:r>
        <w:rPr>
          <w:rFonts w:hint="eastAsia" w:ascii="仿宋_GB2312" w:hAnsi="仿宋_GB2312" w:eastAsia="仿宋_GB2312" w:cs="仿宋_GB2312"/>
          <w:color w:val="000000"/>
          <w:sz w:val="32"/>
          <w:highlight w:val="none"/>
          <w:u w:color="auto"/>
        </w:rPr>
        <w:t>2辆，其中：轿车</w:t>
      </w:r>
      <w:r>
        <w:rPr>
          <w:rFonts w:hint="eastAsia" w:ascii="仿宋_GB2312" w:hAnsi="仿宋_GB2312" w:eastAsia="仿宋_GB2312" w:cs="仿宋_GB2312"/>
          <w:color w:val="000000"/>
          <w:sz w:val="32"/>
          <w:szCs w:val="32"/>
          <w:highlight w:val="none"/>
          <w:lang w:val="en-US" w:eastAsia="zh-CN"/>
        </w:rPr>
        <w:t>0</w:t>
      </w:r>
      <w:r>
        <w:rPr>
          <w:rFonts w:hint="eastAsia" w:ascii="仿宋_GB2312" w:hAnsi="仿宋_GB2312" w:eastAsia="仿宋_GB2312" w:cs="仿宋_GB2312"/>
          <w:color w:val="000000"/>
          <w:sz w:val="32"/>
          <w:szCs w:val="32"/>
          <w:highlight w:val="none"/>
        </w:rPr>
        <w:t>辆、越野车</w:t>
      </w:r>
      <w:r>
        <w:rPr>
          <w:rFonts w:hint="eastAsia" w:ascii="仿宋_GB2312" w:hAnsi="仿宋_GB2312" w:eastAsia="仿宋_GB2312" w:cs="仿宋_GB2312"/>
          <w:color w:val="000000"/>
          <w:sz w:val="32"/>
          <w:szCs w:val="32"/>
          <w:highlight w:val="none"/>
          <w:lang w:val="en-US" w:eastAsia="zh-CN"/>
        </w:rPr>
        <w:t>2</w:t>
      </w:r>
      <w:r>
        <w:rPr>
          <w:rFonts w:hint="eastAsia" w:ascii="仿宋_GB2312" w:hAnsi="仿宋_GB2312" w:eastAsia="仿宋_GB2312" w:cs="仿宋_GB2312"/>
          <w:color w:val="000000"/>
          <w:sz w:val="32"/>
          <w:szCs w:val="32"/>
          <w:highlight w:val="none"/>
        </w:rPr>
        <w:t>辆、载客汽车</w:t>
      </w:r>
      <w:r>
        <w:rPr>
          <w:rFonts w:hint="eastAsia" w:ascii="仿宋_GB2312" w:hAnsi="仿宋_GB2312" w:eastAsia="仿宋_GB2312" w:cs="仿宋_GB2312"/>
          <w:color w:val="000000"/>
          <w:sz w:val="32"/>
          <w:szCs w:val="32"/>
          <w:highlight w:val="none"/>
          <w:lang w:val="en-US" w:eastAsia="zh-CN"/>
        </w:rPr>
        <w:t>0</w:t>
      </w:r>
      <w:r>
        <w:rPr>
          <w:rFonts w:hint="eastAsia" w:ascii="仿宋_GB2312" w:hAnsi="仿宋_GB2312" w:eastAsia="仿宋_GB2312" w:cs="仿宋_GB2312"/>
          <w:color w:val="000000"/>
          <w:sz w:val="32"/>
          <w:szCs w:val="32"/>
          <w:highlight w:val="none"/>
        </w:rPr>
        <w:t>辆</w:t>
      </w:r>
      <w:r>
        <w:rPr>
          <w:rFonts w:hint="eastAsia" w:ascii="仿宋_GB2312" w:hAnsi="仿宋_GB2312" w:eastAsia="仿宋_GB2312" w:cs="仿宋_GB2312"/>
          <w:color w:val="000000"/>
          <w:sz w:val="32"/>
          <w:szCs w:val="32"/>
          <w:highlight w:val="none"/>
          <w:lang w:val="en-US" w:eastAsia="zh-CN"/>
        </w:rPr>
        <w:t>。</w:t>
      </w:r>
    </w:p>
    <w:p>
      <w:pPr>
        <w:spacing w:line="600" w:lineRule="exact"/>
        <w:ind w:firstLine="640"/>
        <w:rPr>
          <w:rFonts w:hint="eastAsia" w:ascii="仿宋" w:hAnsi="仿宋" w:eastAsia="仿宋" w:cs="仿宋"/>
          <w:color w:val="000000"/>
          <w:sz w:val="32"/>
          <w:szCs w:val="32"/>
        </w:rPr>
      </w:pPr>
      <w:r>
        <w:rPr>
          <w:rFonts w:hint="eastAsia" w:ascii="仿宋" w:hAnsi="仿宋" w:eastAsia="仿宋" w:cs="仿宋"/>
          <w:b/>
          <w:bCs/>
          <w:color w:val="000000"/>
          <w:sz w:val="32"/>
          <w:szCs w:val="32"/>
        </w:rPr>
        <w:t>公务用车运行维护费支出</w:t>
      </w:r>
      <w:r>
        <w:rPr>
          <w:rFonts w:hint="eastAsia" w:ascii="仿宋_GB2312" w:hAnsi="仿宋_GB2312" w:eastAsia="仿宋_GB2312" w:cs="仿宋_GB2312"/>
          <w:color w:val="000000"/>
          <w:sz w:val="32"/>
          <w:u w:color="auto"/>
          <w:lang w:val="en-US" w:eastAsia="zh-CN"/>
        </w:rPr>
        <w:t>6.13</w:t>
      </w:r>
      <w:r>
        <w:rPr>
          <w:rFonts w:hint="eastAsia" w:ascii="仿宋_GB2312" w:hAnsi="仿宋_GB2312" w:eastAsia="仿宋_GB2312" w:cs="仿宋_GB2312"/>
          <w:color w:val="000000"/>
          <w:sz w:val="32"/>
          <w:u w:color="auto"/>
        </w:rPr>
        <w:t>万元。</w:t>
      </w:r>
      <w:r>
        <w:rPr>
          <w:rFonts w:ascii="仿宋" w:hAnsi="仿宋" w:eastAsia="仿宋" w:cs="仿宋"/>
          <w:color w:val="000000"/>
          <w:sz w:val="32"/>
          <w:u w:color="auto"/>
        </w:rPr>
        <w:t xml:space="preserve"> </w:t>
      </w:r>
    </w:p>
    <w:p>
      <w:pPr>
        <w:spacing w:line="600" w:lineRule="exact"/>
        <w:ind w:firstLine="640"/>
        <w:rPr>
          <w:rFonts w:hint="eastAsia" w:ascii="仿宋" w:hAnsi="仿宋" w:eastAsia="仿宋" w:cs="仿宋"/>
          <w:color w:val="000000"/>
          <w:sz w:val="32"/>
          <w:szCs w:val="32"/>
          <w:lang w:val="en-US" w:eastAsia="zh-CN"/>
        </w:rPr>
      </w:pPr>
      <w:r>
        <w:rPr>
          <w:rFonts w:hint="eastAsia" w:ascii="仿宋" w:hAnsi="仿宋" w:eastAsia="仿宋" w:cs="仿宋"/>
          <w:b/>
          <w:bCs/>
          <w:color w:val="000000"/>
          <w:sz w:val="32"/>
          <w:szCs w:val="32"/>
        </w:rPr>
        <w:t>3.公务接待费支出</w:t>
      </w:r>
      <w:r>
        <w:rPr>
          <w:rFonts w:hint="eastAsia" w:ascii="仿宋_GB2312" w:hAnsi="仿宋_GB2312" w:eastAsia="仿宋_GB2312" w:cs="仿宋_GB2312"/>
          <w:color w:val="000000"/>
          <w:sz w:val="32"/>
          <w:szCs w:val="32"/>
        </w:rPr>
        <w:t>0</w:t>
      </w:r>
      <w:r>
        <w:rPr>
          <w:rFonts w:hint="eastAsia" w:ascii="仿宋_GB2312" w:hAnsi="仿宋_GB2312" w:eastAsia="仿宋_GB2312" w:cs="仿宋_GB2312"/>
          <w:color w:val="000000"/>
          <w:sz w:val="32"/>
          <w:u w:color="auto"/>
        </w:rPr>
        <w:t>万元</w:t>
      </w:r>
      <w:bookmarkStart w:id="57" w:name="_Toc15377218"/>
      <w:r>
        <w:rPr>
          <w:rFonts w:hint="eastAsia" w:ascii="仿宋_GB2312" w:hAnsi="仿宋_GB2312" w:eastAsia="仿宋_GB2312" w:cs="仿宋_GB2312"/>
          <w:color w:val="000000"/>
          <w:sz w:val="32"/>
          <w:szCs w:val="32"/>
        </w:rPr>
        <w:t>。</w:t>
      </w:r>
      <w:r>
        <w:rPr>
          <w:rFonts w:hint="eastAsia" w:ascii="仿宋" w:hAnsi="仿宋" w:eastAsia="仿宋" w:cs="仿宋"/>
          <w:color w:val="000000"/>
          <w:sz w:val="32"/>
          <w:szCs w:val="32"/>
        </w:rPr>
        <w:t xml:space="preserve"> </w:t>
      </w:r>
    </w:p>
    <w:p>
      <w:pPr>
        <w:spacing w:line="600" w:lineRule="exact"/>
        <w:ind w:firstLine="640"/>
        <w:rPr>
          <w:rFonts w:hint="eastAsia" w:ascii="仿宋" w:hAnsi="仿宋" w:eastAsia="仿宋" w:cs="仿宋"/>
          <w:color w:val="000000"/>
          <w:sz w:val="32"/>
          <w:szCs w:val="32"/>
        </w:rPr>
      </w:pPr>
      <w:r>
        <w:rPr>
          <w:rFonts w:hint="eastAsia" w:ascii="仿宋" w:hAnsi="仿宋" w:eastAsia="仿宋" w:cs="仿宋"/>
          <w:b/>
          <w:bCs/>
          <w:color w:val="000000"/>
          <w:sz w:val="32"/>
          <w:szCs w:val="32"/>
        </w:rPr>
        <w:t>国内公务接待支出</w:t>
      </w:r>
      <w:r>
        <w:rPr>
          <w:rFonts w:hint="eastAsia" w:ascii="仿宋_GB2312" w:hAnsi="仿宋_GB2312" w:eastAsia="仿宋_GB2312" w:cs="仿宋_GB2312"/>
          <w:color w:val="000000"/>
          <w:sz w:val="32"/>
          <w:szCs w:val="32"/>
        </w:rPr>
        <w:t>0</w:t>
      </w:r>
      <w:r>
        <w:rPr>
          <w:rFonts w:hint="eastAsia" w:ascii="仿宋_GB2312" w:hAnsi="仿宋_GB2312" w:eastAsia="仿宋_GB2312" w:cs="仿宋_GB2312"/>
          <w:color w:val="000000"/>
          <w:sz w:val="32"/>
          <w:u w:color="auto"/>
        </w:rPr>
        <w:t>万元。</w:t>
      </w:r>
    </w:p>
    <w:p>
      <w:pPr>
        <w:pStyle w:val="5"/>
        <w:rPr>
          <w:rFonts w:hint="eastAsia" w:ascii="仿宋" w:hAnsi="仿宋" w:eastAsia="仿宋" w:cs="仿宋"/>
          <w:color w:val="000000"/>
          <w:sz w:val="32"/>
          <w:szCs w:val="32"/>
        </w:rPr>
      </w:pPr>
      <w:r>
        <w:rPr>
          <w:rFonts w:hint="eastAsia" w:ascii="仿宋" w:hAnsi="仿宋" w:eastAsia="仿宋" w:cs="仿宋"/>
          <w:b/>
          <w:bCs/>
          <w:color w:val="000000"/>
          <w:sz w:val="32"/>
          <w:szCs w:val="32"/>
        </w:rPr>
        <w:t>外事接待支出</w:t>
      </w:r>
      <w:r>
        <w:rPr>
          <w:rFonts w:hint="eastAsia" w:ascii="仿宋_GB2312" w:hAnsi="仿宋_GB2312" w:eastAsia="仿宋_GB2312" w:cs="仿宋_GB2312"/>
          <w:color w:val="000000"/>
          <w:sz w:val="32"/>
          <w:szCs w:val="32"/>
        </w:rPr>
        <w:t>0</w:t>
      </w:r>
      <w:r>
        <w:rPr>
          <w:rFonts w:hint="eastAsia" w:ascii="仿宋_GB2312" w:hAnsi="仿宋_GB2312" w:eastAsia="仿宋_GB2312" w:cs="仿宋_GB2312"/>
          <w:color w:val="000000"/>
          <w:sz w:val="32"/>
          <w:u w:color="auto"/>
        </w:rPr>
        <w:t>万元。</w:t>
      </w:r>
    </w:p>
    <w:p>
      <w:pPr>
        <w:pStyle w:val="3"/>
        <w:keepNext w:val="0"/>
        <w:keepLines w:val="0"/>
        <w:pageBreakBefore w:val="0"/>
        <w:widowControl w:val="0"/>
        <w:kinsoku/>
        <w:wordWrap/>
        <w:overflowPunct/>
        <w:topLinePunct w:val="0"/>
        <w:autoSpaceDE/>
        <w:autoSpaceDN/>
        <w:bidi w:val="0"/>
        <w:adjustRightInd/>
        <w:snapToGrid/>
        <w:spacing w:beforeAutospacing="0" w:afterAutospacing="0"/>
        <w:ind w:firstLine="720" w:firstLineChars="200"/>
        <w:textAlignment w:val="auto"/>
        <w:rPr>
          <w:rFonts w:hint="eastAsia" w:ascii="黑体" w:hAnsi="黑体" w:eastAsia="黑体" w:cs="黑体"/>
          <w:b w:val="0"/>
          <w:bCs/>
          <w:color w:val="000000"/>
        </w:rPr>
      </w:pPr>
      <w:bookmarkStart w:id="58" w:name="_Toc111208506"/>
      <w:bookmarkStart w:id="59" w:name="_Toc20439"/>
      <w:r>
        <w:rPr>
          <w:rFonts w:hint="eastAsia" w:ascii="黑体" w:hAnsi="黑体" w:eastAsia="黑体" w:cs="黑体"/>
          <w:b w:val="0"/>
          <w:bCs/>
          <w:color w:val="000000"/>
        </w:rPr>
        <w:t>八、政府性基金预算支出决算情况说明</w:t>
      </w:r>
      <w:bookmarkEnd w:id="57"/>
      <w:bookmarkEnd w:id="58"/>
      <w:bookmarkEnd w:id="59"/>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textAlignment w:val="auto"/>
        <w:rPr>
          <w:rFonts w:hint="eastAsia" w:ascii="仿宋_GB2312" w:hAnsi="仿宋_GB2312" w:eastAsia="仿宋_GB2312" w:cs="仿宋_GB2312"/>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政府性基金预算拨款支出</w:t>
      </w:r>
      <w:r>
        <w:rPr>
          <w:rFonts w:hint="eastAsia" w:ascii="仿宋_GB2312" w:hAnsi="仿宋_GB2312" w:eastAsia="仿宋_GB2312" w:cs="仿宋_GB2312"/>
          <w:color w:val="000000"/>
          <w:sz w:val="32"/>
          <w:u w:color="auto"/>
          <w:lang w:val="en-US" w:eastAsia="zh-CN"/>
        </w:rPr>
        <w:t>467.76</w:t>
      </w:r>
      <w:r>
        <w:rPr>
          <w:rFonts w:hint="eastAsia" w:ascii="仿宋_GB2312" w:hAnsi="仿宋_GB2312" w:eastAsia="仿宋_GB2312" w:cs="仿宋_GB2312"/>
          <w:color w:val="000000"/>
          <w:sz w:val="32"/>
          <w:u w:color="auto"/>
        </w:rPr>
        <w:t>万元</w:t>
      </w:r>
      <w:bookmarkStart w:id="60" w:name="_Toc15377219"/>
      <w:r>
        <w:rPr>
          <w:rFonts w:hint="eastAsia" w:ascii="仿宋_GB2312" w:hAnsi="仿宋_GB2312" w:eastAsia="仿宋_GB2312" w:cs="仿宋_GB2312"/>
          <w:color w:val="auto"/>
          <w:kern w:val="2"/>
          <w:sz w:val="32"/>
          <w:szCs w:val="32"/>
          <w:highlight w:val="none"/>
          <w:lang w:val="en-US" w:eastAsia="zh-CN" w:bidi="ar-SA"/>
        </w:rPr>
        <w:t>，占本年支出合计的</w:t>
      </w:r>
      <w:r>
        <w:rPr>
          <w:rFonts w:hint="eastAsia" w:ascii="仿宋_GB2312" w:hAnsi="仿宋_GB2312" w:eastAsia="仿宋_GB2312" w:cs="仿宋_GB2312"/>
          <w:color w:val="000000"/>
          <w:sz w:val="32"/>
          <w:szCs w:val="32"/>
          <w:lang w:val="en-US" w:eastAsia="zh-CN"/>
        </w:rPr>
        <w:t>16.93</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auto"/>
          <w:kern w:val="2"/>
          <w:sz w:val="32"/>
          <w:szCs w:val="32"/>
          <w:highlight w:val="none"/>
          <w:lang w:val="en-US" w:eastAsia="zh-CN" w:bidi="ar-SA"/>
        </w:rPr>
        <w:t>。与</w:t>
      </w: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4</w:t>
      </w:r>
      <w:r>
        <w:rPr>
          <w:rFonts w:hint="eastAsia" w:ascii="仿宋_GB2312" w:hAnsi="仿宋_GB2312" w:eastAsia="仿宋_GB2312" w:cs="仿宋_GB2312"/>
          <w:color w:val="auto"/>
          <w:kern w:val="2"/>
          <w:sz w:val="32"/>
          <w:szCs w:val="32"/>
          <w:highlight w:val="none"/>
          <w:lang w:val="en-US" w:eastAsia="zh-CN" w:bidi="ar-SA"/>
        </w:rPr>
        <w:t>年度相比，政府性基金预算财政拨款支出</w:t>
      </w:r>
      <w:r>
        <w:rPr>
          <w:rFonts w:hint="eastAsia" w:ascii="仿宋_GB2312" w:hAnsi="仿宋_GB2312" w:eastAsia="仿宋_GB2312" w:cs="仿宋_GB2312"/>
          <w:color w:val="000000"/>
          <w:sz w:val="32"/>
          <w:szCs w:val="32"/>
          <w:lang w:val="en-US" w:eastAsia="zh-CN"/>
        </w:rPr>
        <w:t>增加103.28万元</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color w:val="000000"/>
          <w:sz w:val="32"/>
          <w:szCs w:val="32"/>
          <w:lang w:val="en-US" w:eastAsia="zh-CN"/>
        </w:rPr>
        <w:t>增长22.08</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u w:color="auto"/>
        </w:rPr>
        <w:t>主要变动原因是</w:t>
      </w:r>
      <w:r>
        <w:rPr>
          <w:rFonts w:hint="eastAsia" w:ascii="仿宋_GB2312" w:hAnsi="仿宋_GB2312" w:eastAsia="仿宋_GB2312" w:cs="仿宋_GB2312"/>
          <w:color w:val="000000"/>
          <w:sz w:val="32"/>
          <w:u w:color="auto"/>
          <w:lang w:eastAsia="zh-CN"/>
        </w:rPr>
        <w:t>：</w:t>
      </w:r>
      <w:r>
        <w:rPr>
          <w:rFonts w:hint="eastAsia" w:ascii="仿宋_GB2312" w:hAnsi="仿宋_GB2312" w:eastAsia="仿宋_GB2312" w:cs="仿宋_GB2312"/>
          <w:color w:val="000000"/>
          <w:sz w:val="32"/>
          <w:u w:color="auto"/>
          <w:lang w:val="en-US" w:eastAsia="zh-CN"/>
        </w:rPr>
        <w:t>项目建设资金增加</w:t>
      </w:r>
      <w:r>
        <w:rPr>
          <w:rFonts w:hint="eastAsia" w:ascii="仿宋_GB2312" w:hAnsi="仿宋_GB2312" w:eastAsia="仿宋_GB2312" w:cs="仿宋_GB2312"/>
          <w:color w:val="000000"/>
          <w:sz w:val="32"/>
          <w:u w:color="auto"/>
        </w:rPr>
        <w:t xml:space="preserve">。 </w:t>
      </w:r>
    </w:p>
    <w:p>
      <w:pPr>
        <w:pStyle w:val="3"/>
        <w:keepNext w:val="0"/>
        <w:keepLines w:val="0"/>
        <w:pageBreakBefore w:val="0"/>
        <w:widowControl w:val="0"/>
        <w:kinsoku/>
        <w:wordWrap/>
        <w:overflowPunct/>
        <w:topLinePunct w:val="0"/>
        <w:autoSpaceDE/>
        <w:autoSpaceDN/>
        <w:bidi w:val="0"/>
        <w:adjustRightInd/>
        <w:snapToGrid/>
        <w:spacing w:beforeAutospacing="0" w:afterAutospacing="0"/>
        <w:ind w:firstLine="720" w:firstLineChars="200"/>
        <w:textAlignment w:val="auto"/>
        <w:rPr>
          <w:rFonts w:hint="eastAsia" w:ascii="黑体" w:hAnsi="黑体" w:eastAsia="黑体" w:cs="黑体"/>
          <w:b w:val="0"/>
          <w:bCs/>
          <w:color w:val="000000"/>
        </w:rPr>
      </w:pPr>
      <w:bookmarkStart w:id="61" w:name="_Toc111208507"/>
      <w:bookmarkStart w:id="62" w:name="_Toc23467"/>
      <w:r>
        <w:rPr>
          <w:rFonts w:hint="eastAsia" w:ascii="黑体" w:hAnsi="黑体" w:eastAsia="黑体" w:cs="黑体"/>
          <w:b w:val="0"/>
          <w:bCs/>
          <w:color w:val="000000"/>
        </w:rPr>
        <w:t>九、国有资本经营预算支出决算情况说明</w:t>
      </w:r>
      <w:bookmarkEnd w:id="60"/>
      <w:bookmarkEnd w:id="61"/>
      <w:bookmarkEnd w:id="62"/>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textAlignment w:val="auto"/>
        <w:rPr>
          <w:rFonts w:hint="eastAsia" w:ascii="仿宋_GB2312" w:hAnsi="仿宋_GB2312" w:eastAsia="仿宋_GB2312" w:cs="仿宋_GB2312"/>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国有资本经营预算拨款支出</w:t>
      </w:r>
      <w:r>
        <w:rPr>
          <w:rFonts w:hint="eastAsia" w:ascii="仿宋_GB2312" w:hAnsi="仿宋_GB2312" w:eastAsia="仿宋_GB2312" w:cs="仿宋_GB2312"/>
          <w:color w:val="000000"/>
          <w:sz w:val="32"/>
          <w:u w:color="auto"/>
        </w:rPr>
        <w:t>0万元</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u w:color="auto"/>
        </w:rPr>
        <w:t xml:space="preserve"> </w:t>
      </w:r>
    </w:p>
    <w:p>
      <w:pPr>
        <w:pStyle w:val="3"/>
        <w:keepNext w:val="0"/>
        <w:keepLines w:val="0"/>
        <w:pageBreakBefore w:val="0"/>
        <w:widowControl w:val="0"/>
        <w:kinsoku/>
        <w:wordWrap/>
        <w:overflowPunct/>
        <w:topLinePunct w:val="0"/>
        <w:autoSpaceDE/>
        <w:autoSpaceDN/>
        <w:bidi w:val="0"/>
        <w:adjustRightInd/>
        <w:snapToGrid/>
        <w:spacing w:beforeAutospacing="0" w:afterAutospacing="0"/>
        <w:ind w:firstLine="720" w:firstLineChars="200"/>
        <w:textAlignment w:val="auto"/>
        <w:rPr>
          <w:rFonts w:hint="eastAsia" w:ascii="黑体" w:hAnsi="黑体" w:eastAsia="黑体" w:cs="黑体"/>
          <w:b w:val="0"/>
          <w:bCs/>
          <w:color w:val="000000"/>
        </w:rPr>
      </w:pPr>
      <w:bookmarkStart w:id="63" w:name="_Toc15377221"/>
      <w:bookmarkStart w:id="64" w:name="_Toc111208508"/>
      <w:bookmarkStart w:id="65" w:name="_Toc18455"/>
      <w:r>
        <w:rPr>
          <w:rFonts w:hint="eastAsia" w:ascii="黑体" w:hAnsi="黑体" w:eastAsia="黑体" w:cs="黑体"/>
          <w:b w:val="0"/>
          <w:bCs/>
          <w:color w:val="000000"/>
        </w:rPr>
        <w:t>十、其他重要事项的情况说明</w:t>
      </w:r>
      <w:bookmarkEnd w:id="63"/>
      <w:bookmarkEnd w:id="64"/>
      <w:bookmarkEnd w:id="65"/>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2" w:firstLineChars="200"/>
        <w:textAlignment w:val="auto"/>
        <w:outlineLvl w:val="2"/>
        <w:rPr>
          <w:rFonts w:hint="eastAsia" w:ascii="楷体" w:hAnsi="楷体" w:eastAsia="楷体" w:cs="楷体"/>
          <w:b/>
          <w:color w:val="000000"/>
          <w:sz w:val="32"/>
          <w:szCs w:val="32"/>
        </w:rPr>
      </w:pPr>
      <w:bookmarkStart w:id="66" w:name="_Toc15377222"/>
      <w:r>
        <w:rPr>
          <w:rFonts w:hint="eastAsia" w:ascii="楷体" w:hAnsi="楷体" w:eastAsia="楷体" w:cs="楷体"/>
          <w:b/>
          <w:color w:val="000000"/>
          <w:sz w:val="32"/>
          <w:szCs w:val="32"/>
        </w:rPr>
        <w:t>（一）机关运行经费支出情况</w:t>
      </w:r>
      <w:bookmarkEnd w:id="66"/>
    </w:p>
    <w:p>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u w:color="auto"/>
        </w:rPr>
        <w:t>茂县水务局机关运行经费支出8.23万元，</w:t>
      </w:r>
      <w:r>
        <w:rPr>
          <w:rFonts w:hint="eastAsia" w:ascii="仿宋_GB2312" w:hAnsi="仿宋_GB2312" w:eastAsia="仿宋_GB2312" w:cs="仿宋_GB2312"/>
          <w:color w:val="000000"/>
          <w:sz w:val="32"/>
          <w:u w:color="auto"/>
          <w:lang w:val="en-US" w:eastAsia="zh-CN"/>
        </w:rPr>
        <w:t>与</w:t>
      </w:r>
      <w:r>
        <w:rPr>
          <w:rFonts w:hint="eastAsia" w:ascii="仿宋_GB2312" w:hAnsi="仿宋_GB2312" w:eastAsia="仿宋_GB2312" w:cs="仿宋_GB2312"/>
          <w:color w:val="000000"/>
          <w:sz w:val="32"/>
          <w:u w:color="auto"/>
        </w:rPr>
        <w:t>202</w:t>
      </w:r>
      <w:r>
        <w:rPr>
          <w:rFonts w:hint="eastAsia" w:ascii="仿宋_GB2312" w:hAnsi="仿宋_GB2312" w:eastAsia="仿宋_GB2312" w:cs="仿宋_GB2312"/>
          <w:color w:val="000000"/>
          <w:sz w:val="32"/>
          <w:u w:color="auto"/>
          <w:lang w:val="en-US" w:eastAsia="zh-CN"/>
        </w:rPr>
        <w:t>4</w:t>
      </w:r>
      <w:r>
        <w:rPr>
          <w:rFonts w:hint="eastAsia" w:ascii="仿宋_GB2312" w:hAnsi="仿宋_GB2312" w:eastAsia="仿宋_GB2312" w:cs="仿宋_GB2312"/>
          <w:color w:val="000000"/>
          <w:sz w:val="32"/>
          <w:u w:color="auto"/>
        </w:rPr>
        <w:t>年</w:t>
      </w:r>
      <w:r>
        <w:rPr>
          <w:rFonts w:hint="eastAsia" w:ascii="仿宋_GB2312" w:hAnsi="仿宋_GB2312" w:eastAsia="仿宋_GB2312" w:cs="仿宋_GB2312"/>
          <w:color w:val="000000"/>
          <w:sz w:val="32"/>
          <w:u w:color="auto"/>
          <w:lang w:val="en-US" w:eastAsia="zh-CN"/>
        </w:rPr>
        <w:t>持平</w:t>
      </w:r>
      <w:r>
        <w:rPr>
          <w:rFonts w:hint="eastAsia" w:ascii="仿宋_GB2312" w:hAnsi="仿宋_GB2312" w:eastAsia="仿宋_GB2312" w:cs="仿宋_GB2312"/>
          <w:color w:val="000000"/>
          <w:sz w:val="32"/>
          <w:u w:color="auto"/>
        </w:rPr>
        <w:t xml:space="preserve">。 </w:t>
      </w:r>
    </w:p>
    <w:p>
      <w:pPr>
        <w:spacing w:line="600" w:lineRule="exact"/>
        <w:ind w:firstLine="642" w:firstLineChars="200"/>
        <w:outlineLvl w:val="2"/>
        <w:rPr>
          <w:rFonts w:hint="eastAsia" w:ascii="楷体" w:hAnsi="楷体" w:eastAsia="楷体" w:cs="楷体"/>
          <w:b/>
          <w:color w:val="000000"/>
          <w:sz w:val="32"/>
          <w:szCs w:val="32"/>
        </w:rPr>
      </w:pPr>
      <w:bookmarkStart w:id="67" w:name="_Toc15377223"/>
      <w:r>
        <w:rPr>
          <w:rFonts w:hint="eastAsia" w:ascii="楷体" w:hAnsi="楷体" w:eastAsia="楷体" w:cs="楷体"/>
          <w:b/>
          <w:color w:val="000000"/>
          <w:sz w:val="32"/>
          <w:szCs w:val="32"/>
        </w:rPr>
        <w:t>（二）政府采购支出情况</w:t>
      </w:r>
      <w:bookmarkEnd w:id="67"/>
    </w:p>
    <w:p>
      <w:pPr>
        <w:spacing w:line="600" w:lineRule="exact"/>
        <w:ind w:firstLine="64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5年度</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u w:color="auto"/>
        </w:rPr>
        <w:t>茂县水务局政府采购支出总额</w:t>
      </w:r>
      <w:r>
        <w:rPr>
          <w:rFonts w:hint="eastAsia" w:ascii="仿宋_GB2312" w:hAnsi="仿宋_GB2312" w:eastAsia="仿宋_GB2312" w:cs="仿宋_GB2312"/>
          <w:color w:val="auto"/>
          <w:sz w:val="32"/>
          <w:u w:color="auto"/>
          <w:lang w:val="en-US" w:eastAsia="zh-CN"/>
        </w:rPr>
        <w:t>1218.11</w:t>
      </w:r>
      <w:r>
        <w:rPr>
          <w:rFonts w:hint="eastAsia" w:ascii="仿宋_GB2312" w:hAnsi="仿宋_GB2312" w:eastAsia="仿宋_GB2312" w:cs="仿宋_GB2312"/>
          <w:color w:val="auto"/>
          <w:sz w:val="32"/>
          <w:u w:color="auto"/>
        </w:rPr>
        <w:t>万元，其中：政府采购货物支出</w:t>
      </w:r>
      <w:r>
        <w:rPr>
          <w:rFonts w:hint="eastAsia" w:ascii="仿宋_GB2312" w:hAnsi="仿宋_GB2312" w:eastAsia="仿宋_GB2312" w:cs="仿宋_GB2312"/>
          <w:color w:val="auto"/>
          <w:sz w:val="32"/>
          <w:u w:color="auto"/>
          <w:lang w:val="en-US" w:eastAsia="zh-CN"/>
        </w:rPr>
        <w:t>1033.68</w:t>
      </w:r>
      <w:r>
        <w:rPr>
          <w:rFonts w:hint="eastAsia" w:ascii="仿宋_GB2312" w:hAnsi="仿宋_GB2312" w:eastAsia="仿宋_GB2312" w:cs="仿宋_GB2312"/>
          <w:color w:val="auto"/>
          <w:sz w:val="32"/>
          <w:u w:color="auto"/>
        </w:rPr>
        <w:t>万元、政府采购工程支出</w:t>
      </w:r>
      <w:r>
        <w:rPr>
          <w:rFonts w:hint="eastAsia" w:ascii="仿宋_GB2312" w:hAnsi="仿宋_GB2312" w:eastAsia="仿宋_GB2312" w:cs="仿宋_GB2312"/>
          <w:color w:val="auto"/>
          <w:sz w:val="32"/>
          <w:u w:color="auto"/>
          <w:lang w:val="en-US" w:eastAsia="zh-CN"/>
        </w:rPr>
        <w:t>151.75</w:t>
      </w:r>
      <w:r>
        <w:rPr>
          <w:rFonts w:hint="eastAsia" w:ascii="仿宋_GB2312" w:hAnsi="仿宋_GB2312" w:eastAsia="仿宋_GB2312" w:cs="仿宋_GB2312"/>
          <w:color w:val="auto"/>
          <w:sz w:val="32"/>
          <w:u w:color="auto"/>
        </w:rPr>
        <w:t>万元、政府采购服务支出</w:t>
      </w:r>
      <w:r>
        <w:rPr>
          <w:rFonts w:hint="eastAsia" w:ascii="仿宋_GB2312" w:hAnsi="仿宋_GB2312" w:eastAsia="仿宋_GB2312" w:cs="仿宋_GB2312"/>
          <w:color w:val="auto"/>
          <w:sz w:val="32"/>
          <w:u w:color="auto"/>
          <w:lang w:val="en-US" w:eastAsia="zh-CN"/>
        </w:rPr>
        <w:t>32.68</w:t>
      </w:r>
      <w:r>
        <w:rPr>
          <w:rFonts w:hint="eastAsia" w:ascii="仿宋_GB2312" w:hAnsi="仿宋_GB2312" w:eastAsia="仿宋_GB2312" w:cs="仿宋_GB2312"/>
          <w:color w:val="auto"/>
          <w:sz w:val="32"/>
          <w:u w:color="auto"/>
        </w:rPr>
        <w:t>万元。</w:t>
      </w:r>
    </w:p>
    <w:p>
      <w:pPr>
        <w:spacing w:line="600" w:lineRule="exact"/>
        <w:ind w:firstLine="642" w:firstLineChars="200"/>
        <w:outlineLvl w:val="2"/>
        <w:rPr>
          <w:rFonts w:hint="eastAsia" w:ascii="楷体" w:hAnsi="楷体" w:eastAsia="楷体" w:cs="楷体"/>
          <w:b/>
          <w:color w:val="000000"/>
          <w:sz w:val="32"/>
          <w:szCs w:val="32"/>
        </w:rPr>
      </w:pPr>
      <w:bookmarkStart w:id="68" w:name="_Toc15377224"/>
      <w:r>
        <w:rPr>
          <w:rFonts w:hint="eastAsia" w:ascii="楷体" w:hAnsi="楷体" w:eastAsia="楷体" w:cs="楷体"/>
          <w:b/>
          <w:color w:val="000000"/>
          <w:sz w:val="32"/>
          <w:szCs w:val="32"/>
        </w:rPr>
        <w:t>（三）国有资产占有使用情况</w:t>
      </w:r>
      <w:bookmarkEnd w:id="68"/>
    </w:p>
    <w:p>
      <w:pPr>
        <w:spacing w:line="600" w:lineRule="exact"/>
        <w:ind w:firstLine="640"/>
        <w:rPr>
          <w:rFonts w:hint="eastAsia" w:ascii="仿宋_GB2312" w:hAnsi="仿宋_GB2312" w:eastAsia="仿宋_GB2312" w:cs="仿宋_GB2312"/>
          <w:color w:val="000000"/>
          <w:sz w:val="32"/>
          <w:szCs w:val="32"/>
        </w:rPr>
      </w:pPr>
      <w:bookmarkStart w:id="93" w:name="_GoBack"/>
      <w:r>
        <w:rPr>
          <w:rFonts w:hint="eastAsia" w:ascii="仿宋_GB2312" w:hAnsi="仿宋_GB2312" w:eastAsia="仿宋_GB2312" w:cs="仿宋_GB2312"/>
          <w:color w:val="000000"/>
          <w:sz w:val="32"/>
          <w:szCs w:val="32"/>
        </w:rPr>
        <w:t>截至</w:t>
      </w:r>
      <w:r>
        <w:rPr>
          <w:rFonts w:hint="eastAsia" w:ascii="仿宋_GB2312" w:hAnsi="仿宋_GB2312" w:eastAsia="仿宋_GB2312" w:cs="仿宋_GB2312"/>
          <w:color w:val="000000"/>
          <w:sz w:val="32"/>
          <w:u w:color="auto"/>
        </w:rPr>
        <w:t>202</w:t>
      </w:r>
      <w:r>
        <w:rPr>
          <w:rFonts w:hint="eastAsia" w:ascii="仿宋_GB2312" w:hAnsi="仿宋_GB2312" w:eastAsia="仿宋_GB2312" w:cs="仿宋_GB2312"/>
          <w:color w:val="000000"/>
          <w:sz w:val="32"/>
          <w:u w:color="auto"/>
          <w:lang w:val="en-US" w:eastAsia="zh-CN"/>
        </w:rPr>
        <w:t>5</w:t>
      </w:r>
      <w:r>
        <w:rPr>
          <w:rFonts w:hint="eastAsia" w:ascii="仿宋_GB2312" w:hAnsi="仿宋_GB2312" w:eastAsia="仿宋_GB2312" w:cs="仿宋_GB2312"/>
          <w:color w:val="000000"/>
          <w:sz w:val="32"/>
          <w:u w:color="auto"/>
        </w:rPr>
        <w:t>年12月31日，茂县水务局（本级）共有车辆2辆，其中：主要领导干部用车0辆、机要通信用车0辆、应急保障用车0辆、其他用车2辆。单价100万元以上专用设备</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不含车辆</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0</w:t>
      </w:r>
      <w:r>
        <w:rPr>
          <w:rFonts w:hint="eastAsia" w:ascii="仿宋_GB2312" w:hAnsi="仿宋_GB2312" w:eastAsia="仿宋_GB2312" w:cs="仿宋_GB2312"/>
          <w:color w:val="000000"/>
          <w:sz w:val="32"/>
          <w:u w:color="auto"/>
        </w:rPr>
        <w:t>台（套）。</w:t>
      </w:r>
    </w:p>
    <w:bookmarkEnd w:id="93"/>
    <w:p>
      <w:pPr>
        <w:spacing w:line="600" w:lineRule="exact"/>
        <w:ind w:firstLine="642" w:firstLineChars="200"/>
        <w:outlineLvl w:val="2"/>
        <w:rPr>
          <w:rFonts w:hint="eastAsia" w:ascii="楷体" w:hAnsi="楷体" w:eastAsia="楷体" w:cs="楷体"/>
          <w:b/>
          <w:color w:val="000000"/>
          <w:sz w:val="32"/>
          <w:szCs w:val="32"/>
        </w:rPr>
      </w:pPr>
      <w:r>
        <w:rPr>
          <w:rFonts w:hint="eastAsia" w:ascii="楷体" w:hAnsi="楷体" w:eastAsia="楷体" w:cs="楷体"/>
          <w:b/>
          <w:color w:val="000000"/>
          <w:sz w:val="32"/>
          <w:szCs w:val="32"/>
        </w:rPr>
        <w:t>（四）预算绩效管理情况</w:t>
      </w:r>
    </w:p>
    <w:p>
      <w:pPr>
        <w:keepNext w:val="0"/>
        <w:keepLines w:val="0"/>
        <w:pageBreakBefore w:val="0"/>
        <w:widowControl w:val="0"/>
        <w:kinsoku/>
        <w:wordWrap/>
        <w:overflowPunct/>
        <w:topLinePunct w:val="0"/>
        <w:autoSpaceDE/>
        <w:autoSpaceDN/>
        <w:bidi w:val="0"/>
        <w:adjustRightInd/>
        <w:snapToGrid w:val="0"/>
        <w:spacing w:line="576" w:lineRule="exact"/>
        <w:ind w:right="0" w:firstLine="640" w:firstLineChars="200"/>
        <w:jc w:val="left"/>
        <w:textAlignment w:val="auto"/>
        <w:rPr>
          <w:rFonts w:hint="eastAsia" w:ascii="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lang w:val="en-US" w:eastAsia="zh-CN"/>
        </w:rPr>
        <w:t>根据预算绩效管理要求，本单位在202</w:t>
      </w:r>
      <w:r>
        <w:rPr>
          <w:rFonts w:hint="eastAsia" w:ascii="仿宋_GB2312" w:cs="Times New Roman"/>
          <w:color w:val="auto"/>
          <w:sz w:val="32"/>
          <w:szCs w:val="32"/>
          <w:lang w:val="en-US" w:eastAsia="zh-CN"/>
        </w:rPr>
        <w:t>5</w:t>
      </w:r>
      <w:r>
        <w:rPr>
          <w:rFonts w:hint="eastAsia" w:ascii="仿宋_GB2312" w:hAnsi="Times New Roman" w:eastAsia="仿宋_GB2312" w:cs="Times New Roman"/>
          <w:color w:val="auto"/>
          <w:sz w:val="32"/>
          <w:szCs w:val="32"/>
          <w:lang w:val="en-US" w:eastAsia="zh-CN"/>
        </w:rPr>
        <w:t>年度预算编制阶段，</w:t>
      </w:r>
      <w:r>
        <w:rPr>
          <w:rFonts w:hint="eastAsia" w:ascii="仿宋_GB2312" w:hAnsi="Times New Roman" w:eastAsia="仿宋_GB2312" w:cs="宋体"/>
          <w:color w:val="auto"/>
          <w:kern w:val="0"/>
          <w:sz w:val="32"/>
          <w:szCs w:val="32"/>
          <w:shd w:val="clear" w:color="auto" w:fill="FFFFFF"/>
          <w:lang w:val="en-US" w:eastAsia="zh-CN" w:bidi="ar-SA"/>
        </w:rPr>
        <w:t>组织对</w:t>
      </w:r>
      <w:r>
        <w:rPr>
          <w:rFonts w:hint="eastAsia" w:ascii="仿宋_GB2312" w:hAnsi="Times New Roman" w:eastAsia="仿宋_GB2312" w:cs="宋体"/>
          <w:color w:val="auto"/>
          <w:kern w:val="0"/>
          <w:sz w:val="32"/>
          <w:szCs w:val="32"/>
          <w:shd w:val="clear" w:color="auto" w:fill="FFFFFF"/>
          <w:lang w:val="zh-CN" w:eastAsia="zh-CN" w:bidi="ar-SA"/>
        </w:rPr>
        <w:t>茂县202</w:t>
      </w:r>
      <w:r>
        <w:rPr>
          <w:rFonts w:hint="eastAsia" w:ascii="仿宋_GB2312" w:hAnsi="Times New Roman" w:eastAsia="仿宋_GB2312" w:cs="宋体"/>
          <w:color w:val="auto"/>
          <w:kern w:val="0"/>
          <w:sz w:val="32"/>
          <w:szCs w:val="32"/>
          <w:shd w:val="clear" w:color="auto" w:fill="FFFFFF"/>
          <w:lang w:val="en-US" w:eastAsia="zh-CN" w:bidi="ar-SA"/>
        </w:rPr>
        <w:t>5</w:t>
      </w:r>
      <w:r>
        <w:rPr>
          <w:rFonts w:hint="eastAsia" w:ascii="仿宋_GB2312" w:hAnsi="Times New Roman" w:eastAsia="仿宋_GB2312" w:cs="宋体"/>
          <w:color w:val="auto"/>
          <w:kern w:val="0"/>
          <w:sz w:val="32"/>
          <w:szCs w:val="32"/>
          <w:shd w:val="clear" w:color="auto" w:fill="FFFFFF"/>
          <w:lang w:val="zh-CN" w:eastAsia="zh-CN" w:bidi="ar-SA"/>
        </w:rPr>
        <w:t>农村饮水工程维修养护</w:t>
      </w:r>
      <w:r>
        <w:rPr>
          <w:rFonts w:hint="eastAsia" w:ascii="仿宋_GB2312" w:hAnsi="Times New Roman" w:eastAsia="仿宋_GB2312" w:cs="宋体"/>
          <w:color w:val="auto"/>
          <w:kern w:val="0"/>
          <w:sz w:val="32"/>
          <w:szCs w:val="32"/>
          <w:shd w:val="clear" w:color="auto" w:fill="FFFFFF"/>
          <w:lang w:val="en-US" w:eastAsia="zh-CN" w:bidi="ar-SA"/>
        </w:rPr>
        <w:t>、</w:t>
      </w:r>
      <w:r>
        <w:rPr>
          <w:rFonts w:hint="eastAsia" w:ascii="仿宋_GB2312" w:hAnsi="Times New Roman" w:eastAsia="仿宋_GB2312" w:cs="宋体"/>
          <w:color w:val="auto"/>
          <w:kern w:val="0"/>
          <w:sz w:val="32"/>
          <w:szCs w:val="32"/>
          <w:shd w:val="clear" w:color="auto" w:fill="FFFFFF"/>
          <w:lang w:val="zh-CN" w:eastAsia="zh-CN" w:bidi="ar-SA"/>
        </w:rPr>
        <w:t>茂县土门河小流域综合治理、</w:t>
      </w:r>
      <w:r>
        <w:rPr>
          <w:rFonts w:hint="eastAsia" w:ascii="仿宋_GB2312" w:hAnsi="Times New Roman" w:eastAsia="仿宋_GB2312" w:cs="宋体"/>
          <w:color w:val="auto"/>
          <w:kern w:val="0"/>
          <w:sz w:val="32"/>
          <w:szCs w:val="32"/>
          <w:shd w:val="clear" w:color="auto" w:fill="FFFFFF"/>
          <w:lang w:val="en-US" w:eastAsia="zh-CN" w:bidi="ar-SA"/>
        </w:rPr>
        <w:t>茂县</w:t>
      </w:r>
      <w:r>
        <w:rPr>
          <w:rFonts w:hint="eastAsia" w:ascii="仿宋_GB2312" w:hAnsi="Times New Roman" w:eastAsia="仿宋_GB2312" w:cs="宋体"/>
          <w:color w:val="auto"/>
          <w:kern w:val="0"/>
          <w:sz w:val="32"/>
          <w:szCs w:val="32"/>
          <w:shd w:val="clear" w:color="auto" w:fill="FFFFFF"/>
          <w:lang w:val="zh-CN" w:eastAsia="zh-CN" w:bidi="ar-SA"/>
        </w:rPr>
        <w:t>2025农业水价综合改革</w:t>
      </w:r>
      <w:r>
        <w:rPr>
          <w:rFonts w:hint="eastAsia" w:ascii="仿宋_GB2312" w:hAnsi="Times New Roman" w:eastAsia="仿宋_GB2312" w:cs="宋体"/>
          <w:color w:val="auto"/>
          <w:kern w:val="0"/>
          <w:sz w:val="32"/>
          <w:szCs w:val="32"/>
          <w:shd w:val="clear" w:color="auto" w:fill="FFFFFF"/>
          <w:lang w:val="en-US" w:eastAsia="zh-CN" w:bidi="ar-SA"/>
        </w:rPr>
        <w:t>、</w:t>
      </w:r>
      <w:r>
        <w:rPr>
          <w:rFonts w:hint="eastAsia" w:ascii="仿宋_GB2312" w:hAnsi="Times New Roman" w:eastAsia="仿宋_GB2312" w:cs="宋体"/>
          <w:color w:val="auto"/>
          <w:kern w:val="0"/>
          <w:sz w:val="32"/>
          <w:szCs w:val="32"/>
          <w:shd w:val="clear" w:color="auto" w:fill="FFFFFF"/>
          <w:lang w:val="zh-CN" w:eastAsia="zh-CN" w:bidi="ar-SA"/>
        </w:rPr>
        <w:t>茂县山洪灾害避险搬迁</w:t>
      </w:r>
      <w:r>
        <w:rPr>
          <w:rFonts w:hint="eastAsia" w:ascii="仿宋_GB2312" w:hAnsi="Times New Roman" w:eastAsia="仿宋_GB2312" w:cs="宋体"/>
          <w:color w:val="auto"/>
          <w:kern w:val="0"/>
          <w:sz w:val="32"/>
          <w:szCs w:val="32"/>
          <w:shd w:val="clear" w:color="auto" w:fill="FFFFFF"/>
          <w:lang w:val="en-US" w:eastAsia="zh-CN" w:bidi="ar-SA"/>
        </w:rPr>
        <w:t>、茂县</w:t>
      </w:r>
      <w:r>
        <w:rPr>
          <w:rFonts w:hint="eastAsia" w:ascii="仿宋_GB2312" w:hAnsi="Times New Roman" w:eastAsia="仿宋_GB2312" w:cs="宋体"/>
          <w:color w:val="auto"/>
          <w:kern w:val="0"/>
          <w:sz w:val="32"/>
          <w:szCs w:val="32"/>
          <w:shd w:val="clear" w:color="auto" w:fill="FFFFFF"/>
          <w:lang w:val="zh-CN" w:eastAsia="zh-CN" w:bidi="ar-SA"/>
        </w:rPr>
        <w:t>山洪灾害防治设施维修养护</w:t>
      </w:r>
      <w:r>
        <w:rPr>
          <w:rFonts w:hint="eastAsia" w:ascii="仿宋_GB2312" w:hAnsi="Times New Roman" w:eastAsia="仿宋_GB2312" w:cs="宋体"/>
          <w:color w:val="auto"/>
          <w:kern w:val="0"/>
          <w:sz w:val="32"/>
          <w:szCs w:val="32"/>
          <w:shd w:val="clear" w:color="auto" w:fill="FFFFFF"/>
          <w:lang w:val="en-US" w:eastAsia="zh-CN" w:bidi="ar-SA"/>
        </w:rPr>
        <w:t>、</w:t>
      </w:r>
      <w:r>
        <w:rPr>
          <w:rFonts w:hint="eastAsia" w:ascii="仿宋_GB2312" w:hAnsi="Times New Roman" w:eastAsia="仿宋_GB2312" w:cs="宋体"/>
          <w:color w:val="auto"/>
          <w:kern w:val="0"/>
          <w:sz w:val="32"/>
          <w:szCs w:val="32"/>
          <w:shd w:val="clear" w:color="auto" w:fill="FFFFFF"/>
          <w:lang w:val="zh-CN" w:eastAsia="zh-CN" w:bidi="ar-SA"/>
        </w:rPr>
        <w:t>茂县山洪灾害防治非工程措施</w:t>
      </w:r>
      <w:r>
        <w:rPr>
          <w:rFonts w:hint="eastAsia" w:ascii="仿宋_GB2312" w:hAnsi="Times New Roman" w:eastAsia="仿宋_GB2312" w:cs="宋体"/>
          <w:color w:val="auto"/>
          <w:kern w:val="0"/>
          <w:sz w:val="32"/>
          <w:szCs w:val="32"/>
          <w:shd w:val="clear" w:color="auto" w:fill="FFFFFF"/>
          <w:lang w:val="en-US" w:eastAsia="zh-CN" w:bidi="ar-SA"/>
        </w:rPr>
        <w:t>、2025年农村饮水工程维修养护项目、茂县叠溪镇太平沟防洪治理工程等8个项目开展了预算事前绩效评估，对8个项目编制了绩效目标，在预算执行过程中，选取8个项目开展绩效监控，</w:t>
      </w:r>
      <w:r>
        <w:rPr>
          <w:rFonts w:hint="eastAsia" w:ascii="仿宋_GB2312" w:hAnsi="Times New Roman" w:eastAsia="仿宋_GB2312" w:cs="宋体"/>
          <w:color w:val="auto"/>
          <w:kern w:val="0"/>
          <w:sz w:val="32"/>
          <w:szCs w:val="32"/>
          <w:shd w:val="clear" w:color="auto" w:fill="FFFFFF"/>
          <w:lang w:val="zh-CN" w:eastAsia="zh-CN" w:bidi="ar-SA"/>
        </w:rPr>
        <w:t>组织对</w:t>
      </w:r>
      <w:r>
        <w:rPr>
          <w:rFonts w:hint="eastAsia" w:ascii="仿宋_GB2312" w:hAnsi="Times New Roman" w:eastAsia="仿宋_GB2312" w:cs="宋体"/>
          <w:color w:val="auto"/>
          <w:kern w:val="0"/>
          <w:sz w:val="32"/>
          <w:szCs w:val="32"/>
          <w:shd w:val="clear" w:color="auto" w:fill="FFFFFF"/>
          <w:lang w:val="en-US" w:eastAsia="zh-CN" w:bidi="ar-SA"/>
        </w:rPr>
        <w:t>8个项目开展绩效自评。</w:t>
      </w:r>
    </w:p>
    <w:p>
      <w:pPr>
        <w:keepNext w:val="0"/>
        <w:keepLines w:val="0"/>
        <w:pageBreakBefore w:val="0"/>
        <w:widowControl w:val="0"/>
        <w:kinsoku/>
        <w:wordWrap/>
        <w:overflowPunct/>
        <w:topLinePunct w:val="0"/>
        <w:autoSpaceDE/>
        <w:autoSpaceDN/>
        <w:bidi w:val="0"/>
        <w:adjustRightInd/>
        <w:snapToGrid w:val="0"/>
        <w:spacing w:line="576" w:lineRule="exact"/>
        <w:ind w:right="0" w:firstLine="642" w:firstLineChars="200"/>
        <w:jc w:val="left"/>
        <w:textAlignment w:val="auto"/>
        <w:rPr>
          <w:rFonts w:hint="eastAsia" w:ascii="仿宋_GB2312" w:hAnsi="Times New Roman" w:eastAsia="仿宋_GB2312" w:cs="Times New Roman"/>
          <w:color w:val="auto"/>
          <w:sz w:val="32"/>
          <w:szCs w:val="32"/>
          <w:lang w:val="en-US" w:eastAsia="zh-CN"/>
        </w:rPr>
      </w:pPr>
      <w:r>
        <w:rPr>
          <w:rFonts w:hint="eastAsia" w:ascii="仿宋_GB2312" w:hAnsi="Times New Roman" w:eastAsia="仿宋_GB2312" w:cs="Times New Roman"/>
          <w:b/>
          <w:bCs/>
          <w:color w:val="auto"/>
          <w:sz w:val="32"/>
          <w:szCs w:val="32"/>
          <w:highlight w:val="none"/>
          <w:lang w:val="en-US" w:eastAsia="zh-CN"/>
        </w:rPr>
        <w:t>绩效自评表详见第四部分附件</w:t>
      </w:r>
    </w:p>
    <w:p>
      <w:pPr>
        <w:widowControl/>
        <w:jc w:val="left"/>
        <w:rPr>
          <w:rFonts w:hint="eastAsia" w:ascii="思源黑体 CN Normal" w:hAnsi="思源黑体 CN Normal" w:eastAsia="思源黑体 CN Normal" w:cs="思源黑体 CN Normal"/>
          <w:b/>
          <w:color w:val="000000"/>
          <w:sz w:val="32"/>
          <w:szCs w:val="32"/>
        </w:rPr>
      </w:pPr>
      <w:r>
        <w:rPr>
          <w:rFonts w:hint="eastAsia" w:ascii="思源黑体 CN Normal" w:hAnsi="思源黑体 CN Normal" w:eastAsia="思源黑体 CN Normal" w:cs="思源黑体 CN Normal"/>
          <w:b/>
          <w:color w:val="000000"/>
          <w:sz w:val="32"/>
          <w:szCs w:val="32"/>
        </w:rPr>
        <w:br w:type="page"/>
      </w:r>
    </w:p>
    <w:p>
      <w:pPr>
        <w:pStyle w:val="2"/>
        <w:jc w:val="center"/>
        <w:rPr>
          <w:rFonts w:hint="eastAsia" w:ascii="黑体" w:hAnsi="黑体" w:eastAsia="黑体" w:cs="黑体"/>
          <w:b w:val="0"/>
          <w:bCs w:val="0"/>
        </w:rPr>
      </w:pPr>
      <w:bookmarkStart w:id="69" w:name="_Toc18122"/>
      <w:bookmarkStart w:id="70" w:name="_Toc15377225"/>
      <w:bookmarkStart w:id="71" w:name="_Toc111208509"/>
      <w:r>
        <w:rPr>
          <w:rFonts w:hint="eastAsia" w:ascii="黑体" w:hAnsi="黑体" w:eastAsia="黑体" w:cs="黑体"/>
          <w:b w:val="0"/>
          <w:bCs w:val="0"/>
        </w:rPr>
        <w:t>第三部分 名词解释</w:t>
      </w:r>
      <w:bookmarkEnd w:id="69"/>
      <w:bookmarkEnd w:id="70"/>
      <w:bookmarkEnd w:id="71"/>
    </w:p>
    <w:p>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1.财政拨款收入：指单位从同级财政部门取得的财政预算资金。</w:t>
      </w:r>
    </w:p>
    <w:p>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2.事业收入：指事业单位开展专业业务活动及辅助活动取得的收入。</w:t>
      </w:r>
    </w:p>
    <w:p>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3.经营收入：指事业单位在专业业务活动及其辅助活动之外开展非独立核算经营活动取得的收入</w:t>
      </w:r>
    </w:p>
    <w:p>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4.其他收入：指单位取得的除上述收入以外的各项收入。</w:t>
      </w:r>
    </w:p>
    <w:p>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 xml:space="preserve">5.使用非财政拨款结余（含专用结余）：指事业单位使用以前年度积累的非财政拨款结余弥补当年收支差额的金额。 </w:t>
      </w:r>
    </w:p>
    <w:p>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 xml:space="preserve">6.年初结转和结余：指以前年度尚未完成、结转到本年按有关规定继续使用的资金。 </w:t>
      </w:r>
    </w:p>
    <w:p>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7.结余分配：指事业单位按照会计制度规定缴纳的所得税、提取的专用结余以及转入非财政拨款结余的金额等。</w:t>
      </w:r>
    </w:p>
    <w:p>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8.年末结转和结余：指单位按有关规定结转到下年或以后年度继续使用的资金。</w:t>
      </w:r>
    </w:p>
    <w:p>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9.社会保障和就业支出（类）行政事业单位养老支出（款）机关事业单位基本养老保险缴费支出（项）:反映机关事业单位实施养老保险制度由单位缴纳的基本养老保险费支出。</w:t>
      </w:r>
      <w:r>
        <w:rPr>
          <w:rFonts w:hint="eastAsia" w:ascii="仿宋" w:hAnsi="仿宋" w:eastAsia="仿宋" w:cs="仿宋"/>
          <w:color w:val="000000"/>
          <w:sz w:val="32"/>
          <w:szCs w:val="32"/>
        </w:rPr>
        <w:cr/>
      </w:r>
      <w:r>
        <w:rPr>
          <w:rFonts w:hint="eastAsia" w:ascii="仿宋" w:hAnsi="仿宋" w:eastAsia="仿宋" w:cs="仿宋"/>
          <w:color w:val="000000"/>
          <w:sz w:val="32"/>
          <w:szCs w:val="32"/>
        </w:rPr>
        <w:t xml:space="preserve">    10.社会保障和就业支出（类）行政事业单位养老支出（款）机关事业单位职业年金缴费支出（项）:反映机关事业单位实施养老保险制度由单位实际缴纳的职业年金支出。</w:t>
      </w:r>
      <w:r>
        <w:rPr>
          <w:rFonts w:hint="eastAsia" w:ascii="仿宋" w:hAnsi="仿宋" w:eastAsia="仿宋" w:cs="仿宋"/>
          <w:color w:val="000000"/>
          <w:sz w:val="32"/>
          <w:szCs w:val="32"/>
        </w:rPr>
        <w:cr/>
      </w:r>
      <w:r>
        <w:rPr>
          <w:rFonts w:hint="eastAsia" w:ascii="仿宋" w:hAnsi="仿宋" w:eastAsia="仿宋" w:cs="仿宋"/>
          <w:color w:val="000000"/>
          <w:sz w:val="32"/>
          <w:szCs w:val="32"/>
        </w:rPr>
        <w:t xml:space="preserve">    11.社会保障和就业支出（类）就业补助（款）公益性岗位补贴（项）:反映财政对符合条件的就业困难人员在公益性岗位就业给予的岗位补贴支出。</w:t>
      </w:r>
      <w:r>
        <w:rPr>
          <w:rFonts w:hint="eastAsia" w:ascii="仿宋" w:hAnsi="仿宋" w:eastAsia="仿宋" w:cs="仿宋"/>
          <w:color w:val="000000"/>
          <w:sz w:val="32"/>
          <w:szCs w:val="32"/>
        </w:rPr>
        <w:cr/>
      </w:r>
      <w:r>
        <w:rPr>
          <w:rFonts w:hint="eastAsia" w:ascii="仿宋" w:hAnsi="仿宋" w:eastAsia="仿宋" w:cs="仿宋"/>
          <w:color w:val="000000"/>
          <w:sz w:val="32"/>
          <w:szCs w:val="32"/>
        </w:rPr>
        <w:t xml:space="preserve">    12.卫生健康支出（类）行政事业单位医疗（款）行政单位医疗（项）:反映财政部门安排的行政单位（包括实行公务员管理的事业单位，下同）基本医疗保险缴费经费，未参加医疗保险的行政单位的公费医疗经费，按国家规定享受离休人员、红军老战士待遇人员的医疗经费。</w:t>
      </w:r>
      <w:r>
        <w:rPr>
          <w:rFonts w:hint="eastAsia" w:ascii="仿宋" w:hAnsi="仿宋" w:eastAsia="仿宋" w:cs="仿宋"/>
          <w:color w:val="000000"/>
          <w:sz w:val="32"/>
          <w:szCs w:val="32"/>
        </w:rPr>
        <w:cr/>
      </w:r>
      <w:r>
        <w:rPr>
          <w:rFonts w:hint="eastAsia" w:ascii="仿宋" w:hAnsi="仿宋" w:eastAsia="仿宋" w:cs="仿宋"/>
          <w:color w:val="000000"/>
          <w:sz w:val="32"/>
          <w:szCs w:val="32"/>
        </w:rPr>
        <w:t xml:space="preserve">    13.节能环保支出（类）自然生态保护（款）生态保护（项）:反映用于生态功能区、生态示范区、生态省（市、县）管理及能力建设、日常管护、宣教、试点示范等支出，生态修复支出，资源开发生态监管支出，生态护林员的劳务报酬等支出。</w:t>
      </w:r>
      <w:r>
        <w:rPr>
          <w:rFonts w:hint="eastAsia" w:ascii="仿宋" w:hAnsi="仿宋" w:eastAsia="仿宋" w:cs="仿宋"/>
          <w:color w:val="000000"/>
          <w:sz w:val="32"/>
          <w:szCs w:val="32"/>
        </w:rPr>
        <w:cr/>
      </w:r>
      <w:r>
        <w:rPr>
          <w:rFonts w:hint="eastAsia" w:ascii="仿宋" w:hAnsi="仿宋" w:eastAsia="仿宋" w:cs="仿宋"/>
          <w:color w:val="000000"/>
          <w:sz w:val="32"/>
          <w:szCs w:val="32"/>
        </w:rPr>
        <w:t xml:space="preserve">    14.农林水支出（类）水利（款）行政运行（项）:反映行政单位（包括实行公务员管理的事业单位）的基本支出。</w:t>
      </w:r>
      <w:r>
        <w:rPr>
          <w:rFonts w:hint="eastAsia" w:ascii="仿宋" w:hAnsi="仿宋" w:eastAsia="仿宋" w:cs="仿宋"/>
          <w:color w:val="000000"/>
          <w:sz w:val="32"/>
          <w:szCs w:val="32"/>
        </w:rPr>
        <w:cr/>
      </w:r>
      <w:r>
        <w:rPr>
          <w:rFonts w:hint="eastAsia" w:ascii="仿宋" w:hAnsi="仿宋" w:eastAsia="仿宋" w:cs="仿宋"/>
          <w:color w:val="000000"/>
          <w:sz w:val="32"/>
          <w:szCs w:val="32"/>
        </w:rPr>
        <w:t xml:space="preserve">    15.农林水支出（类）水利（款）大中型水库移民后期扶持专项支出（项）:反映中央财政划转大中型水库移民后期扶持基金的支出，包括对销售电量加价部分征收的增值税返还以及用于解决水库移民遗留问题的定额补助。</w:t>
      </w:r>
      <w:r>
        <w:rPr>
          <w:rFonts w:hint="eastAsia" w:ascii="仿宋" w:hAnsi="仿宋" w:eastAsia="仿宋" w:cs="仿宋"/>
          <w:color w:val="000000"/>
          <w:sz w:val="32"/>
          <w:szCs w:val="32"/>
        </w:rPr>
        <w:cr/>
      </w:r>
      <w:r>
        <w:rPr>
          <w:rFonts w:hint="eastAsia" w:ascii="仿宋" w:hAnsi="仿宋" w:eastAsia="仿宋" w:cs="仿宋"/>
          <w:color w:val="000000"/>
          <w:sz w:val="32"/>
          <w:szCs w:val="32"/>
        </w:rPr>
        <w:t xml:space="preserve">    16.农林水支出（类）水利（款）其他水利支出（项）:反映除上述项目以外其他用于水利方面的支出。</w:t>
      </w:r>
      <w:r>
        <w:rPr>
          <w:rFonts w:hint="eastAsia" w:ascii="仿宋" w:hAnsi="仿宋" w:eastAsia="仿宋" w:cs="仿宋"/>
          <w:color w:val="000000"/>
          <w:sz w:val="32"/>
          <w:szCs w:val="32"/>
        </w:rPr>
        <w:cr/>
      </w:r>
      <w:r>
        <w:rPr>
          <w:rFonts w:hint="eastAsia" w:ascii="仿宋" w:hAnsi="仿宋" w:eastAsia="仿宋" w:cs="仿宋"/>
          <w:color w:val="000000"/>
          <w:sz w:val="32"/>
          <w:szCs w:val="32"/>
        </w:rPr>
        <w:t xml:space="preserve">    17.农林水支出（类）巩固脱贫攻坚成果衔接乡村振兴（款）其他巩固脱贫攻坚成果衔接乡村振兴支出（项）:反映除上述项目以外其他用于扶贫方面的支出。</w:t>
      </w:r>
      <w:r>
        <w:rPr>
          <w:rFonts w:hint="eastAsia" w:ascii="仿宋" w:hAnsi="仿宋" w:eastAsia="仿宋" w:cs="仿宋"/>
          <w:color w:val="000000"/>
          <w:sz w:val="32"/>
          <w:szCs w:val="32"/>
        </w:rPr>
        <w:cr/>
      </w:r>
      <w:r>
        <w:rPr>
          <w:rFonts w:hint="eastAsia" w:ascii="仿宋" w:hAnsi="仿宋" w:eastAsia="仿宋" w:cs="仿宋"/>
          <w:color w:val="000000"/>
          <w:sz w:val="32"/>
          <w:szCs w:val="32"/>
        </w:rPr>
        <w:t xml:space="preserve">    18.住房保障支出（类）住房改革支出（款）住房公积金（项）:反映行政事业单位按人力资源和社会保障部、财政部规定的基本工资和津贴补贴以及规定比例为职工缴纳的住房公积金。</w:t>
      </w:r>
      <w:r>
        <w:rPr>
          <w:rFonts w:hint="eastAsia" w:ascii="仿宋" w:hAnsi="仿宋" w:eastAsia="仿宋" w:cs="仿宋"/>
          <w:color w:val="000000"/>
          <w:sz w:val="32"/>
          <w:szCs w:val="32"/>
        </w:rPr>
        <w:cr/>
      </w:r>
      <w:r>
        <w:rPr>
          <w:rFonts w:hint="eastAsia" w:ascii="仿宋" w:hAnsi="仿宋" w:eastAsia="仿宋" w:cs="仿宋"/>
          <w:color w:val="000000"/>
          <w:sz w:val="32"/>
          <w:szCs w:val="32"/>
        </w:rPr>
        <w:t xml:space="preserve">    19.住房保障支出（类）住房改革支出（款）购房补贴（项）:反映按房改政策规定，行政事业单位向符合条件职工（含离退休人员）、军队（含武警）向转役复员离退休人员发放的用于购买住房的补贴。</w:t>
      </w:r>
    </w:p>
    <w:p>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20</w:t>
      </w:r>
      <w:r>
        <w:rPr>
          <w:rFonts w:ascii="仿宋" w:hAnsi="仿宋" w:eastAsia="仿宋" w:cs="仿宋"/>
          <w:color w:val="000000"/>
          <w:sz w:val="32"/>
          <w:u w:color="auto"/>
        </w:rPr>
        <w:t>.基本支出：指为保障机构正常运转、完成日常工作任务而发生的人员支出和公用支出。</w:t>
      </w:r>
    </w:p>
    <w:p>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21</w:t>
      </w:r>
      <w:r>
        <w:rPr>
          <w:rFonts w:ascii="仿宋" w:hAnsi="仿宋" w:eastAsia="仿宋" w:cs="仿宋"/>
          <w:color w:val="000000"/>
          <w:sz w:val="32"/>
          <w:u w:color="auto"/>
        </w:rPr>
        <w:t xml:space="preserve">.项目支出：指在基本支出之外为完成特定行政任务和事业发展目标所发生的支出。 </w:t>
      </w:r>
    </w:p>
    <w:p>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22</w:t>
      </w:r>
      <w:r>
        <w:rPr>
          <w:rFonts w:ascii="仿宋" w:hAnsi="仿宋" w:eastAsia="仿宋" w:cs="仿宋"/>
          <w:color w:val="000000"/>
          <w:sz w:val="32"/>
          <w:u w:color="auto"/>
        </w:rPr>
        <w:t>.经营支出：指事业单位在专业业务活动及其辅助活动之外开展非独立核算经营活动发生的支出。</w:t>
      </w:r>
    </w:p>
    <w:p>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23</w:t>
      </w:r>
      <w:r>
        <w:rPr>
          <w:rFonts w:ascii="仿宋" w:hAnsi="仿宋" w:eastAsia="仿宋" w:cs="仿宋"/>
          <w:color w:val="000000"/>
          <w:sz w:val="32"/>
          <w:u w:color="auto"/>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24</w:t>
      </w:r>
      <w:r>
        <w:rPr>
          <w:rFonts w:ascii="仿宋" w:hAnsi="仿宋" w:eastAsia="仿宋" w:cs="仿宋"/>
          <w:color w:val="000000"/>
          <w:sz w:val="32"/>
          <w:u w:color="auto"/>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ind w:firstLine="640"/>
        <w:rPr>
          <w:rFonts w:hint="eastAsia" w:ascii="仿宋" w:hAnsi="仿宋" w:eastAsia="仿宋" w:cs="仿宋"/>
          <w:sz w:val="32"/>
          <w:szCs w:val="32"/>
        </w:rPr>
      </w:pPr>
      <w:r>
        <w:rPr>
          <w:rFonts w:hint="eastAsia" w:ascii="仿宋" w:hAnsi="仿宋" w:eastAsia="仿宋" w:cs="仿宋"/>
          <w:color w:val="000000"/>
          <w:sz w:val="32"/>
          <w:szCs w:val="32"/>
        </w:rPr>
        <w:t>25</w:t>
      </w:r>
      <w:r>
        <w:rPr>
          <w:rFonts w:ascii="仿宋" w:hAnsi="仿宋" w:eastAsia="仿宋" w:cs="仿宋"/>
          <w:color w:val="000000"/>
          <w:sz w:val="32"/>
          <w:u w:color="auto"/>
        </w:rPr>
        <w:t>.财政应返还额度：为行政事业单位会计核算科目，用于核算实行国库集中支付的行政事业单位应收财政返还的资金额度。</w:t>
      </w:r>
    </w:p>
    <w:p>
      <w:pPr>
        <w:widowControl/>
        <w:jc w:val="left"/>
        <w:rPr>
          <w:rFonts w:hint="eastAsia" w:ascii="黑体" w:hAnsi="黑体" w:eastAsia="黑体" w:cs="黑体"/>
          <w:b w:val="0"/>
          <w:bCs w:val="0"/>
        </w:rPr>
      </w:pPr>
      <w:r>
        <w:rPr>
          <w:rStyle w:val="34"/>
          <w:rFonts w:hint="eastAsia" w:ascii="思源黑体 CN Normal" w:hAnsi="思源黑体 CN Normal" w:eastAsia="思源黑体 CN Normal" w:cs="思源黑体 CN Normal"/>
        </w:rPr>
        <w:br w:type="page"/>
      </w:r>
      <w:bookmarkStart w:id="72" w:name="_Toc25539"/>
      <w:bookmarkStart w:id="73" w:name="_Toc111208510"/>
    </w:p>
    <w:p>
      <w:pPr>
        <w:pStyle w:val="2"/>
        <w:numPr>
          <w:ilvl w:val="0"/>
          <w:numId w:val="2"/>
        </w:numPr>
        <w:jc w:val="center"/>
        <w:rPr>
          <w:rFonts w:hint="eastAsia" w:ascii="黑体" w:hAnsi="黑体" w:eastAsia="黑体" w:cs="黑体"/>
          <w:b w:val="0"/>
          <w:bCs w:val="0"/>
          <w:sz w:val="44"/>
          <w:szCs w:val="44"/>
        </w:rPr>
      </w:pPr>
      <w:r>
        <w:rPr>
          <w:rFonts w:hint="eastAsia" w:ascii="黑体" w:hAnsi="黑体" w:eastAsia="黑体" w:cs="黑体"/>
          <w:b w:val="0"/>
          <w:bCs w:val="0"/>
          <w:sz w:val="44"/>
          <w:szCs w:val="44"/>
        </w:rPr>
        <w:t>附件</w:t>
      </w:r>
      <w:bookmarkEnd w:id="72"/>
      <w:bookmarkEnd w:id="73"/>
      <w:bookmarkStart w:id="74" w:name="_Toc79163885"/>
      <w:bookmarkStart w:id="75" w:name="_Toc111208512"/>
      <w:bookmarkStart w:id="76" w:name="_Toc21200"/>
      <w:bookmarkStart w:id="77" w:name="_Toc79163635"/>
    </w:p>
    <w:p>
      <w:pPr>
        <w:suppressAutoHyphens/>
        <w:bidi w:val="0"/>
        <w:spacing w:line="600" w:lineRule="exact"/>
        <w:jc w:val="center"/>
        <w:outlineLvl w:val="0"/>
        <w:rPr>
          <w:rFonts w:hint="eastAsia" w:hAnsi="Times New Roman"/>
          <w:color w:val="auto"/>
          <w:sz w:val="24"/>
          <w:szCs w:val="24"/>
        </w:rPr>
      </w:pPr>
      <w:bookmarkStart w:id="78" w:name="_Toc13911"/>
      <w:bookmarkStart w:id="79" w:name="_Toc24411"/>
      <w:r>
        <w:rPr>
          <w:rFonts w:hint="eastAsia" w:hAnsi="Times New Roman"/>
          <w:color w:val="auto"/>
          <w:sz w:val="24"/>
          <w:szCs w:val="24"/>
        </w:rPr>
        <w:t>单位预算项目支出绩效自评表（202</w:t>
      </w:r>
      <w:r>
        <w:rPr>
          <w:rFonts w:hint="eastAsia"/>
          <w:color w:val="auto"/>
          <w:sz w:val="24"/>
          <w:szCs w:val="24"/>
          <w:lang w:val="en-US" w:eastAsia="zh-CN"/>
        </w:rPr>
        <w:t>5</w:t>
      </w:r>
      <w:r>
        <w:rPr>
          <w:rFonts w:hint="eastAsia" w:hAnsi="Times New Roman"/>
          <w:color w:val="auto"/>
          <w:sz w:val="24"/>
          <w:szCs w:val="24"/>
        </w:rPr>
        <w:t>年度）</w:t>
      </w:r>
      <w:bookmarkEnd w:id="78"/>
      <w:bookmarkEnd w:id="79"/>
    </w:p>
    <w:tbl>
      <w:tblPr>
        <w:tblStyle w:val="21"/>
        <w:tblW w:w="877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50"/>
        <w:gridCol w:w="1324"/>
        <w:gridCol w:w="1095"/>
        <w:gridCol w:w="1559"/>
        <w:gridCol w:w="630"/>
        <w:gridCol w:w="600"/>
        <w:gridCol w:w="525"/>
        <w:gridCol w:w="720"/>
        <w:gridCol w:w="399"/>
        <w:gridCol w:w="336"/>
        <w:gridCol w:w="7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77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12"/>
                <w:szCs w:val="12"/>
                <w:u w:val="none"/>
              </w:rPr>
            </w:pPr>
            <w:r>
              <w:rPr>
                <w:rFonts w:hint="eastAsia" w:ascii="黑体" w:hAnsi="宋体" w:eastAsia="黑体" w:cs="黑体"/>
                <w:b/>
                <w:bCs/>
                <w:i w:val="0"/>
                <w:iCs w:val="0"/>
                <w:color w:val="000000"/>
                <w:kern w:val="0"/>
                <w:sz w:val="12"/>
                <w:szCs w:val="12"/>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21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项目名称</w:t>
            </w:r>
          </w:p>
        </w:tc>
        <w:tc>
          <w:tcPr>
            <w:tcW w:w="65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51322325T000013618461-2025年水利发展资金（农村饮水工程维修养护）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21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主管部门</w:t>
            </w:r>
          </w:p>
        </w:tc>
        <w:tc>
          <w:tcPr>
            <w:tcW w:w="44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茂县水务局</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 xml:space="preserve">实施单位 </w:t>
            </w:r>
          </w:p>
        </w:tc>
        <w:tc>
          <w:tcPr>
            <w:tcW w:w="14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茂县水务局（行政）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项目基本情况</w:t>
            </w:r>
          </w:p>
        </w:tc>
        <w:tc>
          <w:tcPr>
            <w:tcW w:w="13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1.项目年度目标完成情况</w:t>
            </w:r>
          </w:p>
        </w:tc>
        <w:tc>
          <w:tcPr>
            <w:tcW w:w="44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项目年度目标</w:t>
            </w:r>
          </w:p>
        </w:tc>
        <w:tc>
          <w:tcPr>
            <w:tcW w:w="21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黑体" w:eastAsia="黑体" w:cs="黑体"/>
                <w:i w:val="0"/>
                <w:iCs w:val="0"/>
                <w:color w:val="000000"/>
                <w:sz w:val="12"/>
                <w:szCs w:val="12"/>
                <w:u w:val="none"/>
              </w:rPr>
            </w:pPr>
            <w:r>
              <w:rPr>
                <w:rFonts w:hint="eastAsia" w:ascii="黑体" w:hAnsi="黑体" w:eastAsia="黑体" w:cs="黑体"/>
                <w:i w:val="0"/>
                <w:iCs w:val="0"/>
                <w:color w:val="000000"/>
                <w:kern w:val="0"/>
                <w:sz w:val="12"/>
                <w:szCs w:val="12"/>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2"/>
                <w:szCs w:val="12"/>
                <w:u w:val="none"/>
              </w:rPr>
            </w:pPr>
          </w:p>
        </w:tc>
        <w:tc>
          <w:tcPr>
            <w:tcW w:w="44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我县农村居民的饮用水质量得到较大改善，农村居民生活水平和生活质量得到提高。不但解决了当地群众生活饮用水，改善了项目区群众的生存环境,通过安全饮水项目建设，我县农村人口饮水安全工作得到解决</w:t>
            </w:r>
          </w:p>
        </w:tc>
        <w:tc>
          <w:tcPr>
            <w:tcW w:w="21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通过安全饮水项目建设，我县农村人口饮水安全工作得到解决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预算执行情况（10分）</w:t>
            </w: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年度预算数（万元）</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年初预算</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调整后预算数</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预算执行数</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预算执行率</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权重</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得分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总额</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110.89</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110.89</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7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其中：财政资金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110.89</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110.89</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财政专户管理资金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单位资金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绩效指标（90分）</w:t>
            </w: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一级指标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二级指标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三级指标</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指标性质</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度量单位</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完成值</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权重</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得分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产出指标</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数量指标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工程处数</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64</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处</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64</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解决供水人口</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万人</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质量指标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项目验收合格率</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时效指标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2025年12月前完成任务</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年</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效益指标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可持续发展指标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水质提升</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定性</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优</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优</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可持续影响指标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项目持续使用年限</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年</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满意度指标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满意度指标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受益群众满意度</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95</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95</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成本指标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经济成本指标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项目投资不超预算</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357</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万元</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357</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730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合计</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94</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评价结论</w:t>
            </w:r>
          </w:p>
        </w:tc>
        <w:tc>
          <w:tcPr>
            <w:tcW w:w="792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总体上看，项目决策依据充分，总体目标清晰，完成了2025年目标任务，通过项目实施，让农村基础设施到了进一步的改善，绩效目标基本实现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存在问题</w:t>
            </w:r>
          </w:p>
        </w:tc>
        <w:tc>
          <w:tcPr>
            <w:tcW w:w="792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改进措施</w:t>
            </w:r>
          </w:p>
        </w:tc>
        <w:tc>
          <w:tcPr>
            <w:tcW w:w="792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77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12"/>
                <w:szCs w:val="12"/>
                <w:u w:val="none"/>
              </w:rPr>
            </w:pPr>
            <w:r>
              <w:rPr>
                <w:rFonts w:hint="eastAsia" w:ascii="黑体" w:hAnsi="宋体" w:eastAsia="黑体" w:cs="黑体"/>
                <w:b/>
                <w:bCs/>
                <w:i w:val="0"/>
                <w:iCs w:val="0"/>
                <w:color w:val="000000"/>
                <w:kern w:val="0"/>
                <w:sz w:val="12"/>
                <w:szCs w:val="12"/>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21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项目名称</w:t>
            </w:r>
          </w:p>
        </w:tc>
        <w:tc>
          <w:tcPr>
            <w:tcW w:w="65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51322325T000013618628-2025年水利发展资金（土门河小流域综合治理）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21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主管部门</w:t>
            </w:r>
          </w:p>
        </w:tc>
        <w:tc>
          <w:tcPr>
            <w:tcW w:w="44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茂县水务局</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 xml:space="preserve">实施单位 </w:t>
            </w:r>
          </w:p>
        </w:tc>
        <w:tc>
          <w:tcPr>
            <w:tcW w:w="14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茂县水务局（行政）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项目基本情况</w:t>
            </w:r>
          </w:p>
        </w:tc>
        <w:tc>
          <w:tcPr>
            <w:tcW w:w="13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1.项目年度目标完成情况</w:t>
            </w:r>
          </w:p>
        </w:tc>
        <w:tc>
          <w:tcPr>
            <w:tcW w:w="44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项目年度目标</w:t>
            </w:r>
          </w:p>
        </w:tc>
        <w:tc>
          <w:tcPr>
            <w:tcW w:w="21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2"/>
                <w:szCs w:val="12"/>
                <w:u w:val="none"/>
              </w:rPr>
            </w:pPr>
            <w:r>
              <w:rPr>
                <w:rFonts w:hint="eastAsia" w:ascii="黑体" w:hAnsi="黑体" w:eastAsia="黑体" w:cs="黑体"/>
                <w:i w:val="0"/>
                <w:iCs w:val="0"/>
                <w:color w:val="000000"/>
                <w:kern w:val="0"/>
                <w:sz w:val="12"/>
                <w:szCs w:val="12"/>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2"/>
                <w:szCs w:val="12"/>
                <w:u w:val="none"/>
              </w:rPr>
            </w:pPr>
          </w:p>
        </w:tc>
        <w:tc>
          <w:tcPr>
            <w:tcW w:w="44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本项目共规划治理水土流失面积24.00km2，其中保土耕作525.82hm2，封禁治理1861.44hm2，梯田工程7.37hm2（石坎约5.6km，修建50cm×50cm砼水沟480m，沉沙凼2座（内尺寸长150cm，宽100cm，高60cm），蓄水池2座（容量10m3））；经果林1.67hm2，种植草3.7hm2；护坡工程2547m，面积约28437m2（修建100cm×100cm砼水沟15m，80cm×80cm砼水沟110m，40cm×40cm砼水沟925m）；修建生产路2030m（均为2m宽，其中泥结石生产路1440m，混凝土生产路590m）；坡面水系修建截排水沟2552m（其中100cm×100cm砼水沟150m，80cm×80cm砼水沟250m，50cm×40cm浆砌石水沟85m，50cm×50cm砼水沟1450m，40cm×40cm砼水沟617m），排水管650m（φ400PE管）；沉沙凼3座（内尺寸长150cm，宽100cm，高60cm），蓄水池3座（容量10m3）；修建护岸1425m。</w:t>
            </w:r>
          </w:p>
        </w:tc>
        <w:tc>
          <w:tcPr>
            <w:tcW w:w="21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通过项目实施，让农村基础设施到了进一步的改善，绩效目标基本实现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预算执行情况（10分）</w:t>
            </w: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年度预算数（万元）</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年初预算</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调整后预算数</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预算执行数</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预算执行率</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权重</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得分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总额</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377.10</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377.10</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w:t>
            </w:r>
          </w:p>
        </w:tc>
        <w:tc>
          <w:tcPr>
            <w:tcW w:w="7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其中：财政资金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377.10</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377.10</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财政专户管理资金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单位资金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其他资金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绩效指标（90分）</w:t>
            </w: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一级指标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二级指标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三级指标</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指标性质</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度量单位</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完成值</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权重</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得分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产出指标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数量指标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水土流失综合治理面积</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24</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平方千米</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24</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质量指标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项目验收合格率</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时效指标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2025年底前任务完成率</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80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80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效益指标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生态效益指标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水土流失得到治理</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定性</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合格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合格</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可持续影响指标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治理影响可持续性时限</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年</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满意度指标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满意度指标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受益群众满意度</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95</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95</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成本指标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经济成本指标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项目投资不超预算</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840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万元</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840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18</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730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合计</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92</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评价结论</w:t>
            </w:r>
          </w:p>
        </w:tc>
        <w:tc>
          <w:tcPr>
            <w:tcW w:w="792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项目决策依据充分，总体目标清晰，完成了2025年目标任务，通过项目实施，让农村基础设施到了进一步的改善，绩效目标基本实现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存在问题</w:t>
            </w:r>
          </w:p>
        </w:tc>
        <w:tc>
          <w:tcPr>
            <w:tcW w:w="792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改进措施</w:t>
            </w:r>
          </w:p>
        </w:tc>
        <w:tc>
          <w:tcPr>
            <w:tcW w:w="792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77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12"/>
                <w:szCs w:val="12"/>
                <w:u w:val="none"/>
              </w:rPr>
            </w:pPr>
            <w:r>
              <w:rPr>
                <w:rFonts w:hint="eastAsia" w:ascii="黑体" w:hAnsi="宋体" w:eastAsia="黑体" w:cs="黑体"/>
                <w:b/>
                <w:bCs/>
                <w:i w:val="0"/>
                <w:iCs w:val="0"/>
                <w:color w:val="000000"/>
                <w:kern w:val="0"/>
                <w:sz w:val="12"/>
                <w:szCs w:val="12"/>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21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项目名称</w:t>
            </w:r>
          </w:p>
        </w:tc>
        <w:tc>
          <w:tcPr>
            <w:tcW w:w="65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51322325T000013619116-2025年水利发展资金（农业水价综合改革）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21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主管部门</w:t>
            </w:r>
          </w:p>
        </w:tc>
        <w:tc>
          <w:tcPr>
            <w:tcW w:w="44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茂县水务局</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 xml:space="preserve">实施单位 </w:t>
            </w:r>
          </w:p>
        </w:tc>
        <w:tc>
          <w:tcPr>
            <w:tcW w:w="14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茂县水务局（行政）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项目基本情况</w:t>
            </w:r>
          </w:p>
        </w:tc>
        <w:tc>
          <w:tcPr>
            <w:tcW w:w="13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1.项目年度目标完成情况</w:t>
            </w:r>
          </w:p>
        </w:tc>
        <w:tc>
          <w:tcPr>
            <w:tcW w:w="44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项目年度目标</w:t>
            </w:r>
          </w:p>
        </w:tc>
        <w:tc>
          <w:tcPr>
            <w:tcW w:w="21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2"/>
                <w:szCs w:val="12"/>
                <w:u w:val="none"/>
              </w:rPr>
            </w:pPr>
            <w:r>
              <w:rPr>
                <w:rFonts w:hint="eastAsia" w:ascii="黑体" w:hAnsi="黑体" w:eastAsia="黑体" w:cs="黑体"/>
                <w:i w:val="0"/>
                <w:iCs w:val="0"/>
                <w:color w:val="000000"/>
                <w:kern w:val="0"/>
                <w:sz w:val="12"/>
                <w:szCs w:val="12"/>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2"/>
                <w:szCs w:val="12"/>
                <w:u w:val="none"/>
              </w:rPr>
            </w:pPr>
          </w:p>
        </w:tc>
        <w:tc>
          <w:tcPr>
            <w:tcW w:w="44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按照总体上不增加农民负担的原则，切实保护农民合理用水权益，在完善水价形成机制的基础上，建立与节水成效、调价幅度、财力状况相匹配的精准补贴机制</w:t>
            </w:r>
          </w:p>
        </w:tc>
        <w:tc>
          <w:tcPr>
            <w:tcW w:w="21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切实保护农民合理用水权益，在完善水价形成机制的基础上，建立与节水成效机制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预算执行情况（10分）</w:t>
            </w: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年度预算数（万元）</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年初预算</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调整后预算数</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预算执行数</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预算执行率</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权重</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得分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总额</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8.35</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8.35</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8</w:t>
            </w:r>
          </w:p>
        </w:tc>
        <w:tc>
          <w:tcPr>
            <w:tcW w:w="7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其中：财政资金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8.35</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8.35</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财政专户管理资金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单位资金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其他资金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绩效指标（90分）</w:t>
            </w: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一级指标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二级指标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三级指标</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指标性质</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度量单位</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完成值</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权重</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得分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产出指标</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数量指标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涉及灌溉面积</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3.59</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万亩</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3.59</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工程维护数量</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15</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个</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15</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18</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质量指标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项目验收合格率</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时效指标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12月前完成任务</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年</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效益指标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可持续发展指标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提高节水能力</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定性</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优</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优</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可持续影响指标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项目建成后可持续使用</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年</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满意度指标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满意度指标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受益群众满意度</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95</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95</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成本指标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经济成本指标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项目投资不超预算</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60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万元</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60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730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合计</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92</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评价结论</w:t>
            </w:r>
          </w:p>
        </w:tc>
        <w:tc>
          <w:tcPr>
            <w:tcW w:w="792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总体上看，项目决策依据充分，总体目标清晰，完成了2025年目标任务，通过项目实施，让农村基础设施到了进一步的改善，绩效目标基本实现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存在问题</w:t>
            </w:r>
          </w:p>
        </w:tc>
        <w:tc>
          <w:tcPr>
            <w:tcW w:w="792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改进措施</w:t>
            </w:r>
          </w:p>
        </w:tc>
        <w:tc>
          <w:tcPr>
            <w:tcW w:w="792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77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12"/>
                <w:szCs w:val="12"/>
                <w:u w:val="none"/>
              </w:rPr>
            </w:pPr>
            <w:r>
              <w:rPr>
                <w:rFonts w:hint="eastAsia" w:ascii="黑体" w:hAnsi="宋体" w:eastAsia="黑体" w:cs="黑体"/>
                <w:b/>
                <w:bCs/>
                <w:i w:val="0"/>
                <w:iCs w:val="0"/>
                <w:color w:val="000000"/>
                <w:kern w:val="0"/>
                <w:sz w:val="12"/>
                <w:szCs w:val="12"/>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21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项目名称</w:t>
            </w:r>
          </w:p>
        </w:tc>
        <w:tc>
          <w:tcPr>
            <w:tcW w:w="65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51322325T000013620080-2025年水利发展资金（山洪灾害防治设施维修养护）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21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主管部门</w:t>
            </w:r>
          </w:p>
        </w:tc>
        <w:tc>
          <w:tcPr>
            <w:tcW w:w="44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茂县水务局</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 xml:space="preserve">实施单位 </w:t>
            </w:r>
          </w:p>
        </w:tc>
        <w:tc>
          <w:tcPr>
            <w:tcW w:w="14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茂县水务局（行政）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项目基本情况</w:t>
            </w:r>
          </w:p>
        </w:tc>
        <w:tc>
          <w:tcPr>
            <w:tcW w:w="13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1.项目年度目标完成情况</w:t>
            </w:r>
          </w:p>
        </w:tc>
        <w:tc>
          <w:tcPr>
            <w:tcW w:w="44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项目年度目标</w:t>
            </w:r>
          </w:p>
        </w:tc>
        <w:tc>
          <w:tcPr>
            <w:tcW w:w="21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2"/>
                <w:szCs w:val="12"/>
                <w:u w:val="none"/>
              </w:rPr>
            </w:pPr>
            <w:r>
              <w:rPr>
                <w:rFonts w:hint="eastAsia" w:ascii="黑体" w:hAnsi="黑体" w:eastAsia="黑体" w:cs="黑体"/>
                <w:i w:val="0"/>
                <w:iCs w:val="0"/>
                <w:color w:val="000000"/>
                <w:kern w:val="0"/>
                <w:sz w:val="12"/>
                <w:szCs w:val="12"/>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2"/>
                <w:szCs w:val="12"/>
                <w:u w:val="none"/>
              </w:rPr>
            </w:pPr>
          </w:p>
        </w:tc>
        <w:tc>
          <w:tcPr>
            <w:tcW w:w="44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全县31处山洪灾害防治设施、防汛会议系统、9处视频站点的维修养护，确保监测设施、会议系统的正常运转，有效避免和减少山洪灾害造成的人员伤亡和财产损失</w:t>
            </w:r>
          </w:p>
        </w:tc>
        <w:tc>
          <w:tcPr>
            <w:tcW w:w="21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有效避免和减少山洪灾害造成的人员伤亡和财产损失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预算执行情况（10分）</w:t>
            </w: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年度预算数（万元）</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年初预算</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调整后预算数</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预算执行数</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预算执行率</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权重</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得分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总额</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32.68</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32.68</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7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其中：财政资金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32.68</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32.68</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财政专户管理资金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单位资金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其他资金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绩效指标（90分）</w:t>
            </w: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一级指标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二级指标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三级指标</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指标性质</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度量单位</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完成值</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权重</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得分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产出指标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数量指标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监测31个站点、会议系统及9处视频站</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40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处</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质量指标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项目验收合格率</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时效指标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10月完成任务</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月</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效益指标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社会效益指标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确保安全渡过汛期</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定性</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优</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可持续影响指标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治理影响可持续性时限</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年</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满意度指标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满意度指标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受益群众满意度</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95</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成本指标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经济成本指标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项目投资不超预算</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33</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万元</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730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合计</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2"/>
                <w:szCs w:val="12"/>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评价结论</w:t>
            </w:r>
          </w:p>
        </w:tc>
        <w:tc>
          <w:tcPr>
            <w:tcW w:w="792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项目决策依据充分，总体目标清晰，完成了2025年目标任务，通过项目实施，让农村基础设施到了进一步的改善，绩效目标基本实现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存在问题</w:t>
            </w:r>
          </w:p>
        </w:tc>
        <w:tc>
          <w:tcPr>
            <w:tcW w:w="792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改进措施</w:t>
            </w:r>
          </w:p>
        </w:tc>
        <w:tc>
          <w:tcPr>
            <w:tcW w:w="792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77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12"/>
                <w:szCs w:val="12"/>
                <w:u w:val="none"/>
              </w:rPr>
            </w:pPr>
            <w:r>
              <w:rPr>
                <w:rFonts w:hint="eastAsia" w:ascii="黑体" w:hAnsi="宋体" w:eastAsia="黑体" w:cs="黑体"/>
                <w:b/>
                <w:bCs/>
                <w:i w:val="0"/>
                <w:iCs w:val="0"/>
                <w:color w:val="000000"/>
                <w:kern w:val="0"/>
                <w:sz w:val="12"/>
                <w:szCs w:val="12"/>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21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项目名称</w:t>
            </w:r>
          </w:p>
        </w:tc>
        <w:tc>
          <w:tcPr>
            <w:tcW w:w="65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51322325T000013620140-2025年水利发展资金（山洪灾害防治非工程措施）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21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主管部门</w:t>
            </w:r>
          </w:p>
        </w:tc>
        <w:tc>
          <w:tcPr>
            <w:tcW w:w="44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茂县水务局</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实施单位</w:t>
            </w:r>
          </w:p>
        </w:tc>
        <w:tc>
          <w:tcPr>
            <w:tcW w:w="14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茂县水务局（行政）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项目基本情况</w:t>
            </w:r>
          </w:p>
        </w:tc>
        <w:tc>
          <w:tcPr>
            <w:tcW w:w="13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1.项目年度目标完成情况</w:t>
            </w:r>
          </w:p>
        </w:tc>
        <w:tc>
          <w:tcPr>
            <w:tcW w:w="44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项目年度目标</w:t>
            </w:r>
          </w:p>
        </w:tc>
        <w:tc>
          <w:tcPr>
            <w:tcW w:w="21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2"/>
                <w:szCs w:val="12"/>
                <w:u w:val="none"/>
              </w:rPr>
            </w:pPr>
            <w:r>
              <w:rPr>
                <w:rFonts w:hint="eastAsia" w:ascii="黑体" w:hAnsi="黑体" w:eastAsia="黑体" w:cs="黑体"/>
                <w:i w:val="0"/>
                <w:iCs w:val="0"/>
                <w:color w:val="000000"/>
                <w:kern w:val="0"/>
                <w:sz w:val="12"/>
                <w:szCs w:val="12"/>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2"/>
                <w:szCs w:val="12"/>
                <w:u w:val="none"/>
              </w:rPr>
            </w:pPr>
          </w:p>
        </w:tc>
        <w:tc>
          <w:tcPr>
            <w:tcW w:w="44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100个入户报警器的安装、演练、培训等，有效避免和减少山洪灾害造成的人员伤亡和财产损失</w:t>
            </w:r>
          </w:p>
        </w:tc>
        <w:tc>
          <w:tcPr>
            <w:tcW w:w="21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有效避免和减少山洪灾害造成的人员伤亡和财产损失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预算执行情况（10分）</w:t>
            </w: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年度预算数（万元）</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年初预算</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调整后预算数</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预算执行数</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预算执行率</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权重</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得分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总额</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25.15</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25.15</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7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其中：财政资金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25.15</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25.15</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财政专户管理资金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单位资金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其他资金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绩效指标（90分）</w:t>
            </w: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一级指标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二级指标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三级指标</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指标性质</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度量单位</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完成值</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权重</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得分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产出指标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数量指标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100个入户报警器的安装、演练、培训等</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7</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处</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质量指标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项目验收合格率</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时效指标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10月完成任务</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月</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效益指标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社会效益指标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及时为防汛抗旱提供数据支撑</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定性</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优</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可持续影响指标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治理影响可持续性时限</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年</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满意度指标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满意度指标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受益群众满意度</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95</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成本指标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经济成本指标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项目投资不超预算</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28</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万元</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730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合计</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2"/>
                <w:szCs w:val="12"/>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评价结论</w:t>
            </w:r>
          </w:p>
        </w:tc>
        <w:tc>
          <w:tcPr>
            <w:tcW w:w="792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项目决策依据充分，总体目标清晰，完成了2025年目标任务，通过项目实施，让农村基础设施到了进一步的改善，绩效目标基本实现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存在问题</w:t>
            </w:r>
          </w:p>
        </w:tc>
        <w:tc>
          <w:tcPr>
            <w:tcW w:w="792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改进措施</w:t>
            </w:r>
          </w:p>
        </w:tc>
        <w:tc>
          <w:tcPr>
            <w:tcW w:w="792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77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12"/>
                <w:szCs w:val="12"/>
                <w:u w:val="none"/>
              </w:rPr>
            </w:pPr>
            <w:r>
              <w:rPr>
                <w:rFonts w:hint="eastAsia" w:ascii="黑体" w:hAnsi="宋体" w:eastAsia="黑体" w:cs="黑体"/>
                <w:b/>
                <w:bCs/>
                <w:i w:val="0"/>
                <w:iCs w:val="0"/>
                <w:color w:val="000000"/>
                <w:kern w:val="0"/>
                <w:sz w:val="12"/>
                <w:szCs w:val="12"/>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21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项目名称</w:t>
            </w:r>
          </w:p>
        </w:tc>
        <w:tc>
          <w:tcPr>
            <w:tcW w:w="65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51322325T000013729573-2025年中央和省级大中型水库移民后期扶持资金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21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主管部门</w:t>
            </w:r>
          </w:p>
        </w:tc>
        <w:tc>
          <w:tcPr>
            <w:tcW w:w="44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茂县水务局</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实施单位</w:t>
            </w:r>
          </w:p>
        </w:tc>
        <w:tc>
          <w:tcPr>
            <w:tcW w:w="14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茂县水务局（行政）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项目基本情况</w:t>
            </w:r>
          </w:p>
        </w:tc>
        <w:tc>
          <w:tcPr>
            <w:tcW w:w="13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1.项目年度目标完成情况</w:t>
            </w:r>
          </w:p>
        </w:tc>
        <w:tc>
          <w:tcPr>
            <w:tcW w:w="44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项目年度目标</w:t>
            </w:r>
          </w:p>
        </w:tc>
        <w:tc>
          <w:tcPr>
            <w:tcW w:w="21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2"/>
                <w:szCs w:val="12"/>
                <w:u w:val="none"/>
              </w:rPr>
            </w:pPr>
            <w:r>
              <w:rPr>
                <w:rFonts w:hint="eastAsia" w:ascii="黑体" w:hAnsi="黑体" w:eastAsia="黑体" w:cs="黑体"/>
                <w:i w:val="0"/>
                <w:iCs w:val="0"/>
                <w:color w:val="000000"/>
                <w:kern w:val="0"/>
                <w:sz w:val="12"/>
                <w:szCs w:val="12"/>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2"/>
                <w:szCs w:val="12"/>
                <w:u w:val="none"/>
              </w:rPr>
            </w:pPr>
          </w:p>
        </w:tc>
        <w:tc>
          <w:tcPr>
            <w:tcW w:w="44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沙坝镇龙坪村新建堤防，开挖量3600立方米，回填1900立方米，混泥土2350立方米</w:t>
            </w:r>
          </w:p>
        </w:tc>
        <w:tc>
          <w:tcPr>
            <w:tcW w:w="21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农村基础设施到了进一步的改善，绩效目标基本实现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预算执行情况（10分）</w:t>
            </w: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年度预算数（万元）</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年初预算</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调整后预算数</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预算执行数</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预算执行率</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权重</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得分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总额</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125.35</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125.35</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w:t>
            </w:r>
          </w:p>
        </w:tc>
        <w:tc>
          <w:tcPr>
            <w:tcW w:w="7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其中：财政资金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125.35</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125.35</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财政专户管理资金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单位资金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其他资金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绩效指标（90分）</w:t>
            </w: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一级指标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二级指标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三级指标</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指标性质</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度量单位</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完成值</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权重</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得分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产出指标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数量指标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后期扶持受益移民人口</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677</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人</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677</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质量指标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项目一次性验收合格率</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完工项目验收率</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时效指标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截至次年3月底，项目资金支付率</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效益指标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社会效益指标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信访事项及时处理率</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19</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满意度指标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服务对象满意度指标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移民对后期扶持政策实施满意度</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95</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95</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成本指标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经济成本指标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项目支出控制在批复的预算范围内的项目比例</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18</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730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合计</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93</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2"/>
                <w:szCs w:val="1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评价结论</w:t>
            </w:r>
          </w:p>
        </w:tc>
        <w:tc>
          <w:tcPr>
            <w:tcW w:w="792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项目决策依据充分，总体目标清晰，完成了2025年目标任务，通过项目实施，让农村基础设施到了进一步的改善，绩效目标基本实现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存在问题</w:t>
            </w:r>
          </w:p>
        </w:tc>
        <w:tc>
          <w:tcPr>
            <w:tcW w:w="792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改进措施</w:t>
            </w:r>
          </w:p>
        </w:tc>
        <w:tc>
          <w:tcPr>
            <w:tcW w:w="792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无</w:t>
            </w:r>
          </w:p>
        </w:tc>
      </w:tr>
    </w:tbl>
    <w:p>
      <w:pPr>
        <w:suppressAutoHyphens/>
        <w:bidi w:val="0"/>
        <w:spacing w:line="600" w:lineRule="exact"/>
        <w:jc w:val="center"/>
        <w:outlineLvl w:val="0"/>
        <w:rPr>
          <w:rFonts w:hint="eastAsia" w:hAnsi="Times New Roman"/>
          <w:color w:val="FF0000"/>
          <w:sz w:val="30"/>
          <w:szCs w:val="30"/>
        </w:rPr>
      </w:pPr>
    </w:p>
    <w:p>
      <w:pPr>
        <w:suppressAutoHyphens/>
        <w:bidi w:val="0"/>
        <w:spacing w:line="600" w:lineRule="exact"/>
        <w:jc w:val="center"/>
        <w:outlineLvl w:val="0"/>
        <w:rPr>
          <w:rStyle w:val="39"/>
          <w:rFonts w:hint="eastAsia" w:ascii="仿宋_GB2312" w:hAnsi="仿宋_GB2312" w:eastAsia="仿宋_GB2312" w:cs="仿宋_GB2312"/>
          <w:b w:val="0"/>
          <w:color w:val="auto"/>
          <w:sz w:val="18"/>
          <w:szCs w:val="18"/>
          <w:highlight w:val="none"/>
        </w:rPr>
      </w:pPr>
    </w:p>
    <w:p>
      <w:pPr>
        <w:suppressAutoHyphens/>
        <w:bidi w:val="0"/>
        <w:spacing w:line="600" w:lineRule="exact"/>
        <w:jc w:val="center"/>
        <w:outlineLvl w:val="0"/>
        <w:rPr>
          <w:rStyle w:val="39"/>
          <w:rFonts w:hint="eastAsia" w:ascii="仿宋_GB2312" w:hAnsi="仿宋_GB2312" w:eastAsia="仿宋_GB2312" w:cs="仿宋_GB2312"/>
          <w:b w:val="0"/>
          <w:color w:val="auto"/>
          <w:sz w:val="18"/>
          <w:szCs w:val="18"/>
          <w:highlight w:val="none"/>
        </w:rPr>
      </w:pPr>
    </w:p>
    <w:p>
      <w:pPr>
        <w:suppressAutoHyphens/>
        <w:bidi w:val="0"/>
        <w:spacing w:line="600" w:lineRule="exact"/>
        <w:jc w:val="center"/>
        <w:outlineLvl w:val="0"/>
        <w:rPr>
          <w:rStyle w:val="39"/>
          <w:rFonts w:hint="eastAsia" w:ascii="仿宋_GB2312" w:hAnsi="仿宋_GB2312" w:eastAsia="仿宋_GB2312" w:cs="仿宋_GB2312"/>
          <w:b w:val="0"/>
          <w:color w:val="auto"/>
          <w:sz w:val="18"/>
          <w:szCs w:val="18"/>
          <w:highlight w:val="none"/>
        </w:rPr>
      </w:pPr>
    </w:p>
    <w:p>
      <w:pPr>
        <w:suppressAutoHyphens/>
        <w:bidi w:val="0"/>
        <w:spacing w:line="600" w:lineRule="exact"/>
        <w:jc w:val="center"/>
        <w:outlineLvl w:val="0"/>
        <w:rPr>
          <w:rStyle w:val="39"/>
          <w:rFonts w:hint="eastAsia" w:ascii="仿宋_GB2312" w:hAnsi="仿宋_GB2312" w:eastAsia="仿宋_GB2312" w:cs="仿宋_GB2312"/>
          <w:b w:val="0"/>
          <w:color w:val="auto"/>
          <w:sz w:val="18"/>
          <w:szCs w:val="18"/>
          <w:highlight w:val="none"/>
        </w:rPr>
      </w:pPr>
    </w:p>
    <w:p>
      <w:pPr>
        <w:suppressAutoHyphens/>
        <w:bidi w:val="0"/>
        <w:spacing w:line="600" w:lineRule="exact"/>
        <w:jc w:val="center"/>
        <w:outlineLvl w:val="0"/>
        <w:rPr>
          <w:rStyle w:val="39"/>
          <w:rFonts w:hint="eastAsia" w:ascii="仿宋_GB2312" w:hAnsi="仿宋_GB2312" w:eastAsia="仿宋_GB2312" w:cs="仿宋_GB2312"/>
          <w:b w:val="0"/>
          <w:color w:val="auto"/>
          <w:sz w:val="18"/>
          <w:szCs w:val="18"/>
          <w:highlight w:val="none"/>
        </w:rPr>
      </w:pPr>
    </w:p>
    <w:p>
      <w:pPr>
        <w:suppressAutoHyphens/>
        <w:bidi w:val="0"/>
        <w:spacing w:line="600" w:lineRule="exact"/>
        <w:jc w:val="center"/>
        <w:outlineLvl w:val="0"/>
        <w:rPr>
          <w:rStyle w:val="39"/>
          <w:rFonts w:hint="eastAsia" w:ascii="仿宋_GB2312" w:hAnsi="仿宋_GB2312" w:eastAsia="仿宋_GB2312" w:cs="仿宋_GB2312"/>
          <w:b w:val="0"/>
          <w:color w:val="auto"/>
          <w:sz w:val="18"/>
          <w:szCs w:val="18"/>
          <w:highlight w:val="none"/>
        </w:rPr>
      </w:pPr>
    </w:p>
    <w:p>
      <w:pPr>
        <w:suppressAutoHyphens/>
        <w:bidi w:val="0"/>
        <w:spacing w:line="600" w:lineRule="exact"/>
        <w:jc w:val="center"/>
        <w:outlineLvl w:val="0"/>
        <w:rPr>
          <w:rStyle w:val="39"/>
          <w:rFonts w:hint="eastAsia" w:ascii="仿宋_GB2312" w:hAnsi="仿宋_GB2312" w:eastAsia="仿宋_GB2312" w:cs="仿宋_GB2312"/>
          <w:b w:val="0"/>
          <w:color w:val="auto"/>
          <w:sz w:val="18"/>
          <w:szCs w:val="18"/>
          <w:highlight w:val="none"/>
        </w:rPr>
      </w:pPr>
    </w:p>
    <w:p>
      <w:pPr>
        <w:suppressAutoHyphens/>
        <w:bidi w:val="0"/>
        <w:spacing w:line="600" w:lineRule="exact"/>
        <w:jc w:val="center"/>
        <w:outlineLvl w:val="0"/>
        <w:rPr>
          <w:rStyle w:val="39"/>
          <w:rFonts w:hint="eastAsia" w:ascii="仿宋_GB2312" w:hAnsi="仿宋_GB2312" w:eastAsia="仿宋_GB2312" w:cs="仿宋_GB2312"/>
          <w:b w:val="0"/>
          <w:color w:val="auto"/>
          <w:sz w:val="18"/>
          <w:szCs w:val="18"/>
          <w:highlight w:val="none"/>
        </w:rPr>
      </w:pPr>
    </w:p>
    <w:p>
      <w:pPr>
        <w:suppressAutoHyphens/>
        <w:bidi w:val="0"/>
        <w:spacing w:line="600" w:lineRule="exact"/>
        <w:jc w:val="center"/>
        <w:outlineLvl w:val="0"/>
        <w:rPr>
          <w:rStyle w:val="39"/>
          <w:rFonts w:hint="eastAsia" w:ascii="仿宋_GB2312" w:hAnsi="仿宋_GB2312" w:eastAsia="仿宋_GB2312" w:cs="仿宋_GB2312"/>
          <w:b w:val="0"/>
          <w:color w:val="auto"/>
          <w:sz w:val="18"/>
          <w:szCs w:val="18"/>
          <w:highlight w:val="none"/>
        </w:rPr>
      </w:pPr>
    </w:p>
    <w:p>
      <w:pPr>
        <w:suppressAutoHyphens/>
        <w:bidi w:val="0"/>
        <w:spacing w:line="600" w:lineRule="exact"/>
        <w:jc w:val="center"/>
        <w:outlineLvl w:val="0"/>
        <w:rPr>
          <w:rStyle w:val="39"/>
          <w:rFonts w:hint="eastAsia" w:ascii="仿宋_GB2312" w:hAnsi="仿宋_GB2312" w:eastAsia="仿宋_GB2312" w:cs="仿宋_GB2312"/>
          <w:b w:val="0"/>
          <w:color w:val="auto"/>
          <w:sz w:val="18"/>
          <w:szCs w:val="18"/>
          <w:highlight w:val="none"/>
        </w:rPr>
      </w:pPr>
    </w:p>
    <w:p>
      <w:pPr>
        <w:suppressAutoHyphens/>
        <w:bidi w:val="0"/>
        <w:spacing w:line="600" w:lineRule="exact"/>
        <w:jc w:val="center"/>
        <w:outlineLvl w:val="0"/>
        <w:rPr>
          <w:rStyle w:val="39"/>
          <w:rFonts w:hint="eastAsia" w:ascii="仿宋_GB2312" w:hAnsi="仿宋_GB2312" w:eastAsia="仿宋_GB2312" w:cs="仿宋_GB2312"/>
          <w:b w:val="0"/>
          <w:color w:val="auto"/>
          <w:sz w:val="18"/>
          <w:szCs w:val="18"/>
          <w:highlight w:val="none"/>
        </w:rPr>
      </w:pPr>
    </w:p>
    <w:p>
      <w:pPr>
        <w:suppressAutoHyphens/>
        <w:bidi w:val="0"/>
        <w:spacing w:line="600" w:lineRule="exact"/>
        <w:jc w:val="center"/>
        <w:outlineLvl w:val="0"/>
        <w:rPr>
          <w:rStyle w:val="39"/>
          <w:rFonts w:hint="eastAsia" w:ascii="仿宋_GB2312" w:hAnsi="仿宋_GB2312" w:eastAsia="仿宋_GB2312" w:cs="仿宋_GB2312"/>
          <w:b w:val="0"/>
          <w:color w:val="auto"/>
          <w:sz w:val="18"/>
          <w:szCs w:val="18"/>
          <w:highlight w:val="none"/>
        </w:rPr>
      </w:pPr>
    </w:p>
    <w:p>
      <w:pPr>
        <w:suppressAutoHyphens/>
        <w:bidi w:val="0"/>
        <w:spacing w:line="600" w:lineRule="exact"/>
        <w:jc w:val="center"/>
        <w:outlineLvl w:val="0"/>
        <w:rPr>
          <w:rStyle w:val="39"/>
          <w:rFonts w:hint="eastAsia" w:ascii="仿宋_GB2312" w:hAnsi="仿宋_GB2312" w:eastAsia="仿宋_GB2312" w:cs="仿宋_GB2312"/>
          <w:b w:val="0"/>
          <w:color w:val="auto"/>
          <w:sz w:val="18"/>
          <w:szCs w:val="18"/>
          <w:highlight w:val="none"/>
        </w:rPr>
      </w:pPr>
    </w:p>
    <w:p>
      <w:pPr>
        <w:suppressAutoHyphens/>
        <w:bidi w:val="0"/>
        <w:spacing w:line="600" w:lineRule="exact"/>
        <w:jc w:val="center"/>
        <w:outlineLvl w:val="0"/>
        <w:rPr>
          <w:rStyle w:val="39"/>
          <w:rFonts w:hint="eastAsia" w:ascii="仿宋_GB2312" w:hAnsi="仿宋_GB2312" w:eastAsia="仿宋_GB2312" w:cs="仿宋_GB2312"/>
          <w:b w:val="0"/>
          <w:color w:val="auto"/>
          <w:sz w:val="18"/>
          <w:szCs w:val="18"/>
          <w:highlight w:val="none"/>
        </w:rPr>
      </w:pPr>
    </w:p>
    <w:p>
      <w:pPr>
        <w:suppressAutoHyphens/>
        <w:bidi w:val="0"/>
        <w:spacing w:line="600" w:lineRule="exact"/>
        <w:jc w:val="both"/>
        <w:outlineLvl w:val="0"/>
        <w:rPr>
          <w:rStyle w:val="39"/>
          <w:rFonts w:hint="eastAsia" w:ascii="黑体" w:hAnsi="黑体" w:eastAsia="黑体"/>
          <w:b w:val="0"/>
          <w:color w:val="auto"/>
          <w:highlight w:val="none"/>
        </w:rPr>
      </w:pPr>
    </w:p>
    <w:p>
      <w:pPr>
        <w:suppressAutoHyphens/>
        <w:bidi w:val="0"/>
        <w:spacing w:line="600" w:lineRule="exact"/>
        <w:jc w:val="both"/>
        <w:outlineLvl w:val="0"/>
        <w:rPr>
          <w:rStyle w:val="39"/>
          <w:rFonts w:hint="eastAsia" w:ascii="黑体" w:hAnsi="黑体" w:eastAsia="黑体"/>
          <w:b w:val="0"/>
          <w:color w:val="auto"/>
          <w:highlight w:val="none"/>
        </w:rPr>
      </w:pPr>
    </w:p>
    <w:p>
      <w:pPr>
        <w:suppressAutoHyphens/>
        <w:bidi w:val="0"/>
        <w:spacing w:line="600" w:lineRule="exact"/>
        <w:jc w:val="center"/>
        <w:outlineLvl w:val="0"/>
        <w:rPr>
          <w:rStyle w:val="39"/>
          <w:rFonts w:hint="eastAsia" w:ascii="黑体" w:hAnsi="黑体" w:eastAsia="黑体"/>
          <w:b w:val="0"/>
          <w:color w:val="auto"/>
          <w:highlight w:val="none"/>
        </w:rPr>
      </w:pPr>
    </w:p>
    <w:p>
      <w:pPr>
        <w:suppressAutoHyphens/>
        <w:bidi w:val="0"/>
        <w:spacing w:line="600" w:lineRule="exact"/>
        <w:jc w:val="center"/>
        <w:outlineLvl w:val="0"/>
        <w:rPr>
          <w:rFonts w:hint="eastAsia" w:ascii="思源黑体 CN Normal" w:hAnsi="思源黑体 CN Normal" w:eastAsia="思源黑体 CN Normal" w:cs="思源黑体 CN Normal"/>
          <w:b w:val="0"/>
          <w:bCs w:val="0"/>
        </w:rPr>
      </w:pPr>
      <w:r>
        <w:rPr>
          <w:rStyle w:val="39"/>
          <w:rFonts w:hint="eastAsia" w:ascii="黑体" w:hAnsi="黑体" w:eastAsia="黑体"/>
          <w:b w:val="0"/>
          <w:color w:val="auto"/>
          <w:highlight w:val="none"/>
        </w:rPr>
        <w:t>第五部分 附表</w:t>
      </w:r>
      <w:bookmarkEnd w:id="74"/>
      <w:bookmarkEnd w:id="75"/>
      <w:bookmarkEnd w:id="76"/>
      <w:bookmarkEnd w:id="77"/>
    </w:p>
    <w:p>
      <w:pPr>
        <w:pStyle w:val="3"/>
        <w:ind w:firstLine="640" w:firstLineChars="200"/>
        <w:rPr>
          <w:rFonts w:hint="eastAsia" w:ascii="仿宋" w:hAnsi="仿宋" w:eastAsia="仿宋" w:cs="仿宋"/>
          <w:b w:val="0"/>
          <w:bCs/>
          <w:color w:val="000000"/>
          <w:sz w:val="32"/>
          <w:szCs w:val="32"/>
        </w:rPr>
      </w:pPr>
      <w:bookmarkStart w:id="80" w:name="_Toc16431"/>
      <w:r>
        <w:rPr>
          <w:rFonts w:hint="eastAsia" w:ascii="仿宋" w:hAnsi="仿宋" w:eastAsia="仿宋" w:cs="仿宋"/>
          <w:b w:val="0"/>
          <w:bCs/>
          <w:color w:val="000000"/>
          <w:sz w:val="32"/>
          <w:szCs w:val="32"/>
        </w:rPr>
        <w:t>一、收入支出决算总表</w:t>
      </w:r>
      <w:bookmarkEnd w:id="80"/>
    </w:p>
    <w:p>
      <w:pPr>
        <w:pStyle w:val="3"/>
        <w:ind w:firstLine="640" w:firstLineChars="200"/>
        <w:rPr>
          <w:rFonts w:hint="eastAsia" w:ascii="仿宋" w:hAnsi="仿宋" w:eastAsia="仿宋" w:cs="仿宋"/>
          <w:b w:val="0"/>
          <w:bCs/>
          <w:color w:val="000000"/>
          <w:sz w:val="32"/>
          <w:szCs w:val="32"/>
        </w:rPr>
      </w:pPr>
      <w:bookmarkStart w:id="81" w:name="_Toc25389"/>
      <w:r>
        <w:rPr>
          <w:rFonts w:hint="eastAsia" w:ascii="仿宋" w:hAnsi="仿宋" w:eastAsia="仿宋" w:cs="仿宋"/>
          <w:b w:val="0"/>
          <w:bCs/>
          <w:color w:val="000000"/>
          <w:sz w:val="32"/>
          <w:szCs w:val="32"/>
        </w:rPr>
        <w:t>二、收入决算表</w:t>
      </w:r>
      <w:bookmarkEnd w:id="81"/>
    </w:p>
    <w:p>
      <w:pPr>
        <w:pStyle w:val="3"/>
        <w:ind w:firstLine="640" w:firstLineChars="200"/>
        <w:rPr>
          <w:rFonts w:hint="eastAsia" w:ascii="仿宋" w:hAnsi="仿宋" w:eastAsia="仿宋" w:cs="仿宋"/>
          <w:b w:val="0"/>
          <w:bCs/>
          <w:color w:val="000000"/>
          <w:sz w:val="32"/>
          <w:szCs w:val="32"/>
        </w:rPr>
      </w:pPr>
      <w:bookmarkStart w:id="82" w:name="_Toc10450"/>
      <w:r>
        <w:rPr>
          <w:rFonts w:hint="eastAsia" w:ascii="仿宋" w:hAnsi="仿宋" w:eastAsia="仿宋" w:cs="仿宋"/>
          <w:b w:val="0"/>
          <w:bCs/>
          <w:color w:val="000000"/>
          <w:sz w:val="32"/>
          <w:szCs w:val="32"/>
        </w:rPr>
        <w:t>三、支出决算表</w:t>
      </w:r>
      <w:bookmarkEnd w:id="82"/>
    </w:p>
    <w:p>
      <w:pPr>
        <w:pStyle w:val="3"/>
        <w:ind w:firstLine="640" w:firstLineChars="200"/>
        <w:rPr>
          <w:rFonts w:hint="eastAsia" w:ascii="仿宋" w:hAnsi="仿宋" w:eastAsia="仿宋" w:cs="仿宋"/>
          <w:b w:val="0"/>
          <w:bCs/>
          <w:color w:val="000000"/>
          <w:sz w:val="32"/>
          <w:szCs w:val="32"/>
        </w:rPr>
      </w:pPr>
      <w:bookmarkStart w:id="83" w:name="_Toc15415"/>
      <w:r>
        <w:rPr>
          <w:rFonts w:hint="eastAsia" w:ascii="仿宋" w:hAnsi="仿宋" w:eastAsia="仿宋" w:cs="仿宋"/>
          <w:b w:val="0"/>
          <w:bCs/>
          <w:color w:val="000000"/>
          <w:sz w:val="32"/>
          <w:szCs w:val="32"/>
        </w:rPr>
        <w:t>四、财政拨款收入支出决算总表</w:t>
      </w:r>
      <w:bookmarkEnd w:id="83"/>
    </w:p>
    <w:p>
      <w:pPr>
        <w:pStyle w:val="3"/>
        <w:ind w:firstLine="640" w:firstLineChars="200"/>
        <w:rPr>
          <w:rFonts w:hint="eastAsia" w:ascii="仿宋" w:hAnsi="仿宋" w:eastAsia="仿宋" w:cs="仿宋"/>
          <w:b w:val="0"/>
          <w:bCs/>
          <w:color w:val="000000"/>
          <w:sz w:val="32"/>
          <w:szCs w:val="32"/>
        </w:rPr>
      </w:pPr>
      <w:bookmarkStart w:id="84" w:name="_Toc17530"/>
      <w:r>
        <w:rPr>
          <w:rFonts w:hint="eastAsia" w:ascii="仿宋" w:hAnsi="仿宋" w:eastAsia="仿宋" w:cs="仿宋"/>
          <w:b w:val="0"/>
          <w:bCs/>
          <w:color w:val="000000"/>
          <w:sz w:val="32"/>
          <w:szCs w:val="32"/>
        </w:rPr>
        <w:t>五、财政拨款支出决算明细表</w:t>
      </w:r>
      <w:bookmarkEnd w:id="84"/>
    </w:p>
    <w:p>
      <w:pPr>
        <w:pStyle w:val="3"/>
        <w:ind w:firstLine="640" w:firstLineChars="200"/>
        <w:rPr>
          <w:rFonts w:hint="eastAsia" w:ascii="仿宋" w:hAnsi="仿宋" w:eastAsia="仿宋" w:cs="仿宋"/>
          <w:b w:val="0"/>
          <w:bCs/>
          <w:color w:val="000000"/>
          <w:sz w:val="32"/>
          <w:szCs w:val="32"/>
        </w:rPr>
      </w:pPr>
      <w:bookmarkStart w:id="85" w:name="_Toc22032"/>
      <w:r>
        <w:rPr>
          <w:rFonts w:hint="eastAsia" w:ascii="仿宋" w:hAnsi="仿宋" w:eastAsia="仿宋" w:cs="仿宋"/>
          <w:b w:val="0"/>
          <w:bCs/>
          <w:color w:val="000000"/>
          <w:sz w:val="32"/>
          <w:szCs w:val="32"/>
        </w:rPr>
        <w:t>六、一般公共预算财政拨款支出决算表</w:t>
      </w:r>
      <w:bookmarkEnd w:id="85"/>
    </w:p>
    <w:p>
      <w:pPr>
        <w:pStyle w:val="3"/>
        <w:ind w:firstLine="640" w:firstLineChars="200"/>
        <w:rPr>
          <w:rFonts w:hint="eastAsia" w:ascii="仿宋" w:hAnsi="仿宋" w:eastAsia="仿宋" w:cs="仿宋"/>
          <w:b w:val="0"/>
          <w:bCs/>
          <w:color w:val="000000"/>
          <w:sz w:val="32"/>
          <w:szCs w:val="32"/>
        </w:rPr>
      </w:pPr>
      <w:bookmarkStart w:id="86" w:name="_Toc3364"/>
      <w:r>
        <w:rPr>
          <w:rFonts w:hint="eastAsia" w:ascii="仿宋" w:hAnsi="仿宋" w:eastAsia="仿宋" w:cs="仿宋"/>
          <w:b w:val="0"/>
          <w:bCs/>
          <w:color w:val="000000"/>
          <w:sz w:val="32"/>
          <w:szCs w:val="32"/>
        </w:rPr>
        <w:t>七、一般公共预算财政拨款支出决算明细表</w:t>
      </w:r>
      <w:bookmarkEnd w:id="86"/>
    </w:p>
    <w:p>
      <w:pPr>
        <w:pStyle w:val="3"/>
        <w:ind w:firstLine="640" w:firstLineChars="200"/>
        <w:rPr>
          <w:rFonts w:hint="eastAsia" w:ascii="仿宋" w:hAnsi="仿宋" w:eastAsia="仿宋" w:cs="仿宋"/>
          <w:b w:val="0"/>
          <w:bCs/>
          <w:color w:val="000000"/>
          <w:sz w:val="32"/>
          <w:szCs w:val="32"/>
        </w:rPr>
      </w:pPr>
      <w:bookmarkStart w:id="87" w:name="_Toc9110"/>
      <w:r>
        <w:rPr>
          <w:rFonts w:hint="eastAsia" w:ascii="仿宋" w:hAnsi="仿宋" w:eastAsia="仿宋" w:cs="仿宋"/>
          <w:b w:val="0"/>
          <w:bCs/>
          <w:color w:val="000000"/>
          <w:sz w:val="32"/>
          <w:szCs w:val="32"/>
        </w:rPr>
        <w:t>八、一般公共预算财政拨款基本支出决算表</w:t>
      </w:r>
      <w:bookmarkEnd w:id="87"/>
    </w:p>
    <w:p>
      <w:pPr>
        <w:pStyle w:val="3"/>
        <w:ind w:firstLine="640" w:firstLineChars="200"/>
        <w:rPr>
          <w:rFonts w:hint="eastAsia" w:ascii="仿宋" w:hAnsi="仿宋" w:eastAsia="仿宋" w:cs="仿宋"/>
          <w:b w:val="0"/>
          <w:bCs/>
          <w:color w:val="000000"/>
          <w:sz w:val="32"/>
          <w:szCs w:val="32"/>
        </w:rPr>
      </w:pPr>
      <w:bookmarkStart w:id="88" w:name="_Toc28582"/>
      <w:r>
        <w:rPr>
          <w:rFonts w:hint="eastAsia" w:ascii="仿宋" w:hAnsi="仿宋" w:eastAsia="仿宋" w:cs="仿宋"/>
          <w:b w:val="0"/>
          <w:bCs/>
          <w:color w:val="000000"/>
          <w:sz w:val="32"/>
          <w:szCs w:val="32"/>
        </w:rPr>
        <w:t>九、一般公共预算财政拨款项目支出决算表</w:t>
      </w:r>
      <w:bookmarkEnd w:id="88"/>
    </w:p>
    <w:p>
      <w:pPr>
        <w:pStyle w:val="3"/>
        <w:ind w:firstLine="640" w:firstLineChars="200"/>
        <w:rPr>
          <w:rFonts w:hint="eastAsia" w:ascii="仿宋" w:hAnsi="仿宋" w:eastAsia="仿宋" w:cs="仿宋"/>
          <w:b w:val="0"/>
          <w:bCs/>
          <w:color w:val="000000"/>
          <w:sz w:val="32"/>
          <w:szCs w:val="32"/>
        </w:rPr>
      </w:pPr>
      <w:bookmarkStart w:id="89" w:name="_Toc22001"/>
      <w:r>
        <w:rPr>
          <w:rFonts w:hint="eastAsia" w:ascii="仿宋" w:hAnsi="仿宋" w:eastAsia="仿宋" w:cs="仿宋"/>
          <w:b w:val="0"/>
          <w:bCs/>
          <w:color w:val="000000"/>
          <w:sz w:val="32"/>
          <w:szCs w:val="32"/>
        </w:rPr>
        <w:t>十、政府性基金预算财政拨款收入支出决算表</w:t>
      </w:r>
      <w:bookmarkEnd w:id="89"/>
    </w:p>
    <w:p>
      <w:pPr>
        <w:pStyle w:val="3"/>
        <w:ind w:firstLine="640" w:firstLineChars="200"/>
        <w:rPr>
          <w:rFonts w:hint="eastAsia" w:ascii="仿宋" w:hAnsi="仿宋" w:eastAsia="仿宋" w:cs="仿宋"/>
          <w:b w:val="0"/>
          <w:bCs/>
          <w:color w:val="000000"/>
          <w:sz w:val="32"/>
          <w:szCs w:val="32"/>
        </w:rPr>
      </w:pPr>
      <w:bookmarkStart w:id="90" w:name="_Toc6538"/>
      <w:r>
        <w:rPr>
          <w:rFonts w:hint="eastAsia" w:ascii="仿宋" w:hAnsi="仿宋" w:eastAsia="仿宋" w:cs="仿宋"/>
          <w:b w:val="0"/>
          <w:bCs/>
          <w:color w:val="000000"/>
          <w:sz w:val="32"/>
          <w:szCs w:val="32"/>
        </w:rPr>
        <w:t>十一、国有资本经营预算财政拨款收入支出决算表</w:t>
      </w:r>
      <w:bookmarkEnd w:id="90"/>
    </w:p>
    <w:p>
      <w:pPr>
        <w:pStyle w:val="3"/>
        <w:ind w:firstLine="640" w:firstLineChars="200"/>
        <w:rPr>
          <w:rFonts w:hint="eastAsia" w:ascii="仿宋" w:hAnsi="仿宋" w:eastAsia="仿宋" w:cs="仿宋"/>
          <w:b w:val="0"/>
          <w:bCs/>
          <w:color w:val="000000"/>
          <w:sz w:val="32"/>
          <w:szCs w:val="32"/>
        </w:rPr>
      </w:pPr>
      <w:bookmarkStart w:id="91" w:name="_Toc10625"/>
      <w:r>
        <w:rPr>
          <w:rFonts w:hint="eastAsia" w:ascii="仿宋" w:hAnsi="仿宋" w:eastAsia="仿宋" w:cs="仿宋"/>
          <w:b w:val="0"/>
          <w:bCs/>
          <w:color w:val="000000"/>
          <w:sz w:val="32"/>
          <w:szCs w:val="32"/>
        </w:rPr>
        <w:t>十二、国有资本经营预算财政拨款支出决算表</w:t>
      </w:r>
      <w:bookmarkEnd w:id="91"/>
    </w:p>
    <w:p>
      <w:pPr>
        <w:pStyle w:val="3"/>
        <w:ind w:firstLine="640" w:firstLineChars="200"/>
        <w:rPr>
          <w:rFonts w:hint="eastAsia" w:ascii="仿宋" w:hAnsi="仿宋" w:eastAsia="仿宋" w:cs="仿宋"/>
          <w:b w:val="0"/>
          <w:bCs/>
          <w:color w:val="000000"/>
          <w:sz w:val="32"/>
          <w:szCs w:val="32"/>
        </w:rPr>
      </w:pPr>
      <w:bookmarkStart w:id="92" w:name="_Toc28356"/>
      <w:r>
        <w:rPr>
          <w:rFonts w:hint="eastAsia" w:ascii="仿宋" w:hAnsi="仿宋" w:eastAsia="仿宋" w:cs="仿宋"/>
          <w:b w:val="0"/>
          <w:bCs/>
          <w:color w:val="000000"/>
          <w:sz w:val="32"/>
          <w:szCs w:val="32"/>
        </w:rPr>
        <w:t>十三、财政拨款“三公”经费支出决算表</w:t>
      </w:r>
      <w:bookmarkEnd w:id="92"/>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1"/>
    <w:family w:val="auto"/>
    <w:pitch w:val="default"/>
    <w:sig w:usb0="00000000" w:usb1="00000000"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Cambria">
    <w:altName w:val="Noto Sans Syriac Eastern"/>
    <w:panose1 w:val="02040503050406030204"/>
    <w:charset w:val="00"/>
    <w:family w:val="roman"/>
    <w:pitch w:val="default"/>
    <w:sig w:usb0="00000000" w:usb1="00000000" w:usb2="02000000" w:usb3="00000000" w:csb0="2000019F" w:csb1="00000000"/>
  </w:font>
  <w:font w:name="思源黑体 CN Normal">
    <w:altName w:val="黑体"/>
    <w:panose1 w:val="020B0400000000000000"/>
    <w:charset w:val="86"/>
    <w:family w:val="auto"/>
    <w:pitch w:val="default"/>
    <w:sig w:usb0="00000000" w:usb1="00000000" w:usb2="00000016" w:usb3="00000000" w:csb0="60060107" w:csb1="00000000"/>
  </w:font>
  <w:font w:name="方正小标宋简体">
    <w:panose1 w:val="03000509000000000000"/>
    <w:charset w:val="86"/>
    <w:family w:val="auto"/>
    <w:pitch w:val="default"/>
    <w:sig w:usb0="00000001" w:usb1="080E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微软雅黑">
    <w:altName w:val="黑体"/>
    <w:panose1 w:val="020B0503020204020204"/>
    <w:charset w:val="86"/>
    <w:family w:val="auto"/>
    <w:pitch w:val="default"/>
    <w:sig w:usb0="00000000" w:usb1="00000000" w:usb2="00000016" w:usb3="00000000" w:csb0="0004001F"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文泉驿正黑">
    <w:panose1 w:val="02000603000000000000"/>
    <w:charset w:val="86"/>
    <w:family w:val="auto"/>
    <w:pitch w:val="default"/>
    <w:sig w:usb0="900002BF" w:usb1="2BDF7DFB" w:usb2="00000036" w:usb3="00000000" w:csb0="603E000D" w:csb1="D2D70000"/>
  </w:font>
  <w:font w:name="Nimbus Roman No9 L">
    <w:panose1 w:val="00000000000000000000"/>
    <w:charset w:val="00"/>
    <w:family w:val="auto"/>
    <w:pitch w:val="default"/>
    <w:sig w:usb0="00000000" w:usb1="00000000" w:usb2="00000000" w:usb3="00000000" w:csb0="00000000" w:csb1="00000000"/>
  </w:font>
  <w:font w:name="方正楷体_GBK">
    <w:panose1 w:val="02000000000000000000"/>
    <w:charset w:val="86"/>
    <w:family w:val="auto"/>
    <w:pitch w:val="default"/>
    <w:sig w:usb0="A00002BF" w:usb1="38CF7CFA" w:usb2="00082016" w:usb3="00000000" w:csb0="00040001" w:csb1="00000000"/>
  </w:font>
  <w:font w:name="楷体_GB2312">
    <w:panose1 w:val="02010609030101010101"/>
    <w:charset w:val="86"/>
    <w:family w:val="auto"/>
    <w:pitch w:val="default"/>
    <w:sig w:usb0="00000001" w:usb1="080E0000" w:usb2="00000000" w:usb3="00000000" w:csb0="00040000" w:csb1="00000000"/>
  </w:font>
  <w:font w:name="Noto Sans Syriac Eastern">
    <w:panose1 w:val="02040503050306020203"/>
    <w:charset w:val="86"/>
    <w:family w:val="auto"/>
    <w:pitch w:val="default"/>
    <w:sig w:usb0="00000000" w:usb1="00000000" w:usb2="00000080" w:usb3="00000000" w:csb0="203E0161"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p>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4856"/>
                          </w:sdtPr>
                          <w:sdtContent>
                            <w:p>
                              <w:pPr>
                                <w:pStyle w:val="12"/>
                                <w:jc w:val="center"/>
                              </w:pPr>
                              <w:r>
                                <w:fldChar w:fldCharType="begin"/>
                              </w:r>
                              <w:r>
                                <w:instrText xml:space="preserve">PAGE   \* MERGEFORMAT</w:instrText>
                              </w:r>
                              <w:r>
                                <w:fldChar w:fldCharType="separate"/>
                              </w:r>
                              <w:r>
                                <w:rPr>
                                  <w:lang w:val="zh-CN"/>
                                </w:rPr>
                                <w:t>4</w:t>
                              </w:r>
                              <w:r>
                                <w:fldChar w:fldCharType="end"/>
                              </w:r>
                            </w:p>
                          </w:sdtContent>
                        </w:sdt>
                        <w:p>
                          <w:pPr>
                            <w:pStyle w:val="15"/>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l7XO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x5e1zjECAABhBAAADgAAAAAAAAABACAAAAA1&#10;AQAAZHJzL2Uyb0RvYy54bWxQSwUGAAAAAAYABgBZAQAA2AUAAAAA&#10;">
              <v:fill on="f" focussize="0,0"/>
              <v:stroke on="f" weight="0.5pt"/>
              <v:imagedata o:title=""/>
              <o:lock v:ext="edit" aspectratio="f"/>
              <v:textbox inset="0mm,0mm,0mm,0mm" style="mso-fit-shape-to-text:t;">
                <w:txbxContent>
                  <w:sdt>
                    <w:sdtPr>
                      <w:id w:val="147464856"/>
                    </w:sdtPr>
                    <w:sdtContent>
                      <w:p>
                        <w:pPr>
                          <w:pStyle w:val="12"/>
                          <w:jc w:val="center"/>
                        </w:pPr>
                        <w:r>
                          <w:fldChar w:fldCharType="begin"/>
                        </w:r>
                        <w:r>
                          <w:instrText xml:space="preserve">PAGE   \* MERGEFORMAT</w:instrText>
                        </w:r>
                        <w:r>
                          <w:fldChar w:fldCharType="separate"/>
                        </w:r>
                        <w:r>
                          <w:rPr>
                            <w:lang w:val="zh-CN"/>
                          </w:rPr>
                          <w:t>4</w:t>
                        </w:r>
                        <w:r>
                          <w:fldChar w:fldCharType="end"/>
                        </w:r>
                      </w:p>
                    </w:sdtContent>
                  </w:sdt>
                  <w:p>
                    <w:pPr>
                      <w:pStyle w:val="15"/>
                    </w:pPr>
                  </w:p>
                </w:txbxContent>
              </v:textbox>
            </v:shape>
          </w:pict>
        </mc:Fallback>
      </mc:AlternateContent>
    </w:r>
  </w:p>
  <w:p>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&#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AKVIPQyAgAAYQQAAA4AAAAAAAAAAQAgAAAA&#10;NQEAAGRycy9lMm9Eb2MueG1sUEsFBgAAAAAGAAYAWQEAANkFAAAAAA==&#10;">
              <v:fill on="f" focussize="0,0"/>
              <v:stroke on="f" weight="0.5pt"/>
              <v:imagedata o:title=""/>
              <o:lock v:ext="edit" aspectratio="f"/>
              <v:textbox inset="0mm,0mm,0mm,0mm" style="mso-fit-shape-to-text:t;">
                <w:txbxContent>
                  <w:p>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27B520F"/>
    <w:multiLevelType w:val="singleLevel"/>
    <w:tmpl w:val="D27B520F"/>
    <w:lvl w:ilvl="0" w:tentative="0">
      <w:start w:val="4"/>
      <w:numFmt w:val="chineseCounting"/>
      <w:suff w:val="space"/>
      <w:lvlText w:val="第%1部分"/>
      <w:lvlJc w:val="left"/>
      <w:rPr>
        <w:rFonts w:hint="eastAsia"/>
      </w:rPr>
    </w:lvl>
  </w:abstractNum>
  <w:abstractNum w:abstractNumId="1">
    <w:nsid w:val="189459F0"/>
    <w:multiLevelType w:val="singleLevel"/>
    <w:tmpl w:val="189459F0"/>
    <w:lvl w:ilvl="0" w:tentative="0">
      <w:start w:val="1"/>
      <w:numFmt w:val="chineseCounting"/>
      <w:suff w:val="space"/>
      <w:lvlText w:val="第%1部分"/>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hmNjAzMWJlZjFkMmQwODUwMTJkYzE2ODFiYmFmYTcifQ=="/>
  </w:docVars>
  <w:rsids>
    <w:rsidRoot w:val="00F1361C"/>
    <w:rsid w:val="000000BC"/>
    <w:rsid w:val="00000665"/>
    <w:rsid w:val="00000B38"/>
    <w:rsid w:val="000015A2"/>
    <w:rsid w:val="00002628"/>
    <w:rsid w:val="00003E5B"/>
    <w:rsid w:val="00004806"/>
    <w:rsid w:val="00007EA6"/>
    <w:rsid w:val="00012FB7"/>
    <w:rsid w:val="00013357"/>
    <w:rsid w:val="00013C9E"/>
    <w:rsid w:val="00015450"/>
    <w:rsid w:val="000175E6"/>
    <w:rsid w:val="00017F98"/>
    <w:rsid w:val="00020F07"/>
    <w:rsid w:val="000222C6"/>
    <w:rsid w:val="00022FC0"/>
    <w:rsid w:val="000230B2"/>
    <w:rsid w:val="0002359B"/>
    <w:rsid w:val="00023DEB"/>
    <w:rsid w:val="00025226"/>
    <w:rsid w:val="0002549F"/>
    <w:rsid w:val="00025F1E"/>
    <w:rsid w:val="0002749D"/>
    <w:rsid w:val="0003013F"/>
    <w:rsid w:val="00031598"/>
    <w:rsid w:val="00031926"/>
    <w:rsid w:val="000326D5"/>
    <w:rsid w:val="00033414"/>
    <w:rsid w:val="00034ABC"/>
    <w:rsid w:val="00034D1D"/>
    <w:rsid w:val="00034D24"/>
    <w:rsid w:val="00035A69"/>
    <w:rsid w:val="000366B3"/>
    <w:rsid w:val="00036E57"/>
    <w:rsid w:val="00047195"/>
    <w:rsid w:val="00047C09"/>
    <w:rsid w:val="00052D93"/>
    <w:rsid w:val="000551CF"/>
    <w:rsid w:val="000571AC"/>
    <w:rsid w:val="00063AA8"/>
    <w:rsid w:val="0006487A"/>
    <w:rsid w:val="00065F8F"/>
    <w:rsid w:val="00066365"/>
    <w:rsid w:val="00066A65"/>
    <w:rsid w:val="00070C93"/>
    <w:rsid w:val="00070D58"/>
    <w:rsid w:val="00070F40"/>
    <w:rsid w:val="00071796"/>
    <w:rsid w:val="00072BEC"/>
    <w:rsid w:val="00073345"/>
    <w:rsid w:val="000768F2"/>
    <w:rsid w:val="00077C80"/>
    <w:rsid w:val="00081156"/>
    <w:rsid w:val="000815F6"/>
    <w:rsid w:val="00083B72"/>
    <w:rsid w:val="000846FF"/>
    <w:rsid w:val="0008503A"/>
    <w:rsid w:val="000851B4"/>
    <w:rsid w:val="000859F0"/>
    <w:rsid w:val="00087C06"/>
    <w:rsid w:val="00090134"/>
    <w:rsid w:val="00090DB7"/>
    <w:rsid w:val="0009184B"/>
    <w:rsid w:val="00091AAC"/>
    <w:rsid w:val="000921CB"/>
    <w:rsid w:val="000925CB"/>
    <w:rsid w:val="0009389E"/>
    <w:rsid w:val="0009593C"/>
    <w:rsid w:val="000A1370"/>
    <w:rsid w:val="000A17C4"/>
    <w:rsid w:val="000A37A2"/>
    <w:rsid w:val="000A500C"/>
    <w:rsid w:val="000B007F"/>
    <w:rsid w:val="000B047F"/>
    <w:rsid w:val="000B071C"/>
    <w:rsid w:val="000B1716"/>
    <w:rsid w:val="000B202D"/>
    <w:rsid w:val="000B26BE"/>
    <w:rsid w:val="000B2D44"/>
    <w:rsid w:val="000B2FD8"/>
    <w:rsid w:val="000B44F0"/>
    <w:rsid w:val="000B5923"/>
    <w:rsid w:val="000B5A48"/>
    <w:rsid w:val="000B6FF3"/>
    <w:rsid w:val="000C0A06"/>
    <w:rsid w:val="000C148A"/>
    <w:rsid w:val="000C2B6A"/>
    <w:rsid w:val="000C3467"/>
    <w:rsid w:val="000C3CA6"/>
    <w:rsid w:val="000C4E3D"/>
    <w:rsid w:val="000C7136"/>
    <w:rsid w:val="000D1267"/>
    <w:rsid w:val="000D17A8"/>
    <w:rsid w:val="000D1D50"/>
    <w:rsid w:val="000D304F"/>
    <w:rsid w:val="000D4033"/>
    <w:rsid w:val="000D5782"/>
    <w:rsid w:val="000D620F"/>
    <w:rsid w:val="000D74AA"/>
    <w:rsid w:val="000E3AC5"/>
    <w:rsid w:val="000E4C84"/>
    <w:rsid w:val="000E6613"/>
    <w:rsid w:val="000E6663"/>
    <w:rsid w:val="000E7119"/>
    <w:rsid w:val="000E75B2"/>
    <w:rsid w:val="000F0D1B"/>
    <w:rsid w:val="000F3E1D"/>
    <w:rsid w:val="000F7336"/>
    <w:rsid w:val="00101546"/>
    <w:rsid w:val="00106B75"/>
    <w:rsid w:val="0010727E"/>
    <w:rsid w:val="00107CCA"/>
    <w:rsid w:val="00110310"/>
    <w:rsid w:val="0011211B"/>
    <w:rsid w:val="00112787"/>
    <w:rsid w:val="00114E9B"/>
    <w:rsid w:val="0011649B"/>
    <w:rsid w:val="00116E5E"/>
    <w:rsid w:val="0012218E"/>
    <w:rsid w:val="0012398F"/>
    <w:rsid w:val="00124113"/>
    <w:rsid w:val="00124BFE"/>
    <w:rsid w:val="0012516D"/>
    <w:rsid w:val="00125224"/>
    <w:rsid w:val="00130F18"/>
    <w:rsid w:val="00133C7A"/>
    <w:rsid w:val="0013434B"/>
    <w:rsid w:val="00137E3C"/>
    <w:rsid w:val="001418EE"/>
    <w:rsid w:val="00142F42"/>
    <w:rsid w:val="00143AE1"/>
    <w:rsid w:val="00143C8F"/>
    <w:rsid w:val="001446FE"/>
    <w:rsid w:val="00144A59"/>
    <w:rsid w:val="00146A3D"/>
    <w:rsid w:val="0014729F"/>
    <w:rsid w:val="00147410"/>
    <w:rsid w:val="001506F6"/>
    <w:rsid w:val="00151128"/>
    <w:rsid w:val="0015213E"/>
    <w:rsid w:val="001544D9"/>
    <w:rsid w:val="00156D25"/>
    <w:rsid w:val="00156D5D"/>
    <w:rsid w:val="00157BAB"/>
    <w:rsid w:val="0016151A"/>
    <w:rsid w:val="00163B54"/>
    <w:rsid w:val="00163F03"/>
    <w:rsid w:val="001654D1"/>
    <w:rsid w:val="00166A14"/>
    <w:rsid w:val="00166F25"/>
    <w:rsid w:val="0016730C"/>
    <w:rsid w:val="00167FD7"/>
    <w:rsid w:val="0017190C"/>
    <w:rsid w:val="00174145"/>
    <w:rsid w:val="0018106D"/>
    <w:rsid w:val="0018125C"/>
    <w:rsid w:val="00181856"/>
    <w:rsid w:val="00183B64"/>
    <w:rsid w:val="00184B52"/>
    <w:rsid w:val="001877A7"/>
    <w:rsid w:val="00187CD2"/>
    <w:rsid w:val="00191536"/>
    <w:rsid w:val="00191B2C"/>
    <w:rsid w:val="001927B3"/>
    <w:rsid w:val="00193E73"/>
    <w:rsid w:val="00193FE2"/>
    <w:rsid w:val="001959D9"/>
    <w:rsid w:val="00195AB7"/>
    <w:rsid w:val="00196687"/>
    <w:rsid w:val="001A0107"/>
    <w:rsid w:val="001A0B9F"/>
    <w:rsid w:val="001A0EA2"/>
    <w:rsid w:val="001A1DBF"/>
    <w:rsid w:val="001A41F1"/>
    <w:rsid w:val="001A5CF3"/>
    <w:rsid w:val="001A63BB"/>
    <w:rsid w:val="001B1840"/>
    <w:rsid w:val="001B1FA9"/>
    <w:rsid w:val="001B2FB3"/>
    <w:rsid w:val="001B5F65"/>
    <w:rsid w:val="001B6640"/>
    <w:rsid w:val="001B7FF7"/>
    <w:rsid w:val="001C0962"/>
    <w:rsid w:val="001C1941"/>
    <w:rsid w:val="001C1A81"/>
    <w:rsid w:val="001C38A5"/>
    <w:rsid w:val="001C597C"/>
    <w:rsid w:val="001C6464"/>
    <w:rsid w:val="001C746B"/>
    <w:rsid w:val="001D14B6"/>
    <w:rsid w:val="001D342B"/>
    <w:rsid w:val="001D6C1E"/>
    <w:rsid w:val="001D7531"/>
    <w:rsid w:val="001E0A1B"/>
    <w:rsid w:val="001E1402"/>
    <w:rsid w:val="001E2922"/>
    <w:rsid w:val="001E3680"/>
    <w:rsid w:val="001E6926"/>
    <w:rsid w:val="001E737D"/>
    <w:rsid w:val="001F0592"/>
    <w:rsid w:val="001F0C89"/>
    <w:rsid w:val="001F7506"/>
    <w:rsid w:val="002006CD"/>
    <w:rsid w:val="0020075A"/>
    <w:rsid w:val="00202B36"/>
    <w:rsid w:val="00202C44"/>
    <w:rsid w:val="00202F80"/>
    <w:rsid w:val="002030A5"/>
    <w:rsid w:val="00204B7A"/>
    <w:rsid w:val="00206616"/>
    <w:rsid w:val="0020689D"/>
    <w:rsid w:val="00206B0E"/>
    <w:rsid w:val="00207949"/>
    <w:rsid w:val="0021101A"/>
    <w:rsid w:val="0021190F"/>
    <w:rsid w:val="0021334C"/>
    <w:rsid w:val="00216B50"/>
    <w:rsid w:val="00220536"/>
    <w:rsid w:val="00220C02"/>
    <w:rsid w:val="00224F1D"/>
    <w:rsid w:val="00225CB7"/>
    <w:rsid w:val="0023060C"/>
    <w:rsid w:val="00234E40"/>
    <w:rsid w:val="00235629"/>
    <w:rsid w:val="00237409"/>
    <w:rsid w:val="00237AE4"/>
    <w:rsid w:val="00240C43"/>
    <w:rsid w:val="00240C5D"/>
    <w:rsid w:val="00243589"/>
    <w:rsid w:val="002527B1"/>
    <w:rsid w:val="0025301B"/>
    <w:rsid w:val="00253FF8"/>
    <w:rsid w:val="00260A32"/>
    <w:rsid w:val="00260C38"/>
    <w:rsid w:val="00260F84"/>
    <w:rsid w:val="002616C0"/>
    <w:rsid w:val="002620C0"/>
    <w:rsid w:val="002662AA"/>
    <w:rsid w:val="00267E1C"/>
    <w:rsid w:val="00272FB2"/>
    <w:rsid w:val="0027313F"/>
    <w:rsid w:val="00273F8B"/>
    <w:rsid w:val="002740FA"/>
    <w:rsid w:val="0027692F"/>
    <w:rsid w:val="0027703A"/>
    <w:rsid w:val="00277BF4"/>
    <w:rsid w:val="002803BD"/>
    <w:rsid w:val="00280496"/>
    <w:rsid w:val="00283D63"/>
    <w:rsid w:val="00283E91"/>
    <w:rsid w:val="002856F9"/>
    <w:rsid w:val="002866CA"/>
    <w:rsid w:val="00286C21"/>
    <w:rsid w:val="002875BF"/>
    <w:rsid w:val="0029076F"/>
    <w:rsid w:val="0029094E"/>
    <w:rsid w:val="00291DC2"/>
    <w:rsid w:val="00292626"/>
    <w:rsid w:val="00292E6B"/>
    <w:rsid w:val="00295495"/>
    <w:rsid w:val="002A0D55"/>
    <w:rsid w:val="002A0E88"/>
    <w:rsid w:val="002A1940"/>
    <w:rsid w:val="002A3F4C"/>
    <w:rsid w:val="002A70D7"/>
    <w:rsid w:val="002A77B7"/>
    <w:rsid w:val="002A7AE1"/>
    <w:rsid w:val="002B133E"/>
    <w:rsid w:val="002B1B6D"/>
    <w:rsid w:val="002B2613"/>
    <w:rsid w:val="002B2C2A"/>
    <w:rsid w:val="002B2F51"/>
    <w:rsid w:val="002B44FC"/>
    <w:rsid w:val="002B5438"/>
    <w:rsid w:val="002B544A"/>
    <w:rsid w:val="002B5F40"/>
    <w:rsid w:val="002B79B7"/>
    <w:rsid w:val="002C00BF"/>
    <w:rsid w:val="002C0137"/>
    <w:rsid w:val="002C1004"/>
    <w:rsid w:val="002C1E97"/>
    <w:rsid w:val="002C4022"/>
    <w:rsid w:val="002C5275"/>
    <w:rsid w:val="002C6074"/>
    <w:rsid w:val="002D1F9E"/>
    <w:rsid w:val="002D30E8"/>
    <w:rsid w:val="002E0F9C"/>
    <w:rsid w:val="002E1F75"/>
    <w:rsid w:val="002E202A"/>
    <w:rsid w:val="002E5C3A"/>
    <w:rsid w:val="002E64D0"/>
    <w:rsid w:val="002F1818"/>
    <w:rsid w:val="002F1A28"/>
    <w:rsid w:val="002F2C84"/>
    <w:rsid w:val="002F335F"/>
    <w:rsid w:val="002F567B"/>
    <w:rsid w:val="002F66D8"/>
    <w:rsid w:val="002F7353"/>
    <w:rsid w:val="0030080A"/>
    <w:rsid w:val="0030298F"/>
    <w:rsid w:val="00302AF1"/>
    <w:rsid w:val="00305126"/>
    <w:rsid w:val="0030593B"/>
    <w:rsid w:val="00310306"/>
    <w:rsid w:val="0031156F"/>
    <w:rsid w:val="00317FD1"/>
    <w:rsid w:val="00321358"/>
    <w:rsid w:val="003216A9"/>
    <w:rsid w:val="00322D89"/>
    <w:rsid w:val="00325332"/>
    <w:rsid w:val="00325856"/>
    <w:rsid w:val="00325985"/>
    <w:rsid w:val="003278AA"/>
    <w:rsid w:val="00332726"/>
    <w:rsid w:val="0033309F"/>
    <w:rsid w:val="00335ED6"/>
    <w:rsid w:val="00337694"/>
    <w:rsid w:val="003431B7"/>
    <w:rsid w:val="0034381A"/>
    <w:rsid w:val="003440C6"/>
    <w:rsid w:val="00350C26"/>
    <w:rsid w:val="003515CF"/>
    <w:rsid w:val="00353569"/>
    <w:rsid w:val="00354D51"/>
    <w:rsid w:val="0035612F"/>
    <w:rsid w:val="00356A32"/>
    <w:rsid w:val="0035779A"/>
    <w:rsid w:val="00360394"/>
    <w:rsid w:val="0036392A"/>
    <w:rsid w:val="003663FE"/>
    <w:rsid w:val="0036688B"/>
    <w:rsid w:val="00366A86"/>
    <w:rsid w:val="00367683"/>
    <w:rsid w:val="00367B91"/>
    <w:rsid w:val="0037013F"/>
    <w:rsid w:val="00373FCE"/>
    <w:rsid w:val="00377A4C"/>
    <w:rsid w:val="003802FF"/>
    <w:rsid w:val="00380C92"/>
    <w:rsid w:val="00383877"/>
    <w:rsid w:val="00385025"/>
    <w:rsid w:val="00386455"/>
    <w:rsid w:val="00390D36"/>
    <w:rsid w:val="00390F3B"/>
    <w:rsid w:val="0039111A"/>
    <w:rsid w:val="003936B4"/>
    <w:rsid w:val="00393AFD"/>
    <w:rsid w:val="003A079E"/>
    <w:rsid w:val="003A10FA"/>
    <w:rsid w:val="003A163E"/>
    <w:rsid w:val="003A32EC"/>
    <w:rsid w:val="003A36AE"/>
    <w:rsid w:val="003A3ACA"/>
    <w:rsid w:val="003A4404"/>
    <w:rsid w:val="003A484F"/>
    <w:rsid w:val="003A4F96"/>
    <w:rsid w:val="003A5540"/>
    <w:rsid w:val="003B0BE0"/>
    <w:rsid w:val="003B0C1A"/>
    <w:rsid w:val="003B0C1B"/>
    <w:rsid w:val="003B5601"/>
    <w:rsid w:val="003B688C"/>
    <w:rsid w:val="003C0291"/>
    <w:rsid w:val="003C2ECB"/>
    <w:rsid w:val="003C350E"/>
    <w:rsid w:val="003C39AE"/>
    <w:rsid w:val="003C6D0D"/>
    <w:rsid w:val="003C76CC"/>
    <w:rsid w:val="003C7B60"/>
    <w:rsid w:val="003D0821"/>
    <w:rsid w:val="003D1FB2"/>
    <w:rsid w:val="003D2303"/>
    <w:rsid w:val="003D3CC9"/>
    <w:rsid w:val="003D4221"/>
    <w:rsid w:val="003D644D"/>
    <w:rsid w:val="003D66DA"/>
    <w:rsid w:val="003E10D3"/>
    <w:rsid w:val="003E1310"/>
    <w:rsid w:val="003E2E1C"/>
    <w:rsid w:val="003E5BD3"/>
    <w:rsid w:val="003E6348"/>
    <w:rsid w:val="003E6F55"/>
    <w:rsid w:val="003F133D"/>
    <w:rsid w:val="003F2794"/>
    <w:rsid w:val="003F339D"/>
    <w:rsid w:val="003F363F"/>
    <w:rsid w:val="003F3A2A"/>
    <w:rsid w:val="003F3DED"/>
    <w:rsid w:val="003F3E94"/>
    <w:rsid w:val="003F44B8"/>
    <w:rsid w:val="003F7CD6"/>
    <w:rsid w:val="00400549"/>
    <w:rsid w:val="00401C71"/>
    <w:rsid w:val="004026F9"/>
    <w:rsid w:val="00402FCE"/>
    <w:rsid w:val="00405639"/>
    <w:rsid w:val="00406254"/>
    <w:rsid w:val="004071E0"/>
    <w:rsid w:val="00407AD0"/>
    <w:rsid w:val="00410C16"/>
    <w:rsid w:val="00422023"/>
    <w:rsid w:val="004223DE"/>
    <w:rsid w:val="004234B2"/>
    <w:rsid w:val="00426FA8"/>
    <w:rsid w:val="00427162"/>
    <w:rsid w:val="0043341C"/>
    <w:rsid w:val="004343F3"/>
    <w:rsid w:val="00434489"/>
    <w:rsid w:val="0043475E"/>
    <w:rsid w:val="0043497B"/>
    <w:rsid w:val="00435137"/>
    <w:rsid w:val="00436E88"/>
    <w:rsid w:val="00437085"/>
    <w:rsid w:val="004370D1"/>
    <w:rsid w:val="00440872"/>
    <w:rsid w:val="00440A29"/>
    <w:rsid w:val="00441C18"/>
    <w:rsid w:val="004422EF"/>
    <w:rsid w:val="00443880"/>
    <w:rsid w:val="00444CE1"/>
    <w:rsid w:val="0044578E"/>
    <w:rsid w:val="0044581C"/>
    <w:rsid w:val="004464F4"/>
    <w:rsid w:val="00446FA9"/>
    <w:rsid w:val="00447035"/>
    <w:rsid w:val="00450BFF"/>
    <w:rsid w:val="00454FA9"/>
    <w:rsid w:val="004571F2"/>
    <w:rsid w:val="0045723A"/>
    <w:rsid w:val="00460A67"/>
    <w:rsid w:val="00461A98"/>
    <w:rsid w:val="00462B33"/>
    <w:rsid w:val="0046346E"/>
    <w:rsid w:val="004700E2"/>
    <w:rsid w:val="004708B9"/>
    <w:rsid w:val="00471401"/>
    <w:rsid w:val="00471CBB"/>
    <w:rsid w:val="00473F31"/>
    <w:rsid w:val="00474218"/>
    <w:rsid w:val="004750E8"/>
    <w:rsid w:val="00476F1B"/>
    <w:rsid w:val="0047729B"/>
    <w:rsid w:val="0048263A"/>
    <w:rsid w:val="0048368B"/>
    <w:rsid w:val="0048372E"/>
    <w:rsid w:val="00483F46"/>
    <w:rsid w:val="00484CD3"/>
    <w:rsid w:val="004857E4"/>
    <w:rsid w:val="00486073"/>
    <w:rsid w:val="0048694C"/>
    <w:rsid w:val="00486E3E"/>
    <w:rsid w:val="00487E5D"/>
    <w:rsid w:val="00491181"/>
    <w:rsid w:val="00492070"/>
    <w:rsid w:val="004941B6"/>
    <w:rsid w:val="00497E59"/>
    <w:rsid w:val="004A2A48"/>
    <w:rsid w:val="004A4A66"/>
    <w:rsid w:val="004A4B01"/>
    <w:rsid w:val="004A5576"/>
    <w:rsid w:val="004A6B85"/>
    <w:rsid w:val="004A711F"/>
    <w:rsid w:val="004A7B2B"/>
    <w:rsid w:val="004B01AE"/>
    <w:rsid w:val="004B199D"/>
    <w:rsid w:val="004B2279"/>
    <w:rsid w:val="004B25B9"/>
    <w:rsid w:val="004B3F00"/>
    <w:rsid w:val="004B4690"/>
    <w:rsid w:val="004B7108"/>
    <w:rsid w:val="004B778F"/>
    <w:rsid w:val="004B785F"/>
    <w:rsid w:val="004C01B1"/>
    <w:rsid w:val="004C062D"/>
    <w:rsid w:val="004C4638"/>
    <w:rsid w:val="004C5745"/>
    <w:rsid w:val="004C5DBD"/>
    <w:rsid w:val="004C62FA"/>
    <w:rsid w:val="004C6FB9"/>
    <w:rsid w:val="004D1DC6"/>
    <w:rsid w:val="004D31FB"/>
    <w:rsid w:val="004D4BB1"/>
    <w:rsid w:val="004D4D6E"/>
    <w:rsid w:val="004D4DA3"/>
    <w:rsid w:val="004D798C"/>
    <w:rsid w:val="004D7AEF"/>
    <w:rsid w:val="004E028C"/>
    <w:rsid w:val="004E0815"/>
    <w:rsid w:val="004E0A2D"/>
    <w:rsid w:val="004E206B"/>
    <w:rsid w:val="004E3DEC"/>
    <w:rsid w:val="004E67E0"/>
    <w:rsid w:val="004E6DF7"/>
    <w:rsid w:val="004F0FBD"/>
    <w:rsid w:val="00501436"/>
    <w:rsid w:val="00501B3E"/>
    <w:rsid w:val="00502053"/>
    <w:rsid w:val="005020BB"/>
    <w:rsid w:val="00505843"/>
    <w:rsid w:val="00505A47"/>
    <w:rsid w:val="0050679E"/>
    <w:rsid w:val="0051166F"/>
    <w:rsid w:val="0051173A"/>
    <w:rsid w:val="00512FDA"/>
    <w:rsid w:val="00513ED7"/>
    <w:rsid w:val="0051467D"/>
    <w:rsid w:val="00520DA0"/>
    <w:rsid w:val="005225FC"/>
    <w:rsid w:val="00524AC4"/>
    <w:rsid w:val="0052729E"/>
    <w:rsid w:val="0052733D"/>
    <w:rsid w:val="00530E19"/>
    <w:rsid w:val="00530F71"/>
    <w:rsid w:val="005322EB"/>
    <w:rsid w:val="0053459C"/>
    <w:rsid w:val="00550726"/>
    <w:rsid w:val="00550F95"/>
    <w:rsid w:val="0055106D"/>
    <w:rsid w:val="005559A4"/>
    <w:rsid w:val="0056304B"/>
    <w:rsid w:val="005651E3"/>
    <w:rsid w:val="00565D17"/>
    <w:rsid w:val="005664BB"/>
    <w:rsid w:val="00566C08"/>
    <w:rsid w:val="0056722F"/>
    <w:rsid w:val="00567B67"/>
    <w:rsid w:val="00570C62"/>
    <w:rsid w:val="00572EB1"/>
    <w:rsid w:val="00572EC9"/>
    <w:rsid w:val="00573576"/>
    <w:rsid w:val="0057481D"/>
    <w:rsid w:val="0057798B"/>
    <w:rsid w:val="00577A75"/>
    <w:rsid w:val="00577DF2"/>
    <w:rsid w:val="00580D35"/>
    <w:rsid w:val="0058486E"/>
    <w:rsid w:val="00584F2B"/>
    <w:rsid w:val="005935E9"/>
    <w:rsid w:val="005939BC"/>
    <w:rsid w:val="00593D4E"/>
    <w:rsid w:val="005975DB"/>
    <w:rsid w:val="00597919"/>
    <w:rsid w:val="005A0204"/>
    <w:rsid w:val="005A0CF8"/>
    <w:rsid w:val="005A324B"/>
    <w:rsid w:val="005B186A"/>
    <w:rsid w:val="005B553C"/>
    <w:rsid w:val="005B57DB"/>
    <w:rsid w:val="005B58F9"/>
    <w:rsid w:val="005B5ACB"/>
    <w:rsid w:val="005B76E6"/>
    <w:rsid w:val="005C0AF7"/>
    <w:rsid w:val="005C0B82"/>
    <w:rsid w:val="005C0D5C"/>
    <w:rsid w:val="005C4A4C"/>
    <w:rsid w:val="005C52C6"/>
    <w:rsid w:val="005C7204"/>
    <w:rsid w:val="005D1C8B"/>
    <w:rsid w:val="005D5CED"/>
    <w:rsid w:val="005D6054"/>
    <w:rsid w:val="005E1522"/>
    <w:rsid w:val="005E3365"/>
    <w:rsid w:val="005E5517"/>
    <w:rsid w:val="005F0705"/>
    <w:rsid w:val="005F0C83"/>
    <w:rsid w:val="005F1A4C"/>
    <w:rsid w:val="005F1F76"/>
    <w:rsid w:val="005F2C70"/>
    <w:rsid w:val="005F32B6"/>
    <w:rsid w:val="005F4162"/>
    <w:rsid w:val="005F44C7"/>
    <w:rsid w:val="005F632F"/>
    <w:rsid w:val="00600946"/>
    <w:rsid w:val="006044AC"/>
    <w:rsid w:val="00604551"/>
    <w:rsid w:val="00605688"/>
    <w:rsid w:val="006070AF"/>
    <w:rsid w:val="00607816"/>
    <w:rsid w:val="00607E6C"/>
    <w:rsid w:val="006101B1"/>
    <w:rsid w:val="00611AD3"/>
    <w:rsid w:val="00612209"/>
    <w:rsid w:val="00614423"/>
    <w:rsid w:val="00614E44"/>
    <w:rsid w:val="006155B0"/>
    <w:rsid w:val="006205F4"/>
    <w:rsid w:val="00620717"/>
    <w:rsid w:val="00622830"/>
    <w:rsid w:val="006256DB"/>
    <w:rsid w:val="00630AEF"/>
    <w:rsid w:val="00630BB3"/>
    <w:rsid w:val="006325F8"/>
    <w:rsid w:val="00633AE4"/>
    <w:rsid w:val="006348B1"/>
    <w:rsid w:val="00634C9A"/>
    <w:rsid w:val="00635FC7"/>
    <w:rsid w:val="00636040"/>
    <w:rsid w:val="00642529"/>
    <w:rsid w:val="0064301E"/>
    <w:rsid w:val="00643322"/>
    <w:rsid w:val="00643C0A"/>
    <w:rsid w:val="006440E4"/>
    <w:rsid w:val="00645301"/>
    <w:rsid w:val="00645F78"/>
    <w:rsid w:val="0064753B"/>
    <w:rsid w:val="00650D36"/>
    <w:rsid w:val="00650F17"/>
    <w:rsid w:val="006511E7"/>
    <w:rsid w:val="0065182B"/>
    <w:rsid w:val="00660339"/>
    <w:rsid w:val="00660F57"/>
    <w:rsid w:val="00661830"/>
    <w:rsid w:val="0066343B"/>
    <w:rsid w:val="00663BDD"/>
    <w:rsid w:val="00664777"/>
    <w:rsid w:val="00664ED7"/>
    <w:rsid w:val="0066615D"/>
    <w:rsid w:val="00666366"/>
    <w:rsid w:val="0066748A"/>
    <w:rsid w:val="0067155A"/>
    <w:rsid w:val="00671D25"/>
    <w:rsid w:val="00672345"/>
    <w:rsid w:val="00673381"/>
    <w:rsid w:val="006740AB"/>
    <w:rsid w:val="00674446"/>
    <w:rsid w:val="006748A4"/>
    <w:rsid w:val="006757D8"/>
    <w:rsid w:val="00680EF7"/>
    <w:rsid w:val="00683E73"/>
    <w:rsid w:val="0068590F"/>
    <w:rsid w:val="00686CF0"/>
    <w:rsid w:val="00687CAC"/>
    <w:rsid w:val="00691D82"/>
    <w:rsid w:val="006931FE"/>
    <w:rsid w:val="006947FC"/>
    <w:rsid w:val="006950FD"/>
    <w:rsid w:val="00695AD3"/>
    <w:rsid w:val="00696ACE"/>
    <w:rsid w:val="006A01D3"/>
    <w:rsid w:val="006A04FE"/>
    <w:rsid w:val="006A0C2C"/>
    <w:rsid w:val="006A0C51"/>
    <w:rsid w:val="006A1E7E"/>
    <w:rsid w:val="006A2BCD"/>
    <w:rsid w:val="006A3141"/>
    <w:rsid w:val="006A5E34"/>
    <w:rsid w:val="006A75B7"/>
    <w:rsid w:val="006B0ABA"/>
    <w:rsid w:val="006B2422"/>
    <w:rsid w:val="006B2B9A"/>
    <w:rsid w:val="006B2E2F"/>
    <w:rsid w:val="006B471C"/>
    <w:rsid w:val="006B4C59"/>
    <w:rsid w:val="006B533E"/>
    <w:rsid w:val="006C04D7"/>
    <w:rsid w:val="006C1937"/>
    <w:rsid w:val="006C397F"/>
    <w:rsid w:val="006C6427"/>
    <w:rsid w:val="006C76DB"/>
    <w:rsid w:val="006D1F0B"/>
    <w:rsid w:val="006D42C6"/>
    <w:rsid w:val="006E0081"/>
    <w:rsid w:val="006E0706"/>
    <w:rsid w:val="006E3700"/>
    <w:rsid w:val="006E6C66"/>
    <w:rsid w:val="006F020C"/>
    <w:rsid w:val="006F3DF7"/>
    <w:rsid w:val="006F7849"/>
    <w:rsid w:val="006F7CBD"/>
    <w:rsid w:val="0070094B"/>
    <w:rsid w:val="007040F2"/>
    <w:rsid w:val="00705B7C"/>
    <w:rsid w:val="00705E24"/>
    <w:rsid w:val="00707EEC"/>
    <w:rsid w:val="007115FE"/>
    <w:rsid w:val="007127B7"/>
    <w:rsid w:val="00713977"/>
    <w:rsid w:val="00714DBE"/>
    <w:rsid w:val="007220F2"/>
    <w:rsid w:val="007231D9"/>
    <w:rsid w:val="007244D2"/>
    <w:rsid w:val="00725B08"/>
    <w:rsid w:val="007355BA"/>
    <w:rsid w:val="0074019B"/>
    <w:rsid w:val="007403C2"/>
    <w:rsid w:val="007410FA"/>
    <w:rsid w:val="007416B6"/>
    <w:rsid w:val="007426C0"/>
    <w:rsid w:val="00746F48"/>
    <w:rsid w:val="0074730D"/>
    <w:rsid w:val="0075129E"/>
    <w:rsid w:val="00751951"/>
    <w:rsid w:val="00751EE9"/>
    <w:rsid w:val="007522D6"/>
    <w:rsid w:val="007525C3"/>
    <w:rsid w:val="007537B3"/>
    <w:rsid w:val="00753DC2"/>
    <w:rsid w:val="0075404D"/>
    <w:rsid w:val="0075503D"/>
    <w:rsid w:val="0076078E"/>
    <w:rsid w:val="00760D5E"/>
    <w:rsid w:val="0076182A"/>
    <w:rsid w:val="00763BC1"/>
    <w:rsid w:val="0076499D"/>
    <w:rsid w:val="007656DB"/>
    <w:rsid w:val="007676D8"/>
    <w:rsid w:val="00767A7D"/>
    <w:rsid w:val="00767B7E"/>
    <w:rsid w:val="00767BE6"/>
    <w:rsid w:val="00775A39"/>
    <w:rsid w:val="00776900"/>
    <w:rsid w:val="007770C3"/>
    <w:rsid w:val="00780AAA"/>
    <w:rsid w:val="00781060"/>
    <w:rsid w:val="0078143E"/>
    <w:rsid w:val="0078201F"/>
    <w:rsid w:val="007820E1"/>
    <w:rsid w:val="00784D24"/>
    <w:rsid w:val="00784D4C"/>
    <w:rsid w:val="00784E42"/>
    <w:rsid w:val="00785FBA"/>
    <w:rsid w:val="00786E4A"/>
    <w:rsid w:val="007875EB"/>
    <w:rsid w:val="00787E51"/>
    <w:rsid w:val="00792C26"/>
    <w:rsid w:val="0079426B"/>
    <w:rsid w:val="00794D8C"/>
    <w:rsid w:val="00794F74"/>
    <w:rsid w:val="0079655C"/>
    <w:rsid w:val="007A0619"/>
    <w:rsid w:val="007A762F"/>
    <w:rsid w:val="007B0CA2"/>
    <w:rsid w:val="007B5C15"/>
    <w:rsid w:val="007B6032"/>
    <w:rsid w:val="007B6B9B"/>
    <w:rsid w:val="007C014E"/>
    <w:rsid w:val="007C0C20"/>
    <w:rsid w:val="007C0E0A"/>
    <w:rsid w:val="007C2008"/>
    <w:rsid w:val="007C26C9"/>
    <w:rsid w:val="007C57E7"/>
    <w:rsid w:val="007C6362"/>
    <w:rsid w:val="007C70B5"/>
    <w:rsid w:val="007C72D0"/>
    <w:rsid w:val="007D028D"/>
    <w:rsid w:val="007D0AE2"/>
    <w:rsid w:val="007D0C80"/>
    <w:rsid w:val="007D312A"/>
    <w:rsid w:val="007D3F19"/>
    <w:rsid w:val="007D40BF"/>
    <w:rsid w:val="007D598F"/>
    <w:rsid w:val="007D7F29"/>
    <w:rsid w:val="007E0391"/>
    <w:rsid w:val="007E2118"/>
    <w:rsid w:val="007E23B0"/>
    <w:rsid w:val="007E30F0"/>
    <w:rsid w:val="007E4E9E"/>
    <w:rsid w:val="007E4F63"/>
    <w:rsid w:val="007E5C1C"/>
    <w:rsid w:val="007E6821"/>
    <w:rsid w:val="007E6A33"/>
    <w:rsid w:val="007E6D1B"/>
    <w:rsid w:val="007F0CD6"/>
    <w:rsid w:val="007F0EAA"/>
    <w:rsid w:val="007F1991"/>
    <w:rsid w:val="007F1E4C"/>
    <w:rsid w:val="007F2C2F"/>
    <w:rsid w:val="007F2D6D"/>
    <w:rsid w:val="007F55FC"/>
    <w:rsid w:val="007F5665"/>
    <w:rsid w:val="007F57B1"/>
    <w:rsid w:val="007F5B1E"/>
    <w:rsid w:val="007F703A"/>
    <w:rsid w:val="007F772D"/>
    <w:rsid w:val="007F78DE"/>
    <w:rsid w:val="00800112"/>
    <w:rsid w:val="0080112E"/>
    <w:rsid w:val="008014B3"/>
    <w:rsid w:val="008031B0"/>
    <w:rsid w:val="008068DA"/>
    <w:rsid w:val="00806B6F"/>
    <w:rsid w:val="00807797"/>
    <w:rsid w:val="0081195D"/>
    <w:rsid w:val="00811C29"/>
    <w:rsid w:val="00812255"/>
    <w:rsid w:val="00813AEF"/>
    <w:rsid w:val="00815AF8"/>
    <w:rsid w:val="008169F8"/>
    <w:rsid w:val="00820AF4"/>
    <w:rsid w:val="008212F9"/>
    <w:rsid w:val="008244FA"/>
    <w:rsid w:val="008248EC"/>
    <w:rsid w:val="00824C90"/>
    <w:rsid w:val="00824CEE"/>
    <w:rsid w:val="008253BB"/>
    <w:rsid w:val="008273C2"/>
    <w:rsid w:val="00830A33"/>
    <w:rsid w:val="00830F24"/>
    <w:rsid w:val="0083234B"/>
    <w:rsid w:val="00833D7A"/>
    <w:rsid w:val="008347A0"/>
    <w:rsid w:val="00835B31"/>
    <w:rsid w:val="00836025"/>
    <w:rsid w:val="0083706E"/>
    <w:rsid w:val="00840550"/>
    <w:rsid w:val="008423A5"/>
    <w:rsid w:val="00843431"/>
    <w:rsid w:val="00845501"/>
    <w:rsid w:val="008503A5"/>
    <w:rsid w:val="00850625"/>
    <w:rsid w:val="008511F3"/>
    <w:rsid w:val="00851894"/>
    <w:rsid w:val="0085265B"/>
    <w:rsid w:val="00852C5C"/>
    <w:rsid w:val="00853718"/>
    <w:rsid w:val="00855221"/>
    <w:rsid w:val="00855AF5"/>
    <w:rsid w:val="00855E16"/>
    <w:rsid w:val="00857B79"/>
    <w:rsid w:val="00860645"/>
    <w:rsid w:val="00860C44"/>
    <w:rsid w:val="0086131A"/>
    <w:rsid w:val="00862A9D"/>
    <w:rsid w:val="00863483"/>
    <w:rsid w:val="00863CF0"/>
    <w:rsid w:val="00863D72"/>
    <w:rsid w:val="00865F20"/>
    <w:rsid w:val="00867695"/>
    <w:rsid w:val="00870000"/>
    <w:rsid w:val="00870C33"/>
    <w:rsid w:val="00871F71"/>
    <w:rsid w:val="008722FB"/>
    <w:rsid w:val="00872F95"/>
    <w:rsid w:val="00873D8F"/>
    <w:rsid w:val="0087464B"/>
    <w:rsid w:val="00875814"/>
    <w:rsid w:val="00877427"/>
    <w:rsid w:val="0088122F"/>
    <w:rsid w:val="00885AF4"/>
    <w:rsid w:val="00886435"/>
    <w:rsid w:val="008875FA"/>
    <w:rsid w:val="00887A58"/>
    <w:rsid w:val="008918AA"/>
    <w:rsid w:val="008918C9"/>
    <w:rsid w:val="008920D1"/>
    <w:rsid w:val="008939CD"/>
    <w:rsid w:val="00893E7C"/>
    <w:rsid w:val="00895862"/>
    <w:rsid w:val="00896814"/>
    <w:rsid w:val="00897199"/>
    <w:rsid w:val="008A04BB"/>
    <w:rsid w:val="008A6293"/>
    <w:rsid w:val="008A6BC0"/>
    <w:rsid w:val="008A7CE3"/>
    <w:rsid w:val="008B045D"/>
    <w:rsid w:val="008B2B26"/>
    <w:rsid w:val="008B5614"/>
    <w:rsid w:val="008B6287"/>
    <w:rsid w:val="008B69A5"/>
    <w:rsid w:val="008B768C"/>
    <w:rsid w:val="008B7992"/>
    <w:rsid w:val="008C1D33"/>
    <w:rsid w:val="008C33D9"/>
    <w:rsid w:val="008C4DB1"/>
    <w:rsid w:val="008C4EAF"/>
    <w:rsid w:val="008C5176"/>
    <w:rsid w:val="008C7FD0"/>
    <w:rsid w:val="008D06D5"/>
    <w:rsid w:val="008D08E5"/>
    <w:rsid w:val="008D2C92"/>
    <w:rsid w:val="008D2DE2"/>
    <w:rsid w:val="008D55A6"/>
    <w:rsid w:val="008E0EF3"/>
    <w:rsid w:val="008E1DC6"/>
    <w:rsid w:val="008E1DE7"/>
    <w:rsid w:val="008E2847"/>
    <w:rsid w:val="008E380B"/>
    <w:rsid w:val="008E707C"/>
    <w:rsid w:val="008E7651"/>
    <w:rsid w:val="008F24AB"/>
    <w:rsid w:val="00900B08"/>
    <w:rsid w:val="00901E1C"/>
    <w:rsid w:val="00902155"/>
    <w:rsid w:val="00902BCF"/>
    <w:rsid w:val="00902FA3"/>
    <w:rsid w:val="009109D0"/>
    <w:rsid w:val="00910FAA"/>
    <w:rsid w:val="00912DEB"/>
    <w:rsid w:val="00913706"/>
    <w:rsid w:val="00913A29"/>
    <w:rsid w:val="00915BE4"/>
    <w:rsid w:val="009205F5"/>
    <w:rsid w:val="009215C3"/>
    <w:rsid w:val="00923564"/>
    <w:rsid w:val="0092392E"/>
    <w:rsid w:val="00923F58"/>
    <w:rsid w:val="00924FB0"/>
    <w:rsid w:val="00930109"/>
    <w:rsid w:val="00930E8F"/>
    <w:rsid w:val="009315F9"/>
    <w:rsid w:val="009337F3"/>
    <w:rsid w:val="009339C3"/>
    <w:rsid w:val="00934AB8"/>
    <w:rsid w:val="00935D57"/>
    <w:rsid w:val="00936283"/>
    <w:rsid w:val="00940B88"/>
    <w:rsid w:val="00940F73"/>
    <w:rsid w:val="0094526A"/>
    <w:rsid w:val="00945399"/>
    <w:rsid w:val="00945492"/>
    <w:rsid w:val="00945EEC"/>
    <w:rsid w:val="009461EE"/>
    <w:rsid w:val="00946945"/>
    <w:rsid w:val="00947929"/>
    <w:rsid w:val="00947BF1"/>
    <w:rsid w:val="009500E2"/>
    <w:rsid w:val="00951248"/>
    <w:rsid w:val="0095152F"/>
    <w:rsid w:val="009534A8"/>
    <w:rsid w:val="009540C0"/>
    <w:rsid w:val="00954C49"/>
    <w:rsid w:val="00955EAD"/>
    <w:rsid w:val="0095708C"/>
    <w:rsid w:val="00957098"/>
    <w:rsid w:val="00960F20"/>
    <w:rsid w:val="009620B2"/>
    <w:rsid w:val="00962131"/>
    <w:rsid w:val="00962556"/>
    <w:rsid w:val="00964305"/>
    <w:rsid w:val="0096477D"/>
    <w:rsid w:val="00964EBA"/>
    <w:rsid w:val="0097099F"/>
    <w:rsid w:val="009710DA"/>
    <w:rsid w:val="00971997"/>
    <w:rsid w:val="00971FFC"/>
    <w:rsid w:val="00972A49"/>
    <w:rsid w:val="00973726"/>
    <w:rsid w:val="00974188"/>
    <w:rsid w:val="0098033F"/>
    <w:rsid w:val="00985645"/>
    <w:rsid w:val="0098595E"/>
    <w:rsid w:val="00985C49"/>
    <w:rsid w:val="0098660A"/>
    <w:rsid w:val="009869AA"/>
    <w:rsid w:val="009931C3"/>
    <w:rsid w:val="00995CE3"/>
    <w:rsid w:val="009B2C43"/>
    <w:rsid w:val="009B4EAE"/>
    <w:rsid w:val="009B6C92"/>
    <w:rsid w:val="009B7573"/>
    <w:rsid w:val="009C0EF0"/>
    <w:rsid w:val="009C1B2D"/>
    <w:rsid w:val="009C22F4"/>
    <w:rsid w:val="009C2AE3"/>
    <w:rsid w:val="009C2E98"/>
    <w:rsid w:val="009C5896"/>
    <w:rsid w:val="009C6399"/>
    <w:rsid w:val="009D3447"/>
    <w:rsid w:val="009D3AA6"/>
    <w:rsid w:val="009D4711"/>
    <w:rsid w:val="009D5EF4"/>
    <w:rsid w:val="009E0018"/>
    <w:rsid w:val="009E2320"/>
    <w:rsid w:val="009E2C7B"/>
    <w:rsid w:val="009E576A"/>
    <w:rsid w:val="009E7FBF"/>
    <w:rsid w:val="009F1185"/>
    <w:rsid w:val="009F178D"/>
    <w:rsid w:val="009F18CD"/>
    <w:rsid w:val="009F2021"/>
    <w:rsid w:val="009F2A13"/>
    <w:rsid w:val="009F4A42"/>
    <w:rsid w:val="009F4D78"/>
    <w:rsid w:val="009F6A87"/>
    <w:rsid w:val="009F6B63"/>
    <w:rsid w:val="009F6F4A"/>
    <w:rsid w:val="00A02DD4"/>
    <w:rsid w:val="00A04EB0"/>
    <w:rsid w:val="00A05E7E"/>
    <w:rsid w:val="00A06741"/>
    <w:rsid w:val="00A06EF8"/>
    <w:rsid w:val="00A07DE7"/>
    <w:rsid w:val="00A07E24"/>
    <w:rsid w:val="00A1247B"/>
    <w:rsid w:val="00A13443"/>
    <w:rsid w:val="00A13CC1"/>
    <w:rsid w:val="00A15286"/>
    <w:rsid w:val="00A1571F"/>
    <w:rsid w:val="00A1637E"/>
    <w:rsid w:val="00A16684"/>
    <w:rsid w:val="00A16847"/>
    <w:rsid w:val="00A1745F"/>
    <w:rsid w:val="00A2301F"/>
    <w:rsid w:val="00A237D8"/>
    <w:rsid w:val="00A25634"/>
    <w:rsid w:val="00A268C4"/>
    <w:rsid w:val="00A27771"/>
    <w:rsid w:val="00A300FE"/>
    <w:rsid w:val="00A307CD"/>
    <w:rsid w:val="00A3233A"/>
    <w:rsid w:val="00A35068"/>
    <w:rsid w:val="00A3556D"/>
    <w:rsid w:val="00A35870"/>
    <w:rsid w:val="00A35FE0"/>
    <w:rsid w:val="00A40A00"/>
    <w:rsid w:val="00A4142F"/>
    <w:rsid w:val="00A41D4A"/>
    <w:rsid w:val="00A43522"/>
    <w:rsid w:val="00A4622C"/>
    <w:rsid w:val="00A462AA"/>
    <w:rsid w:val="00A46A63"/>
    <w:rsid w:val="00A47A0F"/>
    <w:rsid w:val="00A50F96"/>
    <w:rsid w:val="00A514F8"/>
    <w:rsid w:val="00A52260"/>
    <w:rsid w:val="00A53D20"/>
    <w:rsid w:val="00A54687"/>
    <w:rsid w:val="00A54CE0"/>
    <w:rsid w:val="00A55073"/>
    <w:rsid w:val="00A55447"/>
    <w:rsid w:val="00A55ED8"/>
    <w:rsid w:val="00A56DF2"/>
    <w:rsid w:val="00A56E1B"/>
    <w:rsid w:val="00A57F63"/>
    <w:rsid w:val="00A61738"/>
    <w:rsid w:val="00A62ECF"/>
    <w:rsid w:val="00A63814"/>
    <w:rsid w:val="00A64138"/>
    <w:rsid w:val="00A64421"/>
    <w:rsid w:val="00A659FC"/>
    <w:rsid w:val="00A65DE6"/>
    <w:rsid w:val="00A66D73"/>
    <w:rsid w:val="00A67AB5"/>
    <w:rsid w:val="00A70317"/>
    <w:rsid w:val="00A72FA8"/>
    <w:rsid w:val="00A76B3A"/>
    <w:rsid w:val="00A77CB7"/>
    <w:rsid w:val="00A804D8"/>
    <w:rsid w:val="00A85003"/>
    <w:rsid w:val="00A85A0C"/>
    <w:rsid w:val="00A91460"/>
    <w:rsid w:val="00A91760"/>
    <w:rsid w:val="00A93902"/>
    <w:rsid w:val="00A93B00"/>
    <w:rsid w:val="00A93C21"/>
    <w:rsid w:val="00A94004"/>
    <w:rsid w:val="00A95D33"/>
    <w:rsid w:val="00A96D42"/>
    <w:rsid w:val="00AA1212"/>
    <w:rsid w:val="00AA14EC"/>
    <w:rsid w:val="00AA2E83"/>
    <w:rsid w:val="00AA6693"/>
    <w:rsid w:val="00AA6D23"/>
    <w:rsid w:val="00AA7B07"/>
    <w:rsid w:val="00AB1A65"/>
    <w:rsid w:val="00AB26EC"/>
    <w:rsid w:val="00AB2A36"/>
    <w:rsid w:val="00AB5E60"/>
    <w:rsid w:val="00AB5E86"/>
    <w:rsid w:val="00AB6DD7"/>
    <w:rsid w:val="00AC20D9"/>
    <w:rsid w:val="00AC3237"/>
    <w:rsid w:val="00AC3A9E"/>
    <w:rsid w:val="00AC3C6A"/>
    <w:rsid w:val="00AC40DA"/>
    <w:rsid w:val="00AC6A20"/>
    <w:rsid w:val="00AD013F"/>
    <w:rsid w:val="00AD1561"/>
    <w:rsid w:val="00AD1E04"/>
    <w:rsid w:val="00AD4E89"/>
    <w:rsid w:val="00AD5090"/>
    <w:rsid w:val="00AD55F4"/>
    <w:rsid w:val="00AD5620"/>
    <w:rsid w:val="00AD654C"/>
    <w:rsid w:val="00AD712A"/>
    <w:rsid w:val="00AD7C1B"/>
    <w:rsid w:val="00AE16BA"/>
    <w:rsid w:val="00AE1B18"/>
    <w:rsid w:val="00AE1EBE"/>
    <w:rsid w:val="00AE3F47"/>
    <w:rsid w:val="00AE5217"/>
    <w:rsid w:val="00AE57E5"/>
    <w:rsid w:val="00AE5ACD"/>
    <w:rsid w:val="00AE7003"/>
    <w:rsid w:val="00AE78D4"/>
    <w:rsid w:val="00AF334F"/>
    <w:rsid w:val="00AF567D"/>
    <w:rsid w:val="00B03C9D"/>
    <w:rsid w:val="00B03D45"/>
    <w:rsid w:val="00B03DEF"/>
    <w:rsid w:val="00B04041"/>
    <w:rsid w:val="00B046DB"/>
    <w:rsid w:val="00B059FA"/>
    <w:rsid w:val="00B060AE"/>
    <w:rsid w:val="00B06286"/>
    <w:rsid w:val="00B06EEB"/>
    <w:rsid w:val="00B07376"/>
    <w:rsid w:val="00B10406"/>
    <w:rsid w:val="00B10517"/>
    <w:rsid w:val="00B1323D"/>
    <w:rsid w:val="00B1364D"/>
    <w:rsid w:val="00B13D51"/>
    <w:rsid w:val="00B13F34"/>
    <w:rsid w:val="00B14E76"/>
    <w:rsid w:val="00B15718"/>
    <w:rsid w:val="00B15757"/>
    <w:rsid w:val="00B161B8"/>
    <w:rsid w:val="00B2048C"/>
    <w:rsid w:val="00B22224"/>
    <w:rsid w:val="00B22E19"/>
    <w:rsid w:val="00B268D9"/>
    <w:rsid w:val="00B30B06"/>
    <w:rsid w:val="00B310B9"/>
    <w:rsid w:val="00B3183E"/>
    <w:rsid w:val="00B330FA"/>
    <w:rsid w:val="00B35211"/>
    <w:rsid w:val="00B35F3F"/>
    <w:rsid w:val="00B36CBB"/>
    <w:rsid w:val="00B370EB"/>
    <w:rsid w:val="00B40532"/>
    <w:rsid w:val="00B425E0"/>
    <w:rsid w:val="00B440AA"/>
    <w:rsid w:val="00B44B70"/>
    <w:rsid w:val="00B47B8F"/>
    <w:rsid w:val="00B50563"/>
    <w:rsid w:val="00B507B7"/>
    <w:rsid w:val="00B51BBE"/>
    <w:rsid w:val="00B53703"/>
    <w:rsid w:val="00B53C56"/>
    <w:rsid w:val="00B53E4F"/>
    <w:rsid w:val="00B54341"/>
    <w:rsid w:val="00B545A6"/>
    <w:rsid w:val="00B5556B"/>
    <w:rsid w:val="00B60A7E"/>
    <w:rsid w:val="00B6427E"/>
    <w:rsid w:val="00B67CE3"/>
    <w:rsid w:val="00B706F1"/>
    <w:rsid w:val="00B725E6"/>
    <w:rsid w:val="00B736DE"/>
    <w:rsid w:val="00B74FE7"/>
    <w:rsid w:val="00B753E0"/>
    <w:rsid w:val="00B7569F"/>
    <w:rsid w:val="00B75C09"/>
    <w:rsid w:val="00B76674"/>
    <w:rsid w:val="00B77EA6"/>
    <w:rsid w:val="00B80439"/>
    <w:rsid w:val="00B80BAB"/>
    <w:rsid w:val="00B81598"/>
    <w:rsid w:val="00B82F7D"/>
    <w:rsid w:val="00B839DA"/>
    <w:rsid w:val="00B83EE2"/>
    <w:rsid w:val="00B841F1"/>
    <w:rsid w:val="00B8480B"/>
    <w:rsid w:val="00B91D3E"/>
    <w:rsid w:val="00B92400"/>
    <w:rsid w:val="00B93AA8"/>
    <w:rsid w:val="00B944D6"/>
    <w:rsid w:val="00B96CD2"/>
    <w:rsid w:val="00BA054C"/>
    <w:rsid w:val="00BA0777"/>
    <w:rsid w:val="00BA0AED"/>
    <w:rsid w:val="00BA22CD"/>
    <w:rsid w:val="00BA3028"/>
    <w:rsid w:val="00BA3356"/>
    <w:rsid w:val="00BA49E7"/>
    <w:rsid w:val="00BA5298"/>
    <w:rsid w:val="00BB1990"/>
    <w:rsid w:val="00BB2D7E"/>
    <w:rsid w:val="00BB4C52"/>
    <w:rsid w:val="00BB4DF0"/>
    <w:rsid w:val="00BC0AE4"/>
    <w:rsid w:val="00BC1202"/>
    <w:rsid w:val="00BC1A97"/>
    <w:rsid w:val="00BC2731"/>
    <w:rsid w:val="00BC289F"/>
    <w:rsid w:val="00BC5361"/>
    <w:rsid w:val="00BC5460"/>
    <w:rsid w:val="00BC6B50"/>
    <w:rsid w:val="00BD0E25"/>
    <w:rsid w:val="00BD2458"/>
    <w:rsid w:val="00BD5121"/>
    <w:rsid w:val="00BD6D67"/>
    <w:rsid w:val="00BD6E57"/>
    <w:rsid w:val="00BE01DE"/>
    <w:rsid w:val="00BE218A"/>
    <w:rsid w:val="00BE39F0"/>
    <w:rsid w:val="00BE5FB5"/>
    <w:rsid w:val="00BE7259"/>
    <w:rsid w:val="00BF060C"/>
    <w:rsid w:val="00BF2962"/>
    <w:rsid w:val="00BF2E85"/>
    <w:rsid w:val="00BF5BD6"/>
    <w:rsid w:val="00BF6316"/>
    <w:rsid w:val="00BF718F"/>
    <w:rsid w:val="00C01DBE"/>
    <w:rsid w:val="00C03E31"/>
    <w:rsid w:val="00C05BAF"/>
    <w:rsid w:val="00C05CAD"/>
    <w:rsid w:val="00C05F29"/>
    <w:rsid w:val="00C06A2B"/>
    <w:rsid w:val="00C11626"/>
    <w:rsid w:val="00C137AD"/>
    <w:rsid w:val="00C13B26"/>
    <w:rsid w:val="00C1480D"/>
    <w:rsid w:val="00C1658B"/>
    <w:rsid w:val="00C23BFD"/>
    <w:rsid w:val="00C24603"/>
    <w:rsid w:val="00C259D0"/>
    <w:rsid w:val="00C30983"/>
    <w:rsid w:val="00C30D73"/>
    <w:rsid w:val="00C313B9"/>
    <w:rsid w:val="00C31B41"/>
    <w:rsid w:val="00C33276"/>
    <w:rsid w:val="00C33E72"/>
    <w:rsid w:val="00C3423D"/>
    <w:rsid w:val="00C342CE"/>
    <w:rsid w:val="00C34C84"/>
    <w:rsid w:val="00C34EED"/>
    <w:rsid w:val="00C354B2"/>
    <w:rsid w:val="00C35554"/>
    <w:rsid w:val="00C36831"/>
    <w:rsid w:val="00C4133E"/>
    <w:rsid w:val="00C41611"/>
    <w:rsid w:val="00C41EB1"/>
    <w:rsid w:val="00C426CE"/>
    <w:rsid w:val="00C42709"/>
    <w:rsid w:val="00C516E5"/>
    <w:rsid w:val="00C5216D"/>
    <w:rsid w:val="00C533CC"/>
    <w:rsid w:val="00C54531"/>
    <w:rsid w:val="00C5751C"/>
    <w:rsid w:val="00C61BFC"/>
    <w:rsid w:val="00C62B85"/>
    <w:rsid w:val="00C634C6"/>
    <w:rsid w:val="00C63DE6"/>
    <w:rsid w:val="00C65438"/>
    <w:rsid w:val="00C65FA1"/>
    <w:rsid w:val="00C663B4"/>
    <w:rsid w:val="00C66789"/>
    <w:rsid w:val="00C677E0"/>
    <w:rsid w:val="00C71C3C"/>
    <w:rsid w:val="00C73C9E"/>
    <w:rsid w:val="00C77033"/>
    <w:rsid w:val="00C77575"/>
    <w:rsid w:val="00C77955"/>
    <w:rsid w:val="00C77D11"/>
    <w:rsid w:val="00C80BE1"/>
    <w:rsid w:val="00C80E5E"/>
    <w:rsid w:val="00C87773"/>
    <w:rsid w:val="00C91BEF"/>
    <w:rsid w:val="00C91CBB"/>
    <w:rsid w:val="00C94460"/>
    <w:rsid w:val="00C94755"/>
    <w:rsid w:val="00C9494C"/>
    <w:rsid w:val="00C976D8"/>
    <w:rsid w:val="00C9779E"/>
    <w:rsid w:val="00CA1D7E"/>
    <w:rsid w:val="00CA4889"/>
    <w:rsid w:val="00CA6417"/>
    <w:rsid w:val="00CA7A47"/>
    <w:rsid w:val="00CA7CBE"/>
    <w:rsid w:val="00CB2258"/>
    <w:rsid w:val="00CB37D6"/>
    <w:rsid w:val="00CB5AA7"/>
    <w:rsid w:val="00CC09B6"/>
    <w:rsid w:val="00CC2ECC"/>
    <w:rsid w:val="00CC42AE"/>
    <w:rsid w:val="00CC5828"/>
    <w:rsid w:val="00CC666F"/>
    <w:rsid w:val="00CD0159"/>
    <w:rsid w:val="00CD1E3F"/>
    <w:rsid w:val="00CD2CD4"/>
    <w:rsid w:val="00CD2F8E"/>
    <w:rsid w:val="00CD33CA"/>
    <w:rsid w:val="00CD41F7"/>
    <w:rsid w:val="00CD7039"/>
    <w:rsid w:val="00CE07D1"/>
    <w:rsid w:val="00CE10F5"/>
    <w:rsid w:val="00CE245D"/>
    <w:rsid w:val="00CE298B"/>
    <w:rsid w:val="00CE41E9"/>
    <w:rsid w:val="00CE4476"/>
    <w:rsid w:val="00CE44F6"/>
    <w:rsid w:val="00CE49DA"/>
    <w:rsid w:val="00CE6166"/>
    <w:rsid w:val="00CE7B61"/>
    <w:rsid w:val="00CF0C95"/>
    <w:rsid w:val="00CF303D"/>
    <w:rsid w:val="00CF32A8"/>
    <w:rsid w:val="00CF47D0"/>
    <w:rsid w:val="00CF537A"/>
    <w:rsid w:val="00CF5A38"/>
    <w:rsid w:val="00D00095"/>
    <w:rsid w:val="00D007A3"/>
    <w:rsid w:val="00D00CD9"/>
    <w:rsid w:val="00D01872"/>
    <w:rsid w:val="00D01D1C"/>
    <w:rsid w:val="00D03F76"/>
    <w:rsid w:val="00D07457"/>
    <w:rsid w:val="00D120DF"/>
    <w:rsid w:val="00D12260"/>
    <w:rsid w:val="00D14981"/>
    <w:rsid w:val="00D17582"/>
    <w:rsid w:val="00D20620"/>
    <w:rsid w:val="00D21AB8"/>
    <w:rsid w:val="00D21B96"/>
    <w:rsid w:val="00D21FCA"/>
    <w:rsid w:val="00D23CC1"/>
    <w:rsid w:val="00D253CD"/>
    <w:rsid w:val="00D26091"/>
    <w:rsid w:val="00D26765"/>
    <w:rsid w:val="00D30031"/>
    <w:rsid w:val="00D34E7C"/>
    <w:rsid w:val="00D35489"/>
    <w:rsid w:val="00D41FB4"/>
    <w:rsid w:val="00D42D3C"/>
    <w:rsid w:val="00D43BB3"/>
    <w:rsid w:val="00D4531F"/>
    <w:rsid w:val="00D5056E"/>
    <w:rsid w:val="00D51276"/>
    <w:rsid w:val="00D577F9"/>
    <w:rsid w:val="00D6086D"/>
    <w:rsid w:val="00D60B63"/>
    <w:rsid w:val="00D6672E"/>
    <w:rsid w:val="00D66F3E"/>
    <w:rsid w:val="00D67949"/>
    <w:rsid w:val="00D70080"/>
    <w:rsid w:val="00D7035F"/>
    <w:rsid w:val="00D70D9E"/>
    <w:rsid w:val="00D7255A"/>
    <w:rsid w:val="00D729A5"/>
    <w:rsid w:val="00D7311E"/>
    <w:rsid w:val="00D74434"/>
    <w:rsid w:val="00D74948"/>
    <w:rsid w:val="00D75E52"/>
    <w:rsid w:val="00D769DB"/>
    <w:rsid w:val="00D8058B"/>
    <w:rsid w:val="00D811F1"/>
    <w:rsid w:val="00D81CF0"/>
    <w:rsid w:val="00D86259"/>
    <w:rsid w:val="00D87885"/>
    <w:rsid w:val="00D9128F"/>
    <w:rsid w:val="00D938FB"/>
    <w:rsid w:val="00D95A81"/>
    <w:rsid w:val="00DA2414"/>
    <w:rsid w:val="00DA2E7B"/>
    <w:rsid w:val="00DA376F"/>
    <w:rsid w:val="00DA4CF4"/>
    <w:rsid w:val="00DA517E"/>
    <w:rsid w:val="00DA64CE"/>
    <w:rsid w:val="00DA65AC"/>
    <w:rsid w:val="00DA73F4"/>
    <w:rsid w:val="00DB1913"/>
    <w:rsid w:val="00DB23A2"/>
    <w:rsid w:val="00DB31AE"/>
    <w:rsid w:val="00DB469B"/>
    <w:rsid w:val="00DB6217"/>
    <w:rsid w:val="00DB6D81"/>
    <w:rsid w:val="00DB7682"/>
    <w:rsid w:val="00DB774B"/>
    <w:rsid w:val="00DB7B27"/>
    <w:rsid w:val="00DB7ED3"/>
    <w:rsid w:val="00DC1D19"/>
    <w:rsid w:val="00DC29F0"/>
    <w:rsid w:val="00DC410D"/>
    <w:rsid w:val="00DC482F"/>
    <w:rsid w:val="00DC4E3B"/>
    <w:rsid w:val="00DC53AB"/>
    <w:rsid w:val="00DC68CA"/>
    <w:rsid w:val="00DC7CBA"/>
    <w:rsid w:val="00DD0F4D"/>
    <w:rsid w:val="00DD109B"/>
    <w:rsid w:val="00DD2D64"/>
    <w:rsid w:val="00DD73B7"/>
    <w:rsid w:val="00DE28E8"/>
    <w:rsid w:val="00DE57ED"/>
    <w:rsid w:val="00DE6D3D"/>
    <w:rsid w:val="00DF0369"/>
    <w:rsid w:val="00DF256A"/>
    <w:rsid w:val="00DF28BC"/>
    <w:rsid w:val="00DF2BBE"/>
    <w:rsid w:val="00DF34B9"/>
    <w:rsid w:val="00DF36DA"/>
    <w:rsid w:val="00DF4EE4"/>
    <w:rsid w:val="00DF69F2"/>
    <w:rsid w:val="00E00C0C"/>
    <w:rsid w:val="00E01053"/>
    <w:rsid w:val="00E032C4"/>
    <w:rsid w:val="00E03AB5"/>
    <w:rsid w:val="00E04FF6"/>
    <w:rsid w:val="00E07ACF"/>
    <w:rsid w:val="00E07C49"/>
    <w:rsid w:val="00E1142E"/>
    <w:rsid w:val="00E11EA9"/>
    <w:rsid w:val="00E13C23"/>
    <w:rsid w:val="00E17451"/>
    <w:rsid w:val="00E176E0"/>
    <w:rsid w:val="00E20F23"/>
    <w:rsid w:val="00E21189"/>
    <w:rsid w:val="00E22344"/>
    <w:rsid w:val="00E22D73"/>
    <w:rsid w:val="00E24A28"/>
    <w:rsid w:val="00E2598A"/>
    <w:rsid w:val="00E26D43"/>
    <w:rsid w:val="00E2719A"/>
    <w:rsid w:val="00E331A1"/>
    <w:rsid w:val="00E33202"/>
    <w:rsid w:val="00E336A9"/>
    <w:rsid w:val="00E339F9"/>
    <w:rsid w:val="00E34D61"/>
    <w:rsid w:val="00E352AD"/>
    <w:rsid w:val="00E35DF9"/>
    <w:rsid w:val="00E36162"/>
    <w:rsid w:val="00E4020E"/>
    <w:rsid w:val="00E41572"/>
    <w:rsid w:val="00E42E24"/>
    <w:rsid w:val="00E4326C"/>
    <w:rsid w:val="00E43716"/>
    <w:rsid w:val="00E43E83"/>
    <w:rsid w:val="00E4418C"/>
    <w:rsid w:val="00E442E7"/>
    <w:rsid w:val="00E47FEC"/>
    <w:rsid w:val="00E50624"/>
    <w:rsid w:val="00E50EC1"/>
    <w:rsid w:val="00E559C8"/>
    <w:rsid w:val="00E559F4"/>
    <w:rsid w:val="00E568DF"/>
    <w:rsid w:val="00E6091E"/>
    <w:rsid w:val="00E63E1C"/>
    <w:rsid w:val="00E64269"/>
    <w:rsid w:val="00E648BF"/>
    <w:rsid w:val="00E67B9B"/>
    <w:rsid w:val="00E70395"/>
    <w:rsid w:val="00E71182"/>
    <w:rsid w:val="00E7180C"/>
    <w:rsid w:val="00E71EE8"/>
    <w:rsid w:val="00E759C7"/>
    <w:rsid w:val="00E778AF"/>
    <w:rsid w:val="00E82267"/>
    <w:rsid w:val="00E82D19"/>
    <w:rsid w:val="00E8382C"/>
    <w:rsid w:val="00E84714"/>
    <w:rsid w:val="00E879E6"/>
    <w:rsid w:val="00E9375F"/>
    <w:rsid w:val="00E938AA"/>
    <w:rsid w:val="00E95984"/>
    <w:rsid w:val="00E96D03"/>
    <w:rsid w:val="00EA010F"/>
    <w:rsid w:val="00EA039B"/>
    <w:rsid w:val="00EA2455"/>
    <w:rsid w:val="00EA262D"/>
    <w:rsid w:val="00EA4AA3"/>
    <w:rsid w:val="00EA4BCA"/>
    <w:rsid w:val="00EA545A"/>
    <w:rsid w:val="00EA5E4F"/>
    <w:rsid w:val="00EB2461"/>
    <w:rsid w:val="00EC1C2C"/>
    <w:rsid w:val="00EC25B6"/>
    <w:rsid w:val="00EC38BD"/>
    <w:rsid w:val="00EC3F04"/>
    <w:rsid w:val="00ED1B63"/>
    <w:rsid w:val="00ED29E6"/>
    <w:rsid w:val="00ED29EA"/>
    <w:rsid w:val="00ED360C"/>
    <w:rsid w:val="00ED3C1F"/>
    <w:rsid w:val="00ED4085"/>
    <w:rsid w:val="00ED420E"/>
    <w:rsid w:val="00ED6AD8"/>
    <w:rsid w:val="00ED71DF"/>
    <w:rsid w:val="00EE0963"/>
    <w:rsid w:val="00EE1FC9"/>
    <w:rsid w:val="00EE24E3"/>
    <w:rsid w:val="00EE2F57"/>
    <w:rsid w:val="00EE6332"/>
    <w:rsid w:val="00EF132A"/>
    <w:rsid w:val="00EF4C34"/>
    <w:rsid w:val="00EF5291"/>
    <w:rsid w:val="00EF64E8"/>
    <w:rsid w:val="00EF659B"/>
    <w:rsid w:val="00EF77C6"/>
    <w:rsid w:val="00EF7BDE"/>
    <w:rsid w:val="00EF7CA7"/>
    <w:rsid w:val="00F022B4"/>
    <w:rsid w:val="00F0292C"/>
    <w:rsid w:val="00F05438"/>
    <w:rsid w:val="00F0746A"/>
    <w:rsid w:val="00F110A1"/>
    <w:rsid w:val="00F113D8"/>
    <w:rsid w:val="00F118C3"/>
    <w:rsid w:val="00F1361C"/>
    <w:rsid w:val="00F14902"/>
    <w:rsid w:val="00F160C7"/>
    <w:rsid w:val="00F16FDE"/>
    <w:rsid w:val="00F20320"/>
    <w:rsid w:val="00F20532"/>
    <w:rsid w:val="00F21001"/>
    <w:rsid w:val="00F228F9"/>
    <w:rsid w:val="00F248A8"/>
    <w:rsid w:val="00F24E3F"/>
    <w:rsid w:val="00F26D60"/>
    <w:rsid w:val="00F30138"/>
    <w:rsid w:val="00F301B6"/>
    <w:rsid w:val="00F31EA1"/>
    <w:rsid w:val="00F3294D"/>
    <w:rsid w:val="00F354A9"/>
    <w:rsid w:val="00F36D8F"/>
    <w:rsid w:val="00F3744E"/>
    <w:rsid w:val="00F40698"/>
    <w:rsid w:val="00F406E9"/>
    <w:rsid w:val="00F417B1"/>
    <w:rsid w:val="00F460AB"/>
    <w:rsid w:val="00F50AC5"/>
    <w:rsid w:val="00F53E68"/>
    <w:rsid w:val="00F5454E"/>
    <w:rsid w:val="00F559FA"/>
    <w:rsid w:val="00F57903"/>
    <w:rsid w:val="00F602DF"/>
    <w:rsid w:val="00F6390A"/>
    <w:rsid w:val="00F6529E"/>
    <w:rsid w:val="00F6641D"/>
    <w:rsid w:val="00F75CC0"/>
    <w:rsid w:val="00F75CCC"/>
    <w:rsid w:val="00F75F9D"/>
    <w:rsid w:val="00F81FD9"/>
    <w:rsid w:val="00F82490"/>
    <w:rsid w:val="00F8281D"/>
    <w:rsid w:val="00F835D4"/>
    <w:rsid w:val="00F841AA"/>
    <w:rsid w:val="00F845B5"/>
    <w:rsid w:val="00F86932"/>
    <w:rsid w:val="00F875DB"/>
    <w:rsid w:val="00F87E73"/>
    <w:rsid w:val="00F905A4"/>
    <w:rsid w:val="00F92C70"/>
    <w:rsid w:val="00F93633"/>
    <w:rsid w:val="00F93DF5"/>
    <w:rsid w:val="00FA0947"/>
    <w:rsid w:val="00FA23E8"/>
    <w:rsid w:val="00FA2F5B"/>
    <w:rsid w:val="00FA4421"/>
    <w:rsid w:val="00FA4B00"/>
    <w:rsid w:val="00FA525F"/>
    <w:rsid w:val="00FA77AD"/>
    <w:rsid w:val="00FB0BBA"/>
    <w:rsid w:val="00FB1FF4"/>
    <w:rsid w:val="00FB55E6"/>
    <w:rsid w:val="00FC124C"/>
    <w:rsid w:val="00FC1E02"/>
    <w:rsid w:val="00FC3048"/>
    <w:rsid w:val="00FC4660"/>
    <w:rsid w:val="00FC46BC"/>
    <w:rsid w:val="00FC7DEF"/>
    <w:rsid w:val="00FD020D"/>
    <w:rsid w:val="00FD3016"/>
    <w:rsid w:val="00FD3828"/>
    <w:rsid w:val="00FD3CC1"/>
    <w:rsid w:val="00FD5BFE"/>
    <w:rsid w:val="00FE17BC"/>
    <w:rsid w:val="00FE2AD1"/>
    <w:rsid w:val="00FE4DB0"/>
    <w:rsid w:val="00FE5493"/>
    <w:rsid w:val="00FE625C"/>
    <w:rsid w:val="00FF1E02"/>
    <w:rsid w:val="00FF30B4"/>
    <w:rsid w:val="00FF66E8"/>
    <w:rsid w:val="012F3CEB"/>
    <w:rsid w:val="01B354EA"/>
    <w:rsid w:val="01CF32DE"/>
    <w:rsid w:val="01D74DB7"/>
    <w:rsid w:val="01D86637"/>
    <w:rsid w:val="01D95F0B"/>
    <w:rsid w:val="01F04616"/>
    <w:rsid w:val="02C97591"/>
    <w:rsid w:val="037A757D"/>
    <w:rsid w:val="03F359AA"/>
    <w:rsid w:val="043A3897"/>
    <w:rsid w:val="045647CC"/>
    <w:rsid w:val="0463543B"/>
    <w:rsid w:val="048D6B52"/>
    <w:rsid w:val="04A56E6E"/>
    <w:rsid w:val="04D45254"/>
    <w:rsid w:val="04D550AF"/>
    <w:rsid w:val="051A6F96"/>
    <w:rsid w:val="05447E98"/>
    <w:rsid w:val="05C25E8C"/>
    <w:rsid w:val="06951176"/>
    <w:rsid w:val="07001BE1"/>
    <w:rsid w:val="07267DE7"/>
    <w:rsid w:val="07B70A9C"/>
    <w:rsid w:val="088F55D5"/>
    <w:rsid w:val="089C4B49"/>
    <w:rsid w:val="09081517"/>
    <w:rsid w:val="091B747D"/>
    <w:rsid w:val="092E626A"/>
    <w:rsid w:val="096D3B08"/>
    <w:rsid w:val="09A572B6"/>
    <w:rsid w:val="0A19737C"/>
    <w:rsid w:val="0A3C605D"/>
    <w:rsid w:val="0A441619"/>
    <w:rsid w:val="0A4F320E"/>
    <w:rsid w:val="0B0A71B4"/>
    <w:rsid w:val="0B7218AA"/>
    <w:rsid w:val="0B99373B"/>
    <w:rsid w:val="0BA37CB5"/>
    <w:rsid w:val="0BCF6B5B"/>
    <w:rsid w:val="0CB8607E"/>
    <w:rsid w:val="0CC447E0"/>
    <w:rsid w:val="0D0429D6"/>
    <w:rsid w:val="0D093B48"/>
    <w:rsid w:val="0D322E51"/>
    <w:rsid w:val="0D6C338E"/>
    <w:rsid w:val="0D7423C2"/>
    <w:rsid w:val="0DB20807"/>
    <w:rsid w:val="0DB37F58"/>
    <w:rsid w:val="0DB742A8"/>
    <w:rsid w:val="0E6D2010"/>
    <w:rsid w:val="0EC00B7E"/>
    <w:rsid w:val="0F5E6610"/>
    <w:rsid w:val="0FB52B86"/>
    <w:rsid w:val="0FB57FB7"/>
    <w:rsid w:val="0FDB629D"/>
    <w:rsid w:val="0FDC65AB"/>
    <w:rsid w:val="0FFD0B0D"/>
    <w:rsid w:val="103747CF"/>
    <w:rsid w:val="103F4D68"/>
    <w:rsid w:val="10C055FF"/>
    <w:rsid w:val="116A6D7C"/>
    <w:rsid w:val="11761AF6"/>
    <w:rsid w:val="11851C0B"/>
    <w:rsid w:val="11D56DF6"/>
    <w:rsid w:val="11ED6591"/>
    <w:rsid w:val="11F37341"/>
    <w:rsid w:val="11F85D8C"/>
    <w:rsid w:val="13367661"/>
    <w:rsid w:val="136F089E"/>
    <w:rsid w:val="13D81ACD"/>
    <w:rsid w:val="14674C46"/>
    <w:rsid w:val="14D728AA"/>
    <w:rsid w:val="15F1786F"/>
    <w:rsid w:val="1665477F"/>
    <w:rsid w:val="16A60B0B"/>
    <w:rsid w:val="16BB723D"/>
    <w:rsid w:val="16EA46F2"/>
    <w:rsid w:val="17283764"/>
    <w:rsid w:val="17BC7656"/>
    <w:rsid w:val="17EA348C"/>
    <w:rsid w:val="1840212F"/>
    <w:rsid w:val="184656CF"/>
    <w:rsid w:val="186974F6"/>
    <w:rsid w:val="18A94077"/>
    <w:rsid w:val="193C261A"/>
    <w:rsid w:val="19934117"/>
    <w:rsid w:val="19943114"/>
    <w:rsid w:val="19DE22C0"/>
    <w:rsid w:val="1A24311D"/>
    <w:rsid w:val="1AB026BC"/>
    <w:rsid w:val="1ABB32B6"/>
    <w:rsid w:val="1B7451A7"/>
    <w:rsid w:val="1B787B60"/>
    <w:rsid w:val="1BE81A43"/>
    <w:rsid w:val="1BF70747"/>
    <w:rsid w:val="1C06153F"/>
    <w:rsid w:val="1C986C96"/>
    <w:rsid w:val="1D7371C3"/>
    <w:rsid w:val="1DDC2BB3"/>
    <w:rsid w:val="1E34479D"/>
    <w:rsid w:val="1EF81F78"/>
    <w:rsid w:val="1F620905"/>
    <w:rsid w:val="1FD12B34"/>
    <w:rsid w:val="201A6AB0"/>
    <w:rsid w:val="203B66A0"/>
    <w:rsid w:val="204C08C7"/>
    <w:rsid w:val="206D278F"/>
    <w:rsid w:val="211A679A"/>
    <w:rsid w:val="21253DA0"/>
    <w:rsid w:val="21A94BCD"/>
    <w:rsid w:val="21E552DE"/>
    <w:rsid w:val="22857975"/>
    <w:rsid w:val="23844B7E"/>
    <w:rsid w:val="23902475"/>
    <w:rsid w:val="23FA0B3C"/>
    <w:rsid w:val="240371BF"/>
    <w:rsid w:val="2435534E"/>
    <w:rsid w:val="244017F7"/>
    <w:rsid w:val="24534F10"/>
    <w:rsid w:val="24DF6C66"/>
    <w:rsid w:val="252D0733"/>
    <w:rsid w:val="253D03DB"/>
    <w:rsid w:val="253F66D1"/>
    <w:rsid w:val="25A20B86"/>
    <w:rsid w:val="25B1070F"/>
    <w:rsid w:val="25BC6564"/>
    <w:rsid w:val="25DD571A"/>
    <w:rsid w:val="26093FA0"/>
    <w:rsid w:val="262A3B55"/>
    <w:rsid w:val="265C1D1F"/>
    <w:rsid w:val="26A5092E"/>
    <w:rsid w:val="26BB36DB"/>
    <w:rsid w:val="271C31C7"/>
    <w:rsid w:val="271C5A93"/>
    <w:rsid w:val="276F1834"/>
    <w:rsid w:val="27B459F9"/>
    <w:rsid w:val="27C51E91"/>
    <w:rsid w:val="27E82557"/>
    <w:rsid w:val="280173B2"/>
    <w:rsid w:val="28513369"/>
    <w:rsid w:val="285F2D5E"/>
    <w:rsid w:val="28BF6D42"/>
    <w:rsid w:val="28C822A0"/>
    <w:rsid w:val="292D4147"/>
    <w:rsid w:val="292E058E"/>
    <w:rsid w:val="293A3A9D"/>
    <w:rsid w:val="295D49CD"/>
    <w:rsid w:val="29FD04D3"/>
    <w:rsid w:val="2A104310"/>
    <w:rsid w:val="2A3A313B"/>
    <w:rsid w:val="2AEF4C89"/>
    <w:rsid w:val="2C1E1BB4"/>
    <w:rsid w:val="2C2A7611"/>
    <w:rsid w:val="2CAE1BBE"/>
    <w:rsid w:val="2CCF04B2"/>
    <w:rsid w:val="2D26209C"/>
    <w:rsid w:val="2DF079DB"/>
    <w:rsid w:val="2E4C04E0"/>
    <w:rsid w:val="2E67588F"/>
    <w:rsid w:val="2EC1626D"/>
    <w:rsid w:val="2ED54FD5"/>
    <w:rsid w:val="2F803D16"/>
    <w:rsid w:val="2FF22B1D"/>
    <w:rsid w:val="2FF60754"/>
    <w:rsid w:val="2FFE27C4"/>
    <w:rsid w:val="30CB71E3"/>
    <w:rsid w:val="30E36C85"/>
    <w:rsid w:val="31810DA9"/>
    <w:rsid w:val="318F617A"/>
    <w:rsid w:val="31903F88"/>
    <w:rsid w:val="319F7F4E"/>
    <w:rsid w:val="31B56699"/>
    <w:rsid w:val="31B72CAD"/>
    <w:rsid w:val="32004B5E"/>
    <w:rsid w:val="323A1C2F"/>
    <w:rsid w:val="329448A6"/>
    <w:rsid w:val="32F45598"/>
    <w:rsid w:val="33204932"/>
    <w:rsid w:val="332A60CB"/>
    <w:rsid w:val="33447C07"/>
    <w:rsid w:val="338C630E"/>
    <w:rsid w:val="33B2468A"/>
    <w:rsid w:val="345937DD"/>
    <w:rsid w:val="345D075E"/>
    <w:rsid w:val="34DF500B"/>
    <w:rsid w:val="35244754"/>
    <w:rsid w:val="35922314"/>
    <w:rsid w:val="35A26038"/>
    <w:rsid w:val="361C390A"/>
    <w:rsid w:val="364D41F6"/>
    <w:rsid w:val="36700CAF"/>
    <w:rsid w:val="36CE3589"/>
    <w:rsid w:val="36FD0156"/>
    <w:rsid w:val="3734577F"/>
    <w:rsid w:val="373678DA"/>
    <w:rsid w:val="37933F26"/>
    <w:rsid w:val="38207F4E"/>
    <w:rsid w:val="384B5C9F"/>
    <w:rsid w:val="38F04A89"/>
    <w:rsid w:val="38F8371D"/>
    <w:rsid w:val="39226F5F"/>
    <w:rsid w:val="39902098"/>
    <w:rsid w:val="39E7613B"/>
    <w:rsid w:val="39FD5F33"/>
    <w:rsid w:val="39FF1EC0"/>
    <w:rsid w:val="3A213494"/>
    <w:rsid w:val="3A3A0F35"/>
    <w:rsid w:val="3A4E1148"/>
    <w:rsid w:val="3AEA64B7"/>
    <w:rsid w:val="3AF15A98"/>
    <w:rsid w:val="3B8444C4"/>
    <w:rsid w:val="3C8D2F9D"/>
    <w:rsid w:val="3CE0510E"/>
    <w:rsid w:val="3CEA0415"/>
    <w:rsid w:val="3D0E3B71"/>
    <w:rsid w:val="3D1927CA"/>
    <w:rsid w:val="3D1E4B3E"/>
    <w:rsid w:val="3D211014"/>
    <w:rsid w:val="3D6F2272"/>
    <w:rsid w:val="3D8344ED"/>
    <w:rsid w:val="3DFF169C"/>
    <w:rsid w:val="3E03620E"/>
    <w:rsid w:val="3E343C22"/>
    <w:rsid w:val="3E4164DE"/>
    <w:rsid w:val="3E5B3D40"/>
    <w:rsid w:val="3F512FA9"/>
    <w:rsid w:val="3F7C601F"/>
    <w:rsid w:val="3FAC4683"/>
    <w:rsid w:val="3FEA5DFB"/>
    <w:rsid w:val="40035B02"/>
    <w:rsid w:val="401C35B7"/>
    <w:rsid w:val="40EA7211"/>
    <w:rsid w:val="4119235A"/>
    <w:rsid w:val="41677310"/>
    <w:rsid w:val="422C2C46"/>
    <w:rsid w:val="4251506E"/>
    <w:rsid w:val="4254476A"/>
    <w:rsid w:val="42620093"/>
    <w:rsid w:val="42B75819"/>
    <w:rsid w:val="43473EC5"/>
    <w:rsid w:val="43684120"/>
    <w:rsid w:val="43F6411F"/>
    <w:rsid w:val="44261981"/>
    <w:rsid w:val="444F07DA"/>
    <w:rsid w:val="44601E28"/>
    <w:rsid w:val="45260A34"/>
    <w:rsid w:val="46431172"/>
    <w:rsid w:val="46A37366"/>
    <w:rsid w:val="46CB53EF"/>
    <w:rsid w:val="472E4611"/>
    <w:rsid w:val="475E72DC"/>
    <w:rsid w:val="47F514AF"/>
    <w:rsid w:val="48182F89"/>
    <w:rsid w:val="4839282C"/>
    <w:rsid w:val="48FD75BD"/>
    <w:rsid w:val="4921607F"/>
    <w:rsid w:val="49243056"/>
    <w:rsid w:val="494C4A06"/>
    <w:rsid w:val="49880C90"/>
    <w:rsid w:val="4A113668"/>
    <w:rsid w:val="4A277A41"/>
    <w:rsid w:val="4A745623"/>
    <w:rsid w:val="4A92339E"/>
    <w:rsid w:val="4B187071"/>
    <w:rsid w:val="4B2B2DCB"/>
    <w:rsid w:val="4B6A5BC2"/>
    <w:rsid w:val="4B6D2BD3"/>
    <w:rsid w:val="4BAB468D"/>
    <w:rsid w:val="4C655A76"/>
    <w:rsid w:val="4C7555EC"/>
    <w:rsid w:val="4CA95909"/>
    <w:rsid w:val="4CE729DC"/>
    <w:rsid w:val="4D135D42"/>
    <w:rsid w:val="4D846266"/>
    <w:rsid w:val="4D8D78A2"/>
    <w:rsid w:val="4DF123A8"/>
    <w:rsid w:val="4E290981"/>
    <w:rsid w:val="4E832A53"/>
    <w:rsid w:val="4E9E44C2"/>
    <w:rsid w:val="4EBC1A30"/>
    <w:rsid w:val="4EF52B06"/>
    <w:rsid w:val="4EF85249"/>
    <w:rsid w:val="4F395B30"/>
    <w:rsid w:val="4F3B530F"/>
    <w:rsid w:val="4F6F7A34"/>
    <w:rsid w:val="4FC96B8B"/>
    <w:rsid w:val="4FD51CD8"/>
    <w:rsid w:val="4FD74194"/>
    <w:rsid w:val="4FDA49F5"/>
    <w:rsid w:val="50AE413E"/>
    <w:rsid w:val="51244F57"/>
    <w:rsid w:val="51277588"/>
    <w:rsid w:val="51E1640E"/>
    <w:rsid w:val="51EE42CA"/>
    <w:rsid w:val="52195E38"/>
    <w:rsid w:val="52302EF2"/>
    <w:rsid w:val="52352944"/>
    <w:rsid w:val="526E48F5"/>
    <w:rsid w:val="52AB2578"/>
    <w:rsid w:val="52CF37BB"/>
    <w:rsid w:val="52ED6284"/>
    <w:rsid w:val="5322283B"/>
    <w:rsid w:val="532B0C13"/>
    <w:rsid w:val="53362781"/>
    <w:rsid w:val="533D4F08"/>
    <w:rsid w:val="53B96C98"/>
    <w:rsid w:val="53BA6F17"/>
    <w:rsid w:val="53BE2B80"/>
    <w:rsid w:val="53E045A1"/>
    <w:rsid w:val="54136CE6"/>
    <w:rsid w:val="541505F1"/>
    <w:rsid w:val="542D2749"/>
    <w:rsid w:val="54992FD0"/>
    <w:rsid w:val="552117E0"/>
    <w:rsid w:val="55872E29"/>
    <w:rsid w:val="55923320"/>
    <w:rsid w:val="56A96DCF"/>
    <w:rsid w:val="56D0674C"/>
    <w:rsid w:val="57120E18"/>
    <w:rsid w:val="57D23F06"/>
    <w:rsid w:val="587360E8"/>
    <w:rsid w:val="58AB1524"/>
    <w:rsid w:val="58BA52C3"/>
    <w:rsid w:val="58BC5D23"/>
    <w:rsid w:val="58E34992"/>
    <w:rsid w:val="59177DCC"/>
    <w:rsid w:val="5950329C"/>
    <w:rsid w:val="59E040FC"/>
    <w:rsid w:val="59E11CD3"/>
    <w:rsid w:val="5A857BDE"/>
    <w:rsid w:val="5B2A4567"/>
    <w:rsid w:val="5B363131"/>
    <w:rsid w:val="5BE202EA"/>
    <w:rsid w:val="5BF6533F"/>
    <w:rsid w:val="5C3F1F3A"/>
    <w:rsid w:val="5CAD7C22"/>
    <w:rsid w:val="5CE95B0C"/>
    <w:rsid w:val="5CFA7F1D"/>
    <w:rsid w:val="5D577E65"/>
    <w:rsid w:val="5D6F6B2F"/>
    <w:rsid w:val="5E1B5547"/>
    <w:rsid w:val="5E2506F8"/>
    <w:rsid w:val="5E5E7F75"/>
    <w:rsid w:val="5E9300A5"/>
    <w:rsid w:val="5EA316D6"/>
    <w:rsid w:val="5ECE1AC8"/>
    <w:rsid w:val="5EF556B7"/>
    <w:rsid w:val="5F3A07D2"/>
    <w:rsid w:val="5F593A88"/>
    <w:rsid w:val="5FE356D0"/>
    <w:rsid w:val="5FF901AE"/>
    <w:rsid w:val="60651EAC"/>
    <w:rsid w:val="60BB3927"/>
    <w:rsid w:val="60D90A6C"/>
    <w:rsid w:val="6200749A"/>
    <w:rsid w:val="620F0B35"/>
    <w:rsid w:val="6240022D"/>
    <w:rsid w:val="629D10C5"/>
    <w:rsid w:val="62A42EE2"/>
    <w:rsid w:val="62BE686B"/>
    <w:rsid w:val="62F14F12"/>
    <w:rsid w:val="630D013F"/>
    <w:rsid w:val="63347FC4"/>
    <w:rsid w:val="63604CB9"/>
    <w:rsid w:val="63C811DC"/>
    <w:rsid w:val="64A36D0B"/>
    <w:rsid w:val="64C656C1"/>
    <w:rsid w:val="64F77166"/>
    <w:rsid w:val="65201386"/>
    <w:rsid w:val="657F4183"/>
    <w:rsid w:val="658466A7"/>
    <w:rsid w:val="6596487B"/>
    <w:rsid w:val="65DF63C9"/>
    <w:rsid w:val="65E950BC"/>
    <w:rsid w:val="662A7F2C"/>
    <w:rsid w:val="66627873"/>
    <w:rsid w:val="66A86FE5"/>
    <w:rsid w:val="66D65FFA"/>
    <w:rsid w:val="66EF65FD"/>
    <w:rsid w:val="672E16AC"/>
    <w:rsid w:val="67C24194"/>
    <w:rsid w:val="67EB36EB"/>
    <w:rsid w:val="68DA2DB6"/>
    <w:rsid w:val="69725134"/>
    <w:rsid w:val="6B4666B6"/>
    <w:rsid w:val="6B5720D9"/>
    <w:rsid w:val="6B772B53"/>
    <w:rsid w:val="6B944228"/>
    <w:rsid w:val="6BB306BC"/>
    <w:rsid w:val="6CC85DA9"/>
    <w:rsid w:val="6CD11908"/>
    <w:rsid w:val="6CF71C10"/>
    <w:rsid w:val="6D2A5F93"/>
    <w:rsid w:val="6D8F2D6B"/>
    <w:rsid w:val="6DB91990"/>
    <w:rsid w:val="6DC31436"/>
    <w:rsid w:val="6E6F4E2B"/>
    <w:rsid w:val="6ECB49CF"/>
    <w:rsid w:val="6ECB5A2B"/>
    <w:rsid w:val="6EF530A1"/>
    <w:rsid w:val="6F3E4099"/>
    <w:rsid w:val="6F4D197C"/>
    <w:rsid w:val="6F716B39"/>
    <w:rsid w:val="6F806E0F"/>
    <w:rsid w:val="6FAB3ED6"/>
    <w:rsid w:val="70202A42"/>
    <w:rsid w:val="70375FC5"/>
    <w:rsid w:val="70ED3F4C"/>
    <w:rsid w:val="71495716"/>
    <w:rsid w:val="71B27028"/>
    <w:rsid w:val="71B976FD"/>
    <w:rsid w:val="721C1292"/>
    <w:rsid w:val="72227D09"/>
    <w:rsid w:val="72E476B5"/>
    <w:rsid w:val="72F22338"/>
    <w:rsid w:val="73327580"/>
    <w:rsid w:val="733572FD"/>
    <w:rsid w:val="7337685D"/>
    <w:rsid w:val="733E5017"/>
    <w:rsid w:val="73BE3A62"/>
    <w:rsid w:val="74114753"/>
    <w:rsid w:val="746C7E4B"/>
    <w:rsid w:val="750E6C6B"/>
    <w:rsid w:val="755E374E"/>
    <w:rsid w:val="756A088D"/>
    <w:rsid w:val="75884CEA"/>
    <w:rsid w:val="75B310E7"/>
    <w:rsid w:val="75B318F4"/>
    <w:rsid w:val="75BE637D"/>
    <w:rsid w:val="75CF601C"/>
    <w:rsid w:val="761A4623"/>
    <w:rsid w:val="76377F56"/>
    <w:rsid w:val="764B35A7"/>
    <w:rsid w:val="769E6A57"/>
    <w:rsid w:val="77661901"/>
    <w:rsid w:val="776963DA"/>
    <w:rsid w:val="77B238DE"/>
    <w:rsid w:val="787B510B"/>
    <w:rsid w:val="78942624"/>
    <w:rsid w:val="78A4106B"/>
    <w:rsid w:val="790979AA"/>
    <w:rsid w:val="79975481"/>
    <w:rsid w:val="79B4511D"/>
    <w:rsid w:val="79F60BE5"/>
    <w:rsid w:val="7A1161AB"/>
    <w:rsid w:val="7A1B4027"/>
    <w:rsid w:val="7A8E41D1"/>
    <w:rsid w:val="7A965738"/>
    <w:rsid w:val="7ABC1C9C"/>
    <w:rsid w:val="7B022DCE"/>
    <w:rsid w:val="7B272834"/>
    <w:rsid w:val="7B653495"/>
    <w:rsid w:val="7B8F71DF"/>
    <w:rsid w:val="7C1568F9"/>
    <w:rsid w:val="7CB2612E"/>
    <w:rsid w:val="7CC25607"/>
    <w:rsid w:val="7CD14670"/>
    <w:rsid w:val="7D0C3355"/>
    <w:rsid w:val="7D5947FB"/>
    <w:rsid w:val="7DE859ED"/>
    <w:rsid w:val="7E4C610E"/>
    <w:rsid w:val="7E64377F"/>
    <w:rsid w:val="7EA725AB"/>
    <w:rsid w:val="7ECA59B1"/>
    <w:rsid w:val="7F09108F"/>
    <w:rsid w:val="7FDC49A0"/>
    <w:rsid w:val="CCFEFC0A"/>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nhideWhenUsed="0" w:uiPriority="0" w:name="footnote text"/>
    <w:lsdException w:qFormat="1"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nhideWhenUsed="0" w:uiPriority="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2">
    <w:name w:val="heading 1"/>
    <w:basedOn w:val="1"/>
    <w:next w:val="1"/>
    <w:link w:val="39"/>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link w:val="35"/>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link w:val="38"/>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22">
    <w:name w:val="Default Paragraph Font"/>
    <w:semiHidden/>
    <w:qFormat/>
    <w:uiPriority w:val="0"/>
  </w:style>
  <w:style w:type="table" w:default="1" w:styleId="21">
    <w:name w:val="Normal Table"/>
    <w:semiHidden/>
    <w:qFormat/>
    <w:uiPriority w:val="0"/>
    <w:tblPr>
      <w:tblCellMar>
        <w:top w:w="0" w:type="dxa"/>
        <w:left w:w="108" w:type="dxa"/>
        <w:bottom w:w="0" w:type="dxa"/>
        <w:right w:w="108" w:type="dxa"/>
      </w:tblCellMar>
    </w:tblPr>
  </w:style>
  <w:style w:type="paragraph" w:styleId="5">
    <w:name w:val="Normal Indent"/>
    <w:basedOn w:val="1"/>
    <w:unhideWhenUsed/>
    <w:qFormat/>
    <w:uiPriority w:val="99"/>
    <w:pPr>
      <w:ind w:firstLine="680"/>
    </w:pPr>
  </w:style>
  <w:style w:type="paragraph" w:styleId="6">
    <w:name w:val="annotation text"/>
    <w:basedOn w:val="1"/>
    <w:semiHidden/>
    <w:unhideWhenUsed/>
    <w:qFormat/>
    <w:uiPriority w:val="99"/>
    <w:pPr>
      <w:jc w:val="left"/>
    </w:pPr>
  </w:style>
  <w:style w:type="paragraph" w:styleId="7">
    <w:name w:val="Body Text"/>
    <w:basedOn w:val="1"/>
    <w:link w:val="32"/>
    <w:qFormat/>
    <w:uiPriority w:val="99"/>
    <w:pPr>
      <w:spacing w:beforeLines="30"/>
    </w:pPr>
    <w:rPr>
      <w:rFonts w:ascii="仿宋_GB2312" w:eastAsia="仿宋_GB2312"/>
      <w:kern w:val="0"/>
      <w:sz w:val="30"/>
    </w:rPr>
  </w:style>
  <w:style w:type="paragraph" w:styleId="8">
    <w:name w:val="Body Text Indent"/>
    <w:basedOn w:val="1"/>
    <w:qFormat/>
    <w:uiPriority w:val="0"/>
    <w:pPr>
      <w:ind w:firstLine="560"/>
      <w:textAlignment w:val="baseline"/>
    </w:pPr>
    <w:rPr>
      <w:kern w:val="0"/>
      <w:sz w:val="28"/>
    </w:rPr>
  </w:style>
  <w:style w:type="paragraph" w:styleId="9">
    <w:name w:val="toc 3"/>
    <w:basedOn w:val="1"/>
    <w:next w:val="1"/>
    <w:qFormat/>
    <w:uiPriority w:val="0"/>
    <w:pPr>
      <w:tabs>
        <w:tab w:val="right" w:leader="dot" w:pos="8296"/>
      </w:tabs>
      <w:ind w:left="840"/>
    </w:pPr>
    <w:rPr>
      <w:rFonts w:ascii="方正仿宋_GBK" w:eastAsia="方正仿宋_GBK"/>
      <w:sz w:val="32"/>
      <w:szCs w:val="32"/>
    </w:rPr>
  </w:style>
  <w:style w:type="paragraph" w:styleId="10">
    <w:name w:val="Plain Text"/>
    <w:basedOn w:val="1"/>
    <w:qFormat/>
    <w:uiPriority w:val="99"/>
    <w:pPr>
      <w:spacing w:line="240" w:lineRule="auto"/>
      <w:ind w:firstLine="0" w:firstLineChars="0"/>
    </w:pPr>
    <w:rPr>
      <w:rFonts w:ascii="宋体" w:hAnsi="Courier New"/>
      <w:sz w:val="21"/>
      <w:szCs w:val="20"/>
    </w:rPr>
  </w:style>
  <w:style w:type="paragraph" w:styleId="11">
    <w:name w:val="Balloon Text"/>
    <w:basedOn w:val="1"/>
    <w:link w:val="37"/>
    <w:semiHidden/>
    <w:unhideWhenUsed/>
    <w:qFormat/>
    <w:uiPriority w:val="99"/>
    <w:rPr>
      <w:sz w:val="18"/>
      <w:szCs w:val="18"/>
    </w:rPr>
  </w:style>
  <w:style w:type="paragraph" w:styleId="12">
    <w:name w:val="footer"/>
    <w:basedOn w:val="1"/>
    <w:link w:val="30"/>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8"/>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footnote text"/>
    <w:basedOn w:val="1"/>
    <w:next w:val="16"/>
    <w:semiHidden/>
    <w:qFormat/>
    <w:uiPriority w:val="0"/>
    <w:pPr>
      <w:snapToGrid w:val="0"/>
      <w:jc w:val="left"/>
    </w:pPr>
    <w:rPr>
      <w:sz w:val="18"/>
      <w:szCs w:val="18"/>
    </w:rPr>
  </w:style>
  <w:style w:type="paragraph" w:styleId="16">
    <w:name w:val="Body Text First Indent 2"/>
    <w:basedOn w:val="8"/>
    <w:qFormat/>
    <w:uiPriority w:val="0"/>
    <w:pPr>
      <w:adjustRightInd/>
      <w:snapToGrid/>
      <w:spacing w:after="120" w:line="240" w:lineRule="auto"/>
      <w:ind w:left="200" w:leftChars="200" w:firstLine="200" w:firstLineChars="200"/>
      <w:textAlignment w:val="auto"/>
    </w:pPr>
    <w:rPr>
      <w:kern w:val="2"/>
      <w:sz w:val="21"/>
      <w:szCs w:val="24"/>
    </w:rPr>
  </w:style>
  <w:style w:type="paragraph" w:styleId="17">
    <w:name w:val="table of figures"/>
    <w:basedOn w:val="1"/>
    <w:next w:val="1"/>
    <w:qFormat/>
    <w:uiPriority w:val="0"/>
    <w:pPr>
      <w:ind w:left="200" w:leftChars="200" w:hanging="200" w:hangingChars="200"/>
    </w:pPr>
  </w:style>
  <w:style w:type="paragraph" w:styleId="18">
    <w:name w:val="toc 2"/>
    <w:basedOn w:val="1"/>
    <w:next w:val="1"/>
    <w:unhideWhenUsed/>
    <w:qFormat/>
    <w:uiPriority w:val="39"/>
    <w:pPr>
      <w:tabs>
        <w:tab w:val="right" w:leader="dot" w:pos="8296"/>
      </w:tabs>
      <w:ind w:left="420" w:leftChars="200"/>
    </w:pPr>
  </w:style>
  <w:style w:type="paragraph" w:styleId="19">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20">
    <w:name w:val="Normal (Web)"/>
    <w:basedOn w:val="1"/>
    <w:unhideWhenUsed/>
    <w:qFormat/>
    <w:uiPriority w:val="99"/>
    <w:pPr>
      <w:widowControl/>
      <w:jc w:val="left"/>
    </w:pPr>
    <w:rPr>
      <w:rFonts w:ascii="宋体" w:hAnsi="宋体" w:cs="宋体"/>
      <w:kern w:val="0"/>
      <w:sz w:val="24"/>
    </w:rPr>
  </w:style>
  <w:style w:type="character" w:styleId="23">
    <w:name w:val="Strong"/>
    <w:basedOn w:val="22"/>
    <w:qFormat/>
    <w:uiPriority w:val="99"/>
    <w:rPr>
      <w:b/>
    </w:rPr>
  </w:style>
  <w:style w:type="character" w:styleId="24">
    <w:name w:val="Hyperlink"/>
    <w:basedOn w:val="22"/>
    <w:unhideWhenUsed/>
    <w:qFormat/>
    <w:uiPriority w:val="99"/>
    <w:rPr>
      <w:color w:val="0000FF" w:themeColor="hyperlink"/>
      <w:u w:val="single"/>
      <w14:textFill>
        <w14:solidFill>
          <w14:schemeClr w14:val="hlink"/>
        </w14:solidFill>
      </w14:textFill>
    </w:rPr>
  </w:style>
  <w:style w:type="character" w:styleId="25">
    <w:name w:val="annotation reference"/>
    <w:basedOn w:val="22"/>
    <w:semiHidden/>
    <w:unhideWhenUsed/>
    <w:qFormat/>
    <w:uiPriority w:val="99"/>
    <w:rPr>
      <w:sz w:val="21"/>
      <w:szCs w:val="21"/>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character" w:customStyle="1" w:styleId="27">
    <w:name w:val="Header Char"/>
    <w:basedOn w:val="22"/>
    <w:semiHidden/>
    <w:qFormat/>
    <w:uiPriority w:val="99"/>
    <w:rPr>
      <w:rFonts w:ascii="Times New Roman" w:hAnsi="Times New Roman"/>
      <w:sz w:val="18"/>
      <w:szCs w:val="18"/>
    </w:rPr>
  </w:style>
  <w:style w:type="character" w:customStyle="1" w:styleId="28">
    <w:name w:val="页眉 字符"/>
    <w:link w:val="13"/>
    <w:semiHidden/>
    <w:qFormat/>
    <w:locked/>
    <w:uiPriority w:val="99"/>
    <w:rPr>
      <w:sz w:val="18"/>
    </w:rPr>
  </w:style>
  <w:style w:type="character" w:customStyle="1" w:styleId="29">
    <w:name w:val="Footer Char"/>
    <w:basedOn w:val="22"/>
    <w:semiHidden/>
    <w:qFormat/>
    <w:uiPriority w:val="99"/>
    <w:rPr>
      <w:rFonts w:ascii="Times New Roman" w:hAnsi="Times New Roman"/>
      <w:sz w:val="18"/>
      <w:szCs w:val="18"/>
    </w:rPr>
  </w:style>
  <w:style w:type="character" w:customStyle="1" w:styleId="30">
    <w:name w:val="页脚 字符"/>
    <w:link w:val="12"/>
    <w:qFormat/>
    <w:locked/>
    <w:uiPriority w:val="99"/>
    <w:rPr>
      <w:sz w:val="18"/>
    </w:rPr>
  </w:style>
  <w:style w:type="character" w:customStyle="1" w:styleId="31">
    <w:name w:val="Body Text Char"/>
    <w:basedOn w:val="22"/>
    <w:semiHidden/>
    <w:qFormat/>
    <w:uiPriority w:val="99"/>
    <w:rPr>
      <w:rFonts w:ascii="Times New Roman" w:hAnsi="Times New Roman"/>
      <w:szCs w:val="24"/>
    </w:rPr>
  </w:style>
  <w:style w:type="character" w:customStyle="1" w:styleId="32">
    <w:name w:val="正文文本 字符"/>
    <w:link w:val="7"/>
    <w:qFormat/>
    <w:locked/>
    <w:uiPriority w:val="99"/>
    <w:rPr>
      <w:rFonts w:ascii="仿宋_GB2312" w:hAnsi="Times New Roman" w:eastAsia="仿宋_GB2312"/>
      <w:sz w:val="24"/>
    </w:rPr>
  </w:style>
  <w:style w:type="paragraph" w:styleId="33">
    <w:name w:val="List Paragraph"/>
    <w:basedOn w:val="1"/>
    <w:qFormat/>
    <w:uiPriority w:val="34"/>
    <w:pPr>
      <w:ind w:firstLine="420" w:firstLineChars="200"/>
    </w:pPr>
  </w:style>
  <w:style w:type="character" w:customStyle="1" w:styleId="34">
    <w:name w:val="标题 1 字符"/>
    <w:basedOn w:val="22"/>
    <w:link w:val="2"/>
    <w:qFormat/>
    <w:uiPriority w:val="9"/>
    <w:rPr>
      <w:rFonts w:ascii="Times New Roman" w:hAnsi="Times New Roman"/>
      <w:b/>
      <w:bCs/>
      <w:kern w:val="44"/>
      <w:sz w:val="44"/>
      <w:szCs w:val="44"/>
    </w:rPr>
  </w:style>
  <w:style w:type="character" w:customStyle="1" w:styleId="35">
    <w:name w:val="标题 2 字符"/>
    <w:basedOn w:val="22"/>
    <w:link w:val="3"/>
    <w:qFormat/>
    <w:uiPriority w:val="9"/>
    <w:rPr>
      <w:rFonts w:asciiTheme="majorHAnsi" w:hAnsiTheme="majorHAnsi" w:eastAsiaTheme="majorEastAsia" w:cstheme="majorBidi"/>
      <w:b/>
      <w:bCs/>
      <w:kern w:val="2"/>
      <w:sz w:val="32"/>
      <w:szCs w:val="32"/>
    </w:rPr>
  </w:style>
  <w:style w:type="paragraph" w:customStyle="1" w:styleId="36">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7">
    <w:name w:val="批注框文本 字符"/>
    <w:basedOn w:val="22"/>
    <w:link w:val="11"/>
    <w:semiHidden/>
    <w:qFormat/>
    <w:uiPriority w:val="99"/>
    <w:rPr>
      <w:rFonts w:ascii="Times New Roman" w:hAnsi="Times New Roman"/>
      <w:kern w:val="2"/>
      <w:sz w:val="18"/>
      <w:szCs w:val="18"/>
    </w:rPr>
  </w:style>
  <w:style w:type="character" w:customStyle="1" w:styleId="38">
    <w:name w:val="标题 3 字符"/>
    <w:basedOn w:val="22"/>
    <w:link w:val="4"/>
    <w:qFormat/>
    <w:uiPriority w:val="9"/>
    <w:rPr>
      <w:rFonts w:ascii="Times New Roman" w:hAnsi="Times New Roman"/>
      <w:b/>
      <w:bCs/>
      <w:kern w:val="2"/>
      <w:sz w:val="32"/>
      <w:szCs w:val="32"/>
    </w:rPr>
  </w:style>
  <w:style w:type="character" w:customStyle="1" w:styleId="39">
    <w:name w:val="标题 1 Char"/>
    <w:basedOn w:val="22"/>
    <w:link w:val="2"/>
    <w:qFormat/>
    <w:uiPriority w:val="9"/>
    <w:rPr>
      <w:b/>
      <w:bCs/>
      <w:kern w:val="44"/>
      <w:sz w:val="44"/>
      <w:szCs w:val="44"/>
    </w:rPr>
  </w:style>
  <w:style w:type="paragraph" w:customStyle="1" w:styleId="40">
    <w:name w:val="文档正文"/>
    <w:basedOn w:val="1"/>
    <w:next w:val="16"/>
    <w:qFormat/>
    <w:uiPriority w:val="99"/>
    <w:pPr>
      <w:adjustRightInd w:val="0"/>
      <w:spacing w:line="480" w:lineRule="atLeast"/>
      <w:textAlignment w:val="baseline"/>
    </w:pPr>
    <w:rPr>
      <w:rFonts w:hAnsi="Arial"/>
      <w:kern w:val="0"/>
    </w:rPr>
  </w:style>
  <w:style w:type="paragraph" w:customStyle="1" w:styleId="41">
    <w:name w:val="文档正文1"/>
    <w:basedOn w:val="1"/>
    <w:qFormat/>
    <w:uiPriority w:val="99"/>
    <w:pPr>
      <w:adjustRightInd w:val="0"/>
      <w:spacing w:line="480" w:lineRule="atLeast"/>
      <w:textAlignment w:val="baseline"/>
    </w:pPr>
    <w:rPr>
      <w:rFonts w:hAnsi="Arial"/>
      <w:kern w:val="0"/>
    </w:rPr>
  </w:style>
  <w:style w:type="paragraph" w:customStyle="1" w:styleId="42">
    <w:name w:val="3级标题"/>
    <w:basedOn w:val="1"/>
    <w:qFormat/>
    <w:uiPriority w:val="0"/>
    <w:pPr>
      <w:spacing w:line="360" w:lineRule="auto"/>
      <w:outlineLvl w:val="2"/>
    </w:pPr>
    <w:rPr>
      <w:rFonts w:ascii="黑体" w:hAnsi="黑体" w:eastAsia="黑体"/>
      <w:b/>
      <w:bCs/>
      <w:color w:val="000000" w:themeColor="text1"/>
      <w:sz w:val="28"/>
      <w:szCs w:val="28"/>
      <w14:textFill>
        <w14:solidFill>
          <w14:schemeClr w14:val="tx1"/>
        </w14:solidFill>
      </w14:textFill>
    </w:rPr>
  </w:style>
  <w:style w:type="paragraph" w:customStyle="1" w:styleId="43">
    <w:name w:val="文本1"/>
    <w:basedOn w:val="1"/>
    <w:qFormat/>
    <w:uiPriority w:val="0"/>
    <w:pPr>
      <w:adjustRightInd w:val="0"/>
      <w:snapToGrid w:val="0"/>
      <w:spacing w:line="360" w:lineRule="auto"/>
      <w:ind w:firstLine="1040" w:firstLineChars="200"/>
    </w:pPr>
    <w:rPr>
      <w:rFonts w:ascii="Times New Roman" w:hAnsi="Times New Roman" w:eastAsia="宋体" w:cs="宋体"/>
      <w:sz w:val="24"/>
      <w:szCs w:val="24"/>
    </w:rPr>
  </w:style>
  <w:style w:type="paragraph" w:customStyle="1" w:styleId="44">
    <w:name w:val="2级标题"/>
    <w:basedOn w:val="1"/>
    <w:qFormat/>
    <w:uiPriority w:val="0"/>
    <w:pPr>
      <w:spacing w:line="360" w:lineRule="auto"/>
      <w:jc w:val="left"/>
      <w:outlineLvl w:val="1"/>
    </w:pPr>
    <w:rPr>
      <w:rFonts w:ascii="黑体" w:hAnsi="黑体" w:eastAsia="黑体"/>
      <w:b/>
      <w:bCs/>
      <w:color w:val="000000" w:themeColor="text1"/>
      <w:sz w:val="30"/>
      <w:szCs w:val="30"/>
      <w14:textFill>
        <w14:solidFill>
          <w14:schemeClr w14:val="tx1"/>
        </w14:solidFill>
      </w14:textFill>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rtlCol="0" anchor="t" anchorCtr="1"/>
          <a:lstStyle/>
          <a:p>
            <a:pPr algn="l">
              <a:defRPr lang="zh-CN" sz="1800" b="1" i="0" u="none" strike="noStrike" kern="1200" baseline="0">
                <a:solidFill>
                  <a:schemeClr val="tx1"/>
                </a:solidFill>
                <a:latin typeface="+mn-lt"/>
                <a:ea typeface="+mn-ea"/>
                <a:cs typeface="+mn-cs"/>
              </a:defRPr>
            </a:pPr>
            <a:r>
              <a:rPr lang="zh-CN" sz="1200"/>
              <a:t>收、支决算总计变动情况图</a:t>
            </a:r>
            <a:endParaRPr lang="en-US" sz="1200"/>
          </a:p>
        </c:rich>
      </c:tx>
      <c:layout/>
      <c:overlay val="0"/>
    </c:title>
    <c:autoTitleDeleted val="0"/>
    <c:plotArea>
      <c:layout>
        <c:manualLayout>
          <c:layoutTarget val="inner"/>
          <c:xMode val="edge"/>
          <c:yMode val="edge"/>
          <c:x val="0.0559816218099468"/>
          <c:y val="0.247865112907836"/>
          <c:w val="0.800713012477719"/>
          <c:h val="0.654027777777778"/>
        </c:manualLayout>
      </c:layout>
      <c:barChart>
        <c:barDir val="col"/>
        <c:grouping val="clustered"/>
        <c:varyColors val="0"/>
        <c:ser>
          <c:idx val="1"/>
          <c:order val="0"/>
          <c:tx>
            <c:strRef>
              <c:f>收支总计</c:f>
              <c:strCache>
                <c:ptCount val="1"/>
                <c:pt idx="0">
                  <c:v>收支总计</c:v>
                </c:pt>
              </c:strCache>
            </c:strRef>
          </c:tx>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rPr lang="en-US" altLang="zh-CN"/>
                      <a:t>2762.86</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{"2025","2024"}</c:f>
              <c:numCache>
                <c:formatCode>General</c:formatCode>
                <c:ptCount val="2"/>
                <c:pt idx="0">
                  <c:v>2025</c:v>
                </c:pt>
                <c:pt idx="1">
                  <c:v>2024</c:v>
                </c:pt>
              </c:numCache>
            </c:numRef>
          </c:cat>
          <c:val>
            <c:numRef>
              <c:f>{3447.9,2605.59}</c:f>
              <c:numCache>
                <c:formatCode>General</c:formatCode>
                <c:ptCount val="2"/>
                <c:pt idx="0">
                  <c:v>3447.9</c:v>
                </c:pt>
                <c:pt idx="1">
                  <c:v>2605.59</c:v>
                </c:pt>
              </c:numCache>
            </c:numRef>
          </c:val>
        </c:ser>
        <c:dLbls>
          <c:showLegendKey val="0"/>
          <c:showVal val="1"/>
          <c:showCatName val="0"/>
          <c:showSerName val="0"/>
          <c:showPercent val="0"/>
          <c:showBubbleSize val="0"/>
        </c:dLbls>
        <c:gapWidth val="41"/>
        <c:axId val="261387392"/>
        <c:axId val="261388928"/>
      </c:barChart>
      <c:catAx>
        <c:axId val="261387392"/>
        <c:scaling>
          <c:orientation val="minMax"/>
        </c:scaling>
        <c:delete val="0"/>
        <c:axPos val="b"/>
        <c:title>
          <c:tx>
            <c:rich>
              <a:bodyPr rot="0" spcFirstLastPara="0" vertOverflow="ellipsis" vert="horz" wrap="square" rtlCol="0" anchor="t" anchorCtr="1"/>
              <a:lstStyle/>
              <a:p>
                <a:pPr algn="l">
                  <a:defRPr lang="zh-CN" sz="1000" b="1" i="0" u="none" strike="noStrike" kern="1200" baseline="0">
                    <a:solidFill>
                      <a:schemeClr val="tx1"/>
                    </a:solidFill>
                    <a:latin typeface="+mn-lt"/>
                    <a:ea typeface="+mn-ea"/>
                    <a:cs typeface="+mn-cs"/>
                  </a:defRPr>
                </a:pPr>
                <a:r>
                  <a:rPr lang="zh-CN"/>
                  <a:t>单位：万元</a:t>
                </a:r>
                <a:endParaRPr lang="en-US" sz="1100"/>
              </a:p>
            </c:rich>
          </c:tx>
          <c:layout/>
          <c:overlay val="0"/>
        </c:title>
        <c:numFmt formatCode="General" sourceLinked="0"/>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dk1">
                    <a:lumMod val="65000"/>
                    <a:lumOff val="35000"/>
                  </a:schemeClr>
                </a:solidFill>
                <a:effectLst/>
                <a:latin typeface="+mn-lt"/>
                <a:ea typeface="+mn-ea"/>
                <a:cs typeface="+mn-cs"/>
              </a:defRPr>
            </a:pPr>
          </a:p>
        </c:txPr>
        <c:crossAx val="261388928"/>
        <c:crosses val="autoZero"/>
        <c:auto val="1"/>
        <c:lblAlgn val="ctr"/>
        <c:lblOffset val="100"/>
        <c:noMultiLvlLbl val="0"/>
      </c:catAx>
      <c:valAx>
        <c:axId val="261388928"/>
        <c:scaling>
          <c:orientation val="minMax"/>
        </c:scaling>
        <c:delete val="1"/>
        <c:axPos val="l"/>
        <c:title>
          <c:tx>
            <c:rich>
              <a:bodyPr rot="-5400000" spcFirstLastPara="0" vertOverflow="ellipsis" vert="horz" wrap="square" rtlCol="0" anchor="t" anchorCtr="1"/>
              <a:lstStyle/>
              <a:p>
                <a:pPr algn="l">
                  <a:defRPr lang="zh-CN" sz="1000" b="1" i="0" u="none" strike="noStrike" kern="1200" baseline="0">
                    <a:solidFill>
                      <a:schemeClr val="tx1"/>
                    </a:solidFill>
                    <a:latin typeface="+mn-lt"/>
                    <a:ea typeface="+mn-ea"/>
                    <a:cs typeface="+mn-cs"/>
                  </a:defRPr>
                </a:pPr>
                <a:r>
                  <a:rPr lang="zh-CN"/>
                  <a:t> </a:t>
                </a:r>
                <a:endParaRPr lang="en-US" sz="1100"/>
              </a:p>
            </c:rich>
          </c:tx>
          <c:layout/>
          <c:overlay val="0"/>
        </c:title>
        <c:numFmt formatCode="General" sourceLinked="1"/>
        <c:majorTickMark val="none"/>
        <c:minorTickMark val="none"/>
        <c:tickLblPos val="none"/>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61387392"/>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rtlCol="0" anchor="t" anchorCtr="1"/>
          <a:lstStyle/>
          <a:p>
            <a:pPr algn="l">
              <a:defRPr lang="zh-CN" sz="1800" b="1" i="0" u="none" strike="noStrike" kern="1200" baseline="0">
                <a:solidFill>
                  <a:schemeClr val="tx1"/>
                </a:solidFill>
                <a:latin typeface="+mn-lt"/>
                <a:ea typeface="+mn-ea"/>
                <a:cs typeface="+mn-cs"/>
              </a:defRPr>
            </a:pPr>
            <a:r>
              <a:rPr lang="zh-CN" sz="1200"/>
              <a:t>收入决算结构图</a:t>
            </a:r>
            <a:endParaRPr lang="zh-CN" sz="1200"/>
          </a:p>
        </c:rich>
      </c:tx>
      <c:layout/>
      <c:overlay val="0"/>
    </c:title>
    <c:autoTitleDeleted val="0"/>
    <c:plotArea>
      <c:layout/>
      <c:pieChart>
        <c:varyColors val="1"/>
        <c:ser>
          <c:idx val="1"/>
          <c:order val="0"/>
          <c:explosion val="0"/>
          <c:dPt>
            <c:idx val="0"/>
            <c:bubble3D val="0"/>
          </c:dPt>
          <c:dPt>
            <c:idx val="1"/>
            <c:bubble3D val="0"/>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t>8</a:t>
                    </a:r>
                    <a:r>
                      <a:rPr lang="en-US" altLang="zh-CN"/>
                      <a:t>3.07</a:t>
                    </a:r>
                    <a:r>
                      <a:t>%</a:t>
                    </a:r>
                  </a:p>
                </c:rich>
              </c:tx>
              <c:dLblPos val="bestFit"/>
              <c:showLegendKey val="0"/>
              <c:showVal val="0"/>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rPr lang="en-US" altLang="zh-CN"/>
                      <a:t>16.93</a:t>
                    </a:r>
                    <a:r>
                      <a:t>%</a:t>
                    </a:r>
                  </a:p>
                </c:rich>
              </c:tx>
              <c:dLblPos val="bestFit"/>
              <c:showLegendKey val="0"/>
              <c:showVal val="0"/>
              <c:showCatName val="0"/>
              <c:showSerName val="0"/>
              <c:showPercent val="1"/>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{"一般公共预算财政拨款收入","政府性基金预算财政拨款收入"}</c:f>
              <c:strCache>
                <c:ptCount val="2"/>
                <c:pt idx="0">
                  <c:v>一般公共预算财政拨款收入</c:v>
                </c:pt>
                <c:pt idx="1">
                  <c:v>政府性基金预算财政拨款收入</c:v>
                </c:pt>
              </c:strCache>
            </c:strRef>
          </c:cat>
          <c:val>
            <c:numRef>
              <c:f>{2241.11,364.48}</c:f>
              <c:numCache>
                <c:formatCode>General</c:formatCode>
                <c:ptCount val="2"/>
                <c:pt idx="0">
                  <c:v>2241.11</c:v>
                </c:pt>
                <c:pt idx="1">
                  <c:v>364.48</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rtlCol="0" anchor="t" anchorCtr="1"/>
          <a:lstStyle/>
          <a:p>
            <a:pPr algn="l">
              <a:defRPr lang="zh-CN" sz="1800" b="1" i="0" u="none" strike="noStrike" kern="1200" baseline="0">
                <a:solidFill>
                  <a:schemeClr val="tx1"/>
                </a:solidFill>
                <a:latin typeface="+mn-lt"/>
                <a:ea typeface="+mn-ea"/>
                <a:cs typeface="+mn-cs"/>
              </a:defRPr>
            </a:pPr>
            <a:r>
              <a:rPr lang="zh-CN" sz="1200"/>
              <a:t>支出决算结构图</a:t>
            </a:r>
            <a:endParaRPr lang="zh-CN" sz="1200"/>
          </a:p>
        </c:rich>
      </c:tx>
      <c:layout/>
      <c:overlay val="0"/>
    </c:title>
    <c:autoTitleDeleted val="0"/>
    <c:plotArea>
      <c:layout/>
      <c:pieChart>
        <c:varyColors val="1"/>
        <c:ser>
          <c:idx val="1"/>
          <c:order val="0"/>
          <c:explosion val="0"/>
          <c:dPt>
            <c:idx val="0"/>
            <c:bubble3D val="0"/>
          </c:dPt>
          <c:dPt>
            <c:idx val="1"/>
            <c:bubble3D val="0"/>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{"基本支出","项目支出"}</c:f>
              <c:strCache>
                <c:ptCount val="2"/>
                <c:pt idx="0">
                  <c:v>基本支出</c:v>
                </c:pt>
                <c:pt idx="1">
                  <c:v>项目支出</c:v>
                </c:pt>
              </c:strCache>
            </c:strRef>
          </c:cat>
          <c:val>
            <c:numRef>
              <c:f>{136.73,2468.87}</c:f>
              <c:numCache>
                <c:formatCode>General</c:formatCode>
                <c:ptCount val="2"/>
                <c:pt idx="0">
                  <c:v>136.73</c:v>
                </c:pt>
                <c:pt idx="1">
                  <c:v>2468.87</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prstDash val="solid"/>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baseline="0">
                <a:solidFill>
                  <a:schemeClr val="tx2"/>
                </a:solidFill>
                <a:latin typeface="+mn-lt"/>
                <a:ea typeface="+mn-ea"/>
                <a:cs typeface="+mn-cs"/>
              </a:defRPr>
            </a:pPr>
            <a:r>
              <a:rPr lang="en-US" altLang="zh-CN" sz="1400"/>
              <a:t>财政拨款收、支决算总计变动情况</a:t>
            </a:r>
            <a:endParaRPr lang="en-US" altLang="zh-CN" sz="1400"/>
          </a:p>
        </c:rich>
      </c:tx>
      <c:layout>
        <c:manualLayout>
          <c:xMode val="edge"/>
          <c:yMode val="edge"/>
          <c:x val="0.109561102953173"/>
          <c:y val="0.00866551126516464"/>
        </c:manualLayout>
      </c:layout>
      <c:overlay val="0"/>
      <c:spPr>
        <a:noFill/>
        <a:ln>
          <a:noFill/>
        </a:ln>
        <a:effectLst/>
      </c:spPr>
    </c:title>
    <c:autoTitleDeleted val="0"/>
    <c:plotArea>
      <c:layout/>
      <c:barChart>
        <c:barDir val="col"/>
        <c:grouping val="clustered"/>
        <c:varyColors val="0"/>
        <c:ser>
          <c:idx val="1"/>
          <c:order val="0"/>
          <c:tx>
            <c:strRef>
              <c:f>收支总计</c:f>
              <c:strCache>
                <c:ptCount val="1"/>
                <c:pt idx="0">
                  <c:v>收支总计</c:v>
                </c:pt>
              </c:strCache>
            </c:strRef>
          </c:tx>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rPr lang="en-US" altLang="zh-CN"/>
                      <a:t>2762.86</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{"2025","2024"}</c:f>
              <c:numCache>
                <c:formatCode>General</c:formatCode>
                <c:ptCount val="2"/>
                <c:pt idx="0">
                  <c:v>2025</c:v>
                </c:pt>
                <c:pt idx="1">
                  <c:v>2024</c:v>
                </c:pt>
              </c:numCache>
            </c:numRef>
          </c:cat>
          <c:val>
            <c:numRef>
              <c:f>{3447.9,2605.59}</c:f>
              <c:numCache>
                <c:formatCode>General</c:formatCode>
                <c:ptCount val="2"/>
                <c:pt idx="0">
                  <c:v>3447.9</c:v>
                </c:pt>
                <c:pt idx="1">
                  <c:v>2605.59</c:v>
                </c:pt>
              </c:numCache>
            </c:numRef>
          </c:val>
        </c:ser>
        <c:dLbls>
          <c:showLegendKey val="0"/>
          <c:showVal val="1"/>
          <c:showCatName val="0"/>
          <c:showSerName val="0"/>
          <c:showPercent val="0"/>
          <c:showBubbleSize val="0"/>
        </c:dLbls>
        <c:gapWidth val="100"/>
        <c:overlap val="-24"/>
        <c:axId val="263359104"/>
        <c:axId val="263373184"/>
      </c:barChart>
      <c:catAx>
        <c:axId val="263359104"/>
        <c:scaling>
          <c:orientation val="minMax"/>
        </c:scaling>
        <c:delete val="0"/>
        <c:axPos val="b"/>
        <c:title>
          <c:tx>
            <c:rich>
              <a:bodyPr rot="0" spcFirstLastPara="0" vertOverflow="ellipsis" vert="horz" wrap="square" rtlCol="0" anchor="t" anchorCtr="1"/>
              <a:lstStyle/>
              <a:p>
                <a:pPr algn="l">
                  <a:defRPr lang="zh-CN" sz="1000" b="1" i="0" u="none" strike="noStrike" kern="1200" baseline="0">
                    <a:solidFill>
                      <a:schemeClr val="tx1"/>
                    </a:solidFill>
                    <a:latin typeface="+mn-lt"/>
                    <a:ea typeface="+mn-ea"/>
                    <a:cs typeface="+mn-cs"/>
                  </a:defRPr>
                </a:pPr>
                <a:r>
                  <a:rPr lang="zh-CN"/>
                  <a:t>单位：万元</a:t>
                </a:r>
                <a:endParaRPr lang="en-US" sz="1100"/>
              </a:p>
            </c:rich>
          </c:tx>
          <c:layout/>
          <c:overlay val="0"/>
        </c:title>
        <c:numFmt formatCode="General" sourceLinked="0"/>
        <c:majorTickMark val="none"/>
        <c:minorTickMark val="none"/>
        <c:tickLblPos val="nextTo"/>
        <c:spPr>
          <a:noFill/>
          <a:ln w="9525" cap="flat" cmpd="sng" algn="ctr">
            <a:solidFill>
              <a:schemeClr val="tx2">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2"/>
                </a:solidFill>
                <a:latin typeface="+mn-lt"/>
                <a:ea typeface="+mn-ea"/>
                <a:cs typeface="+mn-cs"/>
              </a:defRPr>
            </a:pPr>
          </a:p>
        </c:txPr>
        <c:crossAx val="263373184"/>
        <c:crosses val="autoZero"/>
        <c:auto val="1"/>
        <c:lblAlgn val="ctr"/>
        <c:lblOffset val="100"/>
        <c:noMultiLvlLbl val="0"/>
      </c:catAx>
      <c:valAx>
        <c:axId val="263373184"/>
        <c:scaling>
          <c:orientation val="minMax"/>
        </c:scaling>
        <c:delete val="0"/>
        <c:axPos val="l"/>
        <c:majorGridlines>
          <c:spPr>
            <a:ln w="9525" cap="flat" cmpd="sng" algn="ctr">
              <a:solidFill>
                <a:schemeClr val="tx2">
                  <a:lumMod val="15000"/>
                  <a:lumOff val="85000"/>
                </a:schemeClr>
              </a:solidFill>
              <a:prstDash val="solid"/>
              <a:round/>
            </a:ln>
            <a:effectLst/>
          </c:spPr>
        </c:majorGridlines>
        <c:title>
          <c:tx>
            <c:rich>
              <a:bodyPr rot="-5400000" spcFirstLastPara="0" vertOverflow="ellipsis" vert="horz" wrap="square" rtlCol="0" anchor="t" anchorCtr="1"/>
              <a:lstStyle/>
              <a:p>
                <a:pPr algn="l">
                  <a:defRPr lang="zh-CN" sz="1000" b="1" i="0" u="none" strike="noStrike" kern="1200" baseline="0">
                    <a:solidFill>
                      <a:schemeClr val="tx1"/>
                    </a:solidFill>
                    <a:latin typeface="+mn-lt"/>
                    <a:ea typeface="+mn-ea"/>
                    <a:cs typeface="+mn-cs"/>
                  </a:defRPr>
                </a:pPr>
                <a:r>
                  <a:rPr lang="zh-CN"/>
                  <a:t> </a:t>
                </a:r>
                <a:endParaRPr lang="en-US" sz="1100"/>
              </a:p>
            </c:rich>
          </c:tx>
          <c:layout/>
          <c:overlay val="0"/>
        </c:title>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2"/>
                </a:solidFill>
                <a:latin typeface="+mn-lt"/>
                <a:ea typeface="+mn-ea"/>
                <a:cs typeface="+mn-cs"/>
              </a:defRPr>
            </a:pPr>
          </a:p>
        </c:txPr>
        <c:crossAx val="263359104"/>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2"/>
              </a:solidFill>
              <a:latin typeface="+mn-lt"/>
              <a:ea typeface="+mn-ea"/>
              <a:cs typeface="+mn-cs"/>
            </a:defRPr>
          </a:pPr>
        </a:p>
      </c:txPr>
    </c:legend>
    <c:plotVisOnly val="1"/>
    <c:dispBlanksAs val="gap"/>
    <c:showDLblsOverMax val="0"/>
  </c:chart>
  <c:spPr>
    <a:solidFill>
      <a:schemeClr val="bg1"/>
    </a:solidFill>
    <a:ln w="9525" cap="flat" cmpd="sng" algn="ctr">
      <a:solidFill>
        <a:schemeClr val="tx2">
          <a:lumMod val="15000"/>
          <a:lumOff val="85000"/>
        </a:schemeClr>
      </a:solidFill>
      <a:prstDash val="solid"/>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baseline="0">
                <a:solidFill>
                  <a:schemeClr val="tx1">
                    <a:lumMod val="65000"/>
                    <a:lumOff val="35000"/>
                  </a:schemeClr>
                </a:solidFill>
                <a:latin typeface="+mn-lt"/>
                <a:ea typeface="+mn-ea"/>
                <a:cs typeface="+mn-cs"/>
              </a:defRPr>
            </a:pPr>
            <a:r>
              <a:rPr lang="zh-CN" altLang="en-US" sz="1200"/>
              <a:t>一般公共预算财政拨款支出</a:t>
            </a:r>
            <a:endParaRPr lang="zh-CN" altLang="en-US" sz="1200"/>
          </a:p>
        </c:rich>
      </c:tx>
      <c:layout/>
      <c:overlay val="0"/>
      <c:spPr>
        <a:noFill/>
        <a:ln>
          <a:noFill/>
        </a:ln>
        <a:effectLst/>
      </c:spPr>
    </c:title>
    <c:autoTitleDeleted val="0"/>
    <c:plotArea>
      <c:layout>
        <c:manualLayout>
          <c:layoutTarget val="inner"/>
          <c:xMode val="edge"/>
          <c:yMode val="edge"/>
          <c:x val="0.0736333103993069"/>
          <c:y val="0.199582873033408"/>
          <c:w val="0.767623678108199"/>
          <c:h val="0.708506514060342"/>
        </c:manualLayout>
      </c:layout>
      <c:barChart>
        <c:barDir val="col"/>
        <c:grouping val="clustered"/>
        <c:varyColors val="0"/>
        <c:ser>
          <c:idx val="1"/>
          <c:order val="0"/>
          <c:tx>
            <c:strRef>
              <c:f>"2025"</c:f>
              <c:strCache>
                <c:ptCount val="1"/>
                <c:pt idx="0">
                  <c:v>2025</c:v>
                </c:pt>
              </c:strCache>
            </c:strRef>
          </c:tx>
          <c:invertIfNegative val="0"/>
          <c:dLbls>
            <c:dLbl>
              <c:idx val="0"/>
              <c:layout>
                <c:manualLayout>
                  <c:x val="-0.0100289725874749"/>
                  <c:y val="-0.0103591160220994"/>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rPr lang="en-US" altLang="zh-CN"/>
                      <a:t>2295.1</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{"一般公共预算财政拨款支出"}</c:f>
              <c:strCache>
                <c:ptCount val="1"/>
                <c:pt idx="0">
                  <c:v>一般公共预算财政拨款支出</c:v>
                </c:pt>
              </c:strCache>
            </c:strRef>
          </c:cat>
          <c:val>
            <c:numRef>
              <c:f>{3006.82}</c:f>
              <c:numCache>
                <c:formatCode>General</c:formatCode>
                <c:ptCount val="1"/>
                <c:pt idx="0">
                  <c:v>3006.82</c:v>
                </c:pt>
              </c:numCache>
            </c:numRef>
          </c:val>
        </c:ser>
        <c:ser>
          <c:idx val="2"/>
          <c:order val="1"/>
          <c:tx>
            <c:strRef>
              <c:f>2024</c:f>
              <c:strCache>
                <c:ptCount val="1"/>
                <c:pt idx="0">
                  <c:v>2024</c:v>
                </c:pt>
              </c:strCache>
            </c:strRef>
          </c:tx>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{"一般公共预算财政拨款支出"}</c:f>
              <c:strCache>
                <c:ptCount val="1"/>
                <c:pt idx="0">
                  <c:v>一般公共预算财政拨款支出</c:v>
                </c:pt>
              </c:strCache>
            </c:strRef>
          </c:cat>
          <c:val>
            <c:numRef>
              <c:f>{2241.11}</c:f>
              <c:numCache>
                <c:formatCode>General</c:formatCode>
                <c:ptCount val="1"/>
                <c:pt idx="0">
                  <c:v>2241.11</c:v>
                </c:pt>
              </c:numCache>
            </c:numRef>
          </c:val>
        </c:ser>
        <c:dLbls>
          <c:showLegendKey val="0"/>
          <c:showVal val="1"/>
          <c:showCatName val="0"/>
          <c:showSerName val="0"/>
          <c:showPercent val="0"/>
          <c:showBubbleSize val="0"/>
        </c:dLbls>
        <c:gapWidth val="100"/>
        <c:overlap val="-24"/>
        <c:axId val="263440640"/>
        <c:axId val="263135232"/>
      </c:barChart>
      <c:catAx>
        <c:axId val="263440640"/>
        <c:scaling>
          <c:orientation val="minMax"/>
        </c:scaling>
        <c:delete val="1"/>
        <c:axPos val="b"/>
        <c:title>
          <c:tx>
            <c:rich>
              <a:bodyPr rot="0" spcFirstLastPara="0" vertOverflow="ellipsis" vert="horz" wrap="square" rtlCol="0" anchor="t" anchorCtr="1"/>
              <a:lstStyle/>
              <a:p>
                <a:pPr algn="l">
                  <a:defRPr lang="zh-CN" sz="1000" b="1" i="0" u="none" strike="noStrike" kern="1200" baseline="0">
                    <a:solidFill>
                      <a:schemeClr val="tx1"/>
                    </a:solidFill>
                    <a:latin typeface="+mn-lt"/>
                    <a:ea typeface="+mn-ea"/>
                    <a:cs typeface="+mn-cs"/>
                  </a:defRPr>
                </a:pPr>
                <a:r>
                  <a:rPr lang="zh-CN"/>
                  <a:t>单位：万元</a:t>
                </a:r>
                <a:endParaRPr lang="en-US" sz="1100"/>
              </a:p>
            </c:rich>
          </c:tx>
          <c:layout/>
          <c:overlay val="0"/>
        </c:title>
        <c:numFmt formatCode="General" sourceLinked="0"/>
        <c:majorTickMark val="none"/>
        <c:minorTickMark val="none"/>
        <c:tickLblPos val="none"/>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63135232"/>
        <c:crosses val="autoZero"/>
        <c:auto val="1"/>
        <c:lblAlgn val="ctr"/>
        <c:lblOffset val="100"/>
        <c:noMultiLvlLbl val="0"/>
      </c:catAx>
      <c:valAx>
        <c:axId val="263135232"/>
        <c:scaling>
          <c:orientation val="minMax"/>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rtlCol="0" anchor="t" anchorCtr="1"/>
              <a:lstStyle/>
              <a:p>
                <a:pPr algn="l">
                  <a:defRPr lang="zh-CN" sz="1000" b="1" i="0" u="none" strike="noStrike" kern="1200" baseline="0">
                    <a:solidFill>
                      <a:schemeClr val="tx1"/>
                    </a:solidFill>
                    <a:latin typeface="+mn-lt"/>
                    <a:ea typeface="+mn-ea"/>
                    <a:cs typeface="+mn-cs"/>
                  </a:defRPr>
                </a:pPr>
                <a:r>
                  <a:rPr lang="zh-CN"/>
                  <a:t> </a:t>
                </a:r>
                <a:endParaRPr lang="en-US" sz="1100"/>
              </a:p>
            </c:rich>
          </c:tx>
          <c:layout/>
          <c:overlay val="0"/>
        </c:title>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3440640"/>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rtlCol="0" anchor="t" anchorCtr="1"/>
          <a:lstStyle/>
          <a:p>
            <a:pPr algn="l">
              <a:defRPr lang="zh-CN" sz="1800" b="1" i="0" u="none" strike="noStrike" kern="1200" baseline="0">
                <a:solidFill>
                  <a:schemeClr val="tx1"/>
                </a:solidFill>
                <a:latin typeface="+mn-lt"/>
                <a:ea typeface="+mn-ea"/>
                <a:cs typeface="+mn-cs"/>
              </a:defRPr>
            </a:pPr>
            <a:r>
              <a:rPr lang="zh-CN" sz="1200"/>
              <a:t>一般公共预算财政拨款支出</a:t>
            </a:r>
            <a:endParaRPr lang="en-US" sz="1200"/>
          </a:p>
        </c:rich>
      </c:tx>
      <c:layout>
        <c:manualLayout>
          <c:xMode val="edge"/>
          <c:yMode val="edge"/>
          <c:x val="0.0953675254077052"/>
          <c:y val="0.0236593059936909"/>
        </c:manualLayout>
      </c:layout>
      <c:overlay val="0"/>
    </c:title>
    <c:autoTitleDeleted val="0"/>
    <c:plotArea>
      <c:layout/>
      <c:pieChart>
        <c:varyColors val="1"/>
        <c:ser>
          <c:idx val="1"/>
          <c:order val="0"/>
          <c:explosion val="0"/>
          <c:dPt>
            <c:idx val="0"/>
            <c:bubble3D val="0"/>
          </c:dPt>
          <c:dPt>
            <c:idx val="1"/>
            <c:bubble3D val="0"/>
          </c:dPt>
          <c:dPt>
            <c:idx val="2"/>
            <c:bubble3D val="0"/>
          </c:dPt>
          <c:dPt>
            <c:idx val="3"/>
            <c:bubble3D val="0"/>
          </c:dPt>
          <c:dPt>
            <c:idx val="4"/>
            <c:bubble3D val="0"/>
          </c:dPt>
          <c:dLbls>
            <c:dLbl>
              <c:idx val="2"/>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rPr lang="en-US" altLang="zh-CN"/>
                      <a:t>119.52</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dLbl>
              <c:idx val="3"/>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rPr lang="en-US" altLang="zh-CN"/>
                      <a:t>2034.89</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{"社会保障和就业支出","卫生健康支出","节能环保支出","农林水支出","住房保障支出"}</c:f>
              <c:strCache>
                <c:ptCount val="5"/>
                <c:pt idx="0">
                  <c:v>社会保障和就业支出</c:v>
                </c:pt>
                <c:pt idx="1">
                  <c:v>卫生健康支出</c:v>
                </c:pt>
                <c:pt idx="2">
                  <c:v>节能环保支出</c:v>
                </c:pt>
                <c:pt idx="3">
                  <c:v>农林水支出</c:v>
                </c:pt>
                <c:pt idx="4">
                  <c:v>住房保障支出</c:v>
                </c:pt>
              </c:strCache>
            </c:strRef>
          </c:cat>
          <c:val>
            <c:numRef>
              <c:f>{23.58,8.97,267.07,1931.11,10.38}</c:f>
              <c:numCache>
                <c:formatCode>General</c:formatCode>
                <c:ptCount val="5"/>
                <c:pt idx="0">
                  <c:v>23.58</c:v>
                </c:pt>
                <c:pt idx="1">
                  <c:v>8.97</c:v>
                </c:pt>
                <c:pt idx="2">
                  <c:v>267.07</c:v>
                </c:pt>
                <c:pt idx="3">
                  <c:v>1931.11</c:v>
                </c:pt>
                <c:pt idx="4">
                  <c:v>10.38</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chart>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rtlCol="0" anchor="t" anchorCtr="1"/>
          <a:lstStyle/>
          <a:p>
            <a:pPr algn="l">
              <a:defRPr lang="zh-CN" sz="1800" b="1" i="0" u="none" strike="noStrike" kern="1200" baseline="0">
                <a:solidFill>
                  <a:schemeClr val="tx1"/>
                </a:solidFill>
                <a:latin typeface="+mn-lt"/>
                <a:ea typeface="+mn-ea"/>
                <a:cs typeface="+mn-cs"/>
              </a:defRPr>
            </a:pPr>
            <a:r>
              <a:rPr lang="zh-CN"/>
              <a:t>三公经费</a:t>
            </a:r>
            <a:endParaRPr lang="en-US" sz="1100"/>
          </a:p>
        </c:rich>
      </c:tx>
      <c:layout/>
      <c:overlay val="0"/>
    </c:title>
    <c:autoTitleDeleted val="0"/>
    <c:plotArea>
      <c:layout/>
      <c:pieChart>
        <c:varyColors val="1"/>
        <c:ser>
          <c:idx val="1"/>
          <c:order val="0"/>
          <c:explosion val="0"/>
          <c:dPt>
            <c:idx val="0"/>
            <c:bubble3D val="0"/>
          </c:dPt>
          <c:dPt>
            <c:idx val="1"/>
            <c:bubble3D val="0"/>
          </c:dPt>
          <c:dPt>
            <c:idx val="2"/>
            <c:bubble3D val="0"/>
          </c:dPt>
          <c:dLbls>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rPr lang="en-US" altLang="zh-CN"/>
                      <a:t>6.13</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{"因公出国（境）费","公务用车购置及运行维护费","公务接待费"}</c:f>
              <c:strCache>
                <c:ptCount val="3"/>
                <c:pt idx="0">
                  <c:v>因公出国（境）费</c:v>
                </c:pt>
                <c:pt idx="1">
                  <c:v>公务用车购置及运行维护费</c:v>
                </c:pt>
                <c:pt idx="2">
                  <c:v>公务接待费</c:v>
                </c:pt>
              </c:strCache>
            </c:strRef>
          </c:cat>
          <c:val>
            <c:numRef>
              <c:f>{0,12.28,0}</c:f>
              <c:numCache>
                <c:formatCode>General</c:formatCode>
                <c:ptCount val="3"/>
                <c:pt idx="0">
                  <c:v>0</c:v>
                </c:pt>
                <c:pt idx="1">
                  <c:v>12.28</c:v>
                </c:pt>
                <c:pt idx="2">
                  <c:v>0</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chart>
  <c:txPr>
    <a:bodyPr/>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22</Pages>
  <Words>9193</Words>
  <Characters>10695</Characters>
  <Lines>48</Lines>
  <Paragraphs>13</Paragraphs>
  <TotalTime>7</TotalTime>
  <ScaleCrop>false</ScaleCrop>
  <LinksUpToDate>false</LinksUpToDate>
  <CharactersWithSpaces>10863</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2023-08-18T15:28:00Z</dcterms:created>
  <dc:creator>pjf</dc:creator>
  <cp:lastModifiedBy>user</cp:lastModifiedBy>
  <cp:lastPrinted>2025-09-11T16:44:00Z</cp:lastPrinted>
  <dcterms:modified xsi:type="dcterms:W3CDTF">2026-09-08T09:50:45Z</dcterms:modified>
  <dc:title>四川省决算编制说明</dc:title>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5F5EAE46023B41039AB8027ACF0B1765_13</vt:lpwstr>
  </property>
  <property fmtid="{D5CDD505-2E9C-101B-9397-08002B2CF9AE}" pid="4" name="KSOTemplateDocerSaveRecord">
    <vt:lpwstr>eyJoZGlkIjoiZGFlM2I1MDNhMDkyMTFhNmY0Y2QyOGQ1NjFmMTE0M2EiLCJ1c2VySWQiOiIxNTMwMTQ0MjQ5In0=</vt:lpwstr>
  </property>
</Properties>
</file>