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6043C">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29EFCEF0"/>
    <w:p w14:paraId="47F28BCE"/>
    <w:p w14:paraId="093359E8"/>
    <w:p w14:paraId="0C82E5BA">
      <w:pPr>
        <w:ind w:firstLine="1050" w:firstLineChars="500"/>
      </w:pPr>
    </w:p>
    <w:p w14:paraId="4E0C30FE">
      <w:pPr>
        <w:ind w:firstLine="1050" w:firstLineChars="500"/>
      </w:pPr>
    </w:p>
    <w:p w14:paraId="646E0EB4">
      <w:pPr>
        <w:ind w:firstLine="1760" w:firstLineChars="400"/>
        <w:rPr>
          <w:rFonts w:ascii="黑体" w:eastAsia="黑体"/>
          <w:sz w:val="44"/>
          <w:szCs w:val="44"/>
        </w:rPr>
      </w:pPr>
    </w:p>
    <w:p w14:paraId="330DC599">
      <w:pPr>
        <w:ind w:firstLine="1760" w:firstLineChars="400"/>
        <w:rPr>
          <w:rFonts w:ascii="黑体" w:eastAsia="黑体"/>
          <w:sz w:val="44"/>
          <w:szCs w:val="44"/>
        </w:rPr>
      </w:pPr>
    </w:p>
    <w:p w14:paraId="648B626C">
      <w:pPr>
        <w:jc w:val="center"/>
        <w:rPr>
          <w:rFonts w:ascii="黑体" w:eastAsia="黑体"/>
          <w:sz w:val="44"/>
          <w:szCs w:val="44"/>
        </w:rPr>
      </w:pPr>
      <w:r>
        <w:rPr>
          <w:rFonts w:hint="eastAsia" w:ascii="黑体" w:eastAsia="黑体"/>
          <w:sz w:val="44"/>
          <w:szCs w:val="44"/>
        </w:rPr>
        <w:t>茂县文化广播电视体育和旅游局</w:t>
      </w:r>
    </w:p>
    <w:p w14:paraId="2EF1FD0C">
      <w:pPr>
        <w:jc w:val="center"/>
        <w:rPr>
          <w:rFonts w:ascii="黑体" w:eastAsia="黑体"/>
          <w:sz w:val="44"/>
          <w:szCs w:val="44"/>
        </w:rPr>
      </w:pPr>
      <w:r>
        <w:rPr>
          <w:rFonts w:ascii="黑体" w:eastAsia="黑体"/>
          <w:sz w:val="44"/>
          <w:szCs w:val="44"/>
        </w:rPr>
        <w:t>2</w:t>
      </w:r>
      <w:r>
        <w:rPr>
          <w:rFonts w:hint="eastAsia" w:ascii="黑体" w:eastAsia="黑体"/>
          <w:sz w:val="44"/>
          <w:szCs w:val="44"/>
        </w:rPr>
        <w:t>025年部门预算</w:t>
      </w:r>
    </w:p>
    <w:p w14:paraId="5D90C204">
      <w:pPr>
        <w:ind w:firstLine="1760" w:firstLineChars="400"/>
        <w:rPr>
          <w:rFonts w:ascii="黑体" w:eastAsia="黑体"/>
          <w:sz w:val="44"/>
          <w:szCs w:val="44"/>
        </w:rPr>
      </w:pPr>
    </w:p>
    <w:p w14:paraId="0F754891">
      <w:pPr>
        <w:ind w:firstLine="1760" w:firstLineChars="400"/>
        <w:rPr>
          <w:rFonts w:ascii="黑体" w:eastAsia="黑体"/>
          <w:sz w:val="44"/>
          <w:szCs w:val="44"/>
        </w:rPr>
      </w:pPr>
    </w:p>
    <w:p w14:paraId="71892A9B">
      <w:pPr>
        <w:ind w:firstLine="1760" w:firstLineChars="400"/>
        <w:rPr>
          <w:rFonts w:ascii="黑体" w:eastAsia="黑体"/>
          <w:sz w:val="44"/>
          <w:szCs w:val="44"/>
        </w:rPr>
      </w:pPr>
    </w:p>
    <w:p w14:paraId="11422B02">
      <w:pPr>
        <w:ind w:firstLine="1760" w:firstLineChars="400"/>
        <w:rPr>
          <w:rFonts w:ascii="黑体" w:eastAsia="黑体"/>
          <w:sz w:val="44"/>
          <w:szCs w:val="44"/>
        </w:rPr>
      </w:pPr>
    </w:p>
    <w:p w14:paraId="2D731E5F">
      <w:pPr>
        <w:ind w:firstLine="1760" w:firstLineChars="400"/>
        <w:rPr>
          <w:rFonts w:ascii="黑体" w:eastAsia="黑体"/>
          <w:sz w:val="44"/>
          <w:szCs w:val="44"/>
        </w:rPr>
      </w:pPr>
    </w:p>
    <w:p w14:paraId="16BE988C">
      <w:pPr>
        <w:ind w:firstLine="1760" w:firstLineChars="400"/>
        <w:rPr>
          <w:rFonts w:ascii="黑体" w:eastAsia="黑体"/>
          <w:sz w:val="44"/>
          <w:szCs w:val="44"/>
        </w:rPr>
      </w:pPr>
    </w:p>
    <w:p w14:paraId="0A2FDE83">
      <w:pPr>
        <w:ind w:firstLine="1760" w:firstLineChars="400"/>
        <w:rPr>
          <w:rFonts w:ascii="黑体" w:eastAsia="黑体"/>
          <w:sz w:val="44"/>
          <w:szCs w:val="44"/>
        </w:rPr>
      </w:pPr>
    </w:p>
    <w:p w14:paraId="454A3231">
      <w:pPr>
        <w:ind w:firstLine="1760" w:firstLineChars="400"/>
        <w:rPr>
          <w:rFonts w:ascii="黑体" w:eastAsia="黑体"/>
          <w:sz w:val="44"/>
          <w:szCs w:val="44"/>
        </w:rPr>
      </w:pPr>
    </w:p>
    <w:p w14:paraId="3A155E46">
      <w:pPr>
        <w:ind w:firstLine="1760" w:firstLineChars="400"/>
        <w:rPr>
          <w:rFonts w:ascii="黑体" w:eastAsia="黑体"/>
          <w:sz w:val="44"/>
          <w:szCs w:val="44"/>
        </w:rPr>
      </w:pPr>
    </w:p>
    <w:p w14:paraId="753C5350">
      <w:pPr>
        <w:ind w:firstLine="1760" w:firstLineChars="400"/>
        <w:rPr>
          <w:rFonts w:ascii="黑体" w:eastAsia="黑体"/>
          <w:sz w:val="44"/>
          <w:szCs w:val="44"/>
        </w:rPr>
      </w:pPr>
    </w:p>
    <w:p w14:paraId="3F28BE64">
      <w:pPr>
        <w:ind w:firstLine="1760" w:firstLineChars="400"/>
        <w:rPr>
          <w:rFonts w:ascii="黑体" w:eastAsia="黑体"/>
          <w:sz w:val="44"/>
          <w:szCs w:val="44"/>
        </w:rPr>
      </w:pPr>
    </w:p>
    <w:p w14:paraId="4662BCD4">
      <w:pPr>
        <w:ind w:firstLine="1760" w:firstLineChars="400"/>
        <w:rPr>
          <w:rFonts w:ascii="黑体" w:eastAsia="黑体"/>
          <w:sz w:val="44"/>
          <w:szCs w:val="44"/>
        </w:rPr>
      </w:pPr>
    </w:p>
    <w:p w14:paraId="565B7D4D">
      <w:pPr>
        <w:rPr>
          <w:rFonts w:ascii="黑体" w:eastAsia="黑体"/>
          <w:sz w:val="44"/>
          <w:szCs w:val="44"/>
        </w:rPr>
      </w:pPr>
    </w:p>
    <w:p w14:paraId="53A9BEF4">
      <w:pPr>
        <w:rPr>
          <w:rFonts w:ascii="黑体" w:eastAsia="黑体"/>
          <w:sz w:val="44"/>
          <w:szCs w:val="44"/>
        </w:rPr>
      </w:pPr>
    </w:p>
    <w:p w14:paraId="53159521">
      <w:pPr>
        <w:ind w:firstLine="3120" w:firstLineChars="600"/>
        <w:rPr>
          <w:rFonts w:ascii="黑体" w:eastAsia="黑体"/>
          <w:sz w:val="52"/>
          <w:szCs w:val="52"/>
        </w:rPr>
      </w:pPr>
      <w:r>
        <w:rPr>
          <w:rFonts w:hint="eastAsia" w:ascii="黑体" w:eastAsia="黑体"/>
          <w:sz w:val="52"/>
          <w:szCs w:val="52"/>
        </w:rPr>
        <w:t>目录</w:t>
      </w:r>
    </w:p>
    <w:p w14:paraId="77E16A28">
      <w:pPr>
        <w:ind w:firstLine="3080" w:firstLineChars="700"/>
        <w:rPr>
          <w:rFonts w:ascii="黑体" w:eastAsia="黑体"/>
          <w:sz w:val="44"/>
          <w:szCs w:val="44"/>
        </w:rPr>
      </w:pPr>
    </w:p>
    <w:p w14:paraId="40DFDDAC">
      <w:pPr>
        <w:pStyle w:val="15"/>
        <w:ind w:firstLine="0" w:firstLineChars="0"/>
        <w:rPr>
          <w:rFonts w:ascii="黑体" w:eastAsia="黑体"/>
          <w:sz w:val="32"/>
          <w:szCs w:val="32"/>
        </w:rPr>
      </w:pPr>
      <w:r>
        <w:rPr>
          <w:rFonts w:hint="eastAsia" w:ascii="黑体" w:eastAsia="黑体"/>
          <w:sz w:val="32"/>
          <w:szCs w:val="32"/>
        </w:rPr>
        <w:t>一、基本职能及主要工作</w:t>
      </w:r>
    </w:p>
    <w:p w14:paraId="398F6484">
      <w:pPr>
        <w:rPr>
          <w:rFonts w:ascii="楷体_GB2312" w:eastAsia="楷体_GB2312"/>
          <w:sz w:val="32"/>
          <w:szCs w:val="32"/>
        </w:rPr>
      </w:pPr>
      <w:r>
        <w:rPr>
          <w:rFonts w:hint="eastAsia" w:ascii="楷体_GB2312" w:eastAsia="楷体_GB2312"/>
          <w:sz w:val="32"/>
          <w:szCs w:val="32"/>
        </w:rPr>
        <w:t>（一）部门职能简介</w:t>
      </w:r>
    </w:p>
    <w:p w14:paraId="0C0B3719">
      <w:pPr>
        <w:rPr>
          <w:rFonts w:ascii="楷体_GB2312" w:eastAsia="楷体_GB2312"/>
          <w:sz w:val="32"/>
          <w:szCs w:val="32"/>
        </w:rPr>
      </w:pPr>
      <w:r>
        <w:rPr>
          <w:rFonts w:hint="eastAsia" w:ascii="楷体_GB2312" w:eastAsia="楷体_GB2312"/>
          <w:sz w:val="32"/>
          <w:szCs w:val="32"/>
        </w:rPr>
        <w:t>（二）2025年重点工作</w:t>
      </w:r>
    </w:p>
    <w:p w14:paraId="64027B01">
      <w:pPr>
        <w:rPr>
          <w:rFonts w:ascii="黑体" w:eastAsia="黑体"/>
          <w:sz w:val="32"/>
          <w:szCs w:val="32"/>
        </w:rPr>
      </w:pPr>
      <w:r>
        <w:rPr>
          <w:rFonts w:hint="eastAsia" w:ascii="黑体" w:eastAsia="黑体"/>
          <w:sz w:val="32"/>
          <w:szCs w:val="32"/>
        </w:rPr>
        <w:t>二、部门预算单位构成</w:t>
      </w:r>
    </w:p>
    <w:p w14:paraId="471A7D96">
      <w:pPr>
        <w:rPr>
          <w:rFonts w:ascii="黑体" w:eastAsia="黑体"/>
          <w:sz w:val="32"/>
          <w:szCs w:val="32"/>
        </w:rPr>
      </w:pPr>
      <w:r>
        <w:rPr>
          <w:rFonts w:hint="eastAsia" w:ascii="黑体" w:eastAsia="黑体"/>
          <w:sz w:val="32"/>
          <w:szCs w:val="32"/>
        </w:rPr>
        <w:t>三、收支预算情况说明</w:t>
      </w:r>
    </w:p>
    <w:p w14:paraId="240A1F13">
      <w:pPr>
        <w:rPr>
          <w:rFonts w:ascii="楷体_GB2312" w:eastAsia="楷体_GB2312"/>
          <w:sz w:val="32"/>
          <w:szCs w:val="32"/>
        </w:rPr>
      </w:pPr>
      <w:r>
        <w:rPr>
          <w:rFonts w:hint="eastAsia" w:ascii="楷体_GB2312" w:eastAsia="楷体_GB2312"/>
          <w:sz w:val="32"/>
          <w:szCs w:val="32"/>
        </w:rPr>
        <w:t>（一）收入预算情况</w:t>
      </w:r>
    </w:p>
    <w:p w14:paraId="52B49A60">
      <w:pPr>
        <w:rPr>
          <w:rFonts w:ascii="楷体_GB2312" w:eastAsia="楷体_GB2312"/>
          <w:sz w:val="32"/>
          <w:szCs w:val="32"/>
        </w:rPr>
      </w:pPr>
      <w:r>
        <w:rPr>
          <w:rFonts w:hint="eastAsia" w:ascii="楷体_GB2312" w:eastAsia="楷体_GB2312"/>
          <w:sz w:val="32"/>
          <w:szCs w:val="32"/>
        </w:rPr>
        <w:t>（二）支出预算情况</w:t>
      </w:r>
    </w:p>
    <w:p w14:paraId="28B09C29">
      <w:pPr>
        <w:rPr>
          <w:rFonts w:ascii="黑体" w:eastAsia="黑体"/>
          <w:sz w:val="32"/>
          <w:szCs w:val="32"/>
        </w:rPr>
      </w:pPr>
      <w:r>
        <w:rPr>
          <w:rFonts w:hint="eastAsia" w:ascii="黑体" w:eastAsia="黑体"/>
          <w:sz w:val="32"/>
          <w:szCs w:val="32"/>
        </w:rPr>
        <w:t>四、财政拨款收支预算情况说明</w:t>
      </w:r>
    </w:p>
    <w:p w14:paraId="65C225CA">
      <w:pPr>
        <w:rPr>
          <w:rFonts w:ascii="黑体" w:eastAsia="黑体"/>
          <w:sz w:val="32"/>
          <w:szCs w:val="32"/>
        </w:rPr>
      </w:pPr>
      <w:r>
        <w:rPr>
          <w:rFonts w:hint="eastAsia" w:ascii="黑体" w:eastAsia="黑体"/>
          <w:sz w:val="32"/>
          <w:szCs w:val="32"/>
        </w:rPr>
        <w:t>五、一般公共预算当年拨款情况说明</w:t>
      </w:r>
    </w:p>
    <w:p w14:paraId="2CABCFDE">
      <w:pPr>
        <w:rPr>
          <w:rFonts w:ascii="楷体_GB2312" w:eastAsia="楷体_GB2312"/>
          <w:sz w:val="32"/>
          <w:szCs w:val="32"/>
        </w:rPr>
      </w:pPr>
      <w:r>
        <w:rPr>
          <w:rFonts w:hint="eastAsia" w:ascii="楷体_GB2312" w:eastAsia="楷体_GB2312"/>
          <w:sz w:val="32"/>
          <w:szCs w:val="32"/>
        </w:rPr>
        <w:t>（一）一般公共预算当年拨款规模变化情况</w:t>
      </w:r>
    </w:p>
    <w:p w14:paraId="2B668199">
      <w:pPr>
        <w:rPr>
          <w:rFonts w:ascii="楷体_GB2312" w:eastAsia="楷体_GB2312"/>
          <w:sz w:val="32"/>
          <w:szCs w:val="32"/>
        </w:rPr>
      </w:pPr>
      <w:r>
        <w:rPr>
          <w:rFonts w:hint="eastAsia" w:ascii="楷体_GB2312" w:eastAsia="楷体_GB2312"/>
          <w:sz w:val="32"/>
          <w:szCs w:val="32"/>
        </w:rPr>
        <w:t>（二）一般公共预算当年拨款结构情况</w:t>
      </w:r>
    </w:p>
    <w:p w14:paraId="08629D91">
      <w:pPr>
        <w:rPr>
          <w:rFonts w:ascii="楷体_GB2312" w:eastAsia="楷体_GB2312"/>
          <w:sz w:val="32"/>
          <w:szCs w:val="32"/>
        </w:rPr>
      </w:pPr>
      <w:r>
        <w:rPr>
          <w:rFonts w:hint="eastAsia" w:ascii="楷体_GB2312" w:eastAsia="楷体_GB2312"/>
          <w:sz w:val="32"/>
          <w:szCs w:val="32"/>
        </w:rPr>
        <w:t>（三）一般公共预算当年拨款具体使用情况</w:t>
      </w:r>
    </w:p>
    <w:p w14:paraId="5767A8B5">
      <w:pPr>
        <w:rPr>
          <w:rFonts w:ascii="黑体" w:eastAsia="黑体"/>
          <w:sz w:val="32"/>
          <w:szCs w:val="32"/>
        </w:rPr>
      </w:pPr>
      <w:r>
        <w:rPr>
          <w:rFonts w:hint="eastAsia" w:ascii="黑体" w:eastAsia="黑体"/>
          <w:sz w:val="32"/>
          <w:szCs w:val="32"/>
        </w:rPr>
        <w:t>六、一般公共预算基本支出情况说明</w:t>
      </w:r>
    </w:p>
    <w:p w14:paraId="455EC85C">
      <w:pPr>
        <w:rPr>
          <w:rFonts w:ascii="黑体" w:eastAsia="黑体"/>
          <w:sz w:val="32"/>
          <w:szCs w:val="32"/>
        </w:rPr>
      </w:pPr>
      <w:r>
        <w:rPr>
          <w:rFonts w:hint="eastAsia" w:ascii="黑体" w:eastAsia="黑体"/>
          <w:sz w:val="32"/>
          <w:szCs w:val="32"/>
        </w:rPr>
        <w:t>七、“三公”经费财政拨款预算安排情况说明</w:t>
      </w:r>
    </w:p>
    <w:p w14:paraId="136C37F3">
      <w:pPr>
        <w:rPr>
          <w:rFonts w:ascii="黑体" w:eastAsia="黑体"/>
          <w:sz w:val="32"/>
          <w:szCs w:val="32"/>
        </w:rPr>
      </w:pPr>
      <w:r>
        <w:rPr>
          <w:rFonts w:hint="eastAsia" w:ascii="黑体" w:eastAsia="黑体"/>
          <w:sz w:val="32"/>
          <w:szCs w:val="32"/>
        </w:rPr>
        <w:t>八、政府性基金预算支出情况说明</w:t>
      </w:r>
    </w:p>
    <w:p w14:paraId="2B9F4F37">
      <w:pPr>
        <w:rPr>
          <w:rFonts w:ascii="黑体" w:eastAsia="黑体"/>
          <w:sz w:val="32"/>
          <w:szCs w:val="32"/>
        </w:rPr>
      </w:pPr>
      <w:r>
        <w:rPr>
          <w:rFonts w:hint="eastAsia" w:ascii="黑体" w:eastAsia="黑体"/>
          <w:sz w:val="32"/>
          <w:szCs w:val="32"/>
        </w:rPr>
        <w:t>九、其他重要事项的情况说明</w:t>
      </w:r>
    </w:p>
    <w:p w14:paraId="1355B065">
      <w:pPr>
        <w:rPr>
          <w:rFonts w:ascii="黑体" w:eastAsia="黑体"/>
          <w:sz w:val="32"/>
          <w:szCs w:val="32"/>
        </w:rPr>
      </w:pPr>
      <w:r>
        <w:rPr>
          <w:rFonts w:hint="eastAsia" w:ascii="黑体" w:eastAsia="黑体"/>
          <w:sz w:val="32"/>
          <w:szCs w:val="32"/>
        </w:rPr>
        <w:t>十、名称解释</w:t>
      </w:r>
    </w:p>
    <w:p w14:paraId="4E196974">
      <w:pPr>
        <w:rPr>
          <w:rFonts w:ascii="黑体" w:eastAsia="黑体"/>
          <w:sz w:val="32"/>
          <w:szCs w:val="32"/>
        </w:rPr>
      </w:pPr>
    </w:p>
    <w:p w14:paraId="06986D7B">
      <w:pPr>
        <w:widowControl/>
        <w:shd w:val="clear" w:color="auto" w:fill="FFFFFF"/>
        <w:spacing w:before="100" w:beforeAutospacing="1" w:after="100" w:afterAutospacing="1" w:line="290" w:lineRule="atLeast"/>
        <w:ind w:right="300"/>
        <w:jc w:val="left"/>
        <w:rPr>
          <w:rFonts w:ascii="??" w:hAnsi="??" w:cs="宋体"/>
          <w:kern w:val="0"/>
          <w:sz w:val="12"/>
          <w:szCs w:val="12"/>
        </w:rPr>
      </w:pPr>
    </w:p>
    <w:p w14:paraId="181A718E">
      <w:pPr>
        <w:pStyle w:val="15"/>
        <w:spacing w:line="560" w:lineRule="exact"/>
        <w:ind w:firstLine="640"/>
        <w:rPr>
          <w:rFonts w:ascii="黑体" w:eastAsia="黑体"/>
          <w:sz w:val="32"/>
          <w:szCs w:val="32"/>
        </w:rPr>
      </w:pPr>
      <w:r>
        <w:rPr>
          <w:rFonts w:hint="eastAsia" w:ascii="黑体" w:eastAsia="黑体"/>
          <w:sz w:val="32"/>
          <w:szCs w:val="32"/>
        </w:rPr>
        <w:t>一、基本职能及主要工作</w:t>
      </w:r>
    </w:p>
    <w:p w14:paraId="4E2E0CBF">
      <w:pPr>
        <w:spacing w:line="560" w:lineRule="exact"/>
        <w:ind w:firstLine="643" w:firstLineChars="200"/>
        <w:rPr>
          <w:rFonts w:ascii="楷体_GB2312" w:eastAsia="楷体_GB2312"/>
          <w:b/>
          <w:sz w:val="32"/>
          <w:szCs w:val="32"/>
        </w:rPr>
      </w:pPr>
      <w:r>
        <w:rPr>
          <w:rFonts w:hint="eastAsia" w:ascii="楷体_GB2312" w:eastAsia="楷体_GB2312"/>
          <w:b/>
          <w:sz w:val="32"/>
          <w:szCs w:val="32"/>
        </w:rPr>
        <w:t>（一）部门职能简介</w:t>
      </w:r>
    </w:p>
    <w:p w14:paraId="0349914F">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贯彻执行国家、省、州关于文化、体育、旅游、广播电视管理的方针、政策和法律、法规、规章；拟定全县文化、体育、旅游、广播电视规范性文件，并监督实施。拟订我县文化体育和旅游政策措施，负责本部门依法行政工作。</w:t>
      </w:r>
    </w:p>
    <w:p w14:paraId="64899790">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组织推动全县文化体育事业、文化体育产业和旅游业发展，拟订发展规划并组织实施，推进文化广播电视体育和旅游体制机制改革，推进文化广播电视体育和旅游融合发展。指导重点文化广播电视体育旅游企业发展和招商引资工作。</w:t>
      </w:r>
    </w:p>
    <w:p w14:paraId="0F077FF0">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组织实施全县文化、体育和旅游资源的普查、保护与利用。管理全县重大文化体育和旅游活动，指导全县重点文化体育和旅游设施建设，组织实施全县文化体育和旅游整体形象推广，促进文化、体育、旅游产业市场推广和对外合作交流，制定文化体育和旅游市场开发战略并组织实施，推进全域旅游。</w:t>
      </w:r>
    </w:p>
    <w:p w14:paraId="5B9C8181">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4.指导管理全县群众文化艺术事业，指导协调文化艺术创作与生产。指导、协调全县民间艺术的挖掘和整理。指导图书文献资源和共享工程的建设、开发和利用。管理全县文物事业和博物馆事业，协调全县文物管理、保护、抢救、利用等工作。推动中华优秀传统文化和古羌文化传承发展，承担基层文化建设责任。</w:t>
      </w:r>
    </w:p>
    <w:p w14:paraId="0CD22C8C">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5.承担公共文化事业发展责任，推进全县公共文化体育服务体系建设和旅游公共服务建设，深入实施文化惠民工程，统筹推进基本公共文化服务标准化、均等化。</w:t>
      </w:r>
    </w:p>
    <w:p w14:paraId="31943B6B">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6.推进文化、体育和旅游科技创新，推进文化、体育和旅游行业信息化、标准化建设。</w:t>
      </w:r>
    </w:p>
    <w:p w14:paraId="142460CE">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7.负责非物质文化遗产保护工作，推动非物质文化遗产的保护、传承、普及、弘扬和振兴。</w:t>
      </w:r>
    </w:p>
    <w:p w14:paraId="15D0ECF9">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8.组织实施全民健身计划，培训社会体育指导员，推进全民健身活动的开展。统筹规划全县竞技体育发展和运动项目布局，指导学校体育和青少年竞技体育的协调发展。指导业余体育训练，输送优秀竞技体育后备人才；按规定使用体育彩票公益金。</w:t>
      </w:r>
    </w:p>
    <w:p w14:paraId="221B4457">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9.指导全县文化、体育、旅游市场发展，对全县文化、体育、旅游市场依法进行行业监管，推进文化、体育、旅游行业信用体系建设，依法规范文化、体育、旅游市场。</w:t>
      </w:r>
    </w:p>
    <w:p w14:paraId="3D187963">
      <w:pPr>
        <w:widowControl/>
        <w:spacing w:line="56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10.统筹全县文化、文物、体育、旅游市场综合行政执法，组织查处文化、文物、体育、旅游等市场的违法行为，维护市场秩序。</w:t>
      </w:r>
    </w:p>
    <w:p w14:paraId="73A050EB">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11.承担文化体育和旅游系统及市场安全生产工作的综合协调与监督管理责任，对文化、体育、旅游园区的安全生产和职业健康工作实施行业监督管理，制定职责范围内的安全生产年度检查计划并组织实施。</w:t>
      </w:r>
    </w:p>
    <w:p w14:paraId="4CE86DAD">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12.监测旅游经济运行，负责旅游信息化建设、旅游统计和行业信息发布。</w:t>
      </w:r>
    </w:p>
    <w:p w14:paraId="3FAE917F">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13.承担职责范围内的生态环境保护、开发利用风景名胜资源、审批服务便民化等工作责任。</w:t>
      </w:r>
    </w:p>
    <w:p w14:paraId="7668A60A">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14.协助编制县内景区总体规划和建设性详细规划并组织实施，按照总体规划对风景名胜区内的新建、扩建和改建项目进行审核，对建设活动进行监督检查。</w:t>
      </w:r>
    </w:p>
    <w:p w14:paraId="67145710">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15.完成县委、县政府交办的其他任务。</w:t>
      </w:r>
    </w:p>
    <w:p w14:paraId="5FD2C4C8">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16.职能转变。统筹推进文化事业、文化产业、体育事业和旅游业融合发展。用好文化创意、科技创新和社会投资等新动能，促进文化广播电视体育和旅游与相关产业融合发展。巩固旅游业的战略性支柱产业地位，提升国家文化软实力、国际旅游竞争力。</w:t>
      </w:r>
    </w:p>
    <w:p w14:paraId="05B464FF">
      <w:pPr>
        <w:spacing w:line="560" w:lineRule="exact"/>
        <w:ind w:firstLine="643" w:firstLineChars="200"/>
        <w:rPr>
          <w:rFonts w:ascii="楷体_GB2312" w:eastAsia="楷体_GB2312"/>
          <w:b/>
          <w:sz w:val="32"/>
          <w:szCs w:val="32"/>
        </w:rPr>
      </w:pPr>
      <w:r>
        <w:rPr>
          <w:rFonts w:hint="eastAsia" w:ascii="楷体_GB2312" w:eastAsia="楷体_GB2312"/>
          <w:b/>
          <w:sz w:val="32"/>
          <w:szCs w:val="32"/>
        </w:rPr>
        <w:t>（二）2025年重点工作</w:t>
      </w:r>
    </w:p>
    <w:p w14:paraId="5A3D69F7">
      <w:pPr>
        <w:widowControl/>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2025年，茂县文广体旅局将围绕县委、县政府工作部署，持续抓好工作落实。</w:t>
      </w:r>
    </w:p>
    <w:p w14:paraId="4CB54B6E">
      <w:pPr>
        <w:widowControl/>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1.持续提供高质量文化服务。积极开展好全县文化，完成镇文化站评估定级工作。开展世界遗产日主题活动，“瓦尔俄足节”、“羌年”品牌节庆活动。</w:t>
      </w:r>
    </w:p>
    <w:p w14:paraId="68925BEB">
      <w:pPr>
        <w:widowControl/>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rPr>
        <w:t>2.持续提供高质量旅游产品。</w:t>
      </w:r>
      <w:r>
        <w:rPr>
          <w:rFonts w:hint="eastAsia" w:ascii="仿宋_GB2312" w:hAnsi="仿宋_GB2312" w:eastAsia="仿宋_GB2312" w:cs="仿宋_GB2312"/>
          <w:sz w:val="32"/>
          <w:szCs w:val="32"/>
        </w:rPr>
        <w:t>推进阿坝州熊猫级民宿创建评定工作，培育精品民宿1个，提升旅游景区配套设施和业态。全面加强对外文旅宣传营销，持续提升县内景区名气，吸引游客。</w:t>
      </w:r>
    </w:p>
    <w:p w14:paraId="390BCFE0">
      <w:pPr>
        <w:widowControl/>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3.持续推进文物保护工作。</w:t>
      </w:r>
      <w:r>
        <w:rPr>
          <w:rFonts w:hint="eastAsia" w:ascii="仿宋_GB2312" w:eastAsia="仿宋_GB2312"/>
          <w:sz w:val="32"/>
        </w:rPr>
        <w:t>完成我县第四次全国文物普查新发现文物点的普查及资料上报等工作，编制出版2024年《茂县羌族博物馆馆刊》，设立一个文创产品展示厅，改造多功能厅</w:t>
      </w:r>
      <w:r>
        <w:rPr>
          <w:rFonts w:hint="eastAsia" w:ascii="仿宋_GB2312" w:hAnsi="仿宋_GB2312" w:eastAsia="仿宋_GB2312" w:cs="仿宋_GB2312"/>
          <w:color w:val="000000" w:themeColor="text1"/>
          <w:sz w:val="32"/>
          <w:szCs w:val="32"/>
        </w:rPr>
        <w:t>。</w:t>
      </w:r>
    </w:p>
    <w:p w14:paraId="4B60D659">
      <w:pPr>
        <w:widowControl/>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4.全力推进体育工作发展。抓好阿坝州“雪山杯”足球赛筹备举办，</w:t>
      </w:r>
      <w:r>
        <w:rPr>
          <w:rFonts w:hint="eastAsia" w:ascii="仿宋_GB2312" w:hAnsi="仿宋_GB2312" w:eastAsia="仿宋_GB2312" w:cs="仿宋_GB2312"/>
          <w:sz w:val="32"/>
          <w:szCs w:val="32"/>
        </w:rPr>
        <w:t>举办全县篮球比赛，积极推动棍网球及曲棍球开展及举办相应比赛。</w:t>
      </w:r>
      <w:r>
        <w:rPr>
          <w:rFonts w:hint="eastAsia" w:ascii="仿宋_GB2312" w:hAnsi="仿宋_GB2312" w:eastAsia="仿宋_GB2312" w:cs="仿宋_GB2312"/>
          <w:color w:val="000000" w:themeColor="text1"/>
          <w:sz w:val="32"/>
          <w:szCs w:val="32"/>
        </w:rPr>
        <w:t>因地制宜开展好茂县体育定向赛等体旅融合工作。</w:t>
      </w:r>
    </w:p>
    <w:p w14:paraId="65C39EA0">
      <w:pPr>
        <w:pBdr>
          <w:bottom w:val="single" w:color="FFFFFF" w:sz="4" w:space="28"/>
        </w:pBdr>
        <w:topLinePunct/>
        <w:spacing w:line="560" w:lineRule="exact"/>
        <w:ind w:firstLine="640" w:firstLineChars="200"/>
        <w:contextualSpacing/>
        <w:rPr>
          <w:rStyle w:val="14"/>
          <w:rFonts w:ascii="仿宋_GB2312" w:eastAsia="仿宋_GB2312" w:cs="仿宋_GB2312"/>
          <w:b w:val="0"/>
          <w:bCs w:val="0"/>
        </w:rPr>
      </w:pPr>
      <w:r>
        <w:rPr>
          <w:rFonts w:hint="eastAsia" w:ascii="仿宋_GB2312" w:hAnsi="仿宋_GB2312" w:eastAsia="仿宋_GB2312" w:cs="仿宋_GB2312"/>
          <w:sz w:val="32"/>
          <w:szCs w:val="32"/>
        </w:rPr>
        <w:t>5.狠抓重大项目争取和实施。积极落实要素保障，全力争取四川省阿坝州羌族文化生态保护区综合展示馆项目。积极对接州、省文物局拨付阿坝羌寨碉群——黑虎鹰嘴河寨12号14号碉楼保护修缮二期项目资金。积极争取阿坝州羌城全民健身中心项目资金，积极争取茂县革命老区全民健身场地设施补短板项目资金。</w:t>
      </w:r>
    </w:p>
    <w:p w14:paraId="31542051">
      <w:pPr>
        <w:pBdr>
          <w:bottom w:val="single" w:color="FFFFFF" w:sz="4" w:space="28"/>
        </w:pBdr>
        <w:topLinePunct/>
        <w:spacing w:line="560" w:lineRule="exact"/>
        <w:ind w:firstLine="640" w:firstLineChars="200"/>
        <w:contextualSpacing/>
        <w:rPr>
          <w:rStyle w:val="14"/>
          <w:rFonts w:ascii="仿宋_GB2312" w:eastAsia="仿宋_GB2312" w:cs="仿宋_GB2312"/>
          <w:b w:val="0"/>
          <w:bCs w:val="0"/>
        </w:rPr>
      </w:pPr>
      <w:r>
        <w:rPr>
          <w:rFonts w:hint="eastAsia" w:ascii="黑体" w:eastAsia="黑体"/>
          <w:sz w:val="32"/>
          <w:szCs w:val="32"/>
        </w:rPr>
        <w:t>二、部门预算单位构成</w:t>
      </w:r>
    </w:p>
    <w:p w14:paraId="2C860A27">
      <w:pPr>
        <w:pBdr>
          <w:bottom w:val="single" w:color="FFFFFF" w:sz="4" w:space="28"/>
        </w:pBdr>
        <w:topLinePunct/>
        <w:spacing w:line="560" w:lineRule="exact"/>
        <w:ind w:firstLine="640" w:firstLineChars="200"/>
        <w:contextualSpacing/>
        <w:rPr>
          <w:rStyle w:val="14"/>
          <w:rFonts w:ascii="仿宋_GB2312" w:eastAsia="仿宋_GB2312" w:cs="仿宋_GB2312"/>
          <w:b w:val="0"/>
          <w:bCs w:val="0"/>
        </w:rPr>
      </w:pPr>
      <w:r>
        <w:rPr>
          <w:rStyle w:val="14"/>
          <w:rFonts w:hint="eastAsia" w:ascii="仿宋_GB2312" w:eastAsia="仿宋_GB2312" w:cs="仿宋_GB2312"/>
          <w:b w:val="0"/>
          <w:bCs w:val="0"/>
        </w:rPr>
        <w:t>茂县</w:t>
      </w:r>
      <w:r>
        <w:rPr>
          <w:rFonts w:hint="eastAsia" w:ascii="仿宋_GB2312" w:eastAsia="仿宋_GB2312" w:cs="仿宋_GB2312"/>
          <w:sz w:val="32"/>
          <w:szCs w:val="32"/>
        </w:rPr>
        <w:t>文化广播电视体育和旅游局属一级预算单位，</w:t>
      </w:r>
      <w:r>
        <w:rPr>
          <w:rStyle w:val="17"/>
          <w:rFonts w:hint="eastAsia" w:ascii="仿宋_GB2312" w:hAnsi="仿宋_GB2312" w:eastAsia="仿宋_GB2312" w:cs="仿宋_GB2312"/>
          <w:b w:val="0"/>
          <w:bCs w:val="0"/>
        </w:rPr>
        <w:t>其中：参照公务员法管理的事业单位0个，其他事业单位4个。</w:t>
      </w:r>
    </w:p>
    <w:p w14:paraId="259F1C7B">
      <w:pPr>
        <w:pBdr>
          <w:bottom w:val="single" w:color="FFFFFF" w:sz="4" w:space="28"/>
        </w:pBdr>
        <w:topLinePunct/>
        <w:spacing w:line="560" w:lineRule="exact"/>
        <w:ind w:firstLine="640" w:firstLineChars="200"/>
        <w:contextualSpacing/>
        <w:rPr>
          <w:rFonts w:ascii="仿宋_GB2312" w:eastAsia="仿宋_GB2312"/>
          <w:sz w:val="32"/>
          <w:szCs w:val="32"/>
        </w:rPr>
      </w:pPr>
      <w:r>
        <w:rPr>
          <w:rFonts w:hint="eastAsia" w:ascii="黑体" w:eastAsia="黑体"/>
          <w:sz w:val="32"/>
          <w:szCs w:val="32"/>
        </w:rPr>
        <w:t>三、收支预算情况说明</w:t>
      </w:r>
    </w:p>
    <w:p w14:paraId="16EC70B3">
      <w:pPr>
        <w:pBdr>
          <w:bottom w:val="single" w:color="FFFFFF" w:sz="4" w:space="28"/>
        </w:pBdr>
        <w:topLinePunct/>
        <w:spacing w:line="560" w:lineRule="exact"/>
        <w:ind w:firstLine="640" w:firstLineChars="200"/>
        <w:contextualSpacing/>
        <w:rPr>
          <w:rFonts w:ascii="仿宋_GB2312" w:eastAsia="仿宋_GB2312"/>
          <w:sz w:val="32"/>
          <w:szCs w:val="32"/>
        </w:rPr>
      </w:pPr>
      <w:r>
        <w:rPr>
          <w:rFonts w:ascii="仿宋_GB2312" w:eastAsia="仿宋_GB2312"/>
          <w:color w:val="000000"/>
          <w:sz w:val="32"/>
          <w:szCs w:val="32"/>
        </w:rPr>
        <w:t>按照综合预算的原则，</w:t>
      </w:r>
      <w:r>
        <w:rPr>
          <w:rFonts w:hint="eastAsia" w:ascii="仿宋_GB2312" w:eastAsia="仿宋_GB2312"/>
          <w:color w:val="000000"/>
          <w:sz w:val="32"/>
          <w:szCs w:val="32"/>
        </w:rPr>
        <w:t>茂县文化广播电视体育和旅游局</w:t>
      </w:r>
      <w:r>
        <w:rPr>
          <w:rFonts w:ascii="仿宋_GB2312" w:eastAsia="仿宋_GB2312"/>
          <w:color w:val="000000"/>
          <w:sz w:val="32"/>
          <w:szCs w:val="32"/>
        </w:rPr>
        <w:t>所有收入和支出均纳入部门预算管理。收入包括：一般公共预算拨款收入</w:t>
      </w:r>
      <w:r>
        <w:rPr>
          <w:rFonts w:hint="eastAsia" w:ascii="仿宋_GB2312" w:eastAsia="仿宋_GB2312"/>
          <w:color w:val="000000"/>
          <w:sz w:val="32"/>
          <w:szCs w:val="32"/>
        </w:rPr>
        <w:t>16459792.28</w:t>
      </w:r>
      <w:r>
        <w:rPr>
          <w:rFonts w:ascii="仿宋_GB2312" w:eastAsia="仿宋_GB2312"/>
          <w:color w:val="000000"/>
          <w:sz w:val="32"/>
          <w:szCs w:val="32"/>
        </w:rPr>
        <w:t>元</w:t>
      </w:r>
      <w:r>
        <w:rPr>
          <w:rFonts w:hint="eastAsia" w:ascii="仿宋_GB2312" w:eastAsia="仿宋_GB2312"/>
          <w:color w:val="000000"/>
          <w:sz w:val="32"/>
          <w:szCs w:val="32"/>
        </w:rPr>
        <w:t>，</w:t>
      </w:r>
      <w:r>
        <w:rPr>
          <w:rFonts w:ascii="仿宋_GB2312" w:eastAsia="仿宋_GB2312"/>
          <w:color w:val="000000"/>
          <w:sz w:val="32"/>
          <w:szCs w:val="32"/>
        </w:rPr>
        <w:t>支出包括：</w:t>
      </w:r>
      <w:r>
        <w:rPr>
          <w:rFonts w:hint="eastAsia" w:ascii="仿宋_GB2312" w:eastAsia="仿宋_GB2312"/>
          <w:sz w:val="32"/>
          <w:szCs w:val="32"/>
        </w:rPr>
        <w:t>文化旅游体育与传媒</w:t>
      </w:r>
      <w:r>
        <w:rPr>
          <w:rFonts w:ascii="仿宋_GB2312" w:eastAsia="仿宋_GB2312"/>
          <w:color w:val="000000"/>
          <w:sz w:val="32"/>
          <w:szCs w:val="32"/>
        </w:rPr>
        <w:t>支出</w:t>
      </w:r>
      <w:r>
        <w:rPr>
          <w:rFonts w:hint="eastAsia" w:ascii="仿宋_GB2312" w:eastAsia="仿宋_GB2312"/>
          <w:color w:val="000000"/>
          <w:sz w:val="32"/>
          <w:szCs w:val="32"/>
        </w:rPr>
        <w:t>12342070.68</w:t>
      </w:r>
      <w:r>
        <w:rPr>
          <w:rFonts w:ascii="仿宋_GB2312" w:eastAsia="仿宋_GB2312"/>
          <w:color w:val="000000"/>
          <w:sz w:val="32"/>
          <w:szCs w:val="32"/>
        </w:rPr>
        <w:t>元，社会保障和就业支出</w:t>
      </w:r>
      <w:r>
        <w:rPr>
          <w:rFonts w:hint="eastAsia" w:ascii="仿宋_GB2312" w:eastAsia="仿宋_GB2312"/>
          <w:color w:val="000000"/>
          <w:sz w:val="32"/>
          <w:szCs w:val="32"/>
        </w:rPr>
        <w:t>1812017.87</w:t>
      </w:r>
      <w:r>
        <w:rPr>
          <w:rFonts w:ascii="仿宋_GB2312" w:eastAsia="仿宋_GB2312"/>
          <w:color w:val="000000"/>
          <w:sz w:val="32"/>
          <w:szCs w:val="32"/>
        </w:rPr>
        <w:t>元，</w:t>
      </w:r>
      <w:r>
        <w:rPr>
          <w:rFonts w:hint="eastAsia" w:ascii="仿宋_GB2312" w:eastAsia="仿宋_GB2312"/>
          <w:color w:val="000000"/>
          <w:sz w:val="32"/>
          <w:szCs w:val="32"/>
        </w:rPr>
        <w:t>卫生健康</w:t>
      </w:r>
      <w:r>
        <w:rPr>
          <w:rFonts w:ascii="仿宋_GB2312" w:eastAsia="仿宋_GB2312"/>
          <w:color w:val="000000"/>
          <w:sz w:val="32"/>
          <w:szCs w:val="32"/>
        </w:rPr>
        <w:t>支出</w:t>
      </w:r>
      <w:r>
        <w:rPr>
          <w:rFonts w:hint="eastAsia" w:ascii="仿宋_GB2312" w:eastAsia="仿宋_GB2312"/>
          <w:color w:val="000000"/>
          <w:sz w:val="32"/>
          <w:szCs w:val="32"/>
        </w:rPr>
        <w:t>950051.73</w:t>
      </w:r>
      <w:r>
        <w:rPr>
          <w:rFonts w:ascii="仿宋_GB2312" w:eastAsia="仿宋_GB2312"/>
          <w:color w:val="000000"/>
          <w:sz w:val="32"/>
          <w:szCs w:val="32"/>
        </w:rPr>
        <w:t>元，住房保障支出</w:t>
      </w:r>
      <w:r>
        <w:rPr>
          <w:rFonts w:hint="eastAsia" w:ascii="仿宋_GB2312" w:eastAsia="仿宋_GB2312"/>
          <w:color w:val="000000"/>
          <w:sz w:val="32"/>
          <w:szCs w:val="32"/>
        </w:rPr>
        <w:t>1355652.00</w:t>
      </w:r>
      <w:r>
        <w:rPr>
          <w:rFonts w:ascii="仿宋_GB2312" w:eastAsia="仿宋_GB2312"/>
          <w:color w:val="000000"/>
          <w:sz w:val="32"/>
          <w:szCs w:val="32"/>
        </w:rPr>
        <w:t>元。</w:t>
      </w:r>
      <w:r>
        <w:rPr>
          <w:rFonts w:hint="eastAsia" w:ascii="仿宋_GB2312" w:eastAsia="仿宋_GB2312"/>
          <w:color w:val="000000"/>
          <w:sz w:val="32"/>
          <w:szCs w:val="32"/>
        </w:rPr>
        <w:t>茂县文化广播电视体育和旅游局</w:t>
      </w:r>
      <w:r>
        <w:rPr>
          <w:rFonts w:ascii="仿宋_GB2312" w:eastAsia="仿宋_GB2312"/>
          <w:color w:val="000000"/>
          <w:sz w:val="32"/>
          <w:szCs w:val="32"/>
        </w:rPr>
        <w:t>20</w:t>
      </w:r>
      <w:r>
        <w:rPr>
          <w:rFonts w:hint="eastAsia" w:ascii="仿宋_GB2312" w:eastAsia="仿宋_GB2312"/>
          <w:color w:val="000000"/>
          <w:sz w:val="32"/>
          <w:szCs w:val="32"/>
        </w:rPr>
        <w:t>25</w:t>
      </w:r>
      <w:r>
        <w:rPr>
          <w:rFonts w:ascii="仿宋_GB2312" w:eastAsia="仿宋_GB2312"/>
          <w:color w:val="000000"/>
          <w:sz w:val="32"/>
          <w:szCs w:val="32"/>
        </w:rPr>
        <w:t>年收支总预算</w:t>
      </w:r>
      <w:r>
        <w:rPr>
          <w:rFonts w:hint="eastAsia" w:ascii="仿宋_GB2312" w:eastAsia="仿宋_GB2312"/>
          <w:color w:val="000000"/>
          <w:sz w:val="32"/>
          <w:szCs w:val="32"/>
        </w:rPr>
        <w:t>16459792.28</w:t>
      </w:r>
      <w:r>
        <w:rPr>
          <w:rFonts w:ascii="仿宋_GB2312" w:eastAsia="仿宋_GB2312"/>
          <w:color w:val="000000"/>
          <w:sz w:val="32"/>
          <w:szCs w:val="32"/>
        </w:rPr>
        <w:t>元,</w:t>
      </w:r>
      <w:r>
        <w:rPr>
          <w:rFonts w:ascii="仿宋_GB2312" w:eastAsia="仿宋_GB2312"/>
          <w:sz w:val="32"/>
          <w:szCs w:val="32"/>
        </w:rPr>
        <w:t>比20</w:t>
      </w:r>
      <w:r>
        <w:rPr>
          <w:rFonts w:hint="eastAsia" w:ascii="仿宋_GB2312" w:eastAsia="仿宋_GB2312"/>
          <w:sz w:val="32"/>
          <w:szCs w:val="32"/>
        </w:rPr>
        <w:t>24</w:t>
      </w:r>
      <w:r>
        <w:rPr>
          <w:rFonts w:ascii="仿宋_GB2312" w:eastAsia="仿宋_GB2312"/>
          <w:sz w:val="32"/>
          <w:szCs w:val="32"/>
        </w:rPr>
        <w:t>年收支预算总数</w:t>
      </w:r>
      <w:r>
        <w:rPr>
          <w:rFonts w:hint="eastAsia" w:ascii="仿宋_GB2312" w:eastAsia="仿宋_GB2312"/>
          <w:sz w:val="32"/>
          <w:szCs w:val="32"/>
        </w:rPr>
        <w:t>增加46654.39</w:t>
      </w:r>
      <w:r>
        <w:rPr>
          <w:rFonts w:ascii="仿宋_GB2312" w:eastAsia="仿宋_GB2312"/>
          <w:sz w:val="32"/>
          <w:szCs w:val="32"/>
        </w:rPr>
        <w:t>元，主要原因:</w:t>
      </w:r>
      <w:r>
        <w:rPr>
          <w:rFonts w:hint="eastAsia" w:ascii="仿宋_GB2312" w:eastAsia="仿宋_GB2312"/>
          <w:sz w:val="32"/>
          <w:szCs w:val="32"/>
        </w:rPr>
        <w:t>人员变动及工资保险金额增加。</w:t>
      </w:r>
    </w:p>
    <w:p w14:paraId="4D1DD17A">
      <w:pPr>
        <w:pBdr>
          <w:bottom w:val="single" w:color="FFFFFF" w:sz="4" w:space="28"/>
        </w:pBdr>
        <w:topLinePunct/>
        <w:spacing w:line="560" w:lineRule="exact"/>
        <w:ind w:firstLine="643" w:firstLineChars="200"/>
        <w:contextualSpacing/>
        <w:rPr>
          <w:rFonts w:ascii="楷体_GB2312" w:eastAsia="楷体_GB2312" w:cs="楷体_GB2312"/>
          <w:b/>
          <w:bCs/>
          <w:sz w:val="32"/>
          <w:szCs w:val="32"/>
        </w:rPr>
      </w:pPr>
      <w:r>
        <w:rPr>
          <w:rFonts w:hint="eastAsia" w:ascii="楷体_GB2312" w:eastAsia="楷体_GB2312"/>
          <w:b/>
          <w:sz w:val="32"/>
          <w:szCs w:val="32"/>
        </w:rPr>
        <w:t>（一）收入预算情况</w:t>
      </w:r>
    </w:p>
    <w:p w14:paraId="161BEA76">
      <w:pPr>
        <w:pBdr>
          <w:bottom w:val="single" w:color="FFFFFF" w:sz="4" w:space="28"/>
        </w:pBdr>
        <w:topLinePunct/>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2025</w:t>
      </w:r>
      <w:r>
        <w:rPr>
          <w:rFonts w:ascii="仿宋_GB2312" w:eastAsia="仿宋_GB2312"/>
          <w:sz w:val="32"/>
          <w:szCs w:val="32"/>
        </w:rPr>
        <w:t>年收入预算</w:t>
      </w:r>
      <w:r>
        <w:rPr>
          <w:rFonts w:hint="eastAsia" w:ascii="仿宋_GB2312" w:eastAsia="仿宋_GB2312"/>
          <w:color w:val="000000"/>
          <w:sz w:val="32"/>
          <w:szCs w:val="32"/>
        </w:rPr>
        <w:t>16459792.28</w:t>
      </w:r>
      <w:r>
        <w:rPr>
          <w:rFonts w:ascii="仿宋_GB2312" w:eastAsia="仿宋_GB2312"/>
          <w:sz w:val="32"/>
          <w:szCs w:val="32"/>
        </w:rPr>
        <w:t>元；</w:t>
      </w:r>
      <w:r>
        <w:rPr>
          <w:rFonts w:ascii="仿宋_GB2312" w:eastAsia="仿宋_GB2312"/>
          <w:color w:val="000000"/>
          <w:sz w:val="32"/>
          <w:szCs w:val="32"/>
        </w:rPr>
        <w:t>一般公共预算拨款收入</w:t>
      </w:r>
      <w:r>
        <w:rPr>
          <w:rFonts w:hint="eastAsia" w:ascii="仿宋_GB2312" w:eastAsia="仿宋_GB2312"/>
          <w:color w:val="000000"/>
          <w:sz w:val="32"/>
          <w:szCs w:val="32"/>
        </w:rPr>
        <w:t>16459792.28</w:t>
      </w:r>
      <w:r>
        <w:rPr>
          <w:rFonts w:ascii="仿宋_GB2312" w:eastAsia="仿宋_GB2312"/>
          <w:color w:val="000000"/>
          <w:sz w:val="32"/>
          <w:szCs w:val="32"/>
        </w:rPr>
        <w:t>元</w:t>
      </w:r>
      <w:r>
        <w:rPr>
          <w:rFonts w:hint="eastAsia" w:ascii="仿宋_GB2312" w:eastAsia="仿宋_GB2312"/>
          <w:color w:val="000000"/>
          <w:sz w:val="32"/>
          <w:szCs w:val="32"/>
        </w:rPr>
        <w:t>,</w:t>
      </w:r>
      <w:r>
        <w:rPr>
          <w:rFonts w:ascii="仿宋_GB2312" w:eastAsia="仿宋_GB2312"/>
          <w:sz w:val="32"/>
          <w:szCs w:val="32"/>
        </w:rPr>
        <w:t>占</w:t>
      </w:r>
      <w:r>
        <w:rPr>
          <w:rFonts w:hint="eastAsia" w:ascii="仿宋_GB2312" w:eastAsia="仿宋_GB2312"/>
          <w:sz w:val="32"/>
          <w:szCs w:val="32"/>
        </w:rPr>
        <w:t>100</w:t>
      </w:r>
      <w:r>
        <w:rPr>
          <w:rFonts w:ascii="仿宋_GB2312" w:eastAsia="仿宋_GB2312"/>
          <w:sz w:val="32"/>
          <w:szCs w:val="32"/>
        </w:rPr>
        <w:t>%。</w:t>
      </w:r>
    </w:p>
    <w:p w14:paraId="063F1434">
      <w:pPr>
        <w:pBdr>
          <w:bottom w:val="single" w:color="FFFFFF" w:sz="4" w:space="28"/>
        </w:pBdr>
        <w:topLinePunct/>
        <w:spacing w:line="560" w:lineRule="exact"/>
        <w:ind w:firstLine="643" w:firstLineChars="200"/>
        <w:contextualSpacing/>
        <w:rPr>
          <w:rFonts w:ascii="楷体_GB2312" w:eastAsia="楷体_GB2312" w:cs="楷体_GB2312"/>
          <w:b/>
          <w:bCs/>
          <w:sz w:val="32"/>
          <w:szCs w:val="32"/>
        </w:rPr>
      </w:pPr>
      <w:r>
        <w:rPr>
          <w:rFonts w:hint="eastAsia" w:ascii="楷体_GB2312" w:eastAsia="楷体_GB2312" w:cs="仿宋_GB2312"/>
          <w:b/>
          <w:sz w:val="32"/>
          <w:szCs w:val="32"/>
        </w:rPr>
        <w:t>（二）支出预算情况</w:t>
      </w:r>
    </w:p>
    <w:p w14:paraId="13D4F16A">
      <w:pPr>
        <w:pBdr>
          <w:bottom w:val="single" w:color="FFFFFF" w:sz="4" w:space="28"/>
        </w:pBdr>
        <w:topLinePunct/>
        <w:spacing w:line="560" w:lineRule="exact"/>
        <w:ind w:firstLine="640" w:firstLineChars="200"/>
        <w:contextualSpacing/>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025</w:t>
      </w:r>
      <w:r>
        <w:rPr>
          <w:rFonts w:ascii="仿宋_GB2312" w:eastAsia="仿宋_GB2312"/>
          <w:sz w:val="32"/>
          <w:szCs w:val="32"/>
        </w:rPr>
        <w:t>年支出预算</w:t>
      </w:r>
      <w:r>
        <w:rPr>
          <w:rFonts w:hint="eastAsia" w:ascii="仿宋_GB2312" w:eastAsia="仿宋_GB2312"/>
          <w:color w:val="000000"/>
          <w:sz w:val="32"/>
          <w:szCs w:val="32"/>
        </w:rPr>
        <w:t>16459792.28</w:t>
      </w:r>
      <w:r>
        <w:rPr>
          <w:rFonts w:ascii="仿宋_GB2312" w:eastAsia="仿宋_GB2312"/>
          <w:sz w:val="32"/>
          <w:szCs w:val="32"/>
        </w:rPr>
        <w:t>元，其中：基本支出</w:t>
      </w:r>
      <w:r>
        <w:rPr>
          <w:rFonts w:hint="eastAsia" w:ascii="仿宋_GB2312" w:eastAsia="仿宋_GB2312"/>
          <w:sz w:val="32"/>
          <w:szCs w:val="32"/>
        </w:rPr>
        <w:t>16276192.28</w:t>
      </w:r>
      <w:r>
        <w:rPr>
          <w:rFonts w:ascii="仿宋_GB2312" w:eastAsia="仿宋_GB2312"/>
          <w:sz w:val="32"/>
          <w:szCs w:val="32"/>
        </w:rPr>
        <w:t>元，占</w:t>
      </w:r>
      <w:r>
        <w:rPr>
          <w:rFonts w:hint="eastAsia" w:ascii="仿宋_GB2312" w:eastAsia="仿宋_GB2312"/>
          <w:sz w:val="32"/>
          <w:szCs w:val="32"/>
        </w:rPr>
        <w:t>99</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项目支出</w:t>
      </w:r>
      <w:r>
        <w:rPr>
          <w:rFonts w:hint="eastAsia" w:ascii="仿宋_GB2312" w:eastAsia="仿宋_GB2312"/>
          <w:sz w:val="32"/>
          <w:szCs w:val="32"/>
        </w:rPr>
        <w:t>183600.00</w:t>
      </w:r>
      <w:r>
        <w:rPr>
          <w:rFonts w:ascii="仿宋_GB2312" w:eastAsia="仿宋_GB2312"/>
          <w:sz w:val="32"/>
          <w:szCs w:val="32"/>
        </w:rPr>
        <w:t>元，占</w:t>
      </w: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 xml:space="preserve">      </w:t>
      </w:r>
    </w:p>
    <w:p w14:paraId="2CC31748">
      <w:pPr>
        <w:numPr>
          <w:ilvl w:val="0"/>
          <w:numId w:val="1"/>
        </w:numPr>
        <w:pBdr>
          <w:bottom w:val="single" w:color="FFFFFF" w:sz="4" w:space="28"/>
        </w:pBdr>
        <w:topLinePunct/>
        <w:spacing w:line="560" w:lineRule="exact"/>
        <w:ind w:firstLine="640" w:firstLineChars="200"/>
        <w:contextualSpacing/>
        <w:rPr>
          <w:rFonts w:hint="eastAsia" w:ascii="黑体" w:eastAsia="黑体" w:cs="黑体"/>
          <w:sz w:val="32"/>
          <w:szCs w:val="32"/>
        </w:rPr>
      </w:pPr>
      <w:r>
        <w:rPr>
          <w:rFonts w:hint="eastAsia" w:ascii="黑体" w:eastAsia="黑体" w:cs="黑体"/>
          <w:sz w:val="32"/>
          <w:szCs w:val="32"/>
        </w:rPr>
        <w:t>财政拨款收支预算情况说明</w:t>
      </w:r>
    </w:p>
    <w:p w14:paraId="3ECC56C8">
      <w:pPr>
        <w:numPr>
          <w:numId w:val="0"/>
        </w:numPr>
        <w:pBdr>
          <w:bottom w:val="single" w:color="FFFFFF" w:sz="4" w:space="28"/>
        </w:pBdr>
        <w:topLinePunct/>
        <w:spacing w:line="560" w:lineRule="exact"/>
        <w:ind w:firstLine="640" w:firstLineChars="200"/>
        <w:contextualSpacing/>
        <w:rPr>
          <w:rFonts w:hint="eastAsia"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年财政拨款收支总预算</w:t>
      </w:r>
      <w:r>
        <w:rPr>
          <w:rFonts w:hint="eastAsia" w:ascii="仿宋_GB2312" w:eastAsia="仿宋_GB2312"/>
          <w:color w:val="000000"/>
          <w:sz w:val="32"/>
          <w:szCs w:val="32"/>
        </w:rPr>
        <w:t>16459792.28</w:t>
      </w:r>
      <w:r>
        <w:rPr>
          <w:rFonts w:ascii="仿宋_GB2312" w:eastAsia="仿宋_GB2312"/>
          <w:sz w:val="32"/>
          <w:szCs w:val="32"/>
        </w:rPr>
        <w:t>元,比20</w:t>
      </w:r>
      <w:r>
        <w:rPr>
          <w:rFonts w:hint="eastAsia" w:ascii="仿宋_GB2312" w:eastAsia="仿宋_GB2312"/>
          <w:sz w:val="32"/>
          <w:szCs w:val="32"/>
        </w:rPr>
        <w:t>24</w:t>
      </w:r>
      <w:r>
        <w:rPr>
          <w:rFonts w:ascii="仿宋_GB2312" w:eastAsia="仿宋_GB2312"/>
          <w:sz w:val="32"/>
          <w:szCs w:val="32"/>
        </w:rPr>
        <w:t>年收支预算总数</w:t>
      </w:r>
      <w:r>
        <w:rPr>
          <w:rFonts w:hint="eastAsia" w:ascii="仿宋_GB2312" w:eastAsia="仿宋_GB2312"/>
          <w:sz w:val="32"/>
          <w:szCs w:val="32"/>
        </w:rPr>
        <w:t>增加46654.39</w:t>
      </w:r>
      <w:r>
        <w:rPr>
          <w:rFonts w:ascii="仿宋_GB2312" w:eastAsia="仿宋_GB2312"/>
          <w:sz w:val="32"/>
          <w:szCs w:val="32"/>
        </w:rPr>
        <w:t>元，主要原因:</w:t>
      </w:r>
      <w:r>
        <w:rPr>
          <w:rFonts w:hint="eastAsia" w:ascii="仿宋_GB2312" w:eastAsia="仿宋_GB2312"/>
          <w:sz w:val="32"/>
          <w:szCs w:val="32"/>
        </w:rPr>
        <w:t>人员变动及工资保险金额增加。</w:t>
      </w:r>
    </w:p>
    <w:p w14:paraId="00D70328">
      <w:pPr>
        <w:numPr>
          <w:numId w:val="0"/>
        </w:numPr>
        <w:pBdr>
          <w:bottom w:val="single" w:color="FFFFFF" w:sz="4" w:space="28"/>
        </w:pBdr>
        <w:topLinePunct/>
        <w:spacing w:line="560" w:lineRule="exact"/>
        <w:ind w:firstLine="640" w:firstLineChars="200"/>
        <w:contextualSpacing/>
        <w:rPr>
          <w:rFonts w:hint="eastAsia" w:ascii="仿宋_GB2312" w:eastAsia="仿宋_GB2312"/>
          <w:sz w:val="32"/>
          <w:szCs w:val="32"/>
        </w:rPr>
      </w:pPr>
      <w:r>
        <w:rPr>
          <w:rFonts w:ascii="仿宋_GB2312" w:eastAsia="仿宋_GB2312"/>
          <w:sz w:val="32"/>
          <w:szCs w:val="32"/>
        </w:rPr>
        <w:t>收入包括：本年</w:t>
      </w:r>
      <w:r>
        <w:rPr>
          <w:rFonts w:hint="eastAsia" w:ascii="仿宋_GB2312" w:eastAsia="仿宋_GB2312"/>
          <w:sz w:val="32"/>
          <w:szCs w:val="32"/>
        </w:rPr>
        <w:t>收入</w:t>
      </w:r>
      <w:r>
        <w:rPr>
          <w:rFonts w:hint="eastAsia" w:ascii="仿宋_GB2312" w:eastAsia="仿宋_GB2312"/>
          <w:color w:val="000000"/>
          <w:sz w:val="32"/>
          <w:szCs w:val="32"/>
        </w:rPr>
        <w:t>16459792.28</w:t>
      </w:r>
      <w:r>
        <w:rPr>
          <w:rFonts w:ascii="仿宋_GB2312" w:eastAsia="仿宋_GB2312"/>
          <w:sz w:val="32"/>
          <w:szCs w:val="32"/>
        </w:rPr>
        <w:t>元</w:t>
      </w:r>
      <w:r>
        <w:rPr>
          <w:rFonts w:hint="eastAsia" w:ascii="仿宋_GB2312" w:eastAsia="仿宋_GB2312"/>
          <w:sz w:val="32"/>
          <w:szCs w:val="32"/>
        </w:rPr>
        <w:t>，其中：</w:t>
      </w:r>
      <w:r>
        <w:rPr>
          <w:rFonts w:ascii="仿宋_GB2312" w:eastAsia="仿宋_GB2312"/>
          <w:sz w:val="32"/>
          <w:szCs w:val="32"/>
        </w:rPr>
        <w:t>一般公共预算拨款收入</w:t>
      </w:r>
      <w:r>
        <w:rPr>
          <w:rFonts w:hint="eastAsia" w:ascii="仿宋_GB2312" w:eastAsia="仿宋_GB2312"/>
          <w:color w:val="000000"/>
          <w:sz w:val="32"/>
          <w:szCs w:val="32"/>
        </w:rPr>
        <w:t>16459792.28</w:t>
      </w:r>
      <w:r>
        <w:rPr>
          <w:rFonts w:ascii="仿宋_GB2312" w:eastAsia="仿宋_GB2312"/>
          <w:sz w:val="32"/>
          <w:szCs w:val="32"/>
        </w:rPr>
        <w:t>元</w:t>
      </w:r>
      <w:r>
        <w:rPr>
          <w:rFonts w:hint="eastAsia" w:ascii="仿宋_GB2312" w:eastAsia="仿宋_GB2312"/>
          <w:sz w:val="32"/>
          <w:szCs w:val="32"/>
        </w:rPr>
        <w:t>。</w:t>
      </w:r>
    </w:p>
    <w:p w14:paraId="749B9623">
      <w:pPr>
        <w:numPr>
          <w:numId w:val="0"/>
        </w:numPr>
        <w:pBdr>
          <w:bottom w:val="single" w:color="FFFFFF" w:sz="4" w:space="28"/>
        </w:pBdr>
        <w:topLinePunct/>
        <w:spacing w:line="560" w:lineRule="exact"/>
        <w:ind w:firstLine="640" w:firstLineChars="200"/>
        <w:contextualSpacing/>
        <w:rPr>
          <w:rFonts w:ascii="仿宋_GB2312" w:eastAsia="仿宋_GB2312"/>
          <w:sz w:val="32"/>
          <w:szCs w:val="32"/>
        </w:rPr>
      </w:pPr>
      <w:r>
        <w:rPr>
          <w:rFonts w:ascii="仿宋_GB2312" w:eastAsia="仿宋_GB2312"/>
          <w:sz w:val="32"/>
          <w:szCs w:val="32"/>
        </w:rPr>
        <w:t>支出包括：</w:t>
      </w:r>
      <w:r>
        <w:rPr>
          <w:rFonts w:hint="eastAsia" w:ascii="仿宋_GB2312" w:eastAsia="仿宋_GB2312"/>
          <w:color w:val="000000"/>
          <w:sz w:val="32"/>
          <w:szCs w:val="32"/>
        </w:rPr>
        <w:t>文化旅游体育与传媒</w:t>
      </w:r>
      <w:r>
        <w:rPr>
          <w:rFonts w:ascii="仿宋_GB2312" w:eastAsia="仿宋_GB2312"/>
          <w:sz w:val="32"/>
          <w:szCs w:val="32"/>
        </w:rPr>
        <w:t>支出</w:t>
      </w:r>
      <w:r>
        <w:rPr>
          <w:rFonts w:hint="eastAsia" w:ascii="仿宋_GB2312" w:eastAsia="仿宋_GB2312"/>
          <w:sz w:val="32"/>
          <w:szCs w:val="32"/>
        </w:rPr>
        <w:t>12342070.68</w:t>
      </w:r>
      <w:r>
        <w:rPr>
          <w:rFonts w:ascii="仿宋_GB2312" w:eastAsia="仿宋_GB2312"/>
          <w:sz w:val="32"/>
          <w:szCs w:val="32"/>
        </w:rPr>
        <w:t>元，社会保障和就业支出</w:t>
      </w:r>
      <w:r>
        <w:rPr>
          <w:rFonts w:hint="eastAsia" w:ascii="仿宋_GB2312" w:eastAsia="仿宋_GB2312"/>
          <w:sz w:val="32"/>
          <w:szCs w:val="32"/>
        </w:rPr>
        <w:t>1812017.87</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950051.73</w:t>
      </w:r>
      <w:r>
        <w:rPr>
          <w:rFonts w:ascii="仿宋_GB2312" w:eastAsia="仿宋_GB2312"/>
          <w:sz w:val="32"/>
          <w:szCs w:val="32"/>
        </w:rPr>
        <w:t>元，住房保障支出</w:t>
      </w:r>
      <w:r>
        <w:rPr>
          <w:rFonts w:hint="eastAsia" w:ascii="仿宋_GB2312" w:eastAsia="仿宋_GB2312"/>
          <w:sz w:val="32"/>
          <w:szCs w:val="32"/>
        </w:rPr>
        <w:t>1355652.</w:t>
      </w:r>
      <w:r>
        <w:rPr>
          <w:rFonts w:ascii="仿宋_GB2312" w:eastAsia="仿宋_GB2312"/>
          <w:sz w:val="32"/>
          <w:szCs w:val="32"/>
        </w:rPr>
        <w:t>00元。</w:t>
      </w:r>
    </w:p>
    <w:p w14:paraId="7EBF9E75">
      <w:pPr>
        <w:numPr>
          <w:ilvl w:val="0"/>
          <w:numId w:val="1"/>
        </w:numPr>
        <w:pBdr>
          <w:bottom w:val="single" w:color="FFFFFF" w:sz="4" w:space="28"/>
        </w:pBdr>
        <w:topLinePunct/>
        <w:spacing w:line="560" w:lineRule="exact"/>
        <w:ind w:left="0" w:leftChars="0" w:firstLine="640" w:firstLineChars="200"/>
        <w:contextualSpacing/>
        <w:rPr>
          <w:rFonts w:hint="eastAsia" w:ascii="黑体" w:eastAsia="黑体"/>
          <w:sz w:val="32"/>
          <w:szCs w:val="32"/>
        </w:rPr>
      </w:pPr>
      <w:r>
        <w:rPr>
          <w:rFonts w:hint="eastAsia" w:ascii="黑体" w:eastAsia="黑体"/>
          <w:sz w:val="32"/>
          <w:szCs w:val="32"/>
        </w:rPr>
        <w:t>一般公共预算当年拨款情况说明</w:t>
      </w:r>
    </w:p>
    <w:p w14:paraId="77460BD3">
      <w:pPr>
        <w:numPr>
          <w:ilvl w:val="0"/>
          <w:numId w:val="2"/>
        </w:numPr>
        <w:pBdr>
          <w:bottom w:val="single" w:color="FFFFFF" w:sz="4" w:space="28"/>
        </w:pBdr>
        <w:topLinePunct/>
        <w:spacing w:line="560" w:lineRule="exact"/>
        <w:ind w:firstLine="643" w:firstLineChars="200"/>
        <w:contextualSpacing/>
        <w:rPr>
          <w:rFonts w:hint="eastAsia" w:ascii="楷体_GB2312" w:eastAsia="楷体_GB2312" w:cs="仿宋_GB2312"/>
          <w:b/>
          <w:kern w:val="2"/>
          <w:sz w:val="32"/>
          <w:szCs w:val="32"/>
        </w:rPr>
      </w:pPr>
      <w:r>
        <w:rPr>
          <w:rFonts w:hint="eastAsia" w:ascii="楷体_GB2312" w:eastAsia="楷体_GB2312" w:cs="仿宋_GB2312"/>
          <w:b/>
          <w:kern w:val="2"/>
          <w:sz w:val="32"/>
          <w:szCs w:val="32"/>
        </w:rPr>
        <w:t>一般公共预算当年拨款规模变化情况</w:t>
      </w:r>
    </w:p>
    <w:p w14:paraId="1DE0E29C">
      <w:pPr>
        <w:numPr>
          <w:numId w:val="0"/>
        </w:numPr>
        <w:pBdr>
          <w:bottom w:val="single" w:color="FFFFFF" w:sz="4" w:space="28"/>
        </w:pBdr>
        <w:topLinePunct/>
        <w:spacing w:line="560" w:lineRule="exact"/>
        <w:ind w:firstLine="640" w:firstLineChars="200"/>
        <w:contextualSpacing/>
        <w:rPr>
          <w:rFonts w:hint="eastAsia"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年一般公共预算当年拨款</w:t>
      </w:r>
      <w:r>
        <w:rPr>
          <w:rFonts w:hint="eastAsia" w:ascii="仿宋_GB2312" w:eastAsia="仿宋_GB2312"/>
          <w:color w:val="000000"/>
          <w:sz w:val="32"/>
          <w:szCs w:val="32"/>
        </w:rPr>
        <w:t>16459792.28</w:t>
      </w:r>
      <w:r>
        <w:rPr>
          <w:rFonts w:ascii="仿宋_GB2312" w:eastAsia="仿宋_GB2312"/>
          <w:sz w:val="32"/>
          <w:szCs w:val="32"/>
        </w:rPr>
        <w:t>元,比20</w:t>
      </w:r>
      <w:r>
        <w:rPr>
          <w:rFonts w:hint="eastAsia" w:ascii="仿宋_GB2312" w:eastAsia="仿宋_GB2312"/>
          <w:sz w:val="32"/>
          <w:szCs w:val="32"/>
        </w:rPr>
        <w:t>24</w:t>
      </w:r>
      <w:r>
        <w:rPr>
          <w:rFonts w:ascii="仿宋_GB2312" w:eastAsia="仿宋_GB2312"/>
          <w:sz w:val="32"/>
          <w:szCs w:val="32"/>
        </w:rPr>
        <w:t>年预算数增加</w:t>
      </w:r>
      <w:r>
        <w:rPr>
          <w:rFonts w:hint="eastAsia" w:ascii="仿宋_GB2312" w:eastAsia="仿宋_GB2312"/>
          <w:sz w:val="32"/>
          <w:szCs w:val="32"/>
        </w:rPr>
        <w:t>46654.39</w:t>
      </w:r>
      <w:r>
        <w:rPr>
          <w:rFonts w:ascii="仿宋_GB2312" w:eastAsia="仿宋_GB2312"/>
          <w:sz w:val="32"/>
          <w:szCs w:val="32"/>
        </w:rPr>
        <w:t>元，主要原因:</w:t>
      </w:r>
      <w:r>
        <w:rPr>
          <w:rFonts w:hint="eastAsia" w:ascii="仿宋_GB2312" w:eastAsia="仿宋_GB2312"/>
          <w:sz w:val="32"/>
          <w:szCs w:val="32"/>
        </w:rPr>
        <w:t>人员变动及工资保险金额增加。</w:t>
      </w:r>
    </w:p>
    <w:p w14:paraId="64A5D73D">
      <w:pPr>
        <w:numPr>
          <w:ilvl w:val="0"/>
          <w:numId w:val="2"/>
        </w:numPr>
        <w:pBdr>
          <w:bottom w:val="single" w:color="FFFFFF" w:sz="4" w:space="28"/>
        </w:pBdr>
        <w:topLinePunct/>
        <w:spacing w:line="560" w:lineRule="exact"/>
        <w:ind w:left="0" w:leftChars="0" w:firstLine="643" w:firstLineChars="200"/>
        <w:contextualSpacing/>
        <w:rPr>
          <w:rFonts w:hint="eastAsia" w:ascii="楷体_GB2312" w:eastAsia="楷体_GB2312" w:cs="宋体"/>
          <w:b/>
          <w:sz w:val="32"/>
          <w:szCs w:val="32"/>
        </w:rPr>
      </w:pPr>
      <w:r>
        <w:rPr>
          <w:rFonts w:hint="eastAsia" w:ascii="楷体_GB2312" w:eastAsia="楷体_GB2312" w:cs="宋体"/>
          <w:b/>
          <w:sz w:val="32"/>
          <w:szCs w:val="32"/>
        </w:rPr>
        <w:t>一般公共预算当年拨款结构情况</w:t>
      </w:r>
    </w:p>
    <w:p w14:paraId="6490C8C6">
      <w:pPr>
        <w:keepNext w:val="0"/>
        <w:keepLines w:val="0"/>
        <w:pageBreakBefore w:val="0"/>
        <w:widowControl w:val="0"/>
        <w:numPr>
          <w:numId w:val="0"/>
        </w:numPr>
        <w:pBdr>
          <w:bottom w:val="single" w:color="FFFFFF" w:sz="4" w:space="28"/>
        </w:pBdr>
        <w:kinsoku/>
        <w:wordWrap/>
        <w:overflowPunct/>
        <w:topLinePunct/>
        <w:autoSpaceDE/>
        <w:autoSpaceDN/>
        <w:bidi w:val="0"/>
        <w:adjustRightInd/>
        <w:snapToGrid/>
        <w:spacing w:line="560" w:lineRule="exact"/>
        <w:ind w:firstLine="640" w:firstLineChars="200"/>
        <w:contextualSpacing/>
        <w:textAlignment w:val="auto"/>
        <w:rPr>
          <w:rFonts w:ascii="楷体_GB2312" w:eastAsia="楷体_GB2312" w:cs="楷体_GB2312"/>
          <w:b/>
          <w:bCs/>
          <w:sz w:val="32"/>
          <w:szCs w:val="32"/>
        </w:rPr>
      </w:pPr>
      <w:r>
        <w:rPr>
          <w:rFonts w:hint="eastAsia" w:ascii="仿宋_GB2312" w:eastAsia="仿宋_GB2312"/>
          <w:sz w:val="32"/>
          <w:szCs w:val="32"/>
        </w:rPr>
        <w:t>文化旅游体育与传媒</w:t>
      </w:r>
      <w:r>
        <w:rPr>
          <w:rFonts w:ascii="仿宋_GB2312" w:eastAsia="仿宋_GB2312"/>
          <w:sz w:val="32"/>
          <w:szCs w:val="32"/>
        </w:rPr>
        <w:t>支出</w:t>
      </w:r>
      <w:r>
        <w:rPr>
          <w:rFonts w:hint="eastAsia" w:ascii="仿宋_GB2312" w:eastAsia="仿宋_GB2312"/>
          <w:sz w:val="32"/>
          <w:szCs w:val="32"/>
        </w:rPr>
        <w:t>12342070.68</w:t>
      </w:r>
      <w:r>
        <w:rPr>
          <w:rFonts w:ascii="仿宋_GB2312" w:eastAsia="仿宋_GB2312"/>
          <w:sz w:val="32"/>
          <w:szCs w:val="32"/>
        </w:rPr>
        <w:t>元，占</w:t>
      </w:r>
      <w:r>
        <w:rPr>
          <w:rFonts w:hint="eastAsia" w:ascii="仿宋_GB2312" w:eastAsia="仿宋_GB2312"/>
          <w:sz w:val="32"/>
          <w:szCs w:val="32"/>
        </w:rPr>
        <w:t>75</w:t>
      </w:r>
      <w:r>
        <w:rPr>
          <w:rFonts w:ascii="仿宋_GB2312" w:eastAsia="仿宋_GB2312"/>
          <w:sz w:val="32"/>
          <w:szCs w:val="32"/>
        </w:rPr>
        <w:t>%；社会保障和就业支出</w:t>
      </w:r>
      <w:r>
        <w:rPr>
          <w:rFonts w:hint="eastAsia" w:ascii="仿宋_GB2312" w:eastAsia="仿宋_GB2312"/>
          <w:sz w:val="32"/>
          <w:szCs w:val="32"/>
        </w:rPr>
        <w:t>1812017.87</w:t>
      </w:r>
      <w:r>
        <w:rPr>
          <w:rFonts w:ascii="仿宋_GB2312" w:eastAsia="仿宋_GB2312"/>
          <w:sz w:val="32"/>
          <w:szCs w:val="32"/>
        </w:rPr>
        <w:t>元，占</w:t>
      </w:r>
      <w:r>
        <w:rPr>
          <w:rFonts w:hint="eastAsia" w:ascii="仿宋_GB2312" w:eastAsia="仿宋_GB2312"/>
          <w:sz w:val="32"/>
          <w:szCs w:val="32"/>
        </w:rPr>
        <w:t>11</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950051.73</w:t>
      </w:r>
      <w:r>
        <w:rPr>
          <w:rFonts w:ascii="仿宋_GB2312" w:eastAsia="仿宋_GB2312"/>
          <w:sz w:val="32"/>
          <w:szCs w:val="32"/>
        </w:rPr>
        <w:t>元，占</w:t>
      </w:r>
      <w:r>
        <w:rPr>
          <w:rFonts w:hint="eastAsia" w:ascii="仿宋_GB2312" w:eastAsia="仿宋_GB2312"/>
          <w:sz w:val="32"/>
          <w:szCs w:val="32"/>
        </w:rPr>
        <w:t>6</w:t>
      </w:r>
      <w:r>
        <w:rPr>
          <w:rFonts w:ascii="仿宋_GB2312" w:eastAsia="仿宋_GB2312"/>
          <w:sz w:val="32"/>
          <w:szCs w:val="32"/>
        </w:rPr>
        <w:t>%；住房保障支出</w:t>
      </w:r>
      <w:r>
        <w:rPr>
          <w:rFonts w:hint="eastAsia" w:ascii="仿宋_GB2312" w:eastAsia="仿宋_GB2312"/>
          <w:sz w:val="32"/>
          <w:szCs w:val="32"/>
        </w:rPr>
        <w:t>1355652.00</w:t>
      </w:r>
      <w:r>
        <w:rPr>
          <w:rFonts w:ascii="仿宋_GB2312" w:eastAsia="仿宋_GB2312"/>
          <w:sz w:val="32"/>
          <w:szCs w:val="32"/>
        </w:rPr>
        <w:t>元，占</w:t>
      </w:r>
      <w:r>
        <w:rPr>
          <w:rFonts w:hint="eastAsia" w:ascii="仿宋_GB2312" w:eastAsia="仿宋_GB2312"/>
          <w:sz w:val="32"/>
          <w:szCs w:val="32"/>
        </w:rPr>
        <w:t>8</w:t>
      </w:r>
      <w:r>
        <w:rPr>
          <w:rFonts w:ascii="仿宋_GB2312" w:eastAsia="仿宋_GB2312"/>
          <w:sz w:val="32"/>
          <w:szCs w:val="32"/>
        </w:rPr>
        <w:t>%</w:t>
      </w:r>
      <w:r>
        <w:rPr>
          <w:rFonts w:hint="eastAsia" w:ascii="仿宋_GB2312" w:eastAsia="仿宋_GB2312"/>
          <w:sz w:val="32"/>
          <w:szCs w:val="32"/>
        </w:rPr>
        <w:t>。</w:t>
      </w:r>
      <w:r>
        <w:rPr>
          <w:rFonts w:hint="eastAsia" w:ascii="楷体_GB2312" w:eastAsia="楷体_GB2312" w:cs="仿宋_GB2312"/>
          <w:b/>
          <w:kern w:val="2"/>
          <w:sz w:val="32"/>
          <w:szCs w:val="32"/>
        </w:rPr>
        <w:t>（三）一般公共预算当年拨款具体使用情况</w:t>
      </w:r>
    </w:p>
    <w:p w14:paraId="217FF683">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1.文化旅游体育与传媒支出（207）文化和旅游（01）行政运行（01）2025年预算数为4378663.87元，主要用于:局机关</w:t>
      </w: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年的人员经费和日常公用经费等基本支出。</w:t>
      </w:r>
    </w:p>
    <w:p w14:paraId="3A073CA9">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2.文化旅游体育与传媒支出（207）文化和旅游（01）图书馆（04）2025年预算数为936150.45元，主要用于:图书馆2025年</w:t>
      </w:r>
      <w:r>
        <w:rPr>
          <w:rFonts w:ascii="仿宋_GB2312" w:eastAsia="仿宋_GB2312"/>
          <w:sz w:val="32"/>
          <w:szCs w:val="32"/>
        </w:rPr>
        <w:t>的人员经费和日常公用经费等基本支出</w:t>
      </w:r>
      <w:r>
        <w:rPr>
          <w:rFonts w:hint="eastAsia" w:ascii="仿宋_GB2312" w:eastAsia="仿宋_GB2312" w:cs="仿宋_GB2312"/>
          <w:sz w:val="32"/>
          <w:szCs w:val="32"/>
        </w:rPr>
        <w:t>。</w:t>
      </w:r>
    </w:p>
    <w:p w14:paraId="649BBE7C">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3.文化旅游体育与传媒支出（207）文化和旅游（01）群众文化（09）2025年预算数为2529382.22元，主要用于:文化馆2025年</w:t>
      </w:r>
      <w:r>
        <w:rPr>
          <w:rFonts w:ascii="仿宋_GB2312" w:eastAsia="仿宋_GB2312"/>
          <w:sz w:val="32"/>
          <w:szCs w:val="32"/>
        </w:rPr>
        <w:t>的人员经费和日常公用经费等基本支出</w:t>
      </w:r>
      <w:r>
        <w:rPr>
          <w:rFonts w:hint="eastAsia" w:ascii="仿宋_GB2312" w:eastAsia="仿宋_GB2312" w:cs="仿宋_GB2312"/>
          <w:sz w:val="32"/>
          <w:szCs w:val="32"/>
        </w:rPr>
        <w:t>。</w:t>
      </w:r>
    </w:p>
    <w:p w14:paraId="73EF1792">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4.文化旅游体育与传媒支出（207）文物（02）博物馆（05）2025年预算数为1960211.08元，主要用于:博物馆2025年</w:t>
      </w:r>
      <w:r>
        <w:rPr>
          <w:rFonts w:ascii="仿宋_GB2312" w:eastAsia="仿宋_GB2312"/>
          <w:sz w:val="32"/>
          <w:szCs w:val="32"/>
        </w:rPr>
        <w:t>的人员经费和日常公用经费等基本支出</w:t>
      </w:r>
      <w:r>
        <w:rPr>
          <w:rFonts w:hint="eastAsia" w:ascii="仿宋_GB2312" w:eastAsia="仿宋_GB2312"/>
          <w:sz w:val="32"/>
          <w:szCs w:val="32"/>
        </w:rPr>
        <w:t>。</w:t>
      </w:r>
    </w:p>
    <w:p w14:paraId="26C1C21F">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5.文化旅游体育与传媒支出（207）体育（03）体育场馆（07）2025年预算数为100000</w:t>
      </w:r>
      <w:r>
        <w:rPr>
          <w:rFonts w:ascii="仿宋_GB2312" w:eastAsia="仿宋_GB2312" w:cs="仿宋_GB2312"/>
          <w:sz w:val="32"/>
          <w:szCs w:val="32"/>
        </w:rPr>
        <w:t>.00</w:t>
      </w:r>
      <w:r>
        <w:rPr>
          <w:rFonts w:hint="eastAsia" w:ascii="仿宋_GB2312" w:eastAsia="仿宋_GB2312" w:cs="仿宋_GB2312"/>
          <w:sz w:val="32"/>
          <w:szCs w:val="32"/>
        </w:rPr>
        <w:t>元，主要用于2025年体育馆免费开放专项资金（县级配套）。</w:t>
      </w:r>
    </w:p>
    <w:p w14:paraId="4096E2AE">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6.文化旅游体育与传媒支出（207）其他文化旅游体育与传媒支出（99）其他文化旅游体育与传媒支出（99）2025</w:t>
      </w:r>
      <w:r>
        <w:rPr>
          <w:rFonts w:hint="eastAsia" w:ascii="仿宋_GB2312" w:eastAsia="仿宋_GB2312" w:cs="仿宋_GB2312"/>
          <w:sz w:val="32"/>
          <w:szCs w:val="32"/>
          <w:lang w:val="en-US" w:eastAsia="zh-CN"/>
        </w:rPr>
        <w:t xml:space="preserve"> </w:t>
      </w:r>
      <w:bookmarkStart w:id="1" w:name="_GoBack"/>
      <w:bookmarkEnd w:id="1"/>
      <w:r>
        <w:rPr>
          <w:rFonts w:hint="eastAsia" w:ascii="仿宋_GB2312" w:eastAsia="仿宋_GB2312" w:cs="仿宋_GB2312"/>
          <w:sz w:val="32"/>
          <w:szCs w:val="32"/>
        </w:rPr>
        <w:t>年预算数为2437663.06元，主要用于：体育管理中心2025年</w:t>
      </w:r>
      <w:r>
        <w:rPr>
          <w:rFonts w:ascii="仿宋_GB2312" w:eastAsia="仿宋_GB2312"/>
          <w:sz w:val="32"/>
          <w:szCs w:val="32"/>
        </w:rPr>
        <w:t>的人员经费和日常公用经费等基本支出</w:t>
      </w:r>
      <w:r>
        <w:rPr>
          <w:rFonts w:hint="eastAsia" w:ascii="仿宋_GB2312" w:eastAsia="仿宋_GB2312"/>
          <w:sz w:val="32"/>
          <w:szCs w:val="32"/>
        </w:rPr>
        <w:t>。</w:t>
      </w:r>
    </w:p>
    <w:p w14:paraId="19DC02B8">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7.社会保障和就业支出（208）行政事业单位养老支出（05）机关事业单位基本养老保险缴费支出（05）2025年预算数为1208012.00元，主要用于：单位缴纳基本养老保险费。</w:t>
      </w:r>
    </w:p>
    <w:p w14:paraId="5B5805BC">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8.社会保障和就业支出（208）行政事业单位养老支出（05）机关事业单位职业年金缴费支出（06）2025年预算数为604005.87元，主要用于：单位缴纳职业年金。</w:t>
      </w:r>
    </w:p>
    <w:p w14:paraId="196BC44F">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9.卫生健康支出（210）行政事业单位医疗（11）行政单位医疗（01）2025年预算数为336316.83元，主要用于：行政单位缴纳基本医疗保险。</w:t>
      </w:r>
    </w:p>
    <w:p w14:paraId="39BF49BE">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10.卫生健康支出（210）行政事业单位医疗（11）事业单位医疗（02）2025年预算数为613734.90元，主要用于：事业单位缴纳基本医疗保险。</w:t>
      </w:r>
    </w:p>
    <w:p w14:paraId="7FF91209">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11.住房保障支出（221）住房改革支出（02）住房公积金（01）2025年预算数为1355652</w:t>
      </w:r>
      <w:r>
        <w:rPr>
          <w:rFonts w:ascii="仿宋_GB2312" w:eastAsia="仿宋_GB2312" w:cs="仿宋_GB2312"/>
          <w:sz w:val="32"/>
          <w:szCs w:val="32"/>
        </w:rPr>
        <w:t>.00</w:t>
      </w:r>
      <w:r>
        <w:rPr>
          <w:rFonts w:hint="eastAsia" w:ascii="仿宋_GB2312" w:eastAsia="仿宋_GB2312" w:cs="仿宋_GB2312"/>
          <w:sz w:val="32"/>
          <w:szCs w:val="32"/>
        </w:rPr>
        <w:t>元，主要用于：单位为职工缴纳住房公积金。</w:t>
      </w:r>
    </w:p>
    <w:p w14:paraId="75EBF9D4">
      <w:pPr>
        <w:spacing w:line="560" w:lineRule="exact"/>
        <w:ind w:firstLine="640" w:firstLineChars="200"/>
        <w:rPr>
          <w:rFonts w:ascii="黑体" w:eastAsia="黑体"/>
          <w:sz w:val="32"/>
          <w:szCs w:val="32"/>
        </w:rPr>
      </w:pPr>
      <w:r>
        <w:rPr>
          <w:rFonts w:hint="eastAsia" w:ascii="黑体" w:eastAsia="黑体"/>
          <w:sz w:val="32"/>
          <w:szCs w:val="32"/>
        </w:rPr>
        <w:t>六、一般公共预算基本支出情况说明</w:t>
      </w:r>
    </w:p>
    <w:p w14:paraId="6D25AA37">
      <w:pPr>
        <w:pStyle w:val="16"/>
        <w:spacing w:before="0" w:line="560" w:lineRule="exact"/>
        <w:ind w:firstLine="640" w:firstLineChars="200"/>
        <w:rPr>
          <w:rFonts w:cs="仿宋_GB2312"/>
          <w:kern w:val="2"/>
          <w:sz w:val="32"/>
          <w:szCs w:val="32"/>
        </w:rPr>
      </w:pPr>
      <w:r>
        <w:rPr>
          <w:rFonts w:hint="eastAsia" w:cs="仿宋_GB2312"/>
          <w:kern w:val="2"/>
          <w:sz w:val="32"/>
          <w:szCs w:val="32"/>
        </w:rPr>
        <w:t>2025年一般公共预算基本支出</w:t>
      </w:r>
      <w:r>
        <w:rPr>
          <w:rFonts w:hint="eastAsia"/>
          <w:sz w:val="32"/>
          <w:szCs w:val="32"/>
        </w:rPr>
        <w:t>16276192.28</w:t>
      </w:r>
      <w:r>
        <w:rPr>
          <w:rFonts w:hint="eastAsia" w:cs="仿宋_GB2312"/>
          <w:kern w:val="2"/>
          <w:sz w:val="32"/>
          <w:szCs w:val="32"/>
        </w:rPr>
        <w:t>元，其中：人员经费15136413.70元，主要包括：基本工资、津贴补贴、绩效工资、机关事业单位基本养老保险缴费、职业年金缴费、  职工基本医疗保险缴费、其他社会保障缴费、奖励金、住房公积金、 医疗费、 对个人和家庭的补助。</w:t>
      </w:r>
    </w:p>
    <w:p w14:paraId="1FF87BD5">
      <w:pPr>
        <w:pStyle w:val="16"/>
        <w:spacing w:before="0" w:line="560" w:lineRule="exact"/>
        <w:ind w:firstLine="640" w:firstLineChars="200"/>
        <w:rPr>
          <w:sz w:val="32"/>
          <w:szCs w:val="32"/>
        </w:rPr>
      </w:pPr>
      <w:r>
        <w:rPr>
          <w:rFonts w:hint="eastAsia" w:cs="仿宋_GB2312"/>
          <w:kern w:val="2"/>
          <w:sz w:val="32"/>
          <w:szCs w:val="32"/>
        </w:rPr>
        <w:t>公用经费1139778.58元，主要包括：办公费、水费、电费、邮电费、差旅费、  福利费、其他商品和服务支出、公务用车运行维护费、公务接待费支出。</w:t>
      </w:r>
    </w:p>
    <w:p w14:paraId="0A78066A">
      <w:pPr>
        <w:spacing w:line="560" w:lineRule="exact"/>
        <w:ind w:firstLine="640" w:firstLineChars="200"/>
        <w:rPr>
          <w:rFonts w:ascii="黑体" w:eastAsia="黑体"/>
          <w:sz w:val="32"/>
          <w:szCs w:val="32"/>
        </w:rPr>
      </w:pPr>
      <w:r>
        <w:rPr>
          <w:rFonts w:hint="eastAsia" w:ascii="黑体" w:eastAsia="黑体"/>
          <w:sz w:val="32"/>
          <w:szCs w:val="32"/>
        </w:rPr>
        <w:t>七、“三公”经费财政拨款预算安排情况说明</w:t>
      </w:r>
    </w:p>
    <w:p w14:paraId="38C056A7">
      <w:pPr>
        <w:pStyle w:val="16"/>
        <w:spacing w:before="0" w:line="560" w:lineRule="exact"/>
        <w:ind w:firstLine="640" w:firstLineChars="200"/>
        <w:rPr>
          <w:rFonts w:cs="仿宋_GB2312"/>
          <w:kern w:val="2"/>
          <w:sz w:val="32"/>
          <w:szCs w:val="32"/>
        </w:rPr>
      </w:pPr>
      <w:r>
        <w:rPr>
          <w:rFonts w:hint="eastAsia" w:cs="仿宋_GB2312"/>
          <w:kern w:val="2"/>
          <w:sz w:val="32"/>
          <w:szCs w:val="32"/>
        </w:rPr>
        <w:t>2025年“三公”经费财政拨款预算数53280</w:t>
      </w:r>
      <w:r>
        <w:rPr>
          <w:rFonts w:cs="仿宋_GB2312"/>
          <w:kern w:val="2"/>
          <w:sz w:val="32"/>
          <w:szCs w:val="32"/>
        </w:rPr>
        <w:t>.00</w:t>
      </w:r>
      <w:r>
        <w:rPr>
          <w:rFonts w:hint="eastAsia" w:cs="仿宋_GB2312"/>
          <w:kern w:val="2"/>
          <w:sz w:val="32"/>
          <w:szCs w:val="32"/>
        </w:rPr>
        <w:t>元，其中：无</w:t>
      </w:r>
      <w:r>
        <w:rPr>
          <w:sz w:val="32"/>
          <w:szCs w:val="32"/>
        </w:rPr>
        <w:t>因公出国（境）经费</w:t>
      </w:r>
      <w:r>
        <w:rPr>
          <w:rFonts w:hint="eastAsia"/>
          <w:sz w:val="32"/>
          <w:szCs w:val="32"/>
        </w:rPr>
        <w:t>0.00元</w:t>
      </w:r>
      <w:r>
        <w:rPr>
          <w:sz w:val="32"/>
          <w:szCs w:val="32"/>
        </w:rPr>
        <w:t>，</w:t>
      </w:r>
      <w:r>
        <w:rPr>
          <w:rFonts w:hint="eastAsia" w:cs="仿宋_GB2312"/>
          <w:kern w:val="2"/>
          <w:sz w:val="32"/>
          <w:szCs w:val="32"/>
        </w:rPr>
        <w:t>公务接待费13280</w:t>
      </w:r>
      <w:r>
        <w:rPr>
          <w:rFonts w:cs="仿宋_GB2312"/>
          <w:kern w:val="2"/>
          <w:sz w:val="32"/>
          <w:szCs w:val="32"/>
        </w:rPr>
        <w:t>.00</w:t>
      </w:r>
      <w:r>
        <w:rPr>
          <w:rFonts w:hint="eastAsia" w:cs="仿宋_GB2312"/>
          <w:kern w:val="2"/>
          <w:sz w:val="32"/>
          <w:szCs w:val="32"/>
        </w:rPr>
        <w:t>元，公务用车购置及运行维护费40000</w:t>
      </w:r>
      <w:r>
        <w:rPr>
          <w:rFonts w:cs="仿宋_GB2312"/>
          <w:kern w:val="2"/>
          <w:sz w:val="32"/>
          <w:szCs w:val="32"/>
        </w:rPr>
        <w:t>.00</w:t>
      </w:r>
      <w:r>
        <w:rPr>
          <w:rFonts w:hint="eastAsia" w:cs="仿宋_GB2312"/>
          <w:kern w:val="2"/>
          <w:sz w:val="32"/>
          <w:szCs w:val="32"/>
        </w:rPr>
        <w:t>元。</w:t>
      </w:r>
    </w:p>
    <w:p w14:paraId="6AC5C4C1">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2025</w:t>
      </w:r>
      <w:r>
        <w:rPr>
          <w:rFonts w:ascii="仿宋_GB2312" w:eastAsia="仿宋_GB2312"/>
          <w:sz w:val="32"/>
          <w:szCs w:val="32"/>
        </w:rPr>
        <w:t>年无因公出国（境）经费。</w:t>
      </w:r>
    </w:p>
    <w:p w14:paraId="73F4C1A7">
      <w:pPr>
        <w:pStyle w:val="16"/>
        <w:spacing w:before="0" w:line="560" w:lineRule="exact"/>
        <w:ind w:firstLine="640" w:firstLineChars="200"/>
        <w:rPr>
          <w:color w:val="000000"/>
          <w:sz w:val="32"/>
          <w:szCs w:val="32"/>
        </w:rPr>
      </w:pPr>
      <w:r>
        <w:rPr>
          <w:rFonts w:hint="eastAsia" w:cs="仿宋_GB2312"/>
          <w:kern w:val="2"/>
          <w:sz w:val="32"/>
          <w:szCs w:val="32"/>
        </w:rPr>
        <w:t>（二）</w:t>
      </w:r>
      <w:r>
        <w:rPr>
          <w:rFonts w:hint="eastAsia" w:cs="仿宋_GB2312"/>
          <w:color w:val="000000"/>
          <w:kern w:val="2"/>
          <w:sz w:val="32"/>
          <w:szCs w:val="32"/>
        </w:rPr>
        <w:t>2025年公务接待经费13280</w:t>
      </w:r>
      <w:r>
        <w:rPr>
          <w:rFonts w:cs="仿宋_GB2312"/>
          <w:color w:val="000000"/>
          <w:kern w:val="2"/>
          <w:sz w:val="32"/>
          <w:szCs w:val="32"/>
        </w:rPr>
        <w:t>.00</w:t>
      </w:r>
      <w:r>
        <w:rPr>
          <w:rFonts w:hint="eastAsia" w:cs="仿宋_GB2312"/>
          <w:color w:val="000000"/>
          <w:kern w:val="2"/>
          <w:sz w:val="32"/>
          <w:szCs w:val="32"/>
        </w:rPr>
        <w:t>元。较2024年</w:t>
      </w:r>
      <w:bookmarkStart w:id="0" w:name="_Hlk193829035"/>
      <w:r>
        <w:rPr>
          <w:rFonts w:hint="eastAsia" w:cs="仿宋_GB2312"/>
          <w:color w:val="000000"/>
          <w:kern w:val="2"/>
          <w:sz w:val="32"/>
          <w:szCs w:val="32"/>
        </w:rPr>
        <w:t>预算经费</w:t>
      </w:r>
      <w:bookmarkEnd w:id="0"/>
      <w:r>
        <w:rPr>
          <w:rFonts w:hint="eastAsia" w:cs="仿宋_GB2312"/>
          <w:color w:val="000000"/>
          <w:kern w:val="2"/>
          <w:sz w:val="32"/>
          <w:szCs w:val="32"/>
        </w:rPr>
        <w:t>无变动</w:t>
      </w:r>
      <w:r>
        <w:rPr>
          <w:rFonts w:hint="eastAsia"/>
          <w:color w:val="000000"/>
          <w:sz w:val="32"/>
          <w:szCs w:val="32"/>
        </w:rPr>
        <w:t>。</w:t>
      </w:r>
    </w:p>
    <w:p w14:paraId="47A1654E">
      <w:pPr>
        <w:pStyle w:val="16"/>
        <w:spacing w:before="0" w:line="560" w:lineRule="exact"/>
        <w:ind w:firstLine="640" w:firstLineChars="200"/>
        <w:rPr>
          <w:rFonts w:cs="仿宋_GB2312"/>
          <w:color w:val="000000"/>
          <w:kern w:val="2"/>
          <w:sz w:val="32"/>
          <w:szCs w:val="32"/>
        </w:rPr>
      </w:pPr>
      <w:r>
        <w:rPr>
          <w:rFonts w:hint="eastAsia" w:cs="仿宋_GB2312"/>
          <w:color w:val="000000"/>
          <w:kern w:val="2"/>
          <w:sz w:val="32"/>
          <w:szCs w:val="32"/>
        </w:rPr>
        <w:t>（三）2025年公务用车购置及运行维护费40000</w:t>
      </w:r>
      <w:r>
        <w:rPr>
          <w:rFonts w:cs="仿宋_GB2312"/>
          <w:color w:val="000000"/>
          <w:kern w:val="2"/>
          <w:sz w:val="32"/>
          <w:szCs w:val="32"/>
        </w:rPr>
        <w:t>.00</w:t>
      </w:r>
      <w:r>
        <w:rPr>
          <w:rFonts w:hint="eastAsia" w:cs="仿宋_GB2312"/>
          <w:color w:val="000000"/>
          <w:kern w:val="2"/>
          <w:sz w:val="32"/>
          <w:szCs w:val="32"/>
        </w:rPr>
        <w:t>元。较2024年预算经费无变动。</w:t>
      </w:r>
    </w:p>
    <w:p w14:paraId="0A3D7090">
      <w:pPr>
        <w:spacing w:line="560" w:lineRule="exact"/>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14:paraId="58347DA1">
      <w:pPr>
        <w:pStyle w:val="16"/>
        <w:spacing w:before="0" w:line="560" w:lineRule="exact"/>
        <w:ind w:firstLine="640" w:firstLineChars="200"/>
      </w:pPr>
      <w:r>
        <w:rPr>
          <w:sz w:val="32"/>
          <w:szCs w:val="32"/>
        </w:rPr>
        <w:t>20</w:t>
      </w:r>
      <w:r>
        <w:rPr>
          <w:rFonts w:hint="eastAsia"/>
          <w:sz w:val="32"/>
          <w:szCs w:val="32"/>
        </w:rPr>
        <w:t>25</w:t>
      </w:r>
      <w:r>
        <w:rPr>
          <w:sz w:val="32"/>
          <w:szCs w:val="32"/>
        </w:rPr>
        <w:t>年</w:t>
      </w:r>
      <w:r>
        <w:rPr>
          <w:rFonts w:hint="eastAsia"/>
          <w:sz w:val="32"/>
          <w:szCs w:val="32"/>
        </w:rPr>
        <w:t>无</w:t>
      </w:r>
      <w:r>
        <w:rPr>
          <w:sz w:val="32"/>
          <w:szCs w:val="32"/>
        </w:rPr>
        <w:t>政府性基金</w:t>
      </w:r>
      <w:r>
        <w:rPr>
          <w:rFonts w:hint="eastAsia"/>
          <w:sz w:val="32"/>
          <w:szCs w:val="32"/>
        </w:rPr>
        <w:t>预算拨款</w:t>
      </w:r>
      <w:r>
        <w:rPr>
          <w:sz w:val="32"/>
          <w:szCs w:val="32"/>
        </w:rPr>
        <w:t>安排支出</w:t>
      </w:r>
      <w:r>
        <w:t>。</w:t>
      </w:r>
    </w:p>
    <w:p w14:paraId="7F98B21D">
      <w:pPr>
        <w:pStyle w:val="16"/>
        <w:numPr>
          <w:ilvl w:val="0"/>
          <w:numId w:val="3"/>
        </w:numPr>
        <w:spacing w:before="0" w:line="560" w:lineRule="exact"/>
        <w:ind w:firstLine="640" w:firstLineChars="200"/>
        <w:rPr>
          <w:rFonts w:ascii="黑体" w:eastAsia="黑体"/>
          <w:sz w:val="32"/>
          <w:szCs w:val="32"/>
        </w:rPr>
      </w:pPr>
      <w:r>
        <w:rPr>
          <w:rFonts w:hint="eastAsia" w:ascii="黑体" w:eastAsia="黑体"/>
          <w:sz w:val="32"/>
          <w:szCs w:val="32"/>
        </w:rPr>
        <w:t>其他重要事项的情况说明</w:t>
      </w:r>
    </w:p>
    <w:p w14:paraId="23A844CB">
      <w:pPr>
        <w:pStyle w:val="16"/>
        <w:spacing w:before="0" w:line="560" w:lineRule="exact"/>
        <w:ind w:left="420" w:leftChars="200" w:firstLine="321" w:firstLineChars="100"/>
        <w:rPr>
          <w:rFonts w:ascii="楷体_GB2312" w:eastAsia="楷体_GB2312"/>
          <w:b/>
          <w:sz w:val="32"/>
          <w:szCs w:val="32"/>
        </w:rPr>
      </w:pPr>
      <w:r>
        <w:rPr>
          <w:rFonts w:hint="eastAsia" w:ascii="楷体_GB2312" w:eastAsia="楷体_GB2312" w:cs="仿宋_GB2312"/>
          <w:b/>
          <w:sz w:val="32"/>
          <w:szCs w:val="32"/>
        </w:rPr>
        <w:t>（一）机关运行经费</w:t>
      </w:r>
    </w:p>
    <w:p w14:paraId="681C0EB4">
      <w:pPr>
        <w:pStyle w:val="16"/>
        <w:spacing w:before="0" w:line="560" w:lineRule="exact"/>
        <w:ind w:firstLine="640" w:firstLineChars="200"/>
        <w:rPr>
          <w:rFonts w:cs="仿宋_GB2312"/>
          <w:color w:val="000000"/>
          <w:kern w:val="2"/>
          <w:sz w:val="32"/>
          <w:szCs w:val="32"/>
        </w:rPr>
      </w:pPr>
      <w:r>
        <w:rPr>
          <w:sz w:val="32"/>
          <w:szCs w:val="32"/>
        </w:rPr>
        <w:t>20</w:t>
      </w:r>
      <w:r>
        <w:rPr>
          <w:rFonts w:hint="eastAsia"/>
          <w:sz w:val="32"/>
          <w:szCs w:val="32"/>
        </w:rPr>
        <w:t>25</w:t>
      </w:r>
      <w:r>
        <w:rPr>
          <w:sz w:val="32"/>
          <w:szCs w:val="32"/>
        </w:rPr>
        <w:t>年机关运行经费财政拨款预算为</w:t>
      </w:r>
      <w:r>
        <w:rPr>
          <w:rFonts w:hint="eastAsia"/>
          <w:sz w:val="32"/>
          <w:szCs w:val="32"/>
        </w:rPr>
        <w:t>1139778.58</w:t>
      </w:r>
      <w:r>
        <w:rPr>
          <w:sz w:val="32"/>
          <w:szCs w:val="32"/>
        </w:rPr>
        <w:t>元，比</w:t>
      </w:r>
      <w:r>
        <w:rPr>
          <w:rFonts w:hint="eastAsia"/>
          <w:sz w:val="32"/>
          <w:szCs w:val="32"/>
        </w:rPr>
        <w:t>2024</w:t>
      </w:r>
      <w:r>
        <w:rPr>
          <w:sz w:val="32"/>
          <w:szCs w:val="32"/>
        </w:rPr>
        <w:t>年预算</w:t>
      </w:r>
      <w:r>
        <w:rPr>
          <w:rFonts w:hint="eastAsia"/>
          <w:sz w:val="32"/>
          <w:szCs w:val="32"/>
        </w:rPr>
        <w:t>增加435778.58元，增长38</w:t>
      </w:r>
      <w:r>
        <w:rPr>
          <w:sz w:val="32"/>
          <w:szCs w:val="32"/>
        </w:rPr>
        <w:t>%</w:t>
      </w:r>
      <w:r>
        <w:rPr>
          <w:rFonts w:hint="eastAsia"/>
          <w:sz w:val="32"/>
          <w:szCs w:val="32"/>
        </w:rPr>
        <w:t>。</w:t>
      </w:r>
    </w:p>
    <w:p w14:paraId="3A7F3DC9">
      <w:pPr>
        <w:pStyle w:val="16"/>
        <w:spacing w:before="0" w:line="560" w:lineRule="exact"/>
        <w:ind w:firstLine="643" w:firstLineChars="200"/>
        <w:rPr>
          <w:rFonts w:ascii="楷体_GB2312" w:eastAsia="楷体_GB2312" w:cs="仿宋_GB2312"/>
          <w:b/>
          <w:kern w:val="2"/>
          <w:sz w:val="32"/>
          <w:szCs w:val="32"/>
        </w:rPr>
      </w:pPr>
      <w:r>
        <w:rPr>
          <w:rFonts w:hint="eastAsia" w:ascii="楷体_GB2312" w:eastAsia="楷体_GB2312" w:cs="仿宋_GB2312"/>
          <w:b/>
          <w:kern w:val="2"/>
          <w:sz w:val="32"/>
          <w:szCs w:val="32"/>
        </w:rPr>
        <w:t>（二）政府采购情况</w:t>
      </w:r>
    </w:p>
    <w:p w14:paraId="1544FE73">
      <w:pPr>
        <w:pStyle w:val="16"/>
        <w:spacing w:before="0" w:line="560" w:lineRule="exact"/>
        <w:ind w:firstLine="640" w:firstLineChars="200"/>
        <w:rPr>
          <w:rFonts w:cs="仿宋_GB2312"/>
          <w:color w:val="000000"/>
          <w:kern w:val="2"/>
          <w:sz w:val="32"/>
          <w:szCs w:val="32"/>
        </w:rPr>
      </w:pPr>
      <w:r>
        <w:rPr>
          <w:rFonts w:hint="eastAsia" w:cs="仿宋_GB2312"/>
          <w:color w:val="000000"/>
          <w:kern w:val="2"/>
          <w:sz w:val="32"/>
          <w:szCs w:val="32"/>
        </w:rPr>
        <w:t>2025年茂县文化广播电视体育和旅游局未安排政府采购预算。</w:t>
      </w:r>
    </w:p>
    <w:p w14:paraId="114F8F5B">
      <w:pPr>
        <w:pStyle w:val="16"/>
        <w:spacing w:before="0" w:line="560" w:lineRule="exact"/>
        <w:ind w:firstLine="643"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（三）国有资产占有使用情况</w:t>
      </w:r>
    </w:p>
    <w:p w14:paraId="0E321270">
      <w:pPr>
        <w:pBdr>
          <w:bottom w:val="single" w:color="FFFFFF" w:sz="4" w:space="28"/>
        </w:pBdr>
        <w:topLinePunct/>
        <w:spacing w:line="560" w:lineRule="exact"/>
        <w:ind w:firstLine="640" w:firstLineChars="200"/>
        <w:contextualSpacing/>
        <w:rPr>
          <w:rFonts w:ascii="仿宋_GB2312" w:eastAsia="仿宋_GB2312" w:cs="仿宋_GB2312"/>
          <w:sz w:val="32"/>
          <w:szCs w:val="32"/>
        </w:rPr>
      </w:pPr>
      <w:r>
        <w:rPr>
          <w:rFonts w:hint="eastAsia" w:ascii="仿宋_GB2312" w:eastAsia="仿宋_GB2312" w:cs="仿宋_GB2312"/>
          <w:sz w:val="32"/>
          <w:szCs w:val="32"/>
        </w:rPr>
        <w:t>截止2024年12月31日，我单位固定资产总额774831416.25元，其中：房屋75113.75平方米，价值479838870.53元；公务用车5辆，价值1501946.46元；</w:t>
      </w:r>
      <w:r>
        <w:rPr>
          <w:rFonts w:hint="eastAsia" w:ascii="仿宋_GB2312" w:eastAsia="仿宋_GB2312"/>
          <w:sz w:val="32"/>
          <w:szCs w:val="32"/>
        </w:rPr>
        <w:t>其他固定资产293490599.26元。</w:t>
      </w:r>
    </w:p>
    <w:p w14:paraId="7F078167">
      <w:pPr>
        <w:numPr>
          <w:ilvl w:val="0"/>
          <w:numId w:val="4"/>
        </w:numPr>
        <w:pBdr>
          <w:bottom w:val="single" w:color="FFFFFF" w:sz="4" w:space="28"/>
        </w:pBdr>
        <w:topLinePunct/>
        <w:spacing w:line="560" w:lineRule="exact"/>
        <w:ind w:firstLine="643" w:firstLineChars="200"/>
        <w:contextualSpacing/>
        <w:rPr>
          <w:rFonts w:ascii="楷体_GB2312" w:eastAsia="楷体_GB2312" w:cs="仿宋_GB2312"/>
          <w:b/>
          <w:sz w:val="32"/>
          <w:szCs w:val="32"/>
        </w:rPr>
      </w:pPr>
      <w:r>
        <w:rPr>
          <w:rFonts w:hint="eastAsia" w:ascii="楷体_GB2312" w:eastAsia="楷体_GB2312" w:cs="仿宋_GB2312"/>
          <w:b/>
          <w:sz w:val="32"/>
          <w:szCs w:val="32"/>
        </w:rPr>
        <w:t>绩效目标设置情况</w:t>
      </w:r>
    </w:p>
    <w:p w14:paraId="254C609B">
      <w:pPr>
        <w:pBdr>
          <w:bottom w:val="single" w:color="FFFFFF" w:sz="4" w:space="28"/>
        </w:pBdr>
        <w:topLinePunct/>
        <w:spacing w:line="560" w:lineRule="exact"/>
        <w:ind w:firstLine="640" w:firstLineChars="200"/>
        <w:contextualSpacing/>
        <w:rPr>
          <w:rFonts w:ascii="仿宋_GB2312" w:eastAsia="仿宋_GB2312"/>
          <w:sz w:val="32"/>
          <w:szCs w:val="32"/>
        </w:rPr>
      </w:pPr>
      <w:r>
        <w:rPr>
          <w:rFonts w:hint="eastAsia" w:ascii="仿宋_GB2312" w:eastAsia="仿宋_GB2312"/>
          <w:sz w:val="32"/>
          <w:szCs w:val="32"/>
        </w:rPr>
        <w:t>2025年项目支出均按要求实行绩效目标管理，涉及项目5个，一般公共预算当年拨款183600</w:t>
      </w:r>
      <w:r>
        <w:rPr>
          <w:rFonts w:ascii="仿宋_GB2312" w:eastAsia="仿宋_GB2312"/>
          <w:sz w:val="32"/>
          <w:szCs w:val="32"/>
        </w:rPr>
        <w:t>.00</w:t>
      </w:r>
      <w:r>
        <w:rPr>
          <w:rFonts w:hint="eastAsia" w:ascii="仿宋_GB2312" w:eastAsia="仿宋_GB2312"/>
          <w:sz w:val="32"/>
          <w:szCs w:val="32"/>
        </w:rPr>
        <w:t>元。</w:t>
      </w:r>
    </w:p>
    <w:p w14:paraId="665888FD">
      <w:pPr>
        <w:numPr>
          <w:ilvl w:val="0"/>
          <w:numId w:val="5"/>
        </w:numPr>
        <w:pBdr>
          <w:bottom w:val="single" w:color="FFFFFF" w:sz="4" w:space="28"/>
        </w:pBdr>
        <w:topLinePunct/>
        <w:spacing w:line="560" w:lineRule="exact"/>
        <w:ind w:firstLine="640" w:firstLineChars="200"/>
        <w:contextualSpacing/>
        <w:rPr>
          <w:rFonts w:ascii="黑体" w:eastAsia="黑体"/>
          <w:color w:val="FF0000"/>
          <w:sz w:val="32"/>
          <w:szCs w:val="32"/>
        </w:rPr>
      </w:pPr>
      <w:r>
        <w:rPr>
          <w:rFonts w:hint="eastAsia" w:ascii="黑体" w:eastAsia="黑体"/>
          <w:sz w:val="32"/>
          <w:szCs w:val="32"/>
        </w:rPr>
        <w:t>名称解释</w:t>
      </w:r>
    </w:p>
    <w:p w14:paraId="3AD2903E">
      <w:pPr>
        <w:pBdr>
          <w:bottom w:val="single" w:color="FFFFFF" w:sz="4" w:space="28"/>
        </w:pBdr>
        <w:topLinePunct/>
        <w:spacing w:line="560" w:lineRule="exact"/>
        <w:ind w:firstLine="643" w:firstLineChars="200"/>
        <w:contextualSpacing/>
        <w:rPr>
          <w:rFonts w:ascii="仿宋_GB2312" w:eastAsia="仿宋_GB2312" w:cs="仿宋_GB2312"/>
          <w:sz w:val="32"/>
          <w:szCs w:val="32"/>
        </w:rPr>
      </w:pPr>
      <w:r>
        <w:rPr>
          <w:rFonts w:hint="eastAsia" w:ascii="楷体_GB2312" w:eastAsia="楷体_GB2312" w:cs="仿宋_GB2312"/>
          <w:b/>
          <w:sz w:val="32"/>
          <w:szCs w:val="32"/>
        </w:rPr>
        <w:t>（一）财政拨款收入：</w:t>
      </w:r>
      <w:r>
        <w:rPr>
          <w:rFonts w:hint="eastAsia" w:ascii="仿宋_GB2312" w:eastAsia="仿宋_GB2312" w:cs="仿宋_GB2312"/>
          <w:sz w:val="32"/>
          <w:szCs w:val="32"/>
        </w:rPr>
        <w:t>指由财政拨款形成的部门收入。按现行管理制度，部门预算中反映的财政拨款仅包括一般公共预算拨款和政府性基金预算拨款。</w:t>
      </w:r>
    </w:p>
    <w:p w14:paraId="4C04D470">
      <w:pPr>
        <w:pBdr>
          <w:bottom w:val="single" w:color="FFFFFF" w:sz="4" w:space="28"/>
        </w:pBdr>
        <w:topLinePunct/>
        <w:spacing w:line="560" w:lineRule="exact"/>
        <w:ind w:firstLine="643" w:firstLineChars="200"/>
        <w:contextualSpacing/>
        <w:rPr>
          <w:rFonts w:cs="仿宋_GB2312"/>
          <w:sz w:val="32"/>
          <w:szCs w:val="32"/>
        </w:rPr>
      </w:pPr>
      <w:r>
        <w:rPr>
          <w:rFonts w:hint="eastAsia" w:ascii="楷体_GB2312" w:eastAsia="楷体_GB2312" w:cs="仿宋_GB2312"/>
          <w:b/>
          <w:sz w:val="32"/>
          <w:szCs w:val="32"/>
        </w:rPr>
        <w:t>（二）事业收入：</w:t>
      </w:r>
      <w:r>
        <w:rPr>
          <w:rFonts w:hint="eastAsia" w:ascii="仿宋_GB2312" w:eastAsia="仿宋_GB2312" w:cs="仿宋_GB2312"/>
          <w:sz w:val="32"/>
          <w:szCs w:val="32"/>
        </w:rPr>
        <w:t>指所属事业单位开展专业业务活动及辅助活动所取得的收入。</w:t>
      </w:r>
    </w:p>
    <w:p w14:paraId="5A555370">
      <w:pPr>
        <w:pBdr>
          <w:bottom w:val="single" w:color="FFFFFF" w:sz="4" w:space="28"/>
        </w:pBdr>
        <w:topLinePunct/>
        <w:spacing w:line="560" w:lineRule="exact"/>
        <w:ind w:firstLine="643" w:firstLineChars="200"/>
        <w:contextualSpacing/>
        <w:rPr>
          <w:rFonts w:ascii="仿宋_GB2312" w:eastAsia="仿宋_GB2312" w:cs="仿宋_GB2312"/>
          <w:sz w:val="32"/>
          <w:szCs w:val="32"/>
        </w:rPr>
      </w:pPr>
      <w:r>
        <w:rPr>
          <w:rFonts w:hint="eastAsia" w:ascii="楷体_GB2312" w:eastAsia="楷体_GB2312" w:cs="仿宋_GB2312"/>
          <w:b/>
          <w:sz w:val="32"/>
          <w:szCs w:val="32"/>
        </w:rPr>
        <w:t>（三）事业单位经营收入：</w:t>
      </w:r>
      <w:r>
        <w:rPr>
          <w:rFonts w:hint="eastAsia" w:ascii="仿宋_GB2312" w:eastAsia="仿宋_GB2312" w:cs="仿宋_GB2312"/>
          <w:sz w:val="32"/>
          <w:szCs w:val="32"/>
        </w:rPr>
        <w:t>指所属事业单位在专业业务活动及其辅助活动之外开展非独立核算经营活动取得的收入。</w:t>
      </w:r>
    </w:p>
    <w:p w14:paraId="5CCE1CA2">
      <w:pPr>
        <w:pBdr>
          <w:bottom w:val="single" w:color="FFFFFF" w:sz="4" w:space="28"/>
        </w:pBdr>
        <w:topLinePunct/>
        <w:spacing w:line="560" w:lineRule="exact"/>
        <w:ind w:firstLine="643" w:firstLineChars="200"/>
        <w:contextualSpacing/>
        <w:rPr>
          <w:rFonts w:cs="仿宋_GB2312"/>
          <w:sz w:val="32"/>
          <w:szCs w:val="32"/>
        </w:rPr>
      </w:pPr>
      <w:r>
        <w:rPr>
          <w:rFonts w:hint="eastAsia" w:ascii="楷体_GB2312" w:eastAsia="楷体_GB2312" w:cs="仿宋_GB2312"/>
          <w:b/>
          <w:sz w:val="32"/>
          <w:szCs w:val="32"/>
        </w:rPr>
        <w:t>（四）其他收入：</w:t>
      </w:r>
      <w:r>
        <w:rPr>
          <w:rFonts w:hint="eastAsia" w:ascii="仿宋_GB2312" w:eastAsia="仿宋_GB2312" w:cs="仿宋_GB2312"/>
          <w:sz w:val="32"/>
          <w:szCs w:val="32"/>
        </w:rPr>
        <w:t>指除上述“财政拨款收入”、“事业收入”、“事业单位经营收入”等以外的收入，主要是所属行政事业单位按规定动用的售房收入、存款利息收入等。</w:t>
      </w:r>
    </w:p>
    <w:p w14:paraId="6F86D950">
      <w:pPr>
        <w:pBdr>
          <w:bottom w:val="single" w:color="FFFFFF" w:sz="4" w:space="28"/>
        </w:pBdr>
        <w:topLinePunct/>
        <w:spacing w:line="560" w:lineRule="exact"/>
        <w:ind w:firstLine="643" w:firstLineChars="200"/>
        <w:contextualSpacing/>
        <w:rPr>
          <w:rFonts w:cs="仿宋_GB2312"/>
          <w:sz w:val="32"/>
          <w:szCs w:val="32"/>
        </w:rPr>
      </w:pPr>
      <w:r>
        <w:rPr>
          <w:rFonts w:hint="eastAsia" w:ascii="楷体_GB2312" w:eastAsia="楷体_GB2312" w:cs="仿宋_GB2312"/>
          <w:b/>
          <w:sz w:val="32"/>
          <w:szCs w:val="32"/>
        </w:rPr>
        <w:t>（五）用事业基金弥补收支差额</w:t>
      </w:r>
      <w:r>
        <w:rPr>
          <w:rFonts w:hint="eastAsia" w:ascii="楷体_GB2312" w:eastAsia="楷体_GB2312" w:cs="仿宋_GB2312"/>
          <w:sz w:val="32"/>
          <w:szCs w:val="32"/>
        </w:rPr>
        <w:t>：</w:t>
      </w:r>
      <w:r>
        <w:rPr>
          <w:rFonts w:hint="eastAsia" w:ascii="仿宋_GB2312" w:eastAsia="仿宋_GB2312" w:cs="仿宋_GB2312"/>
          <w:sz w:val="32"/>
          <w:szCs w:val="32"/>
        </w:rPr>
        <w:t>指所属事业单位在预计用当年的“财政拨款收入”、“事业收入”、“事业单位经营收入”、“其他收入”不足以安排当年支出的情况下，使用以前年度积累的事业基金弥补本年度收支缺口的资金。</w:t>
      </w:r>
    </w:p>
    <w:p w14:paraId="78D70ED6">
      <w:pPr>
        <w:pBdr>
          <w:bottom w:val="single" w:color="FFFFFF" w:sz="4" w:space="28"/>
        </w:pBdr>
        <w:topLinePunct/>
        <w:spacing w:line="560" w:lineRule="exact"/>
        <w:ind w:firstLine="643" w:firstLineChars="200"/>
        <w:contextualSpacing/>
        <w:rPr>
          <w:rFonts w:cs="仿宋_GB2312"/>
          <w:sz w:val="32"/>
          <w:szCs w:val="32"/>
        </w:rPr>
      </w:pPr>
      <w:r>
        <w:rPr>
          <w:rFonts w:hint="eastAsia" w:ascii="楷体_GB2312" w:eastAsia="楷体_GB2312" w:cs="仿宋_GB2312"/>
          <w:b/>
          <w:sz w:val="32"/>
          <w:szCs w:val="32"/>
        </w:rPr>
        <w:t>（六）上年结转：</w:t>
      </w:r>
      <w:r>
        <w:rPr>
          <w:rFonts w:hint="eastAsia" w:ascii="仿宋_GB2312" w:eastAsia="仿宋_GB2312" w:cs="仿宋_GB2312"/>
          <w:sz w:val="32"/>
          <w:szCs w:val="32"/>
        </w:rPr>
        <w:t>指所属行政事业单位以前年度尚未完成、结转至本年按原规定用途继续使用的资金和以前年度已完成项目剩余资金经批准用于新用途使用的资金</w:t>
      </w:r>
      <w:r>
        <w:rPr>
          <w:rFonts w:hint="eastAsia" w:cs="仿宋_GB2312"/>
          <w:sz w:val="32"/>
          <w:szCs w:val="32"/>
        </w:rPr>
        <w:t>。</w:t>
      </w:r>
    </w:p>
    <w:p w14:paraId="2621D7A8">
      <w:pPr>
        <w:pBdr>
          <w:bottom w:val="single" w:color="FFFFFF" w:sz="4" w:space="28"/>
        </w:pBdr>
        <w:topLinePunct/>
        <w:spacing w:line="560" w:lineRule="exact"/>
        <w:ind w:firstLine="643" w:firstLineChars="200"/>
        <w:contextualSpacing/>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14:paraId="7AC239D6">
      <w:pPr>
        <w:pBdr>
          <w:bottom w:val="single" w:color="FFFFFF" w:sz="4" w:space="28"/>
        </w:pBdr>
        <w:topLinePunct/>
        <w:spacing w:line="560" w:lineRule="exact"/>
        <w:ind w:firstLine="643" w:firstLineChars="200"/>
        <w:contextualSpacing/>
        <w:rPr>
          <w:rFonts w:ascii="仿宋_GB2312" w:eastAsia="仿宋_GB2312"/>
          <w:sz w:val="32"/>
          <w:szCs w:val="32"/>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14:paraId="621AA8D6">
      <w:pPr>
        <w:pBdr>
          <w:bottom w:val="single" w:color="FFFFFF" w:sz="4" w:space="28"/>
        </w:pBdr>
        <w:topLinePunct/>
        <w:spacing w:line="560" w:lineRule="exact"/>
        <w:ind w:firstLine="643" w:firstLineChars="200"/>
        <w:contextualSpacing/>
        <w:rPr>
          <w:rFonts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08342A0C">
      <w:pPr>
        <w:pStyle w:val="2"/>
        <w:ind w:firstLine="640" w:firstLineChars="200"/>
        <w:rPr>
          <w:rFonts w:ascii="仿宋_GB2312" w:eastAsia="仿宋_GB2312"/>
          <w:sz w:val="32"/>
          <w:szCs w:val="32"/>
        </w:rPr>
      </w:pPr>
      <w:r>
        <w:rPr>
          <w:rFonts w:hint="eastAsia" w:ascii="仿宋_GB2312" w:eastAsia="仿宋_GB2312"/>
          <w:sz w:val="32"/>
          <w:szCs w:val="32"/>
        </w:rPr>
        <w:t>附件：茂县文化广播电视体育和旅游局2025年部门预算公开表</w:t>
      </w:r>
    </w:p>
    <w:p w14:paraId="3C54D423">
      <w:pPr>
        <w:pStyle w:val="2"/>
        <w:rPr>
          <w:rFonts w:ascii="仿宋_GB2312" w:eastAsia="仿宋_GB2312"/>
          <w:sz w:val="32"/>
          <w:szCs w:val="32"/>
        </w:rPr>
      </w:pPr>
    </w:p>
    <w:p w14:paraId="3CFCC474">
      <w:pPr>
        <w:pStyle w:val="2"/>
        <w:ind w:firstLine="2880" w:firstLineChars="900"/>
        <w:rPr>
          <w:rFonts w:ascii="仿宋_GB2312" w:eastAsia="仿宋_GB2312"/>
          <w:sz w:val="32"/>
          <w:szCs w:val="32"/>
        </w:rPr>
      </w:pPr>
      <w:r>
        <w:rPr>
          <w:rFonts w:hint="eastAsia" w:ascii="仿宋_GB2312" w:eastAsia="仿宋_GB2312"/>
          <w:sz w:val="32"/>
          <w:szCs w:val="32"/>
        </w:rPr>
        <w:t>茂县文化广播电视体育和旅游局</w:t>
      </w:r>
    </w:p>
    <w:p w14:paraId="6E9E1A0A">
      <w:pPr>
        <w:pStyle w:val="2"/>
        <w:ind w:firstLine="4480" w:firstLineChars="1400"/>
        <w:rPr>
          <w:rFonts w:ascii="仿宋_GB2312" w:eastAsia="仿宋_GB2312"/>
          <w:sz w:val="32"/>
          <w:szCs w:val="32"/>
        </w:rPr>
      </w:pPr>
      <w:r>
        <w:rPr>
          <w:rFonts w:hint="eastAsia" w:ascii="仿宋_GB2312" w:eastAsia="仿宋_GB2312"/>
          <w:sz w:val="32"/>
          <w:szCs w:val="32"/>
        </w:rPr>
        <w:t>2025年3月26日</w:t>
      </w:r>
    </w:p>
    <w:p w14:paraId="2CC08929">
      <w:pPr>
        <w:spacing w:line="560" w:lineRule="exact"/>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6D9A5">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62D99B"/>
    <w:multiLevelType w:val="singleLevel"/>
    <w:tmpl w:val="9462D99B"/>
    <w:lvl w:ilvl="0" w:tentative="0">
      <w:start w:val="10"/>
      <w:numFmt w:val="chineseCounting"/>
      <w:suff w:val="nothing"/>
      <w:lvlText w:val="%1、"/>
      <w:lvlJc w:val="left"/>
      <w:pPr>
        <w:ind w:left="0" w:firstLine="0"/>
      </w:pPr>
      <w:rPr>
        <w:rFonts w:hint="eastAsia"/>
        <w:color w:val="auto"/>
      </w:rPr>
    </w:lvl>
  </w:abstractNum>
  <w:abstractNum w:abstractNumId="1">
    <w:nsid w:val="EB8313EF"/>
    <w:multiLevelType w:val="singleLevel"/>
    <w:tmpl w:val="EB8313EF"/>
    <w:lvl w:ilvl="0" w:tentative="0">
      <w:start w:val="4"/>
      <w:numFmt w:val="chineseCounting"/>
      <w:suff w:val="nothing"/>
      <w:lvlText w:val="（%1）"/>
      <w:lvlJc w:val="left"/>
      <w:pPr>
        <w:ind w:left="0" w:firstLine="0"/>
      </w:pPr>
      <w:rPr>
        <w:rFonts w:hint="eastAsia"/>
      </w:rPr>
    </w:lvl>
  </w:abstractNum>
  <w:abstractNum w:abstractNumId="2">
    <w:nsid w:val="F23602F1"/>
    <w:multiLevelType w:val="singleLevel"/>
    <w:tmpl w:val="F23602F1"/>
    <w:lvl w:ilvl="0" w:tentative="0">
      <w:start w:val="9"/>
      <w:numFmt w:val="chineseCounting"/>
      <w:suff w:val="nothing"/>
      <w:lvlText w:val="%1、"/>
      <w:lvlJc w:val="left"/>
      <w:pPr>
        <w:ind w:left="0" w:firstLine="0"/>
      </w:pPr>
      <w:rPr>
        <w:rFonts w:hint="eastAsia"/>
      </w:rPr>
    </w:lvl>
  </w:abstractNum>
  <w:abstractNum w:abstractNumId="3">
    <w:nsid w:val="4ED641A6"/>
    <w:multiLevelType w:val="singleLevel"/>
    <w:tmpl w:val="4ED641A6"/>
    <w:lvl w:ilvl="0" w:tentative="0">
      <w:start w:val="1"/>
      <w:numFmt w:val="chineseCounting"/>
      <w:suff w:val="nothing"/>
      <w:lvlText w:val="（%1）"/>
      <w:lvlJc w:val="left"/>
      <w:rPr>
        <w:rFonts w:hint="eastAsia"/>
      </w:rPr>
    </w:lvl>
  </w:abstractNum>
  <w:abstractNum w:abstractNumId="4">
    <w:nsid w:val="7C1B9B8F"/>
    <w:multiLevelType w:val="singleLevel"/>
    <w:tmpl w:val="7C1B9B8F"/>
    <w:lvl w:ilvl="0" w:tentative="0">
      <w:start w:val="4"/>
      <w:numFmt w:val="chineseCounting"/>
      <w:suff w:val="nothing"/>
      <w:lvlText w:val="%1、"/>
      <w:lvlJc w:val="left"/>
      <w:rPr>
        <w:rFonts w:hint="eastAsia"/>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dit="readOnly"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2"/>
  </w:compat>
  <w:docVars>
    <w:docVar w:name="commondata" w:val="eyJoZGlkIjoiNjFkZDRhZjFiYzUxNzI5MGRmZjM3OGY2MWE5MGUxYjEifQ=="/>
  </w:docVars>
  <w:rsids>
    <w:rsidRoot w:val="006D1F6C"/>
    <w:rsid w:val="00351FDD"/>
    <w:rsid w:val="00376C7B"/>
    <w:rsid w:val="004F5997"/>
    <w:rsid w:val="0065776A"/>
    <w:rsid w:val="006B6DE1"/>
    <w:rsid w:val="006D1F6C"/>
    <w:rsid w:val="006D7584"/>
    <w:rsid w:val="007A20BE"/>
    <w:rsid w:val="00A058AD"/>
    <w:rsid w:val="00E31233"/>
    <w:rsid w:val="00F04796"/>
    <w:rsid w:val="00F77EA6"/>
    <w:rsid w:val="03882B94"/>
    <w:rsid w:val="042711AF"/>
    <w:rsid w:val="042A3624"/>
    <w:rsid w:val="05485881"/>
    <w:rsid w:val="105570A4"/>
    <w:rsid w:val="10B22749"/>
    <w:rsid w:val="134753CA"/>
    <w:rsid w:val="15204125"/>
    <w:rsid w:val="161D17C8"/>
    <w:rsid w:val="18603F09"/>
    <w:rsid w:val="18B92006"/>
    <w:rsid w:val="18DA0155"/>
    <w:rsid w:val="191E02D6"/>
    <w:rsid w:val="19FB2026"/>
    <w:rsid w:val="1E8A6449"/>
    <w:rsid w:val="24D40A88"/>
    <w:rsid w:val="253A1FD9"/>
    <w:rsid w:val="25F34750"/>
    <w:rsid w:val="27ED49C0"/>
    <w:rsid w:val="296F1477"/>
    <w:rsid w:val="29DB01C2"/>
    <w:rsid w:val="2A2F6C80"/>
    <w:rsid w:val="2E222864"/>
    <w:rsid w:val="2E9372BE"/>
    <w:rsid w:val="2EF2727F"/>
    <w:rsid w:val="30654C8A"/>
    <w:rsid w:val="30A77050"/>
    <w:rsid w:val="31B26FC9"/>
    <w:rsid w:val="322E7A29"/>
    <w:rsid w:val="347F27BE"/>
    <w:rsid w:val="3625014E"/>
    <w:rsid w:val="369B7657"/>
    <w:rsid w:val="36D83A53"/>
    <w:rsid w:val="375D2E47"/>
    <w:rsid w:val="37BC1633"/>
    <w:rsid w:val="37CE228D"/>
    <w:rsid w:val="38503050"/>
    <w:rsid w:val="38A34E06"/>
    <w:rsid w:val="396B3311"/>
    <w:rsid w:val="3A485400"/>
    <w:rsid w:val="3AC32575"/>
    <w:rsid w:val="3B44392A"/>
    <w:rsid w:val="3CCF287E"/>
    <w:rsid w:val="3D7B244D"/>
    <w:rsid w:val="40324B88"/>
    <w:rsid w:val="454D75C2"/>
    <w:rsid w:val="45E5016B"/>
    <w:rsid w:val="46A21D3D"/>
    <w:rsid w:val="47A04ACD"/>
    <w:rsid w:val="48AB1789"/>
    <w:rsid w:val="496B4C67"/>
    <w:rsid w:val="4A640AAE"/>
    <w:rsid w:val="4C237A7B"/>
    <w:rsid w:val="4CF86975"/>
    <w:rsid w:val="4D0F3061"/>
    <w:rsid w:val="501047BA"/>
    <w:rsid w:val="516140B5"/>
    <w:rsid w:val="519F7BA4"/>
    <w:rsid w:val="51F01873"/>
    <w:rsid w:val="55B61469"/>
    <w:rsid w:val="566C201F"/>
    <w:rsid w:val="58BC75CD"/>
    <w:rsid w:val="5A8B6F17"/>
    <w:rsid w:val="63925FB0"/>
    <w:rsid w:val="65134D3B"/>
    <w:rsid w:val="66896D8D"/>
    <w:rsid w:val="669C06FE"/>
    <w:rsid w:val="67D57E1D"/>
    <w:rsid w:val="6B4450F3"/>
    <w:rsid w:val="6EB074EE"/>
    <w:rsid w:val="71755DD4"/>
    <w:rsid w:val="78EA7BB8"/>
    <w:rsid w:val="799A6D1F"/>
    <w:rsid w:val="7B0D1A93"/>
    <w:rsid w:val="7B445194"/>
    <w:rsid w:val="7C317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link w:val="17"/>
    <w:autoRedefine/>
    <w:qFormat/>
    <w:uiPriority w:val="0"/>
    <w:pPr>
      <w:keepNext/>
      <w:keepLines/>
      <w:spacing w:before="260" w:after="260" w:line="415" w:lineRule="auto"/>
      <w:outlineLvl w:val="1"/>
    </w:pPr>
    <w:rPr>
      <w:rFonts w:ascii="Cambria" w:hAnsi="Cambria"/>
      <w:b/>
      <w:bCs/>
      <w:sz w:val="32"/>
      <w:szCs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方正小标宋简体"/>
    </w:rPr>
  </w:style>
  <w:style w:type="paragraph" w:styleId="6">
    <w:name w:val="index 5"/>
    <w:basedOn w:val="1"/>
    <w:next w:val="1"/>
    <w:qFormat/>
    <w:uiPriority w:val="0"/>
    <w:pPr>
      <w:ind w:left="1680"/>
    </w:pPr>
    <w:rPr>
      <w:rFonts w:ascii="仿宋_GB2312" w:eastAsia="仿宋_GB2312"/>
      <w:sz w:val="32"/>
      <w:szCs w:val="32"/>
    </w:rPr>
  </w:style>
  <w:style w:type="paragraph" w:styleId="7">
    <w:name w:val="Body Text Indent"/>
    <w:basedOn w:val="1"/>
    <w:next w:val="8"/>
    <w:qFormat/>
    <w:uiPriority w:val="0"/>
    <w:pPr>
      <w:spacing w:after="120"/>
      <w:ind w:left="200" w:leftChars="200"/>
    </w:pPr>
  </w:style>
  <w:style w:type="paragraph" w:styleId="8">
    <w:name w:val="Body Text First Indent 2"/>
    <w:basedOn w:val="7"/>
    <w:next w:val="1"/>
    <w:qFormat/>
    <w:uiPriority w:val="0"/>
    <w:pPr>
      <w:spacing w:line="720" w:lineRule="auto"/>
      <w:ind w:firstLine="200" w:firstLineChars="200"/>
    </w:pPr>
    <w:rPr>
      <w:rFonts w:ascii="宋体" w:hAnsi="宋体" w:eastAsia="微软雅黑" w:cs="宋体"/>
      <w:sz w:val="28"/>
      <w:szCs w:val="2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able of figures"/>
    <w:basedOn w:val="1"/>
    <w:next w:val="1"/>
    <w:qFormat/>
    <w:uiPriority w:val="0"/>
    <w:pPr>
      <w:ind w:left="400" w:leftChars="200" w:hanging="200" w:hangingChars="200"/>
    </w:pPr>
  </w:style>
  <w:style w:type="character" w:customStyle="1" w:styleId="14">
    <w:name w:val="heading 2 Char"/>
    <w:basedOn w:val="13"/>
    <w:autoRedefine/>
    <w:qFormat/>
    <w:uiPriority w:val="0"/>
    <w:rPr>
      <w:rFonts w:ascii="Cambria" w:hAnsi="Cambria" w:eastAsia="宋体" w:cs="Times New Roman"/>
      <w:b/>
      <w:bCs/>
      <w:kern w:val="2"/>
      <w:sz w:val="32"/>
      <w:szCs w:val="32"/>
      <w:lang w:val="en-US" w:eastAsia="zh-CN" w:bidi="ar-SA"/>
    </w:rPr>
  </w:style>
  <w:style w:type="paragraph" w:styleId="15">
    <w:name w:val="List Paragraph"/>
    <w:basedOn w:val="1"/>
    <w:autoRedefine/>
    <w:qFormat/>
    <w:uiPriority w:val="0"/>
    <w:pPr>
      <w:ind w:firstLine="200" w:firstLineChars="200"/>
    </w:pPr>
  </w:style>
  <w:style w:type="paragraph" w:customStyle="1" w:styleId="16">
    <w:name w:val="正文文本1"/>
    <w:basedOn w:val="1"/>
    <w:qFormat/>
    <w:uiPriority w:val="0"/>
    <w:pPr>
      <w:spacing w:before="93"/>
    </w:pPr>
    <w:rPr>
      <w:rFonts w:ascii="仿宋_GB2312" w:eastAsia="仿宋_GB2312"/>
      <w:kern w:val="0"/>
      <w:sz w:val="30"/>
      <w:szCs w:val="20"/>
    </w:rPr>
  </w:style>
  <w:style w:type="character" w:customStyle="1" w:styleId="17">
    <w:name w:val="标题 2 字符"/>
    <w:basedOn w:val="13"/>
    <w:link w:val="4"/>
    <w:autoRedefine/>
    <w:qFormat/>
    <w:locked/>
    <w:uiPriority w:val="9"/>
    <w:rPr>
      <w:rFonts w:ascii="Cambria" w:hAnsi="Cambria"/>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4631</Words>
  <Characters>5342</Characters>
  <Lines>38</Lines>
  <Paragraphs>10</Paragraphs>
  <TotalTime>17</TotalTime>
  <ScaleCrop>false</ScaleCrop>
  <LinksUpToDate>false</LinksUpToDate>
  <CharactersWithSpaces>5354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夙兴夜寐1384218829</cp:lastModifiedBy>
  <cp:lastPrinted>2025-03-26T01:14:04Z</cp:lastPrinted>
  <dcterms:modified xsi:type="dcterms:W3CDTF">2025-03-26T01:14:38Z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6E186630AA8A4937B1C432D352D0D7E4</vt:lpwstr>
  </property>
  <property fmtid="{D5CDD505-2E9C-101B-9397-08002B2CF9AE}" pid="4" name="KSOTemplateDocerSaveRecord">
    <vt:lpwstr>eyJoZGlkIjoiNjFkZDRhZjFiYzUxNzI5MGRmZjM3OGY2MWE5MGUxYjEiLCJ1c2VySWQiOiI3NzE1NDc5In0=</vt:lpwstr>
  </property>
</Properties>
</file>