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96597"/>
      <w:bookmarkStart w:id="1" w:name="_Toc15377193"/>
      <w:bookmarkStart w:id="2" w:name="_Toc15377425"/>
      <w:bookmarkStart w:id="3" w:name="_Toc15378441"/>
      <w:bookmarkStart w:id="4" w:name="_Toc15396475"/>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5</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7194"/>
      <w:bookmarkStart w:id="7" w:name="_Toc15377426"/>
      <w:bookmarkStart w:id="8" w:name="_Toc15306268"/>
      <w:bookmarkStart w:id="9" w:name="_Toc15396476"/>
      <w:bookmarkStart w:id="10" w:name="_Toc15378442"/>
      <w:bookmarkStart w:id="11" w:name="_Toc1539659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四川省阿坝藏族羌族自治州茂县图书馆</w:t>
      </w:r>
      <w:r>
        <w:rPr>
          <w:rFonts w:ascii="方正小标宋简体" w:hAnsi="方正小标宋简体" w:eastAsia="方正小标宋简体" w:cs="方正小标宋简体"/>
          <w:color w:val="000000"/>
          <w:sz w:val="44"/>
          <w:u w:color="auto"/>
        </w:rPr>
        <w:t>单位决算</w:t>
      </w:r>
      <w:bookmarkEnd w:id="6"/>
      <w:bookmarkEnd w:id="7"/>
      <w:bookmarkEnd w:id="8"/>
      <w:bookmarkEnd w:id="9"/>
      <w:bookmarkEnd w:id="10"/>
      <w:bookmarkEnd w:id="11"/>
    </w:p>
    <w:p w14:paraId="12A6F25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宋体" w:cs="仿宋_GB2312"/>
          <w:sz w:val="32"/>
          <w:szCs w:val="32"/>
        </w:rPr>
        <w:t>已经保密审查、内容审定，同意对外公开</w:t>
      </w:r>
    </w:p>
    <w:p w14:paraId="4F58426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46F4E2F8">
      <w:pPr>
        <w:pStyle w:val="14"/>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_Toc18315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_Toc18315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DFE96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_Toc325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_Toc325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E6A0FA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_Toc6372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_Toc6372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71FFB0A">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_Toc22607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_Toc22607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CD3CA3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_Toc18728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_Toc18728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494AF94">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_Toc25474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_Toc25474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3D0422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_Toc7988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_Toc7988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96736B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_Toc6030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_Toc6030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FFBE437">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_Toc2329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_Toc2329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6FCEBD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_Toc19935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_Toc19935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568F21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_Toc30668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_Toc30668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8EEDBC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_Toc1021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_Toc1021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A4F4CE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_Toc10606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_Toc10606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E3101F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_Toc25407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_Toc25407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ACAB2A5">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_Toc24274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_Toc24274 \h </w:instrText>
      </w:r>
      <w:r>
        <w:fldChar w:fldCharType="separate"/>
      </w:r>
      <w:r>
        <w:t>11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645D00F">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_Toc15030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_Toc15030 \h </w:instrText>
      </w:r>
      <w:r>
        <w:fldChar w:fldCharType="separate"/>
      </w:r>
      <w:r>
        <w:t>14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50EE624">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_Toc7717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_Toc7717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BFFFAB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_Toc9650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fldChar w:fldCharType="begin"/>
      </w:r>
      <w:r>
        <w:instrText xml:space="preserve"> PAGEREF _Toc9650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17C3BF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_Toc29672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fldChar w:fldCharType="begin"/>
      </w:r>
      <w:r>
        <w:instrText xml:space="preserve"> PAGEREF _Toc29672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57DD9E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_Toc11105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fldChar w:fldCharType="begin"/>
      </w:r>
      <w:r>
        <w:instrText xml:space="preserve"> PAGEREF _Toc11105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5CFA7C7">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_Toc27798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fldChar w:fldCharType="begin"/>
      </w:r>
      <w:r>
        <w:instrText xml:space="preserve"> PAGEREF _Toc27798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91EF3B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_Toc18504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fldChar w:fldCharType="begin"/>
      </w:r>
      <w:r>
        <w:instrText xml:space="preserve"> PAGEREF _Toc18504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D68D8F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_Toc5297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fldChar w:fldCharType="begin"/>
      </w:r>
      <w:r>
        <w:instrText xml:space="preserve"> PAGEREF _Toc5297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F4EB95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_Toc6314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fldChar w:fldCharType="begin"/>
      </w:r>
      <w:r>
        <w:instrText xml:space="preserve"> PAGEREF _Toc6314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314AD8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_Toc31247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fldChar w:fldCharType="begin"/>
      </w:r>
      <w:r>
        <w:instrText xml:space="preserve"> PAGEREF _Toc31247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A27B7F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_Toc21283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fldChar w:fldCharType="begin"/>
      </w:r>
      <w:r>
        <w:instrText xml:space="preserve"> PAGEREF _Toc21283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615D2B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_Toc16529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fldChar w:fldCharType="begin"/>
      </w:r>
      <w:r>
        <w:instrText xml:space="preserve"> PAGEREF _Toc16529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623D51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_Toc31987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fldChar w:fldCharType="begin"/>
      </w:r>
      <w:r>
        <w:instrText xml:space="preserve"> PAGEREF _Toc31987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7E14CD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_Toc11707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fldChar w:fldCharType="begin"/>
      </w:r>
      <w:r>
        <w:instrText xml:space="preserve"> PAGEREF _Toc11707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C02C46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_Toc19920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fldChar w:fldCharType="begin"/>
      </w:r>
      <w:r>
        <w:instrText xml:space="preserve"> PAGEREF _Toc19920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70BDADE0">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14:paraId="521E39E1">
      <w:pPr>
        <w:pStyle w:val="2"/>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rPr>
      </w:pPr>
      <w:bookmarkStart w:id="14" w:name="_Toc18315"/>
      <w:r>
        <w:rPr>
          <w:rFonts w:hint="eastAsia" w:ascii="黑体" w:hAnsi="黑体" w:eastAsia="黑体" w:cs="黑体"/>
          <w:b w:val="0"/>
          <w:bCs w:val="0"/>
        </w:rPr>
        <w:t xml:space="preserve">第一部分 </w:t>
      </w:r>
      <w:r>
        <w:rPr>
          <w:rStyle w:val="33"/>
          <w:rFonts w:hint="eastAsia" w:ascii="黑体" w:hAnsi="黑体" w:eastAsia="黑体" w:cs="黑体"/>
          <w:b w:val="0"/>
          <w:bCs w:val="0"/>
        </w:rPr>
        <w:t>单位</w:t>
      </w:r>
      <w:r>
        <w:rPr>
          <w:rStyle w:val="33"/>
          <w:rFonts w:ascii="黑体" w:hAnsi="黑体" w:eastAsia="黑体" w:cs="黑体"/>
          <w:b w:val="0"/>
          <w:bCs w:val="0"/>
          <w:u w:color="auto"/>
        </w:rPr>
        <w:t>概况</w:t>
      </w:r>
      <w:bookmarkEnd w:id="12"/>
      <w:bookmarkEnd w:id="13"/>
      <w:bookmarkEnd w:id="14"/>
    </w:p>
    <w:p w14:paraId="24C03C62">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lang w:val="en-US" w:eastAsia="zh-CN"/>
        </w:rPr>
      </w:pPr>
      <w:bookmarkStart w:id="15" w:name="_Toc111208496"/>
      <w:bookmarkStart w:id="16" w:name="_Toc113981010"/>
      <w:bookmarkStart w:id="17" w:name="_Toc15377197"/>
      <w:bookmarkStart w:id="18" w:name="_Toc325"/>
      <w:bookmarkStart w:id="19" w:name="_Toc15377204"/>
      <w:r>
        <w:rPr>
          <w:rFonts w:hint="eastAsia" w:ascii="黑体" w:hAnsi="黑体" w:eastAsia="黑体" w:cs="黑体"/>
          <w:b w:val="0"/>
          <w:bCs/>
          <w:color w:val="000000"/>
        </w:rPr>
        <w:t>一、</w:t>
      </w:r>
      <w:bookmarkEnd w:id="15"/>
      <w:bookmarkEnd w:id="16"/>
      <w:bookmarkEnd w:id="17"/>
      <w:bookmarkStart w:id="20" w:name="_Toc15377198"/>
      <w:bookmarkStart w:id="21" w:name="_Toc15378445"/>
      <w:r>
        <w:rPr>
          <w:rFonts w:hint="eastAsia" w:ascii="黑体" w:hAnsi="黑体" w:eastAsia="黑体" w:cs="黑体"/>
          <w:b w:val="0"/>
          <w:bCs/>
          <w:color w:val="000000"/>
          <w:lang w:val="en-US" w:eastAsia="zh-CN"/>
        </w:rPr>
        <w:t>主要职责</w:t>
      </w:r>
      <w:bookmarkEnd w:id="18"/>
    </w:p>
    <w:bookmarkEnd w:id="20"/>
    <w:bookmarkEnd w:id="21"/>
    <w:p w14:paraId="72BD933A">
      <w:pPr>
        <w:pStyle w:val="1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outlineLvl w:val="2"/>
        <w:rPr>
          <w:rFonts w:hint="eastAsia" w:ascii="仿宋_GB2312" w:hAnsi="仿宋_GB2312" w:eastAsia="仿宋_GB2312" w:cs="仿宋_GB2312"/>
          <w:kern w:val="2"/>
          <w:sz w:val="32"/>
          <w:szCs w:val="32"/>
        </w:rPr>
      </w:pPr>
      <w:bookmarkStart w:id="22" w:name="_Toc111208497"/>
      <w:bookmarkStart w:id="23" w:name="_Toc15377200"/>
      <w:bookmarkStart w:id="24" w:name="_Toc113981011"/>
      <w:r>
        <w:rPr>
          <w:rFonts w:hint="eastAsia" w:ascii="仿宋_GB2312" w:hAnsi="仿宋_GB2312" w:eastAsia="仿宋_GB2312" w:cs="仿宋_GB2312"/>
          <w:kern w:val="2"/>
          <w:sz w:val="32"/>
          <w:szCs w:val="32"/>
          <w:lang w:val="en-US" w:eastAsia="zh-CN" w:bidi="ar"/>
        </w:rPr>
        <w:t>图书、文献、报刊采编储藏，图书借阅。</w:t>
      </w:r>
    </w:p>
    <w:p w14:paraId="2CF1E803">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25" w:name="_Toc6372"/>
      <w:r>
        <w:rPr>
          <w:rFonts w:hint="eastAsia" w:ascii="黑体" w:hAnsi="黑体" w:eastAsia="黑体" w:cs="黑体"/>
          <w:b w:val="0"/>
          <w:bCs/>
          <w:color w:val="000000"/>
        </w:rPr>
        <w:t>二、机构设置</w:t>
      </w:r>
      <w:bookmarkEnd w:id="22"/>
      <w:bookmarkEnd w:id="23"/>
      <w:bookmarkEnd w:id="24"/>
      <w:bookmarkEnd w:id="25"/>
    </w:p>
    <w:p w14:paraId="2AA3E424">
      <w:pPr>
        <w:pStyle w:val="1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outlineLvl w:val="2"/>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本单位本年度纳入本套决算编制范围的独立编制机构数共1个，比上年增加0个；独立核算机构数共1个，比上年增加0个。</w:t>
      </w:r>
    </w:p>
    <w:p w14:paraId="5A04B536">
      <w:pPr>
        <w:pageBreakBefore w:val="0"/>
        <w:widowControl/>
        <w:kinsoku/>
        <w:wordWrap/>
        <w:overflowPunct/>
        <w:topLinePunct w:val="0"/>
        <w:autoSpaceDE/>
        <w:autoSpaceDN/>
        <w:bidi w:val="0"/>
        <w:adjustRightInd/>
        <w:snapToGrid/>
        <w:spacing w:line="576" w:lineRule="exact"/>
        <w:jc w:val="left"/>
        <w:textAlignment w:val="auto"/>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2"/>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rPr>
      </w:pPr>
      <w:bookmarkStart w:id="26" w:name="_Toc111208498"/>
      <w:bookmarkStart w:id="27" w:name="_Toc22607"/>
      <w:r>
        <w:rPr>
          <w:rFonts w:hint="eastAsia" w:ascii="黑体" w:hAnsi="黑体" w:eastAsia="黑体" w:cs="黑体"/>
          <w:b w:val="0"/>
          <w:bCs w:val="0"/>
        </w:rPr>
        <w:t xml:space="preserve">第二部分 </w:t>
      </w:r>
      <w:r>
        <w:rPr>
          <w:rFonts w:ascii="黑体" w:hAnsi="黑体" w:eastAsia="黑体" w:cs="黑体"/>
          <w:u w:color="auto"/>
        </w:rPr>
        <w:t>202</w:t>
      </w:r>
      <w:r>
        <w:rPr>
          <w:rFonts w:hint="eastAsia" w:ascii="黑体" w:hAnsi="黑体" w:eastAsia="黑体" w:cs="黑体"/>
          <w:u w:color="auto"/>
          <w:lang w:val="en-US" w:eastAsia="zh-CN"/>
        </w:rPr>
        <w:t>4</w:t>
      </w:r>
      <w:r>
        <w:rPr>
          <w:rFonts w:ascii="黑体" w:hAnsi="黑体" w:eastAsia="黑体" w:cs="黑体"/>
          <w:u w:color="auto"/>
        </w:rPr>
        <w:t>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28" w:name="_Toc15377205"/>
      <w:bookmarkStart w:id="29" w:name="_Toc111208499"/>
      <w:bookmarkStart w:id="30" w:name="_Toc18728"/>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pStyle w:val="19"/>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outlineLvl w:val="2"/>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2024年度收、支总计均为151.57万元。较2023年度相比，收、支总计各增加3.09万元，增加2.08%。主要变动原因是：工资变动，人员变动。 </w:t>
      </w:r>
    </w:p>
    <w:p w14:paraId="61134D0D">
      <w:pPr>
        <w:pStyle w:val="5"/>
        <w:pageBreakBefore w:val="0"/>
        <w:kinsoku/>
        <w:wordWrap/>
        <w:overflowPunct/>
        <w:topLinePunct w:val="0"/>
        <w:autoSpaceDE/>
        <w:autoSpaceDN/>
        <w:bidi w:val="0"/>
        <w:adjustRightInd/>
        <w:snapToGrid/>
        <w:spacing w:line="576" w:lineRule="exact"/>
        <w:textAlignment w:val="auto"/>
        <w:rPr>
          <w:rFonts w:hint="eastAsia" w:ascii="思源黑体 CN Normal" w:hAnsi="思源黑体 CN Normal" w:eastAsia="思源黑体 CN Normal" w:cs="思源黑体 CN Normal"/>
        </w:rPr>
      </w:pPr>
      <w:r>
        <w:rPr>
          <w:rFonts w:hint="eastAsia" w:eastAsia="宋体"/>
          <w:lang w:eastAsia="zh-CN"/>
        </w:rPr>
        <w:pict>
          <v:shape id="_x0000_s1026" o:spid="_x0000_s1026" o:spt="75" type="#_x0000_t75" style="position:absolute;left:0pt;margin-left:-2pt;margin-top:29.8pt;height:242.25pt;width:420.7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f"/>
            <w10:wrap type="square"/>
          </v:shape>
          <o:OLEObject Type="Embed" ProgID="excel.sheet.8" ShapeID="_x0000_s1026" DrawAspect="Content" ObjectID="_1468075725" r:id="rId8">
            <o:LockedField>false</o:LockedField>
          </o:OLEObject>
        </w:pict>
      </w:r>
    </w:p>
    <w:p w14:paraId="51768063">
      <w:pPr>
        <w:pStyle w:val="3"/>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color w:val="000000"/>
        </w:rPr>
      </w:pPr>
      <w:bookmarkStart w:id="31" w:name="_Toc111208500"/>
      <w:bookmarkStart w:id="32" w:name="_Toc25474"/>
      <w:bookmarkStart w:id="33" w:name="_Toc15377206"/>
    </w:p>
    <w:p w14:paraId="43B3D363">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Cs w:val="0"/>
          <w:color w:val="000000"/>
        </w:rPr>
      </w:pPr>
      <w:r>
        <w:rPr>
          <w:rFonts w:hint="eastAsia" w:ascii="黑体" w:hAnsi="黑体" w:eastAsia="黑体" w:cs="黑体"/>
          <w:b w:val="0"/>
          <w:bCs/>
          <w:color w:val="000000"/>
        </w:rPr>
        <w:t>二、收入决算情况说明</w:t>
      </w:r>
      <w:bookmarkEnd w:id="31"/>
      <w:bookmarkEnd w:id="32"/>
      <w:bookmarkEnd w:id="33"/>
    </w:p>
    <w:p w14:paraId="7DAB4092">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，其中:一般公共预算财政拨款收入151.57万元，占100.00%</w:t>
      </w:r>
      <w:r>
        <w:rPr>
          <w:rFonts w:hint="eastAsia" w:ascii="仿宋_GB2312" w:hAnsi="仿宋_GB2312" w:eastAsia="仿宋_GB2312" w:cs="仿宋_GB2312"/>
          <w:color w:val="000000"/>
          <w:sz w:val="32"/>
          <w:szCs w:val="32"/>
        </w:rPr>
        <w:t>。</w:t>
      </w:r>
    </w:p>
    <w:p w14:paraId="6E48941D">
      <w:pPr>
        <w:pStyle w:val="16"/>
        <w:pageBreakBefore w:val="0"/>
        <w:kinsoku/>
        <w:wordWrap/>
        <w:overflowPunct/>
        <w:topLinePunct w:val="0"/>
        <w:autoSpaceDE/>
        <w:autoSpaceDN/>
        <w:bidi w:val="0"/>
        <w:adjustRightInd/>
        <w:snapToGrid/>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-3117215</wp:posOffset>
            </wp:positionV>
            <wp:extent cx="5332730" cy="3400425"/>
            <wp:effectExtent l="0" t="0" r="127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196F3EB">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34" w:name="_Toc7988"/>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14:paraId="1753835D">
      <w:pPr>
        <w:pStyle w:val="5"/>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，其中:基本支出130.77万元，占86.28%；项目支出20.80万元，占13.72%</w:t>
      </w:r>
      <w:r>
        <w:rPr>
          <w:rFonts w:hint="eastAsia" w:ascii="仿宋_GB2312" w:hAnsi="仿宋_GB2312" w:eastAsia="仿宋_GB2312" w:cs="仿宋_GB2312"/>
          <w:color w:val="000000"/>
          <w:sz w:val="32"/>
          <w:szCs w:val="32"/>
        </w:rPr>
        <w:t>。</w:t>
      </w:r>
    </w:p>
    <w:p w14:paraId="25194A6F">
      <w:pPr>
        <w:pageBreakBefore w:val="0"/>
        <w:kinsoku/>
        <w:wordWrap/>
        <w:overflowPunct/>
        <w:topLinePunct w:val="0"/>
        <w:autoSpaceDE/>
        <w:autoSpaceDN/>
        <w:bidi w:val="0"/>
        <w:adjustRightInd/>
        <w:snapToGrid/>
        <w:spacing w:line="576" w:lineRule="exact"/>
        <w:jc w:val="center"/>
        <w:textAlignment w:val="auto"/>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1312" behindDoc="0" locked="0" layoutInCell="1" allowOverlap="1">
            <wp:simplePos x="0" y="0"/>
            <wp:positionH relativeFrom="column">
              <wp:posOffset>233680</wp:posOffset>
            </wp:positionH>
            <wp:positionV relativeFrom="paragraph">
              <wp:posOffset>326390</wp:posOffset>
            </wp:positionV>
            <wp:extent cx="5066030" cy="2800350"/>
            <wp:effectExtent l="4445" t="4445" r="1587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429694F">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37" w:name="_Toc6030"/>
      <w:bookmarkStart w:id="38" w:name="_Toc111208502"/>
      <w:bookmarkStart w:id="39" w:name="_Toc15377208"/>
      <w:r>
        <w:rPr>
          <w:rFonts w:hint="eastAsia" w:ascii="黑体" w:hAnsi="黑体" w:eastAsia="黑体" w:cs="黑体"/>
          <w:b w:val="0"/>
          <w:bCs/>
          <w:color w:val="000000"/>
        </w:rPr>
        <w:t>四、财政拨款收入支出决算总体情况说明</w:t>
      </w:r>
      <w:bookmarkEnd w:id="37"/>
      <w:bookmarkEnd w:id="38"/>
      <w:bookmarkEnd w:id="39"/>
    </w:p>
    <w:p w14:paraId="74768A39">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3.09</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2.08</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工资变动，人员变动。 </w:t>
      </w:r>
    </w:p>
    <w:p w14:paraId="094987CA">
      <w:pPr>
        <w:pStyle w:val="3"/>
        <w:pageBreakBefore w:val="0"/>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b w:val="0"/>
          <w:bCs/>
          <w:color w:val="000000"/>
        </w:rPr>
      </w:pPr>
      <w:bookmarkStart w:id="40" w:name="_Toc15377209"/>
      <w:bookmarkStart w:id="41" w:name="_Toc2329"/>
      <w:bookmarkStart w:id="42" w:name="_Toc111208503"/>
      <w:r>
        <w:rPr>
          <w:rFonts w:hint="eastAsia" w:eastAsia="宋体"/>
          <w:lang w:eastAsia="zh-CN"/>
        </w:rPr>
        <w:pict>
          <v:shape id="_x0000_s1027" o:spid="_x0000_s1027" o:spt="75" type="#_x0000_t75" style="position:absolute;left:0pt;margin-left:-8.25pt;margin-top:16.25pt;height:242.25pt;width:420.75pt;mso-wrap-distance-bottom:0pt;mso-wrap-distance-left:9pt;mso-wrap-distance-right:9pt;mso-wrap-distance-top:0pt;z-index:251662336;mso-width-relative:page;mso-height-relative:page;" o:ole="t" filled="f" o:preferrelative="t" stroked="f" coordsize="21600,21600">
            <v:path/>
            <v:fill on="f" focussize="0,0"/>
            <v:stroke on="f"/>
            <v:imagedata r:id="rId13" o:title=""/>
            <o:lock v:ext="edit" aspectratio="f"/>
            <w10:wrap type="square"/>
          </v:shape>
          <o:OLEObject Type="Embed" ProgID="excel.sheet.8" ShapeID="_x0000_s1027" DrawAspect="Content" ObjectID="_1468075726" r:id="rId12">
            <o:LockedField>false</o:LockedField>
          </o:OLEObject>
        </w:pict>
      </w:r>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pageBreakBefore w:val="0"/>
        <w:kinsoku/>
        <w:wordWrap/>
        <w:overflowPunct/>
        <w:topLinePunct w:val="0"/>
        <w:autoSpaceDE/>
        <w:autoSpaceDN/>
        <w:bidi w:val="0"/>
        <w:adjustRightInd/>
        <w:snapToGrid/>
        <w:spacing w:line="240" w:lineRule="auto"/>
        <w:ind w:firstLine="643" w:firstLineChars="200"/>
        <w:textAlignment w:val="auto"/>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万元，占本年支出合计的100.00%。</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lang w:val="en-US" w:eastAsia="zh-CN"/>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3.09</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2.08</w:t>
      </w:r>
      <w:r>
        <w:rPr>
          <w:rFonts w:hint="eastAsia" w:ascii="仿宋_GB2312" w:hAnsi="仿宋_GB2312" w:eastAsia="仿宋_GB2312" w:cs="仿宋_GB2312"/>
          <w:color w:val="000000"/>
          <w:sz w:val="32"/>
          <w:u w:color="auto"/>
        </w:rPr>
        <w:t xml:space="preserve"> %。主要变动原因是工资变动，人员变动。 </w:t>
      </w:r>
    </w:p>
    <w:p w14:paraId="5B68E11D">
      <w:pPr>
        <w:pStyle w:val="5"/>
        <w:pageBreakBefore w:val="0"/>
        <w:kinsoku/>
        <w:wordWrap/>
        <w:overflowPunct/>
        <w:topLinePunct w:val="0"/>
        <w:autoSpaceDE/>
        <w:autoSpaceDN/>
        <w:bidi w:val="0"/>
        <w:adjustRightInd/>
        <w:snapToGrid/>
        <w:spacing w:line="576" w:lineRule="exact"/>
        <w:ind w:firstLine="0"/>
        <w:textAlignment w:val="auto"/>
        <w:rPr>
          <w:rFonts w:hint="eastAsia" w:ascii="思源黑体 CN Normal" w:hAnsi="思源黑体 CN Normal" w:eastAsia="思源黑体 CN Normal" w:cs="思源黑体 CN Normal"/>
          <w:b/>
          <w:color w:val="000000"/>
          <w:sz w:val="32"/>
          <w:szCs w:val="32"/>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128905</wp:posOffset>
            </wp:positionH>
            <wp:positionV relativeFrom="paragraph">
              <wp:posOffset>2466340</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392859B">
      <w:pPr>
        <w:pStyle w:val="5"/>
        <w:pageBreakBefore w:val="0"/>
        <w:kinsoku/>
        <w:wordWrap/>
        <w:overflowPunct/>
        <w:topLinePunct w:val="0"/>
        <w:autoSpaceDE/>
        <w:autoSpaceDN/>
        <w:bidi w:val="0"/>
        <w:adjustRightInd/>
        <w:snapToGrid/>
        <w:spacing w:line="576" w:lineRule="exact"/>
        <w:ind w:firstLine="0"/>
        <w:textAlignment w:val="auto"/>
        <w:rPr>
          <w:rFonts w:hint="eastAsia" w:ascii="思源黑体 CN Normal" w:hAnsi="思源黑体 CN Normal" w:eastAsia="思源黑体 CN Normal" w:cs="思源黑体 CN Normal"/>
          <w:b/>
          <w:color w:val="000000"/>
          <w:sz w:val="32"/>
          <w:szCs w:val="32"/>
        </w:rPr>
      </w:pPr>
    </w:p>
    <w:p w14:paraId="75A4B7C4">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14:paraId="72D2F421">
      <w:pPr>
        <w:pageBreakBefore w:val="0"/>
        <w:kinsoku/>
        <w:wordWrap/>
        <w:overflowPunct/>
        <w:topLinePunct w:val="0"/>
        <w:autoSpaceDE/>
        <w:autoSpaceDN/>
        <w:bidi w:val="0"/>
        <w:adjustRightInd/>
        <w:snapToGrid/>
        <w:spacing w:line="576" w:lineRule="exact"/>
        <w:ind w:firstLine="630" w:firstLineChars="300"/>
        <w:textAlignment w:val="auto"/>
        <w:rPr>
          <w:rFonts w:hint="eastAsia" w:ascii="思源黑体 CN Normal" w:hAnsi="思源黑体 CN Normal" w:eastAsia="思源黑体 CN Normal" w:cs="思源黑体 CN Normal"/>
        </w:rPr>
      </w:pPr>
      <w:r>
        <w:rPr>
          <w:rFonts w:hint="eastAsia" w:ascii="仿宋_GB2312" w:hAnsi="仿宋_GB2312" w:eastAsia="仿宋_GB2312" w:cs="仿宋_GB2312"/>
        </w:rPr>
        <w:drawing>
          <wp:anchor distT="0" distB="0" distL="0" distR="0" simplePos="0" relativeHeight="251664384" behindDoc="0" locked="0" layoutInCell="1" allowOverlap="1">
            <wp:simplePos x="0" y="0"/>
            <wp:positionH relativeFrom="column">
              <wp:posOffset>331470</wp:posOffset>
            </wp:positionH>
            <wp:positionV relativeFrom="paragraph">
              <wp:posOffset>1840865</wp:posOffset>
            </wp:positionV>
            <wp:extent cx="4333240" cy="2886075"/>
            <wp:effectExtent l="4445" t="4445" r="571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万元，主要用于以下方面: 文化旅游体育与传媒支出</w:t>
      </w:r>
      <w:r>
        <w:rPr>
          <w:rFonts w:hint="eastAsia" w:ascii="仿宋_GB2312" w:hAnsi="仿宋_GB2312" w:eastAsia="仿宋_GB2312" w:cs="仿宋_GB2312"/>
          <w:color w:val="000000"/>
          <w:sz w:val="32"/>
          <w:u w:color="auto"/>
          <w:lang w:val="en-US" w:eastAsia="zh-CN"/>
        </w:rPr>
        <w:t>115.22</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76.02</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18.46</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12.18</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8.12</w:t>
      </w:r>
      <w:r>
        <w:rPr>
          <w:rFonts w:hint="eastAsia" w:ascii="仿宋_GB2312" w:hAnsi="仿宋_GB2312" w:eastAsia="仿宋_GB2312" w:cs="仿宋_GB2312"/>
          <w:color w:val="000000"/>
          <w:sz w:val="32"/>
          <w:u w:color="auto"/>
        </w:rPr>
        <w:t>万元，占5.</w:t>
      </w:r>
      <w:r>
        <w:rPr>
          <w:rFonts w:hint="eastAsia" w:ascii="仿宋_GB2312" w:hAnsi="仿宋_GB2312" w:eastAsia="仿宋_GB2312" w:cs="仿宋_GB2312"/>
          <w:color w:val="000000"/>
          <w:sz w:val="32"/>
          <w:u w:color="auto"/>
          <w:lang w:val="en-US" w:eastAsia="zh-CN"/>
        </w:rPr>
        <w:t>36</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9.77</w:t>
      </w:r>
      <w:r>
        <w:rPr>
          <w:rFonts w:hint="eastAsia" w:ascii="仿宋_GB2312" w:hAnsi="仿宋_GB2312" w:eastAsia="仿宋_GB2312" w:cs="仿宋_GB2312"/>
          <w:color w:val="000000"/>
          <w:sz w:val="32"/>
          <w:u w:color="auto"/>
        </w:rPr>
        <w:t>万元，占6.</w:t>
      </w:r>
      <w:r>
        <w:rPr>
          <w:rFonts w:hint="eastAsia" w:ascii="仿宋_GB2312" w:hAnsi="仿宋_GB2312" w:eastAsia="仿宋_GB2312" w:cs="仿宋_GB2312"/>
          <w:color w:val="000000"/>
          <w:sz w:val="32"/>
          <w:u w:color="auto"/>
          <w:lang w:val="en-US" w:eastAsia="zh-CN"/>
        </w:rPr>
        <w:t>44</w:t>
      </w:r>
      <w:r>
        <w:rPr>
          <w:rFonts w:hint="eastAsia" w:ascii="仿宋_GB2312" w:hAnsi="仿宋_GB2312" w:eastAsia="仿宋_GB2312" w:cs="仿宋_GB2312"/>
          <w:color w:val="000000"/>
          <w:sz w:val="32"/>
          <w:u w:color="auto"/>
        </w:rPr>
        <w:t>%。</w:t>
      </w:r>
      <w:bookmarkStart w:id="45" w:name="_Toc15377212"/>
    </w:p>
    <w:p w14:paraId="40DDAA8D">
      <w:pPr>
        <w:pageBreakBefore w:val="0"/>
        <w:kinsoku/>
        <w:wordWrap/>
        <w:overflowPunct/>
        <w:topLinePunct w:val="0"/>
        <w:autoSpaceDE/>
        <w:autoSpaceDN/>
        <w:bidi w:val="0"/>
        <w:adjustRightInd/>
        <w:snapToGrid/>
        <w:spacing w:line="576" w:lineRule="exact"/>
        <w:ind w:firstLine="420" w:firstLineChars="200"/>
        <w:jc w:val="center"/>
        <w:textAlignment w:val="auto"/>
        <w:rPr>
          <w:rFonts w:hint="eastAsia" w:ascii="思源黑体 CN Normal" w:hAnsi="思源黑体 CN Normal" w:eastAsia="思源黑体 CN Normal" w:cs="思源黑体 CN Normal"/>
        </w:rPr>
      </w:pPr>
    </w:p>
    <w:p w14:paraId="7B678BDA">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13506E72">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bookmarkStart w:id="46" w:name="_Toc15377213"/>
      <w:bookmarkStart w:id="47" w:name="_Toc15378460"/>
      <w:bookmarkStart w:id="48" w:name="_Toc15377444"/>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lang w:val="en-US" w:eastAsia="zh-CN"/>
        </w:rPr>
        <w:t>151.57</w:t>
      </w:r>
      <w:r>
        <w:rPr>
          <w:rFonts w:hint="eastAsia" w:ascii="仿宋_GB2312" w:hAnsi="仿宋_GB2312" w:eastAsia="仿宋_GB2312" w:cs="仿宋_GB2312"/>
          <w:color w:val="000000"/>
          <w:sz w:val="32"/>
          <w:u w:color="auto"/>
        </w:rPr>
        <w:t>万元，完成预算100%。其中：</w:t>
      </w:r>
      <w:bookmarkEnd w:id="46"/>
      <w:bookmarkEnd w:id="47"/>
      <w:bookmarkEnd w:id="48"/>
    </w:p>
    <w:p w14:paraId="7AED4EFD">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）图书馆（</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96.18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19.04</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12.03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6.15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）事业单位医疗（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8.12</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9.77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p>
    <w:p w14:paraId="5F1461C4">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color w:val="000000"/>
        </w:rPr>
      </w:pPr>
      <w:bookmarkStart w:id="49" w:name="_Toc15377214"/>
      <w:bookmarkStart w:id="50" w:name="_Toc111208504"/>
      <w:bookmarkStart w:id="51" w:name="_Toc19935"/>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lang w:val="en-US" w:eastAsia="zh-CN"/>
        </w:rPr>
        <w:t>130.77</w:t>
      </w:r>
      <w:r>
        <w:rPr>
          <w:rFonts w:hint="eastAsia" w:ascii="仿宋_GB2312" w:hAnsi="仿宋_GB2312" w:eastAsia="仿宋_GB2312" w:cs="仿宋_GB2312"/>
          <w:color w:val="000000"/>
          <w:sz w:val="32"/>
          <w:u w:color="auto"/>
        </w:rPr>
        <w:t>万元，其中：</w:t>
      </w:r>
    </w:p>
    <w:p w14:paraId="116EF1FA">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127.60</w:t>
      </w:r>
      <w:r>
        <w:rPr>
          <w:rFonts w:hint="eastAsia" w:ascii="仿宋_GB2312" w:hAnsi="仿宋_GB2312" w:eastAsia="仿宋_GB2312" w:cs="仿宋_GB2312"/>
          <w:color w:val="000000"/>
          <w:sz w:val="32"/>
          <w:u w:color="auto"/>
        </w:rPr>
        <w:t>万元，主要包括：基本工资</w:t>
      </w:r>
      <w:r>
        <w:rPr>
          <w:rFonts w:hint="eastAsia" w:ascii="仿宋_GB2312" w:hAnsi="仿宋_GB2312" w:eastAsia="仿宋_GB2312" w:cs="仿宋_GB2312"/>
          <w:color w:val="000000"/>
          <w:sz w:val="32"/>
          <w:u w:color="auto"/>
          <w:lang w:val="en-US" w:eastAsia="zh-CN"/>
        </w:rPr>
        <w:t>30.89</w:t>
      </w:r>
      <w:r>
        <w:rPr>
          <w:rFonts w:hint="eastAsia" w:ascii="仿宋_GB2312" w:hAnsi="仿宋_GB2312" w:eastAsia="仿宋_GB2312" w:cs="仿宋_GB2312"/>
          <w:color w:val="000000"/>
          <w:sz w:val="32"/>
          <w:u w:color="auto"/>
        </w:rPr>
        <w:t>万元、津贴补贴</w:t>
      </w:r>
      <w:r>
        <w:rPr>
          <w:rFonts w:hint="eastAsia" w:ascii="仿宋_GB2312" w:hAnsi="仿宋_GB2312" w:eastAsia="仿宋_GB2312" w:cs="仿宋_GB2312"/>
          <w:color w:val="000000"/>
          <w:sz w:val="32"/>
          <w:u w:color="auto"/>
          <w:lang w:val="en-US" w:eastAsia="zh-CN"/>
        </w:rPr>
        <w:t>3.98</w:t>
      </w:r>
      <w:r>
        <w:rPr>
          <w:rFonts w:hint="eastAsia" w:ascii="仿宋_GB2312" w:hAnsi="仿宋_GB2312" w:eastAsia="仿宋_GB2312" w:cs="仿宋_GB2312"/>
          <w:color w:val="000000"/>
          <w:sz w:val="32"/>
          <w:u w:color="auto"/>
        </w:rPr>
        <w:t>万元、绩效工资</w:t>
      </w:r>
      <w:r>
        <w:rPr>
          <w:rFonts w:hint="eastAsia" w:ascii="仿宋_GB2312" w:hAnsi="仿宋_GB2312" w:eastAsia="仿宋_GB2312" w:cs="仿宋_GB2312"/>
          <w:color w:val="000000"/>
          <w:sz w:val="32"/>
          <w:u w:color="auto"/>
          <w:lang w:val="en-US" w:eastAsia="zh-CN"/>
        </w:rPr>
        <w:t>51.50</w:t>
      </w:r>
      <w:r>
        <w:rPr>
          <w:rFonts w:hint="eastAsia" w:ascii="仿宋_GB2312" w:hAnsi="仿宋_GB2312" w:eastAsia="仿宋_GB2312" w:cs="仿宋_GB2312"/>
          <w:color w:val="000000"/>
          <w:sz w:val="32"/>
          <w:u w:color="auto"/>
        </w:rPr>
        <w:t>万元、机关事业单位基本养老保险缴费</w:t>
      </w:r>
      <w:r>
        <w:rPr>
          <w:rFonts w:hint="eastAsia" w:ascii="仿宋_GB2312" w:hAnsi="仿宋_GB2312" w:eastAsia="仿宋_GB2312" w:cs="仿宋_GB2312"/>
          <w:color w:val="000000"/>
          <w:sz w:val="32"/>
          <w:u w:color="auto"/>
          <w:lang w:val="en-US" w:eastAsia="zh-CN"/>
        </w:rPr>
        <w:t>12.30</w:t>
      </w:r>
      <w:r>
        <w:rPr>
          <w:rFonts w:hint="eastAsia" w:ascii="仿宋_GB2312" w:hAnsi="仿宋_GB2312" w:eastAsia="仿宋_GB2312" w:cs="仿宋_GB2312"/>
          <w:color w:val="000000"/>
          <w:sz w:val="32"/>
          <w:u w:color="auto"/>
        </w:rPr>
        <w:t>万元、职业年金缴费</w:t>
      </w:r>
      <w:r>
        <w:rPr>
          <w:rFonts w:hint="eastAsia" w:ascii="仿宋_GB2312" w:hAnsi="仿宋_GB2312" w:eastAsia="仿宋_GB2312" w:cs="仿宋_GB2312"/>
          <w:color w:val="000000"/>
          <w:sz w:val="32"/>
          <w:u w:color="auto"/>
          <w:lang w:val="en-US" w:eastAsia="zh-CN"/>
        </w:rPr>
        <w:t>6.15</w:t>
      </w:r>
      <w:r>
        <w:rPr>
          <w:rFonts w:hint="eastAsia" w:ascii="仿宋_GB2312" w:hAnsi="仿宋_GB2312" w:eastAsia="仿宋_GB2312" w:cs="仿宋_GB2312"/>
          <w:color w:val="000000"/>
          <w:sz w:val="32"/>
          <w:u w:color="auto"/>
        </w:rPr>
        <w:t>万元、职工基本医疗保险缴费</w:t>
      </w:r>
      <w:r>
        <w:rPr>
          <w:rFonts w:hint="eastAsia" w:ascii="仿宋_GB2312" w:hAnsi="仿宋_GB2312" w:eastAsia="仿宋_GB2312" w:cs="仿宋_GB2312"/>
          <w:color w:val="000000"/>
          <w:sz w:val="32"/>
          <w:u w:color="auto"/>
          <w:lang w:val="en-US" w:eastAsia="zh-CN"/>
        </w:rPr>
        <w:t>8.12</w:t>
      </w:r>
      <w:r>
        <w:rPr>
          <w:rFonts w:hint="eastAsia" w:ascii="仿宋_GB2312" w:hAnsi="仿宋_GB2312" w:eastAsia="仿宋_GB2312" w:cs="仿宋_GB2312"/>
          <w:color w:val="000000"/>
          <w:sz w:val="32"/>
          <w:u w:color="auto"/>
        </w:rPr>
        <w:t>万元、其他社会保障缴费</w:t>
      </w:r>
      <w:r>
        <w:rPr>
          <w:rFonts w:hint="eastAsia" w:ascii="仿宋_GB2312" w:hAnsi="仿宋_GB2312" w:eastAsia="仿宋_GB2312" w:cs="仿宋_GB2312"/>
          <w:color w:val="000000"/>
          <w:sz w:val="32"/>
          <w:u w:color="auto"/>
          <w:lang w:val="en-US" w:eastAsia="zh-CN"/>
        </w:rPr>
        <w:t>0.58</w:t>
      </w:r>
      <w:r>
        <w:rPr>
          <w:rFonts w:hint="eastAsia" w:ascii="仿宋_GB2312" w:hAnsi="仿宋_GB2312" w:eastAsia="仿宋_GB2312" w:cs="仿宋_GB2312"/>
          <w:color w:val="000000"/>
          <w:sz w:val="32"/>
          <w:u w:color="auto"/>
        </w:rPr>
        <w:t>万元、住房公积金</w:t>
      </w:r>
      <w:r>
        <w:rPr>
          <w:rFonts w:hint="eastAsia" w:ascii="仿宋_GB2312" w:hAnsi="仿宋_GB2312" w:eastAsia="仿宋_GB2312" w:cs="仿宋_GB2312"/>
          <w:color w:val="000000"/>
          <w:sz w:val="32"/>
          <w:u w:color="auto"/>
          <w:lang w:val="en-US" w:eastAsia="zh-CN"/>
        </w:rPr>
        <w:t>9.77</w:t>
      </w:r>
      <w:r>
        <w:rPr>
          <w:rFonts w:hint="eastAsia" w:ascii="仿宋_GB2312" w:hAnsi="仿宋_GB2312" w:eastAsia="仿宋_GB2312" w:cs="仿宋_GB2312"/>
          <w:color w:val="000000"/>
          <w:sz w:val="32"/>
          <w:u w:color="auto"/>
        </w:rPr>
        <w:t>万元、医疗费1.41万元、生活补助2.88万元、奖励金0.01万元。</w:t>
      </w:r>
    </w:p>
    <w:p w14:paraId="39B6CA0F">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lang w:val="en-US" w:eastAsia="zh-CN"/>
        </w:rPr>
        <w:t>3.16</w:t>
      </w:r>
      <w:r>
        <w:rPr>
          <w:rFonts w:hint="eastAsia" w:ascii="仿宋_GB2312" w:hAnsi="仿宋_GB2312" w:eastAsia="仿宋_GB2312" w:cs="仿宋_GB2312"/>
          <w:color w:val="000000"/>
          <w:sz w:val="32"/>
          <w:u w:color="auto"/>
        </w:rPr>
        <w:t>万元，主要包括：办公费</w:t>
      </w:r>
      <w:r>
        <w:rPr>
          <w:rFonts w:hint="eastAsia" w:ascii="仿宋_GB2312" w:hAnsi="仿宋_GB2312" w:eastAsia="仿宋_GB2312" w:cs="仿宋_GB2312"/>
          <w:color w:val="000000"/>
          <w:sz w:val="32"/>
          <w:u w:color="auto"/>
          <w:lang w:val="en-US" w:eastAsia="zh-CN"/>
        </w:rPr>
        <w:t>2.90</w:t>
      </w:r>
      <w:r>
        <w:rPr>
          <w:rFonts w:hint="eastAsia" w:ascii="仿宋_GB2312" w:hAnsi="仿宋_GB2312" w:eastAsia="仿宋_GB2312" w:cs="仿宋_GB2312"/>
          <w:color w:val="000000"/>
          <w:sz w:val="32"/>
          <w:u w:color="auto"/>
        </w:rPr>
        <w:t>万元、水费</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万元、电费</w:t>
      </w:r>
      <w:r>
        <w:rPr>
          <w:rFonts w:hint="eastAsia" w:ascii="仿宋_GB2312" w:hAnsi="仿宋_GB2312" w:eastAsia="仿宋_GB2312" w:cs="仿宋_GB2312"/>
          <w:color w:val="000000"/>
          <w:sz w:val="32"/>
          <w:u w:color="auto"/>
          <w:lang w:val="en-US" w:eastAsia="zh-CN"/>
        </w:rPr>
        <w:t>0.01</w:t>
      </w:r>
      <w:r>
        <w:rPr>
          <w:rFonts w:hint="eastAsia" w:ascii="仿宋_GB2312" w:hAnsi="仿宋_GB2312" w:eastAsia="仿宋_GB2312" w:cs="仿宋_GB2312"/>
          <w:color w:val="000000"/>
          <w:sz w:val="32"/>
          <w:u w:color="auto"/>
        </w:rPr>
        <w:t>万元、邮电费</w:t>
      </w:r>
      <w:r>
        <w:rPr>
          <w:rFonts w:hint="eastAsia" w:ascii="仿宋_GB2312" w:hAnsi="仿宋_GB2312" w:eastAsia="仿宋_GB2312" w:cs="仿宋_GB2312"/>
          <w:color w:val="000000"/>
          <w:sz w:val="32"/>
          <w:u w:color="auto"/>
          <w:lang w:val="en-US" w:eastAsia="zh-CN"/>
        </w:rPr>
        <w:t>0.25</w:t>
      </w:r>
      <w:r>
        <w:rPr>
          <w:rFonts w:hint="eastAsia" w:ascii="仿宋_GB2312" w:hAnsi="仿宋_GB2312" w:eastAsia="仿宋_GB2312" w:cs="仿宋_GB2312"/>
          <w:color w:val="000000"/>
          <w:sz w:val="32"/>
          <w:u w:color="auto"/>
        </w:rPr>
        <w:t>万元、差旅费</w:t>
      </w:r>
      <w:r>
        <w:rPr>
          <w:rFonts w:hint="eastAsia" w:ascii="仿宋_GB2312" w:hAnsi="仿宋_GB2312" w:eastAsia="仿宋_GB2312" w:cs="仿宋_GB2312"/>
          <w:color w:val="000000"/>
          <w:sz w:val="32"/>
          <w:u w:color="auto"/>
          <w:lang w:val="en-US" w:eastAsia="zh-CN"/>
        </w:rPr>
        <w:t>0.00</w:t>
      </w:r>
      <w:r>
        <w:rPr>
          <w:rFonts w:hint="eastAsia" w:ascii="仿宋_GB2312" w:hAnsi="仿宋_GB2312" w:eastAsia="仿宋_GB2312" w:cs="仿宋_GB2312"/>
          <w:color w:val="000000"/>
          <w:sz w:val="32"/>
          <w:u w:color="auto"/>
        </w:rPr>
        <w:t>万元。</w:t>
      </w:r>
    </w:p>
    <w:p w14:paraId="151B178E">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52" w:name="_Toc111208505"/>
      <w:bookmarkStart w:id="53" w:name="_Toc15377215"/>
      <w:bookmarkStart w:id="54" w:name="_Toc30668"/>
      <w:r>
        <w:rPr>
          <w:rFonts w:hint="eastAsia" w:ascii="黑体" w:hAnsi="黑体" w:eastAsia="黑体" w:cs="黑体"/>
          <w:b w:val="0"/>
          <w:bCs/>
          <w:color w:val="000000"/>
        </w:rPr>
        <w:t>七、“三公”经费财政拨款支出决算情况说明</w:t>
      </w:r>
      <w:bookmarkEnd w:id="52"/>
      <w:bookmarkEnd w:id="53"/>
      <w:bookmarkEnd w:id="54"/>
    </w:p>
    <w:p w14:paraId="613FE387">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1F750F0C">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rPr>
        <w:t>0.00万元，完成预算0.00%，较上年度增加0.00万元，增加0.00%。</w:t>
      </w:r>
      <w:bookmarkStart w:id="56" w:name="_Toc15377217"/>
    </w:p>
    <w:p w14:paraId="5BC57BE3">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5A33F8D">
      <w:pPr>
        <w:pageBreakBefore w:val="0"/>
        <w:kinsoku/>
        <w:wordWrap/>
        <w:overflowPunct/>
        <w:topLinePunct w:val="0"/>
        <w:autoSpaceDE/>
        <w:autoSpaceDN/>
        <w:bidi w:val="0"/>
        <w:adjustRightInd/>
        <w:snapToGrid/>
        <w:spacing w:line="576" w:lineRule="exact"/>
        <w:ind w:firstLine="640"/>
        <w:textAlignment w:val="auto"/>
        <w:rPr>
          <w:rFonts w:hint="eastAsia" w:ascii="思源黑体 CN Normal" w:hAnsi="思源黑体 CN Normal" w:eastAsia="思源黑体 CN Normal" w:cs="思源黑体 CN Normal"/>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rPr>
        <w:t>0.00万元，因公出国（境）费支出决算0.00万元，占0.00%；公务用车购置及运行维护费支出决算0.00万元，占0.00%；公务接待费支出决算0.00万元，占0.00%。具体情况如下：</w:t>
      </w:r>
      <w:bookmarkStart w:id="91" w:name="_GoBack"/>
      <w:bookmarkEnd w:id="91"/>
      <w:r>
        <w:rPr>
          <w:rFonts w:hint="eastAsia" w:ascii="思源黑体 CN Normal" w:hAnsi="思源黑体 CN Normal" w:eastAsia="思源黑体 CN Normal" w:cs="思源黑体 CN Normal"/>
        </w:rPr>
        <w:drawing>
          <wp:anchor distT="0" distB="0" distL="0" distR="0" simplePos="0" relativeHeight="251665408" behindDoc="0" locked="0" layoutInCell="1" allowOverlap="1">
            <wp:simplePos x="0" y="0"/>
            <wp:positionH relativeFrom="column">
              <wp:posOffset>431800</wp:posOffset>
            </wp:positionH>
            <wp:positionV relativeFrom="paragraph">
              <wp:posOffset>-2602865</wp:posOffset>
            </wp:positionV>
            <wp:extent cx="4257040" cy="2400935"/>
            <wp:effectExtent l="4445" t="4445" r="571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E9D76AF">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万元,完成预算100%。全年安排因公出国（境）团组0次，出国（境）0人。因公出国（境）支出决算比202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 xml:space="preserve">年增加0.00万元，增加0.00 %。 </w:t>
      </w:r>
    </w:p>
    <w:p w14:paraId="327BF985">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万元,完成预算0.00%。公务用车购置及运行维护费支出决算比202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w:t>
      </w:r>
      <w:r>
        <w:rPr>
          <w:rFonts w:hint="eastAsia" w:ascii="仿宋_GB2312" w:hAnsi="仿宋_GB2312" w:eastAsia="仿宋_GB2312" w:cs="仿宋_GB2312"/>
          <w:color w:val="000000"/>
          <w:sz w:val="32"/>
          <w:u w:color="auto"/>
        </w:rPr>
        <w:t xml:space="preserve">万元，增加0%。 </w:t>
      </w:r>
    </w:p>
    <w:p w14:paraId="7D2B639A">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万元。全年按规定更新购置公务用车0辆，其中：轿车0辆、金额0.00万元，越野车0辆、金额0.00万元，载客汽车0辆、金额0.00万元。截至202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0辆，其中：轿车0辆、越野车0辆、载客汽车0辆</w:t>
      </w:r>
      <w:r>
        <w:rPr>
          <w:rFonts w:hint="eastAsia" w:ascii="仿宋_GB2312" w:hAnsi="仿宋_GB2312" w:eastAsia="仿宋_GB2312" w:cs="仿宋_GB2312"/>
          <w:color w:val="000000"/>
          <w:sz w:val="32"/>
          <w:szCs w:val="32"/>
          <w:lang w:val="en-US" w:eastAsia="zh-CN"/>
        </w:rPr>
        <w:t>。</w:t>
      </w:r>
    </w:p>
    <w:p w14:paraId="2ED6A1A6">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 xml:space="preserve">万元。 </w:t>
      </w:r>
    </w:p>
    <w:p w14:paraId="2C1431EB">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万元，完成预算0.00%。公务接待费支出决算比202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w:t>
      </w:r>
      <w:r>
        <w:rPr>
          <w:rFonts w:hint="eastAsia" w:ascii="仿宋_GB2312" w:hAnsi="仿宋_GB2312" w:eastAsia="仿宋_GB2312" w:cs="仿宋_GB2312"/>
          <w:color w:val="000000"/>
          <w:sz w:val="32"/>
          <w:u w:color="auto"/>
        </w:rPr>
        <w:t>万元，增加0.00%。</w:t>
      </w:r>
      <w:bookmarkStart w:id="57" w:name="_Toc15377218"/>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其中：</w:t>
      </w:r>
    </w:p>
    <w:p w14:paraId="7F3EE578">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万元。国内公务接待0批次，0人次（不包括陪同人员），共计支出0.00万元。</w:t>
      </w:r>
    </w:p>
    <w:p w14:paraId="662C5F0F">
      <w:pPr>
        <w:pStyle w:val="5"/>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外事接待支出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万元，0人次（不包括陪同人员），共计支出0.00万元。</w:t>
      </w:r>
    </w:p>
    <w:p w14:paraId="5DA11626">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58" w:name="_Toc1021"/>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14:paraId="1C230691">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u w:color="auto"/>
        </w:rPr>
        <w:t>0.00万元。</w:t>
      </w:r>
      <w:bookmarkStart w:id="60" w:name="_Toc15377219"/>
    </w:p>
    <w:p w14:paraId="79E1D034">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61" w:name="_Toc10606"/>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14:paraId="04E25F7E">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14:paraId="76FD0E14">
      <w:pPr>
        <w:pStyle w:val="3"/>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color w:val="000000"/>
        </w:rPr>
      </w:pPr>
      <w:bookmarkStart w:id="63" w:name="_Toc25407"/>
      <w:bookmarkStart w:id="64" w:name="_Toc111208508"/>
      <w:bookmarkStart w:id="65" w:name="_Toc15377221"/>
      <w:r>
        <w:rPr>
          <w:rFonts w:hint="eastAsia" w:ascii="黑体" w:hAnsi="黑体" w:eastAsia="黑体" w:cs="黑体"/>
          <w:b w:val="0"/>
          <w:bCs/>
          <w:color w:val="000000"/>
        </w:rPr>
        <w:t>十、其他重要事项的情况说明</w:t>
      </w:r>
      <w:bookmarkEnd w:id="63"/>
      <w:bookmarkEnd w:id="64"/>
      <w:bookmarkEnd w:id="65"/>
    </w:p>
    <w:p w14:paraId="019CBB22">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rPr>
        <w:t xml:space="preserve">。 </w:t>
      </w:r>
    </w:p>
    <w:p w14:paraId="66094D57">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14:paraId="282639A3">
      <w:pPr>
        <w:pageBreakBefore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rPr>
        <w:t>0.00万元，其中：政府采购货物支出0.00万元、政府采购工程支出0.00万元、政府采购服务支出0.00万元。授予中小企业合同金额0.00万元，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0.00%,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0.00%。</w:t>
      </w:r>
    </w:p>
    <w:p w14:paraId="12B7C937">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2F35BEB9">
      <w:pPr>
        <w:pageBreakBefore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年12月31日，共有车辆0辆，其中：主要领导干部用车0辆、机要通信用车0辆、应急保障用车0辆、其他用车0辆。单价100万元以上专用设备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4EF50863">
      <w:pPr>
        <w:pageBreakBefore w:val="0"/>
        <w:numPr>
          <w:ilvl w:val="0"/>
          <w:numId w:val="1"/>
        </w:numPr>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预算绩效管理情况</w:t>
      </w:r>
    </w:p>
    <w:p w14:paraId="66AB5FE5">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预算编制阶段，组织对图书馆免开县级配套资金</w:t>
      </w:r>
      <w:r>
        <w:rPr>
          <w:rFonts w:hint="eastAsia" w:ascii="仿宋_GB2312" w:eastAsia="仿宋_GB2312" w:cs="Times New Roman"/>
          <w:color w:val="auto"/>
          <w:sz w:val="32"/>
          <w:szCs w:val="32"/>
          <w:highlight w:val="none"/>
          <w:lang w:eastAsia="zh-CN"/>
        </w:rPr>
        <w:t>图书馆免费开放补助资金项目</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1F943EA8">
      <w:pPr>
        <w:pageBreakBefore w:val="0"/>
        <w:widowControl/>
        <w:kinsoku/>
        <w:wordWrap/>
        <w:overflowPunct/>
        <w:topLinePunct w:val="0"/>
        <w:autoSpaceDE/>
        <w:autoSpaceDN/>
        <w:bidi w:val="0"/>
        <w:adjustRightInd/>
        <w:snapToGrid/>
        <w:spacing w:line="576" w:lineRule="exact"/>
        <w:jc w:val="left"/>
        <w:textAlignment w:val="auto"/>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rPr>
      </w:pPr>
      <w:bookmarkStart w:id="69" w:name="_Toc15377225"/>
      <w:bookmarkStart w:id="70" w:name="_Toc111208509"/>
      <w:bookmarkStart w:id="71" w:name="_Toc24274"/>
      <w:r>
        <w:rPr>
          <w:rFonts w:hint="eastAsia" w:ascii="黑体" w:hAnsi="黑体" w:eastAsia="黑体" w:cs="黑体"/>
          <w:b w:val="0"/>
          <w:bCs w:val="0"/>
        </w:rPr>
        <w:t>第三部分 名词解释</w:t>
      </w:r>
      <w:bookmarkEnd w:id="69"/>
      <w:bookmarkEnd w:id="70"/>
      <w:bookmarkEnd w:id="71"/>
    </w:p>
    <w:p w14:paraId="022F61EC">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0CFB8533">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9.文化旅游体育与传媒支出（类）文化和旅游（款）图书馆（项）:反映图书馆的支出。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10.文化旅游体育与传媒支出（类）其他文化旅游体育与传媒支出（款）其他文化旅游体育与传媒支出（项）:反映除上述项目以外其他用于文化旅游体育与传媒方面的支出。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14.住房保障支出（类）住房改革支出（款）住房公积金（项）:反映行政事业单位按人力资源和社会保障部、财政部规定的基本工资和津贴补贴以及规定比例为职工缴纳的住房公积金。</w:t>
      </w:r>
    </w:p>
    <w:p w14:paraId="773E015D">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3D8A8E">
      <w:pPr>
        <w:widowControl/>
        <w:jc w:val="left"/>
        <w:rPr>
          <w:rStyle w:val="33"/>
          <w:rFonts w:hint="eastAsia" w:ascii="思源黑体 CN Normal" w:hAnsi="思源黑体 CN Normal" w:eastAsia="思源黑体 CN Normal" w:cs="思源黑体 CN Normal"/>
        </w:rPr>
      </w:pPr>
      <w:r>
        <w:rPr>
          <w:rStyle w:val="33"/>
          <w:rFonts w:hint="eastAsia" w:ascii="思源黑体 CN Normal" w:hAnsi="思源黑体 CN Normal" w:eastAsia="思源黑体 CN Normal" w:cs="思源黑体 CN Normal"/>
        </w:rPr>
        <w:br w:type="page"/>
      </w:r>
    </w:p>
    <w:p w14:paraId="06638D99">
      <w:pPr>
        <w:pStyle w:val="2"/>
        <w:jc w:val="center"/>
        <w:rPr>
          <w:rFonts w:hint="eastAsia" w:ascii="黑体" w:hAnsi="黑体" w:eastAsia="黑体" w:cs="黑体"/>
          <w:b w:val="0"/>
          <w:bCs w:val="0"/>
        </w:rPr>
      </w:pPr>
      <w:bookmarkStart w:id="72" w:name="_Toc111208510"/>
      <w:bookmarkStart w:id="73" w:name="_Toc15030"/>
      <w:r>
        <w:rPr>
          <w:rFonts w:hint="eastAsia" w:ascii="黑体" w:hAnsi="黑体" w:eastAsia="黑体" w:cs="黑体"/>
          <w:b w:val="0"/>
          <w:bCs w:val="0"/>
        </w:rPr>
        <w:t>第四部分 附件</w:t>
      </w:r>
      <w:bookmarkEnd w:id="72"/>
      <w:bookmarkEnd w:id="73"/>
    </w:p>
    <w:p w14:paraId="175AF87C">
      <w:pPr>
        <w:pStyle w:val="5"/>
        <w:ind w:left="0" w:leftChars="0" w:firstLine="0" w:firstLineChars="0"/>
        <w:rPr>
          <w:rFonts w:hint="eastAsia" w:ascii="仿宋" w:hAnsi="仿宋" w:eastAsia="仿宋" w:cs="仿宋"/>
          <w:color w:val="C0504D" w:themeColor="accent2"/>
          <w:sz w:val="32"/>
          <w:szCs w:val="32"/>
          <w14:textFill>
            <w14:solidFill>
              <w14:schemeClr w14:val="accent2"/>
            </w14:solidFill>
          </w14:textFill>
        </w:rPr>
      </w:pPr>
      <w:r>
        <w:rPr>
          <w:rFonts w:hint="eastAsia" w:ascii="仿宋" w:hAnsi="仿宋" w:eastAsia="仿宋" w:cs="仿宋"/>
          <w:color w:val="C0504D" w:themeColor="accent2"/>
          <w:sz w:val="32"/>
          <w:szCs w:val="32"/>
          <w14:textFill>
            <w14:solidFill>
              <w14:schemeClr w14:val="accent2"/>
            </w14:solidFill>
          </w14:textFill>
        </w:rPr>
        <w:t xml:space="preserve"> </w:t>
      </w:r>
    </w:p>
    <w:tbl>
      <w:tblPr>
        <w:tblStyle w:val="20"/>
        <w:tblW w:w="94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203"/>
        <w:gridCol w:w="1081"/>
        <w:gridCol w:w="1293"/>
        <w:gridCol w:w="447"/>
        <w:gridCol w:w="1092"/>
        <w:gridCol w:w="448"/>
        <w:gridCol w:w="943"/>
        <w:gridCol w:w="490"/>
        <w:gridCol w:w="486"/>
        <w:gridCol w:w="1319"/>
      </w:tblGrid>
      <w:tr w14:paraId="1481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92944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374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11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41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51322322T000000345391-图书馆免开县级配套资金</w:t>
            </w:r>
          </w:p>
        </w:tc>
      </w:tr>
      <w:tr w14:paraId="740C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A4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7C0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3" w:type="dxa"/>
            <w:tcBorders>
              <w:top w:val="nil"/>
              <w:left w:val="nil"/>
              <w:bottom w:val="nil"/>
              <w:right w:val="nil"/>
            </w:tcBorders>
            <w:shd w:val="clear" w:color="auto" w:fill="auto"/>
            <w:vAlign w:val="center"/>
          </w:tcPr>
          <w:p w14:paraId="29AC738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A3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茂县图书馆</w:t>
            </w:r>
          </w:p>
        </w:tc>
      </w:tr>
      <w:tr w14:paraId="768F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B1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1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59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066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BE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C75D">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1166">
            <w:pPr>
              <w:rPr>
                <w:rFonts w:hint="eastAsia" w:ascii="宋体" w:hAnsi="宋体" w:eastAsia="宋体" w:cs="宋体"/>
                <w:i w:val="0"/>
                <w:iCs w:val="0"/>
                <w:color w:val="000000"/>
                <w:sz w:val="18"/>
                <w:szCs w:val="18"/>
                <w:u w:val="none"/>
              </w:rPr>
            </w:pPr>
          </w:p>
        </w:tc>
        <w:tc>
          <w:tcPr>
            <w:tcW w:w="4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B93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图书馆免开配套资金1.76万元。</w:t>
            </w:r>
          </w:p>
        </w:tc>
        <w:tc>
          <w:tcPr>
            <w:tcW w:w="3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015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图书馆免开网站信息技术服务网络升级1次，免开经费阅读推广活动6次，免开经费元旦、春节线下活动2次，线上活动3次，新增图书900余册，新编目图书1500余册。免开产生1-12月电费，开展4.23世界读书日活动，免开临聘人员1-12月劳务派遣服务费，购买办公耗材，正常运行开支网络运行费，公众号平台服务费，正常运行水管线路消防整改材料。</w:t>
            </w:r>
          </w:p>
        </w:tc>
      </w:tr>
      <w:tr w14:paraId="4A38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8E8E">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4AB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每周正常开馆56小时以上，坚持错时开发，中午正常开馆，满足读者并保证读者对阅读时间的需求，开展了“书香溢校园，阅读悦美好”阅读推广活动；“小星星”的新年愿望——亲子绘本阅读活动；《知传统.品年味.乐新年》之蛇舞新春 萌娃欢庆迎新年活动；举办“阅读改变未来”第29个世界读书日活动；关爱留守儿童，共享美好时光”六一慰问活动；净土春晖 向阳而生茂县"爱心妈妈"结对活动；“弘扬八一精神  传承红色记忆”活动等线下活动十余场次。</w:t>
            </w:r>
          </w:p>
        </w:tc>
      </w:tr>
      <w:tr w14:paraId="0E92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74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E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AD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A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4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FF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F0BC">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3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7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10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8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1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C0A73">
            <w:pPr>
              <w:rPr>
                <w:rFonts w:hint="eastAsia" w:ascii="黑体" w:hAnsi="黑体" w:eastAsia="黑体" w:cs="黑体"/>
                <w:i/>
                <w:iCs/>
                <w:color w:val="000000"/>
                <w:sz w:val="18"/>
                <w:szCs w:val="18"/>
                <w:u w:val="none"/>
              </w:rPr>
            </w:pPr>
          </w:p>
        </w:tc>
      </w:tr>
      <w:tr w14:paraId="7498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4A77">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E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2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A3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5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6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7A58">
            <w:pPr>
              <w:rPr>
                <w:rFonts w:hint="eastAsia" w:ascii="黑体" w:hAnsi="黑体" w:eastAsia="黑体" w:cs="黑体"/>
                <w:i/>
                <w:iCs/>
                <w:color w:val="000000"/>
                <w:sz w:val="18"/>
                <w:szCs w:val="18"/>
                <w:u w:val="none"/>
              </w:rPr>
            </w:pPr>
          </w:p>
        </w:tc>
      </w:tr>
      <w:tr w14:paraId="6D52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413C">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0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6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E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E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E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E7DF">
            <w:pPr>
              <w:rPr>
                <w:rFonts w:hint="eastAsia" w:ascii="黑体" w:hAnsi="黑体" w:eastAsia="黑体" w:cs="黑体"/>
                <w:i/>
                <w:iCs/>
                <w:color w:val="000000"/>
                <w:sz w:val="18"/>
                <w:szCs w:val="18"/>
                <w:u w:val="none"/>
              </w:rPr>
            </w:pPr>
          </w:p>
        </w:tc>
      </w:tr>
      <w:tr w14:paraId="5A96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3886">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F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19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4C80">
            <w:pPr>
              <w:rPr>
                <w:rFonts w:hint="eastAsia" w:ascii="黑体" w:hAnsi="黑体" w:eastAsia="黑体" w:cs="黑体"/>
                <w:i/>
                <w:iCs/>
                <w:color w:val="000000"/>
                <w:sz w:val="18"/>
                <w:szCs w:val="18"/>
                <w:u w:val="none"/>
              </w:rPr>
            </w:pPr>
          </w:p>
        </w:tc>
      </w:tr>
      <w:tr w14:paraId="30FA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55D7">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C5A4">
            <w:pPr>
              <w:jc w:val="center"/>
              <w:rPr>
                <w:rFonts w:hint="eastAsia" w:ascii="微软雅黑" w:hAnsi="微软雅黑" w:eastAsia="微软雅黑" w:cs="微软雅黑"/>
                <w:i/>
                <w:iCs/>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438">
            <w:pPr>
              <w:jc w:val="center"/>
              <w:rPr>
                <w:rFonts w:hint="eastAsia" w:ascii="微软雅黑" w:hAnsi="微软雅黑" w:eastAsia="微软雅黑" w:cs="微软雅黑"/>
                <w:i/>
                <w:iCs/>
                <w:color w:val="000000"/>
                <w:sz w:val="16"/>
                <w:szCs w:val="16"/>
                <w:u w:val="none"/>
              </w:rPr>
            </w:pP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2FF32">
            <w:pPr>
              <w:jc w:val="center"/>
              <w:rPr>
                <w:rFonts w:hint="eastAsia" w:ascii="微软雅黑" w:hAnsi="微软雅黑" w:eastAsia="微软雅黑" w:cs="微软雅黑"/>
                <w:i/>
                <w:iCs/>
                <w:color w:val="000000"/>
                <w:sz w:val="16"/>
                <w:szCs w:val="16"/>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91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5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53DF">
            <w:pPr>
              <w:rPr>
                <w:rFonts w:hint="eastAsia" w:ascii="黑体" w:hAnsi="黑体" w:eastAsia="黑体" w:cs="黑体"/>
                <w:i/>
                <w:iCs/>
                <w:color w:val="000000"/>
                <w:sz w:val="18"/>
                <w:szCs w:val="18"/>
                <w:u w:val="none"/>
              </w:rPr>
            </w:pPr>
          </w:p>
        </w:tc>
      </w:tr>
      <w:tr w14:paraId="7CE8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4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2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D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D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F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4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E6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AB85">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81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补助图书馆正常免费开放</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2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0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3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F8E">
            <w:pPr>
              <w:jc w:val="center"/>
              <w:rPr>
                <w:rFonts w:hint="eastAsia" w:ascii="微软雅黑" w:hAnsi="微软雅黑" w:eastAsia="微软雅黑" w:cs="微软雅黑"/>
                <w:i/>
                <w:iCs/>
                <w:color w:val="000000"/>
                <w:sz w:val="16"/>
                <w:szCs w:val="16"/>
                <w:u w:val="none"/>
              </w:rPr>
            </w:pPr>
          </w:p>
        </w:tc>
      </w:tr>
      <w:tr w14:paraId="6F81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6360">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184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3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F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全年开放服务天数</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F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F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317</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582">
            <w:pPr>
              <w:jc w:val="center"/>
              <w:rPr>
                <w:rFonts w:hint="eastAsia" w:ascii="微软雅黑" w:hAnsi="微软雅黑" w:eastAsia="微软雅黑" w:cs="微软雅黑"/>
                <w:i/>
                <w:iCs/>
                <w:color w:val="000000"/>
                <w:sz w:val="16"/>
                <w:szCs w:val="16"/>
                <w:u w:val="none"/>
              </w:rPr>
            </w:pPr>
          </w:p>
        </w:tc>
      </w:tr>
      <w:tr w14:paraId="0F72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A4EC">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334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C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完成图书馆服务时间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3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36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7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A19">
            <w:pPr>
              <w:jc w:val="center"/>
              <w:rPr>
                <w:rFonts w:hint="eastAsia" w:ascii="微软雅黑" w:hAnsi="微软雅黑" w:eastAsia="微软雅黑" w:cs="微软雅黑"/>
                <w:i/>
                <w:iCs/>
                <w:color w:val="000000"/>
                <w:sz w:val="16"/>
                <w:szCs w:val="16"/>
                <w:u w:val="none"/>
              </w:rPr>
            </w:pPr>
          </w:p>
        </w:tc>
      </w:tr>
      <w:tr w14:paraId="20EC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B686">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提高广大群众阅读水平</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9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C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9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DB77">
            <w:pPr>
              <w:jc w:val="center"/>
              <w:rPr>
                <w:rFonts w:hint="eastAsia" w:ascii="微软雅黑" w:hAnsi="微软雅黑" w:eastAsia="微软雅黑" w:cs="微软雅黑"/>
                <w:i/>
                <w:iCs/>
                <w:color w:val="000000"/>
                <w:sz w:val="16"/>
                <w:szCs w:val="16"/>
                <w:u w:val="none"/>
              </w:rPr>
            </w:pPr>
          </w:p>
        </w:tc>
      </w:tr>
      <w:tr w14:paraId="336F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DF9E">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256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4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群众阅读需求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3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5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DA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0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F2FC">
            <w:pPr>
              <w:jc w:val="center"/>
              <w:rPr>
                <w:rFonts w:hint="eastAsia" w:ascii="微软雅黑" w:hAnsi="微软雅黑" w:eastAsia="微软雅黑" w:cs="微软雅黑"/>
                <w:i/>
                <w:iCs/>
                <w:color w:val="000000"/>
                <w:sz w:val="16"/>
                <w:szCs w:val="16"/>
                <w:u w:val="none"/>
              </w:rPr>
            </w:pPr>
          </w:p>
        </w:tc>
      </w:tr>
      <w:tr w14:paraId="083E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B22F">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0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4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8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A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7C22">
            <w:pPr>
              <w:jc w:val="center"/>
              <w:rPr>
                <w:rFonts w:hint="eastAsia" w:ascii="微软雅黑" w:hAnsi="微软雅黑" w:eastAsia="微软雅黑" w:cs="微软雅黑"/>
                <w:i/>
                <w:iCs/>
                <w:color w:val="000000"/>
                <w:sz w:val="16"/>
                <w:szCs w:val="16"/>
                <w:u w:val="none"/>
              </w:rPr>
            </w:pPr>
          </w:p>
        </w:tc>
      </w:tr>
      <w:tr w14:paraId="5C45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C75F">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A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免开支出</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4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4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EA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17600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3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A9E">
            <w:pPr>
              <w:jc w:val="center"/>
              <w:rPr>
                <w:rFonts w:hint="eastAsia" w:ascii="微软雅黑" w:hAnsi="微软雅黑" w:eastAsia="微软雅黑" w:cs="微软雅黑"/>
                <w:i/>
                <w:iCs/>
                <w:color w:val="000000"/>
                <w:sz w:val="16"/>
                <w:szCs w:val="16"/>
                <w:u w:val="none"/>
              </w:rPr>
            </w:pPr>
          </w:p>
        </w:tc>
      </w:tr>
      <w:tr w14:paraId="37EE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1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9D2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9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3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C12">
            <w:pPr>
              <w:rPr>
                <w:rFonts w:hint="eastAsia" w:ascii="宋体" w:hAnsi="宋体" w:eastAsia="宋体" w:cs="宋体"/>
                <w:i w:val="0"/>
                <w:iCs w:val="0"/>
                <w:color w:val="000000"/>
                <w:sz w:val="18"/>
                <w:szCs w:val="18"/>
                <w:u w:val="none"/>
              </w:rPr>
            </w:pPr>
          </w:p>
        </w:tc>
      </w:tr>
      <w:tr w14:paraId="7BD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B910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按照计划全部完成，达到预期效果，自评得分100分</w:t>
            </w:r>
          </w:p>
        </w:tc>
      </w:tr>
      <w:tr w14:paraId="5640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7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6E7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55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653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4B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466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项目负责人：余尧</w:t>
            </w:r>
          </w:p>
        </w:tc>
        <w:tc>
          <w:tcPr>
            <w:tcW w:w="47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959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74ED1983">
      <w:pPr>
        <w:pStyle w:val="5"/>
        <w:ind w:left="0" w:leftChars="0" w:firstLine="0" w:firstLineChars="0"/>
        <w:rPr>
          <w:rFonts w:hint="eastAsia" w:ascii="仿宋" w:hAnsi="仿宋" w:eastAsia="仿宋" w:cs="仿宋"/>
          <w:color w:val="C0504D" w:themeColor="accent2"/>
          <w:sz w:val="32"/>
          <w:szCs w:val="32"/>
          <w14:textFill>
            <w14:solidFill>
              <w14:schemeClr w14:val="accent2"/>
            </w14:solidFill>
          </w14:textFill>
        </w:rPr>
      </w:pPr>
    </w:p>
    <w:tbl>
      <w:tblPr>
        <w:tblStyle w:val="20"/>
        <w:tblW w:w="9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188"/>
        <w:gridCol w:w="1070"/>
        <w:gridCol w:w="1328"/>
        <w:gridCol w:w="449"/>
        <w:gridCol w:w="1086"/>
        <w:gridCol w:w="449"/>
        <w:gridCol w:w="949"/>
        <w:gridCol w:w="496"/>
        <w:gridCol w:w="486"/>
        <w:gridCol w:w="1287"/>
      </w:tblGrid>
      <w:tr w14:paraId="1305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552E2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4" w:name="_Toc79163635"/>
            <w:bookmarkStart w:id="75" w:name="_Toc79163885"/>
            <w:bookmarkStart w:id="76" w:name="_Toc111208512"/>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40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D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305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51322324T000011818064-阿州财教【2024】19号阿坝州2024年公共图书馆免费开放中央补助资金</w:t>
            </w:r>
          </w:p>
        </w:tc>
      </w:tr>
      <w:tr w14:paraId="583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9D5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F9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95" w:type="dxa"/>
            <w:tcBorders>
              <w:top w:val="nil"/>
              <w:left w:val="nil"/>
              <w:bottom w:val="nil"/>
              <w:right w:val="nil"/>
            </w:tcBorders>
            <w:shd w:val="clear" w:color="auto" w:fill="auto"/>
            <w:vAlign w:val="center"/>
          </w:tcPr>
          <w:p w14:paraId="1F5CA00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3B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茂县图书馆</w:t>
            </w:r>
          </w:p>
        </w:tc>
      </w:tr>
      <w:tr w14:paraId="0843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31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B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D9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BCD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53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2CE9">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AB2">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6F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面向群众，面向基层，实施公益免费开放服务，保障人民群众基本文化权益，大力开展公共文化活动，为我县精神文明建设做贡献。激发人民群众读书兴趣，培养阅读能力，养成博览群书的良好习惯，在读书活动中开阔视野，陶冶情操，获得真知，提升修养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80D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图书馆免开网站信息技术服务网络升级1次，免开经费阅读推广活动6次，免开经费元旦、春节线下活动2次，线上活动3次，新增图书900余册，新编目图书1500余册。免开产生1-12月电费，开展4.23世界读书日活动，免开临聘人员1-12月劳务派遣服务费，购买办公耗材，正常运行开支网络运行费，公众号平台服务费，正常运行水管线路消防整改材料。</w:t>
            </w:r>
          </w:p>
        </w:tc>
      </w:tr>
      <w:tr w14:paraId="6A29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026F">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A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BE9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每周正常开馆56小时以上，坚持错时开发，中午正常开馆，满足读者并保证读者对阅读时间的需求，开展了“书香溢校园，阅读悦美好”阅读推广活动；“小星星”的新年愿望——亲子绘本阅读活动；《知传统.品年味.乐新年》之蛇舞新春 萌娃欢庆迎新年活动；举办“阅读改变未来”第29个世界读书日活动；关爱留守儿童，共享美好时光”六一慰问活动；净土春晖 向阳而生茂县"爱心妈妈"结对活动；“弘扬八一精神  传承红色记忆”活动等线下活动十余场次。</w:t>
            </w:r>
          </w:p>
        </w:tc>
      </w:tr>
      <w:tr w14:paraId="6F1A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6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DF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C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B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A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3C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13A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12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2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D0A6A">
            <w:pPr>
              <w:rPr>
                <w:rFonts w:hint="eastAsia" w:ascii="黑体" w:hAnsi="黑体" w:eastAsia="黑体" w:cs="黑体"/>
                <w:i/>
                <w:iCs/>
                <w:color w:val="000000"/>
                <w:sz w:val="18"/>
                <w:szCs w:val="18"/>
                <w:u w:val="none"/>
              </w:rPr>
            </w:pPr>
          </w:p>
        </w:tc>
      </w:tr>
      <w:tr w14:paraId="407D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F19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5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71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8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3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1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073A">
            <w:pPr>
              <w:rPr>
                <w:rFonts w:hint="eastAsia" w:ascii="黑体" w:hAnsi="黑体" w:eastAsia="黑体" w:cs="黑体"/>
                <w:i/>
                <w:iCs/>
                <w:color w:val="000000"/>
                <w:sz w:val="18"/>
                <w:szCs w:val="18"/>
                <w:u w:val="none"/>
              </w:rPr>
            </w:pPr>
          </w:p>
        </w:tc>
      </w:tr>
      <w:tr w14:paraId="18B2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76F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F4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1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297C">
            <w:pPr>
              <w:rPr>
                <w:rFonts w:hint="eastAsia" w:ascii="黑体" w:hAnsi="黑体" w:eastAsia="黑体" w:cs="黑体"/>
                <w:i/>
                <w:iCs/>
                <w:color w:val="000000"/>
                <w:sz w:val="18"/>
                <w:szCs w:val="18"/>
                <w:u w:val="none"/>
              </w:rPr>
            </w:pPr>
          </w:p>
        </w:tc>
      </w:tr>
      <w:tr w14:paraId="4D97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CB9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6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4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B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91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4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5ACA">
            <w:pPr>
              <w:rPr>
                <w:rFonts w:hint="eastAsia" w:ascii="黑体" w:hAnsi="黑体" w:eastAsia="黑体" w:cs="黑体"/>
                <w:i/>
                <w:iCs/>
                <w:color w:val="000000"/>
                <w:sz w:val="18"/>
                <w:szCs w:val="18"/>
                <w:u w:val="none"/>
              </w:rPr>
            </w:pPr>
          </w:p>
        </w:tc>
      </w:tr>
      <w:tr w14:paraId="7045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BFE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F4CC">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12C1">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4B72F">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68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F5FC">
            <w:pPr>
              <w:rPr>
                <w:rFonts w:hint="eastAsia" w:ascii="黑体" w:hAnsi="黑体" w:eastAsia="黑体" w:cs="黑体"/>
                <w:i/>
                <w:iCs/>
                <w:color w:val="000000"/>
                <w:sz w:val="18"/>
                <w:szCs w:val="18"/>
                <w:u w:val="none"/>
              </w:rPr>
            </w:pPr>
          </w:p>
        </w:tc>
      </w:tr>
      <w:tr w14:paraId="1EEF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4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B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8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6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9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B3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20E3">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0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0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图书馆全年完成免开天数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C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6ADB">
            <w:pPr>
              <w:jc w:val="center"/>
              <w:rPr>
                <w:rFonts w:hint="eastAsia" w:ascii="微软雅黑" w:hAnsi="微软雅黑" w:eastAsia="微软雅黑" w:cs="微软雅黑"/>
                <w:i/>
                <w:iCs/>
                <w:color w:val="000000"/>
                <w:sz w:val="16"/>
                <w:szCs w:val="16"/>
                <w:u w:val="none"/>
              </w:rPr>
            </w:pPr>
          </w:p>
        </w:tc>
      </w:tr>
      <w:tr w14:paraId="6C04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83FB">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D78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6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5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图书馆中央补助资金使用免费开放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7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0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3C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1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A29D">
            <w:pPr>
              <w:jc w:val="center"/>
              <w:rPr>
                <w:rFonts w:hint="eastAsia" w:ascii="微软雅黑" w:hAnsi="微软雅黑" w:eastAsia="微软雅黑" w:cs="微软雅黑"/>
                <w:i/>
                <w:iCs/>
                <w:color w:val="000000"/>
                <w:sz w:val="16"/>
                <w:szCs w:val="16"/>
                <w:u w:val="none"/>
              </w:rPr>
            </w:pPr>
          </w:p>
        </w:tc>
      </w:tr>
      <w:tr w14:paraId="347A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B161">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3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民众阅读借阅提供场所等条件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B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D0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B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397">
            <w:pPr>
              <w:jc w:val="center"/>
              <w:rPr>
                <w:rFonts w:hint="eastAsia" w:ascii="微软雅黑" w:hAnsi="微软雅黑" w:eastAsia="微软雅黑" w:cs="微软雅黑"/>
                <w:i/>
                <w:iCs/>
                <w:color w:val="000000"/>
                <w:sz w:val="16"/>
                <w:szCs w:val="16"/>
                <w:u w:val="none"/>
              </w:rPr>
            </w:pPr>
          </w:p>
        </w:tc>
      </w:tr>
      <w:tr w14:paraId="5F23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0506">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2D4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4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为读者提供书刊外借、自习阅读、资料查询、公益讲座、培训、展览、阅读推广。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0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D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A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F21D">
            <w:pPr>
              <w:jc w:val="center"/>
              <w:rPr>
                <w:rFonts w:hint="eastAsia" w:ascii="微软雅黑" w:hAnsi="微软雅黑" w:eastAsia="微软雅黑" w:cs="微软雅黑"/>
                <w:i/>
                <w:iCs/>
                <w:color w:val="000000"/>
                <w:sz w:val="16"/>
                <w:szCs w:val="16"/>
                <w:u w:val="none"/>
              </w:rPr>
            </w:pPr>
          </w:p>
        </w:tc>
      </w:tr>
      <w:tr w14:paraId="47F6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5E24">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D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F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5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B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9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9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687">
            <w:pPr>
              <w:jc w:val="center"/>
              <w:rPr>
                <w:rFonts w:hint="eastAsia" w:ascii="微软雅黑" w:hAnsi="微软雅黑" w:eastAsia="微软雅黑" w:cs="微软雅黑"/>
                <w:i/>
                <w:iCs/>
                <w:color w:val="000000"/>
                <w:sz w:val="16"/>
                <w:szCs w:val="16"/>
                <w:u w:val="none"/>
              </w:rPr>
            </w:pPr>
          </w:p>
        </w:tc>
      </w:tr>
      <w:tr w14:paraId="0F38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C301">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DF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B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2024年图书馆日常维护运行及活动开展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0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1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FE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7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793">
            <w:pPr>
              <w:jc w:val="center"/>
              <w:rPr>
                <w:rFonts w:hint="eastAsia" w:ascii="微软雅黑" w:hAnsi="微软雅黑" w:eastAsia="微软雅黑" w:cs="微软雅黑"/>
                <w:i/>
                <w:iCs/>
                <w:color w:val="000000"/>
                <w:sz w:val="16"/>
                <w:szCs w:val="16"/>
                <w:u w:val="none"/>
              </w:rPr>
            </w:pPr>
          </w:p>
        </w:tc>
      </w:tr>
      <w:tr w14:paraId="7C6A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912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AB6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鼓励社会爱好者及青少年积极参加图书阅读活动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2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D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A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611E">
            <w:pPr>
              <w:jc w:val="center"/>
              <w:rPr>
                <w:rFonts w:hint="eastAsia" w:ascii="微软雅黑" w:hAnsi="微软雅黑" w:eastAsia="微软雅黑" w:cs="微软雅黑"/>
                <w:i/>
                <w:iCs/>
                <w:color w:val="000000"/>
                <w:sz w:val="16"/>
                <w:szCs w:val="16"/>
                <w:u w:val="none"/>
              </w:rPr>
            </w:pPr>
          </w:p>
        </w:tc>
      </w:tr>
      <w:tr w14:paraId="6C24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24D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15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117">
            <w:pPr>
              <w:rPr>
                <w:rFonts w:hint="eastAsia" w:ascii="宋体" w:hAnsi="宋体" w:eastAsia="宋体" w:cs="宋体"/>
                <w:i w:val="0"/>
                <w:iCs w:val="0"/>
                <w:color w:val="000000"/>
                <w:sz w:val="18"/>
                <w:szCs w:val="18"/>
                <w:u w:val="none"/>
              </w:rPr>
            </w:pPr>
          </w:p>
        </w:tc>
      </w:tr>
      <w:tr w14:paraId="6D6F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130F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按照计划全部完成，达到预期效果，自评得分100分</w:t>
            </w:r>
          </w:p>
        </w:tc>
      </w:tr>
      <w:tr w14:paraId="3BA6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2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AE6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EE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AC90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3E2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DAC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项目负责人：余尧</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ED2F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bl>
    <w:p w14:paraId="60DA63A6">
      <w:pPr>
        <w:rPr>
          <w:rStyle w:val="38"/>
          <w:rFonts w:hint="eastAsia" w:ascii="黑体" w:hAnsi="黑体" w:eastAsia="黑体"/>
          <w:b w:val="0"/>
          <w:color w:val="C0504D" w:themeColor="accent2"/>
          <w:highlight w:val="none"/>
          <w14:textFill>
            <w14:solidFill>
              <w14:schemeClr w14:val="accent2"/>
            </w14:solidFill>
          </w14:textFill>
        </w:rPr>
      </w:pPr>
      <w:r>
        <w:rPr>
          <w:rStyle w:val="38"/>
          <w:rFonts w:hint="eastAsia" w:ascii="黑体" w:hAnsi="黑体" w:eastAsia="黑体"/>
          <w:b w:val="0"/>
          <w:color w:val="C0504D" w:themeColor="accent2"/>
          <w:highlight w:val="none"/>
          <w14:textFill>
            <w14:solidFill>
              <w14:schemeClr w14:val="accent2"/>
            </w14:solidFill>
          </w14:textFill>
        </w:rPr>
        <w:br w:type="page"/>
      </w: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bookmarkStart w:id="77" w:name="_Toc7717"/>
      <w:r>
        <w:rPr>
          <w:rStyle w:val="38"/>
          <w:rFonts w:hint="eastAsia" w:ascii="黑体" w:hAnsi="黑体" w:eastAsia="黑体"/>
          <w:b w:val="0"/>
          <w:color w:val="auto"/>
          <w:highlight w:val="none"/>
        </w:rPr>
        <w:t>第五部分 附表</w:t>
      </w:r>
      <w:bookmarkEnd w:id="74"/>
      <w:bookmarkEnd w:id="75"/>
      <w:bookmarkEnd w:id="76"/>
      <w:bookmarkEnd w:id="77"/>
    </w:p>
    <w:p w14:paraId="39407B2D">
      <w:pPr>
        <w:pStyle w:val="3"/>
        <w:ind w:firstLine="640" w:firstLineChars="200"/>
        <w:rPr>
          <w:rFonts w:hint="eastAsia" w:ascii="仿宋" w:hAnsi="仿宋" w:eastAsia="仿宋" w:cs="仿宋"/>
          <w:b w:val="0"/>
          <w:bCs/>
          <w:color w:val="000000"/>
        </w:rPr>
      </w:pPr>
      <w:bookmarkStart w:id="78" w:name="_Toc9650"/>
      <w:r>
        <w:rPr>
          <w:rFonts w:hint="eastAsia" w:ascii="仿宋" w:hAnsi="仿宋" w:eastAsia="仿宋" w:cs="仿宋"/>
          <w:b w:val="0"/>
          <w:bCs/>
          <w:color w:val="000000"/>
        </w:rPr>
        <w:t>一、收入支出决算总表</w:t>
      </w:r>
      <w:bookmarkEnd w:id="78"/>
    </w:p>
    <w:p w14:paraId="2B7DC4AC">
      <w:pPr>
        <w:pStyle w:val="3"/>
        <w:ind w:firstLine="640" w:firstLineChars="200"/>
        <w:rPr>
          <w:rFonts w:hint="eastAsia" w:ascii="仿宋" w:hAnsi="仿宋" w:eastAsia="仿宋" w:cs="仿宋"/>
          <w:b w:val="0"/>
          <w:bCs/>
          <w:color w:val="000000"/>
        </w:rPr>
      </w:pPr>
      <w:bookmarkStart w:id="79" w:name="_Toc29672"/>
      <w:r>
        <w:rPr>
          <w:rFonts w:hint="eastAsia" w:ascii="仿宋" w:hAnsi="仿宋" w:eastAsia="仿宋" w:cs="仿宋"/>
          <w:b w:val="0"/>
          <w:bCs/>
          <w:color w:val="000000"/>
        </w:rPr>
        <w:t>二、收入决算表</w:t>
      </w:r>
      <w:bookmarkEnd w:id="79"/>
    </w:p>
    <w:p w14:paraId="7858E927">
      <w:pPr>
        <w:pStyle w:val="3"/>
        <w:ind w:firstLine="640" w:firstLineChars="200"/>
        <w:rPr>
          <w:rFonts w:hint="eastAsia" w:ascii="仿宋" w:hAnsi="仿宋" w:eastAsia="仿宋" w:cs="仿宋"/>
          <w:b w:val="0"/>
          <w:bCs/>
          <w:color w:val="000000"/>
        </w:rPr>
      </w:pPr>
      <w:bookmarkStart w:id="80" w:name="_Toc11105"/>
      <w:r>
        <w:rPr>
          <w:rFonts w:hint="eastAsia" w:ascii="仿宋" w:hAnsi="仿宋" w:eastAsia="仿宋" w:cs="仿宋"/>
          <w:b w:val="0"/>
          <w:bCs/>
          <w:color w:val="000000"/>
        </w:rPr>
        <w:t>三、支出决算表</w:t>
      </w:r>
      <w:bookmarkEnd w:id="80"/>
    </w:p>
    <w:p w14:paraId="31EC7FA5">
      <w:pPr>
        <w:pStyle w:val="3"/>
        <w:ind w:firstLine="640" w:firstLineChars="200"/>
        <w:rPr>
          <w:rFonts w:hint="eastAsia" w:ascii="仿宋" w:hAnsi="仿宋" w:eastAsia="仿宋" w:cs="仿宋"/>
          <w:b w:val="0"/>
          <w:bCs/>
          <w:color w:val="000000"/>
        </w:rPr>
      </w:pPr>
      <w:bookmarkStart w:id="81" w:name="_Toc27798"/>
      <w:r>
        <w:rPr>
          <w:rFonts w:hint="eastAsia" w:ascii="仿宋" w:hAnsi="仿宋" w:eastAsia="仿宋" w:cs="仿宋"/>
          <w:b w:val="0"/>
          <w:bCs/>
          <w:color w:val="000000"/>
        </w:rPr>
        <w:t>四、财政拨款收入支出决算总表</w:t>
      </w:r>
      <w:bookmarkEnd w:id="81"/>
    </w:p>
    <w:p w14:paraId="4A2F30BB">
      <w:pPr>
        <w:pStyle w:val="3"/>
        <w:ind w:firstLine="640" w:firstLineChars="200"/>
        <w:rPr>
          <w:rFonts w:hint="eastAsia" w:ascii="仿宋" w:hAnsi="仿宋" w:eastAsia="仿宋" w:cs="仿宋"/>
          <w:b w:val="0"/>
          <w:bCs/>
          <w:color w:val="000000"/>
        </w:rPr>
      </w:pPr>
      <w:bookmarkStart w:id="82" w:name="_Toc18504"/>
      <w:r>
        <w:rPr>
          <w:rFonts w:hint="eastAsia" w:ascii="仿宋" w:hAnsi="仿宋" w:eastAsia="仿宋" w:cs="仿宋"/>
          <w:b w:val="0"/>
          <w:bCs/>
          <w:color w:val="000000"/>
        </w:rPr>
        <w:t>五、财政拨款支出决算明细表</w:t>
      </w:r>
      <w:bookmarkEnd w:id="82"/>
    </w:p>
    <w:p w14:paraId="712C880D">
      <w:pPr>
        <w:pStyle w:val="3"/>
        <w:ind w:firstLine="640" w:firstLineChars="200"/>
        <w:rPr>
          <w:rFonts w:hint="eastAsia" w:ascii="仿宋" w:hAnsi="仿宋" w:eastAsia="仿宋" w:cs="仿宋"/>
          <w:b w:val="0"/>
          <w:bCs/>
          <w:color w:val="000000"/>
        </w:rPr>
      </w:pPr>
      <w:bookmarkStart w:id="83" w:name="_Toc5297"/>
      <w:r>
        <w:rPr>
          <w:rFonts w:hint="eastAsia" w:ascii="仿宋" w:hAnsi="仿宋" w:eastAsia="仿宋" w:cs="仿宋"/>
          <w:b w:val="0"/>
          <w:bCs/>
          <w:color w:val="000000"/>
        </w:rPr>
        <w:t>六、一般公共预算财政拨款支出决算表</w:t>
      </w:r>
      <w:bookmarkEnd w:id="83"/>
    </w:p>
    <w:p w14:paraId="51429EF5">
      <w:pPr>
        <w:pStyle w:val="3"/>
        <w:ind w:firstLine="640" w:firstLineChars="200"/>
        <w:rPr>
          <w:rFonts w:hint="eastAsia" w:ascii="仿宋" w:hAnsi="仿宋" w:eastAsia="仿宋" w:cs="仿宋"/>
          <w:b w:val="0"/>
          <w:bCs/>
          <w:color w:val="000000"/>
        </w:rPr>
      </w:pPr>
      <w:bookmarkStart w:id="84" w:name="_Toc6314"/>
      <w:r>
        <w:rPr>
          <w:rFonts w:hint="eastAsia" w:ascii="仿宋" w:hAnsi="仿宋" w:eastAsia="仿宋" w:cs="仿宋"/>
          <w:b w:val="0"/>
          <w:bCs/>
          <w:color w:val="000000"/>
        </w:rPr>
        <w:t>七、一般公共预算财政拨款支出决算明细表</w:t>
      </w:r>
      <w:bookmarkEnd w:id="84"/>
    </w:p>
    <w:p w14:paraId="672B9B4D">
      <w:pPr>
        <w:pStyle w:val="3"/>
        <w:ind w:firstLine="640" w:firstLineChars="200"/>
        <w:rPr>
          <w:rFonts w:hint="eastAsia" w:ascii="仿宋" w:hAnsi="仿宋" w:eastAsia="仿宋" w:cs="仿宋"/>
          <w:b w:val="0"/>
          <w:bCs/>
          <w:color w:val="000000"/>
        </w:rPr>
      </w:pPr>
      <w:bookmarkStart w:id="85" w:name="_Toc31247"/>
      <w:r>
        <w:rPr>
          <w:rFonts w:hint="eastAsia" w:ascii="仿宋" w:hAnsi="仿宋" w:eastAsia="仿宋" w:cs="仿宋"/>
          <w:b w:val="0"/>
          <w:bCs/>
          <w:color w:val="000000"/>
        </w:rPr>
        <w:t>八、一般公共预算财政拨款基本支出决算表</w:t>
      </w:r>
      <w:bookmarkEnd w:id="85"/>
    </w:p>
    <w:p w14:paraId="2002A273">
      <w:pPr>
        <w:pStyle w:val="3"/>
        <w:ind w:firstLine="640" w:firstLineChars="200"/>
        <w:rPr>
          <w:rFonts w:hint="eastAsia" w:ascii="仿宋" w:hAnsi="仿宋" w:eastAsia="仿宋" w:cs="仿宋"/>
          <w:b w:val="0"/>
          <w:bCs/>
          <w:color w:val="000000"/>
        </w:rPr>
      </w:pPr>
      <w:bookmarkStart w:id="86" w:name="_Toc21283"/>
      <w:r>
        <w:rPr>
          <w:rFonts w:hint="eastAsia" w:ascii="仿宋" w:hAnsi="仿宋" w:eastAsia="仿宋" w:cs="仿宋"/>
          <w:b w:val="0"/>
          <w:bCs/>
          <w:color w:val="000000"/>
        </w:rPr>
        <w:t>九、一般公共预算财政拨款项目支出决算表</w:t>
      </w:r>
      <w:bookmarkEnd w:id="86"/>
    </w:p>
    <w:p w14:paraId="0A36D281">
      <w:pPr>
        <w:pStyle w:val="3"/>
        <w:ind w:firstLine="640" w:firstLineChars="200"/>
        <w:rPr>
          <w:rFonts w:hint="eastAsia" w:ascii="仿宋" w:hAnsi="仿宋" w:eastAsia="仿宋" w:cs="仿宋"/>
          <w:b w:val="0"/>
          <w:bCs/>
          <w:color w:val="000000"/>
        </w:rPr>
      </w:pPr>
      <w:bookmarkStart w:id="87" w:name="_Toc16529"/>
      <w:r>
        <w:rPr>
          <w:rFonts w:hint="eastAsia" w:ascii="仿宋" w:hAnsi="仿宋" w:eastAsia="仿宋" w:cs="仿宋"/>
          <w:b w:val="0"/>
          <w:bCs/>
          <w:color w:val="000000"/>
        </w:rPr>
        <w:t>十、政府性基金预算财政拨款收入支出决算表</w:t>
      </w:r>
      <w:bookmarkEnd w:id="87"/>
    </w:p>
    <w:p w14:paraId="0BD12BAB">
      <w:pPr>
        <w:pStyle w:val="3"/>
        <w:ind w:firstLine="640" w:firstLineChars="200"/>
        <w:rPr>
          <w:rFonts w:hint="eastAsia" w:ascii="仿宋" w:hAnsi="仿宋" w:eastAsia="仿宋" w:cs="仿宋"/>
          <w:b w:val="0"/>
          <w:bCs/>
          <w:color w:val="000000"/>
        </w:rPr>
      </w:pPr>
      <w:bookmarkStart w:id="88" w:name="_Toc31987"/>
      <w:r>
        <w:rPr>
          <w:rFonts w:hint="eastAsia" w:ascii="仿宋" w:hAnsi="仿宋" w:eastAsia="仿宋" w:cs="仿宋"/>
          <w:b w:val="0"/>
          <w:bCs/>
          <w:color w:val="000000"/>
        </w:rPr>
        <w:t>十一、国有资本经营预算财政拨款收入支出决算表</w:t>
      </w:r>
      <w:bookmarkEnd w:id="88"/>
    </w:p>
    <w:p w14:paraId="124CF2DF">
      <w:pPr>
        <w:pStyle w:val="3"/>
        <w:ind w:firstLine="640" w:firstLineChars="200"/>
        <w:rPr>
          <w:rFonts w:hint="eastAsia" w:ascii="仿宋" w:hAnsi="仿宋" w:eastAsia="仿宋" w:cs="仿宋"/>
          <w:b w:val="0"/>
          <w:bCs/>
          <w:color w:val="000000"/>
        </w:rPr>
      </w:pPr>
      <w:bookmarkStart w:id="89" w:name="_Toc11707"/>
      <w:r>
        <w:rPr>
          <w:rFonts w:hint="eastAsia" w:ascii="仿宋" w:hAnsi="仿宋" w:eastAsia="仿宋" w:cs="仿宋"/>
          <w:b w:val="0"/>
          <w:bCs/>
          <w:color w:val="000000"/>
        </w:rPr>
        <w:t>十二、国有资本经营预算财政拨款支出决算表</w:t>
      </w:r>
      <w:bookmarkEnd w:id="89"/>
    </w:p>
    <w:p w14:paraId="39A925A5">
      <w:pPr>
        <w:pStyle w:val="3"/>
        <w:ind w:firstLine="640" w:firstLineChars="200"/>
        <w:rPr>
          <w:rFonts w:hint="eastAsia" w:ascii="仿宋" w:hAnsi="仿宋" w:eastAsia="仿宋" w:cs="仿宋"/>
          <w:b w:val="0"/>
          <w:bCs/>
          <w:color w:val="000000"/>
        </w:rPr>
      </w:pPr>
      <w:bookmarkStart w:id="90" w:name="_Toc19920"/>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00208-38BC-4CED-AC42-8E1C3EF25D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640FF85-CED8-4A44-86E6-447C3E1DFEA7}"/>
  </w:font>
  <w:font w:name="仿宋">
    <w:panose1 w:val="02010609060101010101"/>
    <w:charset w:val="86"/>
    <w:family w:val="modern"/>
    <w:pitch w:val="default"/>
    <w:sig w:usb0="800002BF" w:usb1="38CF7CFA" w:usb2="00000016" w:usb3="00000000" w:csb0="00040001" w:csb1="00000000"/>
    <w:embedRegular r:id="rId3" w:fontKey="{2C9EA239-8B75-450D-AE97-AE132349B9C4}"/>
  </w:font>
  <w:font w:name="思源黑体 CN Normal">
    <w:altName w:val="黑体"/>
    <w:panose1 w:val="020B0400000000000000"/>
    <w:charset w:val="86"/>
    <w:family w:val="auto"/>
    <w:pitch w:val="default"/>
    <w:sig w:usb0="00000000" w:usb1="00000000" w:usb2="00000016" w:usb3="00000000" w:csb0="60060107" w:csb1="00000000"/>
    <w:embedRegular r:id="rId4" w:fontKey="{B4F50B05-8897-4FBA-8346-1DF444510482}"/>
  </w:font>
  <w:font w:name="方正小标宋简体">
    <w:panose1 w:val="03000509000000000000"/>
    <w:charset w:val="86"/>
    <w:family w:val="auto"/>
    <w:pitch w:val="default"/>
    <w:sig w:usb0="00000001" w:usb1="080E0000" w:usb2="00000000" w:usb3="00000000" w:csb0="00040000" w:csb1="00000000"/>
    <w:embedRegular r:id="rId5" w:fontKey="{7A8DB10A-7C99-467D-BE65-133FF82F8B2C}"/>
  </w:font>
  <w:font w:name="微软雅黑">
    <w:panose1 w:val="020B0503020204020204"/>
    <w:charset w:val="86"/>
    <w:family w:val="auto"/>
    <w:pitch w:val="default"/>
    <w:sig w:usb0="80000287" w:usb1="280F3C52" w:usb2="00000016" w:usb3="00000000" w:csb0="0004001F" w:csb1="00000000"/>
    <w:embedRegular r:id="rId6" w:fontKey="{31BA03EE-0E4C-4748-A937-8E7900EC55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3E3F2"/>
    <w:multiLevelType w:val="singleLevel"/>
    <w:tmpl w:val="8EE3E3F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YjYyYjJhZDA1YjZjODUzOWZkNWEwZWZlMjE0Y2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04"/>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0B0B"/>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9361CA"/>
    <w:rsid w:val="03F359AA"/>
    <w:rsid w:val="045647CC"/>
    <w:rsid w:val="0463543B"/>
    <w:rsid w:val="048D6B52"/>
    <w:rsid w:val="04A56E6E"/>
    <w:rsid w:val="04D45254"/>
    <w:rsid w:val="04D550AF"/>
    <w:rsid w:val="051A6F96"/>
    <w:rsid w:val="052B1173"/>
    <w:rsid w:val="05C25E8C"/>
    <w:rsid w:val="06951176"/>
    <w:rsid w:val="07001BE1"/>
    <w:rsid w:val="07267DE7"/>
    <w:rsid w:val="076F59D4"/>
    <w:rsid w:val="088F55D5"/>
    <w:rsid w:val="089C4B49"/>
    <w:rsid w:val="09081517"/>
    <w:rsid w:val="091B747D"/>
    <w:rsid w:val="092E626A"/>
    <w:rsid w:val="09A572B6"/>
    <w:rsid w:val="0A19737C"/>
    <w:rsid w:val="0AED49F2"/>
    <w:rsid w:val="0B7218AA"/>
    <w:rsid w:val="0B99373B"/>
    <w:rsid w:val="0B996E37"/>
    <w:rsid w:val="0BA37CB5"/>
    <w:rsid w:val="0BFE67EC"/>
    <w:rsid w:val="0D0429D6"/>
    <w:rsid w:val="0D093B48"/>
    <w:rsid w:val="0D322E51"/>
    <w:rsid w:val="0D6C338E"/>
    <w:rsid w:val="0DB37F58"/>
    <w:rsid w:val="0E6D2010"/>
    <w:rsid w:val="0EC00B7E"/>
    <w:rsid w:val="0F5E6610"/>
    <w:rsid w:val="0F815B3A"/>
    <w:rsid w:val="0FB52B86"/>
    <w:rsid w:val="0FDB629D"/>
    <w:rsid w:val="0FFD0B0D"/>
    <w:rsid w:val="103747CF"/>
    <w:rsid w:val="103F4D68"/>
    <w:rsid w:val="10C055FF"/>
    <w:rsid w:val="10F93ED3"/>
    <w:rsid w:val="116A6D7C"/>
    <w:rsid w:val="11761AF6"/>
    <w:rsid w:val="11851C0B"/>
    <w:rsid w:val="11D56DF6"/>
    <w:rsid w:val="11ED6591"/>
    <w:rsid w:val="11F85D8C"/>
    <w:rsid w:val="13257202"/>
    <w:rsid w:val="13367661"/>
    <w:rsid w:val="136F089E"/>
    <w:rsid w:val="13D81ACD"/>
    <w:rsid w:val="14D728AA"/>
    <w:rsid w:val="15F1786F"/>
    <w:rsid w:val="1665477F"/>
    <w:rsid w:val="16BB723D"/>
    <w:rsid w:val="17283764"/>
    <w:rsid w:val="173E6517"/>
    <w:rsid w:val="17BC7656"/>
    <w:rsid w:val="17CB1052"/>
    <w:rsid w:val="17EA348C"/>
    <w:rsid w:val="181C0856"/>
    <w:rsid w:val="1840212F"/>
    <w:rsid w:val="184656CF"/>
    <w:rsid w:val="193C261A"/>
    <w:rsid w:val="19934117"/>
    <w:rsid w:val="19943114"/>
    <w:rsid w:val="19C93D7D"/>
    <w:rsid w:val="19DE22C0"/>
    <w:rsid w:val="1AB026BC"/>
    <w:rsid w:val="1ABB32B6"/>
    <w:rsid w:val="1B787B60"/>
    <w:rsid w:val="1BD758E1"/>
    <w:rsid w:val="1BF70747"/>
    <w:rsid w:val="1C06153F"/>
    <w:rsid w:val="1C986C96"/>
    <w:rsid w:val="1D7371C3"/>
    <w:rsid w:val="1DA90A2F"/>
    <w:rsid w:val="1DDC2BB3"/>
    <w:rsid w:val="1E34479D"/>
    <w:rsid w:val="1EF81F78"/>
    <w:rsid w:val="1F620905"/>
    <w:rsid w:val="1FD12B34"/>
    <w:rsid w:val="201A6AB0"/>
    <w:rsid w:val="203B66A0"/>
    <w:rsid w:val="20653333"/>
    <w:rsid w:val="206D278F"/>
    <w:rsid w:val="211A679A"/>
    <w:rsid w:val="21253DA0"/>
    <w:rsid w:val="2205092A"/>
    <w:rsid w:val="22857975"/>
    <w:rsid w:val="23902475"/>
    <w:rsid w:val="23FA0B3C"/>
    <w:rsid w:val="240371BF"/>
    <w:rsid w:val="24262DDA"/>
    <w:rsid w:val="2435534E"/>
    <w:rsid w:val="244017F7"/>
    <w:rsid w:val="24534F10"/>
    <w:rsid w:val="247A0C0C"/>
    <w:rsid w:val="24DF6C66"/>
    <w:rsid w:val="253D03DB"/>
    <w:rsid w:val="253F66D1"/>
    <w:rsid w:val="25A20B86"/>
    <w:rsid w:val="25B1070F"/>
    <w:rsid w:val="25DD571A"/>
    <w:rsid w:val="265C1D1F"/>
    <w:rsid w:val="26BB36DB"/>
    <w:rsid w:val="26D44D6F"/>
    <w:rsid w:val="271C5A93"/>
    <w:rsid w:val="276F1834"/>
    <w:rsid w:val="27B459F9"/>
    <w:rsid w:val="27C51E91"/>
    <w:rsid w:val="280173B2"/>
    <w:rsid w:val="28513369"/>
    <w:rsid w:val="28BF6D42"/>
    <w:rsid w:val="28C822A0"/>
    <w:rsid w:val="292E058E"/>
    <w:rsid w:val="29FD04D3"/>
    <w:rsid w:val="2AD75F75"/>
    <w:rsid w:val="2B5112F0"/>
    <w:rsid w:val="2C1E1BB4"/>
    <w:rsid w:val="2CAE1BBE"/>
    <w:rsid w:val="2CCF04B2"/>
    <w:rsid w:val="2DF079DB"/>
    <w:rsid w:val="2E4C04E0"/>
    <w:rsid w:val="2E67588F"/>
    <w:rsid w:val="2F215FAE"/>
    <w:rsid w:val="2F803D16"/>
    <w:rsid w:val="2FF22B1D"/>
    <w:rsid w:val="30154E80"/>
    <w:rsid w:val="30CB71E3"/>
    <w:rsid w:val="30E36C85"/>
    <w:rsid w:val="31810DA9"/>
    <w:rsid w:val="31903F88"/>
    <w:rsid w:val="319F7F4E"/>
    <w:rsid w:val="31B72CAD"/>
    <w:rsid w:val="32004B5E"/>
    <w:rsid w:val="323A1C2F"/>
    <w:rsid w:val="329448A6"/>
    <w:rsid w:val="32F45598"/>
    <w:rsid w:val="32FA5D01"/>
    <w:rsid w:val="33204932"/>
    <w:rsid w:val="33447C07"/>
    <w:rsid w:val="33F209AC"/>
    <w:rsid w:val="345D075E"/>
    <w:rsid w:val="35244754"/>
    <w:rsid w:val="35F20D39"/>
    <w:rsid w:val="361C390A"/>
    <w:rsid w:val="364D41F6"/>
    <w:rsid w:val="36FD0156"/>
    <w:rsid w:val="38207F4E"/>
    <w:rsid w:val="38F8371D"/>
    <w:rsid w:val="39226F5F"/>
    <w:rsid w:val="39902098"/>
    <w:rsid w:val="399860D0"/>
    <w:rsid w:val="39FD5F33"/>
    <w:rsid w:val="3A3A0F35"/>
    <w:rsid w:val="3A4E1148"/>
    <w:rsid w:val="3AAC3BE1"/>
    <w:rsid w:val="3AF15A98"/>
    <w:rsid w:val="3C5A58BF"/>
    <w:rsid w:val="3C8D2F9D"/>
    <w:rsid w:val="3CCD6091"/>
    <w:rsid w:val="3CE0510E"/>
    <w:rsid w:val="3D0E3B71"/>
    <w:rsid w:val="3D1927CA"/>
    <w:rsid w:val="3D1E4B3E"/>
    <w:rsid w:val="3D6F2272"/>
    <w:rsid w:val="3D8344ED"/>
    <w:rsid w:val="3DC456E6"/>
    <w:rsid w:val="3E03620E"/>
    <w:rsid w:val="3E343C22"/>
    <w:rsid w:val="3F512FA9"/>
    <w:rsid w:val="3F7C601F"/>
    <w:rsid w:val="3FAC4683"/>
    <w:rsid w:val="3FEA5DFB"/>
    <w:rsid w:val="40035B02"/>
    <w:rsid w:val="401C35B7"/>
    <w:rsid w:val="4119235A"/>
    <w:rsid w:val="41677310"/>
    <w:rsid w:val="422C2C46"/>
    <w:rsid w:val="4251506E"/>
    <w:rsid w:val="42B75819"/>
    <w:rsid w:val="43684120"/>
    <w:rsid w:val="444F07DA"/>
    <w:rsid w:val="44601E28"/>
    <w:rsid w:val="469F0508"/>
    <w:rsid w:val="46A96376"/>
    <w:rsid w:val="47240FA3"/>
    <w:rsid w:val="472E4611"/>
    <w:rsid w:val="475E72DC"/>
    <w:rsid w:val="47BF0E32"/>
    <w:rsid w:val="47F514AF"/>
    <w:rsid w:val="4839282C"/>
    <w:rsid w:val="4882425F"/>
    <w:rsid w:val="48FD75BD"/>
    <w:rsid w:val="49243056"/>
    <w:rsid w:val="494C4A06"/>
    <w:rsid w:val="4A104F60"/>
    <w:rsid w:val="4A113668"/>
    <w:rsid w:val="4A3F3993"/>
    <w:rsid w:val="4A745623"/>
    <w:rsid w:val="4AC05487"/>
    <w:rsid w:val="4B187071"/>
    <w:rsid w:val="4B2B2DCB"/>
    <w:rsid w:val="4B6A5BC2"/>
    <w:rsid w:val="4B6D2BD3"/>
    <w:rsid w:val="4C7555EC"/>
    <w:rsid w:val="4D054C95"/>
    <w:rsid w:val="4D135D42"/>
    <w:rsid w:val="4D846266"/>
    <w:rsid w:val="4D8D78A2"/>
    <w:rsid w:val="4DF123A8"/>
    <w:rsid w:val="4E290981"/>
    <w:rsid w:val="4E832A53"/>
    <w:rsid w:val="4E9E44C2"/>
    <w:rsid w:val="4EBC1A30"/>
    <w:rsid w:val="4F121BEE"/>
    <w:rsid w:val="4F395B30"/>
    <w:rsid w:val="4F3B530F"/>
    <w:rsid w:val="4F6F7A34"/>
    <w:rsid w:val="4FAD0046"/>
    <w:rsid w:val="4FD74194"/>
    <w:rsid w:val="4FDA49F5"/>
    <w:rsid w:val="50AE413E"/>
    <w:rsid w:val="51E1640E"/>
    <w:rsid w:val="51EE42CA"/>
    <w:rsid w:val="52195E38"/>
    <w:rsid w:val="52302EF2"/>
    <w:rsid w:val="524A4B6E"/>
    <w:rsid w:val="526E48F5"/>
    <w:rsid w:val="527F3531"/>
    <w:rsid w:val="5288688A"/>
    <w:rsid w:val="52ED6284"/>
    <w:rsid w:val="5322283B"/>
    <w:rsid w:val="532B0C13"/>
    <w:rsid w:val="53977EA8"/>
    <w:rsid w:val="53BA6F17"/>
    <w:rsid w:val="53BE2B80"/>
    <w:rsid w:val="54136CE6"/>
    <w:rsid w:val="541505F1"/>
    <w:rsid w:val="54992FD0"/>
    <w:rsid w:val="556F364F"/>
    <w:rsid w:val="55872E29"/>
    <w:rsid w:val="558F27AF"/>
    <w:rsid w:val="55E77D6B"/>
    <w:rsid w:val="56D0674C"/>
    <w:rsid w:val="57D23F06"/>
    <w:rsid w:val="58BA52C3"/>
    <w:rsid w:val="58BC5D23"/>
    <w:rsid w:val="59177DCC"/>
    <w:rsid w:val="59E040FC"/>
    <w:rsid w:val="59E11CD3"/>
    <w:rsid w:val="5A014C2F"/>
    <w:rsid w:val="5A680F7C"/>
    <w:rsid w:val="5A857BDE"/>
    <w:rsid w:val="5A96375B"/>
    <w:rsid w:val="5B2A4567"/>
    <w:rsid w:val="5BE202EA"/>
    <w:rsid w:val="5CE95B0C"/>
    <w:rsid w:val="5CFA7F1D"/>
    <w:rsid w:val="5D577E65"/>
    <w:rsid w:val="5D6F6B2F"/>
    <w:rsid w:val="5DA36C6E"/>
    <w:rsid w:val="5DCD3CEB"/>
    <w:rsid w:val="5E2506F8"/>
    <w:rsid w:val="5E5E7F75"/>
    <w:rsid w:val="5EA316D6"/>
    <w:rsid w:val="5ECE1AC8"/>
    <w:rsid w:val="5EF556B7"/>
    <w:rsid w:val="5F3A07D2"/>
    <w:rsid w:val="5F593A88"/>
    <w:rsid w:val="5FE356D0"/>
    <w:rsid w:val="5FF901AE"/>
    <w:rsid w:val="60651EAC"/>
    <w:rsid w:val="60BB3927"/>
    <w:rsid w:val="6200749A"/>
    <w:rsid w:val="620F0B35"/>
    <w:rsid w:val="62302AF9"/>
    <w:rsid w:val="6240022D"/>
    <w:rsid w:val="62A42EE2"/>
    <w:rsid w:val="62F14F12"/>
    <w:rsid w:val="630D013F"/>
    <w:rsid w:val="63203AB1"/>
    <w:rsid w:val="63347FC4"/>
    <w:rsid w:val="63604CB9"/>
    <w:rsid w:val="64A36D0B"/>
    <w:rsid w:val="64C656C1"/>
    <w:rsid w:val="64F77166"/>
    <w:rsid w:val="65201386"/>
    <w:rsid w:val="657F4183"/>
    <w:rsid w:val="658466A7"/>
    <w:rsid w:val="6596487B"/>
    <w:rsid w:val="65DF63C9"/>
    <w:rsid w:val="662A7F2C"/>
    <w:rsid w:val="66627873"/>
    <w:rsid w:val="66D65FFA"/>
    <w:rsid w:val="66DE2AC5"/>
    <w:rsid w:val="67C24194"/>
    <w:rsid w:val="67EB36EB"/>
    <w:rsid w:val="68DA2DB6"/>
    <w:rsid w:val="68F55EA4"/>
    <w:rsid w:val="69725134"/>
    <w:rsid w:val="6B4666B6"/>
    <w:rsid w:val="6BB306BC"/>
    <w:rsid w:val="6BE125C5"/>
    <w:rsid w:val="6C472EBA"/>
    <w:rsid w:val="6C7A7069"/>
    <w:rsid w:val="6CC85DA9"/>
    <w:rsid w:val="6D2A5F93"/>
    <w:rsid w:val="6D8F2D6B"/>
    <w:rsid w:val="6DB91990"/>
    <w:rsid w:val="6DC31436"/>
    <w:rsid w:val="6DEF7874"/>
    <w:rsid w:val="6E6F4E2B"/>
    <w:rsid w:val="6E955AEB"/>
    <w:rsid w:val="6ECB49CF"/>
    <w:rsid w:val="6ECB5A2B"/>
    <w:rsid w:val="6F806E0F"/>
    <w:rsid w:val="6FB22D40"/>
    <w:rsid w:val="70202A42"/>
    <w:rsid w:val="70ED3F4C"/>
    <w:rsid w:val="718D37CA"/>
    <w:rsid w:val="72227D09"/>
    <w:rsid w:val="72275320"/>
    <w:rsid w:val="72E476B5"/>
    <w:rsid w:val="72F22338"/>
    <w:rsid w:val="73327580"/>
    <w:rsid w:val="733572FD"/>
    <w:rsid w:val="73BE3A62"/>
    <w:rsid w:val="7428537F"/>
    <w:rsid w:val="746C7E4B"/>
    <w:rsid w:val="750E6C6B"/>
    <w:rsid w:val="755E374E"/>
    <w:rsid w:val="75884CEA"/>
    <w:rsid w:val="75B310E7"/>
    <w:rsid w:val="75B318F4"/>
    <w:rsid w:val="761A4623"/>
    <w:rsid w:val="76377F56"/>
    <w:rsid w:val="764B35A7"/>
    <w:rsid w:val="769E6A57"/>
    <w:rsid w:val="76C81929"/>
    <w:rsid w:val="773B1DDE"/>
    <w:rsid w:val="77B238DE"/>
    <w:rsid w:val="78A4106B"/>
    <w:rsid w:val="79975481"/>
    <w:rsid w:val="79B4511D"/>
    <w:rsid w:val="79BC33BA"/>
    <w:rsid w:val="79F60BE5"/>
    <w:rsid w:val="7A1B4027"/>
    <w:rsid w:val="7A965738"/>
    <w:rsid w:val="7ABC1C9C"/>
    <w:rsid w:val="7B022DCE"/>
    <w:rsid w:val="7B0A48FB"/>
    <w:rsid w:val="7B272834"/>
    <w:rsid w:val="7B3A68A5"/>
    <w:rsid w:val="7B8F71DF"/>
    <w:rsid w:val="7C1568F9"/>
    <w:rsid w:val="7CB2612E"/>
    <w:rsid w:val="7CC25607"/>
    <w:rsid w:val="7D0B2EFC"/>
    <w:rsid w:val="7DE859ED"/>
    <w:rsid w:val="7E4C610E"/>
    <w:rsid w:val="7ECA59B1"/>
    <w:rsid w:val="7F09108F"/>
    <w:rsid w:val="7FB83A5B"/>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rPr>
      <w:sz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3"/>
    <w:semiHidden/>
    <w:qFormat/>
    <w:locked/>
    <w:uiPriority w:val="99"/>
    <w:rPr>
      <w:sz w:val="18"/>
    </w:rPr>
  </w:style>
  <w:style w:type="character" w:customStyle="1" w:styleId="28">
    <w:name w:val="Footer Char"/>
    <w:basedOn w:val="21"/>
    <w:autoRedefine/>
    <w:semiHidden/>
    <w:qFormat/>
    <w:uiPriority w:val="99"/>
    <w:rPr>
      <w:rFonts w:ascii="Times New Roman" w:hAnsi="Times New Roman"/>
      <w:sz w:val="18"/>
      <w:szCs w:val="18"/>
    </w:rPr>
  </w:style>
  <w:style w:type="character" w:customStyle="1" w:styleId="29">
    <w:name w:val="页脚 字符"/>
    <w:link w:val="12"/>
    <w:autoRedefine/>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7"/>
    <w:qFormat/>
    <w:locked/>
    <w:uiPriority w:val="99"/>
    <w:rPr>
      <w:rFonts w:ascii="仿宋_GB2312" w:hAnsi="Times New Roman" w:eastAsia="仿宋_GB2312"/>
      <w:sz w:val="24"/>
    </w:rPr>
  </w:style>
  <w:style w:type="paragraph" w:styleId="32">
    <w:name w:val="List Paragraph"/>
    <w:basedOn w:val="1"/>
    <w:autoRedefine/>
    <w:qFormat/>
    <w:uiPriority w:val="34"/>
    <w:pPr>
      <w:ind w:firstLine="420" w:firstLineChars="200"/>
    </w:pPr>
  </w:style>
  <w:style w:type="character" w:customStyle="1" w:styleId="33">
    <w:name w:val="标题 1 字符"/>
    <w:basedOn w:val="21"/>
    <w:link w:val="2"/>
    <w:qFormat/>
    <w:uiPriority w:val="9"/>
    <w:rPr>
      <w:rFonts w:ascii="Times New Roman" w:hAnsi="Times New Roman"/>
      <w:b/>
      <w:bCs/>
      <w:kern w:val="44"/>
      <w:sz w:val="44"/>
      <w:szCs w:val="44"/>
    </w:rPr>
  </w:style>
  <w:style w:type="character" w:customStyle="1" w:styleId="34">
    <w:name w:val="标题 2 字符"/>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1"/>
    <w:autoRedefine/>
    <w:semiHidden/>
    <w:qFormat/>
    <w:uiPriority w:val="99"/>
    <w:rPr>
      <w:rFonts w:ascii="Times New Roman" w:hAnsi="Times New Roman"/>
      <w:kern w:val="2"/>
      <w:sz w:val="18"/>
      <w:szCs w:val="18"/>
    </w:rPr>
  </w:style>
  <w:style w:type="character" w:customStyle="1" w:styleId="37">
    <w:name w:val="标题 3 字符"/>
    <w:basedOn w:val="21"/>
    <w:link w:val="4"/>
    <w:autoRedefine/>
    <w:qFormat/>
    <w:uiPriority w:val="9"/>
    <w:rPr>
      <w:rFonts w:ascii="Times New Roman" w:hAnsi="Times New Roman"/>
      <w:b/>
      <w:bCs/>
      <w:kern w:val="2"/>
      <w:sz w:val="32"/>
      <w:szCs w:val="32"/>
    </w:rPr>
  </w:style>
  <w:style w:type="character" w:customStyle="1" w:styleId="38">
    <w:name w:val="标题 1 Char"/>
    <w:basedOn w:val="2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{148.48}</c:f>
              <c:numCache>
                <c:formatCode>General</c:formatCode>
                <c:ptCount val="1"/>
                <c:pt idx="0">
                  <c:v>148.48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de660e23-46d7-4e8b-839d-d906e43da00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86.28</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13.72</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{128.48,20}</c:f>
              <c:numCache>
                <c:formatCode>General</c:formatCode>
                <c:ptCount val="2"/>
                <c:pt idx="0">
                  <c:v>128.48</c:v>
                </c:pt>
                <c:pt idx="1">
                  <c:v>20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56f3afa2-9d61-466d-a2e3-6881a61578bd}"/>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00362406378352259"/>
          <c:y val="0.2299192520187"/>
          <c:w val="0.946847064508335"/>
          <c:h val="0.638631534211645"/>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148.48万元</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2024年度</c:v>
                </c:pt>
              </c:strCache>
            </c:strRef>
          </c:cat>
          <c:val>
            <c:numRef>
              <c:f>Sheet1!$B$2:$B$3</c:f>
              <c:numCache>
                <c:formatCode>General</c:formatCode>
                <c:ptCount val="2"/>
                <c:pt idx="0">
                  <c:v>148.48</c:v>
                </c:pt>
              </c:numCache>
            </c:numRef>
          </c:val>
        </c:ser>
        <c:ser>
          <c:idx val="1"/>
          <c:order val="1"/>
          <c:tx>
            <c:strRef>
              <c:f>Sheet1!$C$1</c:f>
              <c:strCache>
                <c:ptCount val="1"/>
                <c:pt idx="0">
                  <c:v>2024</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151.57万元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2024年度</c:v>
                </c:pt>
              </c:strCache>
            </c:strRef>
          </c:cat>
          <c:val>
            <c:numRef>
              <c:f>Sheet1!$C$2:$C$3</c:f>
              <c:numCache>
                <c:formatCode>General</c:formatCode>
                <c:ptCount val="2"/>
                <c:pt idx="1">
                  <c:v>151.57</c:v>
                </c:pt>
              </c:numCache>
            </c:numRef>
          </c:val>
        </c:ser>
        <c:dLbls>
          <c:showLegendKey val="0"/>
          <c:showVal val="1"/>
          <c:showCatName val="0"/>
          <c:showSerName val="0"/>
          <c:showPercent val="0"/>
          <c:showBubbleSize val="0"/>
        </c:dLbls>
        <c:gapWidth val="260"/>
        <c:overlap val="-32"/>
        <c:axId val="836155461"/>
        <c:axId val="126320180"/>
      </c:barChart>
      <c:catAx>
        <c:axId val="836155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320180"/>
        <c:crosses val="autoZero"/>
        <c:auto val="1"/>
        <c:lblAlgn val="ctr"/>
        <c:lblOffset val="100"/>
        <c:noMultiLvlLbl val="0"/>
      </c:catAx>
      <c:valAx>
        <c:axId val="12632018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15546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921e1-0e32-4dfb-81b4-3ea58870b6a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115.22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18.46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8.12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9.77</a:t>
                    </a:r>
                    <a:endParaRPr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{"文化旅游体育与传媒支出","社会保障和就业支出","卫生健康支出","住房保障支出"}</c:f>
              <c:strCache>
                <c:ptCount val="4"/>
                <c:pt idx="0">
                  <c:v>文化旅游体育与传媒支出</c:v>
                </c:pt>
                <c:pt idx="1">
                  <c:v>社会保障和就业支出</c:v>
                </c:pt>
                <c:pt idx="2">
                  <c:v>卫生健康支出</c:v>
                </c:pt>
                <c:pt idx="3">
                  <c:v>住房保障支出</c:v>
                </c:pt>
              </c:strCache>
            </c:strRef>
          </c:cat>
          <c:val>
            <c:numRef>
              <c:f>{113.93,17.77,7.85,8.93}</c:f>
              <c:numCache>
                <c:formatCode>General</c:formatCode>
                <c:ptCount val="4"/>
                <c:pt idx="0">
                  <c:v>113.93</c:v>
                </c:pt>
                <c:pt idx="1">
                  <c:v>17.77</c:v>
                </c:pt>
                <c:pt idx="2">
                  <c:v>7.85</c:v>
                </c:pt>
                <c:pt idx="3">
                  <c:v>8.93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cdb2661-6923-4928-b26e-ed3b8cfb7a9f}"/>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manualLayout>
          <c:layoutTarget val="inner"/>
          <c:xMode val="edge"/>
          <c:yMode val="edge"/>
          <c:x val="0.111974940334129"/>
          <c:y val="0.126950542184607"/>
          <c:w val="0.35480906921241"/>
          <c:h val="0.629103411795821"/>
        </c:manualLayout>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820c94e-119f-45dc-b905-e37e19022ace}"/>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3837</Words>
  <Characters>4387</Characters>
  <Lines>1</Lines>
  <Paragraphs>1</Paragraphs>
  <TotalTime>3</TotalTime>
  <ScaleCrop>false</ScaleCrop>
  <LinksUpToDate>false</LinksUpToDate>
  <CharactersWithSpaces>4483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夙兴夜寐1384218829</cp:lastModifiedBy>
  <cp:lastPrinted>2021-09-26T08:39:00Z</cp:lastPrinted>
  <dcterms:modified xsi:type="dcterms:W3CDTF">2025-09-29T09:27:32Z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1299D18951BE410493814C5A7EEFB11E_13</vt:lpwstr>
  </property>
  <property fmtid="{D5CDD505-2E9C-101B-9397-08002B2CF9AE}" pid="4" name="KSOTemplateDocerSaveRecord">
    <vt:lpwstr>eyJoZGlkIjoiNjFkZDRhZjFiYzUxNzI5MGRmZjM3OGY2MWE5MGUxYjEiLCJ1c2VySWQiOiI3NzE1NDc5In0=</vt:lpwstr>
  </property>
</Properties>
</file>