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茂县博物馆</w:t>
      </w:r>
    </w:p>
    <w:p>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jc w:val="center"/>
        <w:rPr>
          <w:rFonts w:hint="default" w:eastAsia="黑体"/>
          <w:lang w:val="en-US" w:eastAsia="zh-CN"/>
        </w:rPr>
      </w:pPr>
      <w:r>
        <w:rPr>
          <w:rFonts w:hint="eastAsia" w:ascii="黑体" w:eastAsia="黑体"/>
          <w:sz w:val="36"/>
          <w:szCs w:val="36"/>
          <w:lang w:val="en-US" w:eastAsia="zh-CN"/>
        </w:rPr>
        <w:t>2026年4月3日</w:t>
      </w: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ind w:firstLine="3120" w:firstLineChars="600"/>
        <w:rPr>
          <w:rFonts w:hint="eastAsia" w:ascii="黑体" w:hAnsi="黑体" w:eastAsia="黑体"/>
          <w:sz w:val="52"/>
          <w:szCs w:val="52"/>
        </w:rPr>
      </w:pPr>
      <w:r>
        <w:rPr>
          <w:rFonts w:hint="eastAsia" w:ascii="黑体" w:hAnsi="黑体" w:eastAsia="黑体"/>
          <w:sz w:val="52"/>
          <w:szCs w:val="52"/>
        </w:rPr>
        <w:t>目录</w:t>
      </w:r>
    </w:p>
    <w:p>
      <w:pPr>
        <w:ind w:firstLine="3080" w:firstLineChars="700"/>
        <w:rPr>
          <w:rFonts w:hint="eastAsia" w:ascii="黑体" w:hAnsi="黑体" w:eastAsia="黑体"/>
          <w:sz w:val="44"/>
          <w:szCs w:val="44"/>
        </w:rPr>
      </w:pPr>
    </w:p>
    <w:p>
      <w:pPr>
        <w:pStyle w:val="12"/>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pPr>
        <w:rPr>
          <w:rFonts w:hint="eastAsia" w:ascii="楷体_GB2312" w:hAnsi="楷体" w:eastAsia="楷体_GB2312"/>
          <w:sz w:val="32"/>
          <w:szCs w:val="32"/>
        </w:rPr>
      </w:pPr>
      <w:r>
        <w:rPr>
          <w:rFonts w:hint="eastAsia" w:ascii="楷体_GB2312" w:hAnsi="楷体" w:eastAsia="楷体_GB2312"/>
          <w:sz w:val="32"/>
          <w:szCs w:val="32"/>
        </w:rPr>
        <w:t>（一）部门职能简介</w:t>
      </w:r>
    </w:p>
    <w:p>
      <w:pPr>
        <w:rPr>
          <w:rFonts w:hint="eastAsia"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hint="eastAsia" w:ascii="黑体" w:hAnsi="黑体" w:eastAsia="黑体"/>
          <w:sz w:val="32"/>
          <w:szCs w:val="32"/>
        </w:rPr>
      </w:pPr>
      <w:r>
        <w:rPr>
          <w:rFonts w:hint="eastAsia" w:ascii="黑体" w:hAnsi="黑体" w:eastAsia="黑体"/>
          <w:sz w:val="32"/>
          <w:szCs w:val="32"/>
        </w:rPr>
        <w:t>二、部门预算单位构成</w:t>
      </w:r>
    </w:p>
    <w:p>
      <w:pPr>
        <w:rPr>
          <w:rFonts w:hint="eastAsia" w:ascii="黑体" w:hAnsi="黑体" w:eastAsia="黑体"/>
          <w:sz w:val="32"/>
          <w:szCs w:val="32"/>
        </w:rPr>
      </w:pPr>
      <w:r>
        <w:rPr>
          <w:rFonts w:hint="eastAsia" w:ascii="黑体" w:hAnsi="黑体" w:eastAsia="黑体"/>
          <w:sz w:val="32"/>
          <w:szCs w:val="32"/>
        </w:rPr>
        <w:t>三、收支预算情况说明</w:t>
      </w:r>
    </w:p>
    <w:p>
      <w:pPr>
        <w:rPr>
          <w:rFonts w:hint="eastAsia" w:ascii="楷体_GB2312" w:hAnsi="楷体" w:eastAsia="楷体_GB2312"/>
          <w:sz w:val="32"/>
          <w:szCs w:val="32"/>
        </w:rPr>
      </w:pPr>
      <w:r>
        <w:rPr>
          <w:rFonts w:hint="eastAsia" w:ascii="楷体_GB2312" w:hAnsi="楷体" w:eastAsia="楷体_GB2312"/>
          <w:sz w:val="32"/>
          <w:szCs w:val="32"/>
        </w:rPr>
        <w:t>（一）收入预算情况</w:t>
      </w:r>
    </w:p>
    <w:p>
      <w:pPr>
        <w:rPr>
          <w:rFonts w:hint="eastAsia" w:ascii="楷体_GB2312" w:hAnsi="楷体" w:eastAsia="楷体_GB2312"/>
          <w:sz w:val="32"/>
          <w:szCs w:val="32"/>
        </w:rPr>
      </w:pPr>
      <w:r>
        <w:rPr>
          <w:rFonts w:hint="eastAsia" w:ascii="楷体_GB2312" w:hAnsi="楷体" w:eastAsia="楷体_GB2312"/>
          <w:sz w:val="32"/>
          <w:szCs w:val="32"/>
        </w:rPr>
        <w:t>（二）支出预算情况</w:t>
      </w:r>
    </w:p>
    <w:p>
      <w:pPr>
        <w:rPr>
          <w:rFonts w:hint="eastAsia" w:ascii="黑体" w:hAnsi="黑体" w:eastAsia="黑体"/>
          <w:sz w:val="32"/>
          <w:szCs w:val="32"/>
        </w:rPr>
      </w:pPr>
      <w:r>
        <w:rPr>
          <w:rFonts w:hint="eastAsia" w:ascii="黑体" w:hAnsi="黑体" w:eastAsia="黑体"/>
          <w:sz w:val="32"/>
          <w:szCs w:val="32"/>
        </w:rPr>
        <w:t>四、财政拨款收支预算情况说明</w:t>
      </w:r>
    </w:p>
    <w:p>
      <w:pPr>
        <w:rPr>
          <w:rFonts w:hint="eastAsia"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rPr>
      </w:pPr>
      <w:r>
        <w:rPr>
          <w:rFonts w:hint="eastAsia" w:ascii="黑体" w:hAnsi="黑体" w:eastAsia="黑体"/>
          <w:sz w:val="32"/>
          <w:szCs w:val="32"/>
        </w:rPr>
        <w:t>六、一般公共预算基本支出情况说明</w:t>
      </w:r>
    </w:p>
    <w:p>
      <w:pPr>
        <w:rPr>
          <w:rFonts w:hint="eastAsia" w:ascii="黑体" w:hAnsi="黑体" w:eastAsia="黑体"/>
          <w:sz w:val="32"/>
          <w:szCs w:val="32"/>
        </w:rPr>
      </w:pPr>
      <w:r>
        <w:rPr>
          <w:rFonts w:hint="eastAsia" w:ascii="黑体" w:hAnsi="黑体" w:eastAsia="黑体"/>
          <w:sz w:val="32"/>
          <w:szCs w:val="32"/>
        </w:rPr>
        <w:t>七、“三公”经费财政拨款预算安排情况说明</w:t>
      </w:r>
    </w:p>
    <w:p>
      <w:pPr>
        <w:rPr>
          <w:rFonts w:hint="eastAsia" w:ascii="黑体" w:hAnsi="黑体" w:eastAsia="黑体"/>
          <w:sz w:val="32"/>
          <w:szCs w:val="32"/>
        </w:rPr>
      </w:pPr>
      <w:r>
        <w:rPr>
          <w:rFonts w:hint="eastAsia" w:ascii="黑体" w:hAnsi="黑体" w:eastAsia="黑体"/>
          <w:sz w:val="32"/>
          <w:szCs w:val="32"/>
        </w:rPr>
        <w:t>八、政府性基金预算支出情况说明</w:t>
      </w:r>
    </w:p>
    <w:p>
      <w:pPr>
        <w:rPr>
          <w:rFonts w:hint="eastAsia" w:ascii="黑体" w:hAnsi="黑体" w:eastAsia="黑体"/>
          <w:sz w:val="32"/>
          <w:szCs w:val="32"/>
        </w:rPr>
      </w:pPr>
      <w:r>
        <w:rPr>
          <w:rFonts w:hint="eastAsia" w:ascii="黑体" w:hAnsi="黑体" w:eastAsia="黑体"/>
          <w:sz w:val="32"/>
          <w:szCs w:val="32"/>
        </w:rPr>
        <w:t>九、其他重要事项的情况说明</w:t>
      </w:r>
    </w:p>
    <w:p>
      <w:pPr>
        <w:rPr>
          <w:rFonts w:hint="eastAsia" w:ascii="黑体" w:hAnsi="黑体" w:eastAsia="黑体"/>
          <w:sz w:val="32"/>
          <w:szCs w:val="32"/>
        </w:rPr>
      </w:pPr>
      <w:r>
        <w:rPr>
          <w:rFonts w:hint="eastAsia" w:ascii="黑体" w:hAnsi="黑体" w:eastAsia="黑体"/>
          <w:sz w:val="32"/>
          <w:szCs w:val="32"/>
        </w:rPr>
        <w:t>十、名称解释</w:t>
      </w:r>
    </w:p>
    <w:p>
      <w:pPr>
        <w:rPr>
          <w:rFonts w:hint="eastAsia"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spacing w:line="560" w:lineRule="exact"/>
        <w:ind w:firstLine="640"/>
        <w:rPr>
          <w:rFonts w:hint="eastAsia" w:ascii="黑体" w:hAnsi="黑体" w:eastAsia="黑体"/>
          <w:sz w:val="32"/>
          <w:szCs w:val="32"/>
        </w:rPr>
      </w:pPr>
      <w:r>
        <w:rPr>
          <w:rFonts w:hint="eastAsia" w:ascii="黑体" w:hAnsi="黑体" w:eastAsia="黑体"/>
          <w:sz w:val="32"/>
          <w:szCs w:val="32"/>
        </w:rPr>
        <w:t>一、基本职能及主要工作</w:t>
      </w:r>
    </w:p>
    <w:p>
      <w:pPr>
        <w:spacing w:line="56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pPr>
        <w:pStyle w:val="6"/>
        <w:adjustRightInd w:val="0"/>
        <w:snapToGrid w:val="0"/>
        <w:spacing w:after="0" w:line="560" w:lineRule="exact"/>
        <w:ind w:firstLine="672" w:firstLineChars="210"/>
        <w:outlineLvl w:val="2"/>
        <w:rPr>
          <w:rFonts w:ascii="仿宋_GB2312" w:hAnsi="Courier New" w:eastAsia="仿宋_GB2312" w:cs="Courier New"/>
          <w:bCs/>
          <w:sz w:val="32"/>
          <w:szCs w:val="32"/>
        </w:rPr>
      </w:pPr>
      <w:r>
        <w:rPr>
          <w:rFonts w:hint="eastAsia" w:ascii="仿宋_GB2312" w:hAnsi="Courier New" w:eastAsia="仿宋_GB2312" w:cs="Courier New"/>
          <w:bCs/>
          <w:sz w:val="32"/>
          <w:szCs w:val="32"/>
        </w:rPr>
        <w:t>羌族文物征集、登编、修复、保管、展览。</w:t>
      </w:r>
    </w:p>
    <w:p>
      <w:pPr>
        <w:spacing w:line="560" w:lineRule="exact"/>
        <w:ind w:firstLine="643" w:firstLineChars="200"/>
        <w:rPr>
          <w:rFonts w:hint="eastAsia" w:ascii="楷体_GB2312" w:hAnsi="楷体" w:eastAsia="楷体_GB2312"/>
          <w:b/>
          <w:color w:val="FF0000"/>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持续优化公共服务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常态化做好免费开放工作，圆满完成各类政务及社会团体接待任务，树立良好窗口形象。完成重宝厅展陈提升开展工程，初步实现展览展示的向高标准、现代化升级。组织开展讲解员业务培训，讲解服务质量和公众满意度稳步提升。</w:t>
      </w:r>
      <w:r>
        <w:rPr>
          <w:rFonts w:hint="default" w:ascii="Times New Roman" w:hAnsi="Times New Roman" w:eastAsia="仿宋_GB2312" w:cs="Times New Roman"/>
          <w:sz w:val="32"/>
          <w:szCs w:val="32"/>
        </w:rPr>
        <w:cr/>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rPr>
        <w:t>扎实推进文物普查与保护</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推进第四次全国文物普查，积极配合完成四普数据审核及现场迎检，加快推进34处新发现文物的认定公布工作，并启动普查报告及相关专题报告编制。完成《营盘山遗址文物保护规划》编制，为下一步保护利用提供科学依据。同步完善全县33处各级文保单位“四有”工作，树立保护标志碑、健全档案资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 xml:space="preserve">有效加强基础设施与安全管理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default" w:ascii="Times New Roman" w:hAnsi="Times New Roman" w:eastAsia="仿宋_GB2312" w:cs="Times New Roman"/>
          <w:sz w:val="32"/>
          <w:szCs w:val="32"/>
        </w:rPr>
        <w:t>完成馆内消防设备更新及水、电等基础设施维修，确保博物馆正常运转和安全稳定。配合县域基本建设，依法依规开展文物抢救保护工作，守牢文物安全底线。</w:t>
      </w:r>
      <w:r>
        <w:rPr>
          <w:rFonts w:hint="default" w:ascii="Times New Roman" w:hAnsi="Times New Roman" w:eastAsia="仿宋_GB2312" w:cs="Times New Roman"/>
          <w:sz w:val="32"/>
          <w:szCs w:val="32"/>
        </w:rPr>
        <w:cr/>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4.</w:t>
      </w:r>
      <w:r>
        <w:rPr>
          <w:rFonts w:hint="eastAsia" w:ascii="仿宋_GB2312" w:hAnsi="仿宋_GB2312" w:eastAsia="仿宋_GB2312" w:cs="仿宋_GB2312"/>
          <w:b w:val="0"/>
          <w:bCs w:val="0"/>
          <w:sz w:val="32"/>
          <w:szCs w:val="32"/>
        </w:rPr>
        <w:t>同步推进学术研究与人才培养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编制2025年度《茂县羌族博物馆馆刊》，系统梳理年度工作成果。与成都大学联合开展“2027年度国家艺术基金美术创作资助项目”申报，该项目聚焦羌族美术创作，通过高校与文博机构的学术协同，将散落在民间的羌族传统美术资源进行系统梳理与艺术提炼，推动羌族美术从田野向学术体系转化。完成《羌族造物体系研究》书稿撰写，这套书籍的完成标志着羌族传统工艺、造物智慧的研究从零散走向系统，为国家级羌族文化生态保护区建设提供扎实的学理支撑和文化阐释。通过参与高层次课题研究和业务培训，引导现有人员在实践中提升专业能力，既推动学术成果产出，又培养一批懂研究、能策划、善执行的复合型人才，为博物馆可持续发展注入内生动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文化传播与社会教育</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围绕“5·18国际博物馆日”和“文化和自然遗产日”，策划举办系列临时展览及社教活动，增强公众参与度和文化认同感，博物馆社会影响力进一步提升。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稳步研发博物馆文创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足羌族传统纹样和馆藏文物等特色文化资源，完成博物馆文创产品研发工作。积极探索“馆企合作”模式，与本地非遗工坊、文旅企业建立联动机制，推动文化资源向旅游商品转化，为下一步打造具有市场竞争力的羌族文化IP积累经验、奠定基础。</w:t>
      </w:r>
    </w:p>
    <w:p>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二、部门预算单位构成</w:t>
      </w:r>
    </w:p>
    <w:p>
      <w:pPr>
        <w:pBdr>
          <w:bottom w:val="single" w:color="FFFFFF" w:sz="4" w:space="28"/>
        </w:pBdr>
        <w:topLinePunct/>
        <w:spacing w:line="560" w:lineRule="exact"/>
        <w:ind w:firstLine="640" w:firstLineChars="200"/>
        <w:contextualSpacing/>
        <w:rPr>
          <w:rStyle w:val="14"/>
          <w:rFonts w:hint="eastAsia" w:ascii="仿宋_GB2312" w:hAnsi="仿宋_GB2312" w:eastAsia="仿宋_GB2312" w:cs="仿宋_GB2312"/>
          <w:b w:val="0"/>
          <w:bCs w:val="0"/>
        </w:rPr>
      </w:pPr>
      <w:r>
        <w:rPr>
          <w:rStyle w:val="14"/>
          <w:rFonts w:hint="eastAsia" w:ascii="仿宋_GB2312" w:hAnsi="仿宋_GB2312" w:eastAsia="仿宋_GB2312" w:cs="仿宋_GB2312"/>
          <w:b w:val="0"/>
          <w:bCs w:val="0"/>
        </w:rPr>
        <w:t>茂县博物馆属茂县文化广播电视体育和旅游局下属二级预算单位，其中：参照公务员法管理的事业单位0个，其他事业单位0个。</w:t>
      </w:r>
    </w:p>
    <w:p>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三、收支预算情况说明</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按照综合预算的原则，</w:t>
      </w:r>
      <w:r>
        <w:rPr>
          <w:rStyle w:val="14"/>
          <w:rFonts w:hint="eastAsia" w:ascii="仿宋_GB2312" w:hAnsi="仿宋_GB2312" w:eastAsia="仿宋_GB2312" w:cs="仿宋_GB2312"/>
          <w:b w:val="0"/>
          <w:bCs w:val="0"/>
        </w:rPr>
        <w:t>茂县博物馆</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2934800.96</w:t>
      </w:r>
      <w:r>
        <w:rPr>
          <w:rFonts w:ascii="仿宋_GB2312" w:eastAsia="仿宋_GB2312"/>
          <w:sz w:val="32"/>
          <w:szCs w:val="32"/>
        </w:rPr>
        <w:t>元；支出包括：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2093477.66</w:t>
      </w:r>
      <w:r>
        <w:rPr>
          <w:rFonts w:ascii="仿宋_GB2312" w:eastAsia="仿宋_GB2312"/>
          <w:sz w:val="32"/>
          <w:szCs w:val="32"/>
        </w:rPr>
        <w:t>元，社会保障和就业支出</w:t>
      </w:r>
      <w:r>
        <w:rPr>
          <w:rFonts w:hint="eastAsia" w:ascii="仿宋_GB2312" w:eastAsia="仿宋_GB2312"/>
          <w:sz w:val="32"/>
          <w:szCs w:val="32"/>
        </w:rPr>
        <w:t>438019.08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172328.22</w:t>
      </w:r>
      <w:r>
        <w:rPr>
          <w:rFonts w:ascii="仿宋_GB2312" w:eastAsia="仿宋_GB2312"/>
          <w:sz w:val="32"/>
          <w:szCs w:val="32"/>
        </w:rPr>
        <w:t>元，住房保障支出</w:t>
      </w:r>
      <w:r>
        <w:rPr>
          <w:rFonts w:hint="eastAsia" w:ascii="仿宋_GB2312" w:eastAsia="仿宋_GB2312"/>
          <w:sz w:val="32"/>
          <w:szCs w:val="32"/>
        </w:rPr>
        <w:t>230976.00</w:t>
      </w:r>
      <w:r>
        <w:rPr>
          <w:rFonts w:ascii="仿宋_GB2312" w:eastAsia="仿宋_GB2312"/>
          <w:sz w:val="32"/>
          <w:szCs w:val="32"/>
        </w:rPr>
        <w:t>元。</w:t>
      </w:r>
      <w:r>
        <w:rPr>
          <w:rFonts w:hint="eastAsia" w:ascii="仿宋_GB2312" w:eastAsia="仿宋_GB2312"/>
          <w:sz w:val="32"/>
          <w:szCs w:val="32"/>
        </w:rPr>
        <w:t>茂县博物馆</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rPr>
        <w:t>2934800.96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rPr>
        <w:t>增加</w:t>
      </w:r>
      <w:r>
        <w:rPr>
          <w:rFonts w:hint="eastAsia" w:ascii="仿宋_GB2312" w:eastAsia="仿宋_GB2312"/>
          <w:sz w:val="32"/>
          <w:szCs w:val="32"/>
          <w:lang w:val="en-US" w:eastAsia="zh-CN"/>
        </w:rPr>
        <w:t>302467.38</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rPr>
        <w:t>人员变动及工资保险金额增加。</w:t>
      </w:r>
    </w:p>
    <w:p>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rPr>
        <w:t>2934800.96</w:t>
      </w:r>
      <w:r>
        <w:rPr>
          <w:rFonts w:ascii="仿宋_GB2312" w:eastAsia="仿宋_GB2312"/>
          <w:sz w:val="32"/>
          <w:szCs w:val="32"/>
        </w:rPr>
        <w:t>元；一般公共预算拨款收入</w:t>
      </w:r>
      <w:r>
        <w:rPr>
          <w:rFonts w:hint="eastAsia" w:ascii="仿宋_GB2312" w:eastAsia="仿宋_GB2312"/>
          <w:sz w:val="32"/>
          <w:szCs w:val="32"/>
        </w:rPr>
        <w:t>2934800.96</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支出预算情况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rPr>
        <w:t>2934800.96</w:t>
      </w:r>
      <w:r>
        <w:rPr>
          <w:rFonts w:ascii="仿宋_GB2312" w:eastAsia="仿宋_GB2312"/>
          <w:sz w:val="32"/>
          <w:szCs w:val="32"/>
        </w:rPr>
        <w:t>元，其中：基本支出</w:t>
      </w:r>
      <w:r>
        <w:rPr>
          <w:rFonts w:hint="eastAsia" w:ascii="仿宋_GB2312" w:eastAsia="仿宋_GB2312"/>
          <w:sz w:val="32"/>
          <w:szCs w:val="32"/>
        </w:rPr>
        <w:t>2934800.96</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pBdr>
          <w:bottom w:val="single" w:color="FFFFFF" w:sz="4" w:space="28"/>
        </w:pBdr>
        <w:topLinePunct/>
        <w:spacing w:line="56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四、财政拨款收支预算情况说明</w:t>
      </w:r>
    </w:p>
    <w:p>
      <w:pPr>
        <w:pBdr>
          <w:bottom w:val="single" w:color="FFFFFF" w:sz="4" w:space="28"/>
        </w:pBdr>
        <w:topLinePunct/>
        <w:spacing w:line="560" w:lineRule="exact"/>
        <w:ind w:firstLine="640" w:firstLineChars="200"/>
        <w:contextualSpacing/>
        <w:rPr>
          <w:rFonts w:ascii="黑体" w:hAnsi="黑体" w:eastAsia="黑体" w:cs="黑体"/>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rPr>
        <w:t>2934800.96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302467.38</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rPr>
        <w:t>人员变动及工资保险金额增加。</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2934800.96</w:t>
      </w:r>
      <w:r>
        <w:rPr>
          <w:rFonts w:ascii="仿宋_GB2312" w:eastAsia="仿宋_GB2312"/>
          <w:sz w:val="32"/>
          <w:szCs w:val="32"/>
        </w:rPr>
        <w:t>元</w:t>
      </w:r>
      <w:r>
        <w:rPr>
          <w:rFonts w:hint="eastAsia" w:ascii="仿宋_GB2312" w:eastAsia="仿宋_GB2312"/>
          <w:sz w:val="32"/>
          <w:szCs w:val="32"/>
        </w:rPr>
        <w:t>。</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2093477.66</w:t>
      </w:r>
      <w:r>
        <w:rPr>
          <w:rFonts w:ascii="仿宋_GB2312" w:eastAsia="仿宋_GB2312"/>
          <w:sz w:val="32"/>
          <w:szCs w:val="32"/>
        </w:rPr>
        <w:t>元，社会保障和就业支出</w:t>
      </w:r>
      <w:r>
        <w:rPr>
          <w:rFonts w:hint="eastAsia" w:ascii="仿宋_GB2312" w:eastAsia="仿宋_GB2312"/>
          <w:sz w:val="32"/>
          <w:szCs w:val="32"/>
        </w:rPr>
        <w:t>438019.08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172328.22</w:t>
      </w:r>
      <w:r>
        <w:rPr>
          <w:rFonts w:ascii="仿宋_GB2312" w:eastAsia="仿宋_GB2312"/>
          <w:sz w:val="32"/>
          <w:szCs w:val="32"/>
        </w:rPr>
        <w:t>元，住房保障支出</w:t>
      </w:r>
      <w:r>
        <w:rPr>
          <w:rFonts w:hint="eastAsia" w:ascii="仿宋_GB2312" w:eastAsia="仿宋_GB2312"/>
          <w:sz w:val="32"/>
          <w:szCs w:val="32"/>
        </w:rPr>
        <w:t>230976.00</w:t>
      </w:r>
      <w:r>
        <w:rPr>
          <w:rFonts w:ascii="仿宋_GB2312" w:eastAsia="仿宋_GB2312"/>
          <w:sz w:val="32"/>
          <w:szCs w:val="32"/>
        </w:rPr>
        <w:t>元。</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hAnsi="黑体" w:eastAsia="黑体"/>
          <w:sz w:val="32"/>
          <w:szCs w:val="32"/>
        </w:rPr>
        <w:t>五、一般公共预算当年拨款情况说明</w:t>
      </w:r>
    </w:p>
    <w:p>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 w:hAnsi="楷体" w:eastAsia="楷体" w:cs="楷体"/>
          <w:b/>
          <w:bCs/>
          <w:sz w:val="32"/>
          <w:szCs w:val="32"/>
        </w:rPr>
        <w:t>（一）一般公共预算当年拨款规模变</w:t>
      </w:r>
      <w:r>
        <w:rPr>
          <w:rFonts w:hint="eastAsia" w:ascii="楷体_GB2312" w:hAnsi="楷体" w:eastAsia="楷体_GB2312" w:cs="仿宋_GB2312"/>
          <w:b/>
          <w:color w:val="auto"/>
          <w:sz w:val="32"/>
          <w:szCs w:val="32"/>
        </w:rPr>
        <w:t>化情况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rPr>
        <w:t>2934800.96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302467.38</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rPr>
        <w:t>人员变动及工资保险金额增加。</w:t>
      </w:r>
    </w:p>
    <w:p>
      <w:pPr>
        <w:pBdr>
          <w:bottom w:val="single" w:color="FFFFFF" w:sz="4" w:space="28"/>
        </w:pBdr>
        <w:topLinePunct/>
        <w:spacing w:line="560" w:lineRule="exact"/>
        <w:ind w:firstLine="643" w:firstLineChars="200"/>
        <w:contextualSpacing/>
        <w:rPr>
          <w:rFonts w:hint="eastAsia" w:ascii="楷体" w:hAnsi="楷体" w:eastAsia="楷体" w:cs="楷体"/>
          <w:b/>
          <w:bCs/>
          <w:sz w:val="32"/>
          <w:szCs w:val="32"/>
        </w:rPr>
      </w:pPr>
      <w:r>
        <w:rPr>
          <w:rFonts w:hint="eastAsia" w:ascii="楷体" w:hAnsi="楷体" w:eastAsia="楷体" w:cs="楷体"/>
          <w:b/>
          <w:bCs/>
          <w:sz w:val="32"/>
          <w:szCs w:val="32"/>
        </w:rPr>
        <w:t>（二）一般公共预算当年拨款结构情况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2093477.66</w:t>
      </w:r>
      <w:r>
        <w:rPr>
          <w:rFonts w:ascii="仿宋_GB2312" w:eastAsia="仿宋_GB2312"/>
          <w:sz w:val="32"/>
          <w:szCs w:val="32"/>
        </w:rPr>
        <w:t>元，占</w:t>
      </w:r>
      <w:r>
        <w:rPr>
          <w:rFonts w:hint="eastAsia" w:ascii="仿宋_GB2312" w:eastAsia="仿宋_GB2312"/>
          <w:sz w:val="32"/>
          <w:szCs w:val="32"/>
        </w:rPr>
        <w:t>7</w:t>
      </w:r>
      <w:r>
        <w:rPr>
          <w:rFonts w:hint="eastAsia" w:ascii="仿宋_GB2312" w:eastAsia="仿宋_GB2312"/>
          <w:sz w:val="32"/>
          <w:szCs w:val="32"/>
          <w:lang w:val="en-US" w:eastAsia="zh-CN"/>
        </w:rPr>
        <w:t>1</w:t>
      </w:r>
      <w:r>
        <w:rPr>
          <w:rFonts w:ascii="仿宋_GB2312" w:eastAsia="仿宋_GB2312"/>
          <w:sz w:val="32"/>
          <w:szCs w:val="32"/>
        </w:rPr>
        <w:t>%；社会保障和就业支出</w:t>
      </w:r>
      <w:r>
        <w:rPr>
          <w:rFonts w:hint="eastAsia" w:ascii="仿宋_GB2312" w:eastAsia="仿宋_GB2312"/>
          <w:sz w:val="32"/>
          <w:szCs w:val="32"/>
        </w:rPr>
        <w:t>438019.08</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占</w:t>
      </w: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rPr>
        <w:t>出172328.22</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sz w:val="32"/>
          <w:szCs w:val="32"/>
        </w:rPr>
        <w:t>230976.00</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p>
    <w:p>
      <w:pPr>
        <w:numPr>
          <w:ilvl w:val="0"/>
          <w:numId w:val="1"/>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lang w:val="en-US" w:eastAsia="zh-CN"/>
        </w:rPr>
        <w:t xml:space="preserve"> </w:t>
      </w:r>
      <w:r>
        <w:rPr>
          <w:rFonts w:hint="eastAsia" w:ascii="楷体_GB2312" w:hAnsi="楷体" w:eastAsia="楷体_GB2312" w:cs="仿宋_GB2312"/>
          <w:b/>
          <w:sz w:val="32"/>
          <w:szCs w:val="32"/>
        </w:rPr>
        <w:t>一般公共预算当年拨款具体使用情况</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文化旅游体育与传媒支出（207）文化和旅游（02）博物馆（05）202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w:t>
      </w:r>
      <w:r>
        <w:rPr>
          <w:rFonts w:hint="eastAsia" w:ascii="仿宋_GB2312" w:eastAsia="仿宋_GB2312"/>
          <w:sz w:val="32"/>
          <w:szCs w:val="32"/>
        </w:rPr>
        <w:t>2093477.66</w:t>
      </w:r>
      <w:r>
        <w:rPr>
          <w:rFonts w:hint="eastAsia" w:ascii="仿宋_GB2312" w:hAnsi="仿宋_GB2312" w:eastAsia="仿宋_GB2312" w:cs="仿宋_GB2312"/>
          <w:sz w:val="32"/>
          <w:szCs w:val="32"/>
        </w:rPr>
        <w:t>元，主要用于:博物馆202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eastAsia="仿宋_GB2312"/>
          <w:sz w:val="32"/>
          <w:szCs w:val="32"/>
        </w:rPr>
        <w:t>的人员经费和日常公用经费等基本支出</w:t>
      </w:r>
      <w:r>
        <w:rPr>
          <w:rFonts w:hint="eastAsia" w:ascii="仿宋_GB2312" w:hAnsi="仿宋_GB2312" w:eastAsia="仿宋_GB2312" w:cs="仿宋_GB2312"/>
          <w:sz w:val="32"/>
          <w:szCs w:val="32"/>
        </w:rPr>
        <w:t>。</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社会保障和就业支出（208）行政事业单位养老支出（05）机关事业单位基本养老保险缴费支出（05）202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w:t>
      </w:r>
      <w:r>
        <w:rPr>
          <w:rFonts w:hint="eastAsia" w:ascii="仿宋_GB2312" w:eastAsia="仿宋_GB2312"/>
          <w:sz w:val="32"/>
          <w:szCs w:val="32"/>
        </w:rPr>
        <w:t>292012.74</w:t>
      </w:r>
      <w:r>
        <w:rPr>
          <w:rFonts w:hint="eastAsia" w:ascii="仿宋_GB2312" w:hAnsi="仿宋_GB2312" w:eastAsia="仿宋_GB2312" w:cs="仿宋_GB2312"/>
          <w:sz w:val="32"/>
          <w:szCs w:val="32"/>
        </w:rPr>
        <w:t>元，主要用于：单位缴纳基本养老保险费。</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社会保障和就业支出（208）行政事业单位养老支出（05）机关事业单位职业年金缴费支出（06）202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年预算数为146006.34元，主要用于：单位缴纳职业年金。</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卫生健康支出（210）行政事业单位医疗（11）事业单位医疗（02）202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年预算数为172328.22元，主要用于：事业单位缴纳基本医疗保险。</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住房保障支出（221）住房改革支出（02）住房公积金（01）202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年预算数为230976.00元，主要用于：单位为职工缴纳住房公积金。</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一般公共预算基本支出情况说明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年一般公共预算基本支出</w:t>
      </w:r>
      <w:r>
        <w:rPr>
          <w:rFonts w:hint="eastAsia" w:ascii="仿宋_GB2312" w:eastAsia="仿宋_GB2312"/>
          <w:sz w:val="32"/>
          <w:szCs w:val="32"/>
        </w:rPr>
        <w:t>2934800.96</w:t>
      </w:r>
      <w:r>
        <w:rPr>
          <w:rFonts w:hint="eastAsia" w:ascii="仿宋_GB2312" w:hAnsi="仿宋_GB2312" w:eastAsia="仿宋_GB2312" w:cs="仿宋_GB2312"/>
          <w:sz w:val="32"/>
          <w:szCs w:val="32"/>
        </w:rPr>
        <w:t>元，其中：人员经费2756900.12元，主要包括：基本工资、津贴补贴、奖金、绩效工资、机关事业单位基本养老保险缴费、职业年金缴费、职工基本医疗保险缴费、其他社会保障缴费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住房公积金、医疗费、其他对个人和家庭的补助支出。</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公用经费177900.84元，主要包括：办公费、水费、电费、邮电费、差旅费、公务接待费、残保金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福利费、其他商品服务支出。</w:t>
      </w:r>
    </w:p>
    <w:p>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七、“三公”经费财政拨款预算安排情况说明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年“三公”经费财政拨款预算数1920.00元，其中：因公出国（境）经费</w:t>
      </w:r>
      <w:r>
        <w:rPr>
          <w:rFonts w:hint="eastAsia" w:ascii="仿宋_GB2312" w:hAnsi="仿宋_GB2312" w:eastAsia="仿宋_GB2312" w:cs="仿宋_GB2312"/>
          <w:sz w:val="32"/>
          <w:szCs w:val="32"/>
          <w:lang w:val="en-US" w:eastAsia="zh-CN"/>
        </w:rPr>
        <w:t>0元</w:t>
      </w:r>
      <w:r>
        <w:rPr>
          <w:rFonts w:hint="eastAsia" w:ascii="仿宋_GB2312" w:hAnsi="仿宋_GB2312" w:eastAsia="仿宋_GB2312" w:cs="仿宋_GB2312"/>
          <w:sz w:val="32"/>
          <w:szCs w:val="32"/>
        </w:rPr>
        <w:t>，公务接待费1920.00元，公务用车购置及运行维护费 0元。</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年无因公出国（境）经费。</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年公务接待经费1920.00元。较202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年预算经费持平。</w:t>
      </w:r>
    </w:p>
    <w:p>
      <w:pPr>
        <w:pBdr>
          <w:bottom w:val="single" w:color="FFFFFF" w:sz="4" w:space="28"/>
        </w:pBdr>
        <w:topLinePunct/>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年公务用车购置及运行维护费0元。较202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年预算经费持平。</w:t>
      </w:r>
    </w:p>
    <w:p>
      <w:pPr>
        <w:pBdr>
          <w:bottom w:val="single" w:color="FFFFFF" w:sz="4" w:space="28"/>
        </w:pBdr>
        <w:topLinePunct/>
        <w:spacing w:line="560" w:lineRule="exact"/>
        <w:ind w:firstLine="640" w:firstLineChars="200"/>
        <w:contextualSpacing/>
        <w:rPr>
          <w:rFonts w:hint="eastAsia" w:ascii="黑体" w:hAnsi="黑体" w:eastAsia="黑体" w:cs="黑体"/>
          <w:color w:val="auto"/>
          <w:sz w:val="32"/>
          <w:szCs w:val="32"/>
        </w:rPr>
      </w:pPr>
      <w:r>
        <w:rPr>
          <w:rFonts w:hint="eastAsia" w:ascii="黑体" w:hAnsi="黑体" w:eastAsia="黑体" w:cs="黑体"/>
          <w:b w:val="0"/>
          <w:bCs w:val="0"/>
          <w:color w:val="auto"/>
          <w:sz w:val="32"/>
          <w:szCs w:val="32"/>
        </w:rPr>
        <w:t>八、政府</w:t>
      </w:r>
      <w:r>
        <w:rPr>
          <w:rFonts w:hint="eastAsia" w:ascii="黑体" w:hAnsi="黑体" w:eastAsia="黑体" w:cs="黑体"/>
          <w:color w:val="auto"/>
          <w:sz w:val="32"/>
          <w:szCs w:val="32"/>
        </w:rPr>
        <w:t>性基金预算支出情况说明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年茂县博物馆无政府性基金预算拨款安排的支出。</w:t>
      </w:r>
    </w:p>
    <w:p>
      <w:pPr>
        <w:pBdr>
          <w:bottom w:val="single" w:color="FFFFFF" w:sz="4" w:space="28"/>
        </w:pBdr>
        <w:topLinePunct/>
        <w:spacing w:line="560" w:lineRule="exact"/>
        <w:ind w:firstLine="640" w:firstLineChars="200"/>
        <w:contextualSpacing/>
        <w:rPr>
          <w:rFonts w:hint="eastAsia" w:ascii="黑体" w:hAnsi="黑体" w:eastAsia="黑体" w:cs="黑体"/>
          <w:color w:val="auto"/>
          <w:sz w:val="32"/>
          <w:szCs w:val="32"/>
        </w:rPr>
      </w:pPr>
      <w:r>
        <w:rPr>
          <w:rFonts w:hint="eastAsia" w:ascii="黑体" w:hAnsi="黑体" w:eastAsia="黑体" w:cs="黑体"/>
          <w:color w:val="auto"/>
          <w:sz w:val="32"/>
          <w:szCs w:val="32"/>
        </w:rPr>
        <w:t>九、其他重要事项的情况说明</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lang w:val="en-US" w:eastAsia="zh-CN"/>
        </w:rPr>
        <w:t xml:space="preserve"> </w:t>
      </w:r>
      <w:r>
        <w:rPr>
          <w:rFonts w:hint="eastAsia" w:ascii="楷体_GB2312" w:hAnsi="楷体" w:eastAsia="楷体_GB2312" w:cs="仿宋_GB2312"/>
          <w:b/>
          <w:sz w:val="32"/>
          <w:szCs w:val="32"/>
        </w:rPr>
        <w:t>机关运行经费</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年机关运行经费财政拨款预算为</w:t>
      </w:r>
      <w:r>
        <w:rPr>
          <w:rFonts w:hint="eastAsia" w:ascii="仿宋_GB2312" w:hAnsi="仿宋_GB2312" w:eastAsia="仿宋_GB2312" w:cs="仿宋_GB2312"/>
          <w:sz w:val="32"/>
          <w:szCs w:val="32"/>
        </w:rPr>
        <w:t>177900.84</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年预算增加</w:t>
      </w:r>
      <w:r>
        <w:rPr>
          <w:rFonts w:hint="eastAsia" w:ascii="仿宋_GB2312" w:eastAsia="仿宋_GB2312"/>
          <w:sz w:val="32"/>
          <w:szCs w:val="32"/>
          <w:lang w:val="en-US" w:eastAsia="zh-CN"/>
        </w:rPr>
        <w:t>4714.70</w:t>
      </w:r>
      <w:r>
        <w:rPr>
          <w:rFonts w:ascii="仿宋_GB2312" w:eastAsia="仿宋_GB2312"/>
          <w:sz w:val="32"/>
          <w:szCs w:val="32"/>
        </w:rPr>
        <w:t>元，增长</w:t>
      </w:r>
      <w:r>
        <w:rPr>
          <w:rFonts w:hint="eastAsia" w:ascii="仿宋_GB2312" w:eastAsia="仿宋_GB2312"/>
          <w:sz w:val="32"/>
          <w:szCs w:val="32"/>
          <w:lang w:val="en-US" w:eastAsia="zh-CN"/>
        </w:rPr>
        <w:t>3</w:t>
      </w:r>
      <w:r>
        <w:rPr>
          <w:rFonts w:ascii="仿宋_GB2312" w:eastAsia="仿宋_GB2312"/>
          <w:sz w:val="32"/>
          <w:szCs w:val="32"/>
        </w:rPr>
        <w:t>%。</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政府采购情况</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年茂县博物馆未安排政府采购预算。</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国有资产占有使用情况</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eastAsia="仿宋_GB2312" w:cs="仿宋_GB2312"/>
          <w:color w:val="auto"/>
          <w:sz w:val="32"/>
          <w:szCs w:val="32"/>
          <w:lang w:eastAsia="zh-CN"/>
        </w:rPr>
        <w:t>截至</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年12月31日，</w:t>
      </w:r>
      <w:r>
        <w:rPr>
          <w:rFonts w:hint="eastAsia" w:ascii="仿宋_GB2312" w:eastAsia="仿宋_GB2312"/>
          <w:sz w:val="32"/>
          <w:szCs w:val="32"/>
          <w:highlight w:val="none"/>
        </w:rPr>
        <w:t>我单位</w:t>
      </w:r>
      <w:r>
        <w:rPr>
          <w:rFonts w:ascii="仿宋_GB2312" w:eastAsia="仿宋_GB2312"/>
          <w:sz w:val="32"/>
          <w:szCs w:val="32"/>
          <w:highlight w:val="none"/>
        </w:rPr>
        <w:t>固定资产总额</w:t>
      </w:r>
      <w:r>
        <w:rPr>
          <w:rFonts w:hint="eastAsia" w:ascii="仿宋_GB2312" w:eastAsia="仿宋_GB2312"/>
          <w:sz w:val="32"/>
          <w:szCs w:val="32"/>
          <w:highlight w:val="none"/>
        </w:rPr>
        <w:t>1647</w:t>
      </w:r>
      <w:r>
        <w:rPr>
          <w:rFonts w:hint="eastAsia" w:ascii="仿宋_GB2312" w:eastAsia="仿宋_GB2312"/>
          <w:sz w:val="32"/>
          <w:szCs w:val="32"/>
          <w:highlight w:val="none"/>
          <w:lang w:val="en-US" w:eastAsia="zh-CN"/>
        </w:rPr>
        <w:t>95147.10</w:t>
      </w:r>
      <w:r>
        <w:rPr>
          <w:rFonts w:ascii="仿宋_GB2312" w:eastAsia="仿宋_GB2312"/>
          <w:sz w:val="32"/>
          <w:szCs w:val="32"/>
          <w:highlight w:val="none"/>
        </w:rPr>
        <w:t>元，其中：房屋</w:t>
      </w:r>
      <w:r>
        <w:rPr>
          <w:rFonts w:hint="eastAsia" w:ascii="仿宋_GB2312" w:eastAsia="仿宋_GB2312"/>
          <w:sz w:val="32"/>
          <w:szCs w:val="32"/>
          <w:highlight w:val="none"/>
        </w:rPr>
        <w:t>10808.00</w:t>
      </w:r>
      <w:r>
        <w:rPr>
          <w:rFonts w:ascii="仿宋_GB2312" w:eastAsia="仿宋_GB2312"/>
          <w:sz w:val="32"/>
          <w:szCs w:val="32"/>
          <w:highlight w:val="none"/>
        </w:rPr>
        <w:t>平方米，价值</w:t>
      </w:r>
      <w:r>
        <w:rPr>
          <w:rFonts w:hint="eastAsia" w:ascii="仿宋_GB2312" w:eastAsia="仿宋_GB2312"/>
          <w:sz w:val="32"/>
          <w:szCs w:val="32"/>
          <w:highlight w:val="none"/>
        </w:rPr>
        <w:t>156816895.10</w:t>
      </w:r>
      <w:r>
        <w:rPr>
          <w:rFonts w:ascii="仿宋_GB2312" w:eastAsia="仿宋_GB2312"/>
          <w:sz w:val="32"/>
          <w:szCs w:val="32"/>
          <w:highlight w:val="none"/>
        </w:rPr>
        <w:t>元；</w:t>
      </w:r>
      <w:r>
        <w:rPr>
          <w:rFonts w:hint="eastAsia" w:ascii="仿宋_GB2312" w:hAnsi="仿宋_GB2312" w:eastAsia="仿宋_GB2312" w:cs="仿宋_GB2312"/>
          <w:sz w:val="32"/>
          <w:szCs w:val="32"/>
          <w:highlight w:val="none"/>
        </w:rPr>
        <w:t>茂县博物馆共有车辆0辆，</w:t>
      </w:r>
      <w:r>
        <w:rPr>
          <w:rFonts w:ascii="仿宋_GB2312" w:eastAsia="仿宋_GB2312"/>
          <w:sz w:val="32"/>
          <w:szCs w:val="32"/>
          <w:highlight w:val="none"/>
        </w:rPr>
        <w:t>价值</w:t>
      </w:r>
      <w:r>
        <w:rPr>
          <w:rFonts w:hint="eastAsia" w:ascii="仿宋_GB2312" w:eastAsia="仿宋_GB2312"/>
          <w:sz w:val="32"/>
          <w:szCs w:val="32"/>
          <w:highlight w:val="none"/>
        </w:rPr>
        <w:t>0</w:t>
      </w:r>
      <w:r>
        <w:rPr>
          <w:rFonts w:ascii="仿宋_GB2312" w:eastAsia="仿宋_GB2312"/>
          <w:sz w:val="32"/>
          <w:szCs w:val="32"/>
          <w:highlight w:val="none"/>
        </w:rPr>
        <w:t>元</w:t>
      </w:r>
      <w:r>
        <w:rPr>
          <w:rFonts w:hint="eastAsia" w:ascii="仿宋_GB2312" w:eastAsia="仿宋_GB2312"/>
          <w:sz w:val="32"/>
          <w:szCs w:val="32"/>
          <w:highlight w:val="none"/>
        </w:rPr>
        <w:t>；其他固定资产79</w:t>
      </w:r>
      <w:r>
        <w:rPr>
          <w:rFonts w:hint="eastAsia" w:ascii="仿宋_GB2312" w:eastAsia="仿宋_GB2312"/>
          <w:sz w:val="32"/>
          <w:szCs w:val="32"/>
          <w:highlight w:val="none"/>
          <w:lang w:val="en-US" w:eastAsia="zh-CN"/>
        </w:rPr>
        <w:t>78252</w:t>
      </w:r>
      <w:r>
        <w:rPr>
          <w:rFonts w:hint="eastAsia" w:ascii="仿宋_GB2312" w:eastAsia="仿宋_GB2312"/>
          <w:sz w:val="32"/>
          <w:szCs w:val="32"/>
          <w:highlight w:val="none"/>
        </w:rPr>
        <w:t>.00元。</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绩效目标设置情况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项目支出均按要求实行绩效目标管理，涉及项目0个</w:t>
      </w:r>
      <w:r>
        <w:rPr>
          <w:rFonts w:hint="eastAsia" w:ascii="仿宋_GB2312" w:eastAsia="仿宋_GB2312"/>
          <w:sz w:val="32"/>
          <w:szCs w:val="32"/>
          <w:lang w:eastAsia="zh-CN"/>
        </w:rPr>
        <w:t>，一般公共预算当年拨款</w:t>
      </w:r>
      <w:r>
        <w:rPr>
          <w:rFonts w:hint="eastAsia" w:ascii="仿宋_GB2312" w:eastAsia="仿宋_GB2312"/>
          <w:sz w:val="32"/>
          <w:szCs w:val="32"/>
          <w:lang w:val="en-US" w:eastAsia="zh-CN"/>
        </w:rPr>
        <w:t>0元。</w:t>
      </w:r>
      <w:bookmarkStart w:id="0" w:name="_GoBack"/>
      <w:bookmarkEnd w:id="0"/>
    </w:p>
    <w:p>
      <w:pPr>
        <w:pBdr>
          <w:bottom w:val="single" w:color="FFFFFF" w:sz="4" w:space="28"/>
        </w:pBdr>
        <w:topLinePunct/>
        <w:spacing w:line="560" w:lineRule="exact"/>
        <w:ind w:firstLine="640" w:firstLineChars="200"/>
        <w:contextualSpacing/>
        <w:rPr>
          <w:rFonts w:hint="eastAsia" w:ascii="黑体" w:hAnsi="黑体" w:eastAsia="黑体" w:cs="黑体"/>
          <w:color w:val="auto"/>
          <w:sz w:val="32"/>
          <w:szCs w:val="32"/>
        </w:rPr>
      </w:pPr>
      <w:r>
        <w:rPr>
          <w:rFonts w:hint="eastAsia" w:ascii="黑体" w:hAnsi="黑体" w:eastAsia="黑体" w:cs="黑体"/>
          <w:color w:val="auto"/>
          <w:sz w:val="32"/>
          <w:szCs w:val="32"/>
        </w:rPr>
        <w:t xml:space="preserve">十、名称解释 </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（一）财政拨款收入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指由财政拨款形成的部门收入。按现行管理制度，部门预算中反映的财政拨款仅包括一般公共预算拨款和政府性基金预算拨款。</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（二）事业收入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指所属事业单位开展专业业务活动及辅助活动所取得的收入。</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eastAsia="楷体_GB2312" w:cs="仿宋_GB2312"/>
          <w:b/>
          <w:bCs/>
          <w:sz w:val="32"/>
          <w:szCs w:val="32"/>
        </w:rPr>
        <w:t>（三）</w:t>
      </w:r>
      <w:r>
        <w:rPr>
          <w:rFonts w:hint="eastAsia" w:ascii="楷体_GB2312" w:hAnsi="楷体" w:eastAsia="楷体_GB2312" w:cs="仿宋_GB2312"/>
          <w:b/>
          <w:bCs/>
          <w:sz w:val="32"/>
          <w:szCs w:val="32"/>
        </w:rPr>
        <w:t>事</w:t>
      </w:r>
      <w:r>
        <w:rPr>
          <w:rFonts w:hint="eastAsia" w:ascii="楷体_GB2312" w:hAnsi="楷体" w:eastAsia="楷体_GB2312" w:cs="仿宋_GB2312"/>
          <w:b/>
          <w:sz w:val="32"/>
          <w:szCs w:val="32"/>
        </w:rPr>
        <w:t>业单位经营收入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指所属事业单位在专业业务活动及其辅助活动之外开展非独立核算经营活动取得的收入。</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（四）其他收入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（六）上年结转</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Bdr>
          <w:bottom w:val="single" w:color="FFFFFF" w:sz="4" w:space="28"/>
        </w:pBdr>
        <w:topLinePunct/>
        <w:spacing w:line="560" w:lineRule="exact"/>
        <w:ind w:firstLine="640" w:firstLineChars="200"/>
        <w:contextualSpacing/>
        <w:rPr>
          <w:rFonts w:ascii="仿宋_GB2312" w:eastAsia="仿宋_GB2312"/>
          <w:sz w:val="32"/>
          <w:szCs w:val="32"/>
        </w:rPr>
      </w:pPr>
    </w:p>
    <w:p>
      <w:pPr>
        <w:pStyle w:val="6"/>
        <w:rPr>
          <w:rFonts w:hint="eastAsia" w:ascii="仿宋_GB2312" w:eastAsia="仿宋_GB2312"/>
          <w:sz w:val="32"/>
          <w:szCs w:val="32"/>
        </w:rPr>
      </w:pPr>
    </w:p>
    <w:p>
      <w:pPr>
        <w:pStyle w:val="6"/>
        <w:ind w:firstLine="4800" w:firstLineChars="1500"/>
        <w:rPr>
          <w:rFonts w:ascii="仿宋_GB2312" w:eastAsia="仿宋_GB2312"/>
          <w:sz w:val="32"/>
          <w:szCs w:val="32"/>
        </w:rPr>
      </w:pPr>
      <w:r>
        <w:rPr>
          <w:rFonts w:hint="eastAsia" w:ascii="仿宋_GB2312" w:eastAsia="仿宋_GB2312"/>
          <w:sz w:val="32"/>
          <w:szCs w:val="32"/>
        </w:rPr>
        <w:t>茂县博物馆</w:t>
      </w:r>
    </w:p>
    <w:p>
      <w:pPr>
        <w:pStyle w:val="6"/>
        <w:ind w:firstLine="4480" w:firstLineChars="14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p>
      <w:pPr>
        <w:spacing w:line="560" w:lineRule="exact"/>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D19C"/>
    <w:multiLevelType w:val="singleLevel"/>
    <w:tmpl w:val="8AC3D19C"/>
    <w:lvl w:ilvl="0" w:tentative="0">
      <w:start w:val="6"/>
      <w:numFmt w:val="chineseCounting"/>
      <w:suff w:val="nothing"/>
      <w:lvlText w:val="%1、"/>
      <w:lvlJc w:val="left"/>
      <w:rPr>
        <w:rFonts w:hint="eastAsia"/>
      </w:rPr>
    </w:lvl>
  </w:abstractNum>
  <w:abstractNum w:abstractNumId="1">
    <w:nsid w:val="C961D6E3"/>
    <w:multiLevelType w:val="singleLevel"/>
    <w:tmpl w:val="C961D6E3"/>
    <w:lvl w:ilvl="0" w:tentative="0">
      <w:start w:val="1"/>
      <w:numFmt w:val="chineseCounting"/>
      <w:suff w:val="nothing"/>
      <w:lvlText w:val="（%1）"/>
      <w:lvlJc w:val="left"/>
      <w:rPr>
        <w:rFonts w:hint="eastAsia"/>
      </w:rPr>
    </w:lvl>
  </w:abstractNum>
  <w:abstractNum w:abstractNumId="2">
    <w:nsid w:val="D2419B11"/>
    <w:multiLevelType w:val="singleLevel"/>
    <w:tmpl w:val="D2419B11"/>
    <w:lvl w:ilvl="0" w:tentative="0">
      <w:start w:val="1"/>
      <w:numFmt w:val="chineseCounting"/>
      <w:suff w:val="nothing"/>
      <w:lvlText w:val="（%1）"/>
      <w:lvlJc w:val="left"/>
      <w:rPr>
        <w:rFonts w:hint="eastAsia"/>
      </w:rPr>
    </w:lvl>
  </w:abstractNum>
  <w:abstractNum w:abstractNumId="3">
    <w:nsid w:val="FD5C534D"/>
    <w:multiLevelType w:val="singleLevel"/>
    <w:tmpl w:val="FD5C534D"/>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4NjAxZThhNDM1MjkzMThmODcwOWUyMTQwZWY4ZmMifQ=="/>
  </w:docVars>
  <w:rsids>
    <w:rsidRoot w:val="7AE4629A"/>
    <w:rsid w:val="000451C2"/>
    <w:rsid w:val="00053256"/>
    <w:rsid w:val="0006464F"/>
    <w:rsid w:val="000C0283"/>
    <w:rsid w:val="001119C2"/>
    <w:rsid w:val="001634E3"/>
    <w:rsid w:val="001910FF"/>
    <w:rsid w:val="001948E0"/>
    <w:rsid w:val="001B1BFD"/>
    <w:rsid w:val="001F3A06"/>
    <w:rsid w:val="00242435"/>
    <w:rsid w:val="00246992"/>
    <w:rsid w:val="00270F67"/>
    <w:rsid w:val="00281CFE"/>
    <w:rsid w:val="0030031F"/>
    <w:rsid w:val="00346F74"/>
    <w:rsid w:val="00404935"/>
    <w:rsid w:val="004204C6"/>
    <w:rsid w:val="00420879"/>
    <w:rsid w:val="004379C5"/>
    <w:rsid w:val="00476B63"/>
    <w:rsid w:val="00480715"/>
    <w:rsid w:val="004B0A09"/>
    <w:rsid w:val="004D60F7"/>
    <w:rsid w:val="0054124B"/>
    <w:rsid w:val="005B541B"/>
    <w:rsid w:val="005C2C25"/>
    <w:rsid w:val="00683115"/>
    <w:rsid w:val="00692F74"/>
    <w:rsid w:val="006B1BD1"/>
    <w:rsid w:val="007825C1"/>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70CBB"/>
    <w:rsid w:val="00DB29FD"/>
    <w:rsid w:val="00E26DF5"/>
    <w:rsid w:val="00EA3F33"/>
    <w:rsid w:val="00EF7950"/>
    <w:rsid w:val="00F40EE7"/>
    <w:rsid w:val="00F717C3"/>
    <w:rsid w:val="00F749FC"/>
    <w:rsid w:val="00FA2AAC"/>
    <w:rsid w:val="00FA663A"/>
    <w:rsid w:val="00FE34EC"/>
    <w:rsid w:val="034439BE"/>
    <w:rsid w:val="04B678B3"/>
    <w:rsid w:val="051B12D0"/>
    <w:rsid w:val="051C4A8C"/>
    <w:rsid w:val="067537C8"/>
    <w:rsid w:val="07674A16"/>
    <w:rsid w:val="083A2978"/>
    <w:rsid w:val="08A700AB"/>
    <w:rsid w:val="08B34C1A"/>
    <w:rsid w:val="08D02F14"/>
    <w:rsid w:val="08D40A12"/>
    <w:rsid w:val="099F7A3A"/>
    <w:rsid w:val="09A66753"/>
    <w:rsid w:val="0A13455E"/>
    <w:rsid w:val="0A6E000B"/>
    <w:rsid w:val="0B253CB7"/>
    <w:rsid w:val="0B2F4188"/>
    <w:rsid w:val="0B331DBB"/>
    <w:rsid w:val="0B815954"/>
    <w:rsid w:val="0C9475FE"/>
    <w:rsid w:val="0C961555"/>
    <w:rsid w:val="0CB13F67"/>
    <w:rsid w:val="0CE95B9C"/>
    <w:rsid w:val="0D5B2FBC"/>
    <w:rsid w:val="0D6E6B91"/>
    <w:rsid w:val="0DE91464"/>
    <w:rsid w:val="0E093AC6"/>
    <w:rsid w:val="0E3C1CFB"/>
    <w:rsid w:val="0F4C0664"/>
    <w:rsid w:val="0F81030D"/>
    <w:rsid w:val="10087F38"/>
    <w:rsid w:val="1025513D"/>
    <w:rsid w:val="107B3450"/>
    <w:rsid w:val="107E65FB"/>
    <w:rsid w:val="10E0733B"/>
    <w:rsid w:val="11592BC4"/>
    <w:rsid w:val="118651E2"/>
    <w:rsid w:val="123E24E6"/>
    <w:rsid w:val="13197D31"/>
    <w:rsid w:val="154B013E"/>
    <w:rsid w:val="15DD380C"/>
    <w:rsid w:val="164003A4"/>
    <w:rsid w:val="16C15493"/>
    <w:rsid w:val="16C5583A"/>
    <w:rsid w:val="17655409"/>
    <w:rsid w:val="177904B8"/>
    <w:rsid w:val="19B33497"/>
    <w:rsid w:val="1A385A6D"/>
    <w:rsid w:val="1A917733"/>
    <w:rsid w:val="1AA42280"/>
    <w:rsid w:val="1AD41F5D"/>
    <w:rsid w:val="1B0406D7"/>
    <w:rsid w:val="1BA02EBA"/>
    <w:rsid w:val="1BC4130C"/>
    <w:rsid w:val="1BD143CB"/>
    <w:rsid w:val="1C744665"/>
    <w:rsid w:val="1D587C9F"/>
    <w:rsid w:val="1DA5543D"/>
    <w:rsid w:val="1DC615E1"/>
    <w:rsid w:val="1E292B96"/>
    <w:rsid w:val="1F1E1BFD"/>
    <w:rsid w:val="1F751511"/>
    <w:rsid w:val="1FEA15B7"/>
    <w:rsid w:val="1FF71C2E"/>
    <w:rsid w:val="20361CB8"/>
    <w:rsid w:val="20491AAB"/>
    <w:rsid w:val="24DB5A21"/>
    <w:rsid w:val="25A213E9"/>
    <w:rsid w:val="25C12DBA"/>
    <w:rsid w:val="264D0AF2"/>
    <w:rsid w:val="267A27F1"/>
    <w:rsid w:val="26A72B54"/>
    <w:rsid w:val="27983FEE"/>
    <w:rsid w:val="27E72880"/>
    <w:rsid w:val="28503DA9"/>
    <w:rsid w:val="28F83FD3"/>
    <w:rsid w:val="29540476"/>
    <w:rsid w:val="29566940"/>
    <w:rsid w:val="29591D17"/>
    <w:rsid w:val="29B42AF2"/>
    <w:rsid w:val="2A4763CE"/>
    <w:rsid w:val="2AA27121"/>
    <w:rsid w:val="2B58487D"/>
    <w:rsid w:val="2BB350A4"/>
    <w:rsid w:val="2C866B0B"/>
    <w:rsid w:val="2C9B4B71"/>
    <w:rsid w:val="2CB01DDA"/>
    <w:rsid w:val="2D423ED0"/>
    <w:rsid w:val="2D820E12"/>
    <w:rsid w:val="2DF33D2D"/>
    <w:rsid w:val="2F4A2072"/>
    <w:rsid w:val="2F5F5179"/>
    <w:rsid w:val="31646D62"/>
    <w:rsid w:val="31A43590"/>
    <w:rsid w:val="31F938DC"/>
    <w:rsid w:val="3227669B"/>
    <w:rsid w:val="32BF7DF5"/>
    <w:rsid w:val="32C831C6"/>
    <w:rsid w:val="3489363D"/>
    <w:rsid w:val="35DE52C2"/>
    <w:rsid w:val="365674CE"/>
    <w:rsid w:val="36603F29"/>
    <w:rsid w:val="36A5033B"/>
    <w:rsid w:val="37563EAA"/>
    <w:rsid w:val="375B7008"/>
    <w:rsid w:val="37781747"/>
    <w:rsid w:val="37AA09F4"/>
    <w:rsid w:val="38290EA6"/>
    <w:rsid w:val="3852768E"/>
    <w:rsid w:val="38D120EC"/>
    <w:rsid w:val="38D429AD"/>
    <w:rsid w:val="393E2920"/>
    <w:rsid w:val="3A6E1D52"/>
    <w:rsid w:val="3AA45F5B"/>
    <w:rsid w:val="3BE455FD"/>
    <w:rsid w:val="3C7601FF"/>
    <w:rsid w:val="3D6955AA"/>
    <w:rsid w:val="3E6B790F"/>
    <w:rsid w:val="3E9A7DBD"/>
    <w:rsid w:val="3F450160"/>
    <w:rsid w:val="3FEC558C"/>
    <w:rsid w:val="400224F5"/>
    <w:rsid w:val="40AF61D9"/>
    <w:rsid w:val="42022339"/>
    <w:rsid w:val="421502BE"/>
    <w:rsid w:val="42BE25A5"/>
    <w:rsid w:val="42DC73F2"/>
    <w:rsid w:val="43B115BE"/>
    <w:rsid w:val="44D50CED"/>
    <w:rsid w:val="46072613"/>
    <w:rsid w:val="464E3D9E"/>
    <w:rsid w:val="46AE0CE1"/>
    <w:rsid w:val="480B4603"/>
    <w:rsid w:val="48D16F09"/>
    <w:rsid w:val="48EB0A3F"/>
    <w:rsid w:val="49383037"/>
    <w:rsid w:val="49415E3C"/>
    <w:rsid w:val="49893C02"/>
    <w:rsid w:val="49E1317B"/>
    <w:rsid w:val="4BBC6851"/>
    <w:rsid w:val="4CF15706"/>
    <w:rsid w:val="4E0F6509"/>
    <w:rsid w:val="4E6879C7"/>
    <w:rsid w:val="4E8D7177"/>
    <w:rsid w:val="4EE447E9"/>
    <w:rsid w:val="4FCB2904"/>
    <w:rsid w:val="5023629C"/>
    <w:rsid w:val="50C0499E"/>
    <w:rsid w:val="514B2CD1"/>
    <w:rsid w:val="5264494A"/>
    <w:rsid w:val="5267646F"/>
    <w:rsid w:val="52756B57"/>
    <w:rsid w:val="52B41FD2"/>
    <w:rsid w:val="53760DD8"/>
    <w:rsid w:val="5386726D"/>
    <w:rsid w:val="53FA37B7"/>
    <w:rsid w:val="54BD046C"/>
    <w:rsid w:val="5543118E"/>
    <w:rsid w:val="55B1434A"/>
    <w:rsid w:val="56865913"/>
    <w:rsid w:val="56D4639E"/>
    <w:rsid w:val="57795DBC"/>
    <w:rsid w:val="57BE68AA"/>
    <w:rsid w:val="58816255"/>
    <w:rsid w:val="58B32187"/>
    <w:rsid w:val="58BD34B0"/>
    <w:rsid w:val="58F81E08"/>
    <w:rsid w:val="596B43FF"/>
    <w:rsid w:val="59E24AD2"/>
    <w:rsid w:val="59E43914"/>
    <w:rsid w:val="5A0338C6"/>
    <w:rsid w:val="5A64295C"/>
    <w:rsid w:val="5AA52BF8"/>
    <w:rsid w:val="5AE63866"/>
    <w:rsid w:val="5B6466A7"/>
    <w:rsid w:val="5BA06F4E"/>
    <w:rsid w:val="5BFD2097"/>
    <w:rsid w:val="5CB06096"/>
    <w:rsid w:val="5F304531"/>
    <w:rsid w:val="6083330E"/>
    <w:rsid w:val="60EF5D26"/>
    <w:rsid w:val="61693C9D"/>
    <w:rsid w:val="64101163"/>
    <w:rsid w:val="64CC0F4B"/>
    <w:rsid w:val="64E03B51"/>
    <w:rsid w:val="64F25DE5"/>
    <w:rsid w:val="66BE0674"/>
    <w:rsid w:val="671909AE"/>
    <w:rsid w:val="67566AFF"/>
    <w:rsid w:val="677F3657"/>
    <w:rsid w:val="679D17B5"/>
    <w:rsid w:val="6821566B"/>
    <w:rsid w:val="682409AB"/>
    <w:rsid w:val="683E338D"/>
    <w:rsid w:val="68802085"/>
    <w:rsid w:val="69F84472"/>
    <w:rsid w:val="6A0563C8"/>
    <w:rsid w:val="6B5E2281"/>
    <w:rsid w:val="6C8B0FF9"/>
    <w:rsid w:val="6D02487F"/>
    <w:rsid w:val="6D055865"/>
    <w:rsid w:val="6DA07FE9"/>
    <w:rsid w:val="6DAA54AF"/>
    <w:rsid w:val="6DD34E6A"/>
    <w:rsid w:val="6DDE1E18"/>
    <w:rsid w:val="6E52466A"/>
    <w:rsid w:val="6EE302A2"/>
    <w:rsid w:val="6F1573E9"/>
    <w:rsid w:val="6F304114"/>
    <w:rsid w:val="6FD43A8D"/>
    <w:rsid w:val="7068068C"/>
    <w:rsid w:val="70B11484"/>
    <w:rsid w:val="710D6C22"/>
    <w:rsid w:val="712A5353"/>
    <w:rsid w:val="71E93BED"/>
    <w:rsid w:val="73D019E7"/>
    <w:rsid w:val="73EA4202"/>
    <w:rsid w:val="75212B78"/>
    <w:rsid w:val="75FC4D15"/>
    <w:rsid w:val="764D4466"/>
    <w:rsid w:val="768E2E31"/>
    <w:rsid w:val="7701279F"/>
    <w:rsid w:val="773B72C5"/>
    <w:rsid w:val="77637BB6"/>
    <w:rsid w:val="778066D5"/>
    <w:rsid w:val="778366F5"/>
    <w:rsid w:val="78A05677"/>
    <w:rsid w:val="79501600"/>
    <w:rsid w:val="79D6789C"/>
    <w:rsid w:val="7A401675"/>
    <w:rsid w:val="7A9E411F"/>
    <w:rsid w:val="7AC74251"/>
    <w:rsid w:val="7AE4629A"/>
    <w:rsid w:val="7BEC38BF"/>
    <w:rsid w:val="7C5E577B"/>
    <w:rsid w:val="7CFC55FB"/>
    <w:rsid w:val="7D3B1DD7"/>
    <w:rsid w:val="7D646FC7"/>
    <w:rsid w:val="7D785324"/>
    <w:rsid w:val="7D96647C"/>
    <w:rsid w:val="7DFB58B2"/>
    <w:rsid w:val="7E01736D"/>
    <w:rsid w:val="7E445A99"/>
    <w:rsid w:val="7E8F758A"/>
    <w:rsid w:val="7EA33A11"/>
    <w:rsid w:val="7EE32C29"/>
    <w:rsid w:val="7FB661C6"/>
    <w:rsid w:val="7FD31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720" w:lineRule="auto"/>
      <w:ind w:firstLine="200" w:firstLineChars="200"/>
    </w:pPr>
    <w:rPr>
      <w:rFonts w:ascii="宋体" w:hAnsi="宋体" w:eastAsia="微软雅黑" w:cs="宋体"/>
      <w:sz w:val="28"/>
      <w:szCs w:val="28"/>
    </w:rPr>
  </w:style>
  <w:style w:type="paragraph" w:styleId="3">
    <w:name w:val="Body Text Indent"/>
    <w:basedOn w:val="1"/>
    <w:next w:val="2"/>
    <w:qFormat/>
    <w:uiPriority w:val="0"/>
    <w:pPr>
      <w:spacing w:after="120"/>
      <w:ind w:left="200" w:leftChars="200"/>
    </w:pPr>
  </w:style>
  <w:style w:type="paragraph" w:styleId="5">
    <w:name w:val="Salutation"/>
    <w:basedOn w:val="1"/>
    <w:next w:val="1"/>
    <w:qFormat/>
    <w:uiPriority w:val="99"/>
  </w:style>
  <w:style w:type="paragraph" w:styleId="6">
    <w:name w:val="Body Text"/>
    <w:basedOn w:val="1"/>
    <w:qFormat/>
    <w:uiPriority w:val="0"/>
    <w:pPr>
      <w:spacing w:after="120"/>
    </w:pPr>
    <w:rPr>
      <w:rFonts w:ascii="Times New Roman" w:hAnsi="Times New Roman" w:eastAsia="方正小标宋简体"/>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unhideWhenUsed/>
    <w:qFormat/>
    <w:uiPriority w:val="0"/>
    <w:pPr>
      <w:ind w:left="400" w:leftChars="200" w:hanging="200" w:hangingChars="200"/>
    </w:pPr>
  </w:style>
  <w:style w:type="paragraph" w:styleId="12">
    <w:name w:val="List Paragraph"/>
    <w:basedOn w:val="1"/>
    <w:qFormat/>
    <w:uiPriority w:val="99"/>
    <w:pPr>
      <w:ind w:firstLine="420" w:firstLineChars="200"/>
    </w:pPr>
  </w:style>
  <w:style w:type="paragraph" w:customStyle="1" w:styleId="13">
    <w:name w:val="正文文本1"/>
    <w:basedOn w:val="1"/>
    <w:qFormat/>
    <w:uiPriority w:val="99"/>
    <w:pPr>
      <w:spacing w:before="93"/>
    </w:pPr>
    <w:rPr>
      <w:rFonts w:ascii="仿宋_GB2312" w:hAnsi="仿宋_GB2312" w:eastAsia="仿宋_GB2312"/>
      <w:kern w:val="0"/>
      <w:sz w:val="30"/>
      <w:szCs w:val="20"/>
    </w:rPr>
  </w:style>
  <w:style w:type="character" w:customStyle="1" w:styleId="14">
    <w:name w:val="标题 2 字符"/>
    <w:basedOn w:val="11"/>
    <w:link w:val="4"/>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3300</Words>
  <Characters>3792</Characters>
  <Lines>4</Lines>
  <Paragraphs>6</Paragraphs>
  <TotalTime>0</TotalTime>
  <ScaleCrop>false</ScaleCrop>
  <LinksUpToDate>false</LinksUpToDate>
  <CharactersWithSpaces>3806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雪落无声</cp:lastModifiedBy>
  <cp:lastPrinted>2026-03-31T08:36:00Z</cp:lastPrinted>
  <dcterms:modified xsi:type="dcterms:W3CDTF">2026-04-01T02:38:51Z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