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0589A">
      <w:pPr>
        <w:pStyle w:val="7"/>
        <w:rPr>
          <w:rFonts w:hint="eastAsia" w:ascii="Times New Roman" w:hAnsi="Times New Roman" w:eastAsia="方正小标宋简体" w:cs="Times New Roman"/>
          <w:color w:val="auto"/>
          <w:kern w:val="2"/>
          <w:sz w:val="72"/>
          <w:szCs w:val="72"/>
          <w:highlight w:val="none"/>
          <w:lang w:val="en-US" w:eastAsia="zh-CN" w:bidi="ar-SA"/>
        </w:rPr>
      </w:pPr>
      <w:bookmarkStart w:id="0" w:name="_Toc15306267"/>
      <w:bookmarkStart w:id="1" w:name="_Toc15396597"/>
      <w:bookmarkStart w:id="2" w:name="_Toc15377193"/>
      <w:bookmarkStart w:id="3" w:name="_Toc15378441"/>
      <w:bookmarkStart w:id="4" w:name="_Toc15396475"/>
      <w:bookmarkStart w:id="5" w:name="_Toc15377425"/>
    </w:p>
    <w:p w14:paraId="2B81399B">
      <w:pPr>
        <w:pStyle w:val="7"/>
        <w:rPr>
          <w:rFonts w:hint="eastAsia" w:ascii="Times New Roman" w:hAnsi="Times New Roman" w:eastAsia="方正小标宋简体" w:cs="Times New Roman"/>
          <w:color w:val="auto"/>
          <w:kern w:val="2"/>
          <w:sz w:val="72"/>
          <w:szCs w:val="72"/>
          <w:highlight w:val="none"/>
          <w:lang w:val="en-US" w:eastAsia="zh-CN" w:bidi="ar-SA"/>
        </w:rPr>
      </w:pPr>
    </w:p>
    <w:p w14:paraId="017D3EFE">
      <w:pPr>
        <w:pStyle w:val="7"/>
        <w:rPr>
          <w:rFonts w:hint="eastAsia" w:ascii="Times New Roman" w:hAnsi="Times New Roman" w:eastAsia="方正小标宋简体" w:cs="Times New Roman"/>
          <w:color w:val="auto"/>
          <w:kern w:val="2"/>
          <w:sz w:val="72"/>
          <w:szCs w:val="72"/>
          <w:highlight w:val="none"/>
          <w:lang w:val="en-US" w:eastAsia="zh-CN" w:bidi="ar-SA"/>
        </w:rPr>
      </w:pPr>
    </w:p>
    <w:p w14:paraId="79A64C4F">
      <w:pPr>
        <w:pStyle w:val="7"/>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w:t>
      </w:r>
      <w:r>
        <w:rPr>
          <w:rFonts w:hint="eastAsia" w:ascii="Times New Roman" w:hAnsi="Times New Roman" w:eastAsia="方正小标宋简体" w:cs="Times New Roman"/>
          <w:color w:val="auto"/>
          <w:kern w:val="2"/>
          <w:sz w:val="44"/>
          <w:szCs w:val="44"/>
          <w:highlight w:val="none"/>
          <w:lang w:val="en-US" w:eastAsia="zh-CN" w:bidi="ar-SA"/>
        </w:rPr>
        <w:t>年度</w:t>
      </w:r>
      <w:r>
        <w:rPr>
          <w:rFonts w:hint="eastAsia" w:ascii="方正小标宋简体" w:hAnsi="宋体" w:eastAsia="方正小标宋简体" w:cs="Times New Roman"/>
          <w:color w:val="auto"/>
          <w:kern w:val="2"/>
          <w:sz w:val="44"/>
          <w:szCs w:val="44"/>
          <w:highlight w:val="none"/>
          <w:lang w:val="en-US" w:eastAsia="zh-CN" w:bidi="ar-SA"/>
        </w:rPr>
        <w:t>四川省阿坝州</w:t>
      </w:r>
    </w:p>
    <w:p w14:paraId="4C9B97CC">
      <w:pPr>
        <w:pStyle w:val="7"/>
        <w:jc w:val="center"/>
        <w:rPr>
          <w:rFonts w:ascii="Times New Roman" w:hAnsi="Times New Roman" w:eastAsia="方正小标宋简体"/>
          <w:color w:val="auto"/>
          <w:sz w:val="72"/>
          <w:szCs w:val="72"/>
          <w:highlight w:val="none"/>
        </w:rPr>
      </w:pPr>
      <w:r>
        <w:rPr>
          <w:rFonts w:hint="eastAsia" w:ascii="Times New Roman" w:eastAsia="方正小标宋简体" w:cs="Times New Roman"/>
          <w:color w:val="auto"/>
          <w:kern w:val="2"/>
          <w:sz w:val="44"/>
          <w:szCs w:val="44"/>
          <w:highlight w:val="none"/>
          <w:lang w:val="en-US" w:eastAsia="zh-CN" w:bidi="ar-SA"/>
        </w:rPr>
        <w:t>茂县博物馆</w:t>
      </w:r>
      <w:r>
        <w:rPr>
          <w:rFonts w:hint="eastAsia" w:ascii="Times New Roman" w:hAnsi="Times New Roman" w:eastAsia="方正小标宋简体" w:cs="Times New Roman"/>
          <w:color w:val="auto"/>
          <w:kern w:val="2"/>
          <w:sz w:val="44"/>
          <w:szCs w:val="44"/>
          <w:highlight w:val="none"/>
          <w:lang w:val="en-US" w:eastAsia="zh-CN" w:bidi="ar-SA"/>
        </w:rPr>
        <w:t>单位决算公开</w:t>
      </w:r>
    </w:p>
    <w:p w14:paraId="19ACAAD5">
      <w:pPr>
        <w:pStyle w:val="22"/>
        <w:rPr>
          <w:rFonts w:ascii="Times New Roman" w:hAnsi="Times New Roman"/>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14:paraId="2E99E7A6">
      <w:pPr>
        <w:widowControl/>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14:paraId="7C0AFB5B">
      <w:pPr>
        <w:pStyle w:val="15"/>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4 </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highlight w:val="none"/>
          <w:lang w:val="en-US" w:eastAsia="zh-CN" w:bidi="ar-SA"/>
        </w:rPr>
        <w:id w:val="147468918"/>
        <w15:color w:val="DBDBDB"/>
        <w:docPartObj>
          <w:docPartGallery w:val="Table of Contents"/>
          <w:docPartUnique/>
        </w:docPartObj>
      </w:sdtPr>
      <w:sdtEndPr>
        <w:rPr>
          <w:rFonts w:ascii="Times New Roman" w:hAnsi="Times New Roman" w:eastAsia="宋体" w:cs="Times New Roman"/>
          <w:color w:val="auto"/>
          <w:kern w:val="2"/>
          <w:sz w:val="21"/>
          <w:szCs w:val="24"/>
          <w:highlight w:val="none"/>
          <w:lang w:val="en-US" w:eastAsia="zh-CN" w:bidi="ar-SA"/>
        </w:rPr>
      </w:sdtEndPr>
      <w:sdtContent>
        <w:p w14:paraId="30222DBC">
          <w:pPr>
            <w:spacing w:before="0" w:beforeLines="0" w:after="0" w:afterLines="0" w:line="240" w:lineRule="auto"/>
            <w:ind w:left="0" w:leftChars="0" w:right="0" w:rightChars="0" w:firstLine="0" w:firstLineChars="0"/>
            <w:jc w:val="both"/>
            <w:rPr>
              <w:highlight w:val="none"/>
            </w:rPr>
          </w:pPr>
        </w:p>
        <w:p w14:paraId="04329ABA">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ascii="Times New Roman" w:hAnsi="Times New Roman"/>
              <w:color w:val="auto"/>
              <w:sz w:val="24"/>
              <w:szCs w:val="24"/>
              <w:highlight w:val="none"/>
            </w:rPr>
            <w:fldChar w:fldCharType="begin"/>
          </w:r>
          <w:r>
            <w:rPr>
              <w:rFonts w:ascii="Times New Roman" w:hAnsi="Times New Roman"/>
              <w:color w:val="auto"/>
              <w:sz w:val="24"/>
              <w:szCs w:val="24"/>
              <w:highlight w:val="none"/>
            </w:rPr>
            <w:instrText xml:space="preserve">TOC \o "1-2" \h \u </w:instrText>
          </w:r>
          <w:r>
            <w:rPr>
              <w:rFonts w:ascii="Times New Roman" w:hAnsi="Times New Roman"/>
              <w:color w:val="auto"/>
              <w:sz w:val="24"/>
              <w:szCs w:val="24"/>
              <w:highlight w:val="none"/>
            </w:rPr>
            <w:fldChar w:fldCharType="separate"/>
          </w: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_Toc19431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第一部分</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 xml:space="preserve"> </w:t>
          </w:r>
          <w:r>
            <w:rPr>
              <w:rFonts w:hint="eastAsia" w:ascii="仿宋" w:hAnsi="仿宋" w:eastAsia="仿宋" w:cs="仿宋"/>
              <w:bCs w:val="0"/>
              <w:sz w:val="24"/>
              <w:szCs w:val="24"/>
              <w:highlight w:val="none"/>
              <w:lang w:val="en-US" w:eastAsia="zh-CN"/>
            </w:rPr>
            <w:t>单位</w:t>
          </w:r>
          <w:r>
            <w:rPr>
              <w:rFonts w:hint="eastAsia" w:ascii="仿宋" w:hAnsi="仿宋" w:eastAsia="仿宋" w:cs="仿宋"/>
              <w:bCs w:val="0"/>
              <w:sz w:val="24"/>
              <w:szCs w:val="24"/>
              <w:highlight w:val="none"/>
            </w:rPr>
            <w:t>概况</w:t>
          </w:r>
          <w:r>
            <w:rPr>
              <w:rFonts w:hint="eastAsia" w:ascii="仿宋" w:hAnsi="仿宋" w:eastAsia="仿宋" w:cs="仿宋"/>
              <w:sz w:val="24"/>
              <w:szCs w:val="24"/>
              <w:highlight w:val="none"/>
            </w:rPr>
            <w:tab/>
          </w:r>
          <w:r>
            <w:rPr>
              <w:rFonts w:hint="eastAsia" w:ascii="仿宋" w:hAnsi="仿宋" w:eastAsia="仿宋" w:cs="仿宋"/>
              <w:sz w:val="24"/>
              <w:szCs w:val="24"/>
              <w:highlight w:val="none"/>
            </w:rPr>
            <w:fldChar w:fldCharType="begin"/>
          </w:r>
          <w:r>
            <w:rPr>
              <w:rFonts w:hint="eastAsia" w:ascii="仿宋" w:hAnsi="仿宋" w:eastAsia="仿宋" w:cs="仿宋"/>
              <w:sz w:val="24"/>
              <w:szCs w:val="24"/>
              <w:highlight w:val="none"/>
            </w:rPr>
            <w:instrText xml:space="preserve"> PAGEREF _Toc19431 \h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3</w:t>
          </w:r>
          <w:r>
            <w:rPr>
              <w:rFonts w:hint="eastAsia" w:ascii="仿宋" w:hAnsi="仿宋" w:eastAsia="仿宋" w:cs="仿宋"/>
              <w:sz w:val="24"/>
              <w:szCs w:val="24"/>
              <w:highlight w:val="none"/>
            </w:rPr>
            <w:fldChar w:fldCharType="end"/>
          </w:r>
          <w:r>
            <w:rPr>
              <w:rFonts w:hint="eastAsia" w:ascii="仿宋" w:hAnsi="仿宋" w:eastAsia="仿宋" w:cs="仿宋"/>
              <w:color w:val="auto"/>
              <w:sz w:val="24"/>
              <w:szCs w:val="24"/>
              <w:highlight w:val="none"/>
            </w:rPr>
            <w:fldChar w:fldCharType="end"/>
          </w:r>
        </w:p>
        <w:p w14:paraId="78EED6A3">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_Toc24258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一、</w:t>
          </w:r>
          <w:r>
            <w:rPr>
              <w:rFonts w:hint="eastAsia" w:ascii="宋体" w:hAnsi="宋体" w:eastAsia="宋体" w:cs="宋体"/>
              <w:sz w:val="24"/>
              <w:szCs w:val="24"/>
              <w:highlight w:val="none"/>
              <w:lang w:val="en-US" w:eastAsia="zh-CN"/>
            </w:rPr>
            <w:t>主要</w:t>
          </w:r>
          <w:r>
            <w:rPr>
              <w:rFonts w:hint="eastAsia" w:ascii="宋体" w:hAnsi="宋体" w:eastAsia="宋体" w:cs="宋体"/>
              <w:sz w:val="24"/>
              <w:szCs w:val="24"/>
              <w:highlight w:val="none"/>
              <w:lang w:eastAsia="zh-CN"/>
            </w:rPr>
            <w:t>职责</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_Toc24258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3</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00B0C3BB">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_Toc8878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二、机</w:t>
          </w:r>
          <w:r>
            <w:rPr>
              <w:rFonts w:hint="eastAsia" w:ascii="宋体" w:hAnsi="宋体" w:eastAsia="宋体" w:cs="宋体"/>
              <w:bCs w:val="0"/>
              <w:sz w:val="24"/>
              <w:szCs w:val="24"/>
              <w:highlight w:val="none"/>
            </w:rPr>
            <w:t>构设置</w:t>
          </w:r>
          <w:r>
            <w:rPr>
              <w:rFonts w:hint="eastAsia" w:ascii="宋体" w:hAnsi="宋体" w:eastAsia="宋体" w:cs="宋体"/>
              <w:sz w:val="24"/>
              <w:szCs w:val="24"/>
              <w:highlight w:val="none"/>
            </w:rPr>
            <w:tab/>
          </w:r>
          <w:r>
            <w:rPr>
              <w:rFonts w:hint="eastAsia" w:ascii="宋体" w:hAnsi="宋体" w:cs="宋体"/>
              <w:sz w:val="24"/>
              <w:szCs w:val="24"/>
              <w:highlight w:val="none"/>
              <w:lang w:val="en-US" w:eastAsia="zh-CN"/>
            </w:rPr>
            <w:t>3</w:t>
          </w:r>
          <w:r>
            <w:rPr>
              <w:rFonts w:hint="eastAsia" w:ascii="宋体" w:hAnsi="宋体" w:eastAsia="宋体" w:cs="宋体"/>
              <w:color w:val="auto"/>
              <w:sz w:val="24"/>
              <w:szCs w:val="24"/>
              <w:highlight w:val="none"/>
            </w:rPr>
            <w:fldChar w:fldCharType="end"/>
          </w:r>
        </w:p>
        <w:p w14:paraId="7CD40811">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_Toc28256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第二部分</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 xml:space="preserve"> </w:t>
          </w:r>
          <w:r>
            <w:rPr>
              <w:rFonts w:hint="eastAsia" w:ascii="仿宋" w:hAnsi="仿宋" w:eastAsia="仿宋" w:cs="仿宋"/>
              <w:sz w:val="24"/>
              <w:szCs w:val="24"/>
              <w:highlight w:val="none"/>
              <w:lang w:val="en-US" w:eastAsia="zh-CN"/>
            </w:rPr>
            <w:t>2025年度</w:t>
          </w:r>
          <w:r>
            <w:rPr>
              <w:rFonts w:hint="eastAsia" w:ascii="仿宋" w:hAnsi="仿宋" w:eastAsia="仿宋" w:cs="仿宋"/>
              <w:sz w:val="24"/>
              <w:szCs w:val="24"/>
              <w:highlight w:val="none"/>
            </w:rPr>
            <w:t>部门决算情况说明</w:t>
          </w:r>
          <w:r>
            <w:rPr>
              <w:rFonts w:hint="eastAsia" w:ascii="仿宋" w:hAnsi="仿宋" w:eastAsia="仿宋" w:cs="仿宋"/>
              <w:sz w:val="24"/>
              <w:szCs w:val="24"/>
              <w:highlight w:val="none"/>
            </w:rPr>
            <w:tab/>
          </w:r>
          <w:r>
            <w:rPr>
              <w:rFonts w:hint="eastAsia" w:cs="仿宋"/>
              <w:sz w:val="24"/>
              <w:szCs w:val="24"/>
              <w:highlight w:val="none"/>
              <w:lang w:val="en-US" w:eastAsia="zh-CN"/>
            </w:rPr>
            <w:t>4</w:t>
          </w:r>
          <w:r>
            <w:rPr>
              <w:rFonts w:hint="eastAsia" w:ascii="仿宋" w:hAnsi="仿宋" w:eastAsia="仿宋" w:cs="仿宋"/>
              <w:color w:val="auto"/>
              <w:sz w:val="24"/>
              <w:szCs w:val="24"/>
              <w:highlight w:val="none"/>
            </w:rPr>
            <w:fldChar w:fldCharType="end"/>
          </w:r>
        </w:p>
        <w:p w14:paraId="501B06C5">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_Toc24091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lang w:eastAsia="zh-CN"/>
            </w:rPr>
            <w:t>一、</w:t>
          </w:r>
          <w:r>
            <w:rPr>
              <w:rFonts w:hint="eastAsia" w:ascii="宋体" w:hAnsi="宋体" w:eastAsia="宋体" w:cs="宋体"/>
              <w:sz w:val="24"/>
              <w:szCs w:val="24"/>
              <w:highlight w:val="none"/>
            </w:rPr>
            <w:t>收入支出决算总体情况说明</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_Toc24091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4</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4B52C63C">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_Toc2787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lang w:eastAsia="zh-CN"/>
            </w:rPr>
            <w:t>二、收入决算情况说明</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_Toc2787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4</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0FB2A825">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_Toc29520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lang w:eastAsia="zh-CN"/>
            </w:rPr>
            <w:t>三、</w:t>
          </w:r>
          <w:r>
            <w:rPr>
              <w:rFonts w:hint="eastAsia" w:ascii="宋体" w:hAnsi="宋体" w:eastAsia="宋体" w:cs="宋体"/>
              <w:sz w:val="24"/>
              <w:szCs w:val="24"/>
              <w:highlight w:val="none"/>
            </w:rPr>
            <w:t>支出决算情况说明</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_Toc29520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5</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5D790B9F">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_Toc1450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四、财政拨款收入支出决算总体情况说明</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_Toc1450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5</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0CEF3B04">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_Toc25580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五、一般公共预算财政拨款支出决算情况说明</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_Toc25580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6</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22F90E17">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_Toc24743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六、一般公共预算财政拨款基本支出决算情况说明</w:t>
          </w:r>
          <w:r>
            <w:rPr>
              <w:rFonts w:hint="eastAsia" w:ascii="宋体" w:hAnsi="宋体" w:eastAsia="宋体" w:cs="宋体"/>
              <w:sz w:val="24"/>
              <w:szCs w:val="24"/>
              <w:highlight w:val="none"/>
            </w:rPr>
            <w:tab/>
          </w:r>
          <w:r>
            <w:rPr>
              <w:rFonts w:hint="eastAsia" w:ascii="宋体" w:hAnsi="宋体" w:cs="宋体"/>
              <w:sz w:val="24"/>
              <w:szCs w:val="24"/>
              <w:highlight w:val="none"/>
              <w:lang w:val="en-US" w:eastAsia="zh-CN"/>
            </w:rPr>
            <w:t>8</w:t>
          </w:r>
          <w:r>
            <w:rPr>
              <w:rFonts w:hint="eastAsia" w:ascii="宋体" w:hAnsi="宋体" w:eastAsia="宋体" w:cs="宋体"/>
              <w:color w:val="auto"/>
              <w:sz w:val="24"/>
              <w:szCs w:val="24"/>
              <w:highlight w:val="none"/>
            </w:rPr>
            <w:fldChar w:fldCharType="end"/>
          </w:r>
          <w:bookmarkStart w:id="81" w:name="_GoBack"/>
          <w:bookmarkEnd w:id="81"/>
        </w:p>
        <w:p w14:paraId="4EFF7BD1">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_Toc23968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七、财政拨款“三公”经费支出决算情况说明</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_Toc23968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9</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0D280C53">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_Toc8237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八、政府性基金预算支出决算情况说明</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_Toc8237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10</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648F44E4">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_Toc13134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lang w:eastAsia="zh-CN"/>
            </w:rPr>
            <w:t>九、</w:t>
          </w:r>
          <w:r>
            <w:rPr>
              <w:rFonts w:hint="eastAsia" w:ascii="宋体" w:hAnsi="宋体" w:eastAsia="宋体" w:cs="宋体"/>
              <w:sz w:val="24"/>
              <w:szCs w:val="24"/>
              <w:highlight w:val="none"/>
            </w:rPr>
            <w:t>国有资本经营预算支出决算情况说明</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_Toc13134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10</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334824BA">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_Toc5123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lang w:eastAsia="zh-CN"/>
            </w:rPr>
            <w:t>十、</w:t>
          </w:r>
          <w:r>
            <w:rPr>
              <w:rFonts w:hint="eastAsia" w:ascii="宋体" w:hAnsi="宋体" w:eastAsia="宋体" w:cs="宋体"/>
              <w:sz w:val="24"/>
              <w:szCs w:val="24"/>
              <w:highlight w:val="none"/>
            </w:rPr>
            <w:t>其他重要事项的情况说明</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_Toc5123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10</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44F41643">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_Toc25673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第</w:t>
          </w:r>
          <w:r>
            <w:rPr>
              <w:rFonts w:hint="eastAsia" w:ascii="仿宋" w:hAnsi="仿宋" w:eastAsia="仿宋" w:cs="仿宋"/>
              <w:sz w:val="24"/>
              <w:szCs w:val="24"/>
              <w:highlight w:val="none"/>
              <w:lang w:eastAsia="zh-CN"/>
            </w:rPr>
            <w:t>三</w:t>
          </w:r>
          <w:r>
            <w:rPr>
              <w:rFonts w:hint="eastAsia" w:ascii="仿宋" w:hAnsi="仿宋" w:eastAsia="仿宋" w:cs="仿宋"/>
              <w:sz w:val="24"/>
              <w:szCs w:val="24"/>
              <w:highlight w:val="none"/>
            </w:rPr>
            <w:t>部分</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名词解释</w:t>
          </w:r>
          <w:r>
            <w:rPr>
              <w:rFonts w:hint="eastAsia" w:ascii="仿宋" w:hAnsi="仿宋" w:eastAsia="仿宋" w:cs="仿宋"/>
              <w:sz w:val="24"/>
              <w:szCs w:val="24"/>
              <w:highlight w:val="none"/>
            </w:rPr>
            <w:tab/>
          </w:r>
          <w:r>
            <w:rPr>
              <w:rFonts w:hint="eastAsia" w:ascii="仿宋" w:hAnsi="仿宋" w:eastAsia="仿宋" w:cs="仿宋"/>
              <w:sz w:val="24"/>
              <w:szCs w:val="24"/>
              <w:highlight w:val="none"/>
            </w:rPr>
            <w:fldChar w:fldCharType="begin"/>
          </w:r>
          <w:r>
            <w:rPr>
              <w:rFonts w:hint="eastAsia" w:ascii="仿宋" w:hAnsi="仿宋" w:eastAsia="仿宋" w:cs="仿宋"/>
              <w:sz w:val="24"/>
              <w:szCs w:val="24"/>
              <w:highlight w:val="none"/>
            </w:rPr>
            <w:instrText xml:space="preserve"> PAGEREF _Toc25673 \h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12</w:t>
          </w:r>
          <w:r>
            <w:rPr>
              <w:rFonts w:hint="eastAsia" w:ascii="仿宋" w:hAnsi="仿宋" w:eastAsia="仿宋" w:cs="仿宋"/>
              <w:sz w:val="24"/>
              <w:szCs w:val="24"/>
              <w:highlight w:val="none"/>
            </w:rPr>
            <w:fldChar w:fldCharType="end"/>
          </w:r>
          <w:r>
            <w:rPr>
              <w:rFonts w:hint="eastAsia" w:ascii="仿宋" w:hAnsi="仿宋" w:eastAsia="仿宋" w:cs="仿宋"/>
              <w:color w:val="auto"/>
              <w:sz w:val="24"/>
              <w:szCs w:val="24"/>
              <w:highlight w:val="none"/>
            </w:rPr>
            <w:fldChar w:fldCharType="end"/>
          </w:r>
        </w:p>
        <w:p w14:paraId="189E4041">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_Toc6707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第四部分</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 xml:space="preserve"> 附件</w:t>
          </w:r>
          <w:r>
            <w:rPr>
              <w:rFonts w:hint="eastAsia" w:ascii="仿宋" w:hAnsi="仿宋" w:eastAsia="仿宋" w:cs="仿宋"/>
              <w:sz w:val="24"/>
              <w:szCs w:val="24"/>
              <w:highlight w:val="none"/>
            </w:rPr>
            <w:tab/>
          </w:r>
          <w:r>
            <w:rPr>
              <w:rFonts w:hint="eastAsia" w:ascii="仿宋" w:hAnsi="仿宋" w:eastAsia="仿宋" w:cs="仿宋"/>
              <w:sz w:val="24"/>
              <w:szCs w:val="24"/>
              <w:highlight w:val="none"/>
            </w:rPr>
            <w:fldChar w:fldCharType="begin"/>
          </w:r>
          <w:r>
            <w:rPr>
              <w:rFonts w:hint="eastAsia" w:ascii="仿宋" w:hAnsi="仿宋" w:eastAsia="仿宋" w:cs="仿宋"/>
              <w:sz w:val="24"/>
              <w:szCs w:val="24"/>
              <w:highlight w:val="none"/>
            </w:rPr>
            <w:instrText xml:space="preserve"> PAGEREF _Toc6707 \h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15</w:t>
          </w:r>
          <w:r>
            <w:rPr>
              <w:rFonts w:hint="eastAsia" w:ascii="仿宋" w:hAnsi="仿宋" w:eastAsia="仿宋" w:cs="仿宋"/>
              <w:sz w:val="24"/>
              <w:szCs w:val="24"/>
              <w:highlight w:val="none"/>
            </w:rPr>
            <w:fldChar w:fldCharType="end"/>
          </w:r>
          <w:r>
            <w:rPr>
              <w:rFonts w:hint="eastAsia" w:ascii="仿宋" w:hAnsi="仿宋" w:eastAsia="仿宋" w:cs="仿宋"/>
              <w:color w:val="auto"/>
              <w:sz w:val="24"/>
              <w:szCs w:val="24"/>
              <w:highlight w:val="none"/>
            </w:rPr>
            <w:fldChar w:fldCharType="end"/>
          </w:r>
        </w:p>
        <w:p w14:paraId="27AD1933">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rPr>
          </w:pPr>
          <w:r>
            <w:rPr>
              <w:rFonts w:hint="eastAsia" w:ascii="仿宋" w:hAnsi="仿宋" w:eastAsia="仿宋" w:cs="仿宋"/>
              <w:color w:val="auto"/>
              <w:sz w:val="24"/>
              <w:szCs w:val="24"/>
              <w:highlight w:val="none"/>
            </w:rPr>
            <w:fldChar w:fldCharType="begin"/>
          </w:r>
          <w:r>
            <w:rPr>
              <w:rFonts w:hint="eastAsia" w:ascii="仿宋" w:hAnsi="仿宋" w:eastAsia="仿宋" w:cs="仿宋"/>
              <w:sz w:val="24"/>
              <w:szCs w:val="24"/>
              <w:highlight w:val="none"/>
            </w:rPr>
            <w:instrText xml:space="preserve"> HYPERLINK \l _Toc19058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 xml:space="preserve">第五部分 </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附表</w:t>
          </w:r>
          <w:r>
            <w:rPr>
              <w:rFonts w:hint="eastAsia" w:ascii="仿宋" w:hAnsi="仿宋" w:eastAsia="仿宋" w:cs="仿宋"/>
              <w:sz w:val="24"/>
              <w:szCs w:val="24"/>
              <w:highlight w:val="none"/>
            </w:rPr>
            <w:tab/>
          </w:r>
          <w:r>
            <w:rPr>
              <w:rFonts w:hint="eastAsia" w:ascii="仿宋" w:hAnsi="仿宋" w:eastAsia="仿宋" w:cs="仿宋"/>
              <w:sz w:val="24"/>
              <w:szCs w:val="24"/>
              <w:highlight w:val="none"/>
            </w:rPr>
            <w:fldChar w:fldCharType="begin"/>
          </w:r>
          <w:r>
            <w:rPr>
              <w:rFonts w:hint="eastAsia" w:ascii="仿宋" w:hAnsi="仿宋" w:eastAsia="仿宋" w:cs="仿宋"/>
              <w:sz w:val="24"/>
              <w:szCs w:val="24"/>
              <w:highlight w:val="none"/>
            </w:rPr>
            <w:instrText xml:space="preserve"> PAGEREF _Toc19058 \h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17</w:t>
          </w:r>
          <w:r>
            <w:rPr>
              <w:rFonts w:hint="eastAsia" w:ascii="仿宋" w:hAnsi="仿宋" w:eastAsia="仿宋" w:cs="仿宋"/>
              <w:sz w:val="24"/>
              <w:szCs w:val="24"/>
              <w:highlight w:val="none"/>
            </w:rPr>
            <w:fldChar w:fldCharType="end"/>
          </w:r>
          <w:r>
            <w:rPr>
              <w:rFonts w:hint="eastAsia" w:ascii="仿宋" w:hAnsi="仿宋" w:eastAsia="仿宋" w:cs="仿宋"/>
              <w:color w:val="auto"/>
              <w:sz w:val="24"/>
              <w:szCs w:val="24"/>
              <w:highlight w:val="none"/>
            </w:rPr>
            <w:fldChar w:fldCharType="end"/>
          </w:r>
        </w:p>
        <w:p w14:paraId="4DD91056">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_Toc12590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一、收</w:t>
          </w:r>
          <w:r>
            <w:rPr>
              <w:rFonts w:hint="eastAsia" w:ascii="宋体" w:hAnsi="宋体" w:eastAsia="宋体" w:cs="宋体"/>
              <w:bCs w:val="0"/>
              <w:sz w:val="24"/>
              <w:szCs w:val="24"/>
              <w:highlight w:val="none"/>
            </w:rPr>
            <w:t>入支出决算总表</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_Toc12590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17</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3C64C013">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_Toc3644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二、收</w:t>
          </w:r>
          <w:r>
            <w:rPr>
              <w:rFonts w:hint="eastAsia" w:ascii="宋体" w:hAnsi="宋体" w:eastAsia="宋体" w:cs="宋体"/>
              <w:bCs w:val="0"/>
              <w:sz w:val="24"/>
              <w:szCs w:val="24"/>
              <w:highlight w:val="none"/>
            </w:rPr>
            <w:t>入决算表</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_Toc3644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17</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4C30C6FC">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_Toc7231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三、</w:t>
          </w:r>
          <w:r>
            <w:rPr>
              <w:rFonts w:hint="eastAsia" w:ascii="宋体" w:hAnsi="宋体" w:eastAsia="宋体" w:cs="宋体"/>
              <w:sz w:val="24"/>
              <w:szCs w:val="24"/>
              <w:highlight w:val="none"/>
            </w:rPr>
            <w:t>支</w:t>
          </w:r>
          <w:r>
            <w:rPr>
              <w:rFonts w:hint="eastAsia" w:ascii="宋体" w:hAnsi="宋体" w:eastAsia="宋体" w:cs="宋体"/>
              <w:bCs w:val="0"/>
              <w:sz w:val="24"/>
              <w:szCs w:val="24"/>
              <w:highlight w:val="none"/>
            </w:rPr>
            <w:t>出决算表</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_Toc7231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17</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530518BB">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_Toc14306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四、</w:t>
          </w:r>
          <w:r>
            <w:rPr>
              <w:rFonts w:hint="eastAsia" w:ascii="宋体" w:hAnsi="宋体" w:eastAsia="宋体" w:cs="宋体"/>
              <w:sz w:val="24"/>
              <w:szCs w:val="24"/>
              <w:highlight w:val="none"/>
            </w:rPr>
            <w:t>财</w:t>
          </w:r>
          <w:r>
            <w:rPr>
              <w:rFonts w:hint="eastAsia" w:ascii="宋体" w:hAnsi="宋体" w:eastAsia="宋体" w:cs="宋体"/>
              <w:bCs w:val="0"/>
              <w:sz w:val="24"/>
              <w:szCs w:val="24"/>
              <w:highlight w:val="none"/>
            </w:rPr>
            <w:t>政拨款收入支出决算总表</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_Toc14306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17</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3991D9FC">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_Toc13409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五、</w:t>
          </w:r>
          <w:r>
            <w:rPr>
              <w:rFonts w:hint="eastAsia" w:ascii="宋体" w:hAnsi="宋体" w:eastAsia="宋体" w:cs="宋体"/>
              <w:sz w:val="24"/>
              <w:szCs w:val="24"/>
              <w:highlight w:val="none"/>
            </w:rPr>
            <w:t>财</w:t>
          </w:r>
          <w:r>
            <w:rPr>
              <w:rFonts w:hint="eastAsia" w:ascii="宋体" w:hAnsi="宋体" w:eastAsia="宋体" w:cs="宋体"/>
              <w:bCs w:val="0"/>
              <w:sz w:val="24"/>
              <w:szCs w:val="24"/>
              <w:highlight w:val="none"/>
            </w:rPr>
            <w:t>政拨款支出决算明细表</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_Toc13409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17</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1308A4DA">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_Toc12125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六、</w:t>
          </w:r>
          <w:r>
            <w:rPr>
              <w:rFonts w:hint="eastAsia" w:ascii="宋体" w:hAnsi="宋体" w:eastAsia="宋体" w:cs="宋体"/>
              <w:sz w:val="24"/>
              <w:szCs w:val="24"/>
              <w:highlight w:val="none"/>
            </w:rPr>
            <w:t>一</w:t>
          </w:r>
          <w:r>
            <w:rPr>
              <w:rFonts w:hint="eastAsia" w:ascii="宋体" w:hAnsi="宋体" w:eastAsia="宋体" w:cs="宋体"/>
              <w:bCs w:val="0"/>
              <w:sz w:val="24"/>
              <w:szCs w:val="24"/>
              <w:highlight w:val="none"/>
            </w:rPr>
            <w:t>般公共预算财政拨款支出决算表</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_Toc12125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17</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055B0A34">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_Toc4337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七、</w:t>
          </w:r>
          <w:r>
            <w:rPr>
              <w:rFonts w:hint="eastAsia" w:ascii="宋体" w:hAnsi="宋体" w:eastAsia="宋体" w:cs="宋体"/>
              <w:sz w:val="24"/>
              <w:szCs w:val="24"/>
              <w:highlight w:val="none"/>
            </w:rPr>
            <w:t>一</w:t>
          </w:r>
          <w:r>
            <w:rPr>
              <w:rFonts w:hint="eastAsia" w:ascii="宋体" w:hAnsi="宋体" w:eastAsia="宋体" w:cs="宋体"/>
              <w:bCs w:val="0"/>
              <w:sz w:val="24"/>
              <w:szCs w:val="24"/>
              <w:highlight w:val="none"/>
            </w:rPr>
            <w:t>般公共预算财政拨款支出决算明细表</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_Toc4337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17</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0FF47169">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_Toc18637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八、</w:t>
          </w:r>
          <w:r>
            <w:rPr>
              <w:rFonts w:hint="eastAsia" w:ascii="宋体" w:hAnsi="宋体" w:eastAsia="宋体" w:cs="宋体"/>
              <w:sz w:val="24"/>
              <w:szCs w:val="24"/>
              <w:highlight w:val="none"/>
            </w:rPr>
            <w:t>一</w:t>
          </w:r>
          <w:r>
            <w:rPr>
              <w:rFonts w:hint="eastAsia" w:ascii="宋体" w:hAnsi="宋体" w:eastAsia="宋体" w:cs="宋体"/>
              <w:bCs w:val="0"/>
              <w:sz w:val="24"/>
              <w:szCs w:val="24"/>
              <w:highlight w:val="none"/>
            </w:rPr>
            <w:t>般公共预算财政拨款基本支出决算表</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_Toc18637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17</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01EF8FEA">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_Toc20188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九、</w:t>
          </w:r>
          <w:r>
            <w:rPr>
              <w:rFonts w:hint="eastAsia" w:ascii="宋体" w:hAnsi="宋体" w:eastAsia="宋体" w:cs="宋体"/>
              <w:sz w:val="24"/>
              <w:szCs w:val="24"/>
              <w:highlight w:val="none"/>
            </w:rPr>
            <w:t>一</w:t>
          </w:r>
          <w:r>
            <w:rPr>
              <w:rFonts w:hint="eastAsia" w:ascii="宋体" w:hAnsi="宋体" w:eastAsia="宋体" w:cs="宋体"/>
              <w:bCs w:val="0"/>
              <w:sz w:val="24"/>
              <w:szCs w:val="24"/>
              <w:highlight w:val="none"/>
            </w:rPr>
            <w:t>般公共预算财政拨款项目支出决算表</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_Toc20188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17</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30B992A7">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_Toc10619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十、</w:t>
          </w:r>
          <w:r>
            <w:rPr>
              <w:rFonts w:hint="eastAsia" w:ascii="宋体" w:hAnsi="宋体" w:eastAsia="宋体" w:cs="宋体"/>
              <w:sz w:val="24"/>
              <w:szCs w:val="24"/>
              <w:highlight w:val="none"/>
            </w:rPr>
            <w:t>政</w:t>
          </w:r>
          <w:r>
            <w:rPr>
              <w:rFonts w:hint="eastAsia" w:ascii="宋体" w:hAnsi="宋体" w:eastAsia="宋体" w:cs="宋体"/>
              <w:bCs w:val="0"/>
              <w:sz w:val="24"/>
              <w:szCs w:val="24"/>
              <w:highlight w:val="none"/>
            </w:rPr>
            <w:t>府性基金预算财政拨款收入支出决算表</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_Toc10619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17</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613C56A4">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_Toc12843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十一、</w:t>
          </w:r>
          <w:r>
            <w:rPr>
              <w:rFonts w:hint="eastAsia" w:ascii="宋体" w:hAnsi="宋体" w:eastAsia="宋体" w:cs="宋体"/>
              <w:sz w:val="24"/>
              <w:szCs w:val="24"/>
              <w:highlight w:val="none"/>
            </w:rPr>
            <w:t>国</w:t>
          </w:r>
          <w:r>
            <w:rPr>
              <w:rFonts w:hint="eastAsia" w:ascii="宋体" w:hAnsi="宋体" w:eastAsia="宋体" w:cs="宋体"/>
              <w:bCs w:val="0"/>
              <w:sz w:val="24"/>
              <w:szCs w:val="24"/>
              <w:highlight w:val="none"/>
            </w:rPr>
            <w:t>有资本经营预算</w:t>
          </w:r>
          <w:r>
            <w:rPr>
              <w:rFonts w:hint="eastAsia" w:ascii="宋体" w:hAnsi="宋体" w:eastAsia="宋体" w:cs="宋体"/>
              <w:bCs w:val="0"/>
              <w:sz w:val="24"/>
              <w:szCs w:val="24"/>
              <w:highlight w:val="none"/>
              <w:lang w:eastAsia="zh-CN"/>
            </w:rPr>
            <w:t>财政拨款收入</w:t>
          </w:r>
          <w:r>
            <w:rPr>
              <w:rFonts w:hint="eastAsia" w:ascii="宋体" w:hAnsi="宋体" w:eastAsia="宋体" w:cs="宋体"/>
              <w:bCs w:val="0"/>
              <w:sz w:val="24"/>
              <w:szCs w:val="24"/>
              <w:highlight w:val="none"/>
            </w:rPr>
            <w:t>支出决算表</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_Toc12843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17</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6FE11386">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_Toc29087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十二、</w:t>
          </w:r>
          <w:r>
            <w:rPr>
              <w:rFonts w:hint="eastAsia" w:ascii="宋体" w:hAnsi="宋体" w:eastAsia="宋体" w:cs="宋体"/>
              <w:bCs w:val="0"/>
              <w:sz w:val="24"/>
              <w:szCs w:val="24"/>
              <w:highlight w:val="none"/>
              <w:lang w:eastAsia="zh-CN"/>
            </w:rPr>
            <w:t>国有资本经营预算财政拨款支出决算表</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_Toc29087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17</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33D1AE37">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sz w:val="24"/>
              <w:szCs w:val="24"/>
              <w:highlight w:val="none"/>
            </w:rPr>
            <w:instrText xml:space="preserve"> HYPERLINK \l _Toc32041 </w:instrText>
          </w:r>
          <w:r>
            <w:rPr>
              <w:rFonts w:hint="eastAsia" w:ascii="宋体" w:hAnsi="宋体" w:eastAsia="宋体" w:cs="宋体"/>
              <w:sz w:val="24"/>
              <w:szCs w:val="24"/>
              <w:highlight w:val="none"/>
            </w:rPr>
            <w:fldChar w:fldCharType="separate"/>
          </w:r>
          <w:r>
            <w:rPr>
              <w:rFonts w:hint="eastAsia" w:ascii="宋体" w:hAnsi="宋体" w:eastAsia="宋体" w:cs="宋体"/>
              <w:bCs w:val="0"/>
              <w:sz w:val="24"/>
              <w:szCs w:val="24"/>
              <w:highlight w:val="none"/>
            </w:rPr>
            <w:t>十三、</w:t>
          </w:r>
          <w:r>
            <w:rPr>
              <w:rFonts w:hint="eastAsia" w:ascii="宋体" w:hAnsi="宋体" w:eastAsia="宋体" w:cs="宋体"/>
              <w:bCs w:val="0"/>
              <w:sz w:val="24"/>
              <w:szCs w:val="24"/>
              <w:highlight w:val="none"/>
              <w:lang w:eastAsia="zh-CN"/>
            </w:rPr>
            <w:t>财政拨款“三公”经费支出决算表</w:t>
          </w:r>
          <w:r>
            <w:rPr>
              <w:rFonts w:hint="eastAsia" w:ascii="宋体" w:hAnsi="宋体" w:eastAsia="宋体" w:cs="宋体"/>
              <w:sz w:val="24"/>
              <w:szCs w:val="24"/>
              <w:highlight w:val="none"/>
            </w:rPr>
            <w:tab/>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PAGEREF _Toc32041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17</w:t>
          </w:r>
          <w:r>
            <w:rPr>
              <w:rFonts w:hint="eastAsia" w:ascii="宋体" w:hAnsi="宋体" w:eastAsia="宋体" w:cs="宋体"/>
              <w:sz w:val="24"/>
              <w:szCs w:val="24"/>
              <w:highlight w:val="none"/>
            </w:rPr>
            <w:fldChar w:fldCharType="end"/>
          </w:r>
          <w:r>
            <w:rPr>
              <w:rFonts w:hint="eastAsia" w:ascii="宋体" w:hAnsi="宋体" w:eastAsia="宋体" w:cs="宋体"/>
              <w:color w:val="auto"/>
              <w:sz w:val="24"/>
              <w:szCs w:val="24"/>
              <w:highlight w:val="none"/>
            </w:rPr>
            <w:fldChar w:fldCharType="end"/>
          </w:r>
        </w:p>
        <w:p w14:paraId="1667E591">
          <w:pPr>
            <w:keepNext w:val="0"/>
            <w:keepLines w:val="0"/>
            <w:pageBreakBefore w:val="0"/>
            <w:widowControl w:val="0"/>
            <w:kinsoku/>
            <w:wordWrap/>
            <w:overflowPunct/>
            <w:topLinePunct w:val="0"/>
            <w:autoSpaceDE/>
            <w:autoSpaceDN/>
            <w:bidi w:val="0"/>
            <w:adjustRightInd/>
            <w:snapToGrid/>
            <w:spacing w:line="288" w:lineRule="auto"/>
            <w:textAlignment w:val="auto"/>
            <w:rPr>
              <w:rFonts w:ascii="Times New Roman" w:hAnsi="Times New Roman" w:eastAsia="宋体" w:cs="Times New Roman"/>
              <w:color w:val="auto"/>
              <w:kern w:val="2"/>
              <w:sz w:val="21"/>
              <w:szCs w:val="24"/>
              <w:highlight w:val="none"/>
              <w:lang w:val="en-US" w:eastAsia="zh-CN" w:bidi="ar-SA"/>
            </w:rPr>
          </w:pPr>
          <w:r>
            <w:rPr>
              <w:rFonts w:ascii="Times New Roman" w:hAnsi="Times New Roman"/>
              <w:color w:val="auto"/>
              <w:sz w:val="24"/>
              <w:szCs w:val="24"/>
              <w:highlight w:val="none"/>
            </w:rPr>
            <w:fldChar w:fldCharType="end"/>
          </w:r>
        </w:p>
      </w:sdtContent>
    </w:sdt>
    <w:p w14:paraId="316C60DE">
      <w:pPr>
        <w:pStyle w:val="16"/>
        <w:rPr>
          <w:highlight w:val="none"/>
        </w:rPr>
      </w:pPr>
    </w:p>
    <w:p w14:paraId="742A448F">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14:paraId="47360B2C">
      <w:pPr>
        <w:pStyle w:val="2"/>
        <w:keepNext/>
        <w:keepLines/>
        <w:pageBreakBefore w:val="0"/>
        <w:widowControl w:val="0"/>
        <w:kinsoku/>
        <w:wordWrap/>
        <w:overflowPunct/>
        <w:topLinePunct w:val="0"/>
        <w:autoSpaceDE/>
        <w:autoSpaceDN/>
        <w:bidi w:val="0"/>
        <w:adjustRightInd/>
        <w:snapToGrid/>
        <w:spacing w:before="0" w:after="0" w:line="576" w:lineRule="exact"/>
        <w:jc w:val="center"/>
        <w:textAlignment w:val="auto"/>
        <w:outlineLvl w:val="0"/>
        <w:rPr>
          <w:rStyle w:val="31"/>
          <w:rFonts w:hint="eastAsia" w:ascii="Times New Roman" w:hAnsi="Times New Roman" w:eastAsia="方正小标宋简体" w:cs="方正小标宋简体"/>
          <w:b w:val="0"/>
          <w:bCs w:val="0"/>
          <w:color w:val="auto"/>
          <w:highlight w:val="none"/>
        </w:rPr>
      </w:pPr>
      <w:bookmarkStart w:id="8" w:name="_Toc19431"/>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1"/>
          <w:rFonts w:hint="eastAsia" w:eastAsia="方正小标宋简体" w:cs="方正小标宋简体"/>
          <w:b w:val="0"/>
          <w:bCs w:val="0"/>
          <w:color w:val="auto"/>
          <w:highlight w:val="none"/>
          <w:lang w:val="en-US" w:eastAsia="zh-CN"/>
        </w:rPr>
        <w:t>单位</w:t>
      </w:r>
      <w:r>
        <w:rPr>
          <w:rStyle w:val="31"/>
          <w:rFonts w:hint="eastAsia" w:ascii="Times New Roman" w:hAnsi="Times New Roman" w:eastAsia="方正小标宋简体" w:cs="方正小标宋简体"/>
          <w:b w:val="0"/>
          <w:bCs w:val="0"/>
          <w:color w:val="auto"/>
          <w:highlight w:val="none"/>
        </w:rPr>
        <w:t>概况</w:t>
      </w:r>
      <w:bookmarkEnd w:id="6"/>
      <w:bookmarkEnd w:id="7"/>
      <w:bookmarkEnd w:id="8"/>
    </w:p>
    <w:p w14:paraId="1C847BA0"/>
    <w:p w14:paraId="71FFFD2B">
      <w:pPr>
        <w:pStyle w:val="3"/>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outlineLvl w:val="1"/>
        <w:rPr>
          <w:rFonts w:hint="eastAsia" w:ascii="Times New Roman" w:hAnsi="Times New Roman" w:eastAsia="黑体"/>
          <w:b w:val="0"/>
          <w:color w:val="auto"/>
          <w:highlight w:val="none"/>
          <w:lang w:eastAsia="zh-CN"/>
        </w:rPr>
      </w:pPr>
      <w:bookmarkStart w:id="9" w:name="_Toc15396600"/>
      <w:bookmarkStart w:id="10" w:name="_Toc15377197"/>
      <w:bookmarkStart w:id="11" w:name="_Toc24258"/>
      <w:r>
        <w:rPr>
          <w:rFonts w:hint="eastAsia" w:ascii="Times New Roman" w:hAnsi="Times New Roman" w:eastAsia="黑体"/>
          <w:b w:val="0"/>
          <w:color w:val="auto"/>
          <w:highlight w:val="none"/>
        </w:rPr>
        <w:t>一、</w:t>
      </w:r>
      <w:bookmarkEnd w:id="9"/>
      <w:bookmarkEnd w:id="10"/>
      <w:r>
        <w:rPr>
          <w:rFonts w:hint="eastAsia" w:ascii="Times New Roman" w:hAnsi="Times New Roman" w:eastAsia="黑体"/>
          <w:b w:val="0"/>
          <w:color w:val="auto"/>
          <w:highlight w:val="none"/>
          <w:lang w:val="en-US" w:eastAsia="zh-CN"/>
        </w:rPr>
        <w:t>主要</w:t>
      </w:r>
      <w:r>
        <w:rPr>
          <w:rFonts w:hint="eastAsia" w:ascii="Times New Roman" w:hAnsi="Times New Roman" w:eastAsia="黑体"/>
          <w:b w:val="0"/>
          <w:color w:val="auto"/>
          <w:highlight w:val="none"/>
          <w:lang w:eastAsia="zh-CN"/>
        </w:rPr>
        <w:t>职责</w:t>
      </w:r>
      <w:bookmarkEnd w:id="11"/>
    </w:p>
    <w:p w14:paraId="4BF2C8CD">
      <w:pPr>
        <w:pStyle w:val="3"/>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outlineLvl w:val="1"/>
        <w:rPr>
          <w:rFonts w:hint="eastAsia" w:ascii="Times New Roman" w:hAnsi="Times New Roman" w:eastAsia="仿宋_GB2312" w:cs="仿宋_GB2312"/>
          <w:b w:val="0"/>
          <w:bCs w:val="0"/>
          <w:color w:val="auto"/>
          <w:kern w:val="2"/>
          <w:sz w:val="32"/>
          <w:szCs w:val="32"/>
          <w:highlight w:val="none"/>
          <w:lang w:val="en-US" w:eastAsia="zh-CN" w:bidi="ar-SA"/>
        </w:rPr>
      </w:pPr>
      <w:bookmarkStart w:id="12" w:name="_Toc15396601"/>
      <w:bookmarkStart w:id="13" w:name="_Toc8878"/>
      <w:bookmarkStart w:id="14" w:name="_Toc15377200"/>
      <w:r>
        <w:rPr>
          <w:rFonts w:hint="eastAsia" w:ascii="Times New Roman" w:hAnsi="Times New Roman" w:eastAsia="仿宋_GB2312" w:cs="仿宋_GB2312"/>
          <w:b w:val="0"/>
          <w:bCs w:val="0"/>
          <w:color w:val="auto"/>
          <w:kern w:val="2"/>
          <w:sz w:val="32"/>
          <w:szCs w:val="32"/>
          <w:highlight w:val="none"/>
          <w:lang w:val="en-US" w:eastAsia="zh-CN" w:bidi="ar-SA"/>
        </w:rPr>
        <w:t>羌族文物征集、登编、修复、保管、展览。</w:t>
      </w:r>
    </w:p>
    <w:p w14:paraId="45D6B092">
      <w:pPr>
        <w:pStyle w:val="3"/>
        <w:keepNext/>
        <w:keepLines/>
        <w:pageBreakBefore w:val="0"/>
        <w:widowControl w:val="0"/>
        <w:numPr>
          <w:ilvl w:val="0"/>
          <w:numId w:val="0"/>
        </w:numPr>
        <w:kinsoku/>
        <w:wordWrap/>
        <w:overflowPunct/>
        <w:topLinePunct w:val="0"/>
        <w:autoSpaceDE/>
        <w:autoSpaceDN/>
        <w:bidi w:val="0"/>
        <w:adjustRightInd/>
        <w:snapToGrid/>
        <w:spacing w:before="0" w:after="0" w:line="576" w:lineRule="exact"/>
        <w:ind w:firstLine="640" w:firstLineChars="200"/>
        <w:textAlignment w:val="auto"/>
        <w:outlineLvl w:val="1"/>
        <w:rPr>
          <w:rFonts w:hint="eastAsia" w:ascii="Times New Roman" w:hAnsi="Times New Roman" w:eastAsia="仿宋_GB2312" w:cs="仿宋_GB2312"/>
          <w:b w:val="0"/>
          <w:bCs w:val="0"/>
          <w:color w:val="auto"/>
          <w:kern w:val="2"/>
          <w:sz w:val="32"/>
          <w:szCs w:val="32"/>
          <w:highlight w:val="none"/>
          <w:lang w:val="en-US" w:eastAsia="zh-CN" w:bidi="ar-SA"/>
        </w:rPr>
      </w:pPr>
      <w:r>
        <w:rPr>
          <w:rFonts w:hint="eastAsia" w:ascii="Times New Roman" w:hAnsi="Times New Roman" w:eastAsia="黑体"/>
          <w:b w:val="0"/>
          <w:color w:val="auto"/>
          <w:highlight w:val="none"/>
          <w:lang w:eastAsia="zh-CN"/>
        </w:rPr>
        <w:t>二、</w:t>
      </w:r>
      <w:r>
        <w:rPr>
          <w:rFonts w:hint="eastAsia" w:ascii="Times New Roman" w:hAnsi="Times New Roman" w:eastAsia="黑体"/>
          <w:b w:val="0"/>
          <w:color w:val="auto"/>
          <w:highlight w:val="none"/>
        </w:rPr>
        <w:t>机</w:t>
      </w:r>
      <w:r>
        <w:rPr>
          <w:rStyle w:val="32"/>
          <w:rFonts w:hint="eastAsia" w:ascii="Times New Roman" w:hAnsi="Times New Roman" w:eastAsia="黑体"/>
          <w:b w:val="0"/>
          <w:bCs w:val="0"/>
          <w:color w:val="auto"/>
          <w:highlight w:val="none"/>
        </w:rPr>
        <w:t>构设置</w:t>
      </w:r>
      <w:bookmarkEnd w:id="12"/>
      <w:bookmarkEnd w:id="13"/>
      <w:bookmarkEnd w:id="14"/>
      <w:bookmarkStart w:id="15" w:name="_Toc15396602"/>
      <w:bookmarkStart w:id="16" w:name="_Toc28256"/>
      <w:bookmarkStart w:id="17" w:name="_Toc15377204"/>
    </w:p>
    <w:p w14:paraId="233BD6C0">
      <w:pPr>
        <w:pStyle w:val="3"/>
        <w:keepNext/>
        <w:keepLines/>
        <w:pageBreakBefore w:val="0"/>
        <w:widowControl w:val="0"/>
        <w:numPr>
          <w:ilvl w:val="0"/>
          <w:numId w:val="0"/>
        </w:numPr>
        <w:kinsoku/>
        <w:wordWrap/>
        <w:overflowPunct/>
        <w:topLinePunct w:val="0"/>
        <w:autoSpaceDE/>
        <w:autoSpaceDN/>
        <w:bidi w:val="0"/>
        <w:adjustRightInd/>
        <w:snapToGrid/>
        <w:spacing w:before="0" w:after="0" w:line="576" w:lineRule="exact"/>
        <w:ind w:firstLine="640" w:firstLineChars="200"/>
        <w:textAlignment w:val="auto"/>
        <w:outlineLvl w:val="1"/>
        <w:rPr>
          <w:rFonts w:hint="eastAsia" w:ascii="Times New Roman" w:hAnsi="Times New Roman" w:eastAsia="仿宋_GB2312" w:cs="仿宋_GB2312"/>
          <w:b w:val="0"/>
          <w:bCs w:val="0"/>
          <w:color w:val="auto"/>
          <w:kern w:val="2"/>
          <w:sz w:val="32"/>
          <w:szCs w:val="32"/>
          <w:highlight w:val="none"/>
          <w:lang w:val="en-US" w:eastAsia="zh-CN" w:bidi="ar-SA"/>
        </w:rPr>
      </w:pPr>
      <w:r>
        <w:rPr>
          <w:rFonts w:hint="eastAsia" w:ascii="Times New Roman" w:hAnsi="Times New Roman" w:eastAsia="仿宋_GB2312" w:cs="仿宋_GB2312"/>
          <w:b w:val="0"/>
          <w:bCs w:val="0"/>
          <w:color w:val="auto"/>
          <w:kern w:val="2"/>
          <w:sz w:val="32"/>
          <w:szCs w:val="32"/>
          <w:highlight w:val="none"/>
          <w:lang w:val="en-US" w:eastAsia="zh-CN" w:bidi="ar-SA"/>
        </w:rPr>
        <w:t>本单位本年度纳入本套决算编制范围的独立编制机构数共1个，比上年增加0个；独立核算机构数共1个，比上年增加0个。</w:t>
      </w:r>
    </w:p>
    <w:p w14:paraId="4A54F3C0">
      <w:pPr>
        <w:rPr>
          <w:rFonts w:hint="eastAsia" w:ascii="Times New Roman" w:hAnsi="Times New Roman" w:eastAsia="仿宋_GB2312" w:cs="仿宋_GB2312"/>
          <w:b w:val="0"/>
          <w:bCs w:val="0"/>
          <w:color w:val="auto"/>
          <w:kern w:val="2"/>
          <w:sz w:val="32"/>
          <w:szCs w:val="32"/>
          <w:highlight w:val="none"/>
          <w:lang w:val="en-US" w:eastAsia="zh-CN" w:bidi="ar-SA"/>
        </w:rPr>
      </w:pPr>
    </w:p>
    <w:p w14:paraId="2353FFBF">
      <w:pPr>
        <w:rPr>
          <w:rFonts w:hint="eastAsia" w:ascii="Times New Roman" w:hAnsi="Times New Roman" w:eastAsia="仿宋_GB2312" w:cs="仿宋_GB2312"/>
          <w:b w:val="0"/>
          <w:bCs w:val="0"/>
          <w:color w:val="auto"/>
          <w:kern w:val="2"/>
          <w:sz w:val="32"/>
          <w:szCs w:val="32"/>
          <w:highlight w:val="none"/>
          <w:lang w:val="en-US" w:eastAsia="zh-CN" w:bidi="ar-SA"/>
        </w:rPr>
      </w:pPr>
    </w:p>
    <w:p w14:paraId="0B2C224B">
      <w:pPr>
        <w:rPr>
          <w:rFonts w:hint="eastAsia" w:ascii="Times New Roman" w:hAnsi="Times New Roman" w:eastAsia="仿宋_GB2312" w:cs="仿宋_GB2312"/>
          <w:b w:val="0"/>
          <w:bCs w:val="0"/>
          <w:color w:val="auto"/>
          <w:kern w:val="2"/>
          <w:sz w:val="32"/>
          <w:szCs w:val="32"/>
          <w:highlight w:val="none"/>
          <w:lang w:val="en-US" w:eastAsia="zh-CN" w:bidi="ar-SA"/>
        </w:rPr>
      </w:pPr>
    </w:p>
    <w:p w14:paraId="06E49F9B">
      <w:pPr>
        <w:rPr>
          <w:rFonts w:hint="eastAsia" w:ascii="Times New Roman" w:hAnsi="Times New Roman" w:eastAsia="仿宋_GB2312" w:cs="仿宋_GB2312"/>
          <w:b w:val="0"/>
          <w:bCs w:val="0"/>
          <w:color w:val="auto"/>
          <w:kern w:val="2"/>
          <w:sz w:val="32"/>
          <w:szCs w:val="32"/>
          <w:highlight w:val="none"/>
          <w:lang w:val="en-US" w:eastAsia="zh-CN" w:bidi="ar-SA"/>
        </w:rPr>
      </w:pPr>
    </w:p>
    <w:p w14:paraId="329C48D1">
      <w:pPr>
        <w:rPr>
          <w:rFonts w:hint="eastAsia" w:ascii="Times New Roman" w:hAnsi="Times New Roman" w:eastAsia="仿宋_GB2312" w:cs="仿宋_GB2312"/>
          <w:b w:val="0"/>
          <w:bCs w:val="0"/>
          <w:color w:val="auto"/>
          <w:kern w:val="2"/>
          <w:sz w:val="32"/>
          <w:szCs w:val="32"/>
          <w:highlight w:val="none"/>
          <w:lang w:val="en-US" w:eastAsia="zh-CN" w:bidi="ar-SA"/>
        </w:rPr>
      </w:pPr>
    </w:p>
    <w:p w14:paraId="0299A732">
      <w:pPr>
        <w:rPr>
          <w:rFonts w:hint="eastAsia" w:ascii="Times New Roman" w:hAnsi="Times New Roman" w:eastAsia="仿宋_GB2312" w:cs="仿宋_GB2312"/>
          <w:b w:val="0"/>
          <w:bCs w:val="0"/>
          <w:color w:val="auto"/>
          <w:kern w:val="2"/>
          <w:sz w:val="32"/>
          <w:szCs w:val="32"/>
          <w:highlight w:val="none"/>
          <w:lang w:val="en-US" w:eastAsia="zh-CN" w:bidi="ar-SA"/>
        </w:rPr>
      </w:pPr>
    </w:p>
    <w:p w14:paraId="0DC2F286">
      <w:pPr>
        <w:rPr>
          <w:rFonts w:hint="eastAsia" w:ascii="Times New Roman" w:hAnsi="Times New Roman" w:eastAsia="仿宋_GB2312" w:cs="仿宋_GB2312"/>
          <w:b w:val="0"/>
          <w:bCs w:val="0"/>
          <w:color w:val="auto"/>
          <w:kern w:val="2"/>
          <w:sz w:val="32"/>
          <w:szCs w:val="32"/>
          <w:highlight w:val="none"/>
          <w:lang w:val="en-US" w:eastAsia="zh-CN" w:bidi="ar-SA"/>
        </w:rPr>
      </w:pPr>
    </w:p>
    <w:p w14:paraId="34C235CB">
      <w:pPr>
        <w:rPr>
          <w:rFonts w:hint="eastAsia" w:ascii="Times New Roman" w:hAnsi="Times New Roman" w:eastAsia="仿宋_GB2312" w:cs="仿宋_GB2312"/>
          <w:b w:val="0"/>
          <w:bCs w:val="0"/>
          <w:color w:val="auto"/>
          <w:kern w:val="2"/>
          <w:sz w:val="32"/>
          <w:szCs w:val="32"/>
          <w:highlight w:val="none"/>
          <w:lang w:val="en-US" w:eastAsia="zh-CN" w:bidi="ar-SA"/>
        </w:rPr>
      </w:pPr>
    </w:p>
    <w:p w14:paraId="522377AE">
      <w:pPr>
        <w:rPr>
          <w:rFonts w:hint="eastAsia" w:ascii="Times New Roman" w:hAnsi="Times New Roman" w:eastAsia="仿宋_GB2312" w:cs="仿宋_GB2312"/>
          <w:b w:val="0"/>
          <w:bCs w:val="0"/>
          <w:color w:val="auto"/>
          <w:kern w:val="2"/>
          <w:sz w:val="32"/>
          <w:szCs w:val="32"/>
          <w:highlight w:val="none"/>
          <w:lang w:val="en-US" w:eastAsia="zh-CN" w:bidi="ar-SA"/>
        </w:rPr>
      </w:pPr>
    </w:p>
    <w:p w14:paraId="4622A209">
      <w:pPr>
        <w:rPr>
          <w:rFonts w:hint="eastAsia" w:ascii="Times New Roman" w:hAnsi="Times New Roman" w:eastAsia="仿宋_GB2312" w:cs="仿宋_GB2312"/>
          <w:b w:val="0"/>
          <w:bCs w:val="0"/>
          <w:color w:val="auto"/>
          <w:kern w:val="2"/>
          <w:sz w:val="32"/>
          <w:szCs w:val="32"/>
          <w:highlight w:val="none"/>
          <w:lang w:val="en-US" w:eastAsia="zh-CN" w:bidi="ar-SA"/>
        </w:rPr>
      </w:pPr>
    </w:p>
    <w:p w14:paraId="4F7EF665">
      <w:pPr>
        <w:rPr>
          <w:rFonts w:hint="eastAsia" w:ascii="Times New Roman" w:hAnsi="Times New Roman" w:eastAsia="仿宋_GB2312" w:cs="仿宋_GB2312"/>
          <w:b w:val="0"/>
          <w:bCs w:val="0"/>
          <w:color w:val="auto"/>
          <w:kern w:val="2"/>
          <w:sz w:val="32"/>
          <w:szCs w:val="32"/>
          <w:highlight w:val="none"/>
          <w:lang w:val="en-US" w:eastAsia="zh-CN" w:bidi="ar-SA"/>
        </w:rPr>
      </w:pPr>
    </w:p>
    <w:p w14:paraId="57AAAC31">
      <w:pPr>
        <w:rPr>
          <w:rFonts w:hint="eastAsia" w:ascii="Times New Roman" w:hAnsi="Times New Roman" w:eastAsia="仿宋_GB2312" w:cs="仿宋_GB2312"/>
          <w:b w:val="0"/>
          <w:bCs w:val="0"/>
          <w:color w:val="auto"/>
          <w:kern w:val="2"/>
          <w:sz w:val="32"/>
          <w:szCs w:val="32"/>
          <w:highlight w:val="none"/>
          <w:lang w:val="en-US" w:eastAsia="zh-CN" w:bidi="ar-SA"/>
        </w:rPr>
      </w:pPr>
    </w:p>
    <w:p w14:paraId="09EB3E87">
      <w:pPr>
        <w:rPr>
          <w:rFonts w:hint="eastAsia" w:ascii="Times New Roman" w:hAnsi="Times New Roman" w:eastAsia="仿宋_GB2312" w:cs="仿宋_GB2312"/>
          <w:b w:val="0"/>
          <w:bCs w:val="0"/>
          <w:color w:val="auto"/>
          <w:kern w:val="2"/>
          <w:sz w:val="32"/>
          <w:szCs w:val="32"/>
          <w:highlight w:val="none"/>
          <w:lang w:val="en-US" w:eastAsia="zh-CN" w:bidi="ar-SA"/>
        </w:rPr>
      </w:pPr>
    </w:p>
    <w:p w14:paraId="232534A1">
      <w:pPr>
        <w:pStyle w:val="2"/>
        <w:jc w:val="center"/>
        <w:outlineLvl w:val="0"/>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5"/>
      <w:bookmarkEnd w:id="16"/>
      <w:bookmarkEnd w:id="17"/>
    </w:p>
    <w:p w14:paraId="7545F8D8">
      <w:pPr>
        <w:rPr>
          <w:rFonts w:ascii="Times New Roman" w:hAnsi="Times New Roman"/>
          <w:color w:val="auto"/>
          <w:highlight w:val="none"/>
        </w:rPr>
      </w:pPr>
    </w:p>
    <w:p w14:paraId="08D37E52">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18" w:name="_Toc15377205"/>
      <w:bookmarkStart w:id="19" w:name="_Toc24091"/>
      <w:bookmarkStart w:id="20"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2"/>
          <w:rFonts w:hint="eastAsia" w:ascii="Times New Roman" w:hAnsi="Times New Roman" w:eastAsia="黑体"/>
          <w:b w:val="0"/>
          <w:color w:val="auto"/>
          <w:highlight w:val="none"/>
        </w:rPr>
        <w:t>入支出决算总体情况说明</w:t>
      </w:r>
      <w:bookmarkEnd w:id="18"/>
      <w:bookmarkEnd w:id="19"/>
      <w:bookmarkEnd w:id="20"/>
    </w:p>
    <w:p w14:paraId="00476742">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highlight w:val="none"/>
          <w:lang w:val="en-US" w:eastAsia="zh-CN"/>
        </w:rPr>
        <w:t>353.94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2024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w:t>
      </w:r>
      <w:r>
        <w:rPr>
          <w:rFonts w:hint="eastAsia" w:eastAsia="仿宋_GB2312" w:cs="仿宋_GB2312"/>
          <w:color w:val="auto"/>
          <w:sz w:val="32"/>
          <w:szCs w:val="32"/>
          <w:highlight w:val="none"/>
          <w:lang w:eastAsia="zh-CN"/>
        </w:rPr>
        <w:t>减少</w:t>
      </w:r>
      <w:r>
        <w:rPr>
          <w:rFonts w:hint="eastAsia" w:ascii="仿宋_GB2312" w:hAnsi="仿宋_GB2312" w:eastAsia="仿宋_GB2312" w:cs="仿宋_GB2312"/>
          <w:sz w:val="32"/>
          <w:szCs w:val="32"/>
          <w:highlight w:val="none"/>
          <w:lang w:val="en-US" w:eastAsia="zh-CN"/>
        </w:rPr>
        <w:t>103.75</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eastAsia="zh-CN"/>
        </w:rPr>
        <w:t>下降</w:t>
      </w:r>
      <w:r>
        <w:rPr>
          <w:rFonts w:hint="eastAsia" w:ascii="仿宋_GB2312" w:hAnsi="仿宋_GB2312" w:eastAsia="仿宋_GB2312" w:cs="仿宋_GB2312"/>
          <w:sz w:val="32"/>
          <w:szCs w:val="32"/>
          <w:highlight w:val="none"/>
          <w:lang w:val="en-US" w:eastAsia="zh-CN"/>
        </w:rPr>
        <w:t>22.67</w:t>
      </w:r>
      <w:r>
        <w:rPr>
          <w:rFonts w:hint="eastAsia" w:ascii="Times New Roman" w:hAnsi="Times New Roman" w:eastAsia="仿宋_GB2312" w:cs="仿宋_GB2312"/>
          <w:color w:val="auto"/>
          <w:sz w:val="32"/>
          <w:szCs w:val="32"/>
          <w:highlight w:val="none"/>
        </w:rPr>
        <w:t>%。主要变动</w:t>
      </w:r>
      <w:r>
        <w:rPr>
          <w:rFonts w:hint="eastAsia" w:ascii="Times New Roman" w:hAnsi="Times New Roman" w:eastAsia="仿宋_GB2312" w:cs="仿宋_GB2312"/>
          <w:color w:val="auto"/>
          <w:kern w:val="2"/>
          <w:sz w:val="32"/>
          <w:szCs w:val="32"/>
          <w:highlight w:val="none"/>
          <w:lang w:val="en-US" w:eastAsia="zh-CN" w:bidi="ar-SA"/>
        </w:rPr>
        <w:t>原因是</w:t>
      </w:r>
      <w:r>
        <w:rPr>
          <w:rFonts w:hint="eastAsia"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lang w:val="en-US" w:eastAsia="zh-CN"/>
        </w:rPr>
        <w:t>经费随人员经费、公用经费及项目经费减少变动。</w:t>
      </w:r>
    </w:p>
    <w:p w14:paraId="0506EA68">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1312" behindDoc="0" locked="0" layoutInCell="1" allowOverlap="1">
            <wp:simplePos x="0" y="0"/>
            <wp:positionH relativeFrom="column">
              <wp:posOffset>91440</wp:posOffset>
            </wp:positionH>
            <wp:positionV relativeFrom="paragraph">
              <wp:posOffset>117475</wp:posOffset>
            </wp:positionV>
            <wp:extent cx="5256530" cy="2988310"/>
            <wp:effectExtent l="5080" t="4445" r="15240" b="1714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bookmarkStart w:id="21" w:name="_Toc2787"/>
      <w:bookmarkStart w:id="22" w:name="_Toc15396604"/>
      <w:bookmarkStart w:id="23" w:name="_Toc15377206"/>
      <w:r>
        <w:rPr>
          <w:rFonts w:hint="eastAsia" w:ascii="Times New Roman" w:hAnsi="Times New Roman" w:eastAsia="黑体"/>
          <w:color w:val="auto"/>
          <w:sz w:val="32"/>
          <w:szCs w:val="32"/>
          <w:highlight w:val="none"/>
          <w:lang w:eastAsia="zh-CN"/>
        </w:rPr>
        <w:t>二、收入决算情况说明</w:t>
      </w:r>
      <w:bookmarkEnd w:id="21"/>
      <w:bookmarkEnd w:id="22"/>
      <w:bookmarkEnd w:id="23"/>
    </w:p>
    <w:p w14:paraId="3911322F">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2025年度本年收入合计</w:t>
      </w:r>
      <w:r>
        <w:rPr>
          <w:rFonts w:hint="eastAsia" w:ascii="仿宋_GB2312" w:hAnsi="仿宋_GB2312" w:eastAsia="仿宋_GB2312" w:cs="仿宋_GB2312"/>
          <w:sz w:val="32"/>
          <w:szCs w:val="32"/>
          <w:highlight w:val="none"/>
          <w:lang w:val="en-US" w:eastAsia="zh-CN"/>
        </w:rPr>
        <w:t>353.94</w:t>
      </w:r>
      <w:r>
        <w:rPr>
          <w:rFonts w:hint="eastAsia" w:ascii="仿宋_GB2312" w:hAnsi="仿宋_GB2312" w:eastAsia="仿宋_GB2312" w:cs="仿宋_GB2312"/>
          <w:sz w:val="32"/>
          <w:szCs w:val="32"/>
          <w:highlight w:val="none"/>
        </w:rPr>
        <w:t>万元，其中：一般公共预算财政拨款收入</w:t>
      </w:r>
      <w:r>
        <w:rPr>
          <w:rFonts w:hint="eastAsia" w:ascii="仿宋_GB2312" w:hAnsi="仿宋_GB2312" w:eastAsia="仿宋_GB2312" w:cs="仿宋_GB2312"/>
          <w:sz w:val="32"/>
          <w:szCs w:val="32"/>
          <w:highlight w:val="none"/>
          <w:lang w:val="en-US" w:eastAsia="zh-CN"/>
        </w:rPr>
        <w:t>353.94</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w:t>
      </w:r>
    </w:p>
    <w:p w14:paraId="0BC78930">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仿宋_GB2312" w:hAnsi="仿宋_GB2312" w:eastAsia="仿宋_GB2312" w:cs="仿宋_GB2312"/>
          <w:color w:val="auto"/>
          <w:sz w:val="32"/>
          <w:szCs w:val="32"/>
          <w:highlight w:val="none"/>
          <w:lang w:eastAsia="zh-CN"/>
        </w:rPr>
      </w:pPr>
    </w:p>
    <w:p w14:paraId="59AFF399">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r>
        <w:rPr>
          <w:rFonts w:hint="default" w:ascii="仿宋" w:hAnsi="仿宋" w:eastAsia="仿宋"/>
          <w:color w:val="auto"/>
          <w:sz w:val="32"/>
          <w:szCs w:val="32"/>
          <w:highlight w:val="none"/>
          <w:lang w:val="en-US"/>
        </w:rPr>
        <w:drawing>
          <wp:anchor distT="0" distB="0" distL="114300" distR="114300" simplePos="0" relativeHeight="251662336" behindDoc="0" locked="0" layoutInCell="1" allowOverlap="1">
            <wp:simplePos x="0" y="0"/>
            <wp:positionH relativeFrom="column">
              <wp:posOffset>34290</wp:posOffset>
            </wp:positionH>
            <wp:positionV relativeFrom="paragraph">
              <wp:posOffset>33655</wp:posOffset>
            </wp:positionV>
            <wp:extent cx="5256530" cy="2988310"/>
            <wp:effectExtent l="5080" t="4445" r="15240" b="1714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bookmarkStart w:id="24" w:name="_Toc29520"/>
      <w:bookmarkStart w:id="25" w:name="_Toc15396605"/>
      <w:bookmarkStart w:id="26"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2"/>
          <w:rFonts w:hint="eastAsia" w:ascii="Times New Roman" w:hAnsi="Times New Roman" w:eastAsia="黑体"/>
          <w:b w:val="0"/>
          <w:color w:val="auto"/>
          <w:highlight w:val="none"/>
        </w:rPr>
        <w:t>出决算情况说明</w:t>
      </w:r>
      <w:bookmarkEnd w:id="24"/>
      <w:bookmarkEnd w:id="25"/>
      <w:bookmarkEnd w:id="26"/>
    </w:p>
    <w:p w14:paraId="265AC5DE">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2025年度本年支出合计</w:t>
      </w:r>
      <w:r>
        <w:rPr>
          <w:rFonts w:hint="eastAsia" w:ascii="仿宋_GB2312" w:hAnsi="仿宋_GB2312" w:eastAsia="仿宋_GB2312" w:cs="仿宋_GB2312"/>
          <w:sz w:val="32"/>
          <w:szCs w:val="32"/>
          <w:highlight w:val="none"/>
          <w:lang w:val="en-US" w:eastAsia="zh-CN"/>
        </w:rPr>
        <w:t>353.94</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highlight w:val="none"/>
          <w:lang w:val="en-US" w:eastAsia="zh-CN"/>
        </w:rPr>
        <w:t>303.94</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86</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highlight w:val="none"/>
          <w:lang w:val="en-US" w:eastAsia="zh-CN"/>
        </w:rPr>
        <w:t>50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14</w:t>
      </w:r>
      <w:r>
        <w:rPr>
          <w:rFonts w:hint="eastAsia" w:ascii="仿宋_GB2312" w:hAnsi="仿宋_GB2312" w:eastAsia="仿宋_GB2312" w:cs="仿宋_GB2312"/>
          <w:color w:val="auto"/>
          <w:sz w:val="32"/>
          <w:szCs w:val="32"/>
          <w:highlight w:val="none"/>
          <w:lang w:eastAsia="zh-CN"/>
        </w:rPr>
        <w:t>%。</w:t>
      </w:r>
    </w:p>
    <w:p w14:paraId="5A01262A">
      <w:pPr>
        <w:spacing w:line="600" w:lineRule="exact"/>
        <w:ind w:firstLine="640" w:firstLineChars="200"/>
        <w:outlineLvl w:val="1"/>
        <w:rPr>
          <w:rStyle w:val="32"/>
          <w:rFonts w:ascii="Times New Roman" w:hAnsi="Times New Roman" w:eastAsia="黑体"/>
          <w:b w:val="0"/>
          <w:color w:val="auto"/>
          <w:highlight w:val="none"/>
        </w:rPr>
      </w:pPr>
      <w:r>
        <w:rPr>
          <w:rFonts w:hint="default" w:ascii="仿宋" w:hAnsi="仿宋" w:eastAsia="仿宋"/>
          <w:color w:val="auto"/>
          <w:sz w:val="32"/>
          <w:szCs w:val="32"/>
          <w:highlight w:val="none"/>
          <w:lang w:val="en-US"/>
        </w:rPr>
        <w:drawing>
          <wp:anchor distT="0" distB="0" distL="114300" distR="114300" simplePos="0" relativeHeight="251663360" behindDoc="0" locked="0" layoutInCell="1" allowOverlap="1">
            <wp:simplePos x="0" y="0"/>
            <wp:positionH relativeFrom="column">
              <wp:posOffset>43180</wp:posOffset>
            </wp:positionH>
            <wp:positionV relativeFrom="paragraph">
              <wp:posOffset>76200</wp:posOffset>
            </wp:positionV>
            <wp:extent cx="5256530" cy="2988310"/>
            <wp:effectExtent l="5080" t="4445" r="15240" b="1714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bookmarkStart w:id="27" w:name="_Toc1450"/>
      <w:bookmarkStart w:id="28" w:name="_Toc15377208"/>
      <w:bookmarkStart w:id="29" w:name="_Toc15396606"/>
      <w:r>
        <w:rPr>
          <w:rFonts w:hint="eastAsia" w:ascii="Times New Roman" w:hAnsi="Times New Roman" w:eastAsia="黑体"/>
          <w:color w:val="auto"/>
          <w:sz w:val="32"/>
          <w:szCs w:val="32"/>
          <w:highlight w:val="none"/>
        </w:rPr>
        <w:t>四、财</w:t>
      </w:r>
      <w:r>
        <w:rPr>
          <w:rStyle w:val="32"/>
          <w:rFonts w:hint="eastAsia" w:ascii="Times New Roman" w:hAnsi="Times New Roman" w:eastAsia="黑体"/>
          <w:b w:val="0"/>
          <w:color w:val="auto"/>
          <w:highlight w:val="none"/>
        </w:rPr>
        <w:t>政拨款收入支出决算总体情况说明</w:t>
      </w:r>
      <w:bookmarkEnd w:id="27"/>
      <w:bookmarkEnd w:id="28"/>
      <w:bookmarkEnd w:id="29"/>
    </w:p>
    <w:p w14:paraId="06E577E6">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sz w:val="32"/>
          <w:szCs w:val="32"/>
          <w:highlight w:val="none"/>
          <w:lang w:val="en-US" w:eastAsia="zh-CN"/>
        </w:rPr>
        <w:t>353.94</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w:t>
      </w:r>
      <w:r>
        <w:rPr>
          <w:rFonts w:hint="eastAsia" w:eastAsia="仿宋_GB2312" w:cs="仿宋_GB2312"/>
          <w:color w:val="auto"/>
          <w:kern w:val="2"/>
          <w:sz w:val="32"/>
          <w:szCs w:val="32"/>
          <w:highlight w:val="none"/>
          <w:lang w:val="en-US" w:eastAsia="zh-CN" w:bidi="ar-SA"/>
        </w:rPr>
        <w:t>减少</w:t>
      </w:r>
      <w:r>
        <w:rPr>
          <w:rFonts w:hint="eastAsia" w:ascii="仿宋_GB2312" w:hAnsi="仿宋_GB2312" w:eastAsia="仿宋_GB2312" w:cs="仿宋_GB2312"/>
          <w:sz w:val="32"/>
          <w:szCs w:val="32"/>
          <w:highlight w:val="none"/>
          <w:lang w:val="en-US" w:eastAsia="zh-CN"/>
        </w:rPr>
        <w:t>103.75</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w:t>
      </w:r>
      <w:r>
        <w:rPr>
          <w:rFonts w:hint="eastAsia" w:ascii="仿宋_GB2312" w:hAnsi="仿宋_GB2312" w:eastAsia="仿宋_GB2312" w:cs="仿宋_GB2312"/>
          <w:sz w:val="32"/>
          <w:szCs w:val="32"/>
          <w:highlight w:val="none"/>
          <w:lang w:val="en-US" w:eastAsia="zh-CN"/>
        </w:rPr>
        <w:t>22.67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lang w:val="en-US" w:eastAsia="zh-CN"/>
        </w:rPr>
        <w:t>经费随人员经费、公用经费及项目经费减少变动。</w:t>
      </w:r>
    </w:p>
    <w:p w14:paraId="47B10279">
      <w:pPr>
        <w:pStyle w:val="16"/>
        <w:outlineLvl w:val="9"/>
        <w:rPr>
          <w:rFonts w:hint="eastAsia"/>
          <w:highlight w:val="none"/>
          <w:lang w:val="en-US" w:eastAsia="zh-CN"/>
        </w:rPr>
      </w:pPr>
    </w:p>
    <w:p w14:paraId="56DC149D">
      <w:pPr>
        <w:spacing w:line="600" w:lineRule="exact"/>
        <w:ind w:firstLine="640" w:firstLineChars="200"/>
        <w:outlineLvl w:val="1"/>
        <w:rPr>
          <w:rStyle w:val="32"/>
          <w:rFonts w:ascii="Times New Roman" w:hAnsi="Times New Roman" w:eastAsia="黑体"/>
          <w:b w:val="0"/>
          <w:color w:val="auto"/>
          <w:highlight w:val="none"/>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4384" behindDoc="0" locked="0" layoutInCell="1" allowOverlap="1">
            <wp:simplePos x="0" y="0"/>
            <wp:positionH relativeFrom="column">
              <wp:posOffset>43815</wp:posOffset>
            </wp:positionH>
            <wp:positionV relativeFrom="paragraph">
              <wp:posOffset>10795</wp:posOffset>
            </wp:positionV>
            <wp:extent cx="5256530" cy="2988310"/>
            <wp:effectExtent l="5080" t="4445" r="15240" b="17145"/>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bookmarkStart w:id="30" w:name="_Toc15377209"/>
      <w:bookmarkStart w:id="31" w:name="_Toc15396607"/>
      <w:bookmarkStart w:id="32" w:name="_Toc25580"/>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般公共预算财政拨款支出决算情况说明</w:t>
      </w:r>
      <w:bookmarkEnd w:id="30"/>
      <w:bookmarkEnd w:id="31"/>
      <w:bookmarkEnd w:id="32"/>
    </w:p>
    <w:p w14:paraId="48CD862A">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9"/>
        <w:rPr>
          <w:rFonts w:hint="eastAsia" w:ascii="Times New Roman" w:hAnsi="Times New Roman" w:eastAsia="楷体_GB2312" w:cs="楷体_GB2312"/>
          <w:b/>
          <w:color w:val="auto"/>
          <w:sz w:val="32"/>
          <w:szCs w:val="32"/>
          <w:highlight w:val="none"/>
        </w:rPr>
      </w:pPr>
      <w:bookmarkStart w:id="3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3"/>
    </w:p>
    <w:p w14:paraId="5176ACCA">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5408" behindDoc="0" locked="0" layoutInCell="1" allowOverlap="1">
            <wp:simplePos x="0" y="0"/>
            <wp:positionH relativeFrom="column">
              <wp:posOffset>148590</wp:posOffset>
            </wp:positionH>
            <wp:positionV relativeFrom="paragraph">
              <wp:posOffset>1599565</wp:posOffset>
            </wp:positionV>
            <wp:extent cx="5256530" cy="2988310"/>
            <wp:effectExtent l="5080" t="4445" r="15240" b="17145"/>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highlight w:val="none"/>
          <w:lang w:val="en-US" w:eastAsia="zh-CN"/>
        </w:rPr>
        <w:t>353.94</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%。与2024年度相比，一般公共预算财政拨款支出减少</w:t>
      </w:r>
      <w:r>
        <w:rPr>
          <w:rFonts w:hint="eastAsia" w:ascii="仿宋_GB2312" w:hAnsi="仿宋_GB2312" w:eastAsia="仿宋_GB2312" w:cs="仿宋_GB2312"/>
          <w:sz w:val="32"/>
          <w:szCs w:val="32"/>
          <w:highlight w:val="none"/>
          <w:lang w:val="en-US" w:eastAsia="zh-CN"/>
        </w:rPr>
        <w:t>103.75</w:t>
      </w:r>
      <w:r>
        <w:rPr>
          <w:rFonts w:hint="eastAsia" w:ascii="仿宋_GB2312" w:hAnsi="仿宋_GB2312" w:eastAsia="仿宋_GB2312" w:cs="仿宋_GB2312"/>
          <w:color w:val="auto"/>
          <w:kern w:val="2"/>
          <w:sz w:val="32"/>
          <w:szCs w:val="32"/>
          <w:highlight w:val="none"/>
          <w:lang w:val="en-US" w:eastAsia="zh-CN" w:bidi="ar-SA"/>
        </w:rPr>
        <w:t>万元，下降</w:t>
      </w:r>
      <w:r>
        <w:rPr>
          <w:rFonts w:hint="eastAsia" w:ascii="仿宋_GB2312" w:hAnsi="仿宋_GB2312" w:eastAsia="仿宋_GB2312" w:cs="仿宋_GB2312"/>
          <w:sz w:val="32"/>
          <w:szCs w:val="32"/>
          <w:highlight w:val="none"/>
          <w:lang w:val="en-US" w:eastAsia="zh-CN"/>
        </w:rPr>
        <w:t>22.67</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lang w:val="en-US" w:eastAsia="zh-CN"/>
        </w:rPr>
        <w:t>经费随人员经费、公用经费及项目经费减少变动。</w:t>
      </w:r>
    </w:p>
    <w:p w14:paraId="628C330E">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4"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4"/>
    </w:p>
    <w:p w14:paraId="1128E98B">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支出353.94万元，主要用于以下方面：文化旅游体育与传媒支出274.98万元，占77.7%；社会保障和就业支出40.97万元，占11.58%；卫生健康支出15.79万元，占4.46%；住房保障支出22.2万元，占6.27%。</w:t>
      </w:r>
    </w:p>
    <w:p w14:paraId="360E76A0">
      <w:pPr>
        <w:pStyle w:val="9"/>
        <w:ind w:left="0" w:leftChars="0" w:firstLine="0" w:firstLineChars="0"/>
        <w:jc w:val="center"/>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仿宋"/>
          <w:color w:val="auto"/>
          <w:sz w:val="32"/>
          <w:szCs w:val="32"/>
          <w:highlight w:val="none"/>
          <w:lang w:val="zh-CN" w:eastAsia="zh-CN"/>
        </w:rPr>
        <w:drawing>
          <wp:inline distT="0" distB="0" distL="114300" distR="114300">
            <wp:extent cx="5256530" cy="2988310"/>
            <wp:effectExtent l="5080" t="4445" r="1524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7FBB1A0">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5"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5"/>
    </w:p>
    <w:p w14:paraId="32C683C3">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bookmarkStart w:id="36" w:name="_Toc15377444"/>
      <w:bookmarkStart w:id="37" w:name="_Toc15378460"/>
      <w:bookmarkStart w:id="38" w:name="_Toc15377213"/>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highlight w:val="none"/>
          <w:lang w:val="en-US" w:eastAsia="zh-CN"/>
        </w:rPr>
        <w:t>353.94</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6"/>
      <w:bookmarkEnd w:id="37"/>
      <w:bookmarkEnd w:id="38"/>
    </w:p>
    <w:p w14:paraId="5B82127B">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bookmarkStart w:id="39" w:name="_Toc15396608"/>
      <w:bookmarkStart w:id="40" w:name="_Toc24743"/>
      <w:bookmarkStart w:id="41" w:name="_Toc15377214"/>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文物</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博物馆</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274.98</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2709D2C2">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行政事业单位养老支出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141.38</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3E67CF8E">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行政事业单位养老支出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机关事业单位职业年金缴费支出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70.69</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37E3E114">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行政事业单位医疗</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事业单位医疗</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74.94</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2EB0FA49">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住房改革支出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116.29</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492899EA">
      <w:pPr>
        <w:tabs>
          <w:tab w:val="right" w:pos="8306"/>
        </w:tabs>
        <w:spacing w:line="600" w:lineRule="exact"/>
        <w:ind w:firstLine="640"/>
        <w:outlineLvl w:val="1"/>
        <w:rPr>
          <w:rStyle w:val="32"/>
          <w:rFonts w:ascii="Times New Roman" w:hAnsi="Times New Roman"/>
          <w:color w:val="auto"/>
          <w:highlight w:val="none"/>
        </w:rPr>
      </w:pPr>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般公共预算财政拨款基本支出决算情况说明</w:t>
      </w:r>
      <w:bookmarkEnd w:id="39"/>
      <w:bookmarkEnd w:id="40"/>
      <w:bookmarkEnd w:id="41"/>
      <w:r>
        <w:rPr>
          <w:rStyle w:val="32"/>
          <w:rFonts w:ascii="Times New Roman" w:hAnsi="Times New Roman" w:eastAsia="黑体"/>
          <w:b w:val="0"/>
          <w:color w:val="auto"/>
          <w:highlight w:val="none"/>
        </w:rPr>
        <w:tab/>
      </w:r>
    </w:p>
    <w:p w14:paraId="3F8DB63B">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highlight w:val="none"/>
          <w:lang w:val="en-US" w:eastAsia="zh-CN"/>
        </w:rPr>
        <w:t>303.94</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652D97BC">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highlight w:val="none"/>
          <w:lang w:val="en-US" w:eastAsia="zh-CN"/>
        </w:rPr>
        <w:t>291.57</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主要包括：基本工资、津贴补贴、奖金、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highlight w:val="none"/>
          <w:lang w:val="en-US" w:eastAsia="zh-CN"/>
        </w:rPr>
        <w:t>12.37</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主要包括：办公费、印刷费、咨询费、手续费、水费、电费、邮电费、物业管理费、差旅费、维修（护）费、租赁费、会议费、培训费、公务接待费、劳务费、委托业务费、工会经费、福利费、公务用车运行维护费、其他交通费、其他商品和服务支出、办公设备购置、专用设备购置、信息网络及软件购置更新等。</w:t>
      </w:r>
    </w:p>
    <w:p w14:paraId="032232BB">
      <w:pPr>
        <w:spacing w:line="600" w:lineRule="exact"/>
        <w:ind w:firstLine="640"/>
        <w:outlineLvl w:val="1"/>
        <w:rPr>
          <w:rStyle w:val="32"/>
          <w:rFonts w:ascii="Times New Roman" w:hAnsi="Times New Roman" w:eastAsia="黑体"/>
          <w:b w:val="0"/>
          <w:color w:val="auto"/>
          <w:highlight w:val="none"/>
        </w:rPr>
      </w:pPr>
      <w:bookmarkStart w:id="42" w:name="_Toc23968"/>
      <w:bookmarkStart w:id="43" w:name="_Toc15396609"/>
      <w:bookmarkStart w:id="44" w:name="_Toc15377215"/>
      <w:r>
        <w:rPr>
          <w:rFonts w:hint="eastAsia" w:ascii="Times New Roman" w:hAnsi="Times New Roman" w:eastAsia="黑体"/>
          <w:color w:val="auto"/>
          <w:sz w:val="32"/>
          <w:szCs w:val="32"/>
          <w:highlight w:val="none"/>
        </w:rPr>
        <w:t>七、</w:t>
      </w:r>
      <w:r>
        <w:rPr>
          <w:rStyle w:val="32"/>
          <w:rFonts w:hint="eastAsia" w:ascii="Times New Roman" w:hAnsi="Times New Roman" w:eastAsia="黑体"/>
          <w:b w:val="0"/>
          <w:color w:val="auto"/>
          <w:highlight w:val="none"/>
        </w:rPr>
        <w:t>财政拨款</w:t>
      </w:r>
      <w:r>
        <w:rPr>
          <w:rStyle w:val="32"/>
          <w:rFonts w:hint="eastAsia" w:ascii="Times New Roman" w:hAnsi="Times New Roman" w:eastAsia="黑体"/>
          <w:color w:val="auto"/>
          <w:highlight w:val="none"/>
        </w:rPr>
        <w:t>“</w:t>
      </w:r>
      <w:r>
        <w:rPr>
          <w:rStyle w:val="32"/>
          <w:rFonts w:hint="eastAsia" w:ascii="Times New Roman" w:hAnsi="Times New Roman" w:eastAsia="黑体"/>
          <w:b w:val="0"/>
          <w:color w:val="auto"/>
          <w:highlight w:val="none"/>
        </w:rPr>
        <w:t>三公”经费支出决算情况说明</w:t>
      </w:r>
      <w:bookmarkEnd w:id="42"/>
      <w:bookmarkEnd w:id="43"/>
      <w:bookmarkEnd w:id="44"/>
    </w:p>
    <w:p w14:paraId="3CCB4AC1">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5"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45"/>
    </w:p>
    <w:p w14:paraId="2370DED8">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减少</w:t>
      </w:r>
      <w:r>
        <w:rPr>
          <w:rFonts w:hint="eastAsia" w:ascii="仿宋_GB2312" w:hAnsi="仿宋_GB2312" w:eastAsia="仿宋_GB2312" w:cs="仿宋_GB2312"/>
          <w:sz w:val="32"/>
          <w:szCs w:val="32"/>
          <w:highlight w:val="none"/>
          <w:lang w:val="en-US" w:eastAsia="zh-CN"/>
        </w:rPr>
        <w:t>0.02</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w:t>
      </w:r>
      <w:r>
        <w:rPr>
          <w:rFonts w:hint="eastAsia" w:ascii="仿宋_GB2312" w:hAnsi="仿宋_GB2312" w:eastAsia="仿宋_GB2312" w:cs="仿宋_GB2312"/>
          <w:sz w:val="32"/>
          <w:szCs w:val="32"/>
          <w:highlight w:val="none"/>
          <w:lang w:val="en-US" w:eastAsia="zh-CN"/>
        </w:rPr>
        <w:t>100</w:t>
      </w:r>
      <w:r>
        <w:rPr>
          <w:rFonts w:hint="eastAsia" w:ascii="Times New Roman" w:hAnsi="Times New Roman" w:eastAsia="仿宋_GB2312" w:cs="仿宋_GB2312"/>
          <w:color w:val="auto"/>
          <w:kern w:val="2"/>
          <w:sz w:val="32"/>
          <w:szCs w:val="32"/>
          <w:highlight w:val="none"/>
          <w:lang w:val="en-US" w:eastAsia="zh-CN" w:bidi="ar-SA"/>
        </w:rPr>
        <w:t>%。</w:t>
      </w:r>
    </w:p>
    <w:p w14:paraId="46323A85">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6"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46"/>
    </w:p>
    <w:p w14:paraId="73ED10F1">
      <w:pPr>
        <w:spacing w:line="600" w:lineRule="exact"/>
        <w:ind w:firstLine="640"/>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万元，占0%；公务接待费支出决算</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万元，占0%。具体情况如下：</w:t>
      </w:r>
    </w:p>
    <w:p w14:paraId="5F9EB77E">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highlight w:val="none"/>
          <w:lang w:val="en-US" w:eastAsia="zh-CN"/>
        </w:rPr>
        <w:drawing>
          <wp:anchor distT="0" distB="0" distL="114300" distR="114300" simplePos="0" relativeHeight="251660288" behindDoc="0" locked="0" layoutInCell="1" allowOverlap="1">
            <wp:simplePos x="0" y="0"/>
            <wp:positionH relativeFrom="column">
              <wp:posOffset>71755</wp:posOffset>
            </wp:positionH>
            <wp:positionV relativeFrom="paragraph">
              <wp:posOffset>90170</wp:posOffset>
            </wp:positionV>
            <wp:extent cx="5256530" cy="2988310"/>
            <wp:effectExtent l="5080" t="4445" r="15240" b="1714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w:t>
      </w:r>
      <w:r>
        <w:rPr>
          <w:rFonts w:hint="eastAsia" w:eastAsia="仿宋_GB2312" w:cs="仿宋_GB2312"/>
          <w:color w:val="auto"/>
          <w:kern w:val="2"/>
          <w:sz w:val="32"/>
          <w:szCs w:val="32"/>
          <w:highlight w:val="none"/>
          <w:lang w:val="en-US" w:eastAsia="zh-CN" w:bidi="ar-SA"/>
        </w:rPr>
        <w:t>与2024</w:t>
      </w:r>
      <w:r>
        <w:rPr>
          <w:rFonts w:hint="eastAsia" w:ascii="Times New Roman" w:hAnsi="Times New Roman" w:eastAsia="仿宋_GB2312" w:cs="仿宋_GB2312"/>
          <w:color w:val="auto"/>
          <w:kern w:val="2"/>
          <w:sz w:val="32"/>
          <w:szCs w:val="32"/>
          <w:highlight w:val="none"/>
          <w:lang w:val="en-US" w:eastAsia="zh-CN" w:bidi="ar-SA"/>
        </w:rPr>
        <w:t>年</w:t>
      </w:r>
      <w:r>
        <w:rPr>
          <w:rFonts w:hint="eastAsia" w:eastAsia="仿宋_GB2312" w:cs="仿宋_GB2312"/>
          <w:color w:val="auto"/>
          <w:kern w:val="2"/>
          <w:sz w:val="32"/>
          <w:szCs w:val="32"/>
          <w:highlight w:val="none"/>
          <w:lang w:val="en-US" w:eastAsia="zh-CN" w:bidi="ar-SA"/>
        </w:rPr>
        <w:t>度相比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A53B0D3">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w:t>
      </w:r>
      <w:r>
        <w:rPr>
          <w:rFonts w:hint="eastAsia" w:eastAsia="仿宋_GB2312" w:cs="仿宋_GB2312"/>
          <w:color w:val="auto"/>
          <w:kern w:val="2"/>
          <w:sz w:val="32"/>
          <w:szCs w:val="32"/>
          <w:highlight w:val="none"/>
          <w:lang w:val="en-US" w:eastAsia="zh-CN" w:bidi="ar-SA"/>
        </w:rPr>
        <w:t>公车</w:t>
      </w:r>
      <w:r>
        <w:rPr>
          <w:rFonts w:hint="eastAsia" w:ascii="Times New Roman" w:hAnsi="Times New Roman" w:eastAsia="仿宋_GB2312" w:cs="仿宋_GB2312"/>
          <w:color w:val="auto"/>
          <w:kern w:val="2"/>
          <w:sz w:val="32"/>
          <w:szCs w:val="32"/>
          <w:highlight w:val="none"/>
          <w:lang w:val="en-US" w:eastAsia="zh-CN" w:bidi="ar-SA"/>
        </w:rPr>
        <w:t>运行维护费支出决算</w:t>
      </w:r>
      <w:r>
        <w:rPr>
          <w:rFonts w:hint="eastAsia" w:eastAsia="仿宋_GB2312" w:cs="仿宋_GB2312"/>
          <w:color w:val="auto"/>
          <w:kern w:val="2"/>
          <w:sz w:val="32"/>
          <w:szCs w:val="32"/>
          <w:highlight w:val="none"/>
          <w:lang w:val="en-US" w:eastAsia="zh-CN" w:bidi="ar-SA"/>
        </w:rPr>
        <w:t>与2024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w:t>
      </w:r>
    </w:p>
    <w:p w14:paraId="4A38F644">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辆。截至</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425EFF96">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日常公务</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5A264BEB">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与2024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w:t>
      </w:r>
    </w:p>
    <w:p w14:paraId="4D9B6310">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w:t>
      </w:r>
    </w:p>
    <w:p w14:paraId="609F30AC">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bookmarkStart w:id="47" w:name="_Toc15396610"/>
      <w:bookmarkStart w:id="48" w:name="_Toc15377218"/>
    </w:p>
    <w:p w14:paraId="16B733E7">
      <w:pPr>
        <w:spacing w:line="600" w:lineRule="exact"/>
        <w:ind w:firstLine="640"/>
        <w:outlineLvl w:val="1"/>
        <w:rPr>
          <w:rStyle w:val="32"/>
          <w:rFonts w:ascii="Times New Roman" w:hAnsi="Times New Roman" w:eastAsia="黑体"/>
          <w:color w:val="auto"/>
          <w:highlight w:val="none"/>
        </w:rPr>
      </w:pPr>
      <w:bookmarkStart w:id="49" w:name="_Toc8237"/>
      <w:r>
        <w:rPr>
          <w:rFonts w:hint="eastAsia" w:ascii="Times New Roman" w:hAnsi="Times New Roman" w:eastAsia="黑体"/>
          <w:color w:val="auto"/>
          <w:sz w:val="32"/>
          <w:szCs w:val="32"/>
          <w:highlight w:val="none"/>
        </w:rPr>
        <w:t>八、</w:t>
      </w:r>
      <w:r>
        <w:rPr>
          <w:rStyle w:val="32"/>
          <w:rFonts w:hint="eastAsia" w:ascii="Times New Roman" w:hAnsi="Times New Roman" w:eastAsia="黑体"/>
          <w:b w:val="0"/>
          <w:color w:val="auto"/>
          <w:highlight w:val="none"/>
        </w:rPr>
        <w:t>政府性基金预算支出决算情况说明</w:t>
      </w:r>
      <w:bookmarkEnd w:id="47"/>
      <w:bookmarkEnd w:id="48"/>
      <w:bookmarkEnd w:id="49"/>
    </w:p>
    <w:p w14:paraId="05B5037C">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w:t>
      </w:r>
    </w:p>
    <w:p w14:paraId="0116953A">
      <w:pPr>
        <w:numPr>
          <w:ilvl w:val="0"/>
          <w:numId w:val="0"/>
        </w:numPr>
        <w:spacing w:line="600" w:lineRule="exact"/>
        <w:ind w:left="630" w:leftChars="0"/>
        <w:outlineLvl w:val="1"/>
        <w:rPr>
          <w:rStyle w:val="32"/>
          <w:rFonts w:ascii="Times New Roman" w:hAnsi="Times New Roman" w:eastAsia="黑体"/>
          <w:b w:val="0"/>
          <w:color w:val="auto"/>
          <w:highlight w:val="none"/>
        </w:rPr>
      </w:pPr>
      <w:bookmarkStart w:id="50" w:name="_Toc15377219"/>
      <w:bookmarkStart w:id="51" w:name="_Toc15396611"/>
      <w:bookmarkStart w:id="52" w:name="_Toc13134"/>
      <w:r>
        <w:rPr>
          <w:rStyle w:val="32"/>
          <w:rFonts w:hint="eastAsia" w:ascii="Times New Roman" w:hAnsi="Times New Roman" w:eastAsia="黑体"/>
          <w:b w:val="0"/>
          <w:color w:val="auto"/>
          <w:highlight w:val="none"/>
          <w:lang w:eastAsia="zh-CN"/>
        </w:rPr>
        <w:t>九、</w:t>
      </w:r>
      <w:r>
        <w:rPr>
          <w:rStyle w:val="32"/>
          <w:rFonts w:hint="eastAsia" w:ascii="Times New Roman" w:hAnsi="Times New Roman" w:eastAsia="黑体"/>
          <w:b w:val="0"/>
          <w:color w:val="auto"/>
          <w:highlight w:val="none"/>
        </w:rPr>
        <w:t>国有资本经营预算支出决算情况说明</w:t>
      </w:r>
      <w:bookmarkEnd w:id="50"/>
      <w:bookmarkEnd w:id="51"/>
      <w:bookmarkEnd w:id="52"/>
    </w:p>
    <w:p w14:paraId="10E1E4C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370398F">
      <w:pPr>
        <w:numPr>
          <w:ilvl w:val="0"/>
          <w:numId w:val="0"/>
        </w:numPr>
        <w:spacing w:line="600" w:lineRule="exact"/>
        <w:ind w:left="630" w:leftChars="0"/>
        <w:outlineLvl w:val="1"/>
        <w:rPr>
          <w:rStyle w:val="32"/>
          <w:rFonts w:hint="eastAsia" w:ascii="Times New Roman" w:hAnsi="Times New Roman" w:eastAsia="黑体"/>
          <w:b w:val="0"/>
          <w:color w:val="auto"/>
          <w:highlight w:val="none"/>
        </w:rPr>
      </w:pPr>
      <w:bookmarkStart w:id="53" w:name="_Toc5123"/>
      <w:bookmarkStart w:id="54" w:name="_Toc15396612"/>
      <w:bookmarkStart w:id="55" w:name="_Toc15377221"/>
      <w:r>
        <w:rPr>
          <w:rStyle w:val="32"/>
          <w:rFonts w:hint="eastAsia" w:ascii="Times New Roman" w:hAnsi="Times New Roman" w:eastAsia="黑体"/>
          <w:b w:val="0"/>
          <w:color w:val="auto"/>
          <w:highlight w:val="none"/>
          <w:lang w:eastAsia="zh-CN"/>
        </w:rPr>
        <w:t>十、</w:t>
      </w:r>
      <w:r>
        <w:rPr>
          <w:rStyle w:val="32"/>
          <w:rFonts w:hint="eastAsia" w:ascii="Times New Roman" w:hAnsi="Times New Roman" w:eastAsia="黑体"/>
          <w:b w:val="0"/>
          <w:color w:val="auto"/>
          <w:highlight w:val="none"/>
        </w:rPr>
        <w:t>其他重要事项的情况说明</w:t>
      </w:r>
      <w:bookmarkEnd w:id="53"/>
      <w:bookmarkEnd w:id="54"/>
      <w:bookmarkEnd w:id="55"/>
    </w:p>
    <w:p w14:paraId="0DCF67A4">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6" w:name="_Toc15377222"/>
      <w:r>
        <w:rPr>
          <w:rFonts w:hint="eastAsia" w:ascii="Times New Roman" w:hAnsi="Times New Roman" w:eastAsia="楷体_GB2312" w:cs="楷体_GB2312"/>
          <w:b/>
          <w:color w:val="auto"/>
          <w:sz w:val="32"/>
          <w:szCs w:val="32"/>
          <w:highlight w:val="none"/>
        </w:rPr>
        <w:t>（一）机关运行经费支出情况</w:t>
      </w:r>
      <w:bookmarkEnd w:id="56"/>
    </w:p>
    <w:p w14:paraId="3AA99B37">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lang w:val="en-US" w:eastAsia="zh-CN"/>
        </w:rPr>
        <w:t>茂县博物馆</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与2024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lang w:val="en-US" w:eastAsia="zh-CN"/>
        </w:rPr>
        <w:t>。</w:t>
      </w:r>
    </w:p>
    <w:p w14:paraId="22965F37">
      <w:pPr>
        <w:spacing w:line="600" w:lineRule="exact"/>
        <w:ind w:firstLine="643" w:firstLineChars="200"/>
        <w:outlineLvl w:val="9"/>
        <w:rPr>
          <w:rFonts w:hint="eastAsia" w:ascii="Times New Roman" w:hAnsi="Times New Roman" w:eastAsia="楷体_GB2312" w:cs="楷体_GB2312"/>
          <w:b/>
          <w:color w:val="FF0000"/>
          <w:sz w:val="32"/>
          <w:szCs w:val="32"/>
          <w:highlight w:val="none"/>
          <w:lang w:eastAsia="zh-CN"/>
        </w:rPr>
      </w:pPr>
      <w:bookmarkStart w:id="57" w:name="_Toc15377223"/>
      <w:r>
        <w:rPr>
          <w:rFonts w:hint="eastAsia" w:ascii="Times New Roman" w:hAnsi="Times New Roman" w:eastAsia="楷体_GB2312" w:cs="楷体_GB2312"/>
          <w:b/>
          <w:color w:val="auto"/>
          <w:sz w:val="32"/>
          <w:szCs w:val="32"/>
          <w:highlight w:val="none"/>
        </w:rPr>
        <w:t>（二）政府采购支出情况</w:t>
      </w:r>
      <w:bookmarkEnd w:id="57"/>
    </w:p>
    <w:p w14:paraId="75840CD0">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highlight w:val="none"/>
          <w:lang w:val="en-US" w:eastAsia="zh-CN"/>
        </w:rPr>
        <w:t>茂县博物馆</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p>
    <w:p w14:paraId="5C24164F">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8" w:name="_Toc15377224"/>
      <w:r>
        <w:rPr>
          <w:rFonts w:hint="eastAsia" w:ascii="Times New Roman" w:hAnsi="Times New Roman" w:eastAsia="楷体_GB2312" w:cs="楷体_GB2312"/>
          <w:b/>
          <w:color w:val="auto"/>
          <w:sz w:val="32"/>
          <w:szCs w:val="32"/>
          <w:highlight w:val="none"/>
        </w:rPr>
        <w:t>（三）国有资产占有使用情况</w:t>
      </w:r>
      <w:bookmarkEnd w:id="58"/>
    </w:p>
    <w:p w14:paraId="7CD4817E">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highlight w:val="none"/>
          <w:lang w:val="en-US" w:eastAsia="zh-CN"/>
        </w:rPr>
        <w:t>茂县博物馆</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辆，其他用车主要是用于日常公务用车。单价100万元（含）以上设备（不含车辆）</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00986637">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35777AAA">
      <w:p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ascii="仿宋_GB2312" w:hAnsi="Times New Roman" w:eastAsia="仿宋_GB2312" w:cs="Times New Roman"/>
          <w:color w:val="auto"/>
          <w:sz w:val="32"/>
          <w:szCs w:val="32"/>
          <w:highlight w:val="none"/>
          <w:lang w:eastAsia="zh-CN"/>
        </w:rPr>
        <w:t>根据预算绩效管理要求，本单位在</w:t>
      </w:r>
      <w:r>
        <w:rPr>
          <w:rFonts w:hint="eastAsia" w:ascii="仿宋_GB2312" w:hAnsi="Times New Roman" w:eastAsia="仿宋_GB2312" w:cs="Times New Roman"/>
          <w:color w:val="auto"/>
          <w:sz w:val="32"/>
          <w:szCs w:val="32"/>
          <w:highlight w:val="none"/>
          <w:lang w:val="en-US" w:eastAsia="zh-CN"/>
        </w:rPr>
        <w:t>2025年度</w:t>
      </w:r>
      <w:r>
        <w:rPr>
          <w:rFonts w:hint="eastAsia" w:ascii="仿宋_GB2312" w:hAnsi="Times New Roman" w:eastAsia="仿宋_GB2312" w:cs="Times New Roman"/>
          <w:color w:val="auto"/>
          <w:sz w:val="32"/>
          <w:szCs w:val="32"/>
          <w:highlight w:val="none"/>
          <w:lang w:eastAsia="zh-CN"/>
        </w:rPr>
        <w:t>预算编制阶段，组织对2025年博物馆免费开放资金</w:t>
      </w:r>
      <w:r>
        <w:rPr>
          <w:rFonts w:hint="eastAsia" w:ascii="仿宋_GB2312" w:hAnsi="Times New Roman" w:eastAsia="仿宋_GB2312" w:cs="Times New Roman"/>
          <w:color w:val="auto"/>
          <w:sz w:val="32"/>
          <w:szCs w:val="32"/>
          <w:highlight w:val="none"/>
          <w:lang w:val="en-US" w:eastAsia="zh-CN"/>
        </w:rPr>
        <w:t>项目</w:t>
      </w:r>
      <w:r>
        <w:rPr>
          <w:rFonts w:hint="eastAsia" w:ascii="仿宋_GB2312" w:hAnsi="Times New Roman" w:eastAsia="仿宋_GB2312" w:cs="Times New Roman"/>
          <w:color w:val="auto"/>
          <w:sz w:val="32"/>
          <w:szCs w:val="32"/>
          <w:highlight w:val="none"/>
          <w:lang w:eastAsia="zh-CN"/>
        </w:rPr>
        <w:t>开展了预算事前绩效评估，对</w:t>
      </w:r>
      <w:r>
        <w:rPr>
          <w:rFonts w:hint="eastAsia" w:ascii="仿宋_GB2312" w:hAnsi="Times New Roman" w:eastAsia="仿宋_GB2312" w:cs="Times New Roman"/>
          <w:color w:val="auto"/>
          <w:sz w:val="32"/>
          <w:szCs w:val="32"/>
          <w:highlight w:val="none"/>
          <w:lang w:val="en-US" w:eastAsia="zh-CN"/>
        </w:rPr>
        <w:t>1</w:t>
      </w:r>
      <w:r>
        <w:rPr>
          <w:rFonts w:hint="eastAsia" w:ascii="仿宋_GB2312" w:hAnsi="Times New Roman" w:eastAsia="仿宋_GB2312" w:cs="Times New Roman"/>
          <w:color w:val="auto"/>
          <w:sz w:val="32"/>
          <w:szCs w:val="32"/>
          <w:highlight w:val="none"/>
          <w:lang w:eastAsia="zh-CN"/>
        </w:rPr>
        <w:t>个项目编制了绩效目标，预算执行过程中，选取</w:t>
      </w:r>
      <w:r>
        <w:rPr>
          <w:rFonts w:hint="eastAsia" w:ascii="仿宋_GB2312" w:hAnsi="Times New Roman" w:eastAsia="仿宋_GB2312" w:cs="Times New Roman"/>
          <w:color w:val="auto"/>
          <w:sz w:val="32"/>
          <w:szCs w:val="32"/>
          <w:highlight w:val="none"/>
          <w:lang w:val="en-US" w:eastAsia="zh-CN"/>
        </w:rPr>
        <w:t>1</w:t>
      </w:r>
      <w:r>
        <w:rPr>
          <w:rFonts w:hint="eastAsia" w:ascii="仿宋_GB2312" w:hAnsi="Times New Roman" w:eastAsia="仿宋_GB2312" w:cs="Times New Roman"/>
          <w:color w:val="auto"/>
          <w:sz w:val="32"/>
          <w:szCs w:val="32"/>
          <w:highlight w:val="none"/>
          <w:lang w:eastAsia="zh-CN"/>
        </w:rPr>
        <w:t>个项目开展绩效监控，组织对</w:t>
      </w:r>
      <w:r>
        <w:rPr>
          <w:rFonts w:hint="eastAsia" w:ascii="仿宋_GB2312" w:hAnsi="Times New Roman" w:eastAsia="仿宋_GB2312" w:cs="Times New Roman"/>
          <w:color w:val="auto"/>
          <w:sz w:val="32"/>
          <w:szCs w:val="32"/>
          <w:highlight w:val="none"/>
          <w:lang w:val="en-US" w:eastAsia="zh-CN"/>
        </w:rPr>
        <w:t>1个项目开展绩效自评，绩效自评表详见第四部分附件</w:t>
      </w:r>
      <w:r>
        <w:rPr>
          <w:rFonts w:hint="eastAsia" w:eastAsia="仿宋_GB2312" w:cs="仿宋_GB2312"/>
          <w:color w:val="auto"/>
          <w:kern w:val="2"/>
          <w:sz w:val="32"/>
          <w:szCs w:val="32"/>
          <w:highlight w:val="none"/>
          <w:lang w:val="en-US" w:eastAsia="zh-CN" w:bidi="ar-SA"/>
        </w:rPr>
        <w:t>。</w:t>
      </w:r>
    </w:p>
    <w:p w14:paraId="681472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0FE55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F9EC795">
      <w:pPr>
        <w:pStyle w:val="16"/>
        <w:rPr>
          <w:rFonts w:hint="eastAsia" w:ascii="Times New Roman" w:hAnsi="Times New Roman" w:eastAsia="仿宋_GB2312" w:cs="仿宋_GB2312"/>
          <w:color w:val="auto"/>
          <w:kern w:val="2"/>
          <w:sz w:val="32"/>
          <w:szCs w:val="32"/>
          <w:highlight w:val="none"/>
          <w:lang w:val="en-US" w:eastAsia="zh-CN" w:bidi="ar-SA"/>
        </w:rPr>
      </w:pPr>
    </w:p>
    <w:p w14:paraId="6EB8B494">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1D432EF4">
      <w:pPr>
        <w:pStyle w:val="16"/>
        <w:rPr>
          <w:rFonts w:hint="eastAsia" w:ascii="Times New Roman" w:hAnsi="Times New Roman" w:eastAsia="仿宋_GB2312" w:cs="仿宋_GB2312"/>
          <w:color w:val="auto"/>
          <w:kern w:val="2"/>
          <w:sz w:val="32"/>
          <w:szCs w:val="32"/>
          <w:highlight w:val="none"/>
          <w:lang w:val="en-US" w:eastAsia="zh-CN" w:bidi="ar-SA"/>
        </w:rPr>
      </w:pPr>
    </w:p>
    <w:p w14:paraId="4DF8422F">
      <w:pPr>
        <w:numPr>
          <w:ilvl w:val="0"/>
          <w:numId w:val="0"/>
        </w:numPr>
        <w:spacing w:line="600" w:lineRule="exact"/>
        <w:jc w:val="center"/>
        <w:outlineLvl w:val="0"/>
        <w:rPr>
          <w:rFonts w:ascii="Times New Roman" w:hAnsi="Times New Roman"/>
          <w:b/>
          <w:color w:val="auto"/>
          <w:sz w:val="44"/>
          <w:szCs w:val="44"/>
          <w:highlight w:val="none"/>
        </w:rPr>
      </w:pPr>
      <w:bookmarkStart w:id="59" w:name="_Toc25673"/>
      <w:bookmarkStart w:id="60" w:name="_Toc15396613"/>
      <w:bookmarkStart w:id="61"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9"/>
      <w:bookmarkEnd w:id="60"/>
      <w:bookmarkEnd w:id="61"/>
    </w:p>
    <w:p w14:paraId="343D508E">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bookmarkStart w:id="62" w:name="_Toc15377226"/>
      <w:r>
        <w:rPr>
          <w:rFonts w:hint="eastAsia" w:ascii="Times New Roman" w:hAnsi="Times New Roman" w:eastAsia="仿宋_GB2312" w:cs="仿宋_GB2312"/>
          <w:color w:val="auto"/>
          <w:kern w:val="2"/>
          <w:sz w:val="32"/>
          <w:szCs w:val="32"/>
          <w:highlight w:val="none"/>
          <w:lang w:val="en-US" w:eastAsia="zh-CN" w:bidi="ar-SA"/>
        </w:rPr>
        <w:t>财政拨款收入：指单位从同级财政部门取得的财政预算资金。</w:t>
      </w:r>
    </w:p>
    <w:p w14:paraId="624E89C7">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事业收入：指事业单位开展专业业务活动及辅助活动取得的收入。</w:t>
      </w:r>
    </w:p>
    <w:p w14:paraId="4F67D95A">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经营收入：指事业单位在专业业务活动及其辅助活动之外开展非独立核算经营活动取得的收入。</w:t>
      </w:r>
    </w:p>
    <w:p w14:paraId="20F1ACE9">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其他收入：指单位取得的除上述收入以外的各项收入。</w:t>
      </w:r>
    </w:p>
    <w:p w14:paraId="091F68FB">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使用非财政拨款结余（含专用结余）：指事业单位使用以前年度积累的非财政拨款结余弥补当年收支差额的金额。 </w:t>
      </w:r>
    </w:p>
    <w:p w14:paraId="6BE238A0">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12BA962A">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结余分配：指事业单位按照会计制度规定缴纳的所得税、提取的专用结余以及转入非财政拨款结余的金额等。</w:t>
      </w:r>
    </w:p>
    <w:p w14:paraId="789184D2">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14:paraId="02B72AF7">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文物</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博物馆</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:反映文物系统及其他部门所属博物馆、纪念馆(室)的支出</w:t>
      </w:r>
      <w:r>
        <w:rPr>
          <w:rFonts w:hint="eastAsia" w:eastAsia="仿宋_GB2312" w:cs="仿宋_GB2312"/>
          <w:color w:val="auto"/>
          <w:kern w:val="2"/>
          <w:sz w:val="32"/>
          <w:szCs w:val="32"/>
          <w:highlight w:val="none"/>
          <w:lang w:val="en-US" w:eastAsia="zh-CN" w:bidi="ar-SA"/>
        </w:rPr>
        <w:t>。</w:t>
      </w:r>
    </w:p>
    <w:p w14:paraId="241DC670">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行政事业单位养老支出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:反映机关事业单位实施养老保险制度由单位缴纳的基本养老保险费支出。</w:t>
      </w:r>
    </w:p>
    <w:p w14:paraId="64A26CC4">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行政事业单位养老支出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机关事业单位职业年金缴费支出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:反映机关事业单位实施养老保险制度由单位实际缴纳的职业年金支出。</w:t>
      </w:r>
    </w:p>
    <w:p w14:paraId="27FFBCCE">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行政事业单位医疗</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事业单位医疗</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:反映财政部门安排的事业单位基本医疗保险缴费经费，未参加医疗保险的事业单位的公费医疗经费，按国家规定享受离休人员待遇的医疗经费。</w:t>
      </w:r>
    </w:p>
    <w:p w14:paraId="2FE8B180">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住房改革支出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:反映行政事业单位按人力资源和社会保障部、财政部规定的基本工资和津贴补贴以及规定比例为职工缴纳的住房公积金</w:t>
      </w:r>
      <w:r>
        <w:rPr>
          <w:rFonts w:hint="eastAsia" w:eastAsia="仿宋_GB2312" w:cs="仿宋_GB2312"/>
          <w:color w:val="auto"/>
          <w:kern w:val="2"/>
          <w:sz w:val="32"/>
          <w:szCs w:val="32"/>
          <w:highlight w:val="none"/>
          <w:lang w:val="en-US" w:eastAsia="zh-CN" w:bidi="ar-SA"/>
        </w:rPr>
        <w:t>。</w:t>
      </w:r>
    </w:p>
    <w:p w14:paraId="6A5EF8BF">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085FE0BF">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393ECF3B">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5BF1C998">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12C7A70">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FD69E6C">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br w:type="page"/>
      </w:r>
    </w:p>
    <w:p w14:paraId="1847D0D4">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eastAsia" w:ascii="Times New Roman" w:hAnsi="Times New Roman" w:eastAsia="仿宋_GB2312" w:cs="Times New Roman"/>
          <w:sz w:val="32"/>
          <w:szCs w:val="32"/>
          <w:highlight w:val="none"/>
          <w:u w:val="none"/>
          <w:lang w:val="en-US" w:eastAsia="zh-CN" w:bidi="ar"/>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bookmarkStart w:id="63" w:name="_Hlk110546638"/>
    </w:p>
    <w:bookmarkEnd w:id="63"/>
    <w:p w14:paraId="3738C649">
      <w:pPr>
        <w:spacing w:line="600" w:lineRule="exact"/>
        <w:jc w:val="center"/>
        <w:outlineLvl w:val="0"/>
        <w:rPr>
          <w:rFonts w:hint="eastAsia" w:ascii="Times New Roman" w:hAnsi="Times New Roman" w:eastAsia="黑体" w:cs="方正小标宋简体"/>
          <w:color w:val="auto"/>
          <w:sz w:val="44"/>
          <w:szCs w:val="44"/>
          <w:highlight w:val="none"/>
          <w:lang w:val="en-US" w:eastAsia="zh-CN"/>
        </w:rPr>
      </w:pPr>
      <w:bookmarkStart w:id="64" w:name="_Toc15396614"/>
      <w:bookmarkStart w:id="65" w:name="_Toc6707"/>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4"/>
      <w:bookmarkEnd w:id="65"/>
    </w:p>
    <w:p w14:paraId="388ED93E">
      <w:pPr>
        <w:pStyle w:val="9"/>
        <w:keepNext w:val="0"/>
        <w:keepLines w:val="0"/>
        <w:pageBreakBefore w:val="0"/>
        <w:numPr>
          <w:ilvl w:val="0"/>
          <w:numId w:val="0"/>
        </w:numPr>
        <w:kinsoku/>
        <w:wordWrap/>
        <w:overflowPunct/>
        <w:topLinePunct w:val="0"/>
        <w:autoSpaceDE/>
        <w:autoSpaceDN/>
        <w:bidi w:val="0"/>
        <w:spacing w:line="560" w:lineRule="exact"/>
        <w:jc w:val="center"/>
        <w:textAlignment w:val="auto"/>
        <w:rPr>
          <w:rFonts w:hint="eastAsia" w:hAnsi="Times New Roman" w:cs="Times New Roman"/>
          <w:sz w:val="32"/>
          <w:szCs w:val="32"/>
          <w:highlight w:val="none"/>
          <w:lang w:val="en-US" w:eastAsia="zh-CN"/>
        </w:rPr>
      </w:pPr>
      <w:r>
        <w:rPr>
          <w:rFonts w:hint="eastAsia" w:hAnsi="Times New Roman" w:cs="Times New Roman"/>
          <w:sz w:val="32"/>
          <w:szCs w:val="32"/>
          <w:highlight w:val="none"/>
          <w:lang w:val="en-US" w:eastAsia="zh-CN"/>
        </w:rPr>
        <w:t>单位预算项目支出绩效自评表（2025年度）</w:t>
      </w:r>
    </w:p>
    <w:tbl>
      <w:tblPr>
        <w:tblStyle w:val="18"/>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6"/>
        <w:gridCol w:w="700"/>
        <w:gridCol w:w="718"/>
        <w:gridCol w:w="854"/>
        <w:gridCol w:w="503"/>
        <w:gridCol w:w="815"/>
        <w:gridCol w:w="505"/>
        <w:gridCol w:w="917"/>
        <w:gridCol w:w="496"/>
        <w:gridCol w:w="496"/>
        <w:gridCol w:w="1842"/>
      </w:tblGrid>
      <w:tr w14:paraId="1522C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241E2D9">
            <w:pPr>
              <w:keepNext w:val="0"/>
              <w:keepLines w:val="0"/>
              <w:widowControl/>
              <w:suppressLineNumbers w:val="0"/>
              <w:snapToGrid w:val="0"/>
              <w:jc w:val="center"/>
              <w:textAlignment w:val="center"/>
              <w:rPr>
                <w:rFonts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lang w:val="en-US" w:eastAsia="zh-CN" w:bidi="ar"/>
              </w:rPr>
              <w:t>部门预算项目支出绩效自评表（2025年度）</w:t>
            </w:r>
          </w:p>
        </w:tc>
      </w:tr>
      <w:tr w14:paraId="27522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5C7A05">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项目名称</w:t>
            </w:r>
          </w:p>
        </w:tc>
        <w:tc>
          <w:tcPr>
            <w:tcW w:w="419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1D3FB19">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51322325T000013764013-阿州财教〔2025〕7号2025年博物馆免费开放资金</w:t>
            </w:r>
          </w:p>
        </w:tc>
      </w:tr>
      <w:tr w14:paraId="1E734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45E959">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主管部门</w:t>
            </w:r>
          </w:p>
        </w:tc>
        <w:tc>
          <w:tcPr>
            <w:tcW w:w="199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E71792">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茂县文化广播电视体育和旅游局</w:t>
            </w:r>
          </w:p>
        </w:tc>
        <w:tc>
          <w:tcPr>
            <w:tcW w:w="536" w:type="pct"/>
            <w:tcBorders>
              <w:top w:val="nil"/>
              <w:left w:val="nil"/>
              <w:bottom w:val="nil"/>
              <w:right w:val="nil"/>
            </w:tcBorders>
            <w:shd w:val="clear" w:color="auto" w:fill="auto"/>
            <w:vAlign w:val="center"/>
          </w:tcPr>
          <w:p w14:paraId="0F7AA8EB">
            <w:pPr>
              <w:keepNext w:val="0"/>
              <w:keepLines w:val="0"/>
              <w:widowControl/>
              <w:suppressLineNumbers w:val="0"/>
              <w:snapToGrid w:val="0"/>
              <w:jc w:val="left"/>
              <w:textAlignment w:val="center"/>
              <w:rPr>
                <w:rFonts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实施单位 （盖章）</w:t>
            </w:r>
          </w:p>
        </w:tc>
        <w:tc>
          <w:tcPr>
            <w:tcW w:w="166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9598F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茂县博物馆</w:t>
            </w:r>
          </w:p>
        </w:tc>
      </w:tr>
      <w:tr w14:paraId="64F44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9AF98A">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项目基本情况</w:t>
            </w:r>
          </w:p>
        </w:tc>
        <w:tc>
          <w:tcPr>
            <w:tcW w:w="4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F9411D">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1.项目年度目标完成情况</w:t>
            </w:r>
          </w:p>
        </w:tc>
        <w:tc>
          <w:tcPr>
            <w:tcW w:w="199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51B82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项目年度目标</w:t>
            </w:r>
          </w:p>
        </w:tc>
        <w:tc>
          <w:tcPr>
            <w:tcW w:w="219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4DBD54">
            <w:pPr>
              <w:keepNext w:val="0"/>
              <w:keepLines w:val="0"/>
              <w:widowControl/>
              <w:suppressLineNumbers w:val="0"/>
              <w:snapToGrid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年度目标完成情况</w:t>
            </w:r>
          </w:p>
        </w:tc>
      </w:tr>
      <w:tr w14:paraId="21CE4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58D61">
            <w:pPr>
              <w:snapToGrid w:val="0"/>
              <w:rPr>
                <w:rFonts w:hint="eastAsia" w:ascii="宋体" w:hAnsi="宋体" w:eastAsia="宋体" w:cs="宋体"/>
                <w:i w:val="0"/>
                <w:iCs w:val="0"/>
                <w:color w:val="000000"/>
                <w:sz w:val="18"/>
                <w:szCs w:val="18"/>
                <w:highlight w:val="none"/>
                <w:u w:val="none"/>
              </w:rPr>
            </w:pPr>
          </w:p>
        </w:tc>
        <w:tc>
          <w:tcPr>
            <w:tcW w:w="4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363BC">
            <w:pPr>
              <w:snapToGrid w:val="0"/>
              <w:rPr>
                <w:rFonts w:hint="eastAsia" w:ascii="宋体" w:hAnsi="宋体" w:eastAsia="宋体" w:cs="宋体"/>
                <w:i w:val="0"/>
                <w:iCs w:val="0"/>
                <w:color w:val="000000"/>
                <w:sz w:val="18"/>
                <w:szCs w:val="18"/>
                <w:highlight w:val="none"/>
                <w:u w:val="none"/>
              </w:rPr>
            </w:pPr>
          </w:p>
        </w:tc>
        <w:tc>
          <w:tcPr>
            <w:tcW w:w="1991"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AE2D3F">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用于保障博物馆免费开放工作正常运行，主要用于博物馆临聘人员工资、日常采购、馆舍维修、陈列布展、水电网、绿化养护、电梯维修维护等</w:t>
            </w:r>
          </w:p>
        </w:tc>
        <w:tc>
          <w:tcPr>
            <w:tcW w:w="219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73389A">
            <w:pPr>
              <w:keepNext w:val="0"/>
              <w:keepLines w:val="0"/>
              <w:widowControl/>
              <w:suppressLineNumbers w:val="0"/>
              <w:snapToGrid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对照年度目标，说明相关任务目标的完成情况（100字以内）</w:t>
            </w:r>
          </w:p>
        </w:tc>
      </w:tr>
      <w:tr w14:paraId="528D2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3C4A8">
            <w:pPr>
              <w:snapToGrid w:val="0"/>
              <w:rPr>
                <w:rFonts w:hint="eastAsia" w:ascii="宋体" w:hAnsi="宋体" w:eastAsia="宋体" w:cs="宋体"/>
                <w:i w:val="0"/>
                <w:iCs w:val="0"/>
                <w:color w:val="000000"/>
                <w:sz w:val="18"/>
                <w:szCs w:val="18"/>
                <w:highlight w:val="none"/>
                <w:u w:val="none"/>
              </w:rPr>
            </w:pP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A7C2C">
            <w:pPr>
              <w:keepNext w:val="0"/>
              <w:keepLines w:val="0"/>
              <w:widowControl/>
              <w:suppressLineNumbers w:val="0"/>
              <w:snapToGrid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2.项目实施内容及过程概述</w:t>
            </w:r>
          </w:p>
        </w:tc>
        <w:tc>
          <w:tcPr>
            <w:tcW w:w="419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E8ACDB4">
            <w:pPr>
              <w:snapToGrid w:val="0"/>
              <w:rPr>
                <w:rFonts w:hint="eastAsia" w:ascii="宋体" w:hAnsi="宋体" w:eastAsia="宋体" w:cs="宋体"/>
                <w:i w:val="0"/>
                <w:iCs w:val="0"/>
                <w:color w:val="000000"/>
                <w:sz w:val="18"/>
                <w:szCs w:val="18"/>
                <w:highlight w:val="none"/>
                <w:u w:val="none"/>
              </w:rPr>
            </w:pPr>
          </w:p>
        </w:tc>
      </w:tr>
      <w:tr w14:paraId="170B3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7FC61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预算执行情况（10分）</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F26E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年度预算数（万元）</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35E5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年初预算</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B7C4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调整后预算数</w:t>
            </w:r>
          </w:p>
        </w:tc>
        <w:tc>
          <w:tcPr>
            <w:tcW w:w="10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041FB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预算执行数</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F04E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预算执行率</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C0A8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CE9C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1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697D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原因</w:t>
            </w:r>
          </w:p>
        </w:tc>
      </w:tr>
      <w:tr w14:paraId="49235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3FC7C">
            <w:pPr>
              <w:snapToGrid w:val="0"/>
              <w:jc w:val="center"/>
              <w:rPr>
                <w:rFonts w:hint="eastAsia" w:ascii="宋体" w:hAnsi="宋体" w:eastAsia="宋体" w:cs="宋体"/>
                <w:i w:val="0"/>
                <w:iCs w:val="0"/>
                <w:color w:val="000000"/>
                <w:sz w:val="18"/>
                <w:szCs w:val="18"/>
                <w:highlight w:val="none"/>
                <w:u w:val="none"/>
              </w:rPr>
            </w:pP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1648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总额</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24A2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539E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50.00</w:t>
            </w:r>
          </w:p>
        </w:tc>
        <w:tc>
          <w:tcPr>
            <w:tcW w:w="10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9512D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50.00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287C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34BB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F977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0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F4B1CC">
            <w:pPr>
              <w:keepNext w:val="0"/>
              <w:keepLines w:val="0"/>
              <w:widowControl/>
              <w:suppressLineNumbers w:val="0"/>
              <w:snapToGrid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1780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928C3">
            <w:pPr>
              <w:snapToGrid w:val="0"/>
              <w:jc w:val="center"/>
              <w:rPr>
                <w:rFonts w:hint="eastAsia" w:ascii="宋体" w:hAnsi="宋体" w:eastAsia="宋体" w:cs="宋体"/>
                <w:i w:val="0"/>
                <w:iCs w:val="0"/>
                <w:color w:val="000000"/>
                <w:sz w:val="18"/>
                <w:szCs w:val="18"/>
                <w:highlight w:val="none"/>
                <w:u w:val="none"/>
              </w:rPr>
            </w:pP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A08F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其中：财政资金</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5F93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162D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50.00</w:t>
            </w:r>
          </w:p>
        </w:tc>
        <w:tc>
          <w:tcPr>
            <w:tcW w:w="10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742AC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50.00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60D0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2506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6235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069CD">
            <w:pPr>
              <w:snapToGrid w:val="0"/>
              <w:rPr>
                <w:rFonts w:hint="eastAsia" w:ascii="黑体" w:hAnsi="黑体" w:eastAsia="黑体" w:cs="黑体"/>
                <w:i/>
                <w:iCs/>
                <w:color w:val="000000"/>
                <w:sz w:val="18"/>
                <w:szCs w:val="18"/>
                <w:highlight w:val="none"/>
                <w:u w:val="none"/>
              </w:rPr>
            </w:pPr>
          </w:p>
        </w:tc>
      </w:tr>
      <w:tr w14:paraId="37434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8B2A0">
            <w:pPr>
              <w:snapToGrid w:val="0"/>
              <w:jc w:val="center"/>
              <w:rPr>
                <w:rFonts w:hint="eastAsia" w:ascii="宋体" w:hAnsi="宋体" w:eastAsia="宋体" w:cs="宋体"/>
                <w:i w:val="0"/>
                <w:iCs w:val="0"/>
                <w:color w:val="000000"/>
                <w:sz w:val="18"/>
                <w:szCs w:val="18"/>
                <w:highlight w:val="none"/>
                <w:u w:val="none"/>
              </w:rPr>
            </w:pP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52E8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财政专户管理资金</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0636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CFBB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27AC8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EB8F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D79D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8DDE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BB2C5">
            <w:pPr>
              <w:snapToGrid w:val="0"/>
              <w:rPr>
                <w:rFonts w:hint="eastAsia" w:ascii="黑体" w:hAnsi="黑体" w:eastAsia="黑体" w:cs="黑体"/>
                <w:i/>
                <w:iCs/>
                <w:color w:val="000000"/>
                <w:sz w:val="18"/>
                <w:szCs w:val="18"/>
                <w:highlight w:val="none"/>
                <w:u w:val="none"/>
              </w:rPr>
            </w:pPr>
          </w:p>
        </w:tc>
      </w:tr>
      <w:tr w14:paraId="43B31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3B0CD">
            <w:pPr>
              <w:snapToGrid w:val="0"/>
              <w:jc w:val="center"/>
              <w:rPr>
                <w:rFonts w:hint="eastAsia" w:ascii="宋体" w:hAnsi="宋体" w:eastAsia="宋体" w:cs="宋体"/>
                <w:i w:val="0"/>
                <w:iCs w:val="0"/>
                <w:color w:val="000000"/>
                <w:sz w:val="18"/>
                <w:szCs w:val="18"/>
                <w:highlight w:val="none"/>
                <w:u w:val="none"/>
              </w:rPr>
            </w:pP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64E3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单位资金</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86F1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6ACD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10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B5D81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85CA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0.00%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07AA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7C06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FA84C">
            <w:pPr>
              <w:snapToGrid w:val="0"/>
              <w:rPr>
                <w:rFonts w:hint="eastAsia" w:ascii="黑体" w:hAnsi="黑体" w:eastAsia="黑体" w:cs="黑体"/>
                <w:i/>
                <w:iCs/>
                <w:color w:val="000000"/>
                <w:sz w:val="18"/>
                <w:szCs w:val="18"/>
                <w:highlight w:val="none"/>
                <w:u w:val="none"/>
              </w:rPr>
            </w:pPr>
          </w:p>
        </w:tc>
      </w:tr>
      <w:tr w14:paraId="3B373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5419F">
            <w:pPr>
              <w:snapToGrid w:val="0"/>
              <w:jc w:val="center"/>
              <w:rPr>
                <w:rFonts w:hint="eastAsia" w:ascii="宋体" w:hAnsi="宋体" w:eastAsia="宋体" w:cs="宋体"/>
                <w:i w:val="0"/>
                <w:iCs w:val="0"/>
                <w:color w:val="000000"/>
                <w:sz w:val="18"/>
                <w:szCs w:val="18"/>
                <w:highlight w:val="none"/>
                <w:u w:val="none"/>
              </w:rPr>
            </w:pP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DBCF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其他资金</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86741">
            <w:pPr>
              <w:snapToGrid w:val="0"/>
              <w:jc w:val="center"/>
              <w:rPr>
                <w:rFonts w:hint="eastAsia" w:ascii="微软雅黑" w:hAnsi="微软雅黑" w:eastAsia="微软雅黑" w:cs="微软雅黑"/>
                <w:i/>
                <w:iCs/>
                <w:color w:val="000000"/>
                <w:sz w:val="16"/>
                <w:szCs w:val="16"/>
                <w:highlight w:val="none"/>
                <w:u w:val="none"/>
              </w:rPr>
            </w:pP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33183">
            <w:pPr>
              <w:snapToGrid w:val="0"/>
              <w:jc w:val="center"/>
              <w:rPr>
                <w:rFonts w:hint="eastAsia" w:ascii="微软雅黑" w:hAnsi="微软雅黑" w:eastAsia="微软雅黑" w:cs="微软雅黑"/>
                <w:i/>
                <w:iCs/>
                <w:color w:val="000000"/>
                <w:sz w:val="16"/>
                <w:szCs w:val="16"/>
                <w:highlight w:val="none"/>
                <w:u w:val="none"/>
              </w:rPr>
            </w:pPr>
          </w:p>
        </w:tc>
        <w:tc>
          <w:tcPr>
            <w:tcW w:w="10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24CFCB">
            <w:pPr>
              <w:snapToGrid w:val="0"/>
              <w:jc w:val="center"/>
              <w:rPr>
                <w:rFonts w:hint="eastAsia" w:ascii="微软雅黑" w:hAnsi="微软雅黑" w:eastAsia="微软雅黑" w:cs="微软雅黑"/>
                <w:i/>
                <w:iCs/>
                <w:color w:val="000000"/>
                <w:sz w:val="16"/>
                <w:szCs w:val="16"/>
                <w:highlight w:val="none"/>
                <w:u w:val="none"/>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ED45F">
            <w:pPr>
              <w:snapToGrid w:val="0"/>
              <w:jc w:val="center"/>
              <w:rPr>
                <w:rFonts w:hint="eastAsia" w:ascii="微软雅黑" w:hAnsi="微软雅黑" w:eastAsia="微软雅黑" w:cs="微软雅黑"/>
                <w:i/>
                <w:iCs/>
                <w:color w:val="000000"/>
                <w:sz w:val="16"/>
                <w:szCs w:val="16"/>
                <w:highlight w:val="none"/>
                <w:u w:val="none"/>
              </w:rPr>
            </w:pP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C68D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E49F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10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B0F69">
            <w:pPr>
              <w:snapToGrid w:val="0"/>
              <w:rPr>
                <w:rFonts w:hint="eastAsia" w:ascii="黑体" w:hAnsi="黑体" w:eastAsia="黑体" w:cs="黑体"/>
                <w:i/>
                <w:iCs/>
                <w:color w:val="000000"/>
                <w:sz w:val="18"/>
                <w:szCs w:val="18"/>
                <w:highlight w:val="none"/>
                <w:u w:val="none"/>
              </w:rPr>
            </w:pPr>
          </w:p>
        </w:tc>
      </w:tr>
      <w:tr w14:paraId="0BDF4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6A142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绩效指标（90分）</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2A15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一级指标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020A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二级指标</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D176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三级指标</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F746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指标性质</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AE83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指标值</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CF93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度量单位</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127B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完成值</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5CCE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权重</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76CA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得分</w:t>
            </w:r>
          </w:p>
        </w:tc>
        <w:tc>
          <w:tcPr>
            <w:tcW w:w="1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E9A6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未完成原因分析</w:t>
            </w:r>
          </w:p>
        </w:tc>
      </w:tr>
      <w:tr w14:paraId="2EF8A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27D48">
            <w:pPr>
              <w:snapToGrid w:val="0"/>
              <w:jc w:val="center"/>
              <w:rPr>
                <w:rFonts w:hint="eastAsia" w:ascii="宋体" w:hAnsi="宋体" w:eastAsia="宋体" w:cs="宋体"/>
                <w:i w:val="0"/>
                <w:iCs w:val="0"/>
                <w:color w:val="000000"/>
                <w:sz w:val="18"/>
                <w:szCs w:val="18"/>
                <w:highlight w:val="none"/>
                <w:u w:val="none"/>
              </w:rPr>
            </w:pPr>
          </w:p>
        </w:tc>
        <w:tc>
          <w:tcPr>
            <w:tcW w:w="4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FDAA5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产出指标</w:t>
            </w:r>
          </w:p>
        </w:tc>
        <w:tc>
          <w:tcPr>
            <w:tcW w:w="4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B54E5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数量指标</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188A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临时展览</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0686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6F19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9B11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C85E4">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6EB8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F03B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D531D">
            <w:pPr>
              <w:snapToGrid w:val="0"/>
              <w:jc w:val="center"/>
              <w:rPr>
                <w:rFonts w:hint="eastAsia" w:ascii="微软雅黑" w:hAnsi="微软雅黑" w:eastAsia="微软雅黑" w:cs="微软雅黑"/>
                <w:i/>
                <w:iCs/>
                <w:color w:val="000000"/>
                <w:sz w:val="16"/>
                <w:szCs w:val="16"/>
                <w:highlight w:val="none"/>
                <w:u w:val="none"/>
              </w:rPr>
            </w:pPr>
          </w:p>
        </w:tc>
      </w:tr>
      <w:tr w14:paraId="14DF1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75389">
            <w:pPr>
              <w:snapToGrid w:val="0"/>
              <w:jc w:val="center"/>
              <w:rPr>
                <w:rFonts w:hint="eastAsia" w:ascii="宋体" w:hAnsi="宋体" w:eastAsia="宋体" w:cs="宋体"/>
                <w:i w:val="0"/>
                <w:iCs w:val="0"/>
                <w:color w:val="000000"/>
                <w:sz w:val="18"/>
                <w:szCs w:val="18"/>
                <w:highlight w:val="none"/>
                <w:u w:val="none"/>
              </w:rPr>
            </w:pPr>
          </w:p>
        </w:tc>
        <w:tc>
          <w:tcPr>
            <w:tcW w:w="4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3EA6C">
            <w:pPr>
              <w:snapToGrid w:val="0"/>
              <w:jc w:val="center"/>
              <w:rPr>
                <w:rFonts w:hint="eastAsia" w:ascii="宋体" w:hAnsi="宋体" w:eastAsia="宋体" w:cs="宋体"/>
                <w:i w:val="0"/>
                <w:iCs w:val="0"/>
                <w:color w:val="000000"/>
                <w:sz w:val="18"/>
                <w:szCs w:val="18"/>
                <w:highlight w:val="none"/>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E6AC6">
            <w:pPr>
              <w:snapToGrid w:val="0"/>
              <w:jc w:val="center"/>
              <w:rPr>
                <w:rFonts w:hint="eastAsia" w:ascii="宋体" w:hAnsi="宋体" w:eastAsia="宋体" w:cs="宋体"/>
                <w:i w:val="0"/>
                <w:iCs w:val="0"/>
                <w:color w:val="000000"/>
                <w:sz w:val="18"/>
                <w:szCs w:val="18"/>
                <w:highlight w:val="none"/>
                <w:u w:val="none"/>
              </w:rPr>
            </w:pP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765A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馆际交流</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6B89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852A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AB1A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717B8">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5次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D8D2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53C7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D8032">
            <w:pPr>
              <w:snapToGrid w:val="0"/>
              <w:jc w:val="center"/>
              <w:rPr>
                <w:rFonts w:hint="eastAsia" w:ascii="微软雅黑" w:hAnsi="微软雅黑" w:eastAsia="微软雅黑" w:cs="微软雅黑"/>
                <w:i/>
                <w:iCs/>
                <w:color w:val="000000"/>
                <w:sz w:val="16"/>
                <w:szCs w:val="16"/>
                <w:highlight w:val="none"/>
                <w:u w:val="none"/>
              </w:rPr>
            </w:pPr>
          </w:p>
        </w:tc>
      </w:tr>
      <w:tr w14:paraId="62C1B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4575A">
            <w:pPr>
              <w:snapToGrid w:val="0"/>
              <w:jc w:val="center"/>
              <w:rPr>
                <w:rFonts w:hint="eastAsia" w:ascii="宋体" w:hAnsi="宋体" w:eastAsia="宋体" w:cs="宋体"/>
                <w:i w:val="0"/>
                <w:iCs w:val="0"/>
                <w:color w:val="000000"/>
                <w:sz w:val="18"/>
                <w:szCs w:val="18"/>
                <w:highlight w:val="none"/>
                <w:u w:val="none"/>
              </w:rPr>
            </w:pPr>
          </w:p>
        </w:tc>
        <w:tc>
          <w:tcPr>
            <w:tcW w:w="4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91A89">
            <w:pPr>
              <w:snapToGrid w:val="0"/>
              <w:jc w:val="center"/>
              <w:rPr>
                <w:rFonts w:hint="eastAsia" w:ascii="宋体" w:hAnsi="宋体" w:eastAsia="宋体" w:cs="宋体"/>
                <w:i w:val="0"/>
                <w:iCs w:val="0"/>
                <w:color w:val="000000"/>
                <w:sz w:val="18"/>
                <w:szCs w:val="18"/>
                <w:highlight w:val="none"/>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7DCFD">
            <w:pPr>
              <w:snapToGrid w:val="0"/>
              <w:jc w:val="center"/>
              <w:rPr>
                <w:rFonts w:hint="eastAsia" w:ascii="宋体" w:hAnsi="宋体" w:eastAsia="宋体" w:cs="宋体"/>
                <w:i w:val="0"/>
                <w:iCs w:val="0"/>
                <w:color w:val="000000"/>
                <w:sz w:val="18"/>
                <w:szCs w:val="18"/>
                <w:highlight w:val="none"/>
                <w:u w:val="none"/>
              </w:rPr>
            </w:pP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5718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全年接待人次</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C73C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F1378">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100000</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BC80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人/次</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01E27">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23.8万人次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2F31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0A10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E1102">
            <w:pPr>
              <w:snapToGrid w:val="0"/>
              <w:jc w:val="center"/>
              <w:rPr>
                <w:rFonts w:hint="eastAsia" w:ascii="微软雅黑" w:hAnsi="微软雅黑" w:eastAsia="微软雅黑" w:cs="微软雅黑"/>
                <w:i/>
                <w:iCs/>
                <w:color w:val="000000"/>
                <w:sz w:val="16"/>
                <w:szCs w:val="16"/>
                <w:highlight w:val="none"/>
                <w:u w:val="none"/>
              </w:rPr>
            </w:pPr>
          </w:p>
        </w:tc>
      </w:tr>
      <w:tr w14:paraId="3C449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DAB21">
            <w:pPr>
              <w:snapToGrid w:val="0"/>
              <w:jc w:val="center"/>
              <w:rPr>
                <w:rFonts w:hint="eastAsia" w:ascii="宋体" w:hAnsi="宋体" w:eastAsia="宋体" w:cs="宋体"/>
                <w:i w:val="0"/>
                <w:iCs w:val="0"/>
                <w:color w:val="000000"/>
                <w:sz w:val="18"/>
                <w:szCs w:val="18"/>
                <w:highlight w:val="none"/>
                <w:u w:val="none"/>
              </w:rPr>
            </w:pPr>
          </w:p>
        </w:tc>
        <w:tc>
          <w:tcPr>
            <w:tcW w:w="4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7A446">
            <w:pPr>
              <w:snapToGrid w:val="0"/>
              <w:jc w:val="center"/>
              <w:rPr>
                <w:rFonts w:hint="eastAsia" w:ascii="宋体" w:hAnsi="宋体" w:eastAsia="宋体" w:cs="宋体"/>
                <w:i w:val="0"/>
                <w:iCs w:val="0"/>
                <w:color w:val="000000"/>
                <w:sz w:val="18"/>
                <w:szCs w:val="18"/>
                <w:highlight w:val="none"/>
                <w:u w:val="none"/>
              </w:rPr>
            </w:pP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E5B5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质量指标</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08FD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馆内日常维护</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C1B1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81AD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57EB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BB5A3">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7次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A674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1BFF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70977">
            <w:pPr>
              <w:snapToGrid w:val="0"/>
              <w:jc w:val="center"/>
              <w:rPr>
                <w:rFonts w:hint="eastAsia" w:ascii="微软雅黑" w:hAnsi="微软雅黑" w:eastAsia="微软雅黑" w:cs="微软雅黑"/>
                <w:i/>
                <w:iCs/>
                <w:color w:val="000000"/>
                <w:sz w:val="16"/>
                <w:szCs w:val="16"/>
                <w:highlight w:val="none"/>
                <w:u w:val="none"/>
              </w:rPr>
            </w:pPr>
          </w:p>
        </w:tc>
      </w:tr>
      <w:tr w14:paraId="0CB1D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70459">
            <w:pPr>
              <w:snapToGrid w:val="0"/>
              <w:jc w:val="center"/>
              <w:rPr>
                <w:rFonts w:hint="eastAsia" w:ascii="宋体" w:hAnsi="宋体" w:eastAsia="宋体" w:cs="宋体"/>
                <w:i w:val="0"/>
                <w:iCs w:val="0"/>
                <w:color w:val="000000"/>
                <w:sz w:val="18"/>
                <w:szCs w:val="18"/>
                <w:highlight w:val="none"/>
                <w:u w:val="none"/>
              </w:rPr>
            </w:pPr>
          </w:p>
        </w:tc>
        <w:tc>
          <w:tcPr>
            <w:tcW w:w="41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23296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效益指标</w:t>
            </w:r>
          </w:p>
        </w:tc>
        <w:tc>
          <w:tcPr>
            <w:tcW w:w="4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06471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社会效益指标</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5E15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开展社会教育活动</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B84A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1ED51">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A2C3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次</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DD820">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5次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FF5E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B1B2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4E3D8">
            <w:pPr>
              <w:snapToGrid w:val="0"/>
              <w:jc w:val="center"/>
              <w:rPr>
                <w:rFonts w:hint="eastAsia" w:ascii="微软雅黑" w:hAnsi="微软雅黑" w:eastAsia="微软雅黑" w:cs="微软雅黑"/>
                <w:i/>
                <w:iCs/>
                <w:color w:val="000000"/>
                <w:sz w:val="16"/>
                <w:szCs w:val="16"/>
                <w:highlight w:val="none"/>
                <w:u w:val="none"/>
              </w:rPr>
            </w:pPr>
          </w:p>
        </w:tc>
      </w:tr>
      <w:tr w14:paraId="25DA3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5B803">
            <w:pPr>
              <w:snapToGrid w:val="0"/>
              <w:jc w:val="center"/>
              <w:rPr>
                <w:rFonts w:hint="eastAsia" w:ascii="宋体" w:hAnsi="宋体" w:eastAsia="宋体" w:cs="宋体"/>
                <w:i w:val="0"/>
                <w:iCs w:val="0"/>
                <w:color w:val="000000"/>
                <w:sz w:val="18"/>
                <w:szCs w:val="18"/>
                <w:highlight w:val="none"/>
                <w:u w:val="none"/>
              </w:rPr>
            </w:pPr>
          </w:p>
        </w:tc>
        <w:tc>
          <w:tcPr>
            <w:tcW w:w="41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8DD41">
            <w:pPr>
              <w:snapToGrid w:val="0"/>
              <w:jc w:val="center"/>
              <w:rPr>
                <w:rFonts w:hint="eastAsia" w:ascii="宋体" w:hAnsi="宋体" w:eastAsia="宋体" w:cs="宋体"/>
                <w:i w:val="0"/>
                <w:iCs w:val="0"/>
                <w:color w:val="000000"/>
                <w:sz w:val="18"/>
                <w:szCs w:val="18"/>
                <w:highlight w:val="none"/>
                <w:u w:val="none"/>
              </w:rPr>
            </w:pPr>
          </w:p>
        </w:tc>
        <w:tc>
          <w:tcPr>
            <w:tcW w:w="4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031AD">
            <w:pPr>
              <w:snapToGrid w:val="0"/>
              <w:jc w:val="center"/>
              <w:rPr>
                <w:rFonts w:hint="eastAsia" w:ascii="宋体" w:hAnsi="宋体" w:eastAsia="宋体" w:cs="宋体"/>
                <w:i w:val="0"/>
                <w:iCs w:val="0"/>
                <w:color w:val="000000"/>
                <w:sz w:val="18"/>
                <w:szCs w:val="18"/>
                <w:highlight w:val="none"/>
                <w:u w:val="none"/>
              </w:rPr>
            </w:pP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AE27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全年接待多少天</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5D6F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5E8ED">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317</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5489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天</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7713C">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317天</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F9BB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C4CF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58C43">
            <w:pPr>
              <w:snapToGrid w:val="0"/>
              <w:jc w:val="center"/>
              <w:rPr>
                <w:rFonts w:hint="eastAsia" w:ascii="微软雅黑" w:hAnsi="微软雅黑" w:eastAsia="微软雅黑" w:cs="微软雅黑"/>
                <w:i/>
                <w:iCs/>
                <w:color w:val="000000"/>
                <w:sz w:val="16"/>
                <w:szCs w:val="16"/>
                <w:highlight w:val="none"/>
                <w:u w:val="none"/>
              </w:rPr>
            </w:pPr>
          </w:p>
        </w:tc>
      </w:tr>
      <w:tr w14:paraId="512B8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AE5E1">
            <w:pPr>
              <w:snapToGrid w:val="0"/>
              <w:jc w:val="center"/>
              <w:rPr>
                <w:rFonts w:hint="eastAsia" w:ascii="宋体" w:hAnsi="宋体" w:eastAsia="宋体" w:cs="宋体"/>
                <w:i w:val="0"/>
                <w:iCs w:val="0"/>
                <w:color w:val="000000"/>
                <w:sz w:val="18"/>
                <w:szCs w:val="18"/>
                <w:highlight w:val="none"/>
                <w:u w:val="none"/>
              </w:rPr>
            </w:pP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DDD4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443CB">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满意度指标</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4E75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服务对象满意度</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9AAF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090D9">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98</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B4EAE">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26538">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98%</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7795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393A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w:t>
            </w:r>
          </w:p>
        </w:tc>
        <w:tc>
          <w:tcPr>
            <w:tcW w:w="1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2CACD">
            <w:pPr>
              <w:snapToGrid w:val="0"/>
              <w:jc w:val="center"/>
              <w:rPr>
                <w:rFonts w:hint="eastAsia" w:ascii="微软雅黑" w:hAnsi="微软雅黑" w:eastAsia="微软雅黑" w:cs="微软雅黑"/>
                <w:i/>
                <w:iCs/>
                <w:color w:val="000000"/>
                <w:sz w:val="16"/>
                <w:szCs w:val="16"/>
                <w:highlight w:val="none"/>
                <w:u w:val="none"/>
              </w:rPr>
            </w:pPr>
          </w:p>
        </w:tc>
      </w:tr>
      <w:tr w14:paraId="27659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2877B">
            <w:pPr>
              <w:snapToGrid w:val="0"/>
              <w:jc w:val="center"/>
              <w:rPr>
                <w:rFonts w:hint="eastAsia" w:ascii="宋体" w:hAnsi="宋体" w:eastAsia="宋体" w:cs="宋体"/>
                <w:i w:val="0"/>
                <w:iCs w:val="0"/>
                <w:color w:val="000000"/>
                <w:sz w:val="18"/>
                <w:szCs w:val="18"/>
                <w:highlight w:val="none"/>
                <w:u w:val="none"/>
              </w:rPr>
            </w:pP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3AC93">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成本指标</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2B336">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经济成本指标</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F9E5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免开运行维护</w:t>
            </w:r>
          </w:p>
        </w:tc>
        <w:tc>
          <w:tcPr>
            <w:tcW w:w="2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D384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4E7F7">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50</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095B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万元</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307E8">
            <w:pPr>
              <w:keepNext w:val="0"/>
              <w:keepLines w:val="0"/>
              <w:widowControl/>
              <w:suppressLineNumbers w:val="0"/>
              <w:snapToGrid w:val="0"/>
              <w:jc w:val="center"/>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lang w:val="en-US" w:eastAsia="zh-CN" w:bidi="ar"/>
              </w:rPr>
              <w:t>50万元</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8C22A">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4B46F">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20</w:t>
            </w:r>
          </w:p>
        </w:tc>
        <w:tc>
          <w:tcPr>
            <w:tcW w:w="1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2D77C">
            <w:pPr>
              <w:snapToGrid w:val="0"/>
              <w:jc w:val="center"/>
              <w:rPr>
                <w:rFonts w:hint="eastAsia" w:ascii="微软雅黑" w:hAnsi="微软雅黑" w:eastAsia="微软雅黑" w:cs="微软雅黑"/>
                <w:i/>
                <w:iCs/>
                <w:color w:val="000000"/>
                <w:sz w:val="16"/>
                <w:szCs w:val="16"/>
                <w:highlight w:val="none"/>
                <w:u w:val="none"/>
              </w:rPr>
            </w:pPr>
          </w:p>
        </w:tc>
      </w:tr>
      <w:tr w14:paraId="0B7FC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37"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5682D5">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合计</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317B2">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2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A3B55">
            <w:pPr>
              <w:keepNext w:val="0"/>
              <w:keepLines w:val="0"/>
              <w:widowControl/>
              <w:suppressLineNumbers w:val="0"/>
              <w:snapToGrid w:val="0"/>
              <w:jc w:val="righ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100</w:t>
            </w:r>
          </w:p>
        </w:tc>
        <w:tc>
          <w:tcPr>
            <w:tcW w:w="1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813FC">
            <w:pPr>
              <w:snapToGrid w:val="0"/>
              <w:rPr>
                <w:rFonts w:hint="eastAsia" w:ascii="宋体" w:hAnsi="宋体" w:eastAsia="宋体" w:cs="宋体"/>
                <w:i w:val="0"/>
                <w:iCs w:val="0"/>
                <w:color w:val="000000"/>
                <w:sz w:val="18"/>
                <w:szCs w:val="18"/>
                <w:highlight w:val="none"/>
                <w:u w:val="none"/>
              </w:rPr>
            </w:pPr>
          </w:p>
        </w:tc>
      </w:tr>
      <w:tr w14:paraId="19855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AE4C0">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评价结论</w:t>
            </w:r>
          </w:p>
        </w:tc>
        <w:tc>
          <w:tcPr>
            <w:tcW w:w="460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FD4C5F">
            <w:pPr>
              <w:keepNext w:val="0"/>
              <w:keepLines w:val="0"/>
              <w:widowControl/>
              <w:suppressLineNumbers w:val="0"/>
              <w:snapToGrid w:val="0"/>
              <w:jc w:val="left"/>
              <w:textAlignment w:val="center"/>
              <w:rPr>
                <w:rFonts w:hint="eastAsia" w:ascii="微软雅黑" w:hAnsi="微软雅黑" w:eastAsia="微软雅黑" w:cs="微软雅黑"/>
                <w:i w:val="0"/>
                <w:iCs w:val="0"/>
                <w:color w:val="000000"/>
                <w:sz w:val="16"/>
                <w:szCs w:val="16"/>
                <w:highlight w:val="none"/>
                <w:u w:val="none"/>
              </w:rPr>
            </w:pPr>
            <w:r>
              <w:rPr>
                <w:rFonts w:hint="eastAsia" w:ascii="微软雅黑" w:hAnsi="微软雅黑" w:eastAsia="微软雅黑" w:cs="微软雅黑"/>
                <w:i w:val="0"/>
                <w:iCs w:val="0"/>
                <w:color w:val="000000"/>
                <w:kern w:val="0"/>
                <w:sz w:val="16"/>
                <w:szCs w:val="16"/>
                <w:highlight w:val="none"/>
                <w:u w:val="none"/>
                <w:lang w:val="en-US" w:eastAsia="zh-CN" w:bidi="ar"/>
              </w:rPr>
              <w:t>1.我县共有文物单位数量440处，其中不可移动文物共计439处，其他文物单位1处。2025年全县文物保护单位共发生文物安全案件零起，发生火灾事故零起，盗窃案件零起，盗抢案件零起，盗掘案件零起，安全责任事故零起。2.2025年，茂县羌族博物馆在上级主管部门的领导下认真贯彻执行“保护第一、加强管理、挖掘价值、有效利用、让文物活起来”的文物工作方针，发挥博物馆的社会功能，在进一步落实免费开放政策，完善基础设施，开展业务培训，提高服务质量，加强未成年人思想道德建设等方面，锐意进取，取得了良好的社会效益。</w:t>
            </w:r>
          </w:p>
        </w:tc>
      </w:tr>
      <w:tr w14:paraId="1F73F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8FDC4">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存在问题</w:t>
            </w:r>
          </w:p>
        </w:tc>
        <w:tc>
          <w:tcPr>
            <w:tcW w:w="460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AC4D9C">
            <w:pPr>
              <w:keepNext w:val="0"/>
              <w:keepLines w:val="0"/>
              <w:widowControl/>
              <w:suppressLineNumbers w:val="0"/>
              <w:snapToGrid w:val="0"/>
              <w:jc w:val="left"/>
              <w:textAlignment w:val="center"/>
              <w:rPr>
                <w:rFonts w:hint="eastAsia" w:ascii="微软雅黑" w:hAnsi="微软雅黑" w:eastAsia="微软雅黑" w:cs="微软雅黑"/>
                <w:i w:val="0"/>
                <w:iCs w:val="0"/>
                <w:color w:val="000000"/>
                <w:sz w:val="16"/>
                <w:szCs w:val="16"/>
                <w:highlight w:val="none"/>
                <w:u w:val="none"/>
              </w:rPr>
            </w:pPr>
            <w:r>
              <w:rPr>
                <w:rFonts w:hint="eastAsia" w:ascii="微软雅黑" w:hAnsi="微软雅黑" w:eastAsia="微软雅黑" w:cs="微软雅黑"/>
                <w:i w:val="0"/>
                <w:iCs w:val="0"/>
                <w:color w:val="000000"/>
                <w:kern w:val="0"/>
                <w:sz w:val="16"/>
                <w:szCs w:val="16"/>
                <w:highlight w:val="none"/>
                <w:u w:val="none"/>
                <w:lang w:val="en-US" w:eastAsia="zh-CN" w:bidi="ar"/>
              </w:rPr>
              <w:t>随着免费开放深入推进，观众量和业务量持续增长，专业人才不足的问题日益显现，一定程度上制约了外向型业务的拓展和服务质量的进一步提升。</w:t>
            </w:r>
          </w:p>
        </w:tc>
      </w:tr>
      <w:tr w14:paraId="3418D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41F3C">
            <w:pPr>
              <w:keepNext w:val="0"/>
              <w:keepLines w:val="0"/>
              <w:widowControl/>
              <w:suppressLineNumbers w:val="0"/>
              <w:snapToGrid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lang w:val="en-US" w:eastAsia="zh-CN" w:bidi="ar"/>
              </w:rPr>
              <w:t>改进措施</w:t>
            </w:r>
          </w:p>
        </w:tc>
        <w:tc>
          <w:tcPr>
            <w:tcW w:w="460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5C4585">
            <w:pPr>
              <w:keepNext w:val="0"/>
              <w:keepLines w:val="0"/>
              <w:widowControl/>
              <w:suppressLineNumbers w:val="0"/>
              <w:snapToGrid w:val="0"/>
              <w:jc w:val="left"/>
              <w:textAlignment w:val="center"/>
              <w:rPr>
                <w:rFonts w:hint="eastAsia" w:ascii="微软雅黑" w:hAnsi="微软雅黑" w:eastAsia="微软雅黑" w:cs="微软雅黑"/>
                <w:i w:val="0"/>
                <w:iCs w:val="0"/>
                <w:color w:val="000000"/>
                <w:sz w:val="16"/>
                <w:szCs w:val="16"/>
                <w:highlight w:val="none"/>
                <w:u w:val="none"/>
              </w:rPr>
            </w:pPr>
            <w:r>
              <w:rPr>
                <w:rFonts w:hint="eastAsia" w:ascii="微软雅黑" w:hAnsi="微软雅黑" w:eastAsia="微软雅黑" w:cs="微软雅黑"/>
                <w:i w:val="0"/>
                <w:iCs w:val="0"/>
                <w:color w:val="000000"/>
                <w:kern w:val="0"/>
                <w:sz w:val="16"/>
                <w:szCs w:val="16"/>
                <w:highlight w:val="none"/>
                <w:u w:val="none"/>
                <w:lang w:val="en-US" w:eastAsia="zh-CN" w:bidi="ar"/>
              </w:rPr>
              <w:t>一是建议加大业务培训力度;二是建议建立健全激励机制，稳定人才队伍。</w:t>
            </w:r>
          </w:p>
        </w:tc>
      </w:tr>
      <w:tr w14:paraId="54FC9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976D13">
            <w:pPr>
              <w:keepNext w:val="0"/>
              <w:keepLines w:val="0"/>
              <w:widowControl/>
              <w:suppressLineNumbers w:val="0"/>
              <w:snapToGrid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项目负责人：梁昌蕾</w:t>
            </w:r>
          </w:p>
        </w:tc>
        <w:tc>
          <w:tcPr>
            <w:tcW w:w="297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07BD7C8">
            <w:pPr>
              <w:keepNext w:val="0"/>
              <w:keepLines w:val="0"/>
              <w:widowControl/>
              <w:suppressLineNumbers w:val="0"/>
              <w:snapToGrid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lang w:val="en-US" w:eastAsia="zh-CN" w:bidi="ar"/>
              </w:rPr>
              <w:t>财务负责人：邓广惠</w:t>
            </w:r>
          </w:p>
        </w:tc>
      </w:tr>
    </w:tbl>
    <w:p w14:paraId="44D41DD6">
      <w:pPr>
        <w:pStyle w:val="9"/>
        <w:keepNext w:val="0"/>
        <w:keepLines w:val="0"/>
        <w:pageBreakBefore w:val="0"/>
        <w:numPr>
          <w:ilvl w:val="0"/>
          <w:numId w:val="0"/>
        </w:numPr>
        <w:kinsoku/>
        <w:wordWrap/>
        <w:overflowPunct/>
        <w:topLinePunct w:val="0"/>
        <w:autoSpaceDE/>
        <w:autoSpaceDN/>
        <w:bidi w:val="0"/>
        <w:spacing w:line="560" w:lineRule="exact"/>
        <w:jc w:val="center"/>
        <w:textAlignment w:val="auto"/>
        <w:rPr>
          <w:rFonts w:hint="eastAsia" w:hAnsi="Times New Roman" w:cs="Times New Roman"/>
          <w:sz w:val="32"/>
          <w:szCs w:val="32"/>
          <w:highlight w:val="none"/>
          <w:lang w:val="zh-CN" w:eastAsia="zh-CN"/>
        </w:rPr>
        <w:sectPr>
          <w:pgSz w:w="11906" w:h="16838"/>
          <w:pgMar w:top="1440" w:right="1800" w:bottom="1440" w:left="1800" w:header="851" w:footer="992" w:gutter="0"/>
          <w:pgNumType w:fmt="decimal"/>
          <w:cols w:space="425" w:num="1"/>
          <w:titlePg/>
          <w:docGrid w:type="lines" w:linePitch="312" w:charSpace="0"/>
        </w:sectPr>
      </w:pPr>
    </w:p>
    <w:bookmarkEnd w:id="62"/>
    <w:p w14:paraId="36F984EE">
      <w:pPr>
        <w:keepNext w:val="0"/>
        <w:keepLines w:val="0"/>
        <w:pageBreakBefore w:val="0"/>
        <w:widowControl w:val="0"/>
        <w:kinsoku/>
        <w:wordWrap/>
        <w:overflowPunct/>
        <w:topLinePunct w:val="0"/>
        <w:autoSpaceDE/>
        <w:autoSpaceDN/>
        <w:bidi w:val="0"/>
        <w:spacing w:line="578" w:lineRule="exact"/>
        <w:jc w:val="center"/>
        <w:textAlignment w:val="auto"/>
        <w:outlineLvl w:val="0"/>
        <w:rPr>
          <w:rFonts w:hint="eastAsia" w:ascii="Times New Roman" w:hAnsi="Times New Roman" w:eastAsia="仿宋_GB2312" w:cs="仿宋_GB2312"/>
          <w:color w:val="auto"/>
          <w:sz w:val="32"/>
          <w:szCs w:val="32"/>
          <w:highlight w:val="none"/>
        </w:rPr>
      </w:pPr>
      <w:bookmarkStart w:id="66" w:name="_Toc19058"/>
      <w:r>
        <w:rPr>
          <w:rFonts w:hint="eastAsia" w:ascii="Times New Roman" w:hAnsi="Times New Roman" w:eastAsia="黑体"/>
          <w:color w:val="auto"/>
          <w:sz w:val="44"/>
          <w:szCs w:val="44"/>
          <w:highlight w:val="none"/>
        </w:rPr>
        <w:t>第</w:t>
      </w:r>
      <w:r>
        <w:rPr>
          <w:rStyle w:val="31"/>
          <w:rFonts w:hint="eastAsia" w:ascii="Times New Roman" w:hAnsi="Times New Roman" w:eastAsia="黑体"/>
          <w:b w:val="0"/>
          <w:color w:val="auto"/>
          <w:highlight w:val="none"/>
        </w:rPr>
        <w:t xml:space="preserve">五部分 </w:t>
      </w:r>
      <w:r>
        <w:rPr>
          <w:rStyle w:val="31"/>
          <w:rFonts w:hint="eastAsia" w:eastAsia="黑体"/>
          <w:b w:val="0"/>
          <w:color w:val="auto"/>
          <w:highlight w:val="none"/>
          <w:lang w:val="en-US" w:eastAsia="zh-CN"/>
        </w:rPr>
        <w:t xml:space="preserve"> </w:t>
      </w:r>
      <w:r>
        <w:rPr>
          <w:rStyle w:val="31"/>
          <w:rFonts w:hint="eastAsia" w:ascii="Times New Roman" w:hAnsi="Times New Roman" w:eastAsia="黑体"/>
          <w:b w:val="0"/>
          <w:color w:val="auto"/>
          <w:highlight w:val="none"/>
        </w:rPr>
        <w:t>附表</w:t>
      </w:r>
      <w:bookmarkEnd w:id="66"/>
      <w:bookmarkStart w:id="67" w:name="_Toc15396619"/>
    </w:p>
    <w:bookmarkEnd w:id="67"/>
    <w:p w14:paraId="7018A6FE">
      <w:pPr>
        <w:pStyle w:val="3"/>
        <w:outlineLvl w:val="1"/>
        <w:rPr>
          <w:rFonts w:ascii="仿宋" w:hAnsi="仿宋" w:eastAsia="仿宋"/>
          <w:color w:val="auto"/>
          <w:highlight w:val="none"/>
        </w:rPr>
      </w:pPr>
      <w:bookmarkStart w:id="68" w:name="_Toc12590"/>
      <w:r>
        <w:rPr>
          <w:rFonts w:hint="eastAsia" w:ascii="仿宋" w:hAnsi="仿宋" w:eastAsia="仿宋"/>
          <w:b w:val="0"/>
          <w:color w:val="auto"/>
          <w:highlight w:val="none"/>
        </w:rPr>
        <w:t>一、收</w:t>
      </w:r>
      <w:r>
        <w:rPr>
          <w:rStyle w:val="32"/>
          <w:rFonts w:hint="eastAsia" w:ascii="仿宋" w:hAnsi="仿宋" w:eastAsia="仿宋"/>
          <w:b w:val="0"/>
          <w:bCs w:val="0"/>
          <w:color w:val="auto"/>
          <w:highlight w:val="none"/>
        </w:rPr>
        <w:t>入支出决算总表</w:t>
      </w:r>
      <w:bookmarkEnd w:id="68"/>
    </w:p>
    <w:p w14:paraId="0D7675F7">
      <w:pPr>
        <w:pStyle w:val="3"/>
        <w:outlineLvl w:val="1"/>
        <w:rPr>
          <w:rFonts w:ascii="仿宋" w:hAnsi="仿宋" w:eastAsia="仿宋"/>
          <w:color w:val="auto"/>
          <w:highlight w:val="none"/>
        </w:rPr>
      </w:pPr>
      <w:bookmarkStart w:id="69" w:name="_Toc3644"/>
      <w:r>
        <w:rPr>
          <w:rFonts w:hint="eastAsia" w:ascii="仿宋" w:hAnsi="仿宋" w:eastAsia="仿宋"/>
          <w:b w:val="0"/>
          <w:color w:val="auto"/>
          <w:highlight w:val="none"/>
        </w:rPr>
        <w:t>二、收</w:t>
      </w:r>
      <w:r>
        <w:rPr>
          <w:rStyle w:val="32"/>
          <w:rFonts w:hint="eastAsia" w:ascii="仿宋" w:hAnsi="仿宋" w:eastAsia="仿宋"/>
          <w:b w:val="0"/>
          <w:bCs w:val="0"/>
          <w:color w:val="auto"/>
          <w:highlight w:val="none"/>
        </w:rPr>
        <w:t>入决算表</w:t>
      </w:r>
      <w:bookmarkEnd w:id="69"/>
    </w:p>
    <w:p w14:paraId="238DF450">
      <w:pPr>
        <w:pStyle w:val="3"/>
        <w:outlineLvl w:val="1"/>
        <w:rPr>
          <w:rFonts w:ascii="仿宋" w:hAnsi="仿宋" w:eastAsia="仿宋"/>
          <w:color w:val="auto"/>
          <w:highlight w:val="none"/>
        </w:rPr>
      </w:pPr>
      <w:bookmarkStart w:id="70" w:name="_Toc7231"/>
      <w:r>
        <w:rPr>
          <w:rStyle w:val="32"/>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32"/>
          <w:rFonts w:hint="eastAsia" w:ascii="仿宋" w:hAnsi="仿宋" w:eastAsia="仿宋"/>
          <w:b w:val="0"/>
          <w:bCs w:val="0"/>
          <w:color w:val="auto"/>
          <w:highlight w:val="none"/>
        </w:rPr>
        <w:t>出决算表</w:t>
      </w:r>
      <w:bookmarkEnd w:id="70"/>
    </w:p>
    <w:p w14:paraId="6A874322">
      <w:pPr>
        <w:pStyle w:val="3"/>
        <w:outlineLvl w:val="1"/>
        <w:rPr>
          <w:rFonts w:ascii="仿宋" w:hAnsi="仿宋" w:eastAsia="仿宋"/>
          <w:b w:val="0"/>
          <w:color w:val="auto"/>
          <w:highlight w:val="none"/>
        </w:rPr>
      </w:pPr>
      <w:bookmarkStart w:id="71" w:name="_Toc14306"/>
      <w:r>
        <w:rPr>
          <w:rStyle w:val="32"/>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32"/>
          <w:rFonts w:hint="eastAsia" w:ascii="仿宋" w:hAnsi="仿宋" w:eastAsia="仿宋"/>
          <w:b w:val="0"/>
          <w:bCs w:val="0"/>
          <w:color w:val="auto"/>
          <w:highlight w:val="none"/>
        </w:rPr>
        <w:t>政拨款收入支出决算总表</w:t>
      </w:r>
      <w:bookmarkEnd w:id="71"/>
    </w:p>
    <w:p w14:paraId="5EF3863A">
      <w:pPr>
        <w:pStyle w:val="3"/>
        <w:outlineLvl w:val="1"/>
        <w:rPr>
          <w:rStyle w:val="32"/>
          <w:rFonts w:ascii="仿宋" w:hAnsi="仿宋" w:eastAsia="仿宋"/>
          <w:b w:val="0"/>
          <w:bCs w:val="0"/>
          <w:color w:val="auto"/>
          <w:highlight w:val="none"/>
        </w:rPr>
      </w:pPr>
      <w:bookmarkStart w:id="72" w:name="_Toc13409"/>
      <w:r>
        <w:rPr>
          <w:rStyle w:val="32"/>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32"/>
          <w:rFonts w:hint="eastAsia" w:ascii="仿宋" w:hAnsi="仿宋" w:eastAsia="仿宋"/>
          <w:b w:val="0"/>
          <w:bCs w:val="0"/>
          <w:color w:val="auto"/>
          <w:highlight w:val="none"/>
        </w:rPr>
        <w:t>政拨款支出决算明细表</w:t>
      </w:r>
      <w:bookmarkEnd w:id="72"/>
    </w:p>
    <w:p w14:paraId="6F3C0A21">
      <w:pPr>
        <w:pStyle w:val="3"/>
        <w:outlineLvl w:val="1"/>
        <w:rPr>
          <w:rFonts w:ascii="仿宋" w:hAnsi="仿宋" w:eastAsia="仿宋"/>
          <w:color w:val="auto"/>
          <w:highlight w:val="none"/>
        </w:rPr>
      </w:pPr>
      <w:bookmarkStart w:id="73" w:name="_Toc12125"/>
      <w:r>
        <w:rPr>
          <w:rStyle w:val="32"/>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32"/>
          <w:rFonts w:hint="eastAsia" w:ascii="仿宋" w:hAnsi="仿宋" w:eastAsia="仿宋"/>
          <w:b w:val="0"/>
          <w:bCs w:val="0"/>
          <w:color w:val="auto"/>
          <w:highlight w:val="none"/>
        </w:rPr>
        <w:t>般公共预算财政拨款支出决算表</w:t>
      </w:r>
      <w:bookmarkEnd w:id="73"/>
    </w:p>
    <w:p w14:paraId="50AD3ED9">
      <w:pPr>
        <w:pStyle w:val="3"/>
        <w:outlineLvl w:val="1"/>
        <w:rPr>
          <w:rFonts w:ascii="仿宋" w:hAnsi="仿宋" w:eastAsia="仿宋"/>
          <w:color w:val="auto"/>
          <w:highlight w:val="none"/>
        </w:rPr>
      </w:pPr>
      <w:bookmarkStart w:id="74" w:name="_Toc4337"/>
      <w:r>
        <w:rPr>
          <w:rStyle w:val="32"/>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32"/>
          <w:rFonts w:hint="eastAsia" w:ascii="仿宋" w:hAnsi="仿宋" w:eastAsia="仿宋"/>
          <w:b w:val="0"/>
          <w:bCs w:val="0"/>
          <w:color w:val="auto"/>
          <w:highlight w:val="none"/>
        </w:rPr>
        <w:t>般公共预算财政拨款支出决算明细表</w:t>
      </w:r>
      <w:bookmarkEnd w:id="74"/>
    </w:p>
    <w:p w14:paraId="4178DADC">
      <w:pPr>
        <w:pStyle w:val="3"/>
        <w:outlineLvl w:val="1"/>
        <w:rPr>
          <w:rFonts w:ascii="仿宋" w:hAnsi="仿宋" w:eastAsia="仿宋"/>
          <w:color w:val="auto"/>
          <w:highlight w:val="none"/>
        </w:rPr>
      </w:pPr>
      <w:bookmarkStart w:id="75" w:name="_Toc18637"/>
      <w:r>
        <w:rPr>
          <w:rStyle w:val="32"/>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32"/>
          <w:rFonts w:hint="eastAsia" w:ascii="仿宋" w:hAnsi="仿宋" w:eastAsia="仿宋"/>
          <w:b w:val="0"/>
          <w:bCs w:val="0"/>
          <w:color w:val="auto"/>
          <w:highlight w:val="none"/>
        </w:rPr>
        <w:t>般公共预算财政拨款基本支出决算表</w:t>
      </w:r>
      <w:bookmarkEnd w:id="75"/>
    </w:p>
    <w:p w14:paraId="63D14460">
      <w:pPr>
        <w:pStyle w:val="3"/>
        <w:outlineLvl w:val="1"/>
        <w:rPr>
          <w:rFonts w:ascii="仿宋" w:hAnsi="仿宋" w:eastAsia="仿宋"/>
          <w:color w:val="auto"/>
          <w:highlight w:val="none"/>
        </w:rPr>
      </w:pPr>
      <w:bookmarkStart w:id="76" w:name="_Toc20188"/>
      <w:r>
        <w:rPr>
          <w:rStyle w:val="32"/>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32"/>
          <w:rFonts w:hint="eastAsia" w:ascii="仿宋" w:hAnsi="仿宋" w:eastAsia="仿宋"/>
          <w:b w:val="0"/>
          <w:bCs w:val="0"/>
          <w:color w:val="auto"/>
          <w:highlight w:val="none"/>
        </w:rPr>
        <w:t>般公共预算财政拨款项目支出决算表</w:t>
      </w:r>
      <w:bookmarkEnd w:id="76"/>
    </w:p>
    <w:p w14:paraId="512B9B7B">
      <w:pPr>
        <w:pStyle w:val="3"/>
        <w:outlineLvl w:val="1"/>
        <w:rPr>
          <w:rFonts w:ascii="仿宋" w:hAnsi="仿宋" w:eastAsia="仿宋"/>
          <w:color w:val="auto"/>
          <w:highlight w:val="none"/>
        </w:rPr>
      </w:pPr>
      <w:bookmarkStart w:id="77" w:name="_Toc10619"/>
      <w:r>
        <w:rPr>
          <w:rStyle w:val="32"/>
          <w:rFonts w:hint="eastAsia" w:ascii="仿宋" w:hAnsi="仿宋" w:eastAsia="仿宋"/>
          <w:b w:val="0"/>
          <w:bCs w:val="0"/>
          <w:color w:val="auto"/>
          <w:highlight w:val="none"/>
        </w:rPr>
        <w:t>十、</w:t>
      </w:r>
      <w:r>
        <w:rPr>
          <w:rFonts w:hint="eastAsia" w:ascii="仿宋" w:hAnsi="仿宋" w:eastAsia="仿宋"/>
          <w:b w:val="0"/>
          <w:color w:val="auto"/>
          <w:highlight w:val="none"/>
        </w:rPr>
        <w:t>政</w:t>
      </w:r>
      <w:r>
        <w:rPr>
          <w:rStyle w:val="32"/>
          <w:rFonts w:hint="eastAsia" w:ascii="仿宋" w:hAnsi="仿宋" w:eastAsia="仿宋"/>
          <w:b w:val="0"/>
          <w:bCs w:val="0"/>
          <w:color w:val="auto"/>
          <w:highlight w:val="none"/>
        </w:rPr>
        <w:t>府性基金预算财政拨款收入支出决算表</w:t>
      </w:r>
      <w:bookmarkEnd w:id="77"/>
    </w:p>
    <w:p w14:paraId="40093197">
      <w:pPr>
        <w:pStyle w:val="3"/>
        <w:outlineLvl w:val="1"/>
        <w:rPr>
          <w:rFonts w:ascii="仿宋" w:hAnsi="仿宋" w:eastAsia="仿宋"/>
          <w:color w:val="auto"/>
          <w:highlight w:val="none"/>
        </w:rPr>
      </w:pPr>
      <w:bookmarkStart w:id="78" w:name="_Toc12843"/>
      <w:r>
        <w:rPr>
          <w:rStyle w:val="32"/>
          <w:rFonts w:hint="eastAsia" w:ascii="仿宋" w:hAnsi="仿宋" w:eastAsia="仿宋"/>
          <w:b w:val="0"/>
          <w:bCs w:val="0"/>
          <w:color w:val="auto"/>
          <w:highlight w:val="none"/>
        </w:rPr>
        <w:t>十一、</w:t>
      </w:r>
      <w:r>
        <w:rPr>
          <w:rFonts w:hint="eastAsia" w:ascii="仿宋" w:hAnsi="仿宋" w:eastAsia="仿宋"/>
          <w:b w:val="0"/>
          <w:color w:val="auto"/>
          <w:highlight w:val="none"/>
        </w:rPr>
        <w:t>国</w:t>
      </w:r>
      <w:r>
        <w:rPr>
          <w:rStyle w:val="32"/>
          <w:rFonts w:hint="eastAsia" w:ascii="仿宋" w:hAnsi="仿宋" w:eastAsia="仿宋"/>
          <w:b w:val="0"/>
          <w:bCs w:val="0"/>
          <w:color w:val="auto"/>
          <w:highlight w:val="none"/>
        </w:rPr>
        <w:t>有资本经营预算</w:t>
      </w:r>
      <w:r>
        <w:rPr>
          <w:rStyle w:val="32"/>
          <w:rFonts w:hint="eastAsia" w:ascii="仿宋" w:hAnsi="仿宋" w:eastAsia="仿宋"/>
          <w:b w:val="0"/>
          <w:bCs w:val="0"/>
          <w:color w:val="auto"/>
          <w:highlight w:val="none"/>
          <w:lang w:eastAsia="zh-CN"/>
        </w:rPr>
        <w:t>财政拨款收入</w:t>
      </w:r>
      <w:r>
        <w:rPr>
          <w:rStyle w:val="32"/>
          <w:rFonts w:hint="eastAsia" w:ascii="仿宋" w:hAnsi="仿宋" w:eastAsia="仿宋"/>
          <w:b w:val="0"/>
          <w:bCs w:val="0"/>
          <w:color w:val="auto"/>
          <w:highlight w:val="none"/>
        </w:rPr>
        <w:t>支出决算表</w:t>
      </w:r>
      <w:bookmarkEnd w:id="78"/>
    </w:p>
    <w:p w14:paraId="4268F8F8">
      <w:pPr>
        <w:pStyle w:val="3"/>
        <w:outlineLvl w:val="1"/>
        <w:rPr>
          <w:rFonts w:ascii="仿宋" w:hAnsi="仿宋" w:eastAsia="仿宋"/>
          <w:color w:val="auto"/>
          <w:highlight w:val="none"/>
        </w:rPr>
      </w:pPr>
      <w:bookmarkStart w:id="79" w:name="_Toc29087"/>
      <w:r>
        <w:rPr>
          <w:rStyle w:val="32"/>
          <w:rFonts w:hint="eastAsia" w:ascii="仿宋" w:hAnsi="仿宋" w:eastAsia="仿宋"/>
          <w:b w:val="0"/>
          <w:bCs w:val="0"/>
          <w:color w:val="auto"/>
          <w:highlight w:val="none"/>
        </w:rPr>
        <w:t>十二、</w:t>
      </w:r>
      <w:r>
        <w:rPr>
          <w:rStyle w:val="32"/>
          <w:rFonts w:hint="eastAsia" w:ascii="仿宋" w:hAnsi="仿宋" w:eastAsia="仿宋"/>
          <w:b w:val="0"/>
          <w:bCs w:val="0"/>
          <w:color w:val="auto"/>
          <w:highlight w:val="none"/>
          <w:lang w:eastAsia="zh-CN"/>
        </w:rPr>
        <w:t>国有资本经营预算财政拨款支出决算表</w:t>
      </w:r>
      <w:bookmarkEnd w:id="79"/>
    </w:p>
    <w:p w14:paraId="7F61B0DA">
      <w:pPr>
        <w:pStyle w:val="3"/>
        <w:outlineLvl w:val="1"/>
        <w:rPr>
          <w:rFonts w:hint="eastAsia" w:eastAsia="仿宋"/>
          <w:color w:val="auto"/>
          <w:highlight w:val="none"/>
          <w:lang w:eastAsia="zh-CN"/>
        </w:rPr>
      </w:pPr>
      <w:bookmarkStart w:id="80" w:name="_Toc32041"/>
      <w:r>
        <w:rPr>
          <w:rStyle w:val="32"/>
          <w:rFonts w:hint="eastAsia" w:ascii="仿宋" w:hAnsi="仿宋" w:eastAsia="仿宋"/>
          <w:b w:val="0"/>
          <w:bCs w:val="0"/>
          <w:color w:val="auto"/>
          <w:highlight w:val="none"/>
        </w:rPr>
        <w:t>十三、</w:t>
      </w:r>
      <w:r>
        <w:rPr>
          <w:rStyle w:val="32"/>
          <w:rFonts w:hint="eastAsia" w:ascii="仿宋" w:hAnsi="仿宋" w:eastAsia="仿宋"/>
          <w:b w:val="0"/>
          <w:bCs w:val="0"/>
          <w:color w:val="auto"/>
          <w:highlight w:val="none"/>
          <w:lang w:eastAsia="zh-CN"/>
        </w:rPr>
        <w:t>财政拨款“三公”经费支出决算表</w:t>
      </w:r>
      <w:bookmarkEnd w:id="80"/>
    </w:p>
    <w:p w14:paraId="71B1449E">
      <w:pPr>
        <w:rPr>
          <w:rFonts w:hint="eastAsia" w:ascii="Times New Roman" w:hAnsi="Times New Roman"/>
          <w:highlight w:val="none"/>
          <w:lang w:eastAsia="zh-CN"/>
        </w:rPr>
      </w:pPr>
    </w:p>
    <w:sectPr>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421425B-BD09-4E2F-9F4E-A3040F35A02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96BF00AF-9A50-4E3E-9A3B-7A60930709D6}"/>
  </w:font>
  <w:font w:name="AR PL UKai CN">
    <w:altName w:val="宋体"/>
    <w:panose1 w:val="02000503000000000000"/>
    <w:charset w:val="86"/>
    <w:family w:val="auto"/>
    <w:pitch w:val="default"/>
    <w:sig w:usb0="00000000" w:usb1="00000000" w:usb2="00000036" w:usb3="00000000" w:csb0="2016009F" w:csb1="DFD70000"/>
  </w:font>
  <w:font w:name="仿宋">
    <w:panose1 w:val="02010609060101010101"/>
    <w:charset w:val="86"/>
    <w:family w:val="modern"/>
    <w:pitch w:val="default"/>
    <w:sig w:usb0="800002BF" w:usb1="38CF7CFA" w:usb2="00000016" w:usb3="00000000" w:csb0="00040001" w:csb1="00000000"/>
    <w:embedRegular r:id="rId3" w:fontKey="{2BEA166B-6F18-4F47-A1E8-0F52B7A9B541}"/>
  </w:font>
  <w:font w:name="??">
    <w:altName w:val="Segoe Print"/>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embedRegular r:id="rId4" w:fontKey="{D7ABDE94-ACD7-4BD1-9CD2-BD4B9CC8B2E5}"/>
  </w:font>
  <w:font w:name="楷体_GB2312">
    <w:panose1 w:val="02010609030101010101"/>
    <w:charset w:val="86"/>
    <w:family w:val="auto"/>
    <w:pitch w:val="default"/>
    <w:sig w:usb0="00000001" w:usb1="080E0000" w:usb2="00000000" w:usb3="00000000" w:csb0="00040000" w:csb1="00000000"/>
    <w:embedRegular r:id="rId5" w:fontKey="{67867362-F6F0-40BC-AD29-90CB67849F96}"/>
  </w:font>
  <w:font w:name="微软雅黑">
    <w:panose1 w:val="020B0503020204020204"/>
    <w:charset w:val="86"/>
    <w:family w:val="auto"/>
    <w:pitch w:val="default"/>
    <w:sig w:usb0="80000287" w:usb1="280F3C52" w:usb2="00000016" w:usb3="00000000" w:csb0="0004001F" w:csb1="00000000"/>
    <w:embedRegular r:id="rId6" w:fontKey="{A5F1921D-E5F4-4EDB-90DA-387A105A6598}"/>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124F0">
    <w:pPr>
      <w:pStyle w:val="13"/>
      <w:jc w:val="center"/>
    </w:pPr>
  </w:p>
  <w:p w14:paraId="3777894B">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46423">
    <w:pPr>
      <w:pStyle w:val="1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4179C2">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D4179C2">
                    <w:pPr>
                      <w:pStyle w:val="13"/>
                    </w:pPr>
                    <w:r>
                      <w:fldChar w:fldCharType="begin"/>
                    </w:r>
                    <w:r>
                      <w:instrText xml:space="preserve"> PAGE  \* MERGEFORMAT </w:instrText>
                    </w:r>
                    <w:r>
                      <w:fldChar w:fldCharType="separate"/>
                    </w:r>
                    <w:r>
                      <w:t>2</w:t>
                    </w:r>
                    <w:r>
                      <w:fldChar w:fldCharType="end"/>
                    </w:r>
                  </w:p>
                </w:txbxContent>
              </v:textbox>
            </v:shape>
          </w:pict>
        </mc:Fallback>
      </mc:AlternateContent>
    </w:r>
  </w:p>
  <w:p w14:paraId="031821C6">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A7EFF">
    <w:pPr>
      <w:pStyle w:val="13"/>
      <w:rPr>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FA9FF5">
                          <w:pPr>
                            <w:pStyle w:val="13"/>
                            <w:rPr>
                              <w:sz w:val="24"/>
                              <w:szCs w:val="24"/>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56FA9FF5">
                    <w:pPr>
                      <w:pStyle w:val="13"/>
                      <w:rPr>
                        <w:sz w:val="24"/>
                        <w:szCs w:val="24"/>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31D20">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433F90"/>
    <w:multiLevelType w:val="singleLevel"/>
    <w:tmpl w:val="74433F90"/>
    <w:lvl w:ilvl="0" w:tentative="0">
      <w:start w:val="1"/>
      <w:numFmt w:val="decimal"/>
      <w:suff w:val="nothing"/>
      <w:lvlText w:val="%1．"/>
      <w:lvlJc w:val="left"/>
      <w:pPr>
        <w:ind w:left="0" w:firstLine="400"/>
      </w:pPr>
      <w:rPr>
        <w:rFonts w:hint="default"/>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lNWJhN2ViZWQ2NzQ4NTc3Mjg2OTMxZWQzYmU0ZDc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E5743"/>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0B08DC"/>
    <w:rsid w:val="012A5EC2"/>
    <w:rsid w:val="015975B8"/>
    <w:rsid w:val="01760833"/>
    <w:rsid w:val="02380E83"/>
    <w:rsid w:val="029C7664"/>
    <w:rsid w:val="02FEBE30"/>
    <w:rsid w:val="03030BB2"/>
    <w:rsid w:val="04916F1E"/>
    <w:rsid w:val="04DB26FC"/>
    <w:rsid w:val="04F05A45"/>
    <w:rsid w:val="05253812"/>
    <w:rsid w:val="057228FE"/>
    <w:rsid w:val="060C4B01"/>
    <w:rsid w:val="061E35DE"/>
    <w:rsid w:val="06523F87"/>
    <w:rsid w:val="066E0107"/>
    <w:rsid w:val="07375BAD"/>
    <w:rsid w:val="07996F6E"/>
    <w:rsid w:val="07DFD8BA"/>
    <w:rsid w:val="0841638B"/>
    <w:rsid w:val="08713341"/>
    <w:rsid w:val="09257549"/>
    <w:rsid w:val="09867E8F"/>
    <w:rsid w:val="09EA4F82"/>
    <w:rsid w:val="0A2032A3"/>
    <w:rsid w:val="0A670558"/>
    <w:rsid w:val="0BA457DB"/>
    <w:rsid w:val="0C7D16A3"/>
    <w:rsid w:val="0CA8290A"/>
    <w:rsid w:val="0CBB28B8"/>
    <w:rsid w:val="0D35B1ED"/>
    <w:rsid w:val="0DF54607"/>
    <w:rsid w:val="0E063231"/>
    <w:rsid w:val="0E254B6B"/>
    <w:rsid w:val="0F98263C"/>
    <w:rsid w:val="101860EC"/>
    <w:rsid w:val="101F47CC"/>
    <w:rsid w:val="10C055FF"/>
    <w:rsid w:val="11694EBD"/>
    <w:rsid w:val="11772AA4"/>
    <w:rsid w:val="118107EC"/>
    <w:rsid w:val="125C0BBE"/>
    <w:rsid w:val="12E24EE2"/>
    <w:rsid w:val="13390EFF"/>
    <w:rsid w:val="13D50BC4"/>
    <w:rsid w:val="14B17F78"/>
    <w:rsid w:val="15397A06"/>
    <w:rsid w:val="15AE1730"/>
    <w:rsid w:val="15DB44F0"/>
    <w:rsid w:val="165E0673"/>
    <w:rsid w:val="16AB2E5D"/>
    <w:rsid w:val="16B831D5"/>
    <w:rsid w:val="16BB723D"/>
    <w:rsid w:val="16BE59A3"/>
    <w:rsid w:val="175400B6"/>
    <w:rsid w:val="175B488E"/>
    <w:rsid w:val="17E50567"/>
    <w:rsid w:val="186504BB"/>
    <w:rsid w:val="188744BB"/>
    <w:rsid w:val="19A445FC"/>
    <w:rsid w:val="1A45144E"/>
    <w:rsid w:val="1B544B28"/>
    <w:rsid w:val="1BE8440E"/>
    <w:rsid w:val="1BF561E1"/>
    <w:rsid w:val="1CBF06C7"/>
    <w:rsid w:val="1CC6347C"/>
    <w:rsid w:val="1D155CEE"/>
    <w:rsid w:val="1D1638FE"/>
    <w:rsid w:val="1DEA3522"/>
    <w:rsid w:val="1E312DEB"/>
    <w:rsid w:val="1E740ACF"/>
    <w:rsid w:val="1F413615"/>
    <w:rsid w:val="1FF35744"/>
    <w:rsid w:val="1FF6BC77"/>
    <w:rsid w:val="208642F4"/>
    <w:rsid w:val="2186353C"/>
    <w:rsid w:val="21DE16AF"/>
    <w:rsid w:val="22791318"/>
    <w:rsid w:val="23540202"/>
    <w:rsid w:val="235F050E"/>
    <w:rsid w:val="23860B96"/>
    <w:rsid w:val="240371BF"/>
    <w:rsid w:val="241E5CD3"/>
    <w:rsid w:val="244F3473"/>
    <w:rsid w:val="24BA0ADC"/>
    <w:rsid w:val="24C97D99"/>
    <w:rsid w:val="250E6DEB"/>
    <w:rsid w:val="25961617"/>
    <w:rsid w:val="25A718F0"/>
    <w:rsid w:val="25BB59F6"/>
    <w:rsid w:val="260F557C"/>
    <w:rsid w:val="261E020C"/>
    <w:rsid w:val="26970054"/>
    <w:rsid w:val="27316648"/>
    <w:rsid w:val="277F117F"/>
    <w:rsid w:val="278F6BE5"/>
    <w:rsid w:val="27FA446F"/>
    <w:rsid w:val="281408E2"/>
    <w:rsid w:val="29656152"/>
    <w:rsid w:val="29FD04D3"/>
    <w:rsid w:val="2ABD43F8"/>
    <w:rsid w:val="2BFF7BC6"/>
    <w:rsid w:val="2C715B69"/>
    <w:rsid w:val="2C8A61B5"/>
    <w:rsid w:val="2D305A3B"/>
    <w:rsid w:val="2DA41CE1"/>
    <w:rsid w:val="2DC27430"/>
    <w:rsid w:val="2DF04E50"/>
    <w:rsid w:val="2E184C68"/>
    <w:rsid w:val="2E586DFA"/>
    <w:rsid w:val="2F040D46"/>
    <w:rsid w:val="2F320885"/>
    <w:rsid w:val="2F5F53F2"/>
    <w:rsid w:val="2F6B035B"/>
    <w:rsid w:val="2FAE5751"/>
    <w:rsid w:val="2FB1A395"/>
    <w:rsid w:val="2FD9A7D8"/>
    <w:rsid w:val="2FDBF714"/>
    <w:rsid w:val="30AB6865"/>
    <w:rsid w:val="311C359A"/>
    <w:rsid w:val="315C7E3B"/>
    <w:rsid w:val="316B62D0"/>
    <w:rsid w:val="319F7F4E"/>
    <w:rsid w:val="31AB4AC2"/>
    <w:rsid w:val="31CD0D39"/>
    <w:rsid w:val="32BD1EF1"/>
    <w:rsid w:val="3304709D"/>
    <w:rsid w:val="33A773CB"/>
    <w:rsid w:val="33FA4247"/>
    <w:rsid w:val="34665331"/>
    <w:rsid w:val="349D6851"/>
    <w:rsid w:val="3521172E"/>
    <w:rsid w:val="35D755E7"/>
    <w:rsid w:val="36637A9D"/>
    <w:rsid w:val="368F0CB2"/>
    <w:rsid w:val="36AA5135"/>
    <w:rsid w:val="36BE0DA7"/>
    <w:rsid w:val="376B6AA6"/>
    <w:rsid w:val="376D39B2"/>
    <w:rsid w:val="37C678CF"/>
    <w:rsid w:val="37E16F03"/>
    <w:rsid w:val="37F53A3B"/>
    <w:rsid w:val="389B6C89"/>
    <w:rsid w:val="389E6F8B"/>
    <w:rsid w:val="38AC0A15"/>
    <w:rsid w:val="38D469F0"/>
    <w:rsid w:val="3913458B"/>
    <w:rsid w:val="393A4D47"/>
    <w:rsid w:val="394F430B"/>
    <w:rsid w:val="39627CCD"/>
    <w:rsid w:val="397BAF1F"/>
    <w:rsid w:val="39C80763"/>
    <w:rsid w:val="3A7D0FA4"/>
    <w:rsid w:val="3AB79AF3"/>
    <w:rsid w:val="3AD81A2B"/>
    <w:rsid w:val="3AE834C0"/>
    <w:rsid w:val="3AFB2473"/>
    <w:rsid w:val="3B7EF35A"/>
    <w:rsid w:val="3B9FDB6C"/>
    <w:rsid w:val="3BF5BC2F"/>
    <w:rsid w:val="3CAB7EC8"/>
    <w:rsid w:val="3CEBA265"/>
    <w:rsid w:val="3D125759"/>
    <w:rsid w:val="3D98207C"/>
    <w:rsid w:val="3D982857"/>
    <w:rsid w:val="3DEB20E6"/>
    <w:rsid w:val="3DEE7CF3"/>
    <w:rsid w:val="3E4707A5"/>
    <w:rsid w:val="3E740A63"/>
    <w:rsid w:val="3E78745D"/>
    <w:rsid w:val="3EDE0BF0"/>
    <w:rsid w:val="3EE17838"/>
    <w:rsid w:val="3F536D21"/>
    <w:rsid w:val="3F55381A"/>
    <w:rsid w:val="3F7F7599"/>
    <w:rsid w:val="3FE37CCF"/>
    <w:rsid w:val="3FF4CAE0"/>
    <w:rsid w:val="3FF7B227"/>
    <w:rsid w:val="40416B7A"/>
    <w:rsid w:val="40A47108"/>
    <w:rsid w:val="412F2E76"/>
    <w:rsid w:val="416F7D53"/>
    <w:rsid w:val="42B0448A"/>
    <w:rsid w:val="43164D0D"/>
    <w:rsid w:val="434D1CD9"/>
    <w:rsid w:val="43911BC6"/>
    <w:rsid w:val="44580936"/>
    <w:rsid w:val="44E268DA"/>
    <w:rsid w:val="450D13D7"/>
    <w:rsid w:val="454C31E3"/>
    <w:rsid w:val="45506656"/>
    <w:rsid w:val="45B7168C"/>
    <w:rsid w:val="463902F3"/>
    <w:rsid w:val="48131E90"/>
    <w:rsid w:val="48313923"/>
    <w:rsid w:val="483C5908"/>
    <w:rsid w:val="486A6C7A"/>
    <w:rsid w:val="488F64BB"/>
    <w:rsid w:val="49D547D7"/>
    <w:rsid w:val="4A623877"/>
    <w:rsid w:val="4A627F82"/>
    <w:rsid w:val="4B0E749A"/>
    <w:rsid w:val="4B2477C4"/>
    <w:rsid w:val="4B4F25DA"/>
    <w:rsid w:val="4BB2231A"/>
    <w:rsid w:val="4BE068DB"/>
    <w:rsid w:val="4D510618"/>
    <w:rsid w:val="4D577224"/>
    <w:rsid w:val="4DBA7040"/>
    <w:rsid w:val="4DBF1CEB"/>
    <w:rsid w:val="4DF0007C"/>
    <w:rsid w:val="4EAB630A"/>
    <w:rsid w:val="4ECE2238"/>
    <w:rsid w:val="4F477F24"/>
    <w:rsid w:val="4F833267"/>
    <w:rsid w:val="4FB862CC"/>
    <w:rsid w:val="4FE9BD67"/>
    <w:rsid w:val="4FFB052F"/>
    <w:rsid w:val="52D47D21"/>
    <w:rsid w:val="533B7DA0"/>
    <w:rsid w:val="53504EE0"/>
    <w:rsid w:val="537E6D0A"/>
    <w:rsid w:val="53A828E9"/>
    <w:rsid w:val="53F74C96"/>
    <w:rsid w:val="53FD0BB2"/>
    <w:rsid w:val="54CD4A28"/>
    <w:rsid w:val="55170BA8"/>
    <w:rsid w:val="553218C9"/>
    <w:rsid w:val="55772500"/>
    <w:rsid w:val="55CB540B"/>
    <w:rsid w:val="567E1AA5"/>
    <w:rsid w:val="56E47B74"/>
    <w:rsid w:val="57175D52"/>
    <w:rsid w:val="57696B70"/>
    <w:rsid w:val="57906374"/>
    <w:rsid w:val="57A7338F"/>
    <w:rsid w:val="57BD3DD4"/>
    <w:rsid w:val="584E2B8F"/>
    <w:rsid w:val="594B44B5"/>
    <w:rsid w:val="5A0D6898"/>
    <w:rsid w:val="5A2039A0"/>
    <w:rsid w:val="5A3B68D8"/>
    <w:rsid w:val="5A9F6E67"/>
    <w:rsid w:val="5AF92295"/>
    <w:rsid w:val="5B250254"/>
    <w:rsid w:val="5BDD79E6"/>
    <w:rsid w:val="5BF561CA"/>
    <w:rsid w:val="5BFF5DFC"/>
    <w:rsid w:val="5C7779C1"/>
    <w:rsid w:val="5C8D7611"/>
    <w:rsid w:val="5CD71FC4"/>
    <w:rsid w:val="5D1F11B5"/>
    <w:rsid w:val="5D695134"/>
    <w:rsid w:val="5D8272F5"/>
    <w:rsid w:val="5DAE1B18"/>
    <w:rsid w:val="5DC2265C"/>
    <w:rsid w:val="5DE7D9E5"/>
    <w:rsid w:val="5ECEC941"/>
    <w:rsid w:val="5F4B3DBC"/>
    <w:rsid w:val="5FBF9FF3"/>
    <w:rsid w:val="5FCD4E2C"/>
    <w:rsid w:val="5FEF394A"/>
    <w:rsid w:val="5FF67715"/>
    <w:rsid w:val="5FFB68ED"/>
    <w:rsid w:val="60673F83"/>
    <w:rsid w:val="60BB7E2A"/>
    <w:rsid w:val="612E2892"/>
    <w:rsid w:val="62593D9F"/>
    <w:rsid w:val="62BF3928"/>
    <w:rsid w:val="62CE52B0"/>
    <w:rsid w:val="632C3261"/>
    <w:rsid w:val="63B3701E"/>
    <w:rsid w:val="647F5392"/>
    <w:rsid w:val="64FA3336"/>
    <w:rsid w:val="651951E5"/>
    <w:rsid w:val="65AC1B61"/>
    <w:rsid w:val="65E66580"/>
    <w:rsid w:val="664B1D71"/>
    <w:rsid w:val="664B4E8E"/>
    <w:rsid w:val="66547382"/>
    <w:rsid w:val="66B477F6"/>
    <w:rsid w:val="66D206EE"/>
    <w:rsid w:val="67277B67"/>
    <w:rsid w:val="674A63AC"/>
    <w:rsid w:val="675F3C06"/>
    <w:rsid w:val="678E7ECB"/>
    <w:rsid w:val="67AA3209"/>
    <w:rsid w:val="698D0931"/>
    <w:rsid w:val="6A6F3CED"/>
    <w:rsid w:val="6A7FE5F3"/>
    <w:rsid w:val="6AD541DF"/>
    <w:rsid w:val="6B053271"/>
    <w:rsid w:val="6B555ED8"/>
    <w:rsid w:val="6BDD78B3"/>
    <w:rsid w:val="6C4A05C8"/>
    <w:rsid w:val="6C8742B8"/>
    <w:rsid w:val="6D013069"/>
    <w:rsid w:val="6D9444B7"/>
    <w:rsid w:val="6DBF5E93"/>
    <w:rsid w:val="6DF26F24"/>
    <w:rsid w:val="6DFF077E"/>
    <w:rsid w:val="6E714EF0"/>
    <w:rsid w:val="6E7E3605"/>
    <w:rsid w:val="6E7FDCC7"/>
    <w:rsid w:val="6EC46A44"/>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4A61D8"/>
    <w:rsid w:val="72734D90"/>
    <w:rsid w:val="73160E6D"/>
    <w:rsid w:val="7332FE48"/>
    <w:rsid w:val="73AB61DA"/>
    <w:rsid w:val="73AD73D5"/>
    <w:rsid w:val="73B6EB34"/>
    <w:rsid w:val="73FA497D"/>
    <w:rsid w:val="74343D24"/>
    <w:rsid w:val="744731E5"/>
    <w:rsid w:val="74BBD01D"/>
    <w:rsid w:val="74EA0B77"/>
    <w:rsid w:val="74ED5379"/>
    <w:rsid w:val="75DEEEC2"/>
    <w:rsid w:val="75E32345"/>
    <w:rsid w:val="76E3355F"/>
    <w:rsid w:val="76FF5125"/>
    <w:rsid w:val="776F6FFA"/>
    <w:rsid w:val="778769C8"/>
    <w:rsid w:val="77A75DCA"/>
    <w:rsid w:val="77DC22F5"/>
    <w:rsid w:val="783E271A"/>
    <w:rsid w:val="78616DE9"/>
    <w:rsid w:val="78C95383"/>
    <w:rsid w:val="78E35DB2"/>
    <w:rsid w:val="78E875D7"/>
    <w:rsid w:val="79086DAD"/>
    <w:rsid w:val="79D7FD79"/>
    <w:rsid w:val="79EE5BA4"/>
    <w:rsid w:val="7A0174D5"/>
    <w:rsid w:val="7A5779CE"/>
    <w:rsid w:val="7A894339"/>
    <w:rsid w:val="7AD284E8"/>
    <w:rsid w:val="7AFF7572"/>
    <w:rsid w:val="7B264BB7"/>
    <w:rsid w:val="7B6C7DFB"/>
    <w:rsid w:val="7B8C6B3B"/>
    <w:rsid w:val="7BBFBED0"/>
    <w:rsid w:val="7BC3E394"/>
    <w:rsid w:val="7C1F3737"/>
    <w:rsid w:val="7CBFC87B"/>
    <w:rsid w:val="7CE8640F"/>
    <w:rsid w:val="7CFE0F48"/>
    <w:rsid w:val="7D272ABC"/>
    <w:rsid w:val="7D7EC23E"/>
    <w:rsid w:val="7DB92128"/>
    <w:rsid w:val="7DE70964"/>
    <w:rsid w:val="7DF84014"/>
    <w:rsid w:val="7E8ADEBF"/>
    <w:rsid w:val="7EEF11D3"/>
    <w:rsid w:val="7EFE4840"/>
    <w:rsid w:val="7F0971A6"/>
    <w:rsid w:val="7F1D62E7"/>
    <w:rsid w:val="7F3F679B"/>
    <w:rsid w:val="7F4FC4EF"/>
    <w:rsid w:val="7F5E4D54"/>
    <w:rsid w:val="7F6E0135"/>
    <w:rsid w:val="7F79F205"/>
    <w:rsid w:val="7FA30C79"/>
    <w:rsid w:val="7FA79C44"/>
    <w:rsid w:val="7FAF4BA7"/>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9">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Normal Indent"/>
    <w:basedOn w:val="1"/>
    <w:unhideWhenUsed/>
    <w:qFormat/>
    <w:uiPriority w:val="99"/>
    <w:pPr>
      <w:ind w:firstLine="680"/>
    </w:pPr>
  </w:style>
  <w:style w:type="paragraph" w:styleId="6">
    <w:name w:val="index 5"/>
    <w:basedOn w:val="1"/>
    <w:next w:val="1"/>
    <w:qFormat/>
    <w:uiPriority w:val="0"/>
    <w:pPr>
      <w:widowControl w:val="0"/>
      <w:ind w:left="0" w:firstLine="0"/>
      <w:jc w:val="both"/>
    </w:pPr>
    <w:rPr>
      <w:rFonts w:ascii="黑体" w:eastAsia="黑体" w:cs="Arial"/>
      <w:kern w:val="2"/>
      <w:sz w:val="21"/>
      <w:szCs w:val="22"/>
      <w:lang w:val="en-US" w:eastAsia="zh-CN" w:bidi="ar-SA"/>
    </w:rPr>
  </w:style>
  <w:style w:type="paragraph" w:styleId="7">
    <w:name w:val="Body Text"/>
    <w:basedOn w:val="1"/>
    <w:link w:val="28"/>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Plain Text"/>
    <w:basedOn w:val="1"/>
    <w:next w:val="6"/>
    <w:qFormat/>
    <w:uiPriority w:val="0"/>
    <w:pPr>
      <w:widowControl w:val="0"/>
      <w:suppressAutoHyphens/>
      <w:jc w:val="both"/>
    </w:pPr>
    <w:rPr>
      <w:rFonts w:ascii="Courier New" w:hAnsi="Courier New" w:eastAsia="AR PL UKai CN" w:cs="Times New Roman"/>
      <w:kern w:val="2"/>
      <w:sz w:val="21"/>
      <w:szCs w:val="20"/>
      <w:lang w:val="en-US" w:eastAsia="zh-CN" w:bidi="ar-SA"/>
    </w:rPr>
  </w:style>
  <w:style w:type="paragraph" w:styleId="12">
    <w:name w:val="Balloon Text"/>
    <w:basedOn w:val="1"/>
    <w:link w:val="34"/>
    <w:semiHidden/>
    <w:unhideWhenUsed/>
    <w:qFormat/>
    <w:uiPriority w:val="99"/>
    <w:rPr>
      <w:sz w:val="18"/>
      <w:szCs w:val="18"/>
    </w:rPr>
  </w:style>
  <w:style w:type="paragraph" w:styleId="13">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footnote text"/>
    <w:basedOn w:val="1"/>
    <w:next w:val="9"/>
    <w:semiHidden/>
    <w:qFormat/>
    <w:uiPriority w:val="0"/>
    <w:pPr>
      <w:snapToGrid w:val="0"/>
      <w:jc w:val="left"/>
    </w:pPr>
    <w:rPr>
      <w:sz w:val="18"/>
      <w:szCs w:val="18"/>
    </w:rPr>
  </w:style>
  <w:style w:type="paragraph" w:styleId="17">
    <w:name w:val="toc 2"/>
    <w:basedOn w:val="1"/>
    <w:next w:val="1"/>
    <w:unhideWhenUsed/>
    <w:qFormat/>
    <w:uiPriority w:val="39"/>
    <w:pPr>
      <w:tabs>
        <w:tab w:val="right" w:leader="dot" w:pos="8296"/>
      </w:tabs>
      <w:ind w:left="420" w:leftChars="200"/>
    </w:p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Char"/>
    <w:link w:val="14"/>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Char"/>
    <w:link w:val="13"/>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Char"/>
    <w:link w:val="7"/>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19"/>
    <w:link w:val="2"/>
    <w:qFormat/>
    <w:uiPriority w:val="9"/>
    <w:rPr>
      <w:rFonts w:ascii="Times New Roman" w:hAnsi="Times New Roman"/>
      <w:b/>
      <w:bCs/>
      <w:kern w:val="44"/>
      <w:sz w:val="44"/>
      <w:szCs w:val="44"/>
    </w:rPr>
  </w:style>
  <w:style w:type="character" w:customStyle="1" w:styleId="32">
    <w:name w:val="标题 2 Char"/>
    <w:basedOn w:val="19"/>
    <w:link w:val="3"/>
    <w:qFormat/>
    <w:uiPriority w:val="9"/>
    <w:rPr>
      <w:rFonts w:asciiTheme="majorHAnsi" w:hAnsiTheme="majorHAnsi" w:eastAsiaTheme="majorEastAsia" w:cstheme="majorBidi"/>
      <w:b/>
      <w:bCs/>
      <w:kern w:val="2"/>
      <w:sz w:val="32"/>
      <w:szCs w:val="32"/>
    </w:rPr>
  </w:style>
  <w:style w:type="paragraph" w:customStyle="1" w:styleId="33">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9"/>
    <w:link w:val="12"/>
    <w:semiHidden/>
    <w:qFormat/>
    <w:uiPriority w:val="99"/>
    <w:rPr>
      <w:rFonts w:ascii="Times New Roman" w:hAnsi="Times New Roman"/>
      <w:kern w:val="2"/>
      <w:sz w:val="18"/>
      <w:szCs w:val="18"/>
    </w:rPr>
  </w:style>
  <w:style w:type="character" w:customStyle="1" w:styleId="35">
    <w:name w:val="标题 3 Char"/>
    <w:basedOn w:val="19"/>
    <w:link w:val="4"/>
    <w:qFormat/>
    <w:uiPriority w:val="9"/>
    <w:rPr>
      <w:rFonts w:ascii="Times New Roman" w:hAnsi="Times New Roman"/>
      <w:b/>
      <w:bCs/>
      <w:kern w:val="2"/>
      <w:sz w:val="32"/>
      <w:szCs w:val="32"/>
    </w:rPr>
  </w:style>
  <w:style w:type="paragraph" w:customStyle="1" w:styleId="36">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8">
    <w:name w:val="正文-公1"/>
    <w:basedOn w:val="39"/>
    <w:next w:val="1"/>
    <w:qFormat/>
    <w:uiPriority w:val="0"/>
    <w:pPr>
      <w:ind w:firstLine="200" w:firstLineChars="200"/>
    </w:pPr>
  </w:style>
  <w:style w:type="paragraph" w:customStyle="1" w:styleId="39">
    <w:name w:val="正文 New New New New New New New New New New New New New New New New New New New New New New New New New New New New New New New New New New New New New New New New New New New New New New New New New New New New New New New New New New New New New New Ne"/>
    <w:next w:val="38"/>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收入、支出决算总计变动（万元）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457.69</c:v>
                </c:pt>
                <c:pt idx="1">
                  <c:v>353.94</c:v>
                </c:pt>
              </c:numCache>
            </c:numRef>
          </c:val>
        </c:ser>
        <c:dLbls>
          <c:showLegendKey val="0"/>
          <c:showVal val="1"/>
          <c:showCatName val="0"/>
          <c:showSerName val="0"/>
          <c:showPercent val="0"/>
          <c:showBubbleSize val="0"/>
        </c:dLbls>
        <c:gapWidth val="150"/>
        <c:overlap val="-25"/>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一般公共预算财政收入</c:v>
                </c:pt>
                <c:pt idx="1">
                  <c:v>政府性基金收入</c:v>
                </c:pt>
              </c:strCache>
            </c:strRef>
          </c:cat>
          <c:val>
            <c:numRef>
              <c:f>Sheet1!$B$2:$B$3</c:f>
              <c:numCache>
                <c:formatCode>General</c:formatCode>
                <c:ptCount val="2"/>
                <c:pt idx="0">
                  <c:v>353.94</c:v>
                </c:pt>
                <c:pt idx="1">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支出决算图（万元）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303.94</c:v>
                </c:pt>
                <c:pt idx="1">
                  <c:v>50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财政拨款收、支决算总计变动（万元）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457.69</c:v>
                </c:pt>
                <c:pt idx="1">
                  <c:v>353.94</c:v>
                </c:pt>
              </c:numCache>
            </c:numRef>
          </c:val>
        </c:ser>
        <c:dLbls>
          <c:showLegendKey val="0"/>
          <c:showVal val="1"/>
          <c:showCatName val="0"/>
          <c:showSerName val="0"/>
          <c:showPercent val="0"/>
          <c:showBubbleSize val="0"/>
        </c:dLbls>
        <c:gapWidth val="150"/>
        <c:overlap val="-25"/>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一般公共预算财政拨款支出（万元）</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457.69</c:v>
                </c:pt>
                <c:pt idx="1">
                  <c:v>353.94</c:v>
                </c:pt>
              </c:numCache>
            </c:numRef>
          </c:val>
        </c:ser>
        <c:dLbls>
          <c:showLegendKey val="0"/>
          <c:showVal val="1"/>
          <c:showCatName val="0"/>
          <c:showSerName val="0"/>
          <c:showPercent val="0"/>
          <c:showBubbleSize val="0"/>
        </c:dLbls>
        <c:gapWidth val="150"/>
        <c:overlap val="0"/>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ln>
                <a:noFill/>
              </a:ln>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ln>
                      <a:noFill/>
                    </a:ln>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文化旅游体育与传媒支出</c:v>
                </c:pt>
                <c:pt idx="1">
                  <c:v>社会保障和就业支出</c:v>
                </c:pt>
                <c:pt idx="2">
                  <c:v>卫生健康支出</c:v>
                </c:pt>
                <c:pt idx="3">
                  <c:v>住房保障支出</c:v>
                </c:pt>
              </c:strCache>
            </c:strRef>
          </c:cat>
          <c:val>
            <c:numRef>
              <c:f>Sheet1!$B$2:$B$5</c:f>
              <c:numCache>
                <c:formatCode>General</c:formatCode>
                <c:ptCount val="4"/>
                <c:pt idx="0">
                  <c:v>274.98</c:v>
                </c:pt>
                <c:pt idx="1">
                  <c:v>40.97</c:v>
                </c:pt>
                <c:pt idx="2">
                  <c:v>15.79</c:v>
                </c:pt>
                <c:pt idx="3">
                  <c:v>22.2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7620" cap="flat" cmpd="sng" algn="ctr">
      <a:solidFill>
        <a:schemeClr val="tx1"/>
      </a:solidFill>
      <a:round/>
    </a:ln>
    <a:effectLst/>
  </c:spPr>
  <c:txPr>
    <a:bodyPr/>
    <a:lstStyle/>
    <a:p>
      <a:pPr>
        <a:defRPr lang="zh-CN">
          <a:ln>
            <a:noFill/>
          </a:ln>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0</c:v>
                </c:pt>
                <c:pt idx="2">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7620" cap="flat" cmpd="sng" algn="ctr">
      <a:solidFill>
        <a:schemeClr val="tx1"/>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18</Pages>
  <Words>6069</Words>
  <Characters>6480</Characters>
  <Lines>61</Lines>
  <Paragraphs>17</Paragraphs>
  <TotalTime>9</TotalTime>
  <ScaleCrop>false</ScaleCrop>
  <LinksUpToDate>false</LinksUpToDate>
  <CharactersWithSpaces>6599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Administrator</cp:lastModifiedBy>
  <cp:lastPrinted>2026-09-08T02:13:52Z</cp:lastPrinted>
  <dcterms:modified xsi:type="dcterms:W3CDTF">2026-09-08T02:17:18Z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177081683C7E4FC9A595A432FE46482E_13</vt:lpwstr>
  </property>
  <property fmtid="{D5CDD505-2E9C-101B-9397-08002B2CF9AE}" pid="4" name="KSOTemplateDocerSaveRecord">
    <vt:lpwstr>eyJoZGlkIjoiYzE2MDBlMDAzMTNhMThlOTQzMDNjNjFlZWI4YmVjZjAiLCJ1c2VySWQiOiI1MTQ3MzUwMTcifQ==</vt:lpwstr>
  </property>
</Properties>
</file>