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8441"/>
      <w:bookmarkStart w:id="2" w:name="_Toc15377193"/>
      <w:bookmarkStart w:id="3" w:name="_Toc15377425"/>
      <w:bookmarkStart w:id="4" w:name="_Toc15396475"/>
      <w:bookmarkStart w:id="5" w:name="_Toc15306267"/>
    </w:p>
    <w:p w14:paraId="2B81399B">
      <w:pPr>
        <w:pStyle w:val="8"/>
        <w:rPr>
          <w:rFonts w:hint="eastAsia" w:ascii="Times New Roman" w:hAnsi="Times New Roman" w:eastAsia="方正小标宋简体" w:cs="Times New Roman"/>
          <w:color w:val="auto"/>
          <w:kern w:val="2"/>
          <w:sz w:val="72"/>
          <w:szCs w:val="72"/>
          <w:highlight w:val="none"/>
          <w:lang w:val="en-US" w:eastAsia="zh-CN" w:bidi="ar-SA"/>
        </w:rPr>
      </w:pPr>
    </w:p>
    <w:p w14:paraId="19DC5A7D">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2025年度四川省阿坝州</w:t>
      </w:r>
    </w:p>
    <w:p w14:paraId="3E179DAE">
      <w:pPr>
        <w:pStyle w:val="8"/>
        <w:pageBreakBefore w:val="0"/>
        <w:kinsoku/>
        <w:overflowPunct/>
        <w:autoSpaceDE/>
        <w:autoSpaceDN/>
        <w:bidi w:val="0"/>
        <w:spacing w:beforeLines="0" w:line="576" w:lineRule="exact"/>
        <w:ind w:left="0" w:leftChars="0"/>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茂县图书馆单位决算公开</w:t>
      </w:r>
    </w:p>
    <w:p w14:paraId="3128AF52">
      <w:pPr>
        <w:pStyle w:val="6"/>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eastAsia" w:ascii="思源黑体 CN Normal" w:hAnsi="思源黑体 CN Normal" w:eastAsia="思源黑体 CN Normal" w:cs="思源黑体 CN Normal"/>
          <w:color w:val="000000" w:themeColor="text1"/>
          <w14:textFill>
            <w14:solidFill>
              <w14:schemeClr w14:val="tx1"/>
            </w14:solidFill>
          </w14:textFill>
        </w:rPr>
      </w:pPr>
    </w:p>
    <w:p w14:paraId="7242FDA1">
      <w:pPr>
        <w:spacing w:line="600" w:lineRule="exact"/>
        <w:jc w:val="center"/>
        <w:outlineLvl w:val="0"/>
        <w:rPr>
          <w:rFonts w:ascii="Times New Roman" w:hAnsi="Times New Roman" w:eastAsia="方正小标宋简体"/>
          <w:color w:val="auto"/>
          <w:sz w:val="72"/>
          <w:szCs w:val="72"/>
          <w:highlight w:val="none"/>
        </w:rPr>
      </w:pPr>
    </w:p>
    <w:p w14:paraId="26AEF0CF">
      <w:pPr>
        <w:pStyle w:val="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07200BAA">
      <w:pPr>
        <w:pStyle w:val="16"/>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117F019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_Toc24005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第一部分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单位</w:t>
          </w:r>
          <w:r>
            <w:rPr>
              <w:rFonts w:hint="eastAsia" w:ascii="仿宋" w:hAnsi="仿宋" w:eastAsia="仿宋" w:cs="仿宋"/>
              <w:bCs w:val="0"/>
              <w:sz w:val="24"/>
              <w:szCs w:val="24"/>
              <w:highlight w:val="none"/>
            </w:rPr>
            <w:t>概况</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_Toc24005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3</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14502E9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lang w:val="en-US" w:eastAsia="zh-CN"/>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_Toc22485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w:t>
          </w:r>
          <w:r>
            <w:rPr>
              <w:rFonts w:hint="eastAsia" w:ascii="宋体" w:hAnsi="宋体" w:eastAsia="宋体" w:cs="宋体"/>
              <w:bCs w:val="0"/>
              <w:sz w:val="24"/>
              <w:szCs w:val="24"/>
              <w:highlight w:val="none"/>
              <w:lang w:val="en-US" w:eastAsia="zh-CN"/>
            </w:rPr>
            <w:t>主要</w:t>
          </w:r>
          <w:r>
            <w:rPr>
              <w:rFonts w:hint="eastAsia" w:ascii="宋体" w:hAnsi="宋体" w:eastAsia="宋体" w:cs="宋体"/>
              <w:bCs w:val="0"/>
              <w:sz w:val="24"/>
              <w:szCs w:val="24"/>
              <w:highlight w:val="none"/>
              <w:lang w:eastAsia="zh-CN"/>
            </w:rPr>
            <w:t>职责</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lang w:val="en-US" w:eastAsia="zh-CN"/>
            </w:rPr>
            <w:t>3</w:t>
          </w:r>
        </w:p>
        <w:p w14:paraId="0C1D41E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lang w:val="en-US" w:eastAsia="zh-CN"/>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_Toc31495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二、机构设置</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lang w:val="en-US" w:eastAsia="zh-CN"/>
            </w:rPr>
            <w:t>3</w:t>
          </w:r>
        </w:p>
        <w:p w14:paraId="6AC2CC1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_Toc11200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第二部分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2025年度</w:t>
          </w:r>
          <w:r>
            <w:rPr>
              <w:rFonts w:hint="eastAsia" w:ascii="仿宋" w:hAnsi="仿宋" w:eastAsia="仿宋" w:cs="仿宋"/>
              <w:bCs w:val="0"/>
              <w:sz w:val="24"/>
              <w:szCs w:val="24"/>
              <w:highlight w:val="none"/>
            </w:rPr>
            <w:t>部门决算情况说明</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_Toc11200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4</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75DB5F5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_Toc8029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一、</w:t>
          </w:r>
          <w:r>
            <w:rPr>
              <w:rFonts w:hint="eastAsia" w:ascii="宋体" w:hAnsi="宋体" w:eastAsia="宋体" w:cs="宋体"/>
              <w:bCs w:val="0"/>
              <w:sz w:val="24"/>
              <w:szCs w:val="24"/>
              <w:highlight w:val="none"/>
            </w:rPr>
            <w:t>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_Toc8029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DCC13E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_Toc29983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二、收入决算情况说明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_Toc29983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77CC1A0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_Toc23614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三、</w:t>
          </w:r>
          <w:r>
            <w:rPr>
              <w:rFonts w:hint="eastAsia" w:ascii="宋体" w:hAnsi="宋体" w:eastAsia="宋体" w:cs="宋体"/>
              <w:bCs w:val="0"/>
              <w:sz w:val="24"/>
              <w:szCs w:val="24"/>
              <w:highlight w:val="none"/>
            </w:rPr>
            <w:t>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_Toc23614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5</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A5FAF4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_Toc16160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_Toc16160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5</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E26619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_Toc6507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五、一般公共预算财政拨款支出决算情况说明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_Toc6507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6</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1E17F6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_Toc24229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六、一般公共预算财政拨款基本支出决算情况说明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_Toc24229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F4447A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_Toc15325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七、财政拨款“三公”经费支出决算情况说明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lang w:val="en-US" w:eastAsia="zh-CN"/>
            </w:rPr>
            <w:t>9</w:t>
          </w:r>
          <w:r>
            <w:rPr>
              <w:rFonts w:hint="eastAsia" w:ascii="宋体" w:hAnsi="宋体" w:eastAsia="宋体" w:cs="宋体"/>
              <w:bCs w:val="0"/>
              <w:sz w:val="24"/>
              <w:szCs w:val="24"/>
              <w:highlight w:val="none"/>
            </w:rPr>
            <w:fldChar w:fldCharType="end"/>
          </w:r>
        </w:p>
        <w:p w14:paraId="4D2006D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_Toc25072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八、政府性基金预算支出决算情况说明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_Toc25072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0</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040CE6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_Toc10544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九、</w:t>
          </w:r>
          <w:r>
            <w:rPr>
              <w:rFonts w:hint="eastAsia" w:ascii="宋体" w:hAnsi="宋体" w:eastAsia="宋体" w:cs="宋体"/>
              <w:bCs w:val="0"/>
              <w:sz w:val="24"/>
              <w:szCs w:val="24"/>
              <w:highlight w:val="none"/>
            </w:rPr>
            <w:t>国有资本经营预算支出决算情况说明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_Toc10544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0</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7D81A3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_Toc3829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十、</w:t>
          </w:r>
          <w:r>
            <w:rPr>
              <w:rFonts w:hint="eastAsia" w:ascii="宋体" w:hAnsi="宋体" w:eastAsia="宋体" w:cs="宋体"/>
              <w:bCs w:val="0"/>
              <w:sz w:val="24"/>
              <w:szCs w:val="24"/>
              <w:highlight w:val="none"/>
            </w:rPr>
            <w:t>其他重要事项的情况说明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_Toc3829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11</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3EFB58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_Toc13128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w:t>
          </w:r>
          <w:r>
            <w:rPr>
              <w:rFonts w:hint="eastAsia" w:ascii="仿宋" w:hAnsi="仿宋" w:eastAsia="仿宋" w:cs="仿宋"/>
              <w:bCs w:val="0"/>
              <w:sz w:val="24"/>
              <w:szCs w:val="24"/>
              <w:highlight w:val="none"/>
              <w:lang w:eastAsia="zh-CN"/>
            </w:rPr>
            <w:t>三</w:t>
          </w:r>
          <w:r>
            <w:rPr>
              <w:rFonts w:hint="eastAsia" w:ascii="仿宋" w:hAnsi="仿宋" w:eastAsia="仿宋" w:cs="仿宋"/>
              <w:bCs w:val="0"/>
              <w:sz w:val="24"/>
              <w:szCs w:val="24"/>
              <w:highlight w:val="none"/>
            </w:rPr>
            <w:t>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名词解释</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_Toc13128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w:t>
          </w:r>
          <w:r>
            <w:rPr>
              <w:rFonts w:hint="eastAsia" w:cs="仿宋"/>
              <w:bCs w:val="0"/>
              <w:sz w:val="24"/>
              <w:szCs w:val="24"/>
              <w:highlight w:val="none"/>
              <w:lang w:val="en-US" w:eastAsia="zh-CN"/>
            </w:rPr>
            <w:t>3</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036A6D8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_Toc27863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第四部分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附件</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_Toc27863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w:t>
          </w:r>
          <w:r>
            <w:rPr>
              <w:rFonts w:hint="eastAsia" w:cs="仿宋"/>
              <w:bCs w:val="0"/>
              <w:sz w:val="24"/>
              <w:szCs w:val="24"/>
              <w:highlight w:val="none"/>
              <w:lang w:val="en-US" w:eastAsia="zh-CN"/>
            </w:rPr>
            <w:t>6</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10E13D3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_Toc5703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 xml:space="preserve">第五部分 </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附表</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_Toc5703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2</w:t>
          </w:r>
          <w:r>
            <w:rPr>
              <w:rFonts w:hint="eastAsia" w:cs="仿宋"/>
              <w:bCs w:val="0"/>
              <w:sz w:val="24"/>
              <w:szCs w:val="24"/>
              <w:highlight w:val="none"/>
              <w:lang w:val="en-US" w:eastAsia="zh-CN"/>
            </w:rPr>
            <w:t>2</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0CA71CE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_Toc31378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_Toc31378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775D8C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_Toc17166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二、收入决算表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_Toc17166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D1A47C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_Toc1014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三、支出决算表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_Toc1014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F40D9E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_Toc17113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_Toc17113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501E0E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_Toc20303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_Toc20303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68FB55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_Toc9406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_Toc9406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74A864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_Toc29039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七、一般公共预算财政拨款支出决算明细表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_Toc29039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A8C4E3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_Toc11281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八、一般公共预算财政拨款基本支出决算表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_Toc11281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0B3C2B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_Toc17148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九、一般公共预算财政拨款项目支出决算表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_Toc17148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8E6DEC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_Toc28412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十、政府性基金预算财政拨款收入支出决算表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_Toc28412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799923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_Toc2344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十一、国有资本经营预算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_Toc2344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C7082D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_Toc20175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_Toc20175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A65F87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_Toc13636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_Toc13636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2</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bookmarkStart w:id="84" w:name="_GoBack"/>
          <w:bookmarkEnd w:id="84"/>
        </w:p>
        <w:p w14:paraId="1667E59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sz w:val="24"/>
              <w:szCs w:val="24"/>
              <w:highlight w:val="none"/>
            </w:rPr>
            <w:fldChar w:fldCharType="end"/>
          </w:r>
        </w:p>
      </w:sdtContent>
    </w:sdt>
    <w:p w14:paraId="316C60DE">
      <w:pPr>
        <w:pStyle w:val="17"/>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521E39E1">
      <w:pPr>
        <w:pStyle w:val="3"/>
        <w:pageBreakBefore w:val="0"/>
        <w:kinsoku/>
        <w:wordWrap/>
        <w:overflowPunct/>
        <w:topLinePunct w:val="0"/>
        <w:autoSpaceDE/>
        <w:autoSpaceDN/>
        <w:bidi w:val="0"/>
        <w:adjustRightInd/>
        <w:snapToGrid/>
        <w:spacing w:line="576" w:lineRule="exact"/>
        <w:jc w:val="center"/>
        <w:textAlignment w:val="auto"/>
        <w:rPr>
          <w:rFonts w:hint="eastAsia" w:ascii="黑体" w:hAnsi="黑体" w:eastAsia="黑体" w:cs="黑体"/>
          <w:b w:val="0"/>
          <w:bCs w:val="0"/>
        </w:rPr>
      </w:pPr>
      <w:bookmarkStart w:id="8" w:name="_Toc18315"/>
      <w:bookmarkStart w:id="9" w:name="_Toc24005"/>
      <w:r>
        <w:rPr>
          <w:rFonts w:hint="eastAsia" w:ascii="黑体" w:hAnsi="黑体" w:eastAsia="黑体" w:cs="黑体"/>
          <w:b w:val="0"/>
          <w:bCs w:val="0"/>
        </w:rPr>
        <w:t xml:space="preserve">第一部分 </w:t>
      </w:r>
      <w:r>
        <w:rPr>
          <w:rStyle w:val="41"/>
          <w:rFonts w:hint="eastAsia" w:ascii="黑体" w:hAnsi="黑体" w:eastAsia="黑体" w:cs="黑体"/>
          <w:b w:val="0"/>
          <w:bCs w:val="0"/>
        </w:rPr>
        <w:t>单位</w:t>
      </w:r>
      <w:r>
        <w:rPr>
          <w:rStyle w:val="41"/>
          <w:rFonts w:ascii="黑体" w:hAnsi="黑体" w:eastAsia="黑体" w:cs="黑体"/>
          <w:b w:val="0"/>
          <w:bCs w:val="0"/>
          <w:u w:color="auto"/>
        </w:rPr>
        <w:t>概况</w:t>
      </w:r>
      <w:bookmarkEnd w:id="8"/>
    </w:p>
    <w:p w14:paraId="24C03C62">
      <w:pPr>
        <w:pStyle w:val="4"/>
        <w:pageBreakBefore w:val="0"/>
        <w:kinsoku/>
        <w:wordWrap/>
        <w:overflowPunct/>
        <w:topLinePunct w:val="0"/>
        <w:autoSpaceDE/>
        <w:autoSpaceDN/>
        <w:bidi w:val="0"/>
        <w:adjustRightInd/>
        <w:snapToGrid/>
        <w:spacing w:before="0" w:after="0" w:line="240" w:lineRule="auto"/>
        <w:ind w:firstLine="640" w:firstLineChars="200"/>
        <w:textAlignment w:val="auto"/>
        <w:rPr>
          <w:rFonts w:hint="eastAsia" w:ascii="黑体" w:hAnsi="黑体" w:eastAsia="黑体" w:cs="黑体"/>
          <w:b w:val="0"/>
          <w:bCs/>
          <w:color w:val="000000"/>
          <w:lang w:val="en-US" w:eastAsia="zh-CN"/>
        </w:rPr>
      </w:pPr>
      <w:bookmarkStart w:id="10" w:name="_Toc111208496"/>
      <w:bookmarkStart w:id="11" w:name="_Toc113981010"/>
      <w:bookmarkStart w:id="12" w:name="_Toc325"/>
      <w:r>
        <w:rPr>
          <w:rFonts w:hint="eastAsia" w:ascii="黑体" w:hAnsi="黑体" w:eastAsia="黑体" w:cs="黑体"/>
          <w:b w:val="0"/>
          <w:bCs/>
          <w:color w:val="000000"/>
        </w:rPr>
        <w:t>一、</w:t>
      </w:r>
      <w:bookmarkEnd w:id="10"/>
      <w:bookmarkEnd w:id="11"/>
      <w:bookmarkStart w:id="13" w:name="_Toc15377198"/>
      <w:bookmarkStart w:id="14" w:name="_Toc15378445"/>
      <w:r>
        <w:rPr>
          <w:rFonts w:hint="eastAsia" w:ascii="黑体" w:hAnsi="黑体" w:eastAsia="黑体" w:cs="黑体"/>
          <w:b w:val="0"/>
          <w:bCs/>
          <w:color w:val="000000"/>
          <w:lang w:val="en-US" w:eastAsia="zh-CN"/>
        </w:rPr>
        <w:t>主要职责</w:t>
      </w:r>
      <w:bookmarkEnd w:id="12"/>
    </w:p>
    <w:bookmarkEnd w:id="13"/>
    <w:bookmarkEnd w:id="14"/>
    <w:p w14:paraId="72BD933A">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76" w:lineRule="exact"/>
        <w:ind w:left="0" w:right="0" w:firstLine="640" w:firstLineChars="200"/>
        <w:jc w:val="both"/>
        <w:textAlignment w:val="auto"/>
        <w:outlineLvl w:val="2"/>
        <w:rPr>
          <w:rFonts w:hint="eastAsia" w:ascii="仿宋_GB2312" w:hAnsi="仿宋_GB2312" w:eastAsia="仿宋_GB2312" w:cs="仿宋_GB2312"/>
          <w:kern w:val="2"/>
          <w:sz w:val="32"/>
          <w:szCs w:val="32"/>
        </w:rPr>
      </w:pPr>
      <w:bookmarkStart w:id="15" w:name="_Toc113981011"/>
      <w:bookmarkStart w:id="16" w:name="_Toc111208497"/>
      <w:r>
        <w:rPr>
          <w:rFonts w:hint="eastAsia" w:ascii="仿宋_GB2312" w:hAnsi="仿宋_GB2312" w:eastAsia="仿宋_GB2312" w:cs="仿宋_GB2312"/>
          <w:kern w:val="2"/>
          <w:sz w:val="32"/>
          <w:szCs w:val="32"/>
          <w:lang w:val="en-US" w:eastAsia="zh-CN" w:bidi="ar"/>
        </w:rPr>
        <w:t>图书、文献、报刊采编储藏，图书借阅。</w:t>
      </w:r>
    </w:p>
    <w:p w14:paraId="2CF1E803">
      <w:pPr>
        <w:pStyle w:val="4"/>
        <w:pageBreakBefore w:val="0"/>
        <w:kinsoku/>
        <w:wordWrap/>
        <w:overflowPunct/>
        <w:topLinePunct w:val="0"/>
        <w:autoSpaceDE/>
        <w:autoSpaceDN/>
        <w:bidi w:val="0"/>
        <w:adjustRightInd/>
        <w:snapToGrid/>
        <w:spacing w:before="0" w:after="0" w:line="240" w:lineRule="auto"/>
        <w:ind w:firstLine="640" w:firstLineChars="200"/>
        <w:textAlignment w:val="auto"/>
        <w:rPr>
          <w:rFonts w:hint="eastAsia" w:ascii="黑体" w:hAnsi="黑体" w:eastAsia="黑体" w:cs="黑体"/>
          <w:b w:val="0"/>
          <w:bCs/>
          <w:color w:val="000000"/>
        </w:rPr>
      </w:pPr>
      <w:bookmarkStart w:id="17" w:name="_Toc6372"/>
      <w:r>
        <w:rPr>
          <w:rFonts w:hint="eastAsia" w:ascii="黑体" w:hAnsi="黑体" w:eastAsia="黑体" w:cs="黑体"/>
          <w:b w:val="0"/>
          <w:bCs/>
          <w:color w:val="000000"/>
        </w:rPr>
        <w:t>二、机构设置</w:t>
      </w:r>
      <w:bookmarkEnd w:id="15"/>
      <w:bookmarkEnd w:id="16"/>
      <w:bookmarkEnd w:id="17"/>
    </w:p>
    <w:p w14:paraId="2AA3E424">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76" w:lineRule="exact"/>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本单位本年度纳入本套决算编制范围的独立编制机构数共1个，比上年增加0个；独立核算机构数共1个，比上年增加0个。</w:t>
      </w:r>
    </w:p>
    <w:p w14:paraId="0429FE8A">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01DFE8D6">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21B22CCB">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73DB33F2">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2BD3EFC1">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546BA32B">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75BB699E">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43833FA5">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6D363123">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4C661C95">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04CA7F1B">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30917341">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p w14:paraId="6C952026">
      <w:pPr>
        <w:pStyle w:val="19"/>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640" w:firstLineChars="200"/>
        <w:jc w:val="both"/>
        <w:textAlignment w:val="auto"/>
        <w:outlineLvl w:val="2"/>
        <w:rPr>
          <w:rFonts w:hint="eastAsia" w:ascii="仿宋_GB2312" w:hAnsi="仿宋_GB2312" w:eastAsia="仿宋_GB2312" w:cs="仿宋_GB2312"/>
          <w:kern w:val="2"/>
          <w:sz w:val="32"/>
          <w:szCs w:val="32"/>
          <w:lang w:val="en-US" w:eastAsia="zh-CN" w:bidi="ar"/>
        </w:rPr>
      </w:pPr>
    </w:p>
    <w:bookmarkEnd w:id="6"/>
    <w:bookmarkEnd w:id="7"/>
    <w:bookmarkEnd w:id="9"/>
    <w:p w14:paraId="5EAD7A2B">
      <w:pPr>
        <w:pStyle w:val="3"/>
        <w:jc w:val="center"/>
        <w:outlineLvl w:val="0"/>
      </w:pPr>
      <w:bookmarkStart w:id="18" w:name="_Toc15396602"/>
      <w:bookmarkStart w:id="19" w:name="_Toc11200"/>
      <w:bookmarkStart w:id="20"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p>
    <w:p w14:paraId="08D37E52">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21" w:name="_Toc15377205"/>
      <w:bookmarkStart w:id="22" w:name="_Toc8029"/>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21"/>
      <w:bookmarkEnd w:id="22"/>
      <w:bookmarkEnd w:id="23"/>
    </w:p>
    <w:p w14:paraId="00476742">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163.57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12</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7.92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经费随人员经费、公用经费增加变动。</w:t>
      </w:r>
    </w:p>
    <w:p w14:paraId="0506EA68">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bookmarkStart w:id="26" w:name="_Toc29983"/>
      <w:r>
        <w:rPr>
          <w:rFonts w:hint="eastAsia" w:ascii="Times New Roman" w:hAnsi="Times New Roman" w:eastAsia="黑体"/>
          <w:color w:val="auto"/>
          <w:sz w:val="32"/>
          <w:szCs w:val="32"/>
          <w:highlight w:val="none"/>
          <w:lang w:eastAsia="zh-CN"/>
        </w:rPr>
        <w:t>二、收入决算情况说明</w:t>
      </w:r>
      <w:bookmarkEnd w:id="24"/>
      <w:bookmarkEnd w:id="25"/>
      <w:bookmarkEnd w:id="26"/>
    </w:p>
    <w:p w14:paraId="3911322F">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163.57</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163.57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59AFF399">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7" w:name="_Toc23614"/>
      <w:bookmarkStart w:id="28" w:name="_Toc15377207"/>
      <w:bookmarkStart w:id="2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27"/>
      <w:bookmarkEnd w:id="28"/>
      <w:bookmarkEnd w:id="29"/>
    </w:p>
    <w:p w14:paraId="265AC5DE">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163.57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142.93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20.64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color w:val="auto"/>
          <w:sz w:val="32"/>
          <w:szCs w:val="32"/>
          <w:highlight w:val="none"/>
          <w:lang w:eastAsia="zh-CN"/>
        </w:rPr>
        <w:t>%。</w:t>
      </w:r>
    </w:p>
    <w:p w14:paraId="5A01262A">
      <w:pPr>
        <w:spacing w:line="600" w:lineRule="exact"/>
        <w:ind w:firstLine="640" w:firstLineChars="200"/>
        <w:outlineLvl w:val="1"/>
        <w:rPr>
          <w:rStyle w:val="33"/>
          <w:rFonts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3360"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0" w:name="_Toc15396606"/>
      <w:bookmarkStart w:id="31" w:name="_Toc15377208"/>
      <w:bookmarkStart w:id="32" w:name="_Toc16160"/>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30"/>
      <w:bookmarkEnd w:id="31"/>
      <w:bookmarkEnd w:id="32"/>
    </w:p>
    <w:p w14:paraId="06E577E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163.57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7.92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经费随人员经费、公用经费增加变动。</w:t>
      </w:r>
    </w:p>
    <w:p w14:paraId="47B10279">
      <w:pPr>
        <w:pStyle w:val="17"/>
        <w:outlineLvl w:val="9"/>
        <w:rPr>
          <w:rFonts w:hint="eastAsia"/>
          <w:highlight w:val="none"/>
          <w:lang w:val="en-US" w:eastAsia="zh-CN"/>
        </w:rPr>
      </w:pPr>
    </w:p>
    <w:p w14:paraId="56DC149D">
      <w:pPr>
        <w:spacing w:line="600" w:lineRule="exact"/>
        <w:ind w:firstLine="640" w:firstLineChars="200"/>
        <w:outlineLvl w:val="1"/>
        <w:rPr>
          <w:rStyle w:val="33"/>
          <w:rFonts w:ascii="Times New Roman" w:hAnsi="Times New Roman" w:eastAsia="黑体"/>
          <w:b w:val="0"/>
          <w:color w:val="auto"/>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3" w:name="_Toc15396607"/>
      <w:bookmarkStart w:id="34" w:name="_Toc15377209"/>
      <w:bookmarkStart w:id="35" w:name="_Toc65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33"/>
      <w:bookmarkEnd w:id="34"/>
      <w:bookmarkEnd w:id="35"/>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6"/>
    </w:p>
    <w:p w14:paraId="5176ACCA">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260985</wp:posOffset>
            </wp:positionH>
            <wp:positionV relativeFrom="paragraph">
              <wp:posOffset>1710690</wp:posOffset>
            </wp:positionV>
            <wp:extent cx="5256530" cy="2677160"/>
            <wp:effectExtent l="4445" t="4445" r="15875" b="2349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163.57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7.92</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经费随人员经费、公用经费及项目经费增加变动。</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7"/>
    </w:p>
    <w:p w14:paraId="0C73AF3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163.57万元，主要用于以下方面：文化旅游体育与传媒支出126.11万元，占77.10%；社会保障和就业支出19.17万元，占11.72%；卫生健康支出7.85万元，占4.80%；住房保障支出10.43万元，占6.38%。</w:t>
      </w:r>
    </w:p>
    <w:p w14:paraId="1128E98B">
      <w:pPr>
        <w:pStyle w:val="10"/>
        <w:ind w:left="0" w:leftChars="0" w:firstLine="0" w:firstLineChars="0"/>
        <w:outlineLvl w:val="9"/>
        <w:rPr>
          <w:rFonts w:hint="eastAsia"/>
          <w:highlight w:val="none"/>
          <w:lang w:val="en-US" w:eastAsia="zh-CN"/>
        </w:rPr>
      </w:pPr>
    </w:p>
    <w:p w14:paraId="360E76A0">
      <w:pPr>
        <w:pStyle w:val="10"/>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8"/>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9" w:name="_Toc15377213"/>
      <w:bookmarkStart w:id="40" w:name="_Toc15378460"/>
      <w:bookmarkStart w:id="41"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163.57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14:paraId="4F6FAA4B">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42" w:name="_Toc24229"/>
      <w:bookmarkStart w:id="43" w:name="_Toc15396608"/>
      <w:bookmarkStart w:id="44" w:name="_Toc15377214"/>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图书馆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107.23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7F9062D0">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2015.63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2E1A9C8">
      <w:pPr>
        <w:numPr>
          <w:numId w:val="0"/>
        </w:numPr>
        <w:spacing w:line="600" w:lineRule="exact"/>
        <w:ind w:firstLine="640" w:firstLineChars="200"/>
        <w:rPr>
          <w:rFonts w:hint="default"/>
          <w:highlight w:val="none"/>
          <w:lang w:val="en-US" w:eastAsia="zh-CN"/>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859.80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126B89A3">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141.38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635E8EE">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70.69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7B1FA8DD">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74.94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EF85E6E">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116.29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3"/>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42"/>
      <w:bookmarkEnd w:id="43"/>
      <w:bookmarkEnd w:id="44"/>
      <w:r>
        <w:rPr>
          <w:rStyle w:val="33"/>
          <w:rFonts w:ascii="Times New Roman" w:hAnsi="Times New Roman" w:eastAsia="黑体"/>
          <w:b w:val="0"/>
          <w:color w:val="auto"/>
          <w:highlight w:val="none"/>
        </w:rPr>
        <w:tab/>
      </w:r>
    </w:p>
    <w:p w14:paraId="3F8DB63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142.93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81D479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136.97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5.95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spacing w:line="600" w:lineRule="exact"/>
        <w:ind w:firstLine="640"/>
        <w:outlineLvl w:val="1"/>
        <w:rPr>
          <w:rStyle w:val="33"/>
          <w:rFonts w:ascii="Times New Roman" w:hAnsi="Times New Roman" w:eastAsia="黑体"/>
          <w:b w:val="0"/>
          <w:color w:val="auto"/>
          <w:highlight w:val="none"/>
        </w:rPr>
      </w:pPr>
      <w:bookmarkStart w:id="45" w:name="_Toc15325"/>
      <w:bookmarkStart w:id="46" w:name="_Toc15396609"/>
      <w:bookmarkStart w:id="47" w:name="_Toc15377215"/>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45"/>
      <w:bookmarkEnd w:id="46"/>
      <w:bookmarkEnd w:id="47"/>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8"/>
    </w:p>
    <w:p w14:paraId="2370DED8">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9"/>
    </w:p>
    <w:p w14:paraId="73ED10F1">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-32385</wp:posOffset>
            </wp:positionH>
            <wp:positionV relativeFrom="paragraph">
              <wp:posOffset>1477010</wp:posOffset>
            </wp:positionV>
            <wp:extent cx="5256530" cy="2512060"/>
            <wp:effectExtent l="4445" t="4445" r="15875"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F9EB77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度相比</w:t>
      </w:r>
      <w:r>
        <w:rPr>
          <w:rFonts w:hint="eastAsia" w:ascii="Times New Roman" w:hAnsi="Times New Roman" w:eastAsia="仿宋_GB2312" w:cs="仿宋_GB2312"/>
          <w:color w:val="auto"/>
          <w:kern w:val="2"/>
          <w:sz w:val="32"/>
          <w:szCs w:val="32"/>
          <w:highlight w:val="none"/>
          <w:lang w:val="en-US" w:eastAsia="zh-CN" w:bidi="ar-SA"/>
        </w:rPr>
        <w:t>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w:t>
      </w:r>
    </w:p>
    <w:p w14:paraId="4A38F644">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50" w:name="_Toc15377218"/>
      <w:bookmarkStart w:id="51" w:name="_Toc15396610"/>
    </w:p>
    <w:p w14:paraId="16B733E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1"/>
        <w:rPr>
          <w:rStyle w:val="33"/>
          <w:rFonts w:ascii="Times New Roman" w:hAnsi="Times New Roman" w:eastAsia="黑体"/>
          <w:color w:val="auto"/>
          <w:highlight w:val="none"/>
        </w:rPr>
      </w:pPr>
      <w:bookmarkStart w:id="52" w:name="_Toc25072"/>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50"/>
      <w:bookmarkEnd w:id="51"/>
      <w:bookmarkEnd w:id="52"/>
    </w:p>
    <w:p w14:paraId="05B5037C">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0" w:leftChars="0"/>
        <w:textAlignment w:val="auto"/>
        <w:outlineLvl w:val="1"/>
        <w:rPr>
          <w:rStyle w:val="33"/>
          <w:rFonts w:ascii="Times New Roman" w:hAnsi="Times New Roman" w:eastAsia="黑体"/>
          <w:b w:val="0"/>
          <w:color w:val="auto"/>
          <w:highlight w:val="none"/>
        </w:rPr>
      </w:pPr>
      <w:bookmarkStart w:id="53" w:name="_Toc15396611"/>
      <w:bookmarkStart w:id="54" w:name="_Toc10544"/>
      <w:bookmarkStart w:id="55" w:name="_Toc15377219"/>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53"/>
      <w:bookmarkEnd w:id="54"/>
      <w:bookmarkEnd w:id="55"/>
    </w:p>
    <w:p w14:paraId="10E1E4CF">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0" w:leftChars="0"/>
        <w:textAlignment w:val="auto"/>
        <w:outlineLvl w:val="1"/>
        <w:rPr>
          <w:rStyle w:val="33"/>
          <w:rFonts w:hint="eastAsia" w:ascii="Times New Roman" w:hAnsi="Times New Roman" w:eastAsia="黑体"/>
          <w:b w:val="0"/>
          <w:color w:val="auto"/>
          <w:highlight w:val="none"/>
        </w:rPr>
      </w:pPr>
      <w:bookmarkStart w:id="56" w:name="_Toc3829"/>
      <w:bookmarkStart w:id="57" w:name="_Toc15377221"/>
      <w:bookmarkStart w:id="58" w:name="_Toc15396612"/>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56"/>
      <w:bookmarkEnd w:id="57"/>
      <w:bookmarkEnd w:id="58"/>
    </w:p>
    <w:p w14:paraId="0DCF67A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59" w:name="_Toc15377222"/>
      <w:r>
        <w:rPr>
          <w:rFonts w:hint="eastAsia" w:ascii="Times New Roman" w:hAnsi="Times New Roman" w:eastAsia="楷体_GB2312" w:cs="楷体_GB2312"/>
          <w:b/>
          <w:color w:val="auto"/>
          <w:sz w:val="32"/>
          <w:szCs w:val="32"/>
          <w:highlight w:val="none"/>
        </w:rPr>
        <w:t>（一）机关运行经费支出情况</w:t>
      </w:r>
      <w:bookmarkEnd w:id="59"/>
    </w:p>
    <w:p w14:paraId="3AA99B3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茂县图书馆</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22965F3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FF0000"/>
          <w:sz w:val="32"/>
          <w:szCs w:val="32"/>
          <w:highlight w:val="none"/>
          <w:lang w:eastAsia="zh-CN"/>
        </w:rPr>
      </w:pPr>
      <w:bookmarkStart w:id="60" w:name="_Toc15377223"/>
      <w:r>
        <w:rPr>
          <w:rFonts w:hint="eastAsia" w:ascii="Times New Roman" w:hAnsi="Times New Roman" w:eastAsia="楷体_GB2312" w:cs="楷体_GB2312"/>
          <w:b/>
          <w:color w:val="auto"/>
          <w:sz w:val="32"/>
          <w:szCs w:val="32"/>
          <w:highlight w:val="none"/>
        </w:rPr>
        <w:t>（二）政府采购支出情况</w:t>
      </w:r>
      <w:bookmarkEnd w:id="60"/>
    </w:p>
    <w:p w14:paraId="75840CD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茂县图书馆</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61" w:name="_Toc15377224"/>
      <w:r>
        <w:rPr>
          <w:rFonts w:hint="eastAsia" w:ascii="Times New Roman" w:hAnsi="Times New Roman" w:eastAsia="楷体_GB2312" w:cs="楷体_GB2312"/>
          <w:b/>
          <w:color w:val="auto"/>
          <w:sz w:val="32"/>
          <w:szCs w:val="32"/>
          <w:highlight w:val="none"/>
        </w:rPr>
        <w:t>（三）国有资产占有使用情况</w:t>
      </w:r>
      <w:bookmarkEnd w:id="61"/>
    </w:p>
    <w:p w14:paraId="7CD4817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茂县图书馆</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777A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预算编制阶段，组织对图书馆免开县级配套资金、2025年中央和省级财政文旅领域专业资金图书馆免开项目、2025年中央、省级和州级财政公共图书馆、美术馆、文化馆（站）免费开放补助资金预算的通知</w:t>
      </w:r>
      <w:r>
        <w:rPr>
          <w:rFonts w:hint="eastAsia" w:ascii="仿宋_GB2312" w:hAnsi="Times New Roman" w:eastAsia="仿宋_GB2312" w:cs="Times New Roman"/>
          <w:color w:val="auto"/>
          <w:sz w:val="32"/>
          <w:szCs w:val="32"/>
          <w:highlight w:val="none"/>
          <w:lang w:val="en-US" w:eastAsia="zh-CN"/>
        </w:rPr>
        <w:t>3个项目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3个项目开展绩效自评，绩效自评表详见第四部分附件</w:t>
      </w:r>
      <w:r>
        <w:rPr>
          <w:rFonts w:hint="eastAsia" w:eastAsia="仿宋_GB2312" w:cs="仿宋_GB2312"/>
          <w:color w:val="auto"/>
          <w:kern w:val="2"/>
          <w:sz w:val="32"/>
          <w:szCs w:val="32"/>
          <w:highlight w:val="none"/>
          <w:lang w:val="en-US" w:eastAsia="zh-CN" w:bidi="ar-SA"/>
        </w:rPr>
        <w:t>。</w:t>
      </w:r>
    </w:p>
    <w:p w14:paraId="6814729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48F1784">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543C43DD">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5DAD91CE">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6D54A1CC">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2F6A6B8F">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54C6B619">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5D258469">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0353A623">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02A03798">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5F299875">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24F56027">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1543693A">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3192D17E">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46DE2CFF">
      <w:pPr>
        <w:pStyle w:val="10"/>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62" w:name="_Toc15377225"/>
      <w:bookmarkStart w:id="63" w:name="_Toc15396613"/>
      <w:bookmarkStart w:id="64" w:name="_Toc1312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2"/>
      <w:bookmarkEnd w:id="63"/>
      <w:bookmarkEnd w:id="64"/>
    </w:p>
    <w:p w14:paraId="0B54D6B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5"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4A6268E7">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3F572A02">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3EADBD6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73CC6B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11D785F5">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F35DDE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ABCD433">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13A7DA1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图书馆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:反映图书馆的支出</w:t>
      </w:r>
      <w:r>
        <w:rPr>
          <w:rFonts w:hint="eastAsia" w:eastAsia="仿宋_GB2312" w:cs="仿宋_GB2312"/>
          <w:color w:val="auto"/>
          <w:kern w:val="2"/>
          <w:sz w:val="32"/>
          <w:szCs w:val="32"/>
          <w:highlight w:val="none"/>
          <w:lang w:val="en-US" w:eastAsia="zh-CN" w:bidi="ar-SA"/>
        </w:rPr>
        <w:t>。</w:t>
      </w:r>
    </w:p>
    <w:p w14:paraId="23F330C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:反映除上述项目以外其他用于文化和旅游方面的支出</w:t>
      </w:r>
      <w:r>
        <w:rPr>
          <w:rFonts w:hint="eastAsia" w:eastAsia="仿宋_GB2312" w:cs="仿宋_GB2312"/>
          <w:color w:val="auto"/>
          <w:kern w:val="2"/>
          <w:sz w:val="32"/>
          <w:szCs w:val="32"/>
          <w:highlight w:val="none"/>
          <w:lang w:val="en-US" w:eastAsia="zh-CN" w:bidi="ar-SA"/>
        </w:rPr>
        <w:t>。</w:t>
      </w:r>
    </w:p>
    <w:p w14:paraId="19287EC1">
      <w:pPr>
        <w:numPr>
          <w:ilvl w:val="0"/>
          <w:numId w:val="1"/>
        </w:numPr>
        <w:spacing w:line="600" w:lineRule="exact"/>
        <w:ind w:left="0" w:leftChars="0" w:firstLine="400" w:firstLineChars="0"/>
        <w:rPr>
          <w:rFonts w:hint="default"/>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：反映除上述项目以外其他用于文化旅游体育与传媒方面的支出</w:t>
      </w:r>
      <w:r>
        <w:rPr>
          <w:rFonts w:hint="eastAsia" w:eastAsia="仿宋_GB2312" w:cs="仿宋_GB2312"/>
          <w:color w:val="auto"/>
          <w:kern w:val="2"/>
          <w:sz w:val="32"/>
          <w:szCs w:val="32"/>
          <w:highlight w:val="none"/>
          <w:lang w:val="en-US" w:eastAsia="zh-CN" w:bidi="ar-SA"/>
        </w:rPr>
        <w:t>。</w:t>
      </w:r>
    </w:p>
    <w:p w14:paraId="241DC6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:反映机关事业单位实施养老保险制度由单位实际缴纳的职业年金支出。</w:t>
      </w:r>
    </w:p>
    <w:p w14:paraId="27FFBCC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FE8B18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7D78FD5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55268D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D9B2066">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7FA140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A7942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A355D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仿宋_GB2312"/>
          <w:color w:val="auto"/>
          <w:kern w:val="2"/>
          <w:sz w:val="32"/>
          <w:szCs w:val="32"/>
          <w:highlight w:val="none"/>
          <w:lang w:val="en-US" w:eastAsia="zh-CN" w:bidi="ar-SA"/>
        </w:rPr>
        <w:br w:type="page"/>
      </w:r>
      <w:bookmarkStart w:id="66" w:name="_Hlk110546638"/>
    </w:p>
    <w:bookmarkEnd w:id="65"/>
    <w:bookmarkEnd w:id="66"/>
    <w:p w14:paraId="3738C649">
      <w:pPr>
        <w:spacing w:line="600" w:lineRule="exact"/>
        <w:jc w:val="center"/>
        <w:outlineLvl w:val="0"/>
        <w:rPr>
          <w:rFonts w:hint="eastAsia" w:ascii="Times New Roman" w:hAnsi="Times New Roman" w:eastAsia="黑体" w:cs="方正小标宋简体"/>
          <w:color w:val="auto"/>
          <w:sz w:val="44"/>
          <w:szCs w:val="44"/>
          <w:highlight w:val="none"/>
          <w:lang w:val="en-US" w:eastAsia="zh-CN"/>
        </w:rPr>
      </w:pPr>
      <w:bookmarkStart w:id="67" w:name="_Toc27863"/>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p>
    <w:p w14:paraId="519EBA90">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3"/>
        <w:gridCol w:w="719"/>
        <w:gridCol w:w="677"/>
        <w:gridCol w:w="1035"/>
        <w:gridCol w:w="441"/>
        <w:gridCol w:w="677"/>
        <w:gridCol w:w="447"/>
        <w:gridCol w:w="925"/>
        <w:gridCol w:w="498"/>
        <w:gridCol w:w="411"/>
        <w:gridCol w:w="1999"/>
      </w:tblGrid>
      <w:tr w14:paraId="33AD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479A9A">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790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2316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3257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51322322T000000345391-图书馆免开县级配套资金</w:t>
            </w:r>
          </w:p>
        </w:tc>
      </w:tr>
      <w:tr w14:paraId="2CB5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25BC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F1E7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茂县文化广播电视体育和旅游局</w:t>
            </w:r>
          </w:p>
        </w:tc>
        <w:tc>
          <w:tcPr>
            <w:tcW w:w="542" w:type="pct"/>
            <w:tcBorders>
              <w:top w:val="nil"/>
              <w:left w:val="nil"/>
              <w:bottom w:val="nil"/>
              <w:right w:val="nil"/>
            </w:tcBorders>
            <w:shd w:val="clear" w:color="auto" w:fill="auto"/>
            <w:vAlign w:val="center"/>
          </w:tcPr>
          <w:p w14:paraId="0B740216">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4A2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茂县图书馆</w:t>
            </w:r>
          </w:p>
        </w:tc>
      </w:tr>
      <w:tr w14:paraId="081C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85E9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99E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CBE6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424791">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5D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1D813">
            <w:pPr>
              <w:snapToGrid w:val="0"/>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8F916">
            <w:pPr>
              <w:snapToGrid w:val="0"/>
              <w:rPr>
                <w:rFonts w:hint="eastAsia" w:ascii="宋体" w:hAnsi="宋体" w:eastAsia="宋体" w:cs="宋体"/>
                <w:i w:val="0"/>
                <w:iCs w:val="0"/>
                <w:color w:val="000000"/>
                <w:sz w:val="18"/>
                <w:szCs w:val="18"/>
                <w:u w:val="none"/>
              </w:rPr>
            </w:pP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FF8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图书馆免开配套资金1.76万元。</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C0F05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4B2F3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8DC71">
            <w:pPr>
              <w:snapToGrid w:val="0"/>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6F5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EC78F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6458E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DDF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8E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D3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03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85C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F3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6B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18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A5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49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7F68F">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EF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2C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E7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F2B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E7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28F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CB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C3B5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14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FB709">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B2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64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766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B3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217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114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4B9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C832">
            <w:pPr>
              <w:snapToGrid w:val="0"/>
              <w:rPr>
                <w:rFonts w:hint="eastAsia" w:ascii="黑体" w:hAnsi="黑体" w:eastAsia="黑体" w:cs="黑体"/>
                <w:i/>
                <w:iCs/>
                <w:color w:val="000000"/>
                <w:sz w:val="18"/>
                <w:szCs w:val="18"/>
                <w:u w:val="none"/>
              </w:rPr>
            </w:pPr>
          </w:p>
        </w:tc>
      </w:tr>
      <w:tr w14:paraId="6F92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070B9">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F8C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B5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7F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8CD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B8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5E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6D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1E305">
            <w:pPr>
              <w:snapToGrid w:val="0"/>
              <w:rPr>
                <w:rFonts w:hint="eastAsia" w:ascii="黑体" w:hAnsi="黑体" w:eastAsia="黑体" w:cs="黑体"/>
                <w:i/>
                <w:iCs/>
                <w:color w:val="000000"/>
                <w:sz w:val="18"/>
                <w:szCs w:val="18"/>
                <w:u w:val="none"/>
              </w:rPr>
            </w:pPr>
          </w:p>
        </w:tc>
      </w:tr>
      <w:tr w14:paraId="4A2CA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8948">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7E6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DF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92A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2E4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1F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4C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187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55C02">
            <w:pPr>
              <w:snapToGrid w:val="0"/>
              <w:rPr>
                <w:rFonts w:hint="eastAsia" w:ascii="黑体" w:hAnsi="黑体" w:eastAsia="黑体" w:cs="黑体"/>
                <w:i/>
                <w:iCs/>
                <w:color w:val="000000"/>
                <w:sz w:val="18"/>
                <w:szCs w:val="18"/>
                <w:u w:val="none"/>
              </w:rPr>
            </w:pPr>
          </w:p>
        </w:tc>
      </w:tr>
      <w:tr w14:paraId="5605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0E33B">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E5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8322">
            <w:pPr>
              <w:snapToGrid w:val="0"/>
              <w:jc w:val="center"/>
              <w:rPr>
                <w:rFonts w:hint="eastAsia" w:ascii="微软雅黑" w:hAnsi="微软雅黑" w:eastAsia="微软雅黑" w:cs="微软雅黑"/>
                <w:i/>
                <w:iCs/>
                <w:color w:val="000000"/>
                <w:sz w:val="16"/>
                <w:szCs w:val="16"/>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F81D7">
            <w:pPr>
              <w:snapToGrid w:val="0"/>
              <w:jc w:val="center"/>
              <w:rPr>
                <w:rFonts w:hint="eastAsia" w:ascii="微软雅黑" w:hAnsi="微软雅黑" w:eastAsia="微软雅黑" w:cs="微软雅黑"/>
                <w:i/>
                <w:iCs/>
                <w:color w:val="000000"/>
                <w:sz w:val="16"/>
                <w:szCs w:val="16"/>
                <w:u w:val="none"/>
              </w:rPr>
            </w:pP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F143F">
            <w:pPr>
              <w:snapToGrid w:val="0"/>
              <w:jc w:val="center"/>
              <w:rPr>
                <w:rFonts w:hint="eastAsia" w:ascii="微软雅黑" w:hAnsi="微软雅黑" w:eastAsia="微软雅黑" w:cs="微软雅黑"/>
                <w:i/>
                <w:iCs/>
                <w:color w:val="000000"/>
                <w:sz w:val="16"/>
                <w:szCs w:val="16"/>
                <w:u w:val="none"/>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8B4F8">
            <w:pPr>
              <w:snapToGrid w:val="0"/>
              <w:jc w:val="center"/>
              <w:rPr>
                <w:rFonts w:hint="eastAsia" w:ascii="微软雅黑" w:hAnsi="微软雅黑" w:eastAsia="微软雅黑" w:cs="微软雅黑"/>
                <w:i/>
                <w:iCs/>
                <w:color w:val="000000"/>
                <w:sz w:val="16"/>
                <w:szCs w:val="16"/>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46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3C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12A93">
            <w:pPr>
              <w:snapToGrid w:val="0"/>
              <w:rPr>
                <w:rFonts w:hint="eastAsia" w:ascii="黑体" w:hAnsi="黑体" w:eastAsia="黑体" w:cs="黑体"/>
                <w:i/>
                <w:iCs/>
                <w:color w:val="000000"/>
                <w:sz w:val="18"/>
                <w:szCs w:val="18"/>
                <w:u w:val="none"/>
              </w:rPr>
            </w:pPr>
          </w:p>
        </w:tc>
      </w:tr>
      <w:tr w14:paraId="3E43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AC7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CB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92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9E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B7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777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47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C5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7B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0F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50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909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AD555">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AB0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63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049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补助图书馆免开</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9A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9B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B6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68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57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D9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84FB">
            <w:pPr>
              <w:snapToGrid w:val="0"/>
              <w:jc w:val="center"/>
              <w:rPr>
                <w:rFonts w:hint="eastAsia" w:ascii="微软雅黑" w:hAnsi="微软雅黑" w:eastAsia="微软雅黑" w:cs="微软雅黑"/>
                <w:i/>
                <w:iCs/>
                <w:color w:val="000000"/>
                <w:sz w:val="16"/>
                <w:szCs w:val="16"/>
                <w:u w:val="none"/>
              </w:rPr>
            </w:pPr>
          </w:p>
        </w:tc>
      </w:tr>
      <w:tr w14:paraId="1269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C277">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A2DC2">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E3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58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全年开放服务天数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FD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6E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2E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46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330天</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763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AE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A7ED">
            <w:pPr>
              <w:snapToGrid w:val="0"/>
              <w:jc w:val="center"/>
              <w:rPr>
                <w:rFonts w:hint="eastAsia" w:ascii="微软雅黑" w:hAnsi="微软雅黑" w:eastAsia="微软雅黑" w:cs="微软雅黑"/>
                <w:i/>
                <w:iCs/>
                <w:color w:val="000000"/>
                <w:sz w:val="16"/>
                <w:szCs w:val="16"/>
                <w:u w:val="none"/>
              </w:rPr>
            </w:pPr>
          </w:p>
        </w:tc>
      </w:tr>
      <w:tr w14:paraId="2BAB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035E8">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CA0D0">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AE3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FA5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完成图书馆服务时间</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DB5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57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A1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62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3B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90E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69FE">
            <w:pPr>
              <w:snapToGrid w:val="0"/>
              <w:jc w:val="center"/>
              <w:rPr>
                <w:rFonts w:hint="eastAsia" w:ascii="微软雅黑" w:hAnsi="微软雅黑" w:eastAsia="微软雅黑" w:cs="微软雅黑"/>
                <w:i/>
                <w:iCs/>
                <w:color w:val="000000"/>
                <w:sz w:val="16"/>
                <w:szCs w:val="16"/>
                <w:u w:val="none"/>
              </w:rPr>
            </w:pPr>
          </w:p>
        </w:tc>
      </w:tr>
      <w:tr w14:paraId="14B5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41A82">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EAF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A6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4C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提高广大群众阅读水平</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9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A39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3D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86D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08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1E0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D20A">
            <w:pPr>
              <w:snapToGrid w:val="0"/>
              <w:jc w:val="center"/>
              <w:rPr>
                <w:rFonts w:hint="eastAsia" w:ascii="微软雅黑" w:hAnsi="微软雅黑" w:eastAsia="微软雅黑" w:cs="微软雅黑"/>
                <w:i/>
                <w:iCs/>
                <w:color w:val="000000"/>
                <w:sz w:val="16"/>
                <w:szCs w:val="16"/>
                <w:u w:val="none"/>
              </w:rPr>
            </w:pPr>
          </w:p>
        </w:tc>
      </w:tr>
      <w:tr w14:paraId="5283C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F6C37">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3BFF7">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B6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1A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群众阅读需求</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A1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FC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9D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5E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3E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FA4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98D6">
            <w:pPr>
              <w:snapToGrid w:val="0"/>
              <w:jc w:val="center"/>
              <w:rPr>
                <w:rFonts w:hint="eastAsia" w:ascii="微软雅黑" w:hAnsi="微软雅黑" w:eastAsia="微软雅黑" w:cs="微软雅黑"/>
                <w:i/>
                <w:iCs/>
                <w:color w:val="000000"/>
                <w:sz w:val="16"/>
                <w:szCs w:val="16"/>
                <w:u w:val="none"/>
              </w:rPr>
            </w:pPr>
          </w:p>
        </w:tc>
      </w:tr>
      <w:tr w14:paraId="2595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EC6C1">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0B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70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A8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F7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F22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3D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60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E0E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79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469CB">
            <w:pPr>
              <w:snapToGrid w:val="0"/>
              <w:jc w:val="center"/>
              <w:rPr>
                <w:rFonts w:hint="eastAsia" w:ascii="微软雅黑" w:hAnsi="微软雅黑" w:eastAsia="微软雅黑" w:cs="微软雅黑"/>
                <w:i/>
                <w:iCs/>
                <w:color w:val="000000"/>
                <w:sz w:val="16"/>
                <w:szCs w:val="16"/>
                <w:u w:val="none"/>
              </w:rPr>
            </w:pPr>
          </w:p>
        </w:tc>
      </w:tr>
      <w:tr w14:paraId="40C11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751C6">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5D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D2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613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免开支出</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2D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A8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17600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C0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92A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17600元</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C7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85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F17C">
            <w:pPr>
              <w:snapToGrid w:val="0"/>
              <w:jc w:val="center"/>
              <w:rPr>
                <w:rFonts w:hint="eastAsia" w:ascii="微软雅黑" w:hAnsi="微软雅黑" w:eastAsia="微软雅黑" w:cs="微软雅黑"/>
                <w:i/>
                <w:iCs/>
                <w:color w:val="000000"/>
                <w:sz w:val="16"/>
                <w:szCs w:val="16"/>
                <w:u w:val="none"/>
              </w:rPr>
            </w:pPr>
          </w:p>
        </w:tc>
      </w:tr>
      <w:tr w14:paraId="32EA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9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3CBA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3B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EC6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F58E">
            <w:pPr>
              <w:snapToGrid w:val="0"/>
              <w:rPr>
                <w:rFonts w:hint="eastAsia" w:ascii="宋体" w:hAnsi="宋体" w:eastAsia="宋体" w:cs="宋体"/>
                <w:i w:val="0"/>
                <w:iCs w:val="0"/>
                <w:color w:val="000000"/>
                <w:sz w:val="18"/>
                <w:szCs w:val="18"/>
                <w:u w:val="none"/>
              </w:rPr>
            </w:pPr>
          </w:p>
        </w:tc>
      </w:tr>
      <w:tr w14:paraId="48DE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10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51A9F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10C5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FE4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7C0FF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525CE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44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5C115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24C26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FFEC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项目负责人：余尧</w:t>
            </w:r>
          </w:p>
        </w:tc>
        <w:tc>
          <w:tcPr>
            <w:tcW w:w="29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61A75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财务负责人：邓广惠</w:t>
            </w:r>
          </w:p>
        </w:tc>
      </w:tr>
      <w:tr w14:paraId="2B59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nil"/>
              <w:left w:val="nil"/>
              <w:bottom w:val="nil"/>
              <w:right w:val="nil"/>
            </w:tcBorders>
            <w:shd w:val="clear" w:color="auto" w:fill="auto"/>
            <w:vAlign w:val="center"/>
          </w:tcPr>
          <w:p w14:paraId="724AE288">
            <w:pPr>
              <w:snapToGrid w:val="0"/>
              <w:rPr>
                <w:rFonts w:hint="eastAsia" w:ascii="宋体" w:hAnsi="宋体" w:eastAsia="宋体" w:cs="宋体"/>
                <w:i w:val="0"/>
                <w:iCs w:val="0"/>
                <w:color w:val="000000"/>
                <w:sz w:val="18"/>
                <w:szCs w:val="18"/>
                <w:u w:val="none"/>
              </w:rPr>
            </w:pPr>
          </w:p>
        </w:tc>
        <w:tc>
          <w:tcPr>
            <w:tcW w:w="421" w:type="pct"/>
            <w:tcBorders>
              <w:top w:val="nil"/>
              <w:left w:val="nil"/>
              <w:bottom w:val="nil"/>
              <w:right w:val="nil"/>
            </w:tcBorders>
            <w:shd w:val="clear" w:color="auto" w:fill="auto"/>
            <w:vAlign w:val="center"/>
          </w:tcPr>
          <w:p w14:paraId="1E8CA4A1">
            <w:pPr>
              <w:snapToGrid w:val="0"/>
              <w:rPr>
                <w:rFonts w:hint="eastAsia" w:ascii="宋体" w:hAnsi="宋体" w:eastAsia="宋体" w:cs="宋体"/>
                <w:i w:val="0"/>
                <w:iCs w:val="0"/>
                <w:color w:val="000000"/>
                <w:sz w:val="18"/>
                <w:szCs w:val="18"/>
                <w:u w:val="none"/>
              </w:rPr>
            </w:pPr>
          </w:p>
        </w:tc>
        <w:tc>
          <w:tcPr>
            <w:tcW w:w="397" w:type="pct"/>
            <w:tcBorders>
              <w:top w:val="nil"/>
              <w:left w:val="nil"/>
              <w:bottom w:val="nil"/>
              <w:right w:val="nil"/>
            </w:tcBorders>
            <w:shd w:val="clear" w:color="auto" w:fill="auto"/>
            <w:vAlign w:val="center"/>
          </w:tcPr>
          <w:p w14:paraId="4417C7CE">
            <w:pPr>
              <w:snapToGrid w:val="0"/>
              <w:rPr>
                <w:rFonts w:hint="eastAsia" w:ascii="宋体" w:hAnsi="宋体" w:eastAsia="宋体" w:cs="宋体"/>
                <w:i w:val="0"/>
                <w:iCs w:val="0"/>
                <w:color w:val="000000"/>
                <w:sz w:val="18"/>
                <w:szCs w:val="18"/>
                <w:u w:val="none"/>
              </w:rPr>
            </w:pPr>
          </w:p>
        </w:tc>
        <w:tc>
          <w:tcPr>
            <w:tcW w:w="607" w:type="pct"/>
            <w:tcBorders>
              <w:top w:val="nil"/>
              <w:left w:val="nil"/>
              <w:bottom w:val="nil"/>
              <w:right w:val="nil"/>
            </w:tcBorders>
            <w:shd w:val="clear" w:color="auto" w:fill="auto"/>
            <w:vAlign w:val="center"/>
          </w:tcPr>
          <w:p w14:paraId="4186AA3A">
            <w:pPr>
              <w:snapToGrid w:val="0"/>
              <w:rPr>
                <w:rFonts w:hint="eastAsia" w:ascii="宋体" w:hAnsi="宋体" w:eastAsia="宋体" w:cs="宋体"/>
                <w:i w:val="0"/>
                <w:iCs w:val="0"/>
                <w:color w:val="000000"/>
                <w:sz w:val="18"/>
                <w:szCs w:val="18"/>
                <w:u w:val="none"/>
              </w:rPr>
            </w:pPr>
          </w:p>
          <w:p w14:paraId="2E80058D">
            <w:pPr>
              <w:snapToGrid w:val="0"/>
              <w:rPr>
                <w:rFonts w:hint="eastAsia" w:ascii="宋体" w:hAnsi="宋体" w:eastAsia="宋体" w:cs="宋体"/>
                <w:i w:val="0"/>
                <w:iCs w:val="0"/>
                <w:color w:val="000000"/>
                <w:sz w:val="18"/>
                <w:szCs w:val="18"/>
                <w:u w:val="none"/>
              </w:rPr>
            </w:pPr>
          </w:p>
          <w:p w14:paraId="2F09628C">
            <w:pPr>
              <w:snapToGrid w:val="0"/>
              <w:rPr>
                <w:rFonts w:hint="eastAsia" w:ascii="宋体" w:hAnsi="宋体" w:eastAsia="宋体" w:cs="宋体"/>
                <w:i w:val="0"/>
                <w:iCs w:val="0"/>
                <w:color w:val="000000"/>
                <w:sz w:val="18"/>
                <w:szCs w:val="18"/>
                <w:u w:val="none"/>
              </w:rPr>
            </w:pPr>
          </w:p>
          <w:p w14:paraId="725E7C28">
            <w:pPr>
              <w:snapToGrid w:val="0"/>
              <w:rPr>
                <w:rFonts w:hint="eastAsia" w:ascii="宋体" w:hAnsi="宋体" w:eastAsia="宋体" w:cs="宋体"/>
                <w:i w:val="0"/>
                <w:iCs w:val="0"/>
                <w:color w:val="000000"/>
                <w:sz w:val="18"/>
                <w:szCs w:val="18"/>
                <w:u w:val="none"/>
              </w:rPr>
            </w:pPr>
          </w:p>
          <w:p w14:paraId="2122D059">
            <w:pPr>
              <w:pStyle w:val="17"/>
              <w:rPr>
                <w:rFonts w:hint="eastAsia" w:ascii="宋体" w:hAnsi="宋体" w:eastAsia="宋体" w:cs="宋体"/>
                <w:i w:val="0"/>
                <w:iCs w:val="0"/>
                <w:color w:val="000000"/>
                <w:sz w:val="18"/>
                <w:szCs w:val="18"/>
                <w:u w:val="none"/>
              </w:rPr>
            </w:pPr>
          </w:p>
          <w:p w14:paraId="6044C997">
            <w:pPr>
              <w:pStyle w:val="10"/>
              <w:rPr>
                <w:rFonts w:hint="eastAsia" w:ascii="宋体" w:hAnsi="宋体" w:eastAsia="宋体" w:cs="宋体"/>
                <w:i w:val="0"/>
                <w:iCs w:val="0"/>
                <w:color w:val="000000"/>
                <w:sz w:val="18"/>
                <w:szCs w:val="18"/>
                <w:u w:val="none"/>
              </w:rPr>
            </w:pPr>
          </w:p>
          <w:p w14:paraId="32665FC8">
            <w:pPr>
              <w:pStyle w:val="10"/>
              <w:rPr>
                <w:rFonts w:hint="eastAsia" w:ascii="宋体" w:hAnsi="宋体" w:eastAsia="宋体" w:cs="宋体"/>
                <w:i w:val="0"/>
                <w:iCs w:val="0"/>
                <w:color w:val="000000"/>
                <w:sz w:val="18"/>
                <w:szCs w:val="18"/>
                <w:u w:val="none"/>
              </w:rPr>
            </w:pPr>
          </w:p>
          <w:p w14:paraId="087529BF">
            <w:pPr>
              <w:pStyle w:val="10"/>
              <w:rPr>
                <w:rFonts w:hint="eastAsia" w:ascii="宋体" w:hAnsi="宋体" w:eastAsia="宋体" w:cs="宋体"/>
                <w:i w:val="0"/>
                <w:iCs w:val="0"/>
                <w:color w:val="000000"/>
                <w:sz w:val="18"/>
                <w:szCs w:val="18"/>
                <w:u w:val="none"/>
              </w:rPr>
            </w:pPr>
          </w:p>
          <w:p w14:paraId="00D54D1E">
            <w:pPr>
              <w:pStyle w:val="10"/>
              <w:rPr>
                <w:rFonts w:hint="eastAsia" w:ascii="宋体" w:hAnsi="宋体" w:eastAsia="宋体" w:cs="宋体"/>
                <w:i w:val="0"/>
                <w:iCs w:val="0"/>
                <w:color w:val="000000"/>
                <w:sz w:val="18"/>
                <w:szCs w:val="18"/>
                <w:u w:val="none"/>
              </w:rPr>
            </w:pPr>
          </w:p>
          <w:p w14:paraId="5FC79F23">
            <w:pPr>
              <w:pStyle w:val="10"/>
              <w:rPr>
                <w:rFonts w:hint="eastAsia" w:ascii="宋体" w:hAnsi="宋体" w:eastAsia="宋体" w:cs="宋体"/>
                <w:i w:val="0"/>
                <w:iCs w:val="0"/>
                <w:color w:val="000000"/>
                <w:sz w:val="18"/>
                <w:szCs w:val="18"/>
                <w:u w:val="none"/>
              </w:rPr>
            </w:pPr>
          </w:p>
          <w:p w14:paraId="1B42AADE">
            <w:pPr>
              <w:pStyle w:val="10"/>
              <w:rPr>
                <w:rFonts w:hint="eastAsia" w:ascii="宋体" w:hAnsi="宋体" w:eastAsia="宋体" w:cs="宋体"/>
                <w:i w:val="0"/>
                <w:iCs w:val="0"/>
                <w:color w:val="000000"/>
                <w:sz w:val="18"/>
                <w:szCs w:val="18"/>
                <w:u w:val="none"/>
              </w:rPr>
            </w:pPr>
          </w:p>
          <w:p w14:paraId="7F39B3C2">
            <w:pPr>
              <w:pStyle w:val="10"/>
              <w:rPr>
                <w:rFonts w:hint="eastAsia" w:ascii="宋体" w:hAnsi="宋体" w:eastAsia="宋体" w:cs="宋体"/>
                <w:i w:val="0"/>
                <w:iCs w:val="0"/>
                <w:color w:val="000000"/>
                <w:sz w:val="18"/>
                <w:szCs w:val="18"/>
                <w:u w:val="none"/>
              </w:rPr>
            </w:pPr>
          </w:p>
          <w:p w14:paraId="37ABEE99">
            <w:pPr>
              <w:pStyle w:val="10"/>
              <w:rPr>
                <w:rFonts w:hint="eastAsia" w:ascii="宋体" w:hAnsi="宋体" w:eastAsia="宋体" w:cs="宋体"/>
                <w:i w:val="0"/>
                <w:iCs w:val="0"/>
                <w:color w:val="000000"/>
                <w:sz w:val="18"/>
                <w:szCs w:val="18"/>
                <w:u w:val="none"/>
              </w:rPr>
            </w:pPr>
          </w:p>
          <w:p w14:paraId="6B333492">
            <w:pPr>
              <w:pStyle w:val="10"/>
              <w:rPr>
                <w:rFonts w:hint="eastAsia" w:ascii="宋体" w:hAnsi="宋体" w:eastAsia="宋体" w:cs="宋体"/>
                <w:i w:val="0"/>
                <w:iCs w:val="0"/>
                <w:color w:val="000000"/>
                <w:sz w:val="18"/>
                <w:szCs w:val="18"/>
                <w:u w:val="none"/>
              </w:rPr>
            </w:pPr>
          </w:p>
          <w:p w14:paraId="5FC0132F">
            <w:pPr>
              <w:pStyle w:val="10"/>
              <w:rPr>
                <w:rFonts w:hint="eastAsia" w:ascii="宋体" w:hAnsi="宋体" w:eastAsia="宋体" w:cs="宋体"/>
                <w:i w:val="0"/>
                <w:iCs w:val="0"/>
                <w:color w:val="000000"/>
                <w:sz w:val="18"/>
                <w:szCs w:val="18"/>
                <w:u w:val="none"/>
              </w:rPr>
            </w:pPr>
          </w:p>
          <w:p w14:paraId="60A6C6A6">
            <w:pPr>
              <w:pStyle w:val="10"/>
              <w:rPr>
                <w:rFonts w:hint="eastAsia" w:ascii="宋体" w:hAnsi="宋体" w:eastAsia="宋体" w:cs="宋体"/>
                <w:i w:val="0"/>
                <w:iCs w:val="0"/>
                <w:color w:val="000000"/>
                <w:sz w:val="18"/>
                <w:szCs w:val="18"/>
                <w:u w:val="none"/>
              </w:rPr>
            </w:pPr>
          </w:p>
          <w:p w14:paraId="6205FAF8">
            <w:pPr>
              <w:pStyle w:val="10"/>
              <w:rPr>
                <w:rFonts w:hint="eastAsia" w:ascii="宋体" w:hAnsi="宋体" w:eastAsia="宋体" w:cs="宋体"/>
                <w:i w:val="0"/>
                <w:iCs w:val="0"/>
                <w:color w:val="000000"/>
                <w:sz w:val="18"/>
                <w:szCs w:val="18"/>
                <w:u w:val="none"/>
              </w:rPr>
            </w:pPr>
          </w:p>
          <w:p w14:paraId="1FA26A90">
            <w:pPr>
              <w:pStyle w:val="10"/>
              <w:rPr>
                <w:rFonts w:hint="eastAsia" w:ascii="宋体" w:hAnsi="宋体" w:eastAsia="宋体" w:cs="宋体"/>
                <w:i w:val="0"/>
                <w:iCs w:val="0"/>
                <w:color w:val="000000"/>
                <w:sz w:val="18"/>
                <w:szCs w:val="18"/>
                <w:u w:val="none"/>
              </w:rPr>
            </w:pPr>
          </w:p>
          <w:p w14:paraId="403C58E9">
            <w:pPr>
              <w:pStyle w:val="10"/>
              <w:rPr>
                <w:rFonts w:hint="eastAsia" w:ascii="宋体" w:hAnsi="宋体" w:eastAsia="宋体" w:cs="宋体"/>
                <w:i w:val="0"/>
                <w:iCs w:val="0"/>
                <w:color w:val="000000"/>
                <w:sz w:val="18"/>
                <w:szCs w:val="18"/>
                <w:u w:val="none"/>
              </w:rPr>
            </w:pPr>
          </w:p>
          <w:p w14:paraId="54EEF132">
            <w:pPr>
              <w:pStyle w:val="10"/>
              <w:rPr>
                <w:rFonts w:hint="eastAsia" w:ascii="宋体" w:hAnsi="宋体" w:eastAsia="宋体" w:cs="宋体"/>
                <w:i w:val="0"/>
                <w:iCs w:val="0"/>
                <w:color w:val="000000"/>
                <w:sz w:val="18"/>
                <w:szCs w:val="18"/>
                <w:u w:val="none"/>
              </w:rPr>
            </w:pPr>
          </w:p>
          <w:p w14:paraId="07F2435B">
            <w:pPr>
              <w:pStyle w:val="10"/>
              <w:rPr>
                <w:rFonts w:hint="eastAsia" w:ascii="宋体" w:hAnsi="宋体" w:eastAsia="宋体" w:cs="宋体"/>
                <w:i w:val="0"/>
                <w:iCs w:val="0"/>
                <w:color w:val="000000"/>
                <w:sz w:val="18"/>
                <w:szCs w:val="18"/>
                <w:u w:val="none"/>
              </w:rPr>
            </w:pPr>
          </w:p>
          <w:p w14:paraId="4110740D">
            <w:pPr>
              <w:pStyle w:val="10"/>
              <w:rPr>
                <w:rFonts w:hint="eastAsia" w:ascii="宋体" w:hAnsi="宋体" w:eastAsia="宋体" w:cs="宋体"/>
                <w:i w:val="0"/>
                <w:iCs w:val="0"/>
                <w:color w:val="000000"/>
                <w:sz w:val="18"/>
                <w:szCs w:val="18"/>
                <w:u w:val="none"/>
              </w:rPr>
            </w:pPr>
          </w:p>
          <w:p w14:paraId="38DD0673">
            <w:pPr>
              <w:pStyle w:val="10"/>
              <w:rPr>
                <w:rFonts w:hint="eastAsia" w:ascii="宋体" w:hAnsi="宋体" w:eastAsia="宋体" w:cs="宋体"/>
                <w:i w:val="0"/>
                <w:iCs w:val="0"/>
                <w:color w:val="000000"/>
                <w:sz w:val="18"/>
                <w:szCs w:val="18"/>
                <w:u w:val="none"/>
              </w:rPr>
            </w:pPr>
          </w:p>
          <w:p w14:paraId="04AC9851">
            <w:pPr>
              <w:pStyle w:val="10"/>
              <w:rPr>
                <w:rFonts w:hint="eastAsia" w:ascii="宋体" w:hAnsi="宋体" w:eastAsia="宋体" w:cs="宋体"/>
                <w:i w:val="0"/>
                <w:iCs w:val="0"/>
                <w:color w:val="000000"/>
                <w:sz w:val="18"/>
                <w:szCs w:val="18"/>
                <w:u w:val="none"/>
              </w:rPr>
            </w:pPr>
          </w:p>
          <w:p w14:paraId="19C7DF6C">
            <w:pPr>
              <w:pStyle w:val="10"/>
              <w:rPr>
                <w:rFonts w:hint="eastAsia" w:ascii="宋体" w:hAnsi="宋体" w:eastAsia="宋体" w:cs="宋体"/>
                <w:i w:val="0"/>
                <w:iCs w:val="0"/>
                <w:color w:val="000000"/>
                <w:sz w:val="18"/>
                <w:szCs w:val="18"/>
                <w:u w:val="none"/>
              </w:rPr>
            </w:pPr>
          </w:p>
          <w:p w14:paraId="66EA2566">
            <w:pPr>
              <w:pStyle w:val="1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5D2EDD6F">
            <w:pPr>
              <w:snapToGrid w:val="0"/>
              <w:rPr>
                <w:rFonts w:hint="eastAsia" w:ascii="宋体" w:hAnsi="宋体" w:eastAsia="宋体" w:cs="宋体"/>
                <w:i w:val="0"/>
                <w:iCs w:val="0"/>
                <w:color w:val="000000"/>
                <w:sz w:val="18"/>
                <w:szCs w:val="18"/>
                <w:u w:val="none"/>
              </w:rPr>
            </w:pPr>
          </w:p>
        </w:tc>
        <w:tc>
          <w:tcPr>
            <w:tcW w:w="397" w:type="pct"/>
            <w:tcBorders>
              <w:top w:val="nil"/>
              <w:left w:val="nil"/>
              <w:bottom w:val="nil"/>
              <w:right w:val="nil"/>
            </w:tcBorders>
            <w:shd w:val="clear" w:color="auto" w:fill="auto"/>
            <w:vAlign w:val="center"/>
          </w:tcPr>
          <w:p w14:paraId="4519791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69AB1ABA">
            <w:pPr>
              <w:snapToGrid w:val="0"/>
              <w:rPr>
                <w:rFonts w:hint="eastAsia" w:ascii="宋体" w:hAnsi="宋体" w:eastAsia="宋体" w:cs="宋体"/>
                <w:i w:val="0"/>
                <w:iCs w:val="0"/>
                <w:color w:val="000000"/>
                <w:sz w:val="18"/>
                <w:szCs w:val="18"/>
                <w:u w:val="none"/>
              </w:rPr>
            </w:pPr>
          </w:p>
        </w:tc>
        <w:tc>
          <w:tcPr>
            <w:tcW w:w="542" w:type="pct"/>
            <w:tcBorders>
              <w:top w:val="nil"/>
              <w:left w:val="nil"/>
              <w:bottom w:val="nil"/>
              <w:right w:val="nil"/>
            </w:tcBorders>
            <w:shd w:val="clear" w:color="auto" w:fill="auto"/>
            <w:vAlign w:val="center"/>
          </w:tcPr>
          <w:p w14:paraId="4577757C">
            <w:pPr>
              <w:snapToGrid w:val="0"/>
              <w:rPr>
                <w:rFonts w:hint="eastAsia" w:ascii="宋体" w:hAnsi="宋体" w:eastAsia="宋体" w:cs="宋体"/>
                <w:i w:val="0"/>
                <w:iCs w:val="0"/>
                <w:color w:val="000000"/>
                <w:sz w:val="18"/>
                <w:szCs w:val="18"/>
                <w:u w:val="none"/>
              </w:rPr>
            </w:pPr>
          </w:p>
        </w:tc>
        <w:tc>
          <w:tcPr>
            <w:tcW w:w="292" w:type="pct"/>
            <w:tcBorders>
              <w:top w:val="nil"/>
              <w:left w:val="nil"/>
              <w:bottom w:val="nil"/>
              <w:right w:val="nil"/>
            </w:tcBorders>
            <w:shd w:val="clear" w:color="auto" w:fill="auto"/>
            <w:vAlign w:val="center"/>
          </w:tcPr>
          <w:p w14:paraId="266639EB">
            <w:pPr>
              <w:snapToGrid w:val="0"/>
              <w:rPr>
                <w:rFonts w:hint="eastAsia" w:ascii="宋体" w:hAnsi="宋体" w:eastAsia="宋体" w:cs="宋体"/>
                <w:i w:val="0"/>
                <w:iCs w:val="0"/>
                <w:color w:val="000000"/>
                <w:sz w:val="18"/>
                <w:szCs w:val="18"/>
                <w:u w:val="none"/>
              </w:rPr>
            </w:pPr>
          </w:p>
        </w:tc>
        <w:tc>
          <w:tcPr>
            <w:tcW w:w="241" w:type="pct"/>
            <w:tcBorders>
              <w:top w:val="nil"/>
              <w:left w:val="nil"/>
              <w:bottom w:val="nil"/>
              <w:right w:val="nil"/>
            </w:tcBorders>
            <w:shd w:val="clear" w:color="auto" w:fill="auto"/>
            <w:vAlign w:val="center"/>
          </w:tcPr>
          <w:p w14:paraId="51A1B9E4">
            <w:pPr>
              <w:snapToGrid w:val="0"/>
              <w:rPr>
                <w:rFonts w:hint="eastAsia" w:ascii="宋体" w:hAnsi="宋体" w:eastAsia="宋体" w:cs="宋体"/>
                <w:i w:val="0"/>
                <w:iCs w:val="0"/>
                <w:color w:val="000000"/>
                <w:sz w:val="18"/>
                <w:szCs w:val="18"/>
                <w:u w:val="none"/>
              </w:rPr>
            </w:pPr>
          </w:p>
        </w:tc>
        <w:tc>
          <w:tcPr>
            <w:tcW w:w="1172" w:type="pct"/>
            <w:tcBorders>
              <w:top w:val="nil"/>
              <w:left w:val="nil"/>
              <w:bottom w:val="nil"/>
              <w:right w:val="nil"/>
            </w:tcBorders>
            <w:shd w:val="clear" w:color="auto" w:fill="auto"/>
            <w:vAlign w:val="center"/>
          </w:tcPr>
          <w:p w14:paraId="0BBA6775">
            <w:pPr>
              <w:snapToGrid w:val="0"/>
              <w:rPr>
                <w:rFonts w:hint="eastAsia" w:ascii="宋体" w:hAnsi="宋体" w:eastAsia="宋体" w:cs="宋体"/>
                <w:i w:val="0"/>
                <w:iCs w:val="0"/>
                <w:color w:val="000000"/>
                <w:sz w:val="18"/>
                <w:szCs w:val="18"/>
                <w:u w:val="none"/>
              </w:rPr>
            </w:pPr>
          </w:p>
        </w:tc>
      </w:tr>
      <w:tr w14:paraId="094F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B22FDE">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E95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BD08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38A03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51322325T000013737443-阿州财教【2025】2号关于下达2025年中央、省级和州级财政公共图书馆、美术馆、文化馆（站）免费开放补助资金预算的通知</w:t>
            </w:r>
          </w:p>
        </w:tc>
      </w:tr>
      <w:tr w14:paraId="29D5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CB9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CAA7A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茂县文化广播电视体育和旅游局</w:t>
            </w:r>
          </w:p>
        </w:tc>
        <w:tc>
          <w:tcPr>
            <w:tcW w:w="542" w:type="pct"/>
            <w:tcBorders>
              <w:top w:val="nil"/>
              <w:left w:val="nil"/>
              <w:bottom w:val="nil"/>
              <w:right w:val="nil"/>
            </w:tcBorders>
            <w:shd w:val="clear" w:color="auto" w:fill="auto"/>
            <w:vAlign w:val="center"/>
          </w:tcPr>
          <w:p w14:paraId="481055E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FD5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茂县图书馆</w:t>
            </w:r>
          </w:p>
        </w:tc>
      </w:tr>
      <w:tr w14:paraId="0CB1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28F8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CD18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49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DC9FB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65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49C3">
            <w:pPr>
              <w:snapToGrid w:val="0"/>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8ECD">
            <w:pPr>
              <w:snapToGrid w:val="0"/>
              <w:rPr>
                <w:rFonts w:hint="eastAsia" w:ascii="宋体" w:hAnsi="宋体" w:eastAsia="宋体" w:cs="宋体"/>
                <w:i w:val="0"/>
                <w:iCs w:val="0"/>
                <w:color w:val="000000"/>
                <w:sz w:val="18"/>
                <w:szCs w:val="18"/>
                <w:u w:val="none"/>
              </w:rPr>
            </w:pP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981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发挥图书馆阵地擢用，做好图书馆活动及培训日常运行维护工作，完成全年图书馆免费开放工作。</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64069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0F204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C8C6F">
            <w:pPr>
              <w:snapToGrid w:val="0"/>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1B3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6873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2F944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9EE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D7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56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09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AAB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91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B68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90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BE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2D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588B0">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94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0F4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C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8EC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708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D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00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B8D43">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B2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04EEA">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FF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CA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FC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876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13.68</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20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26A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3B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DA25B">
            <w:pPr>
              <w:snapToGrid w:val="0"/>
              <w:rPr>
                <w:rFonts w:hint="eastAsia" w:ascii="黑体" w:hAnsi="黑体" w:eastAsia="黑体" w:cs="黑体"/>
                <w:i/>
                <w:iCs/>
                <w:color w:val="000000"/>
                <w:sz w:val="18"/>
                <w:szCs w:val="18"/>
                <w:u w:val="none"/>
              </w:rPr>
            </w:pPr>
          </w:p>
        </w:tc>
      </w:tr>
      <w:tr w14:paraId="5DE47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72337">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BE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89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D1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70D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98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AB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8D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EFD59">
            <w:pPr>
              <w:snapToGrid w:val="0"/>
              <w:rPr>
                <w:rFonts w:hint="eastAsia" w:ascii="黑体" w:hAnsi="黑体" w:eastAsia="黑体" w:cs="黑体"/>
                <w:i/>
                <w:iCs/>
                <w:color w:val="000000"/>
                <w:sz w:val="18"/>
                <w:szCs w:val="18"/>
                <w:u w:val="none"/>
              </w:rPr>
            </w:pPr>
          </w:p>
        </w:tc>
      </w:tr>
      <w:tr w14:paraId="36D7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D12A9">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4E2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C1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D2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3DC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64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38F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55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28EEC">
            <w:pPr>
              <w:snapToGrid w:val="0"/>
              <w:rPr>
                <w:rFonts w:hint="eastAsia" w:ascii="黑体" w:hAnsi="黑体" w:eastAsia="黑体" w:cs="黑体"/>
                <w:i/>
                <w:iCs/>
                <w:color w:val="000000"/>
                <w:sz w:val="18"/>
                <w:szCs w:val="18"/>
                <w:u w:val="none"/>
              </w:rPr>
            </w:pPr>
          </w:p>
        </w:tc>
      </w:tr>
      <w:tr w14:paraId="12388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18C18">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38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56A6">
            <w:pPr>
              <w:snapToGrid w:val="0"/>
              <w:jc w:val="center"/>
              <w:rPr>
                <w:rFonts w:hint="eastAsia" w:ascii="微软雅黑" w:hAnsi="微软雅黑" w:eastAsia="微软雅黑" w:cs="微软雅黑"/>
                <w:i/>
                <w:iCs/>
                <w:color w:val="000000"/>
                <w:sz w:val="16"/>
                <w:szCs w:val="16"/>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236E">
            <w:pPr>
              <w:snapToGrid w:val="0"/>
              <w:jc w:val="center"/>
              <w:rPr>
                <w:rFonts w:hint="eastAsia" w:ascii="微软雅黑" w:hAnsi="微软雅黑" w:eastAsia="微软雅黑" w:cs="微软雅黑"/>
                <w:i/>
                <w:iCs/>
                <w:color w:val="000000"/>
                <w:sz w:val="16"/>
                <w:szCs w:val="16"/>
                <w:u w:val="none"/>
              </w:rPr>
            </w:pP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C34E1">
            <w:pPr>
              <w:snapToGrid w:val="0"/>
              <w:jc w:val="center"/>
              <w:rPr>
                <w:rFonts w:hint="eastAsia" w:ascii="微软雅黑" w:hAnsi="微软雅黑" w:eastAsia="微软雅黑" w:cs="微软雅黑"/>
                <w:i/>
                <w:iCs/>
                <w:color w:val="000000"/>
                <w:sz w:val="16"/>
                <w:szCs w:val="16"/>
                <w:u w:val="none"/>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9CA6">
            <w:pPr>
              <w:snapToGrid w:val="0"/>
              <w:jc w:val="center"/>
              <w:rPr>
                <w:rFonts w:hint="eastAsia" w:ascii="微软雅黑" w:hAnsi="微软雅黑" w:eastAsia="微软雅黑" w:cs="微软雅黑"/>
                <w:i/>
                <w:iCs/>
                <w:color w:val="000000"/>
                <w:sz w:val="16"/>
                <w:szCs w:val="16"/>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3F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E85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43896">
            <w:pPr>
              <w:snapToGrid w:val="0"/>
              <w:rPr>
                <w:rFonts w:hint="eastAsia" w:ascii="黑体" w:hAnsi="黑体" w:eastAsia="黑体" w:cs="黑体"/>
                <w:i/>
                <w:iCs/>
                <w:color w:val="000000"/>
                <w:sz w:val="18"/>
                <w:szCs w:val="18"/>
                <w:u w:val="none"/>
              </w:rPr>
            </w:pPr>
          </w:p>
        </w:tc>
      </w:tr>
      <w:tr w14:paraId="026E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6FE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016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8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8D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18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F7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997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E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C0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39C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82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84C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35570">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FB2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22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52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图书馆全年完成免开天数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20A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3E2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1D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43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300天</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80E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5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E811">
            <w:pPr>
              <w:snapToGrid w:val="0"/>
              <w:jc w:val="center"/>
              <w:rPr>
                <w:rFonts w:hint="eastAsia" w:ascii="微软雅黑" w:hAnsi="微软雅黑" w:eastAsia="微软雅黑" w:cs="微软雅黑"/>
                <w:i/>
                <w:iCs/>
                <w:color w:val="000000"/>
                <w:sz w:val="16"/>
                <w:szCs w:val="16"/>
                <w:u w:val="none"/>
              </w:rPr>
            </w:pPr>
          </w:p>
        </w:tc>
      </w:tr>
      <w:tr w14:paraId="5CA1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1324">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F399">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B1E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38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图书馆中央补助资金使用时限</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9D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1A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D0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AF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B8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15B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E732F">
            <w:pPr>
              <w:snapToGrid w:val="0"/>
              <w:jc w:val="center"/>
              <w:rPr>
                <w:rFonts w:hint="eastAsia" w:ascii="微软雅黑" w:hAnsi="微软雅黑" w:eastAsia="微软雅黑" w:cs="微软雅黑"/>
                <w:i/>
                <w:iCs/>
                <w:color w:val="000000"/>
                <w:sz w:val="16"/>
                <w:szCs w:val="16"/>
                <w:u w:val="none"/>
              </w:rPr>
            </w:pPr>
          </w:p>
        </w:tc>
      </w:tr>
      <w:tr w14:paraId="41B5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4ED3">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39B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FE8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AC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图书馆设施完好率(如阅览座椅、空调、网络等）)</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7A0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0E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7A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2E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8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08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9BCA">
            <w:pPr>
              <w:snapToGrid w:val="0"/>
              <w:jc w:val="center"/>
              <w:rPr>
                <w:rFonts w:hint="eastAsia" w:ascii="微软雅黑" w:hAnsi="微软雅黑" w:eastAsia="微软雅黑" w:cs="微软雅黑"/>
                <w:i/>
                <w:iCs/>
                <w:color w:val="000000"/>
                <w:sz w:val="16"/>
                <w:szCs w:val="16"/>
                <w:u w:val="none"/>
              </w:rPr>
            </w:pPr>
          </w:p>
        </w:tc>
      </w:tr>
      <w:tr w14:paraId="1BF5B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9D27">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F5B71">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65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A2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书刊借阅服务覆盖率（借阅量/注册读者数））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89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5B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19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D11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5CE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75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B45E">
            <w:pPr>
              <w:snapToGrid w:val="0"/>
              <w:jc w:val="center"/>
              <w:rPr>
                <w:rFonts w:hint="eastAsia" w:ascii="微软雅黑" w:hAnsi="微软雅黑" w:eastAsia="微软雅黑" w:cs="微软雅黑"/>
                <w:i/>
                <w:iCs/>
                <w:color w:val="000000"/>
                <w:sz w:val="16"/>
                <w:szCs w:val="16"/>
                <w:u w:val="none"/>
              </w:rPr>
            </w:pPr>
          </w:p>
        </w:tc>
      </w:tr>
      <w:tr w14:paraId="1E85E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CD405">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D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51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FC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54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8E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69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54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95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F6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839F">
            <w:pPr>
              <w:snapToGrid w:val="0"/>
              <w:jc w:val="center"/>
              <w:rPr>
                <w:rFonts w:hint="eastAsia" w:ascii="微软雅黑" w:hAnsi="微软雅黑" w:eastAsia="微软雅黑" w:cs="微软雅黑"/>
                <w:i/>
                <w:iCs/>
                <w:color w:val="000000"/>
                <w:sz w:val="16"/>
                <w:szCs w:val="16"/>
                <w:u w:val="none"/>
              </w:rPr>
            </w:pPr>
          </w:p>
        </w:tc>
      </w:tr>
      <w:tr w14:paraId="760D2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8EE68">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C00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BB2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30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8A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CC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4D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78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17.28万元</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02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66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5BFC">
            <w:pPr>
              <w:snapToGrid w:val="0"/>
              <w:jc w:val="center"/>
              <w:rPr>
                <w:rFonts w:hint="eastAsia" w:ascii="微软雅黑" w:hAnsi="微软雅黑" w:eastAsia="微软雅黑" w:cs="微软雅黑"/>
                <w:i/>
                <w:iCs/>
                <w:color w:val="000000"/>
                <w:sz w:val="16"/>
                <w:szCs w:val="16"/>
                <w:u w:val="none"/>
              </w:rPr>
            </w:pPr>
          </w:p>
        </w:tc>
      </w:tr>
      <w:tr w14:paraId="60989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8210">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FFF07">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11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D1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鼓励社会爱好者及青少年积极参加图书阅读活动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8E3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886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86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F2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9C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A6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6CE9">
            <w:pPr>
              <w:snapToGrid w:val="0"/>
              <w:jc w:val="center"/>
              <w:rPr>
                <w:rFonts w:hint="eastAsia" w:ascii="微软雅黑" w:hAnsi="微软雅黑" w:eastAsia="微软雅黑" w:cs="微软雅黑"/>
                <w:i/>
                <w:iCs/>
                <w:color w:val="000000"/>
                <w:sz w:val="16"/>
                <w:szCs w:val="16"/>
                <w:u w:val="none"/>
              </w:rPr>
            </w:pPr>
          </w:p>
        </w:tc>
      </w:tr>
      <w:tr w14:paraId="2DD7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9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0949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D2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A8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34F47">
            <w:pPr>
              <w:snapToGrid w:val="0"/>
              <w:rPr>
                <w:rFonts w:hint="eastAsia" w:ascii="宋体" w:hAnsi="宋体" w:eastAsia="宋体" w:cs="宋体"/>
                <w:i w:val="0"/>
                <w:iCs w:val="0"/>
                <w:color w:val="000000"/>
                <w:sz w:val="18"/>
                <w:szCs w:val="18"/>
                <w:u w:val="none"/>
              </w:rPr>
            </w:pPr>
          </w:p>
        </w:tc>
      </w:tr>
      <w:tr w14:paraId="6FF3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46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D5020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57F63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19A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887D5A">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3BDF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1B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4E2B1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2ABB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7A999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项目负责人：余尧</w:t>
            </w:r>
          </w:p>
        </w:tc>
        <w:tc>
          <w:tcPr>
            <w:tcW w:w="49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8C612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财务负责人：邓广惠</w:t>
            </w:r>
          </w:p>
        </w:tc>
      </w:tr>
      <w:tr w14:paraId="401A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nil"/>
              <w:left w:val="nil"/>
              <w:bottom w:val="nil"/>
              <w:right w:val="nil"/>
            </w:tcBorders>
            <w:shd w:val="clear" w:color="auto" w:fill="auto"/>
            <w:vAlign w:val="center"/>
          </w:tcPr>
          <w:p w14:paraId="0014FB76">
            <w:pPr>
              <w:snapToGrid w:val="0"/>
              <w:rPr>
                <w:rFonts w:hint="eastAsia" w:ascii="宋体" w:hAnsi="宋体" w:eastAsia="宋体" w:cs="宋体"/>
                <w:i w:val="0"/>
                <w:iCs w:val="0"/>
                <w:color w:val="000000"/>
                <w:sz w:val="18"/>
                <w:szCs w:val="18"/>
                <w:u w:val="none"/>
              </w:rPr>
            </w:pPr>
          </w:p>
        </w:tc>
        <w:tc>
          <w:tcPr>
            <w:tcW w:w="421" w:type="pct"/>
            <w:tcBorders>
              <w:top w:val="nil"/>
              <w:left w:val="nil"/>
              <w:bottom w:val="nil"/>
              <w:right w:val="nil"/>
            </w:tcBorders>
            <w:shd w:val="clear" w:color="auto" w:fill="auto"/>
            <w:vAlign w:val="center"/>
          </w:tcPr>
          <w:p w14:paraId="68A1D3E0">
            <w:pPr>
              <w:snapToGrid w:val="0"/>
              <w:rPr>
                <w:rFonts w:hint="eastAsia" w:ascii="宋体" w:hAnsi="宋体" w:eastAsia="宋体" w:cs="宋体"/>
                <w:i w:val="0"/>
                <w:iCs w:val="0"/>
                <w:color w:val="000000"/>
                <w:sz w:val="18"/>
                <w:szCs w:val="18"/>
                <w:u w:val="none"/>
              </w:rPr>
            </w:pPr>
          </w:p>
        </w:tc>
        <w:tc>
          <w:tcPr>
            <w:tcW w:w="397" w:type="pct"/>
            <w:tcBorders>
              <w:top w:val="nil"/>
              <w:left w:val="nil"/>
              <w:bottom w:val="nil"/>
              <w:right w:val="nil"/>
            </w:tcBorders>
            <w:shd w:val="clear" w:color="auto" w:fill="auto"/>
            <w:vAlign w:val="center"/>
          </w:tcPr>
          <w:p w14:paraId="6230520C">
            <w:pPr>
              <w:snapToGrid w:val="0"/>
              <w:rPr>
                <w:rFonts w:hint="eastAsia" w:ascii="宋体" w:hAnsi="宋体" w:eastAsia="宋体" w:cs="宋体"/>
                <w:i w:val="0"/>
                <w:iCs w:val="0"/>
                <w:color w:val="000000"/>
                <w:sz w:val="18"/>
                <w:szCs w:val="18"/>
                <w:u w:val="none"/>
              </w:rPr>
            </w:pPr>
          </w:p>
        </w:tc>
        <w:tc>
          <w:tcPr>
            <w:tcW w:w="607" w:type="pct"/>
            <w:tcBorders>
              <w:top w:val="nil"/>
              <w:left w:val="nil"/>
              <w:bottom w:val="nil"/>
              <w:right w:val="nil"/>
            </w:tcBorders>
            <w:shd w:val="clear" w:color="auto" w:fill="auto"/>
            <w:vAlign w:val="center"/>
          </w:tcPr>
          <w:p w14:paraId="5FAD550C">
            <w:pPr>
              <w:snapToGrid w:val="0"/>
              <w:rPr>
                <w:rFonts w:hint="eastAsia" w:ascii="宋体" w:hAnsi="宋体" w:eastAsia="宋体" w:cs="宋体"/>
                <w:i w:val="0"/>
                <w:iCs w:val="0"/>
                <w:color w:val="000000"/>
                <w:sz w:val="18"/>
                <w:szCs w:val="18"/>
                <w:u w:val="none"/>
              </w:rPr>
            </w:pPr>
          </w:p>
          <w:p w14:paraId="35AADC9C">
            <w:pPr>
              <w:snapToGrid w:val="0"/>
              <w:rPr>
                <w:rFonts w:hint="eastAsia" w:ascii="宋体" w:hAnsi="宋体" w:eastAsia="宋体" w:cs="宋体"/>
                <w:i w:val="0"/>
                <w:iCs w:val="0"/>
                <w:color w:val="000000"/>
                <w:sz w:val="18"/>
                <w:szCs w:val="18"/>
                <w:u w:val="none"/>
              </w:rPr>
            </w:pPr>
          </w:p>
          <w:p w14:paraId="3E2A5717">
            <w:pPr>
              <w:pStyle w:val="17"/>
              <w:rPr>
                <w:rFonts w:hint="eastAsia" w:ascii="宋体" w:hAnsi="宋体" w:eastAsia="宋体" w:cs="宋体"/>
                <w:i w:val="0"/>
                <w:iCs w:val="0"/>
                <w:color w:val="000000"/>
                <w:sz w:val="18"/>
                <w:szCs w:val="18"/>
                <w:u w:val="none"/>
              </w:rPr>
            </w:pPr>
          </w:p>
          <w:p w14:paraId="588834F6">
            <w:pPr>
              <w:pStyle w:val="10"/>
              <w:rPr>
                <w:rFonts w:hint="eastAsia" w:ascii="宋体" w:hAnsi="宋体" w:eastAsia="宋体" w:cs="宋体"/>
                <w:i w:val="0"/>
                <w:iCs w:val="0"/>
                <w:color w:val="000000"/>
                <w:sz w:val="18"/>
                <w:szCs w:val="18"/>
                <w:u w:val="none"/>
              </w:rPr>
            </w:pPr>
          </w:p>
          <w:p w14:paraId="40B5C465">
            <w:pPr>
              <w:pStyle w:val="10"/>
              <w:rPr>
                <w:rFonts w:hint="eastAsia" w:ascii="宋体" w:hAnsi="宋体" w:eastAsia="宋体" w:cs="宋体"/>
                <w:i w:val="0"/>
                <w:iCs w:val="0"/>
                <w:color w:val="000000"/>
                <w:sz w:val="18"/>
                <w:szCs w:val="18"/>
                <w:u w:val="none"/>
              </w:rPr>
            </w:pPr>
          </w:p>
          <w:p w14:paraId="37263CFE">
            <w:pPr>
              <w:pStyle w:val="10"/>
              <w:rPr>
                <w:rFonts w:hint="eastAsia" w:ascii="宋体" w:hAnsi="宋体" w:eastAsia="宋体" w:cs="宋体"/>
                <w:i w:val="0"/>
                <w:iCs w:val="0"/>
                <w:color w:val="000000"/>
                <w:sz w:val="18"/>
                <w:szCs w:val="18"/>
                <w:u w:val="none"/>
              </w:rPr>
            </w:pPr>
          </w:p>
          <w:p w14:paraId="231DEA97">
            <w:pPr>
              <w:pStyle w:val="10"/>
              <w:rPr>
                <w:rFonts w:hint="eastAsia" w:ascii="宋体" w:hAnsi="宋体" w:eastAsia="宋体" w:cs="宋体"/>
                <w:i w:val="0"/>
                <w:iCs w:val="0"/>
                <w:color w:val="000000"/>
                <w:sz w:val="18"/>
                <w:szCs w:val="18"/>
                <w:u w:val="none"/>
              </w:rPr>
            </w:pPr>
          </w:p>
          <w:p w14:paraId="228A81AE">
            <w:pPr>
              <w:pStyle w:val="10"/>
              <w:rPr>
                <w:rFonts w:hint="eastAsia" w:ascii="宋体" w:hAnsi="宋体" w:eastAsia="宋体" w:cs="宋体"/>
                <w:i w:val="0"/>
                <w:iCs w:val="0"/>
                <w:color w:val="000000"/>
                <w:sz w:val="18"/>
                <w:szCs w:val="18"/>
                <w:u w:val="none"/>
              </w:rPr>
            </w:pPr>
          </w:p>
          <w:p w14:paraId="5696FE75">
            <w:pPr>
              <w:pStyle w:val="10"/>
              <w:rPr>
                <w:rFonts w:hint="eastAsia" w:ascii="宋体" w:hAnsi="宋体" w:eastAsia="宋体" w:cs="宋体"/>
                <w:i w:val="0"/>
                <w:iCs w:val="0"/>
                <w:color w:val="000000"/>
                <w:sz w:val="18"/>
                <w:szCs w:val="18"/>
                <w:u w:val="none"/>
              </w:rPr>
            </w:pPr>
          </w:p>
          <w:p w14:paraId="253CE470">
            <w:pPr>
              <w:pStyle w:val="10"/>
              <w:rPr>
                <w:rFonts w:hint="eastAsia" w:ascii="宋体" w:hAnsi="宋体" w:eastAsia="宋体" w:cs="宋体"/>
                <w:i w:val="0"/>
                <w:iCs w:val="0"/>
                <w:color w:val="000000"/>
                <w:sz w:val="18"/>
                <w:szCs w:val="18"/>
                <w:u w:val="none"/>
              </w:rPr>
            </w:pPr>
          </w:p>
          <w:p w14:paraId="548BFDEC">
            <w:pPr>
              <w:pStyle w:val="10"/>
              <w:rPr>
                <w:rFonts w:hint="eastAsia" w:ascii="宋体" w:hAnsi="宋体" w:eastAsia="宋体" w:cs="宋体"/>
                <w:i w:val="0"/>
                <w:iCs w:val="0"/>
                <w:color w:val="000000"/>
                <w:sz w:val="18"/>
                <w:szCs w:val="18"/>
                <w:u w:val="none"/>
              </w:rPr>
            </w:pPr>
          </w:p>
          <w:p w14:paraId="55E022A6">
            <w:pPr>
              <w:pStyle w:val="10"/>
              <w:rPr>
                <w:rFonts w:hint="eastAsia" w:ascii="宋体" w:hAnsi="宋体" w:eastAsia="宋体" w:cs="宋体"/>
                <w:i w:val="0"/>
                <w:iCs w:val="0"/>
                <w:color w:val="000000"/>
                <w:sz w:val="18"/>
                <w:szCs w:val="18"/>
                <w:u w:val="none"/>
              </w:rPr>
            </w:pPr>
          </w:p>
          <w:p w14:paraId="13562429">
            <w:pPr>
              <w:pStyle w:val="10"/>
              <w:rPr>
                <w:rFonts w:hint="eastAsia" w:ascii="宋体" w:hAnsi="宋体" w:eastAsia="宋体" w:cs="宋体"/>
                <w:i w:val="0"/>
                <w:iCs w:val="0"/>
                <w:color w:val="000000"/>
                <w:sz w:val="18"/>
                <w:szCs w:val="18"/>
                <w:u w:val="none"/>
              </w:rPr>
            </w:pPr>
          </w:p>
          <w:p w14:paraId="1B70A1FB">
            <w:pPr>
              <w:pStyle w:val="10"/>
              <w:rPr>
                <w:rFonts w:hint="eastAsia" w:ascii="宋体" w:hAnsi="宋体" w:eastAsia="宋体" w:cs="宋体"/>
                <w:i w:val="0"/>
                <w:iCs w:val="0"/>
                <w:color w:val="000000"/>
                <w:sz w:val="18"/>
                <w:szCs w:val="18"/>
                <w:u w:val="none"/>
              </w:rPr>
            </w:pPr>
          </w:p>
          <w:p w14:paraId="74F66EF5">
            <w:pPr>
              <w:pStyle w:val="10"/>
              <w:rPr>
                <w:rFonts w:hint="eastAsia" w:ascii="宋体" w:hAnsi="宋体" w:eastAsia="宋体" w:cs="宋体"/>
                <w:i w:val="0"/>
                <w:iCs w:val="0"/>
                <w:color w:val="000000"/>
                <w:sz w:val="18"/>
                <w:szCs w:val="18"/>
                <w:u w:val="none"/>
              </w:rPr>
            </w:pPr>
          </w:p>
          <w:p w14:paraId="4C0E1F6F">
            <w:pPr>
              <w:pStyle w:val="10"/>
              <w:rPr>
                <w:rFonts w:hint="eastAsia" w:ascii="宋体" w:hAnsi="宋体" w:eastAsia="宋体" w:cs="宋体"/>
                <w:i w:val="0"/>
                <w:iCs w:val="0"/>
                <w:color w:val="000000"/>
                <w:sz w:val="18"/>
                <w:szCs w:val="18"/>
                <w:u w:val="none"/>
              </w:rPr>
            </w:pPr>
          </w:p>
          <w:p w14:paraId="4ACF6179">
            <w:pPr>
              <w:pStyle w:val="10"/>
              <w:rPr>
                <w:rFonts w:hint="eastAsia" w:ascii="宋体" w:hAnsi="宋体" w:eastAsia="宋体" w:cs="宋体"/>
                <w:i w:val="0"/>
                <w:iCs w:val="0"/>
                <w:color w:val="000000"/>
                <w:sz w:val="18"/>
                <w:szCs w:val="18"/>
                <w:u w:val="none"/>
              </w:rPr>
            </w:pPr>
          </w:p>
          <w:p w14:paraId="0DBCFD22">
            <w:pPr>
              <w:pStyle w:val="10"/>
              <w:rPr>
                <w:rFonts w:hint="eastAsia" w:ascii="宋体" w:hAnsi="宋体" w:eastAsia="宋体" w:cs="宋体"/>
                <w:i w:val="0"/>
                <w:iCs w:val="0"/>
                <w:color w:val="000000"/>
                <w:sz w:val="18"/>
                <w:szCs w:val="18"/>
                <w:u w:val="none"/>
              </w:rPr>
            </w:pPr>
          </w:p>
          <w:p w14:paraId="6DB02951">
            <w:pPr>
              <w:pStyle w:val="10"/>
              <w:rPr>
                <w:rFonts w:hint="eastAsia" w:ascii="宋体" w:hAnsi="宋体" w:eastAsia="宋体" w:cs="宋体"/>
                <w:i w:val="0"/>
                <w:iCs w:val="0"/>
                <w:color w:val="000000"/>
                <w:sz w:val="18"/>
                <w:szCs w:val="18"/>
                <w:u w:val="none"/>
              </w:rPr>
            </w:pPr>
          </w:p>
          <w:p w14:paraId="778BBAFB">
            <w:pPr>
              <w:pStyle w:val="10"/>
              <w:rPr>
                <w:rFonts w:hint="eastAsia" w:ascii="宋体" w:hAnsi="宋体" w:eastAsia="宋体" w:cs="宋体"/>
                <w:i w:val="0"/>
                <w:iCs w:val="0"/>
                <w:color w:val="000000"/>
                <w:sz w:val="18"/>
                <w:szCs w:val="18"/>
                <w:u w:val="none"/>
              </w:rPr>
            </w:pPr>
          </w:p>
          <w:p w14:paraId="3A29DEE4">
            <w:pPr>
              <w:pStyle w:val="10"/>
              <w:rPr>
                <w:rFonts w:hint="eastAsia" w:ascii="宋体" w:hAnsi="宋体" w:eastAsia="宋体" w:cs="宋体"/>
                <w:i w:val="0"/>
                <w:iCs w:val="0"/>
                <w:color w:val="000000"/>
                <w:sz w:val="18"/>
                <w:szCs w:val="18"/>
                <w:u w:val="none"/>
              </w:rPr>
            </w:pPr>
          </w:p>
          <w:p w14:paraId="582E9E59">
            <w:pPr>
              <w:pStyle w:val="1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72F629BC">
            <w:pPr>
              <w:snapToGrid w:val="0"/>
              <w:rPr>
                <w:rFonts w:hint="eastAsia" w:ascii="宋体" w:hAnsi="宋体" w:eastAsia="宋体" w:cs="宋体"/>
                <w:i w:val="0"/>
                <w:iCs w:val="0"/>
                <w:color w:val="000000"/>
                <w:sz w:val="18"/>
                <w:szCs w:val="18"/>
                <w:u w:val="none"/>
              </w:rPr>
            </w:pPr>
          </w:p>
        </w:tc>
        <w:tc>
          <w:tcPr>
            <w:tcW w:w="397" w:type="pct"/>
            <w:tcBorders>
              <w:top w:val="nil"/>
              <w:left w:val="nil"/>
              <w:bottom w:val="nil"/>
              <w:right w:val="nil"/>
            </w:tcBorders>
            <w:shd w:val="clear" w:color="auto" w:fill="auto"/>
            <w:vAlign w:val="center"/>
          </w:tcPr>
          <w:p w14:paraId="31A568D5">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EFB2C1D">
            <w:pPr>
              <w:snapToGrid w:val="0"/>
              <w:rPr>
                <w:rFonts w:hint="eastAsia" w:ascii="宋体" w:hAnsi="宋体" w:eastAsia="宋体" w:cs="宋体"/>
                <w:i w:val="0"/>
                <w:iCs w:val="0"/>
                <w:color w:val="000000"/>
                <w:sz w:val="18"/>
                <w:szCs w:val="18"/>
                <w:u w:val="none"/>
              </w:rPr>
            </w:pPr>
          </w:p>
        </w:tc>
        <w:tc>
          <w:tcPr>
            <w:tcW w:w="542" w:type="pct"/>
            <w:tcBorders>
              <w:top w:val="nil"/>
              <w:left w:val="nil"/>
              <w:bottom w:val="nil"/>
              <w:right w:val="nil"/>
            </w:tcBorders>
            <w:shd w:val="clear" w:color="auto" w:fill="auto"/>
            <w:vAlign w:val="center"/>
          </w:tcPr>
          <w:p w14:paraId="001EA550">
            <w:pPr>
              <w:snapToGrid w:val="0"/>
              <w:rPr>
                <w:rFonts w:hint="eastAsia" w:ascii="宋体" w:hAnsi="宋体" w:eastAsia="宋体" w:cs="宋体"/>
                <w:i w:val="0"/>
                <w:iCs w:val="0"/>
                <w:color w:val="000000"/>
                <w:sz w:val="18"/>
                <w:szCs w:val="18"/>
                <w:u w:val="none"/>
              </w:rPr>
            </w:pPr>
          </w:p>
        </w:tc>
        <w:tc>
          <w:tcPr>
            <w:tcW w:w="292" w:type="pct"/>
            <w:tcBorders>
              <w:top w:val="nil"/>
              <w:left w:val="nil"/>
              <w:bottom w:val="nil"/>
              <w:right w:val="nil"/>
            </w:tcBorders>
            <w:shd w:val="clear" w:color="auto" w:fill="auto"/>
            <w:vAlign w:val="center"/>
          </w:tcPr>
          <w:p w14:paraId="4AFC63D9">
            <w:pPr>
              <w:snapToGrid w:val="0"/>
              <w:rPr>
                <w:rFonts w:hint="eastAsia" w:ascii="宋体" w:hAnsi="宋体" w:eastAsia="宋体" w:cs="宋体"/>
                <w:i w:val="0"/>
                <w:iCs w:val="0"/>
                <w:color w:val="000000"/>
                <w:sz w:val="18"/>
                <w:szCs w:val="18"/>
                <w:u w:val="none"/>
              </w:rPr>
            </w:pPr>
          </w:p>
        </w:tc>
        <w:tc>
          <w:tcPr>
            <w:tcW w:w="241" w:type="pct"/>
            <w:tcBorders>
              <w:top w:val="nil"/>
              <w:left w:val="nil"/>
              <w:bottom w:val="nil"/>
              <w:right w:val="nil"/>
            </w:tcBorders>
            <w:shd w:val="clear" w:color="auto" w:fill="auto"/>
            <w:vAlign w:val="center"/>
          </w:tcPr>
          <w:p w14:paraId="61C6D148">
            <w:pPr>
              <w:snapToGrid w:val="0"/>
              <w:rPr>
                <w:rFonts w:hint="eastAsia" w:ascii="宋体" w:hAnsi="宋体" w:eastAsia="宋体" w:cs="宋体"/>
                <w:i w:val="0"/>
                <w:iCs w:val="0"/>
                <w:color w:val="000000"/>
                <w:sz w:val="18"/>
                <w:szCs w:val="18"/>
                <w:u w:val="none"/>
              </w:rPr>
            </w:pPr>
          </w:p>
        </w:tc>
        <w:tc>
          <w:tcPr>
            <w:tcW w:w="1172" w:type="pct"/>
            <w:tcBorders>
              <w:top w:val="nil"/>
              <w:left w:val="nil"/>
              <w:bottom w:val="nil"/>
              <w:right w:val="nil"/>
            </w:tcBorders>
            <w:shd w:val="clear" w:color="auto" w:fill="auto"/>
            <w:vAlign w:val="center"/>
          </w:tcPr>
          <w:p w14:paraId="0C7EA6F0">
            <w:pPr>
              <w:snapToGrid w:val="0"/>
              <w:rPr>
                <w:rFonts w:hint="eastAsia" w:ascii="宋体" w:hAnsi="宋体" w:eastAsia="宋体" w:cs="宋体"/>
                <w:i w:val="0"/>
                <w:iCs w:val="0"/>
                <w:color w:val="000000"/>
                <w:sz w:val="18"/>
                <w:szCs w:val="18"/>
                <w:u w:val="none"/>
              </w:rPr>
            </w:pPr>
          </w:p>
        </w:tc>
      </w:tr>
      <w:tr w14:paraId="651A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722093">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7762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1162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D612C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51322326T000014288524-2025年中央和省级财政文旅领域专业资金图书馆免开项目、阿州财教{2025}41号</w:t>
            </w:r>
          </w:p>
        </w:tc>
      </w:tr>
      <w:tr w14:paraId="5DC1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3D9F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F98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茂县文化广播电视体育和旅游局</w:t>
            </w:r>
          </w:p>
        </w:tc>
        <w:tc>
          <w:tcPr>
            <w:tcW w:w="542" w:type="pct"/>
            <w:tcBorders>
              <w:top w:val="nil"/>
              <w:left w:val="nil"/>
              <w:bottom w:val="nil"/>
              <w:right w:val="nil"/>
            </w:tcBorders>
            <w:shd w:val="clear" w:color="auto" w:fill="auto"/>
            <w:vAlign w:val="center"/>
          </w:tcPr>
          <w:p w14:paraId="3B595E9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AE8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茂县图书馆</w:t>
            </w:r>
          </w:p>
        </w:tc>
      </w:tr>
      <w:tr w14:paraId="56941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947A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7840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27AF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2156DF">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0160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ED72F">
            <w:pPr>
              <w:snapToGrid w:val="0"/>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55EA8">
            <w:pPr>
              <w:snapToGrid w:val="0"/>
              <w:rPr>
                <w:rFonts w:hint="eastAsia" w:ascii="宋体" w:hAnsi="宋体" w:eastAsia="宋体" w:cs="宋体"/>
                <w:i w:val="0"/>
                <w:iCs w:val="0"/>
                <w:color w:val="000000"/>
                <w:sz w:val="18"/>
                <w:szCs w:val="18"/>
                <w:u w:val="none"/>
              </w:rPr>
            </w:pPr>
          </w:p>
        </w:tc>
        <w:tc>
          <w:tcPr>
            <w:tcW w:w="19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126E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发挥图书馆阵地作用，做好图书馆活动及培训日常运行维护工作，完成全年图书馆免费开放工作。</w:t>
            </w:r>
          </w:p>
        </w:tc>
        <w:tc>
          <w:tcPr>
            <w:tcW w:w="22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3F4C5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1883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D495">
            <w:pPr>
              <w:snapToGrid w:val="0"/>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BED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D8B0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5D22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448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D8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77B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FB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973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83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EB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E2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EF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E9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402A">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325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42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66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5EC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86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572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94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1065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E2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2FA9A">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A7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1B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15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CD7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F6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3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041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62020">
            <w:pPr>
              <w:snapToGrid w:val="0"/>
              <w:rPr>
                <w:rFonts w:hint="eastAsia" w:ascii="黑体" w:hAnsi="黑体" w:eastAsia="黑体" w:cs="黑体"/>
                <w:i/>
                <w:iCs/>
                <w:color w:val="000000"/>
                <w:sz w:val="18"/>
                <w:szCs w:val="18"/>
                <w:u w:val="none"/>
              </w:rPr>
            </w:pPr>
          </w:p>
        </w:tc>
      </w:tr>
      <w:tr w14:paraId="3556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D8D3">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A5D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A2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6B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C81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15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93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46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66E09">
            <w:pPr>
              <w:snapToGrid w:val="0"/>
              <w:rPr>
                <w:rFonts w:hint="eastAsia" w:ascii="黑体" w:hAnsi="黑体" w:eastAsia="黑体" w:cs="黑体"/>
                <w:i/>
                <w:iCs/>
                <w:color w:val="000000"/>
                <w:sz w:val="18"/>
                <w:szCs w:val="18"/>
                <w:u w:val="none"/>
              </w:rPr>
            </w:pPr>
          </w:p>
        </w:tc>
      </w:tr>
      <w:tr w14:paraId="18739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EB48">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02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DB3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83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C03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2B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A9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C3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5731">
            <w:pPr>
              <w:snapToGrid w:val="0"/>
              <w:rPr>
                <w:rFonts w:hint="eastAsia" w:ascii="黑体" w:hAnsi="黑体" w:eastAsia="黑体" w:cs="黑体"/>
                <w:i/>
                <w:iCs/>
                <w:color w:val="000000"/>
                <w:sz w:val="18"/>
                <w:szCs w:val="18"/>
                <w:u w:val="none"/>
              </w:rPr>
            </w:pPr>
          </w:p>
        </w:tc>
      </w:tr>
      <w:tr w14:paraId="36354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6A58A">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73F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DC8A">
            <w:pPr>
              <w:snapToGrid w:val="0"/>
              <w:jc w:val="center"/>
              <w:rPr>
                <w:rFonts w:hint="eastAsia" w:ascii="微软雅黑" w:hAnsi="微软雅黑" w:eastAsia="微软雅黑" w:cs="微软雅黑"/>
                <w:i/>
                <w:iCs/>
                <w:color w:val="000000"/>
                <w:sz w:val="16"/>
                <w:szCs w:val="16"/>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255D">
            <w:pPr>
              <w:snapToGrid w:val="0"/>
              <w:jc w:val="center"/>
              <w:rPr>
                <w:rFonts w:hint="eastAsia" w:ascii="微软雅黑" w:hAnsi="微软雅黑" w:eastAsia="微软雅黑" w:cs="微软雅黑"/>
                <w:i/>
                <w:iCs/>
                <w:color w:val="000000"/>
                <w:sz w:val="16"/>
                <w:szCs w:val="16"/>
                <w:u w:val="none"/>
              </w:rPr>
            </w:pP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D911D">
            <w:pPr>
              <w:snapToGrid w:val="0"/>
              <w:jc w:val="center"/>
              <w:rPr>
                <w:rFonts w:hint="eastAsia" w:ascii="微软雅黑" w:hAnsi="微软雅黑" w:eastAsia="微软雅黑" w:cs="微软雅黑"/>
                <w:i/>
                <w:iCs/>
                <w:color w:val="000000"/>
                <w:sz w:val="16"/>
                <w:szCs w:val="16"/>
                <w:u w:val="none"/>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1FDD">
            <w:pPr>
              <w:snapToGrid w:val="0"/>
              <w:jc w:val="center"/>
              <w:rPr>
                <w:rFonts w:hint="eastAsia" w:ascii="微软雅黑" w:hAnsi="微软雅黑" w:eastAsia="微软雅黑" w:cs="微软雅黑"/>
                <w:i/>
                <w:iCs/>
                <w:color w:val="000000"/>
                <w:sz w:val="16"/>
                <w:szCs w:val="16"/>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C7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0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D43B">
            <w:pPr>
              <w:snapToGrid w:val="0"/>
              <w:rPr>
                <w:rFonts w:hint="eastAsia" w:ascii="黑体" w:hAnsi="黑体" w:eastAsia="黑体" w:cs="黑体"/>
                <w:i/>
                <w:iCs/>
                <w:color w:val="000000"/>
                <w:sz w:val="18"/>
                <w:szCs w:val="18"/>
                <w:u w:val="none"/>
              </w:rPr>
            </w:pPr>
          </w:p>
        </w:tc>
      </w:tr>
      <w:tr w14:paraId="6F93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549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CA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20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F8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F7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000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35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C1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C1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8E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87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88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FD013">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C95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E7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E9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全年完成免开天数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BA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D3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60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C1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300天</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4E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40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05A1">
            <w:pPr>
              <w:snapToGrid w:val="0"/>
              <w:jc w:val="center"/>
              <w:rPr>
                <w:rFonts w:hint="eastAsia" w:ascii="微软雅黑" w:hAnsi="微软雅黑" w:eastAsia="微软雅黑" w:cs="微软雅黑"/>
                <w:i/>
                <w:iCs/>
                <w:color w:val="000000"/>
                <w:sz w:val="16"/>
                <w:szCs w:val="16"/>
                <w:u w:val="none"/>
              </w:rPr>
            </w:pPr>
          </w:p>
        </w:tc>
      </w:tr>
      <w:tr w14:paraId="155C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7F550">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AA4BD">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B4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F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为读者提供书刊外借、自习阅览、资料培训等</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2A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18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74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A50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3A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E9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8F89B">
            <w:pPr>
              <w:snapToGrid w:val="0"/>
              <w:jc w:val="center"/>
              <w:rPr>
                <w:rFonts w:hint="eastAsia" w:ascii="微软雅黑" w:hAnsi="微软雅黑" w:eastAsia="微软雅黑" w:cs="微软雅黑"/>
                <w:i/>
                <w:iCs/>
                <w:color w:val="000000"/>
                <w:sz w:val="16"/>
                <w:szCs w:val="16"/>
                <w:u w:val="none"/>
              </w:rPr>
            </w:pPr>
          </w:p>
        </w:tc>
      </w:tr>
      <w:tr w14:paraId="6CB4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382DC">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54EC7">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7C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B7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资金拨付及时率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EBE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1D4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28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39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D3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A4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7ED6">
            <w:pPr>
              <w:snapToGrid w:val="0"/>
              <w:jc w:val="center"/>
              <w:rPr>
                <w:rFonts w:hint="eastAsia" w:ascii="微软雅黑" w:hAnsi="微软雅黑" w:eastAsia="微软雅黑" w:cs="微软雅黑"/>
                <w:i/>
                <w:iCs/>
                <w:color w:val="000000"/>
                <w:sz w:val="16"/>
                <w:szCs w:val="16"/>
                <w:u w:val="none"/>
              </w:rPr>
            </w:pPr>
          </w:p>
        </w:tc>
      </w:tr>
      <w:tr w14:paraId="5FA41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FEB87">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EC8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7C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C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阅览桌椅、电子阅览设备设施正常运行率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D4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42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7B8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0F9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983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6CF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80E9">
            <w:pPr>
              <w:snapToGrid w:val="0"/>
              <w:jc w:val="center"/>
              <w:rPr>
                <w:rFonts w:hint="eastAsia" w:ascii="微软雅黑" w:hAnsi="微软雅黑" w:eastAsia="微软雅黑" w:cs="微软雅黑"/>
                <w:i/>
                <w:iCs/>
                <w:color w:val="000000"/>
                <w:sz w:val="16"/>
                <w:szCs w:val="16"/>
                <w:u w:val="none"/>
              </w:rPr>
            </w:pPr>
          </w:p>
        </w:tc>
      </w:tr>
      <w:tr w14:paraId="6F11E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08BE0">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E2AC3">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52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7F4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人均外借图书量一年</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BC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A8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12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万册</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7E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6.235万册</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37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9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EBEE3">
            <w:pPr>
              <w:snapToGrid w:val="0"/>
              <w:jc w:val="center"/>
              <w:rPr>
                <w:rFonts w:hint="eastAsia" w:ascii="微软雅黑" w:hAnsi="微软雅黑" w:eastAsia="微软雅黑" w:cs="微软雅黑"/>
                <w:i/>
                <w:iCs/>
                <w:color w:val="000000"/>
                <w:sz w:val="16"/>
                <w:szCs w:val="16"/>
                <w:u w:val="none"/>
              </w:rPr>
            </w:pPr>
          </w:p>
        </w:tc>
      </w:tr>
      <w:tr w14:paraId="7D0C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7FDC3">
            <w:pPr>
              <w:snapToGrid w:val="0"/>
              <w:jc w:val="cente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338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81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F1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5C4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88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36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818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A1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22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5F46">
            <w:pPr>
              <w:snapToGrid w:val="0"/>
              <w:jc w:val="center"/>
              <w:rPr>
                <w:rFonts w:hint="eastAsia" w:ascii="微软雅黑" w:hAnsi="微软雅黑" w:eastAsia="微软雅黑" w:cs="微软雅黑"/>
                <w:i/>
                <w:iCs/>
                <w:color w:val="000000"/>
                <w:sz w:val="16"/>
                <w:szCs w:val="16"/>
                <w:u w:val="none"/>
              </w:rPr>
            </w:pPr>
          </w:p>
        </w:tc>
      </w:tr>
      <w:tr w14:paraId="2330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ADA5">
            <w:pPr>
              <w:snapToGrid w:val="0"/>
              <w:jc w:val="center"/>
              <w:rPr>
                <w:rFonts w:hint="eastAsia" w:ascii="宋体" w:hAnsi="宋体" w:eastAsia="宋体" w:cs="宋体"/>
                <w:i w:val="0"/>
                <w:iCs w:val="0"/>
                <w:color w:val="000000"/>
                <w:sz w:val="18"/>
                <w:szCs w:val="18"/>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816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D8A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ED4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2025年图书馆日常维护运行耗材及活动开展</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F17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53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0E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4D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F5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46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69FBE">
            <w:pPr>
              <w:snapToGrid w:val="0"/>
              <w:jc w:val="center"/>
              <w:rPr>
                <w:rFonts w:hint="eastAsia" w:ascii="微软雅黑" w:hAnsi="微软雅黑" w:eastAsia="微软雅黑" w:cs="微软雅黑"/>
                <w:i/>
                <w:iCs/>
                <w:color w:val="000000"/>
                <w:sz w:val="16"/>
                <w:szCs w:val="16"/>
                <w:u w:val="none"/>
              </w:rPr>
            </w:pPr>
          </w:p>
        </w:tc>
      </w:tr>
      <w:tr w14:paraId="0381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452A8">
            <w:pPr>
              <w:snapToGrid w:val="0"/>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27AF0">
            <w:pPr>
              <w:snapToGrid w:val="0"/>
              <w:jc w:val="center"/>
              <w:rPr>
                <w:rFonts w:hint="eastAsia" w:ascii="宋体" w:hAnsi="宋体" w:eastAsia="宋体" w:cs="宋体"/>
                <w:i w:val="0"/>
                <w:iCs w:val="0"/>
                <w:color w:val="000000"/>
                <w:sz w:val="18"/>
                <w:szCs w:val="18"/>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C9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5B9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鼓励社会文化爱好者及青少年积极参加图书阅读活动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A5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83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EAA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9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5E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1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D22B">
            <w:pPr>
              <w:snapToGrid w:val="0"/>
              <w:jc w:val="center"/>
              <w:rPr>
                <w:rFonts w:hint="eastAsia" w:ascii="微软雅黑" w:hAnsi="微软雅黑" w:eastAsia="微软雅黑" w:cs="微软雅黑"/>
                <w:i/>
                <w:iCs/>
                <w:color w:val="000000"/>
                <w:sz w:val="16"/>
                <w:szCs w:val="16"/>
                <w:u w:val="none"/>
              </w:rPr>
            </w:pPr>
          </w:p>
        </w:tc>
      </w:tr>
      <w:tr w14:paraId="36700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9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F643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AC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9A24">
            <w:pPr>
              <w:keepNext w:val="0"/>
              <w:keepLines w:val="0"/>
              <w:widowControl/>
              <w:suppressLineNumbers w:val="0"/>
              <w:snapToGrid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90</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8094">
            <w:pPr>
              <w:snapToGrid w:val="0"/>
              <w:rPr>
                <w:rFonts w:hint="eastAsia" w:ascii="宋体" w:hAnsi="宋体" w:eastAsia="宋体" w:cs="宋体"/>
                <w:i w:val="0"/>
                <w:iCs w:val="0"/>
                <w:color w:val="000000"/>
                <w:sz w:val="18"/>
                <w:szCs w:val="18"/>
                <w:u w:val="none"/>
              </w:rPr>
            </w:pPr>
          </w:p>
        </w:tc>
      </w:tr>
      <w:tr w14:paraId="16DC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46D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426A99">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1ACB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37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F3C78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043C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51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E2B82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766F5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BD729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项目负责人：余尧</w:t>
            </w:r>
          </w:p>
        </w:tc>
        <w:tc>
          <w:tcPr>
            <w:tcW w:w="49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DA2A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财务负责人：邓广惠</w:t>
            </w:r>
          </w:p>
        </w:tc>
      </w:tr>
    </w:tbl>
    <w:p w14:paraId="7BD35D78">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sectPr>
          <w:pgSz w:w="11906" w:h="16838"/>
          <w:pgMar w:top="1440" w:right="1800" w:bottom="1440" w:left="1800" w:header="851" w:footer="992" w:gutter="0"/>
          <w:pgNumType w:fmt="decimal"/>
          <w:cols w:space="425" w:num="1"/>
          <w:titlePg/>
          <w:docGrid w:type="lines" w:linePitch="312" w:charSpace="0"/>
        </w:sectPr>
      </w:pPr>
    </w:p>
    <w:p w14:paraId="63EE7A4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bookmarkStart w:id="68" w:name="_Toc15396618"/>
    </w:p>
    <w:bookmarkEnd w:id="68"/>
    <w:p w14:paraId="36F984EE">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_GB2312" w:cs="仿宋_GB2312"/>
          <w:color w:val="auto"/>
          <w:sz w:val="32"/>
          <w:szCs w:val="32"/>
          <w:highlight w:val="none"/>
        </w:rPr>
      </w:pPr>
      <w:bookmarkStart w:id="69" w:name="_Toc5703"/>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 xml:space="preserve">五部分 </w:t>
      </w:r>
      <w:r>
        <w:rPr>
          <w:rStyle w:val="32"/>
          <w:rFonts w:hint="eastAsia" w:eastAsia="黑体"/>
          <w:b w:val="0"/>
          <w:color w:val="auto"/>
          <w:highlight w:val="none"/>
          <w:lang w:val="en-US" w:eastAsia="zh-CN"/>
        </w:rPr>
        <w:t xml:space="preserve"> </w:t>
      </w:r>
      <w:r>
        <w:rPr>
          <w:rStyle w:val="32"/>
          <w:rFonts w:hint="eastAsia" w:ascii="Times New Roman" w:hAnsi="Times New Roman" w:eastAsia="黑体"/>
          <w:b w:val="0"/>
          <w:color w:val="auto"/>
          <w:highlight w:val="none"/>
        </w:rPr>
        <w:t>附表</w:t>
      </w:r>
      <w:bookmarkEnd w:id="69"/>
      <w:bookmarkStart w:id="70" w:name="_Toc15396619"/>
    </w:p>
    <w:bookmarkEnd w:id="70"/>
    <w:p w14:paraId="7018A6FE">
      <w:pPr>
        <w:pStyle w:val="4"/>
        <w:outlineLvl w:val="1"/>
        <w:rPr>
          <w:rFonts w:ascii="仿宋" w:hAnsi="仿宋" w:eastAsia="仿宋"/>
          <w:color w:val="auto"/>
          <w:highlight w:val="none"/>
        </w:rPr>
      </w:pPr>
      <w:bookmarkStart w:id="71" w:name="_Toc31378"/>
      <w:r>
        <w:rPr>
          <w:rFonts w:hint="eastAsia" w:ascii="仿宋" w:hAnsi="仿宋" w:eastAsia="仿宋"/>
          <w:b w:val="0"/>
          <w:color w:val="auto"/>
          <w:highlight w:val="none"/>
        </w:rPr>
        <w:t>一、收</w:t>
      </w:r>
      <w:r>
        <w:rPr>
          <w:rStyle w:val="33"/>
          <w:rFonts w:hint="eastAsia" w:ascii="仿宋" w:hAnsi="仿宋" w:eastAsia="仿宋"/>
          <w:b w:val="0"/>
          <w:bCs w:val="0"/>
          <w:color w:val="auto"/>
          <w:highlight w:val="none"/>
        </w:rPr>
        <w:t>入支出决算总表</w:t>
      </w:r>
      <w:bookmarkEnd w:id="71"/>
    </w:p>
    <w:p w14:paraId="0D7675F7">
      <w:pPr>
        <w:pStyle w:val="4"/>
        <w:outlineLvl w:val="1"/>
        <w:rPr>
          <w:rFonts w:ascii="仿宋" w:hAnsi="仿宋" w:eastAsia="仿宋"/>
          <w:color w:val="auto"/>
          <w:highlight w:val="none"/>
        </w:rPr>
      </w:pPr>
      <w:bookmarkStart w:id="72" w:name="_Toc17166"/>
      <w:r>
        <w:rPr>
          <w:rFonts w:hint="eastAsia" w:ascii="仿宋" w:hAnsi="仿宋" w:eastAsia="仿宋"/>
          <w:b w:val="0"/>
          <w:color w:val="auto"/>
          <w:highlight w:val="none"/>
        </w:rPr>
        <w:t>二、收</w:t>
      </w:r>
      <w:r>
        <w:rPr>
          <w:rStyle w:val="33"/>
          <w:rFonts w:hint="eastAsia" w:ascii="仿宋" w:hAnsi="仿宋" w:eastAsia="仿宋"/>
          <w:b w:val="0"/>
          <w:bCs w:val="0"/>
          <w:color w:val="auto"/>
          <w:highlight w:val="none"/>
        </w:rPr>
        <w:t>入决算表</w:t>
      </w:r>
      <w:bookmarkEnd w:id="72"/>
    </w:p>
    <w:p w14:paraId="238DF450">
      <w:pPr>
        <w:pStyle w:val="4"/>
        <w:outlineLvl w:val="1"/>
        <w:rPr>
          <w:rFonts w:ascii="仿宋" w:hAnsi="仿宋" w:eastAsia="仿宋"/>
          <w:color w:val="auto"/>
          <w:highlight w:val="none"/>
        </w:rPr>
      </w:pPr>
      <w:bookmarkStart w:id="73" w:name="_Toc1014"/>
      <w:r>
        <w:rPr>
          <w:rStyle w:val="33"/>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3"/>
          <w:rFonts w:hint="eastAsia" w:ascii="仿宋" w:hAnsi="仿宋" w:eastAsia="仿宋"/>
          <w:b w:val="0"/>
          <w:bCs w:val="0"/>
          <w:color w:val="auto"/>
          <w:highlight w:val="none"/>
        </w:rPr>
        <w:t>出决算表</w:t>
      </w:r>
      <w:bookmarkEnd w:id="73"/>
    </w:p>
    <w:p w14:paraId="6A874322">
      <w:pPr>
        <w:pStyle w:val="4"/>
        <w:outlineLvl w:val="1"/>
        <w:rPr>
          <w:rFonts w:ascii="仿宋" w:hAnsi="仿宋" w:eastAsia="仿宋"/>
          <w:b w:val="0"/>
          <w:color w:val="auto"/>
          <w:highlight w:val="none"/>
        </w:rPr>
      </w:pPr>
      <w:bookmarkStart w:id="74" w:name="_Toc17113"/>
      <w:r>
        <w:rPr>
          <w:rStyle w:val="33"/>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政拨款收入支出决算总表</w:t>
      </w:r>
      <w:bookmarkEnd w:id="74"/>
    </w:p>
    <w:p w14:paraId="5EF3863A">
      <w:pPr>
        <w:pStyle w:val="4"/>
        <w:outlineLvl w:val="1"/>
        <w:rPr>
          <w:rStyle w:val="33"/>
          <w:rFonts w:ascii="仿宋" w:hAnsi="仿宋" w:eastAsia="仿宋"/>
          <w:b w:val="0"/>
          <w:bCs w:val="0"/>
          <w:color w:val="auto"/>
          <w:highlight w:val="none"/>
        </w:rPr>
      </w:pPr>
      <w:bookmarkStart w:id="75" w:name="_Toc20303"/>
      <w:r>
        <w:rPr>
          <w:rStyle w:val="33"/>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政拨款支出决算明细表</w:t>
      </w:r>
      <w:bookmarkEnd w:id="75"/>
    </w:p>
    <w:p w14:paraId="6F3C0A21">
      <w:pPr>
        <w:pStyle w:val="4"/>
        <w:outlineLvl w:val="1"/>
        <w:rPr>
          <w:rFonts w:ascii="仿宋" w:hAnsi="仿宋" w:eastAsia="仿宋"/>
          <w:color w:val="auto"/>
          <w:highlight w:val="none"/>
        </w:rPr>
      </w:pPr>
      <w:bookmarkStart w:id="76" w:name="_Toc9406"/>
      <w:r>
        <w:rPr>
          <w:rStyle w:val="33"/>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般公共预算财政拨款支出决算表</w:t>
      </w:r>
      <w:bookmarkEnd w:id="76"/>
    </w:p>
    <w:p w14:paraId="50AD3ED9">
      <w:pPr>
        <w:pStyle w:val="4"/>
        <w:outlineLvl w:val="1"/>
        <w:rPr>
          <w:rFonts w:ascii="仿宋" w:hAnsi="仿宋" w:eastAsia="仿宋"/>
          <w:color w:val="auto"/>
          <w:highlight w:val="none"/>
        </w:rPr>
      </w:pPr>
      <w:bookmarkStart w:id="77" w:name="_Toc29039"/>
      <w:r>
        <w:rPr>
          <w:rStyle w:val="33"/>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般公共预算财政拨款支出决算明细表</w:t>
      </w:r>
      <w:bookmarkEnd w:id="77"/>
    </w:p>
    <w:p w14:paraId="4178DADC">
      <w:pPr>
        <w:pStyle w:val="4"/>
        <w:outlineLvl w:val="1"/>
        <w:rPr>
          <w:rFonts w:ascii="仿宋" w:hAnsi="仿宋" w:eastAsia="仿宋"/>
          <w:color w:val="auto"/>
          <w:highlight w:val="none"/>
        </w:rPr>
      </w:pPr>
      <w:bookmarkStart w:id="78" w:name="_Toc11281"/>
      <w:r>
        <w:rPr>
          <w:rStyle w:val="33"/>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般公共预算财政拨款基本支出决算表</w:t>
      </w:r>
      <w:bookmarkEnd w:id="78"/>
    </w:p>
    <w:p w14:paraId="63D14460">
      <w:pPr>
        <w:pStyle w:val="4"/>
        <w:outlineLvl w:val="1"/>
        <w:rPr>
          <w:rFonts w:ascii="仿宋" w:hAnsi="仿宋" w:eastAsia="仿宋"/>
          <w:color w:val="auto"/>
          <w:highlight w:val="none"/>
        </w:rPr>
      </w:pPr>
      <w:bookmarkStart w:id="79" w:name="_Toc17148"/>
      <w:r>
        <w:rPr>
          <w:rStyle w:val="33"/>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般公共预算财政拨款项目支出决算表</w:t>
      </w:r>
      <w:bookmarkEnd w:id="79"/>
    </w:p>
    <w:p w14:paraId="512B9B7B">
      <w:pPr>
        <w:pStyle w:val="4"/>
        <w:outlineLvl w:val="1"/>
        <w:rPr>
          <w:rFonts w:ascii="仿宋" w:hAnsi="仿宋" w:eastAsia="仿宋"/>
          <w:color w:val="auto"/>
          <w:highlight w:val="none"/>
        </w:rPr>
      </w:pPr>
      <w:bookmarkStart w:id="80" w:name="_Toc28412"/>
      <w:r>
        <w:rPr>
          <w:rStyle w:val="33"/>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3"/>
          <w:rFonts w:hint="eastAsia" w:ascii="仿宋" w:hAnsi="仿宋" w:eastAsia="仿宋"/>
          <w:b w:val="0"/>
          <w:bCs w:val="0"/>
          <w:color w:val="auto"/>
          <w:highlight w:val="none"/>
        </w:rPr>
        <w:t>府性基金预算财政拨款收入支出决算表</w:t>
      </w:r>
      <w:bookmarkEnd w:id="80"/>
    </w:p>
    <w:p w14:paraId="40093197">
      <w:pPr>
        <w:pStyle w:val="4"/>
        <w:outlineLvl w:val="1"/>
        <w:rPr>
          <w:rFonts w:ascii="仿宋" w:hAnsi="仿宋" w:eastAsia="仿宋"/>
          <w:color w:val="auto"/>
          <w:highlight w:val="none"/>
        </w:rPr>
      </w:pPr>
      <w:bookmarkStart w:id="81" w:name="_Toc2344"/>
      <w:r>
        <w:rPr>
          <w:rStyle w:val="33"/>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3"/>
          <w:rFonts w:hint="eastAsia" w:ascii="仿宋" w:hAnsi="仿宋" w:eastAsia="仿宋"/>
          <w:b w:val="0"/>
          <w:bCs w:val="0"/>
          <w:color w:val="auto"/>
          <w:highlight w:val="none"/>
        </w:rPr>
        <w:t>有资本经营预算</w:t>
      </w:r>
      <w:r>
        <w:rPr>
          <w:rStyle w:val="33"/>
          <w:rFonts w:hint="eastAsia" w:ascii="仿宋" w:hAnsi="仿宋" w:eastAsia="仿宋"/>
          <w:b w:val="0"/>
          <w:bCs w:val="0"/>
          <w:color w:val="auto"/>
          <w:highlight w:val="none"/>
          <w:lang w:eastAsia="zh-CN"/>
        </w:rPr>
        <w:t>财政拨款收入</w:t>
      </w:r>
      <w:r>
        <w:rPr>
          <w:rStyle w:val="33"/>
          <w:rFonts w:hint="eastAsia" w:ascii="仿宋" w:hAnsi="仿宋" w:eastAsia="仿宋"/>
          <w:b w:val="0"/>
          <w:bCs w:val="0"/>
          <w:color w:val="auto"/>
          <w:highlight w:val="none"/>
        </w:rPr>
        <w:t>支出决算表</w:t>
      </w:r>
      <w:bookmarkEnd w:id="81"/>
    </w:p>
    <w:p w14:paraId="4268F8F8">
      <w:pPr>
        <w:pStyle w:val="4"/>
        <w:outlineLvl w:val="1"/>
        <w:rPr>
          <w:rFonts w:ascii="仿宋" w:hAnsi="仿宋" w:eastAsia="仿宋"/>
          <w:color w:val="auto"/>
          <w:highlight w:val="none"/>
        </w:rPr>
      </w:pPr>
      <w:bookmarkStart w:id="82" w:name="_Toc20175"/>
      <w:r>
        <w:rPr>
          <w:rStyle w:val="33"/>
          <w:rFonts w:hint="eastAsia" w:ascii="仿宋" w:hAnsi="仿宋" w:eastAsia="仿宋"/>
          <w:b w:val="0"/>
          <w:bCs w:val="0"/>
          <w:color w:val="auto"/>
          <w:highlight w:val="none"/>
        </w:rPr>
        <w:t>十二、</w:t>
      </w:r>
      <w:r>
        <w:rPr>
          <w:rStyle w:val="33"/>
          <w:rFonts w:hint="eastAsia" w:ascii="仿宋" w:hAnsi="仿宋" w:eastAsia="仿宋"/>
          <w:b w:val="0"/>
          <w:bCs w:val="0"/>
          <w:color w:val="auto"/>
          <w:highlight w:val="none"/>
          <w:lang w:eastAsia="zh-CN"/>
        </w:rPr>
        <w:t>国有资本经营预算财政拨款支出决算表</w:t>
      </w:r>
      <w:bookmarkEnd w:id="82"/>
    </w:p>
    <w:p w14:paraId="7F61B0DA">
      <w:pPr>
        <w:pStyle w:val="4"/>
        <w:outlineLvl w:val="1"/>
        <w:rPr>
          <w:rFonts w:hint="eastAsia" w:eastAsia="仿宋"/>
          <w:color w:val="auto"/>
          <w:highlight w:val="none"/>
          <w:lang w:eastAsia="zh-CN"/>
        </w:rPr>
      </w:pPr>
      <w:bookmarkStart w:id="83" w:name="_Toc13636"/>
      <w:r>
        <w:rPr>
          <w:rStyle w:val="33"/>
          <w:rFonts w:hint="eastAsia" w:ascii="仿宋" w:hAnsi="仿宋" w:eastAsia="仿宋"/>
          <w:b w:val="0"/>
          <w:bCs w:val="0"/>
          <w:color w:val="auto"/>
          <w:highlight w:val="none"/>
        </w:rPr>
        <w:t>十三、</w:t>
      </w:r>
      <w:r>
        <w:rPr>
          <w:rStyle w:val="33"/>
          <w:rFonts w:hint="eastAsia" w:ascii="仿宋" w:hAnsi="仿宋" w:eastAsia="仿宋"/>
          <w:b w:val="0"/>
          <w:bCs w:val="0"/>
          <w:color w:val="auto"/>
          <w:highlight w:val="none"/>
          <w:lang w:eastAsia="zh-CN"/>
        </w:rPr>
        <w:t>财政拨款“三公”经费支出决算表</w:t>
      </w:r>
      <w:bookmarkEnd w:id="83"/>
    </w:p>
    <w:p w14:paraId="5DBA5BBF">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07034E-C3D6-4577-8E91-18A5AD9954B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05C92A2-055D-41AB-BBA2-DC290346AD10}"/>
  </w:font>
  <w:font w:name="AR PL UKai CN">
    <w:altName w:val="宋体"/>
    <w:panose1 w:val="02000503000000000000"/>
    <w:charset w:val="86"/>
    <w:family w:val="auto"/>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embedRegular r:id="rId3" w:fontKey="{718D3A8F-F31C-4672-8E46-8F1ADDE21A75}"/>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9CC34DDE-4FAB-4CCF-B2DE-0FE67C2300D2}"/>
  </w:font>
  <w:font w:name="思源黑体 CN Normal">
    <w:altName w:val="黑体"/>
    <w:panose1 w:val="020B0400000000000000"/>
    <w:charset w:val="86"/>
    <w:family w:val="auto"/>
    <w:pitch w:val="default"/>
    <w:sig w:usb0="00000000" w:usb1="00000000" w:usb2="00000016" w:usb3="00000000" w:csb0="60060107" w:csb1="00000000"/>
    <w:embedRegular r:id="rId5" w:fontKey="{83B5F6FD-90B6-4CE2-8286-487AE902C473}"/>
  </w:font>
  <w:font w:name="楷体_GB2312">
    <w:panose1 w:val="02010609030101010101"/>
    <w:charset w:val="86"/>
    <w:family w:val="auto"/>
    <w:pitch w:val="default"/>
    <w:sig w:usb0="00000001" w:usb1="080E0000" w:usb2="00000000" w:usb3="00000000" w:csb0="00040000" w:csb1="00000000"/>
    <w:embedRegular r:id="rId6" w:fontKey="{70B89915-6A31-4F4B-AC69-74E60661A3C5}"/>
  </w:font>
  <w:font w:name="微软雅黑">
    <w:panose1 w:val="020B0503020204020204"/>
    <w:charset w:val="86"/>
    <w:family w:val="auto"/>
    <w:pitch w:val="default"/>
    <w:sig w:usb0="80000287" w:usb1="280F3C52" w:usb2="00000016" w:usb3="00000000" w:csb0="0004001F" w:csb1="00000000"/>
    <w:embedRegular r:id="rId7" w:fontKey="{C1BD5B31-7FAA-4883-954D-8C1516D3A29D}"/>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4"/>
      <w:jc w:val="center"/>
    </w:pPr>
  </w:p>
  <w:p w14:paraId="3777894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B8EE7">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ABB8EE7">
                    <w:pPr>
                      <w:pStyle w:val="14"/>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1A8F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881A8F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36629E"/>
    <w:rsid w:val="015975B8"/>
    <w:rsid w:val="0247239C"/>
    <w:rsid w:val="029C7664"/>
    <w:rsid w:val="02FEBE30"/>
    <w:rsid w:val="03030BB2"/>
    <w:rsid w:val="036C3FC7"/>
    <w:rsid w:val="037405E1"/>
    <w:rsid w:val="03B31109"/>
    <w:rsid w:val="04916F1E"/>
    <w:rsid w:val="04DB26FC"/>
    <w:rsid w:val="057228FE"/>
    <w:rsid w:val="061E35DE"/>
    <w:rsid w:val="06523F87"/>
    <w:rsid w:val="066E0107"/>
    <w:rsid w:val="07375BAD"/>
    <w:rsid w:val="07996F6E"/>
    <w:rsid w:val="07DFD8BA"/>
    <w:rsid w:val="0841638B"/>
    <w:rsid w:val="08713341"/>
    <w:rsid w:val="08D47305"/>
    <w:rsid w:val="09257549"/>
    <w:rsid w:val="096D4E25"/>
    <w:rsid w:val="09867E8F"/>
    <w:rsid w:val="09E95768"/>
    <w:rsid w:val="0A2032A3"/>
    <w:rsid w:val="0A670558"/>
    <w:rsid w:val="0A7E456D"/>
    <w:rsid w:val="0BA457DB"/>
    <w:rsid w:val="0BBF2615"/>
    <w:rsid w:val="0C7D16A3"/>
    <w:rsid w:val="0CA8290A"/>
    <w:rsid w:val="0CBB28B8"/>
    <w:rsid w:val="0D35B1ED"/>
    <w:rsid w:val="0DF54607"/>
    <w:rsid w:val="0E063231"/>
    <w:rsid w:val="0E254B6B"/>
    <w:rsid w:val="0F9221C8"/>
    <w:rsid w:val="0F98263C"/>
    <w:rsid w:val="101860EC"/>
    <w:rsid w:val="101F47CC"/>
    <w:rsid w:val="10C055FF"/>
    <w:rsid w:val="11694EBD"/>
    <w:rsid w:val="11772AA4"/>
    <w:rsid w:val="118107EC"/>
    <w:rsid w:val="125C0BBE"/>
    <w:rsid w:val="12851EC3"/>
    <w:rsid w:val="12931E23"/>
    <w:rsid w:val="12E24EE2"/>
    <w:rsid w:val="13390EFF"/>
    <w:rsid w:val="13D50BC4"/>
    <w:rsid w:val="14B17F78"/>
    <w:rsid w:val="15397A06"/>
    <w:rsid w:val="160D08D6"/>
    <w:rsid w:val="165E0673"/>
    <w:rsid w:val="16AB2E5D"/>
    <w:rsid w:val="16B831D5"/>
    <w:rsid w:val="16BB723D"/>
    <w:rsid w:val="175400B6"/>
    <w:rsid w:val="175B488E"/>
    <w:rsid w:val="17E50567"/>
    <w:rsid w:val="18453C06"/>
    <w:rsid w:val="185B1342"/>
    <w:rsid w:val="186504BB"/>
    <w:rsid w:val="188744BB"/>
    <w:rsid w:val="19A445FC"/>
    <w:rsid w:val="1B296A46"/>
    <w:rsid w:val="1BE8440E"/>
    <w:rsid w:val="1CBF06C7"/>
    <w:rsid w:val="1CC6347C"/>
    <w:rsid w:val="1D155CEE"/>
    <w:rsid w:val="1D1638FE"/>
    <w:rsid w:val="1D3D68AD"/>
    <w:rsid w:val="1DEA3522"/>
    <w:rsid w:val="1E312DEB"/>
    <w:rsid w:val="1E740ACF"/>
    <w:rsid w:val="1F413615"/>
    <w:rsid w:val="1FF35744"/>
    <w:rsid w:val="1FF6BC77"/>
    <w:rsid w:val="208642F4"/>
    <w:rsid w:val="2186353C"/>
    <w:rsid w:val="21DE16AF"/>
    <w:rsid w:val="22791318"/>
    <w:rsid w:val="230E28D9"/>
    <w:rsid w:val="23540202"/>
    <w:rsid w:val="23860B96"/>
    <w:rsid w:val="240371BF"/>
    <w:rsid w:val="241E5CD3"/>
    <w:rsid w:val="244F3473"/>
    <w:rsid w:val="24C97D99"/>
    <w:rsid w:val="250E6DEB"/>
    <w:rsid w:val="25A718F0"/>
    <w:rsid w:val="25BB59F6"/>
    <w:rsid w:val="260F557C"/>
    <w:rsid w:val="261E020C"/>
    <w:rsid w:val="26970054"/>
    <w:rsid w:val="27316648"/>
    <w:rsid w:val="274B4168"/>
    <w:rsid w:val="277F117F"/>
    <w:rsid w:val="27FA446F"/>
    <w:rsid w:val="281408E2"/>
    <w:rsid w:val="28595CE6"/>
    <w:rsid w:val="286E4D4F"/>
    <w:rsid w:val="29656152"/>
    <w:rsid w:val="29FD04D3"/>
    <w:rsid w:val="2ABD43F8"/>
    <w:rsid w:val="2BFF7BC6"/>
    <w:rsid w:val="2C715B69"/>
    <w:rsid w:val="2C8A61B5"/>
    <w:rsid w:val="2D305A3B"/>
    <w:rsid w:val="2DA41CE1"/>
    <w:rsid w:val="2DC27430"/>
    <w:rsid w:val="2DF04E50"/>
    <w:rsid w:val="2E184C68"/>
    <w:rsid w:val="2E586DFA"/>
    <w:rsid w:val="2F040D46"/>
    <w:rsid w:val="2F320885"/>
    <w:rsid w:val="2F394C9E"/>
    <w:rsid w:val="2F5F53F2"/>
    <w:rsid w:val="2F6B035B"/>
    <w:rsid w:val="2FAE5751"/>
    <w:rsid w:val="2FB1A395"/>
    <w:rsid w:val="2FD9A7D8"/>
    <w:rsid w:val="2FDBF714"/>
    <w:rsid w:val="309C22F4"/>
    <w:rsid w:val="30AB6865"/>
    <w:rsid w:val="311C359A"/>
    <w:rsid w:val="315C7E3B"/>
    <w:rsid w:val="316B62D0"/>
    <w:rsid w:val="319F7F4E"/>
    <w:rsid w:val="31AB4AC2"/>
    <w:rsid w:val="32BD1EF1"/>
    <w:rsid w:val="3304709D"/>
    <w:rsid w:val="33A773CB"/>
    <w:rsid w:val="34665331"/>
    <w:rsid w:val="349D6851"/>
    <w:rsid w:val="34F910DB"/>
    <w:rsid w:val="3521172E"/>
    <w:rsid w:val="35D755E7"/>
    <w:rsid w:val="36637A9D"/>
    <w:rsid w:val="368F0CB2"/>
    <w:rsid w:val="36AA5135"/>
    <w:rsid w:val="36BE0DA7"/>
    <w:rsid w:val="36BF3346"/>
    <w:rsid w:val="376B6AA6"/>
    <w:rsid w:val="376D39B2"/>
    <w:rsid w:val="37C678CF"/>
    <w:rsid w:val="37E16F03"/>
    <w:rsid w:val="37F53A3B"/>
    <w:rsid w:val="389B6C89"/>
    <w:rsid w:val="38D469F0"/>
    <w:rsid w:val="3913458B"/>
    <w:rsid w:val="393A4D47"/>
    <w:rsid w:val="39627CCD"/>
    <w:rsid w:val="397BAF1F"/>
    <w:rsid w:val="39C80763"/>
    <w:rsid w:val="3AB79AF3"/>
    <w:rsid w:val="3AD81A2B"/>
    <w:rsid w:val="3AE834C0"/>
    <w:rsid w:val="3AFB2473"/>
    <w:rsid w:val="3AFD54FC"/>
    <w:rsid w:val="3B7EF35A"/>
    <w:rsid w:val="3B9FDB6C"/>
    <w:rsid w:val="3BF5BC2F"/>
    <w:rsid w:val="3C1E0F43"/>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B7168C"/>
    <w:rsid w:val="463902F3"/>
    <w:rsid w:val="48131E90"/>
    <w:rsid w:val="48313923"/>
    <w:rsid w:val="483C5908"/>
    <w:rsid w:val="486A6C7A"/>
    <w:rsid w:val="4A627F82"/>
    <w:rsid w:val="4B0E749A"/>
    <w:rsid w:val="4B2477C4"/>
    <w:rsid w:val="4B4F25DA"/>
    <w:rsid w:val="4BE068DB"/>
    <w:rsid w:val="4D510618"/>
    <w:rsid w:val="4D577224"/>
    <w:rsid w:val="4DBA7040"/>
    <w:rsid w:val="4DBF1CEB"/>
    <w:rsid w:val="4DF0007C"/>
    <w:rsid w:val="4EAB630A"/>
    <w:rsid w:val="4ECD3CD4"/>
    <w:rsid w:val="4ECE2238"/>
    <w:rsid w:val="4F477F24"/>
    <w:rsid w:val="4F833267"/>
    <w:rsid w:val="4FB862CC"/>
    <w:rsid w:val="4FCD5224"/>
    <w:rsid w:val="4FE9BD67"/>
    <w:rsid w:val="4FFB052F"/>
    <w:rsid w:val="51D926F6"/>
    <w:rsid w:val="52D47D21"/>
    <w:rsid w:val="533B7DA0"/>
    <w:rsid w:val="537E6D0A"/>
    <w:rsid w:val="53A828E9"/>
    <w:rsid w:val="53F74C96"/>
    <w:rsid w:val="53FD0BB2"/>
    <w:rsid w:val="54475D74"/>
    <w:rsid w:val="55170BA8"/>
    <w:rsid w:val="553218C9"/>
    <w:rsid w:val="55772500"/>
    <w:rsid w:val="55CB540B"/>
    <w:rsid w:val="567E1AA5"/>
    <w:rsid w:val="568F4EBB"/>
    <w:rsid w:val="56E47B74"/>
    <w:rsid w:val="57175D52"/>
    <w:rsid w:val="57906374"/>
    <w:rsid w:val="57A7338F"/>
    <w:rsid w:val="57BD3DD4"/>
    <w:rsid w:val="57C87729"/>
    <w:rsid w:val="584E2B8F"/>
    <w:rsid w:val="58873140"/>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BB7E2A"/>
    <w:rsid w:val="60F31CBA"/>
    <w:rsid w:val="612E2892"/>
    <w:rsid w:val="614A42F1"/>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C96D0C"/>
    <w:rsid w:val="7DE70964"/>
    <w:rsid w:val="7DF84014"/>
    <w:rsid w:val="7E8ADEBF"/>
    <w:rsid w:val="7EEF11D3"/>
    <w:rsid w:val="7EFE4840"/>
    <w:rsid w:val="7F0971A6"/>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8">
    <w:name w:val="Body Text"/>
    <w:basedOn w:val="1"/>
    <w:link w:val="29"/>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next w:val="7"/>
    <w:qFormat/>
    <w:uiPriority w:val="0"/>
    <w:pPr>
      <w:widowControl w:val="0"/>
      <w:suppressAutoHyphens/>
      <w:jc w:val="both"/>
    </w:pPr>
    <w:rPr>
      <w:rFonts w:ascii="Courier New" w:hAnsi="Courier New" w:eastAsia="AR PL UKai CN" w:cs="Times New Roman"/>
      <w:kern w:val="2"/>
      <w:sz w:val="21"/>
      <w:szCs w:val="20"/>
      <w:lang w:val="en-US" w:eastAsia="zh-CN" w:bidi="ar-SA"/>
    </w:rPr>
  </w:style>
  <w:style w:type="paragraph" w:styleId="13">
    <w:name w:val="Balloon Text"/>
    <w:basedOn w:val="1"/>
    <w:link w:val="35"/>
    <w:semiHidden/>
    <w:unhideWhenUsed/>
    <w:qFormat/>
    <w:uiPriority w:val="99"/>
    <w:rPr>
      <w:sz w:val="18"/>
      <w:szCs w:val="18"/>
    </w:rPr>
  </w:style>
  <w:style w:type="paragraph" w:styleId="14">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footnote text"/>
    <w:basedOn w:val="1"/>
    <w:next w:val="10"/>
    <w:semiHidden/>
    <w:qFormat/>
    <w:uiPriority w:val="0"/>
    <w:pPr>
      <w:snapToGrid w:val="0"/>
      <w:jc w:val="left"/>
    </w:pPr>
    <w:rPr>
      <w:sz w:val="18"/>
      <w:szCs w:val="18"/>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semiHidden/>
    <w:unhideWhenUsed/>
    <w:qFormat/>
    <w:uiPriority w:val="99"/>
    <w:rPr>
      <w:sz w:val="24"/>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Header Char"/>
    <w:basedOn w:val="21"/>
    <w:semiHidden/>
    <w:qFormat/>
    <w:uiPriority w:val="99"/>
    <w:rPr>
      <w:rFonts w:ascii="Times New Roman" w:hAnsi="Times New Roman"/>
      <w:sz w:val="18"/>
      <w:szCs w:val="18"/>
    </w:rPr>
  </w:style>
  <w:style w:type="character" w:customStyle="1" w:styleId="25">
    <w:name w:val="页眉 Char"/>
    <w:link w:val="15"/>
    <w:semiHidden/>
    <w:qFormat/>
    <w:locked/>
    <w:uiPriority w:val="99"/>
    <w:rPr>
      <w:sz w:val="18"/>
    </w:rPr>
  </w:style>
  <w:style w:type="character" w:customStyle="1" w:styleId="26">
    <w:name w:val="Footer Char"/>
    <w:basedOn w:val="21"/>
    <w:semiHidden/>
    <w:qFormat/>
    <w:uiPriority w:val="99"/>
    <w:rPr>
      <w:rFonts w:ascii="Times New Roman" w:hAnsi="Times New Roman"/>
      <w:sz w:val="18"/>
      <w:szCs w:val="18"/>
    </w:rPr>
  </w:style>
  <w:style w:type="character" w:customStyle="1" w:styleId="27">
    <w:name w:val="页脚 Char"/>
    <w:link w:val="14"/>
    <w:qFormat/>
    <w:locked/>
    <w:uiPriority w:val="99"/>
    <w:rPr>
      <w:sz w:val="18"/>
    </w:rPr>
  </w:style>
  <w:style w:type="character" w:customStyle="1" w:styleId="28">
    <w:name w:val="Body Text Char"/>
    <w:basedOn w:val="21"/>
    <w:semiHidden/>
    <w:qFormat/>
    <w:uiPriority w:val="99"/>
    <w:rPr>
      <w:rFonts w:ascii="Times New Roman" w:hAnsi="Times New Roman"/>
      <w:szCs w:val="24"/>
    </w:rPr>
  </w:style>
  <w:style w:type="character" w:customStyle="1" w:styleId="29">
    <w:name w:val="正文文本 Char"/>
    <w:link w:val="8"/>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1"/>
    <w:link w:val="3"/>
    <w:qFormat/>
    <w:uiPriority w:val="9"/>
    <w:rPr>
      <w:rFonts w:ascii="Times New Roman" w:hAnsi="Times New Roman"/>
      <w:b/>
      <w:bCs/>
      <w:kern w:val="44"/>
      <w:sz w:val="44"/>
      <w:szCs w:val="44"/>
    </w:rPr>
  </w:style>
  <w:style w:type="character" w:customStyle="1" w:styleId="33">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1"/>
    <w:link w:val="13"/>
    <w:semiHidden/>
    <w:qFormat/>
    <w:uiPriority w:val="99"/>
    <w:rPr>
      <w:rFonts w:ascii="Times New Roman" w:hAnsi="Times New Roman"/>
      <w:kern w:val="2"/>
      <w:sz w:val="18"/>
      <w:szCs w:val="18"/>
    </w:rPr>
  </w:style>
  <w:style w:type="character" w:customStyle="1" w:styleId="36">
    <w:name w:val="标题 3 Char"/>
    <w:basedOn w:val="21"/>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正文-公1"/>
    <w:basedOn w:val="40"/>
    <w:next w:val="1"/>
    <w:qFormat/>
    <w:uiPriority w:val="0"/>
    <w:pPr>
      <w:ind w:firstLine="200" w:firstLineChars="200"/>
    </w:pPr>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9"/>
    <w:qFormat/>
    <w:uiPriority w:val="0"/>
    <w:pPr>
      <w:widowControl w:val="0"/>
      <w:jc w:val="both"/>
    </w:pPr>
    <w:rPr>
      <w:rFonts w:ascii="Times New Roman" w:hAnsi="Times New Roman" w:eastAsia="宋体" w:cs="Times New Roman"/>
      <w:kern w:val="2"/>
      <w:sz w:val="21"/>
      <w:lang w:val="en-US" w:eastAsia="zh-CN"/>
    </w:rPr>
  </w:style>
  <w:style w:type="character" w:customStyle="1" w:styleId="41">
    <w:name w:val="标题 1 字符"/>
    <w:basedOn w:val="21"/>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151.56</c:v>
                </c:pt>
                <c:pt idx="1">
                  <c:v>163.57</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163.57</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142.93</c:v>
                </c:pt>
                <c:pt idx="1">
                  <c:v>20.64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151.56</c:v>
                </c:pt>
                <c:pt idx="1">
                  <c:v>163.57</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88016429089152"/>
          <c:y val="0.174098671726755"/>
          <c:w val="0.908359507127325"/>
          <c:h val="0.704554079696395"/>
        </c:manualLayout>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151.56</c:v>
                </c:pt>
                <c:pt idx="1">
                  <c:v>163.57</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126.11</c:v>
                </c:pt>
                <c:pt idx="1">
                  <c:v>19.17</c:v>
                </c:pt>
                <c:pt idx="2">
                  <c:v>7.85</c:v>
                </c:pt>
                <c:pt idx="3">
                  <c:v>10.43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7229</Words>
  <Characters>7976</Characters>
  <Lines>61</Lines>
  <Paragraphs>17</Paragraphs>
  <TotalTime>8</TotalTime>
  <ScaleCrop>false</ScaleCrop>
  <LinksUpToDate>false</LinksUpToDate>
  <CharactersWithSpaces>8036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2026-09-08T02:39:34Z</cp:lastPrinted>
  <dcterms:modified xsi:type="dcterms:W3CDTF">2026-09-08T02:51:18Z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98500C6EF853461DA4C56AD9CA236C1D_13</vt:lpwstr>
  </property>
  <property fmtid="{D5CDD505-2E9C-101B-9397-08002B2CF9AE}" pid="4" name="KSOTemplateDocerSaveRecord">
    <vt:lpwstr>eyJoZGlkIjoiMDc5YjVjZjk4NTI5MzNlYmI3NWM1NjE5YzU4OTIwZTUiLCJ1c2VySWQiOiI1MTQ3MzUwMTcifQ==</vt:lpwstr>
  </property>
</Properties>
</file>