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597"/>
      <w:bookmarkStart w:id="2" w:name="_Toc15377193"/>
      <w:bookmarkStart w:id="3" w:name="_Toc15396475"/>
      <w:bookmarkStart w:id="4" w:name="_Toc15306267"/>
      <w:bookmarkStart w:id="5" w:name="_Toc15378441"/>
    </w:p>
    <w:p w14:paraId="2B81399B">
      <w:pPr>
        <w:pStyle w:val="7"/>
        <w:rPr>
          <w:rFonts w:hint="eastAsia" w:ascii="Times New Roman" w:hAnsi="Times New Roman" w:eastAsia="方正小标宋简体" w:cs="Times New Roman"/>
          <w:color w:val="auto"/>
          <w:kern w:val="2"/>
          <w:sz w:val="72"/>
          <w:szCs w:val="72"/>
          <w:highlight w:val="none"/>
          <w:lang w:val="en-US" w:eastAsia="zh-CN" w:bidi="ar-SA"/>
        </w:rPr>
      </w:pPr>
    </w:p>
    <w:p w14:paraId="017D3EFE">
      <w:pPr>
        <w:pStyle w:val="7"/>
        <w:rPr>
          <w:rFonts w:hint="eastAsia" w:ascii="Times New Roman" w:hAnsi="Times New Roman" w:eastAsia="方正小标宋简体" w:cs="Times New Roman"/>
          <w:color w:val="auto"/>
          <w:kern w:val="2"/>
          <w:sz w:val="72"/>
          <w:szCs w:val="72"/>
          <w:highlight w:val="none"/>
          <w:lang w:val="en-US" w:eastAsia="zh-CN" w:bidi="ar-SA"/>
        </w:rPr>
      </w:pPr>
    </w:p>
    <w:p w14:paraId="52E556E2">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方正小标宋简体" w:hAnsi="宋体" w:eastAsia="方正小标宋简体" w:cs="Times New Roman"/>
          <w:color w:val="auto"/>
          <w:kern w:val="2"/>
          <w:sz w:val="44"/>
          <w:szCs w:val="44"/>
          <w:highlight w:val="none"/>
          <w:lang w:val="en-US" w:eastAsia="zh-CN" w:bidi="ar-SA"/>
        </w:rPr>
        <w:t>四川省阿坝州</w:t>
      </w:r>
    </w:p>
    <w:p w14:paraId="3E179DAE">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茂县</w:t>
      </w:r>
      <w:r>
        <w:rPr>
          <w:rFonts w:hint="eastAsia" w:ascii="Times New Roman" w:eastAsia="方正小标宋简体" w:cs="Times New Roman"/>
          <w:color w:val="auto"/>
          <w:kern w:val="2"/>
          <w:sz w:val="44"/>
          <w:szCs w:val="44"/>
          <w:highlight w:val="none"/>
          <w:lang w:val="en-US" w:eastAsia="zh-CN" w:bidi="ar-SA"/>
        </w:rPr>
        <w:t>体育管理中心</w:t>
      </w:r>
      <w:r>
        <w:rPr>
          <w:rFonts w:hint="eastAsia" w:ascii="Times New Roman" w:hAnsi="Times New Roman" w:eastAsia="方正小标宋简体" w:cs="Times New Roman"/>
          <w:color w:val="auto"/>
          <w:kern w:val="2"/>
          <w:sz w:val="44"/>
          <w:szCs w:val="44"/>
          <w:highlight w:val="none"/>
          <w:lang w:val="en-US" w:eastAsia="zh-CN" w:bidi="ar-SA"/>
        </w:rPr>
        <w:t>单位决算公开</w:t>
      </w:r>
    </w:p>
    <w:p w14:paraId="3128AF52">
      <w:pPr>
        <w:pStyle w:val="5"/>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rPr>
          <w:rFonts w:hint="eastAsia" w:ascii="思源黑体 CN Normal" w:hAnsi="思源黑体 CN Normal" w:eastAsia="思源黑体 CN Normal" w:cs="思源黑体 CN Normal"/>
          <w:color w:val="000000" w:themeColor="text1"/>
          <w14:textFill>
            <w14:solidFill>
              <w14:schemeClr w14:val="tx1"/>
            </w14:solidFill>
          </w14:textFill>
        </w:rPr>
      </w:pPr>
    </w:p>
    <w:p w14:paraId="32BD9AD6">
      <w:pPr>
        <w:spacing w:line="600" w:lineRule="exact"/>
        <w:jc w:val="center"/>
        <w:outlineLvl w:val="0"/>
        <w:rPr>
          <w:rFonts w:ascii="Times New Roman" w:hAnsi="Times New Roman" w:eastAsia="方正小标宋简体"/>
          <w:color w:val="auto"/>
          <w:sz w:val="72"/>
          <w:szCs w:val="72"/>
          <w:highlight w:val="none"/>
        </w:rPr>
      </w:pPr>
    </w:p>
    <w:p w14:paraId="34EF4AA4">
      <w:pPr>
        <w:pStyle w:val="23"/>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556A1224">
      <w:pPr>
        <w:pStyle w:val="15"/>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4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5ADA111C">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_Toc12051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第一部分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 xml:space="preserve"> </w:t>
          </w:r>
          <w:r>
            <w:rPr>
              <w:rFonts w:hint="eastAsia" w:ascii="仿宋" w:hAnsi="仿宋" w:eastAsia="仿宋" w:cs="仿宋"/>
              <w:bCs w:val="0"/>
              <w:sz w:val="24"/>
              <w:szCs w:val="24"/>
              <w:highlight w:val="none"/>
              <w:lang w:val="en-US" w:eastAsia="zh-CN"/>
            </w:rPr>
            <w:t>单位</w:t>
          </w:r>
          <w:r>
            <w:rPr>
              <w:rFonts w:hint="eastAsia" w:ascii="仿宋" w:hAnsi="仿宋" w:eastAsia="仿宋" w:cs="仿宋"/>
              <w:bCs w:val="0"/>
              <w:sz w:val="24"/>
              <w:szCs w:val="24"/>
              <w:highlight w:val="none"/>
            </w:rPr>
            <w:t>概况</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_Toc12051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3</w:t>
          </w:r>
          <w:r>
            <w:rPr>
              <w:rFonts w:hint="eastAsia" w:ascii="仿宋" w:hAnsi="仿宋" w:eastAsia="仿宋" w:cs="仿宋"/>
              <w:sz w:val="24"/>
              <w:szCs w:val="24"/>
              <w:highlight w:val="none"/>
            </w:rPr>
            <w:fldChar w:fldCharType="end"/>
          </w:r>
          <w:r>
            <w:rPr>
              <w:rFonts w:hint="eastAsia" w:ascii="仿宋" w:hAnsi="仿宋" w:eastAsia="仿宋" w:cs="仿宋"/>
              <w:color w:val="auto"/>
              <w:sz w:val="24"/>
              <w:szCs w:val="24"/>
              <w:highlight w:val="none"/>
            </w:rPr>
            <w:fldChar w:fldCharType="end"/>
          </w:r>
        </w:p>
        <w:p w14:paraId="30F43212">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_Toc11503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一、</w:t>
          </w:r>
          <w:r>
            <w:rPr>
              <w:rFonts w:hint="eastAsia" w:ascii="宋体" w:hAnsi="宋体" w:eastAsia="宋体" w:cs="宋体"/>
              <w:sz w:val="24"/>
              <w:szCs w:val="24"/>
              <w:highlight w:val="none"/>
              <w:lang w:val="en-US" w:eastAsia="zh-CN"/>
            </w:rPr>
            <w:t>主要</w:t>
          </w:r>
          <w:r>
            <w:rPr>
              <w:rFonts w:hint="eastAsia" w:ascii="宋体" w:hAnsi="宋体" w:eastAsia="宋体" w:cs="宋体"/>
              <w:sz w:val="24"/>
              <w:szCs w:val="24"/>
              <w:highlight w:val="none"/>
              <w:lang w:eastAsia="zh-CN"/>
            </w:rPr>
            <w:t>职责</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_Toc11503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55C39EB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_Toc22467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二、机</w:t>
          </w:r>
          <w:r>
            <w:rPr>
              <w:rFonts w:hint="eastAsia" w:ascii="宋体" w:hAnsi="宋体" w:eastAsia="宋体" w:cs="宋体"/>
              <w:bCs w:val="0"/>
              <w:sz w:val="24"/>
              <w:szCs w:val="24"/>
              <w:highlight w:val="none"/>
            </w:rPr>
            <w:t>构设置</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_Toc22467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1763F87C">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_Toc7233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第二部分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lang w:val="en-US" w:eastAsia="zh-CN"/>
            </w:rPr>
            <w:t>2025年度</w:t>
          </w:r>
          <w:r>
            <w:rPr>
              <w:rFonts w:hint="eastAsia" w:ascii="仿宋" w:hAnsi="仿宋" w:eastAsia="仿宋" w:cs="仿宋"/>
              <w:sz w:val="24"/>
              <w:szCs w:val="24"/>
              <w:highlight w:val="none"/>
            </w:rPr>
            <w:t>部门决算情况说明</w:t>
          </w:r>
          <w:r>
            <w:rPr>
              <w:rFonts w:hint="eastAsia" w:ascii="仿宋" w:hAnsi="仿宋" w:eastAsia="仿宋" w:cs="仿宋"/>
              <w:sz w:val="24"/>
              <w:szCs w:val="24"/>
              <w:highlight w:val="none"/>
            </w:rPr>
            <w:tab/>
          </w:r>
          <w:r>
            <w:rPr>
              <w:rFonts w:hint="eastAsia" w:cs="仿宋"/>
              <w:sz w:val="24"/>
              <w:szCs w:val="24"/>
              <w:highlight w:val="none"/>
              <w:lang w:val="en-US" w:eastAsia="zh-CN"/>
            </w:rPr>
            <w:t>4</w:t>
          </w:r>
          <w:r>
            <w:rPr>
              <w:rFonts w:hint="eastAsia" w:ascii="仿宋" w:hAnsi="仿宋" w:eastAsia="仿宋" w:cs="仿宋"/>
              <w:color w:val="auto"/>
              <w:sz w:val="24"/>
              <w:szCs w:val="24"/>
              <w:highlight w:val="none"/>
            </w:rPr>
            <w:fldChar w:fldCharType="end"/>
          </w:r>
        </w:p>
        <w:p w14:paraId="18322D6E">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_Toc10564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一、</w:t>
          </w:r>
          <w:r>
            <w:rPr>
              <w:rFonts w:hint="eastAsia" w:ascii="宋体" w:hAnsi="宋体" w:eastAsia="宋体" w:cs="宋体"/>
              <w:sz w:val="24"/>
              <w:szCs w:val="24"/>
              <w:highlight w:val="none"/>
            </w:rPr>
            <w:t>收入支出决算总体情况说明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_Toc10564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7EEABA6">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_Toc13941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二、收入决算情况说明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_Toc13941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575F46E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_Toc26407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三、</w:t>
          </w:r>
          <w:r>
            <w:rPr>
              <w:rFonts w:hint="eastAsia" w:ascii="宋体" w:hAnsi="宋体" w:eastAsia="宋体" w:cs="宋体"/>
              <w:sz w:val="24"/>
              <w:szCs w:val="24"/>
              <w:highlight w:val="none"/>
            </w:rPr>
            <w:t>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_Toc26407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5</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73E07B2">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_Toc11629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四、财政拨款收入支出决算总体情况说明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_Toc11629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5</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3921F03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_Toc28152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五、一般公共预算财政拨款支出决算情况说明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_Toc28152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6</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1AA68B2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_Toc23798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六、一般公共预算财政拨款基本支出决算情况说明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_Toc23798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2C8C9C30">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_Toc32268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七、财政拨款“三公”经费支出决算情况说明</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9</w:t>
          </w:r>
          <w:r>
            <w:rPr>
              <w:rFonts w:hint="eastAsia" w:ascii="宋体" w:hAnsi="宋体" w:eastAsia="宋体" w:cs="宋体"/>
              <w:color w:val="auto"/>
              <w:sz w:val="24"/>
              <w:szCs w:val="24"/>
              <w:highlight w:val="none"/>
            </w:rPr>
            <w:fldChar w:fldCharType="end"/>
          </w:r>
        </w:p>
        <w:p w14:paraId="2DDD9700">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_Toc4292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八、政府性基金预算支出决算情况说明</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4ADEAA16">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_Toc30240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九、</w:t>
          </w:r>
          <w:r>
            <w:rPr>
              <w:rFonts w:hint="eastAsia" w:ascii="宋体" w:hAnsi="宋体" w:eastAsia="宋体" w:cs="宋体"/>
              <w:sz w:val="24"/>
              <w:szCs w:val="24"/>
              <w:highlight w:val="none"/>
            </w:rPr>
            <w:t>国有资本经营预算支出决算情况说明</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7DD5E76E">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_Toc12079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十、</w:t>
          </w:r>
          <w:r>
            <w:rPr>
              <w:rFonts w:hint="eastAsia" w:ascii="宋体" w:hAnsi="宋体" w:eastAsia="宋体" w:cs="宋体"/>
              <w:sz w:val="24"/>
              <w:szCs w:val="24"/>
              <w:highlight w:val="none"/>
            </w:rPr>
            <w:t>其他重要事项的情况说明</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36B0F4B5">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_Toc17291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w:t>
          </w:r>
          <w:r>
            <w:rPr>
              <w:rFonts w:hint="eastAsia" w:ascii="仿宋" w:hAnsi="仿宋" w:eastAsia="仿宋" w:cs="仿宋"/>
              <w:sz w:val="24"/>
              <w:szCs w:val="24"/>
              <w:highlight w:val="none"/>
              <w:lang w:eastAsia="zh-CN"/>
            </w:rPr>
            <w:t>三</w:t>
          </w:r>
          <w:r>
            <w:rPr>
              <w:rFonts w:hint="eastAsia" w:ascii="仿宋" w:hAnsi="仿宋" w:eastAsia="仿宋" w:cs="仿宋"/>
              <w:sz w:val="24"/>
              <w:szCs w:val="24"/>
              <w:highlight w:val="none"/>
            </w:rPr>
            <w:t>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名词解释</w:t>
          </w:r>
          <w:r>
            <w:rPr>
              <w:rFonts w:hint="eastAsia" w:ascii="仿宋" w:hAnsi="仿宋" w:eastAsia="仿宋" w:cs="仿宋"/>
              <w:sz w:val="24"/>
              <w:szCs w:val="24"/>
              <w:highlight w:val="none"/>
            </w:rPr>
            <w:tab/>
          </w:r>
          <w:r>
            <w:rPr>
              <w:rFonts w:hint="eastAsia" w:cs="仿宋"/>
              <w:sz w:val="24"/>
              <w:szCs w:val="24"/>
              <w:highlight w:val="none"/>
              <w:lang w:val="en-US" w:eastAsia="zh-CN"/>
            </w:rPr>
            <w:t>1</w:t>
          </w:r>
          <w:r>
            <w:rPr>
              <w:rFonts w:hint="eastAsia" w:ascii="仿宋" w:hAnsi="仿宋" w:eastAsia="仿宋" w:cs="仿宋"/>
              <w:color w:val="auto"/>
              <w:sz w:val="24"/>
              <w:szCs w:val="24"/>
              <w:highlight w:val="none"/>
            </w:rPr>
            <w:fldChar w:fldCharType="end"/>
          </w:r>
          <w:r>
            <w:rPr>
              <w:rFonts w:hint="eastAsia" w:cs="仿宋"/>
              <w:color w:val="auto"/>
              <w:sz w:val="24"/>
              <w:szCs w:val="24"/>
              <w:highlight w:val="none"/>
              <w:lang w:val="en-US" w:eastAsia="zh-CN"/>
            </w:rPr>
            <w:t>2</w:t>
          </w:r>
        </w:p>
        <w:p w14:paraId="49D213E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_Toc5897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第四部分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 xml:space="preserve"> 附件</w:t>
          </w:r>
          <w:r>
            <w:rPr>
              <w:rFonts w:hint="eastAsia" w:ascii="仿宋" w:hAnsi="仿宋" w:eastAsia="仿宋" w:cs="仿宋"/>
              <w:sz w:val="24"/>
              <w:szCs w:val="24"/>
              <w:highlight w:val="none"/>
            </w:rPr>
            <w:tab/>
          </w:r>
          <w:r>
            <w:rPr>
              <w:rFonts w:hint="eastAsia" w:cs="仿宋"/>
              <w:sz w:val="24"/>
              <w:szCs w:val="24"/>
              <w:highlight w:val="none"/>
              <w:lang w:val="en-US" w:eastAsia="zh-CN"/>
            </w:rPr>
            <w:t>1</w:t>
          </w:r>
          <w:r>
            <w:rPr>
              <w:rFonts w:hint="eastAsia" w:ascii="仿宋" w:hAnsi="仿宋" w:eastAsia="仿宋" w:cs="仿宋"/>
              <w:color w:val="auto"/>
              <w:sz w:val="24"/>
              <w:szCs w:val="24"/>
              <w:highlight w:val="none"/>
            </w:rPr>
            <w:fldChar w:fldCharType="end"/>
          </w:r>
          <w:r>
            <w:rPr>
              <w:rFonts w:hint="eastAsia" w:cs="仿宋"/>
              <w:color w:val="auto"/>
              <w:sz w:val="24"/>
              <w:szCs w:val="24"/>
              <w:highlight w:val="none"/>
              <w:lang w:val="en-US" w:eastAsia="zh-CN"/>
            </w:rPr>
            <w:t>5</w:t>
          </w:r>
        </w:p>
        <w:p w14:paraId="1E6516A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_Toc15689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 xml:space="preserve">第五部分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附表</w:t>
          </w:r>
          <w:r>
            <w:rPr>
              <w:rFonts w:hint="eastAsia" w:ascii="仿宋" w:hAnsi="仿宋" w:eastAsia="仿宋" w:cs="仿宋"/>
              <w:sz w:val="24"/>
              <w:szCs w:val="24"/>
              <w:highlight w:val="none"/>
            </w:rPr>
            <w:tab/>
          </w:r>
          <w:r>
            <w:rPr>
              <w:rFonts w:hint="eastAsia" w:cs="仿宋"/>
              <w:sz w:val="24"/>
              <w:szCs w:val="24"/>
              <w:highlight w:val="none"/>
              <w:lang w:val="en-US" w:eastAsia="zh-CN"/>
            </w:rPr>
            <w:t>1</w:t>
          </w:r>
          <w:r>
            <w:rPr>
              <w:rFonts w:hint="eastAsia" w:ascii="仿宋" w:hAnsi="仿宋" w:eastAsia="仿宋" w:cs="仿宋"/>
              <w:color w:val="auto"/>
              <w:sz w:val="24"/>
              <w:szCs w:val="24"/>
              <w:highlight w:val="none"/>
            </w:rPr>
            <w:fldChar w:fldCharType="end"/>
          </w:r>
          <w:r>
            <w:rPr>
              <w:rFonts w:hint="eastAsia" w:cs="仿宋"/>
              <w:color w:val="auto"/>
              <w:sz w:val="24"/>
              <w:szCs w:val="24"/>
              <w:highlight w:val="none"/>
              <w:lang w:val="en-US" w:eastAsia="zh-CN"/>
            </w:rPr>
            <w:t>9</w:t>
          </w:r>
        </w:p>
        <w:p w14:paraId="574D5DE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_Toc12555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一、收</w:t>
          </w:r>
          <w:r>
            <w:rPr>
              <w:rFonts w:hint="eastAsia" w:ascii="宋体" w:hAnsi="宋体" w:eastAsia="宋体" w:cs="宋体"/>
              <w:bCs w:val="0"/>
              <w:sz w:val="24"/>
              <w:szCs w:val="24"/>
              <w:highlight w:val="none"/>
            </w:rPr>
            <w:t>入支出决算总表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0B23BA9A">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_Toc2100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二、收</w:t>
          </w:r>
          <w:r>
            <w:rPr>
              <w:rFonts w:hint="eastAsia" w:ascii="宋体" w:hAnsi="宋体" w:eastAsia="宋体" w:cs="宋体"/>
              <w:bCs w:val="0"/>
              <w:sz w:val="24"/>
              <w:szCs w:val="24"/>
              <w:highlight w:val="none"/>
            </w:rPr>
            <w:t>入决算表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1DDA9122">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_Toc31133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三、</w:t>
          </w:r>
          <w:r>
            <w:rPr>
              <w:rFonts w:hint="eastAsia" w:ascii="宋体" w:hAnsi="宋体" w:eastAsia="宋体" w:cs="宋体"/>
              <w:sz w:val="24"/>
              <w:szCs w:val="24"/>
              <w:highlight w:val="none"/>
            </w:rPr>
            <w:t>支</w:t>
          </w:r>
          <w:r>
            <w:rPr>
              <w:rFonts w:hint="eastAsia" w:ascii="宋体" w:hAnsi="宋体" w:eastAsia="宋体" w:cs="宋体"/>
              <w:bCs w:val="0"/>
              <w:sz w:val="24"/>
              <w:szCs w:val="24"/>
              <w:highlight w:val="none"/>
            </w:rPr>
            <w:t>出决算表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0DF233E0">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_Toc22047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四、</w:t>
          </w:r>
          <w:r>
            <w:rPr>
              <w:rFonts w:hint="eastAsia" w:ascii="宋体" w:hAnsi="宋体" w:eastAsia="宋体" w:cs="宋体"/>
              <w:sz w:val="24"/>
              <w:szCs w:val="24"/>
              <w:highlight w:val="none"/>
            </w:rPr>
            <w:t>财</w:t>
          </w:r>
          <w:r>
            <w:rPr>
              <w:rFonts w:hint="eastAsia" w:ascii="宋体" w:hAnsi="宋体" w:eastAsia="宋体" w:cs="宋体"/>
              <w:bCs w:val="0"/>
              <w:sz w:val="24"/>
              <w:szCs w:val="24"/>
              <w:highlight w:val="none"/>
            </w:rPr>
            <w:t>政拨款收入支出决算总表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2C62810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_Toc11797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五、</w:t>
          </w:r>
          <w:r>
            <w:rPr>
              <w:rFonts w:hint="eastAsia" w:ascii="宋体" w:hAnsi="宋体" w:eastAsia="宋体" w:cs="宋体"/>
              <w:sz w:val="24"/>
              <w:szCs w:val="24"/>
              <w:highlight w:val="none"/>
            </w:rPr>
            <w:t>财</w:t>
          </w:r>
          <w:r>
            <w:rPr>
              <w:rFonts w:hint="eastAsia" w:ascii="宋体" w:hAnsi="宋体" w:eastAsia="宋体" w:cs="宋体"/>
              <w:bCs w:val="0"/>
              <w:sz w:val="24"/>
              <w:szCs w:val="24"/>
              <w:highlight w:val="none"/>
            </w:rPr>
            <w:t>政拨款支出决算明细表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7A1C700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_Toc7857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六、</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般公共预算财政拨款支出决算表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0543015A">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_Toc24726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七、</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般公共预算财政拨款支出决算明细表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15A0F999">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_Toc10288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八、</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般公共预算财政拨款基本支出决算表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703DC3F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_Toc4146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九、</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般公共预算财政拨款项目支出决算表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1FA9090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_Toc10149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w:t>
          </w:r>
          <w:r>
            <w:rPr>
              <w:rFonts w:hint="eastAsia" w:ascii="宋体" w:hAnsi="宋体" w:eastAsia="宋体" w:cs="宋体"/>
              <w:sz w:val="24"/>
              <w:szCs w:val="24"/>
              <w:highlight w:val="none"/>
            </w:rPr>
            <w:t>政</w:t>
          </w:r>
          <w:r>
            <w:rPr>
              <w:rFonts w:hint="eastAsia" w:ascii="宋体" w:hAnsi="宋体" w:eastAsia="宋体" w:cs="宋体"/>
              <w:bCs w:val="0"/>
              <w:sz w:val="24"/>
              <w:szCs w:val="24"/>
              <w:highlight w:val="none"/>
            </w:rPr>
            <w:t>府性基金预算财政拨款收入支出决算表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117A831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_Toc3856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十一、</w:t>
          </w:r>
          <w:r>
            <w:rPr>
              <w:rFonts w:hint="eastAsia" w:ascii="宋体" w:hAnsi="宋体" w:eastAsia="宋体" w:cs="宋体"/>
              <w:sz w:val="24"/>
              <w:szCs w:val="24"/>
              <w:highlight w:val="none"/>
            </w:rPr>
            <w:t>国</w:t>
          </w:r>
          <w:r>
            <w:rPr>
              <w:rFonts w:hint="eastAsia" w:ascii="宋体" w:hAnsi="宋体" w:eastAsia="宋体" w:cs="宋体"/>
              <w:bCs w:val="0"/>
              <w:sz w:val="24"/>
              <w:szCs w:val="24"/>
              <w:highlight w:val="none"/>
            </w:rPr>
            <w:t>有资本经营预算</w:t>
          </w:r>
          <w:r>
            <w:rPr>
              <w:rFonts w:hint="eastAsia" w:ascii="宋体" w:hAnsi="宋体" w:eastAsia="宋体" w:cs="宋体"/>
              <w:bCs w:val="0"/>
              <w:sz w:val="24"/>
              <w:szCs w:val="24"/>
              <w:highlight w:val="none"/>
              <w:lang w:eastAsia="zh-CN"/>
            </w:rPr>
            <w:t>财政拨款收入</w:t>
          </w:r>
          <w:r>
            <w:rPr>
              <w:rFonts w:hint="eastAsia" w:ascii="宋体" w:hAnsi="宋体" w:eastAsia="宋体" w:cs="宋体"/>
              <w:bCs w:val="0"/>
              <w:sz w:val="24"/>
              <w:szCs w:val="24"/>
              <w:highlight w:val="none"/>
            </w:rPr>
            <w:t>支出决算表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727F05D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_Toc15091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十二、</w:t>
          </w:r>
          <w:r>
            <w:rPr>
              <w:rFonts w:hint="eastAsia" w:ascii="宋体" w:hAnsi="宋体" w:eastAsia="宋体" w:cs="宋体"/>
              <w:bCs w:val="0"/>
              <w:sz w:val="24"/>
              <w:szCs w:val="24"/>
              <w:highlight w:val="none"/>
              <w:lang w:eastAsia="zh-CN"/>
            </w:rPr>
            <w:t>国有资本经营预算财政拨款支出决算表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7E087442">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_Toc3728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十三、</w:t>
          </w:r>
          <w:r>
            <w:rPr>
              <w:rFonts w:hint="eastAsia" w:ascii="宋体" w:hAnsi="宋体" w:eastAsia="宋体" w:cs="宋体"/>
              <w:bCs w:val="0"/>
              <w:sz w:val="24"/>
              <w:szCs w:val="24"/>
              <w:highlight w:val="none"/>
              <w:lang w:eastAsia="zh-CN"/>
            </w:rPr>
            <w:t>财政拨款“三公”经费支出决算表</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1667E59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sz w:val="24"/>
              <w:szCs w:val="24"/>
              <w:highlight w:val="none"/>
            </w:rPr>
            <w:fldChar w:fldCharType="end"/>
          </w:r>
          <w:bookmarkStart w:id="82" w:name="_GoBack"/>
          <w:bookmarkEnd w:id="82"/>
        </w:p>
      </w:sdtContent>
    </w:sdt>
    <w:p w14:paraId="316C60DE">
      <w:pPr>
        <w:pStyle w:val="16"/>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47360B2C">
      <w:pPr>
        <w:pStyle w:val="2"/>
        <w:jc w:val="center"/>
        <w:outlineLvl w:val="0"/>
        <w:rPr>
          <w:rFonts w:ascii="Times New Roman" w:hAnsi="Times New Roman" w:eastAsia="黑体"/>
          <w:color w:val="auto"/>
          <w:sz w:val="32"/>
          <w:szCs w:val="32"/>
          <w:highlight w:val="none"/>
        </w:rPr>
      </w:pPr>
      <w:bookmarkStart w:id="8" w:name="_Toc1205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2"/>
          <w:rFonts w:hint="eastAsia" w:eastAsia="方正小标宋简体" w:cs="方正小标宋简体"/>
          <w:b w:val="0"/>
          <w:bCs w:val="0"/>
          <w:color w:val="auto"/>
          <w:highlight w:val="none"/>
          <w:lang w:val="en-US" w:eastAsia="zh-CN"/>
        </w:rPr>
        <w:t>单位</w:t>
      </w:r>
      <w:r>
        <w:rPr>
          <w:rStyle w:val="32"/>
          <w:rFonts w:hint="eastAsia" w:ascii="Times New Roman" w:hAnsi="Times New Roman" w:eastAsia="方正小标宋简体" w:cs="方正小标宋简体"/>
          <w:b w:val="0"/>
          <w:bCs w:val="0"/>
          <w:color w:val="auto"/>
          <w:highlight w:val="none"/>
        </w:rPr>
        <w:t>概况</w:t>
      </w:r>
      <w:bookmarkEnd w:id="6"/>
      <w:bookmarkEnd w:id="7"/>
      <w:bookmarkEnd w:id="8"/>
    </w:p>
    <w:p w14:paraId="71FFFD2B">
      <w:pPr>
        <w:pStyle w:val="3"/>
        <w:outlineLvl w:val="1"/>
        <w:rPr>
          <w:rFonts w:hint="eastAsia" w:ascii="Times New Roman" w:hAnsi="Times New Roman" w:eastAsia="黑体"/>
          <w:b w:val="0"/>
          <w:color w:val="auto"/>
          <w:highlight w:val="none"/>
          <w:lang w:eastAsia="zh-CN"/>
        </w:rPr>
      </w:pPr>
      <w:bookmarkStart w:id="9" w:name="_Toc15396600"/>
      <w:bookmarkStart w:id="10" w:name="_Toc15377197"/>
      <w:bookmarkStart w:id="11" w:name="_Toc11503"/>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val="en-US" w:eastAsia="zh-CN"/>
        </w:rPr>
        <w:t>主要</w:t>
      </w:r>
      <w:r>
        <w:rPr>
          <w:rFonts w:hint="eastAsia" w:ascii="Times New Roman" w:hAnsi="Times New Roman" w:eastAsia="黑体"/>
          <w:b w:val="0"/>
          <w:color w:val="auto"/>
          <w:highlight w:val="none"/>
          <w:lang w:eastAsia="zh-CN"/>
        </w:rPr>
        <w:t>职责</w:t>
      </w:r>
      <w:bookmarkEnd w:id="11"/>
    </w:p>
    <w:p w14:paraId="52E341D3">
      <w:pPr>
        <w:pStyle w:val="18"/>
        <w:keepNext w:val="0"/>
        <w:keepLines w:val="0"/>
        <w:widowControl w:val="0"/>
        <w:suppressLineNumbers w:val="0"/>
        <w:adjustRightInd w:val="0"/>
        <w:snapToGrid w:val="0"/>
        <w:spacing w:before="0" w:beforeLines="0" w:beforeAutospacing="0" w:after="0" w:afterAutospacing="1" w:line="576" w:lineRule="exact"/>
        <w:ind w:left="0" w:right="0" w:firstLine="640" w:firstLineChars="200"/>
        <w:jc w:val="both"/>
        <w:rPr>
          <w:rFonts w:hint="eastAsia" w:ascii="仿宋_GB2312" w:hAnsi="仿宋_GB2312" w:eastAsia="仿宋_GB2312" w:cs="仿宋_GB2312"/>
          <w:kern w:val="0"/>
          <w:sz w:val="32"/>
          <w:szCs w:val="32"/>
        </w:rPr>
      </w:pPr>
      <w:bookmarkStart w:id="12" w:name="_Toc22467"/>
      <w:bookmarkStart w:id="13" w:name="_Toc15377200"/>
      <w:bookmarkStart w:id="14" w:name="_Toc15396601"/>
      <w:r>
        <w:rPr>
          <w:rFonts w:hint="eastAsia" w:ascii="仿宋_GB2312" w:hAnsi="仿宋_GB2312" w:eastAsia="仿宋_GB2312" w:cs="仿宋_GB2312"/>
          <w:kern w:val="0"/>
          <w:sz w:val="32"/>
          <w:szCs w:val="32"/>
          <w:lang w:val="en-US" w:eastAsia="zh-CN" w:bidi="ar"/>
        </w:rPr>
        <w:t>组织实施全民健身计划，培训社会体育指导员，推进全民健身活动的开展；统筹规划全县竞技体育发展和运动项目布局，指导学校体育和青少年竞技体育的协调发展；指导业余体育训练，输送优秀竞技体育后备人才；按规定使用体育彩票公益金。</w:t>
      </w:r>
    </w:p>
    <w:p w14:paraId="25D58AC6">
      <w:pPr>
        <w:pStyle w:val="3"/>
        <w:outlineLvl w:val="1"/>
        <w:rPr>
          <w:rStyle w:val="33"/>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3"/>
          <w:rFonts w:hint="eastAsia" w:ascii="Times New Roman" w:hAnsi="Times New Roman" w:eastAsia="黑体"/>
          <w:b w:val="0"/>
          <w:bCs w:val="0"/>
          <w:color w:val="auto"/>
          <w:highlight w:val="none"/>
        </w:rPr>
        <w:t>构设置</w:t>
      </w:r>
      <w:bookmarkEnd w:id="12"/>
      <w:bookmarkEnd w:id="13"/>
      <w:bookmarkEnd w:id="14"/>
    </w:p>
    <w:p w14:paraId="57BA1F35">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bCs/>
          <w:kern w:val="2"/>
          <w:sz w:val="32"/>
          <w:szCs w:val="32"/>
          <w:lang w:val="en-US" w:eastAsia="zh-CN" w:bidi="ar"/>
        </w:rPr>
      </w:pPr>
      <w:bookmarkStart w:id="15" w:name="_Toc7233"/>
      <w:bookmarkStart w:id="16" w:name="_Toc15396602"/>
      <w:bookmarkStart w:id="17" w:name="_Toc15377204"/>
      <w:r>
        <w:rPr>
          <w:rFonts w:hint="eastAsia" w:ascii="仿宋_GB2312" w:hAnsi="仿宋_GB2312" w:eastAsia="仿宋_GB2312" w:cs="仿宋_GB2312"/>
          <w:bCs/>
          <w:kern w:val="2"/>
          <w:sz w:val="32"/>
          <w:szCs w:val="32"/>
          <w:lang w:val="en-US" w:eastAsia="zh-CN" w:bidi="ar"/>
        </w:rPr>
        <w:t>本单位本年度纳入本套决算编制范围的独立编制机构数共1个，比上年增加0个；独立核算机构数共1个，比上年增加0个。</w:t>
      </w:r>
    </w:p>
    <w:p w14:paraId="164195B0">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bCs/>
          <w:kern w:val="2"/>
          <w:sz w:val="32"/>
          <w:szCs w:val="32"/>
          <w:lang w:val="en-US" w:eastAsia="zh-CN" w:bidi="ar"/>
        </w:rPr>
      </w:pPr>
    </w:p>
    <w:p w14:paraId="08BB6D26">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bCs/>
          <w:kern w:val="2"/>
          <w:sz w:val="32"/>
          <w:szCs w:val="32"/>
          <w:lang w:val="en-US" w:eastAsia="zh-CN" w:bidi="ar"/>
        </w:rPr>
      </w:pPr>
    </w:p>
    <w:p w14:paraId="3FD85AFF">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bCs/>
          <w:kern w:val="2"/>
          <w:sz w:val="32"/>
          <w:szCs w:val="32"/>
          <w:lang w:val="en-US" w:eastAsia="zh-CN" w:bidi="ar"/>
        </w:rPr>
      </w:pPr>
    </w:p>
    <w:p w14:paraId="2996732F">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bCs/>
          <w:kern w:val="2"/>
          <w:sz w:val="32"/>
          <w:szCs w:val="32"/>
          <w:lang w:val="en-US" w:eastAsia="zh-CN" w:bidi="ar"/>
        </w:rPr>
      </w:pPr>
    </w:p>
    <w:p w14:paraId="309E4908">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bCs/>
          <w:kern w:val="2"/>
          <w:sz w:val="32"/>
          <w:szCs w:val="32"/>
          <w:lang w:val="en-US" w:eastAsia="zh-CN" w:bidi="ar"/>
        </w:rPr>
      </w:pPr>
    </w:p>
    <w:p w14:paraId="2EBE707A">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bCs/>
          <w:kern w:val="2"/>
          <w:sz w:val="32"/>
          <w:szCs w:val="32"/>
          <w:lang w:val="en-US" w:eastAsia="zh-CN" w:bidi="ar"/>
        </w:rPr>
      </w:pPr>
    </w:p>
    <w:p w14:paraId="6F609D9F">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bCs/>
          <w:kern w:val="2"/>
          <w:sz w:val="32"/>
          <w:szCs w:val="32"/>
          <w:lang w:val="en-US" w:eastAsia="zh-CN" w:bidi="ar"/>
        </w:rPr>
      </w:pPr>
    </w:p>
    <w:p w14:paraId="7545F8D8">
      <w:pPr>
        <w:pStyle w:val="2"/>
        <w:jc w:val="center"/>
        <w:outlineLvl w:val="0"/>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5"/>
      <w:bookmarkEnd w:id="16"/>
      <w:bookmarkEnd w:id="17"/>
    </w:p>
    <w:p w14:paraId="08D37E52">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18" w:name="_Toc15377205"/>
      <w:bookmarkStart w:id="19" w:name="_Toc15396603"/>
      <w:bookmarkStart w:id="20" w:name="_Toc10564"/>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3"/>
          <w:rFonts w:hint="eastAsia" w:ascii="Times New Roman" w:hAnsi="Times New Roman" w:eastAsia="黑体"/>
          <w:b w:val="0"/>
          <w:color w:val="auto"/>
          <w:highlight w:val="none"/>
        </w:rPr>
        <w:t>入支出决算总体情况说明</w:t>
      </w:r>
      <w:bookmarkEnd w:id="18"/>
      <w:bookmarkEnd w:id="19"/>
      <w:bookmarkEnd w:id="20"/>
    </w:p>
    <w:p w14:paraId="00476742">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41275</wp:posOffset>
            </wp:positionH>
            <wp:positionV relativeFrom="paragraph">
              <wp:posOffset>1226820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653.01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sz w:val="32"/>
          <w:szCs w:val="32"/>
          <w:highlight w:val="none"/>
          <w:lang w:val="en-US" w:eastAsia="zh-CN"/>
        </w:rPr>
        <w:t>193.94</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sz w:val="32"/>
          <w:szCs w:val="32"/>
          <w:highlight w:val="none"/>
          <w:lang w:val="en-US" w:eastAsia="zh-CN"/>
        </w:rPr>
        <w:t>42.25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经费随公用经费及项目经费增加变动。</w:t>
      </w:r>
    </w:p>
    <w:p w14:paraId="0506EA68">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77206"/>
      <w:bookmarkStart w:id="22" w:name="_Toc13941"/>
      <w:bookmarkStart w:id="23" w:name="_Toc15396604"/>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3911322F">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653.01</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625.97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96</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lang w:val="en-US" w:eastAsia="zh-CN"/>
        </w:rPr>
        <w:t>27.04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p>
    <w:p w14:paraId="0BC78930">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59AFF399">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24" w:name="_Toc15377207"/>
      <w:bookmarkStart w:id="25" w:name="_Toc26407"/>
      <w:bookmarkStart w:id="26"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3"/>
          <w:rFonts w:hint="eastAsia" w:ascii="Times New Roman" w:hAnsi="Times New Roman" w:eastAsia="黑体"/>
          <w:b w:val="0"/>
          <w:color w:val="auto"/>
          <w:highlight w:val="none"/>
        </w:rPr>
        <w:t>出决算情况说明</w:t>
      </w:r>
      <w:bookmarkEnd w:id="24"/>
      <w:bookmarkEnd w:id="25"/>
      <w:bookmarkEnd w:id="26"/>
    </w:p>
    <w:p w14:paraId="265AC5DE">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653.01</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555.97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85</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97.04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lang w:eastAsia="zh-CN"/>
        </w:rPr>
        <w:t>%。</w:t>
      </w:r>
    </w:p>
    <w:p w14:paraId="5A01262A">
      <w:pPr>
        <w:spacing w:line="600" w:lineRule="exact"/>
        <w:ind w:firstLine="640" w:firstLineChars="200"/>
        <w:outlineLvl w:val="1"/>
        <w:rPr>
          <w:rStyle w:val="33"/>
          <w:rFonts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3360"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27" w:name="_Toc15377208"/>
      <w:bookmarkStart w:id="28" w:name="_Toc15396606"/>
      <w:bookmarkStart w:id="29" w:name="_Toc11629"/>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27"/>
      <w:bookmarkEnd w:id="28"/>
      <w:bookmarkEnd w:id="29"/>
    </w:p>
    <w:p w14:paraId="06E577E6">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653.01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ascii="仿宋_GB2312" w:hAnsi="仿宋_GB2312" w:eastAsia="仿宋_GB2312" w:cs="仿宋_GB2312"/>
          <w:sz w:val="32"/>
          <w:szCs w:val="32"/>
          <w:highlight w:val="none"/>
          <w:lang w:val="en-US" w:eastAsia="zh-CN"/>
        </w:rPr>
        <w:t>193.94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42.25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经费随公用经费及项目经费增加变动。</w:t>
      </w:r>
    </w:p>
    <w:p w14:paraId="47B10279">
      <w:pPr>
        <w:pStyle w:val="16"/>
        <w:outlineLvl w:val="9"/>
        <w:rPr>
          <w:rFonts w:hint="eastAsia"/>
          <w:highlight w:val="none"/>
          <w:lang w:val="en-US" w:eastAsia="zh-CN"/>
        </w:rPr>
      </w:pPr>
    </w:p>
    <w:p w14:paraId="56DC149D">
      <w:pPr>
        <w:spacing w:line="600" w:lineRule="exact"/>
        <w:ind w:firstLine="640" w:firstLineChars="200"/>
        <w:outlineLvl w:val="1"/>
        <w:rPr>
          <w:rStyle w:val="33"/>
          <w:rFonts w:ascii="Times New Roman" w:hAnsi="Times New Roman" w:eastAsia="黑体"/>
          <w:b w:val="0"/>
          <w:color w:val="auto"/>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30" w:name="_Toc28152"/>
      <w:bookmarkStart w:id="31" w:name="_Toc15396607"/>
      <w:bookmarkStart w:id="32"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般公共预算财政拨款支出决算情况说明</w:t>
      </w:r>
      <w:bookmarkEnd w:id="30"/>
      <w:bookmarkEnd w:id="31"/>
      <w:bookmarkEnd w:id="32"/>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034B1FD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122555</wp:posOffset>
            </wp:positionH>
            <wp:positionV relativeFrom="paragraph">
              <wp:posOffset>1615440</wp:posOffset>
            </wp:positionV>
            <wp:extent cx="5256530" cy="2833370"/>
            <wp:effectExtent l="4445" t="4445" r="15875" b="1968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625.97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96</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ascii="仿宋_GB2312" w:hAnsi="仿宋_GB2312" w:eastAsia="仿宋_GB2312" w:cs="仿宋_GB2312"/>
          <w:sz w:val="32"/>
          <w:szCs w:val="32"/>
          <w:highlight w:val="none"/>
          <w:lang w:val="en-US" w:eastAsia="zh-CN"/>
        </w:rPr>
        <w:t>206.38</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49.19</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经费随公用经费及项目经费增加变动。</w:t>
      </w:r>
      <w:bookmarkStart w:id="34" w:name="_Toc15377211"/>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63C75205">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625.97万元，主要用于以下方面：文化旅游体育与传媒支出486.48万元，占77.72%；社会保障和就业支出69.24万元，占11.06%；卫生健康支出29.64万元，占4.73%；住房保障支出40.6万元，占6.49%。</w:t>
      </w:r>
    </w:p>
    <w:p w14:paraId="2DF92B7F">
      <w:pPr>
        <w:pStyle w:val="16"/>
        <w:rPr>
          <w:rFonts w:hint="eastAsia"/>
          <w:highlight w:val="none"/>
          <w:lang w:val="en-US" w:eastAsia="zh-CN"/>
        </w:rPr>
      </w:pPr>
    </w:p>
    <w:p w14:paraId="360E76A0">
      <w:pPr>
        <w:pStyle w:val="9"/>
        <w:ind w:left="0" w:leftChars="0" w:firstLine="0" w:firstLineChars="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14:paraId="32C683C3">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bookmarkStart w:id="36" w:name="_Toc15377213"/>
      <w:bookmarkStart w:id="37" w:name="_Toc15378460"/>
      <w:bookmarkStart w:id="38" w:name="_Toc1537744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625.97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14:paraId="51D9DBE2">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39" w:name="_Toc15377214"/>
      <w:bookmarkStart w:id="40" w:name="_Toc15396608"/>
      <w:bookmarkStart w:id="41" w:name="_Toc23798"/>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体育</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体育场馆</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70</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338C5B89">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default"/>
          <w:highlight w:val="none"/>
          <w:lang w:val="en-US" w:eastAsia="zh-CN"/>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416.48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09B14265">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48.63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2EB36072">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20.61</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69CCC03F">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事业单位医疗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29.64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DE8E4B5">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40.6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92899EA">
      <w:pPr>
        <w:tabs>
          <w:tab w:val="right" w:pos="8306"/>
        </w:tabs>
        <w:spacing w:line="600" w:lineRule="exact"/>
        <w:ind w:firstLine="640"/>
        <w:outlineLvl w:val="1"/>
        <w:rPr>
          <w:rStyle w:val="33"/>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39"/>
      <w:bookmarkEnd w:id="40"/>
      <w:bookmarkEnd w:id="41"/>
      <w:r>
        <w:rPr>
          <w:rStyle w:val="33"/>
          <w:rFonts w:ascii="Times New Roman" w:hAnsi="Times New Roman" w:eastAsia="黑体"/>
          <w:b w:val="0"/>
          <w:color w:val="auto"/>
          <w:highlight w:val="none"/>
        </w:rPr>
        <w:tab/>
      </w:r>
    </w:p>
    <w:p w14:paraId="3F8DB63B">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555.97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81D479E">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540.79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15.18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32232BB">
      <w:pPr>
        <w:spacing w:line="600" w:lineRule="exact"/>
        <w:ind w:firstLine="640"/>
        <w:outlineLvl w:val="1"/>
        <w:rPr>
          <w:rStyle w:val="33"/>
          <w:rFonts w:ascii="Times New Roman" w:hAnsi="Times New Roman" w:eastAsia="黑体"/>
          <w:b w:val="0"/>
          <w:color w:val="auto"/>
          <w:highlight w:val="none"/>
        </w:rPr>
      </w:pPr>
      <w:bookmarkStart w:id="42" w:name="_Toc15396609"/>
      <w:bookmarkStart w:id="43" w:name="_Toc15377215"/>
      <w:bookmarkStart w:id="44" w:name="_Toc32268"/>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Style w:val="33"/>
          <w:rFonts w:hint="eastAsia" w:ascii="Times New Roman" w:hAnsi="Times New Roman" w:eastAsia="黑体"/>
          <w:color w:val="auto"/>
          <w:highlight w:val="none"/>
        </w:rPr>
        <w:t>“</w:t>
      </w:r>
      <w:r>
        <w:rPr>
          <w:rStyle w:val="33"/>
          <w:rFonts w:hint="eastAsia" w:ascii="Times New Roman" w:hAnsi="Times New Roman" w:eastAsia="黑体"/>
          <w:b w:val="0"/>
          <w:color w:val="auto"/>
          <w:highlight w:val="none"/>
        </w:rPr>
        <w:t>三公”经费支出决算情况说明</w:t>
      </w:r>
      <w:bookmarkEnd w:id="42"/>
      <w:bookmarkEnd w:id="43"/>
      <w:bookmarkEnd w:id="44"/>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5"/>
    </w:p>
    <w:p w14:paraId="2370DED8">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6"/>
    </w:p>
    <w:p w14:paraId="73ED10F1">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5F9EB77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60288"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度相比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4A38F644">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7" w:name="_Toc15377218"/>
      <w:bookmarkStart w:id="48" w:name="_Toc15396610"/>
    </w:p>
    <w:p w14:paraId="16B733E7">
      <w:pPr>
        <w:spacing w:line="600" w:lineRule="exact"/>
        <w:ind w:firstLine="640"/>
        <w:outlineLvl w:val="1"/>
        <w:rPr>
          <w:rStyle w:val="33"/>
          <w:rFonts w:ascii="Times New Roman" w:hAnsi="Times New Roman" w:eastAsia="黑体"/>
          <w:color w:val="auto"/>
          <w:highlight w:val="none"/>
        </w:rPr>
      </w:pPr>
      <w:bookmarkStart w:id="49" w:name="_Toc4292"/>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47"/>
      <w:bookmarkEnd w:id="48"/>
      <w:bookmarkEnd w:id="49"/>
    </w:p>
    <w:p w14:paraId="05B5037C">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27.04</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12.44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31.51</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pacing w:line="600" w:lineRule="exact"/>
        <w:ind w:left="630" w:leftChars="0"/>
        <w:outlineLvl w:val="1"/>
        <w:rPr>
          <w:rStyle w:val="33"/>
          <w:rFonts w:ascii="Times New Roman" w:hAnsi="Times New Roman" w:eastAsia="黑体"/>
          <w:b w:val="0"/>
          <w:color w:val="auto"/>
          <w:highlight w:val="none"/>
        </w:rPr>
      </w:pPr>
      <w:bookmarkStart w:id="50" w:name="_Toc30240"/>
      <w:bookmarkStart w:id="51" w:name="_Toc15377219"/>
      <w:bookmarkStart w:id="52" w:name="_Toc15396611"/>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50"/>
      <w:bookmarkEnd w:id="51"/>
      <w:bookmarkEnd w:id="52"/>
    </w:p>
    <w:p w14:paraId="10E1E4CF">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3"/>
          <w:rFonts w:hint="eastAsia" w:ascii="Times New Roman" w:hAnsi="Times New Roman" w:eastAsia="黑体"/>
          <w:b w:val="0"/>
          <w:color w:val="auto"/>
          <w:highlight w:val="none"/>
        </w:rPr>
      </w:pPr>
      <w:bookmarkStart w:id="53" w:name="_Toc12079"/>
      <w:bookmarkStart w:id="54" w:name="_Toc15396612"/>
      <w:bookmarkStart w:id="55" w:name="_Toc15377221"/>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53"/>
      <w:bookmarkEnd w:id="54"/>
      <w:bookmarkEnd w:id="55"/>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3AA99B3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茂县体育管理中心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14:paraId="75840CD0">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茂县体育管理中心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7CD4817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茂县体育管理中心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5777AA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预算编制阶段，组织对2025年中央和省级财政公共体育场馆向社会免费或低收费开放补助资金、体育馆免开县级配套资金10万元</w:t>
      </w:r>
      <w:r>
        <w:rPr>
          <w:rFonts w:hint="eastAsia" w:ascii="仿宋_GB2312" w:hAnsi="Times New Roman" w:eastAsia="仿宋_GB2312" w:cs="Times New Roman"/>
          <w:color w:val="auto"/>
          <w:sz w:val="32"/>
          <w:szCs w:val="32"/>
          <w:highlight w:val="none"/>
          <w:lang w:val="en-US" w:eastAsia="zh-CN"/>
        </w:rPr>
        <w:t>2个项目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hAnsi="Times New Roman" w:eastAsia="仿宋_GB2312" w:cs="Times New Roman"/>
          <w:color w:val="auto"/>
          <w:sz w:val="32"/>
          <w:szCs w:val="32"/>
          <w:highlight w:val="none"/>
          <w:lang w:val="en-US" w:eastAsia="zh-CN"/>
        </w:rPr>
        <w:t>2</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hAnsi="Times New Roman" w:eastAsia="仿宋_GB2312" w:cs="Times New Roman"/>
          <w:color w:val="auto"/>
          <w:sz w:val="32"/>
          <w:szCs w:val="32"/>
          <w:highlight w:val="none"/>
          <w:lang w:val="en-US" w:eastAsia="zh-CN"/>
        </w:rPr>
        <w:t>2</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hAnsi="Times New Roman" w:eastAsia="仿宋_GB2312" w:cs="Times New Roman"/>
          <w:color w:val="auto"/>
          <w:sz w:val="32"/>
          <w:szCs w:val="32"/>
          <w:highlight w:val="none"/>
          <w:lang w:val="en-US" w:eastAsia="zh-CN"/>
        </w:rPr>
        <w:t>2个项目开展绩效自评，绩效自评表详见第四部分附件</w:t>
      </w:r>
      <w:r>
        <w:rPr>
          <w:rFonts w:hint="eastAsia" w:eastAsia="仿宋_GB2312" w:cs="仿宋_GB2312"/>
          <w:color w:val="auto"/>
          <w:kern w:val="2"/>
          <w:sz w:val="32"/>
          <w:szCs w:val="32"/>
          <w:highlight w:val="none"/>
          <w:lang w:val="en-US" w:eastAsia="zh-CN" w:bidi="ar-SA"/>
        </w:rPr>
        <w:t>。</w:t>
      </w:r>
    </w:p>
    <w:p w14:paraId="4F8BC2C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9" w:name="_Toc17291"/>
      <w:bookmarkStart w:id="60" w:name="_Toc15377225"/>
      <w:bookmarkStart w:id="61" w:name="_Toc15396613"/>
    </w:p>
    <w:p w14:paraId="07286D1B">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EFA848D">
      <w:pPr>
        <w:numPr>
          <w:ilvl w:val="0"/>
          <w:numId w:val="0"/>
        </w:numPr>
        <w:spacing w:line="600" w:lineRule="exact"/>
        <w:jc w:val="both"/>
        <w:outlineLvl w:val="0"/>
        <w:rPr>
          <w:rFonts w:hint="eastAsia" w:ascii="Times New Roman" w:hAnsi="Times New Roman" w:eastAsia="黑体"/>
          <w:color w:val="auto"/>
          <w:sz w:val="44"/>
          <w:szCs w:val="44"/>
          <w:highlight w:val="none"/>
        </w:rPr>
      </w:pPr>
    </w:p>
    <w:p w14:paraId="4DF8422F">
      <w:pPr>
        <w:numPr>
          <w:ilvl w:val="0"/>
          <w:numId w:val="0"/>
        </w:numPr>
        <w:spacing w:line="600" w:lineRule="exact"/>
        <w:jc w:val="center"/>
        <w:outlineLvl w:val="0"/>
        <w:rPr>
          <w:rFonts w:ascii="Times New Roman" w:hAnsi="Times New Roman"/>
          <w:b/>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bookmarkEnd w:id="61"/>
    </w:p>
    <w:p w14:paraId="3EB4FCB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bookmarkStart w:id="62" w:name="_Toc15377226"/>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62E6DA0A">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67B1A36D">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3F5632F6">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011A2CB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6F02917D">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6B2CE7A6">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23C8038F">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6753F365">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体育</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体育场馆</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:反映体育场馆建设及维护等方面的支出</w:t>
      </w:r>
      <w:r>
        <w:rPr>
          <w:rFonts w:hint="eastAsia" w:eastAsia="仿宋_GB2312" w:cs="仿宋_GB2312"/>
          <w:color w:val="auto"/>
          <w:kern w:val="2"/>
          <w:sz w:val="32"/>
          <w:szCs w:val="32"/>
          <w:highlight w:val="none"/>
          <w:lang w:val="en-US" w:eastAsia="zh-CN" w:bidi="ar-SA"/>
        </w:rPr>
        <w:t>。</w:t>
      </w:r>
    </w:p>
    <w:p w14:paraId="19287EC1">
      <w:pPr>
        <w:numPr>
          <w:ilvl w:val="0"/>
          <w:numId w:val="1"/>
        </w:numPr>
        <w:spacing w:line="600" w:lineRule="exact"/>
        <w:ind w:left="0" w:leftChars="0" w:firstLine="400" w:firstLineChars="0"/>
        <w:rPr>
          <w:rFonts w:hint="default"/>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：反映除上述项目以外其他用于文化旅游体育与传媒方面的支出</w:t>
      </w:r>
      <w:r>
        <w:rPr>
          <w:rFonts w:hint="eastAsia" w:eastAsia="仿宋_GB2312" w:cs="仿宋_GB2312"/>
          <w:color w:val="auto"/>
          <w:kern w:val="2"/>
          <w:sz w:val="32"/>
          <w:szCs w:val="32"/>
          <w:highlight w:val="none"/>
          <w:lang w:val="en-US" w:eastAsia="zh-CN" w:bidi="ar-SA"/>
        </w:rPr>
        <w:t>。</w:t>
      </w:r>
    </w:p>
    <w:p w14:paraId="241DC67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:反映机关事业单位实施养老保险制度由单位缴纳的基本养老保险费支出。</w:t>
      </w:r>
    </w:p>
    <w:p w14:paraId="64A26CC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:反映机关事业单位实施养老保险制度由单位实际缴纳的职业年金支出。</w:t>
      </w:r>
    </w:p>
    <w:p w14:paraId="27FFBCCE">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事业单位医疗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14:paraId="2FE8B18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419127C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30111BF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56F5F5D9">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280D443A">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F5626DA">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ED6E53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hAnsi="Times New Roman" w:eastAsia="仿宋_GB2312" w:cs="仿宋_GB2312"/>
          <w:color w:val="auto"/>
          <w:kern w:val="2"/>
          <w:sz w:val="32"/>
          <w:szCs w:val="32"/>
          <w:highlight w:val="none"/>
          <w:lang w:val="en-US" w:eastAsia="zh-CN" w:bidi="ar-SA"/>
        </w:rPr>
        <w:br w:type="page"/>
      </w:r>
      <w:bookmarkStart w:id="63" w:name="_Hlk110546638"/>
    </w:p>
    <w:bookmarkEnd w:id="63"/>
    <w:p w14:paraId="3738C649">
      <w:pPr>
        <w:spacing w:line="600" w:lineRule="exact"/>
        <w:jc w:val="center"/>
        <w:outlineLvl w:val="0"/>
        <w:rPr>
          <w:rFonts w:hint="eastAsia" w:ascii="Times New Roman" w:hAnsi="Times New Roman" w:eastAsia="黑体" w:cs="方正小标宋简体"/>
          <w:color w:val="auto"/>
          <w:sz w:val="44"/>
          <w:szCs w:val="44"/>
          <w:highlight w:val="none"/>
          <w:lang w:val="en-US" w:eastAsia="zh-CN"/>
        </w:rPr>
      </w:pPr>
      <w:bookmarkStart w:id="64" w:name="_Toc5897"/>
      <w:bookmarkStart w:id="65"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4"/>
      <w:bookmarkEnd w:id="65"/>
    </w:p>
    <w:p w14:paraId="388ED93E">
      <w:pPr>
        <w:pStyle w:val="9"/>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en-US" w:eastAsia="zh-CN"/>
        </w:rPr>
      </w:pPr>
      <w:r>
        <w:rPr>
          <w:rFonts w:hint="eastAsia" w:hAnsi="Times New Roman" w:cs="Times New Roman"/>
          <w:sz w:val="32"/>
          <w:szCs w:val="32"/>
          <w:highlight w:val="none"/>
          <w:lang w:val="en-US" w:eastAsia="zh-CN"/>
        </w:rPr>
        <w:t>单位预算项目支出绩效自评表（2025年度）</w:t>
      </w:r>
    </w:p>
    <w:tbl>
      <w:tblPr>
        <w:tblStyle w:val="1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9"/>
        <w:gridCol w:w="716"/>
        <w:gridCol w:w="757"/>
        <w:gridCol w:w="825"/>
        <w:gridCol w:w="441"/>
        <w:gridCol w:w="764"/>
        <w:gridCol w:w="440"/>
        <w:gridCol w:w="925"/>
        <w:gridCol w:w="498"/>
        <w:gridCol w:w="498"/>
        <w:gridCol w:w="1969"/>
      </w:tblGrid>
      <w:tr w14:paraId="57C57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E3F8EF">
            <w:pPr>
              <w:keepNext w:val="0"/>
              <w:keepLines w:val="0"/>
              <w:widowControl/>
              <w:suppressLineNumbers w:val="0"/>
              <w:snapToGrid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4E675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98634">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17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3465B1">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51322322T000000345527-体育馆免开县级配套资金10万元</w:t>
            </w:r>
          </w:p>
        </w:tc>
      </w:tr>
      <w:tr w14:paraId="3D06F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30BF4">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18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DA262E">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茂县文化广播电视体育和旅游局</w:t>
            </w:r>
          </w:p>
        </w:tc>
        <w:tc>
          <w:tcPr>
            <w:tcW w:w="542" w:type="pct"/>
            <w:tcBorders>
              <w:top w:val="nil"/>
              <w:left w:val="nil"/>
              <w:bottom w:val="nil"/>
              <w:right w:val="nil"/>
            </w:tcBorders>
            <w:shd w:val="clear" w:color="auto" w:fill="auto"/>
            <w:vAlign w:val="center"/>
          </w:tcPr>
          <w:p w14:paraId="059A2E55">
            <w:pPr>
              <w:keepNext w:val="0"/>
              <w:keepLines w:val="0"/>
              <w:widowControl/>
              <w:suppressLineNumbers w:val="0"/>
              <w:snapToGrid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173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0690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茂县体育管理中心</w:t>
            </w:r>
          </w:p>
        </w:tc>
      </w:tr>
      <w:tr w14:paraId="49F03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560D5">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28134">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18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6CB53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228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F93439">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E146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27197">
            <w:pPr>
              <w:snapToGrid w:val="0"/>
              <w:rPr>
                <w:rFonts w:hint="eastAsia" w:ascii="宋体" w:hAnsi="宋体" w:eastAsia="宋体" w:cs="宋体"/>
                <w:i w:val="0"/>
                <w:iCs w:val="0"/>
                <w:color w:val="000000"/>
                <w:sz w:val="18"/>
                <w:szCs w:val="18"/>
                <w:highlight w:val="none"/>
                <w:u w:val="none"/>
              </w:rPr>
            </w:pP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E49AB">
            <w:pPr>
              <w:snapToGrid w:val="0"/>
              <w:rPr>
                <w:rFonts w:hint="eastAsia" w:ascii="宋体" w:hAnsi="宋体" w:eastAsia="宋体" w:cs="宋体"/>
                <w:i w:val="0"/>
                <w:iCs w:val="0"/>
                <w:color w:val="000000"/>
                <w:sz w:val="18"/>
                <w:szCs w:val="18"/>
                <w:highlight w:val="none"/>
                <w:u w:val="none"/>
              </w:rPr>
            </w:pPr>
          </w:p>
        </w:tc>
        <w:tc>
          <w:tcPr>
            <w:tcW w:w="18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BDB0C3">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体育馆免开县级配套资金10万元</w:t>
            </w:r>
          </w:p>
        </w:tc>
        <w:tc>
          <w:tcPr>
            <w:tcW w:w="228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F4630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本年度完成体育馆面向社会免费开放，满足群众体育健身需求。</w:t>
            </w:r>
          </w:p>
        </w:tc>
      </w:tr>
      <w:tr w14:paraId="2ABE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289D1">
            <w:pPr>
              <w:snapToGrid w:val="0"/>
              <w:rPr>
                <w:rFonts w:hint="eastAsia" w:ascii="宋体" w:hAnsi="宋体" w:eastAsia="宋体" w:cs="宋体"/>
                <w:i w:val="0"/>
                <w:iCs w:val="0"/>
                <w:color w:val="000000"/>
                <w:sz w:val="18"/>
                <w:szCs w:val="18"/>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6A6F7">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17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4E5DFE">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严格按照专项资金的管理办法实施该项目。</w:t>
            </w:r>
          </w:p>
        </w:tc>
      </w:tr>
      <w:tr w14:paraId="51406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9FAE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C76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35FB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9064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9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095E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2208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886A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2B12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264E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F1F3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1D915">
            <w:pPr>
              <w:snapToGrid w:val="0"/>
              <w:jc w:val="center"/>
              <w:rPr>
                <w:rFonts w:hint="eastAsia" w:ascii="宋体" w:hAnsi="宋体" w:eastAsia="宋体" w:cs="宋体"/>
                <w:i w:val="0"/>
                <w:iCs w:val="0"/>
                <w:color w:val="000000"/>
                <w:sz w:val="18"/>
                <w:szCs w:val="18"/>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D52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8D62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87E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9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EEBCD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C2C1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9CFB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4F61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01331">
            <w:pPr>
              <w:keepNext w:val="0"/>
              <w:keepLines w:val="0"/>
              <w:widowControl/>
              <w:suppressLineNumbers w:val="0"/>
              <w:snapToGrid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4CF7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29820">
            <w:pPr>
              <w:snapToGrid w:val="0"/>
              <w:jc w:val="center"/>
              <w:rPr>
                <w:rFonts w:hint="eastAsia" w:ascii="宋体" w:hAnsi="宋体" w:eastAsia="宋体" w:cs="宋体"/>
                <w:i w:val="0"/>
                <w:iCs w:val="0"/>
                <w:color w:val="000000"/>
                <w:sz w:val="18"/>
                <w:szCs w:val="18"/>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87A3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C58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6E65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9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987C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0BDA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E7E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BBFF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B6B8A">
            <w:pPr>
              <w:snapToGrid w:val="0"/>
              <w:rPr>
                <w:rFonts w:hint="eastAsia" w:ascii="黑体" w:hAnsi="黑体" w:eastAsia="黑体" w:cs="黑体"/>
                <w:i/>
                <w:iCs/>
                <w:color w:val="000000"/>
                <w:sz w:val="18"/>
                <w:szCs w:val="18"/>
                <w:highlight w:val="none"/>
                <w:u w:val="none"/>
              </w:rPr>
            </w:pPr>
          </w:p>
        </w:tc>
      </w:tr>
      <w:tr w14:paraId="265E9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A3182">
            <w:pPr>
              <w:snapToGrid w:val="0"/>
              <w:jc w:val="center"/>
              <w:rPr>
                <w:rFonts w:hint="eastAsia" w:ascii="宋体" w:hAnsi="宋体" w:eastAsia="宋体" w:cs="宋体"/>
                <w:i w:val="0"/>
                <w:iCs w:val="0"/>
                <w:color w:val="000000"/>
                <w:sz w:val="18"/>
                <w:szCs w:val="18"/>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28A7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A933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7A72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0CFF5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C818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B840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02A0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FC6D8">
            <w:pPr>
              <w:snapToGrid w:val="0"/>
              <w:rPr>
                <w:rFonts w:hint="eastAsia" w:ascii="黑体" w:hAnsi="黑体" w:eastAsia="黑体" w:cs="黑体"/>
                <w:i/>
                <w:iCs/>
                <w:color w:val="000000"/>
                <w:sz w:val="18"/>
                <w:szCs w:val="18"/>
                <w:highlight w:val="none"/>
                <w:u w:val="none"/>
              </w:rPr>
            </w:pPr>
          </w:p>
        </w:tc>
      </w:tr>
      <w:tr w14:paraId="77855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2BB04">
            <w:pPr>
              <w:snapToGrid w:val="0"/>
              <w:jc w:val="center"/>
              <w:rPr>
                <w:rFonts w:hint="eastAsia" w:ascii="宋体" w:hAnsi="宋体" w:eastAsia="宋体" w:cs="宋体"/>
                <w:i w:val="0"/>
                <w:iCs w:val="0"/>
                <w:color w:val="000000"/>
                <w:sz w:val="18"/>
                <w:szCs w:val="18"/>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EA41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AB10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6F6F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4C761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C9A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F159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99E6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38A18">
            <w:pPr>
              <w:snapToGrid w:val="0"/>
              <w:rPr>
                <w:rFonts w:hint="eastAsia" w:ascii="黑体" w:hAnsi="黑体" w:eastAsia="黑体" w:cs="黑体"/>
                <w:i/>
                <w:iCs/>
                <w:color w:val="000000"/>
                <w:sz w:val="18"/>
                <w:szCs w:val="18"/>
                <w:highlight w:val="none"/>
                <w:u w:val="none"/>
              </w:rPr>
            </w:pPr>
          </w:p>
        </w:tc>
      </w:tr>
      <w:tr w14:paraId="2D2B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FA094">
            <w:pPr>
              <w:snapToGrid w:val="0"/>
              <w:jc w:val="center"/>
              <w:rPr>
                <w:rFonts w:hint="eastAsia" w:ascii="宋体" w:hAnsi="宋体" w:eastAsia="宋体" w:cs="宋体"/>
                <w:i w:val="0"/>
                <w:iCs w:val="0"/>
                <w:color w:val="000000"/>
                <w:sz w:val="18"/>
                <w:szCs w:val="18"/>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A745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C1BAA">
            <w:pPr>
              <w:snapToGrid w:val="0"/>
              <w:jc w:val="center"/>
              <w:rPr>
                <w:rFonts w:hint="eastAsia" w:ascii="微软雅黑" w:hAnsi="微软雅黑" w:eastAsia="微软雅黑" w:cs="微软雅黑"/>
                <w:i/>
                <w:iCs/>
                <w:color w:val="000000"/>
                <w:sz w:val="16"/>
                <w:szCs w:val="16"/>
                <w:highlight w:val="none"/>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E6E2">
            <w:pPr>
              <w:snapToGrid w:val="0"/>
              <w:jc w:val="center"/>
              <w:rPr>
                <w:rFonts w:hint="eastAsia" w:ascii="微软雅黑" w:hAnsi="微软雅黑" w:eastAsia="微软雅黑" w:cs="微软雅黑"/>
                <w:i/>
                <w:iCs/>
                <w:color w:val="000000"/>
                <w:sz w:val="16"/>
                <w:szCs w:val="16"/>
                <w:highlight w:val="none"/>
                <w:u w:val="none"/>
              </w:rPr>
            </w:pPr>
          </w:p>
        </w:tc>
        <w:tc>
          <w:tcPr>
            <w:tcW w:w="9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A05021">
            <w:pPr>
              <w:snapToGrid w:val="0"/>
              <w:jc w:val="center"/>
              <w:rPr>
                <w:rFonts w:hint="eastAsia" w:ascii="微软雅黑" w:hAnsi="微软雅黑" w:eastAsia="微软雅黑" w:cs="微软雅黑"/>
                <w:i/>
                <w:iCs/>
                <w:color w:val="000000"/>
                <w:sz w:val="16"/>
                <w:szCs w:val="16"/>
                <w:highlight w:val="none"/>
                <w:u w:val="none"/>
              </w:rPr>
            </w:pP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42EBF">
            <w:pPr>
              <w:snapToGrid w:val="0"/>
              <w:jc w:val="center"/>
              <w:rPr>
                <w:rFonts w:hint="eastAsia" w:ascii="微软雅黑" w:hAnsi="微软雅黑" w:eastAsia="微软雅黑" w:cs="微软雅黑"/>
                <w:i/>
                <w:iCs/>
                <w:color w:val="000000"/>
                <w:sz w:val="16"/>
                <w:szCs w:val="16"/>
                <w:highlight w:val="none"/>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5041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AA53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61E9D">
            <w:pPr>
              <w:snapToGrid w:val="0"/>
              <w:rPr>
                <w:rFonts w:hint="eastAsia" w:ascii="黑体" w:hAnsi="黑体" w:eastAsia="黑体" w:cs="黑体"/>
                <w:i/>
                <w:iCs/>
                <w:color w:val="000000"/>
                <w:sz w:val="18"/>
                <w:szCs w:val="18"/>
                <w:highlight w:val="none"/>
                <w:u w:val="none"/>
              </w:rPr>
            </w:pPr>
          </w:p>
        </w:tc>
      </w:tr>
      <w:tr w14:paraId="24626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5EC8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7949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9A7F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BAB9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A514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776F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0C9B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954F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2DA2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C29F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F155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02A5C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D8D42">
            <w:pPr>
              <w:snapToGrid w:val="0"/>
              <w:jc w:val="center"/>
              <w:rPr>
                <w:rFonts w:hint="eastAsia" w:ascii="宋体" w:hAnsi="宋体" w:eastAsia="宋体" w:cs="宋体"/>
                <w:i w:val="0"/>
                <w:iCs w:val="0"/>
                <w:color w:val="000000"/>
                <w:sz w:val="18"/>
                <w:szCs w:val="18"/>
                <w:highlight w:val="none"/>
                <w:u w:val="none"/>
              </w:rPr>
            </w:pP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155D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9200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94AE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补助免费低收费体育场馆数量</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84DA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E2FE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BEBC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06B4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8A07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4BAC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60B05">
            <w:pPr>
              <w:snapToGrid w:val="0"/>
              <w:jc w:val="center"/>
              <w:rPr>
                <w:rFonts w:hint="eastAsia" w:ascii="微软雅黑" w:hAnsi="微软雅黑" w:eastAsia="微软雅黑" w:cs="微软雅黑"/>
                <w:i/>
                <w:iCs/>
                <w:color w:val="000000"/>
                <w:sz w:val="16"/>
                <w:szCs w:val="16"/>
                <w:highlight w:val="none"/>
                <w:u w:val="none"/>
              </w:rPr>
            </w:pPr>
          </w:p>
        </w:tc>
      </w:tr>
      <w:tr w14:paraId="3C60B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BBCDD">
            <w:pPr>
              <w:snapToGrid w:val="0"/>
              <w:jc w:val="center"/>
              <w:rPr>
                <w:rFonts w:hint="eastAsia" w:ascii="宋体" w:hAnsi="宋体" w:eastAsia="宋体" w:cs="宋体"/>
                <w:i w:val="0"/>
                <w:iCs w:val="0"/>
                <w:color w:val="000000"/>
                <w:sz w:val="18"/>
                <w:szCs w:val="18"/>
                <w:highlight w:val="none"/>
                <w:u w:val="none"/>
              </w:rPr>
            </w:pP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1D0A8">
            <w:pPr>
              <w:snapToGrid w:val="0"/>
              <w:jc w:val="center"/>
              <w:rPr>
                <w:rFonts w:hint="eastAsia" w:ascii="宋体" w:hAnsi="宋体" w:eastAsia="宋体" w:cs="宋体"/>
                <w:i w:val="0"/>
                <w:iCs w:val="0"/>
                <w:color w:val="000000"/>
                <w:sz w:val="18"/>
                <w:szCs w:val="18"/>
                <w:highlight w:val="none"/>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1080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E3FC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全年开放服务天数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E3E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EF52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CCB2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天</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7B4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4A54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8BF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B4B09">
            <w:pPr>
              <w:snapToGrid w:val="0"/>
              <w:jc w:val="center"/>
              <w:rPr>
                <w:rFonts w:hint="eastAsia" w:ascii="微软雅黑" w:hAnsi="微软雅黑" w:eastAsia="微软雅黑" w:cs="微软雅黑"/>
                <w:i/>
                <w:iCs/>
                <w:color w:val="000000"/>
                <w:sz w:val="16"/>
                <w:szCs w:val="16"/>
                <w:highlight w:val="none"/>
                <w:u w:val="none"/>
              </w:rPr>
            </w:pPr>
          </w:p>
        </w:tc>
      </w:tr>
      <w:tr w14:paraId="014A9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48D51">
            <w:pPr>
              <w:snapToGrid w:val="0"/>
              <w:jc w:val="center"/>
              <w:rPr>
                <w:rFonts w:hint="eastAsia" w:ascii="宋体" w:hAnsi="宋体" w:eastAsia="宋体" w:cs="宋体"/>
                <w:i w:val="0"/>
                <w:iCs w:val="0"/>
                <w:color w:val="000000"/>
                <w:sz w:val="18"/>
                <w:szCs w:val="18"/>
                <w:highlight w:val="none"/>
                <w:u w:val="none"/>
              </w:rPr>
            </w:pP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E8B9C">
            <w:pPr>
              <w:snapToGrid w:val="0"/>
              <w:jc w:val="center"/>
              <w:rPr>
                <w:rFonts w:hint="eastAsia" w:ascii="宋体" w:hAnsi="宋体" w:eastAsia="宋体" w:cs="宋体"/>
                <w:i w:val="0"/>
                <w:iCs w:val="0"/>
                <w:color w:val="000000"/>
                <w:sz w:val="18"/>
                <w:szCs w:val="18"/>
                <w:highlight w:val="none"/>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E3B3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96CA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完成体育场馆开放服务工作时间</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22CF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638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46E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4549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C8BA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2AD8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F06B4">
            <w:pPr>
              <w:snapToGrid w:val="0"/>
              <w:jc w:val="center"/>
              <w:rPr>
                <w:rFonts w:hint="eastAsia" w:ascii="微软雅黑" w:hAnsi="微软雅黑" w:eastAsia="微软雅黑" w:cs="微软雅黑"/>
                <w:i/>
                <w:iCs/>
                <w:color w:val="000000"/>
                <w:sz w:val="16"/>
                <w:szCs w:val="16"/>
                <w:highlight w:val="none"/>
                <w:u w:val="none"/>
              </w:rPr>
            </w:pPr>
          </w:p>
        </w:tc>
      </w:tr>
      <w:tr w14:paraId="367C7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B0721">
            <w:pPr>
              <w:snapToGrid w:val="0"/>
              <w:jc w:val="center"/>
              <w:rPr>
                <w:rFonts w:hint="eastAsia" w:ascii="宋体" w:hAnsi="宋体" w:eastAsia="宋体" w:cs="宋体"/>
                <w:i w:val="0"/>
                <w:iCs w:val="0"/>
                <w:color w:val="000000"/>
                <w:sz w:val="18"/>
                <w:szCs w:val="18"/>
                <w:highlight w:val="none"/>
                <w:u w:val="none"/>
              </w:rPr>
            </w:pP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FE6A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539D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E768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让广大群众热爱体育</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FE0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1527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EAFC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CFE2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962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0916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3206">
            <w:pPr>
              <w:snapToGrid w:val="0"/>
              <w:jc w:val="center"/>
              <w:rPr>
                <w:rFonts w:hint="eastAsia" w:ascii="微软雅黑" w:hAnsi="微软雅黑" w:eastAsia="微软雅黑" w:cs="微软雅黑"/>
                <w:i/>
                <w:iCs/>
                <w:color w:val="000000"/>
                <w:sz w:val="16"/>
                <w:szCs w:val="16"/>
                <w:highlight w:val="none"/>
                <w:u w:val="none"/>
              </w:rPr>
            </w:pPr>
          </w:p>
        </w:tc>
      </w:tr>
      <w:tr w14:paraId="6C089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D97AD">
            <w:pPr>
              <w:snapToGrid w:val="0"/>
              <w:jc w:val="center"/>
              <w:rPr>
                <w:rFonts w:hint="eastAsia" w:ascii="宋体" w:hAnsi="宋体" w:eastAsia="宋体" w:cs="宋体"/>
                <w:i w:val="0"/>
                <w:iCs w:val="0"/>
                <w:color w:val="000000"/>
                <w:sz w:val="18"/>
                <w:szCs w:val="18"/>
                <w:highlight w:val="none"/>
                <w:u w:val="none"/>
              </w:rPr>
            </w:pP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A8BAE">
            <w:pPr>
              <w:snapToGrid w:val="0"/>
              <w:jc w:val="center"/>
              <w:rPr>
                <w:rFonts w:hint="eastAsia" w:ascii="宋体" w:hAnsi="宋体" w:eastAsia="宋体" w:cs="宋体"/>
                <w:i w:val="0"/>
                <w:iCs w:val="0"/>
                <w:color w:val="000000"/>
                <w:sz w:val="18"/>
                <w:szCs w:val="18"/>
                <w:highlight w:val="none"/>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DC0D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ED64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满足群众体育健身需求</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A6B8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BC32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9CB3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A3C6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6EE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5689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E3370">
            <w:pPr>
              <w:snapToGrid w:val="0"/>
              <w:jc w:val="center"/>
              <w:rPr>
                <w:rFonts w:hint="eastAsia" w:ascii="微软雅黑" w:hAnsi="微软雅黑" w:eastAsia="微软雅黑" w:cs="微软雅黑"/>
                <w:i/>
                <w:iCs/>
                <w:color w:val="000000"/>
                <w:sz w:val="16"/>
                <w:szCs w:val="16"/>
                <w:highlight w:val="none"/>
                <w:u w:val="none"/>
              </w:rPr>
            </w:pPr>
          </w:p>
        </w:tc>
      </w:tr>
      <w:tr w14:paraId="40AFE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07A72">
            <w:pPr>
              <w:snapToGrid w:val="0"/>
              <w:jc w:val="center"/>
              <w:rPr>
                <w:rFonts w:hint="eastAsia" w:ascii="宋体" w:hAnsi="宋体" w:eastAsia="宋体" w:cs="宋体"/>
                <w:i w:val="0"/>
                <w:iCs w:val="0"/>
                <w:color w:val="000000"/>
                <w:sz w:val="18"/>
                <w:szCs w:val="18"/>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C8E9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7B43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9D06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13BD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1ED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DAE6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1857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2259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13B3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02A6F">
            <w:pPr>
              <w:snapToGrid w:val="0"/>
              <w:jc w:val="center"/>
              <w:rPr>
                <w:rFonts w:hint="eastAsia" w:ascii="微软雅黑" w:hAnsi="微软雅黑" w:eastAsia="微软雅黑" w:cs="微软雅黑"/>
                <w:i/>
                <w:iCs/>
                <w:color w:val="000000"/>
                <w:sz w:val="16"/>
                <w:szCs w:val="16"/>
                <w:highlight w:val="none"/>
                <w:u w:val="none"/>
              </w:rPr>
            </w:pPr>
          </w:p>
        </w:tc>
      </w:tr>
      <w:tr w14:paraId="65359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F98A6">
            <w:pPr>
              <w:snapToGrid w:val="0"/>
              <w:jc w:val="center"/>
              <w:rPr>
                <w:rFonts w:hint="eastAsia" w:ascii="宋体" w:hAnsi="宋体" w:eastAsia="宋体" w:cs="宋体"/>
                <w:i w:val="0"/>
                <w:iCs w:val="0"/>
                <w:color w:val="000000"/>
                <w:sz w:val="18"/>
                <w:szCs w:val="18"/>
                <w:highlight w:val="none"/>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A000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48D8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113D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免开支出</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ED5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87F9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5D0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元</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551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F07A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5CA4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D2A16">
            <w:pPr>
              <w:snapToGrid w:val="0"/>
              <w:jc w:val="center"/>
              <w:rPr>
                <w:rFonts w:hint="eastAsia" w:ascii="微软雅黑" w:hAnsi="微软雅黑" w:eastAsia="微软雅黑" w:cs="微软雅黑"/>
                <w:i/>
                <w:iCs/>
                <w:color w:val="000000"/>
                <w:sz w:val="16"/>
                <w:szCs w:val="16"/>
                <w:highlight w:val="none"/>
                <w:u w:val="none"/>
              </w:rPr>
            </w:pPr>
          </w:p>
        </w:tc>
      </w:tr>
      <w:tr w14:paraId="0BD4B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61"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5F790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9E10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CAAE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0618F">
            <w:pPr>
              <w:snapToGrid w:val="0"/>
              <w:rPr>
                <w:rFonts w:hint="eastAsia" w:ascii="宋体" w:hAnsi="宋体" w:eastAsia="宋体" w:cs="宋体"/>
                <w:i w:val="0"/>
                <w:iCs w:val="0"/>
                <w:color w:val="000000"/>
                <w:sz w:val="18"/>
                <w:szCs w:val="18"/>
                <w:highlight w:val="none"/>
                <w:u w:val="none"/>
              </w:rPr>
            </w:pPr>
          </w:p>
        </w:tc>
      </w:tr>
      <w:tr w14:paraId="7200D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792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59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321F7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该项资金使用规范、管理严格、执行到位、资金使用效益显著、有效提升了县域公共体育服务水平，推动了全民健身事业发展。</w:t>
            </w:r>
          </w:p>
        </w:tc>
      </w:tr>
      <w:tr w14:paraId="74237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8038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59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C323A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5A3C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44CF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59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06304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0650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48FF5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项目负责人：蔡露渠</w:t>
            </w:r>
          </w:p>
        </w:tc>
        <w:tc>
          <w:tcPr>
            <w:tcW w:w="2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FEC58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财务负责人：邓广惠</w:t>
            </w:r>
          </w:p>
        </w:tc>
      </w:tr>
    </w:tbl>
    <w:p w14:paraId="23777B09">
      <w:pPr>
        <w:pStyle w:val="9"/>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zh-CN" w:eastAsia="zh-CN"/>
        </w:rPr>
      </w:pPr>
    </w:p>
    <w:p w14:paraId="168B10AF">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6A535B2A">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006DAEA5">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29746C37">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5D5D0EE6">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31C282AE">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6B155789">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0A3F111F">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44A8B38E">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03CA86C2">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3C08324C">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2C8706B7">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p w14:paraId="7EF1102C">
      <w:pPr>
        <w:pStyle w:val="9"/>
        <w:keepNext w:val="0"/>
        <w:keepLines w:val="0"/>
        <w:pageBreakBefore w:val="0"/>
        <w:numPr>
          <w:ilvl w:val="0"/>
          <w:numId w:val="0"/>
        </w:numPr>
        <w:kinsoku/>
        <w:wordWrap/>
        <w:overflowPunct/>
        <w:topLinePunct w:val="0"/>
        <w:autoSpaceDE/>
        <w:autoSpaceDN/>
        <w:bidi w:val="0"/>
        <w:spacing w:line="560" w:lineRule="exact"/>
        <w:jc w:val="both"/>
        <w:textAlignment w:val="auto"/>
        <w:rPr>
          <w:rFonts w:hint="eastAsia" w:hAnsi="Times New Roman" w:cs="Times New Roman"/>
          <w:sz w:val="32"/>
          <w:szCs w:val="32"/>
          <w:highlight w:val="none"/>
          <w:lang w:val="zh-CN" w:eastAsia="zh-CN"/>
        </w:rPr>
      </w:pPr>
    </w:p>
    <w:tbl>
      <w:tblPr>
        <w:tblStyle w:val="1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7"/>
        <w:gridCol w:w="724"/>
        <w:gridCol w:w="687"/>
        <w:gridCol w:w="1023"/>
        <w:gridCol w:w="447"/>
        <w:gridCol w:w="511"/>
        <w:gridCol w:w="448"/>
        <w:gridCol w:w="932"/>
        <w:gridCol w:w="498"/>
        <w:gridCol w:w="498"/>
        <w:gridCol w:w="2057"/>
      </w:tblGrid>
      <w:tr w14:paraId="21B4C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28106D">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641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D98A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16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421E8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51322325T000013955047-2025年中央和省级财政公共体育场馆向社会免费或低收费开放补助资金</w:t>
            </w:r>
          </w:p>
        </w:tc>
      </w:tr>
      <w:tr w14:paraId="44307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5B1B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82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E5C76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茂县文化广播电视体育和旅游局</w:t>
            </w:r>
          </w:p>
        </w:tc>
        <w:tc>
          <w:tcPr>
            <w:tcW w:w="545" w:type="pct"/>
            <w:tcBorders>
              <w:top w:val="nil"/>
              <w:left w:val="nil"/>
              <w:bottom w:val="nil"/>
              <w:right w:val="nil"/>
            </w:tcBorders>
            <w:shd w:val="clear" w:color="auto" w:fill="auto"/>
            <w:vAlign w:val="center"/>
          </w:tcPr>
          <w:p w14:paraId="74A8FE7A">
            <w:pPr>
              <w:keepNext w:val="0"/>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9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1C58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茂县体育管理中心</w:t>
            </w:r>
          </w:p>
        </w:tc>
      </w:tr>
      <w:tr w14:paraId="2749B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AEC3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474FC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82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E310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33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A1EF4C">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2B3F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B9FB0">
            <w:pPr>
              <w:snapToGrid w:val="0"/>
              <w:rPr>
                <w:rFonts w:hint="eastAsia" w:ascii="宋体" w:hAnsi="宋体" w:eastAsia="宋体" w:cs="宋体"/>
                <w:i w:val="0"/>
                <w:iCs w:val="0"/>
                <w:color w:val="000000"/>
                <w:sz w:val="18"/>
                <w:szCs w:val="18"/>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34CA9">
            <w:pPr>
              <w:snapToGrid w:val="0"/>
              <w:rPr>
                <w:rFonts w:hint="eastAsia" w:ascii="宋体" w:hAnsi="宋体" w:eastAsia="宋体" w:cs="宋体"/>
                <w:i w:val="0"/>
                <w:iCs w:val="0"/>
                <w:color w:val="000000"/>
                <w:sz w:val="18"/>
                <w:szCs w:val="18"/>
                <w:u w:val="none"/>
              </w:rPr>
            </w:pPr>
          </w:p>
        </w:tc>
        <w:tc>
          <w:tcPr>
            <w:tcW w:w="182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4115E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1、积极响应国家全民健身战略的号召，推动体育场馆成为全民健身的重要阵地，促进群众身体素质和艰苦水平的提升。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2、确保体育场馆基本运营保障，提升体育场馆利用率。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3、体育场馆维修维护与设施设备更新</w:t>
            </w:r>
          </w:p>
        </w:tc>
        <w:tc>
          <w:tcPr>
            <w:tcW w:w="233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9DBF0E">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推动场馆成为全民健身阵地，提升群众身体素质;2保障场馆运营，提升利用率;3.完成设施维修维护与设备更新。</w:t>
            </w:r>
          </w:p>
        </w:tc>
      </w:tr>
      <w:tr w14:paraId="43C10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E3351">
            <w:pPr>
              <w:snapToGrid w:val="0"/>
              <w:rPr>
                <w:rFonts w:hint="eastAsia" w:ascii="宋体" w:hAns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B067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6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6130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严格按照专项资金的管理办法实施该项目。</w:t>
            </w:r>
          </w:p>
        </w:tc>
      </w:tr>
      <w:tr w14:paraId="666CD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F47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F8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A38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C2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6D04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0CA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A5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96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DF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708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A465C">
            <w:pPr>
              <w:snapToGrid w:val="0"/>
              <w:jc w:val="center"/>
              <w:rPr>
                <w:rFonts w:hint="eastAsia" w:ascii="宋体" w:hAns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C3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52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A1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D3D3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F4B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C9E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F72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7FFD19">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41C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66EA8">
            <w:pPr>
              <w:snapToGrid w:val="0"/>
              <w:jc w:val="center"/>
              <w:rPr>
                <w:rFonts w:hint="eastAsia" w:ascii="宋体" w:hAns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AD9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27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3FB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5BC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761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C7E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994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C3D69">
            <w:pPr>
              <w:snapToGrid w:val="0"/>
              <w:rPr>
                <w:rFonts w:hint="eastAsia" w:ascii="黑体" w:hAnsi="黑体" w:eastAsia="黑体" w:cs="黑体"/>
                <w:i/>
                <w:iCs/>
                <w:color w:val="000000"/>
                <w:sz w:val="18"/>
                <w:szCs w:val="18"/>
                <w:u w:val="none"/>
              </w:rPr>
            </w:pPr>
          </w:p>
        </w:tc>
      </w:tr>
      <w:tr w14:paraId="63EFB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3D658">
            <w:pPr>
              <w:snapToGrid w:val="0"/>
              <w:jc w:val="center"/>
              <w:rPr>
                <w:rFonts w:hint="eastAsia" w:ascii="宋体" w:hAns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9CC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EB7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380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483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0B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E5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229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678D2">
            <w:pPr>
              <w:snapToGrid w:val="0"/>
              <w:rPr>
                <w:rFonts w:hint="eastAsia" w:ascii="黑体" w:hAnsi="黑体" w:eastAsia="黑体" w:cs="黑体"/>
                <w:i/>
                <w:iCs/>
                <w:color w:val="000000"/>
                <w:sz w:val="18"/>
                <w:szCs w:val="18"/>
                <w:u w:val="none"/>
              </w:rPr>
            </w:pPr>
          </w:p>
        </w:tc>
      </w:tr>
      <w:tr w14:paraId="7C2A3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89198">
            <w:pPr>
              <w:snapToGrid w:val="0"/>
              <w:jc w:val="center"/>
              <w:rPr>
                <w:rFonts w:hint="eastAsia" w:ascii="宋体" w:hAns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A97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896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F25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5B5CA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06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14D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F45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536C0">
            <w:pPr>
              <w:snapToGrid w:val="0"/>
              <w:rPr>
                <w:rFonts w:hint="eastAsia" w:ascii="黑体" w:hAnsi="黑体" w:eastAsia="黑体" w:cs="黑体"/>
                <w:i/>
                <w:iCs/>
                <w:color w:val="000000"/>
                <w:sz w:val="18"/>
                <w:szCs w:val="18"/>
                <w:u w:val="none"/>
              </w:rPr>
            </w:pPr>
          </w:p>
        </w:tc>
      </w:tr>
      <w:tr w14:paraId="442B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1BC4A">
            <w:pPr>
              <w:snapToGrid w:val="0"/>
              <w:jc w:val="center"/>
              <w:rPr>
                <w:rFonts w:hint="eastAsia" w:ascii="宋体" w:hAns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06C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2318A">
            <w:pPr>
              <w:snapToGrid w:val="0"/>
              <w:jc w:val="center"/>
              <w:rPr>
                <w:rFonts w:hint="eastAsia" w:ascii="微软雅黑" w:hAnsi="微软雅黑" w:eastAsia="微软雅黑" w:cs="微软雅黑"/>
                <w:i/>
                <w:iCs/>
                <w:color w:val="000000"/>
                <w:sz w:val="16"/>
                <w:szCs w:val="16"/>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2A33">
            <w:pPr>
              <w:snapToGrid w:val="0"/>
              <w:jc w:val="center"/>
              <w:rPr>
                <w:rFonts w:hint="eastAsia" w:ascii="微软雅黑" w:hAnsi="微软雅黑" w:eastAsia="微软雅黑" w:cs="微软雅黑"/>
                <w:i/>
                <w:iCs/>
                <w:color w:val="000000"/>
                <w:sz w:val="16"/>
                <w:szCs w:val="16"/>
                <w:u w:val="none"/>
              </w:rPr>
            </w:pP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71397">
            <w:pPr>
              <w:snapToGrid w:val="0"/>
              <w:jc w:val="center"/>
              <w:rPr>
                <w:rFonts w:hint="eastAsia" w:ascii="微软雅黑" w:hAnsi="微软雅黑" w:eastAsia="微软雅黑" w:cs="微软雅黑"/>
                <w:i/>
                <w:iCs/>
                <w:color w:val="000000"/>
                <w:sz w:val="16"/>
                <w:szCs w:val="16"/>
                <w:u w:val="none"/>
              </w:rPr>
            </w:pP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36AB8">
            <w:pPr>
              <w:snapToGrid w:val="0"/>
              <w:jc w:val="center"/>
              <w:rPr>
                <w:rFonts w:hint="eastAsia" w:ascii="微软雅黑" w:hAnsi="微软雅黑" w:eastAsia="微软雅黑" w:cs="微软雅黑"/>
                <w:i/>
                <w:iCs/>
                <w:color w:val="000000"/>
                <w:sz w:val="16"/>
                <w:szCs w:val="16"/>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015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5E6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06177">
            <w:pPr>
              <w:snapToGrid w:val="0"/>
              <w:rPr>
                <w:rFonts w:hint="eastAsia" w:ascii="黑体" w:hAnsi="黑体" w:eastAsia="黑体" w:cs="黑体"/>
                <w:i/>
                <w:iCs/>
                <w:color w:val="000000"/>
                <w:sz w:val="18"/>
                <w:szCs w:val="18"/>
                <w:u w:val="none"/>
              </w:rPr>
            </w:pPr>
          </w:p>
        </w:tc>
      </w:tr>
      <w:tr w14:paraId="1EB77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8A7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835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B1B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DE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778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111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34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C16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0C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CE0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C55F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862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D7C62">
            <w:pPr>
              <w:snapToGrid w:val="0"/>
              <w:jc w:val="center"/>
              <w:rPr>
                <w:rFonts w:hint="eastAsia" w:ascii="宋体" w:hAnsi="宋体" w:eastAsia="宋体" w:cs="宋体"/>
                <w:i w:val="0"/>
                <w:iCs w:val="0"/>
                <w:color w:val="000000"/>
                <w:sz w:val="18"/>
                <w:szCs w:val="18"/>
                <w:u w:val="none"/>
              </w:rPr>
            </w:pP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38F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688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B99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体育场馆接待人次</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ECC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09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3B9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万人次</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190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624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767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5470A">
            <w:pPr>
              <w:snapToGrid w:val="0"/>
              <w:jc w:val="center"/>
              <w:rPr>
                <w:rFonts w:hint="eastAsia" w:ascii="微软雅黑" w:hAnsi="微软雅黑" w:eastAsia="微软雅黑" w:cs="微软雅黑"/>
                <w:i/>
                <w:iCs/>
                <w:color w:val="000000"/>
                <w:sz w:val="16"/>
                <w:szCs w:val="16"/>
                <w:u w:val="none"/>
              </w:rPr>
            </w:pPr>
          </w:p>
        </w:tc>
      </w:tr>
      <w:tr w14:paraId="657C4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05A5E">
            <w:pPr>
              <w:snapToGrid w:val="0"/>
              <w:jc w:val="center"/>
              <w:rPr>
                <w:rFonts w:hint="eastAsia" w:ascii="宋体" w:hAnsi="宋体" w:eastAsia="宋体" w:cs="宋体"/>
                <w:i w:val="0"/>
                <w:iCs w:val="0"/>
                <w:color w:val="000000"/>
                <w:sz w:val="18"/>
                <w:szCs w:val="18"/>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C7ED7">
            <w:pPr>
              <w:snapToGrid w:val="0"/>
              <w:jc w:val="center"/>
              <w:rPr>
                <w:rFonts w:hint="eastAsia" w:ascii="宋体" w:hAnsi="宋体" w:eastAsia="宋体" w:cs="宋体"/>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5DAFD">
            <w:pPr>
              <w:snapToGrid w:val="0"/>
              <w:jc w:val="center"/>
              <w:rPr>
                <w:rFonts w:hint="eastAsia" w:ascii="宋体" w:hAnsi="宋体" w:eastAsia="宋体" w:cs="宋体"/>
                <w:i w:val="0"/>
                <w:iCs w:val="0"/>
                <w:color w:val="000000"/>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1F0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体育场馆免费开放天数</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D2BF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B5E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D48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CE6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9F9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F0B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84079">
            <w:pPr>
              <w:snapToGrid w:val="0"/>
              <w:jc w:val="center"/>
              <w:rPr>
                <w:rFonts w:hint="eastAsia" w:ascii="微软雅黑" w:hAnsi="微软雅黑" w:eastAsia="微软雅黑" w:cs="微软雅黑"/>
                <w:i/>
                <w:iCs/>
                <w:color w:val="000000"/>
                <w:sz w:val="16"/>
                <w:szCs w:val="16"/>
                <w:u w:val="none"/>
              </w:rPr>
            </w:pPr>
          </w:p>
        </w:tc>
      </w:tr>
      <w:tr w14:paraId="3B6CC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33690">
            <w:pPr>
              <w:snapToGrid w:val="0"/>
              <w:jc w:val="center"/>
              <w:rPr>
                <w:rFonts w:hint="eastAsia" w:ascii="宋体" w:hAnsi="宋体" w:eastAsia="宋体" w:cs="宋体"/>
                <w:i w:val="0"/>
                <w:iCs w:val="0"/>
                <w:color w:val="000000"/>
                <w:sz w:val="18"/>
                <w:szCs w:val="18"/>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0BD46">
            <w:pPr>
              <w:snapToGrid w:val="0"/>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64B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B42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保障体育场馆正常运行率</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74C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8D0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61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70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2B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573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B9EED">
            <w:pPr>
              <w:snapToGrid w:val="0"/>
              <w:jc w:val="center"/>
              <w:rPr>
                <w:rFonts w:hint="eastAsia" w:ascii="微软雅黑" w:hAnsi="微软雅黑" w:eastAsia="微软雅黑" w:cs="微软雅黑"/>
                <w:i/>
                <w:iCs/>
                <w:color w:val="000000"/>
                <w:sz w:val="16"/>
                <w:szCs w:val="16"/>
                <w:u w:val="none"/>
              </w:rPr>
            </w:pPr>
          </w:p>
        </w:tc>
      </w:tr>
      <w:tr w14:paraId="5A414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39226">
            <w:pPr>
              <w:snapToGrid w:val="0"/>
              <w:jc w:val="center"/>
              <w:rPr>
                <w:rFonts w:hint="eastAsia" w:ascii="宋体" w:hAnsi="宋体" w:eastAsia="宋体" w:cs="宋体"/>
                <w:i w:val="0"/>
                <w:iCs w:val="0"/>
                <w:color w:val="000000"/>
                <w:sz w:val="18"/>
                <w:szCs w:val="18"/>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DD74B">
            <w:pPr>
              <w:snapToGrid w:val="0"/>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744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E5F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体育场馆免费低收费开放时间符合规定要求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A4C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200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CE5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小时/天</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A2B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0E2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FA1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E1DC6">
            <w:pPr>
              <w:snapToGrid w:val="0"/>
              <w:jc w:val="center"/>
              <w:rPr>
                <w:rFonts w:hint="eastAsia" w:ascii="微软雅黑" w:hAnsi="微软雅黑" w:eastAsia="微软雅黑" w:cs="微软雅黑"/>
                <w:i/>
                <w:iCs/>
                <w:color w:val="000000"/>
                <w:sz w:val="16"/>
                <w:szCs w:val="16"/>
                <w:u w:val="none"/>
              </w:rPr>
            </w:pPr>
          </w:p>
        </w:tc>
      </w:tr>
      <w:tr w14:paraId="4EA29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41700">
            <w:pPr>
              <w:snapToGrid w:val="0"/>
              <w:jc w:val="center"/>
              <w:rPr>
                <w:rFonts w:hint="eastAsia" w:ascii="宋体" w:hAnsi="宋体" w:eastAsia="宋体" w:cs="宋体"/>
                <w:i w:val="0"/>
                <w:iCs w:val="0"/>
                <w:color w:val="000000"/>
                <w:sz w:val="18"/>
                <w:szCs w:val="18"/>
                <w:u w:val="none"/>
              </w:rPr>
            </w:pP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901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21B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E83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群众体育锻炼健康率</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32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77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43C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A5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5F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CCB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0C4D4">
            <w:pPr>
              <w:snapToGrid w:val="0"/>
              <w:jc w:val="center"/>
              <w:rPr>
                <w:rFonts w:hint="eastAsia" w:ascii="微软雅黑" w:hAnsi="微软雅黑" w:eastAsia="微软雅黑" w:cs="微软雅黑"/>
                <w:i/>
                <w:iCs/>
                <w:color w:val="000000"/>
                <w:sz w:val="16"/>
                <w:szCs w:val="16"/>
                <w:u w:val="none"/>
              </w:rPr>
            </w:pPr>
          </w:p>
        </w:tc>
      </w:tr>
      <w:tr w14:paraId="6C878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EFB40">
            <w:pPr>
              <w:snapToGrid w:val="0"/>
              <w:jc w:val="center"/>
              <w:rPr>
                <w:rFonts w:hint="eastAsia" w:ascii="宋体" w:hAnsi="宋体" w:eastAsia="宋体" w:cs="宋体"/>
                <w:i w:val="0"/>
                <w:iCs w:val="0"/>
                <w:color w:val="000000"/>
                <w:sz w:val="18"/>
                <w:szCs w:val="18"/>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4D9CC">
            <w:pPr>
              <w:snapToGrid w:val="0"/>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2A5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F48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提升群众参与体育锻炼率</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30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0D8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126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189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8FC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A14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5615B">
            <w:pPr>
              <w:snapToGrid w:val="0"/>
              <w:jc w:val="center"/>
              <w:rPr>
                <w:rFonts w:hint="eastAsia" w:ascii="微软雅黑" w:hAnsi="微软雅黑" w:eastAsia="微软雅黑" w:cs="微软雅黑"/>
                <w:i/>
                <w:iCs/>
                <w:color w:val="000000"/>
                <w:sz w:val="16"/>
                <w:szCs w:val="16"/>
                <w:u w:val="none"/>
              </w:rPr>
            </w:pPr>
          </w:p>
        </w:tc>
      </w:tr>
      <w:tr w14:paraId="6D92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059E6">
            <w:pPr>
              <w:snapToGrid w:val="0"/>
              <w:jc w:val="center"/>
              <w:rPr>
                <w:rFonts w:hint="eastAsia" w:ascii="宋体" w:hAns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431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D7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A4D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群众对体育场馆服务满意度</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19E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B14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4B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1DC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CF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1FE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2AB8E">
            <w:pPr>
              <w:snapToGrid w:val="0"/>
              <w:jc w:val="center"/>
              <w:rPr>
                <w:rFonts w:hint="eastAsia" w:ascii="微软雅黑" w:hAnsi="微软雅黑" w:eastAsia="微软雅黑" w:cs="微软雅黑"/>
                <w:i/>
                <w:iCs/>
                <w:color w:val="000000"/>
                <w:sz w:val="16"/>
                <w:szCs w:val="16"/>
                <w:u w:val="none"/>
              </w:rPr>
            </w:pPr>
          </w:p>
        </w:tc>
      </w:tr>
      <w:tr w14:paraId="6EB7A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3E668">
            <w:pPr>
              <w:snapToGrid w:val="0"/>
              <w:jc w:val="center"/>
              <w:rPr>
                <w:rFonts w:hint="eastAsia" w:ascii="宋体" w:hAnsi="宋体" w:eastAsia="宋体" w:cs="宋体"/>
                <w:i w:val="0"/>
                <w:iCs w:val="0"/>
                <w:color w:val="000000"/>
                <w:sz w:val="18"/>
                <w:szCs w:val="18"/>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99C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C1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DFD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公共体育场馆向社会免费或低收费开放中央和省级补助资金</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ECF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50A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3E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D0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50B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D29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B0ED1">
            <w:pPr>
              <w:snapToGrid w:val="0"/>
              <w:jc w:val="center"/>
              <w:rPr>
                <w:rFonts w:hint="eastAsia" w:ascii="微软雅黑" w:hAnsi="微软雅黑" w:eastAsia="微软雅黑" w:cs="微软雅黑"/>
                <w:i/>
                <w:iCs/>
                <w:color w:val="000000"/>
                <w:sz w:val="16"/>
                <w:szCs w:val="16"/>
                <w:u w:val="none"/>
              </w:rPr>
            </w:pPr>
          </w:p>
        </w:tc>
      </w:tr>
      <w:tr w14:paraId="16D31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0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E4B4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D52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266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AF743">
            <w:pPr>
              <w:snapToGrid w:val="0"/>
              <w:rPr>
                <w:rFonts w:hint="eastAsia" w:ascii="宋体" w:hAnsi="宋体" w:eastAsia="宋体" w:cs="宋体"/>
                <w:i w:val="0"/>
                <w:iCs w:val="0"/>
                <w:color w:val="000000"/>
                <w:sz w:val="18"/>
                <w:szCs w:val="18"/>
                <w:u w:val="none"/>
              </w:rPr>
            </w:pPr>
          </w:p>
        </w:tc>
      </w:tr>
      <w:tr w14:paraId="7F83F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8C0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9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21548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使用规范、管理严格、执行到位、项目决策科学、实施高效、资金使用效益显著，有效提升了县域公共体育服务水平，推动了全民健身事业发展。</w:t>
            </w:r>
          </w:p>
        </w:tc>
      </w:tr>
      <w:tr w14:paraId="2A9B8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C2A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9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5C08AB">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9AE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B86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9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6B5DD1">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8782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C43DE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highlight w:val="none"/>
                <w:u w:val="none"/>
                <w:lang w:val="en-US" w:eastAsia="zh-CN" w:bidi="ar"/>
              </w:rPr>
              <w:t>项目负责人：蔡露渠</w:t>
            </w:r>
          </w:p>
        </w:tc>
        <w:tc>
          <w:tcPr>
            <w:tcW w:w="494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9B6FC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highlight w:val="none"/>
                <w:u w:val="none"/>
                <w:lang w:val="en-US" w:eastAsia="zh-CN" w:bidi="ar"/>
              </w:rPr>
              <w:t>财务负责人：邓广惠</w:t>
            </w:r>
          </w:p>
        </w:tc>
      </w:tr>
    </w:tbl>
    <w:p w14:paraId="0D4446ED">
      <w:pPr>
        <w:pStyle w:val="9"/>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zh-CN" w:eastAsia="zh-CN"/>
        </w:rPr>
        <w:sectPr>
          <w:pgSz w:w="11906" w:h="16838"/>
          <w:pgMar w:top="1440" w:right="1800" w:bottom="1440" w:left="1800" w:header="851" w:footer="992" w:gutter="0"/>
          <w:pgNumType w:fmt="decimal"/>
          <w:cols w:space="425" w:num="1"/>
          <w:titlePg/>
          <w:docGrid w:type="lines" w:linePitch="312" w:charSpace="0"/>
        </w:sectPr>
      </w:pPr>
    </w:p>
    <w:p w14:paraId="63EE7A46">
      <w:pPr>
        <w:keepNext w:val="0"/>
        <w:keepLines w:val="0"/>
        <w:pageBreakBefore w:val="0"/>
        <w:widowControl w:val="0"/>
        <w:kinsoku/>
        <w:wordWrap/>
        <w:overflowPunct/>
        <w:topLinePunct w:val="0"/>
        <w:autoSpaceDE/>
        <w:autoSpaceDN/>
        <w:bidi w:val="0"/>
        <w:spacing w:line="578" w:lineRule="exact"/>
        <w:jc w:val="both"/>
        <w:textAlignment w:val="auto"/>
        <w:outlineLvl w:val="9"/>
        <w:rPr>
          <w:rFonts w:hint="eastAsia" w:ascii="Times New Roman" w:hAnsi="Times New Roman" w:eastAsia="黑体"/>
          <w:color w:val="auto"/>
          <w:sz w:val="44"/>
          <w:szCs w:val="44"/>
          <w:highlight w:val="none"/>
        </w:rPr>
      </w:pPr>
      <w:bookmarkStart w:id="66" w:name="_Toc15396618"/>
    </w:p>
    <w:bookmarkEnd w:id="62"/>
    <w:bookmarkEnd w:id="66"/>
    <w:p w14:paraId="1770FB22">
      <w:pPr>
        <w:keepNext w:val="0"/>
        <w:keepLines w:val="0"/>
        <w:pageBreakBefore w:val="0"/>
        <w:widowControl w:val="0"/>
        <w:kinsoku/>
        <w:wordWrap/>
        <w:overflowPunct/>
        <w:topLinePunct w:val="0"/>
        <w:autoSpaceDE/>
        <w:autoSpaceDN/>
        <w:bidi w:val="0"/>
        <w:spacing w:line="578" w:lineRule="exact"/>
        <w:jc w:val="center"/>
        <w:textAlignment w:val="auto"/>
        <w:outlineLvl w:val="0"/>
        <w:rPr>
          <w:rFonts w:hint="eastAsia" w:ascii="Times New Roman" w:hAnsi="Times New Roman" w:eastAsia="仿宋_GB2312" w:cs="仿宋_GB2312"/>
          <w:color w:val="auto"/>
          <w:sz w:val="32"/>
          <w:szCs w:val="32"/>
          <w:highlight w:val="none"/>
          <w:lang w:eastAsia="zh-CN"/>
        </w:rPr>
      </w:pPr>
      <w:bookmarkStart w:id="67" w:name="_Toc15689"/>
      <w:bookmarkStart w:id="68" w:name="_Toc15396619"/>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 xml:space="preserve">五部分 </w:t>
      </w:r>
      <w:r>
        <w:rPr>
          <w:rStyle w:val="32"/>
          <w:rFonts w:hint="eastAsia" w:eastAsia="黑体"/>
          <w:b w:val="0"/>
          <w:color w:val="auto"/>
          <w:highlight w:val="none"/>
          <w:lang w:val="en-US" w:eastAsia="zh-CN"/>
        </w:rPr>
        <w:t xml:space="preserve"> </w:t>
      </w:r>
      <w:r>
        <w:rPr>
          <w:rStyle w:val="32"/>
          <w:rFonts w:hint="eastAsia" w:ascii="Times New Roman" w:hAnsi="Times New Roman" w:eastAsia="黑体"/>
          <w:b w:val="0"/>
          <w:color w:val="auto"/>
          <w:highlight w:val="none"/>
        </w:rPr>
        <w:t>附表</w:t>
      </w:r>
      <w:bookmarkEnd w:id="67"/>
    </w:p>
    <w:bookmarkEnd w:id="68"/>
    <w:p w14:paraId="7018A6FE">
      <w:pPr>
        <w:pStyle w:val="3"/>
        <w:outlineLvl w:val="1"/>
        <w:rPr>
          <w:rFonts w:ascii="仿宋" w:hAnsi="仿宋" w:eastAsia="仿宋"/>
          <w:color w:val="auto"/>
          <w:highlight w:val="none"/>
        </w:rPr>
      </w:pPr>
      <w:bookmarkStart w:id="69" w:name="_Toc12555"/>
      <w:r>
        <w:rPr>
          <w:rFonts w:hint="eastAsia" w:ascii="仿宋" w:hAnsi="仿宋" w:eastAsia="仿宋"/>
          <w:b w:val="0"/>
          <w:color w:val="auto"/>
          <w:highlight w:val="none"/>
        </w:rPr>
        <w:t>一、收</w:t>
      </w:r>
      <w:r>
        <w:rPr>
          <w:rStyle w:val="33"/>
          <w:rFonts w:hint="eastAsia" w:ascii="仿宋" w:hAnsi="仿宋" w:eastAsia="仿宋"/>
          <w:b w:val="0"/>
          <w:bCs w:val="0"/>
          <w:color w:val="auto"/>
          <w:highlight w:val="none"/>
        </w:rPr>
        <w:t>入支出决算总表</w:t>
      </w:r>
      <w:bookmarkEnd w:id="69"/>
    </w:p>
    <w:p w14:paraId="0D7675F7">
      <w:pPr>
        <w:pStyle w:val="3"/>
        <w:outlineLvl w:val="1"/>
        <w:rPr>
          <w:rFonts w:ascii="仿宋" w:hAnsi="仿宋" w:eastAsia="仿宋"/>
          <w:color w:val="auto"/>
          <w:highlight w:val="none"/>
        </w:rPr>
      </w:pPr>
      <w:bookmarkStart w:id="70" w:name="_Toc2100"/>
      <w:r>
        <w:rPr>
          <w:rFonts w:hint="eastAsia" w:ascii="仿宋" w:hAnsi="仿宋" w:eastAsia="仿宋"/>
          <w:b w:val="0"/>
          <w:color w:val="auto"/>
          <w:highlight w:val="none"/>
        </w:rPr>
        <w:t>二、收</w:t>
      </w:r>
      <w:r>
        <w:rPr>
          <w:rStyle w:val="33"/>
          <w:rFonts w:hint="eastAsia" w:ascii="仿宋" w:hAnsi="仿宋" w:eastAsia="仿宋"/>
          <w:b w:val="0"/>
          <w:bCs w:val="0"/>
          <w:color w:val="auto"/>
          <w:highlight w:val="none"/>
        </w:rPr>
        <w:t>入决算表</w:t>
      </w:r>
      <w:bookmarkEnd w:id="70"/>
    </w:p>
    <w:p w14:paraId="238DF450">
      <w:pPr>
        <w:pStyle w:val="3"/>
        <w:outlineLvl w:val="1"/>
        <w:rPr>
          <w:rFonts w:ascii="仿宋" w:hAnsi="仿宋" w:eastAsia="仿宋"/>
          <w:color w:val="auto"/>
          <w:highlight w:val="none"/>
        </w:rPr>
      </w:pPr>
      <w:bookmarkStart w:id="71" w:name="_Toc31133"/>
      <w:r>
        <w:rPr>
          <w:rStyle w:val="33"/>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3"/>
          <w:rFonts w:hint="eastAsia" w:ascii="仿宋" w:hAnsi="仿宋" w:eastAsia="仿宋"/>
          <w:b w:val="0"/>
          <w:bCs w:val="0"/>
          <w:color w:val="auto"/>
          <w:highlight w:val="none"/>
        </w:rPr>
        <w:t>出决算表</w:t>
      </w:r>
      <w:bookmarkEnd w:id="71"/>
    </w:p>
    <w:p w14:paraId="6A874322">
      <w:pPr>
        <w:pStyle w:val="3"/>
        <w:outlineLvl w:val="1"/>
        <w:rPr>
          <w:rFonts w:ascii="仿宋" w:hAnsi="仿宋" w:eastAsia="仿宋"/>
          <w:b w:val="0"/>
          <w:color w:val="auto"/>
          <w:highlight w:val="none"/>
        </w:rPr>
      </w:pPr>
      <w:bookmarkStart w:id="72" w:name="_Toc22047"/>
      <w:r>
        <w:rPr>
          <w:rStyle w:val="33"/>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政拨款收入支出决算总表</w:t>
      </w:r>
      <w:bookmarkEnd w:id="72"/>
    </w:p>
    <w:p w14:paraId="5EF3863A">
      <w:pPr>
        <w:pStyle w:val="3"/>
        <w:outlineLvl w:val="1"/>
        <w:rPr>
          <w:rStyle w:val="33"/>
          <w:rFonts w:ascii="仿宋" w:hAnsi="仿宋" w:eastAsia="仿宋"/>
          <w:b w:val="0"/>
          <w:bCs w:val="0"/>
          <w:color w:val="auto"/>
          <w:highlight w:val="none"/>
        </w:rPr>
      </w:pPr>
      <w:bookmarkStart w:id="73" w:name="_Toc11797"/>
      <w:r>
        <w:rPr>
          <w:rStyle w:val="33"/>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政拨款支出决算明细表</w:t>
      </w:r>
      <w:bookmarkEnd w:id="73"/>
    </w:p>
    <w:p w14:paraId="6F3C0A21">
      <w:pPr>
        <w:pStyle w:val="3"/>
        <w:outlineLvl w:val="1"/>
        <w:rPr>
          <w:rFonts w:ascii="仿宋" w:hAnsi="仿宋" w:eastAsia="仿宋"/>
          <w:color w:val="auto"/>
          <w:highlight w:val="none"/>
        </w:rPr>
      </w:pPr>
      <w:bookmarkStart w:id="74" w:name="_Toc7857"/>
      <w:r>
        <w:rPr>
          <w:rStyle w:val="33"/>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般公共预算财政拨款支出决算表</w:t>
      </w:r>
      <w:bookmarkEnd w:id="74"/>
    </w:p>
    <w:p w14:paraId="50AD3ED9">
      <w:pPr>
        <w:pStyle w:val="3"/>
        <w:outlineLvl w:val="1"/>
        <w:rPr>
          <w:rFonts w:ascii="仿宋" w:hAnsi="仿宋" w:eastAsia="仿宋"/>
          <w:color w:val="auto"/>
          <w:highlight w:val="none"/>
        </w:rPr>
      </w:pPr>
      <w:bookmarkStart w:id="75" w:name="_Toc24726"/>
      <w:r>
        <w:rPr>
          <w:rStyle w:val="33"/>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般公共预算财政拨款支出决算明细表</w:t>
      </w:r>
      <w:bookmarkEnd w:id="75"/>
    </w:p>
    <w:p w14:paraId="4178DADC">
      <w:pPr>
        <w:pStyle w:val="3"/>
        <w:outlineLvl w:val="1"/>
        <w:rPr>
          <w:rFonts w:ascii="仿宋" w:hAnsi="仿宋" w:eastAsia="仿宋"/>
          <w:color w:val="auto"/>
          <w:highlight w:val="none"/>
        </w:rPr>
      </w:pPr>
      <w:bookmarkStart w:id="76" w:name="_Toc10288"/>
      <w:r>
        <w:rPr>
          <w:rStyle w:val="33"/>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般公共预算财政拨款基本支出决算表</w:t>
      </w:r>
      <w:bookmarkEnd w:id="76"/>
    </w:p>
    <w:p w14:paraId="63D14460">
      <w:pPr>
        <w:pStyle w:val="3"/>
        <w:outlineLvl w:val="1"/>
        <w:rPr>
          <w:rFonts w:ascii="仿宋" w:hAnsi="仿宋" w:eastAsia="仿宋"/>
          <w:color w:val="auto"/>
          <w:highlight w:val="none"/>
        </w:rPr>
      </w:pPr>
      <w:bookmarkStart w:id="77" w:name="_Toc4146"/>
      <w:r>
        <w:rPr>
          <w:rStyle w:val="33"/>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般公共预算财政拨款项目支出决算表</w:t>
      </w:r>
      <w:bookmarkEnd w:id="77"/>
    </w:p>
    <w:p w14:paraId="512B9B7B">
      <w:pPr>
        <w:pStyle w:val="3"/>
        <w:outlineLvl w:val="1"/>
        <w:rPr>
          <w:rFonts w:ascii="仿宋" w:hAnsi="仿宋" w:eastAsia="仿宋"/>
          <w:color w:val="auto"/>
          <w:highlight w:val="none"/>
        </w:rPr>
      </w:pPr>
      <w:bookmarkStart w:id="78" w:name="_Toc10149"/>
      <w:r>
        <w:rPr>
          <w:rStyle w:val="33"/>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33"/>
          <w:rFonts w:hint="eastAsia" w:ascii="仿宋" w:hAnsi="仿宋" w:eastAsia="仿宋"/>
          <w:b w:val="0"/>
          <w:bCs w:val="0"/>
          <w:color w:val="auto"/>
          <w:highlight w:val="none"/>
        </w:rPr>
        <w:t>府性基金预算财政拨款收入支出决算表</w:t>
      </w:r>
      <w:bookmarkEnd w:id="78"/>
    </w:p>
    <w:p w14:paraId="40093197">
      <w:pPr>
        <w:pStyle w:val="3"/>
        <w:outlineLvl w:val="1"/>
        <w:rPr>
          <w:rFonts w:ascii="仿宋" w:hAnsi="仿宋" w:eastAsia="仿宋"/>
          <w:color w:val="auto"/>
          <w:highlight w:val="none"/>
        </w:rPr>
      </w:pPr>
      <w:bookmarkStart w:id="79" w:name="_Toc3856"/>
      <w:r>
        <w:rPr>
          <w:rStyle w:val="33"/>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33"/>
          <w:rFonts w:hint="eastAsia" w:ascii="仿宋" w:hAnsi="仿宋" w:eastAsia="仿宋"/>
          <w:b w:val="0"/>
          <w:bCs w:val="0"/>
          <w:color w:val="auto"/>
          <w:highlight w:val="none"/>
        </w:rPr>
        <w:t>有资本经营预算</w:t>
      </w:r>
      <w:r>
        <w:rPr>
          <w:rStyle w:val="33"/>
          <w:rFonts w:hint="eastAsia" w:ascii="仿宋" w:hAnsi="仿宋" w:eastAsia="仿宋"/>
          <w:b w:val="0"/>
          <w:bCs w:val="0"/>
          <w:color w:val="auto"/>
          <w:highlight w:val="none"/>
          <w:lang w:eastAsia="zh-CN"/>
        </w:rPr>
        <w:t>财政拨款收入</w:t>
      </w:r>
      <w:r>
        <w:rPr>
          <w:rStyle w:val="33"/>
          <w:rFonts w:hint="eastAsia" w:ascii="仿宋" w:hAnsi="仿宋" w:eastAsia="仿宋"/>
          <w:b w:val="0"/>
          <w:bCs w:val="0"/>
          <w:color w:val="auto"/>
          <w:highlight w:val="none"/>
        </w:rPr>
        <w:t>支出决算表</w:t>
      </w:r>
      <w:bookmarkEnd w:id="79"/>
    </w:p>
    <w:p w14:paraId="4268F8F8">
      <w:pPr>
        <w:pStyle w:val="3"/>
        <w:outlineLvl w:val="1"/>
        <w:rPr>
          <w:rFonts w:ascii="仿宋" w:hAnsi="仿宋" w:eastAsia="仿宋"/>
          <w:color w:val="auto"/>
          <w:highlight w:val="none"/>
        </w:rPr>
      </w:pPr>
      <w:bookmarkStart w:id="80" w:name="_Toc15091"/>
      <w:r>
        <w:rPr>
          <w:rStyle w:val="33"/>
          <w:rFonts w:hint="eastAsia" w:ascii="仿宋" w:hAnsi="仿宋" w:eastAsia="仿宋"/>
          <w:b w:val="0"/>
          <w:bCs w:val="0"/>
          <w:color w:val="auto"/>
          <w:highlight w:val="none"/>
        </w:rPr>
        <w:t>十二、</w:t>
      </w:r>
      <w:r>
        <w:rPr>
          <w:rStyle w:val="33"/>
          <w:rFonts w:hint="eastAsia" w:ascii="仿宋" w:hAnsi="仿宋" w:eastAsia="仿宋"/>
          <w:b w:val="0"/>
          <w:bCs w:val="0"/>
          <w:color w:val="auto"/>
          <w:highlight w:val="none"/>
          <w:lang w:eastAsia="zh-CN"/>
        </w:rPr>
        <w:t>国有资本经营预算财政拨款支出决算表</w:t>
      </w:r>
      <w:bookmarkEnd w:id="80"/>
    </w:p>
    <w:p w14:paraId="7F61B0DA">
      <w:pPr>
        <w:pStyle w:val="3"/>
        <w:outlineLvl w:val="1"/>
        <w:rPr>
          <w:rFonts w:hint="eastAsia" w:eastAsia="仿宋"/>
          <w:color w:val="auto"/>
          <w:highlight w:val="none"/>
          <w:lang w:eastAsia="zh-CN"/>
        </w:rPr>
      </w:pPr>
      <w:bookmarkStart w:id="81" w:name="_Toc3728"/>
      <w:r>
        <w:rPr>
          <w:rStyle w:val="33"/>
          <w:rFonts w:hint="eastAsia" w:ascii="仿宋" w:hAnsi="仿宋" w:eastAsia="仿宋"/>
          <w:b w:val="0"/>
          <w:bCs w:val="0"/>
          <w:color w:val="auto"/>
          <w:highlight w:val="none"/>
        </w:rPr>
        <w:t>十三、</w:t>
      </w:r>
      <w:r>
        <w:rPr>
          <w:rStyle w:val="33"/>
          <w:rFonts w:hint="eastAsia" w:ascii="仿宋" w:hAnsi="仿宋" w:eastAsia="仿宋"/>
          <w:b w:val="0"/>
          <w:bCs w:val="0"/>
          <w:color w:val="auto"/>
          <w:highlight w:val="none"/>
          <w:lang w:eastAsia="zh-CN"/>
        </w:rPr>
        <w:t>财政拨款“三公”经费支出决算表</w:t>
      </w:r>
      <w:bookmarkEnd w:id="81"/>
    </w:p>
    <w:p w14:paraId="121F4B52">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C95373-1A94-43E4-A9BA-E489BC3EBCF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BCCC6A9-CA0E-45F6-8CAD-370CDEBB89A5}"/>
  </w:font>
  <w:font w:name="AR PL UKai CN">
    <w:altName w:val="宋体"/>
    <w:panose1 w:val="02000503000000000000"/>
    <w:charset w:val="86"/>
    <w:family w:val="auto"/>
    <w:pitch w:val="default"/>
    <w:sig w:usb0="00000000" w:usb1="00000000" w:usb2="00000036" w:usb3="00000000" w:csb0="2016009F" w:csb1="DFD70000"/>
  </w:font>
  <w:font w:name="仿宋">
    <w:panose1 w:val="02010609060101010101"/>
    <w:charset w:val="86"/>
    <w:family w:val="modern"/>
    <w:pitch w:val="default"/>
    <w:sig w:usb0="800002BF" w:usb1="38CF7CFA" w:usb2="00000016" w:usb3="00000000" w:csb0="00040001" w:csb1="00000000"/>
    <w:embedRegular r:id="rId3" w:fontKey="{4D737788-541F-4FE8-9294-27859D763F53}"/>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embedRegular r:id="rId4" w:fontKey="{83C9272E-C187-4F01-BA58-D9E73EDA532C}"/>
  </w:font>
  <w:font w:name="思源黑体 CN Normal">
    <w:altName w:val="黑体"/>
    <w:panose1 w:val="020B0400000000000000"/>
    <w:charset w:val="86"/>
    <w:family w:val="auto"/>
    <w:pitch w:val="default"/>
    <w:sig w:usb0="00000000" w:usb1="00000000" w:usb2="00000016" w:usb3="00000000" w:csb0="60060107" w:csb1="00000000"/>
    <w:embedRegular r:id="rId5" w:fontKey="{1C1AA186-788D-4703-8C01-668CA3393383}"/>
  </w:font>
  <w:font w:name="楷体_GB2312">
    <w:panose1 w:val="02010609030101010101"/>
    <w:charset w:val="86"/>
    <w:family w:val="auto"/>
    <w:pitch w:val="default"/>
    <w:sig w:usb0="00000001" w:usb1="080E0000" w:usb2="00000000" w:usb3="00000000" w:csb0="00040000" w:csb1="00000000"/>
    <w:embedRegular r:id="rId6" w:fontKey="{098A7B56-94A5-45D5-8AFF-FEF10B0BE045}"/>
  </w:font>
  <w:font w:name="微软雅黑">
    <w:panose1 w:val="020B0503020204020204"/>
    <w:charset w:val="86"/>
    <w:family w:val="auto"/>
    <w:pitch w:val="default"/>
    <w:sig w:usb0="80000287" w:usb1="280F3C52" w:usb2="00000016" w:usb3="00000000" w:csb0="0004001F" w:csb1="00000000"/>
    <w:embedRegular r:id="rId7" w:fontKey="{A1FF49AA-A4CF-47BB-A3F6-660ECD426955}"/>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3"/>
      <w:jc w:val="center"/>
    </w:pPr>
  </w:p>
  <w:p w14:paraId="3777894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56881">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C256881">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031821C6">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8876C">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118876C">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433F90"/>
    <w:multiLevelType w:val="singleLevel"/>
    <w:tmpl w:val="74433F90"/>
    <w:lvl w:ilvl="0" w:tentative="0">
      <w:start w:val="1"/>
      <w:numFmt w:val="decimal"/>
      <w:suff w:val="nothing"/>
      <w:lvlText w:val="%1．"/>
      <w:lvlJc w:val="left"/>
      <w:pPr>
        <w:ind w:left="0" w:firstLine="400"/>
      </w:pPr>
      <w:rPr>
        <w:rFonts w:hint="default"/>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JhN2ViZWQ2NzQ4NTc3Mjg2OTMxZWQzYmU0ZD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263D"/>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E40EC"/>
    <w:rsid w:val="00FF1E02"/>
    <w:rsid w:val="00FF30B4"/>
    <w:rsid w:val="012A5EC2"/>
    <w:rsid w:val="015975B8"/>
    <w:rsid w:val="029C7664"/>
    <w:rsid w:val="02FEBE30"/>
    <w:rsid w:val="03030BB2"/>
    <w:rsid w:val="03914CEF"/>
    <w:rsid w:val="04916F1E"/>
    <w:rsid w:val="04DB26FC"/>
    <w:rsid w:val="057228FE"/>
    <w:rsid w:val="059E7B97"/>
    <w:rsid w:val="061E35DE"/>
    <w:rsid w:val="06523F87"/>
    <w:rsid w:val="066E0107"/>
    <w:rsid w:val="07375BAD"/>
    <w:rsid w:val="07996F6E"/>
    <w:rsid w:val="07DFD8BA"/>
    <w:rsid w:val="0841638B"/>
    <w:rsid w:val="08713341"/>
    <w:rsid w:val="09257549"/>
    <w:rsid w:val="09867E8F"/>
    <w:rsid w:val="0A2032A3"/>
    <w:rsid w:val="0A670558"/>
    <w:rsid w:val="0BA457DB"/>
    <w:rsid w:val="0C7D16A3"/>
    <w:rsid w:val="0CA8290A"/>
    <w:rsid w:val="0CBB28B8"/>
    <w:rsid w:val="0CD62C0C"/>
    <w:rsid w:val="0D35B1ED"/>
    <w:rsid w:val="0D9E5299"/>
    <w:rsid w:val="0DF54607"/>
    <w:rsid w:val="0E063231"/>
    <w:rsid w:val="0E1E71EA"/>
    <w:rsid w:val="0E254B6B"/>
    <w:rsid w:val="0F98263C"/>
    <w:rsid w:val="0FDD306A"/>
    <w:rsid w:val="101860EC"/>
    <w:rsid w:val="101F47CC"/>
    <w:rsid w:val="10C055FF"/>
    <w:rsid w:val="11694EBD"/>
    <w:rsid w:val="11772AA4"/>
    <w:rsid w:val="118107EC"/>
    <w:rsid w:val="11B517A9"/>
    <w:rsid w:val="125C0BBE"/>
    <w:rsid w:val="12E24EE2"/>
    <w:rsid w:val="13390EFF"/>
    <w:rsid w:val="139323BD"/>
    <w:rsid w:val="13D50BC4"/>
    <w:rsid w:val="14B17F78"/>
    <w:rsid w:val="15397A06"/>
    <w:rsid w:val="165E0673"/>
    <w:rsid w:val="16AB2E5D"/>
    <w:rsid w:val="16B831D5"/>
    <w:rsid w:val="16BB723D"/>
    <w:rsid w:val="175400B6"/>
    <w:rsid w:val="175B488E"/>
    <w:rsid w:val="17E50567"/>
    <w:rsid w:val="186504BB"/>
    <w:rsid w:val="188744BB"/>
    <w:rsid w:val="19A445FC"/>
    <w:rsid w:val="1BE8440E"/>
    <w:rsid w:val="1CBF06C7"/>
    <w:rsid w:val="1CC6347C"/>
    <w:rsid w:val="1D155CEE"/>
    <w:rsid w:val="1D1638FE"/>
    <w:rsid w:val="1D650564"/>
    <w:rsid w:val="1DEA3522"/>
    <w:rsid w:val="1E312DEB"/>
    <w:rsid w:val="1E3D0408"/>
    <w:rsid w:val="1E740ACF"/>
    <w:rsid w:val="1F413615"/>
    <w:rsid w:val="1FF35744"/>
    <w:rsid w:val="1FF6BC77"/>
    <w:rsid w:val="208642F4"/>
    <w:rsid w:val="2186353C"/>
    <w:rsid w:val="21DE16AF"/>
    <w:rsid w:val="22791318"/>
    <w:rsid w:val="23540202"/>
    <w:rsid w:val="23860B96"/>
    <w:rsid w:val="240371BF"/>
    <w:rsid w:val="241E5CD3"/>
    <w:rsid w:val="244F3473"/>
    <w:rsid w:val="24C97D99"/>
    <w:rsid w:val="25083E3B"/>
    <w:rsid w:val="250E6DEB"/>
    <w:rsid w:val="25A718F0"/>
    <w:rsid w:val="25BB59F6"/>
    <w:rsid w:val="260F557C"/>
    <w:rsid w:val="261E020C"/>
    <w:rsid w:val="26970054"/>
    <w:rsid w:val="27316648"/>
    <w:rsid w:val="277F117F"/>
    <w:rsid w:val="27FA446F"/>
    <w:rsid w:val="281408E2"/>
    <w:rsid w:val="29051715"/>
    <w:rsid w:val="29656152"/>
    <w:rsid w:val="298C2293"/>
    <w:rsid w:val="29FD04D3"/>
    <w:rsid w:val="2ABD43F8"/>
    <w:rsid w:val="2BFF7BC6"/>
    <w:rsid w:val="2C715B69"/>
    <w:rsid w:val="2C8A61B5"/>
    <w:rsid w:val="2D305A3B"/>
    <w:rsid w:val="2DA41CE1"/>
    <w:rsid w:val="2DC27430"/>
    <w:rsid w:val="2DF04E50"/>
    <w:rsid w:val="2E184C68"/>
    <w:rsid w:val="2E586DFA"/>
    <w:rsid w:val="2F040D46"/>
    <w:rsid w:val="2F320885"/>
    <w:rsid w:val="2F5F04B7"/>
    <w:rsid w:val="2F5F53F2"/>
    <w:rsid w:val="2F6B035B"/>
    <w:rsid w:val="2FAE5751"/>
    <w:rsid w:val="2FB1A395"/>
    <w:rsid w:val="2FD9A7D8"/>
    <w:rsid w:val="2FDBF714"/>
    <w:rsid w:val="30AB6865"/>
    <w:rsid w:val="311C359A"/>
    <w:rsid w:val="315C7E3B"/>
    <w:rsid w:val="316B62D0"/>
    <w:rsid w:val="319F7F4E"/>
    <w:rsid w:val="31AB4AC2"/>
    <w:rsid w:val="32BD1EF1"/>
    <w:rsid w:val="3304709D"/>
    <w:rsid w:val="33A773CB"/>
    <w:rsid w:val="34665331"/>
    <w:rsid w:val="349D6851"/>
    <w:rsid w:val="3521172E"/>
    <w:rsid w:val="35D755E7"/>
    <w:rsid w:val="36637A9D"/>
    <w:rsid w:val="368F0CB2"/>
    <w:rsid w:val="36AA5135"/>
    <w:rsid w:val="36BE0DA7"/>
    <w:rsid w:val="37675030"/>
    <w:rsid w:val="376B6AA6"/>
    <w:rsid w:val="376D39B2"/>
    <w:rsid w:val="37C678CF"/>
    <w:rsid w:val="37E16F03"/>
    <w:rsid w:val="37F53A3B"/>
    <w:rsid w:val="389B6C89"/>
    <w:rsid w:val="38D469F0"/>
    <w:rsid w:val="3913458B"/>
    <w:rsid w:val="393A4D47"/>
    <w:rsid w:val="39627CCD"/>
    <w:rsid w:val="397BAF1F"/>
    <w:rsid w:val="39BA4298"/>
    <w:rsid w:val="39C80763"/>
    <w:rsid w:val="39E97BF2"/>
    <w:rsid w:val="3AB522AF"/>
    <w:rsid w:val="3AB79AF3"/>
    <w:rsid w:val="3AD81A2B"/>
    <w:rsid w:val="3AE834C0"/>
    <w:rsid w:val="3AFB2473"/>
    <w:rsid w:val="3B7EF35A"/>
    <w:rsid w:val="3B9FDB6C"/>
    <w:rsid w:val="3BF5BC2F"/>
    <w:rsid w:val="3CAB7EC8"/>
    <w:rsid w:val="3CEBA265"/>
    <w:rsid w:val="3D3400CC"/>
    <w:rsid w:val="3D98207C"/>
    <w:rsid w:val="3D982857"/>
    <w:rsid w:val="3DEE7CF3"/>
    <w:rsid w:val="3E4707A5"/>
    <w:rsid w:val="3E740A63"/>
    <w:rsid w:val="3E78745D"/>
    <w:rsid w:val="3EDE0BF0"/>
    <w:rsid w:val="3EE17838"/>
    <w:rsid w:val="3F536D21"/>
    <w:rsid w:val="3F55381A"/>
    <w:rsid w:val="3F7F7599"/>
    <w:rsid w:val="3FE37CCF"/>
    <w:rsid w:val="3FF4CAE0"/>
    <w:rsid w:val="3FF7B227"/>
    <w:rsid w:val="40416B7A"/>
    <w:rsid w:val="40A47108"/>
    <w:rsid w:val="412F2E76"/>
    <w:rsid w:val="416F7D53"/>
    <w:rsid w:val="42B0448A"/>
    <w:rsid w:val="43164D0D"/>
    <w:rsid w:val="434D1CD9"/>
    <w:rsid w:val="43911BC6"/>
    <w:rsid w:val="44E268DA"/>
    <w:rsid w:val="450D13D7"/>
    <w:rsid w:val="454C31E3"/>
    <w:rsid w:val="45506656"/>
    <w:rsid w:val="45AE7429"/>
    <w:rsid w:val="45B7168C"/>
    <w:rsid w:val="463902F3"/>
    <w:rsid w:val="48131E90"/>
    <w:rsid w:val="48313923"/>
    <w:rsid w:val="483C5908"/>
    <w:rsid w:val="486A6C7A"/>
    <w:rsid w:val="48C12F4D"/>
    <w:rsid w:val="49301F00"/>
    <w:rsid w:val="4A627F82"/>
    <w:rsid w:val="4B0E749A"/>
    <w:rsid w:val="4B2477C4"/>
    <w:rsid w:val="4B3836A4"/>
    <w:rsid w:val="4B4F25DA"/>
    <w:rsid w:val="4BE068DB"/>
    <w:rsid w:val="4C661324"/>
    <w:rsid w:val="4D510618"/>
    <w:rsid w:val="4D577224"/>
    <w:rsid w:val="4D94403E"/>
    <w:rsid w:val="4DBA7040"/>
    <w:rsid w:val="4DBF1CEB"/>
    <w:rsid w:val="4DF0007C"/>
    <w:rsid w:val="4EAB630A"/>
    <w:rsid w:val="4ECE2238"/>
    <w:rsid w:val="4F477F24"/>
    <w:rsid w:val="4F833267"/>
    <w:rsid w:val="4FB862CC"/>
    <w:rsid w:val="4FE9BD67"/>
    <w:rsid w:val="4FFB052F"/>
    <w:rsid w:val="52D47D21"/>
    <w:rsid w:val="533B7DA0"/>
    <w:rsid w:val="537E6D0A"/>
    <w:rsid w:val="53A828E9"/>
    <w:rsid w:val="53F74C96"/>
    <w:rsid w:val="53FD0BB2"/>
    <w:rsid w:val="55170BA8"/>
    <w:rsid w:val="553218C9"/>
    <w:rsid w:val="5535720E"/>
    <w:rsid w:val="55772500"/>
    <w:rsid w:val="55CB540B"/>
    <w:rsid w:val="564E3B0D"/>
    <w:rsid w:val="567E1AA5"/>
    <w:rsid w:val="56C53F2C"/>
    <w:rsid w:val="56E47B74"/>
    <w:rsid w:val="57175D52"/>
    <w:rsid w:val="57906374"/>
    <w:rsid w:val="57A7338F"/>
    <w:rsid w:val="57BD3DD4"/>
    <w:rsid w:val="584E2B8F"/>
    <w:rsid w:val="5A0D6898"/>
    <w:rsid w:val="5A3B68D8"/>
    <w:rsid w:val="5A9F6E67"/>
    <w:rsid w:val="5AF71C62"/>
    <w:rsid w:val="5AF92295"/>
    <w:rsid w:val="5B250254"/>
    <w:rsid w:val="5B8D7C5D"/>
    <w:rsid w:val="5BC21E58"/>
    <w:rsid w:val="5BDD79E6"/>
    <w:rsid w:val="5BF561CA"/>
    <w:rsid w:val="5BFF5DFC"/>
    <w:rsid w:val="5C7779C1"/>
    <w:rsid w:val="5C8D7611"/>
    <w:rsid w:val="5CD71FC4"/>
    <w:rsid w:val="5D1F11B5"/>
    <w:rsid w:val="5D695134"/>
    <w:rsid w:val="5D8272F5"/>
    <w:rsid w:val="5DAE1B18"/>
    <w:rsid w:val="5DE3706A"/>
    <w:rsid w:val="5DE7D9E5"/>
    <w:rsid w:val="5EC56770"/>
    <w:rsid w:val="5ECEC941"/>
    <w:rsid w:val="5FBF9FF3"/>
    <w:rsid w:val="5FCD4E2C"/>
    <w:rsid w:val="5FEF394A"/>
    <w:rsid w:val="5FF67715"/>
    <w:rsid w:val="5FFB68ED"/>
    <w:rsid w:val="60BB7E2A"/>
    <w:rsid w:val="612E2892"/>
    <w:rsid w:val="62BF3928"/>
    <w:rsid w:val="632C3261"/>
    <w:rsid w:val="63B3701E"/>
    <w:rsid w:val="647F5392"/>
    <w:rsid w:val="651951E5"/>
    <w:rsid w:val="65E66580"/>
    <w:rsid w:val="664B1D71"/>
    <w:rsid w:val="664B4E8E"/>
    <w:rsid w:val="66547382"/>
    <w:rsid w:val="66B477F6"/>
    <w:rsid w:val="66D206EE"/>
    <w:rsid w:val="67277B67"/>
    <w:rsid w:val="674A63AC"/>
    <w:rsid w:val="675F3C06"/>
    <w:rsid w:val="678E7ECB"/>
    <w:rsid w:val="67AA3209"/>
    <w:rsid w:val="698D0931"/>
    <w:rsid w:val="6A6F3CED"/>
    <w:rsid w:val="6A7FE5F3"/>
    <w:rsid w:val="6AD541DF"/>
    <w:rsid w:val="6B053271"/>
    <w:rsid w:val="6B555ED8"/>
    <w:rsid w:val="6BDD78B3"/>
    <w:rsid w:val="6C4A05C8"/>
    <w:rsid w:val="6C8742B8"/>
    <w:rsid w:val="6CD06C2F"/>
    <w:rsid w:val="6D013069"/>
    <w:rsid w:val="6D3276C6"/>
    <w:rsid w:val="6DBF5E93"/>
    <w:rsid w:val="6DFF077E"/>
    <w:rsid w:val="6E714EF0"/>
    <w:rsid w:val="6E7E3605"/>
    <w:rsid w:val="6E7FDCC7"/>
    <w:rsid w:val="6EC46A44"/>
    <w:rsid w:val="6ED6A62E"/>
    <w:rsid w:val="6EE00B15"/>
    <w:rsid w:val="6F6618A9"/>
    <w:rsid w:val="6F6FB3EB"/>
    <w:rsid w:val="6F8731EA"/>
    <w:rsid w:val="6FCE6052"/>
    <w:rsid w:val="6FD57C00"/>
    <w:rsid w:val="6FEFFFD8"/>
    <w:rsid w:val="6FF5CC65"/>
    <w:rsid w:val="6FFB47EC"/>
    <w:rsid w:val="6FFF034A"/>
    <w:rsid w:val="70484440"/>
    <w:rsid w:val="712A28F1"/>
    <w:rsid w:val="715C0E4B"/>
    <w:rsid w:val="717604C9"/>
    <w:rsid w:val="71992E7C"/>
    <w:rsid w:val="72233669"/>
    <w:rsid w:val="72734D90"/>
    <w:rsid w:val="73160E6D"/>
    <w:rsid w:val="7332FE48"/>
    <w:rsid w:val="73AB61DA"/>
    <w:rsid w:val="73AD73D5"/>
    <w:rsid w:val="73B6EB34"/>
    <w:rsid w:val="73FA497D"/>
    <w:rsid w:val="74343D24"/>
    <w:rsid w:val="744731E5"/>
    <w:rsid w:val="74BBD01D"/>
    <w:rsid w:val="74ED5379"/>
    <w:rsid w:val="74FF4332"/>
    <w:rsid w:val="75DEEEC2"/>
    <w:rsid w:val="75E32345"/>
    <w:rsid w:val="76E3355F"/>
    <w:rsid w:val="76FE7D5F"/>
    <w:rsid w:val="76FF5125"/>
    <w:rsid w:val="776F6FFA"/>
    <w:rsid w:val="778769C8"/>
    <w:rsid w:val="77A75DCA"/>
    <w:rsid w:val="77DC22F5"/>
    <w:rsid w:val="783E271A"/>
    <w:rsid w:val="78616DE9"/>
    <w:rsid w:val="78C95383"/>
    <w:rsid w:val="78E35DB2"/>
    <w:rsid w:val="78E875D7"/>
    <w:rsid w:val="79086DAD"/>
    <w:rsid w:val="79D7FD79"/>
    <w:rsid w:val="79EE5BA4"/>
    <w:rsid w:val="7A0174D5"/>
    <w:rsid w:val="7A5779CE"/>
    <w:rsid w:val="7A894339"/>
    <w:rsid w:val="7AD284E8"/>
    <w:rsid w:val="7AFF7572"/>
    <w:rsid w:val="7B264BB7"/>
    <w:rsid w:val="7B6C7DFB"/>
    <w:rsid w:val="7B8C6B3B"/>
    <w:rsid w:val="7BBFBED0"/>
    <w:rsid w:val="7BC3E394"/>
    <w:rsid w:val="7C1F3737"/>
    <w:rsid w:val="7CBFC87B"/>
    <w:rsid w:val="7CE8640F"/>
    <w:rsid w:val="7CFE0F48"/>
    <w:rsid w:val="7D272ABC"/>
    <w:rsid w:val="7D7EC23E"/>
    <w:rsid w:val="7DE70964"/>
    <w:rsid w:val="7DF84014"/>
    <w:rsid w:val="7E8ADEBF"/>
    <w:rsid w:val="7EEF11D3"/>
    <w:rsid w:val="7EFE4840"/>
    <w:rsid w:val="7F0971A6"/>
    <w:rsid w:val="7F1D62E7"/>
    <w:rsid w:val="7F3F679B"/>
    <w:rsid w:val="7F4FC4EF"/>
    <w:rsid w:val="7F5E4D54"/>
    <w:rsid w:val="7F6D5B31"/>
    <w:rsid w:val="7F6E0135"/>
    <w:rsid w:val="7F79F205"/>
    <w:rsid w:val="7FA30C79"/>
    <w:rsid w:val="7FA4009B"/>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680"/>
    </w:pPr>
  </w:style>
  <w:style w:type="paragraph" w:styleId="6">
    <w:name w:val="index 5"/>
    <w:basedOn w:val="1"/>
    <w:next w:val="1"/>
    <w:qFormat/>
    <w:uiPriority w:val="0"/>
    <w:pPr>
      <w:widowControl w:val="0"/>
      <w:ind w:left="0" w:firstLine="0"/>
      <w:jc w:val="both"/>
    </w:pPr>
    <w:rPr>
      <w:rFonts w:ascii="黑体" w:eastAsia="黑体" w:cs="Arial"/>
      <w:kern w:val="2"/>
      <w:sz w:val="21"/>
      <w:szCs w:val="22"/>
      <w:lang w:val="en-US" w:eastAsia="zh-CN" w:bidi="ar-SA"/>
    </w:rPr>
  </w:style>
  <w:style w:type="paragraph" w:styleId="7">
    <w:name w:val="Body Text"/>
    <w:basedOn w:val="1"/>
    <w:link w:val="29"/>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Plain Text"/>
    <w:basedOn w:val="1"/>
    <w:next w:val="6"/>
    <w:qFormat/>
    <w:uiPriority w:val="0"/>
    <w:pPr>
      <w:widowControl w:val="0"/>
      <w:suppressAutoHyphens/>
      <w:jc w:val="both"/>
    </w:pPr>
    <w:rPr>
      <w:rFonts w:ascii="Courier New" w:hAnsi="Courier New" w:eastAsia="AR PL UKai CN" w:cs="Times New Roman"/>
      <w:kern w:val="2"/>
      <w:sz w:val="21"/>
      <w:szCs w:val="20"/>
      <w:lang w:val="en-US" w:eastAsia="zh-CN" w:bidi="ar-SA"/>
    </w:rPr>
  </w:style>
  <w:style w:type="paragraph" w:styleId="12">
    <w:name w:val="Balloon Text"/>
    <w:basedOn w:val="1"/>
    <w:link w:val="35"/>
    <w:semiHidden/>
    <w:unhideWhenUsed/>
    <w:qFormat/>
    <w:uiPriority w:val="99"/>
    <w:rPr>
      <w:sz w:val="18"/>
      <w:szCs w:val="18"/>
    </w:rPr>
  </w:style>
  <w:style w:type="paragraph" w:styleId="13">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9"/>
    <w:semiHidden/>
    <w:qFormat/>
    <w:uiPriority w:val="0"/>
    <w:pPr>
      <w:snapToGrid w:val="0"/>
      <w:jc w:val="left"/>
    </w:pPr>
    <w:rPr>
      <w:sz w:val="18"/>
      <w:szCs w:val="18"/>
    </w:r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semiHidden/>
    <w:unhideWhenUsed/>
    <w:qFormat/>
    <w:uiPriority w:val="99"/>
    <w:rPr>
      <w:sz w:val="24"/>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20"/>
    <w:semiHidden/>
    <w:qFormat/>
    <w:uiPriority w:val="99"/>
    <w:rPr>
      <w:rFonts w:ascii="Times New Roman" w:hAnsi="Times New Roman"/>
      <w:sz w:val="18"/>
      <w:szCs w:val="18"/>
    </w:rPr>
  </w:style>
  <w:style w:type="character" w:customStyle="1" w:styleId="25">
    <w:name w:val="页眉 Char"/>
    <w:link w:val="14"/>
    <w:semiHidden/>
    <w:qFormat/>
    <w:locked/>
    <w:uiPriority w:val="99"/>
    <w:rPr>
      <w:sz w:val="18"/>
    </w:rPr>
  </w:style>
  <w:style w:type="character" w:customStyle="1" w:styleId="26">
    <w:name w:val="Footer Char"/>
    <w:basedOn w:val="20"/>
    <w:semiHidden/>
    <w:qFormat/>
    <w:uiPriority w:val="99"/>
    <w:rPr>
      <w:rFonts w:ascii="Times New Roman" w:hAnsi="Times New Roman"/>
      <w:sz w:val="18"/>
      <w:szCs w:val="18"/>
    </w:rPr>
  </w:style>
  <w:style w:type="character" w:customStyle="1" w:styleId="27">
    <w:name w:val="页脚 Char"/>
    <w:link w:val="13"/>
    <w:qFormat/>
    <w:locked/>
    <w:uiPriority w:val="99"/>
    <w:rPr>
      <w:sz w:val="18"/>
    </w:rPr>
  </w:style>
  <w:style w:type="character" w:customStyle="1" w:styleId="28">
    <w:name w:val="Body Text Char"/>
    <w:basedOn w:val="20"/>
    <w:semiHidden/>
    <w:qFormat/>
    <w:uiPriority w:val="99"/>
    <w:rPr>
      <w:rFonts w:ascii="Times New Roman" w:hAnsi="Times New Roman"/>
      <w:szCs w:val="24"/>
    </w:rPr>
  </w:style>
  <w:style w:type="character" w:customStyle="1" w:styleId="29">
    <w:name w:val="正文文本 Char"/>
    <w:link w:val="7"/>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0"/>
    <w:link w:val="2"/>
    <w:qFormat/>
    <w:uiPriority w:val="9"/>
    <w:rPr>
      <w:rFonts w:ascii="Times New Roman" w:hAnsi="Times New Roman"/>
      <w:b/>
      <w:bCs/>
      <w:kern w:val="44"/>
      <w:sz w:val="44"/>
      <w:szCs w:val="44"/>
    </w:rPr>
  </w:style>
  <w:style w:type="character" w:customStyle="1" w:styleId="33">
    <w:name w:val="标题 2 Char"/>
    <w:basedOn w:val="20"/>
    <w:link w:val="3"/>
    <w:qFormat/>
    <w:uiPriority w:val="9"/>
    <w:rPr>
      <w:rFonts w:asciiTheme="majorHAnsi" w:hAnsiTheme="majorHAnsi" w:eastAsiaTheme="majorEastAsia" w:cstheme="majorBidi"/>
      <w:b/>
      <w:bCs/>
      <w:kern w:val="2"/>
      <w:sz w:val="32"/>
      <w:szCs w:val="32"/>
    </w:rPr>
  </w:style>
  <w:style w:type="paragraph" w:customStyle="1" w:styleId="34">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0"/>
    <w:link w:val="12"/>
    <w:semiHidden/>
    <w:qFormat/>
    <w:uiPriority w:val="99"/>
    <w:rPr>
      <w:rFonts w:ascii="Times New Roman" w:hAnsi="Times New Roman"/>
      <w:kern w:val="2"/>
      <w:sz w:val="18"/>
      <w:szCs w:val="18"/>
    </w:rPr>
  </w:style>
  <w:style w:type="character" w:customStyle="1" w:styleId="36">
    <w:name w:val="标题 3 Char"/>
    <w:basedOn w:val="20"/>
    <w:link w:val="4"/>
    <w:qFormat/>
    <w:uiPriority w:val="9"/>
    <w:rPr>
      <w:rFonts w:ascii="Times New Roman" w:hAnsi="Times New Roman"/>
      <w:b/>
      <w:bCs/>
      <w:kern w:val="2"/>
      <w:sz w:val="32"/>
      <w:szCs w:val="32"/>
    </w:rPr>
  </w:style>
  <w:style w:type="paragraph" w:customStyle="1" w:styleId="37">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正文-公1"/>
    <w:basedOn w:val="40"/>
    <w:next w:val="1"/>
    <w:qFormat/>
    <w:uiPriority w:val="0"/>
    <w:pPr>
      <w:ind w:firstLine="200" w:firstLineChars="200"/>
    </w:pPr>
  </w:style>
  <w:style w:type="paragraph" w:customStyle="1" w:styleId="4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9"/>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459.07</c:v>
                </c:pt>
                <c:pt idx="1">
                  <c:v>653.01</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625.97</c:v>
                </c:pt>
                <c:pt idx="1">
                  <c:v>27.04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555.97</c:v>
                </c:pt>
                <c:pt idx="1">
                  <c:v>97.04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459.07</c:v>
                </c:pt>
                <c:pt idx="1">
                  <c:v>653.01</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469437062092293"/>
          <c:y val="0.138759031024224"/>
          <c:w val="0.908359507127325"/>
          <c:h val="0.735316617084573"/>
        </c:manualLayout>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419.59</c:v>
                </c:pt>
                <c:pt idx="1">
                  <c:v>625.97</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General</c:formatCode>
                <c:ptCount val="4"/>
                <c:pt idx="0">
                  <c:v>486.48</c:v>
                </c:pt>
                <c:pt idx="1">
                  <c:v>69.24</c:v>
                </c:pt>
                <c:pt idx="2">
                  <c:v>29.64</c:v>
                </c:pt>
                <c:pt idx="3">
                  <c:v>40.6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6604</Words>
  <Characters>7125</Characters>
  <Lines>61</Lines>
  <Paragraphs>17</Paragraphs>
  <TotalTime>13</TotalTime>
  <ScaleCrop>false</ScaleCrop>
  <LinksUpToDate>false</LinksUpToDate>
  <CharactersWithSpaces>7184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2026-09-08T02:17:47Z</cp:lastPrinted>
  <dcterms:modified xsi:type="dcterms:W3CDTF">2026-09-08T02:34:47Z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C12386A88C2547BE835F1EE951BE579C_13</vt:lpwstr>
  </property>
  <property fmtid="{D5CDD505-2E9C-101B-9397-08002B2CF9AE}" pid="4" name="KSOTemplateDocerSaveRecord">
    <vt:lpwstr>eyJoZGlkIjoiYzE2MDBlMDAzMTNhMThlOTQzMDNjNjFlZWI4YmVjZjAiLCJ1c2VySWQiOiI1MTQ3MzUwMTcifQ==</vt:lpwstr>
  </property>
</Properties>
</file>