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607AB311">
      <w:pPr>
        <w:jc w:val="center"/>
        <w:rPr>
          <w:rFonts w:hint="eastAsia" w:ascii="黑体" w:hAnsi="黑体" w:eastAsia="黑体" w:cs="Times New Roman"/>
          <w:sz w:val="44"/>
          <w:szCs w:val="44"/>
          <w:lang w:val="en-US" w:eastAsia="zh-CN"/>
        </w:rPr>
      </w:pPr>
      <w:r>
        <w:rPr>
          <w:rFonts w:hint="eastAsia" w:ascii="黑体" w:hAnsi="黑体" w:eastAsia="黑体" w:cs="Times New Roman"/>
          <w:sz w:val="44"/>
          <w:szCs w:val="44"/>
        </w:rPr>
        <w:t>茂县</w:t>
      </w:r>
      <w:r>
        <w:rPr>
          <w:rFonts w:hint="eastAsia" w:ascii="黑体" w:hAnsi="黑体" w:eastAsia="黑体" w:cs="Times New Roman"/>
          <w:sz w:val="44"/>
          <w:szCs w:val="44"/>
          <w:lang w:eastAsia="zh-CN"/>
        </w:rPr>
        <w:t>卫生进修校</w:t>
      </w:r>
    </w:p>
    <w:p w14:paraId="0757CE6C">
      <w:pPr>
        <w:jc w:val="center"/>
        <w:rPr>
          <w:rFonts w:hint="eastAsia" w:ascii="黑体" w:hAnsi="黑体" w:eastAsia="黑体" w:cs="Times New Roman"/>
          <w:sz w:val="44"/>
          <w:szCs w:val="44"/>
        </w:rPr>
      </w:pPr>
      <w:r>
        <w:rPr>
          <w:rFonts w:hint="eastAsia" w:ascii="黑体" w:hAnsi="黑体" w:eastAsia="黑体" w:cs="Times New Roman"/>
          <w:sz w:val="44"/>
          <w:szCs w:val="44"/>
        </w:rPr>
        <w:t>202</w:t>
      </w:r>
      <w:r>
        <w:rPr>
          <w:rFonts w:hint="eastAsia" w:ascii="黑体" w:hAnsi="黑体" w:eastAsia="黑体" w:cs="Times New Roman"/>
          <w:sz w:val="44"/>
          <w:szCs w:val="44"/>
          <w:lang w:val="en-US" w:eastAsia="zh-CN"/>
        </w:rPr>
        <w:t>6</w:t>
      </w:r>
      <w:r>
        <w:rPr>
          <w:rFonts w:hint="eastAsia" w:ascii="黑体" w:hAnsi="黑体" w:eastAsia="黑体" w:cs="Times New Roman"/>
          <w:sz w:val="44"/>
          <w:szCs w:val="44"/>
        </w:rPr>
        <w:t>年部门预算</w:t>
      </w:r>
    </w:p>
    <w:p w14:paraId="6B90CC0D">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36"/>
          <w:szCs w:val="36"/>
        </w:rPr>
      </w:pPr>
    </w:p>
    <w:p w14:paraId="52077AB3">
      <w:pPr>
        <w:ind w:firstLine="4160" w:firstLineChars="800"/>
        <w:rPr>
          <w:rFonts w:hint="eastAsia" w:ascii="黑体" w:hAnsi="黑体" w:eastAsia="黑体"/>
          <w:sz w:val="52"/>
          <w:szCs w:val="52"/>
        </w:rPr>
      </w:pPr>
    </w:p>
    <w:p w14:paraId="1677CA97">
      <w:pPr>
        <w:ind w:firstLine="4160" w:firstLineChars="8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49BEC686">
      <w:p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1.负责全县卫生人员的培训和继续教育工作。</w:t>
      </w:r>
    </w:p>
    <w:p w14:paraId="331AEC29">
      <w:p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2.协助配合主管局指导教育工作。</w:t>
      </w:r>
    </w:p>
    <w:p w14:paraId="28DB08AF">
      <w:p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3.负责组织拟订并实施基层卫生和妇幼卫生、计划生育服务发展规划和政策措施，指导全县基层卫生和妇幼卫生、计划生育服务体系建设。</w:t>
      </w:r>
    </w:p>
    <w:p w14:paraId="5D0FE0A1">
      <w:p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4.组织实施促进全县出生人口性别平衡的政策措施。</w:t>
      </w:r>
    </w:p>
    <w:p w14:paraId="2D98EE42">
      <w:p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5.组织拟订全县卫生计生人才发展规划。</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2D66D29C">
      <w:pPr>
        <w:numPr>
          <w:ilvl w:val="0"/>
          <w:numId w:val="1"/>
        </w:num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对公共卫生人员项目培训工作、卫生监督协管员培训、基本药物采购培训、社区卫生人员服务能力建设项目培训等短期培训和农村卫生人才进行培训。</w:t>
      </w:r>
    </w:p>
    <w:p w14:paraId="17E17211">
      <w:pPr>
        <w:numPr>
          <w:numId w:val="0"/>
        </w:num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认真开展医德医风教育和学校文化建设深入开展宗旨意识、职业道德、纪律法制教育；结合学校实际开展围绕核心价值观开展多种形式的文化建设，弘扬良好职业道德、服务意识和奉献精神，树立先进典型。科学制定学校管理制度，健全和落实考评制度，将医德考评工作与日常监管紧密结合；考评结果与职工的岗位聘用、绩效工资、晋职晋级、评优评先等直接挂钩，建立有效的激励和制约机制。</w:t>
      </w:r>
    </w:p>
    <w:p w14:paraId="42A425A8">
      <w:pPr>
        <w:spacing w:line="56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3.安排乡镇卫生院和村卫生室医务人员到县级医疗单位进修学习，以提升医疗技术水平；同时，安排县级医疗单位医务人员到对口援建单位进修学习。</w:t>
      </w:r>
    </w:p>
    <w:p w14:paraId="67C6D778">
      <w:pPr>
        <w:pStyle w:val="8"/>
        <w:numPr>
          <w:ilvl w:val="0"/>
          <w:numId w:val="2"/>
        </w:numPr>
        <w:ind w:firstLineChars="0"/>
        <w:rPr>
          <w:rFonts w:ascii="黑体" w:hAnsi="黑体" w:eastAsia="黑体"/>
          <w:sz w:val="32"/>
          <w:szCs w:val="32"/>
        </w:rPr>
      </w:pPr>
      <w:r>
        <w:rPr>
          <w:rFonts w:hint="eastAsia" w:ascii="黑体" w:hAnsi="黑体" w:eastAsia="黑体"/>
          <w:sz w:val="32"/>
          <w:szCs w:val="32"/>
        </w:rPr>
        <w:t>部门预算单位构成</w:t>
      </w:r>
    </w:p>
    <w:p w14:paraId="17F58717">
      <w:pPr>
        <w:spacing w:line="540" w:lineRule="exact"/>
        <w:ind w:firstLine="640" w:firstLineChars="200"/>
        <w:rPr>
          <w:rFonts w:hint="eastAsia" w:ascii="仿宋_GB2312" w:eastAsia="仿宋_GB2312"/>
          <w:b w:val="0"/>
          <w:bCs/>
          <w:sz w:val="32"/>
          <w:szCs w:val="32"/>
        </w:rPr>
      </w:pPr>
      <w:r>
        <w:rPr>
          <w:rFonts w:hint="eastAsia" w:ascii="仿宋_GB2312" w:eastAsia="仿宋_GB2312"/>
          <w:sz w:val="32"/>
          <w:szCs w:val="32"/>
          <w:lang w:val="en-US" w:eastAsia="zh-CN"/>
        </w:rPr>
        <w:t>茂县卫生进修学校属二级预算单位，</w:t>
      </w:r>
      <w:r>
        <w:rPr>
          <w:rFonts w:hint="eastAsia" w:ascii="仿宋_GB2312" w:eastAsia="仿宋_GB2312"/>
          <w:b w:val="0"/>
          <w:bCs/>
          <w:sz w:val="32"/>
          <w:szCs w:val="32"/>
        </w:rPr>
        <w:t>其中：参照公务员法管理的事业单位</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个，其他事业单位</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个。</w:t>
      </w:r>
    </w:p>
    <w:p w14:paraId="603CB9DF">
      <w:pPr>
        <w:pStyle w:val="8"/>
        <w:ind w:left="0" w:leftChars="0" w:firstLine="640" w:firstLineChars="200"/>
        <w:rPr>
          <w:rFonts w:ascii="黑体" w:hAnsi="黑体" w:eastAsia="黑体"/>
          <w:sz w:val="32"/>
          <w:szCs w:val="32"/>
        </w:rPr>
      </w:pPr>
      <w:r>
        <w:rPr>
          <w:rFonts w:hint="eastAsia" w:ascii="黑体" w:hAnsi="黑体" w:eastAsia="黑体"/>
          <w:sz w:val="32"/>
          <w:szCs w:val="32"/>
        </w:rPr>
        <w:t>三、收支预算情况说明</w:t>
      </w:r>
    </w:p>
    <w:p w14:paraId="1E45EAE7">
      <w:pPr>
        <w:spacing w:line="560" w:lineRule="exact"/>
        <w:ind w:firstLine="640" w:firstLineChars="200"/>
        <w:rPr>
          <w:rFonts w:hint="eastAsia" w:ascii="仿宋_GB2312" w:eastAsia="仿宋_GB2312"/>
          <w:sz w:val="32"/>
          <w:szCs w:val="32"/>
          <w:lang w:val="en-US" w:eastAsia="zh-CN"/>
        </w:rPr>
      </w:pPr>
      <w:r>
        <w:rPr>
          <w:rFonts w:hint="eastAsia" w:ascii="黑体" w:hAnsi="黑体" w:eastAsia="黑体"/>
          <w:sz w:val="32"/>
          <w:szCs w:val="32"/>
          <w:lang w:val="en-US" w:eastAsia="zh-CN"/>
        </w:rPr>
        <w:t xml:space="preserve"> </w:t>
      </w:r>
      <w:r>
        <w:rPr>
          <w:rFonts w:hint="eastAsia" w:ascii="仿宋_GB2312" w:eastAsia="仿宋_GB2312"/>
          <w:sz w:val="32"/>
          <w:szCs w:val="32"/>
          <w:lang w:val="en-US" w:eastAsia="zh-CN"/>
        </w:rPr>
        <w:t xml:space="preserve"> 按照综合预算的原则，茂县卫生进修校所有收入和支出均纳入部门预算管理。收入包括：一般公共预算拨款收入489219.23元；支出包括：社会保障和就业支出73837.04元，卫生健康支出379274.19元，住房保障支出36108.00元，单位2026年收支总预算489219.23元,较2025年收支预算总数增加234757.85元，主要原因是:人员增加。</w:t>
      </w: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hint="eastAsia" w:ascii="仿宋_GB2312" w:eastAsia="仿宋_GB2312"/>
          <w:sz w:val="32"/>
          <w:szCs w:val="32"/>
          <w:lang w:val="en-US" w:eastAsia="zh-CN"/>
        </w:rPr>
      </w:pPr>
      <w:r>
        <w:rPr>
          <w:rFonts w:ascii="仿宋_GB2312" w:eastAsia="仿宋_GB2312"/>
          <w:sz w:val="32"/>
          <w:szCs w:val="32"/>
        </w:rPr>
        <w:t>　</w:t>
      </w:r>
      <w:r>
        <w:rPr>
          <w:rFonts w:hint="eastAsia" w:ascii="仿宋_GB2312" w:eastAsia="仿宋_GB2312"/>
          <w:sz w:val="32"/>
          <w:szCs w:val="32"/>
          <w:lang w:val="en-US" w:eastAsia="zh-CN"/>
        </w:rPr>
        <w:t>　2026年收入预算489219.23元；一般公共预算拨款收入489219.23元，占100%。</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5B313392">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2026年支出预算489219.23元，其中：基本支出489219.23元，占100%，项目支出0.00元，占0%。</w:t>
      </w:r>
    </w:p>
    <w:p w14:paraId="1708BCC3">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39BB1C66">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年财政拨款收支总预算489219.23元</w:t>
      </w:r>
      <w:r>
        <w:rPr>
          <w:rFonts w:hint="eastAsia" w:ascii="仿宋_GB2312" w:eastAsia="仿宋_GB2312" w:cs="Times New Roman"/>
          <w:sz w:val="32"/>
          <w:szCs w:val="32"/>
          <w:lang w:eastAsia="zh-CN"/>
        </w:rPr>
        <w:t>，较</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年财政拨款收支总预算增加</w:t>
      </w:r>
      <w:r>
        <w:rPr>
          <w:rFonts w:hint="eastAsia" w:ascii="仿宋_GB2312" w:eastAsia="仿宋_GB2312" w:cs="Times New Roman"/>
          <w:sz w:val="32"/>
          <w:szCs w:val="32"/>
          <w:lang w:val="en-US" w:eastAsia="zh-CN"/>
        </w:rPr>
        <w:t>234757.85</w:t>
      </w:r>
      <w:r>
        <w:rPr>
          <w:rFonts w:hint="eastAsia" w:ascii="仿宋_GB2312" w:eastAsia="仿宋_GB2312" w:cs="Times New Roman"/>
          <w:sz w:val="32"/>
          <w:szCs w:val="32"/>
        </w:rPr>
        <w:t>元，</w:t>
      </w:r>
      <w:r>
        <w:rPr>
          <w:rFonts w:hint="eastAsia" w:ascii="仿宋_GB2312" w:eastAsia="仿宋_GB2312" w:cs="Times New Roman"/>
          <w:sz w:val="32"/>
          <w:szCs w:val="32"/>
          <w:lang w:val="en-US" w:eastAsia="zh-CN"/>
        </w:rPr>
        <w:t>主要原因是:人员增加。</w:t>
      </w:r>
    </w:p>
    <w:p w14:paraId="2E4B440D">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rPr>
        <w:t>收入包括：本年一般公共预算拨款收入489219.23元。</w:t>
      </w:r>
    </w:p>
    <w:p w14:paraId="63CAACE1">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rPr>
        <w:t>支出包括：社会保障和就业支出</w:t>
      </w:r>
      <w:r>
        <w:rPr>
          <w:rFonts w:hint="eastAsia" w:ascii="仿宋_GB2312" w:eastAsia="仿宋_GB2312" w:cs="Times New Roman"/>
          <w:sz w:val="32"/>
          <w:szCs w:val="32"/>
          <w:lang w:val="en-US" w:eastAsia="zh-CN"/>
        </w:rPr>
        <w:t>73837.04</w:t>
      </w:r>
      <w:r>
        <w:rPr>
          <w:rFonts w:hint="eastAsia" w:ascii="仿宋_GB2312" w:eastAsia="仿宋_GB2312" w:cs="Times New Roman"/>
          <w:sz w:val="32"/>
          <w:szCs w:val="32"/>
        </w:rPr>
        <w:t>元，卫生健康支出</w:t>
      </w:r>
      <w:r>
        <w:rPr>
          <w:rFonts w:hint="eastAsia" w:ascii="仿宋_GB2312" w:eastAsia="仿宋_GB2312" w:cs="Times New Roman"/>
          <w:sz w:val="32"/>
          <w:szCs w:val="32"/>
          <w:lang w:val="en-US" w:eastAsia="zh-CN"/>
        </w:rPr>
        <w:t>379274.19</w:t>
      </w:r>
      <w:r>
        <w:rPr>
          <w:rFonts w:hint="eastAsia" w:ascii="仿宋_GB2312" w:eastAsia="仿宋_GB2312" w:cs="Times New Roman"/>
          <w:sz w:val="32"/>
          <w:szCs w:val="32"/>
        </w:rPr>
        <w:t>元，住房保障支出</w:t>
      </w:r>
      <w:r>
        <w:rPr>
          <w:rFonts w:hint="eastAsia" w:ascii="仿宋_GB2312" w:eastAsia="仿宋_GB2312" w:cs="Times New Roman"/>
          <w:sz w:val="32"/>
          <w:szCs w:val="32"/>
          <w:lang w:val="en-US" w:eastAsia="zh-CN"/>
        </w:rPr>
        <w:t>36108.00</w:t>
      </w:r>
      <w:r>
        <w:rPr>
          <w:rFonts w:hint="eastAsia" w:ascii="仿宋_GB2312" w:eastAsia="仿宋_GB2312" w:cs="Times New Roman"/>
          <w:sz w:val="32"/>
          <w:szCs w:val="32"/>
        </w:rPr>
        <w:t>元。</w:t>
      </w:r>
    </w:p>
    <w:p w14:paraId="57A060A6">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000000" w:themeColor="text1"/>
          <w:sz w:val="32"/>
          <w:szCs w:val="32"/>
          <w14:textFill>
            <w14:solidFill>
              <w14:schemeClr w14:val="tx1"/>
            </w14:solidFill>
          </w14:textFill>
        </w:rPr>
      </w:pPr>
      <w:r>
        <w:rPr>
          <w:rFonts w:hint="default" w:ascii="黑体" w:hAnsi="Calibri" w:eastAsia="黑体" w:cs="Times New Roman"/>
          <w:color w:val="000000" w:themeColor="text1"/>
          <w:kern w:val="2"/>
          <w:sz w:val="32"/>
          <w:szCs w:val="32"/>
          <w:lang w:val="en-US" w:eastAsia="zh-CN" w:bidi="ar-SA"/>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一般公共预算当年拨款情况说明</w:t>
      </w:r>
    </w:p>
    <w:p w14:paraId="4807B99E">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lang w:val="en-US" w:eastAsia="zh-CN"/>
        </w:rPr>
        <w:t>（一）</w:t>
      </w:r>
      <w:r>
        <w:rPr>
          <w:rFonts w:hint="eastAsia" w:ascii="楷体_GB2312" w:hAnsi="楷体" w:eastAsia="楷体_GB2312" w:cs="仿宋_GB2312"/>
          <w:b/>
          <w:sz w:val="32"/>
          <w:szCs w:val="32"/>
        </w:rPr>
        <w:t>一般公共预算当年拨款规模变化情况</w:t>
      </w:r>
    </w:p>
    <w:p w14:paraId="4B552184">
      <w:pPr>
        <w:spacing w:line="560" w:lineRule="exact"/>
        <w:ind w:firstLine="800" w:firstLineChars="25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2026年一般公共预算当年拨款489219.23元,较2025年预算数增加234757.85元，主要原因是:人员增加。</w:t>
      </w:r>
    </w:p>
    <w:p w14:paraId="785671CF">
      <w:pPr>
        <w:spacing w:line="560" w:lineRule="exact"/>
        <w:ind w:firstLine="643" w:firstLineChars="200"/>
        <w:rPr>
          <w:rFonts w:hint="eastAsia" w:ascii="楷体_GB2312" w:hAnsi="楷体" w:eastAsia="楷体_GB2312" w:cs="仿宋_GB2312"/>
          <w:b/>
          <w:sz w:val="32"/>
          <w:szCs w:val="32"/>
          <w:lang w:val="en-US" w:eastAsia="zh-CN"/>
        </w:rPr>
      </w:pPr>
      <w:r>
        <w:rPr>
          <w:rFonts w:hint="eastAsia" w:ascii="楷体_GB2312" w:hAnsi="楷体" w:eastAsia="楷体_GB2312" w:cs="仿宋_GB2312"/>
          <w:b/>
          <w:sz w:val="32"/>
          <w:szCs w:val="32"/>
          <w:lang w:val="en-US" w:eastAsia="zh-CN"/>
        </w:rPr>
        <w:t>（二）一般公共预算当年拨款结构情况</w:t>
      </w:r>
    </w:p>
    <w:p w14:paraId="20CA7045">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rPr>
        <w:t>社会保障和就业支出</w:t>
      </w:r>
      <w:r>
        <w:rPr>
          <w:rFonts w:hint="eastAsia" w:ascii="仿宋_GB2312" w:eastAsia="仿宋_GB2312" w:cs="Times New Roman"/>
          <w:sz w:val="32"/>
          <w:szCs w:val="32"/>
          <w:lang w:val="en-US" w:eastAsia="zh-CN"/>
        </w:rPr>
        <w:t>73837.04</w:t>
      </w:r>
      <w:r>
        <w:rPr>
          <w:rFonts w:hint="eastAsia" w:ascii="仿宋_GB2312" w:eastAsia="仿宋_GB2312" w:cs="Times New Roman"/>
          <w:sz w:val="32"/>
          <w:szCs w:val="32"/>
        </w:rPr>
        <w:t>元，占</w:t>
      </w:r>
      <w:r>
        <w:rPr>
          <w:rFonts w:hint="eastAsia" w:ascii="仿宋_GB2312" w:eastAsia="仿宋_GB2312" w:cs="Times New Roman"/>
          <w:sz w:val="32"/>
          <w:szCs w:val="32"/>
          <w:lang w:val="en-US" w:eastAsia="zh-CN"/>
        </w:rPr>
        <w:t>15.09</w:t>
      </w:r>
      <w:r>
        <w:rPr>
          <w:rFonts w:hint="eastAsia" w:ascii="仿宋_GB2312" w:eastAsia="仿宋_GB2312" w:cs="Times New Roman"/>
          <w:sz w:val="32"/>
          <w:szCs w:val="32"/>
        </w:rPr>
        <w:t xml:space="preserve"> %；卫生健康支出</w:t>
      </w:r>
      <w:r>
        <w:rPr>
          <w:rFonts w:hint="eastAsia" w:ascii="仿宋_GB2312" w:eastAsia="仿宋_GB2312" w:cs="Times New Roman"/>
          <w:sz w:val="32"/>
          <w:szCs w:val="32"/>
          <w:lang w:val="en-US" w:eastAsia="zh-CN"/>
        </w:rPr>
        <w:t>379274.19</w:t>
      </w:r>
      <w:r>
        <w:rPr>
          <w:rFonts w:hint="eastAsia" w:ascii="仿宋_GB2312" w:eastAsia="仿宋_GB2312" w:cs="Times New Roman"/>
          <w:sz w:val="32"/>
          <w:szCs w:val="32"/>
        </w:rPr>
        <w:t>元，占</w:t>
      </w:r>
      <w:r>
        <w:rPr>
          <w:rFonts w:hint="eastAsia" w:ascii="仿宋_GB2312" w:eastAsia="仿宋_GB2312" w:cs="Times New Roman"/>
          <w:sz w:val="32"/>
          <w:szCs w:val="32"/>
          <w:lang w:val="en-US" w:eastAsia="zh-CN"/>
        </w:rPr>
        <w:t>77.53</w:t>
      </w:r>
      <w:r>
        <w:rPr>
          <w:rFonts w:hint="eastAsia" w:ascii="仿宋_GB2312" w:eastAsia="仿宋_GB2312" w:cs="Times New Roman"/>
          <w:sz w:val="32"/>
          <w:szCs w:val="32"/>
        </w:rPr>
        <w:t xml:space="preserve"> %；住房保障支出</w:t>
      </w:r>
      <w:r>
        <w:rPr>
          <w:rFonts w:hint="eastAsia" w:ascii="仿宋_GB2312" w:eastAsia="仿宋_GB2312" w:cs="Times New Roman"/>
          <w:sz w:val="32"/>
          <w:szCs w:val="32"/>
          <w:lang w:val="en-US" w:eastAsia="zh-CN"/>
        </w:rPr>
        <w:t>36108.00</w:t>
      </w:r>
      <w:r>
        <w:rPr>
          <w:rFonts w:hint="eastAsia" w:ascii="仿宋_GB2312" w:eastAsia="仿宋_GB2312" w:cs="Times New Roman"/>
          <w:sz w:val="32"/>
          <w:szCs w:val="32"/>
        </w:rPr>
        <w:t>元，占</w:t>
      </w:r>
      <w:r>
        <w:rPr>
          <w:rFonts w:hint="eastAsia" w:ascii="仿宋_GB2312" w:eastAsia="仿宋_GB2312" w:cs="Times New Roman"/>
          <w:sz w:val="32"/>
          <w:szCs w:val="32"/>
          <w:lang w:val="en-US" w:eastAsia="zh-CN"/>
        </w:rPr>
        <w:t>7.38</w:t>
      </w:r>
      <w:r>
        <w:rPr>
          <w:rFonts w:hint="eastAsia" w:ascii="仿宋_GB2312" w:eastAsia="仿宋_GB2312" w:cs="Times New Roman"/>
          <w:sz w:val="32"/>
          <w:szCs w:val="32"/>
        </w:rPr>
        <w:t>%。</w:t>
      </w:r>
    </w:p>
    <w:p w14:paraId="403A7A2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 w:eastAsia="楷体_GB2312" w:cs="仿宋_GB2312"/>
          <w:b/>
          <w:sz w:val="32"/>
          <w:szCs w:val="32"/>
          <w:lang w:val="en-US" w:eastAsia="zh-CN"/>
        </w:rPr>
      </w:pPr>
      <w:r>
        <w:rPr>
          <w:rFonts w:hint="eastAsia" w:ascii="楷体_GB2312" w:hAnsi="楷体" w:eastAsia="楷体_GB2312" w:cs="仿宋_GB2312"/>
          <w:b/>
          <w:sz w:val="32"/>
          <w:szCs w:val="32"/>
          <w:lang w:val="en-US" w:eastAsia="zh-CN"/>
        </w:rPr>
        <w:t>（三）一般公共预算当年拨款具体使用情况</w:t>
      </w:r>
    </w:p>
    <w:p w14:paraId="4119E496">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.社会保障和就业支出（</w:t>
      </w:r>
      <w:r>
        <w:rPr>
          <w:rFonts w:hint="eastAsia" w:ascii="仿宋_GB2312" w:eastAsia="仿宋_GB2312" w:cs="Times New Roman"/>
          <w:sz w:val="32"/>
          <w:szCs w:val="32"/>
          <w:lang w:val="en-US" w:eastAsia="zh-CN"/>
        </w:rPr>
        <w:t>208</w:t>
      </w:r>
      <w:r>
        <w:rPr>
          <w:rFonts w:hint="eastAsia" w:ascii="仿宋_GB2312" w:eastAsia="仿宋_GB2312" w:cs="Times New Roman"/>
          <w:sz w:val="32"/>
          <w:szCs w:val="32"/>
        </w:rPr>
        <w:t>）行政事业单位养老支出（</w:t>
      </w:r>
      <w:r>
        <w:rPr>
          <w:rFonts w:hint="eastAsia" w:ascii="仿宋_GB2312" w:eastAsia="仿宋_GB2312" w:cs="Times New Roman"/>
          <w:sz w:val="32"/>
          <w:szCs w:val="32"/>
          <w:lang w:val="en-US" w:eastAsia="zh-CN"/>
        </w:rPr>
        <w:t>05</w:t>
      </w:r>
      <w:r>
        <w:rPr>
          <w:rFonts w:hint="eastAsia" w:ascii="仿宋_GB2312" w:eastAsia="仿宋_GB2312" w:cs="Times New Roman"/>
          <w:sz w:val="32"/>
          <w:szCs w:val="32"/>
        </w:rPr>
        <w:t>）机关事业单位基本养老保险缴费支出（</w:t>
      </w:r>
      <w:r>
        <w:rPr>
          <w:rFonts w:hint="eastAsia" w:ascii="仿宋_GB2312" w:eastAsia="仿宋_GB2312" w:cs="Times New Roman"/>
          <w:sz w:val="32"/>
          <w:szCs w:val="32"/>
          <w:lang w:val="en-US" w:eastAsia="zh-CN"/>
        </w:rPr>
        <w:t>05</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年预算数为49224.69元，主要用于</w:t>
      </w:r>
      <w:r>
        <w:rPr>
          <w:rFonts w:hint="eastAsia" w:ascii="仿宋_GB2312" w:eastAsia="仿宋_GB2312" w:cs="Times New Roman"/>
          <w:sz w:val="32"/>
          <w:szCs w:val="32"/>
          <w:lang w:eastAsia="zh-CN"/>
        </w:rPr>
        <w:t>：</w:t>
      </w:r>
      <w:r>
        <w:rPr>
          <w:rFonts w:hint="eastAsia" w:ascii="仿宋_GB2312" w:eastAsia="仿宋_GB2312" w:cs="Times New Roman"/>
          <w:sz w:val="32"/>
          <w:szCs w:val="32"/>
        </w:rPr>
        <w:t>单位缴纳基本养老保险费。</w:t>
      </w:r>
    </w:p>
    <w:p w14:paraId="587DF8B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.社会保障和就业支出（</w:t>
      </w:r>
      <w:r>
        <w:rPr>
          <w:rFonts w:hint="eastAsia" w:ascii="仿宋_GB2312" w:eastAsia="仿宋_GB2312" w:cs="Times New Roman"/>
          <w:sz w:val="32"/>
          <w:szCs w:val="32"/>
          <w:lang w:val="en-US" w:eastAsia="zh-CN"/>
        </w:rPr>
        <w:t>208</w:t>
      </w:r>
      <w:r>
        <w:rPr>
          <w:rFonts w:hint="eastAsia" w:ascii="仿宋_GB2312" w:eastAsia="仿宋_GB2312" w:cs="Times New Roman"/>
          <w:sz w:val="32"/>
          <w:szCs w:val="32"/>
        </w:rPr>
        <w:t>）行政事业单位养老支出（</w:t>
      </w:r>
      <w:r>
        <w:rPr>
          <w:rFonts w:hint="eastAsia" w:ascii="仿宋_GB2312" w:eastAsia="仿宋_GB2312" w:cs="Times New Roman"/>
          <w:sz w:val="32"/>
          <w:szCs w:val="32"/>
          <w:lang w:val="en-US" w:eastAsia="zh-CN"/>
        </w:rPr>
        <w:t>05</w:t>
      </w:r>
      <w:r>
        <w:rPr>
          <w:rFonts w:hint="eastAsia" w:ascii="仿宋_GB2312" w:eastAsia="仿宋_GB2312" w:cs="Times New Roman"/>
          <w:sz w:val="32"/>
          <w:szCs w:val="32"/>
        </w:rPr>
        <w:t>）机关事业单位职业年金缴费支出（</w:t>
      </w:r>
      <w:r>
        <w:rPr>
          <w:rFonts w:hint="eastAsia" w:ascii="仿宋_GB2312" w:eastAsia="仿宋_GB2312" w:cs="Times New Roman"/>
          <w:sz w:val="32"/>
          <w:szCs w:val="32"/>
          <w:lang w:val="en-US" w:eastAsia="zh-CN"/>
        </w:rPr>
        <w:t>06</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年预算数为24612.35元，主要用于</w:t>
      </w:r>
      <w:r>
        <w:rPr>
          <w:rFonts w:hint="eastAsia" w:ascii="仿宋_GB2312" w:eastAsia="仿宋_GB2312" w:cs="Times New Roman"/>
          <w:sz w:val="32"/>
          <w:szCs w:val="32"/>
          <w:lang w:eastAsia="zh-CN"/>
        </w:rPr>
        <w:t>：</w:t>
      </w:r>
      <w:r>
        <w:rPr>
          <w:rFonts w:hint="eastAsia" w:ascii="仿宋_GB2312" w:eastAsia="仿宋_GB2312" w:cs="Times New Roman"/>
          <w:sz w:val="32"/>
          <w:szCs w:val="32"/>
        </w:rPr>
        <w:t>单位缴纳职业年金。</w:t>
      </w:r>
    </w:p>
    <w:p w14:paraId="590E57F1">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.卫生健康支出（</w:t>
      </w:r>
      <w:r>
        <w:rPr>
          <w:rFonts w:hint="eastAsia" w:ascii="仿宋_GB2312" w:eastAsia="仿宋_GB2312" w:cs="Times New Roman"/>
          <w:sz w:val="32"/>
          <w:szCs w:val="32"/>
          <w:lang w:val="en-US" w:eastAsia="zh-CN"/>
        </w:rPr>
        <w:t>210</w:t>
      </w:r>
      <w:r>
        <w:rPr>
          <w:rFonts w:hint="eastAsia" w:ascii="仿宋_GB2312" w:eastAsia="仿宋_GB2312" w:cs="Times New Roman"/>
          <w:sz w:val="32"/>
          <w:szCs w:val="32"/>
        </w:rPr>
        <w:t>）</w:t>
      </w:r>
      <w:r>
        <w:rPr>
          <w:rFonts w:hint="eastAsia" w:ascii="仿宋_GB2312" w:eastAsia="仿宋_GB2312" w:cs="Times New Roman"/>
          <w:sz w:val="32"/>
          <w:szCs w:val="32"/>
          <w:lang w:eastAsia="zh-CN"/>
        </w:rPr>
        <w:t>卫</w:t>
      </w:r>
      <w:r>
        <w:rPr>
          <w:rFonts w:hint="eastAsia" w:ascii="仿宋_GB2312" w:eastAsia="仿宋_GB2312" w:cs="Times New Roman"/>
          <w:sz w:val="32"/>
          <w:szCs w:val="32"/>
          <w:lang w:val="en-US" w:eastAsia="zh-CN"/>
        </w:rPr>
        <w:t>生健康管理事务</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01</w:t>
      </w:r>
      <w:r>
        <w:rPr>
          <w:rFonts w:hint="eastAsia" w:ascii="仿宋_GB2312" w:eastAsia="仿宋_GB2312" w:cs="Times New Roman"/>
          <w:sz w:val="32"/>
          <w:szCs w:val="32"/>
        </w:rPr>
        <w:t>）</w:t>
      </w:r>
      <w:r>
        <w:rPr>
          <w:rFonts w:hint="eastAsia" w:ascii="仿宋_GB2312" w:eastAsia="仿宋_GB2312" w:cs="Times New Roman"/>
          <w:sz w:val="32"/>
          <w:szCs w:val="32"/>
          <w:lang w:eastAsia="zh-CN"/>
        </w:rPr>
        <w:t>其他卫生健康管理事务支出</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99</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年预算数为348896.96元，主要用于</w:t>
      </w:r>
      <w:r>
        <w:rPr>
          <w:rFonts w:hint="eastAsia" w:ascii="仿宋_GB2312" w:eastAsia="仿宋_GB2312" w:cs="Times New Roman"/>
          <w:sz w:val="32"/>
          <w:szCs w:val="32"/>
          <w:lang w:eastAsia="zh-CN"/>
        </w:rPr>
        <w:t>：医疗卫生机构202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lang w:eastAsia="zh-CN"/>
        </w:rPr>
        <w:t>年的人员经费和日常公用经费等基本支出。</w:t>
      </w:r>
    </w:p>
    <w:p w14:paraId="4D6FF729">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.卫生健康支出（</w:t>
      </w:r>
      <w:r>
        <w:rPr>
          <w:rFonts w:hint="eastAsia" w:ascii="仿宋_GB2312" w:eastAsia="仿宋_GB2312" w:cs="Times New Roman"/>
          <w:sz w:val="32"/>
          <w:szCs w:val="32"/>
          <w:lang w:val="en-US" w:eastAsia="zh-CN"/>
        </w:rPr>
        <w:t>210</w:t>
      </w:r>
      <w:r>
        <w:rPr>
          <w:rFonts w:hint="eastAsia" w:ascii="仿宋_GB2312" w:eastAsia="仿宋_GB2312" w:cs="Times New Roman"/>
          <w:sz w:val="32"/>
          <w:szCs w:val="32"/>
        </w:rPr>
        <w:t>）行政事业单位医疗（</w:t>
      </w:r>
      <w:r>
        <w:rPr>
          <w:rFonts w:hint="eastAsia" w:ascii="仿宋_GB2312" w:eastAsia="仿宋_GB2312" w:cs="Times New Roman"/>
          <w:sz w:val="32"/>
          <w:szCs w:val="32"/>
          <w:lang w:val="en-US" w:eastAsia="zh-CN"/>
        </w:rPr>
        <w:t>11</w:t>
      </w:r>
      <w:r>
        <w:rPr>
          <w:rFonts w:hint="eastAsia" w:ascii="仿宋_GB2312" w:eastAsia="仿宋_GB2312" w:cs="Times New Roman"/>
          <w:sz w:val="32"/>
          <w:szCs w:val="32"/>
        </w:rPr>
        <w:t>）事业</w:t>
      </w:r>
      <w:r>
        <w:rPr>
          <w:rFonts w:hint="eastAsia" w:ascii="仿宋_GB2312" w:eastAsia="仿宋_GB2312" w:cs="Times New Roman"/>
          <w:sz w:val="32"/>
          <w:szCs w:val="32"/>
          <w:lang w:val="en-US" w:eastAsia="zh-CN"/>
        </w:rPr>
        <w:t>单位医疗（02）2026年预算数为30377.23元，主要用于：事业单位缴纳基本医疗保险。</w:t>
      </w:r>
    </w:p>
    <w:p w14:paraId="30E41FAD">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5.住房保障支出（221）住房改革支出（02）住房公积金（01）2026年预算数为36108.00元，主要用于：单位为职工缴纳住房公积金。</w:t>
      </w:r>
    </w:p>
    <w:p w14:paraId="6F9FA873">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六、一般公共预算基本支出情况说明</w:t>
      </w:r>
    </w:p>
    <w:p w14:paraId="692CF3DF">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2026年一般公共预算基本支出489219.23元，其中：人员经费454505.50元，主要包括：基本工资、津贴补贴、绩效工资、机关事业单位基本养老保险缴费、职业年金缴费、  职工基本医疗保险缴费、  其他社会保障缴费、住房公积金、医疗费。</w:t>
      </w:r>
    </w:p>
    <w:p w14:paraId="7181380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公用经费34713.73元，主要包括：办公费、差旅费、福利费、公务接待费、其他商品和服务支出。</w:t>
      </w:r>
    </w:p>
    <w:p w14:paraId="3417DB6A">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七、“三公”经费财政拨款预算安排情况说明</w:t>
      </w:r>
    </w:p>
    <w:p w14:paraId="58C1E361">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2026年“三公”经费财政拨款预算数630.00元，其中：因公出国（境）经费0元，公务接待费630.00元，公务用车购置及运行维护费0元。</w:t>
      </w:r>
    </w:p>
    <w:p w14:paraId="0D11D4BC">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（一）2026年无因公出国（境）经费。</w:t>
      </w:r>
    </w:p>
    <w:p w14:paraId="3B8772CD">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（二）2026年公务接待经费630.00元。较2025年预算经费增加310.00元，增长96.88%，主要原因是：人员增加。</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（三）2026年无公务用车购置及运行维护费。</w:t>
      </w:r>
    </w:p>
    <w:p w14:paraId="515CCAB0">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b w:val="0"/>
          <w:bCs w:val="0"/>
          <w:sz w:val="32"/>
          <w:szCs w:val="32"/>
        </w:rPr>
      </w:pPr>
      <w:r>
        <w:rPr>
          <w:rFonts w:hint="eastAsia" w:ascii="黑体" w:hAnsi="黑体" w:eastAsia="黑体"/>
          <w:b w:val="0"/>
          <w:bCs w:val="0"/>
          <w:sz w:val="32"/>
          <w:szCs w:val="32"/>
        </w:rPr>
        <w:t>八、政府性基金</w:t>
      </w:r>
      <w:r>
        <w:rPr>
          <w:rFonts w:hint="eastAsia" w:ascii="黑体" w:hAnsi="黑体" w:eastAsia="黑体" w:cs="仿宋_GB2312"/>
          <w:b w:val="0"/>
          <w:bCs w:val="0"/>
          <w:sz w:val="32"/>
          <w:szCs w:val="32"/>
        </w:rPr>
        <w:t>预算</w:t>
      </w:r>
      <w:r>
        <w:rPr>
          <w:rFonts w:hint="eastAsia" w:ascii="黑体" w:hAnsi="黑体" w:eastAsia="黑体"/>
          <w:b w:val="0"/>
          <w:bCs w:val="0"/>
          <w:sz w:val="32"/>
          <w:szCs w:val="32"/>
        </w:rPr>
        <w:t>支出情况说明</w:t>
      </w:r>
    </w:p>
    <w:p w14:paraId="58637D1C">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2026年无政府性基金预算拨款安排的支出。</w:t>
      </w:r>
    </w:p>
    <w:p w14:paraId="1468B67F">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sz w:val="32"/>
          <w:szCs w:val="32"/>
        </w:rPr>
      </w:pPr>
      <w:r>
        <w:rPr>
          <w:rFonts w:hint="eastAsia" w:ascii="黑体" w:hAnsi="黑体" w:eastAsia="黑体"/>
          <w:sz w:val="32"/>
          <w:szCs w:val="32"/>
        </w:rPr>
        <w:t>九、其他重要事项的情况说明</w:t>
      </w:r>
    </w:p>
    <w:p w14:paraId="04882CC5">
      <w:pPr>
        <w:pStyle w:val="8"/>
        <w:keepNext w:val="0"/>
        <w:keepLines w:val="0"/>
        <w:pageBreakBefore w:val="0"/>
        <w:widowControl w:val="0"/>
        <w:pBdr>
          <w:bottom w:val="single" w:color="FFFFFF" w:sz="4" w:space="29"/>
        </w:pBdr>
        <w:tabs>
          <w:tab w:val="left" w:pos="1440"/>
        </w:tabs>
        <w:kinsoku/>
        <w:wordWrap/>
        <w:overflowPunct/>
        <w:topLinePunct w:val="0"/>
        <w:autoSpaceDE/>
        <w:autoSpaceDN/>
        <w:bidi w:val="0"/>
        <w:adjustRightInd/>
        <w:snapToGrid/>
        <w:spacing w:line="560" w:lineRule="exact"/>
        <w:ind w:left="0" w:firstLine="643" w:firstLineChars="200"/>
        <w:textAlignment w:val="auto"/>
        <w:rPr>
          <w:rFonts w:hint="eastAsia" w:ascii="楷体_GB2312" w:hAnsi="楷体" w:eastAsia="楷体_GB2312" w:cs="仿宋_GB2312"/>
          <w:b/>
          <w:sz w:val="32"/>
          <w:szCs w:val="32"/>
        </w:rPr>
      </w:pPr>
      <w:r>
        <w:rPr>
          <w:rFonts w:hint="eastAsia" w:ascii="楷体_GB2312" w:hAnsi="楷体" w:eastAsia="楷体_GB2312" w:cs="仿宋_GB2312"/>
          <w:b/>
          <w:sz w:val="32"/>
          <w:szCs w:val="32"/>
        </w:rPr>
        <w:t>（一）机关运行经费</w:t>
      </w:r>
    </w:p>
    <w:p w14:paraId="60E8FBC9">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rPr>
      </w:pPr>
      <w:r>
        <w:rPr>
          <w:rFonts w:hint="eastAsia" w:ascii="仿宋_GB2312" w:eastAsia="仿宋_GB2312" w:cs="Times New Roman"/>
          <w:sz w:val="32"/>
          <w:szCs w:val="32"/>
          <w:lang w:val="en-US" w:eastAsia="zh-CN"/>
        </w:rPr>
        <w:t>2026年机关运行经费财政拨款预算数为34713.73元，较2025年预算增加12814.70元，增长58.54%。主要原因:人员调进。</w:t>
      </w:r>
    </w:p>
    <w:p w14:paraId="5618F19E">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eastAsia="仿宋_GB2312" w:cs="Times New Roman"/>
          <w:sz w:val="32"/>
          <w:szCs w:val="32"/>
          <w:lang w:val="en-US" w:eastAsia="zh-CN"/>
        </w:rPr>
      </w:pPr>
      <w:r>
        <w:rPr>
          <w:rFonts w:hint="eastAsia" w:ascii="楷体_GB2312" w:hAnsi="楷体" w:eastAsia="楷体_GB2312" w:cs="仿宋_GB2312"/>
          <w:b/>
          <w:kern w:val="2"/>
          <w:sz w:val="32"/>
          <w:szCs w:val="32"/>
          <w:lang w:val="en-US" w:eastAsia="zh-CN" w:bidi="ar-SA"/>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cs="Times New Roman"/>
          <w:sz w:val="32"/>
          <w:szCs w:val="32"/>
          <w:lang w:val="en-US" w:eastAsia="zh-CN"/>
        </w:rPr>
        <w:t>2026年茂县卫生进修校未安排政府采购预算。</w:t>
      </w:r>
    </w:p>
    <w:p w14:paraId="63529DFF">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1AB36A00">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截至2025年12月31日，我单位固定资产总额6364749.98元，其中：房屋3831.06平方米，价值6364749.98元；其他固定资产0.00元。</w:t>
      </w:r>
    </w:p>
    <w:p w14:paraId="21AECF64">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default" w:ascii="仿宋_GB2312" w:eastAsia="仿宋_GB2312" w:cs="Times New Roman"/>
          <w:sz w:val="32"/>
          <w:szCs w:val="32"/>
          <w:lang w:val="en-US" w:eastAsia="zh-CN"/>
        </w:rPr>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cs="Times New Roman"/>
          <w:sz w:val="32"/>
          <w:szCs w:val="32"/>
          <w:lang w:val="en-US" w:eastAsia="zh-CN"/>
        </w:rPr>
        <w:t>2026年无项目支出预算。</w:t>
      </w:r>
    </w:p>
    <w:p w14:paraId="788870F1">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lang w:val="en-US" w:eastAsia="zh-CN"/>
        </w:rPr>
      </w:pPr>
      <w:r>
        <w:rPr>
          <w:rFonts w:hint="eastAsia" w:ascii="黑体" w:hAnsi="黑体" w:eastAsia="黑体" w:cs="Times New Roman"/>
          <w:kern w:val="2"/>
          <w:sz w:val="32"/>
          <w:szCs w:val="32"/>
          <w:lang w:val="en-US" w:eastAsia="zh-CN" w:bidi="ar-SA"/>
        </w:rPr>
        <w:t xml:space="preserve">十、名称解释 </w:t>
      </w:r>
      <w:r>
        <w:rPr>
          <w:rFonts w:hint="eastAsia" w:ascii="黑体" w:hAnsi="黑体" w:eastAsia="黑体" w:cs="Times New Roman"/>
          <w:kern w:val="2"/>
          <w:sz w:val="32"/>
          <w:szCs w:val="32"/>
          <w:lang w:val="en-US" w:eastAsia="zh-CN" w:bidi="ar-SA"/>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sz w:val="32"/>
          <w:szCs w:val="32"/>
          <w:lang w:val="en-US" w:eastAsia="zh-CN"/>
        </w:rPr>
        <w:t>（一）财政拨款收入：</w:t>
      </w:r>
      <w:r>
        <w:rPr>
          <w:rFonts w:hint="eastAsia" w:ascii="仿宋_GB2312" w:eastAsia="仿宋_GB2312" w:cs="Times New Roman"/>
          <w:sz w:val="32"/>
          <w:szCs w:val="32"/>
          <w:lang w:val="en-US" w:eastAsia="zh-CN"/>
        </w:rPr>
        <w:t>指由财政拨款形成的部门收入。按现行管理制度，部门预算中反映的财政拨款仅包括一般公共预算拨款和政府性基金预算拨款。</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w:t>
      </w:r>
      <w:r>
        <w:rPr>
          <w:rFonts w:hint="eastAsia" w:ascii="楷体_GB2312" w:hAnsi="楷体" w:eastAsia="楷体_GB2312" w:cs="仿宋_GB2312"/>
          <w:b/>
          <w:sz w:val="32"/>
          <w:szCs w:val="32"/>
          <w:lang w:val="en-US" w:eastAsia="zh-CN"/>
        </w:rPr>
        <w:t>　（二）事业收入：</w:t>
      </w:r>
      <w:r>
        <w:rPr>
          <w:rFonts w:hint="eastAsia" w:ascii="仿宋_GB2312" w:eastAsia="仿宋_GB2312" w:cs="Times New Roman"/>
          <w:sz w:val="32"/>
          <w:szCs w:val="32"/>
          <w:lang w:val="en-US" w:eastAsia="zh-CN"/>
        </w:rPr>
        <w:t>指所属事业单位开展专业业务活动及辅助活动所取得的收入。</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w:t>
      </w:r>
      <w:r>
        <w:rPr>
          <w:rFonts w:hint="eastAsia" w:ascii="楷体_GB2312" w:hAnsi="楷体" w:eastAsia="楷体_GB2312" w:cs="仿宋_GB2312"/>
          <w:b/>
          <w:sz w:val="32"/>
          <w:szCs w:val="32"/>
          <w:lang w:val="en-US" w:eastAsia="zh-CN"/>
        </w:rPr>
        <w:t>（三）事业单位经营收入：</w:t>
      </w:r>
      <w:r>
        <w:rPr>
          <w:rFonts w:hint="eastAsia" w:ascii="仿宋_GB2312" w:eastAsia="仿宋_GB2312" w:cs="Times New Roman"/>
          <w:sz w:val="32"/>
          <w:szCs w:val="32"/>
          <w:lang w:val="en-US" w:eastAsia="zh-CN"/>
        </w:rPr>
        <w:t>指所属事业单位在专业业务活动及其辅助活动之外开展非独立核算经营活动取得的收入。</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w:t>
      </w:r>
      <w:r>
        <w:rPr>
          <w:rFonts w:hint="eastAsia" w:ascii="楷体_GB2312" w:hAnsi="楷体" w:eastAsia="楷体_GB2312" w:cs="仿宋_GB2312"/>
          <w:b/>
          <w:sz w:val="32"/>
          <w:szCs w:val="32"/>
          <w:lang w:val="en-US" w:eastAsia="zh-CN"/>
        </w:rPr>
        <w:t>（四）其他收入：</w:t>
      </w:r>
      <w:r>
        <w:rPr>
          <w:rFonts w:hint="eastAsia" w:ascii="仿宋_GB2312" w:eastAsia="仿宋_GB2312" w:cs="Times New Roman"/>
          <w:sz w:val="32"/>
          <w:szCs w:val="32"/>
          <w:lang w:val="en-US" w:eastAsia="zh-CN"/>
        </w:rPr>
        <w:t>指除上述“财政拨款收入”、“事业收入”、“事业单位经营收入”等以外的收入，主要是所属行政事业单位按规定动用的售房收入、存款利息收入等。</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w:t>
      </w:r>
      <w:r>
        <w:rPr>
          <w:rFonts w:hint="eastAsia" w:ascii="楷体_GB2312" w:hAnsi="楷体" w:eastAsia="楷体_GB2312" w:cs="仿宋_GB2312"/>
          <w:b/>
          <w:sz w:val="32"/>
          <w:szCs w:val="32"/>
          <w:lang w:val="en-US" w:eastAsia="zh-CN"/>
        </w:rPr>
        <w:t>　（五）用事业基金弥补收支差额：</w:t>
      </w:r>
      <w:r>
        <w:rPr>
          <w:rFonts w:hint="eastAsia" w:ascii="仿宋_GB2312" w:eastAsia="仿宋_GB2312" w:cs="Times New Roman"/>
          <w:sz w:val="32"/>
          <w:szCs w:val="32"/>
          <w:lang w:val="en-US" w:eastAsia="zh-CN"/>
        </w:rPr>
        <w:t>指所属事业单位在预计用当年的“财政拨款收入”、“事业收入”、“事业单位经营收入”、“其他收入”不足以安排当年支出的情况下，使用以前年度积累的事业基金弥补本年度收支缺口的资金。</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w:t>
      </w:r>
      <w:r>
        <w:rPr>
          <w:rFonts w:hint="eastAsia" w:ascii="楷体_GB2312" w:hAnsi="楷体" w:eastAsia="楷体_GB2312" w:cs="仿宋_GB2312"/>
          <w:b/>
          <w:sz w:val="32"/>
          <w:szCs w:val="32"/>
          <w:lang w:val="en-US" w:eastAsia="zh-CN"/>
        </w:rPr>
        <w:t>（六）上年结转：</w:t>
      </w:r>
      <w:r>
        <w:rPr>
          <w:rFonts w:hint="eastAsia" w:ascii="仿宋_GB2312" w:eastAsia="仿宋_GB2312" w:cs="Times New Roman"/>
          <w:sz w:val="32"/>
          <w:szCs w:val="32"/>
          <w:lang w:val="en-US" w:eastAsia="zh-CN"/>
        </w:rPr>
        <w:t>指所属行政事业单位以前年度尚未完成、结转至本年按原规定用途继续使用的资金和以前年度已完成项目剩余资金经批准用于新用途使用的资金。</w:t>
      </w:r>
    </w:p>
    <w:p w14:paraId="4CB25AF4">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imes New Roman"/>
          <w:sz w:val="32"/>
          <w:szCs w:val="32"/>
          <w:lang w:val="en-US" w:eastAsia="zh-CN"/>
        </w:rPr>
      </w:pPr>
      <w:r>
        <w:rPr>
          <w:rFonts w:hint="eastAsia" w:ascii="楷体_GB2312" w:hAnsi="楷体" w:eastAsia="楷体_GB2312" w:cs="仿宋_GB2312"/>
          <w:b/>
          <w:sz w:val="32"/>
          <w:szCs w:val="32"/>
          <w:lang w:val="en-US" w:eastAsia="zh-CN"/>
        </w:rPr>
        <w:t>（七）基本支出：</w:t>
      </w:r>
      <w:r>
        <w:rPr>
          <w:rFonts w:hint="eastAsia" w:ascii="仿宋_GB2312" w:eastAsia="仿宋_GB2312" w:cs="Times New Roman"/>
          <w:sz w:val="32"/>
          <w:szCs w:val="32"/>
          <w:lang w:val="en-US" w:eastAsia="zh-CN"/>
        </w:rPr>
        <w:t>指为保证机构正常运转，完成日常工作任务而发生的人员支出和公用支出。</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w:t>
      </w:r>
      <w:r>
        <w:rPr>
          <w:rFonts w:hint="eastAsia" w:ascii="楷体_GB2312" w:hAnsi="楷体" w:eastAsia="楷体_GB2312" w:cs="仿宋_GB2312"/>
          <w:b/>
          <w:sz w:val="32"/>
          <w:szCs w:val="32"/>
          <w:lang w:val="en-US" w:eastAsia="zh-CN"/>
        </w:rPr>
        <w:t>　（八）项目支出：</w:t>
      </w:r>
      <w:r>
        <w:rPr>
          <w:rFonts w:hint="eastAsia" w:ascii="仿宋_GB2312" w:eastAsia="仿宋_GB2312" w:cs="Times New Roman"/>
          <w:sz w:val="32"/>
          <w:szCs w:val="32"/>
          <w:lang w:val="en-US" w:eastAsia="zh-CN"/>
        </w:rPr>
        <w:t>指在基本支出之外为完成特定行政任务和事业发展目标所发生的支出。</w:t>
      </w:r>
      <w:r>
        <w:rPr>
          <w:rFonts w:hint="eastAsia" w:ascii="仿宋_GB2312" w:eastAsia="仿宋_GB2312" w:cs="Times New Roman"/>
          <w:sz w:val="32"/>
          <w:szCs w:val="32"/>
          <w:lang w:val="en-US" w:eastAsia="zh-CN"/>
        </w:rPr>
        <w:br w:type="textWrapping"/>
      </w:r>
      <w:r>
        <w:rPr>
          <w:rFonts w:hint="eastAsia" w:ascii="仿宋_GB2312" w:eastAsia="仿宋_GB2312" w:cs="Times New Roman"/>
          <w:sz w:val="32"/>
          <w:szCs w:val="32"/>
          <w:lang w:val="en-US" w:eastAsia="zh-CN"/>
        </w:rPr>
        <w:t>　</w:t>
      </w:r>
      <w:r>
        <w:rPr>
          <w:rFonts w:hint="eastAsia" w:ascii="楷体_GB2312" w:hAnsi="楷体" w:eastAsia="楷体_GB2312" w:cs="仿宋_GB2312"/>
          <w:b/>
          <w:sz w:val="32"/>
          <w:szCs w:val="32"/>
          <w:lang w:val="en-US" w:eastAsia="zh-CN"/>
        </w:rPr>
        <w:t>　（九）“三公”经费：</w:t>
      </w:r>
      <w:r>
        <w:rPr>
          <w:rFonts w:hint="eastAsia" w:ascii="仿宋_GB2312" w:eastAsia="仿宋_GB2312" w:cs="Times New Roman"/>
          <w:sz w:val="32"/>
          <w:szCs w:val="32"/>
          <w:lang w:val="en-US"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6C1315D">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茂县卫生进修校</w:t>
      </w:r>
    </w:p>
    <w:p w14:paraId="281D81A7">
      <w:pPr>
        <w:keepNext w:val="0"/>
        <w:keepLines w:val="0"/>
        <w:pageBreakBefore w:val="0"/>
        <w:widowControl w:val="0"/>
        <w:numPr>
          <w:ilvl w:val="0"/>
          <w:numId w:val="0"/>
        </w:numPr>
        <w:pBdr>
          <w:bottom w:val="single" w:color="FFFFFF" w:sz="4" w:space="29"/>
        </w:pBdr>
        <w:tabs>
          <w:tab w:val="left" w:pos="1440"/>
        </w:tabs>
        <w:kinsoku/>
        <w:wordWrap/>
        <w:overflowPunct/>
        <w:topLinePunct w:val="0"/>
        <w:autoSpaceDE/>
        <w:autoSpaceDN/>
        <w:bidi w:val="0"/>
        <w:adjustRightInd/>
        <w:snapToGrid/>
        <w:spacing w:line="560" w:lineRule="exact"/>
        <w:ind w:firstLine="640" w:firstLineChars="200"/>
        <w:jc w:val="right"/>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2026年4月03日</w:t>
      </w:r>
    </w:p>
    <w:p w14:paraId="4FD43B89">
      <w:pPr>
        <w:rPr>
          <w:rFonts w:ascii="仿宋_GB2312" w:hAnsi="仿宋_GB2312" w:eastAsia="仿宋_GB2312" w:cs="仿宋_GB2312"/>
          <w:sz w:val="32"/>
          <w:szCs w:val="32"/>
        </w:rPr>
      </w:pP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7ECC7"/>
    <w:multiLevelType w:val="singleLevel"/>
    <w:tmpl w:val="FB77ECC7"/>
    <w:lvl w:ilvl="0" w:tentative="0">
      <w:start w:val="1"/>
      <w:numFmt w:val="decimal"/>
      <w:lvlText w:val="%1."/>
      <w:lvlJc w:val="left"/>
      <w:pPr>
        <w:tabs>
          <w:tab w:val="left" w:pos="312"/>
        </w:tabs>
      </w:p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F114A6"/>
    <w:rsid w:val="02BF15A4"/>
    <w:rsid w:val="032C4E8C"/>
    <w:rsid w:val="04B74C29"/>
    <w:rsid w:val="050F6813"/>
    <w:rsid w:val="07674A16"/>
    <w:rsid w:val="08753B7E"/>
    <w:rsid w:val="0A6A629A"/>
    <w:rsid w:val="0C790A16"/>
    <w:rsid w:val="0C9475FE"/>
    <w:rsid w:val="0DED16BC"/>
    <w:rsid w:val="0F824086"/>
    <w:rsid w:val="12681311"/>
    <w:rsid w:val="12B409FA"/>
    <w:rsid w:val="13197D31"/>
    <w:rsid w:val="14283CF0"/>
    <w:rsid w:val="14CF1B1B"/>
    <w:rsid w:val="164003A4"/>
    <w:rsid w:val="16C5583A"/>
    <w:rsid w:val="16EB0762"/>
    <w:rsid w:val="177904B8"/>
    <w:rsid w:val="196F53C0"/>
    <w:rsid w:val="1A516B2E"/>
    <w:rsid w:val="1B0406D7"/>
    <w:rsid w:val="1B1E4E3E"/>
    <w:rsid w:val="1B9D4375"/>
    <w:rsid w:val="20361CB8"/>
    <w:rsid w:val="23EEE00E"/>
    <w:rsid w:val="258424AE"/>
    <w:rsid w:val="273B08EE"/>
    <w:rsid w:val="275B2D9A"/>
    <w:rsid w:val="28CF348E"/>
    <w:rsid w:val="29566940"/>
    <w:rsid w:val="2BB840D8"/>
    <w:rsid w:val="2C903B6E"/>
    <w:rsid w:val="2DAA682A"/>
    <w:rsid w:val="321B1AA4"/>
    <w:rsid w:val="32BF7DF5"/>
    <w:rsid w:val="33370B5F"/>
    <w:rsid w:val="337648C7"/>
    <w:rsid w:val="338D077F"/>
    <w:rsid w:val="33EC7B9C"/>
    <w:rsid w:val="34594B05"/>
    <w:rsid w:val="35BC70FA"/>
    <w:rsid w:val="372E04CB"/>
    <w:rsid w:val="37885A5B"/>
    <w:rsid w:val="3A5169AB"/>
    <w:rsid w:val="3AC802EF"/>
    <w:rsid w:val="3B9C7F12"/>
    <w:rsid w:val="3BDE3CD5"/>
    <w:rsid w:val="3C337806"/>
    <w:rsid w:val="3C3E4D0D"/>
    <w:rsid w:val="44627A06"/>
    <w:rsid w:val="484D62D8"/>
    <w:rsid w:val="48EB0A3F"/>
    <w:rsid w:val="500951DA"/>
    <w:rsid w:val="51F16034"/>
    <w:rsid w:val="526D7CA2"/>
    <w:rsid w:val="543071D9"/>
    <w:rsid w:val="54685B39"/>
    <w:rsid w:val="560F497F"/>
    <w:rsid w:val="57EF1159"/>
    <w:rsid w:val="596C22C4"/>
    <w:rsid w:val="5CBD1826"/>
    <w:rsid w:val="5E167440"/>
    <w:rsid w:val="5E892804"/>
    <w:rsid w:val="60714E01"/>
    <w:rsid w:val="60F70D94"/>
    <w:rsid w:val="61693C9D"/>
    <w:rsid w:val="62BE479A"/>
    <w:rsid w:val="63650DBE"/>
    <w:rsid w:val="64CC0F4B"/>
    <w:rsid w:val="66952ECC"/>
    <w:rsid w:val="669B6734"/>
    <w:rsid w:val="67D26B74"/>
    <w:rsid w:val="67E96994"/>
    <w:rsid w:val="6DBF6E15"/>
    <w:rsid w:val="6DE82540"/>
    <w:rsid w:val="6F094B4B"/>
    <w:rsid w:val="6F7D4D19"/>
    <w:rsid w:val="7219693C"/>
    <w:rsid w:val="729D1A86"/>
    <w:rsid w:val="72D71001"/>
    <w:rsid w:val="72F24105"/>
    <w:rsid w:val="73AE4625"/>
    <w:rsid w:val="74341F76"/>
    <w:rsid w:val="7436465A"/>
    <w:rsid w:val="758D0897"/>
    <w:rsid w:val="776A4BE5"/>
    <w:rsid w:val="778356EE"/>
    <w:rsid w:val="77E10A4D"/>
    <w:rsid w:val="7AE4629A"/>
    <w:rsid w:val="7E941F8F"/>
    <w:rsid w:val="7ED88FF4"/>
    <w:rsid w:val="7EE32C29"/>
    <w:rsid w:val="7F7D0C75"/>
    <w:rsid w:val="9E6EA61E"/>
    <w:rsid w:val="A7DD068D"/>
    <w:rsid w:val="E7F77C03"/>
    <w:rsid w:val="EEFD29E0"/>
    <w:rsid w:val="FFF37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rPr>
      <w:rFonts w:ascii="Times New Roman" w:hAnsi="Times New Roman" w:eastAsia="宋体" w:cs="Times New Roman"/>
    </w:rPr>
  </w:style>
  <w:style w:type="paragraph" w:styleId="3">
    <w:name w:val="Body Text First Indent 2"/>
    <w:basedOn w:val="2"/>
    <w:next w:val="1"/>
    <w:qFormat/>
    <w:uiPriority w:val="0"/>
    <w:pPr>
      <w:ind w:firstLine="20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 w:type="paragraph" w:customStyle="1" w:styleId="10">
    <w:name w:val="No Spacing"/>
    <w:autoRedefine/>
    <w:qFormat/>
    <w:uiPriority w:val="0"/>
    <w:pPr>
      <w:ind w:firstLine="200" w:firstLineChars="200"/>
    </w:pPr>
    <w:rPr>
      <w:rFonts w:ascii="Times New Roman" w:hAnsi="Times New Roman" w:eastAsia="仿宋_GB2312" w:cs="Times New Roman"/>
      <w:sz w:val="30"/>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3083</Words>
  <Characters>3536</Characters>
  <Lines>23</Lines>
  <Paragraphs>6</Paragraphs>
  <TotalTime>10</TotalTime>
  <ScaleCrop>false</ScaleCrop>
  <LinksUpToDate>false</LinksUpToDate>
  <CharactersWithSpaces>3573</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2022-01-14T08:31:00Z</dcterms:created>
  <dc:creator>疯丫头。。</dc:creator>
  <cp:lastModifiedBy>kylin</cp:lastModifiedBy>
  <cp:lastPrinted>2025-02-23T01:57:00Z</cp:lastPrinted>
  <dcterms:modified xsi:type="dcterms:W3CDTF">2026-03-30T16:11:40Z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eyJoZGlkIjoiZDE3OWFjYzMyMGM2MTI1YjM2NzE5YjY2ZmEyYTFiM2EiLCJ1c2VySWQiOiIzNDk4NDMyNDMifQ==</vt:lpwstr>
  </property>
  <property fmtid="{D5CDD505-2E9C-101B-9397-08002B2CF9AE}" pid="4" name="ICV">
    <vt:lpwstr>0EF11DB6E02C3A2A35E8C469FC509FA1_43</vt:lpwstr>
  </property>
</Properties>
</file>