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C4C0D"/>
    <w:p w14:paraId="51F7C28F"/>
    <w:p w14:paraId="051A7E52"/>
    <w:p w14:paraId="33398E00">
      <w:pPr>
        <w:ind w:firstLine="1050" w:firstLineChars="500"/>
      </w:pPr>
    </w:p>
    <w:p w14:paraId="785C2AB4">
      <w:pPr>
        <w:ind w:firstLine="1050" w:firstLineChars="500"/>
      </w:pPr>
    </w:p>
    <w:p w14:paraId="65BE732B">
      <w:pPr>
        <w:ind w:firstLine="1760" w:firstLineChars="400"/>
        <w:rPr>
          <w:rFonts w:ascii="黑体" w:eastAsia="黑体"/>
          <w:sz w:val="44"/>
          <w:szCs w:val="44"/>
        </w:rPr>
      </w:pPr>
    </w:p>
    <w:p w14:paraId="5B3F0313">
      <w:pPr>
        <w:jc w:val="center"/>
        <w:rPr>
          <w:rFonts w:hint="eastAsia" w:ascii="黑体" w:hAnsi="黑体" w:eastAsia="黑体"/>
          <w:sz w:val="44"/>
          <w:szCs w:val="44"/>
        </w:rPr>
      </w:pPr>
    </w:p>
    <w:p w14:paraId="404B74C9">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卫生健康局</w:t>
      </w:r>
    </w:p>
    <w:p w14:paraId="10E20F8B">
      <w:pPr>
        <w:jc w:val="center"/>
        <w:rPr>
          <w:rFonts w:hint="eastAsia" w:ascii="黑体" w:hAnsi="黑体" w:eastAsia="黑体"/>
          <w:sz w:val="44"/>
          <w:szCs w:val="44"/>
          <w:lang w:val="en-US" w:eastAsia="zh-CN"/>
        </w:rPr>
      </w:pPr>
      <w:r>
        <w:rPr>
          <w:rFonts w:hint="eastAsia" w:ascii="黑体" w:hAnsi="黑体" w:eastAsia="黑体"/>
          <w:sz w:val="44"/>
          <w:szCs w:val="44"/>
          <w:lang w:eastAsia="zh-CN"/>
        </w:rPr>
        <w:t>202</w:t>
      </w:r>
      <w:r>
        <w:rPr>
          <w:rFonts w:hint="eastAsia" w:ascii="黑体" w:hAnsi="黑体" w:eastAsia="黑体"/>
          <w:sz w:val="44"/>
          <w:szCs w:val="44"/>
          <w:lang w:val="en-US" w:eastAsia="zh-CN"/>
        </w:rPr>
        <w:t>6</w:t>
      </w:r>
      <w:r>
        <w:rPr>
          <w:rFonts w:hint="eastAsia" w:ascii="黑体" w:hAnsi="黑体" w:eastAsia="黑体"/>
          <w:sz w:val="44"/>
          <w:szCs w:val="44"/>
        </w:rPr>
        <w:t>年部门预算</w:t>
      </w:r>
      <w:r>
        <w:rPr>
          <w:rFonts w:hint="eastAsia" w:ascii="黑体" w:hAnsi="黑体" w:eastAsia="黑体"/>
          <w:sz w:val="44"/>
          <w:szCs w:val="44"/>
          <w:lang w:val="en-US" w:eastAsia="zh-CN"/>
        </w:rPr>
        <w:t>(本级）</w:t>
      </w:r>
    </w:p>
    <w:p w14:paraId="5C3331FF">
      <w:pPr>
        <w:ind w:firstLine="1760" w:firstLineChars="400"/>
        <w:rPr>
          <w:rFonts w:ascii="黑体" w:eastAsia="黑体"/>
          <w:sz w:val="44"/>
          <w:szCs w:val="44"/>
        </w:rPr>
      </w:pPr>
    </w:p>
    <w:p w14:paraId="721225CD">
      <w:pPr>
        <w:ind w:firstLine="1760" w:firstLineChars="400"/>
        <w:rPr>
          <w:rFonts w:ascii="黑体" w:eastAsia="黑体"/>
          <w:sz w:val="44"/>
          <w:szCs w:val="44"/>
        </w:rPr>
      </w:pPr>
    </w:p>
    <w:p w14:paraId="5FAA0F39">
      <w:pPr>
        <w:rPr>
          <w:rFonts w:hint="eastAsia" w:ascii="黑体" w:eastAsia="黑体"/>
          <w:sz w:val="52"/>
          <w:szCs w:val="52"/>
        </w:rPr>
      </w:pPr>
    </w:p>
    <w:p w14:paraId="6D7ADB1F">
      <w:pPr>
        <w:rPr>
          <w:rFonts w:hint="eastAsia" w:ascii="黑体" w:eastAsia="黑体"/>
          <w:sz w:val="52"/>
          <w:szCs w:val="52"/>
        </w:rPr>
      </w:pPr>
    </w:p>
    <w:p w14:paraId="327A41BD">
      <w:pPr>
        <w:rPr>
          <w:rFonts w:hint="eastAsia" w:ascii="黑体" w:eastAsia="黑体"/>
          <w:sz w:val="52"/>
          <w:szCs w:val="52"/>
        </w:rPr>
      </w:pPr>
    </w:p>
    <w:p w14:paraId="5DFA501F">
      <w:pPr>
        <w:rPr>
          <w:rFonts w:hint="eastAsia" w:ascii="黑体" w:eastAsia="黑体"/>
          <w:sz w:val="52"/>
          <w:szCs w:val="52"/>
        </w:rPr>
      </w:pPr>
    </w:p>
    <w:p w14:paraId="5E405BA9">
      <w:pPr>
        <w:rPr>
          <w:rFonts w:hint="eastAsia" w:ascii="黑体" w:eastAsia="黑体"/>
          <w:sz w:val="52"/>
          <w:szCs w:val="52"/>
        </w:rPr>
      </w:pPr>
    </w:p>
    <w:p w14:paraId="4265DE03">
      <w:pPr>
        <w:rPr>
          <w:rFonts w:hint="eastAsia" w:ascii="黑体" w:eastAsia="黑体"/>
          <w:sz w:val="52"/>
          <w:szCs w:val="52"/>
        </w:rPr>
      </w:pPr>
    </w:p>
    <w:p w14:paraId="5BD31DAB">
      <w:pPr>
        <w:rPr>
          <w:rFonts w:hint="eastAsia" w:ascii="黑体" w:eastAsia="黑体"/>
          <w:sz w:val="52"/>
          <w:szCs w:val="52"/>
        </w:rPr>
      </w:pPr>
    </w:p>
    <w:p w14:paraId="7EEF2807">
      <w:pPr>
        <w:rPr>
          <w:rFonts w:hint="eastAsia" w:ascii="黑体" w:eastAsia="黑体"/>
          <w:sz w:val="52"/>
          <w:szCs w:val="52"/>
        </w:rPr>
      </w:pPr>
    </w:p>
    <w:p w14:paraId="02B16907">
      <w:pPr>
        <w:ind w:firstLine="2880" w:firstLineChars="800"/>
        <w:jc w:val="both"/>
        <w:rPr>
          <w:rFonts w:hint="default" w:ascii="黑体" w:hAnsi="黑体" w:eastAsia="黑体"/>
          <w:sz w:val="36"/>
          <w:szCs w:val="36"/>
          <w:lang w:val="en-US" w:eastAsia="zh-CN"/>
        </w:rPr>
      </w:pPr>
      <w:r>
        <w:rPr>
          <w:rFonts w:hint="eastAsia" w:ascii="黑体" w:hAnsi="黑体" w:eastAsia="黑体"/>
          <w:sz w:val="36"/>
          <w:szCs w:val="36"/>
          <w:lang w:val="en-US" w:eastAsia="zh-CN"/>
        </w:rPr>
        <w:t>2026年4月3日</w:t>
      </w:r>
    </w:p>
    <w:p w14:paraId="20B5390B">
      <w:pPr>
        <w:rPr>
          <w:rFonts w:ascii="黑体" w:hAnsi="黑体" w:eastAsia="黑体"/>
          <w:sz w:val="44"/>
          <w:szCs w:val="44"/>
        </w:rPr>
      </w:pPr>
    </w:p>
    <w:p w14:paraId="671400CC">
      <w:pPr>
        <w:ind w:firstLine="3120" w:firstLineChars="600"/>
        <w:rPr>
          <w:rFonts w:hint="eastAsia" w:ascii="黑体" w:hAnsi="黑体" w:eastAsia="黑体"/>
          <w:sz w:val="52"/>
          <w:szCs w:val="52"/>
        </w:rPr>
      </w:pPr>
    </w:p>
    <w:p w14:paraId="40693F2B">
      <w:pPr>
        <w:ind w:firstLine="3120" w:firstLineChars="600"/>
        <w:rPr>
          <w:rFonts w:hint="eastAsia" w:ascii="黑体" w:hAnsi="黑体" w:eastAsia="黑体"/>
          <w:sz w:val="52"/>
          <w:szCs w:val="52"/>
        </w:rPr>
      </w:pPr>
      <w:r>
        <w:rPr>
          <w:rFonts w:hint="eastAsia" w:ascii="黑体" w:hAnsi="黑体" w:eastAsia="黑体"/>
          <w:sz w:val="52"/>
          <w:szCs w:val="52"/>
        </w:rPr>
        <w:t>目</w:t>
      </w:r>
      <w:r>
        <w:rPr>
          <w:rFonts w:hint="eastAsia" w:ascii="黑体" w:hAnsi="黑体" w:eastAsia="黑体"/>
          <w:sz w:val="52"/>
          <w:szCs w:val="52"/>
          <w:lang w:val="en-US" w:eastAsia="zh-CN"/>
        </w:rPr>
        <w:t xml:space="preserve"> </w:t>
      </w:r>
      <w:r>
        <w:rPr>
          <w:rFonts w:hint="eastAsia" w:ascii="黑体" w:hAnsi="黑体" w:eastAsia="黑体"/>
          <w:sz w:val="52"/>
          <w:szCs w:val="52"/>
        </w:rPr>
        <w:t>录</w:t>
      </w:r>
    </w:p>
    <w:p w14:paraId="4C1E49D4">
      <w:pPr>
        <w:ind w:firstLine="3080" w:firstLineChars="700"/>
        <w:rPr>
          <w:rFonts w:ascii="黑体" w:eastAsia="黑体"/>
          <w:sz w:val="44"/>
          <w:szCs w:val="44"/>
        </w:rPr>
      </w:pPr>
    </w:p>
    <w:p w14:paraId="2D3EFE95">
      <w:pPr>
        <w:pStyle w:val="11"/>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黑体" w:eastAsia="黑体"/>
          <w:sz w:val="32"/>
          <w:szCs w:val="32"/>
        </w:rPr>
      </w:pPr>
      <w:r>
        <w:rPr>
          <w:rFonts w:hint="eastAsia" w:ascii="黑体" w:eastAsia="黑体"/>
          <w:sz w:val="32"/>
          <w:szCs w:val="32"/>
        </w:rPr>
        <w:t>一、基本职能及主要工作</w:t>
      </w:r>
    </w:p>
    <w:p w14:paraId="312B8F2E">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eastAsia="楷体_GB2312"/>
          <w:sz w:val="32"/>
          <w:szCs w:val="32"/>
        </w:rPr>
      </w:pPr>
      <w:r>
        <w:rPr>
          <w:rFonts w:hint="eastAsia" w:ascii="楷体_GB2312" w:eastAsia="楷体_GB2312"/>
          <w:sz w:val="32"/>
          <w:szCs w:val="32"/>
        </w:rPr>
        <w:t>（一）部门职能简介</w:t>
      </w:r>
    </w:p>
    <w:p w14:paraId="18968BD6">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eastAsia="zh-CN"/>
        </w:rPr>
        <w:t>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14:paraId="39057716">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二、部门预算单位构成</w:t>
      </w:r>
    </w:p>
    <w:p w14:paraId="02F12B14">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三、收支预算情况说明</w:t>
      </w:r>
    </w:p>
    <w:p w14:paraId="5D67065F">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eastAsia="楷体_GB2312"/>
          <w:sz w:val="32"/>
          <w:szCs w:val="32"/>
        </w:rPr>
      </w:pPr>
      <w:r>
        <w:rPr>
          <w:rFonts w:hint="eastAsia" w:ascii="楷体_GB2312" w:eastAsia="楷体_GB2312"/>
          <w:sz w:val="32"/>
          <w:szCs w:val="32"/>
        </w:rPr>
        <w:t>（一）收入预算情况</w:t>
      </w:r>
    </w:p>
    <w:p w14:paraId="2B94D916">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_GB2312" w:eastAsia="楷体_GB2312"/>
          <w:sz w:val="32"/>
          <w:szCs w:val="32"/>
        </w:rPr>
      </w:pPr>
      <w:r>
        <w:rPr>
          <w:rFonts w:hint="eastAsia" w:ascii="楷体_GB2312" w:eastAsia="楷体_GB2312"/>
          <w:sz w:val="32"/>
          <w:szCs w:val="32"/>
        </w:rPr>
        <w:t>（二）支出预算情况</w:t>
      </w:r>
    </w:p>
    <w:p w14:paraId="2A650A6E">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四、财政拨款收支预算情况说明</w:t>
      </w:r>
    </w:p>
    <w:p w14:paraId="753A1103">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五、一般公共预算当年拨款情况说明</w:t>
      </w:r>
    </w:p>
    <w:p w14:paraId="41EF2501">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54BF151B">
      <w:pPr>
        <w:rPr>
          <w:rFonts w:ascii="黑体" w:eastAsia="黑体"/>
          <w:sz w:val="32"/>
          <w:szCs w:val="32"/>
        </w:rPr>
      </w:pPr>
    </w:p>
    <w:p w14:paraId="68A3DC8C">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4C1CF4F">
      <w:pPr>
        <w:pStyle w:val="6"/>
        <w:rPr>
          <w:rFonts w:ascii="??" w:hAnsi="??" w:cs="宋体"/>
          <w:kern w:val="0"/>
          <w:sz w:val="12"/>
          <w:szCs w:val="12"/>
        </w:rPr>
      </w:pPr>
    </w:p>
    <w:p w14:paraId="58AE6B07">
      <w:pPr>
        <w:rPr>
          <w:rFonts w:ascii="??" w:hAnsi="??" w:cs="宋体"/>
          <w:kern w:val="0"/>
          <w:sz w:val="12"/>
          <w:szCs w:val="12"/>
        </w:rPr>
      </w:pPr>
    </w:p>
    <w:p w14:paraId="7D336689">
      <w:pPr>
        <w:pStyle w:val="6"/>
        <w:ind w:left="0" w:leftChars="0" w:firstLine="0" w:firstLineChars="0"/>
      </w:pPr>
    </w:p>
    <w:p w14:paraId="22D682E3">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hint="eastAsia" w:ascii="黑体" w:eastAsia="黑体"/>
          <w:sz w:val="32"/>
          <w:szCs w:val="32"/>
        </w:rPr>
        <w:t>一、基本职能及主要工作</w:t>
      </w:r>
    </w:p>
    <w:p w14:paraId="1B5E26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bCs/>
          <w:sz w:val="32"/>
          <w:szCs w:val="32"/>
          <w:lang w:val="en-US" w:eastAsia="zh-CN"/>
        </w:rPr>
      </w:pPr>
      <w:r>
        <w:rPr>
          <w:rFonts w:hint="eastAsia" w:ascii="楷体_GB2312" w:eastAsia="楷体_GB2312"/>
          <w:b/>
          <w:bCs/>
          <w:sz w:val="32"/>
          <w:szCs w:val="32"/>
          <w:lang w:val="en-US" w:eastAsia="zh-CN"/>
        </w:rPr>
        <w:t>（一）部门职能简介</w:t>
      </w:r>
    </w:p>
    <w:p w14:paraId="5E01AAA7">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1.</w:t>
      </w:r>
      <w:r>
        <w:rPr>
          <w:rFonts w:hint="eastAsia" w:ascii="仿宋_GB2312" w:eastAsia="仿宋_GB2312" w:cs="Times New Roman"/>
          <w:sz w:val="32"/>
          <w:szCs w:val="32"/>
        </w:rPr>
        <w:t>贯彻落实卫生健康、中羌医药发展的政策。统筹规划全县卫生健康、中羌医服务资源配置。拟订中羌医药中长期发展规划，并纳入卫生健康事业发展总体规划和战略目标。制定并组织实施推进卫生健康基本公共服务均等化、普惠化、便捷化和公共资源向基层延伸等政策措施。</w:t>
      </w:r>
    </w:p>
    <w:p w14:paraId="1519E3EE">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2.牵头推进全县深化医药卫生体制改革。</w:t>
      </w:r>
      <w:r>
        <w:rPr>
          <w:rFonts w:hint="eastAsia" w:ascii="仿宋_GB2312" w:eastAsia="仿宋_GB2312" w:cs="Times New Roman"/>
          <w:sz w:val="32"/>
          <w:szCs w:val="32"/>
        </w:rPr>
        <w:t>研究提出深化改革重大政策、措施的建议。牵头负责全县分级诊疗、现代医院管理、全民医保、药品供应保障、综合监管5项基本医疗卫生制度建设。贯彻落实推动卫生健康公共服务提供主体多元化、提供方式多样化的各项政策措施。负责建立公益性导向的绩效考核和评价运行机制，推进和谐医患关系建设，提出医疗服务价格政策的建议。</w:t>
      </w:r>
    </w:p>
    <w:p w14:paraId="711F6411">
      <w:pP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3.负责拟订落实全县疾病预防控制规划、免疫规划以及严重危害人民健康的艾滋病等重大传染病、地方病等公共卫生问题的干预措施。</w:t>
      </w:r>
      <w:r>
        <w:rPr>
          <w:rFonts w:hint="eastAsia" w:ascii="仿宋_GB2312" w:eastAsia="仿宋_GB2312" w:cs="Times New Roman"/>
          <w:sz w:val="32"/>
          <w:szCs w:val="32"/>
        </w:rPr>
        <w:t>负责全县卫生应急工作，负责全县突发公共卫生事件预防控制和各类突发公共事件的医疗卫生救援，报告传染病疫情信息、突发公共卫生事件应急处置信息。</w:t>
      </w:r>
      <w:r>
        <w:rPr>
          <w:rFonts w:hint="eastAsia" w:ascii="仿宋_GB2312" w:eastAsia="仿宋_GB2312" w:cs="Times New Roman"/>
          <w:sz w:val="32"/>
          <w:szCs w:val="32"/>
          <w:lang w:val="en-US" w:eastAsia="zh-CN"/>
        </w:rPr>
        <w:t xml:space="preserve">                               </w:t>
      </w:r>
    </w:p>
    <w:p w14:paraId="6B7C2A7B">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4.贯彻落实国家和省、州应对人口老龄化政策措施。负责推进老</w:t>
      </w:r>
      <w:r>
        <w:rPr>
          <w:rFonts w:hint="eastAsia" w:ascii="仿宋_GB2312" w:eastAsia="仿宋_GB2312" w:cs="Times New Roman"/>
          <w:sz w:val="32"/>
          <w:szCs w:val="32"/>
        </w:rPr>
        <w:t>年健康服务体系建设和医养结合工作。承担县老龄工作委员会日常工作。</w:t>
      </w:r>
    </w:p>
    <w:p w14:paraId="2C57AA24">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5.贯彻落实国家药物政策和国家基本药物制度。</w:t>
      </w:r>
      <w:r>
        <w:rPr>
          <w:rFonts w:hint="eastAsia" w:ascii="仿宋_GB2312" w:eastAsia="仿宋_GB2312" w:cs="Times New Roman"/>
          <w:sz w:val="32"/>
          <w:szCs w:val="32"/>
        </w:rPr>
        <w:t>开展药械使用监测、临床综合评价和短缺药品预警，组织执行国家药典和国家基本药物目录，监管全县基本药物采购、配送、使用政策的实施。负责药品和医疗器械集中采购管理及实施。按照国家、省、州相关要求会同有关部门制定、实施食品安全风险监测计划。依法开展食品安全企业标准备案。</w:t>
      </w:r>
    </w:p>
    <w:p w14:paraId="275EF138">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6.负责职责范围内的职业卫生、放射卫生、环境卫生、学校卫生、公共场所卫生、饮用水卫生等公共卫生的监督管理。</w:t>
      </w:r>
      <w:r>
        <w:rPr>
          <w:rFonts w:hint="eastAsia" w:ascii="仿宋_GB2312" w:eastAsia="仿宋_GB2312" w:cs="Times New Roman"/>
          <w:sz w:val="32"/>
          <w:szCs w:val="32"/>
        </w:rPr>
        <w:t>负责传染病防治监督，健全卫生健康综合监管体系。</w:t>
      </w:r>
    </w:p>
    <w:p w14:paraId="23D611F4">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7.监督实施全县医疗机构、医疗服务行业管理办法，建立医疗服务评价和监督管理体系。</w:t>
      </w:r>
      <w:r>
        <w:rPr>
          <w:rFonts w:hint="eastAsia" w:ascii="仿宋_GB2312" w:eastAsia="仿宋_GB2312" w:cs="Times New Roman"/>
          <w:sz w:val="32"/>
          <w:szCs w:val="32"/>
        </w:rPr>
        <w:t>会同有关部门实施卫生健康专业技术人员资格标准。制定并组织实施医疗服务规范、标准和卫生健康专业技术人员执业规则、服务规范。负责医疗机构、人员和行为的日常监管。</w:t>
      </w:r>
    </w:p>
    <w:p w14:paraId="2B45A28B">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8.负责全县计划生育管理和服务工作。</w:t>
      </w:r>
      <w:r>
        <w:rPr>
          <w:rFonts w:hint="eastAsia" w:ascii="仿宋_GB2312" w:eastAsia="仿宋_GB2312" w:cs="Times New Roman"/>
          <w:sz w:val="32"/>
          <w:szCs w:val="32"/>
        </w:rPr>
        <w:t>开展人口监测预警，研究提出人口与家庭发展相关政策建议。</w:t>
      </w:r>
    </w:p>
    <w:p w14:paraId="244673DE">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9.负责全县卫生健康工作。</w:t>
      </w:r>
      <w:r>
        <w:rPr>
          <w:rFonts w:hint="eastAsia" w:ascii="仿宋_GB2312" w:eastAsia="仿宋_GB2312" w:cs="Times New Roman"/>
          <w:sz w:val="32"/>
          <w:szCs w:val="32"/>
        </w:rPr>
        <w:t>负责基层医疗卫生、妇幼健康服务体系和基层卫生队伍建设。推进卫生健康科技创新发展。</w:t>
      </w:r>
    </w:p>
    <w:p w14:paraId="3F04947B">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10.贯彻落实干部医疗保健政策措施，负责县级保健对象的医疗保健工作。</w:t>
      </w:r>
      <w:r>
        <w:rPr>
          <w:rFonts w:hint="eastAsia" w:ascii="仿宋_GB2312" w:eastAsia="仿宋_GB2312" w:cs="Times New Roman"/>
          <w:sz w:val="32"/>
          <w:szCs w:val="32"/>
        </w:rPr>
        <w:t>负责县级部门有关干部医疗服务工作。负责重要会议与重大活动的医疗卫生保障工作。</w:t>
      </w:r>
    </w:p>
    <w:p w14:paraId="3B5A7626">
      <w:pP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11.管理县医学会、县计生协会及羌医药分会，并指导业务工作。</w:t>
      </w:r>
    </w:p>
    <w:p w14:paraId="3229A1A3">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12.依法依规履行卫生健康行业安全生产监管职责。负</w:t>
      </w:r>
      <w:r>
        <w:rPr>
          <w:rFonts w:hint="eastAsia" w:ascii="仿宋_GB2312" w:eastAsia="仿宋_GB2312" w:cs="Times New Roman"/>
          <w:sz w:val="32"/>
          <w:szCs w:val="32"/>
        </w:rPr>
        <w:t>责职责范围内的生态环境保护、审批服务便民化等工作。负责全县职业病防治工作。负责本系统内公共机构节能工作。</w:t>
      </w:r>
    </w:p>
    <w:p w14:paraId="662433D1">
      <w:pP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13.完成县委、县政府交办的其他任务。</w:t>
      </w:r>
    </w:p>
    <w:p w14:paraId="175231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Times New Roman" w:eastAsia="黑体" w:cs="Times New Roman"/>
          <w:b w:val="0"/>
          <w:bCs w:val="0"/>
          <w:kern w:val="2"/>
          <w:sz w:val="32"/>
          <w:szCs w:val="32"/>
          <w:lang w:val="en-US" w:eastAsia="zh-CN" w:bidi="ar-SA"/>
        </w:rPr>
      </w:pPr>
      <w:r>
        <w:rPr>
          <w:rFonts w:hint="eastAsia" w:ascii="黑体" w:hAnsi="Times New Roman" w:eastAsia="黑体" w:cs="Times New Roman"/>
          <w:b w:val="0"/>
          <w:bCs w:val="0"/>
          <w:kern w:val="2"/>
          <w:sz w:val="32"/>
          <w:szCs w:val="32"/>
          <w:lang w:val="en-US" w:eastAsia="zh-CN" w:bidi="ar-SA"/>
        </w:rPr>
        <w:t>（二）2026年重点工作</w:t>
      </w:r>
    </w:p>
    <w:p w14:paraId="35F6D1A2">
      <w:pP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1.全力保障高原病防治研究基地建成投用。统筹做好工程验收、设备调试、信息系统部署、团队组建和制度流程建设等工作，确保基地于2026年7月如期高质量投入运营。</w:t>
      </w:r>
    </w:p>
    <w:p w14:paraId="06B3FF28">
      <w:pP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2.推动紧密型医共体实现从“形似”到“实质”的转变。重点在人事、财务、药品、信息等关键要素统一管理上取得突破，确保“五大共享中心”高效规范运行，让群众和成员单位切实共享改革红利。</w:t>
      </w:r>
    </w:p>
    <w:p w14:paraId="4D7A0F3B">
      <w:pP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3.强化人才与科技战略支撑。制定实施重点领域紧缺人才引进计划。深化与华西医院等优质资源的帮扶合作，建立“派出去、请进来、留下来”的长效机制。推动至少2项中羌医院内制剂完成备案并投入临床使用。</w:t>
      </w:r>
    </w:p>
    <w:p w14:paraId="08CF3FD4">
      <w:pP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4.加快推进县域内信息化建设。启动县域全民健康信息平台建设，初步实现县级公立医疗机构数据互联互通。推动县人民医院、县中医医院电子病历应用水平分级评价达到4级。</w:t>
      </w:r>
    </w:p>
    <w:p w14:paraId="6B079C0A">
      <w:pP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5.深化“一老一小”健康服务供给。持续增加普惠托育服务供给，推动婴幼儿照护服务高质量发展。深化医养结合，支持医疗机构拓展养老、康复服务，推动服务向社区、家庭延伸。</w:t>
      </w:r>
    </w:p>
    <w:p w14:paraId="6733A539">
      <w:pP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6.持续深化卫健领域治理效能。巩固拓展专项整治成果，推动专项工作常态化、长效化。完善覆盖药品、耗材、设备、服务全流程的廉洁风险防控制度，深化“清廉卫健”建设。筑牢安全生产防线，严格落实责任清单，聚焦消防、生物、医疗质量安全等重点领域，加强隐患排查与应急演练。狠抓行风建设，加强医保基金监管。提升公共卫生服务效能，持续推进健康茂县行动，巩固重大疾病防控成果，提升妇幼健康服务水平，做实基本公卫服务，扩大“石榴籽”健康保障行动覆盖面。</w:t>
      </w:r>
    </w:p>
    <w:p w14:paraId="0EFCBFE8">
      <w:pPr>
        <w:pStyle w:val="6"/>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leftChars="0" w:firstLine="0" w:firstLineChars="0"/>
        <w:textAlignment w:val="auto"/>
        <w:rPr>
          <w:rFonts w:hint="eastAsia" w:ascii="黑体" w:eastAsia="黑体"/>
          <w:b w:val="0"/>
          <w:bCs w:val="0"/>
          <w:sz w:val="32"/>
          <w:szCs w:val="32"/>
        </w:rPr>
      </w:pPr>
      <w:r>
        <w:rPr>
          <w:rFonts w:hint="eastAsia" w:ascii="楷体_GB2312" w:eastAsia="楷体_GB2312" w:cs="仿宋_GB2312"/>
          <w:b/>
          <w:sz w:val="32"/>
          <w:szCs w:val="32"/>
          <w:lang w:val="en-US" w:eastAsia="zh-CN"/>
        </w:rPr>
        <w:t xml:space="preserve"> </w:t>
      </w:r>
      <w:r>
        <w:rPr>
          <w:rFonts w:hint="eastAsia" w:ascii="黑体" w:eastAsia="黑体"/>
          <w:b w:val="0"/>
          <w:bCs w:val="0"/>
          <w:sz w:val="32"/>
          <w:szCs w:val="32"/>
          <w:lang w:val="en-US" w:eastAsia="zh-CN"/>
        </w:rPr>
        <w:t>二、</w:t>
      </w:r>
      <w:r>
        <w:rPr>
          <w:rFonts w:hint="eastAsia" w:ascii="黑体" w:eastAsia="黑体"/>
          <w:b w:val="0"/>
          <w:bCs w:val="0"/>
          <w:sz w:val="32"/>
          <w:szCs w:val="32"/>
        </w:rPr>
        <w:t>部门预算单位构成</w:t>
      </w:r>
    </w:p>
    <w:p w14:paraId="4C64AB97">
      <w:pPr>
        <w:pStyle w:val="6"/>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茂县卫生健康局属一级预算单位，下属二级预算单位1个，其中：参照公务员法管理的事业单位0个，其他事业单位1个。其他事业单位分别是：茂县医药卫生体制改革办公室。</w:t>
      </w:r>
    </w:p>
    <w:p w14:paraId="64B82D51">
      <w:pPr>
        <w:pStyle w:val="6"/>
        <w:keepNext w:val="0"/>
        <w:keepLines w:val="0"/>
        <w:pageBreakBefore w:val="0"/>
        <w:widowControl w:val="0"/>
        <w:numPr>
          <w:ilvl w:val="0"/>
          <w:numId w:val="1"/>
        </w:numPr>
        <w:pBdr>
          <w:bottom w:val="single" w:color="FFFFFF" w:sz="4" w:space="29"/>
        </w:pBdr>
        <w:tabs>
          <w:tab w:val="left" w:pos="1440"/>
        </w:tabs>
        <w:kinsoku/>
        <w:wordWrap/>
        <w:overflowPunct/>
        <w:topLinePunct w:val="0"/>
        <w:autoSpaceDE/>
        <w:autoSpaceDN/>
        <w:bidi w:val="0"/>
        <w:adjustRightInd/>
        <w:snapToGrid/>
        <w:spacing w:line="560" w:lineRule="exact"/>
        <w:ind w:left="0" w:leftChars="0" w:firstLine="320" w:firstLineChars="100"/>
        <w:textAlignment w:val="auto"/>
        <w:rPr>
          <w:rFonts w:hint="eastAsia" w:ascii="黑体" w:eastAsia="黑体"/>
          <w:b w:val="0"/>
          <w:bCs w:val="0"/>
          <w:sz w:val="32"/>
          <w:szCs w:val="32"/>
          <w:lang w:val="en-US" w:eastAsia="zh-CN"/>
        </w:rPr>
      </w:pPr>
      <w:r>
        <w:rPr>
          <w:rFonts w:hint="eastAsia" w:ascii="黑体" w:eastAsia="黑体"/>
          <w:b w:val="0"/>
          <w:bCs w:val="0"/>
          <w:sz w:val="32"/>
          <w:szCs w:val="32"/>
          <w:lang w:val="en-US" w:eastAsia="zh-CN"/>
        </w:rPr>
        <w:t>收支预算情况说明</w:t>
      </w:r>
    </w:p>
    <w:p w14:paraId="0745D998">
      <w:pPr>
        <w:pStyle w:val="6"/>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按照综合预算的原则，茂县卫健局所有收入和支出均纳入部门预算管理。收入包括：一般公共预算拨款收入4170587.64元，上年结转政府性基金预算拨款收入9966.51元；支出包括：社会保障和就业支出429892.88元，卫生健康支出3509082.76元，住房保障支出231612.00元，其他支出9966.51元。茂县卫健局2026年收支总预算4180554.15元,较2025年收支预算总数减少444403.26元，主要原因是: 2026年预算项目经费减少。</w:t>
      </w:r>
    </w:p>
    <w:p w14:paraId="378F484D">
      <w:pPr>
        <w:keepNext w:val="0"/>
        <w:keepLines w:val="0"/>
        <w:pageBreakBefore w:val="0"/>
        <w:widowControl w:val="0"/>
        <w:numPr>
          <w:ilvl w:val="0"/>
          <w:numId w:val="2"/>
        </w:numPr>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楷体_GB2312" w:eastAsia="楷体_GB2312" w:cs="楷体_GB2312"/>
          <w:b/>
          <w:bCs/>
          <w:color w:val="auto"/>
          <w:sz w:val="32"/>
          <w:szCs w:val="32"/>
        </w:rPr>
      </w:pPr>
      <w:r>
        <w:rPr>
          <w:rFonts w:hint="eastAsia" w:ascii="楷体_GB2312" w:eastAsia="楷体_GB2312"/>
          <w:b/>
          <w:color w:val="auto"/>
          <w:sz w:val="32"/>
          <w:szCs w:val="32"/>
        </w:rPr>
        <w:t>收入预算情况</w:t>
      </w:r>
    </w:p>
    <w:p w14:paraId="01B0316B">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楷体_GB2312" w:eastAsia="楷体_GB2312"/>
          <w:sz w:val="32"/>
          <w:szCs w:val="32"/>
          <w:lang w:val="en-US" w:eastAsia="zh-CN"/>
        </w:rPr>
      </w:pPr>
      <w:r>
        <w:rPr>
          <w:rFonts w:hint="eastAsia" w:ascii="仿宋_GB2312" w:eastAsia="仿宋_GB2312" w:cs="Times New Roman"/>
          <w:sz w:val="32"/>
          <w:szCs w:val="32"/>
          <w:lang w:val="en-US" w:eastAsia="zh-CN"/>
        </w:rPr>
        <w:t>2026年收入预算4180554.15元；一般公共预算拨款收入4170587.64元，占99.76%；上年结转政府性基金预算拨款收入9966.51元，占0.24%。</w:t>
      </w:r>
    </w:p>
    <w:p w14:paraId="1A6CA452">
      <w:pPr>
        <w:keepNext w:val="0"/>
        <w:keepLines w:val="0"/>
        <w:pageBreakBefore w:val="0"/>
        <w:widowControl w:val="0"/>
        <w:numPr>
          <w:ilvl w:val="0"/>
          <w:numId w:val="2"/>
        </w:numPr>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楷体_GB2312" w:eastAsia="楷体_GB2312" w:cs="楷体_GB2312"/>
          <w:b/>
          <w:bCs/>
          <w:color w:val="auto"/>
          <w:sz w:val="32"/>
          <w:szCs w:val="32"/>
        </w:rPr>
      </w:pPr>
      <w:r>
        <w:rPr>
          <w:rFonts w:hint="eastAsia" w:ascii="楷体_GB2312" w:eastAsia="楷体_GB2312" w:cs="仿宋_GB2312"/>
          <w:b/>
          <w:color w:val="auto"/>
          <w:sz w:val="32"/>
          <w:szCs w:val="32"/>
        </w:rPr>
        <w:t>支出预算情况</w:t>
      </w:r>
    </w:p>
    <w:p w14:paraId="1C6400DB">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2026年支出预算4180554.15元，其中：基本支出3118807.64元，占74.60%，项目支出1061746.51元，占25.40%。</w:t>
      </w:r>
    </w:p>
    <w:p w14:paraId="16103BDF">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eastAsia="黑体" w:cs="黑体"/>
          <w:sz w:val="32"/>
          <w:szCs w:val="32"/>
          <w:lang w:eastAsia="zh-CN"/>
        </w:rPr>
      </w:pPr>
      <w:r>
        <w:rPr>
          <w:rFonts w:hint="eastAsia" w:ascii="黑体" w:eastAsia="黑体" w:cs="黑体"/>
          <w:sz w:val="32"/>
          <w:szCs w:val="32"/>
          <w:lang w:val="en-US" w:eastAsia="zh-CN"/>
        </w:rPr>
        <w:t>四、财政拨款收支预算情况说明</w:t>
      </w:r>
    </w:p>
    <w:p w14:paraId="36A35097">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2026年财政拨款收支总预算4180554.15元,较2025年收支预算总数减少444403.26元，主要原因是:2026年预算项目经费减少。</w:t>
      </w:r>
    </w:p>
    <w:p w14:paraId="690B13EC">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收入包括：本年一般公共预算拨款收入4170587.64元，上年结转政府性基金预算拨款收入9966.51元。</w:t>
      </w:r>
    </w:p>
    <w:p w14:paraId="24C5BB13">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支出包括：社会保障和就业支出429892.88元，卫生健康支出3509082.76元，住房保障支出231612.00元，其他支出9966.51元。</w:t>
      </w:r>
    </w:p>
    <w:p w14:paraId="31C9D704">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楷体_GB2312" w:eastAsia="楷体_GB2312" w:cs="仿宋_GB2312"/>
          <w:b/>
          <w:color w:val="auto"/>
          <w:kern w:val="2"/>
          <w:sz w:val="32"/>
          <w:szCs w:val="32"/>
        </w:rPr>
      </w:pPr>
      <w:r>
        <w:rPr>
          <w:rFonts w:hint="eastAsia" w:ascii="黑体" w:eastAsia="黑体"/>
          <w:color w:val="auto"/>
          <w:sz w:val="32"/>
          <w:szCs w:val="32"/>
          <w:lang w:eastAsia="zh-CN"/>
        </w:rPr>
        <w:t>五、</w:t>
      </w:r>
      <w:r>
        <w:rPr>
          <w:rFonts w:hint="eastAsia" w:ascii="黑体" w:eastAsia="黑体"/>
          <w:color w:val="auto"/>
          <w:sz w:val="32"/>
          <w:szCs w:val="32"/>
        </w:rPr>
        <w:t>一般公共预算当年拨款情况说明</w:t>
      </w:r>
    </w:p>
    <w:p w14:paraId="5C62838C">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楷体_GB2312" w:eastAsia="楷体_GB2312" w:cs="仿宋_GB2312"/>
          <w:b/>
          <w:color w:val="auto"/>
          <w:kern w:val="2"/>
          <w:sz w:val="32"/>
          <w:szCs w:val="32"/>
        </w:rPr>
      </w:pPr>
      <w:r>
        <w:rPr>
          <w:rFonts w:hint="eastAsia" w:ascii="楷体_GB2312" w:eastAsia="楷体_GB2312" w:cs="仿宋_GB2312"/>
          <w:b/>
          <w:color w:val="auto"/>
          <w:kern w:val="2"/>
          <w:sz w:val="32"/>
          <w:szCs w:val="32"/>
        </w:rPr>
        <w:t>（一）一般公共预算当年拨款规模变化情况</w:t>
      </w:r>
    </w:p>
    <w:p w14:paraId="37606B42">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2026年一般公共预算当年拨款4170587.64元,较2025年收支预算总数减少454369.77元，主要原因是:2026年预算项目经费减少。</w:t>
      </w:r>
    </w:p>
    <w:p w14:paraId="3E2E574D">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楷体_GB2312" w:eastAsia="楷体_GB2312" w:cs="宋体"/>
          <w:b/>
          <w:color w:val="auto"/>
          <w:sz w:val="32"/>
          <w:szCs w:val="32"/>
        </w:rPr>
      </w:pPr>
      <w:r>
        <w:rPr>
          <w:rFonts w:hint="eastAsia" w:ascii="楷体_GB2312" w:eastAsia="楷体_GB2312" w:cs="宋体"/>
          <w:b/>
          <w:color w:val="auto"/>
          <w:sz w:val="32"/>
          <w:szCs w:val="32"/>
          <w:lang w:eastAsia="zh-CN"/>
        </w:rPr>
        <w:t>（二）</w:t>
      </w:r>
      <w:r>
        <w:rPr>
          <w:rFonts w:hint="eastAsia" w:ascii="楷体_GB2312" w:eastAsia="楷体_GB2312" w:cs="宋体"/>
          <w:b/>
          <w:color w:val="auto"/>
          <w:sz w:val="32"/>
          <w:szCs w:val="32"/>
        </w:rPr>
        <w:t>一般公共预算当年拨款结构情况</w:t>
      </w:r>
    </w:p>
    <w:p w14:paraId="2F3F3B89">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社会保障和就业支出429892.88元，占10.31%；卫生健康支出3509082.76元，占84.14%；住房保障支出231612.00元，占5.55%。</w:t>
      </w:r>
    </w:p>
    <w:p w14:paraId="39FDCD34">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ascii="楷体_GB2312" w:eastAsia="楷体_GB2312" w:cs="仿宋_GB2312"/>
          <w:b/>
          <w:color w:val="auto"/>
          <w:kern w:val="2"/>
          <w:sz w:val="32"/>
          <w:szCs w:val="32"/>
        </w:rPr>
      </w:pPr>
      <w:r>
        <w:rPr>
          <w:rFonts w:hint="eastAsia" w:ascii="楷体_GB2312" w:eastAsia="楷体_GB2312" w:cs="仿宋_GB2312"/>
          <w:b/>
          <w:color w:val="auto"/>
          <w:kern w:val="2"/>
          <w:sz w:val="32"/>
          <w:szCs w:val="32"/>
        </w:rPr>
        <w:t>（三）一般公共预算当年拨款具体使用情况</w:t>
      </w:r>
    </w:p>
    <w:p w14:paraId="59D35ADE">
      <w:pPr>
        <w:pStyle w:val="11"/>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社会保障和就业支出：社会保障和就业支出（208）行政事业单位养老支出（05）机关事业单位基本养老保险缴费支出（05）2026年预算数为286595.26元，主要用于：单位缴纳基本养老保险费。</w:t>
      </w:r>
    </w:p>
    <w:p w14:paraId="5B951AAA">
      <w:pPr>
        <w:pStyle w:val="11"/>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社会保障和就业支出：社会保障和就业支出（208）行政事业单位养老支出（05）机关事业单位职业年金缴费支出（06）2026年预算数为143297.62元，主要用于：单位缴纳职业年金。</w:t>
      </w:r>
    </w:p>
    <w:p w14:paraId="48DE3A92">
      <w:pPr>
        <w:pStyle w:val="11"/>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卫生健康支出：卫生健康支出（210）行政事业单位医疗（11）行政单位医疗（01）2026年预算数为185614.23元，主要用于：行政单位缴纳基本医疗保险。</w:t>
      </w:r>
    </w:p>
    <w:p w14:paraId="793C159C">
      <w:pPr>
        <w:pStyle w:val="11"/>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4</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卫生健康支出：卫生健康支出（210）行政事业单位医疗（11）行政单位医疗（02）2026年预算数为23923.83元，主要用于：事业单位缴纳基本医疗保险。</w:t>
      </w:r>
    </w:p>
    <w:p w14:paraId="156BEF83">
      <w:pPr>
        <w:pStyle w:val="11"/>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5、</w:t>
      </w:r>
      <w:r>
        <w:rPr>
          <w:rFonts w:hint="eastAsia" w:ascii="仿宋_GB2312" w:hAnsi="Calibri" w:eastAsia="仿宋_GB2312" w:cs="Times New Roman"/>
          <w:kern w:val="2"/>
          <w:sz w:val="32"/>
          <w:szCs w:val="32"/>
          <w:lang w:val="en-US" w:eastAsia="zh-CN" w:bidi="ar-SA"/>
        </w:rPr>
        <w:t>卫生健康支出：卫生健康支出（210）卫生健康管理事务（01）行政运行（01）2026年预算</w:t>
      </w:r>
      <w:r>
        <w:rPr>
          <w:rFonts w:hint="eastAsia" w:ascii="仿宋_GB2312" w:eastAsia="仿宋_GB2312" w:cs="Times New Roman"/>
          <w:kern w:val="2"/>
          <w:sz w:val="32"/>
          <w:szCs w:val="32"/>
          <w:lang w:val="en-US" w:eastAsia="zh-CN" w:bidi="ar-SA"/>
        </w:rPr>
        <w:t>数</w:t>
      </w:r>
      <w:r>
        <w:rPr>
          <w:rFonts w:hint="eastAsia" w:ascii="仿宋_GB2312" w:hAnsi="Calibri" w:eastAsia="仿宋_GB2312" w:cs="Times New Roman"/>
          <w:kern w:val="2"/>
          <w:sz w:val="32"/>
          <w:szCs w:val="32"/>
          <w:lang w:val="en-US" w:eastAsia="zh-CN" w:bidi="ar-SA"/>
        </w:rPr>
        <w:t>为1958228.99元，主要用于</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医疗卫生机构2026年的人员经费和日常公用经费等基本支出及项目支出。</w:t>
      </w:r>
    </w:p>
    <w:p w14:paraId="292746A4">
      <w:pPr>
        <w:pStyle w:val="11"/>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6、</w:t>
      </w:r>
      <w:r>
        <w:rPr>
          <w:rFonts w:hint="eastAsia" w:ascii="仿宋_GB2312" w:hAnsi="Calibri" w:eastAsia="仿宋_GB2312" w:cs="Times New Roman"/>
          <w:kern w:val="2"/>
          <w:sz w:val="32"/>
          <w:szCs w:val="32"/>
          <w:lang w:val="en-US" w:eastAsia="zh-CN" w:bidi="ar-SA"/>
        </w:rPr>
        <w:t>卫生健康支出（210）卫生健康管理事务（01）其他卫生健康管理事务支出（99）2026年预算</w:t>
      </w:r>
      <w:r>
        <w:rPr>
          <w:rFonts w:hint="eastAsia" w:ascii="仿宋_GB2312" w:eastAsia="仿宋_GB2312" w:cs="Times New Roman"/>
          <w:kern w:val="2"/>
          <w:sz w:val="32"/>
          <w:szCs w:val="32"/>
          <w:lang w:val="en-US" w:eastAsia="zh-CN" w:bidi="ar-SA"/>
        </w:rPr>
        <w:t>数</w:t>
      </w:r>
      <w:r>
        <w:rPr>
          <w:rFonts w:hint="eastAsia" w:ascii="仿宋_GB2312" w:hAnsi="Calibri" w:eastAsia="仿宋_GB2312" w:cs="Times New Roman"/>
          <w:kern w:val="2"/>
          <w:sz w:val="32"/>
          <w:szCs w:val="32"/>
          <w:lang w:val="en-US" w:eastAsia="zh-CN" w:bidi="ar-SA"/>
        </w:rPr>
        <w:t>为289535.71元，主要用于</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医疗卫生机构2026年的人员经费和日常公用经费等基本支出及项目支出。</w:t>
      </w:r>
    </w:p>
    <w:p w14:paraId="06B8C103">
      <w:pPr>
        <w:pStyle w:val="11"/>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7、</w:t>
      </w:r>
      <w:r>
        <w:rPr>
          <w:rFonts w:hint="eastAsia" w:ascii="仿宋_GB2312" w:hAnsi="Calibri" w:eastAsia="仿宋_GB2312" w:cs="Times New Roman"/>
          <w:kern w:val="2"/>
          <w:sz w:val="32"/>
          <w:szCs w:val="32"/>
          <w:lang w:val="en-US" w:eastAsia="zh-CN" w:bidi="ar-SA"/>
        </w:rPr>
        <w:t>卫生健康支出（210）基层医疗卫生机构（03）其他基层医疗卫生机构支出（99）2026年预算</w:t>
      </w:r>
      <w:r>
        <w:rPr>
          <w:rFonts w:hint="eastAsia" w:ascii="仿宋_GB2312" w:eastAsia="仿宋_GB2312" w:cs="Times New Roman"/>
          <w:kern w:val="2"/>
          <w:sz w:val="32"/>
          <w:szCs w:val="32"/>
          <w:lang w:val="en-US" w:eastAsia="zh-CN" w:bidi="ar-SA"/>
        </w:rPr>
        <w:t>数</w:t>
      </w:r>
      <w:r>
        <w:rPr>
          <w:rFonts w:hint="eastAsia" w:ascii="仿宋_GB2312" w:hAnsi="Calibri" w:eastAsia="仿宋_GB2312" w:cs="Times New Roman"/>
          <w:kern w:val="2"/>
          <w:sz w:val="32"/>
          <w:szCs w:val="32"/>
          <w:lang w:val="en-US" w:eastAsia="zh-CN" w:bidi="ar-SA"/>
        </w:rPr>
        <w:t>为421080.00元，主要用于</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医疗卫生机构2026年的人员经费和日常公用经费等基本支出及项目支出。</w:t>
      </w:r>
    </w:p>
    <w:p w14:paraId="57ADC9EA">
      <w:pPr>
        <w:pStyle w:val="11"/>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8、</w:t>
      </w:r>
      <w:r>
        <w:rPr>
          <w:rFonts w:hint="eastAsia" w:ascii="仿宋_GB2312" w:hAnsi="Calibri" w:eastAsia="仿宋_GB2312" w:cs="Times New Roman"/>
          <w:kern w:val="2"/>
          <w:sz w:val="32"/>
          <w:szCs w:val="32"/>
          <w:lang w:val="en-US" w:eastAsia="zh-CN" w:bidi="ar-SA"/>
        </w:rPr>
        <w:t>卫生健康支出（210）其他卫生健康支出(99)其他卫生健康支出（99)2026年预算</w:t>
      </w:r>
      <w:r>
        <w:rPr>
          <w:rFonts w:hint="eastAsia" w:ascii="仿宋_GB2312" w:eastAsia="仿宋_GB2312" w:cs="Times New Roman"/>
          <w:kern w:val="2"/>
          <w:sz w:val="32"/>
          <w:szCs w:val="32"/>
          <w:lang w:val="en-US" w:eastAsia="zh-CN" w:bidi="ar-SA"/>
        </w:rPr>
        <w:t>数</w:t>
      </w:r>
      <w:r>
        <w:rPr>
          <w:rFonts w:hint="eastAsia" w:ascii="仿宋_GB2312" w:hAnsi="Calibri" w:eastAsia="仿宋_GB2312" w:cs="Times New Roman"/>
          <w:kern w:val="2"/>
          <w:sz w:val="32"/>
          <w:szCs w:val="32"/>
          <w:lang w:val="en-US" w:eastAsia="zh-CN" w:bidi="ar-SA"/>
        </w:rPr>
        <w:t>为592000.00元，主要用于</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医疗卫生机构2026年的人员经费和日常公用经费等基本支出及项目支出。</w:t>
      </w:r>
    </w:p>
    <w:p w14:paraId="3DC7A67D">
      <w:pPr>
        <w:pStyle w:val="11"/>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9、</w:t>
      </w:r>
      <w:r>
        <w:rPr>
          <w:rFonts w:hint="eastAsia" w:ascii="仿宋_GB2312" w:hAnsi="Calibri" w:eastAsia="仿宋_GB2312" w:cs="Times New Roman"/>
          <w:kern w:val="2"/>
          <w:sz w:val="32"/>
          <w:szCs w:val="32"/>
          <w:lang w:val="en-US" w:eastAsia="zh-CN" w:bidi="ar-SA"/>
        </w:rPr>
        <w:t>卫生健康支出（210）计划生育事务(07)其他计划生育事务支出（17)2026年预算</w:t>
      </w:r>
      <w:r>
        <w:rPr>
          <w:rFonts w:hint="eastAsia" w:ascii="仿宋_GB2312" w:eastAsia="仿宋_GB2312" w:cs="Times New Roman"/>
          <w:kern w:val="2"/>
          <w:sz w:val="32"/>
          <w:szCs w:val="32"/>
          <w:lang w:val="en-US" w:eastAsia="zh-CN" w:bidi="ar-SA"/>
        </w:rPr>
        <w:t>数</w:t>
      </w:r>
      <w:r>
        <w:rPr>
          <w:rFonts w:hint="eastAsia" w:ascii="仿宋_GB2312" w:hAnsi="Calibri" w:eastAsia="仿宋_GB2312" w:cs="Times New Roman"/>
          <w:kern w:val="2"/>
          <w:sz w:val="32"/>
          <w:szCs w:val="32"/>
          <w:lang w:val="en-US" w:eastAsia="zh-CN" w:bidi="ar-SA"/>
        </w:rPr>
        <w:t>为38700.00元，主要用于</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医疗卫生机构2026年的人员经费和日常公用经费等基本支出及项目支出。</w:t>
      </w:r>
    </w:p>
    <w:p w14:paraId="31CFE40D">
      <w:pPr>
        <w:pStyle w:val="11"/>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10、</w:t>
      </w:r>
      <w:r>
        <w:rPr>
          <w:rFonts w:hint="eastAsia" w:ascii="仿宋_GB2312" w:hAnsi="Calibri" w:eastAsia="仿宋_GB2312" w:cs="Times New Roman"/>
          <w:kern w:val="2"/>
          <w:sz w:val="32"/>
          <w:szCs w:val="32"/>
          <w:lang w:val="en-US" w:eastAsia="zh-CN" w:bidi="ar-SA"/>
        </w:rPr>
        <w:t>住房保障支出：住房保障支出(221)住房改革支出(02)住房公积金（01)2026年预算数为231612.00元，主要用于</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单位为职工缴纳住房公积金。</w:t>
      </w:r>
    </w:p>
    <w:p w14:paraId="4B67E204">
      <w:pPr>
        <w:keepNext w:val="0"/>
        <w:keepLines w:val="0"/>
        <w:pageBreakBefore w:val="0"/>
        <w:widowControl w:val="0"/>
        <w:numPr>
          <w:ilvl w:val="0"/>
          <w:numId w:val="3"/>
        </w:numPr>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eastAsia="黑体"/>
          <w:color w:val="auto"/>
          <w:sz w:val="32"/>
          <w:szCs w:val="32"/>
        </w:rPr>
      </w:pPr>
      <w:r>
        <w:rPr>
          <w:rFonts w:hint="eastAsia" w:ascii="黑体" w:eastAsia="黑体"/>
          <w:color w:val="auto"/>
          <w:sz w:val="32"/>
          <w:szCs w:val="32"/>
        </w:rPr>
        <w:t>一般公共预算基本支出情况说明</w:t>
      </w:r>
    </w:p>
    <w:p w14:paraId="0877FE0B">
      <w:pPr>
        <w:pStyle w:val="11"/>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2026年一般公共预算基本支出3118807.64元，其中：人员经费2899427.18元，主要包括：基本工资、津贴补贴、奖金、其他社会保障缴费、绩效工资、机关事业单位基本养老保险缴费、职业年金缴费、其他工资福利支出、奖励金、住房公积金、其他对个人和家庭的补助支出。</w:t>
      </w:r>
    </w:p>
    <w:p w14:paraId="7F0F36B2">
      <w:pPr>
        <w:pStyle w:val="11"/>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公用经费219380.46元，主要包括：办公费、印刷费、邮电费、差旅费、维修（护）费、培训费、其他商品和服务支出。</w:t>
      </w:r>
    </w:p>
    <w:p w14:paraId="22CF19FB">
      <w:pPr>
        <w:keepNext w:val="0"/>
        <w:keepLines w:val="0"/>
        <w:pageBreakBefore w:val="0"/>
        <w:widowControl w:val="0"/>
        <w:numPr>
          <w:ilvl w:val="0"/>
          <w:numId w:val="3"/>
        </w:numPr>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eastAsia="黑体"/>
          <w:sz w:val="32"/>
          <w:szCs w:val="32"/>
        </w:rPr>
      </w:pPr>
      <w:r>
        <w:rPr>
          <w:rFonts w:hint="eastAsia" w:ascii="黑体" w:eastAsia="黑体"/>
          <w:sz w:val="32"/>
          <w:szCs w:val="32"/>
        </w:rPr>
        <w:t>“三公”经费财政拨款预算安排情况说明</w:t>
      </w:r>
    </w:p>
    <w:p w14:paraId="4FD65F74">
      <w:pPr>
        <w:pStyle w:val="11"/>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2026年“三公”经费财政拨款预算数41920.00元，其中：因公出国（境）经费</w:t>
      </w:r>
      <w:r>
        <w:rPr>
          <w:rFonts w:hint="eastAsia" w:ascii="仿宋_GB2312" w:eastAsia="仿宋_GB2312" w:cs="Times New Roman"/>
          <w:kern w:val="2"/>
          <w:sz w:val="32"/>
          <w:szCs w:val="32"/>
          <w:lang w:val="en-US" w:eastAsia="zh-CN" w:bidi="ar-SA"/>
        </w:rPr>
        <w:t>0元</w:t>
      </w:r>
      <w:r>
        <w:rPr>
          <w:rFonts w:hint="eastAsia" w:ascii="仿宋_GB2312" w:hAnsi="Calibri" w:eastAsia="仿宋_GB2312" w:cs="Times New Roman"/>
          <w:kern w:val="2"/>
          <w:sz w:val="32"/>
          <w:szCs w:val="32"/>
          <w:lang w:val="en-US" w:eastAsia="zh-CN" w:bidi="ar-SA"/>
        </w:rPr>
        <w:t>，公务接待费1920.00元，公务用车购置及运行维护费40000.00元，其中：无公务用车购置费，公务用车运行维护费40000.00元。</w:t>
      </w:r>
    </w:p>
    <w:p w14:paraId="1286D806">
      <w:pPr>
        <w:pStyle w:val="11"/>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（一）2026年无因公出国（境）经费。</w:t>
      </w:r>
    </w:p>
    <w:p w14:paraId="538103CC">
      <w:pPr>
        <w:pStyle w:val="11"/>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（二）2026年公务接待经费1920.00元。较2025年预算经费减少320</w:t>
      </w:r>
      <w:r>
        <w:rPr>
          <w:rFonts w:hint="eastAsia" w:ascii="仿宋_GB2312" w:eastAsia="仿宋_GB2312" w:cs="Times New Roman"/>
          <w:kern w:val="2"/>
          <w:sz w:val="32"/>
          <w:szCs w:val="32"/>
          <w:lang w:val="en-US" w:eastAsia="zh-CN" w:bidi="ar-SA"/>
        </w:rPr>
        <w:t>.00</w:t>
      </w:r>
      <w:r>
        <w:rPr>
          <w:rFonts w:hint="eastAsia" w:ascii="仿宋_GB2312" w:hAnsi="Calibri" w:eastAsia="仿宋_GB2312" w:cs="Times New Roman"/>
          <w:kern w:val="2"/>
          <w:sz w:val="32"/>
          <w:szCs w:val="32"/>
          <w:lang w:val="en-US" w:eastAsia="zh-CN" w:bidi="ar-SA"/>
        </w:rPr>
        <w:t>元，下降14.29%，主要原因是：</w:t>
      </w:r>
      <w:r>
        <w:rPr>
          <w:rFonts w:hint="eastAsia" w:ascii="仿宋_GB2312" w:eastAsia="仿宋_GB2312" w:cs="Times New Roman"/>
          <w:kern w:val="2"/>
          <w:sz w:val="32"/>
          <w:szCs w:val="32"/>
          <w:lang w:val="en-US" w:eastAsia="zh-CN" w:bidi="ar-SA"/>
        </w:rPr>
        <w:t>厉行节约。</w:t>
      </w:r>
    </w:p>
    <w:p w14:paraId="1631F8F1">
      <w:pPr>
        <w:pStyle w:val="11"/>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（三）2026年公务用车购置及运行维护费40000.00元。较2025年预算经费相比无变化。其中：无公务用车购置费,公务用车运行维护费40000.00元,较2025年预算经费相比无变化。</w:t>
      </w:r>
    </w:p>
    <w:p w14:paraId="37F49985">
      <w:pPr>
        <w:keepNext w:val="0"/>
        <w:keepLines w:val="0"/>
        <w:pageBreakBefore w:val="0"/>
        <w:widowControl w:val="0"/>
        <w:numPr>
          <w:ilvl w:val="0"/>
          <w:numId w:val="3"/>
        </w:numPr>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eastAsia="黑体"/>
          <w:sz w:val="32"/>
          <w:szCs w:val="32"/>
        </w:rPr>
      </w:pPr>
      <w:r>
        <w:rPr>
          <w:rFonts w:hint="eastAsia" w:ascii="黑体" w:eastAsia="黑体"/>
          <w:sz w:val="32"/>
          <w:szCs w:val="32"/>
        </w:rPr>
        <w:t>政府性基金</w:t>
      </w:r>
      <w:r>
        <w:rPr>
          <w:rFonts w:hint="eastAsia" w:ascii="黑体" w:eastAsia="黑体" w:cs="仿宋_GB2312"/>
          <w:sz w:val="32"/>
          <w:szCs w:val="32"/>
        </w:rPr>
        <w:t>预算</w:t>
      </w:r>
      <w:r>
        <w:rPr>
          <w:rFonts w:hint="eastAsia" w:ascii="黑体" w:eastAsia="黑体"/>
          <w:sz w:val="32"/>
          <w:szCs w:val="32"/>
        </w:rPr>
        <w:t>支出情况说明</w:t>
      </w:r>
    </w:p>
    <w:p w14:paraId="4A657EDB">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2026年政府性基金预算拨款安排的支出9966.51元。</w:t>
      </w:r>
    </w:p>
    <w:p w14:paraId="69394EB7">
      <w:pPr>
        <w:keepNext w:val="0"/>
        <w:keepLines w:val="0"/>
        <w:pageBreakBefore w:val="0"/>
        <w:widowControl w:val="0"/>
        <w:numPr>
          <w:ilvl w:val="0"/>
          <w:numId w:val="3"/>
        </w:numPr>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eastAsia="黑体"/>
          <w:sz w:val="32"/>
          <w:szCs w:val="32"/>
        </w:rPr>
      </w:pPr>
      <w:r>
        <w:rPr>
          <w:rFonts w:hint="eastAsia" w:ascii="黑体" w:eastAsia="黑体"/>
          <w:sz w:val="32"/>
          <w:szCs w:val="32"/>
        </w:rPr>
        <w:t>其他重要事项的情况说明</w:t>
      </w:r>
    </w:p>
    <w:p w14:paraId="17E70682">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ascii="楷体_GB2312" w:eastAsia="楷体_GB2312"/>
          <w:b/>
          <w:sz w:val="32"/>
          <w:szCs w:val="32"/>
        </w:rPr>
      </w:pPr>
      <w:r>
        <w:rPr>
          <w:rFonts w:hint="eastAsia" w:ascii="楷体_GB2312" w:eastAsia="楷体_GB2312" w:cs="仿宋_GB2312"/>
          <w:b/>
          <w:sz w:val="32"/>
          <w:szCs w:val="32"/>
        </w:rPr>
        <w:t>（一）机关运行经费</w:t>
      </w:r>
    </w:p>
    <w:p w14:paraId="1C3E276D">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2026年机关运行经费财政拨款预算为219380.46元，较2025年预算增加4122.67元，增长52.73%。主要原因是：</w:t>
      </w:r>
      <w:r>
        <w:rPr>
          <w:rFonts w:hint="eastAsia" w:ascii="仿宋_GB2312" w:eastAsia="仿宋_GB2312" w:cs="Times New Roman"/>
          <w:kern w:val="2"/>
          <w:sz w:val="32"/>
          <w:szCs w:val="32"/>
          <w:lang w:val="en-US" w:eastAsia="zh-CN" w:bidi="ar-SA"/>
        </w:rPr>
        <w:t>人员增加。</w:t>
      </w:r>
    </w:p>
    <w:p w14:paraId="699DDA26">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kern w:val="2"/>
          <w:sz w:val="32"/>
          <w:szCs w:val="32"/>
          <w:lang w:val="en-US" w:eastAsia="zh-CN" w:bidi="ar-SA"/>
        </w:rPr>
      </w:pPr>
      <w:r>
        <w:rPr>
          <w:rFonts w:hint="eastAsia" w:ascii="楷体_GB2312" w:eastAsia="楷体_GB2312" w:cs="仿宋_GB2312"/>
          <w:b/>
          <w:sz w:val="32"/>
          <w:szCs w:val="32"/>
        </w:rPr>
        <w:t>（</w:t>
      </w:r>
      <w:r>
        <w:rPr>
          <w:rFonts w:hint="eastAsia" w:ascii="楷体_GB2312" w:eastAsia="楷体_GB2312" w:cs="仿宋_GB2312"/>
          <w:b/>
          <w:sz w:val="32"/>
          <w:szCs w:val="32"/>
          <w:lang w:eastAsia="zh-CN"/>
        </w:rPr>
        <w:t>二</w:t>
      </w:r>
      <w:r>
        <w:rPr>
          <w:rFonts w:hint="eastAsia" w:ascii="楷体_GB2312" w:eastAsia="楷体_GB2312" w:cs="仿宋_GB2312"/>
          <w:b/>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_GB2312" w:hAnsi="Calibri" w:eastAsia="仿宋_GB2312" w:cs="Times New Roman"/>
          <w:kern w:val="2"/>
          <w:sz w:val="32"/>
          <w:szCs w:val="32"/>
          <w:lang w:val="en-US" w:eastAsia="zh-CN" w:bidi="ar-SA"/>
        </w:rPr>
        <w:t>2026年</w:t>
      </w:r>
      <w:r>
        <w:rPr>
          <w:rFonts w:hint="eastAsia" w:ascii="仿宋_GB2312" w:eastAsia="仿宋_GB2312" w:cs="Times New Roman"/>
          <w:kern w:val="2"/>
          <w:sz w:val="32"/>
          <w:szCs w:val="32"/>
          <w:lang w:val="en-US" w:eastAsia="zh-CN" w:bidi="ar-SA"/>
        </w:rPr>
        <w:t>茂县</w:t>
      </w:r>
      <w:bookmarkStart w:id="0" w:name="_GoBack"/>
      <w:bookmarkEnd w:id="0"/>
      <w:r>
        <w:rPr>
          <w:rFonts w:hint="eastAsia" w:ascii="仿宋_GB2312" w:hAnsi="Calibri" w:eastAsia="仿宋_GB2312" w:cs="Times New Roman"/>
          <w:kern w:val="2"/>
          <w:sz w:val="32"/>
          <w:szCs w:val="32"/>
          <w:lang w:val="en-US" w:eastAsia="zh-CN" w:bidi="ar-SA"/>
        </w:rPr>
        <w:t>卫健局未安排政府采购预算。</w:t>
      </w:r>
    </w:p>
    <w:p w14:paraId="3232A550">
      <w:pPr>
        <w:keepNext w:val="0"/>
        <w:keepLines w:val="0"/>
        <w:pageBreakBefore w:val="0"/>
        <w:widowControl w:val="0"/>
        <w:numPr>
          <w:ilvl w:val="0"/>
          <w:numId w:val="2"/>
        </w:numPr>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楷体_GB2312" w:eastAsia="楷体_GB2312" w:cs="仿宋_GB2312"/>
          <w:b/>
          <w:kern w:val="2"/>
          <w:sz w:val="32"/>
          <w:szCs w:val="32"/>
        </w:rPr>
      </w:pPr>
      <w:r>
        <w:rPr>
          <w:rFonts w:hint="eastAsia" w:ascii="楷体_GB2312" w:eastAsia="楷体_GB2312" w:cs="仿宋_GB2312"/>
          <w:b/>
          <w:kern w:val="2"/>
          <w:sz w:val="32"/>
          <w:szCs w:val="32"/>
        </w:rPr>
        <w:t>国有资产占有使用情况</w:t>
      </w:r>
    </w:p>
    <w:p w14:paraId="331C33EA">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截至2025年12月31日，我单位固定资产总额14766978.35元，其中：房屋5534.90平方米，价值12389737.41元；公务用车8辆,价值2087051.94元；其他固定资产290189.00元。</w:t>
      </w:r>
    </w:p>
    <w:p w14:paraId="3CCAE99E">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仿宋_GB2312" w:hAnsi="Calibri" w:eastAsia="仿宋_GB2312" w:cs="Times New Roman"/>
          <w:kern w:val="2"/>
          <w:sz w:val="32"/>
          <w:szCs w:val="32"/>
          <w:lang w:val="en-US" w:eastAsia="zh-CN" w:bidi="ar-SA"/>
        </w:rPr>
      </w:pPr>
      <w:r>
        <w:rPr>
          <w:rFonts w:hint="eastAsia" w:ascii="楷体_GB2312" w:eastAsia="楷体_GB2312" w:cs="仿宋_GB2312"/>
          <w:b/>
          <w:sz w:val="32"/>
          <w:szCs w:val="32"/>
          <w:lang w:eastAsia="zh-CN"/>
        </w:rPr>
        <w:t>（四）</w:t>
      </w:r>
      <w:r>
        <w:rPr>
          <w:rFonts w:hint="eastAsia" w:ascii="楷体_GB2312" w:eastAsia="楷体_GB2312" w:cs="仿宋_GB2312"/>
          <w:b/>
          <w:sz w:val="32"/>
          <w:szCs w:val="32"/>
        </w:rPr>
        <w:t>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楷体_GB2312" w:hAnsi="Calibri" w:eastAsia="楷体_GB2312" w:cs="Times New Roman"/>
          <w:kern w:val="2"/>
          <w:sz w:val="32"/>
          <w:szCs w:val="32"/>
          <w:lang w:val="en-US" w:eastAsia="zh-CN" w:bidi="ar-SA"/>
        </w:rPr>
        <w:t>　</w:t>
      </w:r>
      <w:r>
        <w:rPr>
          <w:rFonts w:hint="eastAsia" w:ascii="仿宋_GB2312" w:hAnsi="Calibri" w:eastAsia="仿宋_GB2312" w:cs="Times New Roman"/>
          <w:kern w:val="2"/>
          <w:sz w:val="32"/>
          <w:szCs w:val="32"/>
          <w:lang w:val="en-US" w:eastAsia="zh-CN" w:bidi="ar-SA"/>
        </w:rPr>
        <w:t>2026年项目支出均按要求实行绩效目标管理，涉及项目   5个，一般公共预算当年拨款1051780.00元。</w:t>
      </w:r>
    </w:p>
    <w:p w14:paraId="2FC082C0">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黑体" w:eastAsia="黑体" w:cs="黑体"/>
          <w:sz w:val="32"/>
          <w:szCs w:val="32"/>
        </w:rPr>
        <w:t xml:space="preserve">十、名称解释 </w:t>
      </w:r>
      <w:r>
        <w:rPr>
          <w:rFonts w:hint="eastAsia" w:ascii="黑体" w:eastAsia="黑体" w:cs="黑体"/>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bCs/>
          <w:kern w:val="2"/>
          <w:sz w:val="32"/>
          <w:szCs w:val="32"/>
        </w:rPr>
        <w:t>（</w:t>
      </w:r>
      <w:r>
        <w:rPr>
          <w:rFonts w:hint="eastAsia" w:ascii="楷体_GB2312" w:hAnsi="Calibri" w:eastAsia="楷体_GB2312" w:cs="Times New Roman"/>
          <w:b/>
          <w:bCs/>
          <w:kern w:val="2"/>
          <w:sz w:val="32"/>
          <w:szCs w:val="32"/>
          <w:lang w:val="en-US" w:eastAsia="zh-CN" w:bidi="ar-SA"/>
        </w:rPr>
        <w:t>一）财政拨款收入：</w:t>
      </w:r>
      <w:r>
        <w:rPr>
          <w:rFonts w:hint="eastAsia" w:ascii="仿宋_GB2312" w:hAnsi="Calibri" w:eastAsia="仿宋_GB2312" w:cs="Times New Roman"/>
          <w:kern w:val="2"/>
          <w:sz w:val="32"/>
          <w:szCs w:val="32"/>
          <w:lang w:val="en-US" w:eastAsia="zh-CN" w:bidi="ar-SA"/>
        </w:rPr>
        <w:t>指由财政拨款形成的部门收入。按现行管理制度，部门预算中反映的财政拨款仅包括一般公共预算拨款和政府性基金预算拨款。</w:t>
      </w:r>
      <w:r>
        <w:rPr>
          <w:rFonts w:hint="eastAsia" w:ascii="仿宋_GB2312" w:hAnsi="Calibri" w:eastAsia="仿宋_GB2312" w:cs="Times New Roman"/>
          <w:kern w:val="2"/>
          <w:sz w:val="32"/>
          <w:szCs w:val="32"/>
          <w:lang w:val="en-US" w:eastAsia="zh-CN" w:bidi="ar-SA"/>
        </w:rPr>
        <w:br w:type="textWrapping"/>
      </w:r>
      <w:r>
        <w:rPr>
          <w:rFonts w:hint="eastAsia" w:ascii="楷体_GB2312" w:hAnsi="Calibri" w:eastAsia="楷体_GB2312" w:cs="Times New Roman"/>
          <w:kern w:val="2"/>
          <w:sz w:val="32"/>
          <w:szCs w:val="32"/>
          <w:lang w:val="en-US" w:eastAsia="zh-CN" w:bidi="ar-SA"/>
        </w:rPr>
        <w:t>　</w:t>
      </w:r>
      <w:r>
        <w:rPr>
          <w:rFonts w:hint="eastAsia" w:ascii="楷体_GB2312" w:hAnsi="Calibri" w:eastAsia="楷体_GB2312" w:cs="Times New Roman"/>
          <w:b/>
          <w:bCs/>
          <w:kern w:val="2"/>
          <w:sz w:val="32"/>
          <w:szCs w:val="32"/>
          <w:lang w:val="en-US" w:eastAsia="zh-CN" w:bidi="ar-SA"/>
        </w:rPr>
        <w:t>　（二）事业收入：</w:t>
      </w:r>
      <w:r>
        <w:rPr>
          <w:rFonts w:hint="eastAsia" w:ascii="仿宋_GB2312" w:hAnsi="Calibri" w:eastAsia="仿宋_GB2312" w:cs="Times New Roman"/>
          <w:kern w:val="2"/>
          <w:sz w:val="32"/>
          <w:szCs w:val="32"/>
          <w:lang w:val="en-US" w:eastAsia="zh-CN" w:bidi="ar-SA"/>
        </w:rPr>
        <w:t>指所属事业单位开展专业业务活动及辅助活动所取得的收入。</w:t>
      </w:r>
      <w:r>
        <w:rPr>
          <w:rFonts w:hint="eastAsia" w:ascii="仿宋_GB2312" w:hAnsi="Calibri" w:eastAsia="仿宋_GB2312" w:cs="Times New Roman"/>
          <w:kern w:val="2"/>
          <w:sz w:val="32"/>
          <w:szCs w:val="32"/>
          <w:lang w:val="en-US" w:eastAsia="zh-CN" w:bidi="ar-SA"/>
        </w:rPr>
        <w:br w:type="textWrapping"/>
      </w:r>
      <w:r>
        <w:rPr>
          <w:rFonts w:hint="eastAsia" w:ascii="楷体_GB2312" w:hAnsi="Calibri" w:eastAsia="楷体_GB2312" w:cs="Times New Roman"/>
          <w:kern w:val="2"/>
          <w:sz w:val="32"/>
          <w:szCs w:val="32"/>
          <w:lang w:val="en-US" w:eastAsia="zh-CN" w:bidi="ar-SA"/>
        </w:rPr>
        <w:t>　　</w:t>
      </w:r>
      <w:r>
        <w:rPr>
          <w:rFonts w:hint="eastAsia" w:ascii="楷体_GB2312" w:hAnsi="Calibri" w:eastAsia="楷体_GB2312" w:cs="Times New Roman"/>
          <w:b/>
          <w:bCs/>
          <w:kern w:val="2"/>
          <w:sz w:val="32"/>
          <w:szCs w:val="32"/>
          <w:lang w:val="en-US" w:eastAsia="zh-CN" w:bidi="ar-SA"/>
        </w:rPr>
        <w:t>（三）事业单位经营收入：</w:t>
      </w:r>
      <w:r>
        <w:rPr>
          <w:rFonts w:hint="eastAsia" w:ascii="仿宋_GB2312" w:hAnsi="Calibri" w:eastAsia="仿宋_GB2312" w:cs="Times New Roman"/>
          <w:kern w:val="2"/>
          <w:sz w:val="32"/>
          <w:szCs w:val="32"/>
          <w:lang w:val="en-US" w:eastAsia="zh-CN" w:bidi="ar-SA"/>
        </w:rPr>
        <w:t>指所属事业单位在专业业务活动及其辅助活动之外开展非独立核算经营活动取得的收入。</w:t>
      </w:r>
      <w:r>
        <w:rPr>
          <w:rFonts w:hint="eastAsia" w:ascii="仿宋_GB2312" w:hAnsi="Calibri" w:eastAsia="仿宋_GB2312" w:cs="Times New Roman"/>
          <w:kern w:val="2"/>
          <w:sz w:val="32"/>
          <w:szCs w:val="32"/>
          <w:lang w:val="en-US" w:eastAsia="zh-CN" w:bidi="ar-SA"/>
        </w:rPr>
        <w:br w:type="textWrapping"/>
      </w:r>
      <w:r>
        <w:rPr>
          <w:rFonts w:hint="eastAsia" w:ascii="楷体_GB2312" w:hAnsi="Calibri" w:eastAsia="楷体_GB2312" w:cs="Times New Roman"/>
          <w:b/>
          <w:bCs/>
          <w:kern w:val="2"/>
          <w:sz w:val="32"/>
          <w:szCs w:val="32"/>
          <w:lang w:val="en-US" w:eastAsia="zh-CN" w:bidi="ar-SA"/>
        </w:rPr>
        <w:t>　　（四）其他收入：</w:t>
      </w:r>
      <w:r>
        <w:rPr>
          <w:rFonts w:hint="eastAsia" w:ascii="仿宋_GB2312" w:hAnsi="Calibri" w:eastAsia="仿宋_GB2312" w:cs="Times New Roman"/>
          <w:kern w:val="2"/>
          <w:sz w:val="32"/>
          <w:szCs w:val="32"/>
          <w:lang w:val="en-US" w:eastAsia="zh-CN" w:bidi="ar-SA"/>
        </w:rPr>
        <w:t>指除上述“财政拨款收入”、“事业收入”、“事业单位经营收入”等以外的收入，主要是所属行政事业单位按规定动用的售房收入、存款利息收入等。</w:t>
      </w:r>
      <w:r>
        <w:rPr>
          <w:rFonts w:hint="eastAsia" w:ascii="楷体_GB2312" w:hAnsi="Calibri" w:eastAsia="楷体_GB2312" w:cs="Times New Roman"/>
          <w:kern w:val="2"/>
          <w:sz w:val="32"/>
          <w:szCs w:val="32"/>
          <w:lang w:val="en-US" w:eastAsia="zh-CN" w:bidi="ar-SA"/>
        </w:rPr>
        <w:br w:type="textWrapping"/>
      </w:r>
      <w:r>
        <w:rPr>
          <w:rFonts w:hint="eastAsia" w:ascii="楷体_GB2312" w:hAnsi="Calibri" w:eastAsia="楷体_GB2312" w:cs="Times New Roman"/>
          <w:b/>
          <w:bCs/>
          <w:kern w:val="2"/>
          <w:sz w:val="32"/>
          <w:szCs w:val="32"/>
          <w:lang w:val="en-US" w:eastAsia="zh-CN" w:bidi="ar-SA"/>
        </w:rPr>
        <w:t>　　（五）用事业基金弥补收支差额</w:t>
      </w:r>
      <w:r>
        <w:rPr>
          <w:rFonts w:hint="eastAsia" w:ascii="楷体_GB2312" w:hAnsi="Calibri" w:eastAsia="楷体_GB2312" w:cs="Times New Roman"/>
          <w:kern w:val="2"/>
          <w:sz w:val="32"/>
          <w:szCs w:val="32"/>
          <w:lang w:val="en-US" w:eastAsia="zh-CN" w:bidi="ar-SA"/>
        </w:rPr>
        <w:t>：</w:t>
      </w:r>
      <w:r>
        <w:rPr>
          <w:rFonts w:hint="eastAsia" w:ascii="仿宋_GB2312" w:hAnsi="Calibri" w:eastAsia="仿宋_GB2312" w:cs="Times New Roman"/>
          <w:kern w:val="2"/>
          <w:sz w:val="32"/>
          <w:szCs w:val="32"/>
          <w:lang w:val="en-US" w:eastAsia="zh-CN" w:bidi="ar-SA"/>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Calibri" w:eastAsia="仿宋_GB2312" w:cs="Times New Roman"/>
          <w:kern w:val="2"/>
          <w:sz w:val="32"/>
          <w:szCs w:val="32"/>
          <w:lang w:val="en-US" w:eastAsia="zh-CN" w:bidi="ar-SA"/>
        </w:rPr>
        <w:br w:type="textWrapping"/>
      </w:r>
      <w:r>
        <w:rPr>
          <w:rFonts w:hint="eastAsia" w:ascii="楷体_GB2312" w:hAnsi="Calibri" w:eastAsia="楷体_GB2312" w:cs="Times New Roman"/>
          <w:kern w:val="2"/>
          <w:sz w:val="32"/>
          <w:szCs w:val="32"/>
          <w:lang w:val="en-US" w:eastAsia="zh-CN" w:bidi="ar-SA"/>
        </w:rPr>
        <w:t>　</w:t>
      </w:r>
      <w:r>
        <w:rPr>
          <w:rFonts w:hint="eastAsia" w:ascii="楷体_GB2312" w:hAnsi="Calibri" w:eastAsia="楷体_GB2312" w:cs="Times New Roman"/>
          <w:b/>
          <w:bCs/>
          <w:kern w:val="2"/>
          <w:sz w:val="32"/>
          <w:szCs w:val="32"/>
          <w:lang w:val="en-US" w:eastAsia="zh-CN" w:bidi="ar-SA"/>
        </w:rPr>
        <w:t>　（六）上年结转：</w:t>
      </w:r>
      <w:r>
        <w:rPr>
          <w:rFonts w:hint="eastAsia" w:ascii="仿宋_GB2312" w:hAnsi="Calibri" w:eastAsia="仿宋_GB2312" w:cs="Times New Roman"/>
          <w:kern w:val="2"/>
          <w:sz w:val="32"/>
          <w:szCs w:val="32"/>
          <w:lang w:val="en-US" w:eastAsia="zh-CN" w:bidi="ar-SA"/>
        </w:rPr>
        <w:t>指所属行政事业单位以前年度尚未完成、结转至本年按原规定用途继续使用的资金和以前年度已完成项目剩余资金经批准用于新用途使用的资金。</w:t>
      </w:r>
    </w:p>
    <w:p w14:paraId="7090BCFB">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仿宋_GB2312" w:hAnsi="Calibri" w:eastAsia="仿宋_GB2312" w:cs="Times New Roman"/>
          <w:kern w:val="2"/>
          <w:sz w:val="32"/>
          <w:szCs w:val="32"/>
          <w:lang w:val="en-US" w:eastAsia="zh-CN" w:bidi="ar-SA"/>
        </w:rPr>
      </w:pPr>
      <w:r>
        <w:rPr>
          <w:rFonts w:hint="eastAsia" w:ascii="楷体_GB2312" w:hAnsi="Calibri" w:eastAsia="楷体_GB2312" w:cs="Times New Roman"/>
          <w:b/>
          <w:bCs/>
          <w:kern w:val="2"/>
          <w:sz w:val="32"/>
          <w:szCs w:val="32"/>
          <w:lang w:val="en-US" w:eastAsia="zh-CN" w:bidi="ar-SA"/>
        </w:rPr>
        <w:t>（七）基本支出：</w:t>
      </w:r>
      <w:r>
        <w:rPr>
          <w:rFonts w:hint="eastAsia" w:ascii="仿宋_GB2312" w:hAnsi="Calibri" w:eastAsia="仿宋_GB2312" w:cs="Times New Roman"/>
          <w:kern w:val="2"/>
          <w:sz w:val="32"/>
          <w:szCs w:val="32"/>
          <w:lang w:val="en-US" w:eastAsia="zh-CN" w:bidi="ar-SA"/>
        </w:rPr>
        <w:t>指为保证机构正常运转，完成日常工作任务而发生的人员支出和公用支出。</w:t>
      </w:r>
      <w:r>
        <w:rPr>
          <w:rFonts w:hint="eastAsia" w:ascii="仿宋_GB2312" w:hAnsi="Calibri" w:eastAsia="仿宋_GB2312" w:cs="Times New Roman"/>
          <w:kern w:val="2"/>
          <w:sz w:val="32"/>
          <w:szCs w:val="32"/>
          <w:lang w:val="en-US" w:eastAsia="zh-CN" w:bidi="ar-SA"/>
        </w:rPr>
        <w:br w:type="textWrapping"/>
      </w:r>
      <w:r>
        <w:rPr>
          <w:rFonts w:hint="eastAsia" w:ascii="楷体_GB2312" w:hAnsi="Calibri" w:eastAsia="楷体_GB2312" w:cs="Times New Roman"/>
          <w:b/>
          <w:bCs/>
          <w:kern w:val="2"/>
          <w:sz w:val="32"/>
          <w:szCs w:val="32"/>
          <w:lang w:val="en-US" w:eastAsia="zh-CN" w:bidi="ar-SA"/>
        </w:rPr>
        <w:t>　　（八）项目支出：</w:t>
      </w:r>
      <w:r>
        <w:rPr>
          <w:rFonts w:hint="eastAsia" w:ascii="仿宋_GB2312" w:hAnsi="Calibri" w:eastAsia="仿宋_GB2312" w:cs="Times New Roman"/>
          <w:kern w:val="2"/>
          <w:sz w:val="32"/>
          <w:szCs w:val="32"/>
          <w:lang w:val="en-US" w:eastAsia="zh-CN" w:bidi="ar-SA"/>
        </w:rPr>
        <w:t>指在基本支出之外为完成特定行政任务和事业发展目标所发生的支出。</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　</w:t>
      </w:r>
      <w:r>
        <w:rPr>
          <w:rFonts w:hint="eastAsia" w:ascii="仿宋_GB2312" w:hAnsi="Calibri" w:eastAsia="仿宋_GB2312" w:cs="Times New Roman"/>
          <w:b/>
          <w:bCs/>
          <w:kern w:val="2"/>
          <w:sz w:val="32"/>
          <w:szCs w:val="32"/>
          <w:lang w:val="en-US" w:eastAsia="zh-CN" w:bidi="ar-SA"/>
        </w:rPr>
        <w:t>　</w:t>
      </w:r>
      <w:r>
        <w:rPr>
          <w:rFonts w:hint="eastAsia" w:ascii="楷体_GB2312" w:hAnsi="Calibri" w:eastAsia="楷体_GB2312" w:cs="Times New Roman"/>
          <w:b/>
          <w:bCs/>
          <w:kern w:val="2"/>
          <w:sz w:val="32"/>
          <w:szCs w:val="32"/>
          <w:lang w:val="en-US" w:eastAsia="zh-CN" w:bidi="ar-SA"/>
        </w:rPr>
        <w:t>（九）“三公”经费：</w:t>
      </w:r>
      <w:r>
        <w:rPr>
          <w:rFonts w:hint="eastAsia" w:ascii="仿宋_GB2312" w:hAnsi="Calibri" w:eastAsia="仿宋_GB2312" w:cs="Times New Roman"/>
          <w:kern w:val="2"/>
          <w:sz w:val="32"/>
          <w:szCs w:val="32"/>
          <w:lang w:val="en-US" w:eastAsia="zh-CN" w:bidi="ar-SA"/>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3D166E50">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楷体_GB2312" w:hAnsi="Calibri" w:eastAsia="楷体_GB2312" w:cs="Times New Roman"/>
          <w:kern w:val="2"/>
          <w:sz w:val="32"/>
          <w:szCs w:val="32"/>
          <w:lang w:val="en-US" w:eastAsia="zh-CN" w:bidi="ar-SA"/>
        </w:rPr>
      </w:pPr>
      <w:r>
        <w:rPr>
          <w:rFonts w:hint="eastAsia" w:ascii="楷体_GB2312" w:hAnsi="Calibri" w:eastAsia="楷体_GB2312" w:cs="Times New Roman"/>
          <w:kern w:val="2"/>
          <w:sz w:val="32"/>
          <w:szCs w:val="32"/>
          <w:lang w:val="en-US" w:eastAsia="zh-CN" w:bidi="ar-SA"/>
        </w:rPr>
        <w:t xml:space="preserve">               </w:t>
      </w:r>
    </w:p>
    <w:p w14:paraId="0D5293D0">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楷体_GB2312" w:hAnsi="Calibri" w:eastAsia="楷体_GB2312" w:cs="Times New Roman"/>
          <w:kern w:val="2"/>
          <w:sz w:val="32"/>
          <w:szCs w:val="32"/>
          <w:lang w:val="en-US" w:eastAsia="zh-CN" w:bidi="ar-SA"/>
        </w:rPr>
      </w:pPr>
    </w:p>
    <w:p w14:paraId="705AE128">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楷体_GB2312" w:hAnsi="Calibri" w:eastAsia="楷体_GB2312" w:cs="Times New Roman"/>
          <w:kern w:val="2"/>
          <w:sz w:val="32"/>
          <w:szCs w:val="32"/>
          <w:lang w:val="en-US" w:eastAsia="zh-CN" w:bidi="ar-SA"/>
        </w:rPr>
      </w:pPr>
    </w:p>
    <w:p w14:paraId="03995E3F">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楷体_GB2312" w:hAnsi="Calibri" w:eastAsia="楷体_GB2312" w:cs="Times New Roman"/>
          <w:kern w:val="2"/>
          <w:sz w:val="32"/>
          <w:szCs w:val="32"/>
          <w:lang w:val="en-US" w:eastAsia="zh-CN" w:bidi="ar-SA"/>
        </w:rPr>
      </w:pPr>
    </w:p>
    <w:p w14:paraId="119FA051">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jc w:val="center"/>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 xml:space="preserve">                               </w:t>
      </w:r>
      <w:r>
        <w:rPr>
          <w:rFonts w:hint="eastAsia" w:ascii="仿宋_GB2312" w:hAnsi="Calibri" w:eastAsia="仿宋_GB2312" w:cs="Times New Roman"/>
          <w:kern w:val="2"/>
          <w:sz w:val="32"/>
          <w:szCs w:val="32"/>
          <w:lang w:val="en-US" w:eastAsia="zh-CN" w:bidi="ar-SA"/>
        </w:rPr>
        <w:t>茂县卫生健康局</w:t>
      </w:r>
    </w:p>
    <w:p w14:paraId="011C1AF5">
      <w:pPr>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jc w:val="right"/>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2026年4月03日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0DEB">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F19C7"/>
    <w:multiLevelType w:val="singleLevel"/>
    <w:tmpl w:val="A55F19C7"/>
    <w:lvl w:ilvl="0" w:tentative="0">
      <w:start w:val="6"/>
      <w:numFmt w:val="chineseCounting"/>
      <w:suff w:val="nothing"/>
      <w:lvlText w:val="%1、"/>
      <w:lvlJc w:val="left"/>
      <w:pPr>
        <w:ind w:left="0" w:firstLine="0"/>
      </w:pPr>
      <w:rPr>
        <w:rFonts w:hint="eastAsia"/>
      </w:rPr>
    </w:lvl>
  </w:abstractNum>
  <w:abstractNum w:abstractNumId="1">
    <w:nsid w:val="4EE84B2F"/>
    <w:multiLevelType w:val="singleLevel"/>
    <w:tmpl w:val="4EE84B2F"/>
    <w:lvl w:ilvl="0" w:tentative="0">
      <w:start w:val="3"/>
      <w:numFmt w:val="chineseCounting"/>
      <w:suff w:val="nothing"/>
      <w:lvlText w:val="%1、"/>
      <w:lvlJc w:val="left"/>
      <w:rPr>
        <w:rFonts w:hint="eastAsia"/>
      </w:rPr>
    </w:lvl>
  </w:abstractNum>
  <w:abstractNum w:abstractNumId="2">
    <w:nsid w:val="7BA2A43E"/>
    <w:multiLevelType w:val="singleLevel"/>
    <w:tmpl w:val="7BA2A43E"/>
    <w:lvl w:ilvl="0" w:tentative="0">
      <w:start w:val="1"/>
      <w:numFmt w:val="chineseCounting"/>
      <w:suff w:val="nothing"/>
      <w:lvlText w:val="（%1）"/>
      <w:lvlJc w:val="left"/>
      <w:pPr>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MWJjNDRhOWM2N2RmZTgwZTEyZWM5NjY2NDE4NWU4YmQifQ=="/>
  </w:docVars>
  <w:rsids>
    <w:rsidRoot w:val="00000000"/>
    <w:rsid w:val="00423C6D"/>
    <w:rsid w:val="01194C53"/>
    <w:rsid w:val="01706F4E"/>
    <w:rsid w:val="02441F1E"/>
    <w:rsid w:val="03522419"/>
    <w:rsid w:val="037B3903"/>
    <w:rsid w:val="041979DF"/>
    <w:rsid w:val="041A795B"/>
    <w:rsid w:val="04257844"/>
    <w:rsid w:val="05D13AC9"/>
    <w:rsid w:val="080C703A"/>
    <w:rsid w:val="08E92ED7"/>
    <w:rsid w:val="08F24482"/>
    <w:rsid w:val="092403B3"/>
    <w:rsid w:val="094822F4"/>
    <w:rsid w:val="0AA417AC"/>
    <w:rsid w:val="0AF73FD1"/>
    <w:rsid w:val="0B405A41"/>
    <w:rsid w:val="0C6F1945"/>
    <w:rsid w:val="0C985340"/>
    <w:rsid w:val="0EC8358F"/>
    <w:rsid w:val="0F9067A2"/>
    <w:rsid w:val="106809A6"/>
    <w:rsid w:val="107A14B3"/>
    <w:rsid w:val="111B6540"/>
    <w:rsid w:val="11890DFD"/>
    <w:rsid w:val="11D34725"/>
    <w:rsid w:val="12EC0DF9"/>
    <w:rsid w:val="152E56B7"/>
    <w:rsid w:val="15720785"/>
    <w:rsid w:val="166B3271"/>
    <w:rsid w:val="178518FE"/>
    <w:rsid w:val="179E7583"/>
    <w:rsid w:val="17D47448"/>
    <w:rsid w:val="18051245"/>
    <w:rsid w:val="19594FD5"/>
    <w:rsid w:val="1A831E90"/>
    <w:rsid w:val="1B350803"/>
    <w:rsid w:val="1C581A86"/>
    <w:rsid w:val="1D61749A"/>
    <w:rsid w:val="1DE026A3"/>
    <w:rsid w:val="1F0979D8"/>
    <w:rsid w:val="1F62533A"/>
    <w:rsid w:val="1FFB1A76"/>
    <w:rsid w:val="20C067BC"/>
    <w:rsid w:val="20C97653"/>
    <w:rsid w:val="21050673"/>
    <w:rsid w:val="22196184"/>
    <w:rsid w:val="224F6049"/>
    <w:rsid w:val="23E817C3"/>
    <w:rsid w:val="24816262"/>
    <w:rsid w:val="26ED5E31"/>
    <w:rsid w:val="276C5199"/>
    <w:rsid w:val="27F356C9"/>
    <w:rsid w:val="29AA0009"/>
    <w:rsid w:val="2B7C6AC1"/>
    <w:rsid w:val="2CC358D7"/>
    <w:rsid w:val="2DEA5EFB"/>
    <w:rsid w:val="2F2D14C0"/>
    <w:rsid w:val="30BE1629"/>
    <w:rsid w:val="31083F93"/>
    <w:rsid w:val="312E3ECA"/>
    <w:rsid w:val="314D28E6"/>
    <w:rsid w:val="316B0828"/>
    <w:rsid w:val="316B2774"/>
    <w:rsid w:val="31B84664"/>
    <w:rsid w:val="31F42769"/>
    <w:rsid w:val="329362BA"/>
    <w:rsid w:val="338B2C59"/>
    <w:rsid w:val="344A48C2"/>
    <w:rsid w:val="34F73214"/>
    <w:rsid w:val="354457B6"/>
    <w:rsid w:val="356763E5"/>
    <w:rsid w:val="35A41631"/>
    <w:rsid w:val="36435A6D"/>
    <w:rsid w:val="36463848"/>
    <w:rsid w:val="36D2020E"/>
    <w:rsid w:val="380F3E59"/>
    <w:rsid w:val="3A3B06F2"/>
    <w:rsid w:val="3A7A7584"/>
    <w:rsid w:val="3B5E1503"/>
    <w:rsid w:val="3C096E11"/>
    <w:rsid w:val="3C940DD1"/>
    <w:rsid w:val="3CB13731"/>
    <w:rsid w:val="3F907C64"/>
    <w:rsid w:val="40716965"/>
    <w:rsid w:val="40970E8F"/>
    <w:rsid w:val="436112E1"/>
    <w:rsid w:val="43996CCD"/>
    <w:rsid w:val="46976762"/>
    <w:rsid w:val="46B75DE7"/>
    <w:rsid w:val="46DD1C51"/>
    <w:rsid w:val="48174852"/>
    <w:rsid w:val="49441489"/>
    <w:rsid w:val="4AA541A9"/>
    <w:rsid w:val="4B1B136B"/>
    <w:rsid w:val="4B6E21A0"/>
    <w:rsid w:val="4B8E31F1"/>
    <w:rsid w:val="4BBB7051"/>
    <w:rsid w:val="4C1D0D4B"/>
    <w:rsid w:val="4C5166A8"/>
    <w:rsid w:val="4D5F4AE3"/>
    <w:rsid w:val="4D9B21EA"/>
    <w:rsid w:val="4E471AB9"/>
    <w:rsid w:val="4E9469C1"/>
    <w:rsid w:val="50504A55"/>
    <w:rsid w:val="506E41F3"/>
    <w:rsid w:val="51234079"/>
    <w:rsid w:val="515D758B"/>
    <w:rsid w:val="51A452F8"/>
    <w:rsid w:val="531F2400"/>
    <w:rsid w:val="53FD0BB2"/>
    <w:rsid w:val="54694499"/>
    <w:rsid w:val="546B1FBF"/>
    <w:rsid w:val="5511700B"/>
    <w:rsid w:val="551E34D6"/>
    <w:rsid w:val="554E3DBB"/>
    <w:rsid w:val="56773585"/>
    <w:rsid w:val="56BF4844"/>
    <w:rsid w:val="578110DE"/>
    <w:rsid w:val="57EA58F1"/>
    <w:rsid w:val="5AF9642A"/>
    <w:rsid w:val="5CD526CC"/>
    <w:rsid w:val="5D535CE6"/>
    <w:rsid w:val="5DD5494D"/>
    <w:rsid w:val="5EC738FF"/>
    <w:rsid w:val="5F342B86"/>
    <w:rsid w:val="61614E76"/>
    <w:rsid w:val="61690122"/>
    <w:rsid w:val="61C955FC"/>
    <w:rsid w:val="64DE67DD"/>
    <w:rsid w:val="6559633B"/>
    <w:rsid w:val="6A7A2B04"/>
    <w:rsid w:val="6AD159DB"/>
    <w:rsid w:val="6B2F5571"/>
    <w:rsid w:val="6C705F6D"/>
    <w:rsid w:val="6D8C553B"/>
    <w:rsid w:val="6E1F7C4B"/>
    <w:rsid w:val="6E34121C"/>
    <w:rsid w:val="6E781A51"/>
    <w:rsid w:val="6EAE7221"/>
    <w:rsid w:val="6F3335B8"/>
    <w:rsid w:val="700A0487"/>
    <w:rsid w:val="70925EB9"/>
    <w:rsid w:val="71025602"/>
    <w:rsid w:val="71FB09CF"/>
    <w:rsid w:val="742D050C"/>
    <w:rsid w:val="767B1719"/>
    <w:rsid w:val="769F284E"/>
    <w:rsid w:val="77536BB7"/>
    <w:rsid w:val="775B6FBE"/>
    <w:rsid w:val="780879A1"/>
    <w:rsid w:val="787E5EB6"/>
    <w:rsid w:val="791B0FC2"/>
    <w:rsid w:val="7A6678F0"/>
    <w:rsid w:val="7B542BF8"/>
    <w:rsid w:val="7B877551"/>
    <w:rsid w:val="7B8C08E9"/>
    <w:rsid w:val="7BA75723"/>
    <w:rsid w:val="7BFE27B2"/>
    <w:rsid w:val="7D680D8D"/>
    <w:rsid w:val="7DA104CF"/>
    <w:rsid w:val="7DA21837"/>
    <w:rsid w:val="7E565F7C"/>
    <w:rsid w:val="7E5A4CCF"/>
    <w:rsid w:val="7E7E6C0F"/>
    <w:rsid w:val="7FBF5174"/>
    <w:rsid w:val="7FBFDCF2"/>
    <w:rsid w:val="F3DFC283"/>
    <w:rsid w:val="FFE627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rPr>
  </w:style>
  <w:style w:type="paragraph" w:styleId="3">
    <w:name w:val="heading 2"/>
    <w:basedOn w:val="1"/>
    <w:next w:val="1"/>
    <w:autoRedefine/>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Body Text Indent"/>
    <w:basedOn w:val="1"/>
    <w:next w:val="6"/>
    <w:autoRedefine/>
    <w:qFormat/>
    <w:uiPriority w:val="0"/>
    <w:pPr>
      <w:spacing w:after="120"/>
      <w:ind w:left="200" w:leftChars="200"/>
    </w:pPr>
    <w:rPr>
      <w:rFonts w:ascii="Times New Roman" w:hAnsi="Times New Roman" w:eastAsia="宋体" w:cs="Times New Roman"/>
    </w:rPr>
  </w:style>
  <w:style w:type="paragraph" w:styleId="6">
    <w:name w:val="Body Text First Indent 2"/>
    <w:basedOn w:val="5"/>
    <w:next w:val="1"/>
    <w:qFormat/>
    <w:uiPriority w:val="0"/>
    <w:pPr>
      <w:ind w:firstLine="200" w:firstLine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0"/>
    <w:pPr>
      <w:ind w:firstLine="200" w:firstLineChars="200"/>
    </w:pPr>
  </w:style>
  <w:style w:type="paragraph" w:customStyle="1" w:styleId="12">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12</Pages>
  <Words>4532</Words>
  <Characters>5240</Characters>
  <Lines>280</Lines>
  <Paragraphs>81</Paragraphs>
  <TotalTime>7</TotalTime>
  <ScaleCrop>false</ScaleCrop>
  <LinksUpToDate>false</LinksUpToDate>
  <CharactersWithSpaces>5325</CharactersWithSpaces>
  <Application>WPS Office_12.1.2.24722_F1E327BC-269C-435d-A152-05C5408002CA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2022-01-13T16:31:00Z</dcterms:created>
  <dc:creator>疯丫头。。</dc:creator>
  <cp:lastModifiedBy>kylin</cp:lastModifiedBy>
  <cp:lastPrinted>2025-03-20T15:25:00Z</cp:lastPrinted>
  <dcterms:modified xsi:type="dcterms:W3CDTF">2026-03-30T16:01:15Z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2E762485B75C40F480935485A5C70349</vt:lpwstr>
  </property>
  <property fmtid="{D5CDD505-2E9C-101B-9397-08002B2CF9AE}" pid="4" name="KSOTemplateDocerSaveRecord">
    <vt:lpwstr>eyJoZGlkIjoiMWJjNDRhOWM2N2RmZTgwZTEyZWM5NjY2NDE4NWU4YmQiLCJ1c2VySWQiOiI1NTQ5NjE3NjUifQ==</vt:lpwstr>
  </property>
</Properties>
</file>