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eastAsia="宋体"/>
          <w:b/>
          <w:sz w:val="72"/>
          <w:szCs w:val="72"/>
        </w:rPr>
      </w:pPr>
      <w:bookmarkStart w:id="131" w:name="_GoBack"/>
      <w:bookmarkEnd w:id="131"/>
      <w:bookmarkStart w:id="0" w:name="_Toc15396597"/>
      <w:bookmarkStart w:id="1" w:name="_Toc15396475"/>
      <w:bookmarkStart w:id="2" w:name="_Toc15377193"/>
      <w:bookmarkStart w:id="3" w:name="_Toc15306267"/>
      <w:bookmarkStart w:id="4" w:name="_Toc15377425"/>
      <w:bookmarkStart w:id="5" w:name="_Toc15378441"/>
    </w:p>
    <w:p>
      <w:pPr>
        <w:pStyle w:val="2"/>
        <w:ind w:firstLine="0"/>
      </w:pPr>
    </w:p>
    <w:p>
      <w:pPr>
        <w:jc w:val="center"/>
        <w:rPr>
          <w:rFonts w:ascii="宋体" w:eastAsia="宋体"/>
          <w:b/>
          <w:sz w:val="72"/>
          <w:szCs w:val="72"/>
        </w:rPr>
      </w:pPr>
      <w:r>
        <w:rPr>
          <w:rFonts w:hint="eastAsia" w:ascii="宋体" w:eastAsia="宋体"/>
          <w:b/>
          <w:sz w:val="72"/>
          <w:szCs w:val="72"/>
        </w:rPr>
        <w:t>2021年度</w:t>
      </w:r>
      <w:bookmarkEnd w:id="0"/>
      <w:bookmarkEnd w:id="1"/>
      <w:bookmarkEnd w:id="2"/>
    </w:p>
    <w:bookmarkEnd w:id="3"/>
    <w:p>
      <w:pPr>
        <w:jc w:val="center"/>
        <w:rPr>
          <w:rFonts w:ascii="宋体" w:eastAsia="宋体"/>
          <w:b/>
          <w:sz w:val="72"/>
          <w:szCs w:val="72"/>
        </w:rPr>
      </w:pPr>
      <w:bookmarkStart w:id="6" w:name="_Toc15396476"/>
      <w:bookmarkStart w:id="7" w:name="_Toc15378442"/>
      <w:bookmarkStart w:id="8" w:name="_Toc15306268"/>
      <w:bookmarkStart w:id="9" w:name="_Toc15377426"/>
      <w:bookmarkStart w:id="10" w:name="_Toc15396598"/>
      <w:bookmarkStart w:id="11" w:name="_Toc15377194"/>
      <w:r>
        <w:rPr>
          <w:rFonts w:ascii="宋体" w:eastAsia="宋体"/>
          <w:b/>
          <w:sz w:val="72"/>
          <w:szCs w:val="72"/>
        </w:rPr>
        <w:t>阿坝州茂县应急管理局（本级）</w:t>
      </w:r>
      <w:r>
        <w:rPr>
          <w:rFonts w:hint="eastAsia" w:ascii="宋体" w:eastAsia="宋体"/>
          <w:b/>
          <w:sz w:val="72"/>
          <w:szCs w:val="72"/>
        </w:rPr>
        <w:t>部门决算</w:t>
      </w:r>
      <w:bookmarkEnd w:id="6"/>
      <w:bookmarkEnd w:id="7"/>
      <w:bookmarkEnd w:id="8"/>
      <w:bookmarkEnd w:id="9"/>
      <w:bookmarkEnd w:id="10"/>
      <w:bookmarkEnd w:id="11"/>
      <w:r>
        <w:rPr>
          <w:rFonts w:hint="eastAsia" w:ascii="宋体" w:eastAsia="宋体"/>
          <w:b/>
          <w:sz w:val="72"/>
          <w:szCs w:val="72"/>
        </w:rPr>
        <w:t>编制说明</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tabs>
          <w:tab w:val="left" w:pos="3600"/>
        </w:tabs>
      </w:pPr>
      <w:r>
        <w:tab/>
      </w:r>
    </w:p>
    <w:p>
      <w:pPr>
        <w:pStyle w:val="2"/>
      </w:pPr>
    </w:p>
    <w:p>
      <w:pPr>
        <w:pStyle w:val="2"/>
      </w:pPr>
    </w:p>
    <w:p>
      <w:pPr>
        <w:pStyle w:val="2"/>
      </w:pPr>
    </w:p>
    <w:p>
      <w:pPr>
        <w:pStyle w:val="2"/>
      </w:pPr>
    </w:p>
    <w:p>
      <w:pPr>
        <w:pStyle w:val="2"/>
      </w:pPr>
    </w:p>
    <w:p>
      <w:pPr>
        <w:pStyle w:val="2"/>
      </w:pPr>
    </w:p>
    <w:p>
      <w:pPr>
        <w:pStyle w:val="2"/>
        <w:ind w:firstLine="0"/>
      </w:pPr>
    </w:p>
    <w:p>
      <w:pPr>
        <w:autoSpaceDE w:val="0"/>
        <w:autoSpaceDN w:val="0"/>
        <w:adjustRightInd w:val="0"/>
        <w:ind w:left="420" w:leftChars="200"/>
        <w:jc w:val="left"/>
        <w:rPr>
          <w:rFonts w:ascii="宋体" w:cs="仿宋_GB2312"/>
          <w:sz w:val="32"/>
          <w:szCs w:val="32"/>
        </w:rPr>
      </w:pPr>
      <w:r>
        <w:rPr>
          <w:rFonts w:hint="eastAsia" w:ascii="宋体" w:cs="仿宋_GB2312"/>
          <w:sz w:val="32"/>
          <w:szCs w:val="32"/>
        </w:rPr>
        <w:t>保密审查情况：</w:t>
      </w:r>
    </w:p>
    <w:p>
      <w:pPr>
        <w:pStyle w:val="2"/>
      </w:pPr>
    </w:p>
    <w:p>
      <w:pPr>
        <w:autoSpaceDE w:val="0"/>
        <w:autoSpaceDN w:val="0"/>
        <w:adjustRightInd w:val="0"/>
        <w:ind w:left="420" w:leftChars="200"/>
        <w:jc w:val="left"/>
        <w:rPr>
          <w:rFonts w:ascii="宋体" w:cs="仿宋_GB2312"/>
          <w:sz w:val="32"/>
          <w:szCs w:val="32"/>
        </w:rPr>
      </w:pPr>
      <w:r>
        <w:rPr>
          <w:rFonts w:hint="eastAsia" w:ascii="宋体" w:cs="仿宋_GB2312"/>
          <w:sz w:val="32"/>
          <w:szCs w:val="32"/>
        </w:rPr>
        <w:t>部门主要负责人审签情况：</w:t>
      </w:r>
    </w:p>
    <w:p>
      <w:pPr>
        <w:pStyle w:val="2"/>
      </w:pPr>
    </w:p>
    <w:p>
      <w:pPr>
        <w:widowControl/>
        <w:jc w:val="center"/>
        <w:rPr>
          <w:rFonts w:ascii="黑体" w:eastAsia="黑体"/>
          <w:color w:val="000000"/>
          <w:sz w:val="48"/>
          <w:szCs w:val="48"/>
        </w:rPr>
      </w:pPr>
      <w:r>
        <w:rPr>
          <w:rFonts w:ascii="方正小标宋简体" w:eastAsia="方正小标宋简体"/>
          <w:color w:val="000000"/>
          <w:sz w:val="36"/>
          <w:szCs w:val="36"/>
        </w:rPr>
        <w:br w:type="page"/>
      </w:r>
      <w:r>
        <w:rPr>
          <w:rFonts w:hint="eastAsia" w:ascii="黑体" w:eastAsia="黑体"/>
          <w:color w:val="000000"/>
          <w:sz w:val="48"/>
          <w:szCs w:val="48"/>
        </w:rPr>
        <w:t>目录</w:t>
      </w:r>
    </w:p>
    <w:p>
      <w:pPr>
        <w:pStyle w:val="12"/>
        <w:rPr>
          <w:sz w:val="24"/>
          <w:szCs w:val="24"/>
        </w:rPr>
      </w:pPr>
      <w:r>
        <w:rPr>
          <w:rFonts w:hint="eastAsia"/>
          <w:sz w:val="24"/>
          <w:szCs w:val="24"/>
        </w:rPr>
        <w:t>公开时间：2022年9 月2</w:t>
      </w:r>
      <w:r>
        <w:rPr>
          <w:rFonts w:hint="eastAsia"/>
          <w:sz w:val="24"/>
          <w:szCs w:val="24"/>
          <w:lang w:val="en-US" w:eastAsia="zh-CN"/>
        </w:rPr>
        <w:t>7</w:t>
      </w:r>
      <w:r>
        <w:rPr>
          <w:rFonts w:hint="eastAsia"/>
          <w:sz w:val="24"/>
          <w:szCs w:val="24"/>
        </w:rPr>
        <w:t>日</w:t>
      </w:r>
    </w:p>
    <w:p>
      <w:pPr>
        <w:pStyle w:val="12"/>
        <w:rPr>
          <w:rFonts w:eastAsia="仿宋"/>
          <w:caps w:val="0"/>
          <w:smallCaps/>
          <w:lang w:val="en-US" w:eastAsia="zh-CN"/>
        </w:rPr>
      </w:pPr>
      <w:r>
        <w:rPr>
          <w:caps w:val="0"/>
          <w:smallCaps/>
        </w:rPr>
        <w:fldChar w:fldCharType="begin"/>
      </w:r>
      <w:r>
        <w:rPr>
          <w:caps w:val="0"/>
          <w:smallCaps/>
        </w:rPr>
        <w:instrText xml:space="preserve"> TOC \o \u </w:instrText>
      </w:r>
      <w:r>
        <w:rPr>
          <w:caps w:val="0"/>
          <w:smallCaps/>
        </w:rPr>
        <w:fldChar w:fldCharType="separate"/>
      </w:r>
      <w:r>
        <w:rPr>
          <w:caps w:val="0"/>
          <w:smallCaps/>
        </w:rPr>
        <w:t>第一部分 部门概况</w:t>
      </w:r>
      <w:r>
        <w:rPr>
          <w:caps w:val="0"/>
          <w:smallCaps/>
        </w:rPr>
        <w:tab/>
      </w:r>
      <w:r>
        <w:rPr>
          <w:rFonts w:hint="eastAsia"/>
          <w:caps w:val="0"/>
          <w:smallCaps/>
          <w:lang w:val="en-US" w:eastAsia="zh-CN"/>
        </w:rPr>
        <w:t>...............3</w:t>
      </w:r>
    </w:p>
    <w:p>
      <w:pPr>
        <w:pStyle w:val="14"/>
        <w:rPr>
          <w:rFonts w:ascii="仿宋" w:eastAsia="仿宋"/>
        </w:rPr>
      </w:pPr>
      <w:r>
        <w:rPr>
          <w:rFonts w:ascii="仿宋" w:eastAsia="仿宋"/>
        </w:rPr>
        <w:t>一、基本职能及主要工作</w:t>
      </w:r>
      <w:r>
        <w:rPr>
          <w:rFonts w:ascii="仿宋" w:eastAsia="仿宋"/>
        </w:rPr>
        <w:tab/>
      </w:r>
      <w:r>
        <w:rPr>
          <w:rFonts w:hint="eastAsia" w:ascii="仿宋" w:eastAsia="仿宋"/>
        </w:rPr>
        <w:t>5</w:t>
      </w:r>
    </w:p>
    <w:p>
      <w:pPr>
        <w:pStyle w:val="8"/>
        <w:rPr>
          <w:rFonts w:ascii="仿宋" w:eastAsia="仿宋"/>
          <w:caps w:val="0"/>
          <w:smallCaps/>
        </w:rPr>
      </w:pPr>
      <w:r>
        <w:rPr>
          <w:rFonts w:ascii="仿宋" w:eastAsia="仿宋"/>
          <w:caps w:val="0"/>
          <w:smallCaps/>
        </w:rPr>
        <w:t>（一）主要职能</w:t>
      </w:r>
      <w:r>
        <w:rPr>
          <w:rFonts w:ascii="仿宋" w:eastAsia="仿宋"/>
          <w:caps w:val="0"/>
          <w:smallCaps/>
        </w:rPr>
        <w:tab/>
      </w:r>
      <w:r>
        <w:rPr>
          <w:rFonts w:hint="eastAsia" w:ascii="仿宋" w:eastAsia="仿宋"/>
          <w:caps w:val="0"/>
          <w:smallCaps/>
        </w:rPr>
        <w:t>6</w:t>
      </w:r>
    </w:p>
    <w:p>
      <w:pPr>
        <w:pStyle w:val="8"/>
        <w:rPr>
          <w:rFonts w:ascii="仿宋" w:eastAsia="仿宋"/>
          <w:caps w:val="0"/>
          <w:smallCaps/>
        </w:rPr>
      </w:pPr>
      <w:r>
        <w:rPr>
          <w:rFonts w:ascii="仿宋" w:eastAsia="仿宋"/>
          <w:caps w:val="0"/>
          <w:smallCaps/>
        </w:rPr>
        <w:t>（二）2020年重点工作完成情况。</w:t>
      </w:r>
      <w:r>
        <w:rPr>
          <w:rFonts w:ascii="仿宋" w:eastAsia="仿宋"/>
          <w:caps w:val="0"/>
          <w:smallCaps/>
        </w:rPr>
        <w:tab/>
      </w:r>
      <w:r>
        <w:rPr>
          <w:rFonts w:hint="eastAsia" w:ascii="仿宋" w:eastAsia="仿宋"/>
          <w:caps w:val="0"/>
          <w:smallCaps/>
        </w:rPr>
        <w:t>7</w:t>
      </w:r>
    </w:p>
    <w:p>
      <w:pPr>
        <w:pStyle w:val="14"/>
        <w:rPr>
          <w:rFonts w:ascii="仿宋" w:eastAsia="仿宋"/>
          <w:caps w:val="0"/>
          <w:smallCaps/>
        </w:rPr>
      </w:pPr>
      <w:r>
        <w:rPr>
          <w:rFonts w:ascii="仿宋" w:eastAsia="仿宋"/>
        </w:rPr>
        <w:t>二、机构设置</w:t>
      </w:r>
      <w:r>
        <w:rPr>
          <w:rFonts w:ascii="仿宋" w:eastAsia="仿宋"/>
        </w:rPr>
        <w:tab/>
      </w:r>
      <w:r>
        <w:rPr>
          <w:rFonts w:hint="eastAsia" w:ascii="仿宋" w:eastAsia="仿宋"/>
        </w:rPr>
        <w:t>7</w:t>
      </w:r>
    </w:p>
    <w:p>
      <w:pPr>
        <w:pStyle w:val="12"/>
        <w:rPr>
          <w:caps w:val="0"/>
          <w:smallCaps/>
        </w:rPr>
      </w:pPr>
      <w:r>
        <w:rPr>
          <w:caps w:val="0"/>
          <w:smallCaps/>
        </w:rPr>
        <w:t>第二部分 2020年度部门决算情况说明</w:t>
      </w:r>
      <w:r>
        <w:rPr>
          <w:caps w:val="0"/>
          <w:smallCaps/>
        </w:rPr>
        <w:tab/>
      </w:r>
      <w:r>
        <w:rPr>
          <w:rFonts w:hint="eastAsia"/>
          <w:caps w:val="0"/>
          <w:smallCaps/>
        </w:rPr>
        <w:t>8</w:t>
      </w:r>
    </w:p>
    <w:p>
      <w:pPr>
        <w:pStyle w:val="14"/>
        <w:tabs>
          <w:tab w:val="left" w:pos="840"/>
        </w:tabs>
        <w:rPr>
          <w:rFonts w:ascii="仿宋" w:eastAsia="仿宋"/>
        </w:rPr>
      </w:pPr>
      <w:r>
        <w:rPr>
          <w:rFonts w:ascii="仿宋" w:eastAsia="仿宋"/>
        </w:rPr>
        <w:t>一收入支出决算总体情况说明</w:t>
      </w:r>
      <w:r>
        <w:rPr>
          <w:rFonts w:ascii="仿宋" w:eastAsia="仿宋"/>
        </w:rPr>
        <w:tab/>
      </w:r>
      <w:r>
        <w:rPr>
          <w:rFonts w:hint="eastAsia" w:ascii="仿宋" w:eastAsia="仿宋"/>
        </w:rPr>
        <w:t>8</w:t>
      </w:r>
    </w:p>
    <w:p>
      <w:pPr>
        <w:pStyle w:val="14"/>
        <w:tabs>
          <w:tab w:val="left" w:pos="840"/>
        </w:tabs>
        <w:rPr>
          <w:rFonts w:ascii="仿宋" w:eastAsia="仿宋"/>
        </w:rPr>
      </w:pPr>
      <w:r>
        <w:rPr>
          <w:rFonts w:ascii="仿宋" w:eastAsia="仿宋"/>
        </w:rPr>
        <w:t>二、收入决算情况说明</w:t>
      </w:r>
      <w:r>
        <w:rPr>
          <w:rFonts w:ascii="仿宋" w:eastAsia="仿宋"/>
        </w:rPr>
        <w:tab/>
      </w:r>
      <w:r>
        <w:rPr>
          <w:rFonts w:hint="eastAsia" w:ascii="仿宋" w:eastAsia="仿宋"/>
        </w:rPr>
        <w:t>8</w:t>
      </w:r>
    </w:p>
    <w:p>
      <w:pPr>
        <w:pStyle w:val="14"/>
        <w:tabs>
          <w:tab w:val="left" w:pos="840"/>
        </w:tabs>
        <w:rPr>
          <w:rFonts w:ascii="仿宋" w:eastAsia="仿宋"/>
        </w:rPr>
      </w:pPr>
      <w:r>
        <w:rPr>
          <w:rFonts w:ascii="仿宋" w:eastAsia="仿宋"/>
        </w:rPr>
        <w:t>三、支出决算情况说明</w:t>
      </w:r>
      <w:r>
        <w:rPr>
          <w:rFonts w:ascii="仿宋" w:eastAsia="仿宋"/>
        </w:rPr>
        <w:tab/>
      </w:r>
      <w:r>
        <w:rPr>
          <w:rFonts w:hint="eastAsia" w:ascii="仿宋" w:eastAsia="仿宋"/>
        </w:rPr>
        <w:t>9</w:t>
      </w:r>
    </w:p>
    <w:p>
      <w:pPr>
        <w:pStyle w:val="14"/>
        <w:rPr>
          <w:rFonts w:ascii="仿宋" w:eastAsia="仿宋"/>
        </w:rPr>
      </w:pPr>
      <w:r>
        <w:rPr>
          <w:rFonts w:ascii="仿宋" w:eastAsia="仿宋"/>
        </w:rPr>
        <w:t>四、财政拨款收入支出决算总体情况说明</w:t>
      </w:r>
      <w:r>
        <w:rPr>
          <w:rFonts w:ascii="仿宋" w:eastAsia="仿宋"/>
        </w:rPr>
        <w:tab/>
      </w:r>
      <w:r>
        <w:rPr>
          <w:rFonts w:hint="eastAsia" w:ascii="仿宋" w:eastAsia="仿宋"/>
        </w:rPr>
        <w:t>10</w:t>
      </w:r>
    </w:p>
    <w:p>
      <w:pPr>
        <w:pStyle w:val="14"/>
        <w:rPr>
          <w:rFonts w:ascii="仿宋" w:eastAsia="仿宋"/>
        </w:rPr>
      </w:pPr>
      <w:r>
        <w:rPr>
          <w:rFonts w:ascii="仿宋" w:eastAsia="仿宋"/>
        </w:rPr>
        <w:t>五、一般公共预算财政拨款支出决算情况说明</w:t>
      </w:r>
      <w:r>
        <w:rPr>
          <w:rFonts w:ascii="仿宋" w:eastAsia="仿宋"/>
        </w:rPr>
        <w:tab/>
      </w:r>
      <w:r>
        <w:rPr>
          <w:rFonts w:hint="eastAsia" w:ascii="仿宋" w:eastAsia="仿宋"/>
        </w:rPr>
        <w:t>11</w:t>
      </w:r>
    </w:p>
    <w:p>
      <w:pPr>
        <w:pStyle w:val="8"/>
        <w:rPr>
          <w:rFonts w:ascii="仿宋" w:eastAsia="仿宋"/>
          <w:caps w:val="0"/>
          <w:smallCaps/>
        </w:rPr>
      </w:pPr>
      <w:r>
        <w:rPr>
          <w:rFonts w:ascii="仿宋" w:eastAsia="仿宋"/>
          <w:caps w:val="0"/>
          <w:smallCaps/>
        </w:rPr>
        <w:t>（一）一般公共预算财政拨款支出决算总体情况</w:t>
      </w:r>
      <w:r>
        <w:rPr>
          <w:rFonts w:ascii="仿宋" w:eastAsia="仿宋"/>
          <w:caps w:val="0"/>
          <w:smallCaps/>
        </w:rPr>
        <w:tab/>
      </w:r>
      <w:r>
        <w:rPr>
          <w:rFonts w:hint="eastAsia" w:ascii="仿宋" w:eastAsia="仿宋"/>
          <w:caps w:val="0"/>
          <w:smallCaps/>
        </w:rPr>
        <w:t>11</w:t>
      </w:r>
    </w:p>
    <w:p>
      <w:pPr>
        <w:pStyle w:val="8"/>
        <w:rPr>
          <w:rFonts w:ascii="仿宋" w:eastAsia="仿宋"/>
          <w:caps w:val="0"/>
          <w:smallCaps/>
        </w:rPr>
      </w:pPr>
      <w:r>
        <w:rPr>
          <w:rFonts w:ascii="仿宋" w:eastAsia="仿宋"/>
          <w:caps w:val="0"/>
          <w:smallCaps/>
        </w:rPr>
        <w:t>（二）一般公共预算财政拨款支出决算结构情况</w:t>
      </w:r>
      <w:r>
        <w:rPr>
          <w:rFonts w:ascii="仿宋" w:eastAsia="仿宋"/>
          <w:caps w:val="0"/>
          <w:smallCaps/>
        </w:rPr>
        <w:tab/>
      </w:r>
      <w:r>
        <w:rPr>
          <w:rFonts w:hint="eastAsia" w:ascii="仿宋" w:eastAsia="仿宋"/>
          <w:caps w:val="0"/>
          <w:smallCaps/>
        </w:rPr>
        <w:t>12</w:t>
      </w:r>
    </w:p>
    <w:p>
      <w:pPr>
        <w:pStyle w:val="8"/>
        <w:rPr>
          <w:rFonts w:ascii="仿宋" w:eastAsia="仿宋"/>
          <w:caps w:val="0"/>
          <w:smallCaps/>
        </w:rPr>
      </w:pPr>
      <w:r>
        <w:rPr>
          <w:rFonts w:ascii="仿宋" w:eastAsia="仿宋"/>
          <w:caps w:val="0"/>
          <w:smallCaps/>
        </w:rPr>
        <w:t>（三）一般公共预算财政拨款支出决算具体情况</w:t>
      </w:r>
      <w:r>
        <w:rPr>
          <w:rFonts w:ascii="仿宋" w:eastAsia="仿宋"/>
          <w:caps w:val="0"/>
          <w:smallCaps/>
        </w:rPr>
        <w:tab/>
      </w:r>
      <w:r>
        <w:rPr>
          <w:rFonts w:hint="eastAsia" w:ascii="仿宋" w:eastAsia="仿宋"/>
          <w:caps w:val="0"/>
          <w:smallCaps/>
        </w:rPr>
        <w:t>13</w:t>
      </w:r>
    </w:p>
    <w:p>
      <w:pPr>
        <w:pStyle w:val="14"/>
        <w:rPr>
          <w:rFonts w:ascii="仿宋" w:eastAsia="仿宋"/>
        </w:rPr>
      </w:pPr>
      <w:r>
        <w:rPr>
          <w:rFonts w:ascii="仿宋" w:eastAsia="仿宋"/>
        </w:rPr>
        <w:t>六、一般公共预算财政拨款基本支出决算情况说明</w:t>
      </w:r>
      <w:r>
        <w:rPr>
          <w:rFonts w:ascii="仿宋" w:eastAsia="仿宋"/>
        </w:rPr>
        <w:tab/>
      </w:r>
      <w:r>
        <w:rPr>
          <w:rFonts w:hint="eastAsia" w:ascii="仿宋" w:eastAsia="仿宋"/>
        </w:rPr>
        <w:t>13</w:t>
      </w:r>
    </w:p>
    <w:p>
      <w:pPr>
        <w:pStyle w:val="14"/>
        <w:rPr>
          <w:rFonts w:ascii="仿宋" w:eastAsia="仿宋"/>
        </w:rPr>
      </w:pPr>
      <w:r>
        <w:rPr>
          <w:rFonts w:ascii="仿宋" w:eastAsia="仿宋"/>
        </w:rPr>
        <w:t>七、“三公”经费财政拨款支出决算情况说明</w:t>
      </w:r>
      <w:r>
        <w:rPr>
          <w:rFonts w:ascii="仿宋" w:eastAsia="仿宋"/>
        </w:rPr>
        <w:tab/>
      </w:r>
      <w:r>
        <w:rPr>
          <w:rFonts w:hint="eastAsia" w:ascii="仿宋" w:eastAsia="仿宋"/>
        </w:rPr>
        <w:t>13</w:t>
      </w:r>
    </w:p>
    <w:p>
      <w:pPr>
        <w:pStyle w:val="8"/>
        <w:rPr>
          <w:rFonts w:ascii="仿宋" w:eastAsia="仿宋"/>
          <w:caps w:val="0"/>
          <w:smallCaps/>
        </w:rPr>
      </w:pPr>
      <w:r>
        <w:rPr>
          <w:rFonts w:ascii="仿宋" w:eastAsia="仿宋"/>
          <w:caps w:val="0"/>
          <w:smallCaps/>
        </w:rPr>
        <w:t>（一）“三公”经费财政拨款支出决算总体情况说明</w:t>
      </w:r>
      <w:r>
        <w:rPr>
          <w:rFonts w:ascii="仿宋" w:eastAsia="仿宋"/>
          <w:caps w:val="0"/>
          <w:smallCaps/>
        </w:rPr>
        <w:tab/>
      </w:r>
      <w:r>
        <w:rPr>
          <w:rFonts w:hint="eastAsia" w:ascii="仿宋" w:eastAsia="仿宋"/>
          <w:caps w:val="0"/>
          <w:smallCaps/>
        </w:rPr>
        <w:t>13</w:t>
      </w:r>
    </w:p>
    <w:p>
      <w:pPr>
        <w:pStyle w:val="8"/>
        <w:rPr>
          <w:rFonts w:ascii="仿宋" w:eastAsia="仿宋"/>
          <w:caps w:val="0"/>
          <w:smallCaps/>
        </w:rPr>
      </w:pPr>
      <w:r>
        <w:rPr>
          <w:rFonts w:ascii="仿宋" w:eastAsia="仿宋"/>
          <w:caps w:val="0"/>
          <w:smallCaps/>
        </w:rPr>
        <w:t>（二）“三公”经费财政拨款支出决算具体情况说明</w:t>
      </w:r>
      <w:r>
        <w:rPr>
          <w:rFonts w:ascii="仿宋" w:eastAsia="仿宋"/>
          <w:caps w:val="0"/>
          <w:smallCaps/>
        </w:rPr>
        <w:tab/>
      </w:r>
      <w:r>
        <w:rPr>
          <w:rFonts w:hint="eastAsia" w:ascii="仿宋" w:eastAsia="仿宋"/>
          <w:caps w:val="0"/>
          <w:smallCaps/>
        </w:rPr>
        <w:t>14</w:t>
      </w:r>
    </w:p>
    <w:p>
      <w:pPr>
        <w:pStyle w:val="14"/>
        <w:rPr>
          <w:rFonts w:ascii="仿宋" w:eastAsia="仿宋"/>
        </w:rPr>
      </w:pPr>
      <w:r>
        <w:rPr>
          <w:rFonts w:ascii="仿宋" w:eastAsia="仿宋"/>
        </w:rPr>
        <w:t>八、政府性基金预算支出决算情况说明</w:t>
      </w:r>
      <w:r>
        <w:rPr>
          <w:rFonts w:ascii="仿宋" w:eastAsia="仿宋"/>
        </w:rPr>
        <w:tab/>
      </w:r>
      <w:r>
        <w:rPr>
          <w:rFonts w:hint="eastAsia" w:ascii="仿宋" w:eastAsia="仿宋"/>
        </w:rPr>
        <w:t>15</w:t>
      </w:r>
    </w:p>
    <w:p>
      <w:pPr>
        <w:pStyle w:val="14"/>
        <w:rPr>
          <w:rFonts w:ascii="仿宋" w:eastAsia="仿宋"/>
        </w:rPr>
      </w:pPr>
      <w:r>
        <w:rPr>
          <w:rFonts w:ascii="仿宋" w:eastAsia="仿宋"/>
        </w:rPr>
        <w:t>九、 国有资本经营预算支出决算情况说明</w:t>
      </w:r>
      <w:r>
        <w:rPr>
          <w:rFonts w:ascii="仿宋" w:eastAsia="仿宋"/>
        </w:rPr>
        <w:tab/>
      </w:r>
      <w:r>
        <w:rPr>
          <w:rFonts w:hint="eastAsia" w:ascii="仿宋" w:eastAsia="仿宋"/>
        </w:rPr>
        <w:t>15</w:t>
      </w:r>
    </w:p>
    <w:p>
      <w:pPr>
        <w:pStyle w:val="14"/>
        <w:rPr>
          <w:rFonts w:ascii="仿宋" w:eastAsia="仿宋"/>
        </w:rPr>
      </w:pPr>
      <w:r>
        <w:rPr>
          <w:rFonts w:ascii="仿宋" w:eastAsia="仿宋"/>
        </w:rPr>
        <w:t>十、其他重要事项的情况说明</w:t>
      </w:r>
      <w:r>
        <w:rPr>
          <w:rFonts w:ascii="仿宋" w:eastAsia="仿宋"/>
        </w:rPr>
        <w:tab/>
      </w:r>
      <w:r>
        <w:rPr>
          <w:rFonts w:hint="eastAsia" w:ascii="仿宋" w:eastAsia="仿宋"/>
        </w:rPr>
        <w:t>15</w:t>
      </w:r>
    </w:p>
    <w:p>
      <w:pPr>
        <w:pStyle w:val="8"/>
        <w:rPr>
          <w:rFonts w:ascii="仿宋" w:eastAsia="仿宋"/>
          <w:caps w:val="0"/>
          <w:smallCaps/>
        </w:rPr>
      </w:pPr>
      <w:r>
        <w:rPr>
          <w:rFonts w:ascii="仿宋" w:eastAsia="仿宋"/>
          <w:caps w:val="0"/>
          <w:smallCaps/>
        </w:rPr>
        <w:t>（一）机关运行经费支出情况</w:t>
      </w:r>
      <w:r>
        <w:rPr>
          <w:rFonts w:ascii="仿宋" w:eastAsia="仿宋"/>
          <w:caps w:val="0"/>
          <w:smallCaps/>
        </w:rPr>
        <w:tab/>
      </w:r>
      <w:r>
        <w:rPr>
          <w:rFonts w:hint="eastAsia" w:ascii="仿宋" w:eastAsia="仿宋"/>
          <w:caps w:val="0"/>
          <w:smallCaps/>
        </w:rPr>
        <w:t>15</w:t>
      </w:r>
    </w:p>
    <w:p>
      <w:pPr>
        <w:pStyle w:val="8"/>
        <w:rPr>
          <w:rFonts w:ascii="仿宋" w:eastAsia="仿宋"/>
          <w:caps w:val="0"/>
          <w:smallCaps/>
        </w:rPr>
      </w:pPr>
      <w:r>
        <w:rPr>
          <w:rFonts w:ascii="仿宋" w:eastAsia="仿宋"/>
          <w:caps w:val="0"/>
          <w:smallCaps/>
        </w:rPr>
        <w:t>（二）政府采购支出情况</w:t>
      </w:r>
      <w:r>
        <w:rPr>
          <w:rFonts w:ascii="仿宋" w:eastAsia="仿宋"/>
          <w:caps w:val="0"/>
          <w:smallCaps/>
        </w:rPr>
        <w:tab/>
      </w:r>
      <w:r>
        <w:rPr>
          <w:rFonts w:hint="eastAsia" w:ascii="仿宋" w:eastAsia="仿宋"/>
          <w:caps w:val="0"/>
          <w:smallCaps/>
        </w:rPr>
        <w:t>17</w:t>
      </w:r>
    </w:p>
    <w:p>
      <w:pPr>
        <w:pStyle w:val="8"/>
        <w:rPr>
          <w:rFonts w:ascii="仿宋" w:eastAsia="仿宋"/>
          <w:caps w:val="0"/>
          <w:smallCaps/>
        </w:rPr>
      </w:pPr>
      <w:r>
        <w:rPr>
          <w:rFonts w:ascii="仿宋" w:eastAsia="仿宋"/>
          <w:caps w:val="0"/>
          <w:smallCaps/>
        </w:rPr>
        <w:t>（三）国有资产占有使用情况</w:t>
      </w:r>
      <w:r>
        <w:rPr>
          <w:rFonts w:ascii="仿宋" w:eastAsia="仿宋"/>
          <w:caps w:val="0"/>
          <w:smallCaps/>
        </w:rPr>
        <w:tab/>
      </w:r>
      <w:r>
        <w:rPr>
          <w:rFonts w:hint="eastAsia" w:ascii="仿宋" w:eastAsia="仿宋"/>
          <w:caps w:val="0"/>
          <w:smallCaps/>
        </w:rPr>
        <w:t>17</w:t>
      </w:r>
    </w:p>
    <w:p>
      <w:pPr>
        <w:pStyle w:val="8"/>
        <w:rPr>
          <w:rFonts w:ascii="仿宋" w:eastAsia="仿宋"/>
          <w:caps w:val="0"/>
          <w:smallCaps/>
        </w:rPr>
      </w:pPr>
      <w:r>
        <w:rPr>
          <w:rFonts w:ascii="仿宋" w:eastAsia="仿宋"/>
          <w:caps w:val="0"/>
          <w:smallCaps/>
        </w:rPr>
        <w:t>（四）预算绩效管理情况</w:t>
      </w:r>
      <w:r>
        <w:rPr>
          <w:rFonts w:ascii="仿宋" w:eastAsia="仿宋"/>
          <w:caps w:val="0"/>
          <w:smallCaps/>
        </w:rPr>
        <w:tab/>
      </w:r>
      <w:r>
        <w:rPr>
          <w:rFonts w:hint="eastAsia" w:ascii="仿宋" w:eastAsia="仿宋"/>
          <w:caps w:val="0"/>
          <w:smallCaps/>
        </w:rPr>
        <w:t>17</w:t>
      </w:r>
    </w:p>
    <w:p>
      <w:pPr>
        <w:pStyle w:val="12"/>
        <w:rPr>
          <w:caps w:val="0"/>
          <w:smallCaps/>
        </w:rPr>
      </w:pPr>
      <w:r>
        <w:rPr>
          <w:caps w:val="0"/>
          <w:smallCaps/>
        </w:rPr>
        <w:t>第三部分 名词解释</w:t>
      </w:r>
      <w:r>
        <w:rPr>
          <w:caps w:val="0"/>
          <w:smallCaps/>
        </w:rPr>
        <w:tab/>
      </w:r>
      <w:r>
        <w:rPr>
          <w:rFonts w:hint="eastAsia"/>
          <w:caps w:val="0"/>
          <w:smallCaps/>
        </w:rPr>
        <w:t>27</w:t>
      </w:r>
    </w:p>
    <w:p>
      <w:pPr>
        <w:pStyle w:val="12"/>
        <w:rPr>
          <w:caps w:val="0"/>
          <w:smallCaps/>
        </w:rPr>
      </w:pPr>
      <w:r>
        <w:rPr>
          <w:caps w:val="0"/>
          <w:smallCaps/>
        </w:rPr>
        <w:t>第四部分 附件</w:t>
      </w:r>
      <w:r>
        <w:rPr>
          <w:caps w:val="0"/>
          <w:smallCaps/>
        </w:rPr>
        <w:tab/>
      </w:r>
      <w:r>
        <w:rPr>
          <w:rFonts w:hint="eastAsia"/>
          <w:caps w:val="0"/>
          <w:smallCaps/>
        </w:rPr>
        <w:t>32</w:t>
      </w:r>
    </w:p>
    <w:p>
      <w:pPr>
        <w:pStyle w:val="12"/>
        <w:rPr>
          <w:caps w:val="0"/>
          <w:smallCaps/>
        </w:rPr>
      </w:pPr>
      <w:r>
        <w:rPr>
          <w:caps w:val="0"/>
          <w:smallCaps/>
        </w:rPr>
        <w:t>附件1</w:t>
      </w:r>
      <w:r>
        <w:rPr>
          <w:caps w:val="0"/>
          <w:smallCaps/>
        </w:rPr>
        <w:tab/>
      </w:r>
      <w:r>
        <w:rPr>
          <w:rFonts w:hint="eastAsia"/>
          <w:caps w:val="0"/>
          <w:smallCaps/>
        </w:rPr>
        <w:t>32</w:t>
      </w:r>
    </w:p>
    <w:p>
      <w:pPr>
        <w:pStyle w:val="12"/>
        <w:rPr>
          <w:caps w:val="0"/>
          <w:smallCaps/>
        </w:rPr>
      </w:pPr>
      <w:r>
        <w:rPr>
          <w:rFonts w:hint="eastAsia"/>
          <w:caps w:val="0"/>
          <w:smallCaps/>
        </w:rPr>
        <w:t>应急管理局</w:t>
      </w:r>
      <w:r>
        <w:rPr>
          <w:caps w:val="0"/>
          <w:smallCaps/>
        </w:rPr>
        <w:t>2020年部门整体支出绩效评价报告</w:t>
      </w:r>
      <w:r>
        <w:rPr>
          <w:caps w:val="0"/>
          <w:smallCaps/>
        </w:rPr>
        <w:tab/>
      </w:r>
      <w:r>
        <w:rPr>
          <w:rFonts w:hint="eastAsia"/>
          <w:caps w:val="0"/>
          <w:smallCaps/>
        </w:rPr>
        <w:t>32</w:t>
      </w:r>
    </w:p>
    <w:p>
      <w:pPr>
        <w:pStyle w:val="12"/>
        <w:rPr>
          <w:caps w:val="0"/>
          <w:smallCaps/>
        </w:rPr>
      </w:pPr>
      <w:r>
        <w:rPr>
          <w:caps w:val="0"/>
          <w:smallCaps/>
        </w:rPr>
        <w:t>附件2</w:t>
      </w:r>
      <w:r>
        <w:rPr>
          <w:caps w:val="0"/>
          <w:smallCaps/>
        </w:rPr>
        <w:tab/>
      </w:r>
      <w:r>
        <w:rPr>
          <w:rFonts w:hint="eastAsia"/>
          <w:caps w:val="0"/>
          <w:smallCaps/>
        </w:rPr>
        <w:t>34</w:t>
      </w:r>
    </w:p>
    <w:p>
      <w:pPr>
        <w:pStyle w:val="12"/>
        <w:rPr>
          <w:caps w:val="0"/>
          <w:smallCaps/>
        </w:rPr>
      </w:pPr>
      <w:r>
        <w:rPr>
          <w:rFonts w:hint="eastAsia"/>
          <w:caps w:val="0"/>
          <w:smallCaps/>
        </w:rPr>
        <w:t>应急管理局</w:t>
      </w:r>
      <w:r>
        <w:rPr>
          <w:caps w:val="0"/>
          <w:smallCaps/>
        </w:rPr>
        <w:t>项目2020年绩效评价报告</w:t>
      </w:r>
      <w:r>
        <w:rPr>
          <w:caps w:val="0"/>
          <w:smallCaps/>
        </w:rPr>
        <w:tab/>
      </w:r>
      <w:r>
        <w:rPr>
          <w:rFonts w:hint="eastAsia"/>
          <w:caps w:val="0"/>
          <w:smallCaps/>
        </w:rPr>
        <w:t>34</w:t>
      </w:r>
    </w:p>
    <w:p>
      <w:pPr>
        <w:pStyle w:val="12"/>
        <w:rPr>
          <w:caps w:val="0"/>
          <w:smallCaps/>
        </w:rPr>
      </w:pPr>
      <w:r>
        <w:rPr>
          <w:caps w:val="0"/>
          <w:smallCaps/>
        </w:rPr>
        <w:t>第五部分 附表</w:t>
      </w:r>
      <w:r>
        <w:rPr>
          <w:caps w:val="0"/>
          <w:smallCaps/>
        </w:rPr>
        <w:tab/>
      </w:r>
      <w:r>
        <w:rPr>
          <w:rFonts w:hint="eastAsia"/>
          <w:caps w:val="0"/>
          <w:smallCaps/>
        </w:rPr>
        <w:t>54</w:t>
      </w:r>
    </w:p>
    <w:p>
      <w:pPr>
        <w:pStyle w:val="14"/>
        <w:rPr>
          <w:rFonts w:ascii="仿宋" w:eastAsia="仿宋"/>
        </w:rPr>
      </w:pPr>
      <w:r>
        <w:rPr>
          <w:rFonts w:ascii="仿宋" w:eastAsia="仿宋"/>
        </w:rPr>
        <w:t>一、收入支出决算总表</w:t>
      </w:r>
      <w:r>
        <w:rPr>
          <w:rFonts w:ascii="仿宋" w:eastAsia="仿宋"/>
        </w:rPr>
        <w:tab/>
      </w:r>
      <w:r>
        <w:rPr>
          <w:rFonts w:hint="eastAsia" w:ascii="仿宋" w:eastAsia="仿宋"/>
        </w:rPr>
        <w:t>54</w:t>
      </w:r>
    </w:p>
    <w:p>
      <w:pPr>
        <w:pStyle w:val="14"/>
        <w:rPr>
          <w:rFonts w:ascii="仿宋" w:eastAsia="仿宋"/>
        </w:rPr>
      </w:pPr>
      <w:r>
        <w:rPr>
          <w:rFonts w:ascii="仿宋" w:eastAsia="仿宋"/>
        </w:rPr>
        <w:t>二、收入决算表</w:t>
      </w:r>
      <w:r>
        <w:rPr>
          <w:rFonts w:ascii="仿宋" w:eastAsia="仿宋"/>
        </w:rPr>
        <w:tab/>
      </w:r>
      <w:r>
        <w:rPr>
          <w:rFonts w:hint="eastAsia" w:ascii="仿宋" w:eastAsia="仿宋"/>
        </w:rPr>
        <w:t>54</w:t>
      </w:r>
    </w:p>
    <w:p>
      <w:pPr>
        <w:pStyle w:val="14"/>
        <w:rPr>
          <w:rFonts w:ascii="仿宋" w:eastAsia="仿宋"/>
        </w:rPr>
      </w:pPr>
      <w:r>
        <w:rPr>
          <w:rFonts w:ascii="仿宋" w:eastAsia="仿宋"/>
        </w:rPr>
        <w:t>三、支出决算表</w:t>
      </w:r>
      <w:r>
        <w:rPr>
          <w:rFonts w:ascii="仿宋" w:eastAsia="仿宋"/>
        </w:rPr>
        <w:tab/>
      </w:r>
      <w:r>
        <w:rPr>
          <w:rFonts w:hint="eastAsia" w:ascii="仿宋" w:eastAsia="仿宋"/>
        </w:rPr>
        <w:t>54</w:t>
      </w:r>
    </w:p>
    <w:p>
      <w:pPr>
        <w:pStyle w:val="14"/>
        <w:rPr>
          <w:rFonts w:ascii="仿宋" w:eastAsia="仿宋"/>
        </w:rPr>
      </w:pPr>
      <w:r>
        <w:rPr>
          <w:rFonts w:ascii="仿宋" w:eastAsia="仿宋"/>
        </w:rPr>
        <w:t>四、财政拨款收入支出决算总表</w:t>
      </w:r>
      <w:r>
        <w:rPr>
          <w:rFonts w:ascii="仿宋" w:eastAsia="仿宋"/>
        </w:rPr>
        <w:tab/>
      </w:r>
      <w:r>
        <w:rPr>
          <w:rFonts w:hint="eastAsia" w:ascii="仿宋" w:eastAsia="仿宋"/>
        </w:rPr>
        <w:t>54</w:t>
      </w:r>
    </w:p>
    <w:p>
      <w:pPr>
        <w:pStyle w:val="14"/>
        <w:rPr>
          <w:rFonts w:ascii="仿宋" w:eastAsia="仿宋"/>
        </w:rPr>
      </w:pPr>
      <w:r>
        <w:rPr>
          <w:rFonts w:ascii="仿宋" w:eastAsia="仿宋"/>
        </w:rPr>
        <w:t>五、财政拨款支出决算明细表</w:t>
      </w:r>
      <w:r>
        <w:rPr>
          <w:rFonts w:ascii="仿宋" w:eastAsia="仿宋"/>
        </w:rPr>
        <w:tab/>
      </w:r>
      <w:r>
        <w:rPr>
          <w:rFonts w:hint="eastAsia" w:ascii="仿宋" w:eastAsia="仿宋"/>
        </w:rPr>
        <w:t>54</w:t>
      </w:r>
    </w:p>
    <w:p>
      <w:pPr>
        <w:pStyle w:val="14"/>
        <w:rPr>
          <w:rFonts w:ascii="仿宋" w:eastAsia="仿宋"/>
        </w:rPr>
      </w:pPr>
      <w:r>
        <w:rPr>
          <w:rFonts w:ascii="仿宋" w:eastAsia="仿宋"/>
        </w:rPr>
        <w:t>六、一般公共预算财政拨款支出决算表</w:t>
      </w:r>
      <w:r>
        <w:rPr>
          <w:rFonts w:ascii="仿宋" w:eastAsia="仿宋"/>
        </w:rPr>
        <w:tab/>
      </w:r>
      <w:r>
        <w:rPr>
          <w:rFonts w:hint="eastAsia" w:ascii="仿宋" w:eastAsia="仿宋"/>
        </w:rPr>
        <w:t>54</w:t>
      </w:r>
    </w:p>
    <w:p>
      <w:pPr>
        <w:pStyle w:val="14"/>
        <w:rPr>
          <w:rFonts w:ascii="仿宋" w:eastAsia="仿宋"/>
        </w:rPr>
      </w:pPr>
      <w:r>
        <w:rPr>
          <w:rFonts w:ascii="仿宋" w:eastAsia="仿宋"/>
        </w:rPr>
        <w:t>七、一般公共预算财政拨款支出决算明细表</w:t>
      </w:r>
      <w:r>
        <w:rPr>
          <w:rFonts w:ascii="仿宋" w:eastAsia="仿宋"/>
        </w:rPr>
        <w:tab/>
      </w:r>
      <w:r>
        <w:rPr>
          <w:rFonts w:hint="eastAsia" w:ascii="仿宋" w:eastAsia="仿宋"/>
        </w:rPr>
        <w:t>54</w:t>
      </w:r>
    </w:p>
    <w:p>
      <w:pPr>
        <w:pStyle w:val="14"/>
        <w:rPr>
          <w:rFonts w:ascii="仿宋" w:eastAsia="仿宋"/>
        </w:rPr>
      </w:pPr>
      <w:r>
        <w:rPr>
          <w:rFonts w:ascii="仿宋" w:eastAsia="仿宋"/>
        </w:rPr>
        <w:t>八、一般公共预算财政拨款基本支出决算表</w:t>
      </w:r>
      <w:r>
        <w:rPr>
          <w:rFonts w:ascii="仿宋" w:eastAsia="仿宋"/>
        </w:rPr>
        <w:tab/>
      </w:r>
      <w:r>
        <w:rPr>
          <w:rFonts w:hint="eastAsia" w:ascii="仿宋" w:eastAsia="仿宋"/>
        </w:rPr>
        <w:t>54</w:t>
      </w:r>
    </w:p>
    <w:p>
      <w:pPr>
        <w:pStyle w:val="14"/>
        <w:rPr>
          <w:rFonts w:ascii="仿宋" w:eastAsia="仿宋"/>
        </w:rPr>
      </w:pPr>
      <w:r>
        <w:rPr>
          <w:rFonts w:ascii="仿宋" w:eastAsia="仿宋"/>
        </w:rPr>
        <w:t>九、一般公共预算财政拨款项目支出决算表</w:t>
      </w:r>
      <w:r>
        <w:rPr>
          <w:rFonts w:ascii="仿宋" w:eastAsia="仿宋"/>
        </w:rPr>
        <w:tab/>
      </w:r>
      <w:r>
        <w:rPr>
          <w:rFonts w:hint="eastAsia" w:ascii="仿宋" w:eastAsia="仿宋"/>
        </w:rPr>
        <w:t>54</w:t>
      </w:r>
    </w:p>
    <w:p>
      <w:pPr>
        <w:pStyle w:val="14"/>
        <w:rPr>
          <w:rFonts w:ascii="仿宋" w:eastAsia="仿宋"/>
        </w:rPr>
      </w:pPr>
      <w:r>
        <w:rPr>
          <w:rFonts w:ascii="仿宋" w:eastAsia="仿宋"/>
        </w:rPr>
        <w:t>十、一般公共预算财政拨款“三公”经费支出决算表</w:t>
      </w:r>
      <w:r>
        <w:rPr>
          <w:rFonts w:ascii="仿宋" w:eastAsia="仿宋"/>
        </w:rPr>
        <w:tab/>
      </w:r>
      <w:r>
        <w:rPr>
          <w:rFonts w:hint="eastAsia" w:ascii="仿宋" w:eastAsia="仿宋"/>
        </w:rPr>
        <w:t>54</w:t>
      </w:r>
    </w:p>
    <w:p>
      <w:pPr>
        <w:pStyle w:val="14"/>
        <w:rPr>
          <w:rFonts w:ascii="仿宋" w:eastAsia="仿宋"/>
        </w:rPr>
      </w:pPr>
      <w:r>
        <w:rPr>
          <w:rFonts w:ascii="仿宋" w:eastAsia="仿宋"/>
        </w:rPr>
        <w:t>十一、政府性基金预算财政拨款收入支出决算表</w:t>
      </w:r>
      <w:r>
        <w:rPr>
          <w:rFonts w:ascii="仿宋" w:eastAsia="仿宋"/>
        </w:rPr>
        <w:tab/>
      </w:r>
      <w:r>
        <w:rPr>
          <w:rFonts w:hint="eastAsia" w:ascii="仿宋" w:eastAsia="仿宋"/>
        </w:rPr>
        <w:t>54</w:t>
      </w:r>
    </w:p>
    <w:p>
      <w:pPr>
        <w:pStyle w:val="14"/>
        <w:rPr>
          <w:rFonts w:ascii="仿宋" w:eastAsia="仿宋"/>
        </w:rPr>
      </w:pPr>
      <w:r>
        <w:rPr>
          <w:rFonts w:ascii="仿宋" w:eastAsia="仿宋"/>
        </w:rPr>
        <w:t>十二、政府性基金预算财政拨款“三公”经费支出决算表</w:t>
      </w:r>
      <w:r>
        <w:rPr>
          <w:rFonts w:ascii="仿宋" w:eastAsia="仿宋"/>
        </w:rPr>
        <w:tab/>
      </w:r>
      <w:r>
        <w:rPr>
          <w:rFonts w:hint="eastAsia" w:ascii="仿宋" w:eastAsia="仿宋"/>
        </w:rPr>
        <w:t>54</w:t>
      </w:r>
    </w:p>
    <w:p>
      <w:pPr>
        <w:pStyle w:val="14"/>
        <w:rPr>
          <w:rFonts w:ascii="仿宋" w:eastAsia="仿宋"/>
        </w:rPr>
      </w:pPr>
      <w:r>
        <w:rPr>
          <w:rFonts w:ascii="仿宋" w:eastAsia="仿宋"/>
        </w:rPr>
        <w:t>十三、国有资本经营预算财政拨款支出决算表</w:t>
      </w:r>
      <w:r>
        <w:rPr>
          <w:rFonts w:ascii="仿宋" w:eastAsia="仿宋"/>
        </w:rPr>
        <w:tab/>
      </w:r>
      <w:r>
        <w:rPr>
          <w:rFonts w:hint="eastAsia" w:ascii="仿宋" w:eastAsia="仿宋"/>
        </w:rPr>
        <w:t>54</w:t>
      </w:r>
    </w:p>
    <w:p>
      <w:pPr>
        <w:pStyle w:val="14"/>
        <w:rPr>
          <w:rFonts w:ascii="仿宋" w:eastAsia="仿宋"/>
        </w:rPr>
      </w:pPr>
      <w:r>
        <w:rPr>
          <w:rFonts w:ascii="仿宋" w:eastAsia="仿宋"/>
        </w:rPr>
        <w:t>十四、国有资本经营预算财政拨款支出决算表</w:t>
      </w:r>
      <w:r>
        <w:rPr>
          <w:rFonts w:ascii="仿宋" w:eastAsia="仿宋"/>
        </w:rPr>
        <w:tab/>
      </w:r>
      <w:r>
        <w:rPr>
          <w:rFonts w:hint="eastAsia" w:ascii="仿宋" w:eastAsia="仿宋"/>
        </w:rPr>
        <w:t>54</w:t>
      </w:r>
    </w:p>
    <w:p>
      <w:r>
        <w:rPr>
          <w:rFonts w:ascii="仿宋" w:eastAsia="仿宋"/>
          <w:caps w:val="0"/>
          <w:smallCaps/>
          <w:sz w:val="20"/>
          <w:szCs w:val="20"/>
        </w:rPr>
        <w:fldChar w:fldCharType="end"/>
      </w:r>
    </w:p>
    <w:p>
      <w:pPr>
        <w:pStyle w:val="2"/>
      </w:pPr>
      <w:r>
        <w:rPr>
          <w:rFonts w:ascii="仿宋" w:eastAsia="仿宋"/>
          <w:b/>
          <w:sz w:val="24"/>
        </w:rPr>
        <w:br w:type="page"/>
      </w:r>
      <w:bookmarkStart w:id="12" w:name="_Toc15377196"/>
    </w:p>
    <w:p>
      <w:pPr>
        <w:pStyle w:val="3"/>
        <w:jc w:val="center"/>
        <w:rPr>
          <w:rFonts w:ascii="黑体" w:eastAsia="黑体" w:cs="黑体"/>
          <w:b w:val="0"/>
          <w:bCs w:val="0"/>
        </w:rPr>
      </w:pPr>
      <w:bookmarkStart w:id="13" w:name="_Toc113981009"/>
      <w:bookmarkStart w:id="14" w:name="_Toc111208495"/>
      <w:r>
        <w:rPr>
          <w:rFonts w:hint="eastAsia" w:ascii="黑体" w:eastAsia="黑体" w:cs="黑体"/>
        </w:rPr>
        <w:t xml:space="preserve">第一部分 </w:t>
      </w:r>
      <w:r>
        <w:rPr>
          <w:rStyle w:val="21"/>
          <w:rFonts w:hint="eastAsia" w:ascii="黑体" w:eastAsia="黑体" w:cs="黑体"/>
          <w:b/>
          <w:bCs w:val="0"/>
        </w:rPr>
        <w:t>部门概况</w:t>
      </w:r>
      <w:bookmarkEnd w:id="12"/>
      <w:bookmarkEnd w:id="13"/>
      <w:bookmarkEnd w:id="14"/>
    </w:p>
    <w:p>
      <w:pPr>
        <w:pStyle w:val="4"/>
        <w:ind w:firstLine="642" w:firstLineChars="200"/>
        <w:rPr>
          <w:rFonts w:ascii="黑体" w:eastAsia="黑体" w:cs="Times New Roman"/>
          <w:bCs w:val="0"/>
          <w:color w:val="000000"/>
        </w:rPr>
      </w:pPr>
      <w:bookmarkStart w:id="15" w:name="_Toc113981010"/>
      <w:bookmarkStart w:id="16" w:name="_Toc111208496"/>
      <w:bookmarkStart w:id="17" w:name="_Toc15377197"/>
      <w:r>
        <w:rPr>
          <w:rFonts w:hint="eastAsia" w:ascii="黑体" w:eastAsia="黑体" w:cs="Times New Roman"/>
          <w:bCs w:val="0"/>
          <w:color w:val="000000"/>
        </w:rPr>
        <w:t>一、基本职能及主要工作</w:t>
      </w:r>
      <w:bookmarkEnd w:id="15"/>
      <w:bookmarkEnd w:id="16"/>
      <w:bookmarkEnd w:id="17"/>
      <w:bookmarkStart w:id="18" w:name="_Toc15377198"/>
      <w:bookmarkStart w:id="19" w:name="_Toc15378445"/>
    </w:p>
    <w:p>
      <w:pPr>
        <w:spacing w:line="600" w:lineRule="exact"/>
        <w:ind w:firstLine="642" w:firstLineChars="200"/>
        <w:outlineLvl w:val="2"/>
        <w:rPr>
          <w:rFonts w:ascii="仿宋" w:eastAsia="仿宋"/>
          <w:color w:val="000000"/>
          <w:sz w:val="32"/>
          <w:szCs w:val="32"/>
        </w:rPr>
      </w:pPr>
      <w:r>
        <w:rPr>
          <w:rFonts w:hint="eastAsia" w:ascii="仿宋" w:eastAsia="仿宋"/>
          <w:b/>
          <w:color w:val="000000"/>
          <w:sz w:val="32"/>
          <w:szCs w:val="32"/>
        </w:rPr>
        <w:t>（一）主要职能</w:t>
      </w:r>
      <w:bookmarkEnd w:id="18"/>
      <w:bookmarkEnd w:id="19"/>
    </w:p>
    <w:p>
      <w:pPr>
        <w:rPr>
          <w:rFonts w:ascii="仿宋" w:eastAsia="仿宋"/>
          <w:color w:val="000000"/>
          <w:sz w:val="32"/>
          <w:szCs w:val="32"/>
        </w:rPr>
      </w:pPr>
      <w:r>
        <w:rPr>
          <w:rFonts w:ascii="仿宋" w:eastAsia="仿宋"/>
          <w:color w:val="000000"/>
          <w:sz w:val="32"/>
          <w:szCs w:val="32"/>
        </w:rPr>
        <w:tab/>
      </w:r>
      <w:r>
        <w:rPr>
          <w:rFonts w:hint="eastAsia" w:ascii="仿宋" w:eastAsia="仿宋"/>
          <w:color w:val="000000"/>
          <w:sz w:val="32"/>
          <w:szCs w:val="32"/>
        </w:rPr>
        <w:t xml:space="preserve"> </w:t>
      </w:r>
      <w:r>
        <w:rPr>
          <w:rFonts w:ascii="仿宋" w:eastAsia="仿宋"/>
          <w:color w:val="000000"/>
          <w:sz w:val="32"/>
          <w:szCs w:val="32"/>
        </w:rPr>
        <w:t xml:space="preserve"> 贯彻落实党中央关于应急工作的方针政策和省委、州委、县委的决策部署，在履行职责过程中坚持和加强党对应急工作的集中统一领导。</w:t>
      </w:r>
    </w:p>
    <w:p>
      <w:pPr>
        <w:ind w:firstLine="640" w:firstLineChars="200"/>
        <w:rPr>
          <w:rFonts w:ascii="仿宋" w:eastAsia="仿宋"/>
          <w:color w:val="000000"/>
          <w:sz w:val="32"/>
          <w:szCs w:val="32"/>
        </w:rPr>
      </w:pPr>
      <w:r>
        <w:rPr>
          <w:rFonts w:hint="eastAsia" w:ascii="仿宋" w:eastAsia="仿宋"/>
          <w:color w:val="000000"/>
          <w:sz w:val="32"/>
          <w:szCs w:val="32"/>
        </w:rPr>
        <w:t>1.</w:t>
      </w:r>
      <w:r>
        <w:rPr>
          <w:rFonts w:ascii="仿宋" w:eastAsia="仿宋"/>
          <w:color w:val="000000"/>
          <w:sz w:val="32"/>
          <w:szCs w:val="32"/>
        </w:rPr>
        <w:t>负责应急管理工作，组织和指导各乡（镇）、县级各部门（单位）应对安全生产类、自然灾害类等突发事件和综合防灾减灾救灾工作。负责安全生产综合监督管理和工矿商贸行业安全生产监督管理工作。</w:t>
      </w:r>
    </w:p>
    <w:p>
      <w:pPr>
        <w:ind w:firstLine="640" w:firstLineChars="200"/>
        <w:rPr>
          <w:rFonts w:ascii="仿宋" w:eastAsia="仿宋"/>
          <w:color w:val="000000"/>
          <w:sz w:val="32"/>
          <w:szCs w:val="32"/>
        </w:rPr>
      </w:pPr>
      <w:r>
        <w:rPr>
          <w:rFonts w:ascii="仿宋" w:eastAsia="仿宋"/>
          <w:color w:val="000000"/>
          <w:sz w:val="32"/>
          <w:szCs w:val="32"/>
        </w:rPr>
        <w:t>2.拟订应急管理、安全生产等有关规范性文件，组织编制应急体系建设、安全生产和综合防灾减灾规划。</w:t>
      </w:r>
    </w:p>
    <w:p>
      <w:pPr>
        <w:ind w:firstLine="640" w:firstLineChars="200"/>
        <w:rPr>
          <w:rFonts w:ascii="仿宋" w:eastAsia="仿宋"/>
          <w:color w:val="000000"/>
          <w:sz w:val="32"/>
          <w:szCs w:val="32"/>
        </w:rPr>
      </w:pPr>
      <w:r>
        <w:rPr>
          <w:rFonts w:ascii="仿宋" w:eastAsia="仿宋"/>
          <w:color w:val="000000"/>
          <w:sz w:val="32"/>
          <w:szCs w:val="32"/>
        </w:rPr>
        <w:t>3.负责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pPr>
        <w:ind w:firstLine="640" w:firstLineChars="200"/>
        <w:rPr>
          <w:rFonts w:ascii="仿宋" w:eastAsia="仿宋"/>
          <w:color w:val="000000"/>
          <w:sz w:val="32"/>
          <w:szCs w:val="32"/>
        </w:rPr>
      </w:pPr>
      <w:r>
        <w:rPr>
          <w:rFonts w:ascii="仿宋" w:eastAsia="仿宋"/>
          <w:color w:val="000000"/>
          <w:sz w:val="32"/>
          <w:szCs w:val="32"/>
        </w:rPr>
        <w:t>4.牵头建立统一的应急管理信息系统，负责信息传输渠道的规划和布局，建立监测预警和灾情报告制度，健全自然灾害信息资源获取和共享机制，依法统一发布灾情。</w:t>
      </w:r>
    </w:p>
    <w:p>
      <w:pPr>
        <w:ind w:firstLine="640" w:firstLineChars="200"/>
        <w:rPr>
          <w:rFonts w:ascii="仿宋" w:eastAsia="仿宋"/>
          <w:color w:val="000000"/>
          <w:sz w:val="32"/>
          <w:szCs w:val="32"/>
        </w:rPr>
      </w:pPr>
      <w:r>
        <w:rPr>
          <w:rFonts w:ascii="仿宋" w:eastAsia="仿宋"/>
          <w:color w:val="000000"/>
          <w:sz w:val="32"/>
          <w:szCs w:val="32"/>
        </w:rPr>
        <w:t>5.负责组织、协调安全生产类、自然灾害类等突发事件应急救援，承担全县应对一般及以上灾害指挥部工作，综合研判突发事件发展态势并提出应对建议，负责组织一般及以上灾害应急处置工作。</w:t>
      </w:r>
    </w:p>
    <w:p>
      <w:pPr>
        <w:ind w:firstLine="640" w:firstLineChars="200"/>
        <w:rPr>
          <w:rFonts w:ascii="仿宋" w:eastAsia="仿宋"/>
          <w:color w:val="000000"/>
          <w:sz w:val="32"/>
          <w:szCs w:val="32"/>
        </w:rPr>
      </w:pPr>
      <w:r>
        <w:rPr>
          <w:rFonts w:ascii="仿宋" w:eastAsia="仿宋"/>
          <w:color w:val="000000"/>
          <w:sz w:val="32"/>
          <w:szCs w:val="32"/>
        </w:rPr>
        <w:t>6.统一协调指挥各类应急专业队伍，建立应急协调联动机制，推进指挥平台对接。提请衔接解放军和武警部队参与应急救援工作。</w:t>
      </w:r>
    </w:p>
    <w:p>
      <w:pPr>
        <w:ind w:firstLine="640" w:firstLineChars="200"/>
        <w:rPr>
          <w:rFonts w:ascii="仿宋" w:eastAsia="仿宋"/>
          <w:color w:val="000000"/>
          <w:sz w:val="32"/>
          <w:szCs w:val="32"/>
        </w:rPr>
      </w:pPr>
      <w:r>
        <w:rPr>
          <w:rFonts w:ascii="仿宋" w:eastAsia="仿宋"/>
          <w:color w:val="000000"/>
          <w:sz w:val="32"/>
          <w:szCs w:val="32"/>
        </w:rPr>
        <w:t>7.按照国家、省、州相关政策和规定负责消防、森林和草原火灾扑救、抗洪抢险、地震和地质灾害救援、生产安全事故救援等专业应急救援力量建设，依法依规统筹县域内应急救援力量和应急保障能力建设。</w:t>
      </w:r>
    </w:p>
    <w:p>
      <w:pPr>
        <w:ind w:firstLine="640" w:firstLineChars="200"/>
        <w:rPr>
          <w:rFonts w:ascii="仿宋" w:eastAsia="仿宋"/>
          <w:color w:val="000000"/>
          <w:sz w:val="32"/>
          <w:szCs w:val="32"/>
        </w:rPr>
      </w:pPr>
      <w:r>
        <w:rPr>
          <w:rFonts w:ascii="仿宋" w:eastAsia="仿宋"/>
          <w:color w:val="000000"/>
          <w:sz w:val="32"/>
          <w:szCs w:val="32"/>
        </w:rPr>
        <w:t>8.按照国家、省、州相关政策和县委、县人民政府相关规定负责消防工作，负责消防监督、火灾预防、火灾扑救等工作。</w:t>
      </w:r>
    </w:p>
    <w:p>
      <w:pPr>
        <w:ind w:firstLine="640" w:firstLineChars="200"/>
        <w:rPr>
          <w:rFonts w:ascii="仿宋" w:eastAsia="仿宋"/>
          <w:color w:val="000000"/>
          <w:sz w:val="32"/>
          <w:szCs w:val="32"/>
        </w:rPr>
      </w:pPr>
      <w:r>
        <w:rPr>
          <w:rFonts w:ascii="仿宋" w:eastAsia="仿宋"/>
          <w:color w:val="000000"/>
          <w:sz w:val="32"/>
          <w:szCs w:val="32"/>
        </w:rPr>
        <w:t>9.负责自然灾害综合监测预警工作，承担自然灾害综合风险评估工作，协调森林和草原火灾、水旱灾害、地震和地质灾害等防治工作。</w:t>
      </w:r>
    </w:p>
    <w:p>
      <w:pPr>
        <w:ind w:firstLine="640" w:firstLineChars="200"/>
        <w:rPr>
          <w:rFonts w:ascii="仿宋" w:eastAsia="仿宋"/>
          <w:color w:val="000000"/>
          <w:sz w:val="32"/>
          <w:szCs w:val="32"/>
        </w:rPr>
      </w:pPr>
      <w:r>
        <w:rPr>
          <w:rFonts w:ascii="仿宋" w:eastAsia="仿宋"/>
          <w:color w:val="000000"/>
          <w:sz w:val="32"/>
          <w:szCs w:val="32"/>
        </w:rPr>
        <w:t>10.负责组织、协调灾害救助工作，组织灾情核查、损失评估、救灾捐赠工作，管理、分配中央、省、州下拨及县级救灾款物并监督使用。</w:t>
      </w:r>
    </w:p>
    <w:p>
      <w:pPr>
        <w:ind w:firstLine="640" w:firstLineChars="200"/>
        <w:rPr>
          <w:rFonts w:ascii="仿宋" w:eastAsia="仿宋"/>
          <w:color w:val="000000"/>
          <w:sz w:val="32"/>
          <w:szCs w:val="32"/>
        </w:rPr>
      </w:pPr>
      <w:r>
        <w:rPr>
          <w:rFonts w:ascii="仿宋" w:eastAsia="仿宋"/>
          <w:color w:val="000000"/>
          <w:sz w:val="32"/>
          <w:szCs w:val="32"/>
        </w:rPr>
        <w:t>11.依法承担县人民政府安全生产综合监督管理责任，负责协调、监督检查县直有关部门和各乡（镇）人民政府安全生产工作，组织开展安全生产巡查、督查、考核工作。</w:t>
      </w:r>
      <w:r>
        <w:rPr>
          <w:rFonts w:hint="eastAsia" w:ascii="仿宋" w:eastAsia="仿宋"/>
          <w:color w:val="000000"/>
          <w:sz w:val="32"/>
          <w:szCs w:val="32"/>
        </w:rPr>
        <w:t xml:space="preserve">  </w:t>
      </w:r>
    </w:p>
    <w:p>
      <w:pPr>
        <w:ind w:firstLine="640" w:firstLineChars="200"/>
        <w:rPr>
          <w:rFonts w:ascii="仿宋" w:eastAsia="仿宋"/>
          <w:color w:val="000000"/>
          <w:sz w:val="32"/>
          <w:szCs w:val="32"/>
        </w:rPr>
      </w:pPr>
      <w:r>
        <w:rPr>
          <w:rFonts w:ascii="仿宋" w:eastAsia="仿宋"/>
          <w:color w:val="000000"/>
          <w:sz w:val="32"/>
          <w:szCs w:val="32"/>
        </w:rPr>
        <w:t>12.按照分级、属地原则，依法监督检查工矿商贸生产经营单位贯彻执行安全生产法律法规情况及其安全生产条件和有关设备（特种设备除外）、材料、劳动防护用品的安全生产管理工作。协助做好国家、省、州在县工矿商贸企业安全生产监督管理工作。负责危险化学品综合安全监督管理工作和烟花爆竹安全生产监督管理工作。</w:t>
      </w:r>
    </w:p>
    <w:p>
      <w:pPr>
        <w:ind w:firstLine="640" w:firstLineChars="200"/>
        <w:rPr>
          <w:rFonts w:ascii="仿宋" w:eastAsia="仿宋"/>
          <w:color w:val="000000"/>
          <w:sz w:val="32"/>
          <w:szCs w:val="32"/>
        </w:rPr>
      </w:pPr>
      <w:r>
        <w:rPr>
          <w:rFonts w:ascii="仿宋" w:eastAsia="仿宋"/>
          <w:color w:val="000000"/>
          <w:sz w:val="32"/>
          <w:szCs w:val="32"/>
        </w:rPr>
        <w:t>13.承担非煤矿山、危险化学品、非药品类易制毒化学品和烟花爆竹等生产经营单位安全生产准入管理责任。</w:t>
      </w:r>
    </w:p>
    <w:p>
      <w:pPr>
        <w:ind w:firstLine="640" w:firstLineChars="200"/>
        <w:rPr>
          <w:rFonts w:ascii="仿宋" w:eastAsia="仿宋"/>
          <w:color w:val="000000"/>
          <w:sz w:val="32"/>
          <w:szCs w:val="32"/>
        </w:rPr>
      </w:pPr>
      <w:r>
        <w:rPr>
          <w:rFonts w:ascii="仿宋" w:eastAsia="仿宋"/>
          <w:color w:val="000000"/>
          <w:sz w:val="32"/>
          <w:szCs w:val="32"/>
        </w:rPr>
        <w:t>14.负责生产安全事故调查处理，监督事故查处和责任追究落实情况。组织开展自然灾害类突发事件的调查评估工作。</w:t>
      </w:r>
    </w:p>
    <w:p>
      <w:pPr>
        <w:ind w:firstLine="640" w:firstLineChars="200"/>
        <w:rPr>
          <w:rFonts w:ascii="仿宋" w:eastAsia="仿宋"/>
          <w:color w:val="000000"/>
          <w:sz w:val="32"/>
          <w:szCs w:val="32"/>
        </w:rPr>
      </w:pPr>
      <w:r>
        <w:rPr>
          <w:rFonts w:ascii="仿宋" w:eastAsia="仿宋"/>
          <w:color w:val="000000"/>
          <w:sz w:val="32"/>
          <w:szCs w:val="32"/>
        </w:rPr>
        <w:t>15.开展应急管理和安全生产方面的交流与合作，组织参与安全生产类、自然灾害类等突发事件的跨区域救援工作。</w:t>
      </w:r>
      <w:r>
        <w:rPr>
          <w:rFonts w:hint="eastAsia" w:ascii="仿宋" w:eastAsia="仿宋"/>
          <w:color w:val="000000"/>
          <w:sz w:val="32"/>
          <w:szCs w:val="32"/>
        </w:rPr>
        <w:t xml:space="preserve">  </w:t>
      </w:r>
      <w:r>
        <w:rPr>
          <w:rFonts w:ascii="仿宋" w:eastAsia="仿宋"/>
          <w:color w:val="000000"/>
          <w:sz w:val="32"/>
          <w:szCs w:val="32"/>
        </w:rPr>
        <w:t>16.拟订应急物资储备和应急救援装备规划并组织实施，会同县发改局等部门建立健全应急物资信息平台和调拨制度，在救灾时统一调度。</w:t>
      </w:r>
    </w:p>
    <w:p>
      <w:pPr>
        <w:ind w:firstLine="640" w:firstLineChars="200"/>
        <w:rPr>
          <w:rFonts w:ascii="仿宋" w:eastAsia="仿宋"/>
          <w:color w:val="000000"/>
          <w:sz w:val="32"/>
          <w:szCs w:val="32"/>
        </w:rPr>
      </w:pPr>
      <w:r>
        <w:rPr>
          <w:rFonts w:ascii="仿宋" w:eastAsia="仿宋"/>
          <w:color w:val="000000"/>
          <w:sz w:val="32"/>
          <w:szCs w:val="32"/>
        </w:rPr>
        <w:t>17.负责应急管理、安全生产宣传教育和培训工作。承担应急管理、安全生产的科学技术推广应用和信息化建设工作。负责应急管理、安全生产和防灾减灾救灾新闻宣传报道、舆情应对、文化建设工作，承担公众知识普及工作，承担安全生产类、自然灾害类突发事件应急救援社会动员工作。</w:t>
      </w:r>
      <w:r>
        <w:rPr>
          <w:rFonts w:hint="eastAsia" w:ascii="仿宋" w:eastAsia="仿宋"/>
          <w:color w:val="000000"/>
          <w:sz w:val="32"/>
          <w:szCs w:val="32"/>
        </w:rPr>
        <w:t xml:space="preserve">    </w:t>
      </w:r>
    </w:p>
    <w:p>
      <w:pPr>
        <w:ind w:firstLine="640" w:firstLineChars="200"/>
      </w:pPr>
      <w:r>
        <w:rPr>
          <w:rFonts w:ascii="仿宋" w:eastAsia="仿宋"/>
          <w:color w:val="000000"/>
          <w:sz w:val="32"/>
          <w:szCs w:val="32"/>
        </w:rPr>
        <w:t>18.承办县政府交办的其他事项。</w:t>
      </w:r>
    </w:p>
    <w:p>
      <w:pPr>
        <w:spacing w:line="600" w:lineRule="exact"/>
        <w:ind w:firstLine="642" w:firstLineChars="200"/>
        <w:outlineLvl w:val="2"/>
        <w:rPr>
          <w:rFonts w:ascii="仿宋" w:eastAsia="仿宋"/>
          <w:b/>
          <w:color w:val="000000"/>
          <w:sz w:val="32"/>
          <w:szCs w:val="32"/>
        </w:rPr>
      </w:pPr>
      <w:bookmarkStart w:id="20" w:name="_Toc15378446"/>
      <w:bookmarkStart w:id="21" w:name="_Toc15377199"/>
      <w:r>
        <w:rPr>
          <w:rFonts w:hint="eastAsia" w:ascii="仿宋" w:eastAsia="仿宋"/>
          <w:b/>
          <w:color w:val="000000"/>
          <w:sz w:val="32"/>
          <w:szCs w:val="32"/>
        </w:rPr>
        <w:t>（二）</w:t>
      </w:r>
      <w:r>
        <w:rPr>
          <w:rFonts w:ascii="仿宋" w:eastAsia="仿宋"/>
          <w:b/>
          <w:color w:val="000000"/>
          <w:sz w:val="32"/>
          <w:szCs w:val="32"/>
        </w:rPr>
        <w:t>2021</w:t>
      </w:r>
      <w:r>
        <w:rPr>
          <w:rFonts w:hint="eastAsia" w:ascii="仿宋" w:eastAsia="仿宋"/>
          <w:b/>
          <w:color w:val="000000"/>
          <w:sz w:val="32"/>
          <w:szCs w:val="32"/>
        </w:rPr>
        <w:t>重点工作完成情况</w:t>
      </w:r>
      <w:bookmarkEnd w:id="20"/>
      <w:bookmarkEnd w:id="21"/>
      <w:bookmarkStart w:id="22" w:name="_Toc15377200"/>
    </w:p>
    <w:p>
      <w:pPr>
        <w:rPr>
          <w:rFonts w:ascii="仿宋" w:eastAsia="仿宋"/>
          <w:color w:val="000000"/>
          <w:sz w:val="32"/>
          <w:szCs w:val="32"/>
        </w:rPr>
      </w:pPr>
    </w:p>
    <w:p>
      <w:pPr>
        <w:rPr>
          <w:rFonts w:ascii="仿宋" w:eastAsia="仿宋"/>
          <w:color w:val="000000"/>
          <w:sz w:val="32"/>
          <w:szCs w:val="32"/>
        </w:rPr>
      </w:pPr>
      <w:r>
        <w:rPr>
          <w:rFonts w:ascii="仿宋" w:eastAsia="仿宋"/>
          <w:color w:val="000000"/>
          <w:sz w:val="32"/>
          <w:szCs w:val="32"/>
        </w:rPr>
        <w:tab/>
      </w:r>
      <w:r>
        <w:rPr>
          <w:rFonts w:ascii="仿宋" w:eastAsia="仿宋"/>
          <w:color w:val="000000"/>
          <w:sz w:val="32"/>
          <w:szCs w:val="32"/>
        </w:rPr>
        <w:t xml:space="preserve"> 落实安全生产、应急管理和森林草原防灭火工作责任，强化措施，抓安全保稳定，各项工作顺利推进，全县安全生产、应急管理和森林草原防灭火形势保持稳定。完善了安全生产和应急工作责任制，落实乡镇、部门安全生产、应急工作责任，全面落实企业安全生产主体责任，完善了安全生产和应急管理信息化建设，提升了全县安全生产监管和应急救援能力。加大行业安全生产专项整治力度，加强了隐患排查治理的力度，强化安全监管执法，树立安全发展理念，坚持以人为本，生命至上，安全第一。加强、优化、统筹应急能力建设，构建统一领导、权责一致、权威高效的应急能力体系；加强应急预案演练，坚持以防为主、防抗救结合，从减少灾害损失向减轻灾害风险转变，提高全县应急管理水平和防灾减灾救灾能力。</w:t>
      </w:r>
    </w:p>
    <w:p>
      <w:pPr>
        <w:pStyle w:val="4"/>
        <w:ind w:firstLine="642" w:firstLineChars="200"/>
        <w:rPr>
          <w:rFonts w:ascii="仿宋" w:eastAsia="仿宋"/>
          <w:color w:val="000000"/>
        </w:rPr>
      </w:pPr>
      <w:bookmarkStart w:id="23" w:name="_Toc113981011"/>
      <w:bookmarkStart w:id="24" w:name="_Toc111208497"/>
      <w:r>
        <w:rPr>
          <w:rFonts w:hint="eastAsia" w:ascii="黑体" w:eastAsia="黑体" w:cs="Times New Roman"/>
          <w:bCs w:val="0"/>
          <w:color w:val="000000"/>
        </w:rPr>
        <w:t>二、机构设置</w:t>
      </w:r>
      <w:bookmarkEnd w:id="22"/>
      <w:bookmarkEnd w:id="23"/>
      <w:bookmarkEnd w:id="24"/>
    </w:p>
    <w:p>
      <w:pPr>
        <w:rPr>
          <w:rFonts w:ascii="仿宋" w:eastAsia="仿宋"/>
          <w:color w:val="000000"/>
          <w:sz w:val="32"/>
          <w:szCs w:val="32"/>
        </w:rPr>
      </w:pPr>
      <w:r>
        <w:rPr>
          <w:rFonts w:ascii="仿宋" w:eastAsia="仿宋"/>
          <w:color w:val="000000"/>
          <w:sz w:val="32"/>
          <w:szCs w:val="32"/>
        </w:rPr>
        <w:tab/>
      </w:r>
      <w:r>
        <w:rPr>
          <w:rFonts w:ascii="仿宋" w:eastAsia="仿宋"/>
          <w:color w:val="000000"/>
          <w:sz w:val="32"/>
          <w:szCs w:val="32"/>
        </w:rPr>
        <w:t>茂县应急管理局本级下属二级单位0个，其中行政单位1个，参照公务员法管理的事业单位0个。茂县应急管理局行政编制12名，公务员在职12人，参照公务员管理事业编制9人，在职9人。年末实有人数21人。</w:t>
      </w:r>
    </w:p>
    <w:p>
      <w:pPr>
        <w:widowControl/>
        <w:jc w:val="left"/>
        <w:rPr>
          <w:rFonts w:ascii="仿宋_GB2312" w:eastAsia="仿宋_GB2312"/>
          <w:b/>
          <w:bCs/>
          <w:color w:val="000000"/>
          <w:kern w:val="44"/>
          <w:sz w:val="44"/>
          <w:szCs w:val="44"/>
        </w:rPr>
      </w:pPr>
      <w:bookmarkStart w:id="25" w:name="_Toc15377204"/>
      <w:r>
        <w:rPr>
          <w:rFonts w:ascii="仿宋_GB2312" w:eastAsia="仿宋_GB2312"/>
          <w:color w:val="000000"/>
        </w:rPr>
        <w:br w:type="page"/>
      </w:r>
    </w:p>
    <w:p>
      <w:pPr>
        <w:pStyle w:val="3"/>
        <w:jc w:val="center"/>
        <w:rPr>
          <w:rFonts w:ascii="黑体" w:eastAsia="黑体" w:cs="黑体"/>
        </w:rPr>
      </w:pPr>
      <w:bookmarkStart w:id="26" w:name="_Toc113981012"/>
      <w:bookmarkStart w:id="27" w:name="_Toc111208498"/>
      <w:r>
        <w:rPr>
          <w:rFonts w:hint="eastAsia" w:ascii="黑体" w:eastAsia="黑体" w:cs="黑体"/>
        </w:rPr>
        <w:t>第二部分</w:t>
      </w:r>
      <w:r>
        <w:rPr>
          <w:rFonts w:ascii="黑体" w:eastAsia="黑体" w:cs="黑体"/>
        </w:rPr>
        <w:t xml:space="preserve"> </w:t>
      </w:r>
      <w:r>
        <w:rPr>
          <w:rFonts w:hint="eastAsia" w:ascii="黑体" w:eastAsia="黑体" w:cs="黑体"/>
        </w:rPr>
        <w:t>2021年度部门决算情况说明</w:t>
      </w:r>
      <w:bookmarkEnd w:id="25"/>
      <w:bookmarkEnd w:id="26"/>
      <w:bookmarkEnd w:id="27"/>
    </w:p>
    <w:p>
      <w:pPr>
        <w:pStyle w:val="4"/>
        <w:ind w:firstLine="642" w:firstLineChars="200"/>
        <w:rPr>
          <w:rFonts w:ascii="黑体" w:eastAsia="黑体" w:cs="Times New Roman"/>
          <w:bCs w:val="0"/>
          <w:color w:val="000000"/>
        </w:rPr>
      </w:pPr>
      <w:bookmarkStart w:id="28" w:name="_Toc15377205"/>
      <w:bookmarkStart w:id="29" w:name="_Toc111208499"/>
      <w:bookmarkStart w:id="30" w:name="_Toc113981013"/>
      <w:r>
        <w:rPr>
          <w:rFonts w:hint="eastAsia" w:ascii="黑体" w:eastAsia="黑体" w:cs="Times New Roman"/>
          <w:bCs w:val="0"/>
          <w:color w:val="000000"/>
        </w:rPr>
        <w:t>一、收入支出决算总体情况说</w:t>
      </w:r>
      <w:bookmarkEnd w:id="28"/>
      <w:r>
        <w:rPr>
          <w:rFonts w:hint="eastAsia" w:ascii="黑体" w:eastAsia="黑体" w:cs="Times New Roman"/>
          <w:bCs w:val="0"/>
          <w:color w:val="000000"/>
        </w:rPr>
        <w:t>明</w:t>
      </w:r>
      <w:bookmarkEnd w:id="29"/>
      <w:bookmarkEnd w:id="30"/>
    </w:p>
    <w:p>
      <w:pPr>
        <w:spacing w:line="600" w:lineRule="exact"/>
        <w:ind w:firstLine="640" w:firstLineChars="200"/>
        <w:rPr>
          <w:rFonts w:ascii="仿宋_GB2312" w:hAnsi="仿宋_GB2312" w:eastAsia="仿宋"/>
          <w:color w:val="00B0F0"/>
          <w:sz w:val="32"/>
          <w:szCs w:val="32"/>
        </w:rPr>
      </w:pPr>
      <w:r>
        <w:rPr>
          <w:rFonts w:ascii="仿宋" w:eastAsia="仿宋"/>
          <w:color w:val="000000"/>
          <w:sz w:val="32"/>
          <w:szCs w:val="32"/>
        </w:rPr>
        <w:t>2021</w:t>
      </w:r>
      <w:r>
        <w:rPr>
          <w:rFonts w:hint="eastAsia" w:ascii="仿宋" w:eastAsia="仿宋"/>
          <w:color w:val="000000"/>
          <w:sz w:val="32"/>
          <w:szCs w:val="32"/>
        </w:rPr>
        <w:t>年度收、支总计</w:t>
      </w:r>
      <w:r>
        <w:rPr>
          <w:rFonts w:ascii="仿宋" w:eastAsia="仿宋"/>
          <w:color w:val="000000"/>
          <w:sz w:val="32"/>
          <w:szCs w:val="32"/>
        </w:rPr>
        <w:t>2516.74</w:t>
      </w:r>
      <w:r>
        <w:rPr>
          <w:rFonts w:hint="eastAsia" w:ascii="仿宋" w:eastAsia="仿宋"/>
          <w:color w:val="000000"/>
          <w:sz w:val="32"/>
          <w:szCs w:val="32"/>
        </w:rPr>
        <w:t>万元。与</w:t>
      </w:r>
      <w:r>
        <w:rPr>
          <w:rFonts w:ascii="仿宋" w:eastAsia="仿宋"/>
          <w:color w:val="000000"/>
          <w:sz w:val="32"/>
          <w:szCs w:val="32"/>
        </w:rPr>
        <w:t>2020</w:t>
      </w:r>
      <w:r>
        <w:rPr>
          <w:rFonts w:hint="eastAsia" w:ascii="仿宋" w:eastAsia="仿宋"/>
          <w:color w:val="000000"/>
          <w:sz w:val="32"/>
          <w:szCs w:val="32"/>
        </w:rPr>
        <w:t>年相比，收、支总计各</w:t>
      </w:r>
      <w:r>
        <w:rPr>
          <w:rFonts w:ascii="仿宋" w:eastAsia="仿宋"/>
          <w:color w:val="000000"/>
          <w:sz w:val="32"/>
          <w:szCs w:val="32"/>
        </w:rPr>
        <w:t>减少714.72</w:t>
      </w:r>
      <w:r>
        <w:rPr>
          <w:rFonts w:hint="eastAsia" w:ascii="仿宋" w:eastAsia="仿宋"/>
          <w:color w:val="000000"/>
          <w:sz w:val="32"/>
          <w:szCs w:val="32"/>
        </w:rPr>
        <w:t>万元，</w:t>
      </w:r>
      <w:r>
        <w:rPr>
          <w:rFonts w:ascii="仿宋" w:eastAsia="仿宋"/>
          <w:color w:val="000000"/>
          <w:sz w:val="32"/>
          <w:szCs w:val="32"/>
        </w:rPr>
        <w:t>减少22.12</w:t>
      </w:r>
      <w:r>
        <w:rPr>
          <w:rFonts w:hint="eastAsia" w:ascii="仿宋" w:eastAsia="仿宋"/>
          <w:color w:val="000000"/>
          <w:sz w:val="32"/>
          <w:szCs w:val="32"/>
        </w:rPr>
        <w:t xml:space="preserve"> %。主要变动原因是人员调入增加。</w:t>
      </w:r>
    </w:p>
    <w:p>
      <w:pPr>
        <w:spacing w:line="600" w:lineRule="exact"/>
        <w:ind w:firstLine="640" w:firstLineChars="200"/>
        <w:rPr>
          <w:rFonts w:ascii="仿宋_GB2312" w:eastAsia="仿宋_GB2312"/>
          <w:color w:val="000000"/>
          <w:sz w:val="28"/>
          <w:szCs w:val="28"/>
        </w:rPr>
      </w:pPr>
      <w:r>
        <w:rPr>
          <w:rFonts w:hint="eastAsia" w:ascii="仿宋" w:eastAsia="仿宋"/>
          <w:color w:val="000000"/>
          <w:sz w:val="32"/>
          <w:szCs w:val="32"/>
        </w:rPr>
        <w:t>（图1：收、支决算总计变动情况图）</w:t>
      </w:r>
    </w:p>
    <w:p>
      <w:pPr>
        <w:spacing w:line="600" w:lineRule="exact"/>
        <w:ind w:firstLine="560" w:firstLineChars="200"/>
        <w:jc w:val="center"/>
        <w:rPr>
          <w:rFonts w:ascii="仿宋_GB2312" w:eastAsia="仿宋_GB2312"/>
          <w:color w:val="000000"/>
          <w:sz w:val="28"/>
          <w:szCs w:val="28"/>
        </w:rPr>
      </w:pPr>
    </w:p>
    <w:p>
      <w:pPr>
        <w:pStyle w:val="2"/>
      </w:pPr>
      <w:r>
        <w:drawing>
          <wp:inline distT="0" distB="0" distL="114300" distR="114300">
            <wp:extent cx="5708650" cy="284670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ind w:firstLine="642" w:firstLineChars="200"/>
        <w:rPr>
          <w:rFonts w:ascii="黑体" w:eastAsia="黑体" w:cs="Times New Roman"/>
          <w:bCs w:val="0"/>
          <w:color w:val="000000"/>
        </w:rPr>
      </w:pPr>
      <w:bookmarkStart w:id="31" w:name="_Toc113981014"/>
      <w:bookmarkStart w:id="32" w:name="_Toc111208500"/>
      <w:bookmarkStart w:id="33" w:name="_Toc15377206"/>
      <w:r>
        <w:rPr>
          <w:rFonts w:hint="eastAsia" w:ascii="黑体" w:eastAsia="黑体" w:cs="Times New Roman"/>
          <w:bCs w:val="0"/>
          <w:color w:val="000000"/>
        </w:rPr>
        <w:t>二、收入决算情况说明</w:t>
      </w:r>
      <w:bookmarkEnd w:id="31"/>
      <w:bookmarkEnd w:id="32"/>
      <w:bookmarkEnd w:id="33"/>
    </w:p>
    <w:p>
      <w:pPr>
        <w:spacing w:line="600" w:lineRule="exact"/>
        <w:ind w:firstLine="640" w:firstLineChars="200"/>
        <w:rPr>
          <w:rFonts w:ascii="仿宋" w:eastAsia="仿宋"/>
          <w:color w:val="000000"/>
          <w:sz w:val="32"/>
          <w:szCs w:val="32"/>
        </w:rPr>
      </w:pPr>
      <w:r>
        <w:rPr>
          <w:rFonts w:hint="eastAsia" w:ascii="仿宋" w:eastAsia="仿宋"/>
          <w:color w:val="000000"/>
          <w:sz w:val="32"/>
          <w:szCs w:val="32"/>
        </w:rPr>
        <w:t>2021年本年收入合计1273.34万元，其中：一般公共预算财政拨款收入1273.34万元，占100.00%；政府性基金预算财政拨款收入0万元；国有资本经营预算财政拨款收入0万元；上级补助收入0万元；事业收入0万元；经营收入0万元；附属单位上缴收入0万元；其他收入0万元。</w:t>
      </w:r>
    </w:p>
    <w:p>
      <w:pPr>
        <w:spacing w:line="600" w:lineRule="exact"/>
        <w:ind w:firstLine="640" w:firstLineChars="200"/>
        <w:rPr>
          <w:rFonts w:ascii="仿宋" w:eastAsia="仿宋"/>
          <w:color w:val="000000"/>
          <w:sz w:val="32"/>
          <w:szCs w:val="32"/>
        </w:rPr>
      </w:pPr>
      <w:r>
        <w:rPr>
          <w:rFonts w:hint="eastAsia" w:ascii="仿宋" w:eastAsia="仿宋"/>
          <w:color w:val="000000"/>
          <w:sz w:val="32"/>
          <w:szCs w:val="32"/>
        </w:rPr>
        <w:t>（图2：收入决算结构图）</w:t>
      </w:r>
    </w:p>
    <w:p>
      <w:pPr>
        <w:pStyle w:val="13"/>
        <w:jc w:val="center"/>
      </w:pPr>
      <w:r>
        <w:rPr>
          <w:rFonts w:hint="eastAsia" w:ascii="仿宋_GB2312" w:eastAsia="仿宋_GB2312"/>
          <w:color w:val="FF0000"/>
          <w:sz w:val="32"/>
          <w:szCs w:val="32"/>
        </w:rPr>
        <w:drawing>
          <wp:inline distT="0" distB="0" distL="114300" distR="114300">
            <wp:extent cx="5332730" cy="3400425"/>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ind w:firstLine="642" w:firstLineChars="200"/>
        <w:rPr>
          <w:rFonts w:ascii="黑体" w:eastAsia="黑体" w:cs="Times New Roman"/>
          <w:bCs w:val="0"/>
          <w:color w:val="000000"/>
        </w:rPr>
      </w:pPr>
      <w:bookmarkStart w:id="34" w:name="_Toc113981015"/>
      <w:bookmarkStart w:id="35" w:name="_Toc111208501"/>
      <w:bookmarkStart w:id="36" w:name="_Toc15377207"/>
      <w:r>
        <w:rPr>
          <w:rFonts w:hint="eastAsia" w:ascii="黑体" w:eastAsia="黑体" w:cs="Times New Roman"/>
          <w:bCs w:val="0"/>
          <w:color w:val="000000"/>
        </w:rPr>
        <w:t>三、支出决算情况说明</w:t>
      </w:r>
      <w:bookmarkEnd w:id="34"/>
      <w:bookmarkEnd w:id="35"/>
      <w:bookmarkEnd w:id="36"/>
    </w:p>
    <w:p>
      <w:pPr>
        <w:pStyle w:val="2"/>
        <w:rPr>
          <w:rFonts w:ascii="仿宋" w:eastAsia="仿宋"/>
          <w:color w:val="000000"/>
          <w:sz w:val="32"/>
          <w:szCs w:val="32"/>
        </w:rPr>
      </w:pPr>
      <w:r>
        <w:rPr>
          <w:rFonts w:hint="eastAsia" w:ascii="仿宋" w:eastAsia="仿宋"/>
          <w:color w:val="000000"/>
          <w:sz w:val="32"/>
          <w:szCs w:val="32"/>
        </w:rPr>
        <w:t>2021</w:t>
      </w:r>
      <w:r>
        <w:rPr>
          <w:rFonts w:ascii="仿宋" w:eastAsia="仿宋"/>
          <w:color w:val="000000"/>
          <w:sz w:val="32"/>
          <w:szCs w:val="32"/>
        </w:rPr>
        <w:t>年本年支出合计</w:t>
      </w:r>
      <w:r>
        <w:rPr>
          <w:rFonts w:hint="eastAsia" w:ascii="仿宋" w:eastAsia="仿宋"/>
          <w:color w:val="000000"/>
          <w:sz w:val="32"/>
          <w:szCs w:val="32"/>
        </w:rPr>
        <w:t>2516.74</w:t>
      </w:r>
      <w:r>
        <w:rPr>
          <w:rFonts w:ascii="仿宋" w:eastAsia="仿宋"/>
          <w:color w:val="000000"/>
          <w:sz w:val="32"/>
          <w:szCs w:val="32"/>
        </w:rPr>
        <w:t>万元，其中：基本支出</w:t>
      </w:r>
      <w:r>
        <w:rPr>
          <w:rFonts w:hint="eastAsia" w:ascii="仿宋" w:eastAsia="仿宋"/>
          <w:color w:val="000000"/>
          <w:sz w:val="32"/>
          <w:szCs w:val="32"/>
        </w:rPr>
        <w:t>420.26</w:t>
      </w:r>
      <w:r>
        <w:rPr>
          <w:rFonts w:ascii="仿宋" w:eastAsia="仿宋"/>
          <w:color w:val="000000"/>
          <w:sz w:val="32"/>
          <w:szCs w:val="32"/>
        </w:rPr>
        <w:t>万元，占</w:t>
      </w:r>
      <w:r>
        <w:rPr>
          <w:rFonts w:hint="eastAsia" w:ascii="仿宋" w:eastAsia="仿宋"/>
          <w:color w:val="000000"/>
          <w:sz w:val="32"/>
          <w:szCs w:val="32"/>
        </w:rPr>
        <w:t>16.70</w:t>
      </w:r>
      <w:r>
        <w:rPr>
          <w:rFonts w:ascii="仿宋" w:eastAsia="仿宋"/>
          <w:color w:val="000000"/>
          <w:sz w:val="32"/>
          <w:szCs w:val="32"/>
        </w:rPr>
        <w:t>%；项目支出</w:t>
      </w:r>
      <w:r>
        <w:rPr>
          <w:rFonts w:hint="eastAsia" w:ascii="仿宋" w:eastAsia="仿宋"/>
          <w:color w:val="000000"/>
          <w:sz w:val="32"/>
          <w:szCs w:val="32"/>
        </w:rPr>
        <w:t>2096.48</w:t>
      </w:r>
      <w:r>
        <w:rPr>
          <w:rFonts w:ascii="仿宋" w:eastAsia="仿宋"/>
          <w:color w:val="000000"/>
          <w:sz w:val="32"/>
          <w:szCs w:val="32"/>
        </w:rPr>
        <w:t>万元，占</w:t>
      </w:r>
      <w:r>
        <w:rPr>
          <w:rFonts w:hint="eastAsia" w:ascii="仿宋" w:eastAsia="仿宋"/>
          <w:color w:val="000000"/>
          <w:sz w:val="32"/>
          <w:szCs w:val="32"/>
        </w:rPr>
        <w:t>83.30</w:t>
      </w:r>
      <w:r>
        <w:rPr>
          <w:rFonts w:ascii="仿宋" w:eastAsia="仿宋"/>
          <w:color w:val="000000"/>
          <w:sz w:val="32"/>
          <w:szCs w:val="32"/>
        </w:rPr>
        <w:t>%；上缴上级支出</w:t>
      </w:r>
      <w:r>
        <w:rPr>
          <w:rFonts w:hint="eastAsia" w:ascii="仿宋" w:eastAsia="仿宋"/>
          <w:color w:val="000000"/>
          <w:sz w:val="32"/>
          <w:szCs w:val="32"/>
        </w:rPr>
        <w:t>0</w:t>
      </w:r>
      <w:r>
        <w:rPr>
          <w:rFonts w:ascii="仿宋" w:eastAsia="仿宋"/>
          <w:color w:val="000000"/>
          <w:sz w:val="32"/>
          <w:szCs w:val="32"/>
        </w:rPr>
        <w:t>万元；经营支出</w:t>
      </w:r>
      <w:r>
        <w:rPr>
          <w:rFonts w:hint="eastAsia" w:ascii="仿宋" w:eastAsia="仿宋"/>
          <w:color w:val="000000"/>
          <w:sz w:val="32"/>
          <w:szCs w:val="32"/>
        </w:rPr>
        <w:t>0</w:t>
      </w:r>
      <w:r>
        <w:rPr>
          <w:rFonts w:ascii="仿宋" w:eastAsia="仿宋"/>
          <w:color w:val="000000"/>
          <w:sz w:val="32"/>
          <w:szCs w:val="32"/>
        </w:rPr>
        <w:t>万元；对附属单位补助支出</w:t>
      </w:r>
      <w:r>
        <w:rPr>
          <w:rFonts w:hint="eastAsia" w:ascii="仿宋" w:eastAsia="仿宋"/>
          <w:color w:val="000000"/>
          <w:sz w:val="32"/>
          <w:szCs w:val="32"/>
        </w:rPr>
        <w:t>0</w:t>
      </w:r>
      <w:r>
        <w:rPr>
          <w:rFonts w:ascii="仿宋" w:eastAsia="仿宋"/>
          <w:color w:val="000000"/>
          <w:sz w:val="32"/>
          <w:szCs w:val="32"/>
        </w:rPr>
        <w:t>万元。</w:t>
      </w:r>
    </w:p>
    <w:p>
      <w:pPr>
        <w:spacing w:line="600" w:lineRule="exact"/>
        <w:ind w:firstLine="640" w:firstLineChars="200"/>
        <w:rPr>
          <w:rFonts w:ascii="仿宋" w:eastAsia="仿宋"/>
          <w:color w:val="000000"/>
          <w:sz w:val="32"/>
          <w:szCs w:val="32"/>
        </w:rPr>
      </w:pPr>
      <w:r>
        <w:rPr>
          <w:rFonts w:hint="eastAsia" w:ascii="仿宋" w:eastAsia="仿宋"/>
          <w:color w:val="000000"/>
          <w:sz w:val="32"/>
          <w:szCs w:val="32"/>
        </w:rPr>
        <w:t>（图3：支出决算结构图）</w:t>
      </w:r>
    </w:p>
    <w:p>
      <w:pPr>
        <w:jc w:val="center"/>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5303520" cy="3429000"/>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pPr>
    </w:p>
    <w:p>
      <w:pPr>
        <w:pStyle w:val="4"/>
        <w:ind w:firstLine="642" w:firstLineChars="200"/>
        <w:rPr>
          <w:rFonts w:ascii="黑体" w:eastAsia="黑体" w:cs="Times New Roman"/>
          <w:bCs w:val="0"/>
          <w:color w:val="000000"/>
        </w:rPr>
      </w:pPr>
      <w:bookmarkStart w:id="37" w:name="_Toc15377208"/>
      <w:bookmarkStart w:id="38" w:name="_Toc113981016"/>
      <w:bookmarkStart w:id="39" w:name="_Toc111208502"/>
      <w:r>
        <w:rPr>
          <w:rFonts w:hint="eastAsia" w:ascii="黑体" w:eastAsia="黑体" w:cs="Times New Roman"/>
          <w:bCs w:val="0"/>
          <w:color w:val="000000"/>
        </w:rPr>
        <w:t>四、财政拨款收入支出决算总体情况说明</w:t>
      </w:r>
      <w:bookmarkEnd w:id="37"/>
      <w:bookmarkEnd w:id="38"/>
      <w:bookmarkEnd w:id="39"/>
    </w:p>
    <w:p>
      <w:pPr>
        <w:spacing w:line="600" w:lineRule="exact"/>
        <w:ind w:firstLine="640" w:firstLineChars="200"/>
        <w:rPr>
          <w:rFonts w:ascii="仿宋" w:eastAsia="仿宋"/>
          <w:color w:val="000000"/>
          <w:sz w:val="32"/>
          <w:szCs w:val="32"/>
        </w:rPr>
      </w:pPr>
      <w:r>
        <w:rPr>
          <w:rFonts w:hint="eastAsia" w:ascii="仿宋" w:eastAsia="仿宋"/>
          <w:color w:val="000000"/>
          <w:sz w:val="32"/>
          <w:szCs w:val="32"/>
        </w:rPr>
        <w:t>2021年财政拨款收、支总计2516.74万元。与2020年相比，财政拨款收、支总计各减少714.72万元，减少22.12 %。主要变动原因是人员调入增加。</w:t>
      </w:r>
    </w:p>
    <w:p>
      <w:pPr>
        <w:spacing w:line="600" w:lineRule="exact"/>
        <w:ind w:firstLine="640" w:firstLineChars="200"/>
        <w:rPr>
          <w:rFonts w:ascii="仿宋" w:eastAsia="仿宋"/>
          <w:color w:val="000000"/>
          <w:sz w:val="32"/>
          <w:szCs w:val="32"/>
        </w:rPr>
      </w:pPr>
      <w:r>
        <w:rPr>
          <w:rFonts w:hint="eastAsia" w:ascii="仿宋" w:eastAsia="仿宋"/>
          <w:color w:val="000000"/>
          <w:sz w:val="32"/>
          <w:szCs w:val="32"/>
        </w:rPr>
        <w:t>（图4：财政拨款收、支决算总计变动情况）</w:t>
      </w:r>
    </w:p>
    <w:p>
      <w:pPr>
        <w:pStyle w:val="2"/>
        <w:ind w:firstLine="0"/>
      </w:pPr>
    </w:p>
    <w:p>
      <w:pPr>
        <w:pStyle w:val="2"/>
        <w:jc w:val="left"/>
      </w:pPr>
      <w:r>
        <w:rPr>
          <w:rFonts w:hint="eastAsia" w:ascii="仿宋_GB2312" w:eastAsia="仿宋_GB2312"/>
          <w:color w:val="000000"/>
          <w:sz w:val="32"/>
          <w:szCs w:val="32"/>
        </w:rPr>
        <w:drawing>
          <wp:inline distT="0" distB="0" distL="0" distR="0">
            <wp:extent cx="4981575" cy="3171825"/>
            <wp:effectExtent l="0" t="0" r="0" b="0"/>
            <wp:docPr id="4"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jc w:val="center"/>
      </w:pPr>
    </w:p>
    <w:p>
      <w:pPr>
        <w:pStyle w:val="4"/>
        <w:ind w:firstLine="642" w:firstLineChars="200"/>
        <w:rPr>
          <w:rFonts w:ascii="黑体" w:eastAsia="黑体" w:cs="Times New Roman"/>
          <w:bCs w:val="0"/>
          <w:color w:val="000000"/>
        </w:rPr>
      </w:pPr>
      <w:bookmarkStart w:id="40" w:name="_Toc15377209"/>
      <w:bookmarkStart w:id="41" w:name="_Toc113981017"/>
      <w:bookmarkStart w:id="42" w:name="_Toc111208503"/>
      <w:r>
        <w:rPr>
          <w:rFonts w:hint="eastAsia" w:ascii="黑体" w:eastAsia="黑体" w:cs="Times New Roman"/>
          <w:bCs w:val="0"/>
          <w:color w:val="000000"/>
        </w:rPr>
        <w:t>五、一般公共预算财政拨款支出决算情况说</w:t>
      </w:r>
      <w:bookmarkEnd w:id="40"/>
      <w:r>
        <w:rPr>
          <w:rFonts w:hint="eastAsia" w:ascii="黑体" w:eastAsia="黑体" w:cs="Times New Roman"/>
          <w:bCs w:val="0"/>
          <w:color w:val="000000"/>
        </w:rPr>
        <w:t>明</w:t>
      </w:r>
      <w:bookmarkEnd w:id="41"/>
      <w:bookmarkEnd w:id="42"/>
    </w:p>
    <w:p>
      <w:pPr>
        <w:spacing w:line="600" w:lineRule="exact"/>
        <w:ind w:firstLine="642" w:firstLineChars="200"/>
        <w:outlineLvl w:val="2"/>
        <w:rPr>
          <w:rFonts w:ascii="仿宋" w:eastAsia="仿宋"/>
          <w:b/>
          <w:color w:val="000000"/>
          <w:sz w:val="32"/>
          <w:szCs w:val="32"/>
        </w:rPr>
      </w:pPr>
      <w:bookmarkStart w:id="43" w:name="_Toc15377210"/>
      <w:r>
        <w:rPr>
          <w:rFonts w:hint="eastAsia" w:ascii="仿宋" w:eastAsia="仿宋"/>
          <w:b/>
          <w:color w:val="000000"/>
          <w:sz w:val="32"/>
          <w:szCs w:val="32"/>
        </w:rPr>
        <w:t>（一）一般公共预算财政拨款支出决算总体情况</w:t>
      </w:r>
      <w:bookmarkEnd w:id="43"/>
    </w:p>
    <w:p>
      <w:pPr>
        <w:spacing w:line="600" w:lineRule="exact"/>
        <w:ind w:firstLine="640" w:firstLineChars="200"/>
        <w:rPr>
          <w:rFonts w:ascii="仿宋_GB2312" w:hAnsi="仿宋_GB2312" w:eastAsia="仿宋"/>
          <w:color w:val="000000"/>
          <w:sz w:val="32"/>
          <w:szCs w:val="32"/>
        </w:rPr>
      </w:pPr>
      <w:bookmarkStart w:id="44" w:name="_Toc15377211"/>
      <w:r>
        <w:rPr>
          <w:rFonts w:hint="eastAsia" w:ascii="仿宋" w:eastAsia="仿宋"/>
          <w:color w:val="000000"/>
          <w:sz w:val="32"/>
          <w:szCs w:val="32"/>
        </w:rPr>
        <w:t>2021年一般公共预算财政拨款支出2516.74万元，占本年支出合计的100%。与2020相比，一般公共预算财政拨款增加1512.28万元，增加150.56 %。主要变动原因是人员调入增加。</w:t>
      </w:r>
    </w:p>
    <w:p>
      <w:pPr>
        <w:spacing w:line="600" w:lineRule="exact"/>
        <w:ind w:firstLine="640" w:firstLineChars="200"/>
        <w:rPr>
          <w:rFonts w:ascii="仿宋" w:eastAsia="仿宋"/>
          <w:color w:val="000000"/>
          <w:sz w:val="32"/>
          <w:szCs w:val="32"/>
        </w:rPr>
      </w:pPr>
      <w:r>
        <w:rPr>
          <w:rFonts w:hint="eastAsia" w:ascii="仿宋" w:eastAsia="仿宋"/>
          <w:color w:val="000000"/>
          <w:sz w:val="32"/>
          <w:szCs w:val="32"/>
        </w:rPr>
        <w:t>（图5：一般公共预算财政拨款支出决算变动情况）</w:t>
      </w:r>
    </w:p>
    <w:p>
      <w:pPr>
        <w:pStyle w:val="2"/>
        <w:ind w:firstLine="0"/>
        <w:rPr>
          <w:rFonts w:ascii="仿宋_GB2312" w:eastAsia="仿宋_GB2312"/>
          <w:b/>
          <w:color w:val="000000"/>
          <w:sz w:val="32"/>
          <w:szCs w:val="32"/>
        </w:rPr>
      </w:pPr>
    </w:p>
    <w:p>
      <w:pPr>
        <w:pStyle w:val="2"/>
        <w:ind w:firstLine="0"/>
        <w:rPr>
          <w:rFonts w:ascii="仿宋_GB2312" w:eastAsia="仿宋_GB2312"/>
          <w:b/>
          <w:color w:val="000000"/>
          <w:sz w:val="32"/>
          <w:szCs w:val="32"/>
        </w:rPr>
      </w:pPr>
      <w:r>
        <w:rPr>
          <w:rFonts w:hint="eastAsia" w:ascii="仿宋_GB2312" w:eastAsia="仿宋_GB2312"/>
          <w:b/>
          <w:color w:val="000000"/>
          <w:sz w:val="32"/>
          <w:szCs w:val="32"/>
        </w:rPr>
        <w:drawing>
          <wp:inline distT="0" distB="0" distL="0" distR="0">
            <wp:extent cx="4904740" cy="3569970"/>
            <wp:effectExtent l="0" t="0" r="0" b="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ind w:firstLine="0"/>
        <w:rPr>
          <w:rFonts w:ascii="仿宋_GB2312" w:eastAsia="仿宋_GB2312"/>
          <w:b/>
          <w:color w:val="000000"/>
          <w:sz w:val="32"/>
          <w:szCs w:val="32"/>
        </w:rPr>
      </w:pPr>
    </w:p>
    <w:p>
      <w:pPr>
        <w:spacing w:line="600" w:lineRule="exact"/>
        <w:ind w:firstLine="642" w:firstLineChars="200"/>
        <w:outlineLvl w:val="2"/>
        <w:rPr>
          <w:rFonts w:ascii="仿宋" w:eastAsia="仿宋"/>
          <w:b/>
          <w:color w:val="000000"/>
          <w:sz w:val="32"/>
          <w:szCs w:val="32"/>
        </w:rPr>
      </w:pPr>
      <w:r>
        <w:rPr>
          <w:rFonts w:hint="eastAsia" w:ascii="仿宋" w:eastAsia="仿宋"/>
          <w:b/>
          <w:color w:val="000000"/>
          <w:sz w:val="32"/>
          <w:szCs w:val="32"/>
        </w:rPr>
        <w:t>（二）一般公共预算财政拨款支出决算结构情况</w:t>
      </w:r>
      <w:bookmarkEnd w:id="44"/>
      <w:r>
        <w:rPr>
          <w:rFonts w:hint="eastAsia" w:ascii="仿宋" w:eastAsia="仿宋"/>
          <w:b/>
          <w:color w:val="000000"/>
          <w:sz w:val="32"/>
          <w:szCs w:val="32"/>
        </w:rPr>
        <w:t>（一般公共预算收支表）</w:t>
      </w:r>
    </w:p>
    <w:p>
      <w:pPr>
        <w:spacing w:line="600" w:lineRule="exact"/>
        <w:ind w:firstLine="640" w:firstLineChars="200"/>
        <w:rPr>
          <w:rFonts w:ascii="仿宋_GB2312" w:eastAsia="仿宋_GB2312"/>
          <w:color w:val="000000"/>
          <w:sz w:val="32"/>
          <w:szCs w:val="32"/>
        </w:rPr>
      </w:pPr>
      <w:r>
        <w:rPr>
          <w:rFonts w:hint="eastAsia" w:ascii="仿宋" w:eastAsia="仿宋"/>
          <w:color w:val="000000"/>
          <w:sz w:val="32"/>
          <w:szCs w:val="32"/>
        </w:rPr>
        <w:t>2021年一般公共预算财政拨款支出2516.74万元，主要用于以下方面:社会保障和就业支出45.67万元，占1.81%；卫生健康支出21.05万元，占0.84%；农林水支出0.36万元，占0.01%；住房保障支出29.40万元，占1.17%；灾害防治及应急管理支出2416.78万元，占96.03%；其他支出3.47万元，占0.14%。</w:t>
      </w:r>
    </w:p>
    <w:p>
      <w:pPr>
        <w:spacing w:line="600" w:lineRule="exact"/>
        <w:ind w:firstLine="640" w:firstLineChars="200"/>
        <w:rPr>
          <w:rFonts w:ascii="仿宋" w:eastAsia="仿宋"/>
          <w:color w:val="000000"/>
          <w:sz w:val="32"/>
          <w:szCs w:val="32"/>
        </w:rPr>
      </w:pPr>
      <w:r>
        <w:rPr>
          <w:rFonts w:hint="eastAsia" w:ascii="仿宋" w:eastAsia="仿宋"/>
          <w:color w:val="000000"/>
          <w:sz w:val="32"/>
          <w:szCs w:val="32"/>
        </w:rPr>
        <w:t>（图6：一般公共预算财政拨款支出决算结构）</w:t>
      </w:r>
      <w:bookmarkStart w:id="45" w:name="_Toc15377212"/>
    </w:p>
    <w:p>
      <w:pPr>
        <w:pStyle w:val="2"/>
      </w:pPr>
      <w:r>
        <w:drawing>
          <wp:inline distT="0" distB="0" distL="0" distR="0">
            <wp:extent cx="4333240" cy="2886075"/>
            <wp:effectExtent l="0" t="0" r="0" b="0"/>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2" w:firstLineChars="200"/>
        <w:outlineLvl w:val="2"/>
        <w:rPr>
          <w:rFonts w:ascii="仿宋" w:eastAsia="仿宋"/>
          <w:b/>
          <w:color w:val="000000"/>
          <w:sz w:val="32"/>
          <w:szCs w:val="32"/>
        </w:rPr>
      </w:pPr>
      <w:r>
        <w:rPr>
          <w:rFonts w:hint="eastAsia" w:ascii="仿宋" w:eastAsia="仿宋"/>
          <w:b/>
          <w:color w:val="000000"/>
          <w:sz w:val="32"/>
          <w:szCs w:val="32"/>
        </w:rPr>
        <w:t>（三）一般公共预算财政拨款支出决算具体情况</w:t>
      </w:r>
      <w:bookmarkEnd w:id="45"/>
    </w:p>
    <w:p>
      <w:pPr>
        <w:spacing w:line="600" w:lineRule="exact"/>
        <w:ind w:firstLine="640"/>
        <w:rPr>
          <w:rFonts w:ascii="仿宋" w:eastAsia="仿宋"/>
          <w:color w:val="000000"/>
          <w:sz w:val="32"/>
          <w:szCs w:val="32"/>
        </w:rPr>
      </w:pPr>
      <w:bookmarkStart w:id="46" w:name="_Toc15378460"/>
      <w:bookmarkStart w:id="47" w:name="_Toc15377444"/>
      <w:bookmarkStart w:id="48" w:name="_Toc15377213"/>
      <w:r>
        <w:rPr>
          <w:rFonts w:hint="eastAsia" w:ascii="仿宋" w:eastAsia="仿宋"/>
          <w:color w:val="000000"/>
          <w:sz w:val="32"/>
          <w:szCs w:val="32"/>
        </w:rPr>
        <w:t>2021年一般公共预算支出决算数为2516.74万</w:t>
      </w:r>
      <w:r>
        <w:rPr>
          <w:rFonts w:hint="eastAsia" w:ascii="仿宋" w:eastAsia="仿宋"/>
          <w:color w:val="000000"/>
          <w:sz w:val="32"/>
          <w:szCs w:val="32"/>
          <w:lang w:val="en-US" w:eastAsia="zh-CN"/>
        </w:rPr>
        <w:t>元</w:t>
      </w:r>
      <w:r>
        <w:rPr>
          <w:rFonts w:hint="eastAsia" w:ascii="仿宋" w:eastAsia="仿宋"/>
          <w:color w:val="000000"/>
          <w:sz w:val="32"/>
          <w:szCs w:val="32"/>
        </w:rPr>
        <w:t>，完成预算100%。其中：</w:t>
      </w:r>
      <w:bookmarkEnd w:id="46"/>
      <w:bookmarkEnd w:id="47"/>
      <w:bookmarkEnd w:id="48"/>
    </w:p>
    <w:p>
      <w:pPr>
        <w:spacing w:line="600" w:lineRule="exact"/>
        <w:ind w:firstLine="640"/>
        <w:rPr>
          <w:rFonts w:ascii="仿宋" w:eastAsia="仿宋"/>
          <w:color w:val="000000"/>
          <w:sz w:val="32"/>
          <w:szCs w:val="32"/>
        </w:rPr>
      </w:pPr>
      <w:r>
        <w:rPr>
          <w:rFonts w:hint="eastAsia" w:ascii="仿宋" w:eastAsia="仿宋"/>
          <w:color w:val="000000"/>
          <w:sz w:val="32"/>
          <w:szCs w:val="32"/>
        </w:rPr>
        <w:t>1.社会保障和就业支出（208）行政事业单位养老支出（20805）机关事业单位基本养老保险缴费支出（2080505）支出决算30.48万元，完成预算100%。</w:t>
      </w:r>
    </w:p>
    <w:p>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2.社会保障和就业支出（208）行政事业单位养老支出（20805）机关事业单位职业年金缴费支出（2080506）支出决算15.19万元，完成预算100%。</w:t>
      </w:r>
    </w:p>
    <w:p>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3.卫生健康支出（210）行政事业单位医疗（21011）行政单位医疗（2101101）支出决算21.05万元，完成预算100%。</w:t>
      </w:r>
    </w:p>
    <w:p>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4.农林水支出（213）扶贫（21305）其他扶贫支出（2130599）支出决算0.36万元，完成预算100%。</w:t>
      </w:r>
    </w:p>
    <w:p>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5.住房保障支出（221）住房改革支出（22102）住房公积金（2210201）支出决算29.40万元，完成预算100%。</w:t>
      </w:r>
    </w:p>
    <w:p>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6.灾害防治及应急管理支出（224）应急管理事务（22401）行政运行（2240101）支出决算324.13万元，完成预算100%。</w:t>
      </w:r>
    </w:p>
    <w:p>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7.灾害防治及应急管理支出（224）应急管理事务（22401）灾害风险防治（2240104）支出决算23.14万元，完成预算100%。</w:t>
      </w:r>
    </w:p>
    <w:p>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8.灾害防治及应急管理支出（224）应急管理事务（22401）安全监管（2240106）支出决算258.60万元，完成预算100%。</w:t>
      </w:r>
    </w:p>
    <w:p>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9.灾害防治及应急管理支出（224）应急管理事务（22401）应急救援（2240108）支出决算102.70万元，完成预算100%。</w:t>
      </w:r>
    </w:p>
    <w:p>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10.灾害防治及应急管理支出（224）应急管理事务（22401）其他应急管理支出（2240199）支出决算873.78万元，完成预算100%。</w:t>
      </w:r>
    </w:p>
    <w:p>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11.灾害防治及应急管理支出（224）自然灾害救灾及恢复重建支出（22407）自然灾害救灾补助（2240703）支出决算108.82万元，完成预算100%。</w:t>
      </w:r>
    </w:p>
    <w:p>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12.灾害防治及应急管理支出（224）自然灾害救灾及恢复重建支出（22407）其他自然灾害救灾及恢复重建支出（2240799）支出决算696.00万元，完成预算100%。</w:t>
      </w:r>
    </w:p>
    <w:p>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13.灾害防治及应急管理支出（224）其他灾害防治及应急管理支出（22499）其他灾害防治及应急管理支出（2249999）支出决算29.61万元，完成预算100%。</w:t>
      </w:r>
    </w:p>
    <w:p>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14.其他支出（229）其他支出（22999）其他支出（2299999）支出决算3.47万元，完成预算100%。</w:t>
      </w:r>
    </w:p>
    <w:p>
      <w:pPr>
        <w:pStyle w:val="4"/>
        <w:ind w:firstLine="642" w:firstLineChars="200"/>
        <w:rPr>
          <w:rFonts w:ascii="黑体" w:eastAsia="黑体" w:cs="Times New Roman"/>
          <w:b w:val="0"/>
          <w:color w:val="000000"/>
        </w:rPr>
      </w:pPr>
      <w:bookmarkStart w:id="49" w:name="_Toc15377214"/>
      <w:bookmarkStart w:id="50" w:name="_Toc113981018"/>
      <w:bookmarkStart w:id="51" w:name="_Toc111208504"/>
      <w:r>
        <w:rPr>
          <w:rFonts w:hint="eastAsia" w:ascii="黑体" w:eastAsia="黑体" w:cs="Times New Roman"/>
          <w:bCs w:val="0"/>
          <w:color w:val="000000"/>
        </w:rPr>
        <w:t>六、一般公共预算财政拨款基本支出决算情况说</w:t>
      </w:r>
      <w:bookmarkEnd w:id="49"/>
      <w:r>
        <w:rPr>
          <w:rFonts w:hint="eastAsia" w:ascii="黑体" w:eastAsia="黑体" w:cs="Times New Roman"/>
          <w:bCs w:val="0"/>
          <w:color w:val="000000"/>
        </w:rPr>
        <w:t>明</w:t>
      </w:r>
      <w:bookmarkEnd w:id="50"/>
      <w:bookmarkEnd w:id="51"/>
    </w:p>
    <w:p>
      <w:pPr>
        <w:spacing w:line="600" w:lineRule="exact"/>
        <w:ind w:firstLine="640"/>
        <w:rPr>
          <w:rFonts w:ascii="仿宋" w:eastAsia="仿宋"/>
          <w:color w:val="000000"/>
          <w:sz w:val="32"/>
          <w:szCs w:val="32"/>
        </w:rPr>
      </w:pPr>
      <w:r>
        <w:rPr>
          <w:rFonts w:hint="eastAsia" w:ascii="仿宋" w:eastAsia="仿宋"/>
          <w:color w:val="000000"/>
          <w:sz w:val="32"/>
          <w:szCs w:val="32"/>
        </w:rPr>
        <w:t>2021年一般公共预算财政拨款基本支出420.26万元，其中：</w:t>
      </w:r>
    </w:p>
    <w:p>
      <w:pPr>
        <w:spacing w:line="600" w:lineRule="exact"/>
        <w:ind w:firstLine="640"/>
        <w:rPr>
          <w:rFonts w:ascii="仿宋" w:eastAsia="仿宋"/>
          <w:color w:val="000000"/>
          <w:sz w:val="32"/>
          <w:szCs w:val="32"/>
        </w:rPr>
      </w:pPr>
      <w:r>
        <w:rPr>
          <w:rFonts w:hint="eastAsia" w:ascii="仿宋" w:eastAsia="仿宋"/>
          <w:color w:val="000000"/>
          <w:sz w:val="32"/>
          <w:szCs w:val="32"/>
        </w:rPr>
        <w:t>人员经费344.01万元，主要包括：基本工资73.42万元、津贴补贴78.53万元、奖金92.60万元、机关事业单位基本养老保险缴费30.48万元、职业年金缴费15.19万元、职工基本医疗保险缴费21.05万元、其他社会保障缴费0.88万元、住房公积金29.40万元、医疗费2.41万元、奖励金0.04万元。</w:t>
      </w:r>
    </w:p>
    <w:p>
      <w:pPr>
        <w:spacing w:line="600" w:lineRule="exact"/>
        <w:ind w:firstLine="640"/>
        <w:rPr>
          <w:rFonts w:ascii="仿宋" w:eastAsia="仿宋"/>
          <w:color w:val="000000"/>
          <w:sz w:val="32"/>
          <w:szCs w:val="32"/>
        </w:rPr>
      </w:pPr>
      <w:r>
        <w:rPr>
          <w:rFonts w:hint="eastAsia" w:ascii="仿宋" w:eastAsia="仿宋"/>
          <w:color w:val="000000"/>
          <w:sz w:val="32"/>
          <w:szCs w:val="32"/>
        </w:rPr>
        <w:t>公用经费76.25万元，主要包括：办公费41.69万元、印刷费3.01万元、邮电费2.38万元、差旅费17.93万元、培训费2.50万元、公务接待费0.75万元、公务用车运行维护费7.98万元。</w:t>
      </w:r>
    </w:p>
    <w:p>
      <w:pPr>
        <w:pStyle w:val="4"/>
        <w:ind w:firstLine="642" w:firstLineChars="200"/>
        <w:rPr>
          <w:rFonts w:ascii="黑体" w:eastAsia="黑体" w:cs="Times New Roman"/>
          <w:bCs w:val="0"/>
          <w:color w:val="000000"/>
        </w:rPr>
      </w:pPr>
      <w:bookmarkStart w:id="52" w:name="_Toc113981019"/>
      <w:bookmarkStart w:id="53" w:name="_Toc15377215"/>
      <w:bookmarkStart w:id="54" w:name="_Toc111208505"/>
      <w:r>
        <w:rPr>
          <w:rFonts w:hint="eastAsia" w:ascii="黑体" w:eastAsia="黑体" w:cs="Times New Roman"/>
          <w:bCs w:val="0"/>
          <w:color w:val="000000"/>
        </w:rPr>
        <w:t>七、“三公”经费财政拨款支出决算情况说明</w:t>
      </w:r>
      <w:bookmarkEnd w:id="52"/>
      <w:bookmarkEnd w:id="53"/>
      <w:bookmarkEnd w:id="54"/>
    </w:p>
    <w:p>
      <w:pPr>
        <w:spacing w:line="600" w:lineRule="exact"/>
        <w:ind w:firstLine="642" w:firstLineChars="200"/>
        <w:outlineLvl w:val="2"/>
        <w:rPr>
          <w:rFonts w:ascii="仿宋" w:eastAsia="仿宋"/>
          <w:b/>
          <w:color w:val="000000"/>
          <w:sz w:val="32"/>
          <w:szCs w:val="32"/>
        </w:rPr>
      </w:pPr>
      <w:bookmarkStart w:id="55" w:name="_Toc15377216"/>
      <w:r>
        <w:rPr>
          <w:rFonts w:hint="eastAsia" w:ascii="仿宋" w:eastAsia="仿宋"/>
          <w:b/>
          <w:color w:val="000000"/>
          <w:sz w:val="32"/>
          <w:szCs w:val="32"/>
        </w:rPr>
        <w:t>（一）“三公”经费财政拨款支出决算总体情况说明</w:t>
      </w:r>
      <w:bookmarkEnd w:id="55"/>
    </w:p>
    <w:p>
      <w:pPr>
        <w:spacing w:line="600" w:lineRule="exact"/>
        <w:ind w:firstLine="640"/>
        <w:rPr>
          <w:rFonts w:ascii="仿宋" w:eastAsia="仿宋"/>
          <w:color w:val="000000"/>
          <w:sz w:val="32"/>
          <w:szCs w:val="32"/>
        </w:rPr>
      </w:pPr>
      <w:r>
        <w:rPr>
          <w:rFonts w:hint="eastAsia" w:ascii="仿宋" w:eastAsia="仿宋"/>
          <w:color w:val="000000"/>
          <w:sz w:val="32"/>
          <w:szCs w:val="32"/>
        </w:rPr>
        <w:t>2021年“三公”经费财政拨款支出决算为14.90万元，完成预算100%。</w:t>
      </w:r>
      <w:bookmarkStart w:id="56" w:name="_Toc15377217"/>
    </w:p>
    <w:p>
      <w:pPr>
        <w:spacing w:line="600" w:lineRule="exact"/>
        <w:ind w:firstLine="642" w:firstLineChars="200"/>
        <w:outlineLvl w:val="2"/>
        <w:rPr>
          <w:rFonts w:ascii="仿宋" w:eastAsia="仿宋"/>
          <w:b/>
          <w:color w:val="000000"/>
          <w:sz w:val="32"/>
          <w:szCs w:val="32"/>
        </w:rPr>
      </w:pPr>
      <w:r>
        <w:rPr>
          <w:rFonts w:hint="eastAsia" w:ascii="仿宋" w:eastAsia="仿宋"/>
          <w:b/>
          <w:color w:val="000000"/>
          <w:sz w:val="32"/>
          <w:szCs w:val="32"/>
        </w:rPr>
        <w:t>（二）“三公”经费财政拨款支出决算具体情况说明</w:t>
      </w:r>
      <w:bookmarkEnd w:id="56"/>
    </w:p>
    <w:p>
      <w:pPr>
        <w:spacing w:line="600" w:lineRule="exact"/>
        <w:ind w:firstLine="640"/>
        <w:rPr>
          <w:rFonts w:ascii="仿宋" w:eastAsia="仿宋"/>
          <w:color w:val="000000"/>
          <w:sz w:val="32"/>
          <w:szCs w:val="32"/>
        </w:rPr>
      </w:pPr>
      <w:r>
        <w:rPr>
          <w:rFonts w:hint="eastAsia" w:ascii="仿宋" w:eastAsia="仿宋"/>
          <w:color w:val="000000"/>
          <w:sz w:val="32"/>
          <w:szCs w:val="32"/>
        </w:rPr>
        <w:t>2021年“三公”经费财政拨款支出14.90万，因公出国（境）费支出决算0万元；公务用车购置及运行维护费支出决算14.15万元，占94.97%；公务接待费支出决算0.75万元，占5.03%。具体情况如下：</w:t>
      </w:r>
    </w:p>
    <w:p>
      <w:pPr>
        <w:spacing w:line="600" w:lineRule="exact"/>
        <w:ind w:firstLine="640" w:firstLineChars="200"/>
        <w:rPr>
          <w:rFonts w:ascii="仿宋" w:eastAsia="仿宋"/>
          <w:color w:val="000000"/>
          <w:sz w:val="32"/>
          <w:szCs w:val="32"/>
        </w:rPr>
      </w:pPr>
      <w:r>
        <w:rPr>
          <w:rFonts w:hint="eastAsia" w:ascii="仿宋" w:eastAsia="仿宋"/>
          <w:color w:val="000000"/>
          <w:sz w:val="32"/>
          <w:szCs w:val="32"/>
        </w:rPr>
        <w:t>（图7：“三公”经费财政拨款支出结构）</w:t>
      </w:r>
    </w:p>
    <w:p>
      <w:pPr>
        <w:pStyle w:val="2"/>
        <w:rPr>
          <w:rFonts w:ascii="仿宋_GB2312" w:eastAsia="仿宋_GB2312"/>
          <w:color w:val="000000"/>
          <w:sz w:val="32"/>
          <w:szCs w:val="32"/>
        </w:rPr>
      </w:pPr>
      <w:r>
        <w:drawing>
          <wp:inline distT="0" distB="0" distL="0" distR="0">
            <wp:extent cx="4333240" cy="2886075"/>
            <wp:effectExtent l="0" t="0" r="0" b="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eastAsia="仿宋"/>
          <w:color w:val="000000"/>
          <w:sz w:val="32"/>
          <w:szCs w:val="32"/>
        </w:rPr>
      </w:pPr>
      <w:r>
        <w:rPr>
          <w:rFonts w:hint="eastAsia" w:ascii="仿宋" w:eastAsia="仿宋"/>
          <w:color w:val="000000"/>
          <w:sz w:val="32"/>
          <w:szCs w:val="32"/>
        </w:rPr>
        <w:t xml:space="preserve">1.因公出国（境）经费支出0.00万元,完成预算100%。全年安排因公出国（境）团组0次，出国（境）0人。因公出国（境）支出决算比2020年增加0万元。 </w:t>
      </w:r>
    </w:p>
    <w:p>
      <w:pPr>
        <w:spacing w:line="600" w:lineRule="exact"/>
        <w:ind w:firstLine="640"/>
        <w:rPr>
          <w:rFonts w:ascii="仿宋" w:eastAsia="仿宋"/>
          <w:color w:val="000000"/>
          <w:sz w:val="32"/>
          <w:szCs w:val="32"/>
        </w:rPr>
      </w:pPr>
      <w:r>
        <w:rPr>
          <w:rFonts w:hint="eastAsia" w:ascii="仿宋" w:eastAsia="仿宋"/>
          <w:color w:val="000000"/>
          <w:sz w:val="32"/>
          <w:szCs w:val="32"/>
        </w:rPr>
        <w:t xml:space="preserve">2.公务用车购置及运行维护费支出14.15万元,完成预算100%。公务用车购置及运行维护费支出决算比2020年增加0.89万元，增加6.7%。主要原因是公务用车费用增加。 </w:t>
      </w:r>
    </w:p>
    <w:p>
      <w:pPr>
        <w:spacing w:line="600" w:lineRule="exact"/>
        <w:ind w:firstLine="640" w:firstLineChars="200"/>
        <w:rPr>
          <w:rFonts w:ascii="仿宋" w:eastAsia="仿宋"/>
          <w:color w:val="000000"/>
          <w:sz w:val="32"/>
          <w:szCs w:val="32"/>
        </w:rPr>
      </w:pPr>
      <w:r>
        <w:rPr>
          <w:rFonts w:hint="eastAsia" w:ascii="仿宋" w:eastAsia="仿宋"/>
          <w:color w:val="000000"/>
          <w:sz w:val="32"/>
          <w:szCs w:val="32"/>
        </w:rPr>
        <w:t>其中：公务用车购置支出0万元。全年按规定更新购置公务用车0辆，其中：轿车0辆、金额0万元，越野车0辆、金额0万元，载客汽车0辆、金额0万元。截至</w:t>
      </w:r>
      <w:r>
        <w:rPr>
          <w:rFonts w:ascii="仿宋" w:eastAsia="仿宋"/>
          <w:color w:val="000000"/>
          <w:sz w:val="32"/>
          <w:szCs w:val="32"/>
        </w:rPr>
        <w:t>20</w:t>
      </w:r>
      <w:r>
        <w:rPr>
          <w:rFonts w:hint="eastAsia" w:ascii="仿宋" w:eastAsia="仿宋"/>
          <w:color w:val="000000"/>
          <w:sz w:val="32"/>
          <w:szCs w:val="32"/>
        </w:rPr>
        <w:t>21年</w:t>
      </w:r>
      <w:r>
        <w:rPr>
          <w:rFonts w:ascii="仿宋" w:eastAsia="仿宋"/>
          <w:color w:val="000000"/>
          <w:sz w:val="32"/>
          <w:szCs w:val="32"/>
        </w:rPr>
        <w:t>12</w:t>
      </w:r>
      <w:r>
        <w:rPr>
          <w:rFonts w:hint="eastAsia" w:ascii="仿宋" w:eastAsia="仿宋"/>
          <w:color w:val="000000"/>
          <w:sz w:val="32"/>
          <w:szCs w:val="32"/>
        </w:rPr>
        <w:t>月底，单位共有公务用车2辆，其中：轿车0辆、越野车2辆、载客汽车0辆。</w:t>
      </w:r>
    </w:p>
    <w:p>
      <w:pPr>
        <w:spacing w:line="600" w:lineRule="exact"/>
        <w:ind w:firstLine="640"/>
        <w:rPr>
          <w:rFonts w:ascii="仿宋" w:eastAsia="仿宋"/>
          <w:color w:val="000000"/>
          <w:sz w:val="32"/>
          <w:szCs w:val="32"/>
        </w:rPr>
      </w:pPr>
      <w:r>
        <w:rPr>
          <w:rFonts w:hint="eastAsia" w:ascii="仿宋" w:eastAsia="仿宋"/>
          <w:color w:val="000000"/>
          <w:sz w:val="32"/>
          <w:szCs w:val="32"/>
        </w:rPr>
        <w:t xml:space="preserve">公务用车运行维护费支出14.15万元。主要用于公务用车费用支出。 </w:t>
      </w:r>
    </w:p>
    <w:p>
      <w:pPr>
        <w:spacing w:line="600" w:lineRule="exact"/>
        <w:ind w:firstLine="640"/>
        <w:rPr>
          <w:rFonts w:ascii="仿宋" w:eastAsia="仿宋"/>
          <w:color w:val="000000"/>
          <w:sz w:val="32"/>
          <w:szCs w:val="32"/>
        </w:rPr>
      </w:pPr>
      <w:r>
        <w:rPr>
          <w:rFonts w:hint="eastAsia" w:ascii="仿宋" w:eastAsia="仿宋"/>
          <w:color w:val="000000"/>
          <w:sz w:val="32"/>
          <w:szCs w:val="32"/>
        </w:rPr>
        <w:t>3.公务接待费支出0.75万元，完成预算100%。公务接待费支出决算比2020年减少1.00万元，减少133.49</w:t>
      </w:r>
      <w:r>
        <w:rPr>
          <w:rFonts w:ascii="仿宋" w:eastAsia="仿宋"/>
          <w:color w:val="000000"/>
          <w:sz w:val="32"/>
          <w:szCs w:val="32"/>
        </w:rPr>
        <w:t>%</w:t>
      </w:r>
      <w:r>
        <w:rPr>
          <w:rFonts w:hint="eastAsia" w:ascii="仿宋" w:eastAsia="仿宋"/>
          <w:color w:val="000000"/>
          <w:sz w:val="32"/>
          <w:szCs w:val="32"/>
        </w:rPr>
        <w:t>。</w:t>
      </w:r>
      <w:bookmarkStart w:id="57" w:name="_Toc15377218"/>
      <w:r>
        <w:rPr>
          <w:rFonts w:hint="eastAsia" w:ascii="仿宋" w:eastAsia="仿宋"/>
          <w:color w:val="000000"/>
          <w:sz w:val="32"/>
          <w:szCs w:val="32"/>
        </w:rPr>
        <w:t xml:space="preserve">主要原因是公务接待减少。 </w:t>
      </w:r>
    </w:p>
    <w:p>
      <w:pPr>
        <w:spacing w:line="600" w:lineRule="exact"/>
        <w:ind w:firstLine="640"/>
        <w:rPr>
          <w:rFonts w:ascii="仿宋" w:eastAsia="仿宋"/>
          <w:color w:val="000000"/>
          <w:sz w:val="32"/>
          <w:szCs w:val="32"/>
        </w:rPr>
      </w:pPr>
      <w:r>
        <w:rPr>
          <w:rFonts w:hint="eastAsia" w:ascii="仿宋" w:eastAsia="仿宋"/>
          <w:color w:val="000000"/>
          <w:sz w:val="32"/>
          <w:szCs w:val="32"/>
        </w:rPr>
        <w:t>国内公务接待支出0.75万元。国内公务接待8批次，68人次（不包括陪同人员），共计支出0.75万元。</w:t>
      </w:r>
    </w:p>
    <w:p>
      <w:pPr>
        <w:pStyle w:val="2"/>
        <w:rPr>
          <w:rFonts w:ascii="仿宋" w:eastAsia="仿宋"/>
          <w:color w:val="000000"/>
          <w:sz w:val="32"/>
          <w:szCs w:val="32"/>
        </w:rPr>
      </w:pPr>
      <w:r>
        <w:rPr>
          <w:rFonts w:hint="eastAsia" w:ascii="仿宋" w:eastAsia="仿宋"/>
          <w:color w:val="000000"/>
          <w:sz w:val="32"/>
          <w:szCs w:val="32"/>
        </w:rPr>
        <w:t>外事接待支出0万元，外事接待0批次，0人，共计支出0万元。</w:t>
      </w:r>
    </w:p>
    <w:p>
      <w:pPr>
        <w:pStyle w:val="4"/>
        <w:ind w:firstLine="642" w:firstLineChars="200"/>
        <w:rPr>
          <w:rFonts w:ascii="黑体" w:eastAsia="黑体" w:cs="Times New Roman"/>
          <w:bCs w:val="0"/>
          <w:color w:val="000000"/>
        </w:rPr>
      </w:pPr>
      <w:bookmarkStart w:id="58" w:name="_Toc111208506"/>
      <w:bookmarkStart w:id="59" w:name="_Toc113981020"/>
      <w:r>
        <w:rPr>
          <w:rFonts w:hint="eastAsia" w:ascii="黑体" w:eastAsia="黑体" w:cs="Times New Roman"/>
          <w:bCs w:val="0"/>
          <w:color w:val="000000"/>
        </w:rPr>
        <w:t>八、政府性基金预算支出决算情况说明</w:t>
      </w:r>
      <w:bookmarkEnd w:id="57"/>
      <w:bookmarkEnd w:id="58"/>
      <w:bookmarkEnd w:id="59"/>
    </w:p>
    <w:p>
      <w:pPr>
        <w:spacing w:line="600" w:lineRule="exact"/>
        <w:ind w:firstLine="640"/>
        <w:rPr>
          <w:rFonts w:ascii="仿宋" w:eastAsia="仿宋"/>
        </w:rPr>
      </w:pPr>
      <w:r>
        <w:rPr>
          <w:rFonts w:hint="eastAsia" w:ascii="仿宋" w:eastAsia="仿宋"/>
          <w:color w:val="000000"/>
          <w:sz w:val="32"/>
          <w:szCs w:val="32"/>
        </w:rPr>
        <w:t>2021年政府性基金预算拨款支出0万元。</w:t>
      </w:r>
      <w:bookmarkStart w:id="60" w:name="_Toc15377219"/>
    </w:p>
    <w:p>
      <w:pPr>
        <w:pStyle w:val="4"/>
        <w:ind w:firstLine="642" w:firstLineChars="200"/>
        <w:rPr>
          <w:rFonts w:ascii="黑体" w:eastAsia="黑体" w:cs="Times New Roman"/>
          <w:bCs w:val="0"/>
          <w:color w:val="000000"/>
        </w:rPr>
      </w:pPr>
      <w:bookmarkStart w:id="61" w:name="_Toc113981021"/>
      <w:bookmarkStart w:id="62" w:name="_Toc111208507"/>
      <w:r>
        <w:rPr>
          <w:rFonts w:hint="eastAsia" w:ascii="黑体" w:eastAsia="黑体" w:cs="Times New Roman"/>
          <w:bCs w:val="0"/>
          <w:color w:val="000000"/>
        </w:rPr>
        <w:t>九、国有资本经营预算支出决算情况说明</w:t>
      </w:r>
      <w:bookmarkEnd w:id="60"/>
      <w:bookmarkEnd w:id="61"/>
      <w:bookmarkEnd w:id="62"/>
    </w:p>
    <w:p>
      <w:pPr>
        <w:spacing w:line="600" w:lineRule="exact"/>
        <w:ind w:firstLine="640"/>
        <w:rPr>
          <w:rFonts w:ascii="仿宋" w:eastAsia="仿宋"/>
        </w:rPr>
      </w:pPr>
      <w:r>
        <w:rPr>
          <w:rFonts w:hint="eastAsia" w:ascii="仿宋" w:eastAsia="仿宋"/>
          <w:color w:val="000000"/>
          <w:sz w:val="32"/>
          <w:szCs w:val="32"/>
        </w:rPr>
        <w:t>2021年国有资本经营预算拨款支出0万元。</w:t>
      </w:r>
    </w:p>
    <w:p>
      <w:pPr>
        <w:pStyle w:val="4"/>
        <w:ind w:firstLine="642" w:firstLineChars="200"/>
        <w:rPr>
          <w:rFonts w:ascii="黑体" w:eastAsia="黑体" w:cs="Times New Roman"/>
          <w:bCs w:val="0"/>
          <w:color w:val="000000"/>
        </w:rPr>
      </w:pPr>
      <w:bookmarkStart w:id="63" w:name="_Toc15377221"/>
      <w:bookmarkStart w:id="64" w:name="_Toc111208508"/>
      <w:bookmarkStart w:id="65" w:name="_Toc113981022"/>
      <w:r>
        <w:rPr>
          <w:rFonts w:hint="eastAsia" w:ascii="黑体" w:eastAsia="黑体" w:cs="Times New Roman"/>
          <w:bCs w:val="0"/>
          <w:color w:val="000000"/>
        </w:rPr>
        <w:t>十、其他重要事项的情况说明</w:t>
      </w:r>
      <w:bookmarkEnd w:id="63"/>
      <w:bookmarkEnd w:id="64"/>
      <w:bookmarkEnd w:id="65"/>
    </w:p>
    <w:p>
      <w:pPr>
        <w:spacing w:line="600" w:lineRule="exact"/>
        <w:ind w:firstLine="642" w:firstLineChars="200"/>
        <w:outlineLvl w:val="2"/>
        <w:rPr>
          <w:rFonts w:ascii="仿宋" w:eastAsia="仿宋"/>
          <w:b/>
          <w:color w:val="000000"/>
          <w:sz w:val="32"/>
          <w:szCs w:val="32"/>
        </w:rPr>
      </w:pPr>
      <w:bookmarkStart w:id="66" w:name="_Toc15377222"/>
      <w:r>
        <w:rPr>
          <w:rFonts w:hint="eastAsia" w:ascii="仿宋" w:eastAsia="仿宋"/>
          <w:b/>
          <w:color w:val="000000"/>
          <w:sz w:val="32"/>
          <w:szCs w:val="32"/>
        </w:rPr>
        <w:t>（一）机关运行经费支出情况</w:t>
      </w:r>
      <w:bookmarkEnd w:id="66"/>
    </w:p>
    <w:p>
      <w:pPr>
        <w:spacing w:line="600" w:lineRule="exact"/>
        <w:ind w:firstLine="640"/>
        <w:rPr>
          <w:rFonts w:ascii="仿宋" w:eastAsia="仿宋"/>
          <w:color w:val="000000"/>
          <w:sz w:val="32"/>
          <w:szCs w:val="32"/>
        </w:rPr>
      </w:pPr>
      <w:r>
        <w:rPr>
          <w:rFonts w:hint="eastAsia" w:ascii="仿宋" w:eastAsia="仿宋"/>
          <w:color w:val="000000"/>
          <w:sz w:val="32"/>
          <w:szCs w:val="32"/>
        </w:rPr>
        <w:t xml:space="preserve">2021年，机关运行经费支出76.25万元，比2020年增加10.04万元，增加15.17 %。主要原因是人员增加。 </w:t>
      </w:r>
    </w:p>
    <w:p>
      <w:pPr>
        <w:spacing w:line="600" w:lineRule="exact"/>
        <w:ind w:firstLine="642" w:firstLineChars="200"/>
        <w:outlineLvl w:val="2"/>
        <w:rPr>
          <w:rFonts w:ascii="仿宋" w:eastAsia="仿宋"/>
          <w:b/>
          <w:color w:val="000000"/>
          <w:sz w:val="32"/>
          <w:szCs w:val="32"/>
        </w:rPr>
      </w:pPr>
      <w:bookmarkStart w:id="67" w:name="_Toc15377223"/>
      <w:r>
        <w:rPr>
          <w:rFonts w:hint="eastAsia" w:ascii="仿宋" w:eastAsia="仿宋"/>
          <w:b/>
          <w:color w:val="000000"/>
          <w:sz w:val="32"/>
          <w:szCs w:val="32"/>
        </w:rPr>
        <w:t>（二）政府采购支出情况</w:t>
      </w:r>
      <w:bookmarkEnd w:id="67"/>
      <w:r>
        <w:rPr>
          <w:rFonts w:hint="eastAsia" w:ascii="仿宋" w:eastAsia="仿宋"/>
          <w:b/>
          <w:color w:val="000000"/>
          <w:sz w:val="32"/>
          <w:szCs w:val="32"/>
        </w:rPr>
        <w:t>(机构运行信息表)</w:t>
      </w:r>
    </w:p>
    <w:p>
      <w:pPr>
        <w:spacing w:line="600" w:lineRule="exact"/>
        <w:ind w:firstLine="640"/>
        <w:rPr>
          <w:rFonts w:ascii="仿宋_GB2312" w:eastAsia="仿宋_GB2312"/>
          <w:color w:val="000000"/>
          <w:sz w:val="32"/>
          <w:szCs w:val="32"/>
        </w:rPr>
      </w:pPr>
      <w:r>
        <w:rPr>
          <w:rFonts w:hint="eastAsia" w:ascii="仿宋" w:eastAsia="仿宋"/>
          <w:color w:val="000000"/>
          <w:sz w:val="32"/>
          <w:szCs w:val="32"/>
        </w:rPr>
        <w:t>2021年，政府采购支出总额33.20万元，其中：政府采购货物支出33.20万元、政府采购工程支出0万元、政府采购服务支出0万元。授予中小企业合同金额33.20万元，其中：授予小微企业合同金额0万元。</w:t>
      </w:r>
    </w:p>
    <w:p>
      <w:pPr>
        <w:spacing w:line="600" w:lineRule="exact"/>
        <w:ind w:firstLine="642" w:firstLineChars="200"/>
        <w:outlineLvl w:val="2"/>
        <w:rPr>
          <w:rFonts w:ascii="仿宋" w:eastAsia="仿宋"/>
          <w:b/>
          <w:color w:val="000000"/>
          <w:sz w:val="32"/>
          <w:szCs w:val="32"/>
        </w:rPr>
      </w:pPr>
      <w:bookmarkStart w:id="68" w:name="_Toc15377224"/>
      <w:r>
        <w:rPr>
          <w:rFonts w:hint="eastAsia" w:ascii="仿宋" w:eastAsia="仿宋"/>
          <w:b/>
          <w:color w:val="000000"/>
          <w:sz w:val="32"/>
          <w:szCs w:val="32"/>
        </w:rPr>
        <w:t>（三）国有资产占有使用情况</w:t>
      </w:r>
      <w:bookmarkEnd w:id="68"/>
    </w:p>
    <w:p>
      <w:pPr>
        <w:spacing w:line="600" w:lineRule="exact"/>
        <w:ind w:firstLine="640"/>
        <w:rPr>
          <w:rFonts w:ascii="仿宋" w:eastAsia="仿宋"/>
          <w:color w:val="000000"/>
          <w:sz w:val="32"/>
          <w:szCs w:val="32"/>
        </w:rPr>
      </w:pPr>
      <w:r>
        <w:rPr>
          <w:rFonts w:hint="eastAsia" w:ascii="仿宋" w:eastAsia="仿宋"/>
          <w:color w:val="000000"/>
          <w:sz w:val="32"/>
          <w:szCs w:val="32"/>
        </w:rPr>
        <w:t>截至2021年</w:t>
      </w:r>
      <w:r>
        <w:rPr>
          <w:rFonts w:ascii="仿宋" w:eastAsia="仿宋"/>
          <w:color w:val="000000"/>
          <w:sz w:val="32"/>
          <w:szCs w:val="32"/>
        </w:rPr>
        <w:t>12</w:t>
      </w:r>
      <w:r>
        <w:rPr>
          <w:rFonts w:hint="eastAsia" w:ascii="仿宋" w:eastAsia="仿宋"/>
          <w:color w:val="000000"/>
          <w:sz w:val="32"/>
          <w:szCs w:val="32"/>
        </w:rPr>
        <w:t>月</w:t>
      </w:r>
      <w:r>
        <w:rPr>
          <w:rFonts w:ascii="仿宋" w:eastAsia="仿宋"/>
          <w:color w:val="000000"/>
          <w:sz w:val="32"/>
          <w:szCs w:val="32"/>
        </w:rPr>
        <w:t>31</w:t>
      </w:r>
      <w:r>
        <w:rPr>
          <w:rFonts w:hint="eastAsia" w:ascii="仿宋" w:eastAsia="仿宋"/>
          <w:color w:val="000000"/>
          <w:sz w:val="32"/>
          <w:szCs w:val="32"/>
        </w:rPr>
        <w:t>日，共有车辆2辆，其中：主要领导干部用车0辆、机要通信用车0辆、应急保障用车2辆、其他用车0辆。单价</w:t>
      </w:r>
      <w:r>
        <w:rPr>
          <w:rFonts w:ascii="仿宋" w:eastAsia="仿宋"/>
          <w:color w:val="000000"/>
          <w:sz w:val="32"/>
          <w:szCs w:val="32"/>
        </w:rPr>
        <w:t>50</w:t>
      </w:r>
      <w:r>
        <w:rPr>
          <w:rFonts w:hint="eastAsia" w:ascii="仿宋" w:eastAsia="仿宋"/>
          <w:color w:val="000000"/>
          <w:sz w:val="32"/>
          <w:szCs w:val="32"/>
        </w:rPr>
        <w:t>万元以上通用设备1台（套），单价</w:t>
      </w:r>
      <w:r>
        <w:rPr>
          <w:rFonts w:ascii="仿宋" w:eastAsia="仿宋"/>
          <w:color w:val="000000"/>
          <w:sz w:val="32"/>
          <w:szCs w:val="32"/>
        </w:rPr>
        <w:t>100</w:t>
      </w:r>
      <w:r>
        <w:rPr>
          <w:rFonts w:hint="eastAsia" w:ascii="仿宋" w:eastAsia="仿宋"/>
          <w:color w:val="000000"/>
          <w:sz w:val="32"/>
          <w:szCs w:val="32"/>
        </w:rPr>
        <w:t>万元以上专用设备0台（套）。</w:t>
      </w:r>
    </w:p>
    <w:p>
      <w:pPr>
        <w:spacing w:line="600" w:lineRule="exact"/>
        <w:ind w:firstLine="642" w:firstLineChars="200"/>
        <w:outlineLvl w:val="2"/>
        <w:rPr>
          <w:rFonts w:ascii="仿宋" w:eastAsia="仿宋"/>
          <w:b/>
          <w:color w:val="000000"/>
          <w:sz w:val="32"/>
          <w:szCs w:val="32"/>
        </w:rPr>
      </w:pPr>
      <w:r>
        <w:rPr>
          <w:rFonts w:hint="eastAsia" w:ascii="仿宋" w:eastAsia="仿宋"/>
          <w:b/>
          <w:color w:val="000000"/>
          <w:sz w:val="32"/>
          <w:szCs w:val="32"/>
        </w:rPr>
        <w:t>（四）预算绩效管理情况</w:t>
      </w:r>
    </w:p>
    <w:p>
      <w:pPr>
        <w:pStyle w:val="29"/>
        <w:spacing w:line="580" w:lineRule="exact"/>
        <w:ind w:firstLine="640" w:firstLineChars="200"/>
        <w:rPr>
          <w:rFonts w:ascii="仿宋_GB2312" w:cs="仿宋_GB2312"/>
          <w:szCs w:val="32"/>
        </w:rPr>
      </w:pPr>
      <w:r>
        <w:rPr>
          <w:rFonts w:hint="eastAsia" w:ascii="仿宋_GB2312" w:cs="仿宋_GB2312"/>
          <w:szCs w:val="32"/>
        </w:rPr>
        <w:t>根据预算绩效管理要求，本部门在年初预算编制阶段，组织对</w:t>
      </w:r>
      <w:r>
        <w:rPr>
          <w:rFonts w:ascii="仿宋_GB2312" w:cs="仿宋_GB2312"/>
          <w:szCs w:val="32"/>
        </w:rPr>
        <w:t>9</w:t>
      </w:r>
      <w:r>
        <w:rPr>
          <w:rFonts w:hint="eastAsia" w:ascii="仿宋_GB2312" w:cs="仿宋_GB2312"/>
          <w:szCs w:val="32"/>
        </w:rPr>
        <w:t>个项目（</w:t>
      </w:r>
      <w:r>
        <w:rPr>
          <w:rFonts w:hint="eastAsia" w:ascii="仿宋_GB2312"/>
          <w:szCs w:val="32"/>
        </w:rPr>
        <w:t>2020年因洪涝灾害倒塌和严重损坏民房恢复重建资金</w:t>
      </w:r>
      <w:r>
        <w:rPr>
          <w:rFonts w:ascii="仿宋_GB2312" w:cs="仿宋_GB2312"/>
          <w:szCs w:val="32"/>
        </w:rPr>
        <w:t>、</w:t>
      </w:r>
      <w:r>
        <w:rPr>
          <w:rFonts w:hint="eastAsia" w:ascii="仿宋_GB2312"/>
          <w:szCs w:val="32"/>
        </w:rPr>
        <w:t>抗洪抢险应急物及设备购置</w:t>
      </w:r>
      <w:r>
        <w:rPr>
          <w:rFonts w:ascii="仿宋_GB2312"/>
          <w:szCs w:val="32"/>
        </w:rPr>
        <w:t>、</w:t>
      </w:r>
      <w:r>
        <w:rPr>
          <w:rFonts w:hint="eastAsia" w:ascii="仿宋_GB2312" w:cs="宋体"/>
          <w:color w:val="000000"/>
          <w:kern w:val="0"/>
          <w:szCs w:val="32"/>
        </w:rPr>
        <w:t>全国自然灾害综合风险普查</w:t>
      </w:r>
      <w:r>
        <w:rPr>
          <w:rFonts w:hint="eastAsia" w:ascii="仿宋_GB2312" w:cs="仿宋_GB2312"/>
          <w:szCs w:val="32"/>
        </w:rPr>
        <w:t>、</w:t>
      </w:r>
      <w:r>
        <w:rPr>
          <w:rFonts w:hint="eastAsia" w:ascii="仿宋_GB2312"/>
          <w:szCs w:val="32"/>
        </w:rPr>
        <w:t>受灾群众过渡安置生活救助资金</w:t>
      </w:r>
      <w:r>
        <w:rPr>
          <w:rFonts w:hint="eastAsia" w:ascii="仿宋_GB2312" w:cs="仿宋_GB2312"/>
          <w:szCs w:val="32"/>
        </w:rPr>
        <w:t>、巨灾指数保险保费</w:t>
      </w:r>
      <w:r>
        <w:rPr>
          <w:rFonts w:ascii="仿宋_GB2312" w:cs="仿宋_GB2312"/>
          <w:szCs w:val="32"/>
        </w:rPr>
        <w:t>、</w:t>
      </w:r>
      <w:r>
        <w:rPr>
          <w:rFonts w:hint="eastAsia" w:ascii="仿宋_GB2312" w:cs="仿宋_GB2312"/>
          <w:szCs w:val="32"/>
        </w:rPr>
        <w:t>安全生产综合信息平台技术服务支撑费</w:t>
      </w:r>
      <w:r>
        <w:rPr>
          <w:rFonts w:ascii="仿宋_GB2312" w:cs="仿宋_GB2312"/>
          <w:szCs w:val="32"/>
        </w:rPr>
        <w:t>、</w:t>
      </w:r>
      <w:r>
        <w:rPr>
          <w:rFonts w:hint="eastAsia" w:ascii="仿宋_GB2312"/>
          <w:szCs w:val="32"/>
        </w:rPr>
        <w:t>2020年中央自然灾害救灾资金应急排查服务项目</w:t>
      </w:r>
      <w:r>
        <w:rPr>
          <w:rFonts w:ascii="仿宋_GB2312"/>
          <w:szCs w:val="32"/>
        </w:rPr>
        <w:t>、</w:t>
      </w:r>
      <w:r>
        <w:rPr>
          <w:rFonts w:hint="eastAsia" w:ascii="仿宋_GB2312"/>
          <w:szCs w:val="32"/>
        </w:rPr>
        <w:t>茂县应急管理局应急排查服务</w:t>
      </w:r>
      <w:r>
        <w:rPr>
          <w:rFonts w:hint="eastAsia" w:ascii="仿宋_GB2312" w:cs="仿宋_GB2312"/>
          <w:szCs w:val="32"/>
        </w:rPr>
        <w:t>项目</w:t>
      </w:r>
      <w:r>
        <w:rPr>
          <w:rFonts w:ascii="仿宋_GB2312" w:cs="仿宋_GB2312"/>
          <w:szCs w:val="32"/>
        </w:rPr>
        <w:t>、</w:t>
      </w:r>
      <w:r>
        <w:rPr>
          <w:rFonts w:ascii="仿宋_GB2312"/>
          <w:szCs w:val="32"/>
        </w:rPr>
        <w:t>茂县2021年安全监管应急抢险防汛森林防灭火专项经费</w:t>
      </w:r>
      <w:r>
        <w:rPr>
          <w:rFonts w:hint="eastAsia" w:ascii="仿宋_GB2312" w:cs="仿宋_GB2312"/>
          <w:szCs w:val="32"/>
        </w:rPr>
        <w:t>）开展了预算事前绩效评估，对</w:t>
      </w:r>
      <w:r>
        <w:rPr>
          <w:rFonts w:ascii="仿宋_GB2312" w:cs="仿宋_GB2312"/>
          <w:szCs w:val="32"/>
        </w:rPr>
        <w:t>9</w:t>
      </w:r>
      <w:r>
        <w:rPr>
          <w:rFonts w:hint="eastAsia" w:ascii="仿宋_GB2312" w:cs="仿宋_GB2312"/>
          <w:szCs w:val="32"/>
        </w:rPr>
        <w:t>个项目编制了绩效目标，预算执行过程中，选取</w:t>
      </w:r>
      <w:r>
        <w:rPr>
          <w:rFonts w:ascii="仿宋_GB2312" w:cs="仿宋_GB2312"/>
          <w:szCs w:val="32"/>
        </w:rPr>
        <w:t>9</w:t>
      </w:r>
      <w:r>
        <w:rPr>
          <w:rFonts w:hint="eastAsia" w:ascii="仿宋_GB2312" w:cs="仿宋_GB2312"/>
          <w:szCs w:val="32"/>
        </w:rPr>
        <w:t>个项目开展绩效监控，年终执行完毕后，对</w:t>
      </w:r>
      <w:r>
        <w:rPr>
          <w:rFonts w:ascii="仿宋_GB2312" w:cs="仿宋_GB2312"/>
          <w:szCs w:val="32"/>
        </w:rPr>
        <w:t>9</w:t>
      </w:r>
      <w:r>
        <w:rPr>
          <w:rFonts w:hint="eastAsia" w:ascii="仿宋_GB2312" w:cs="仿宋_GB2312"/>
          <w:szCs w:val="32"/>
        </w:rPr>
        <w:t>个项目开展了绩效目标完成情况自评。</w:t>
      </w:r>
    </w:p>
    <w:p>
      <w:pPr>
        <w:pStyle w:val="29"/>
        <w:spacing w:line="580" w:lineRule="exact"/>
        <w:ind w:firstLine="640" w:firstLineChars="200"/>
        <w:rPr>
          <w:rFonts w:ascii="仿宋_GB2312" w:cs="仿宋_GB2312"/>
          <w:szCs w:val="32"/>
        </w:rPr>
      </w:pPr>
      <w:r>
        <w:rPr>
          <w:rFonts w:hint="eastAsia" w:ascii="仿宋_GB2312" w:cs="仿宋_GB2312"/>
          <w:szCs w:val="32"/>
        </w:rPr>
        <w:t>本部门按要求对202</w:t>
      </w:r>
      <w:r>
        <w:rPr>
          <w:rFonts w:ascii="仿宋_GB2312" w:cs="仿宋_GB2312"/>
          <w:szCs w:val="32"/>
        </w:rPr>
        <w:t>1</w:t>
      </w:r>
      <w:r>
        <w:rPr>
          <w:rFonts w:hint="eastAsia" w:ascii="仿宋_GB2312" w:cs="仿宋_GB2312"/>
          <w:szCs w:val="32"/>
        </w:rPr>
        <w:t>年部门整体支出开展绩效自评，从评价情况来看，我局部门整体支出绩效评价自查良好，全年基本支出保证了部门的正常运作和日常工作的正常开展，项目支出保障了重点工作的开展，绩效目标得到了较好的实现，绩效管理水平不断提高，绩效指标体系逐渐丰富和完善。本部门还自行组织了</w:t>
      </w:r>
      <w:r>
        <w:rPr>
          <w:rFonts w:ascii="仿宋_GB2312" w:cs="仿宋_GB2312"/>
          <w:szCs w:val="32"/>
        </w:rPr>
        <w:t>9</w:t>
      </w:r>
      <w:r>
        <w:rPr>
          <w:rFonts w:hint="eastAsia" w:ascii="仿宋_GB2312" w:cs="仿宋_GB2312"/>
          <w:szCs w:val="32"/>
        </w:rPr>
        <w:t>个项目支出绩效评价，从评价情况来看</w:t>
      </w:r>
      <w:r>
        <w:rPr>
          <w:rFonts w:ascii="仿宋_GB2312" w:cs="仿宋_GB2312"/>
          <w:szCs w:val="32"/>
        </w:rPr>
        <w:t>9</w:t>
      </w:r>
      <w:r>
        <w:rPr>
          <w:rFonts w:hint="eastAsia" w:ascii="仿宋_GB2312" w:cs="仿宋_GB2312"/>
          <w:szCs w:val="32"/>
        </w:rPr>
        <w:t>个项目都较好的完成了预期目标。</w:t>
      </w:r>
    </w:p>
    <w:p>
      <w:pPr>
        <w:pStyle w:val="29"/>
        <w:spacing w:line="580" w:lineRule="exact"/>
        <w:ind w:firstLine="642" w:firstLineChars="200"/>
        <w:rPr>
          <w:rFonts w:ascii="楷体_GB2312" w:eastAsia="楷体_GB2312" w:cs="楷体_GB2312"/>
          <w:szCs w:val="32"/>
        </w:rPr>
      </w:pPr>
      <w:r>
        <w:rPr>
          <w:rFonts w:hint="eastAsia" w:ascii="仿宋_GB2312" w:cs="仿宋_GB2312"/>
          <w:b/>
          <w:bCs/>
          <w:szCs w:val="32"/>
        </w:rPr>
        <w:t>1.项目绩效目标完成情况</w:t>
      </w:r>
      <w:r>
        <w:rPr>
          <w:rFonts w:hint="eastAsia" w:ascii="楷体_GB2312" w:eastAsia="楷体_GB2312" w:cs="楷体_GB2312"/>
          <w:szCs w:val="32"/>
        </w:rPr>
        <w:t>。</w:t>
      </w:r>
    </w:p>
    <w:p>
      <w:pPr>
        <w:pStyle w:val="29"/>
        <w:spacing w:line="580" w:lineRule="exact"/>
        <w:ind w:firstLine="640" w:firstLineChars="200"/>
        <w:rPr>
          <w:rFonts w:ascii="仿宋_GB2312" w:cs="仿宋_GB2312"/>
          <w:szCs w:val="32"/>
        </w:rPr>
      </w:pPr>
      <w:r>
        <w:rPr>
          <w:rFonts w:hint="eastAsia" w:ascii="仿宋_GB2312" w:cs="仿宋_GB2312"/>
          <w:szCs w:val="32"/>
        </w:rPr>
        <w:t>本部门在202</w:t>
      </w:r>
      <w:r>
        <w:rPr>
          <w:rFonts w:ascii="仿宋_GB2312" w:cs="仿宋_GB2312"/>
          <w:szCs w:val="32"/>
        </w:rPr>
        <w:t>1</w:t>
      </w:r>
      <w:r>
        <w:rPr>
          <w:rFonts w:hint="eastAsia" w:ascii="仿宋_GB2312" w:cs="仿宋_GB2312"/>
          <w:szCs w:val="32"/>
        </w:rPr>
        <w:t>年度部门决算中反映“</w:t>
      </w:r>
      <w:r>
        <w:rPr>
          <w:rFonts w:hint="eastAsia" w:ascii="仿宋_GB2312"/>
          <w:szCs w:val="32"/>
        </w:rPr>
        <w:t>2020年因洪涝灾害倒塌和严重损坏民房恢复重建资金</w:t>
      </w:r>
      <w:r>
        <w:rPr>
          <w:rFonts w:ascii="仿宋_GB2312"/>
          <w:szCs w:val="32"/>
        </w:rPr>
        <w:t>、</w:t>
      </w:r>
      <w:r>
        <w:rPr>
          <w:rFonts w:hint="eastAsia" w:ascii="仿宋_GB2312" w:cs="仿宋_GB2312"/>
          <w:szCs w:val="32"/>
        </w:rPr>
        <w:t>安全生产综合信息平台技术服务支撑费、巨灾指数保险保费、抗洪抢险应急物资及设备购置、</w:t>
      </w:r>
      <w:r>
        <w:rPr>
          <w:rFonts w:hint="eastAsia" w:ascii="仿宋_GB2312"/>
          <w:szCs w:val="32"/>
        </w:rPr>
        <w:t>受灾群众过渡安置生活救助资金、</w:t>
      </w:r>
      <w:r>
        <w:rPr>
          <w:rFonts w:hint="eastAsia" w:ascii="仿宋_GB2312" w:cs="仿宋_GB2312"/>
          <w:color w:val="000000"/>
          <w:szCs w:val="32"/>
        </w:rPr>
        <w:t>受灾群众冬春生活救助粮食发放</w:t>
      </w:r>
      <w:r>
        <w:rPr>
          <w:rFonts w:hint="eastAsia" w:ascii="仿宋_GB2312" w:cs="仿宋_GB2312"/>
          <w:szCs w:val="32"/>
        </w:rPr>
        <w:t>”</w:t>
      </w:r>
      <w:r>
        <w:rPr>
          <w:rFonts w:ascii="仿宋_GB2312" w:cs="仿宋_GB2312"/>
          <w:szCs w:val="32"/>
        </w:rPr>
        <w:t>9</w:t>
      </w:r>
      <w:r>
        <w:rPr>
          <w:rFonts w:hint="eastAsia" w:ascii="仿宋_GB2312" w:cs="仿宋_GB2312"/>
          <w:szCs w:val="32"/>
        </w:rPr>
        <w:t xml:space="preserve">个项目绩效目标实际完成情况。 </w:t>
      </w:r>
    </w:p>
    <w:p>
      <w:pPr>
        <w:pStyle w:val="29"/>
        <w:spacing w:line="580" w:lineRule="exact"/>
        <w:ind w:firstLine="640" w:firstLineChars="200"/>
        <w:rPr>
          <w:rFonts w:ascii="仿宋_GB2312" w:cs="仿宋_GB2312"/>
          <w:szCs w:val="32"/>
        </w:rPr>
      </w:pPr>
      <w:r>
        <w:rPr>
          <w:rFonts w:hint="eastAsia" w:ascii="仿宋_GB2312" w:cs="仿宋_GB2312"/>
          <w:szCs w:val="32"/>
        </w:rPr>
        <w:t>（1）</w:t>
      </w:r>
      <w:r>
        <w:rPr>
          <w:rFonts w:hint="eastAsia" w:ascii="宋体" w:hAnsi="宋体"/>
          <w:szCs w:val="32"/>
        </w:rPr>
        <w:t>强降雨受灾群众房屋重建补助</w:t>
      </w:r>
      <w:r>
        <w:rPr>
          <w:rFonts w:hint="eastAsia" w:ascii="仿宋_GB2312" w:cs="仿宋_GB2312"/>
          <w:szCs w:val="32"/>
        </w:rPr>
        <w:t>项目绩效目标完成情况综述。项目全年预算数</w:t>
      </w:r>
      <w:r>
        <w:rPr>
          <w:rFonts w:ascii="仿宋_GB2312" w:cs="仿宋_GB2312"/>
          <w:szCs w:val="32"/>
        </w:rPr>
        <w:t>696</w:t>
      </w:r>
      <w:r>
        <w:rPr>
          <w:rFonts w:hint="eastAsia" w:ascii="仿宋_GB2312" w:cs="仿宋_GB2312"/>
          <w:szCs w:val="32"/>
        </w:rPr>
        <w:t>万元，执行数为</w:t>
      </w:r>
      <w:r>
        <w:rPr>
          <w:rFonts w:ascii="仿宋_GB2312" w:cs="仿宋_GB2312"/>
          <w:szCs w:val="32"/>
        </w:rPr>
        <w:t>696</w:t>
      </w:r>
      <w:r>
        <w:rPr>
          <w:rFonts w:hint="eastAsia" w:ascii="仿宋_GB2312" w:cs="仿宋_GB2312"/>
          <w:szCs w:val="32"/>
        </w:rPr>
        <w:t>万元，完成预算的100%。通过项目实施</w:t>
      </w:r>
      <w:r>
        <w:rPr>
          <w:rFonts w:ascii="仿宋_GB2312" w:cs="仿宋_GB2312"/>
          <w:szCs w:val="32"/>
        </w:rPr>
        <w:t>对</w:t>
      </w:r>
      <w:r>
        <w:rPr>
          <w:rFonts w:hint="eastAsia" w:ascii="仿宋_GB2312" w:cs="宋体"/>
          <w:color w:val="000000"/>
          <w:szCs w:val="32"/>
        </w:rPr>
        <w:t>2020年8.16”特大暴雨泥石流山洪造成部分农户房屋受损和倒塌，对维修加固和重建的农户进行补助</w:t>
      </w:r>
      <w:r>
        <w:rPr>
          <w:rFonts w:hint="eastAsia" w:ascii="仿宋_GB2312" w:cs="仿宋_GB2312"/>
          <w:szCs w:val="32"/>
        </w:rPr>
        <w:t>，</w:t>
      </w:r>
      <w:r>
        <w:rPr>
          <w:rFonts w:ascii="仿宋_GB2312" w:cs="仿宋_GB2312"/>
          <w:szCs w:val="32"/>
        </w:rPr>
        <w:t>及时</w:t>
      </w:r>
      <w:r>
        <w:rPr>
          <w:rFonts w:hint="eastAsia" w:ascii="仿宋_GB2312" w:cs="仿宋_GB2312"/>
          <w:color w:val="000000"/>
          <w:szCs w:val="32"/>
        </w:rPr>
        <w:t>。</w:t>
      </w:r>
      <w:r>
        <w:rPr>
          <w:rFonts w:hint="eastAsia" w:ascii="仿宋_GB2312" w:cs="仿宋_GB2312"/>
          <w:szCs w:val="32"/>
        </w:rPr>
        <w:t>发现的主要问</w:t>
      </w:r>
      <w:r>
        <w:rPr>
          <w:rFonts w:ascii="仿宋_GB2312" w:cs="仿宋_GB2312"/>
          <w:szCs w:val="32"/>
        </w:rPr>
        <w:t>：项目实施还没有结束</w:t>
      </w:r>
      <w:r>
        <w:rPr>
          <w:rFonts w:hint="eastAsia" w:ascii="仿宋_GB2312" w:cs="仿宋_GB2312"/>
          <w:color w:val="000000"/>
          <w:szCs w:val="32"/>
        </w:rPr>
        <w:t>。</w:t>
      </w:r>
      <w:r>
        <w:rPr>
          <w:rFonts w:hint="eastAsia" w:ascii="仿宋_GB2312" w:cs="仿宋_GB2312"/>
          <w:szCs w:val="32"/>
        </w:rPr>
        <w:t>下一步改进措施：无。</w:t>
      </w:r>
    </w:p>
    <w:p>
      <w:pPr>
        <w:pStyle w:val="29"/>
        <w:spacing w:line="580" w:lineRule="exact"/>
        <w:ind w:firstLine="640" w:firstLineChars="200"/>
        <w:rPr>
          <w:rFonts w:ascii="仿宋_GB2312" w:cs="仿宋_GB2312"/>
          <w:szCs w:val="32"/>
        </w:rPr>
      </w:pPr>
      <w:r>
        <w:rPr>
          <w:rFonts w:hint="eastAsia" w:ascii="仿宋_GB2312" w:cs="仿宋_GB2312"/>
          <w:szCs w:val="32"/>
        </w:rPr>
        <w:t>（</w:t>
      </w:r>
      <w:r>
        <w:rPr>
          <w:rFonts w:ascii="仿宋_GB2312" w:cs="仿宋_GB2312"/>
          <w:szCs w:val="32"/>
        </w:rPr>
        <w:t>2</w:t>
      </w:r>
      <w:r>
        <w:rPr>
          <w:rFonts w:hint="eastAsia" w:ascii="仿宋_GB2312" w:cs="仿宋_GB2312"/>
          <w:szCs w:val="32"/>
        </w:rPr>
        <w:t>）抗洪抢险应急物资及设备购置项目绩效目标完成情况综述。项目全年预算数</w:t>
      </w:r>
      <w:r>
        <w:rPr>
          <w:rFonts w:ascii="仿宋_GB2312" w:cs="仿宋_GB2312"/>
          <w:szCs w:val="32"/>
        </w:rPr>
        <w:t>446</w:t>
      </w:r>
      <w:r>
        <w:rPr>
          <w:rFonts w:hint="eastAsia" w:ascii="仿宋_GB2312" w:cs="仿宋_GB2312"/>
          <w:szCs w:val="32"/>
        </w:rPr>
        <w:t>万元，执行数为</w:t>
      </w:r>
      <w:r>
        <w:rPr>
          <w:rFonts w:hint="eastAsia" w:ascii="仿宋_GB2312" w:cs="宋体"/>
          <w:color w:val="000000"/>
          <w:szCs w:val="32"/>
        </w:rPr>
        <w:t>420.82</w:t>
      </w:r>
      <w:r>
        <w:rPr>
          <w:rFonts w:hint="eastAsia" w:ascii="仿宋_GB2312" w:cs="仿宋_GB2312"/>
          <w:szCs w:val="32"/>
        </w:rPr>
        <w:t>万元，完成预算的</w:t>
      </w:r>
      <w:r>
        <w:rPr>
          <w:rFonts w:ascii="仿宋_GB2312" w:cs="仿宋_GB2312"/>
          <w:szCs w:val="32"/>
        </w:rPr>
        <w:t>95</w:t>
      </w:r>
      <w:r>
        <w:rPr>
          <w:rFonts w:hint="eastAsia" w:ascii="仿宋_GB2312" w:cs="仿宋_GB2312"/>
          <w:szCs w:val="32"/>
        </w:rPr>
        <w:t>%。通过项目实施，加强灾害救援救助工作。发现的主要问题：剩余5%的质量保证未兑现。下一步改进措施：</w:t>
      </w:r>
      <w:r>
        <w:rPr>
          <w:rFonts w:ascii="仿宋_GB2312" w:cs="仿宋_GB2312"/>
          <w:szCs w:val="32"/>
        </w:rPr>
        <w:t>及时兑现</w:t>
      </w:r>
      <w:r>
        <w:rPr>
          <w:rFonts w:hint="eastAsia" w:ascii="仿宋_GB2312" w:cs="仿宋_GB2312"/>
          <w:szCs w:val="32"/>
        </w:rPr>
        <w:t>。</w:t>
      </w:r>
    </w:p>
    <w:p>
      <w:pPr>
        <w:pStyle w:val="29"/>
        <w:spacing w:line="580" w:lineRule="exact"/>
        <w:ind w:firstLine="640" w:firstLineChars="200"/>
        <w:rPr>
          <w:rFonts w:ascii="仿宋_GB2312" w:cs="仿宋_GB2312"/>
          <w:szCs w:val="32"/>
        </w:rPr>
      </w:pPr>
      <w:r>
        <w:rPr>
          <w:rFonts w:hint="eastAsia" w:ascii="仿宋_GB2312" w:cs="仿宋_GB2312"/>
          <w:szCs w:val="32"/>
        </w:rPr>
        <w:t>（</w:t>
      </w:r>
      <w:r>
        <w:rPr>
          <w:rFonts w:ascii="仿宋_GB2312" w:cs="仿宋_GB2312"/>
          <w:szCs w:val="32"/>
        </w:rPr>
        <w:t>3</w:t>
      </w:r>
      <w:r>
        <w:rPr>
          <w:rFonts w:hint="eastAsia" w:ascii="仿宋_GB2312" w:cs="仿宋_GB2312"/>
          <w:szCs w:val="32"/>
        </w:rPr>
        <w:t>）</w:t>
      </w:r>
      <w:r>
        <w:rPr>
          <w:rFonts w:hint="eastAsia" w:ascii="仿宋_GB2312" w:cs="宋体"/>
          <w:color w:val="000000"/>
          <w:kern w:val="0"/>
          <w:szCs w:val="32"/>
        </w:rPr>
        <w:t>全国自然灾害综合风险普查</w:t>
      </w:r>
      <w:r>
        <w:rPr>
          <w:rFonts w:hint="eastAsia" w:ascii="仿宋_GB2312" w:cs="仿宋_GB2312"/>
          <w:szCs w:val="32"/>
        </w:rPr>
        <w:t>项目绩效目标完成情况综述。项目全年预算数</w:t>
      </w:r>
      <w:r>
        <w:rPr>
          <w:rFonts w:ascii="仿宋_GB2312" w:cs="仿宋_GB2312"/>
          <w:szCs w:val="32"/>
        </w:rPr>
        <w:t>130</w:t>
      </w:r>
      <w:r>
        <w:rPr>
          <w:rFonts w:hint="eastAsia" w:ascii="仿宋_GB2312" w:cs="仿宋_GB2312"/>
          <w:szCs w:val="32"/>
        </w:rPr>
        <w:t>万元，执行数为</w:t>
      </w:r>
      <w:r>
        <w:rPr>
          <w:rFonts w:ascii="仿宋_GB2312" w:cs="仿宋_GB2312"/>
          <w:szCs w:val="32"/>
        </w:rPr>
        <w:t>51.44</w:t>
      </w:r>
      <w:r>
        <w:rPr>
          <w:rFonts w:hint="eastAsia" w:ascii="仿宋_GB2312" w:cs="仿宋_GB2312"/>
          <w:szCs w:val="32"/>
        </w:rPr>
        <w:t>万元，完成预算的</w:t>
      </w:r>
      <w:r>
        <w:rPr>
          <w:rFonts w:ascii="仿宋_GB2312" w:cs="仿宋_GB2312"/>
          <w:szCs w:val="32"/>
        </w:rPr>
        <w:t>40</w:t>
      </w:r>
      <w:r>
        <w:rPr>
          <w:rFonts w:hint="eastAsia" w:ascii="仿宋_GB2312" w:cs="仿宋_GB2312"/>
          <w:szCs w:val="32"/>
        </w:rPr>
        <w:t>%。通过项目实施，加强灾害救援救助工作。发现的主要问题：</w:t>
      </w:r>
      <w:r>
        <w:rPr>
          <w:rFonts w:ascii="仿宋_GB2312" w:cs="仿宋_GB2312"/>
          <w:szCs w:val="32"/>
        </w:rPr>
        <w:t>2022年项目还将继续实施</w:t>
      </w:r>
      <w:r>
        <w:rPr>
          <w:rFonts w:hint="eastAsia" w:ascii="仿宋_GB2312" w:cs="仿宋_GB2312"/>
          <w:szCs w:val="32"/>
        </w:rPr>
        <w:t>，下一步改进措施：</w:t>
      </w:r>
      <w:r>
        <w:rPr>
          <w:rFonts w:ascii="仿宋_GB2312" w:cs="仿宋_GB2312"/>
          <w:szCs w:val="32"/>
        </w:rPr>
        <w:t>加快项目实施，加快资金支付</w:t>
      </w:r>
      <w:r>
        <w:rPr>
          <w:rFonts w:hint="eastAsia" w:ascii="仿宋_GB2312" w:cs="仿宋_GB2312"/>
          <w:szCs w:val="32"/>
        </w:rPr>
        <w:t>。</w:t>
      </w:r>
    </w:p>
    <w:p>
      <w:pPr>
        <w:pStyle w:val="29"/>
        <w:spacing w:line="580" w:lineRule="exact"/>
        <w:ind w:firstLine="640" w:firstLineChars="200"/>
        <w:rPr>
          <w:rFonts w:ascii="仿宋_GB2312" w:cs="仿宋_GB2312"/>
          <w:szCs w:val="32"/>
        </w:rPr>
      </w:pPr>
      <w:r>
        <w:rPr>
          <w:rFonts w:hint="eastAsia" w:ascii="仿宋_GB2312" w:cs="仿宋_GB2312"/>
          <w:szCs w:val="32"/>
        </w:rPr>
        <w:t>（4）</w:t>
      </w:r>
      <w:r>
        <w:rPr>
          <w:rFonts w:hint="eastAsia" w:ascii="仿宋_GB2312"/>
          <w:szCs w:val="32"/>
        </w:rPr>
        <w:t>受灾群众过渡安置生活救助资金</w:t>
      </w:r>
      <w:r>
        <w:rPr>
          <w:rFonts w:hint="eastAsia" w:ascii="仿宋_GB2312" w:cs="仿宋_GB2312"/>
          <w:szCs w:val="32"/>
        </w:rPr>
        <w:t>项目绩效目标完成情况综述。项目全年预算数</w:t>
      </w:r>
      <w:r>
        <w:rPr>
          <w:rFonts w:hint="eastAsia" w:ascii="仿宋_GB2312" w:cs="仿宋_GB2312"/>
          <w:color w:val="000000"/>
          <w:szCs w:val="32"/>
        </w:rPr>
        <w:t>78.82</w:t>
      </w:r>
      <w:r>
        <w:rPr>
          <w:rFonts w:hint="eastAsia" w:ascii="仿宋_GB2312" w:cs="仿宋_GB2312"/>
          <w:szCs w:val="32"/>
        </w:rPr>
        <w:t>万元，执行数为</w:t>
      </w:r>
      <w:r>
        <w:rPr>
          <w:rFonts w:ascii="仿宋_GB2312" w:cs="仿宋_GB2312"/>
          <w:szCs w:val="32"/>
        </w:rPr>
        <w:t>78.82</w:t>
      </w:r>
      <w:r>
        <w:rPr>
          <w:rFonts w:hint="eastAsia" w:ascii="仿宋_GB2312" w:cs="仿宋_GB2312"/>
          <w:szCs w:val="32"/>
        </w:rPr>
        <w:t>万元，完成预算的100%。通过项目实施，加强了灾害救助工作。发现的主要问题：无，下一步改进措施：无</w:t>
      </w:r>
      <w:r>
        <w:rPr>
          <w:rFonts w:ascii="仿宋_GB2312" w:cs="仿宋_GB2312"/>
          <w:szCs w:val="32"/>
        </w:rPr>
        <w:t>。</w:t>
      </w:r>
    </w:p>
    <w:p>
      <w:pPr>
        <w:pStyle w:val="29"/>
        <w:spacing w:line="580" w:lineRule="exact"/>
        <w:ind w:firstLine="640" w:firstLineChars="200"/>
        <w:rPr>
          <w:rFonts w:ascii="仿宋_GB2312" w:cs="仿宋_GB2312"/>
          <w:szCs w:val="32"/>
        </w:rPr>
      </w:pPr>
      <w:r>
        <w:rPr>
          <w:rFonts w:hint="eastAsia" w:ascii="仿宋_GB2312" w:cs="仿宋_GB2312"/>
          <w:szCs w:val="32"/>
        </w:rPr>
        <w:t>（</w:t>
      </w:r>
      <w:r>
        <w:rPr>
          <w:rFonts w:ascii="仿宋_GB2312" w:cs="仿宋_GB2312"/>
          <w:szCs w:val="32"/>
        </w:rPr>
        <w:t>5</w:t>
      </w:r>
      <w:r>
        <w:rPr>
          <w:rFonts w:hint="eastAsia" w:ascii="仿宋_GB2312" w:cs="仿宋_GB2312"/>
          <w:szCs w:val="32"/>
        </w:rPr>
        <w:t>）巨灾指数保险保费项目绩效目标完成情况综述。项目全年预算数200万元，执行数为200万元，完成预算的100%。通过项目实施，加强灾害救援救助工作。发现的主要问题：无，下一步改进措施：无。</w:t>
      </w:r>
    </w:p>
    <w:p>
      <w:pPr>
        <w:pStyle w:val="29"/>
        <w:spacing w:line="580" w:lineRule="exact"/>
        <w:ind w:firstLine="640" w:firstLineChars="200"/>
        <w:rPr>
          <w:rFonts w:ascii="仿宋_GB2312" w:cs="仿宋_GB2312"/>
          <w:szCs w:val="32"/>
        </w:rPr>
      </w:pPr>
      <w:r>
        <w:rPr>
          <w:rFonts w:ascii="仿宋_GB2312" w:cs="仿宋_GB2312"/>
          <w:szCs w:val="32"/>
        </w:rPr>
        <w:t>（6</w:t>
      </w:r>
      <w:r>
        <w:rPr>
          <w:rFonts w:hint="eastAsia" w:ascii="仿宋_GB2312" w:cs="仿宋_GB2312"/>
          <w:szCs w:val="32"/>
        </w:rPr>
        <w:t>）安全生产综合信息平台技术服务支撑费项目绩效目标完成情况综述。项目全年预算数258.6万元，执行数为258.6万元，完成预算的100%。通过项目实施，保障了</w:t>
      </w:r>
      <w:r>
        <w:rPr>
          <w:rFonts w:hint="eastAsia" w:ascii="仿宋_GB2312" w:cs="仿宋_GB2312"/>
          <w:color w:val="000000"/>
          <w:szCs w:val="32"/>
        </w:rPr>
        <w:t>安全生监控平台全年正常运行。</w:t>
      </w:r>
      <w:r>
        <w:rPr>
          <w:rFonts w:hint="eastAsia" w:ascii="仿宋_GB2312" w:cs="仿宋_GB2312"/>
          <w:szCs w:val="32"/>
        </w:rPr>
        <w:t>发现的主要问题：无，下一步改进措施：无</w:t>
      </w:r>
      <w:r>
        <w:rPr>
          <w:rFonts w:hint="eastAsia" w:ascii="仿宋_GB2312" w:cs="仿宋_GB2312"/>
          <w:color w:val="000000"/>
          <w:szCs w:val="32"/>
        </w:rPr>
        <w:t>。</w:t>
      </w:r>
    </w:p>
    <w:p>
      <w:pPr>
        <w:pStyle w:val="29"/>
        <w:spacing w:line="580" w:lineRule="exact"/>
        <w:ind w:firstLine="800" w:firstLineChars="250"/>
        <w:rPr>
          <w:rFonts w:ascii="仿宋_GB2312" w:cs="仿宋_GB2312"/>
          <w:szCs w:val="32"/>
        </w:rPr>
      </w:pPr>
      <w:r>
        <w:rPr>
          <w:rFonts w:hint="eastAsia" w:ascii="仿宋_GB2312" w:cs="仿宋_GB2312"/>
          <w:szCs w:val="32"/>
        </w:rPr>
        <w:t>（</w:t>
      </w:r>
      <w:r>
        <w:rPr>
          <w:rFonts w:ascii="仿宋_GB2312" w:cs="仿宋_GB2312"/>
          <w:szCs w:val="32"/>
        </w:rPr>
        <w:t>7</w:t>
      </w:r>
      <w:r>
        <w:rPr>
          <w:rFonts w:hint="eastAsia" w:ascii="仿宋_GB2312" w:cs="仿宋_GB2312"/>
          <w:szCs w:val="32"/>
        </w:rPr>
        <w:t>）</w:t>
      </w:r>
      <w:r>
        <w:rPr>
          <w:rFonts w:hint="eastAsia" w:ascii="仿宋_GB2312"/>
          <w:szCs w:val="32"/>
        </w:rPr>
        <w:t>2020年中央自然灾害救灾资金应急排查服务项目</w:t>
      </w:r>
      <w:r>
        <w:rPr>
          <w:rFonts w:hint="eastAsia" w:ascii="仿宋_GB2312" w:cs="仿宋_GB2312"/>
          <w:szCs w:val="32"/>
        </w:rPr>
        <w:t>绩效目标完成情况综述。项目全年预算数</w:t>
      </w:r>
      <w:r>
        <w:rPr>
          <w:rFonts w:ascii="仿宋_GB2312" w:cs="仿宋_GB2312"/>
          <w:szCs w:val="32"/>
        </w:rPr>
        <w:t>100</w:t>
      </w:r>
      <w:r>
        <w:rPr>
          <w:rFonts w:hint="eastAsia" w:ascii="仿宋_GB2312" w:cs="仿宋_GB2312"/>
          <w:szCs w:val="32"/>
        </w:rPr>
        <w:t>万元，执行数为</w:t>
      </w:r>
      <w:r>
        <w:rPr>
          <w:rFonts w:ascii="仿宋_GB2312" w:cs="仿宋_GB2312"/>
          <w:szCs w:val="32"/>
        </w:rPr>
        <w:t>98.9</w:t>
      </w:r>
      <w:r>
        <w:rPr>
          <w:rFonts w:hint="eastAsia" w:ascii="仿宋_GB2312" w:cs="仿宋_GB2312"/>
          <w:szCs w:val="32"/>
        </w:rPr>
        <w:t>万元，完成预算的</w:t>
      </w:r>
      <w:r>
        <w:rPr>
          <w:rFonts w:ascii="仿宋_GB2312" w:cs="仿宋_GB2312"/>
          <w:szCs w:val="32"/>
        </w:rPr>
        <w:t>98.9</w:t>
      </w:r>
      <w:r>
        <w:rPr>
          <w:rFonts w:hint="eastAsia" w:ascii="仿宋_GB2312" w:cs="仿宋_GB2312"/>
          <w:szCs w:val="32"/>
        </w:rPr>
        <w:t>%。通过项目实施，加强灾害救援救助工作。发现的主要问题：</w:t>
      </w:r>
      <w:r>
        <w:rPr>
          <w:rFonts w:ascii="仿宋_GB2312" w:cs="仿宋_GB2312"/>
          <w:szCs w:val="32"/>
        </w:rPr>
        <w:t>无</w:t>
      </w:r>
      <w:r>
        <w:rPr>
          <w:rFonts w:hint="eastAsia" w:ascii="仿宋_GB2312" w:cs="仿宋_GB2312"/>
          <w:szCs w:val="32"/>
        </w:rPr>
        <w:t>。下一步改进措施：</w:t>
      </w:r>
      <w:r>
        <w:rPr>
          <w:rFonts w:ascii="仿宋_GB2312" w:cs="仿宋_GB2312"/>
          <w:szCs w:val="32"/>
        </w:rPr>
        <w:t>无</w:t>
      </w:r>
      <w:r>
        <w:rPr>
          <w:rFonts w:hint="eastAsia" w:ascii="仿宋_GB2312" w:cs="仿宋_GB2312"/>
          <w:szCs w:val="32"/>
        </w:rPr>
        <w:t>。</w:t>
      </w:r>
    </w:p>
    <w:p>
      <w:pPr>
        <w:pStyle w:val="29"/>
        <w:spacing w:line="580" w:lineRule="exact"/>
        <w:ind w:firstLine="640" w:firstLineChars="200"/>
        <w:rPr>
          <w:rFonts w:ascii="仿宋_GB2312" w:cs="仿宋_GB2312"/>
          <w:szCs w:val="32"/>
        </w:rPr>
      </w:pPr>
      <w:r>
        <w:rPr>
          <w:rFonts w:hint="eastAsia" w:ascii="仿宋_GB2312" w:cs="仿宋_GB2312"/>
          <w:szCs w:val="32"/>
        </w:rPr>
        <w:t>（</w:t>
      </w:r>
      <w:r>
        <w:rPr>
          <w:rFonts w:ascii="仿宋_GB2312" w:cs="仿宋_GB2312"/>
          <w:szCs w:val="32"/>
        </w:rPr>
        <w:t>8</w:t>
      </w:r>
      <w:r>
        <w:rPr>
          <w:rFonts w:hint="eastAsia" w:ascii="仿宋_GB2312" w:cs="仿宋_GB2312"/>
          <w:szCs w:val="32"/>
        </w:rPr>
        <w:t>）</w:t>
      </w:r>
      <w:r>
        <w:rPr>
          <w:rFonts w:hint="eastAsia" w:ascii="仿宋_GB2312"/>
          <w:szCs w:val="32"/>
        </w:rPr>
        <w:t>茂县应急管理局应急排查服务</w:t>
      </w:r>
      <w:r>
        <w:rPr>
          <w:rFonts w:hint="eastAsia" w:ascii="仿宋_GB2312" w:cs="仿宋_GB2312"/>
          <w:szCs w:val="32"/>
        </w:rPr>
        <w:t>项目绩效目标完成情况综述。项目全年预算数</w:t>
      </w:r>
      <w:r>
        <w:rPr>
          <w:rFonts w:ascii="仿宋_GB2312" w:cs="仿宋_GB2312"/>
          <w:szCs w:val="32"/>
        </w:rPr>
        <w:t>100</w:t>
      </w:r>
      <w:r>
        <w:rPr>
          <w:rFonts w:hint="eastAsia" w:ascii="仿宋_GB2312" w:cs="仿宋_GB2312"/>
          <w:szCs w:val="32"/>
        </w:rPr>
        <w:t>万元，执行数为</w:t>
      </w:r>
      <w:r>
        <w:rPr>
          <w:rFonts w:ascii="仿宋_GB2312" w:cs="仿宋_GB2312"/>
          <w:szCs w:val="32"/>
        </w:rPr>
        <w:t>99.95</w:t>
      </w:r>
      <w:r>
        <w:rPr>
          <w:rFonts w:hint="eastAsia" w:ascii="仿宋_GB2312" w:cs="仿宋_GB2312"/>
          <w:szCs w:val="32"/>
        </w:rPr>
        <w:t>万元，完成预算的</w:t>
      </w:r>
      <w:r>
        <w:rPr>
          <w:rFonts w:ascii="仿宋_GB2312" w:cs="仿宋_GB2312"/>
          <w:szCs w:val="32"/>
        </w:rPr>
        <w:t>99.95</w:t>
      </w:r>
      <w:r>
        <w:rPr>
          <w:rFonts w:hint="eastAsia" w:ascii="仿宋_GB2312" w:cs="仿宋_GB2312"/>
          <w:szCs w:val="32"/>
        </w:rPr>
        <w:t>%。通过项目实施，加强灾害救援救助工作。发现的主要问题：无，下一步改进措施：无。</w:t>
      </w:r>
    </w:p>
    <w:p>
      <w:pPr>
        <w:pStyle w:val="29"/>
        <w:spacing w:line="580" w:lineRule="exact"/>
        <w:ind w:firstLine="640" w:firstLineChars="200"/>
        <w:rPr>
          <w:rFonts w:ascii="仿宋_GB2312" w:cs="仿宋_GB2312"/>
          <w:szCs w:val="32"/>
        </w:rPr>
      </w:pPr>
      <w:r>
        <w:rPr>
          <w:rFonts w:hint="eastAsia" w:ascii="仿宋_GB2312" w:cs="仿宋_GB2312"/>
          <w:szCs w:val="32"/>
        </w:rPr>
        <w:t>（</w:t>
      </w:r>
      <w:r>
        <w:rPr>
          <w:rFonts w:ascii="仿宋_GB2312" w:cs="仿宋_GB2312"/>
          <w:szCs w:val="32"/>
        </w:rPr>
        <w:t>9</w:t>
      </w:r>
      <w:r>
        <w:rPr>
          <w:rFonts w:hint="eastAsia" w:ascii="仿宋_GB2312" w:cs="仿宋_GB2312"/>
          <w:szCs w:val="32"/>
        </w:rPr>
        <w:t>）</w:t>
      </w:r>
      <w:r>
        <w:rPr>
          <w:rFonts w:ascii="仿宋_GB2312"/>
          <w:szCs w:val="32"/>
        </w:rPr>
        <w:t>茂县2021年安全监管、应急抢险、防汛、森林防灭火专项经费</w:t>
      </w:r>
      <w:r>
        <w:rPr>
          <w:rFonts w:hint="eastAsia" w:ascii="仿宋_GB2312" w:cs="仿宋_GB2312"/>
          <w:szCs w:val="32"/>
        </w:rPr>
        <w:t>项目绩效目标完成情况综述。项目全年预算数</w:t>
      </w:r>
      <w:r>
        <w:rPr>
          <w:rFonts w:ascii="仿宋_GB2312" w:cs="仿宋_GB2312"/>
          <w:szCs w:val="32"/>
        </w:rPr>
        <w:t>50</w:t>
      </w:r>
      <w:r>
        <w:rPr>
          <w:rFonts w:hint="eastAsia" w:ascii="仿宋_GB2312" w:cs="仿宋_GB2312"/>
          <w:szCs w:val="32"/>
        </w:rPr>
        <w:t>万元，执行数为</w:t>
      </w:r>
      <w:r>
        <w:rPr>
          <w:rFonts w:ascii="仿宋_GB2312" w:cs="仿宋_GB2312"/>
          <w:szCs w:val="32"/>
        </w:rPr>
        <w:t>33.2</w:t>
      </w:r>
      <w:r>
        <w:rPr>
          <w:rFonts w:hint="eastAsia" w:ascii="仿宋_GB2312" w:cs="仿宋_GB2312"/>
          <w:szCs w:val="32"/>
        </w:rPr>
        <w:t>万元，完成预算的</w:t>
      </w:r>
      <w:r>
        <w:rPr>
          <w:rFonts w:ascii="仿宋_GB2312" w:cs="仿宋_GB2312"/>
          <w:szCs w:val="32"/>
        </w:rPr>
        <w:t>66.4</w:t>
      </w:r>
      <w:r>
        <w:rPr>
          <w:rFonts w:hint="eastAsia" w:ascii="仿宋_GB2312" w:cs="仿宋_GB2312"/>
          <w:szCs w:val="32"/>
        </w:rPr>
        <w:t>%。通过项目实施，</w:t>
      </w:r>
      <w:r>
        <w:rPr>
          <w:rFonts w:ascii="仿宋_GB2312" w:cs="仿宋_GB2312"/>
          <w:szCs w:val="32"/>
        </w:rPr>
        <w:t>加强各项工作</w:t>
      </w:r>
      <w:r>
        <w:rPr>
          <w:rFonts w:hint="eastAsia" w:ascii="仿宋_GB2312" w:cs="仿宋_GB2312"/>
          <w:szCs w:val="32"/>
        </w:rPr>
        <w:t>。发现的主要问题：无，下一步改进措施：无</w:t>
      </w:r>
      <w:r>
        <w:rPr>
          <w:rFonts w:ascii="仿宋_GB2312" w:cs="仿宋_GB2312"/>
          <w:szCs w:val="32"/>
        </w:rPr>
        <w:t>。</w:t>
      </w:r>
    </w:p>
    <w:p>
      <w:pPr>
        <w:pStyle w:val="29"/>
        <w:spacing w:line="580" w:lineRule="exact"/>
        <w:ind w:firstLine="640" w:firstLineChars="200"/>
        <w:rPr>
          <w:rFonts w:ascii="仿宋_GB2312" w:cs="仿宋_GB2312"/>
          <w:szCs w:val="32"/>
        </w:rPr>
      </w:pPr>
      <w:bookmarkStart w:id="69" w:name="_Toc79163635"/>
      <w:r>
        <w:rPr>
          <w:rFonts w:hint="eastAsia" w:ascii="仿宋_GB2312" w:cs="仿宋_GB2312"/>
          <w:szCs w:val="32"/>
        </w:rPr>
        <w:t>部门按要求对202</w:t>
      </w:r>
      <w:r>
        <w:rPr>
          <w:rFonts w:ascii="仿宋_GB2312" w:cs="仿宋_GB2312"/>
          <w:szCs w:val="32"/>
        </w:rPr>
        <w:t>1</w:t>
      </w:r>
      <w:r>
        <w:rPr>
          <w:rFonts w:hint="eastAsia" w:ascii="仿宋_GB2312" w:cs="仿宋_GB2312"/>
          <w:szCs w:val="32"/>
        </w:rPr>
        <w:t>年部门整体支出绩效评价情况开展自评，《茂县应急管理局部门202</w:t>
      </w:r>
      <w:r>
        <w:rPr>
          <w:rFonts w:ascii="仿宋_GB2312" w:cs="仿宋_GB2312"/>
          <w:szCs w:val="32"/>
        </w:rPr>
        <w:t>1</w:t>
      </w:r>
      <w:r>
        <w:rPr>
          <w:rFonts w:hint="eastAsia" w:ascii="仿宋_GB2312" w:cs="仿宋_GB2312"/>
          <w:szCs w:val="32"/>
        </w:rPr>
        <w:t>年部门整体支出绩效评价报告》见附件（附件1）。</w:t>
      </w:r>
    </w:p>
    <w:p>
      <w:pPr>
        <w:pStyle w:val="29"/>
        <w:spacing w:line="580" w:lineRule="exact"/>
        <w:ind w:firstLine="640" w:firstLineChars="200"/>
        <w:rPr>
          <w:rFonts w:ascii="仿宋_GB2312" w:cs="仿宋_GB2312"/>
          <w:szCs w:val="32"/>
        </w:rPr>
      </w:pPr>
      <w:r>
        <w:rPr>
          <w:rFonts w:hint="eastAsia" w:ascii="仿宋_GB2312" w:cs="仿宋_GB2312"/>
          <w:szCs w:val="32"/>
        </w:rPr>
        <w:t>本部门自行组织对“</w:t>
      </w:r>
      <w:r>
        <w:rPr>
          <w:rFonts w:hint="eastAsia" w:ascii="仿宋_GB2312"/>
          <w:szCs w:val="32"/>
        </w:rPr>
        <w:t>2020年因洪涝灾害倒塌和严重损坏民房恢复重建资金</w:t>
      </w:r>
      <w:r>
        <w:rPr>
          <w:rFonts w:ascii="仿宋_GB2312" w:cs="仿宋_GB2312"/>
          <w:szCs w:val="32"/>
        </w:rPr>
        <w:t>、</w:t>
      </w:r>
      <w:r>
        <w:rPr>
          <w:rFonts w:hint="eastAsia" w:ascii="仿宋_GB2312"/>
          <w:szCs w:val="32"/>
        </w:rPr>
        <w:t>抗洪抢险应急物及设备购置</w:t>
      </w:r>
      <w:r>
        <w:rPr>
          <w:rFonts w:ascii="仿宋_GB2312"/>
          <w:szCs w:val="32"/>
        </w:rPr>
        <w:t>、</w:t>
      </w:r>
      <w:r>
        <w:rPr>
          <w:rFonts w:hint="eastAsia" w:ascii="仿宋_GB2312" w:cs="宋体"/>
          <w:color w:val="000000"/>
          <w:kern w:val="0"/>
          <w:szCs w:val="32"/>
        </w:rPr>
        <w:t>全国自然灾害综合风险普查</w:t>
      </w:r>
      <w:r>
        <w:rPr>
          <w:rFonts w:hint="eastAsia" w:ascii="仿宋_GB2312" w:cs="仿宋_GB2312"/>
          <w:szCs w:val="32"/>
        </w:rPr>
        <w:t>、</w:t>
      </w:r>
      <w:r>
        <w:rPr>
          <w:rFonts w:hint="eastAsia" w:ascii="仿宋_GB2312"/>
          <w:szCs w:val="32"/>
        </w:rPr>
        <w:t>受灾群众过渡安置生活救助资金</w:t>
      </w:r>
      <w:r>
        <w:rPr>
          <w:rFonts w:hint="eastAsia" w:ascii="仿宋_GB2312" w:cs="仿宋_GB2312"/>
          <w:szCs w:val="32"/>
        </w:rPr>
        <w:t>、巨灾指数保险保费</w:t>
      </w:r>
      <w:r>
        <w:rPr>
          <w:rFonts w:ascii="仿宋_GB2312" w:cs="仿宋_GB2312"/>
          <w:szCs w:val="32"/>
        </w:rPr>
        <w:t>、</w:t>
      </w:r>
      <w:r>
        <w:rPr>
          <w:rFonts w:hint="eastAsia" w:ascii="仿宋_GB2312" w:cs="仿宋_GB2312"/>
          <w:szCs w:val="32"/>
        </w:rPr>
        <w:t>安全生产综合信息平台技术服务支撑费</w:t>
      </w:r>
      <w:r>
        <w:rPr>
          <w:rFonts w:ascii="仿宋_GB2312" w:cs="仿宋_GB2312"/>
          <w:szCs w:val="32"/>
        </w:rPr>
        <w:t>、</w:t>
      </w:r>
      <w:r>
        <w:rPr>
          <w:rFonts w:hint="eastAsia" w:ascii="仿宋_GB2312"/>
          <w:szCs w:val="32"/>
        </w:rPr>
        <w:t>2020年中央自然灾害救灾资金应急排查服务项目</w:t>
      </w:r>
      <w:r>
        <w:rPr>
          <w:rFonts w:ascii="仿宋_GB2312"/>
          <w:szCs w:val="32"/>
        </w:rPr>
        <w:t>、</w:t>
      </w:r>
      <w:r>
        <w:rPr>
          <w:rFonts w:hint="eastAsia" w:ascii="仿宋_GB2312"/>
          <w:szCs w:val="32"/>
        </w:rPr>
        <w:t>茂县应急管理局应急排查服务</w:t>
      </w:r>
      <w:r>
        <w:rPr>
          <w:rFonts w:hint="eastAsia" w:ascii="仿宋_GB2312" w:cs="仿宋_GB2312"/>
          <w:szCs w:val="32"/>
        </w:rPr>
        <w:t>项目</w:t>
      </w:r>
      <w:r>
        <w:rPr>
          <w:rFonts w:ascii="仿宋_GB2312" w:cs="仿宋_GB2312"/>
          <w:szCs w:val="32"/>
        </w:rPr>
        <w:t>、</w:t>
      </w:r>
      <w:r>
        <w:rPr>
          <w:rFonts w:ascii="仿宋_GB2312"/>
          <w:szCs w:val="32"/>
        </w:rPr>
        <w:t>茂县2021年安全监管应急抢险防汛森林防灭火专项经费</w:t>
      </w:r>
      <w:r>
        <w:rPr>
          <w:rFonts w:hint="eastAsia" w:ascii="仿宋_GB2312" w:cs="仿宋_GB2312"/>
          <w:szCs w:val="32"/>
        </w:rPr>
        <w:t>”开展了绩效评价。</w:t>
      </w:r>
    </w:p>
    <w:tbl>
      <w:tblPr>
        <w:tblStyle w:val="16"/>
        <w:tblpPr w:leftFromText="180" w:rightFromText="180" w:vertAnchor="text" w:horzAnchor="page" w:tblpX="1256" w:tblpY="221"/>
        <w:tblOverlap w:val="never"/>
        <w:tblW w:w="95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1246"/>
        <w:gridCol w:w="1786"/>
        <w:gridCol w:w="1211"/>
        <w:gridCol w:w="1421"/>
        <w:gridCol w:w="1542"/>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366" w:type="dxa"/>
            <w:gridSpan w:val="6"/>
            <w:tcBorders>
              <w:top w:val="nil"/>
              <w:left w:val="nil"/>
              <w:bottom w:val="nil"/>
              <w:right w:val="nil"/>
            </w:tcBorders>
            <w:shd w:val="clear" w:color="auto" w:fill="auto"/>
            <w:noWrap/>
            <w:vAlign w:val="center"/>
          </w:tcPr>
          <w:p>
            <w:pPr>
              <w:widowControl/>
              <w:jc w:val="center"/>
              <w:textAlignment w:val="center"/>
              <w:rPr>
                <w:rFonts w:ascii="宋体" w:cs="宋体"/>
                <w:b/>
                <w:bCs/>
                <w:color w:val="000000"/>
                <w:kern w:val="0"/>
                <w:sz w:val="36"/>
                <w:szCs w:val="36"/>
              </w:rPr>
            </w:pPr>
            <w:r>
              <w:rPr>
                <w:rFonts w:hint="eastAsia" w:ascii="方正小标宋简体" w:eastAsia="方正小标宋简体" w:cs="方正小标宋简体"/>
                <w:sz w:val="32"/>
                <w:szCs w:val="32"/>
              </w:rPr>
              <w:t>项目绩效目标完成情况表</w:t>
            </w:r>
          </w:p>
        </w:tc>
        <w:tc>
          <w:tcPr>
            <w:tcW w:w="232" w:type="dxa"/>
            <w:tcBorders>
              <w:top w:val="nil"/>
              <w:left w:val="nil"/>
              <w:bottom w:val="nil"/>
              <w:right w:val="nil"/>
            </w:tcBorders>
            <w:shd w:val="clear" w:color="auto" w:fill="auto"/>
            <w:noWrap/>
            <w:vAlign w:val="center"/>
          </w:tcPr>
          <w:p>
            <w:pPr>
              <w:widowControl/>
              <w:jc w:val="center"/>
              <w:textAlignment w:val="center"/>
              <w:rPr>
                <w:rFonts w:ascii="宋体" w:cs="宋体"/>
                <w:b/>
                <w:color w:val="000000"/>
                <w:kern w:val="0"/>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0" w:hRule="atLeast"/>
        </w:trPr>
        <w:tc>
          <w:tcPr>
            <w:tcW w:w="34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sz w:val="24"/>
              </w:rPr>
              <w:t>项目名称</w:t>
            </w:r>
          </w:p>
        </w:tc>
        <w:tc>
          <w:tcPr>
            <w:tcW w:w="59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eastAsia="仿宋_GB2312"/>
                <w:sz w:val="24"/>
              </w:rPr>
              <w:t>2020年因洪涝灾害倒塌和严重损坏民房恢复重建资金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54" w:hRule="atLeast"/>
        </w:trPr>
        <w:tc>
          <w:tcPr>
            <w:tcW w:w="34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宋体" w:cs="宋体"/>
                <w:color w:val="000000"/>
                <w:kern w:val="0"/>
                <w:sz w:val="24"/>
              </w:rPr>
              <w:t>预算单位</w:t>
            </w:r>
          </w:p>
        </w:tc>
        <w:tc>
          <w:tcPr>
            <w:tcW w:w="29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仿宋_GB2312" w:eastAsia="仿宋_GB2312"/>
                <w:sz w:val="24"/>
              </w:rPr>
            </w:pPr>
            <w:r>
              <w:rPr>
                <w:rFonts w:hint="eastAsia" w:ascii="仿宋_GB2312" w:eastAsia="仿宋_GB2312"/>
                <w:sz w:val="24"/>
              </w:rPr>
              <w:t>茂县应急管理局</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kern w:val="0"/>
                <w:sz w:val="24"/>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trPr>
        <w:tc>
          <w:tcPr>
            <w:tcW w:w="3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kern w:val="0"/>
                <w:sz w:val="24"/>
              </w:rPr>
            </w:pPr>
            <w:r>
              <w:rPr>
                <w:rFonts w:hint="eastAsia" w:ascii="仿宋_GB2312" w:hAnsi="仿宋_GB2312" w:cs="宋体"/>
                <w:color w:val="000000"/>
                <w:kern w:val="0"/>
                <w:sz w:val="24"/>
              </w:rPr>
              <w:t>预算</w:t>
            </w:r>
          </w:p>
          <w:p>
            <w:pPr>
              <w:widowControl/>
              <w:spacing w:line="320" w:lineRule="exact"/>
              <w:jc w:val="center"/>
              <w:textAlignment w:val="center"/>
              <w:rPr>
                <w:rFonts w:ascii="仿宋_GB2312" w:hAnsi="仿宋_GB2312" w:cs="宋体"/>
                <w:color w:val="000000"/>
                <w:kern w:val="0"/>
                <w:sz w:val="24"/>
              </w:rPr>
            </w:pPr>
            <w:r>
              <w:rPr>
                <w:rFonts w:hint="eastAsia" w:ascii="仿宋_GB2312" w:hAnsi="仿宋_GB2312" w:cs="宋体"/>
                <w:color w:val="000000"/>
                <w:kern w:val="0"/>
                <w:sz w:val="24"/>
              </w:rPr>
              <w:t>执行情况</w:t>
            </w:r>
          </w:p>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（万元）</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 xml:space="preserve"> 预算数：</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sz w:val="24"/>
              </w:rPr>
              <w:t>696</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 xml:space="preserve"> 执行数：</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仿宋_GB2312" w:hAnsi="仿宋_GB2312" w:cs="宋体"/>
                <w:color w:val="000000"/>
                <w:sz w:val="24"/>
              </w:rPr>
            </w:pPr>
            <w:r>
              <w:rPr>
                <w:rFonts w:hint="eastAsia" w:ascii="仿宋_GB2312" w:hAnsi="仿宋_GB2312" w:cs="宋体"/>
                <w:color w:val="000000"/>
                <w:sz w:val="24"/>
              </w:rPr>
              <w:t>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77" w:hRule="atLeast"/>
        </w:trPr>
        <w:tc>
          <w:tcPr>
            <w:tcW w:w="3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kern w:val="0"/>
                <w:sz w:val="24"/>
              </w:rPr>
            </w:pPr>
            <w:r>
              <w:rPr>
                <w:rFonts w:hint="eastAsia" w:ascii="仿宋_GB2312" w:hAnsi="仿宋_GB2312" w:cs="宋体"/>
                <w:color w:val="000000"/>
                <w:kern w:val="0"/>
                <w:sz w:val="24"/>
              </w:rPr>
              <w:t>其中：</w:t>
            </w:r>
          </w:p>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财政拨款</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sz w:val="24"/>
              </w:rPr>
              <w:t>696</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kern w:val="0"/>
                <w:sz w:val="24"/>
              </w:rPr>
            </w:pPr>
            <w:r>
              <w:rPr>
                <w:rFonts w:hint="eastAsia" w:ascii="仿宋_GB2312" w:hAnsi="仿宋_GB2312" w:cs="宋体"/>
                <w:color w:val="000000"/>
                <w:kern w:val="0"/>
                <w:sz w:val="24"/>
              </w:rPr>
              <w:t>其中：</w:t>
            </w:r>
          </w:p>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财政拨款</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仿宋_GB2312" w:hAnsi="仿宋_GB2312" w:cs="宋体"/>
                <w:color w:val="000000"/>
                <w:sz w:val="24"/>
              </w:rPr>
            </w:pPr>
            <w:r>
              <w:rPr>
                <w:rFonts w:hint="eastAsia" w:ascii="仿宋_GB2312" w:hAnsi="仿宋_GB2312" w:cs="宋体"/>
                <w:color w:val="000000"/>
                <w:sz w:val="24"/>
              </w:rPr>
              <w:t>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trPr>
        <w:tc>
          <w:tcPr>
            <w:tcW w:w="3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其他资金</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其他资金</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17" w:hRule="atLeast"/>
        </w:trPr>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kern w:val="0"/>
                <w:sz w:val="24"/>
              </w:rPr>
            </w:pPr>
            <w:r>
              <w:rPr>
                <w:rFonts w:hint="eastAsia" w:ascii="仿宋_GB2312" w:hAnsi="仿宋_GB2312" w:cs="宋体"/>
                <w:color w:val="000000"/>
                <w:kern w:val="0"/>
                <w:sz w:val="24"/>
              </w:rPr>
              <w:t>年度总体目标</w:t>
            </w:r>
          </w:p>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完成情况</w:t>
            </w:r>
          </w:p>
        </w:tc>
        <w:tc>
          <w:tcPr>
            <w:tcW w:w="42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预期目标</w:t>
            </w:r>
          </w:p>
        </w:tc>
        <w:tc>
          <w:tcPr>
            <w:tcW w:w="29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297" w:hRule="atLeast"/>
        </w:trPr>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243"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320" w:lineRule="exact"/>
              <w:jc w:val="left"/>
              <w:textAlignment w:val="top"/>
              <w:rPr>
                <w:rFonts w:ascii="仿宋_GB2312" w:hAnsi="仿宋_GB2312" w:cs="宋体"/>
                <w:color w:val="000000"/>
                <w:sz w:val="24"/>
              </w:rPr>
            </w:pPr>
            <w:r>
              <w:rPr>
                <w:rFonts w:hint="eastAsia" w:ascii="仿宋_GB2312" w:hAnsi="仿宋_GB2312" w:cs="宋体"/>
                <w:color w:val="000000"/>
                <w:sz w:val="24"/>
              </w:rPr>
              <w:t>2020年8.16”特大暴雨泥石流山洪造成部分农户房屋受损和倒塌，对维修加固和重建的农户进行补助。</w:t>
            </w:r>
          </w:p>
        </w:tc>
        <w:tc>
          <w:tcPr>
            <w:tcW w:w="2963"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320" w:lineRule="exact"/>
              <w:jc w:val="left"/>
              <w:textAlignment w:val="top"/>
              <w:rPr>
                <w:rFonts w:ascii="仿宋_GB2312" w:hAnsi="仿宋_GB2312" w:cs="宋体"/>
                <w:color w:val="000000"/>
                <w:sz w:val="24"/>
              </w:rPr>
            </w:pPr>
            <w:r>
              <w:rPr>
                <w:rFonts w:hint="eastAsia" w:ascii="仿宋_GB2312" w:hAnsi="仿宋_GB2312" w:cs="宋体"/>
                <w:color w:val="000000"/>
                <w:sz w:val="24"/>
              </w:rPr>
              <w:t>及时兑现了农户房屋受损和倒塌的农房维修加固和重建补助资金696万元。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38" w:hRule="atLeast"/>
        </w:trPr>
        <w:tc>
          <w:tcPr>
            <w:tcW w:w="2160"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绩效指标完成情况</w:t>
            </w:r>
          </w:p>
        </w:tc>
        <w:tc>
          <w:tcPr>
            <w:tcW w:w="1246"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kern w:val="0"/>
                <w:sz w:val="24"/>
              </w:rPr>
            </w:pPr>
            <w:r>
              <w:rPr>
                <w:rFonts w:hint="eastAsia" w:ascii="仿宋_GB2312" w:hAnsi="仿宋_GB2312" w:cs="仿宋_GB2312"/>
                <w:color w:val="000000"/>
                <w:kern w:val="0"/>
                <w:sz w:val="24"/>
              </w:rPr>
              <w:t>一级</w:t>
            </w:r>
          </w:p>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kern w:val="0"/>
                <w:sz w:val="24"/>
              </w:rPr>
            </w:pPr>
            <w:r>
              <w:rPr>
                <w:rFonts w:hint="eastAsia" w:ascii="仿宋_GB2312" w:hAnsi="仿宋_GB2312" w:cs="仿宋_GB2312"/>
                <w:color w:val="000000"/>
                <w:kern w:val="0"/>
                <w:sz w:val="24"/>
              </w:rPr>
              <w:t>二级</w:t>
            </w:r>
          </w:p>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kern w:val="0"/>
                <w:sz w:val="24"/>
              </w:rPr>
            </w:pPr>
            <w:r>
              <w:rPr>
                <w:rFonts w:hint="eastAsia" w:ascii="仿宋_GB2312" w:hAnsi="仿宋_GB2312" w:cs="仿宋_GB2312"/>
                <w:color w:val="000000"/>
                <w:kern w:val="0"/>
                <w:sz w:val="24"/>
              </w:rPr>
              <w:t>三级</w:t>
            </w:r>
          </w:p>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预期指标值</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160" w:type="dxa"/>
            <w:vMerge w:val="continue"/>
            <w:tcBorders>
              <w:left w:val="single" w:color="000000" w:sz="4" w:space="0"/>
              <w:right w:val="single" w:color="000000" w:sz="4" w:space="0"/>
            </w:tcBorders>
            <w:shd w:val="clear" w:color="auto" w:fill="auto"/>
            <w:noWrap/>
            <w:vAlign w:val="center"/>
          </w:tcP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仿宋_GB2312" w:hAnsi="仿宋_GB2312" w:cs="仿宋_GB2312"/>
                <w:color w:val="000000"/>
                <w:kern w:val="0"/>
                <w:sz w:val="24"/>
              </w:rPr>
            </w:pPr>
            <w:r>
              <w:rPr>
                <w:rFonts w:hint="eastAsia" w:ascii="仿宋_GB2312" w:hAnsi="仿宋_GB2312" w:cs="仿宋_GB2312"/>
                <w:color w:val="000000"/>
                <w:kern w:val="0"/>
                <w:sz w:val="24"/>
              </w:rPr>
              <w:t>完成</w:t>
            </w:r>
          </w:p>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数量指标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金额</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696万元</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696万元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160" w:type="dxa"/>
            <w:vMerge w:val="continue"/>
            <w:tcBorders>
              <w:left w:val="single" w:color="000000" w:sz="4" w:space="0"/>
              <w:right w:val="single" w:color="000000" w:sz="4" w:space="0"/>
            </w:tcBorders>
            <w:shd w:val="clear" w:color="auto" w:fill="auto"/>
            <w:noWrap/>
            <w:vAlign w:val="center"/>
          </w:tc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时效指标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年</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1年</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160" w:type="dxa"/>
            <w:vMerge w:val="continue"/>
            <w:tcBorders>
              <w:left w:val="single" w:color="000000" w:sz="4" w:space="0"/>
              <w:right w:val="single" w:color="000000" w:sz="4" w:space="0"/>
            </w:tcBorders>
            <w:shd w:val="clear" w:color="auto" w:fill="auto"/>
            <w:noWrap/>
            <w:vAlign w:val="center"/>
          </w:tc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成本指标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金额</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696万元</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696万元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160" w:type="dxa"/>
            <w:vMerge w:val="continue"/>
            <w:tcBorders>
              <w:left w:val="single" w:color="000000" w:sz="4" w:space="0"/>
              <w:bottom w:val="single" w:color="000000" w:sz="4" w:space="0"/>
              <w:right w:val="single" w:color="000000" w:sz="4" w:space="0"/>
            </w:tcBorders>
            <w:shd w:val="clear" w:color="auto" w:fill="auto"/>
            <w:noWrap/>
            <w:vAlign w:val="center"/>
          </w:tc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kern w:val="0"/>
                <w:sz w:val="24"/>
              </w:rPr>
            </w:pPr>
            <w:r>
              <w:rPr>
                <w:rFonts w:hint="eastAsia" w:ascii="仿宋_GB2312" w:hAnsi="仿宋_GB2312" w:cs="仿宋_GB2312"/>
                <w:color w:val="000000"/>
                <w:kern w:val="0"/>
                <w:sz w:val="24"/>
              </w:rPr>
              <w:t>满意</w:t>
            </w:r>
          </w:p>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度指标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kern w:val="0"/>
                <w:sz w:val="24"/>
              </w:rPr>
            </w:pPr>
            <w:r>
              <w:rPr>
                <w:rFonts w:hint="eastAsia" w:ascii="仿宋_GB2312" w:hAnsi="仿宋_GB2312" w:cs="仿宋_GB2312"/>
                <w:color w:val="000000"/>
                <w:kern w:val="0"/>
                <w:sz w:val="24"/>
              </w:rPr>
              <w:t>满意度</w:t>
            </w:r>
          </w:p>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Arial"/>
                <w:color w:val="000000"/>
                <w:sz w:val="24"/>
              </w:rPr>
              <w:t>≥95</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Arial"/>
                <w:color w:val="000000"/>
                <w:sz w:val="24"/>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9366" w:type="dxa"/>
            <w:gridSpan w:val="6"/>
            <w:tcBorders>
              <w:top w:val="nil"/>
              <w:left w:val="nil"/>
              <w:bottom w:val="nil"/>
              <w:right w:val="nil"/>
            </w:tcBorders>
            <w:shd w:val="clear" w:color="auto" w:fill="auto"/>
            <w:noWrap/>
            <w:vAlign w:val="center"/>
          </w:tcPr>
          <w:p>
            <w:pPr>
              <w:widowControl/>
              <w:textAlignment w:val="center"/>
              <w:rPr>
                <w:rFonts w:ascii="仿宋_GB2312" w:hAnsi="仿宋_GB2312" w:cs="宋体"/>
                <w:b/>
                <w:color w:val="000000"/>
                <w:sz w:val="24"/>
              </w:rPr>
            </w:pPr>
          </w:p>
        </w:tc>
        <w:tc>
          <w:tcPr>
            <w:tcW w:w="228" w:type="dxa"/>
            <w:tcBorders>
              <w:top w:val="nil"/>
              <w:left w:val="nil"/>
              <w:bottom w:val="nil"/>
              <w:right w:val="nil"/>
            </w:tcBorders>
            <w:shd w:val="clear" w:color="auto" w:fill="auto"/>
            <w:noWrap/>
            <w:vAlign w:val="center"/>
          </w:tcPr>
          <w:p>
            <w:pPr>
              <w:widowControl/>
              <w:jc w:val="center"/>
              <w:textAlignment w:val="center"/>
              <w:rPr>
                <w:rFonts w:ascii="仿宋_GB2312" w:hAnsi="仿宋_GB2312" w:cs="宋体"/>
                <w:b/>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54" w:hRule="atLeast"/>
        </w:trPr>
        <w:tc>
          <w:tcPr>
            <w:tcW w:w="34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sz w:val="24"/>
              </w:rPr>
              <w:t>项目名称</w:t>
            </w:r>
          </w:p>
        </w:tc>
        <w:tc>
          <w:tcPr>
            <w:tcW w:w="59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仿宋_GB2312" w:hAnsi="仿宋_GB2312" w:cs="宋体"/>
                <w:color w:val="000000"/>
                <w:sz w:val="24"/>
              </w:rPr>
            </w:pPr>
            <w:r>
              <w:rPr>
                <w:rFonts w:hint="eastAsia" w:ascii="仿宋_GB2312" w:hAnsi="仿宋_GB2312"/>
                <w:sz w:val="24"/>
              </w:rPr>
              <w:t>抗洪抢险应急物及设备购置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54" w:hRule="atLeast"/>
        </w:trPr>
        <w:tc>
          <w:tcPr>
            <w:tcW w:w="34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sz w:val="24"/>
              </w:rPr>
              <w:t>预算单位</w:t>
            </w:r>
          </w:p>
        </w:tc>
        <w:tc>
          <w:tcPr>
            <w:tcW w:w="59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仿宋_GB2312" w:hAnsi="仿宋_GB2312" w:cs="宋体"/>
                <w:color w:val="000000"/>
                <w:sz w:val="24"/>
              </w:rPr>
            </w:pPr>
            <w:r>
              <w:rPr>
                <w:rFonts w:hint="eastAsia" w:ascii="仿宋_GB2312" w:eastAsia="仿宋_GB2312"/>
                <w:sz w:val="24"/>
              </w:rPr>
              <w:t>茂县应急管理局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trPr>
        <w:tc>
          <w:tcPr>
            <w:tcW w:w="3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kern w:val="0"/>
                <w:sz w:val="24"/>
              </w:rPr>
            </w:pPr>
            <w:r>
              <w:rPr>
                <w:rFonts w:hint="eastAsia" w:ascii="仿宋_GB2312" w:hAnsi="仿宋_GB2312" w:cs="宋体"/>
                <w:color w:val="000000"/>
                <w:kern w:val="0"/>
                <w:sz w:val="24"/>
              </w:rPr>
              <w:t>预算</w:t>
            </w:r>
          </w:p>
          <w:p>
            <w:pPr>
              <w:widowControl/>
              <w:spacing w:line="320" w:lineRule="exact"/>
              <w:jc w:val="center"/>
              <w:textAlignment w:val="center"/>
              <w:rPr>
                <w:rFonts w:ascii="仿宋_GB2312" w:hAnsi="仿宋_GB2312" w:cs="宋体"/>
                <w:color w:val="000000"/>
                <w:kern w:val="0"/>
                <w:sz w:val="24"/>
              </w:rPr>
            </w:pPr>
            <w:r>
              <w:rPr>
                <w:rFonts w:hint="eastAsia" w:ascii="仿宋_GB2312" w:hAnsi="仿宋_GB2312" w:cs="宋体"/>
                <w:color w:val="000000"/>
                <w:kern w:val="0"/>
                <w:sz w:val="24"/>
              </w:rPr>
              <w:t>执行情况</w:t>
            </w:r>
          </w:p>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（万元）</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 xml:space="preserve"> 预算数：</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sz w:val="24"/>
              </w:rPr>
              <w:t>446</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 xml:space="preserve"> 执行数：</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仿宋_GB2312" w:hAnsi="仿宋_GB2312" w:cs="宋体"/>
                <w:color w:val="000000"/>
                <w:sz w:val="24"/>
              </w:rPr>
            </w:pPr>
            <w:r>
              <w:rPr>
                <w:rFonts w:hint="eastAsia" w:ascii="仿宋_GB2312" w:hAnsi="仿宋_GB2312" w:cs="宋体"/>
                <w:color w:val="000000"/>
                <w:sz w:val="24"/>
              </w:rPr>
              <w:t>420.82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3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kern w:val="0"/>
                <w:sz w:val="24"/>
              </w:rPr>
            </w:pPr>
            <w:r>
              <w:rPr>
                <w:rFonts w:hint="eastAsia" w:ascii="仿宋_GB2312" w:hAnsi="仿宋_GB2312" w:cs="宋体"/>
                <w:color w:val="000000"/>
                <w:kern w:val="0"/>
                <w:sz w:val="24"/>
              </w:rPr>
              <w:t>其中：</w:t>
            </w:r>
          </w:p>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财政拨款</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sz w:val="24"/>
              </w:rPr>
              <w:t>446</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kern w:val="0"/>
                <w:sz w:val="24"/>
              </w:rPr>
            </w:pPr>
            <w:r>
              <w:rPr>
                <w:rFonts w:hint="eastAsia" w:ascii="仿宋_GB2312" w:hAnsi="仿宋_GB2312" w:cs="宋体"/>
                <w:color w:val="000000"/>
                <w:kern w:val="0"/>
                <w:sz w:val="24"/>
              </w:rPr>
              <w:t>其中：</w:t>
            </w:r>
          </w:p>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财政拨款</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仿宋_GB2312" w:hAnsi="仿宋_GB2312" w:cs="宋体"/>
                <w:color w:val="000000"/>
                <w:sz w:val="24"/>
              </w:rPr>
            </w:pPr>
            <w:r>
              <w:rPr>
                <w:rFonts w:hint="eastAsia" w:ascii="仿宋_GB2312" w:hAnsi="仿宋_GB2312" w:cs="宋体"/>
                <w:color w:val="000000"/>
                <w:sz w:val="24"/>
              </w:rPr>
              <w:t>420.82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trPr>
        <w:tc>
          <w:tcPr>
            <w:tcW w:w="3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其他资金</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其他资金</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17" w:hRule="atLeast"/>
        </w:trPr>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kern w:val="0"/>
                <w:sz w:val="24"/>
              </w:rPr>
            </w:pPr>
            <w:r>
              <w:rPr>
                <w:rFonts w:hint="eastAsia" w:ascii="仿宋_GB2312" w:hAnsi="仿宋_GB2312" w:cs="宋体"/>
                <w:color w:val="000000"/>
                <w:kern w:val="0"/>
                <w:sz w:val="24"/>
              </w:rPr>
              <w:t>年度总体目标</w:t>
            </w:r>
          </w:p>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完成情况</w:t>
            </w:r>
          </w:p>
        </w:tc>
        <w:tc>
          <w:tcPr>
            <w:tcW w:w="42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预期目标</w:t>
            </w:r>
          </w:p>
        </w:tc>
        <w:tc>
          <w:tcPr>
            <w:tcW w:w="29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429" w:hRule="atLeast"/>
        </w:trPr>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243"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adjustRightInd w:val="0"/>
              <w:snapToGrid w:val="0"/>
              <w:spacing w:line="570" w:lineRule="exact"/>
              <w:ind w:firstLine="480" w:firstLineChars="200"/>
              <w:rPr>
                <w:rFonts w:ascii="仿宋_GB2312" w:hAnsi="仿宋_GB2312"/>
                <w:sz w:val="24"/>
              </w:rPr>
            </w:pPr>
            <w:r>
              <w:rPr>
                <w:rFonts w:hint="eastAsia" w:ascii="仿宋_GB2312" w:hAnsi="仿宋_GB2312"/>
                <w:sz w:val="24"/>
              </w:rPr>
              <w:t>2020年中央自然灾害防治体系建设补助资金446万元，专项用于应急抢险救援装备配备和基层备灾能力建设。</w:t>
            </w:r>
          </w:p>
        </w:tc>
        <w:tc>
          <w:tcPr>
            <w:tcW w:w="2963"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rPr>
                <w:rFonts w:ascii="仿宋_GB2312" w:hAnsi="仿宋_GB2312"/>
                <w:sz w:val="24"/>
              </w:rPr>
            </w:pPr>
          </w:p>
          <w:p>
            <w:pPr>
              <w:ind w:firstLine="480" w:firstLineChars="200"/>
              <w:rPr>
                <w:rFonts w:ascii="仿宋_GB2312" w:hAnsi="仿宋_GB2312"/>
                <w:sz w:val="24"/>
              </w:rPr>
            </w:pPr>
            <w:r>
              <w:rPr>
                <w:rFonts w:hint="eastAsia" w:ascii="仿宋_GB2312" w:hAnsi="仿宋_GB2312"/>
                <w:sz w:val="24"/>
              </w:rPr>
              <w:t>全县11个镇基本上配备了应急救援物资。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38" w:hRule="atLeast"/>
        </w:trPr>
        <w:tc>
          <w:tcPr>
            <w:tcW w:w="2160"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绩效指标完成情况</w:t>
            </w:r>
          </w:p>
        </w:tc>
        <w:tc>
          <w:tcPr>
            <w:tcW w:w="1246"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kern w:val="0"/>
                <w:sz w:val="24"/>
              </w:rPr>
            </w:pPr>
            <w:r>
              <w:rPr>
                <w:rFonts w:hint="eastAsia" w:ascii="仿宋_GB2312" w:hAnsi="仿宋_GB2312" w:cs="仿宋_GB2312"/>
                <w:color w:val="000000"/>
                <w:kern w:val="0"/>
                <w:sz w:val="24"/>
              </w:rPr>
              <w:t>一级</w:t>
            </w:r>
          </w:p>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kern w:val="0"/>
                <w:sz w:val="24"/>
              </w:rPr>
            </w:pPr>
            <w:r>
              <w:rPr>
                <w:rFonts w:hint="eastAsia" w:ascii="仿宋_GB2312" w:hAnsi="仿宋_GB2312" w:cs="仿宋_GB2312"/>
                <w:color w:val="000000"/>
                <w:kern w:val="0"/>
                <w:sz w:val="24"/>
              </w:rPr>
              <w:t>二级</w:t>
            </w:r>
          </w:p>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kern w:val="0"/>
                <w:sz w:val="24"/>
              </w:rPr>
            </w:pPr>
            <w:r>
              <w:rPr>
                <w:rFonts w:hint="eastAsia" w:ascii="仿宋_GB2312" w:hAnsi="仿宋_GB2312" w:cs="仿宋_GB2312"/>
                <w:color w:val="000000"/>
                <w:kern w:val="0"/>
                <w:sz w:val="24"/>
              </w:rPr>
              <w:t>三级</w:t>
            </w:r>
          </w:p>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预期指标值</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160" w:type="dxa"/>
            <w:vMerge w:val="continue"/>
            <w:tcBorders>
              <w:left w:val="single" w:color="000000" w:sz="4" w:space="0"/>
              <w:right w:val="single" w:color="000000" w:sz="4" w:space="0"/>
            </w:tcBorders>
            <w:shd w:val="clear" w:color="auto" w:fill="auto"/>
            <w:noWrap/>
            <w:vAlign w:val="center"/>
          </w:tcP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仿宋_GB2312" w:hAnsi="仿宋_GB2312" w:cs="仿宋_GB2312"/>
                <w:color w:val="000000"/>
                <w:kern w:val="0"/>
                <w:sz w:val="24"/>
              </w:rPr>
            </w:pPr>
            <w:r>
              <w:rPr>
                <w:rFonts w:hint="eastAsia" w:ascii="仿宋_GB2312" w:hAnsi="仿宋_GB2312" w:cs="仿宋_GB2312"/>
                <w:color w:val="000000"/>
                <w:kern w:val="0"/>
                <w:sz w:val="24"/>
              </w:rPr>
              <w:t>完成</w:t>
            </w:r>
          </w:p>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数量指标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镇</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11个镇</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11个镇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160" w:type="dxa"/>
            <w:vMerge w:val="continue"/>
            <w:tcBorders>
              <w:left w:val="single" w:color="000000" w:sz="4" w:space="0"/>
              <w:right w:val="single" w:color="000000" w:sz="4" w:space="0"/>
            </w:tcBorders>
            <w:shd w:val="clear" w:color="auto" w:fill="auto"/>
            <w:noWrap/>
            <w:vAlign w:val="center"/>
          </w:tc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时效指标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年</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1年</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160" w:type="dxa"/>
            <w:vMerge w:val="continue"/>
            <w:tcBorders>
              <w:left w:val="single" w:color="000000" w:sz="4" w:space="0"/>
              <w:right w:val="single" w:color="000000" w:sz="4" w:space="0"/>
            </w:tcBorders>
            <w:shd w:val="clear" w:color="auto" w:fill="auto"/>
            <w:noWrap/>
            <w:vAlign w:val="center"/>
          </w:tc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成本指标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金额</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420.82万元</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420.82万元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160" w:type="dxa"/>
            <w:vMerge w:val="continue"/>
            <w:tcBorders>
              <w:left w:val="single" w:color="000000" w:sz="4" w:space="0"/>
              <w:bottom w:val="single" w:color="000000" w:sz="4" w:space="0"/>
              <w:right w:val="single" w:color="000000" w:sz="4" w:space="0"/>
            </w:tcBorders>
            <w:shd w:val="clear" w:color="auto" w:fill="auto"/>
            <w:noWrap/>
            <w:vAlign w:val="center"/>
          </w:tc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kern w:val="0"/>
                <w:sz w:val="24"/>
              </w:rPr>
            </w:pPr>
            <w:r>
              <w:rPr>
                <w:rFonts w:hint="eastAsia" w:ascii="仿宋_GB2312" w:hAnsi="仿宋_GB2312" w:cs="仿宋_GB2312"/>
                <w:color w:val="000000"/>
                <w:kern w:val="0"/>
                <w:sz w:val="24"/>
              </w:rPr>
              <w:t>满意</w:t>
            </w:r>
          </w:p>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度指标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kern w:val="0"/>
                <w:sz w:val="24"/>
              </w:rPr>
            </w:pPr>
            <w:r>
              <w:rPr>
                <w:rFonts w:hint="eastAsia" w:ascii="仿宋_GB2312" w:hAnsi="仿宋_GB2312" w:cs="仿宋_GB2312"/>
                <w:color w:val="000000"/>
                <w:kern w:val="0"/>
                <w:sz w:val="24"/>
              </w:rPr>
              <w:t>满意度</w:t>
            </w:r>
          </w:p>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Arial"/>
                <w:color w:val="000000"/>
                <w:sz w:val="24"/>
              </w:rPr>
              <w:t>≥95</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Arial"/>
                <w:color w:val="000000"/>
                <w:sz w:val="24"/>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9366" w:type="dxa"/>
            <w:gridSpan w:val="6"/>
            <w:tcBorders>
              <w:top w:val="nil"/>
              <w:left w:val="nil"/>
              <w:bottom w:val="nil"/>
              <w:right w:val="nil"/>
            </w:tcBorders>
            <w:shd w:val="clear" w:color="auto" w:fill="auto"/>
            <w:noWrap/>
            <w:vAlign w:val="center"/>
          </w:tcPr>
          <w:p>
            <w:pPr>
              <w:widowControl/>
              <w:jc w:val="center"/>
              <w:textAlignment w:val="center"/>
              <w:rPr>
                <w:rFonts w:ascii="仿宋_GB2312" w:hAnsi="仿宋_GB2312" w:cs="宋体"/>
                <w:b/>
                <w:bCs/>
                <w:color w:val="000000"/>
                <w:sz w:val="24"/>
              </w:rPr>
            </w:pPr>
          </w:p>
        </w:tc>
        <w:tc>
          <w:tcPr>
            <w:tcW w:w="228" w:type="dxa"/>
            <w:tcBorders>
              <w:top w:val="nil"/>
              <w:left w:val="nil"/>
              <w:bottom w:val="nil"/>
              <w:right w:val="nil"/>
            </w:tcBorders>
            <w:shd w:val="clear" w:color="auto" w:fill="auto"/>
            <w:noWrap/>
            <w:vAlign w:val="center"/>
          </w:tcPr>
          <w:p>
            <w:pPr>
              <w:widowControl/>
              <w:jc w:val="center"/>
              <w:textAlignment w:val="center"/>
              <w:rPr>
                <w:rFonts w:ascii="仿宋_GB2312" w:hAnsi="仿宋_GB2312" w:cs="宋体"/>
                <w:b/>
                <w:bCs/>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54" w:hRule="atLeast"/>
        </w:trPr>
        <w:tc>
          <w:tcPr>
            <w:tcW w:w="34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sz w:val="24"/>
              </w:rPr>
              <w:t>项目名称</w:t>
            </w:r>
          </w:p>
        </w:tc>
        <w:tc>
          <w:tcPr>
            <w:tcW w:w="59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仿宋_GB2312" w:hAnsi="仿宋_GB2312" w:cs="宋体"/>
                <w:color w:val="000000"/>
                <w:sz w:val="24"/>
              </w:rPr>
            </w:pPr>
            <w:r>
              <w:rPr>
                <w:rFonts w:hint="eastAsia" w:ascii="仿宋_GB2312" w:hAnsi="仿宋_GB2312" w:cs="宋体"/>
                <w:color w:val="000000"/>
                <w:kern w:val="0"/>
                <w:sz w:val="24"/>
              </w:rPr>
              <w:t>全国自然灾害综合风险普查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54" w:hRule="atLeast"/>
        </w:trPr>
        <w:tc>
          <w:tcPr>
            <w:tcW w:w="34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sz w:val="24"/>
              </w:rPr>
              <w:t>预算单位</w:t>
            </w:r>
          </w:p>
        </w:tc>
        <w:tc>
          <w:tcPr>
            <w:tcW w:w="59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仿宋_GB2312" w:hAnsi="仿宋_GB2312" w:cs="宋体"/>
                <w:color w:val="000000"/>
                <w:kern w:val="0"/>
                <w:sz w:val="24"/>
              </w:rPr>
            </w:pPr>
            <w:r>
              <w:rPr>
                <w:rFonts w:hint="eastAsia" w:ascii="仿宋_GB2312" w:eastAsia="仿宋_GB2312"/>
                <w:sz w:val="24"/>
              </w:rPr>
              <w:t>茂县应急管理局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trPr>
        <w:tc>
          <w:tcPr>
            <w:tcW w:w="3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kern w:val="0"/>
                <w:sz w:val="24"/>
              </w:rPr>
            </w:pPr>
            <w:r>
              <w:rPr>
                <w:rFonts w:hint="eastAsia" w:ascii="仿宋_GB2312" w:hAnsi="仿宋_GB2312" w:cs="宋体"/>
                <w:color w:val="000000"/>
                <w:kern w:val="0"/>
                <w:sz w:val="24"/>
              </w:rPr>
              <w:t>项目预算</w:t>
            </w:r>
          </w:p>
          <w:p>
            <w:pPr>
              <w:widowControl/>
              <w:spacing w:line="320" w:lineRule="exact"/>
              <w:jc w:val="center"/>
              <w:textAlignment w:val="center"/>
              <w:rPr>
                <w:rFonts w:ascii="仿宋_GB2312" w:hAnsi="仿宋_GB2312" w:cs="宋体"/>
                <w:color w:val="000000"/>
                <w:kern w:val="0"/>
                <w:sz w:val="24"/>
              </w:rPr>
            </w:pPr>
            <w:r>
              <w:rPr>
                <w:rFonts w:hint="eastAsia" w:ascii="仿宋_GB2312" w:hAnsi="仿宋_GB2312" w:cs="宋体"/>
                <w:color w:val="000000"/>
                <w:kern w:val="0"/>
                <w:sz w:val="24"/>
              </w:rPr>
              <w:t>执行情况</w:t>
            </w:r>
          </w:p>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（万元）</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 xml:space="preserve"> 预算数：</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ascii="仿宋_GB2312" w:hAnsi="仿宋_GB2312" w:cs="宋体"/>
                <w:color w:val="000000"/>
                <w:sz w:val="24"/>
              </w:rPr>
              <w:t>158</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 xml:space="preserve"> 执行数：</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仿宋_GB2312" w:hAnsi="仿宋_GB2312" w:cs="宋体"/>
                <w:color w:val="000000"/>
                <w:sz w:val="24"/>
              </w:rPr>
            </w:pPr>
            <w:r>
              <w:rPr>
                <w:rFonts w:hint="eastAsia" w:ascii="仿宋_GB2312" w:hAnsi="仿宋_GB2312" w:cs="宋体"/>
                <w:color w:val="000000"/>
                <w:sz w:val="24"/>
              </w:rPr>
              <w:t>51.44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18" w:hRule="atLeast"/>
        </w:trPr>
        <w:tc>
          <w:tcPr>
            <w:tcW w:w="3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kern w:val="0"/>
                <w:sz w:val="24"/>
              </w:rPr>
            </w:pPr>
            <w:r>
              <w:rPr>
                <w:rFonts w:hint="eastAsia" w:ascii="仿宋_GB2312" w:hAnsi="仿宋_GB2312" w:cs="宋体"/>
                <w:color w:val="000000"/>
                <w:kern w:val="0"/>
                <w:sz w:val="24"/>
              </w:rPr>
              <w:t>其中：</w:t>
            </w:r>
          </w:p>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财政拨款</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ascii="仿宋_GB2312" w:hAnsi="仿宋_GB2312" w:cs="宋体"/>
                <w:color w:val="000000"/>
                <w:sz w:val="24"/>
              </w:rPr>
              <w:t>158</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kern w:val="0"/>
                <w:sz w:val="24"/>
              </w:rPr>
            </w:pPr>
            <w:r>
              <w:rPr>
                <w:rFonts w:hint="eastAsia" w:ascii="仿宋_GB2312" w:hAnsi="仿宋_GB2312" w:cs="宋体"/>
                <w:color w:val="000000"/>
                <w:kern w:val="0"/>
                <w:sz w:val="24"/>
              </w:rPr>
              <w:t>其中：</w:t>
            </w:r>
          </w:p>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财政拨款</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仿宋_GB2312" w:hAnsi="仿宋_GB2312" w:cs="宋体"/>
                <w:color w:val="000000"/>
                <w:sz w:val="24"/>
              </w:rPr>
            </w:pPr>
            <w:r>
              <w:rPr>
                <w:rFonts w:hint="eastAsia" w:ascii="仿宋_GB2312" w:hAnsi="仿宋_GB2312" w:cs="宋体"/>
                <w:color w:val="000000"/>
                <w:sz w:val="24"/>
              </w:rPr>
              <w:t>51.44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trPr>
        <w:tc>
          <w:tcPr>
            <w:tcW w:w="3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其他资金</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其他资金</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17" w:hRule="atLeast"/>
        </w:trPr>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kern w:val="0"/>
                <w:sz w:val="24"/>
              </w:rPr>
            </w:pPr>
            <w:r>
              <w:rPr>
                <w:rFonts w:hint="eastAsia" w:ascii="仿宋_GB2312" w:hAnsi="仿宋_GB2312" w:cs="宋体"/>
                <w:color w:val="000000"/>
                <w:kern w:val="0"/>
                <w:sz w:val="24"/>
              </w:rPr>
              <w:t>年度总体目标</w:t>
            </w:r>
          </w:p>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完成情况</w:t>
            </w:r>
          </w:p>
        </w:tc>
        <w:tc>
          <w:tcPr>
            <w:tcW w:w="42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预期目标</w:t>
            </w:r>
          </w:p>
        </w:tc>
        <w:tc>
          <w:tcPr>
            <w:tcW w:w="29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297" w:hRule="atLeast"/>
        </w:trPr>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243"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320" w:lineRule="exact"/>
              <w:ind w:firstLine="240" w:firstLineChars="100"/>
              <w:jc w:val="left"/>
              <w:textAlignment w:val="top"/>
              <w:rPr>
                <w:rFonts w:ascii="仿宋_GB2312" w:hAnsi="仿宋_GB2312" w:cs="宋体"/>
                <w:color w:val="000000"/>
                <w:kern w:val="0"/>
                <w:sz w:val="24"/>
              </w:rPr>
            </w:pPr>
            <w:r>
              <w:rPr>
                <w:rFonts w:hint="eastAsia" w:ascii="仿宋_GB2312" w:hAnsi="仿宋_GB2312" w:cs="宋体"/>
                <w:color w:val="000000"/>
                <w:kern w:val="0"/>
                <w:sz w:val="24"/>
              </w:rPr>
              <w:t>摸清普查对象数量、分布和规模，准确界定普查对象的普查方式及填报单位；开展全面调查工作，汇总形成调查数据；利用本地区主流媒体配合并落实国、省宣传的具体内容；针对调查对象和内容，开展调查数据质检核查、汇交等重点工作</w:t>
            </w:r>
          </w:p>
        </w:tc>
        <w:tc>
          <w:tcPr>
            <w:tcW w:w="2963"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320" w:lineRule="exact"/>
              <w:jc w:val="left"/>
              <w:textAlignment w:val="top"/>
              <w:rPr>
                <w:rFonts w:ascii="仿宋_GB2312" w:hAnsi="仿宋_GB2312" w:cs="宋体"/>
                <w:color w:val="000000"/>
                <w:sz w:val="24"/>
              </w:rPr>
            </w:pPr>
            <w:r>
              <w:rPr>
                <w:rFonts w:hint="eastAsia" w:ascii="仿宋_GB2312" w:hAnsi="仿宋_GB2312" w:cs="宋体"/>
                <w:color w:val="000000"/>
                <w:kern w:val="0"/>
                <w:sz w:val="24"/>
              </w:rPr>
              <w:t>已完成全县普查对象清查工作，摸清普查对象数量、分布和规模，准确界定普查对象的普查方式及填报单位；开展全面调查工作，汇总形成调查数据；利用本地区主流媒体配合并落实省、州宣传的具体内容；针对调查对象和内容，开展调查数据质检核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38" w:hRule="atLeast"/>
        </w:trPr>
        <w:tc>
          <w:tcPr>
            <w:tcW w:w="2160"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绩效指标完成情况</w:t>
            </w:r>
          </w:p>
        </w:tc>
        <w:tc>
          <w:tcPr>
            <w:tcW w:w="1246"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kern w:val="0"/>
                <w:sz w:val="24"/>
              </w:rPr>
            </w:pPr>
            <w:r>
              <w:rPr>
                <w:rFonts w:hint="eastAsia" w:ascii="仿宋_GB2312" w:hAnsi="仿宋_GB2312" w:cs="仿宋_GB2312"/>
                <w:color w:val="000000"/>
                <w:kern w:val="0"/>
                <w:sz w:val="24"/>
              </w:rPr>
              <w:t>一级</w:t>
            </w:r>
          </w:p>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kern w:val="0"/>
                <w:sz w:val="24"/>
              </w:rPr>
            </w:pPr>
            <w:r>
              <w:rPr>
                <w:rFonts w:hint="eastAsia" w:ascii="仿宋_GB2312" w:hAnsi="仿宋_GB2312" w:cs="仿宋_GB2312"/>
                <w:color w:val="000000"/>
                <w:kern w:val="0"/>
                <w:sz w:val="24"/>
              </w:rPr>
              <w:t>二级</w:t>
            </w:r>
          </w:p>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kern w:val="0"/>
                <w:sz w:val="24"/>
              </w:rPr>
            </w:pPr>
            <w:r>
              <w:rPr>
                <w:rFonts w:hint="eastAsia" w:ascii="仿宋_GB2312" w:hAnsi="仿宋_GB2312" w:cs="仿宋_GB2312"/>
                <w:color w:val="000000"/>
                <w:kern w:val="0"/>
                <w:sz w:val="24"/>
              </w:rPr>
              <w:t>三级</w:t>
            </w:r>
          </w:p>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预期指标值</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160" w:type="dxa"/>
            <w:vMerge w:val="continue"/>
            <w:tcBorders>
              <w:left w:val="single" w:color="000000" w:sz="4" w:space="0"/>
              <w:right w:val="single" w:color="000000" w:sz="4" w:space="0"/>
            </w:tcBorders>
            <w:shd w:val="clear" w:color="auto" w:fill="auto"/>
            <w:noWrap/>
            <w:vAlign w:val="center"/>
          </w:tcP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仿宋_GB2312" w:hAnsi="仿宋_GB2312"/>
                <w:sz w:val="24"/>
              </w:rPr>
            </w:pPr>
            <w:r>
              <w:rPr>
                <w:rFonts w:hint="eastAsia" w:ascii="仿宋_GB2312" w:hAnsi="仿宋_GB2312"/>
                <w:sz w:val="24"/>
              </w:rPr>
              <w:t>成本</w:t>
            </w:r>
          </w:p>
          <w:p>
            <w:pPr>
              <w:rPr>
                <w:rFonts w:ascii="仿宋_GB2312" w:hAnsi="仿宋_GB2312"/>
                <w:sz w:val="24"/>
              </w:rPr>
            </w:pPr>
            <w:r>
              <w:rPr>
                <w:rFonts w:hint="eastAsia" w:ascii="仿宋_GB2312" w:hAnsi="仿宋_GB2312"/>
                <w:sz w:val="24"/>
              </w:rPr>
              <w:t>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质量指标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调查任务完成率</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160" w:type="dxa"/>
            <w:vMerge w:val="continue"/>
            <w:tcBorders>
              <w:left w:val="single" w:color="000000" w:sz="4" w:space="0"/>
              <w:right w:val="single" w:color="000000" w:sz="4" w:space="0"/>
            </w:tcBorders>
            <w:shd w:val="clear" w:color="auto" w:fill="auto"/>
            <w:noWrap/>
            <w:vAlign w:val="center"/>
          </w:tc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时效指标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年</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2年</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160" w:type="dxa"/>
            <w:vMerge w:val="continue"/>
            <w:tcBorders>
              <w:left w:val="single" w:color="000000" w:sz="4" w:space="0"/>
              <w:right w:val="single" w:color="000000" w:sz="4" w:space="0"/>
            </w:tcBorders>
            <w:shd w:val="clear" w:color="auto" w:fill="auto"/>
            <w:noWrap/>
            <w:vAlign w:val="center"/>
          </w:tcP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仿宋_GB2312" w:hAnsi="仿宋_GB2312"/>
                <w:sz w:val="24"/>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社会效益  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数据共享涉及部门数量</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11个镇</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11个镇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814" w:hRule="atLeast"/>
        </w:trPr>
        <w:tc>
          <w:tcPr>
            <w:tcW w:w="2160" w:type="dxa"/>
            <w:vMerge w:val="continue"/>
            <w:tcBorders>
              <w:left w:val="single" w:color="000000" w:sz="4" w:space="0"/>
              <w:right w:val="single" w:color="000000" w:sz="4" w:space="0"/>
            </w:tcBorders>
            <w:shd w:val="clear" w:color="auto" w:fill="auto"/>
            <w:noWrap/>
            <w:vAlign w:val="center"/>
          </w:tc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可持续影响 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自然灾害防治能力持续提升</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11个镇</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11个镇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160" w:type="dxa"/>
            <w:vMerge w:val="continue"/>
            <w:tcBorders>
              <w:left w:val="single" w:color="000000" w:sz="4" w:space="0"/>
              <w:bottom w:val="single" w:color="000000" w:sz="4" w:space="0"/>
              <w:right w:val="single" w:color="000000" w:sz="4" w:space="0"/>
            </w:tcBorders>
            <w:shd w:val="clear" w:color="auto" w:fill="auto"/>
            <w:noWrap/>
            <w:vAlign w:val="center"/>
          </w:tc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kern w:val="0"/>
                <w:sz w:val="24"/>
              </w:rPr>
            </w:pPr>
            <w:r>
              <w:rPr>
                <w:rFonts w:hint="eastAsia" w:ascii="仿宋_GB2312" w:hAnsi="仿宋_GB2312" w:cs="仿宋_GB2312"/>
                <w:color w:val="000000"/>
                <w:kern w:val="0"/>
                <w:sz w:val="24"/>
              </w:rPr>
              <w:t>满意</w:t>
            </w:r>
          </w:p>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度指标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kern w:val="0"/>
                <w:sz w:val="24"/>
              </w:rPr>
            </w:pPr>
            <w:r>
              <w:rPr>
                <w:rFonts w:hint="eastAsia" w:ascii="仿宋_GB2312" w:hAnsi="仿宋_GB2312" w:cs="仿宋_GB2312"/>
                <w:color w:val="000000"/>
                <w:kern w:val="0"/>
                <w:sz w:val="24"/>
              </w:rPr>
              <w:t>满意度</w:t>
            </w:r>
          </w:p>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Arial"/>
                <w:color w:val="000000"/>
                <w:sz w:val="24"/>
              </w:rPr>
              <w:t>≥95</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Arial"/>
                <w:color w:val="000000"/>
                <w:sz w:val="24"/>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366" w:type="dxa"/>
            <w:gridSpan w:val="6"/>
            <w:tcBorders>
              <w:top w:val="nil"/>
              <w:left w:val="nil"/>
              <w:bottom w:val="nil"/>
              <w:right w:val="nil"/>
            </w:tcBorders>
            <w:shd w:val="clear" w:color="auto" w:fill="auto"/>
            <w:noWrap/>
            <w:vAlign w:val="center"/>
          </w:tcPr>
          <w:p>
            <w:pPr>
              <w:widowControl/>
              <w:jc w:val="center"/>
              <w:textAlignment w:val="center"/>
              <w:rPr>
                <w:rFonts w:ascii="仿宋_GB2312" w:hAnsi="仿宋_GB2312" w:cs="宋体"/>
                <w:b/>
                <w:color w:val="000000"/>
                <w:sz w:val="24"/>
              </w:rPr>
            </w:pPr>
          </w:p>
        </w:tc>
        <w:tc>
          <w:tcPr>
            <w:tcW w:w="228" w:type="dxa"/>
            <w:tcBorders>
              <w:top w:val="nil"/>
              <w:left w:val="nil"/>
              <w:bottom w:val="nil"/>
              <w:right w:val="nil"/>
            </w:tcBorders>
            <w:shd w:val="clear" w:color="auto" w:fill="auto"/>
            <w:noWrap/>
            <w:vAlign w:val="center"/>
          </w:tcPr>
          <w:p>
            <w:pPr>
              <w:widowControl/>
              <w:jc w:val="center"/>
              <w:textAlignment w:val="center"/>
              <w:rPr>
                <w:rFonts w:ascii="仿宋_GB2312" w:hAnsi="仿宋_GB2312" w:cs="宋体"/>
                <w:b/>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54" w:hRule="atLeast"/>
        </w:trPr>
        <w:tc>
          <w:tcPr>
            <w:tcW w:w="34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sz w:val="24"/>
              </w:rPr>
              <w:t>项目名称</w:t>
            </w:r>
          </w:p>
        </w:tc>
        <w:tc>
          <w:tcPr>
            <w:tcW w:w="59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仿宋_GB2312" w:hAnsi="仿宋_GB2312" w:cs="宋体"/>
                <w:color w:val="000000"/>
                <w:sz w:val="24"/>
              </w:rPr>
            </w:pPr>
            <w:r>
              <w:rPr>
                <w:rFonts w:hint="eastAsia" w:ascii="仿宋_GB2312" w:hAnsi="仿宋_GB2312"/>
                <w:sz w:val="24"/>
              </w:rPr>
              <w:t>受灾群众过渡安置生活救助资金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54" w:hRule="atLeast"/>
        </w:trPr>
        <w:tc>
          <w:tcPr>
            <w:tcW w:w="34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sz w:val="24"/>
              </w:rPr>
              <w:t>预算单位</w:t>
            </w:r>
          </w:p>
        </w:tc>
        <w:tc>
          <w:tcPr>
            <w:tcW w:w="59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仿宋_GB2312" w:hAnsi="仿宋_GB2312"/>
                <w:sz w:val="24"/>
              </w:rPr>
            </w:pPr>
            <w:r>
              <w:rPr>
                <w:rFonts w:hint="eastAsia" w:ascii="仿宋_GB2312" w:hAnsi="仿宋_GB2312"/>
                <w:sz w:val="24"/>
              </w:rPr>
              <w:t>茂县应急管理局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trPr>
        <w:tc>
          <w:tcPr>
            <w:tcW w:w="3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960" w:firstLineChars="400"/>
              <w:textAlignment w:val="center"/>
              <w:rPr>
                <w:rFonts w:ascii="仿宋_GB2312" w:hAnsi="仿宋_GB2312" w:cs="宋体"/>
                <w:color w:val="000000"/>
                <w:kern w:val="0"/>
                <w:sz w:val="24"/>
              </w:rPr>
            </w:pPr>
            <w:r>
              <w:rPr>
                <w:rFonts w:hint="eastAsia" w:ascii="仿宋_GB2312" w:hAnsi="仿宋_GB2312" w:cs="宋体"/>
                <w:color w:val="000000"/>
                <w:kern w:val="0"/>
                <w:sz w:val="24"/>
              </w:rPr>
              <w:t>预算执行情况</w:t>
            </w:r>
          </w:p>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（万元）</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 xml:space="preserve"> 预算数：</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sz w:val="24"/>
              </w:rPr>
              <w:t>78.82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 xml:space="preserve"> 执行数：</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仿宋_GB2312" w:hAnsi="仿宋_GB2312" w:cs="宋体"/>
                <w:color w:val="000000"/>
                <w:sz w:val="24"/>
              </w:rPr>
            </w:pPr>
            <w:r>
              <w:rPr>
                <w:rFonts w:hint="eastAsia" w:ascii="仿宋_GB2312" w:hAnsi="仿宋_GB2312" w:cs="宋体"/>
                <w:color w:val="000000"/>
                <w:sz w:val="24"/>
              </w:rPr>
              <w:t>78.82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77" w:hRule="atLeast"/>
        </w:trPr>
        <w:tc>
          <w:tcPr>
            <w:tcW w:w="3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kern w:val="0"/>
                <w:sz w:val="24"/>
              </w:rPr>
            </w:pPr>
            <w:r>
              <w:rPr>
                <w:rFonts w:hint="eastAsia" w:ascii="仿宋_GB2312" w:hAnsi="仿宋_GB2312" w:cs="宋体"/>
                <w:color w:val="000000"/>
                <w:kern w:val="0"/>
                <w:sz w:val="24"/>
              </w:rPr>
              <w:t>其中：</w:t>
            </w:r>
          </w:p>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财政拨款</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sz w:val="24"/>
              </w:rPr>
              <w:t>78.82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kern w:val="0"/>
                <w:sz w:val="24"/>
              </w:rPr>
            </w:pPr>
            <w:r>
              <w:rPr>
                <w:rFonts w:hint="eastAsia" w:ascii="仿宋_GB2312" w:hAnsi="仿宋_GB2312" w:cs="宋体"/>
                <w:color w:val="000000"/>
                <w:kern w:val="0"/>
                <w:sz w:val="24"/>
              </w:rPr>
              <w:t>其中：</w:t>
            </w:r>
          </w:p>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财政拨款</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仿宋_GB2312" w:hAnsi="仿宋_GB2312" w:cs="宋体"/>
                <w:color w:val="000000"/>
                <w:sz w:val="24"/>
              </w:rPr>
            </w:pPr>
            <w:r>
              <w:rPr>
                <w:rFonts w:hint="eastAsia" w:ascii="仿宋_GB2312" w:hAnsi="仿宋_GB2312" w:cs="宋体"/>
                <w:color w:val="000000"/>
                <w:sz w:val="24"/>
              </w:rPr>
              <w:t>78.82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trPr>
        <w:tc>
          <w:tcPr>
            <w:tcW w:w="3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其他资金</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其他资金</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17" w:hRule="atLeast"/>
        </w:trPr>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kern w:val="0"/>
                <w:sz w:val="24"/>
              </w:rPr>
            </w:pPr>
            <w:r>
              <w:rPr>
                <w:rFonts w:hint="eastAsia" w:ascii="仿宋_GB2312" w:hAnsi="仿宋_GB2312" w:cs="宋体"/>
                <w:color w:val="000000"/>
                <w:kern w:val="0"/>
                <w:sz w:val="24"/>
              </w:rPr>
              <w:t>年度总体目标</w:t>
            </w:r>
          </w:p>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完成情况</w:t>
            </w:r>
          </w:p>
        </w:tc>
        <w:tc>
          <w:tcPr>
            <w:tcW w:w="42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预期目标</w:t>
            </w:r>
          </w:p>
        </w:tc>
        <w:tc>
          <w:tcPr>
            <w:tcW w:w="29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12" w:hRule="atLeast"/>
        </w:trPr>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243"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adjustRightInd w:val="0"/>
              <w:snapToGrid w:val="0"/>
              <w:spacing w:line="570" w:lineRule="exact"/>
              <w:rPr>
                <w:rFonts w:ascii="仿宋_GB2312" w:hAnsi="仿宋_GB2312"/>
                <w:sz w:val="24"/>
              </w:rPr>
            </w:pPr>
            <w:r>
              <w:rPr>
                <w:rFonts w:hint="eastAsia" w:ascii="仿宋_GB2312" w:hAnsi="仿宋_GB2312"/>
                <w:sz w:val="24"/>
              </w:rPr>
              <w:t>生活补助资金78.82万元，专项用于开展“8.16”强降雨受灾群众过渡期生活补助。</w:t>
            </w:r>
          </w:p>
        </w:tc>
        <w:tc>
          <w:tcPr>
            <w:tcW w:w="2963"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320" w:lineRule="exact"/>
              <w:jc w:val="left"/>
              <w:textAlignment w:val="top"/>
              <w:rPr>
                <w:rFonts w:ascii="仿宋_GB2312" w:hAnsi="仿宋_GB2312" w:cs="宋体"/>
                <w:color w:val="000000"/>
                <w:sz w:val="24"/>
              </w:rPr>
            </w:pPr>
          </w:p>
          <w:p>
            <w:pPr>
              <w:rPr>
                <w:rFonts w:ascii="仿宋_GB2312" w:hAnsi="仿宋_GB2312"/>
                <w:sz w:val="24"/>
              </w:rPr>
            </w:pPr>
            <w:r>
              <w:rPr>
                <w:rFonts w:hint="eastAsia" w:ascii="仿宋_GB2312" w:hAnsi="仿宋_GB2312"/>
                <w:sz w:val="24"/>
              </w:rPr>
              <w:t>实际发放“8.16”强降雨受灾群众过渡期生活补助，78.82万元。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38" w:hRule="atLeast"/>
        </w:trPr>
        <w:tc>
          <w:tcPr>
            <w:tcW w:w="2160"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绩效指标完成情况</w:t>
            </w:r>
          </w:p>
        </w:tc>
        <w:tc>
          <w:tcPr>
            <w:tcW w:w="1246"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kern w:val="0"/>
                <w:sz w:val="24"/>
              </w:rPr>
            </w:pPr>
            <w:r>
              <w:rPr>
                <w:rFonts w:hint="eastAsia" w:ascii="仿宋_GB2312" w:hAnsi="仿宋_GB2312" w:cs="仿宋_GB2312"/>
                <w:color w:val="000000"/>
                <w:kern w:val="0"/>
                <w:sz w:val="24"/>
              </w:rPr>
              <w:t>一级</w:t>
            </w:r>
          </w:p>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kern w:val="0"/>
                <w:sz w:val="24"/>
              </w:rPr>
            </w:pPr>
            <w:r>
              <w:rPr>
                <w:rFonts w:hint="eastAsia" w:ascii="仿宋_GB2312" w:hAnsi="仿宋_GB2312" w:cs="仿宋_GB2312"/>
                <w:color w:val="000000"/>
                <w:kern w:val="0"/>
                <w:sz w:val="24"/>
              </w:rPr>
              <w:t>二级</w:t>
            </w:r>
          </w:p>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kern w:val="0"/>
                <w:sz w:val="24"/>
              </w:rPr>
            </w:pPr>
            <w:r>
              <w:rPr>
                <w:rFonts w:hint="eastAsia" w:ascii="仿宋_GB2312" w:hAnsi="仿宋_GB2312" w:cs="仿宋_GB2312"/>
                <w:color w:val="000000"/>
                <w:kern w:val="0"/>
                <w:sz w:val="24"/>
              </w:rPr>
              <w:t>三级</w:t>
            </w:r>
          </w:p>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预期指标值</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160" w:type="dxa"/>
            <w:vMerge w:val="continue"/>
            <w:tcBorders>
              <w:left w:val="single" w:color="000000" w:sz="4" w:space="0"/>
              <w:right w:val="single" w:color="000000" w:sz="4" w:space="0"/>
            </w:tcBorders>
            <w:shd w:val="clear" w:color="auto" w:fill="auto"/>
            <w:noWrap/>
            <w:vAlign w:val="center"/>
          </w:tcP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仿宋_GB2312" w:hAnsi="仿宋_GB2312" w:cs="仿宋_GB2312"/>
                <w:color w:val="000000"/>
                <w:kern w:val="0"/>
                <w:sz w:val="24"/>
              </w:rPr>
            </w:pPr>
            <w:r>
              <w:rPr>
                <w:rFonts w:hint="eastAsia" w:ascii="仿宋_GB2312" w:hAnsi="仿宋_GB2312" w:cs="仿宋_GB2312"/>
                <w:color w:val="000000"/>
                <w:kern w:val="0"/>
                <w:sz w:val="24"/>
              </w:rPr>
              <w:t>完成</w:t>
            </w:r>
          </w:p>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数量指标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金额</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78.82万元</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78.82万元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160" w:type="dxa"/>
            <w:vMerge w:val="continue"/>
            <w:tcBorders>
              <w:left w:val="single" w:color="000000" w:sz="4" w:space="0"/>
              <w:right w:val="single" w:color="000000" w:sz="4" w:space="0"/>
            </w:tcBorders>
            <w:shd w:val="clear" w:color="auto" w:fill="auto"/>
            <w:noWrap/>
            <w:vAlign w:val="center"/>
          </w:tc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时效指标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年</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1年</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160" w:type="dxa"/>
            <w:vMerge w:val="continue"/>
            <w:tcBorders>
              <w:left w:val="single" w:color="000000" w:sz="4" w:space="0"/>
              <w:right w:val="single" w:color="000000" w:sz="4" w:space="0"/>
            </w:tcBorders>
            <w:shd w:val="clear" w:color="auto" w:fill="auto"/>
            <w:noWrap/>
            <w:vAlign w:val="center"/>
          </w:tc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成本指标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金额</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78.82万元</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78.82万元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160" w:type="dxa"/>
            <w:vMerge w:val="continue"/>
            <w:tcBorders>
              <w:left w:val="single" w:color="000000" w:sz="4" w:space="0"/>
              <w:bottom w:val="single" w:color="000000" w:sz="4" w:space="0"/>
              <w:right w:val="single" w:color="000000" w:sz="4" w:space="0"/>
            </w:tcBorders>
            <w:shd w:val="clear" w:color="auto" w:fill="auto"/>
            <w:noWrap/>
            <w:vAlign w:val="center"/>
          </w:tc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kern w:val="0"/>
                <w:sz w:val="24"/>
              </w:rPr>
            </w:pPr>
            <w:r>
              <w:rPr>
                <w:rFonts w:hint="eastAsia" w:ascii="仿宋_GB2312" w:hAnsi="仿宋_GB2312" w:cs="仿宋_GB2312"/>
                <w:color w:val="000000"/>
                <w:kern w:val="0"/>
                <w:sz w:val="24"/>
              </w:rPr>
              <w:t>满意</w:t>
            </w:r>
          </w:p>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度指标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kern w:val="0"/>
                <w:sz w:val="24"/>
              </w:rPr>
            </w:pPr>
            <w:r>
              <w:rPr>
                <w:rFonts w:hint="eastAsia" w:ascii="仿宋_GB2312" w:hAnsi="仿宋_GB2312" w:cs="仿宋_GB2312"/>
                <w:color w:val="000000"/>
                <w:kern w:val="0"/>
                <w:sz w:val="24"/>
              </w:rPr>
              <w:t>满意度</w:t>
            </w:r>
          </w:p>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Arial"/>
                <w:color w:val="000000"/>
                <w:sz w:val="24"/>
              </w:rPr>
              <w:t>≥97</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Arial"/>
                <w:color w:val="000000"/>
                <w:sz w:val="24"/>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366" w:type="dxa"/>
            <w:gridSpan w:val="6"/>
            <w:tcBorders>
              <w:top w:val="nil"/>
              <w:left w:val="nil"/>
              <w:bottom w:val="nil"/>
              <w:right w:val="nil"/>
            </w:tcBorders>
            <w:shd w:val="clear" w:color="auto" w:fill="auto"/>
            <w:noWrap/>
            <w:vAlign w:val="center"/>
          </w:tcPr>
          <w:p>
            <w:pPr>
              <w:widowControl/>
              <w:textAlignment w:val="center"/>
              <w:rPr>
                <w:rFonts w:ascii="仿宋_GB2312" w:hAnsi="仿宋_GB2312" w:cs="宋体"/>
                <w:b/>
                <w:color w:val="000000"/>
                <w:sz w:val="24"/>
              </w:rPr>
            </w:pPr>
            <w:r>
              <w:rPr>
                <w:rFonts w:hint="eastAsia" w:ascii="仿宋_GB2312" w:hAnsi="仿宋_GB2312" w:cs="宋体"/>
                <w:b/>
                <w:color w:val="000000"/>
                <w:sz w:val="24"/>
              </w:rPr>
              <w:t xml:space="preserve">                 </w:t>
            </w:r>
            <w:r>
              <w:rPr>
                <w:rFonts w:hint="eastAsia" w:ascii="仿宋_GB2312" w:hAnsi="仿宋_GB2312" w:cs="仿宋_GB2312"/>
                <w:b/>
                <w:color w:val="000000"/>
                <w:sz w:val="24"/>
              </w:rPr>
              <w:t xml:space="preserve">  </w:t>
            </w:r>
          </w:p>
        </w:tc>
        <w:tc>
          <w:tcPr>
            <w:tcW w:w="228" w:type="dxa"/>
            <w:tcBorders>
              <w:top w:val="nil"/>
              <w:left w:val="nil"/>
              <w:bottom w:val="nil"/>
              <w:right w:val="nil"/>
            </w:tcBorders>
            <w:shd w:val="clear" w:color="auto" w:fill="auto"/>
            <w:noWrap/>
            <w:vAlign w:val="center"/>
          </w:tcPr>
          <w:p>
            <w:pPr>
              <w:widowControl/>
              <w:jc w:val="center"/>
              <w:textAlignment w:val="center"/>
              <w:rPr>
                <w:rFonts w:ascii="仿宋_GB2312" w:hAnsi="仿宋_GB2312" w:cs="宋体"/>
                <w:b/>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54" w:hRule="atLeast"/>
        </w:trPr>
        <w:tc>
          <w:tcPr>
            <w:tcW w:w="34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sz w:val="24"/>
              </w:rPr>
              <w:t>项目名称</w:t>
            </w:r>
          </w:p>
        </w:tc>
        <w:tc>
          <w:tcPr>
            <w:tcW w:w="59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仿宋_GB2312"/>
                <w:sz w:val="24"/>
              </w:rPr>
              <w:t>巨灾指数保险保费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54" w:hRule="atLeast"/>
        </w:trPr>
        <w:tc>
          <w:tcPr>
            <w:tcW w:w="34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sz w:val="24"/>
              </w:rPr>
              <w:t>预算单位</w:t>
            </w:r>
          </w:p>
        </w:tc>
        <w:tc>
          <w:tcPr>
            <w:tcW w:w="59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trPr>
        <w:tc>
          <w:tcPr>
            <w:tcW w:w="3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kern w:val="0"/>
                <w:sz w:val="24"/>
              </w:rPr>
            </w:pPr>
            <w:r>
              <w:rPr>
                <w:rFonts w:hint="eastAsia" w:ascii="仿宋_GB2312" w:hAnsi="仿宋_GB2312" w:cs="宋体"/>
                <w:color w:val="000000"/>
                <w:kern w:val="0"/>
                <w:sz w:val="24"/>
              </w:rPr>
              <w:t>预算执行情况</w:t>
            </w:r>
          </w:p>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（万元）</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 xml:space="preserve"> 预算数：</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sz w:val="24"/>
              </w:rPr>
              <w:t>200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 xml:space="preserve"> 执行数：</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仿宋_GB2312" w:hAnsi="仿宋_GB2312" w:cs="宋体"/>
                <w:color w:val="000000"/>
                <w:sz w:val="24"/>
              </w:rPr>
            </w:pPr>
            <w:r>
              <w:rPr>
                <w:rFonts w:hint="eastAsia" w:ascii="仿宋_GB2312" w:hAnsi="仿宋_GB2312" w:cs="宋体"/>
                <w:color w:val="000000"/>
                <w:sz w:val="24"/>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77" w:hRule="atLeast"/>
        </w:trPr>
        <w:tc>
          <w:tcPr>
            <w:tcW w:w="3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kern w:val="0"/>
                <w:sz w:val="24"/>
              </w:rPr>
            </w:pPr>
            <w:r>
              <w:rPr>
                <w:rFonts w:hint="eastAsia" w:ascii="仿宋_GB2312" w:hAnsi="仿宋_GB2312" w:cs="宋体"/>
                <w:color w:val="000000"/>
                <w:kern w:val="0"/>
                <w:sz w:val="24"/>
              </w:rPr>
              <w:t>其中：</w:t>
            </w:r>
          </w:p>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财政拨款</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sz w:val="24"/>
              </w:rPr>
              <w:t>200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kern w:val="0"/>
                <w:sz w:val="24"/>
              </w:rPr>
            </w:pPr>
            <w:r>
              <w:rPr>
                <w:rFonts w:hint="eastAsia" w:ascii="仿宋_GB2312" w:hAnsi="仿宋_GB2312" w:cs="宋体"/>
                <w:color w:val="000000"/>
                <w:kern w:val="0"/>
                <w:sz w:val="24"/>
              </w:rPr>
              <w:t>其中：</w:t>
            </w:r>
          </w:p>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财政拨款</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仿宋_GB2312" w:hAnsi="仿宋_GB2312" w:cs="宋体"/>
                <w:color w:val="000000"/>
                <w:sz w:val="24"/>
              </w:rPr>
            </w:pPr>
            <w:r>
              <w:rPr>
                <w:rFonts w:hint="eastAsia" w:ascii="仿宋_GB2312" w:hAnsi="仿宋_GB2312" w:cs="宋体"/>
                <w:color w:val="000000"/>
                <w:sz w:val="24"/>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trPr>
        <w:tc>
          <w:tcPr>
            <w:tcW w:w="3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其他资金</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其他资金</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17" w:hRule="atLeast"/>
        </w:trPr>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kern w:val="0"/>
                <w:sz w:val="24"/>
              </w:rPr>
            </w:pPr>
            <w:r>
              <w:rPr>
                <w:rFonts w:hint="eastAsia" w:ascii="仿宋_GB2312" w:hAnsi="仿宋_GB2312" w:cs="宋体"/>
                <w:color w:val="000000"/>
                <w:kern w:val="0"/>
                <w:sz w:val="24"/>
              </w:rPr>
              <w:t>年度总体目标</w:t>
            </w:r>
          </w:p>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完成情况</w:t>
            </w:r>
          </w:p>
        </w:tc>
        <w:tc>
          <w:tcPr>
            <w:tcW w:w="42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预期目标</w:t>
            </w:r>
          </w:p>
        </w:tc>
        <w:tc>
          <w:tcPr>
            <w:tcW w:w="29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297" w:hRule="atLeast"/>
        </w:trPr>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243"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snapToGrid w:val="0"/>
              <w:spacing w:line="560" w:lineRule="exact"/>
              <w:ind w:firstLine="480" w:firstLineChars="200"/>
              <w:rPr>
                <w:rFonts w:ascii="仿宋_GB2312" w:hAnsi="仿宋_GB2312" w:cs="仿宋_GB2312"/>
                <w:bCs/>
                <w:sz w:val="24"/>
              </w:rPr>
            </w:pPr>
            <w:r>
              <w:rPr>
                <w:rFonts w:hint="eastAsia" w:ascii="仿宋_GB2312" w:hAnsi="仿宋_GB2312" w:cs="仿宋_GB2312"/>
                <w:sz w:val="24"/>
              </w:rPr>
              <w:t>投保200万元，</w:t>
            </w:r>
            <w:r>
              <w:rPr>
                <w:rFonts w:hint="eastAsia" w:ascii="仿宋_GB2312" w:hAnsi="仿宋_GB2312"/>
                <w:sz w:val="24"/>
              </w:rPr>
              <w:t>其中150万元保费用于保障地震及次生灾害赔付，50万元保费用于保障人身安全</w:t>
            </w:r>
            <w:r>
              <w:rPr>
                <w:rFonts w:hint="eastAsia" w:ascii="仿宋_GB2312" w:hAnsi="仿宋_GB2312" w:cs="仿宋_GB2312"/>
                <w:sz w:val="24"/>
              </w:rPr>
              <w:t>，总年度赔偿限额5000万元。</w:t>
            </w:r>
          </w:p>
          <w:p>
            <w:pPr>
              <w:tabs>
                <w:tab w:val="left" w:pos="1402"/>
              </w:tabs>
              <w:jc w:val="left"/>
              <w:rPr>
                <w:rFonts w:ascii="仿宋_GB2312" w:hAnsi="仿宋_GB2312"/>
                <w:sz w:val="24"/>
              </w:rPr>
            </w:pPr>
          </w:p>
        </w:tc>
        <w:tc>
          <w:tcPr>
            <w:tcW w:w="2963"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snapToGrid w:val="0"/>
              <w:spacing w:line="560" w:lineRule="exact"/>
              <w:rPr>
                <w:rFonts w:ascii="仿宋_GB2312" w:hAnsi="仿宋_GB2312"/>
                <w:sz w:val="24"/>
              </w:rPr>
            </w:pPr>
            <w:r>
              <w:rPr>
                <w:rFonts w:hint="eastAsia" w:ascii="仿宋_GB2312" w:hAnsi="仿宋_GB2312"/>
                <w:sz w:val="24"/>
              </w:rPr>
              <w:t>实际投保200万元，</w:t>
            </w:r>
            <w:r>
              <w:rPr>
                <w:rFonts w:hint="eastAsia" w:ascii="仿宋_GB2312" w:hAnsi="仿宋_GB2312" w:cs="仿宋_GB2312"/>
                <w:sz w:val="24"/>
              </w:rPr>
              <w:t>赔付费用于县人民政府灾难救助、灾后恢复重建和灾后修复支出，减轻财政支出压力。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38" w:hRule="atLeast"/>
        </w:trPr>
        <w:tc>
          <w:tcPr>
            <w:tcW w:w="2160"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绩效指标完成情况</w:t>
            </w:r>
          </w:p>
        </w:tc>
        <w:tc>
          <w:tcPr>
            <w:tcW w:w="1246"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kern w:val="0"/>
                <w:sz w:val="24"/>
              </w:rPr>
            </w:pPr>
            <w:r>
              <w:rPr>
                <w:rFonts w:hint="eastAsia" w:ascii="仿宋_GB2312" w:hAnsi="仿宋_GB2312" w:cs="仿宋_GB2312"/>
                <w:color w:val="000000"/>
                <w:kern w:val="0"/>
                <w:sz w:val="24"/>
              </w:rPr>
              <w:t>一级</w:t>
            </w:r>
          </w:p>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kern w:val="0"/>
                <w:sz w:val="24"/>
              </w:rPr>
            </w:pPr>
            <w:r>
              <w:rPr>
                <w:rFonts w:hint="eastAsia" w:ascii="仿宋_GB2312" w:hAnsi="仿宋_GB2312" w:cs="仿宋_GB2312"/>
                <w:color w:val="000000"/>
                <w:kern w:val="0"/>
                <w:sz w:val="24"/>
              </w:rPr>
              <w:t>二级</w:t>
            </w:r>
          </w:p>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kern w:val="0"/>
                <w:sz w:val="24"/>
              </w:rPr>
            </w:pPr>
            <w:r>
              <w:rPr>
                <w:rFonts w:hint="eastAsia" w:ascii="仿宋_GB2312" w:hAnsi="仿宋_GB2312" w:cs="仿宋_GB2312"/>
                <w:color w:val="000000"/>
                <w:kern w:val="0"/>
                <w:sz w:val="24"/>
              </w:rPr>
              <w:t>三级</w:t>
            </w:r>
          </w:p>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预期指标值</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160" w:type="dxa"/>
            <w:vMerge w:val="continue"/>
            <w:tcBorders>
              <w:left w:val="single" w:color="000000" w:sz="4" w:space="0"/>
              <w:right w:val="single" w:color="000000" w:sz="4" w:space="0"/>
            </w:tcBorders>
            <w:shd w:val="clear" w:color="auto" w:fill="auto"/>
            <w:noWrap/>
            <w:vAlign w:val="center"/>
          </w:tcP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仿宋_GB2312" w:hAnsi="仿宋_GB2312" w:cs="仿宋_GB2312"/>
                <w:color w:val="000000"/>
                <w:kern w:val="0"/>
                <w:sz w:val="24"/>
              </w:rPr>
            </w:pPr>
            <w:r>
              <w:rPr>
                <w:rFonts w:hint="eastAsia" w:ascii="仿宋_GB2312" w:hAnsi="仿宋_GB2312" w:cs="仿宋_GB2312"/>
                <w:color w:val="000000"/>
                <w:kern w:val="0"/>
                <w:sz w:val="24"/>
              </w:rPr>
              <w:t>完成</w:t>
            </w:r>
          </w:p>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数量指标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费用</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200万元</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200万元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160" w:type="dxa"/>
            <w:vMerge w:val="continue"/>
            <w:tcBorders>
              <w:left w:val="single" w:color="000000" w:sz="4" w:space="0"/>
              <w:right w:val="single" w:color="000000" w:sz="4" w:space="0"/>
            </w:tcBorders>
            <w:shd w:val="clear" w:color="auto" w:fill="auto"/>
            <w:noWrap/>
            <w:vAlign w:val="center"/>
          </w:tc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时效指标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年</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1年</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160" w:type="dxa"/>
            <w:vMerge w:val="continue"/>
            <w:tcBorders>
              <w:left w:val="single" w:color="000000" w:sz="4" w:space="0"/>
              <w:right w:val="single" w:color="000000" w:sz="4" w:space="0"/>
            </w:tcBorders>
            <w:shd w:val="clear" w:color="auto" w:fill="auto"/>
            <w:noWrap/>
            <w:vAlign w:val="center"/>
          </w:tc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成本指标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金额</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200万元</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200万元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160" w:type="dxa"/>
            <w:vMerge w:val="continue"/>
            <w:tcBorders>
              <w:left w:val="single" w:color="000000" w:sz="4" w:space="0"/>
              <w:bottom w:val="single" w:color="000000" w:sz="4" w:space="0"/>
              <w:right w:val="single" w:color="000000" w:sz="4" w:space="0"/>
            </w:tcBorders>
            <w:shd w:val="clear" w:color="auto" w:fill="auto"/>
            <w:noWrap/>
            <w:vAlign w:val="center"/>
          </w:tc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kern w:val="0"/>
                <w:sz w:val="24"/>
              </w:rPr>
            </w:pPr>
            <w:r>
              <w:rPr>
                <w:rFonts w:hint="eastAsia" w:ascii="仿宋_GB2312" w:hAnsi="仿宋_GB2312" w:cs="仿宋_GB2312"/>
                <w:color w:val="000000"/>
                <w:kern w:val="0"/>
                <w:sz w:val="24"/>
              </w:rPr>
              <w:t>满意</w:t>
            </w:r>
          </w:p>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度指标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kern w:val="0"/>
                <w:sz w:val="24"/>
              </w:rPr>
            </w:pPr>
            <w:r>
              <w:rPr>
                <w:rFonts w:hint="eastAsia" w:ascii="仿宋_GB2312" w:hAnsi="仿宋_GB2312" w:cs="仿宋_GB2312"/>
                <w:color w:val="000000"/>
                <w:kern w:val="0"/>
                <w:sz w:val="24"/>
              </w:rPr>
              <w:t>满意度</w:t>
            </w:r>
          </w:p>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Arial"/>
                <w:color w:val="000000"/>
                <w:sz w:val="24"/>
              </w:rPr>
              <w:t>≥95</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Arial"/>
                <w:color w:val="000000"/>
                <w:sz w:val="24"/>
              </w:rPr>
              <w:t>≥95</w:t>
            </w:r>
          </w:p>
        </w:tc>
      </w:tr>
    </w:tbl>
    <w:p>
      <w:pPr>
        <w:spacing w:line="590" w:lineRule="exact"/>
        <w:outlineLvl w:val="0"/>
        <w:rPr>
          <w:rFonts w:ascii="仿宋_GB2312" w:hAnsi="仿宋_GB2312" w:cs="仿宋_GB2312"/>
          <w:color w:val="000000"/>
          <w:sz w:val="24"/>
        </w:rPr>
      </w:pPr>
    </w:p>
    <w:tbl>
      <w:tblPr>
        <w:tblStyle w:val="16"/>
        <w:tblpPr w:leftFromText="180" w:rightFromText="180" w:vertAnchor="text" w:horzAnchor="page" w:tblpX="1256" w:tblpY="221"/>
        <w:tblOverlap w:val="never"/>
        <w:tblW w:w="96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3"/>
        <w:gridCol w:w="1247"/>
        <w:gridCol w:w="1787"/>
        <w:gridCol w:w="1214"/>
        <w:gridCol w:w="1424"/>
        <w:gridCol w:w="1539"/>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9374" w:type="dxa"/>
            <w:gridSpan w:val="6"/>
            <w:tcBorders>
              <w:top w:val="nil"/>
              <w:left w:val="nil"/>
              <w:bottom w:val="nil"/>
              <w:right w:val="nil"/>
            </w:tcBorders>
            <w:shd w:val="clear" w:color="auto" w:fill="auto"/>
            <w:noWrap/>
            <w:vAlign w:val="center"/>
          </w:tcPr>
          <w:p>
            <w:pPr>
              <w:widowControl/>
              <w:textAlignment w:val="center"/>
              <w:rPr>
                <w:rFonts w:ascii="仿宋_GB2312" w:hAnsi="仿宋_GB2312" w:cs="宋体"/>
                <w:b/>
                <w:bCs/>
                <w:color w:val="000000"/>
                <w:sz w:val="24"/>
              </w:rPr>
            </w:pPr>
          </w:p>
        </w:tc>
        <w:tc>
          <w:tcPr>
            <w:tcW w:w="231" w:type="dxa"/>
            <w:tcBorders>
              <w:top w:val="nil"/>
              <w:left w:val="nil"/>
              <w:bottom w:val="nil"/>
              <w:right w:val="nil"/>
            </w:tcBorders>
            <w:shd w:val="clear" w:color="auto" w:fill="auto"/>
            <w:noWrap/>
            <w:vAlign w:val="center"/>
          </w:tcPr>
          <w:p>
            <w:pPr>
              <w:widowControl/>
              <w:jc w:val="center"/>
              <w:textAlignment w:val="center"/>
              <w:rPr>
                <w:rFonts w:ascii="仿宋_GB2312" w:hAnsi="仿宋_GB2312" w:cs="宋体"/>
                <w:b/>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54" w:hRule="atLeast"/>
        </w:trPr>
        <w:tc>
          <w:tcPr>
            <w:tcW w:w="3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sz w:val="24"/>
              </w:rPr>
              <w:t>项目名称</w:t>
            </w:r>
          </w:p>
        </w:tc>
        <w:tc>
          <w:tcPr>
            <w:tcW w:w="59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仿宋_GB2312" w:hAnsi="仿宋_GB2312" w:cs="宋体"/>
                <w:color w:val="000000"/>
                <w:sz w:val="24"/>
              </w:rPr>
            </w:pPr>
            <w:r>
              <w:rPr>
                <w:rFonts w:hint="eastAsia" w:ascii="仿宋_GB2312" w:hAnsi="仿宋_GB2312" w:cs="仿宋_GB2312"/>
                <w:sz w:val="24"/>
              </w:rPr>
              <w:t>安全生产综合信息平台技术服务支撑费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54" w:hRule="atLeast"/>
        </w:trPr>
        <w:tc>
          <w:tcPr>
            <w:tcW w:w="3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sz w:val="24"/>
              </w:rPr>
              <w:t>预算单位</w:t>
            </w:r>
          </w:p>
        </w:tc>
        <w:tc>
          <w:tcPr>
            <w:tcW w:w="59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仿宋_GB2312" w:hAnsi="仿宋_GB2312" w:cs="仿宋_GB2312"/>
                <w:sz w:val="24"/>
              </w:rPr>
            </w:pPr>
            <w:r>
              <w:rPr>
                <w:rFonts w:hint="eastAsia" w:ascii="仿宋_GB2312" w:hAnsi="仿宋_GB2312" w:cs="仿宋_GB2312"/>
                <w:sz w:val="24"/>
              </w:rPr>
              <w:t>茂县应急管理局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trPr>
        <w:tc>
          <w:tcPr>
            <w:tcW w:w="34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kern w:val="0"/>
                <w:sz w:val="24"/>
              </w:rPr>
            </w:pPr>
            <w:r>
              <w:rPr>
                <w:rFonts w:hint="eastAsia" w:ascii="仿宋_GB2312" w:hAnsi="仿宋_GB2312" w:cs="宋体"/>
                <w:color w:val="000000"/>
                <w:kern w:val="0"/>
                <w:sz w:val="24"/>
              </w:rPr>
              <w:t>预算执行情况</w:t>
            </w:r>
          </w:p>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（万元）</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 xml:space="preserve"> 预算数：</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sz w:val="24"/>
              </w:rPr>
              <w:t>258.6</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 xml:space="preserve"> 执行数：</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仿宋_GB2312" w:hAnsi="仿宋_GB2312" w:cs="宋体"/>
                <w:color w:val="000000"/>
                <w:sz w:val="24"/>
              </w:rPr>
            </w:pPr>
            <w:r>
              <w:rPr>
                <w:rFonts w:hint="eastAsia" w:ascii="仿宋_GB2312" w:hAnsi="仿宋_GB2312" w:cs="宋体"/>
                <w:color w:val="000000"/>
                <w:sz w:val="24"/>
              </w:rPr>
              <w:t>258.6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77" w:hRule="atLeast"/>
        </w:trPr>
        <w:tc>
          <w:tcPr>
            <w:tcW w:w="3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kern w:val="0"/>
                <w:sz w:val="24"/>
              </w:rPr>
            </w:pPr>
            <w:r>
              <w:rPr>
                <w:rFonts w:hint="eastAsia" w:ascii="仿宋_GB2312" w:hAnsi="仿宋_GB2312" w:cs="宋体"/>
                <w:color w:val="000000"/>
                <w:kern w:val="0"/>
                <w:sz w:val="24"/>
              </w:rPr>
              <w:t>其中：</w:t>
            </w:r>
          </w:p>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财政拨款</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sz w:val="24"/>
              </w:rPr>
              <w:t>258.6</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kern w:val="0"/>
                <w:sz w:val="24"/>
              </w:rPr>
            </w:pPr>
            <w:r>
              <w:rPr>
                <w:rFonts w:hint="eastAsia" w:ascii="仿宋_GB2312" w:hAnsi="仿宋_GB2312" w:cs="宋体"/>
                <w:color w:val="000000"/>
                <w:kern w:val="0"/>
                <w:sz w:val="24"/>
              </w:rPr>
              <w:t>其中：</w:t>
            </w:r>
          </w:p>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财政拨款</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仿宋_GB2312" w:hAnsi="仿宋_GB2312" w:cs="宋体"/>
                <w:color w:val="000000"/>
                <w:sz w:val="24"/>
              </w:rPr>
            </w:pPr>
            <w:r>
              <w:rPr>
                <w:rFonts w:hint="eastAsia" w:ascii="仿宋_GB2312" w:hAnsi="仿宋_GB2312" w:cs="宋体"/>
                <w:color w:val="000000"/>
                <w:sz w:val="24"/>
              </w:rPr>
              <w:t>258.6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trPr>
        <w:tc>
          <w:tcPr>
            <w:tcW w:w="3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其他资金</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其他资金</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17" w:hRule="atLeast"/>
        </w:trPr>
        <w:tc>
          <w:tcPr>
            <w:tcW w:w="21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kern w:val="0"/>
                <w:sz w:val="24"/>
              </w:rPr>
            </w:pPr>
            <w:r>
              <w:rPr>
                <w:rFonts w:hint="eastAsia" w:ascii="仿宋_GB2312" w:hAnsi="仿宋_GB2312" w:cs="宋体"/>
                <w:color w:val="000000"/>
                <w:kern w:val="0"/>
                <w:sz w:val="24"/>
              </w:rPr>
              <w:t>年度总体目标</w:t>
            </w:r>
          </w:p>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完成情况</w:t>
            </w:r>
          </w:p>
        </w:tc>
        <w:tc>
          <w:tcPr>
            <w:tcW w:w="42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预期目标</w:t>
            </w:r>
          </w:p>
        </w:tc>
        <w:tc>
          <w:tcPr>
            <w:tcW w:w="29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297" w:hRule="atLeast"/>
        </w:trPr>
        <w:tc>
          <w:tcPr>
            <w:tcW w:w="2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248"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tabs>
                <w:tab w:val="left" w:pos="1402"/>
              </w:tabs>
              <w:jc w:val="left"/>
              <w:rPr>
                <w:rFonts w:ascii="仿宋_GB2312" w:hAnsi="仿宋_GB2312"/>
                <w:sz w:val="24"/>
              </w:rPr>
            </w:pPr>
            <w:r>
              <w:rPr>
                <w:rFonts w:hint="eastAsia" w:ascii="仿宋_GB2312" w:hAnsi="仿宋_GB2312" w:cs="仿宋_GB2312"/>
                <w:sz w:val="24"/>
              </w:rPr>
              <w:t>通过建立安全生产重大危险源远程监控，采集企业安全生产基础数据，为安全监管部门的日常安全监管监察和事故应急处置工作提供科学依据和技术手段</w:t>
            </w:r>
          </w:p>
        </w:tc>
        <w:tc>
          <w:tcPr>
            <w:tcW w:w="2963"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rPr>
                <w:rFonts w:ascii="仿宋_GB2312" w:hAnsi="仿宋_GB2312"/>
                <w:sz w:val="24"/>
              </w:rPr>
            </w:pPr>
            <w:r>
              <w:rPr>
                <w:rFonts w:hint="eastAsia" w:ascii="仿宋_GB2312" w:hAnsi="仿宋_GB2312" w:cs="仿宋_GB2312"/>
                <w:sz w:val="24"/>
              </w:rPr>
              <w:t>确保对监管行业的安全生产实施预警监测，有效预防和减少安全生产突发事件的发生。全年支付258.6万元。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38" w:hRule="atLeast"/>
        </w:trPr>
        <w:tc>
          <w:tcPr>
            <w:tcW w:w="2163"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绩效指标完成情况</w:t>
            </w:r>
          </w:p>
        </w:tc>
        <w:tc>
          <w:tcPr>
            <w:tcW w:w="1247"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kern w:val="0"/>
                <w:sz w:val="24"/>
              </w:rPr>
            </w:pPr>
            <w:r>
              <w:rPr>
                <w:rFonts w:hint="eastAsia" w:ascii="仿宋_GB2312" w:hAnsi="仿宋_GB2312" w:cs="仿宋_GB2312"/>
                <w:color w:val="000000"/>
                <w:kern w:val="0"/>
                <w:sz w:val="24"/>
              </w:rPr>
              <w:t>一级</w:t>
            </w:r>
          </w:p>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kern w:val="0"/>
                <w:sz w:val="24"/>
              </w:rPr>
            </w:pPr>
            <w:r>
              <w:rPr>
                <w:rFonts w:hint="eastAsia" w:ascii="仿宋_GB2312" w:hAnsi="仿宋_GB2312" w:cs="仿宋_GB2312"/>
                <w:color w:val="000000"/>
                <w:kern w:val="0"/>
                <w:sz w:val="24"/>
              </w:rPr>
              <w:t>二级</w:t>
            </w:r>
          </w:p>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kern w:val="0"/>
                <w:sz w:val="24"/>
              </w:rPr>
            </w:pPr>
            <w:r>
              <w:rPr>
                <w:rFonts w:hint="eastAsia" w:ascii="仿宋_GB2312" w:hAnsi="仿宋_GB2312" w:cs="仿宋_GB2312"/>
                <w:color w:val="000000"/>
                <w:kern w:val="0"/>
                <w:sz w:val="24"/>
              </w:rPr>
              <w:t>三级</w:t>
            </w:r>
          </w:p>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预期指标值</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163" w:type="dxa"/>
            <w:vMerge w:val="continue"/>
            <w:tcBorders>
              <w:left w:val="single" w:color="000000" w:sz="4" w:space="0"/>
              <w:right w:val="single" w:color="000000" w:sz="4" w:space="0"/>
            </w:tcBorders>
            <w:shd w:val="clear" w:color="auto" w:fill="auto"/>
            <w:noWrap/>
            <w:vAlign w:val="center"/>
          </w:tcPr>
          <w:p/>
        </w:tc>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仿宋_GB2312" w:hAnsi="仿宋_GB2312" w:cs="仿宋_GB2312"/>
                <w:color w:val="000000"/>
                <w:kern w:val="0"/>
                <w:sz w:val="24"/>
              </w:rPr>
            </w:pPr>
            <w:r>
              <w:rPr>
                <w:rFonts w:hint="eastAsia" w:ascii="仿宋_GB2312" w:hAnsi="仿宋_GB2312" w:cs="仿宋_GB2312"/>
                <w:color w:val="000000"/>
                <w:kern w:val="0"/>
                <w:sz w:val="24"/>
              </w:rPr>
              <w:t>完成</w:t>
            </w:r>
          </w:p>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数量指标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金额</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258.6万元</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258.6万元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163" w:type="dxa"/>
            <w:vMerge w:val="continue"/>
            <w:tcBorders>
              <w:left w:val="single" w:color="000000" w:sz="4" w:space="0"/>
              <w:right w:val="single" w:color="000000" w:sz="4" w:space="0"/>
            </w:tcBorders>
            <w:shd w:val="clear" w:color="auto" w:fill="auto"/>
            <w:noWrap/>
            <w:vAlign w:val="center"/>
          </w:tc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时效指标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年</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1年</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163" w:type="dxa"/>
            <w:vMerge w:val="continue"/>
            <w:tcBorders>
              <w:left w:val="single" w:color="000000" w:sz="4" w:space="0"/>
              <w:right w:val="single" w:color="000000" w:sz="4" w:space="0"/>
            </w:tcBorders>
            <w:shd w:val="clear" w:color="auto" w:fill="auto"/>
            <w:noWrap/>
            <w:vAlign w:val="center"/>
          </w:tc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成本指标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金额</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258.6万元</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258.6万元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163" w:type="dxa"/>
            <w:vMerge w:val="continue"/>
            <w:tcBorders>
              <w:left w:val="single" w:color="000000" w:sz="4" w:space="0"/>
              <w:bottom w:val="single" w:color="000000" w:sz="4" w:space="0"/>
              <w:right w:val="single" w:color="000000" w:sz="4" w:space="0"/>
            </w:tcBorders>
            <w:shd w:val="clear" w:color="auto" w:fill="auto"/>
            <w:noWrap/>
            <w:vAlign w:val="center"/>
          </w:tc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kern w:val="0"/>
                <w:sz w:val="24"/>
              </w:rPr>
            </w:pPr>
            <w:r>
              <w:rPr>
                <w:rFonts w:hint="eastAsia" w:ascii="仿宋_GB2312" w:hAnsi="仿宋_GB2312" w:cs="仿宋_GB2312"/>
                <w:color w:val="000000"/>
                <w:kern w:val="0"/>
                <w:sz w:val="24"/>
              </w:rPr>
              <w:t>满意</w:t>
            </w:r>
          </w:p>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度指标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kern w:val="0"/>
                <w:sz w:val="24"/>
              </w:rPr>
            </w:pPr>
            <w:r>
              <w:rPr>
                <w:rFonts w:hint="eastAsia" w:ascii="仿宋_GB2312" w:hAnsi="仿宋_GB2312" w:cs="仿宋_GB2312"/>
                <w:color w:val="000000"/>
                <w:kern w:val="0"/>
                <w:sz w:val="24"/>
              </w:rPr>
              <w:t>满意度</w:t>
            </w:r>
          </w:p>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Arial"/>
                <w:color w:val="000000"/>
                <w:sz w:val="24"/>
              </w:rPr>
              <w:t>≥97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Arial"/>
                <w:color w:val="000000"/>
                <w:sz w:val="24"/>
              </w:rPr>
              <w:t>≥97</w:t>
            </w:r>
          </w:p>
        </w:tc>
      </w:tr>
    </w:tbl>
    <w:p>
      <w:pPr>
        <w:spacing w:line="590" w:lineRule="exact"/>
        <w:outlineLvl w:val="0"/>
        <w:rPr>
          <w:rFonts w:ascii="仿宋_GB2312" w:hAnsi="仿宋_GB2312" w:cs="仿宋_GB2312"/>
          <w:color w:val="000000"/>
          <w:sz w:val="24"/>
        </w:rPr>
      </w:pPr>
    </w:p>
    <w:tbl>
      <w:tblPr>
        <w:tblStyle w:val="16"/>
        <w:tblpPr w:leftFromText="180" w:rightFromText="180" w:vertAnchor="text" w:horzAnchor="page" w:tblpX="1256" w:tblpY="221"/>
        <w:tblOverlap w:val="never"/>
        <w:tblW w:w="92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86"/>
        <w:gridCol w:w="1203"/>
        <w:gridCol w:w="1723"/>
        <w:gridCol w:w="1171"/>
        <w:gridCol w:w="1372"/>
        <w:gridCol w:w="1487"/>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059" w:type="dxa"/>
            <w:gridSpan w:val="6"/>
            <w:tcBorders>
              <w:top w:val="nil"/>
              <w:left w:val="nil"/>
              <w:bottom w:val="nil"/>
              <w:right w:val="nil"/>
            </w:tcBorders>
            <w:shd w:val="clear" w:color="auto" w:fill="auto"/>
            <w:noWrap/>
            <w:vAlign w:val="center"/>
          </w:tcPr>
          <w:p>
            <w:pPr>
              <w:pStyle w:val="15"/>
              <w:ind w:firstLine="0" w:firstLineChars="0"/>
              <w:jc w:val="both"/>
              <w:rPr>
                <w:rFonts w:ascii="仿宋_GB2312" w:eastAsia="仿宋_GB2312"/>
                <w:sz w:val="24"/>
                <w:szCs w:val="24"/>
              </w:rPr>
            </w:pPr>
          </w:p>
        </w:tc>
        <w:tc>
          <w:tcPr>
            <w:tcW w:w="219" w:type="dxa"/>
            <w:tcBorders>
              <w:top w:val="nil"/>
              <w:left w:val="nil"/>
              <w:bottom w:val="nil"/>
              <w:right w:val="nil"/>
            </w:tcBorders>
            <w:shd w:val="clear" w:color="auto" w:fill="auto"/>
            <w:noWrap/>
            <w:vAlign w:val="center"/>
          </w:tcPr>
          <w:p>
            <w:pPr>
              <w:widowControl/>
              <w:jc w:val="center"/>
              <w:textAlignment w:val="center"/>
              <w:rPr>
                <w:rFonts w:ascii="仿宋_GB2312" w:hAnsi="仿宋_GB2312" w:cs="宋体"/>
                <w:b/>
                <w:bCs/>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54" w:hRule="atLeast"/>
        </w:trPr>
        <w:tc>
          <w:tcPr>
            <w:tcW w:w="3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sz w:val="24"/>
              </w:rPr>
              <w:t>项目名称</w:t>
            </w:r>
          </w:p>
        </w:tc>
        <w:tc>
          <w:tcPr>
            <w:tcW w:w="57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仿宋_GB2312" w:hAnsi="仿宋_GB2312" w:cs="宋体"/>
                <w:color w:val="000000"/>
                <w:sz w:val="24"/>
              </w:rPr>
            </w:pPr>
            <w:r>
              <w:rPr>
                <w:rFonts w:hint="eastAsia" w:ascii="仿宋_GB2312" w:hAnsi="仿宋_GB2312"/>
                <w:sz w:val="24"/>
              </w:rPr>
              <w:t>2020年中央自然灾害救灾资金应急排查服务项目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54" w:hRule="atLeast"/>
        </w:trPr>
        <w:tc>
          <w:tcPr>
            <w:tcW w:w="3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sz w:val="24"/>
              </w:rPr>
              <w:t>预算单位</w:t>
            </w:r>
          </w:p>
        </w:tc>
        <w:tc>
          <w:tcPr>
            <w:tcW w:w="57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仿宋_GB2312" w:hAnsi="仿宋_GB2312"/>
                <w:sz w:val="24"/>
              </w:rPr>
            </w:pPr>
            <w:r>
              <w:rPr>
                <w:rFonts w:hint="eastAsia" w:ascii="仿宋_GB2312" w:hAnsi="仿宋_GB2312"/>
                <w:sz w:val="24"/>
              </w:rPr>
              <w:t>茂县应急管理局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trPr>
        <w:tc>
          <w:tcPr>
            <w:tcW w:w="32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720" w:firstLineChars="300"/>
              <w:textAlignment w:val="center"/>
              <w:rPr>
                <w:rFonts w:ascii="仿宋_GB2312" w:hAnsi="仿宋_GB2312" w:cs="宋体"/>
                <w:color w:val="000000"/>
                <w:kern w:val="0"/>
                <w:sz w:val="24"/>
              </w:rPr>
            </w:pPr>
            <w:r>
              <w:rPr>
                <w:rFonts w:hint="eastAsia" w:ascii="仿宋_GB2312" w:hAnsi="仿宋_GB2312" w:cs="宋体"/>
                <w:color w:val="000000"/>
                <w:kern w:val="0"/>
                <w:sz w:val="24"/>
              </w:rPr>
              <w:t>预算执行情况</w:t>
            </w:r>
          </w:p>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（万元）</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 xml:space="preserve"> 预算数：</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sz w:val="24"/>
              </w:rPr>
              <w:t>100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 xml:space="preserve"> 执行数：</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仿宋_GB2312" w:hAnsi="仿宋_GB2312" w:cs="宋体"/>
                <w:color w:val="000000"/>
                <w:sz w:val="24"/>
              </w:rPr>
            </w:pPr>
            <w:r>
              <w:rPr>
                <w:rFonts w:hint="eastAsia" w:ascii="仿宋_GB2312" w:hAnsi="仿宋_GB2312" w:cs="宋体"/>
                <w:color w:val="000000"/>
                <w:sz w:val="24"/>
              </w:rPr>
              <w:t>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77" w:hRule="atLeast"/>
        </w:trPr>
        <w:tc>
          <w:tcPr>
            <w:tcW w:w="32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kern w:val="0"/>
                <w:sz w:val="24"/>
              </w:rPr>
            </w:pPr>
            <w:r>
              <w:rPr>
                <w:rFonts w:hint="eastAsia" w:ascii="仿宋_GB2312" w:hAnsi="仿宋_GB2312" w:cs="宋体"/>
                <w:color w:val="000000"/>
                <w:kern w:val="0"/>
                <w:sz w:val="24"/>
              </w:rPr>
              <w:t>其中：</w:t>
            </w:r>
          </w:p>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财政拨款</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sz w:val="24"/>
              </w:rPr>
              <w:t>100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kern w:val="0"/>
                <w:sz w:val="24"/>
              </w:rPr>
            </w:pPr>
            <w:r>
              <w:rPr>
                <w:rFonts w:hint="eastAsia" w:ascii="仿宋_GB2312" w:hAnsi="仿宋_GB2312" w:cs="宋体"/>
                <w:color w:val="000000"/>
                <w:kern w:val="0"/>
                <w:sz w:val="24"/>
              </w:rPr>
              <w:t>其中：</w:t>
            </w:r>
          </w:p>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财政拨款</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仿宋_GB2312" w:hAnsi="仿宋_GB2312" w:cs="宋体"/>
                <w:color w:val="000000"/>
                <w:sz w:val="24"/>
              </w:rPr>
            </w:pPr>
            <w:r>
              <w:rPr>
                <w:rFonts w:hint="eastAsia" w:ascii="仿宋_GB2312" w:hAnsi="仿宋_GB2312" w:cs="宋体"/>
                <w:color w:val="000000"/>
                <w:sz w:val="24"/>
              </w:rPr>
              <w:t>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trPr>
        <w:tc>
          <w:tcPr>
            <w:tcW w:w="32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其他资金</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其他资金</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17" w:hRule="atLeast"/>
        </w:trPr>
        <w:tc>
          <w:tcPr>
            <w:tcW w:w="20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kern w:val="0"/>
                <w:sz w:val="24"/>
              </w:rPr>
            </w:pPr>
            <w:r>
              <w:rPr>
                <w:rFonts w:hint="eastAsia" w:ascii="仿宋_GB2312" w:hAnsi="仿宋_GB2312" w:cs="宋体"/>
                <w:color w:val="000000"/>
                <w:kern w:val="0"/>
                <w:sz w:val="24"/>
              </w:rPr>
              <w:t>年度总体目标</w:t>
            </w:r>
          </w:p>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完成情况</w:t>
            </w:r>
          </w:p>
        </w:tc>
        <w:tc>
          <w:tcPr>
            <w:tcW w:w="41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预期目标</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104"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adjustRightInd w:val="0"/>
              <w:snapToGrid w:val="0"/>
              <w:spacing w:line="570" w:lineRule="exact"/>
              <w:ind w:firstLine="480" w:firstLineChars="200"/>
              <w:rPr>
                <w:rFonts w:ascii="仿宋_GB2312" w:hAnsi="仿宋_GB2312"/>
                <w:sz w:val="24"/>
              </w:rPr>
            </w:pPr>
            <w:r>
              <w:rPr>
                <w:rFonts w:hint="eastAsia" w:ascii="仿宋_GB2312" w:hAnsi="仿宋_GB2312"/>
                <w:sz w:val="24"/>
              </w:rPr>
              <w:t>中应急救援资金100万元，专项用于地质灾害救灾资金。</w:t>
            </w:r>
            <w:r>
              <w:rPr>
                <w:rFonts w:hint="eastAsia" w:ascii="仿宋_GB2312" w:hAnsi="仿宋_GB2312" w:cs="仿宋_GB2312"/>
                <w:sz w:val="24"/>
              </w:rPr>
              <w:t>茂县重点区域内18个地质灾害隐患点应急排查和茂县渭门镇德胜组茅草坪滑坡“一点一案”方案编制项目。</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rPr>
                <w:rFonts w:ascii="仿宋_GB2312" w:hAnsi="仿宋_GB2312"/>
                <w:sz w:val="24"/>
              </w:rPr>
            </w:pPr>
            <w:r>
              <w:rPr>
                <w:rFonts w:hint="eastAsia" w:ascii="仿宋_GB2312" w:hAnsi="仿宋_GB2312" w:cs="宋体"/>
                <w:color w:val="333333"/>
                <w:sz w:val="24"/>
                <w:shd w:val="clear" w:color="auto" w:fill="FFFFFF"/>
              </w:rPr>
              <w:t>完成了合同要求工作量，各灾害点应急能力评估基本正确，应急救援行动方案建议基本合理，具有可操作性。实际支付金额98.9万元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38" w:hRule="atLeast"/>
        </w:trPr>
        <w:tc>
          <w:tcPr>
            <w:tcW w:w="2090"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320" w:lineRule="exact"/>
              <w:ind w:left="718" w:leftChars="342"/>
              <w:textAlignment w:val="center"/>
              <w:rPr>
                <w:rFonts w:ascii="仿宋_GB2312" w:hAnsi="仿宋_GB2312" w:cs="仿宋_GB2312"/>
                <w:color w:val="000000"/>
                <w:sz w:val="24"/>
              </w:rPr>
            </w:pPr>
            <w:r>
              <w:rPr>
                <w:rFonts w:hint="eastAsia" w:ascii="仿宋_GB2312" w:hAnsi="仿宋_GB2312" w:cs="仿宋_GB2312"/>
                <w:color w:val="000000"/>
                <w:kern w:val="0"/>
                <w:sz w:val="24"/>
              </w:rPr>
              <w:t>绩效指标完成情况</w:t>
            </w:r>
          </w:p>
        </w:tc>
        <w:tc>
          <w:tcPr>
            <w:tcW w:w="1205"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kern w:val="0"/>
                <w:sz w:val="24"/>
              </w:rPr>
            </w:pPr>
            <w:r>
              <w:rPr>
                <w:rFonts w:hint="eastAsia" w:ascii="仿宋_GB2312" w:hAnsi="仿宋_GB2312" w:cs="仿宋_GB2312"/>
                <w:color w:val="000000"/>
                <w:kern w:val="0"/>
                <w:sz w:val="24"/>
              </w:rPr>
              <w:t>一级</w:t>
            </w:r>
          </w:p>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kern w:val="0"/>
                <w:sz w:val="24"/>
              </w:rPr>
            </w:pPr>
            <w:r>
              <w:rPr>
                <w:rFonts w:hint="eastAsia" w:ascii="仿宋_GB2312" w:hAnsi="仿宋_GB2312" w:cs="仿宋_GB2312"/>
                <w:color w:val="000000"/>
                <w:kern w:val="0"/>
                <w:sz w:val="24"/>
              </w:rPr>
              <w:t>二级</w:t>
            </w:r>
          </w:p>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kern w:val="0"/>
                <w:sz w:val="24"/>
              </w:rPr>
            </w:pPr>
            <w:r>
              <w:rPr>
                <w:rFonts w:hint="eastAsia" w:ascii="仿宋_GB2312" w:hAnsi="仿宋_GB2312" w:cs="仿宋_GB2312"/>
                <w:color w:val="000000"/>
                <w:kern w:val="0"/>
                <w:sz w:val="24"/>
              </w:rPr>
              <w:t>三级</w:t>
            </w:r>
          </w:p>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预期指标值</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090" w:type="dxa"/>
            <w:vMerge w:val="continue"/>
            <w:tcBorders>
              <w:top w:val="nil"/>
              <w:left w:val="single" w:color="000000" w:sz="4" w:space="0"/>
              <w:bottom w:val="nil"/>
              <w:right w:val="single" w:color="000000" w:sz="4" w:space="0"/>
            </w:tcBorders>
            <w:shd w:val="clear" w:color="auto" w:fill="auto"/>
            <w:noWrap/>
            <w:vAlign w:val="center"/>
          </w:tcP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仿宋_GB2312" w:hAnsi="仿宋_GB2312" w:cs="仿宋_GB2312"/>
                <w:color w:val="000000"/>
                <w:kern w:val="0"/>
                <w:sz w:val="24"/>
              </w:rPr>
            </w:pPr>
            <w:r>
              <w:rPr>
                <w:rFonts w:hint="eastAsia" w:ascii="仿宋_GB2312" w:hAnsi="仿宋_GB2312" w:cs="仿宋_GB2312"/>
                <w:color w:val="000000"/>
                <w:kern w:val="0"/>
                <w:sz w:val="24"/>
              </w:rPr>
              <w:t>完成</w:t>
            </w:r>
          </w:p>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数量指标</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金额</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100万元</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98.9万元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090" w:type="dxa"/>
            <w:vMerge w:val="continue"/>
            <w:tcBorders>
              <w:top w:val="nil"/>
              <w:left w:val="single" w:color="000000" w:sz="4" w:space="0"/>
              <w:bottom w:val="nil"/>
              <w:right w:val="single" w:color="000000" w:sz="4" w:space="0"/>
            </w:tcBorders>
            <w:shd w:val="clear" w:color="auto" w:fill="auto"/>
            <w:noWrap/>
            <w:vAlign w:val="center"/>
          </w:tc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时效指标</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月</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4月</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090" w:type="dxa"/>
            <w:vMerge w:val="continue"/>
            <w:tcBorders>
              <w:top w:val="nil"/>
              <w:left w:val="single" w:color="000000" w:sz="4" w:space="0"/>
              <w:bottom w:val="nil"/>
              <w:right w:val="single" w:color="000000" w:sz="4" w:space="0"/>
            </w:tcBorders>
            <w:shd w:val="clear" w:color="auto" w:fill="auto"/>
            <w:noWrap/>
            <w:vAlign w:val="center"/>
          </w:tc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成本指标</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金额</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100万元</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98.9万元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090"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kern w:val="0"/>
                <w:sz w:val="24"/>
              </w:rPr>
            </w:pPr>
            <w:r>
              <w:rPr>
                <w:rFonts w:hint="eastAsia" w:ascii="仿宋_GB2312" w:hAnsi="仿宋_GB2312" w:cs="仿宋_GB2312"/>
                <w:color w:val="000000"/>
                <w:kern w:val="0"/>
                <w:sz w:val="24"/>
              </w:rPr>
              <w:t>满意</w:t>
            </w:r>
          </w:p>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度指标</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kern w:val="0"/>
                <w:sz w:val="24"/>
              </w:rPr>
            </w:pPr>
            <w:r>
              <w:rPr>
                <w:rFonts w:hint="eastAsia" w:ascii="仿宋_GB2312" w:hAnsi="仿宋_GB2312" w:cs="仿宋_GB2312"/>
                <w:color w:val="000000"/>
                <w:kern w:val="0"/>
                <w:sz w:val="24"/>
              </w:rPr>
              <w:t>满意度</w:t>
            </w:r>
          </w:p>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Arial"/>
                <w:color w:val="000000"/>
                <w:sz w:val="24"/>
              </w:rPr>
              <w:t>≥97</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Arial"/>
                <w:color w:val="000000"/>
                <w:sz w:val="24"/>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855" w:hRule="atLeast"/>
        </w:trPr>
        <w:tc>
          <w:tcPr>
            <w:tcW w:w="9059" w:type="dxa"/>
            <w:gridSpan w:val="6"/>
            <w:tcBorders>
              <w:top w:val="nil"/>
              <w:left w:val="nil"/>
              <w:bottom w:val="nil"/>
              <w:right w:val="nil"/>
            </w:tcBorders>
            <w:shd w:val="clear" w:color="auto" w:fill="auto"/>
            <w:noWrap/>
            <w:vAlign w:val="center"/>
          </w:tcPr>
          <w:p>
            <w:pPr>
              <w:pStyle w:val="15"/>
              <w:ind w:firstLine="0" w:firstLineChars="0"/>
              <w:jc w:val="both"/>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8" w:hRule="atLeast"/>
        </w:trPr>
        <w:tc>
          <w:tcPr>
            <w:tcW w:w="3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sz w:val="24"/>
              </w:rPr>
              <w:t>项目名称</w:t>
            </w:r>
          </w:p>
        </w:tc>
        <w:tc>
          <w:tcPr>
            <w:tcW w:w="57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仿宋_GB2312" w:hAnsi="仿宋_GB2312" w:cs="宋体"/>
                <w:color w:val="000000"/>
                <w:sz w:val="24"/>
              </w:rPr>
            </w:pPr>
            <w:r>
              <w:rPr>
                <w:rFonts w:hint="eastAsia" w:ascii="仿宋_GB2312" w:hAnsi="仿宋_GB2312"/>
                <w:sz w:val="24"/>
              </w:rPr>
              <w:t>茂县应急管理局应急排查服务项目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8" w:hRule="atLeast"/>
        </w:trPr>
        <w:tc>
          <w:tcPr>
            <w:tcW w:w="3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sz w:val="24"/>
              </w:rPr>
              <w:t>预算单位</w:t>
            </w:r>
          </w:p>
        </w:tc>
        <w:tc>
          <w:tcPr>
            <w:tcW w:w="57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仿宋_GB2312" w:hAnsi="仿宋_GB2312"/>
                <w:sz w:val="24"/>
              </w:rPr>
            </w:pPr>
            <w:r>
              <w:rPr>
                <w:rFonts w:hint="eastAsia" w:ascii="仿宋_GB2312" w:hAnsi="仿宋_GB2312"/>
                <w:sz w:val="24"/>
              </w:rPr>
              <w:t>茂县应急管理局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trPr>
        <w:tc>
          <w:tcPr>
            <w:tcW w:w="32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kern w:val="0"/>
                <w:sz w:val="24"/>
              </w:rPr>
            </w:pPr>
            <w:r>
              <w:rPr>
                <w:rFonts w:hint="eastAsia" w:ascii="仿宋_GB2312" w:hAnsi="仿宋_GB2312" w:cs="宋体"/>
                <w:color w:val="000000"/>
                <w:kern w:val="0"/>
                <w:sz w:val="24"/>
              </w:rPr>
              <w:t>预算执行情况</w:t>
            </w:r>
          </w:p>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（万元）</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 xml:space="preserve"> 预算数：</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sz w:val="24"/>
              </w:rPr>
              <w:t>100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 xml:space="preserve"> 执行数：</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仿宋_GB2312" w:hAnsi="仿宋_GB2312" w:cs="宋体"/>
                <w:color w:val="000000"/>
                <w:sz w:val="24"/>
              </w:rPr>
            </w:pPr>
            <w:r>
              <w:rPr>
                <w:rFonts w:hint="eastAsia" w:ascii="仿宋_GB2312" w:hAnsi="仿宋_GB2312" w:cs="宋体"/>
                <w:color w:val="000000"/>
                <w:sz w:val="24"/>
              </w:rPr>
              <w:t>99.95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77" w:hRule="atLeast"/>
        </w:trPr>
        <w:tc>
          <w:tcPr>
            <w:tcW w:w="32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kern w:val="0"/>
                <w:sz w:val="24"/>
              </w:rPr>
            </w:pPr>
            <w:r>
              <w:rPr>
                <w:rFonts w:hint="eastAsia" w:ascii="仿宋_GB2312" w:hAnsi="仿宋_GB2312" w:cs="宋体"/>
                <w:color w:val="000000"/>
                <w:kern w:val="0"/>
                <w:sz w:val="24"/>
              </w:rPr>
              <w:t>其中：</w:t>
            </w:r>
          </w:p>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财政拨款</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sz w:val="24"/>
              </w:rPr>
              <w:t>100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kern w:val="0"/>
                <w:sz w:val="24"/>
              </w:rPr>
            </w:pPr>
            <w:r>
              <w:rPr>
                <w:rFonts w:hint="eastAsia" w:ascii="仿宋_GB2312" w:hAnsi="仿宋_GB2312" w:cs="宋体"/>
                <w:color w:val="000000"/>
                <w:kern w:val="0"/>
                <w:sz w:val="24"/>
              </w:rPr>
              <w:t>其中：</w:t>
            </w:r>
          </w:p>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财政拨款</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仿宋_GB2312" w:hAnsi="仿宋_GB2312" w:cs="宋体"/>
                <w:color w:val="000000"/>
                <w:sz w:val="24"/>
              </w:rPr>
            </w:pPr>
            <w:r>
              <w:rPr>
                <w:rFonts w:hint="eastAsia" w:ascii="仿宋_GB2312" w:hAnsi="仿宋_GB2312" w:cs="宋体"/>
                <w:color w:val="000000"/>
                <w:sz w:val="24"/>
              </w:rPr>
              <w:t>99.95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trPr>
        <w:tc>
          <w:tcPr>
            <w:tcW w:w="32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其他资金</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其他资金</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17" w:hRule="atLeast"/>
        </w:trPr>
        <w:tc>
          <w:tcPr>
            <w:tcW w:w="20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kern w:val="0"/>
                <w:sz w:val="24"/>
              </w:rPr>
            </w:pPr>
            <w:r>
              <w:rPr>
                <w:rFonts w:hint="eastAsia" w:ascii="仿宋_GB2312" w:hAnsi="仿宋_GB2312" w:cs="宋体"/>
                <w:color w:val="000000"/>
                <w:kern w:val="0"/>
                <w:sz w:val="24"/>
              </w:rPr>
              <w:t>年度总体目标</w:t>
            </w:r>
          </w:p>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完成情况</w:t>
            </w:r>
          </w:p>
        </w:tc>
        <w:tc>
          <w:tcPr>
            <w:tcW w:w="41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预期目标</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03" w:hRule="atLeast"/>
        </w:trPr>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104"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tabs>
                <w:tab w:val="left" w:pos="1402"/>
              </w:tabs>
              <w:jc w:val="left"/>
              <w:rPr>
                <w:rFonts w:ascii="仿宋_GB2312" w:hAnsi="仿宋_GB2312"/>
                <w:sz w:val="24"/>
              </w:rPr>
            </w:pPr>
            <w:r>
              <w:rPr>
                <w:rFonts w:hint="eastAsia" w:ascii="仿宋_GB2312" w:hAnsi="仿宋_GB2312"/>
                <w:sz w:val="24"/>
              </w:rPr>
              <w:t>茂县境内15个灾害点</w:t>
            </w:r>
            <w:r>
              <w:rPr>
                <w:rFonts w:hint="eastAsia" w:ascii="仿宋_GB2312" w:hAnsi="仿宋_GB2312" w:cs="仿宋_GB2312"/>
                <w:sz w:val="24"/>
              </w:rPr>
              <w:t>应急排查</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rPr>
                <w:rFonts w:ascii="仿宋_GB2312" w:hAnsi="仿宋_GB2312"/>
                <w:sz w:val="24"/>
              </w:rPr>
            </w:pPr>
            <w:r>
              <w:rPr>
                <w:rFonts w:hint="eastAsia" w:ascii="仿宋_GB2312" w:hAnsi="仿宋_GB2312"/>
                <w:sz w:val="24"/>
              </w:rPr>
              <w:t>完成茂县境内15个灾害点</w:t>
            </w:r>
            <w:r>
              <w:rPr>
                <w:rFonts w:hint="eastAsia" w:ascii="仿宋_GB2312" w:hAnsi="仿宋_GB2312" w:cs="仿宋_GB2312"/>
                <w:sz w:val="24"/>
              </w:rPr>
              <w:t>应急排查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38" w:hRule="atLeast"/>
        </w:trPr>
        <w:tc>
          <w:tcPr>
            <w:tcW w:w="2090"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绩效指标完成情况</w:t>
            </w:r>
          </w:p>
        </w:tc>
        <w:tc>
          <w:tcPr>
            <w:tcW w:w="1205"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kern w:val="0"/>
                <w:sz w:val="24"/>
              </w:rPr>
            </w:pPr>
            <w:r>
              <w:rPr>
                <w:rFonts w:hint="eastAsia" w:ascii="仿宋_GB2312" w:hAnsi="仿宋_GB2312" w:cs="仿宋_GB2312"/>
                <w:color w:val="000000"/>
                <w:kern w:val="0"/>
                <w:sz w:val="24"/>
              </w:rPr>
              <w:t>一级</w:t>
            </w:r>
          </w:p>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kern w:val="0"/>
                <w:sz w:val="24"/>
              </w:rPr>
            </w:pPr>
            <w:r>
              <w:rPr>
                <w:rFonts w:hint="eastAsia" w:ascii="仿宋_GB2312" w:hAnsi="仿宋_GB2312" w:cs="仿宋_GB2312"/>
                <w:color w:val="000000"/>
                <w:kern w:val="0"/>
                <w:sz w:val="24"/>
              </w:rPr>
              <w:t>二级</w:t>
            </w:r>
          </w:p>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kern w:val="0"/>
                <w:sz w:val="24"/>
              </w:rPr>
            </w:pPr>
            <w:r>
              <w:rPr>
                <w:rFonts w:hint="eastAsia" w:ascii="仿宋_GB2312" w:hAnsi="仿宋_GB2312" w:cs="仿宋_GB2312"/>
                <w:color w:val="000000"/>
                <w:kern w:val="0"/>
                <w:sz w:val="24"/>
              </w:rPr>
              <w:t>三级</w:t>
            </w:r>
          </w:p>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预期指标值</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090" w:type="dxa"/>
            <w:vMerge w:val="continue"/>
            <w:tcBorders>
              <w:top w:val="nil"/>
              <w:left w:val="single" w:color="000000" w:sz="4" w:space="0"/>
              <w:bottom w:val="nil"/>
              <w:right w:val="single" w:color="000000" w:sz="4" w:space="0"/>
            </w:tcBorders>
            <w:shd w:val="clear" w:color="auto" w:fill="auto"/>
            <w:noWrap/>
            <w:vAlign w:val="center"/>
          </w:tcP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仿宋_GB2312" w:hAnsi="仿宋_GB2312" w:cs="仿宋_GB2312"/>
                <w:color w:val="000000"/>
                <w:kern w:val="0"/>
                <w:sz w:val="24"/>
              </w:rPr>
            </w:pPr>
            <w:r>
              <w:rPr>
                <w:rFonts w:hint="eastAsia" w:ascii="仿宋_GB2312" w:hAnsi="仿宋_GB2312" w:cs="仿宋_GB2312"/>
                <w:color w:val="000000"/>
                <w:kern w:val="0"/>
                <w:sz w:val="24"/>
              </w:rPr>
              <w:t>完成</w:t>
            </w:r>
          </w:p>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数量指标</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金额</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100万元</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99.95万元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090" w:type="dxa"/>
            <w:vMerge w:val="continue"/>
            <w:tcBorders>
              <w:top w:val="nil"/>
              <w:left w:val="single" w:color="000000" w:sz="4" w:space="0"/>
              <w:bottom w:val="nil"/>
              <w:right w:val="single" w:color="000000" w:sz="4" w:space="0"/>
            </w:tcBorders>
            <w:shd w:val="clear" w:color="auto" w:fill="auto"/>
            <w:noWrap/>
            <w:vAlign w:val="center"/>
          </w:tc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时效指标</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月</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2月</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090" w:type="dxa"/>
            <w:vMerge w:val="continue"/>
            <w:tcBorders>
              <w:top w:val="nil"/>
              <w:left w:val="single" w:color="000000" w:sz="4" w:space="0"/>
              <w:bottom w:val="nil"/>
              <w:right w:val="single" w:color="000000" w:sz="4" w:space="0"/>
            </w:tcBorders>
            <w:shd w:val="clear" w:color="auto" w:fill="auto"/>
            <w:noWrap/>
            <w:vAlign w:val="center"/>
          </w:tc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成本指标</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金额</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100万元</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99.95万元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090"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kern w:val="0"/>
                <w:sz w:val="24"/>
              </w:rPr>
            </w:pPr>
            <w:r>
              <w:rPr>
                <w:rFonts w:hint="eastAsia" w:ascii="仿宋_GB2312" w:hAnsi="仿宋_GB2312" w:cs="仿宋_GB2312"/>
                <w:color w:val="000000"/>
                <w:kern w:val="0"/>
                <w:sz w:val="24"/>
              </w:rPr>
              <w:t>满意</w:t>
            </w:r>
          </w:p>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度指标</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kern w:val="0"/>
                <w:sz w:val="24"/>
              </w:rPr>
            </w:pPr>
            <w:r>
              <w:rPr>
                <w:rFonts w:hint="eastAsia" w:ascii="仿宋_GB2312" w:hAnsi="仿宋_GB2312" w:cs="仿宋_GB2312"/>
                <w:color w:val="000000"/>
                <w:kern w:val="0"/>
                <w:sz w:val="24"/>
              </w:rPr>
              <w:t>满意度</w:t>
            </w:r>
          </w:p>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Arial"/>
                <w:color w:val="000000"/>
                <w:sz w:val="24"/>
              </w:rPr>
              <w:t>≥95</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Arial"/>
                <w:color w:val="000000"/>
                <w:sz w:val="24"/>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855" w:hRule="atLeast"/>
        </w:trPr>
        <w:tc>
          <w:tcPr>
            <w:tcW w:w="9059" w:type="dxa"/>
            <w:gridSpan w:val="6"/>
            <w:tcBorders>
              <w:top w:val="nil"/>
              <w:left w:val="nil"/>
              <w:bottom w:val="nil"/>
              <w:right w:val="nil"/>
            </w:tcBorders>
            <w:shd w:val="clear" w:color="auto" w:fill="auto"/>
            <w:noWrap/>
            <w:vAlign w:val="center"/>
          </w:tcPr>
          <w:p>
            <w:pPr>
              <w:widowControl/>
              <w:jc w:val="center"/>
              <w:textAlignment w:val="center"/>
              <w:rPr>
                <w:rFonts w:ascii="仿宋_GB2312" w:hAnsi="仿宋_GB2312"/>
                <w:b/>
                <w:bCs/>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8" w:hRule="atLeast"/>
        </w:trPr>
        <w:tc>
          <w:tcPr>
            <w:tcW w:w="3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sz w:val="24"/>
              </w:rPr>
              <w:t>项目名称</w:t>
            </w:r>
          </w:p>
        </w:tc>
        <w:tc>
          <w:tcPr>
            <w:tcW w:w="57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sz w:val="24"/>
              </w:rPr>
              <w:t>茂县2021年安全监管、应急抢险、防汛、森林防灭火专项经费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8" w:hRule="atLeast"/>
        </w:trPr>
        <w:tc>
          <w:tcPr>
            <w:tcW w:w="3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sz w:val="24"/>
              </w:rPr>
              <w:t>预算单位</w:t>
            </w:r>
          </w:p>
        </w:tc>
        <w:tc>
          <w:tcPr>
            <w:tcW w:w="57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sz w:val="24"/>
              </w:rPr>
            </w:pPr>
            <w:r>
              <w:rPr>
                <w:rFonts w:hint="eastAsia" w:ascii="仿宋_GB2312" w:hAnsi="仿宋_GB2312"/>
                <w:sz w:val="24"/>
              </w:rPr>
              <w:t>茂县应急管理局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trPr>
        <w:tc>
          <w:tcPr>
            <w:tcW w:w="32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kern w:val="0"/>
                <w:sz w:val="24"/>
              </w:rPr>
            </w:pPr>
            <w:r>
              <w:rPr>
                <w:rFonts w:hint="eastAsia" w:ascii="仿宋_GB2312" w:hAnsi="仿宋_GB2312" w:cs="宋体"/>
                <w:color w:val="000000"/>
                <w:kern w:val="0"/>
                <w:sz w:val="24"/>
              </w:rPr>
              <w:t>预算执行情况</w:t>
            </w:r>
          </w:p>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（万元）</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 xml:space="preserve"> 预算数：</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sz w:val="24"/>
              </w:rPr>
              <w:t>50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 xml:space="preserve"> 执行数：</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仿宋_GB2312" w:hAnsi="仿宋_GB2312" w:cs="宋体"/>
                <w:color w:val="000000"/>
                <w:sz w:val="24"/>
              </w:rPr>
            </w:pPr>
            <w:r>
              <w:rPr>
                <w:rFonts w:hint="eastAsia" w:ascii="仿宋_GB2312" w:hAnsi="仿宋_GB2312" w:cs="宋体"/>
                <w:color w:val="000000"/>
                <w:sz w:val="24"/>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77" w:hRule="atLeast"/>
        </w:trPr>
        <w:tc>
          <w:tcPr>
            <w:tcW w:w="32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kern w:val="0"/>
                <w:sz w:val="24"/>
              </w:rPr>
            </w:pPr>
            <w:r>
              <w:rPr>
                <w:rFonts w:hint="eastAsia" w:ascii="仿宋_GB2312" w:hAnsi="仿宋_GB2312" w:cs="宋体"/>
                <w:color w:val="000000"/>
                <w:kern w:val="0"/>
                <w:sz w:val="24"/>
              </w:rPr>
              <w:t>其中：</w:t>
            </w:r>
          </w:p>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财政拨款</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sz w:val="24"/>
              </w:rPr>
              <w:t>50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kern w:val="0"/>
                <w:sz w:val="24"/>
              </w:rPr>
            </w:pPr>
            <w:r>
              <w:rPr>
                <w:rFonts w:hint="eastAsia" w:ascii="仿宋_GB2312" w:hAnsi="仿宋_GB2312" w:cs="宋体"/>
                <w:color w:val="000000"/>
                <w:kern w:val="0"/>
                <w:sz w:val="24"/>
              </w:rPr>
              <w:t>其中：</w:t>
            </w:r>
          </w:p>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财政拨款</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仿宋_GB2312" w:hAnsi="仿宋_GB2312" w:cs="宋体"/>
                <w:color w:val="000000"/>
                <w:sz w:val="24"/>
              </w:rPr>
            </w:pPr>
            <w:r>
              <w:rPr>
                <w:rFonts w:hint="eastAsia" w:ascii="仿宋_GB2312" w:hAnsi="仿宋_GB2312" w:cs="宋体"/>
                <w:color w:val="000000"/>
                <w:sz w:val="24"/>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trPr>
        <w:tc>
          <w:tcPr>
            <w:tcW w:w="32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其他资金</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仿宋_GB2312" w:hAnsi="仿宋_GB2312" w:cs="宋体"/>
                <w:color w:val="000000"/>
                <w:sz w:val="24"/>
              </w:rPr>
            </w:pPr>
            <w:r>
              <w:rPr>
                <w:rFonts w:hint="eastAsia" w:ascii="仿宋_GB2312" w:hAnsi="仿宋_GB2312" w:cs="宋体"/>
                <w:color w:val="000000"/>
                <w:kern w:val="0"/>
                <w:sz w:val="24"/>
              </w:rPr>
              <w:t>其他资金</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17" w:hRule="atLeast"/>
        </w:trPr>
        <w:tc>
          <w:tcPr>
            <w:tcW w:w="20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kern w:val="0"/>
                <w:sz w:val="24"/>
              </w:rPr>
            </w:pPr>
            <w:r>
              <w:rPr>
                <w:rFonts w:hint="eastAsia" w:ascii="仿宋_GB2312" w:hAnsi="仿宋_GB2312" w:cs="宋体"/>
                <w:color w:val="000000"/>
                <w:kern w:val="0"/>
                <w:sz w:val="24"/>
              </w:rPr>
              <w:t>年度总体目标</w:t>
            </w:r>
          </w:p>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完成情况</w:t>
            </w:r>
          </w:p>
        </w:tc>
        <w:tc>
          <w:tcPr>
            <w:tcW w:w="41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预期目标</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宋体"/>
                <w:color w:val="000000"/>
                <w:sz w:val="24"/>
              </w:rPr>
            </w:pPr>
            <w:r>
              <w:rPr>
                <w:rFonts w:hint="eastAsia" w:ascii="仿宋_GB2312" w:hAnsi="仿宋_GB2312" w:cs="宋体"/>
                <w:color w:val="000000"/>
                <w:kern w:val="0"/>
                <w:sz w:val="24"/>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297" w:hRule="atLeast"/>
        </w:trPr>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104"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tabs>
                <w:tab w:val="left" w:pos="1402"/>
              </w:tabs>
              <w:ind w:firstLine="120" w:firstLineChars="50"/>
              <w:jc w:val="left"/>
              <w:rPr>
                <w:rFonts w:ascii="仿宋_GB2312" w:hAnsi="仿宋_GB2312"/>
                <w:sz w:val="24"/>
              </w:rPr>
            </w:pPr>
            <w:r>
              <w:rPr>
                <w:rFonts w:hint="eastAsia" w:ascii="仿宋_GB2312" w:hAnsi="仿宋_GB2312"/>
                <w:sz w:val="24"/>
              </w:rPr>
              <w:t>弥补办公经费不足，主要用于安全监管、应急抢险、防汛、森林防灭火专项经支出</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rPr>
                <w:rFonts w:ascii="仿宋_GB2312" w:hAnsi="仿宋_GB2312"/>
                <w:sz w:val="24"/>
              </w:rPr>
            </w:pPr>
            <w:r>
              <w:rPr>
                <w:rFonts w:hint="eastAsia" w:ascii="仿宋_GB2312" w:hAnsi="仿宋_GB2312"/>
                <w:sz w:val="24"/>
              </w:rPr>
              <w:t>弥补办公经费不足，主要用于安全监管、应急抢险、防汛、森林防灭火专项经支出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38" w:hRule="atLeast"/>
        </w:trPr>
        <w:tc>
          <w:tcPr>
            <w:tcW w:w="2090"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kern w:val="0"/>
                <w:sz w:val="24"/>
              </w:rPr>
            </w:pPr>
            <w:r>
              <w:rPr>
                <w:rFonts w:hint="eastAsia" w:ascii="仿宋_GB2312" w:hAnsi="仿宋_GB2312" w:cs="仿宋_GB2312"/>
                <w:color w:val="000000"/>
                <w:kern w:val="0"/>
                <w:sz w:val="24"/>
              </w:rPr>
              <w:t>绩效指标完</w:t>
            </w:r>
          </w:p>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成情况</w:t>
            </w:r>
          </w:p>
        </w:tc>
        <w:tc>
          <w:tcPr>
            <w:tcW w:w="1205"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kern w:val="0"/>
                <w:sz w:val="24"/>
              </w:rPr>
            </w:pPr>
            <w:r>
              <w:rPr>
                <w:rFonts w:hint="eastAsia" w:ascii="仿宋_GB2312" w:hAnsi="仿宋_GB2312" w:cs="仿宋_GB2312"/>
                <w:color w:val="000000"/>
                <w:kern w:val="0"/>
                <w:sz w:val="24"/>
              </w:rPr>
              <w:t>一级</w:t>
            </w:r>
          </w:p>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kern w:val="0"/>
                <w:sz w:val="24"/>
              </w:rPr>
            </w:pPr>
            <w:r>
              <w:rPr>
                <w:rFonts w:hint="eastAsia" w:ascii="仿宋_GB2312" w:hAnsi="仿宋_GB2312" w:cs="仿宋_GB2312"/>
                <w:color w:val="000000"/>
                <w:kern w:val="0"/>
                <w:sz w:val="24"/>
              </w:rPr>
              <w:t>二级</w:t>
            </w:r>
          </w:p>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kern w:val="0"/>
                <w:sz w:val="24"/>
              </w:rPr>
            </w:pPr>
            <w:r>
              <w:rPr>
                <w:rFonts w:hint="eastAsia" w:ascii="仿宋_GB2312" w:hAnsi="仿宋_GB2312" w:cs="仿宋_GB2312"/>
                <w:color w:val="000000"/>
                <w:kern w:val="0"/>
                <w:sz w:val="24"/>
              </w:rPr>
              <w:t>三级</w:t>
            </w:r>
          </w:p>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预期指标值</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090" w:type="dxa"/>
            <w:vMerge w:val="continue"/>
            <w:tcBorders>
              <w:top w:val="nil"/>
              <w:left w:val="single" w:color="000000" w:sz="4" w:space="0"/>
              <w:bottom w:val="nil"/>
              <w:right w:val="single" w:color="000000" w:sz="4" w:space="0"/>
            </w:tcBorders>
            <w:shd w:val="clear" w:color="auto" w:fill="auto"/>
            <w:noWrap/>
            <w:vAlign w:val="center"/>
          </w:tcP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仿宋_GB2312" w:hAnsi="仿宋_GB2312" w:cs="仿宋_GB2312"/>
                <w:color w:val="000000"/>
                <w:kern w:val="0"/>
                <w:sz w:val="24"/>
              </w:rPr>
            </w:pPr>
            <w:r>
              <w:rPr>
                <w:rFonts w:hint="eastAsia" w:ascii="仿宋_GB2312" w:hAnsi="仿宋_GB2312" w:cs="仿宋_GB2312"/>
                <w:color w:val="000000"/>
                <w:kern w:val="0"/>
                <w:sz w:val="24"/>
              </w:rPr>
              <w:t>完成</w:t>
            </w:r>
          </w:p>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数量指标</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金额</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50万元</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33.2万元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090" w:type="dxa"/>
            <w:vMerge w:val="continue"/>
            <w:tcBorders>
              <w:top w:val="nil"/>
              <w:left w:val="single" w:color="000000" w:sz="4" w:space="0"/>
              <w:bottom w:val="nil"/>
              <w:right w:val="single" w:color="000000" w:sz="4" w:space="0"/>
            </w:tcBorders>
            <w:shd w:val="clear" w:color="auto" w:fill="auto"/>
            <w:noWrap/>
            <w:vAlign w:val="center"/>
          </w:tc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时效指标</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年</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1年</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090" w:type="dxa"/>
            <w:vMerge w:val="continue"/>
            <w:tcBorders>
              <w:top w:val="nil"/>
              <w:left w:val="single" w:color="000000" w:sz="4" w:space="0"/>
              <w:bottom w:val="nil"/>
              <w:right w:val="single" w:color="000000" w:sz="4" w:space="0"/>
            </w:tcBorders>
            <w:shd w:val="clear" w:color="auto" w:fill="auto"/>
            <w:noWrap/>
            <w:vAlign w:val="center"/>
          </w:tc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成本指标</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金额</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50万元</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33.2万元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2090"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kern w:val="0"/>
                <w:sz w:val="24"/>
              </w:rPr>
            </w:pPr>
            <w:r>
              <w:rPr>
                <w:rFonts w:hint="eastAsia" w:ascii="仿宋_GB2312" w:hAnsi="仿宋_GB2312" w:cs="仿宋_GB2312"/>
                <w:color w:val="000000"/>
                <w:kern w:val="0"/>
                <w:sz w:val="24"/>
              </w:rPr>
              <w:t>满意</w:t>
            </w:r>
          </w:p>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度指标</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kern w:val="0"/>
                <w:sz w:val="24"/>
              </w:rPr>
            </w:pPr>
            <w:r>
              <w:rPr>
                <w:rFonts w:hint="eastAsia" w:ascii="仿宋_GB2312" w:hAnsi="仿宋_GB2312" w:cs="仿宋_GB2312"/>
                <w:color w:val="000000"/>
                <w:kern w:val="0"/>
                <w:sz w:val="24"/>
              </w:rPr>
              <w:t>满意度</w:t>
            </w:r>
          </w:p>
          <w:p>
            <w:pPr>
              <w:widowControl/>
              <w:spacing w:line="32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rPr>
              <w:t>指标</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textAlignment w:val="bottom"/>
              <w:rPr>
                <w:rFonts w:ascii="仿宋_GB2312" w:hAnsi="仿宋_GB2312" w:cs="仿宋_GB2312"/>
                <w:color w:val="000000"/>
                <w:sz w:val="24"/>
              </w:rPr>
            </w:pPr>
            <w:r>
              <w:rPr>
                <w:rFonts w:hint="eastAsia" w:ascii="仿宋_GB2312" w:hAnsi="仿宋_GB2312" w:cs="仿宋_GB2312"/>
                <w:color w:val="000000"/>
                <w:sz w:val="24"/>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Arial"/>
                <w:color w:val="000000"/>
                <w:sz w:val="24"/>
              </w:rPr>
              <w:t>≥95</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hAnsi="仿宋_GB2312" w:cs="仿宋_GB2312"/>
                <w:color w:val="000000"/>
                <w:sz w:val="24"/>
              </w:rPr>
            </w:pPr>
            <w:r>
              <w:rPr>
                <w:rFonts w:hint="eastAsia" w:ascii="仿宋_GB2312" w:hAnsi="仿宋_GB2312" w:cs="Arial"/>
                <w:color w:val="000000"/>
                <w:sz w:val="24"/>
              </w:rPr>
              <w:t>≥95</w:t>
            </w:r>
          </w:p>
        </w:tc>
      </w:tr>
    </w:tbl>
    <w:p>
      <w:pPr>
        <w:pStyle w:val="29"/>
        <w:spacing w:line="580" w:lineRule="exact"/>
        <w:ind w:left="630"/>
        <w:rPr>
          <w:rFonts w:ascii="仿宋_GB2312" w:cs="仿宋_GB2312"/>
          <w:b/>
          <w:bCs/>
          <w:szCs w:val="32"/>
        </w:rPr>
      </w:pPr>
      <w:r>
        <w:rPr>
          <w:rFonts w:hint="eastAsia" w:ascii="仿宋_GB2312" w:cs="仿宋_GB2312"/>
          <w:b/>
          <w:bCs/>
          <w:szCs w:val="32"/>
        </w:rPr>
        <w:t>2.部门绩效评价结果</w:t>
      </w:r>
    </w:p>
    <w:p>
      <w:pPr>
        <w:pStyle w:val="29"/>
        <w:spacing w:line="580" w:lineRule="exact"/>
        <w:ind w:firstLine="640" w:firstLineChars="200"/>
        <w:rPr>
          <w:rFonts w:ascii="仿宋_GB2312" w:cs="仿宋_GB2312"/>
          <w:szCs w:val="32"/>
        </w:rPr>
      </w:pPr>
      <w:r>
        <w:rPr>
          <w:rFonts w:hint="eastAsia" w:ascii="仿宋_GB2312" w:cs="仿宋_GB2312"/>
          <w:szCs w:val="32"/>
        </w:rPr>
        <w:t>本部门按要求对202</w:t>
      </w:r>
      <w:r>
        <w:rPr>
          <w:rFonts w:ascii="仿宋_GB2312" w:cs="仿宋_GB2312"/>
          <w:szCs w:val="32"/>
        </w:rPr>
        <w:t>1</w:t>
      </w:r>
      <w:r>
        <w:rPr>
          <w:rFonts w:hint="eastAsia" w:ascii="仿宋_GB2312" w:cs="仿宋_GB2312"/>
          <w:szCs w:val="32"/>
        </w:rPr>
        <w:t>年部门整体支出绩效评价情况开展自评，《茂县应急管理局部门202</w:t>
      </w:r>
      <w:r>
        <w:rPr>
          <w:rFonts w:ascii="仿宋_GB2312" w:cs="仿宋_GB2312"/>
          <w:szCs w:val="32"/>
        </w:rPr>
        <w:t>1</w:t>
      </w:r>
      <w:r>
        <w:rPr>
          <w:rFonts w:hint="eastAsia" w:ascii="仿宋_GB2312" w:cs="仿宋_GB2312"/>
          <w:szCs w:val="32"/>
        </w:rPr>
        <w:t>年部门整体支出绩效评价报告》见附件（附件1）。</w:t>
      </w:r>
    </w:p>
    <w:p>
      <w:pPr>
        <w:pStyle w:val="29"/>
        <w:spacing w:line="580" w:lineRule="exact"/>
        <w:ind w:firstLine="640" w:firstLineChars="200"/>
      </w:pPr>
      <w:r>
        <w:rPr>
          <w:rFonts w:hint="eastAsia" w:ascii="仿宋_GB2312" w:cs="仿宋_GB2312"/>
          <w:szCs w:val="32"/>
        </w:rPr>
        <w:t>本部门自行组织对“</w:t>
      </w:r>
      <w:r>
        <w:rPr>
          <w:rFonts w:hint="eastAsia" w:ascii="仿宋_GB2312"/>
          <w:szCs w:val="32"/>
        </w:rPr>
        <w:t>2020年因洪涝灾害倒塌和严重损坏民房恢复重建资金</w:t>
      </w:r>
      <w:r>
        <w:rPr>
          <w:rFonts w:ascii="仿宋_GB2312" w:cs="仿宋_GB2312"/>
          <w:szCs w:val="32"/>
        </w:rPr>
        <w:t>、</w:t>
      </w:r>
      <w:r>
        <w:rPr>
          <w:rFonts w:hint="eastAsia" w:ascii="仿宋_GB2312"/>
          <w:szCs w:val="32"/>
        </w:rPr>
        <w:t>抗洪抢险应急物及设备购置</w:t>
      </w:r>
      <w:r>
        <w:rPr>
          <w:rFonts w:ascii="仿宋_GB2312"/>
          <w:szCs w:val="32"/>
        </w:rPr>
        <w:t>、</w:t>
      </w:r>
      <w:r>
        <w:rPr>
          <w:rFonts w:hint="eastAsia" w:ascii="仿宋_GB2312" w:cs="宋体"/>
          <w:color w:val="000000"/>
          <w:kern w:val="0"/>
          <w:szCs w:val="32"/>
        </w:rPr>
        <w:t>全国自然灾害综合风险普查</w:t>
      </w:r>
      <w:r>
        <w:rPr>
          <w:rFonts w:hint="eastAsia" w:ascii="仿宋_GB2312" w:cs="仿宋_GB2312"/>
          <w:szCs w:val="32"/>
        </w:rPr>
        <w:t>、</w:t>
      </w:r>
      <w:r>
        <w:rPr>
          <w:rFonts w:hint="eastAsia" w:ascii="仿宋_GB2312"/>
          <w:szCs w:val="32"/>
        </w:rPr>
        <w:t>受灾群众过渡安置生活救助资金</w:t>
      </w:r>
      <w:r>
        <w:rPr>
          <w:rFonts w:hint="eastAsia" w:ascii="仿宋_GB2312" w:cs="仿宋_GB2312"/>
          <w:szCs w:val="32"/>
        </w:rPr>
        <w:t>、巨灾指数保险保费</w:t>
      </w:r>
      <w:r>
        <w:rPr>
          <w:rFonts w:ascii="仿宋_GB2312" w:cs="仿宋_GB2312"/>
          <w:szCs w:val="32"/>
        </w:rPr>
        <w:t>、</w:t>
      </w:r>
      <w:r>
        <w:rPr>
          <w:rFonts w:hint="eastAsia" w:ascii="仿宋_GB2312" w:cs="仿宋_GB2312"/>
          <w:szCs w:val="32"/>
        </w:rPr>
        <w:t>安全生产综合信息平台技术服务支撑费</w:t>
      </w:r>
      <w:r>
        <w:rPr>
          <w:rFonts w:ascii="仿宋_GB2312" w:cs="仿宋_GB2312"/>
          <w:szCs w:val="32"/>
        </w:rPr>
        <w:t>、</w:t>
      </w:r>
      <w:r>
        <w:rPr>
          <w:rFonts w:hint="eastAsia" w:ascii="仿宋_GB2312"/>
          <w:szCs w:val="32"/>
        </w:rPr>
        <w:t>2020年中央自然灾害救灾资金应急排查服务项目</w:t>
      </w:r>
      <w:r>
        <w:rPr>
          <w:rFonts w:ascii="仿宋_GB2312"/>
          <w:szCs w:val="32"/>
        </w:rPr>
        <w:t>、</w:t>
      </w:r>
      <w:r>
        <w:rPr>
          <w:rFonts w:hint="eastAsia" w:ascii="仿宋_GB2312"/>
          <w:szCs w:val="32"/>
        </w:rPr>
        <w:t>茂县应急管理局应急排查服务</w:t>
      </w:r>
      <w:r>
        <w:rPr>
          <w:rFonts w:hint="eastAsia" w:ascii="仿宋_GB2312" w:cs="仿宋_GB2312"/>
          <w:szCs w:val="32"/>
        </w:rPr>
        <w:t>项目</w:t>
      </w:r>
      <w:r>
        <w:rPr>
          <w:rFonts w:ascii="仿宋_GB2312" w:cs="仿宋_GB2312"/>
          <w:szCs w:val="32"/>
        </w:rPr>
        <w:t>、</w:t>
      </w:r>
      <w:r>
        <w:rPr>
          <w:rFonts w:ascii="仿宋_GB2312"/>
          <w:szCs w:val="32"/>
        </w:rPr>
        <w:t>茂县2021年安全监管应急抢险防汛森林防灭火专项经费</w:t>
      </w:r>
      <w:r>
        <w:rPr>
          <w:rFonts w:hint="eastAsia" w:ascii="仿宋_GB2312" w:cs="仿宋_GB2312"/>
          <w:szCs w:val="32"/>
        </w:rPr>
        <w:t>”开展了绩效评价。</w:t>
      </w:r>
    </w:p>
    <w:p>
      <w:pPr>
        <w:pStyle w:val="3"/>
        <w:jc w:val="center"/>
        <w:rPr>
          <w:rFonts w:ascii="黑体" w:eastAsia="黑体" w:cs="黑体"/>
        </w:rPr>
      </w:pPr>
      <w:bookmarkStart w:id="70" w:name="_Toc113981023"/>
      <w:bookmarkStart w:id="71" w:name="_Toc111208509"/>
      <w:bookmarkStart w:id="72" w:name="_Toc15377225"/>
      <w:r>
        <w:rPr>
          <w:rFonts w:hint="eastAsia" w:ascii="黑体" w:eastAsia="黑体" w:cs="黑体"/>
        </w:rPr>
        <w:t>第三部分 名词解释</w:t>
      </w:r>
      <w:bookmarkEnd w:id="70"/>
      <w:bookmarkEnd w:id="71"/>
    </w:p>
    <w:p>
      <w:pPr>
        <w:spacing w:line="600" w:lineRule="exact"/>
        <w:ind w:firstLine="640"/>
        <w:rPr>
          <w:rFonts w:ascii="仿宋" w:eastAsia="仿宋"/>
          <w:color w:val="000000"/>
          <w:sz w:val="32"/>
          <w:szCs w:val="32"/>
        </w:rPr>
      </w:pPr>
      <w:r>
        <w:rPr>
          <w:rFonts w:ascii="仿宋" w:eastAsia="仿宋"/>
          <w:color w:val="000000"/>
          <w:sz w:val="32"/>
          <w:szCs w:val="32"/>
        </w:rPr>
        <w:t>1.</w:t>
      </w:r>
      <w:r>
        <w:rPr>
          <w:rFonts w:hint="eastAsia" w:ascii="仿宋" w:eastAsia="仿宋"/>
          <w:color w:val="000000"/>
          <w:sz w:val="32"/>
          <w:szCs w:val="32"/>
        </w:rPr>
        <w:t>财政拨款收入：指单位从同级财政部门取得的财政预算资金。</w:t>
      </w:r>
    </w:p>
    <w:p>
      <w:pPr>
        <w:spacing w:line="600" w:lineRule="exact"/>
        <w:ind w:firstLine="640"/>
        <w:rPr>
          <w:rFonts w:ascii="仿宋" w:eastAsia="仿宋"/>
          <w:color w:val="000000"/>
          <w:sz w:val="32"/>
          <w:szCs w:val="32"/>
        </w:rPr>
      </w:pPr>
      <w:r>
        <w:rPr>
          <w:rFonts w:ascii="仿宋" w:eastAsia="仿宋"/>
          <w:color w:val="000000"/>
          <w:sz w:val="32"/>
          <w:szCs w:val="32"/>
        </w:rPr>
        <w:t>2.</w:t>
      </w:r>
      <w:r>
        <w:rPr>
          <w:rFonts w:hint="eastAsia" w:ascii="仿宋" w:eastAsia="仿宋"/>
          <w:color w:val="000000"/>
          <w:sz w:val="32"/>
          <w:szCs w:val="32"/>
        </w:rPr>
        <w:t>事业收入：指事业单位开展专业业务活动及辅助活动取得的收入。</w:t>
      </w:r>
    </w:p>
    <w:p>
      <w:pPr>
        <w:spacing w:line="600" w:lineRule="exact"/>
        <w:ind w:firstLine="640"/>
        <w:rPr>
          <w:rFonts w:ascii="仿宋" w:eastAsia="仿宋"/>
          <w:color w:val="000000"/>
          <w:sz w:val="32"/>
          <w:szCs w:val="32"/>
        </w:rPr>
      </w:pPr>
      <w:r>
        <w:rPr>
          <w:rFonts w:ascii="仿宋" w:eastAsia="仿宋"/>
          <w:color w:val="000000"/>
          <w:sz w:val="32"/>
          <w:szCs w:val="32"/>
        </w:rPr>
        <w:t>3.</w:t>
      </w:r>
      <w:r>
        <w:rPr>
          <w:rFonts w:hint="eastAsia" w:ascii="仿宋" w:eastAsia="仿宋"/>
          <w:color w:val="000000"/>
          <w:sz w:val="32"/>
          <w:szCs w:val="32"/>
        </w:rPr>
        <w:t>经营收入：指事业单位在专业业务活动及其辅助活动之外开展非独立核算经营活动取得的收入</w:t>
      </w:r>
    </w:p>
    <w:p>
      <w:pPr>
        <w:spacing w:line="600" w:lineRule="exact"/>
        <w:ind w:firstLine="640"/>
        <w:rPr>
          <w:rFonts w:ascii="仿宋" w:eastAsia="仿宋"/>
          <w:color w:val="000000"/>
          <w:sz w:val="32"/>
          <w:szCs w:val="32"/>
        </w:rPr>
      </w:pPr>
      <w:r>
        <w:rPr>
          <w:rFonts w:ascii="仿宋" w:eastAsia="仿宋"/>
          <w:color w:val="000000"/>
          <w:sz w:val="32"/>
          <w:szCs w:val="32"/>
        </w:rPr>
        <w:t>4.</w:t>
      </w:r>
      <w:r>
        <w:rPr>
          <w:rFonts w:hint="eastAsia" w:ascii="仿宋" w:eastAsia="仿宋"/>
          <w:color w:val="000000"/>
          <w:sz w:val="32"/>
          <w:szCs w:val="32"/>
        </w:rPr>
        <w:t>其他收入：指单位取得的除上述收入以外的各项收入。</w:t>
      </w:r>
    </w:p>
    <w:p>
      <w:pPr>
        <w:spacing w:line="600" w:lineRule="exact"/>
        <w:ind w:firstLine="640"/>
        <w:rPr>
          <w:rFonts w:ascii="仿宋" w:eastAsia="仿宋"/>
          <w:color w:val="000000"/>
          <w:sz w:val="32"/>
          <w:szCs w:val="32"/>
        </w:rPr>
      </w:pPr>
      <w:r>
        <w:rPr>
          <w:rFonts w:ascii="仿宋" w:eastAsia="仿宋"/>
          <w:color w:val="000000"/>
          <w:sz w:val="32"/>
          <w:szCs w:val="32"/>
        </w:rPr>
        <w:t>5.</w:t>
      </w:r>
      <w:r>
        <w:rPr>
          <w:rFonts w:hint="eastAsia" w:asci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eastAsia="仿宋"/>
          <w:color w:val="000000"/>
          <w:sz w:val="32"/>
          <w:szCs w:val="32"/>
        </w:rPr>
        <w:t xml:space="preserve"> </w:t>
      </w:r>
    </w:p>
    <w:p>
      <w:pPr>
        <w:spacing w:line="600" w:lineRule="exact"/>
        <w:ind w:firstLine="640"/>
        <w:rPr>
          <w:rFonts w:ascii="仿宋" w:eastAsia="仿宋"/>
          <w:color w:val="000000"/>
          <w:sz w:val="32"/>
          <w:szCs w:val="32"/>
        </w:rPr>
      </w:pPr>
      <w:r>
        <w:rPr>
          <w:rFonts w:ascii="仿宋" w:eastAsia="仿宋"/>
          <w:color w:val="000000"/>
          <w:sz w:val="32"/>
          <w:szCs w:val="32"/>
        </w:rPr>
        <w:t>6.</w:t>
      </w:r>
      <w:r>
        <w:rPr>
          <w:rFonts w:hint="eastAsia" w:ascii="仿宋" w:eastAsia="仿宋"/>
          <w:color w:val="000000"/>
          <w:sz w:val="32"/>
          <w:szCs w:val="32"/>
        </w:rPr>
        <w:t>年初结转和结余：指以前年度尚未完成、结转到本年按有关规定继续使用的资金。</w:t>
      </w:r>
      <w:r>
        <w:rPr>
          <w:rFonts w:ascii="仿宋" w:eastAsia="仿宋"/>
          <w:color w:val="000000"/>
          <w:sz w:val="32"/>
          <w:szCs w:val="32"/>
        </w:rPr>
        <w:t xml:space="preserve"> </w:t>
      </w:r>
    </w:p>
    <w:p>
      <w:pPr>
        <w:spacing w:line="600" w:lineRule="exact"/>
        <w:ind w:firstLine="640"/>
        <w:rPr>
          <w:rFonts w:ascii="仿宋" w:eastAsia="仿宋"/>
          <w:color w:val="000000"/>
          <w:sz w:val="32"/>
          <w:szCs w:val="32"/>
        </w:rPr>
      </w:pPr>
      <w:r>
        <w:rPr>
          <w:rFonts w:ascii="仿宋" w:eastAsia="仿宋"/>
          <w:color w:val="000000"/>
          <w:sz w:val="32"/>
          <w:szCs w:val="32"/>
        </w:rPr>
        <w:t>7.</w:t>
      </w:r>
      <w:r>
        <w:rPr>
          <w:rFonts w:hint="eastAsia" w:ascii="仿宋" w:eastAsia="仿宋"/>
          <w:color w:val="000000"/>
          <w:sz w:val="32"/>
          <w:szCs w:val="32"/>
        </w:rPr>
        <w:t>结余分配：指事业单位按照事业单位会计制度的规定从非财政补助结余中分配的事业基金和职工福利基金等。</w:t>
      </w:r>
    </w:p>
    <w:p>
      <w:pPr>
        <w:spacing w:line="600" w:lineRule="exact"/>
        <w:ind w:firstLine="640"/>
        <w:rPr>
          <w:rFonts w:ascii="仿宋" w:eastAsia="仿宋"/>
          <w:color w:val="000000"/>
          <w:sz w:val="32"/>
          <w:szCs w:val="32"/>
        </w:rPr>
      </w:pPr>
      <w:r>
        <w:rPr>
          <w:rFonts w:ascii="仿宋" w:eastAsia="仿宋"/>
          <w:color w:val="000000"/>
          <w:sz w:val="32"/>
          <w:szCs w:val="32"/>
        </w:rPr>
        <w:t>8</w:t>
      </w:r>
      <w:r>
        <w:rPr>
          <w:rFonts w:hint="eastAsia" w:ascii="仿宋" w:eastAsia="仿宋"/>
          <w:color w:val="000000"/>
          <w:sz w:val="32"/>
          <w:szCs w:val="32"/>
        </w:rPr>
        <w:t>.年末结转和结余：指单位按有关规定结转到下年或以后年度继续使用的资金。</w:t>
      </w:r>
    </w:p>
    <w:p>
      <w:pPr>
        <w:spacing w:line="600" w:lineRule="exact"/>
        <w:ind w:firstLine="640"/>
        <w:rPr>
          <w:rFonts w:ascii="仿宋" w:eastAsia="仿宋"/>
          <w:color w:val="000000"/>
          <w:sz w:val="32"/>
          <w:szCs w:val="32"/>
        </w:rPr>
      </w:pPr>
      <w:r>
        <w:rPr>
          <w:rFonts w:hint="eastAsia" w:ascii="仿宋" w:eastAsia="仿宋"/>
          <w:color w:val="000000"/>
          <w:sz w:val="32"/>
          <w:szCs w:val="32"/>
        </w:rPr>
        <w:t>9.社会保障和就业支出（208）行政事业单位养老支出（20805）机关事业单位基本养老保险缴费支出（2080505）：反映机关事业单位实施养老保险制度由单位缴纳的基本养老保险费支出。</w:t>
      </w:r>
    </w:p>
    <w:p>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10.社会保障和就业支出（208）行政事业单位养老支出（20805）机关事业单位职业年金缴费支出（2080506）：反映机关事业单位实施养老保险制度由单位实际缴纳的职业年金支出。</w:t>
      </w:r>
    </w:p>
    <w:p>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11.卫生健康支出（210）行政事业单位医疗（21011）行政单位医疗（2101101）：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12.农林水支出（213）扶贫（21305）其他扶贫支出（2130599）：反映除上述项目以外其他用于扶贫方面的支出。</w:t>
      </w:r>
    </w:p>
    <w:p>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13.住房保障支出（221）住房改革支出（22102）住房公积金（2210201）：反映行政事业单位按人力资源和社会保障部、财政部规定的基本工资和津贴补贴以及规定比例为职工缴纳的住房公积金。</w:t>
      </w:r>
    </w:p>
    <w:p>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14.灾害防治及应急管理支出（224）应急管理事务（22401）行政运行（2240101）：反映行政单位（包括实行公务员管理的事业单位）的基本支出。</w:t>
      </w:r>
    </w:p>
    <w:p>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15.灾害防治及应急管理支出（224）应急管理事务（22401）灾害风险防治（2240104）：反映组织、指导、协调各类风险灾害防范治理方面的支出。</w:t>
      </w:r>
    </w:p>
    <w:p>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16.灾害防治及应急管理支出（224）应急管理事务（22401）安全监管（2240106）：反映安全生产监管方面的支出。</w:t>
      </w:r>
    </w:p>
    <w:p>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17.灾害防治及应急管理支出（224）应急管理事务（22401）应急救援（2240108）：反映安全生产、自然灾害应急救援方面的支出。</w:t>
      </w:r>
    </w:p>
    <w:p>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18.灾害防治及应急管理支出（224）应急管理事务（22401）其他应急管理支出（2240199）：反映除上述项目外的其他应急管理方面的支出。</w:t>
      </w:r>
    </w:p>
    <w:p>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19.灾害防治及应急管理支出（224）自然灾害救灾及恢复重建支出（22407）自然灾害救灾补助（2240703）：反映用于应对重大自然灾害应急救援和受灾群众救助的支出。</w:t>
      </w:r>
    </w:p>
    <w:p>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20.灾害防治及应急管理支出（224）自然灾害救灾及恢复重建支出（22407）其他自然灾害救灾及恢复重建支出（2240799）：反映除上述项目以外其他用于自然灾害救灾、灾后恢复重建等方面的支出。</w:t>
      </w:r>
    </w:p>
    <w:p>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21.灾害防治及应急管理支出（224）其他灾害防治及应急管理支出（22499）其他灾害防治及应急管理支出（2249999）：反映除上述项目以外其他用于灾害防治及应急管理的支出。</w:t>
      </w:r>
    </w:p>
    <w:p>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22.其他支出（229）其他支出（22999）其他支出（2299999）：无文字说明。</w:t>
      </w:r>
    </w:p>
    <w:p>
      <w:pPr>
        <w:spacing w:line="600" w:lineRule="exact"/>
        <w:ind w:firstLine="640"/>
        <w:rPr>
          <w:rFonts w:ascii="仿宋" w:eastAsia="仿宋"/>
          <w:color w:val="000000"/>
          <w:sz w:val="32"/>
          <w:szCs w:val="32"/>
        </w:rPr>
      </w:pPr>
      <w:r>
        <w:rPr>
          <w:rFonts w:hint="eastAsia" w:ascii="仿宋" w:eastAsia="仿宋"/>
          <w:color w:val="000000"/>
          <w:sz w:val="32"/>
          <w:szCs w:val="32"/>
        </w:rPr>
        <w:t>23.基本支出：指为保障机构正常运转、完成日常工作任务而发生的人员支出和公用支出。</w:t>
      </w:r>
    </w:p>
    <w:p>
      <w:pPr>
        <w:spacing w:line="600" w:lineRule="exact"/>
        <w:ind w:firstLine="640"/>
        <w:rPr>
          <w:rFonts w:ascii="仿宋" w:eastAsia="仿宋"/>
          <w:color w:val="000000"/>
          <w:sz w:val="32"/>
          <w:szCs w:val="32"/>
        </w:rPr>
      </w:pPr>
      <w:r>
        <w:rPr>
          <w:rFonts w:hint="eastAsia" w:ascii="仿宋" w:eastAsia="仿宋"/>
          <w:color w:val="000000"/>
          <w:sz w:val="32"/>
          <w:szCs w:val="32"/>
        </w:rPr>
        <w:t xml:space="preserve">25.项目支出：指在基本支出之外为完成特定行政任务和事业发展目标所发生的支出。 </w:t>
      </w:r>
    </w:p>
    <w:p>
      <w:pPr>
        <w:spacing w:line="600" w:lineRule="exact"/>
        <w:ind w:firstLine="640"/>
        <w:rPr>
          <w:rFonts w:ascii="仿宋" w:eastAsia="仿宋"/>
          <w:color w:val="000000"/>
          <w:sz w:val="32"/>
          <w:szCs w:val="32"/>
        </w:rPr>
      </w:pPr>
      <w:r>
        <w:rPr>
          <w:rFonts w:hint="eastAsia" w:ascii="仿宋" w:eastAsia="仿宋"/>
          <w:color w:val="000000"/>
          <w:sz w:val="32"/>
          <w:szCs w:val="32"/>
        </w:rPr>
        <w:t>24.经营支出：指事业单位在专业业务活动及其辅助活动之外开展非独立核算经营活动发生的支出。</w:t>
      </w:r>
    </w:p>
    <w:p>
      <w:pPr>
        <w:spacing w:line="600" w:lineRule="exact"/>
        <w:ind w:firstLine="640"/>
        <w:rPr>
          <w:rFonts w:ascii="仿宋" w:eastAsia="仿宋"/>
          <w:color w:val="000000"/>
          <w:sz w:val="32"/>
          <w:szCs w:val="32"/>
        </w:rPr>
      </w:pPr>
      <w:r>
        <w:rPr>
          <w:rFonts w:hint="eastAsia" w:ascii="仿宋" w:eastAsia="仿宋"/>
          <w:color w:val="000000"/>
          <w:sz w:val="32"/>
          <w:szCs w:val="32"/>
        </w:rPr>
        <w:t>25.“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eastAsia="仿宋"/>
          <w:color w:val="000000"/>
          <w:sz w:val="32"/>
          <w:szCs w:val="32"/>
        </w:rPr>
      </w:pPr>
      <w:r>
        <w:rPr>
          <w:rFonts w:hint="eastAsia" w:ascii="仿宋" w:eastAsia="仿宋"/>
          <w:color w:val="000000"/>
          <w:sz w:val="32"/>
          <w:szCs w:val="32"/>
        </w:rPr>
        <w:t>26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ascii="仿宋_GB2312" w:eastAsia="仿宋_GB2312" w:cs="黑体"/>
          <w:sz w:val="32"/>
          <w:szCs w:val="32"/>
        </w:rPr>
      </w:pPr>
      <w:r>
        <w:rPr>
          <w:rFonts w:hint="eastAsia" w:ascii="仿宋" w:eastAsia="仿宋"/>
          <w:color w:val="000000"/>
          <w:sz w:val="32"/>
          <w:szCs w:val="32"/>
        </w:rPr>
        <w:t>27.财政应返还额度：为行政事业单位会计核算科目，用于核算实行国库集中支付的行政事业单位应收财政返还的资金额度。</w:t>
      </w:r>
    </w:p>
    <w:p>
      <w:pPr>
        <w:widowControl/>
        <w:jc w:val="left"/>
        <w:rPr>
          <w:rStyle w:val="21"/>
          <w:rFonts w:ascii="黑体" w:eastAsia="黑体"/>
        </w:rPr>
      </w:pPr>
      <w:r>
        <w:rPr>
          <w:rStyle w:val="21"/>
          <w:rFonts w:ascii="黑体" w:eastAsia="黑体"/>
        </w:rPr>
        <w:br w:type="page"/>
      </w:r>
    </w:p>
    <w:p>
      <w:pPr>
        <w:pStyle w:val="3"/>
        <w:jc w:val="center"/>
        <w:rPr>
          <w:rFonts w:ascii="黑体" w:eastAsia="黑体" w:cs="黑体"/>
        </w:rPr>
      </w:pPr>
      <w:bookmarkStart w:id="73" w:name="_Toc113981024"/>
      <w:bookmarkStart w:id="74" w:name="_Toc111208510"/>
      <w:r>
        <w:rPr>
          <w:rFonts w:hint="eastAsia" w:ascii="黑体" w:eastAsia="黑体" w:cs="黑体"/>
        </w:rPr>
        <w:t>第四部分 附件</w:t>
      </w:r>
      <w:bookmarkEnd w:id="73"/>
      <w:bookmarkEnd w:id="74"/>
    </w:p>
    <w:p>
      <w:pPr>
        <w:pStyle w:val="49"/>
        <w:spacing w:line="600" w:lineRule="exact"/>
        <w:jc w:val="center"/>
        <w:outlineLvl w:val="0"/>
        <w:rPr>
          <w:rFonts w:ascii="黑体" w:eastAsia="黑体"/>
          <w:color w:val="000000"/>
          <w:sz w:val="44"/>
          <w:szCs w:val="44"/>
        </w:rPr>
      </w:pPr>
    </w:p>
    <w:p>
      <w:pPr>
        <w:pStyle w:val="49"/>
        <w:spacing w:line="600" w:lineRule="exact"/>
        <w:outlineLvl w:val="0"/>
        <w:rPr>
          <w:rFonts w:ascii="黑体" w:eastAsia="黑体"/>
          <w:color w:val="000000"/>
          <w:sz w:val="44"/>
          <w:szCs w:val="44"/>
        </w:rPr>
      </w:pPr>
    </w:p>
    <w:p>
      <w:pPr>
        <w:pStyle w:val="49"/>
        <w:spacing w:line="600" w:lineRule="exact"/>
        <w:jc w:val="center"/>
        <w:outlineLvl w:val="0"/>
        <w:rPr>
          <w:rStyle w:val="21"/>
          <w:rFonts w:ascii="黑体" w:eastAsia="黑体"/>
          <w:b w:val="0"/>
        </w:rPr>
      </w:pPr>
      <w:r>
        <w:rPr>
          <w:rFonts w:hint="eastAsia" w:ascii="黑体" w:eastAsia="黑体"/>
          <w:color w:val="000000"/>
          <w:sz w:val="44"/>
          <w:szCs w:val="44"/>
        </w:rPr>
        <w:t>第</w:t>
      </w:r>
      <w:r>
        <w:rPr>
          <w:rStyle w:val="21"/>
          <w:rFonts w:hint="eastAsia" w:ascii="黑体" w:eastAsia="黑体"/>
          <w:b w:val="0"/>
        </w:rPr>
        <w:t>四部分 附件</w:t>
      </w:r>
    </w:p>
    <w:p>
      <w:pPr>
        <w:pStyle w:val="49"/>
        <w:spacing w:line="600" w:lineRule="exact"/>
        <w:jc w:val="left"/>
        <w:outlineLvl w:val="0"/>
        <w:rPr>
          <w:rFonts w:ascii="方正小标宋简体" w:eastAsia="方正小标宋简体" w:cs="方正小标宋简体"/>
          <w:sz w:val="32"/>
          <w:szCs w:val="32"/>
        </w:rPr>
      </w:pPr>
      <w:r>
        <w:rPr>
          <w:rFonts w:hint="eastAsia" w:ascii="黑体" w:eastAsia="黑体" w:cs="黑体"/>
          <w:sz w:val="32"/>
          <w:szCs w:val="32"/>
        </w:rPr>
        <w:t>附件1</w:t>
      </w:r>
    </w:p>
    <w:p>
      <w:pPr>
        <w:pStyle w:val="49"/>
        <w:spacing w:line="580" w:lineRule="exact"/>
        <w:jc w:val="center"/>
        <w:rPr>
          <w:rFonts w:ascii="方正小标宋简体" w:eastAsia="方正小标宋简体" w:cs="方正小标宋简体"/>
          <w:sz w:val="44"/>
          <w:szCs w:val="44"/>
        </w:rPr>
      </w:pPr>
    </w:p>
    <w:p>
      <w:pPr>
        <w:pStyle w:val="49"/>
        <w:spacing w:line="600" w:lineRule="exact"/>
        <w:jc w:val="center"/>
        <w:rPr>
          <w:rFonts w:ascii="方正小标宋简体" w:eastAsia="方正小标宋简体"/>
          <w:color w:val="000000"/>
          <w:kern w:val="0"/>
          <w:sz w:val="40"/>
          <w:szCs w:val="44"/>
          <w:lang w:val="zh-CN"/>
        </w:rPr>
      </w:pPr>
      <w:r>
        <w:rPr>
          <w:rFonts w:hint="eastAsia" w:ascii="方正小标宋简体" w:eastAsia="方正小标宋简体"/>
          <w:color w:val="000000"/>
          <w:kern w:val="0"/>
          <w:sz w:val="40"/>
          <w:szCs w:val="44"/>
        </w:rPr>
        <w:t>茂县应急管理局</w:t>
      </w:r>
      <w:r>
        <w:rPr>
          <w:rFonts w:ascii="方正小标宋简体" w:eastAsia="方正小标宋简体"/>
          <w:color w:val="000000"/>
          <w:kern w:val="0"/>
          <w:sz w:val="40"/>
          <w:szCs w:val="44"/>
        </w:rPr>
        <w:t>20</w:t>
      </w:r>
      <w:r>
        <w:rPr>
          <w:rFonts w:hint="eastAsia" w:ascii="方正小标宋简体" w:eastAsia="方正小标宋简体"/>
          <w:color w:val="000000"/>
          <w:kern w:val="0"/>
          <w:sz w:val="40"/>
          <w:szCs w:val="44"/>
        </w:rPr>
        <w:t>2</w:t>
      </w:r>
      <w:r>
        <w:rPr>
          <w:rFonts w:ascii="方正小标宋简体" w:eastAsia="方正小标宋简体"/>
          <w:color w:val="000000"/>
          <w:kern w:val="0"/>
          <w:sz w:val="40"/>
          <w:szCs w:val="44"/>
        </w:rPr>
        <w:t>1年部门</w:t>
      </w:r>
      <w:r>
        <w:rPr>
          <w:rFonts w:hint="eastAsia" w:ascii="方正小标宋简体" w:eastAsia="方正小标宋简体"/>
          <w:color w:val="000000"/>
          <w:kern w:val="0"/>
          <w:sz w:val="40"/>
          <w:szCs w:val="44"/>
          <w:lang w:val="zh-CN"/>
        </w:rPr>
        <w:t>整体支出绩效评价报告</w:t>
      </w:r>
    </w:p>
    <w:p>
      <w:pPr>
        <w:pStyle w:val="49"/>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部门（单位）概况</w:t>
      </w:r>
    </w:p>
    <w:p>
      <w:pPr>
        <w:pStyle w:val="49"/>
        <w:widowControl/>
        <w:adjustRightInd w:val="0"/>
        <w:snapToGrid w:val="0"/>
        <w:spacing w:line="590" w:lineRule="exact"/>
        <w:ind w:firstLine="642" w:firstLineChars="200"/>
        <w:contextualSpacing/>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（一）机构组成</w:t>
      </w:r>
    </w:p>
    <w:p>
      <w:pPr>
        <w:pStyle w:val="55"/>
        <w:adjustRightInd w:val="0"/>
        <w:snapToGrid w:val="0"/>
        <w:spacing w:before="93" w:beforeLines="0" w:line="590" w:lineRule="exact"/>
        <w:ind w:firstLine="640" w:firstLineChars="200"/>
        <w:rPr>
          <w:rFonts w:cs="宋体"/>
          <w:color w:val="000000"/>
          <w:sz w:val="32"/>
          <w:szCs w:val="32"/>
          <w:shd w:val="clear" w:color="auto" w:fill="FFFFFF"/>
        </w:rPr>
      </w:pPr>
      <w:r>
        <w:rPr>
          <w:rFonts w:hint="eastAsia"/>
          <w:sz w:val="32"/>
          <w:szCs w:val="32"/>
        </w:rPr>
        <w:t>茂县</w:t>
      </w:r>
      <w:r>
        <w:rPr>
          <w:rFonts w:hint="eastAsia"/>
          <w:sz w:val="32"/>
          <w:szCs w:val="32"/>
          <w:lang w:val="en-US"/>
        </w:rPr>
        <w:t>应急管</w:t>
      </w:r>
      <w:r>
        <w:rPr>
          <w:rFonts w:hint="eastAsia"/>
          <w:sz w:val="32"/>
          <w:szCs w:val="32"/>
        </w:rPr>
        <w:t>理局</w:t>
      </w:r>
      <w:r>
        <w:rPr>
          <w:rFonts w:hint="eastAsia"/>
          <w:color w:val="000000"/>
          <w:sz w:val="32"/>
          <w:szCs w:val="32"/>
        </w:rPr>
        <w:t>下属二级单位</w:t>
      </w:r>
      <w:r>
        <w:rPr>
          <w:rFonts w:hint="eastAsia"/>
          <w:color w:val="000000"/>
          <w:sz w:val="32"/>
          <w:szCs w:val="32"/>
          <w:lang w:val="en-US"/>
        </w:rPr>
        <w:t>0</w:t>
      </w:r>
      <w:r>
        <w:rPr>
          <w:rFonts w:hint="eastAsia"/>
          <w:color w:val="000000"/>
          <w:sz w:val="32"/>
          <w:szCs w:val="32"/>
        </w:rPr>
        <w:t>个，其中行政单位</w:t>
      </w:r>
      <w:r>
        <w:rPr>
          <w:rFonts w:hint="eastAsia"/>
          <w:color w:val="000000"/>
          <w:sz w:val="32"/>
          <w:szCs w:val="32"/>
          <w:lang w:val="en-US"/>
        </w:rPr>
        <w:t>1</w:t>
      </w:r>
      <w:r>
        <w:rPr>
          <w:rFonts w:hint="eastAsia"/>
          <w:color w:val="000000"/>
          <w:sz w:val="32"/>
          <w:szCs w:val="32"/>
        </w:rPr>
        <w:t>个，参照公务员法管理的事业单位</w:t>
      </w:r>
      <w:r>
        <w:rPr>
          <w:rFonts w:hint="eastAsia"/>
          <w:color w:val="000000"/>
          <w:sz w:val="32"/>
          <w:szCs w:val="32"/>
          <w:lang w:val="en-US"/>
        </w:rPr>
        <w:t>0</w:t>
      </w:r>
      <w:r>
        <w:rPr>
          <w:rFonts w:hint="eastAsia"/>
          <w:color w:val="000000"/>
          <w:sz w:val="32"/>
          <w:szCs w:val="32"/>
        </w:rPr>
        <w:t>个，其他事业单位</w:t>
      </w:r>
      <w:r>
        <w:rPr>
          <w:rFonts w:hint="eastAsia"/>
          <w:color w:val="000000"/>
          <w:sz w:val="32"/>
          <w:szCs w:val="32"/>
          <w:lang w:val="en-US"/>
        </w:rPr>
        <w:t>1</w:t>
      </w:r>
      <w:r>
        <w:rPr>
          <w:rFonts w:hint="eastAsia"/>
          <w:color w:val="000000"/>
          <w:sz w:val="32"/>
          <w:szCs w:val="32"/>
        </w:rPr>
        <w:t>个。</w:t>
      </w:r>
    </w:p>
    <w:p>
      <w:pPr>
        <w:pStyle w:val="49"/>
        <w:widowControl/>
        <w:numPr>
          <w:ilvl w:val="0"/>
          <w:numId w:val="1"/>
        </w:numPr>
        <w:adjustRightInd w:val="0"/>
        <w:snapToGrid w:val="0"/>
        <w:spacing w:line="590" w:lineRule="exact"/>
        <w:ind w:left="0" w:firstLine="642" w:firstLineChars="200"/>
        <w:contextualSpacing/>
        <w:jc w:val="left"/>
        <w:rPr>
          <w:rFonts w:ascii="楷体" w:eastAsia="楷体" w:cs="楷体"/>
          <w:b/>
          <w:bCs/>
          <w:color w:val="000000"/>
          <w:kern w:val="0"/>
          <w:sz w:val="32"/>
          <w:szCs w:val="32"/>
          <w:shd w:val="clear" w:color="auto" w:fill="FFFFFF"/>
          <w:lang w:val="zh-CN"/>
        </w:rPr>
      </w:pPr>
      <w:r>
        <w:rPr>
          <w:rFonts w:hint="eastAsia" w:ascii="楷体" w:eastAsia="楷体" w:cs="楷体"/>
          <w:b/>
          <w:bCs/>
          <w:color w:val="000000"/>
          <w:kern w:val="0"/>
          <w:sz w:val="32"/>
          <w:szCs w:val="32"/>
          <w:shd w:val="clear" w:color="auto" w:fill="FFFFFF"/>
          <w:lang w:val="zh-CN"/>
        </w:rPr>
        <w:t>机构职能</w:t>
      </w:r>
    </w:p>
    <w:p>
      <w:pPr>
        <w:pStyle w:val="49"/>
        <w:widowControl/>
        <w:adjustRightInd w:val="0"/>
        <w:snapToGrid w:val="0"/>
        <w:spacing w:line="590" w:lineRule="exact"/>
        <w:contextualSpacing/>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 xml:space="preserve">    承担全县安全生产综合监管、应急抢险救援、应急保障职能职责，负责安全生产综合目标管理和考核工作。承担县政府安全生产委员会和应急委的具体工作。</w:t>
      </w:r>
    </w:p>
    <w:p>
      <w:pPr>
        <w:pStyle w:val="49"/>
        <w:widowControl/>
        <w:tabs>
          <w:tab w:val="left" w:pos="3523"/>
        </w:tabs>
        <w:adjustRightInd w:val="0"/>
        <w:snapToGrid w:val="0"/>
        <w:spacing w:line="590" w:lineRule="exact"/>
        <w:ind w:firstLine="642" w:firstLineChars="200"/>
        <w:contextualSpacing/>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（三）人员概况</w:t>
      </w:r>
      <w:r>
        <w:rPr>
          <w:rFonts w:hint="eastAsia" w:ascii="楷体_GB2312" w:eastAsia="楷体_GB2312" w:cs="楷体_GB2312"/>
          <w:b/>
          <w:bCs/>
          <w:color w:val="000000"/>
          <w:kern w:val="0"/>
          <w:sz w:val="32"/>
          <w:szCs w:val="32"/>
          <w:shd w:val="clear" w:color="auto" w:fill="FFFFFF"/>
          <w:lang w:val="zh-CN"/>
        </w:rPr>
        <w:tab/>
      </w:r>
    </w:p>
    <w:p>
      <w:pPr>
        <w:pStyle w:val="55"/>
        <w:adjustRightInd w:val="0"/>
        <w:snapToGrid w:val="0"/>
        <w:spacing w:before="30" w:beforeLines="0" w:line="576" w:lineRule="exact"/>
        <w:ind w:firstLine="665" w:firstLineChars="208"/>
        <w:rPr>
          <w:rFonts w:cs="宋体"/>
          <w:color w:val="000000"/>
          <w:sz w:val="32"/>
          <w:szCs w:val="32"/>
          <w:shd w:val="clear" w:color="auto" w:fill="FFFFFF"/>
          <w:lang w:val="en-US"/>
        </w:rPr>
      </w:pPr>
      <w:r>
        <w:rPr>
          <w:rFonts w:hint="eastAsia"/>
          <w:sz w:val="32"/>
          <w:szCs w:val="32"/>
        </w:rPr>
        <w:t>茂县应急管理局行政编制</w:t>
      </w:r>
      <w:r>
        <w:rPr>
          <w:rFonts w:hint="eastAsia"/>
          <w:sz w:val="32"/>
          <w:szCs w:val="32"/>
          <w:lang w:val="en-US"/>
        </w:rPr>
        <w:t>12</w:t>
      </w:r>
      <w:r>
        <w:rPr>
          <w:rFonts w:hint="eastAsia"/>
          <w:sz w:val="32"/>
          <w:szCs w:val="32"/>
        </w:rPr>
        <w:t>名，</w:t>
      </w:r>
      <w:r>
        <w:rPr>
          <w:rFonts w:hint="eastAsia"/>
          <w:sz w:val="32"/>
          <w:szCs w:val="32"/>
          <w:lang w:val="en-US"/>
        </w:rPr>
        <w:t>公务员在职12人，</w:t>
      </w:r>
      <w:r>
        <w:rPr>
          <w:rFonts w:hint="eastAsia"/>
          <w:sz w:val="32"/>
          <w:szCs w:val="32"/>
        </w:rPr>
        <w:t>参照公务员管理事业编制</w:t>
      </w:r>
      <w:r>
        <w:rPr>
          <w:rFonts w:hint="eastAsia"/>
          <w:sz w:val="32"/>
          <w:szCs w:val="32"/>
          <w:lang w:val="en-US"/>
        </w:rPr>
        <w:t>9</w:t>
      </w:r>
      <w:r>
        <w:rPr>
          <w:rFonts w:hint="eastAsia"/>
          <w:sz w:val="32"/>
          <w:szCs w:val="32"/>
        </w:rPr>
        <w:t>人，</w:t>
      </w:r>
      <w:r>
        <w:rPr>
          <w:rFonts w:hint="eastAsia"/>
          <w:sz w:val="32"/>
          <w:szCs w:val="32"/>
          <w:lang w:val="en-US"/>
        </w:rPr>
        <w:t>在职9人，</w:t>
      </w:r>
      <w:r>
        <w:rPr>
          <w:rFonts w:hint="eastAsia"/>
          <w:color w:val="000000"/>
          <w:sz w:val="32"/>
          <w:szCs w:val="32"/>
          <w:lang w:val="en-US"/>
        </w:rPr>
        <w:t>事业编制9人，在职9人。</w:t>
      </w:r>
      <w:r>
        <w:rPr>
          <w:rFonts w:hint="eastAsia"/>
          <w:color w:val="000000"/>
          <w:sz w:val="32"/>
          <w:szCs w:val="32"/>
        </w:rPr>
        <w:t>年末实有人数</w:t>
      </w:r>
      <w:r>
        <w:rPr>
          <w:rFonts w:hint="eastAsia"/>
          <w:color w:val="000000"/>
          <w:sz w:val="32"/>
          <w:szCs w:val="32"/>
          <w:lang w:val="en-US"/>
        </w:rPr>
        <w:t>30</w:t>
      </w:r>
      <w:r>
        <w:rPr>
          <w:rFonts w:hint="eastAsia"/>
          <w:color w:val="000000"/>
          <w:sz w:val="32"/>
          <w:szCs w:val="32"/>
        </w:rPr>
        <w:t>人。</w:t>
      </w:r>
    </w:p>
    <w:p>
      <w:pPr>
        <w:pStyle w:val="49"/>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二、部门财政资金收支情况</w:t>
      </w:r>
    </w:p>
    <w:p>
      <w:pPr>
        <w:pStyle w:val="49"/>
        <w:widowControl/>
        <w:adjustRightInd w:val="0"/>
        <w:snapToGrid w:val="0"/>
        <w:spacing w:line="580" w:lineRule="exact"/>
        <w:ind w:firstLine="642" w:firstLineChars="200"/>
        <w:contextualSpacing/>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（一）部门财政资金收入情况</w:t>
      </w:r>
    </w:p>
    <w:p>
      <w:pPr>
        <w:pStyle w:val="49"/>
        <w:widowControl/>
        <w:adjustRightInd w:val="0"/>
        <w:snapToGrid w:val="0"/>
        <w:spacing w:line="580" w:lineRule="exact"/>
        <w:ind w:firstLine="640" w:firstLineChars="200"/>
        <w:contextualSpacing/>
        <w:jc w:val="left"/>
        <w:rPr>
          <w:rFonts w:ascii="楷体_GB2312" w:eastAsia="楷体_GB2312" w:cs="楷体_GB2312"/>
          <w:b/>
          <w:bCs/>
          <w:color w:val="000000"/>
          <w:kern w:val="0"/>
          <w:sz w:val="32"/>
          <w:szCs w:val="32"/>
          <w:shd w:val="clear" w:color="auto" w:fill="FFFFFF"/>
          <w:lang w:val="zh-CN"/>
        </w:rPr>
      </w:pPr>
      <w:r>
        <w:rPr>
          <w:rFonts w:ascii="仿宋" w:eastAsia="仿宋"/>
          <w:color w:val="000000"/>
          <w:sz w:val="32"/>
          <w:szCs w:val="32"/>
        </w:rPr>
        <w:t>20</w:t>
      </w:r>
      <w:r>
        <w:rPr>
          <w:rFonts w:hint="eastAsia" w:ascii="仿宋" w:eastAsia="仿宋"/>
          <w:color w:val="000000"/>
          <w:sz w:val="32"/>
          <w:szCs w:val="32"/>
        </w:rPr>
        <w:t>2</w:t>
      </w:r>
      <w:r>
        <w:rPr>
          <w:rFonts w:ascii="仿宋" w:eastAsia="仿宋"/>
          <w:color w:val="000000"/>
          <w:sz w:val="32"/>
          <w:szCs w:val="32"/>
        </w:rPr>
        <w:t>1</w:t>
      </w:r>
      <w:r>
        <w:rPr>
          <w:rFonts w:hint="eastAsia" w:ascii="仿宋" w:eastAsia="仿宋"/>
          <w:color w:val="000000"/>
          <w:sz w:val="32"/>
          <w:szCs w:val="32"/>
        </w:rPr>
        <w:t>单位财政资金收入共计</w:t>
      </w:r>
      <w:r>
        <w:rPr>
          <w:rFonts w:ascii="仿宋" w:eastAsia="仿宋"/>
          <w:color w:val="000000"/>
          <w:sz w:val="32"/>
          <w:szCs w:val="32"/>
        </w:rPr>
        <w:t>2631.73</w:t>
      </w:r>
      <w:r>
        <w:rPr>
          <w:rFonts w:hint="eastAsia" w:ascii="仿宋" w:eastAsia="仿宋"/>
          <w:color w:val="000000"/>
          <w:sz w:val="32"/>
          <w:szCs w:val="32"/>
        </w:rPr>
        <w:t>万元，其中上一年度财政拨款结转</w:t>
      </w:r>
      <w:r>
        <w:rPr>
          <w:rFonts w:ascii="仿宋_GB2312" w:eastAsia="仿宋_GB2312"/>
          <w:sz w:val="32"/>
          <w:szCs w:val="32"/>
        </w:rPr>
        <w:t>1243.40</w:t>
      </w:r>
      <w:r>
        <w:rPr>
          <w:rFonts w:hint="eastAsia" w:ascii="仿宋" w:eastAsia="仿宋"/>
          <w:color w:val="000000"/>
          <w:sz w:val="32"/>
          <w:szCs w:val="32"/>
        </w:rPr>
        <w:t>万元，本年度财政拨款</w:t>
      </w:r>
      <w:r>
        <w:rPr>
          <w:rFonts w:hint="eastAsia" w:ascii="仿宋_GB2312" w:eastAsia="仿宋_GB2312"/>
          <w:sz w:val="32"/>
          <w:szCs w:val="32"/>
        </w:rPr>
        <w:t>1388.3</w:t>
      </w:r>
      <w:r>
        <w:rPr>
          <w:rFonts w:ascii="仿宋_GB2312" w:eastAsia="仿宋_GB2312"/>
          <w:sz w:val="32"/>
          <w:szCs w:val="32"/>
        </w:rPr>
        <w:t>3</w:t>
      </w:r>
      <w:r>
        <w:rPr>
          <w:rFonts w:hint="eastAsia" w:ascii="仿宋" w:eastAsia="仿宋"/>
          <w:color w:val="000000"/>
          <w:sz w:val="32"/>
          <w:szCs w:val="32"/>
        </w:rPr>
        <w:t>万元，无其他收入。</w:t>
      </w:r>
    </w:p>
    <w:p>
      <w:pPr>
        <w:pStyle w:val="49"/>
        <w:widowControl/>
        <w:adjustRightInd w:val="0"/>
        <w:snapToGrid w:val="0"/>
        <w:spacing w:line="580" w:lineRule="exact"/>
        <w:ind w:left="420" w:leftChars="200" w:firstLine="321" w:firstLineChars="100"/>
        <w:contextualSpacing/>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w:t>
      </w:r>
      <w:r>
        <w:rPr>
          <w:rFonts w:hint="eastAsia" w:ascii="楷体_GB2312" w:eastAsia="楷体_GB2312" w:cs="楷体_GB2312"/>
          <w:b/>
          <w:bCs/>
          <w:color w:val="000000"/>
          <w:kern w:val="0"/>
          <w:sz w:val="32"/>
          <w:szCs w:val="32"/>
          <w:shd w:val="clear" w:color="auto" w:fill="FFFFFF"/>
        </w:rPr>
        <w:t>二</w:t>
      </w:r>
      <w:r>
        <w:rPr>
          <w:rFonts w:hint="eastAsia" w:ascii="楷体_GB2312" w:eastAsia="楷体_GB2312" w:cs="楷体_GB2312"/>
          <w:b/>
          <w:bCs/>
          <w:color w:val="000000"/>
          <w:kern w:val="0"/>
          <w:sz w:val="32"/>
          <w:szCs w:val="32"/>
          <w:shd w:val="clear" w:color="auto" w:fill="FFFFFF"/>
          <w:lang w:val="zh-CN"/>
        </w:rPr>
        <w:t>）部门财政资金支出情况</w:t>
      </w:r>
    </w:p>
    <w:p>
      <w:pPr>
        <w:pStyle w:val="49"/>
        <w:widowControl/>
        <w:adjustRightInd w:val="0"/>
        <w:snapToGrid w:val="0"/>
        <w:spacing w:line="580" w:lineRule="exact"/>
        <w:ind w:left="420" w:leftChars="200" w:firstLine="320" w:firstLineChars="100"/>
        <w:contextualSpacing/>
        <w:jc w:val="left"/>
        <w:rPr>
          <w:rFonts w:ascii="仿宋" w:eastAsia="仿宋"/>
          <w:bCs/>
          <w:color w:val="000000"/>
          <w:sz w:val="32"/>
          <w:szCs w:val="32"/>
        </w:rPr>
      </w:pPr>
      <w:r>
        <w:rPr>
          <w:rFonts w:hint="eastAsia" w:ascii="仿宋" w:eastAsia="仿宋"/>
          <w:bCs/>
          <w:color w:val="000000"/>
          <w:sz w:val="32"/>
          <w:szCs w:val="32"/>
        </w:rPr>
        <w:t>202</w:t>
      </w:r>
      <w:r>
        <w:rPr>
          <w:rFonts w:ascii="仿宋" w:eastAsia="仿宋"/>
          <w:bCs/>
          <w:color w:val="000000"/>
          <w:sz w:val="32"/>
          <w:szCs w:val="32"/>
        </w:rPr>
        <w:t>1</w:t>
      </w:r>
      <w:r>
        <w:rPr>
          <w:rFonts w:hint="eastAsia" w:ascii="仿宋" w:eastAsia="仿宋"/>
          <w:bCs/>
          <w:color w:val="000000"/>
          <w:sz w:val="32"/>
          <w:szCs w:val="32"/>
        </w:rPr>
        <w:t>年财政拨款支出决算数为</w:t>
      </w:r>
      <w:r>
        <w:rPr>
          <w:rFonts w:ascii="仿宋" w:eastAsia="仿宋"/>
          <w:bCs/>
          <w:color w:val="000000"/>
          <w:sz w:val="32"/>
          <w:szCs w:val="32"/>
        </w:rPr>
        <w:t>2631.73</w:t>
      </w:r>
      <w:r>
        <w:rPr>
          <w:rFonts w:hint="eastAsia" w:ascii="仿宋" w:eastAsia="仿宋"/>
          <w:bCs/>
          <w:color w:val="000000"/>
          <w:sz w:val="32"/>
          <w:szCs w:val="32"/>
        </w:rPr>
        <w:t>万元</w:t>
      </w:r>
      <w:r>
        <w:rPr>
          <w:rFonts w:ascii="仿宋" w:eastAsia="仿宋"/>
          <w:bCs/>
          <w:color w:val="000000"/>
          <w:sz w:val="32"/>
          <w:szCs w:val="32"/>
        </w:rPr>
        <w:t>。</w:t>
      </w:r>
    </w:p>
    <w:p>
      <w:pPr>
        <w:pStyle w:val="49"/>
        <w:widowControl/>
        <w:numPr>
          <w:ilvl w:val="0"/>
          <w:numId w:val="1"/>
        </w:numPr>
        <w:adjustRightInd w:val="0"/>
        <w:snapToGrid w:val="0"/>
        <w:spacing w:line="580" w:lineRule="exact"/>
        <w:ind w:left="0" w:firstLine="642" w:firstLineChars="200"/>
        <w:contextualSpacing/>
        <w:jc w:val="left"/>
        <w:rPr>
          <w:rFonts w:ascii="楷体_GB2312" w:eastAsia="楷体_GB2312" w:cs="楷体_GB2312"/>
          <w:b/>
          <w:color w:val="000000"/>
          <w:sz w:val="32"/>
          <w:szCs w:val="32"/>
        </w:rPr>
      </w:pPr>
      <w:r>
        <w:rPr>
          <w:rFonts w:hint="eastAsia" w:ascii="楷体_GB2312" w:eastAsia="楷体_GB2312" w:cs="楷体_GB2312"/>
          <w:b/>
          <w:color w:val="000000"/>
          <w:sz w:val="32"/>
          <w:szCs w:val="32"/>
        </w:rPr>
        <w:t>部门财政资金收支结转情况</w:t>
      </w:r>
    </w:p>
    <w:p>
      <w:pPr>
        <w:pStyle w:val="49"/>
        <w:widowControl/>
        <w:adjustRightInd w:val="0"/>
        <w:snapToGrid w:val="0"/>
        <w:spacing w:line="580" w:lineRule="exact"/>
        <w:ind w:left="420" w:leftChars="200"/>
        <w:contextualSpacing/>
        <w:jc w:val="left"/>
        <w:rPr>
          <w:rFonts w:ascii="仿宋_GB2312" w:eastAsia="仿宋_GB2312" w:cs="宋体"/>
          <w:color w:val="000000"/>
          <w:kern w:val="0"/>
          <w:sz w:val="32"/>
          <w:szCs w:val="32"/>
          <w:shd w:val="clear" w:color="auto" w:fill="FFFFFF"/>
          <w:lang w:val="zh-CN"/>
        </w:rPr>
      </w:pPr>
      <w:r>
        <w:rPr>
          <w:rFonts w:hint="eastAsia" w:ascii="仿宋" w:eastAsia="仿宋"/>
          <w:bCs/>
          <w:color w:val="000000"/>
          <w:sz w:val="32"/>
          <w:szCs w:val="32"/>
        </w:rPr>
        <w:t xml:space="preserve">  202</w:t>
      </w:r>
      <w:r>
        <w:rPr>
          <w:rFonts w:ascii="仿宋" w:eastAsia="仿宋"/>
          <w:bCs/>
          <w:color w:val="000000"/>
          <w:sz w:val="32"/>
          <w:szCs w:val="32"/>
        </w:rPr>
        <w:t>1</w:t>
      </w:r>
      <w:r>
        <w:rPr>
          <w:rFonts w:hint="eastAsia" w:ascii="仿宋" w:eastAsia="仿宋"/>
          <w:bCs/>
          <w:color w:val="000000"/>
          <w:sz w:val="32"/>
          <w:szCs w:val="32"/>
        </w:rPr>
        <w:t>年末结转和结余资金</w:t>
      </w:r>
      <w:r>
        <w:rPr>
          <w:rFonts w:ascii="仿宋" w:eastAsia="仿宋"/>
          <w:bCs/>
          <w:color w:val="000000"/>
          <w:sz w:val="32"/>
          <w:szCs w:val="32"/>
        </w:rPr>
        <w:t>0</w:t>
      </w:r>
      <w:r>
        <w:rPr>
          <w:rFonts w:hint="eastAsia" w:ascii="仿宋" w:eastAsia="仿宋"/>
          <w:bCs/>
          <w:color w:val="000000"/>
          <w:sz w:val="32"/>
          <w:szCs w:val="32"/>
        </w:rPr>
        <w:t>万元。</w:t>
      </w:r>
    </w:p>
    <w:p>
      <w:pPr>
        <w:pStyle w:val="49"/>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三、部门整体预算绩效管理情况</w:t>
      </w:r>
    </w:p>
    <w:p>
      <w:pPr>
        <w:pStyle w:val="49"/>
        <w:widowControl/>
        <w:adjustRightInd w:val="0"/>
        <w:snapToGrid w:val="0"/>
        <w:spacing w:line="580" w:lineRule="exact"/>
        <w:ind w:firstLine="642" w:firstLineChars="200"/>
        <w:contextualSpacing/>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（一）部门预算管理</w:t>
      </w:r>
    </w:p>
    <w:p>
      <w:pPr>
        <w:pStyle w:val="49"/>
        <w:widowControl/>
        <w:ind w:firstLine="480" w:firstLineChars="150"/>
        <w:jc w:val="left"/>
      </w:pPr>
      <w:r>
        <w:rPr>
          <w:rFonts w:hint="eastAsia" w:ascii="仿宋_GB2312" w:eastAsia="仿宋_GB2312" w:cs="仿宋_GB2312"/>
          <w:bCs/>
          <w:color w:val="000000"/>
          <w:sz w:val="32"/>
          <w:szCs w:val="32"/>
        </w:rPr>
        <w:t>我局严格按照县财政部门预算编制通知和有关文件要求，结合本单位实际项目安排批准情况填制收支总表及支出项目录入表。单位预算编制工作完成后按“二上二下”的编</w:t>
      </w:r>
    </w:p>
    <w:p>
      <w:pPr>
        <w:pStyle w:val="49"/>
        <w:spacing w:line="570" w:lineRule="exact"/>
        <w:rPr>
          <w:rFonts w:ascii="仿宋_GB2312" w:eastAsia="仿宋_GB2312" w:cs="仿宋_GB2312"/>
          <w:bCs/>
          <w:color w:val="000000"/>
          <w:sz w:val="32"/>
          <w:szCs w:val="32"/>
        </w:rPr>
      </w:pPr>
      <w:r>
        <w:rPr>
          <w:rFonts w:hint="eastAsia" w:ascii="仿宋_GB2312" w:eastAsia="仿宋_GB2312" w:cs="仿宋_GB2312"/>
          <w:bCs/>
          <w:color w:val="000000"/>
          <w:sz w:val="32"/>
          <w:szCs w:val="32"/>
        </w:rPr>
        <w:t>制程序提交县财政支出管理股室进行审核后下达批复。</w:t>
      </w:r>
      <w:r>
        <w:rPr>
          <w:rFonts w:hint="eastAsia" w:ascii="仿宋_GB2312" w:eastAsia="仿宋_GB2312" w:cs="仿宋_GB2312"/>
          <w:color w:val="000000"/>
          <w:sz w:val="32"/>
          <w:szCs w:val="32"/>
        </w:rPr>
        <w:t>一是我局高度重视内部控制制度建设工作，切实加强对内部控制制度建设的组织领导，切实强化内部控制制度的建设工作</w:t>
      </w:r>
      <w:r>
        <w:rPr>
          <w:rFonts w:ascii="仿宋_GB2312" w:eastAsia="仿宋_GB2312" w:cs="仿宋_GB2312"/>
          <w:color w:val="000000"/>
          <w:sz w:val="32"/>
          <w:szCs w:val="32"/>
        </w:rPr>
        <w:t>。</w:t>
      </w:r>
      <w:r>
        <w:rPr>
          <w:rFonts w:hint="eastAsia" w:ascii="仿宋_GB2312" w:eastAsia="仿宋_GB2312" w:cs="仿宋_GB2312"/>
          <w:color w:val="000000"/>
          <w:sz w:val="32"/>
          <w:szCs w:val="32"/>
        </w:rPr>
        <w:t>二是我局严格按照相关部门的要求保质保量完成年度预决算公开工作。</w:t>
      </w:r>
    </w:p>
    <w:p>
      <w:pPr>
        <w:pStyle w:val="49"/>
        <w:spacing w:line="570" w:lineRule="exact"/>
        <w:ind w:firstLine="642" w:firstLineChars="200"/>
        <w:rPr>
          <w:rFonts w:ascii="楷体" w:eastAsia="楷体" w:cs="楷体"/>
          <w:b/>
          <w:bCs/>
          <w:color w:val="000000"/>
          <w:sz w:val="32"/>
          <w:szCs w:val="32"/>
        </w:rPr>
      </w:pPr>
      <w:r>
        <w:rPr>
          <w:rFonts w:hint="eastAsia" w:ascii="楷体" w:eastAsia="楷体" w:cs="楷体"/>
          <w:b/>
          <w:bCs/>
          <w:color w:val="000000"/>
          <w:sz w:val="32"/>
          <w:szCs w:val="32"/>
        </w:rPr>
        <w:t>（二）专项预算管理</w:t>
      </w:r>
    </w:p>
    <w:p>
      <w:pPr>
        <w:pStyle w:val="49"/>
        <w:spacing w:line="57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我局对部门预算绩效管理工作开展情况认真进行了自查自评。绩效评价自查覆盖重点支出，将评价结果作为预算安排的重要依据，参照项目年度预算执行情况、“三年滚动规划”执行情况统筹项目支出需求，不断强化绩效理念，推动我局部门整体绩效管理水平不断提升。</w:t>
      </w:r>
    </w:p>
    <w:p>
      <w:pPr>
        <w:pStyle w:val="49"/>
        <w:spacing w:line="570" w:lineRule="exact"/>
        <w:ind w:firstLine="640" w:firstLineChars="200"/>
        <w:rPr>
          <w:rFonts w:ascii="黑体" w:eastAsia="黑体" w:cs="黑体"/>
          <w:color w:val="000000"/>
          <w:sz w:val="32"/>
          <w:szCs w:val="32"/>
        </w:rPr>
      </w:pPr>
      <w:r>
        <w:rPr>
          <w:rFonts w:hint="eastAsia" w:ascii="黑体" w:eastAsia="黑体" w:cs="黑体"/>
          <w:color w:val="000000"/>
          <w:sz w:val="32"/>
          <w:szCs w:val="32"/>
        </w:rPr>
        <w:t>三、评价结论及建议</w:t>
      </w:r>
    </w:p>
    <w:p>
      <w:pPr>
        <w:pStyle w:val="49"/>
        <w:spacing w:line="570" w:lineRule="exact"/>
        <w:ind w:firstLine="642" w:firstLineChars="200"/>
        <w:rPr>
          <w:rFonts w:ascii="楷体" w:eastAsia="楷体" w:cs="楷体"/>
          <w:b/>
          <w:color w:val="000000"/>
          <w:sz w:val="32"/>
          <w:szCs w:val="32"/>
        </w:rPr>
      </w:pPr>
      <w:r>
        <w:rPr>
          <w:rFonts w:hint="eastAsia" w:ascii="楷体" w:eastAsia="楷体" w:cs="楷体"/>
          <w:b/>
          <w:color w:val="000000"/>
          <w:sz w:val="32"/>
          <w:szCs w:val="32"/>
        </w:rPr>
        <w:t>（一）评价结论</w:t>
      </w:r>
    </w:p>
    <w:p>
      <w:pPr>
        <w:pStyle w:val="49"/>
        <w:spacing w:line="570" w:lineRule="exact"/>
        <w:ind w:firstLine="640" w:firstLineChars="200"/>
        <w:rPr>
          <w:rFonts w:ascii="仿宋_GB2312" w:eastAsia="仿宋_GB2312" w:cs="仿宋_GB2312"/>
          <w:b/>
          <w:color w:val="000000"/>
          <w:sz w:val="32"/>
          <w:szCs w:val="32"/>
        </w:rPr>
      </w:pPr>
      <w:r>
        <w:rPr>
          <w:rFonts w:hint="eastAsia" w:ascii="仿宋_GB2312" w:eastAsia="仿宋_GB2312" w:cs="仿宋_GB2312"/>
          <w:color w:val="000000"/>
          <w:sz w:val="32"/>
          <w:szCs w:val="32"/>
        </w:rPr>
        <w:t>对照《县级部门整体支出绩效评价指标体系表》中各项具体指标认真开展自评工作，经自评我单位部门整体支出良好。</w:t>
      </w:r>
    </w:p>
    <w:p>
      <w:pPr>
        <w:pStyle w:val="49"/>
        <w:spacing w:line="570" w:lineRule="exact"/>
        <w:ind w:firstLine="642" w:firstLineChars="200"/>
        <w:rPr>
          <w:rFonts w:ascii="楷体" w:eastAsia="楷体" w:cs="楷体"/>
          <w:b/>
          <w:color w:val="000000"/>
          <w:sz w:val="32"/>
          <w:szCs w:val="32"/>
        </w:rPr>
      </w:pPr>
      <w:r>
        <w:rPr>
          <w:rFonts w:hint="eastAsia" w:ascii="楷体" w:eastAsia="楷体" w:cs="楷体"/>
          <w:b/>
          <w:color w:val="000000"/>
          <w:sz w:val="32"/>
          <w:szCs w:val="32"/>
        </w:rPr>
        <w:t>（二）存在的问题</w:t>
      </w:r>
    </w:p>
    <w:p>
      <w:pPr>
        <w:pStyle w:val="49"/>
        <w:spacing w:line="570" w:lineRule="exact"/>
        <w:ind w:firstLine="642" w:firstLineChars="200"/>
        <w:rPr>
          <w:rFonts w:ascii="楷体" w:eastAsia="楷体" w:cs="楷体"/>
          <w:b/>
          <w:color w:val="000000"/>
          <w:sz w:val="32"/>
          <w:szCs w:val="32"/>
        </w:rPr>
      </w:pPr>
      <w:r>
        <w:rPr>
          <w:rFonts w:hint="eastAsia" w:ascii="楷体" w:eastAsia="楷体" w:cs="楷体"/>
          <w:b/>
          <w:color w:val="000000"/>
          <w:sz w:val="32"/>
          <w:szCs w:val="32"/>
        </w:rPr>
        <w:t xml:space="preserve"> </w:t>
      </w:r>
      <w:r>
        <w:rPr>
          <w:rFonts w:hint="eastAsia" w:ascii="仿宋_GB2312" w:eastAsia="仿宋_GB2312" w:cs="仿宋_GB2312"/>
          <w:bCs/>
          <w:color w:val="000000"/>
          <w:sz w:val="32"/>
          <w:szCs w:val="32"/>
        </w:rPr>
        <w:t>绩效目标设定有待更科学合理。</w:t>
      </w:r>
    </w:p>
    <w:p>
      <w:pPr>
        <w:pStyle w:val="49"/>
        <w:spacing w:line="570" w:lineRule="exact"/>
        <w:ind w:firstLine="642" w:firstLineChars="200"/>
        <w:rPr>
          <w:rFonts w:ascii="楷体" w:eastAsia="楷体" w:cs="楷体"/>
          <w:b/>
          <w:color w:val="000000"/>
          <w:sz w:val="32"/>
          <w:szCs w:val="32"/>
        </w:rPr>
      </w:pPr>
      <w:r>
        <w:rPr>
          <w:rFonts w:hint="eastAsia" w:ascii="楷体" w:eastAsia="楷体" w:cs="楷体"/>
          <w:b/>
          <w:color w:val="000000"/>
          <w:sz w:val="32"/>
          <w:szCs w:val="32"/>
        </w:rPr>
        <w:t>（二）改进建议</w:t>
      </w:r>
    </w:p>
    <w:p>
      <w:pPr>
        <w:pStyle w:val="49"/>
        <w:spacing w:line="57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针对存在的问题，我们将进一步科学设定绩效目标。一是认真研究政策，加强项目目标审核，力求科学合理；二是 认真研究项目的执行，确保项目顺利实施，提高财政资金的使用效益。</w:t>
      </w:r>
    </w:p>
    <w:p>
      <w:pPr>
        <w:pStyle w:val="49"/>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部门绩效目标制定、目标实现、预算编制准确、支出控制、预算动态调整、执行进度、预算完成情况和违规记录等情况。</w:t>
      </w:r>
    </w:p>
    <w:bookmarkEnd w:id="4"/>
    <w:bookmarkEnd w:id="5"/>
    <w:p>
      <w:pPr>
        <w:pStyle w:val="49"/>
        <w:spacing w:line="600" w:lineRule="exact"/>
        <w:jc w:val="left"/>
        <w:outlineLvl w:val="0"/>
        <w:rPr>
          <w:rFonts w:ascii="方正小标宋简体" w:hAnsi="方正小标宋简体" w:eastAsia="黑体" w:cs="方正小标宋简体"/>
          <w:sz w:val="32"/>
          <w:szCs w:val="32"/>
        </w:rPr>
      </w:pPr>
      <w:r>
        <w:rPr>
          <w:rFonts w:hint="eastAsia" w:ascii="方正小标宋简体" w:eastAsia="方正小标宋简体" w:cs="方正小标宋简体"/>
          <w:b/>
          <w:sz w:val="44"/>
          <w:szCs w:val="44"/>
        </w:rPr>
        <w:t xml:space="preserve">  </w:t>
      </w:r>
      <w:r>
        <w:rPr>
          <w:rFonts w:ascii="方正小标宋简体" w:eastAsia="方正小标宋简体" w:cs="方正小标宋简体"/>
          <w:b/>
          <w:sz w:val="44"/>
          <w:szCs w:val="44"/>
        </w:rPr>
        <w:t xml:space="preserve"> </w:t>
      </w:r>
      <w:r>
        <w:rPr>
          <w:rFonts w:hint="eastAsia" w:ascii="黑体" w:eastAsia="黑体" w:cs="黑体"/>
          <w:sz w:val="32"/>
          <w:szCs w:val="32"/>
        </w:rPr>
        <w:t>附件2</w:t>
      </w:r>
    </w:p>
    <w:p>
      <w:pPr>
        <w:pStyle w:val="78"/>
        <w:spacing w:line="570" w:lineRule="exact"/>
        <w:rPr>
          <w:rFonts w:hint="eastAsia" w:ascii="方正小标宋简体" w:eastAsia="方正小标宋简体" w:cs="方正小标宋简体"/>
          <w:b/>
          <w:sz w:val="44"/>
          <w:szCs w:val="44"/>
        </w:rPr>
      </w:pPr>
      <w:r>
        <w:rPr>
          <w:rFonts w:ascii="方正小标宋简体" w:eastAsia="方正小标宋简体" w:cs="方正小标宋简体"/>
          <w:b/>
          <w:sz w:val="44"/>
          <w:szCs w:val="44"/>
        </w:rPr>
        <w:t xml:space="preserve">         </w:t>
      </w:r>
    </w:p>
    <w:p>
      <w:pPr>
        <w:pStyle w:val="78"/>
        <w:spacing w:line="570" w:lineRule="exact"/>
        <w:ind w:firstLine="2000" w:firstLineChars="500"/>
        <w:rPr>
          <w:rFonts w:hint="eastAsia" w:ascii="方正小标宋简体" w:eastAsia="方正小标宋简体" w:cs="方正小标宋简体"/>
          <w:sz w:val="40"/>
          <w:szCs w:val="40"/>
        </w:rPr>
      </w:pPr>
      <w:r>
        <w:rPr>
          <w:rFonts w:hint="eastAsia" w:ascii="方正小标宋简体" w:eastAsia="方正小标宋简体" w:cs="方正小标宋简体"/>
          <w:sz w:val="40"/>
          <w:szCs w:val="40"/>
        </w:rPr>
        <w:t>茂县应急管理局</w:t>
      </w:r>
    </w:p>
    <w:p>
      <w:pPr>
        <w:pStyle w:val="78"/>
        <w:spacing w:line="570" w:lineRule="exact"/>
        <w:ind w:firstLine="1200" w:firstLineChars="300"/>
        <w:rPr>
          <w:rFonts w:hint="eastAsia" w:ascii="方正小标宋简体" w:eastAsia="方正小标宋简体" w:cs="方正小标宋简体"/>
          <w:sz w:val="40"/>
          <w:szCs w:val="40"/>
        </w:rPr>
      </w:pPr>
      <w:r>
        <w:rPr>
          <w:rFonts w:hint="eastAsia" w:ascii="方正小标宋简体" w:eastAsia="方正小标宋简体" w:cs="方正小标宋简体"/>
          <w:sz w:val="40"/>
          <w:szCs w:val="40"/>
        </w:rPr>
        <w:t>2022年</w:t>
      </w:r>
      <w:r>
        <w:rPr>
          <w:rFonts w:ascii="方正小标宋简体" w:eastAsia="方正小标宋简体" w:cs="方正小标宋简体"/>
          <w:sz w:val="40"/>
          <w:szCs w:val="40"/>
        </w:rPr>
        <w:t>项目</w:t>
      </w:r>
      <w:r>
        <w:rPr>
          <w:rFonts w:hint="eastAsia" w:ascii="方正小标宋简体" w:eastAsia="方正小标宋简体" w:cs="方正小标宋简体"/>
          <w:sz w:val="40"/>
          <w:szCs w:val="40"/>
        </w:rPr>
        <w:t>绩效评价报告</w:t>
      </w:r>
    </w:p>
    <w:p>
      <w:pPr>
        <w:pStyle w:val="62"/>
      </w:pPr>
    </w:p>
    <w:p>
      <w:pPr>
        <w:pStyle w:val="78"/>
        <w:spacing w:line="570" w:lineRule="exact"/>
        <w:rPr>
          <w:rFonts w:hint="eastAsia" w:ascii="仿宋_GB2312" w:eastAsia="仿宋_GB2312"/>
          <w:sz w:val="32"/>
          <w:szCs w:val="32"/>
        </w:rPr>
      </w:pPr>
      <w:r>
        <w:rPr>
          <w:rFonts w:hint="eastAsia" w:ascii="仿宋_GB2312" w:eastAsia="仿宋_GB2312"/>
          <w:sz w:val="32"/>
          <w:szCs w:val="32"/>
        </w:rPr>
        <w:t>（2020年因洪涝灾害倒塌和严重损坏民房恢复重建资金）</w:t>
      </w:r>
    </w:p>
    <w:p>
      <w:pPr>
        <w:pStyle w:val="49"/>
        <w:numPr>
          <w:ilvl w:val="0"/>
          <w:numId w:val="2"/>
        </w:numPr>
        <w:adjustRightInd w:val="0"/>
        <w:snapToGrid w:val="0"/>
        <w:spacing w:line="570" w:lineRule="exact"/>
        <w:ind w:left="0" w:firstLine="720"/>
        <w:rPr>
          <w:rFonts w:ascii="宋体" w:hAnsi="宋体" w:eastAsia="黑体" w:cs="仿宋_GB2312"/>
          <w:sz w:val="32"/>
          <w:szCs w:val="32"/>
        </w:rPr>
      </w:pPr>
      <w:r>
        <w:rPr>
          <w:rFonts w:hint="eastAsia" w:ascii="黑体" w:eastAsia="黑体"/>
          <w:sz w:val="32"/>
          <w:szCs w:val="32"/>
          <w:lang w:val="zh-CN"/>
        </w:rPr>
        <w:t>项目概况</w:t>
      </w:r>
      <w:r>
        <w:rPr>
          <w:rFonts w:hint="eastAsia" w:ascii="宋体" w:hAnsi="宋体" w:eastAsia="黑体" w:cs="仿宋_GB2312"/>
          <w:sz w:val="32"/>
          <w:szCs w:val="32"/>
        </w:rPr>
        <w:t xml:space="preserve"> </w:t>
      </w:r>
    </w:p>
    <w:p>
      <w:pPr>
        <w:pStyle w:val="49"/>
        <w:adjustRightInd w:val="0"/>
        <w:snapToGrid w:val="0"/>
        <w:spacing w:line="570" w:lineRule="exact"/>
        <w:ind w:firstLine="640" w:firstLineChars="200"/>
        <w:rPr>
          <w:rFonts w:ascii="仿宋_GB2312" w:eastAsia="仿宋_GB2312"/>
          <w:sz w:val="32"/>
          <w:szCs w:val="32"/>
        </w:rPr>
      </w:pPr>
      <w:r>
        <w:rPr>
          <w:rFonts w:hint="eastAsia" w:ascii="宋体" w:hAnsi="宋体" w:eastAsia="仿宋_GB2312" w:cs="仿宋_GB2312"/>
          <w:sz w:val="32"/>
          <w:szCs w:val="32"/>
        </w:rPr>
        <w:t>根据</w:t>
      </w:r>
      <w:r>
        <w:rPr>
          <w:rFonts w:hint="eastAsia" w:ascii="宋体" w:cs="仿宋_GB2312"/>
          <w:sz w:val="32"/>
          <w:szCs w:val="32"/>
        </w:rPr>
        <w:t>茂财建（2020）96号文件下达的</w:t>
      </w:r>
      <w:r>
        <w:rPr>
          <w:rFonts w:hint="eastAsia" w:ascii="仿宋_GB2312" w:eastAsia="仿宋_GB2312"/>
          <w:sz w:val="32"/>
          <w:szCs w:val="32"/>
        </w:rPr>
        <w:t>2020年因洪涝灾害倒塌和严重损坏民房恢复重建资金</w:t>
      </w:r>
      <w:r>
        <w:rPr>
          <w:rFonts w:ascii="仿宋_GB2312" w:eastAsia="仿宋_GB2312"/>
          <w:sz w:val="32"/>
          <w:szCs w:val="32"/>
        </w:rPr>
        <w:t>696万元</w:t>
      </w:r>
      <w:r>
        <w:rPr>
          <w:rFonts w:hint="eastAsia" w:ascii="宋体" w:hAnsi="宋体" w:eastAsia="仿宋_GB2312"/>
          <w:sz w:val="32"/>
          <w:szCs w:val="32"/>
        </w:rPr>
        <w:t>，专项用于开展</w:t>
      </w:r>
      <w:r>
        <w:rPr>
          <w:rFonts w:hint="eastAsia" w:ascii="宋体"/>
          <w:sz w:val="32"/>
          <w:szCs w:val="32"/>
        </w:rPr>
        <w:t>强降雨受灾群众房屋重建补助。</w:t>
      </w:r>
    </w:p>
    <w:p>
      <w:pPr>
        <w:pStyle w:val="67"/>
        <w:widowControl/>
        <w:spacing w:before="0" w:beforeAutospacing="0" w:after="0" w:afterAutospacing="0" w:line="570" w:lineRule="exact"/>
        <w:rPr>
          <w:rFonts w:ascii="黑体" w:eastAsia="黑体" w:cs="黑体"/>
          <w:sz w:val="32"/>
          <w:szCs w:val="32"/>
        </w:rPr>
      </w:pPr>
      <w:r>
        <w:rPr>
          <w:rFonts w:hint="eastAsia" w:ascii="宋体" w:hAnsi="宋体" w:cs="宋体"/>
          <w:color w:val="333333"/>
          <w:sz w:val="32"/>
          <w:shd w:val="clear" w:color="auto" w:fill="FFFFFF"/>
        </w:rPr>
        <w:t>　</w:t>
      </w:r>
      <w:r>
        <w:rPr>
          <w:rFonts w:hint="eastAsia" w:ascii="宋体" w:hAnsi="宋体" w:eastAsia="黑体" w:cs="宋体"/>
          <w:color w:val="333333"/>
          <w:sz w:val="32"/>
          <w:shd w:val="clear" w:color="auto" w:fill="FFFFFF"/>
        </w:rPr>
        <w:t>　</w:t>
      </w:r>
      <w:r>
        <w:rPr>
          <w:rFonts w:hint="eastAsia" w:ascii="黑体" w:eastAsia="黑体" w:cs="黑体"/>
          <w:color w:val="333333"/>
          <w:sz w:val="32"/>
          <w:szCs w:val="32"/>
          <w:shd w:val="clear" w:color="auto" w:fill="FFFFFF"/>
        </w:rPr>
        <w:t>二、绩效自评工作开展情况</w:t>
      </w:r>
    </w:p>
    <w:p>
      <w:pPr>
        <w:pStyle w:val="67"/>
        <w:widowControl/>
        <w:spacing w:before="0" w:beforeAutospacing="0" w:after="0" w:afterAutospacing="0" w:line="570" w:lineRule="exact"/>
        <w:rPr>
          <w:rFonts w:ascii="仿宋_GB2312" w:cs="仿宋_GB2312"/>
          <w:sz w:val="32"/>
          <w:szCs w:val="32"/>
        </w:rPr>
      </w:pPr>
      <w:r>
        <w:rPr>
          <w:rFonts w:hint="eastAsia" w:ascii="宋体" w:hAnsi="宋体" w:eastAsia="楷体" w:cs="宋体"/>
          <w:b/>
          <w:color w:val="333333"/>
          <w:sz w:val="32"/>
          <w:shd w:val="clear" w:color="auto" w:fill="FFFFFF"/>
        </w:rPr>
        <w:t xml:space="preserve">　 </w:t>
      </w:r>
      <w:r>
        <w:rPr>
          <w:rFonts w:hint="eastAsia" w:ascii="楷体_GB2312" w:hAnsi="楷体_GB2312" w:eastAsia="楷体" w:cs="楷体_GB2312"/>
          <w:b/>
          <w:bCs/>
          <w:color w:val="333333"/>
          <w:sz w:val="32"/>
          <w:szCs w:val="32"/>
          <w:shd w:val="clear" w:color="auto" w:fill="FFFFFF"/>
        </w:rPr>
        <w:t>（一）项目准备</w:t>
      </w:r>
      <w:r>
        <w:rPr>
          <w:rFonts w:hint="eastAsia" w:ascii="仿宋_GB2312" w:cs="仿宋_GB2312"/>
          <w:sz w:val="32"/>
          <w:szCs w:val="32"/>
        </w:rPr>
        <w:t xml:space="preserve"> </w:t>
      </w:r>
    </w:p>
    <w:p>
      <w:pPr>
        <w:pStyle w:val="67"/>
        <w:widowControl/>
        <w:spacing w:before="0" w:beforeAutospacing="0" w:after="0" w:afterAutospacing="0" w:line="570" w:lineRule="exact"/>
        <w:ind w:firstLine="640" w:firstLineChars="200"/>
        <w:rPr>
          <w:rFonts w:ascii="宋体" w:hAnsi="宋体" w:cs="宋体"/>
          <w:sz w:val="32"/>
        </w:rPr>
      </w:pPr>
      <w:r>
        <w:rPr>
          <w:rFonts w:hint="eastAsia" w:ascii="仿宋_GB2312" w:cs="仿宋_GB2312"/>
          <w:sz w:val="32"/>
          <w:szCs w:val="32"/>
        </w:rPr>
        <w:t>结合单位自身项目实际，成立绩效评价工作小组，认真开展绩效自评，并出具自评报告。</w:t>
      </w:r>
    </w:p>
    <w:p>
      <w:pPr>
        <w:pStyle w:val="67"/>
        <w:widowControl/>
        <w:spacing w:before="0" w:beforeAutospacing="0" w:after="0" w:afterAutospacing="0" w:line="570" w:lineRule="exact"/>
        <w:rPr>
          <w:rFonts w:ascii="宋体" w:hAnsi="宋体" w:eastAsia="楷体" w:cs="宋体"/>
          <w:b/>
          <w:sz w:val="32"/>
        </w:rPr>
      </w:pPr>
      <w:r>
        <w:rPr>
          <w:rFonts w:hint="eastAsia" w:ascii="宋体" w:hAnsi="宋体" w:eastAsia="楷体" w:cs="宋体"/>
          <w:b/>
          <w:color w:val="333333"/>
          <w:sz w:val="32"/>
          <w:shd w:val="clear" w:color="auto" w:fill="FFFFFF"/>
        </w:rPr>
        <w:t>　　（二）项目组织过程</w:t>
      </w:r>
    </w:p>
    <w:p>
      <w:pPr>
        <w:pStyle w:val="67"/>
        <w:widowControl/>
        <w:spacing w:before="0" w:beforeAutospacing="0" w:after="0" w:afterAutospacing="0" w:line="570" w:lineRule="exact"/>
        <w:ind w:firstLine="800" w:firstLineChars="250"/>
        <w:rPr>
          <w:rFonts w:ascii="仿宋_GB2312" w:cs="仿宋_GB2312"/>
          <w:sz w:val="32"/>
          <w:szCs w:val="32"/>
        </w:rPr>
      </w:pPr>
      <w:r>
        <w:rPr>
          <w:rFonts w:hint="eastAsia" w:ascii="宋体" w:hAnsi="宋体" w:cs="宋体"/>
          <w:color w:val="333333"/>
          <w:sz w:val="32"/>
          <w:shd w:val="clear" w:color="auto" w:fill="FFFFFF"/>
        </w:rPr>
        <w:t>应急管理局根据各镇灾情报告情况，制定了茂应急</w:t>
      </w:r>
      <w:r>
        <w:rPr>
          <w:rFonts w:hint="eastAsia" w:ascii="仿宋_GB2312" w:cs="仿宋_GB2312"/>
          <w:sz w:val="32"/>
          <w:szCs w:val="32"/>
        </w:rPr>
        <w:t>〔</w:t>
      </w:r>
      <w:r>
        <w:rPr>
          <w:rFonts w:hint="eastAsia" w:ascii="宋体" w:hAnsi="宋体" w:cs="仿宋_GB2312"/>
          <w:sz w:val="32"/>
          <w:szCs w:val="32"/>
        </w:rPr>
        <w:t>2020</w:t>
      </w:r>
      <w:r>
        <w:rPr>
          <w:rFonts w:hint="eastAsia" w:ascii="仿宋_GB2312" w:cs="仿宋_GB2312"/>
          <w:sz w:val="32"/>
          <w:szCs w:val="32"/>
        </w:rPr>
        <w:t>〕48号《茂县“8.16”强降雨山洪泥石流灾害受灾群众救助安置方案》，明确了补助标准，补助对象。方案明确了对重建农户家庭人口3人包括以下补助5</w:t>
      </w:r>
      <w:r>
        <w:rPr>
          <w:rFonts w:ascii="仿宋_GB2312" w:cs="仿宋_GB2312"/>
          <w:sz w:val="32"/>
          <w:szCs w:val="32"/>
        </w:rPr>
        <w:t>万</w:t>
      </w:r>
      <w:r>
        <w:rPr>
          <w:rFonts w:hint="eastAsia" w:ascii="仿宋_GB2312" w:cs="仿宋_GB2312"/>
          <w:sz w:val="32"/>
          <w:szCs w:val="32"/>
        </w:rPr>
        <w:t>元，3人以上</w:t>
      </w:r>
      <w:r>
        <w:rPr>
          <w:rFonts w:ascii="仿宋_GB2312" w:cs="仿宋_GB2312"/>
          <w:sz w:val="32"/>
          <w:szCs w:val="32"/>
        </w:rPr>
        <w:t>5万</w:t>
      </w:r>
      <w:r>
        <w:rPr>
          <w:rFonts w:hint="eastAsia" w:ascii="仿宋_GB2312" w:cs="仿宋_GB2312"/>
          <w:sz w:val="32"/>
          <w:szCs w:val="32"/>
        </w:rPr>
        <w:t>元。</w:t>
      </w:r>
      <w:r>
        <w:rPr>
          <w:rFonts w:ascii="仿宋_GB2312" w:cs="仿宋_GB2312"/>
          <w:sz w:val="32"/>
          <w:szCs w:val="32"/>
        </w:rPr>
        <w:t>维修每户0.5万元。</w:t>
      </w:r>
    </w:p>
    <w:p>
      <w:pPr>
        <w:pStyle w:val="67"/>
        <w:widowControl/>
        <w:spacing w:before="0" w:beforeAutospacing="0" w:after="0" w:afterAutospacing="0" w:line="570" w:lineRule="exact"/>
        <w:ind w:firstLine="800" w:firstLineChars="250"/>
        <w:rPr>
          <w:rFonts w:ascii="宋体" w:hAnsi="宋体" w:cs="宋体"/>
          <w:color w:val="333333"/>
          <w:sz w:val="32"/>
          <w:shd w:val="clear" w:color="auto" w:fill="FFFFFF"/>
        </w:rPr>
      </w:pPr>
      <w:r>
        <w:rPr>
          <w:rFonts w:hint="eastAsia" w:ascii="宋体" w:hAnsi="宋体" w:cs="宋体"/>
          <w:color w:val="333333"/>
          <w:sz w:val="32"/>
          <w:shd w:val="clear" w:color="auto" w:fill="FFFFFF"/>
        </w:rPr>
        <w:t>各镇根据受灾实际情况，进村入户调查灾情，逐户排查，全面掌握受灾困难群众重建住房情况，在发放受灾群众重建住房补助时必须公平、公正、公开执行各项政策，严禁优亲厚友。各镇必须规范工作程序，明确纪律要求，建立责任制度，保证救灾补助合法合理使用，在救助过程中，严格遵循民主评议、登记造册、张榜公布、公开发放，村、镇层层审批的原则。</w:t>
      </w:r>
    </w:p>
    <w:p>
      <w:pPr>
        <w:pStyle w:val="67"/>
        <w:widowControl/>
        <w:spacing w:before="0" w:beforeAutospacing="0" w:after="0" w:afterAutospacing="0" w:line="570" w:lineRule="exact"/>
        <w:ind w:firstLine="642" w:firstLineChars="200"/>
        <w:rPr>
          <w:rFonts w:ascii="宋体" w:hAnsi="宋体" w:eastAsia="楷体" w:cs="宋体"/>
          <w:b/>
          <w:sz w:val="32"/>
        </w:rPr>
      </w:pPr>
      <w:r>
        <w:rPr>
          <w:rFonts w:hint="eastAsia" w:ascii="宋体" w:hAnsi="宋体" w:eastAsia="楷体" w:cs="宋体"/>
          <w:b/>
          <w:color w:val="333333"/>
          <w:sz w:val="32"/>
          <w:shd w:val="clear" w:color="auto" w:fill="FFFFFF"/>
        </w:rPr>
        <w:t>（三）项目奖绩效分析评价</w:t>
      </w:r>
    </w:p>
    <w:p>
      <w:pPr>
        <w:pStyle w:val="67"/>
        <w:widowControl/>
        <w:spacing w:before="0" w:beforeAutospacing="0" w:after="0" w:afterAutospacing="0" w:line="570" w:lineRule="exact"/>
        <w:rPr>
          <w:rFonts w:ascii="宋体" w:hAnsi="宋体" w:cs="宋体"/>
          <w:sz w:val="32"/>
        </w:rPr>
      </w:pPr>
      <w:r>
        <w:rPr>
          <w:rFonts w:hint="eastAsia" w:ascii="宋体" w:hAnsi="宋体" w:cs="宋体"/>
          <w:color w:val="333333"/>
          <w:sz w:val="32"/>
          <w:shd w:val="clear" w:color="auto" w:fill="FFFFFF"/>
        </w:rPr>
        <w:t>　　通过前期准备和周密地组织，全县各镇组织人员进村入户，逐户排查，全面掌握了受灾困难群众房屋受损情况，县城乡住房建设局聘请专业人员对受损房屋进行了危房评估，对受损房屋进行了建档，登记造册，切实做到底子清、情况明，增强救助的针对性和实效性，救灾补助通过“一卡通”系统及时发放</w:t>
      </w:r>
      <w:r>
        <w:rPr>
          <w:rFonts w:ascii="宋体" w:hAnsi="宋体" w:cs="宋体"/>
          <w:color w:val="333333"/>
          <w:sz w:val="32"/>
          <w:shd w:val="clear" w:color="auto" w:fill="FFFFFF"/>
        </w:rPr>
        <w:t>696万元</w:t>
      </w:r>
      <w:r>
        <w:rPr>
          <w:rFonts w:hint="eastAsia" w:ascii="宋体" w:hAnsi="宋体" w:cs="宋体"/>
          <w:color w:val="333333"/>
          <w:sz w:val="32"/>
          <w:shd w:val="clear" w:color="auto" w:fill="FFFFFF"/>
        </w:rPr>
        <w:t>，确保受灾重建群众，有地方住。</w:t>
      </w:r>
    </w:p>
    <w:p>
      <w:pPr>
        <w:pStyle w:val="67"/>
        <w:widowControl/>
        <w:spacing w:before="0" w:beforeAutospacing="0" w:after="0" w:afterAutospacing="0" w:line="570" w:lineRule="exact"/>
        <w:rPr>
          <w:rFonts w:ascii="黑体" w:hAnsi="黑体" w:cs="宋体"/>
          <w:sz w:val="32"/>
        </w:rPr>
      </w:pPr>
      <w:r>
        <w:rPr>
          <w:rFonts w:hint="eastAsia" w:ascii="黑体" w:hAnsi="黑体" w:cs="宋体"/>
          <w:color w:val="333333"/>
          <w:sz w:val="32"/>
          <w:shd w:val="clear" w:color="auto" w:fill="FFFFFF"/>
        </w:rPr>
        <w:t>　</w:t>
      </w:r>
      <w:r>
        <w:rPr>
          <w:rFonts w:hint="eastAsia" w:ascii="黑体" w:eastAsia="黑体" w:cs="宋体"/>
          <w:color w:val="333333"/>
          <w:sz w:val="32"/>
          <w:shd w:val="clear" w:color="auto" w:fill="FFFFFF"/>
        </w:rPr>
        <w:t>　三、综合评价结论</w:t>
      </w:r>
    </w:p>
    <w:p>
      <w:pPr>
        <w:pStyle w:val="67"/>
        <w:widowControl/>
        <w:spacing w:before="0" w:beforeAutospacing="0" w:after="0" w:afterAutospacing="0" w:line="570" w:lineRule="exact"/>
        <w:rPr>
          <w:rFonts w:ascii="宋体" w:hAnsi="宋体" w:cs="宋体"/>
          <w:sz w:val="32"/>
        </w:rPr>
      </w:pPr>
      <w:r>
        <w:rPr>
          <w:rFonts w:hint="eastAsia" w:ascii="宋体" w:hAnsi="宋体" w:cs="宋体"/>
          <w:color w:val="333333"/>
          <w:sz w:val="32"/>
          <w:shd w:val="clear" w:color="auto" w:fill="FFFFFF"/>
        </w:rPr>
        <w:t>　　救助对象精确细分，救助措施精准有效，救助过程精心组织，各镇层层审批、县财政、县应急管理局、县住建局形成合力，规范资金的使用范围，增强资金使用的实效性。按照公开、公平、公正的原则，确保了补助资金足额发放到住房受灾困难群众手中，确保了受灾困难群众生活正常有序地进行。</w:t>
      </w:r>
    </w:p>
    <w:p>
      <w:pPr>
        <w:pStyle w:val="67"/>
        <w:widowControl/>
        <w:spacing w:before="0" w:beforeAutospacing="0" w:after="0" w:afterAutospacing="0" w:line="570" w:lineRule="exact"/>
        <w:rPr>
          <w:rFonts w:ascii="宋体" w:hAnsi="宋体" w:cs="宋体"/>
          <w:sz w:val="32"/>
        </w:rPr>
      </w:pPr>
      <w:r>
        <w:rPr>
          <w:rFonts w:hint="eastAsia" w:ascii="宋体" w:hAnsi="宋体" w:cs="宋体"/>
          <w:color w:val="333333"/>
          <w:sz w:val="32"/>
          <w:shd w:val="clear" w:color="auto" w:fill="FFFFFF"/>
        </w:rPr>
        <w:t>　</w:t>
      </w:r>
      <w:r>
        <w:rPr>
          <w:rFonts w:hint="eastAsia" w:ascii="宋体" w:hAnsi="宋体" w:eastAsia="黑体" w:cs="宋体"/>
          <w:color w:val="333333"/>
          <w:sz w:val="32"/>
          <w:shd w:val="clear" w:color="auto" w:fill="FFFFFF"/>
        </w:rPr>
        <w:t>　四、绩效目标实现情况分析</w:t>
      </w:r>
    </w:p>
    <w:p>
      <w:pPr>
        <w:pStyle w:val="67"/>
        <w:widowControl/>
        <w:spacing w:before="0" w:beforeAutospacing="0" w:after="0" w:afterAutospacing="0" w:line="570" w:lineRule="exact"/>
        <w:ind w:firstLine="640"/>
        <w:rPr>
          <w:rFonts w:ascii="宋体" w:hAnsi="宋体" w:cs="宋体"/>
          <w:color w:val="333333"/>
          <w:sz w:val="32"/>
          <w:shd w:val="clear" w:color="auto" w:fill="FFFFFF"/>
        </w:rPr>
      </w:pPr>
      <w:r>
        <w:rPr>
          <w:rFonts w:hint="eastAsia" w:ascii="宋体" w:hAnsi="宋体" w:cs="宋体"/>
          <w:color w:val="333333"/>
          <w:sz w:val="32"/>
          <w:shd w:val="clear" w:color="auto" w:fill="FFFFFF"/>
        </w:rPr>
        <w:t>确保了受灾重建住房群众救助工作落到了实处，全县实现了需政府救助的受灾重建困难群众全覆盖，保障了群众基本生活，受灾困难群众生活正常有序地进行。</w:t>
      </w:r>
    </w:p>
    <w:p>
      <w:pPr>
        <w:pStyle w:val="67"/>
        <w:widowControl/>
        <w:numPr>
          <w:ilvl w:val="0"/>
          <w:numId w:val="3"/>
        </w:numPr>
        <w:spacing w:before="0" w:beforeAutospacing="0" w:after="0" w:afterAutospacing="0" w:line="570" w:lineRule="exact"/>
        <w:ind w:left="0" w:firstLine="640"/>
        <w:rPr>
          <w:rFonts w:ascii="宋体" w:hAnsi="宋体" w:eastAsia="黑体" w:cs="宋体"/>
          <w:color w:val="333333"/>
          <w:sz w:val="32"/>
          <w:shd w:val="clear" w:color="auto" w:fill="FFFFFF"/>
        </w:rPr>
      </w:pPr>
      <w:r>
        <w:rPr>
          <w:rFonts w:hint="eastAsia" w:ascii="宋体" w:hAnsi="宋体" w:eastAsia="黑体" w:cs="宋体"/>
          <w:color w:val="333333"/>
          <w:sz w:val="32"/>
          <w:shd w:val="clear" w:color="auto" w:fill="FFFFFF"/>
        </w:rPr>
        <w:t>存在的问题</w:t>
      </w:r>
      <w:r>
        <w:rPr>
          <w:rFonts w:ascii="宋体" w:hAnsi="宋体" w:eastAsia="黑体" w:cs="宋体"/>
          <w:color w:val="333333"/>
          <w:sz w:val="32"/>
          <w:shd w:val="clear" w:color="auto" w:fill="FFFFFF"/>
        </w:rPr>
        <w:t>整改措施</w:t>
      </w:r>
    </w:p>
    <w:p>
      <w:pPr>
        <w:pStyle w:val="67"/>
        <w:widowControl/>
        <w:spacing w:before="0" w:beforeAutospacing="0" w:after="0" w:afterAutospacing="0" w:line="570" w:lineRule="exact"/>
        <w:ind w:firstLine="640" w:firstLineChars="200"/>
        <w:rPr>
          <w:rFonts w:ascii="仿宋_GB2312" w:cs="仿宋_GB2312"/>
          <w:color w:val="333333"/>
          <w:sz w:val="32"/>
          <w:szCs w:val="32"/>
          <w:shd w:val="clear" w:color="auto" w:fill="FFFFFF"/>
        </w:rPr>
      </w:pPr>
      <w:r>
        <w:rPr>
          <w:rFonts w:ascii="仿宋_GB2312" w:cs="仿宋_GB2312"/>
          <w:color w:val="333333"/>
          <w:sz w:val="32"/>
          <w:szCs w:val="32"/>
          <w:shd w:val="clear" w:color="auto" w:fill="FFFFFF"/>
        </w:rPr>
        <w:t>无</w:t>
      </w:r>
      <w:r>
        <w:rPr>
          <w:rFonts w:hint="eastAsia" w:ascii="仿宋_GB2312" w:cs="仿宋_GB2312"/>
          <w:color w:val="333333"/>
          <w:sz w:val="32"/>
          <w:szCs w:val="32"/>
          <w:shd w:val="clear" w:color="auto" w:fill="FFFFFF"/>
        </w:rPr>
        <w:t>。</w:t>
      </w:r>
    </w:p>
    <w:p>
      <w:pPr>
        <w:pStyle w:val="67"/>
        <w:widowControl/>
        <w:spacing w:before="0" w:beforeAutospacing="0" w:after="0" w:afterAutospacing="0" w:line="570" w:lineRule="exact"/>
        <w:ind w:firstLine="649"/>
        <w:rPr>
          <w:rFonts w:ascii="宋体" w:hAnsi="宋体" w:eastAsia="黑体" w:cs="宋体"/>
          <w:color w:val="333333"/>
          <w:sz w:val="32"/>
          <w:shd w:val="clear" w:color="auto" w:fill="FFFFFF"/>
        </w:rPr>
      </w:pPr>
      <w:r>
        <w:rPr>
          <w:rFonts w:hint="eastAsia" w:ascii="宋体" w:hAnsi="宋体" w:eastAsia="黑体" w:cs="宋体"/>
          <w:color w:val="333333"/>
          <w:sz w:val="32"/>
          <w:shd w:val="clear" w:color="auto" w:fill="FFFFFF"/>
        </w:rPr>
        <w:t>五、绩效自评工作建议</w:t>
      </w:r>
    </w:p>
    <w:p>
      <w:pPr>
        <w:pStyle w:val="59"/>
        <w:ind w:firstLine="649"/>
        <w:rPr>
          <w:sz w:val="32"/>
          <w:szCs w:val="32"/>
        </w:rPr>
      </w:pPr>
      <w:r>
        <w:rPr>
          <w:sz w:val="32"/>
          <w:szCs w:val="32"/>
        </w:rPr>
        <w:t>无</w:t>
      </w:r>
    </w:p>
    <w:p>
      <w:pPr>
        <w:pStyle w:val="49"/>
        <w:spacing w:line="600" w:lineRule="exact"/>
        <w:jc w:val="center"/>
        <w:outlineLvl w:val="0"/>
        <w:rPr>
          <w:rFonts w:ascii="宋体" w:cs="宋体"/>
          <w:color w:val="333333"/>
          <w:sz w:val="32"/>
          <w:shd w:val="clear" w:color="auto" w:fill="FFFFFF"/>
        </w:rPr>
      </w:pPr>
      <w:r>
        <w:rPr>
          <w:rFonts w:hint="eastAsia" w:ascii="宋体" w:hAnsi="宋体" w:eastAsia="仿宋_GB2312" w:cs="宋体"/>
          <w:color w:val="333333"/>
          <w:sz w:val="32"/>
          <w:shd w:val="clear" w:color="auto" w:fill="FFFFFF"/>
        </w:rPr>
        <w:t>　　</w:t>
      </w:r>
      <w:r>
        <w:rPr>
          <w:rFonts w:hint="eastAsia" w:ascii="宋体" w:cs="宋体"/>
          <w:color w:val="333333"/>
          <w:sz w:val="32"/>
          <w:shd w:val="clear" w:color="auto" w:fill="FFFFFF"/>
        </w:rPr>
        <w:t xml:space="preserve">   </w:t>
      </w:r>
    </w:p>
    <w:p>
      <w:pPr>
        <w:pStyle w:val="78"/>
        <w:spacing w:line="596" w:lineRule="exact"/>
        <w:ind w:firstLine="1920" w:firstLineChars="600"/>
        <w:rPr>
          <w:rFonts w:ascii="宋体" w:hAnsi="宋体" w:eastAsia="仿宋_GB2312"/>
          <w:sz w:val="32"/>
          <w:szCs w:val="28"/>
        </w:rPr>
      </w:pPr>
      <w:r>
        <w:rPr>
          <w:rFonts w:hint="eastAsia" w:ascii="宋体"/>
          <w:color w:val="333333"/>
          <w:sz w:val="32"/>
          <w:szCs w:val="24"/>
          <w:shd w:val="clear" w:color="auto" w:fill="FFFFFF"/>
        </w:rPr>
        <w:t xml:space="preserve"> </w:t>
      </w:r>
      <w:r>
        <w:rPr>
          <w:rFonts w:hint="eastAsia" w:ascii="仿宋_GB2312" w:eastAsia="仿宋_GB2312"/>
          <w:sz w:val="32"/>
          <w:szCs w:val="32"/>
        </w:rPr>
        <w:t>（抗洪抢险应急物资及设备购置）</w:t>
      </w:r>
    </w:p>
    <w:p>
      <w:pPr>
        <w:pStyle w:val="49"/>
        <w:adjustRightInd w:val="0"/>
        <w:snapToGrid w:val="0"/>
        <w:spacing w:line="596" w:lineRule="exact"/>
        <w:ind w:firstLine="640" w:firstLineChars="200"/>
        <w:rPr>
          <w:sz w:val="32"/>
          <w:szCs w:val="32"/>
        </w:rPr>
      </w:pPr>
    </w:p>
    <w:p>
      <w:pPr>
        <w:pStyle w:val="49"/>
        <w:adjustRightInd w:val="0"/>
        <w:snapToGrid w:val="0"/>
        <w:spacing w:line="570" w:lineRule="exact"/>
        <w:ind w:firstLine="640" w:firstLineChars="200"/>
        <w:rPr>
          <w:rFonts w:ascii="宋体" w:hAnsi="宋体" w:eastAsia="黑体" w:cs="仿宋_GB2312"/>
          <w:sz w:val="32"/>
          <w:szCs w:val="32"/>
        </w:rPr>
      </w:pPr>
      <w:r>
        <w:rPr>
          <w:rFonts w:ascii="黑体" w:eastAsia="黑体"/>
          <w:sz w:val="32"/>
          <w:szCs w:val="32"/>
          <w:lang w:val="zh-CN"/>
        </w:rPr>
        <w:t>一、</w:t>
      </w:r>
      <w:r>
        <w:rPr>
          <w:rFonts w:hint="eastAsia" w:ascii="黑体" w:eastAsia="黑体"/>
          <w:sz w:val="32"/>
          <w:szCs w:val="32"/>
          <w:lang w:val="zh-CN"/>
        </w:rPr>
        <w:t>项目概况</w:t>
      </w:r>
      <w:r>
        <w:rPr>
          <w:rFonts w:hint="eastAsia" w:ascii="宋体" w:hAnsi="宋体" w:eastAsia="黑体" w:cs="仿宋_GB2312"/>
          <w:sz w:val="32"/>
          <w:szCs w:val="32"/>
        </w:rPr>
        <w:t xml:space="preserve"> </w:t>
      </w:r>
    </w:p>
    <w:p>
      <w:pPr>
        <w:pStyle w:val="49"/>
        <w:adjustRightInd w:val="0"/>
        <w:snapToGrid w:val="0"/>
        <w:spacing w:line="570" w:lineRule="exact"/>
        <w:ind w:firstLine="640" w:firstLineChars="200"/>
        <w:rPr>
          <w:rFonts w:ascii="仿宋_GB2312" w:eastAsia="仿宋_GB2312"/>
          <w:sz w:val="32"/>
          <w:szCs w:val="32"/>
        </w:rPr>
      </w:pPr>
      <w:r>
        <w:rPr>
          <w:rFonts w:hint="eastAsia" w:ascii="仿宋_GB2312" w:eastAsia="仿宋_GB2312" w:cs="仿宋_GB2312"/>
          <w:sz w:val="32"/>
          <w:szCs w:val="32"/>
        </w:rPr>
        <w:t>根据茂财建（2020）104号文件《关于下达</w:t>
      </w:r>
      <w:r>
        <w:rPr>
          <w:rFonts w:hint="eastAsia" w:ascii="仿宋_GB2312" w:eastAsia="仿宋_GB2312"/>
          <w:sz w:val="32"/>
          <w:szCs w:val="32"/>
        </w:rPr>
        <w:t>2020年中央自然灾害防治体系建设补助资金的通知 》，下达2020年中央自然灾害防治体系建设补助资金446万元，专项用于应急抢险救援装备配备和基层备灾能力建设。</w:t>
      </w:r>
    </w:p>
    <w:p>
      <w:pPr>
        <w:pStyle w:val="67"/>
        <w:widowControl/>
        <w:spacing w:before="0" w:beforeAutospacing="0" w:after="0" w:afterAutospacing="0" w:line="570" w:lineRule="exact"/>
        <w:rPr>
          <w:rFonts w:ascii="黑体" w:eastAsia="黑体" w:cs="黑体"/>
          <w:sz w:val="32"/>
          <w:szCs w:val="32"/>
        </w:rPr>
      </w:pPr>
      <w:r>
        <w:rPr>
          <w:rFonts w:hint="eastAsia" w:ascii="宋体" w:hAnsi="宋体" w:cs="宋体"/>
          <w:color w:val="333333"/>
          <w:sz w:val="32"/>
          <w:shd w:val="clear" w:color="auto" w:fill="FFFFFF"/>
        </w:rPr>
        <w:t>　</w:t>
      </w:r>
      <w:r>
        <w:rPr>
          <w:rFonts w:hint="eastAsia" w:ascii="宋体" w:hAnsi="宋体" w:eastAsia="黑体" w:cs="宋体"/>
          <w:color w:val="333333"/>
          <w:sz w:val="32"/>
          <w:shd w:val="clear" w:color="auto" w:fill="FFFFFF"/>
        </w:rPr>
        <w:t>　</w:t>
      </w:r>
      <w:r>
        <w:rPr>
          <w:rFonts w:hint="eastAsia" w:ascii="黑体" w:eastAsia="黑体" w:cs="黑体"/>
          <w:color w:val="333333"/>
          <w:sz w:val="32"/>
          <w:szCs w:val="32"/>
          <w:shd w:val="clear" w:color="auto" w:fill="FFFFFF"/>
        </w:rPr>
        <w:t>二、绩效自评工作开展情况</w:t>
      </w:r>
    </w:p>
    <w:p>
      <w:pPr>
        <w:pStyle w:val="67"/>
        <w:widowControl/>
        <w:spacing w:before="0" w:beforeAutospacing="0" w:after="0" w:afterAutospacing="0" w:line="570" w:lineRule="exact"/>
        <w:rPr>
          <w:rFonts w:ascii="仿宋_GB2312" w:cs="仿宋_GB2312"/>
          <w:sz w:val="32"/>
          <w:szCs w:val="32"/>
        </w:rPr>
      </w:pPr>
      <w:r>
        <w:rPr>
          <w:rFonts w:hint="eastAsia" w:ascii="宋体" w:hAnsi="宋体" w:eastAsia="楷体" w:cs="宋体"/>
          <w:b/>
          <w:color w:val="333333"/>
          <w:sz w:val="32"/>
          <w:shd w:val="clear" w:color="auto" w:fill="FFFFFF"/>
        </w:rPr>
        <w:t xml:space="preserve">　 </w:t>
      </w:r>
      <w:r>
        <w:rPr>
          <w:rFonts w:hint="eastAsia" w:ascii="楷体_GB2312" w:hAnsi="楷体_GB2312" w:eastAsia="楷体" w:cs="楷体_GB2312"/>
          <w:b/>
          <w:bCs/>
          <w:color w:val="333333"/>
          <w:sz w:val="32"/>
          <w:szCs w:val="32"/>
          <w:shd w:val="clear" w:color="auto" w:fill="FFFFFF"/>
        </w:rPr>
        <w:t>（一）项目准备</w:t>
      </w:r>
      <w:r>
        <w:rPr>
          <w:rFonts w:hint="eastAsia" w:ascii="仿宋_GB2312" w:cs="仿宋_GB2312"/>
          <w:sz w:val="32"/>
          <w:szCs w:val="32"/>
        </w:rPr>
        <w:t xml:space="preserve"> </w:t>
      </w:r>
    </w:p>
    <w:p>
      <w:pPr>
        <w:pStyle w:val="67"/>
        <w:widowControl/>
        <w:spacing w:before="0" w:beforeAutospacing="0" w:after="0" w:afterAutospacing="0" w:line="570" w:lineRule="exact"/>
        <w:ind w:firstLine="640" w:firstLineChars="200"/>
        <w:rPr>
          <w:rFonts w:ascii="宋体" w:hAnsi="宋体" w:cs="宋体"/>
          <w:sz w:val="32"/>
        </w:rPr>
      </w:pPr>
      <w:r>
        <w:rPr>
          <w:rFonts w:hint="eastAsia" w:ascii="仿宋_GB2312" w:cs="仿宋_GB2312"/>
          <w:sz w:val="32"/>
          <w:szCs w:val="32"/>
        </w:rPr>
        <w:t>结合单位自身项目实际，成立绩效评价工作小组，认真开展绩效自评，并出具自评报告。</w:t>
      </w:r>
    </w:p>
    <w:p>
      <w:pPr>
        <w:pStyle w:val="67"/>
        <w:widowControl/>
        <w:numPr>
          <w:ilvl w:val="0"/>
          <w:numId w:val="4"/>
        </w:numPr>
        <w:spacing w:before="0" w:beforeAutospacing="0" w:after="0" w:afterAutospacing="0" w:line="570" w:lineRule="exact"/>
        <w:rPr>
          <w:rFonts w:ascii="宋体" w:hAnsi="宋体" w:eastAsia="楷体" w:cs="宋体"/>
          <w:b/>
          <w:color w:val="333333"/>
          <w:sz w:val="32"/>
          <w:shd w:val="clear" w:color="auto" w:fill="FFFFFF"/>
        </w:rPr>
      </w:pPr>
      <w:r>
        <w:rPr>
          <w:rFonts w:hint="eastAsia" w:ascii="宋体" w:hAnsi="宋体" w:eastAsia="楷体" w:cs="宋体"/>
          <w:b/>
          <w:color w:val="333333"/>
          <w:sz w:val="32"/>
          <w:shd w:val="clear" w:color="auto" w:fill="FFFFFF"/>
        </w:rPr>
        <w:t>项目组织过程</w:t>
      </w:r>
    </w:p>
    <w:p>
      <w:pPr>
        <w:pStyle w:val="67"/>
        <w:widowControl/>
        <w:spacing w:before="0" w:beforeAutospacing="0" w:after="0" w:afterAutospacing="0" w:line="570" w:lineRule="exact"/>
        <w:ind w:firstLine="320" w:firstLineChars="100"/>
        <w:rPr>
          <w:rFonts w:ascii="宋体" w:hAnsi="宋体" w:eastAsia="楷体" w:cs="宋体"/>
          <w:b/>
          <w:color w:val="333333"/>
          <w:sz w:val="32"/>
          <w:shd w:val="clear" w:color="auto" w:fill="FFFFFF"/>
        </w:rPr>
      </w:pPr>
      <w:r>
        <w:rPr>
          <w:rFonts w:hint="eastAsia" w:ascii="仿宋_GB2312" w:cs="仿宋_GB2312"/>
          <w:sz w:val="32"/>
          <w:szCs w:val="32"/>
        </w:rPr>
        <w:t xml:space="preserve"> 本次的</w:t>
      </w:r>
      <w:r>
        <w:rPr>
          <w:rFonts w:hint="eastAsia" w:ascii="仿宋_GB2312"/>
          <w:sz w:val="32"/>
          <w:szCs w:val="32"/>
        </w:rPr>
        <w:t>抗洪抢险应急物资及设备</w:t>
      </w:r>
      <w:r>
        <w:rPr>
          <w:rFonts w:hint="eastAsia" w:ascii="仿宋_GB2312" w:cs="仿宋_GB2312"/>
          <w:sz w:val="32"/>
          <w:szCs w:val="32"/>
        </w:rPr>
        <w:t>采购方式均为公开招标，我局委托招标代理组织采购，发布招标文件，组织专家进行评标，中标单位物资交付时开展入库验收，并进行抽检验收，验收合格后，按照合同规定开展费用支付。。</w:t>
      </w:r>
    </w:p>
    <w:p>
      <w:pPr>
        <w:pStyle w:val="67"/>
        <w:widowControl/>
        <w:spacing w:before="0" w:beforeAutospacing="0" w:after="0" w:afterAutospacing="0" w:line="570" w:lineRule="exact"/>
        <w:ind w:firstLine="642" w:firstLineChars="200"/>
        <w:rPr>
          <w:rFonts w:ascii="宋体" w:hAnsi="宋体" w:eastAsia="楷体" w:cs="宋体"/>
          <w:b/>
          <w:sz w:val="32"/>
        </w:rPr>
      </w:pPr>
      <w:r>
        <w:rPr>
          <w:rFonts w:hint="eastAsia" w:ascii="宋体" w:hAnsi="宋体" w:eastAsia="楷体" w:cs="宋体"/>
          <w:b/>
          <w:color w:val="333333"/>
          <w:sz w:val="32"/>
          <w:shd w:val="clear" w:color="auto" w:fill="FFFFFF"/>
        </w:rPr>
        <w:t>（三）项目奖绩效分析评价</w:t>
      </w:r>
    </w:p>
    <w:p>
      <w:pPr>
        <w:pStyle w:val="67"/>
        <w:widowControl/>
        <w:spacing w:before="0" w:beforeAutospacing="0" w:after="0" w:afterAutospacing="0" w:line="570" w:lineRule="exact"/>
        <w:rPr>
          <w:rFonts w:ascii="宋体" w:hAnsi="宋体" w:cs="宋体"/>
          <w:sz w:val="32"/>
        </w:rPr>
      </w:pPr>
      <w:r>
        <w:rPr>
          <w:rFonts w:hint="eastAsia" w:ascii="宋体" w:hAnsi="宋体" w:cs="宋体"/>
          <w:color w:val="333333"/>
          <w:sz w:val="32"/>
          <w:shd w:val="clear" w:color="auto" w:fill="FFFFFF"/>
        </w:rPr>
        <w:t xml:space="preserve">　  </w:t>
      </w:r>
      <w:r>
        <w:rPr>
          <w:rFonts w:hint="eastAsia" w:ascii="仿宋_GB2312" w:cs="仿宋_GB2312"/>
          <w:sz w:val="32"/>
          <w:szCs w:val="32"/>
        </w:rPr>
        <w:t>结合单位自身项目实际，成立绩效评价工作小组，认真开展绩效自评，并出具自评报告</w:t>
      </w:r>
    </w:p>
    <w:p>
      <w:pPr>
        <w:pStyle w:val="67"/>
        <w:widowControl/>
        <w:numPr>
          <w:ilvl w:val="0"/>
          <w:numId w:val="2"/>
        </w:numPr>
        <w:spacing w:before="0" w:beforeAutospacing="0" w:after="0" w:afterAutospacing="0" w:line="590" w:lineRule="exact"/>
        <w:ind w:left="0" w:firstLine="720"/>
        <w:rPr>
          <w:rFonts w:ascii="黑体" w:eastAsia="黑体" w:cs="黑体"/>
          <w:sz w:val="32"/>
          <w:szCs w:val="32"/>
        </w:rPr>
      </w:pPr>
      <w:r>
        <w:rPr>
          <w:rFonts w:hint="eastAsia" w:ascii="黑体" w:eastAsia="黑体" w:cs="黑体"/>
          <w:sz w:val="32"/>
          <w:szCs w:val="32"/>
        </w:rPr>
        <w:t xml:space="preserve">综合评价结论 </w:t>
      </w:r>
    </w:p>
    <w:p>
      <w:pPr>
        <w:pStyle w:val="67"/>
        <w:widowControl/>
        <w:spacing w:before="0" w:beforeAutospacing="0" w:after="0" w:afterAutospacing="0" w:line="590" w:lineRule="exact"/>
        <w:ind w:firstLine="640" w:firstLineChars="200"/>
        <w:rPr>
          <w:rFonts w:ascii="仿宋_GB2312" w:cs="仿宋_GB2312"/>
          <w:sz w:val="32"/>
          <w:szCs w:val="32"/>
        </w:rPr>
      </w:pPr>
      <w:r>
        <w:rPr>
          <w:rFonts w:hint="eastAsia" w:ascii="仿宋_GB2312" w:cs="仿宋_GB2312"/>
          <w:sz w:val="32"/>
          <w:szCs w:val="32"/>
        </w:rPr>
        <w:t>采购程序符合规定，经费使用合理合规，及时补充</w:t>
      </w:r>
      <w:r>
        <w:rPr>
          <w:rFonts w:hint="eastAsia" w:ascii="仿宋_GB2312"/>
          <w:sz w:val="32"/>
          <w:szCs w:val="32"/>
        </w:rPr>
        <w:t>抗洪抢险应急物资</w:t>
      </w:r>
      <w:r>
        <w:rPr>
          <w:rFonts w:hint="eastAsia" w:ascii="仿宋_GB2312" w:cs="仿宋_GB2312"/>
          <w:sz w:val="32"/>
          <w:szCs w:val="32"/>
        </w:rPr>
        <w:t>防，满足当前汛期防汛抢险应急工作需要。</w:t>
      </w:r>
    </w:p>
    <w:p>
      <w:pPr>
        <w:pStyle w:val="67"/>
        <w:widowControl/>
        <w:numPr>
          <w:ilvl w:val="0"/>
          <w:numId w:val="2"/>
        </w:numPr>
        <w:spacing w:before="0" w:beforeAutospacing="0" w:after="0" w:afterAutospacing="0" w:line="590" w:lineRule="exact"/>
        <w:ind w:left="0" w:firstLine="720"/>
        <w:rPr>
          <w:rFonts w:ascii="黑体" w:eastAsia="黑体" w:cs="黑体"/>
          <w:sz w:val="32"/>
          <w:szCs w:val="32"/>
        </w:rPr>
      </w:pPr>
      <w:r>
        <w:rPr>
          <w:rFonts w:hint="eastAsia" w:ascii="黑体" w:eastAsia="黑体" w:cs="黑体"/>
          <w:sz w:val="32"/>
          <w:szCs w:val="32"/>
        </w:rPr>
        <w:t xml:space="preserve">绩效评价分析 </w:t>
      </w:r>
    </w:p>
    <w:p>
      <w:pPr>
        <w:pStyle w:val="67"/>
        <w:widowControl/>
        <w:numPr>
          <w:ilvl w:val="0"/>
          <w:numId w:val="5"/>
        </w:numPr>
        <w:spacing w:before="0" w:beforeAutospacing="0" w:after="0" w:afterAutospacing="0" w:line="590" w:lineRule="exact"/>
        <w:ind w:left="0" w:firstLine="640" w:firstLineChars="200"/>
        <w:rPr>
          <w:rFonts w:ascii="楷体_GB2312" w:eastAsia="楷体_GB2312" w:cs="楷体_GB2312"/>
          <w:sz w:val="32"/>
          <w:szCs w:val="32"/>
        </w:rPr>
      </w:pPr>
      <w:r>
        <w:rPr>
          <w:rFonts w:hint="eastAsia" w:ascii="楷体_GB2312" w:eastAsia="楷体_GB2312" w:cs="楷体_GB2312"/>
          <w:sz w:val="32"/>
          <w:szCs w:val="32"/>
        </w:rPr>
        <w:t xml:space="preserve">项目决策情况 </w:t>
      </w:r>
    </w:p>
    <w:p>
      <w:pPr>
        <w:pStyle w:val="67"/>
        <w:widowControl/>
        <w:spacing w:before="0" w:beforeAutospacing="0" w:after="0" w:afterAutospacing="0" w:line="590" w:lineRule="exact"/>
        <w:ind w:left="420" w:leftChars="200" w:firstLine="320" w:firstLineChars="100"/>
        <w:rPr>
          <w:rFonts w:ascii="仿宋_GB2312" w:cs="仿宋_GB2312"/>
          <w:sz w:val="32"/>
          <w:szCs w:val="32"/>
        </w:rPr>
      </w:pPr>
      <w:r>
        <w:rPr>
          <w:rFonts w:hint="eastAsia" w:ascii="仿宋_GB2312" w:cs="仿宋_GB2312"/>
          <w:sz w:val="32"/>
          <w:szCs w:val="32"/>
        </w:rPr>
        <w:t>为满当前我县汛期防汛抢险应急工作需要，我局按照公开招标方式采购了</w:t>
      </w:r>
      <w:r>
        <w:rPr>
          <w:rFonts w:hint="eastAsia" w:ascii="仿宋_GB2312"/>
          <w:sz w:val="32"/>
          <w:szCs w:val="32"/>
        </w:rPr>
        <w:t>抗洪抢险应急物资及设备</w:t>
      </w:r>
      <w:r>
        <w:rPr>
          <w:rFonts w:hint="eastAsia" w:ascii="仿宋_GB2312" w:cs="仿宋_GB2312"/>
          <w:sz w:val="32"/>
          <w:szCs w:val="32"/>
        </w:rPr>
        <w:t>。</w:t>
      </w:r>
    </w:p>
    <w:p>
      <w:pPr>
        <w:pStyle w:val="67"/>
        <w:widowControl/>
        <w:numPr>
          <w:ilvl w:val="0"/>
          <w:numId w:val="5"/>
        </w:numPr>
        <w:spacing w:before="0" w:beforeAutospacing="0" w:after="0" w:afterAutospacing="0" w:line="590" w:lineRule="exact"/>
        <w:ind w:left="0" w:firstLine="640" w:firstLineChars="200"/>
        <w:rPr>
          <w:rFonts w:ascii="楷体" w:eastAsia="楷体" w:cs="楷体"/>
          <w:sz w:val="32"/>
          <w:szCs w:val="32"/>
        </w:rPr>
      </w:pPr>
      <w:r>
        <w:rPr>
          <w:rFonts w:hint="eastAsia" w:ascii="楷体" w:eastAsia="楷体" w:cs="楷体"/>
          <w:sz w:val="32"/>
          <w:szCs w:val="32"/>
        </w:rPr>
        <w:t xml:space="preserve">项目管理情况 </w:t>
      </w:r>
    </w:p>
    <w:p>
      <w:pPr>
        <w:pStyle w:val="67"/>
        <w:widowControl/>
        <w:spacing w:before="0" w:beforeAutospacing="0" w:after="0" w:afterAutospacing="0" w:line="590" w:lineRule="exact"/>
        <w:ind w:left="420" w:leftChars="200" w:firstLine="640" w:firstLineChars="200"/>
        <w:rPr>
          <w:rFonts w:ascii="仿宋_GB2312" w:cs="仿宋_GB2312"/>
          <w:sz w:val="32"/>
          <w:szCs w:val="32"/>
        </w:rPr>
      </w:pPr>
      <w:r>
        <w:rPr>
          <w:rFonts w:hint="eastAsia" w:ascii="仿宋_GB2312"/>
          <w:sz w:val="32"/>
          <w:szCs w:val="32"/>
        </w:rPr>
        <w:t>抗洪抢险应急物资及设备</w:t>
      </w:r>
      <w:r>
        <w:rPr>
          <w:rFonts w:hint="eastAsia" w:ascii="仿宋_GB2312" w:cs="仿宋_GB2312"/>
          <w:sz w:val="32"/>
          <w:szCs w:val="32"/>
        </w:rPr>
        <w:t xml:space="preserve">采购方式为公开招标，我局严格按照公开招标方式要求委托招标代理组织采购，发布招标文件，组织专家进行评标，公示中标通知，并对全过程进行了监督。对入库的采购物资进行了入库验收，并现场进行检验，验收合格后，再按照合同规定费用支付。  </w:t>
      </w:r>
    </w:p>
    <w:p>
      <w:pPr>
        <w:pStyle w:val="49"/>
        <w:numPr>
          <w:ilvl w:val="0"/>
          <w:numId w:val="5"/>
        </w:numPr>
        <w:spacing w:line="598" w:lineRule="exact"/>
        <w:ind w:left="0" w:firstLine="640" w:firstLineChars="200"/>
        <w:rPr>
          <w:rFonts w:ascii="楷体" w:eastAsia="楷体" w:cs="楷体"/>
          <w:sz w:val="32"/>
          <w:szCs w:val="32"/>
        </w:rPr>
      </w:pPr>
      <w:r>
        <w:rPr>
          <w:rFonts w:hint="eastAsia" w:ascii="楷体" w:eastAsia="楷体" w:cs="楷体"/>
          <w:sz w:val="32"/>
          <w:szCs w:val="32"/>
        </w:rPr>
        <w:t xml:space="preserve">项目效益情况 </w:t>
      </w:r>
    </w:p>
    <w:p>
      <w:pPr>
        <w:pStyle w:val="49"/>
        <w:spacing w:line="598" w:lineRule="exact"/>
        <w:ind w:left="420" w:leftChars="200" w:firstLine="320" w:firstLineChars="100"/>
        <w:rPr>
          <w:rFonts w:ascii="仿宋_GB2312" w:eastAsia="仿宋_GB2312" w:cs="仿宋_GB2312"/>
          <w:sz w:val="32"/>
          <w:szCs w:val="32"/>
        </w:rPr>
      </w:pPr>
      <w:r>
        <w:rPr>
          <w:rFonts w:hint="eastAsia" w:ascii="仿宋_GB2312" w:eastAsia="仿宋_GB2312" w:cs="仿宋_GB2312"/>
          <w:sz w:val="32"/>
          <w:szCs w:val="32"/>
        </w:rPr>
        <w:t>增加了各</w:t>
      </w:r>
      <w:r>
        <w:rPr>
          <w:rFonts w:hint="eastAsia" w:ascii="仿宋_GB2312" w:hAnsi="仿宋_GB2312" w:cs="仿宋_GB2312"/>
          <w:sz w:val="32"/>
          <w:szCs w:val="32"/>
        </w:rPr>
        <w:t>县</w:t>
      </w:r>
      <w:r>
        <w:rPr>
          <w:rFonts w:hint="eastAsia" w:ascii="仿宋_GB2312" w:eastAsia="仿宋_GB2312" w:cs="仿宋_GB2312"/>
          <w:sz w:val="32"/>
          <w:szCs w:val="32"/>
        </w:rPr>
        <w:t>防汛</w:t>
      </w:r>
      <w:r>
        <w:rPr>
          <w:rFonts w:hint="eastAsia" w:ascii="仿宋_GB2312" w:hAnsi="仿宋_GB2312" w:cs="仿宋_GB2312"/>
          <w:sz w:val="32"/>
          <w:szCs w:val="32"/>
        </w:rPr>
        <w:t>应急</w:t>
      </w:r>
      <w:r>
        <w:rPr>
          <w:rFonts w:hint="eastAsia" w:ascii="仿宋_GB2312" w:eastAsia="仿宋_GB2312" w:cs="仿宋_GB2312"/>
          <w:sz w:val="32"/>
          <w:szCs w:val="32"/>
        </w:rPr>
        <w:t xml:space="preserve">物资存储规模，有力支撑和保障了抗洪 抢险和防汛救灾的需要。 </w:t>
      </w:r>
    </w:p>
    <w:p>
      <w:pPr>
        <w:pStyle w:val="49"/>
        <w:spacing w:line="598" w:lineRule="exact"/>
        <w:ind w:firstLine="960" w:firstLineChars="300"/>
        <w:rPr>
          <w:rFonts w:ascii="黑体" w:eastAsia="黑体" w:cs="黑体"/>
          <w:sz w:val="32"/>
          <w:szCs w:val="32"/>
        </w:rPr>
      </w:pPr>
      <w:r>
        <w:rPr>
          <w:rFonts w:hint="eastAsia" w:ascii="黑体" w:eastAsia="黑体" w:cs="黑体"/>
          <w:sz w:val="32"/>
          <w:szCs w:val="32"/>
        </w:rPr>
        <w:t xml:space="preserve">五、存在主要问题 </w:t>
      </w:r>
    </w:p>
    <w:p>
      <w:pPr>
        <w:pStyle w:val="49"/>
        <w:spacing w:line="598" w:lineRule="exact"/>
        <w:ind w:firstLine="960" w:firstLineChars="300"/>
        <w:rPr>
          <w:rFonts w:ascii="仿宋_GB2312" w:eastAsia="仿宋_GB2312" w:cs="仿宋_GB2312"/>
          <w:sz w:val="32"/>
          <w:szCs w:val="32"/>
        </w:rPr>
      </w:pPr>
      <w:r>
        <w:rPr>
          <w:rFonts w:hint="eastAsia" w:ascii="仿宋_GB2312" w:eastAsia="仿宋_GB2312" w:cs="仿宋_GB2312"/>
          <w:sz w:val="32"/>
          <w:szCs w:val="32"/>
        </w:rPr>
        <w:t xml:space="preserve">无 </w:t>
      </w:r>
    </w:p>
    <w:p>
      <w:pPr>
        <w:pStyle w:val="49"/>
        <w:spacing w:line="598" w:lineRule="exact"/>
        <w:ind w:left="720" w:firstLine="320" w:firstLineChars="100"/>
        <w:rPr>
          <w:rFonts w:ascii="黑体" w:eastAsia="黑体" w:cs="黑体"/>
          <w:sz w:val="32"/>
          <w:szCs w:val="32"/>
        </w:rPr>
      </w:pPr>
      <w:r>
        <w:rPr>
          <w:rFonts w:hint="eastAsia" w:ascii="黑体" w:eastAsia="黑体" w:cs="黑体"/>
          <w:sz w:val="32"/>
          <w:szCs w:val="32"/>
        </w:rPr>
        <w:t xml:space="preserve">六、相关措施建议 </w:t>
      </w:r>
    </w:p>
    <w:p>
      <w:pPr>
        <w:pStyle w:val="49"/>
        <w:spacing w:line="598" w:lineRule="exact"/>
        <w:ind w:firstLine="960" w:firstLineChars="300"/>
        <w:rPr>
          <w:rFonts w:ascii="仿宋_GB2312" w:eastAsia="仿宋_GB2312" w:cs="仿宋_GB2312"/>
          <w:sz w:val="32"/>
          <w:szCs w:val="32"/>
        </w:rPr>
      </w:pPr>
      <w:r>
        <w:rPr>
          <w:rFonts w:hint="eastAsia" w:ascii="仿宋_GB2312" w:eastAsia="仿宋_GB2312" w:cs="仿宋_GB2312"/>
          <w:sz w:val="32"/>
          <w:szCs w:val="32"/>
        </w:rPr>
        <w:t xml:space="preserve">无 </w:t>
      </w:r>
    </w:p>
    <w:p>
      <w:pPr>
        <w:pStyle w:val="49"/>
        <w:autoSpaceDN w:val="0"/>
        <w:snapToGrid w:val="0"/>
        <w:spacing w:line="560" w:lineRule="exact"/>
        <w:ind w:firstLine="640" w:firstLineChars="200"/>
        <w:outlineLvl w:val="0"/>
        <w:rPr>
          <w:rFonts w:ascii="仿宋_GB2312" w:eastAsia="仿宋_GB2312" w:cs="仿宋_GB2312"/>
          <w:sz w:val="32"/>
          <w:szCs w:val="32"/>
        </w:rPr>
      </w:pPr>
    </w:p>
    <w:p>
      <w:pPr>
        <w:pStyle w:val="49"/>
        <w:autoSpaceDN w:val="0"/>
        <w:snapToGrid w:val="0"/>
        <w:spacing w:line="560" w:lineRule="exact"/>
        <w:ind w:firstLine="640" w:firstLineChars="200"/>
        <w:outlineLvl w:val="0"/>
        <w:rPr>
          <w:rFonts w:eastAsia="仿宋"/>
          <w:b/>
          <w:bCs/>
          <w:color w:val="000000"/>
          <w:sz w:val="32"/>
          <w:szCs w:val="32"/>
        </w:rPr>
      </w:pPr>
      <w:r>
        <w:rPr>
          <w:rFonts w:ascii="仿宋_GB2312" w:eastAsia="仿宋_GB2312" w:cs="仿宋_GB2312"/>
          <w:sz w:val="32"/>
          <w:szCs w:val="32"/>
        </w:rPr>
        <w:t xml:space="preserve"> </w:t>
      </w:r>
      <w:r>
        <w:rPr>
          <w:rFonts w:hint="eastAsia" w:eastAsia="仿宋"/>
          <w:b/>
          <w:bCs/>
          <w:color w:val="000000"/>
          <w:sz w:val="32"/>
          <w:szCs w:val="32"/>
        </w:rPr>
        <w:t>（自然灾害综合风险普查经费政策性支出）</w:t>
      </w:r>
    </w:p>
    <w:p>
      <w:pPr>
        <w:pStyle w:val="49"/>
        <w:spacing w:line="560" w:lineRule="exact"/>
      </w:pPr>
    </w:p>
    <w:p>
      <w:pPr>
        <w:pStyle w:val="49"/>
        <w:numPr>
          <w:ilvl w:val="0"/>
          <w:numId w:val="6"/>
        </w:numPr>
        <w:tabs>
          <w:tab w:val="left" w:pos="3885"/>
        </w:tabs>
        <w:snapToGrid w:val="0"/>
        <w:spacing w:line="580" w:lineRule="exact"/>
        <w:ind w:left="0" w:firstLine="640" w:firstLineChars="200"/>
        <w:jc w:val="left"/>
        <w:rPr>
          <w:rFonts w:eastAsia="黑体"/>
          <w:sz w:val="32"/>
          <w:szCs w:val="32"/>
        </w:rPr>
      </w:pPr>
      <w:r>
        <w:rPr>
          <w:rFonts w:hint="eastAsia" w:eastAsia="黑体"/>
          <w:sz w:val="32"/>
          <w:szCs w:val="32"/>
        </w:rPr>
        <w:t>财政政策</w:t>
      </w:r>
      <w:r>
        <w:rPr>
          <w:rFonts w:eastAsia="黑体"/>
          <w:sz w:val="32"/>
          <w:szCs w:val="32"/>
        </w:rPr>
        <w:t>基本情况</w:t>
      </w:r>
      <w:r>
        <w:rPr>
          <w:rFonts w:eastAsia="黑体"/>
          <w:sz w:val="32"/>
          <w:szCs w:val="32"/>
        </w:rPr>
        <w:tab/>
      </w:r>
    </w:p>
    <w:p>
      <w:pPr>
        <w:pStyle w:val="79"/>
        <w:autoSpaceDN w:val="0"/>
        <w:spacing w:line="560" w:lineRule="exact"/>
        <w:jc w:val="left"/>
      </w:pPr>
      <w:r>
        <w:rPr>
          <w:rFonts w:hint="eastAsia" w:ascii="Times New Roman" w:hAnsi="Times New Roman" w:eastAsia="仿宋"/>
          <w:color w:val="000000"/>
          <w:szCs w:val="32"/>
        </w:rPr>
        <w:t>根据阿州财建（2021）164号中央下达茂县</w:t>
      </w:r>
      <w:r>
        <w:rPr>
          <w:rFonts w:hint="eastAsia" w:ascii="Times New Roman" w:hAnsi="Times New Roman" w:eastAsia="仿宋" w:cs="Times New Roman"/>
          <w:color w:val="000000"/>
          <w:szCs w:val="32"/>
        </w:rPr>
        <w:t>2021年度自然灾害防治体系建设补助资金（</w:t>
      </w:r>
      <w:r>
        <w:rPr>
          <w:rFonts w:hint="eastAsia" w:ascii="Times New Roman" w:hAnsi="Times New Roman" w:eastAsia="仿宋"/>
          <w:color w:val="000000"/>
          <w:szCs w:val="32"/>
        </w:rPr>
        <w:t>全国自然灾害综合风险普查经费</w:t>
      </w:r>
      <w:r>
        <w:rPr>
          <w:rFonts w:hint="eastAsia" w:ascii="Times New Roman" w:hAnsi="Times New Roman" w:eastAsia="仿宋" w:cs="Times New Roman"/>
          <w:color w:val="000000"/>
          <w:szCs w:val="32"/>
        </w:rPr>
        <w:t>）</w:t>
      </w:r>
      <w:r>
        <w:rPr>
          <w:rFonts w:hint="eastAsia" w:ascii="Times New Roman" w:hAnsi="Times New Roman" w:eastAsia="仿宋"/>
          <w:color w:val="000000"/>
          <w:szCs w:val="32"/>
        </w:rPr>
        <w:t>28万元。2021年本级财政安排130万元。</w:t>
      </w:r>
    </w:p>
    <w:p>
      <w:pPr>
        <w:pStyle w:val="49"/>
        <w:snapToGrid w:val="0"/>
        <w:spacing w:line="580" w:lineRule="exact"/>
        <w:ind w:firstLine="640" w:firstLineChars="200"/>
        <w:rPr>
          <w:rFonts w:eastAsia="黑体"/>
          <w:sz w:val="32"/>
          <w:szCs w:val="32"/>
        </w:rPr>
      </w:pPr>
      <w:r>
        <w:rPr>
          <w:rFonts w:eastAsia="黑体"/>
          <w:sz w:val="32"/>
          <w:szCs w:val="32"/>
        </w:rPr>
        <w:t>二、评价工作</w:t>
      </w:r>
      <w:r>
        <w:rPr>
          <w:rFonts w:hint="eastAsia" w:eastAsia="黑体"/>
          <w:sz w:val="32"/>
          <w:szCs w:val="32"/>
        </w:rPr>
        <w:t>开展</w:t>
      </w:r>
      <w:r>
        <w:rPr>
          <w:rFonts w:eastAsia="黑体"/>
          <w:sz w:val="32"/>
          <w:szCs w:val="32"/>
        </w:rPr>
        <w:t>情况</w:t>
      </w:r>
    </w:p>
    <w:p>
      <w:pPr>
        <w:pStyle w:val="49"/>
        <w:snapToGrid w:val="0"/>
        <w:spacing w:line="580" w:lineRule="exact"/>
        <w:ind w:firstLine="642" w:firstLineChars="200"/>
        <w:rPr>
          <w:rFonts w:ascii="楷体_GB2312" w:eastAsia="楷体_GB2312"/>
          <w:b/>
          <w:sz w:val="32"/>
          <w:szCs w:val="32"/>
        </w:rPr>
      </w:pPr>
      <w:r>
        <w:rPr>
          <w:rFonts w:hint="eastAsia" w:ascii="楷体_GB2312" w:eastAsia="楷体_GB2312"/>
          <w:b/>
          <w:sz w:val="32"/>
          <w:szCs w:val="32"/>
        </w:rPr>
        <w:t>（一）现场评价抽样选点情况。</w:t>
      </w:r>
    </w:p>
    <w:p>
      <w:pPr>
        <w:pStyle w:val="49"/>
        <w:autoSpaceDN w:val="0"/>
        <w:snapToGrid w:val="0"/>
        <w:spacing w:line="560" w:lineRule="exact"/>
        <w:ind w:firstLine="640"/>
        <w:outlineLvl w:val="0"/>
        <w:rPr>
          <w:rFonts w:eastAsia="楷体_GB2312"/>
        </w:rPr>
      </w:pPr>
      <w:r>
        <w:rPr>
          <w:rFonts w:hint="eastAsia" w:ascii="仿宋_GB2312" w:eastAsia="仿宋_GB2312" w:cs="仿宋_GB2312"/>
          <w:sz w:val="32"/>
          <w:szCs w:val="32"/>
        </w:rPr>
        <w:t>结合单位自身项目实际，成立绩效评价工作小组，认真开展绩效自评，并出具自评报告。</w:t>
      </w:r>
      <w:r>
        <w:rPr>
          <w:rFonts w:hint="eastAsia" w:eastAsia="仿宋"/>
          <w:color w:val="000000"/>
          <w:sz w:val="32"/>
          <w:szCs w:val="32"/>
        </w:rPr>
        <w:t>2021年度中央自然灾害防治体系建设补助资金（全国自然灾害综合风险普查经费）28万元已全部投入自然灾害综合风险普查服务采购，购买三方公司技术、宣传培训、成果汇集等服务。本级财政安排130万元，已经支出23.44万元。</w:t>
      </w:r>
    </w:p>
    <w:p>
      <w:pPr>
        <w:pStyle w:val="49"/>
        <w:numPr>
          <w:ilvl w:val="0"/>
          <w:numId w:val="7"/>
        </w:numPr>
        <w:snapToGrid w:val="0"/>
        <w:spacing w:line="580" w:lineRule="exact"/>
        <w:ind w:left="0" w:firstLine="642" w:firstLineChars="200"/>
        <w:rPr>
          <w:rFonts w:ascii="楷体_GB2312" w:eastAsia="楷体_GB2312"/>
          <w:b/>
          <w:sz w:val="32"/>
          <w:szCs w:val="32"/>
        </w:rPr>
      </w:pPr>
      <w:r>
        <w:rPr>
          <w:rFonts w:hint="eastAsia" w:ascii="楷体_GB2312" w:eastAsia="楷体_GB2312"/>
          <w:b/>
          <w:sz w:val="32"/>
          <w:szCs w:val="32"/>
        </w:rPr>
        <w:t>政策总体评价。</w:t>
      </w:r>
    </w:p>
    <w:p>
      <w:pPr>
        <w:pStyle w:val="49"/>
        <w:spacing w:line="560" w:lineRule="exact"/>
        <w:ind w:firstLine="640" w:firstLineChars="200"/>
        <w:outlineLvl w:val="0"/>
      </w:pPr>
      <w:r>
        <w:rPr>
          <w:rFonts w:hint="eastAsia" w:eastAsia="仿宋"/>
          <w:color w:val="000000"/>
          <w:sz w:val="32"/>
          <w:szCs w:val="32"/>
        </w:rPr>
        <w:t>全年总目标51.44万元，截至2021年12月31日，已完成拨付中央资金28万元，县级资金23.44万元。</w:t>
      </w:r>
      <w:r>
        <w:rPr>
          <w:rFonts w:hint="eastAsia" w:ascii="仿宋" w:eastAsia="仿宋" w:cs="仿宋"/>
          <w:color w:val="000000"/>
          <w:sz w:val="32"/>
          <w:szCs w:val="32"/>
        </w:rPr>
        <w:t>已完成全县普查对象清查工作，摸清普查对象数量、分布和规模，准确界定普查对象的普查方式及填报单位。开展全面调查工作，汇总形成调查数据。利用本地区主流媒体配合并落实省、州宣传的具体内容。针对调查对象和内容，开展调查数据质检核查工作。</w:t>
      </w:r>
    </w:p>
    <w:p>
      <w:pPr>
        <w:pStyle w:val="49"/>
        <w:snapToGrid w:val="0"/>
        <w:spacing w:line="580" w:lineRule="exact"/>
        <w:ind w:firstLine="640" w:firstLineChars="200"/>
        <w:rPr>
          <w:rFonts w:eastAsia="黑体"/>
          <w:sz w:val="32"/>
          <w:szCs w:val="32"/>
        </w:rPr>
      </w:pPr>
      <w:r>
        <w:rPr>
          <w:rFonts w:eastAsia="黑体"/>
          <w:sz w:val="32"/>
          <w:szCs w:val="32"/>
        </w:rPr>
        <w:t>三、</w:t>
      </w:r>
      <w:r>
        <w:rPr>
          <w:rFonts w:hint="eastAsia" w:eastAsia="黑体"/>
          <w:sz w:val="32"/>
          <w:szCs w:val="32"/>
        </w:rPr>
        <w:t>政策绩效</w:t>
      </w:r>
      <w:r>
        <w:rPr>
          <w:rFonts w:eastAsia="黑体"/>
          <w:sz w:val="32"/>
          <w:szCs w:val="32"/>
        </w:rPr>
        <w:t>情况</w:t>
      </w:r>
    </w:p>
    <w:p>
      <w:pPr>
        <w:pStyle w:val="49"/>
        <w:snapToGrid w:val="0"/>
        <w:spacing w:line="580" w:lineRule="exact"/>
        <w:ind w:firstLine="642" w:firstLineChars="200"/>
        <w:rPr>
          <w:rFonts w:ascii="楷体_GB2312" w:eastAsia="楷体_GB2312"/>
          <w:b/>
          <w:sz w:val="32"/>
          <w:szCs w:val="32"/>
        </w:rPr>
      </w:pPr>
      <w:r>
        <w:rPr>
          <w:rFonts w:ascii="楷体_GB2312" w:eastAsia="楷体_GB2312"/>
          <w:b/>
          <w:sz w:val="32"/>
          <w:szCs w:val="32"/>
        </w:rPr>
        <w:t>（一）</w:t>
      </w:r>
      <w:r>
        <w:rPr>
          <w:rFonts w:hint="eastAsia" w:ascii="楷体_GB2312" w:eastAsia="楷体_GB2312"/>
          <w:b/>
          <w:sz w:val="32"/>
          <w:szCs w:val="32"/>
        </w:rPr>
        <w:t>政策设计。</w:t>
      </w:r>
    </w:p>
    <w:p>
      <w:pPr>
        <w:pStyle w:val="49"/>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1.目标科学</w:t>
      </w:r>
    </w:p>
    <w:p>
      <w:pPr>
        <w:pStyle w:val="49"/>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政策目标明确合理，支持范围与政策规划匹配，目标设定与客观需求是否一致。</w:t>
      </w:r>
    </w:p>
    <w:p>
      <w:pPr>
        <w:pStyle w:val="49"/>
        <w:numPr>
          <w:ilvl w:val="0"/>
          <w:numId w:val="8"/>
        </w:numPr>
        <w:snapToGrid w:val="0"/>
        <w:spacing w:line="580" w:lineRule="exact"/>
        <w:ind w:left="0" w:firstLine="640" w:firstLineChars="200"/>
        <w:rPr>
          <w:rFonts w:ascii="仿宋_GB2312" w:eastAsia="仿宋_GB2312" w:cs="仿宋_GB2312"/>
          <w:sz w:val="32"/>
          <w:szCs w:val="32"/>
        </w:rPr>
      </w:pPr>
      <w:r>
        <w:rPr>
          <w:rFonts w:hint="eastAsia" w:ascii="仿宋_GB2312" w:eastAsia="仿宋_GB2312" w:cs="仿宋_GB2312"/>
          <w:sz w:val="32"/>
          <w:szCs w:val="32"/>
        </w:rPr>
        <w:t>项目协同</w:t>
      </w:r>
    </w:p>
    <w:p>
      <w:pPr>
        <w:pStyle w:val="49"/>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政策专项间制度机制顶层设计不存在缺陷或缺失，统筹协调、互为补充，无交叉重复的情况。</w:t>
      </w:r>
    </w:p>
    <w:p>
      <w:pPr>
        <w:pStyle w:val="49"/>
        <w:numPr>
          <w:ilvl w:val="0"/>
          <w:numId w:val="8"/>
        </w:numPr>
        <w:snapToGrid w:val="0"/>
        <w:spacing w:line="580" w:lineRule="exact"/>
        <w:ind w:left="0" w:firstLine="640" w:firstLineChars="200"/>
        <w:rPr>
          <w:rFonts w:ascii="仿宋_GB2312" w:eastAsia="仿宋_GB2312" w:cs="仿宋_GB2312"/>
          <w:sz w:val="32"/>
          <w:szCs w:val="32"/>
        </w:rPr>
      </w:pPr>
      <w:r>
        <w:rPr>
          <w:rFonts w:hint="eastAsia" w:ascii="仿宋_GB2312" w:eastAsia="仿宋_GB2312" w:cs="仿宋_GB2312"/>
          <w:sz w:val="32"/>
          <w:szCs w:val="32"/>
        </w:rPr>
        <w:t>对象全面</w:t>
      </w:r>
    </w:p>
    <w:p>
      <w:pPr>
        <w:pStyle w:val="49"/>
        <w:snapToGrid w:val="0"/>
        <w:spacing w:line="580" w:lineRule="exact"/>
        <w:ind w:left="420" w:leftChars="200" w:firstLine="320" w:firstLineChars="100"/>
        <w:rPr>
          <w:rFonts w:ascii="仿宋_GB2312" w:eastAsia="仿宋_GB2312" w:cs="仿宋_GB2312"/>
          <w:sz w:val="32"/>
          <w:szCs w:val="32"/>
        </w:rPr>
      </w:pPr>
      <w:r>
        <w:rPr>
          <w:rFonts w:hint="eastAsia" w:ascii="仿宋_GB2312" w:eastAsia="仿宋_GB2312" w:cs="仿宋_GB2312"/>
          <w:sz w:val="32"/>
          <w:szCs w:val="32"/>
        </w:rPr>
        <w:t>政策实施对象是否覆盖全面。</w:t>
      </w:r>
    </w:p>
    <w:p>
      <w:pPr>
        <w:pStyle w:val="49"/>
        <w:numPr>
          <w:ilvl w:val="0"/>
          <w:numId w:val="8"/>
        </w:numPr>
        <w:snapToGrid w:val="0"/>
        <w:spacing w:line="580" w:lineRule="exact"/>
        <w:ind w:left="0" w:firstLine="640" w:firstLineChars="200"/>
        <w:rPr>
          <w:rFonts w:ascii="仿宋_GB2312" w:eastAsia="仿宋_GB2312" w:cs="仿宋_GB2312"/>
          <w:sz w:val="32"/>
          <w:szCs w:val="32"/>
        </w:rPr>
      </w:pPr>
      <w:r>
        <w:rPr>
          <w:rFonts w:hint="eastAsia" w:ascii="仿宋_GB2312" w:eastAsia="仿宋_GB2312" w:cs="仿宋_GB2312"/>
          <w:sz w:val="32"/>
          <w:szCs w:val="32"/>
        </w:rPr>
        <w:t>标准合理</w:t>
      </w:r>
    </w:p>
    <w:p>
      <w:pPr>
        <w:pStyle w:val="49"/>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政策标准制定合理协调，考虑对象、区域、环境、经济发展等因素设定政策标准。</w:t>
      </w:r>
    </w:p>
    <w:p>
      <w:pPr>
        <w:pStyle w:val="49"/>
        <w:snapToGrid w:val="0"/>
        <w:spacing w:line="580" w:lineRule="exact"/>
        <w:ind w:firstLine="642" w:firstLineChars="200"/>
        <w:rPr>
          <w:rFonts w:ascii="楷体_GB2312" w:eastAsia="楷体_GB2312"/>
          <w:b/>
          <w:sz w:val="32"/>
          <w:szCs w:val="32"/>
        </w:rPr>
      </w:pPr>
      <w:r>
        <w:rPr>
          <w:rFonts w:hint="eastAsia" w:ascii="楷体_GB2312" w:eastAsia="楷体_GB2312"/>
          <w:b/>
          <w:sz w:val="32"/>
          <w:szCs w:val="32"/>
        </w:rPr>
        <w:t>（二）政策执行。</w:t>
      </w:r>
    </w:p>
    <w:p>
      <w:pPr>
        <w:pStyle w:val="49"/>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1.实施对象精准</w:t>
      </w:r>
    </w:p>
    <w:p>
      <w:pPr>
        <w:pStyle w:val="49"/>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政策实施对象识别精准，不同项目实施对象协调衔接，精准契合；实施对象与政策预期匹配。</w:t>
      </w:r>
    </w:p>
    <w:p>
      <w:pPr>
        <w:pStyle w:val="49"/>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2.政策调整及时</w:t>
      </w:r>
    </w:p>
    <w:p>
      <w:pPr>
        <w:pStyle w:val="49"/>
        <w:snapToGrid w:val="0"/>
        <w:spacing w:line="580" w:lineRule="exact"/>
        <w:rPr>
          <w:rFonts w:ascii="仿宋_GB2312" w:eastAsia="仿宋_GB2312" w:cs="仿宋_GB2312"/>
          <w:sz w:val="32"/>
          <w:szCs w:val="32"/>
        </w:rPr>
      </w:pPr>
      <w:r>
        <w:rPr>
          <w:rFonts w:hint="eastAsia" w:ascii="仿宋_GB2312" w:eastAsia="仿宋_GB2312" w:cs="仿宋_GB2312"/>
          <w:sz w:val="32"/>
          <w:szCs w:val="32"/>
        </w:rPr>
        <w:t>政策根据实际情况动态调整，动态调整及时准确，合理可行。</w:t>
      </w:r>
    </w:p>
    <w:p>
      <w:pPr>
        <w:pStyle w:val="49"/>
        <w:snapToGrid w:val="0"/>
        <w:spacing w:line="580" w:lineRule="exact"/>
        <w:ind w:left="420" w:leftChars="200" w:firstLine="320" w:firstLineChars="100"/>
        <w:rPr>
          <w:rFonts w:ascii="仿宋_GB2312" w:eastAsia="仿宋_GB2312" w:cs="仿宋_GB2312"/>
          <w:sz w:val="32"/>
          <w:szCs w:val="32"/>
        </w:rPr>
      </w:pPr>
      <w:r>
        <w:rPr>
          <w:rFonts w:hint="eastAsia" w:ascii="仿宋_GB2312" w:eastAsia="仿宋_GB2312" w:cs="仿宋_GB2312"/>
          <w:sz w:val="32"/>
          <w:szCs w:val="32"/>
        </w:rPr>
        <w:t>3.执行机制同向</w:t>
      </w:r>
    </w:p>
    <w:p>
      <w:pPr>
        <w:pStyle w:val="49"/>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政策专项实施过程中方式方法同向，不存在相悖或不合理。</w:t>
      </w:r>
    </w:p>
    <w:p>
      <w:pPr>
        <w:pStyle w:val="49"/>
        <w:snapToGrid w:val="0"/>
        <w:spacing w:line="580" w:lineRule="exact"/>
        <w:ind w:left="420" w:leftChars="200" w:firstLine="320" w:firstLineChars="100"/>
        <w:rPr>
          <w:rFonts w:ascii="仿宋_GB2312" w:eastAsia="仿宋_GB2312" w:cs="仿宋_GB2312"/>
          <w:sz w:val="32"/>
          <w:szCs w:val="32"/>
        </w:rPr>
      </w:pPr>
      <w:r>
        <w:rPr>
          <w:rFonts w:hint="eastAsia" w:ascii="仿宋_GB2312" w:eastAsia="仿宋_GB2312" w:cs="仿宋_GB2312"/>
          <w:sz w:val="32"/>
          <w:szCs w:val="32"/>
        </w:rPr>
        <w:t>4.政策执行质量</w:t>
      </w:r>
    </w:p>
    <w:p>
      <w:pPr>
        <w:pStyle w:val="49"/>
        <w:snapToGrid w:val="0"/>
        <w:spacing w:line="580" w:lineRule="exact"/>
        <w:ind w:firstLine="640" w:firstLineChars="200"/>
        <w:rPr>
          <w:rFonts w:ascii="仿宋_GB2312" w:hAnsi="仿宋_GB2312"/>
          <w:sz w:val="32"/>
          <w:szCs w:val="32"/>
        </w:rPr>
      </w:pPr>
      <w:r>
        <w:rPr>
          <w:rFonts w:hint="eastAsia" w:ascii="仿宋_GB2312" w:eastAsia="仿宋_GB2312" w:cs="仿宋_GB2312"/>
          <w:sz w:val="32"/>
          <w:szCs w:val="32"/>
        </w:rPr>
        <w:t>反映政策专项实施过程中制度机制健全完善，操作执行科学规范，及时高效以及反映预算执行进度和资金结余情况。</w:t>
      </w:r>
    </w:p>
    <w:p>
      <w:pPr>
        <w:pStyle w:val="49"/>
        <w:snapToGrid w:val="0"/>
        <w:spacing w:line="580" w:lineRule="exact"/>
        <w:ind w:firstLine="642" w:firstLineChars="200"/>
        <w:rPr>
          <w:rFonts w:ascii="楷体_GB2312" w:eastAsia="楷体_GB2312"/>
          <w:b/>
          <w:sz w:val="32"/>
          <w:szCs w:val="32"/>
        </w:rPr>
      </w:pPr>
      <w:r>
        <w:rPr>
          <w:rFonts w:hint="eastAsia" w:ascii="楷体_GB2312" w:eastAsia="楷体_GB2312"/>
          <w:b/>
          <w:sz w:val="32"/>
          <w:szCs w:val="32"/>
        </w:rPr>
        <w:t>（三）政策效果。</w:t>
      </w:r>
    </w:p>
    <w:p>
      <w:pPr>
        <w:pStyle w:val="49"/>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1.产业发展类</w:t>
      </w:r>
    </w:p>
    <w:p>
      <w:pPr>
        <w:pStyle w:val="49"/>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政策实施效果与省委、省政府重大产业政策、规划布局、资金投向等匹配吻合，工业产业政策重点关注产业增加值、利税增长、科技成果等方面，农业产业重点关注基础条件改善、资金使用效益提升等方面，服务产业重点关注服务效能、消费提升等方面。</w:t>
      </w:r>
    </w:p>
    <w:p>
      <w:pPr>
        <w:pStyle w:val="49"/>
        <w:snapToGrid w:val="0"/>
        <w:spacing w:line="580" w:lineRule="exact"/>
        <w:ind w:firstLine="320" w:firstLineChars="100"/>
        <w:rPr>
          <w:rFonts w:ascii="仿宋_GB2312" w:eastAsia="仿宋_GB2312" w:cs="仿宋_GB2312"/>
          <w:sz w:val="32"/>
          <w:szCs w:val="32"/>
        </w:rPr>
      </w:pPr>
      <w:r>
        <w:rPr>
          <w:rFonts w:hint="eastAsia" w:ascii="仿宋_GB2312" w:eastAsia="仿宋_GB2312" w:cs="仿宋_GB2312"/>
          <w:sz w:val="32"/>
          <w:szCs w:val="32"/>
        </w:rPr>
        <w:t>2.民生保障类</w:t>
      </w:r>
    </w:p>
    <w:p>
      <w:pPr>
        <w:pStyle w:val="49"/>
        <w:snapToGrid w:val="0"/>
        <w:spacing w:line="580" w:lineRule="exact"/>
        <w:ind w:firstLine="320" w:firstLineChars="100"/>
        <w:rPr>
          <w:rFonts w:ascii="仿宋_GB2312" w:eastAsia="仿宋_GB2312" w:cs="仿宋_GB2312"/>
          <w:sz w:val="32"/>
          <w:szCs w:val="32"/>
        </w:rPr>
      </w:pPr>
      <w:r>
        <w:rPr>
          <w:rFonts w:hint="eastAsia" w:ascii="仿宋_GB2312" w:eastAsia="仿宋_GB2312" w:cs="仿宋_GB2312"/>
          <w:sz w:val="32"/>
          <w:szCs w:val="32"/>
        </w:rPr>
        <w:t>分配方法制定、分配要素设定、基础数据应用、测算依据选取等科学合理，分配结果公平合理，充分考虑地域条件、经济条件等。政策实施对象中不存在明显不合理的排他性规定等。</w:t>
      </w:r>
    </w:p>
    <w:p>
      <w:pPr>
        <w:pStyle w:val="49"/>
        <w:numPr>
          <w:ilvl w:val="0"/>
          <w:numId w:val="9"/>
        </w:numPr>
        <w:snapToGrid w:val="0"/>
        <w:spacing w:line="580" w:lineRule="exact"/>
        <w:ind w:left="0" w:firstLine="640" w:firstLineChars="200"/>
        <w:rPr>
          <w:rFonts w:ascii="仿宋_GB2312" w:eastAsia="仿宋_GB2312" w:cs="仿宋_GB2312"/>
          <w:sz w:val="32"/>
          <w:szCs w:val="32"/>
        </w:rPr>
      </w:pPr>
      <w:r>
        <w:rPr>
          <w:rFonts w:hint="eastAsia" w:ascii="仿宋_GB2312" w:eastAsia="仿宋_GB2312" w:cs="仿宋_GB2312"/>
          <w:sz w:val="32"/>
          <w:szCs w:val="32"/>
        </w:rPr>
        <w:t>基础设施类</w:t>
      </w:r>
    </w:p>
    <w:p>
      <w:pPr>
        <w:pStyle w:val="49"/>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公共基础设施建设功能达到计划能力，建成后正常并良好运行，延续性达到预期，项目建成后相关工程、点位相关协调，配套设施整体协调，全面衔接发挥整体效益。</w:t>
      </w:r>
    </w:p>
    <w:p>
      <w:pPr>
        <w:pStyle w:val="49"/>
        <w:numPr>
          <w:ilvl w:val="0"/>
          <w:numId w:val="10"/>
        </w:numPr>
        <w:snapToGrid w:val="0"/>
        <w:spacing w:line="580" w:lineRule="exact"/>
        <w:ind w:left="0" w:firstLine="640" w:firstLineChars="200"/>
        <w:rPr>
          <w:rFonts w:eastAsia="黑体"/>
          <w:sz w:val="32"/>
          <w:szCs w:val="32"/>
        </w:rPr>
      </w:pPr>
      <w:r>
        <w:rPr>
          <w:rFonts w:eastAsia="黑体"/>
          <w:sz w:val="32"/>
          <w:szCs w:val="32"/>
        </w:rPr>
        <w:t>存在问题</w:t>
      </w:r>
    </w:p>
    <w:p>
      <w:pPr>
        <w:pStyle w:val="49"/>
        <w:spacing w:line="560" w:lineRule="exact"/>
        <w:ind w:firstLine="640" w:firstLineChars="200"/>
        <w:rPr>
          <w:sz w:val="32"/>
          <w:szCs w:val="32"/>
        </w:rPr>
      </w:pPr>
      <w:r>
        <w:rPr>
          <w:rFonts w:ascii="仿宋_GB2312" w:eastAsia="仿宋_GB2312" w:cs="仿宋_GB2312"/>
          <w:sz w:val="32"/>
          <w:szCs w:val="32"/>
        </w:rPr>
        <w:t xml:space="preserve">     无</w:t>
      </w:r>
    </w:p>
    <w:p>
      <w:pPr>
        <w:pStyle w:val="49"/>
        <w:snapToGrid w:val="0"/>
        <w:spacing w:line="580" w:lineRule="exact"/>
        <w:ind w:firstLine="640" w:firstLineChars="200"/>
        <w:rPr>
          <w:rFonts w:eastAsia="黑体"/>
          <w:sz w:val="32"/>
          <w:szCs w:val="32"/>
        </w:rPr>
      </w:pPr>
      <w:r>
        <w:rPr>
          <w:rFonts w:hint="eastAsia" w:eastAsia="黑体"/>
          <w:sz w:val="32"/>
          <w:szCs w:val="32"/>
        </w:rPr>
        <w:t>五、</w:t>
      </w:r>
      <w:r>
        <w:rPr>
          <w:rFonts w:eastAsia="黑体"/>
          <w:sz w:val="32"/>
          <w:szCs w:val="32"/>
        </w:rPr>
        <w:t>相关建议</w:t>
      </w:r>
    </w:p>
    <w:p>
      <w:pPr>
        <w:pStyle w:val="49"/>
        <w:autoSpaceDN w:val="0"/>
        <w:snapToGrid w:val="0"/>
        <w:spacing w:line="560" w:lineRule="exact"/>
        <w:ind w:firstLine="640"/>
        <w:outlineLvl w:val="0"/>
        <w:rPr>
          <w:sz w:val="32"/>
          <w:szCs w:val="32"/>
        </w:rPr>
      </w:pPr>
      <w:r>
        <w:rPr>
          <w:rFonts w:hint="eastAsia"/>
          <w:sz w:val="32"/>
          <w:szCs w:val="32"/>
        </w:rPr>
        <w:t xml:space="preserve"> </w:t>
      </w:r>
      <w:r>
        <w:rPr>
          <w:sz w:val="32"/>
          <w:szCs w:val="32"/>
        </w:rPr>
        <w:t xml:space="preserve">    无</w:t>
      </w:r>
    </w:p>
    <w:p>
      <w:pPr>
        <w:pStyle w:val="49"/>
        <w:autoSpaceDN w:val="0"/>
        <w:snapToGrid w:val="0"/>
        <w:spacing w:line="560" w:lineRule="exact"/>
        <w:ind w:firstLine="640"/>
        <w:outlineLvl w:val="0"/>
        <w:rPr>
          <w:sz w:val="32"/>
          <w:szCs w:val="32"/>
        </w:rPr>
      </w:pPr>
    </w:p>
    <w:p>
      <w:pPr>
        <w:pStyle w:val="49"/>
        <w:autoSpaceDN w:val="0"/>
        <w:snapToGrid w:val="0"/>
        <w:spacing w:line="560" w:lineRule="exact"/>
        <w:ind w:firstLine="640"/>
        <w:outlineLvl w:val="0"/>
        <w:rPr>
          <w:rFonts w:ascii="宋体" w:hAnsi="宋体" w:eastAsia="仿宋_GB2312"/>
          <w:sz w:val="32"/>
          <w:szCs w:val="28"/>
        </w:rPr>
      </w:pPr>
      <w:r>
        <w:rPr>
          <w:rFonts w:hint="eastAsia" w:ascii="仿宋_GB2312" w:eastAsia="仿宋_GB2312"/>
          <w:sz w:val="32"/>
          <w:szCs w:val="32"/>
        </w:rPr>
        <w:t>（受灾群众过渡安置生活救助资金）</w:t>
      </w:r>
    </w:p>
    <w:p>
      <w:pPr>
        <w:pStyle w:val="49"/>
        <w:adjustRightInd w:val="0"/>
        <w:snapToGrid w:val="0"/>
        <w:spacing w:line="570" w:lineRule="exact"/>
        <w:ind w:firstLine="640" w:firstLineChars="200"/>
        <w:rPr>
          <w:rFonts w:ascii="宋体" w:hAnsi="宋体" w:eastAsia="黑体" w:cs="仿宋_GB2312"/>
          <w:sz w:val="32"/>
          <w:szCs w:val="32"/>
        </w:rPr>
      </w:pPr>
      <w:r>
        <w:rPr>
          <w:rFonts w:ascii="黑体" w:eastAsia="黑体"/>
          <w:sz w:val="32"/>
          <w:szCs w:val="32"/>
          <w:lang w:val="zh-CN"/>
        </w:rPr>
        <w:t>一、</w:t>
      </w:r>
      <w:r>
        <w:rPr>
          <w:rFonts w:hint="eastAsia" w:ascii="黑体" w:eastAsia="黑体"/>
          <w:sz w:val="32"/>
          <w:szCs w:val="32"/>
          <w:lang w:val="zh-CN"/>
        </w:rPr>
        <w:t>项目概况</w:t>
      </w:r>
      <w:r>
        <w:rPr>
          <w:rFonts w:hint="eastAsia" w:ascii="宋体" w:hAnsi="宋体" w:eastAsia="黑体" w:cs="仿宋_GB2312"/>
          <w:sz w:val="32"/>
          <w:szCs w:val="32"/>
        </w:rPr>
        <w:t xml:space="preserve"> </w:t>
      </w:r>
    </w:p>
    <w:p>
      <w:pPr>
        <w:pStyle w:val="49"/>
        <w:adjustRightInd w:val="0"/>
        <w:snapToGrid w:val="0"/>
        <w:spacing w:line="570" w:lineRule="exact"/>
        <w:ind w:firstLine="640" w:firstLineChars="200"/>
        <w:rPr>
          <w:rFonts w:ascii="仿宋_GB2312" w:eastAsia="仿宋_GB2312"/>
          <w:sz w:val="32"/>
          <w:szCs w:val="32"/>
        </w:rPr>
      </w:pPr>
      <w:r>
        <w:rPr>
          <w:rFonts w:hint="eastAsia" w:ascii="宋体" w:hAnsi="宋体" w:eastAsia="仿宋_GB2312" w:cs="仿宋_GB2312"/>
          <w:sz w:val="32"/>
          <w:szCs w:val="32"/>
        </w:rPr>
        <w:t>根据茂财</w:t>
      </w:r>
      <w:r>
        <w:rPr>
          <w:rFonts w:hint="eastAsia" w:ascii="宋体" w:cs="仿宋_GB2312"/>
          <w:sz w:val="32"/>
          <w:szCs w:val="32"/>
        </w:rPr>
        <w:t>建</w:t>
      </w:r>
      <w:r>
        <w:rPr>
          <w:rFonts w:hint="eastAsia" w:ascii="仿宋_GB2312" w:eastAsia="仿宋_GB2312" w:cs="仿宋_GB2312"/>
          <w:sz w:val="32"/>
          <w:szCs w:val="32"/>
        </w:rPr>
        <w:t>〔</w:t>
      </w:r>
      <w:r>
        <w:rPr>
          <w:rFonts w:hint="eastAsia" w:ascii="宋体" w:hAnsi="宋体" w:eastAsia="仿宋_GB2312" w:cs="仿宋_GB2312"/>
          <w:sz w:val="32"/>
          <w:szCs w:val="32"/>
        </w:rPr>
        <w:t>202</w:t>
      </w:r>
      <w:r>
        <w:rPr>
          <w:rFonts w:hint="eastAsia" w:ascii="宋体" w:cs="仿宋_GB2312"/>
          <w:sz w:val="32"/>
          <w:szCs w:val="32"/>
        </w:rPr>
        <w:t>1</w:t>
      </w:r>
      <w:r>
        <w:rPr>
          <w:rFonts w:hint="eastAsia" w:ascii="仿宋_GB2312" w:eastAsia="仿宋_GB2312" w:cs="仿宋_GB2312"/>
          <w:sz w:val="32"/>
          <w:szCs w:val="32"/>
        </w:rPr>
        <w:t>〕</w:t>
      </w:r>
      <w:r>
        <w:rPr>
          <w:rFonts w:hint="eastAsia" w:ascii="仿宋_GB2312" w:hAnsi="仿宋_GB2312" w:cs="仿宋_GB2312"/>
          <w:sz w:val="32"/>
          <w:szCs w:val="32"/>
        </w:rPr>
        <w:t>3</w:t>
      </w:r>
      <w:r>
        <w:rPr>
          <w:rFonts w:hint="eastAsia" w:ascii="宋体" w:hAnsi="宋体" w:eastAsia="仿宋_GB2312" w:cs="仿宋_GB2312"/>
          <w:sz w:val="32"/>
          <w:szCs w:val="32"/>
        </w:rPr>
        <w:t>号</w:t>
      </w:r>
      <w:r>
        <w:rPr>
          <w:rFonts w:hint="eastAsia" w:ascii="宋体" w:hAnsi="宋体" w:eastAsia="仿宋_GB2312"/>
          <w:sz w:val="32"/>
          <w:szCs w:val="32"/>
        </w:rPr>
        <w:t>《关于</w:t>
      </w:r>
      <w:r>
        <w:rPr>
          <w:rFonts w:hint="eastAsia" w:ascii="宋体"/>
          <w:sz w:val="32"/>
          <w:szCs w:val="32"/>
        </w:rPr>
        <w:t>下达2020年中央自然灾害救灾资金预算的通知</w:t>
      </w:r>
      <w:r>
        <w:rPr>
          <w:rFonts w:hint="eastAsia" w:ascii="宋体" w:hAnsi="宋体" w:eastAsia="仿宋_GB2312"/>
          <w:sz w:val="32"/>
          <w:szCs w:val="32"/>
        </w:rPr>
        <w:t>》，下达20</w:t>
      </w:r>
      <w:r>
        <w:rPr>
          <w:rFonts w:hint="eastAsia" w:ascii="宋体"/>
          <w:sz w:val="32"/>
          <w:szCs w:val="32"/>
        </w:rPr>
        <w:t>20</w:t>
      </w:r>
      <w:r>
        <w:rPr>
          <w:rFonts w:hint="eastAsia" w:ascii="宋体" w:hAnsi="宋体" w:eastAsia="仿宋_GB2312"/>
          <w:sz w:val="32"/>
          <w:szCs w:val="32"/>
        </w:rPr>
        <w:t>年自然灾害救灾资金</w:t>
      </w:r>
      <w:r>
        <w:rPr>
          <w:rFonts w:ascii="宋体" w:hAnsi="宋体" w:eastAsia="仿宋_GB2312"/>
          <w:sz w:val="32"/>
          <w:szCs w:val="32"/>
        </w:rPr>
        <w:t>78.82万元</w:t>
      </w:r>
      <w:r>
        <w:rPr>
          <w:rFonts w:hint="eastAsia" w:ascii="宋体"/>
          <w:sz w:val="32"/>
          <w:szCs w:val="32"/>
        </w:rPr>
        <w:t>，</w:t>
      </w:r>
      <w:r>
        <w:rPr>
          <w:rFonts w:hint="eastAsia" w:ascii="宋体" w:hAnsi="宋体" w:eastAsia="仿宋_GB2312"/>
          <w:sz w:val="32"/>
          <w:szCs w:val="32"/>
        </w:rPr>
        <w:t>专项用于开展</w:t>
      </w:r>
      <w:r>
        <w:rPr>
          <w:rFonts w:hint="eastAsia" w:ascii="宋体"/>
          <w:sz w:val="32"/>
          <w:szCs w:val="32"/>
        </w:rPr>
        <w:t>强降雨受灾群众过渡期生活补助</w:t>
      </w:r>
      <w:r>
        <w:rPr>
          <w:rFonts w:hint="eastAsia" w:ascii="宋体" w:hAnsi="宋体" w:eastAsia="仿宋_GB2312"/>
          <w:sz w:val="32"/>
          <w:szCs w:val="32"/>
        </w:rPr>
        <w:t>。</w:t>
      </w:r>
    </w:p>
    <w:p>
      <w:pPr>
        <w:pStyle w:val="67"/>
        <w:widowControl/>
        <w:spacing w:before="0" w:beforeAutospacing="0" w:after="0" w:afterAutospacing="0" w:line="570" w:lineRule="exact"/>
        <w:rPr>
          <w:rFonts w:ascii="黑体" w:eastAsia="黑体" w:cs="黑体"/>
          <w:sz w:val="32"/>
          <w:szCs w:val="32"/>
        </w:rPr>
      </w:pPr>
      <w:r>
        <w:rPr>
          <w:rFonts w:hint="eastAsia" w:ascii="宋体" w:hAnsi="宋体" w:cs="宋体"/>
          <w:color w:val="333333"/>
          <w:sz w:val="32"/>
          <w:shd w:val="clear" w:color="auto" w:fill="FFFFFF"/>
        </w:rPr>
        <w:t>　</w:t>
      </w:r>
      <w:r>
        <w:rPr>
          <w:rFonts w:hint="eastAsia" w:ascii="宋体" w:hAnsi="宋体" w:eastAsia="黑体" w:cs="宋体"/>
          <w:color w:val="333333"/>
          <w:sz w:val="32"/>
          <w:shd w:val="clear" w:color="auto" w:fill="FFFFFF"/>
        </w:rPr>
        <w:t>　</w:t>
      </w:r>
      <w:r>
        <w:rPr>
          <w:rFonts w:hint="eastAsia" w:ascii="黑体" w:eastAsia="黑体" w:cs="黑体"/>
          <w:color w:val="333333"/>
          <w:sz w:val="32"/>
          <w:szCs w:val="32"/>
          <w:shd w:val="clear" w:color="auto" w:fill="FFFFFF"/>
        </w:rPr>
        <w:t>二、绩效自评工作开展情况</w:t>
      </w:r>
    </w:p>
    <w:p>
      <w:pPr>
        <w:pStyle w:val="67"/>
        <w:widowControl/>
        <w:spacing w:before="0" w:beforeAutospacing="0" w:after="0" w:afterAutospacing="0" w:line="570" w:lineRule="exact"/>
        <w:rPr>
          <w:rFonts w:ascii="仿宋_GB2312" w:cs="仿宋_GB2312"/>
          <w:sz w:val="32"/>
          <w:szCs w:val="32"/>
        </w:rPr>
      </w:pPr>
      <w:r>
        <w:rPr>
          <w:rFonts w:hint="eastAsia" w:ascii="宋体" w:hAnsi="宋体" w:eastAsia="楷体" w:cs="宋体"/>
          <w:b/>
          <w:color w:val="333333"/>
          <w:sz w:val="32"/>
          <w:shd w:val="clear" w:color="auto" w:fill="FFFFFF"/>
        </w:rPr>
        <w:t xml:space="preserve">　 </w:t>
      </w:r>
      <w:r>
        <w:rPr>
          <w:rFonts w:hint="eastAsia" w:ascii="楷体_GB2312" w:hAnsi="楷体_GB2312" w:eastAsia="楷体" w:cs="楷体_GB2312"/>
          <w:b/>
          <w:bCs/>
          <w:color w:val="333333"/>
          <w:sz w:val="32"/>
          <w:szCs w:val="32"/>
          <w:shd w:val="clear" w:color="auto" w:fill="FFFFFF"/>
        </w:rPr>
        <w:t>（一）项目准备</w:t>
      </w:r>
      <w:r>
        <w:rPr>
          <w:rFonts w:hint="eastAsia" w:ascii="仿宋_GB2312" w:cs="仿宋_GB2312"/>
          <w:sz w:val="32"/>
          <w:szCs w:val="32"/>
        </w:rPr>
        <w:t xml:space="preserve"> </w:t>
      </w:r>
    </w:p>
    <w:p>
      <w:pPr>
        <w:pStyle w:val="67"/>
        <w:widowControl/>
        <w:spacing w:before="0" w:beforeAutospacing="0" w:after="0" w:afterAutospacing="0" w:line="570" w:lineRule="exact"/>
        <w:ind w:firstLine="640" w:firstLineChars="200"/>
        <w:rPr>
          <w:rFonts w:ascii="宋体" w:hAnsi="宋体" w:cs="宋体"/>
          <w:sz w:val="32"/>
        </w:rPr>
      </w:pPr>
      <w:r>
        <w:rPr>
          <w:rFonts w:hint="eastAsia" w:ascii="仿宋_GB2312" w:cs="仿宋_GB2312"/>
          <w:sz w:val="32"/>
          <w:szCs w:val="32"/>
        </w:rPr>
        <w:t>结合单位自身项目实际，成立绩效评价工作小组，认真开展绩效自评，并出具自评报告。</w:t>
      </w:r>
    </w:p>
    <w:p>
      <w:pPr>
        <w:pStyle w:val="67"/>
        <w:widowControl/>
        <w:spacing w:before="0" w:beforeAutospacing="0" w:after="0" w:afterAutospacing="0" w:line="570" w:lineRule="exact"/>
        <w:rPr>
          <w:rFonts w:ascii="宋体" w:hAnsi="宋体" w:eastAsia="楷体" w:cs="宋体"/>
          <w:b/>
          <w:sz w:val="32"/>
        </w:rPr>
      </w:pPr>
      <w:r>
        <w:rPr>
          <w:rFonts w:hint="eastAsia" w:ascii="宋体" w:hAnsi="宋体" w:eastAsia="楷体" w:cs="宋体"/>
          <w:b/>
          <w:color w:val="333333"/>
          <w:sz w:val="32"/>
          <w:shd w:val="clear" w:color="auto" w:fill="FFFFFF"/>
        </w:rPr>
        <w:t>　　（二）项目组织过程</w:t>
      </w:r>
    </w:p>
    <w:p>
      <w:pPr>
        <w:pStyle w:val="67"/>
        <w:widowControl/>
        <w:spacing w:before="0" w:beforeAutospacing="0" w:after="0" w:afterAutospacing="0" w:line="570" w:lineRule="exact"/>
        <w:ind w:firstLine="800" w:firstLineChars="250"/>
        <w:rPr>
          <w:rFonts w:ascii="仿宋_GB2312" w:cs="仿宋_GB2312"/>
          <w:sz w:val="32"/>
          <w:szCs w:val="32"/>
        </w:rPr>
      </w:pPr>
      <w:r>
        <w:rPr>
          <w:rFonts w:hint="eastAsia" w:ascii="宋体" w:hAnsi="宋体" w:cs="宋体"/>
          <w:color w:val="333333"/>
          <w:sz w:val="32"/>
          <w:shd w:val="clear" w:color="auto" w:fill="FFFFFF"/>
        </w:rPr>
        <w:t>应急管理局根据各镇灾情报告情况，制定了茂应急</w:t>
      </w:r>
      <w:r>
        <w:rPr>
          <w:rFonts w:hint="eastAsia" w:ascii="仿宋_GB2312" w:cs="仿宋_GB2312"/>
          <w:sz w:val="32"/>
          <w:szCs w:val="32"/>
        </w:rPr>
        <w:t>〔</w:t>
      </w:r>
      <w:r>
        <w:rPr>
          <w:rFonts w:hint="eastAsia" w:ascii="宋体" w:hAnsi="宋体" w:cs="仿宋_GB2312"/>
          <w:sz w:val="32"/>
          <w:szCs w:val="32"/>
        </w:rPr>
        <w:t>2020</w:t>
      </w:r>
      <w:r>
        <w:rPr>
          <w:rFonts w:hint="eastAsia" w:ascii="仿宋_GB2312" w:cs="仿宋_GB2312"/>
          <w:sz w:val="32"/>
          <w:szCs w:val="32"/>
        </w:rPr>
        <w:t>〕48号《茂县“8.16”强降雨山洪泥石流灾害受灾群众救助安置方案》，明确了安置原则、安置时间、安置方式、安置标准和救助政策、兑现程序、工作职责、工作要求。</w:t>
      </w:r>
    </w:p>
    <w:p>
      <w:pPr>
        <w:pStyle w:val="67"/>
        <w:widowControl/>
        <w:spacing w:before="0" w:beforeAutospacing="0" w:after="0" w:afterAutospacing="0" w:line="570" w:lineRule="exact"/>
        <w:ind w:firstLine="800" w:firstLineChars="250"/>
        <w:rPr>
          <w:rFonts w:ascii="宋体" w:hAnsi="宋体" w:cs="宋体"/>
          <w:color w:val="333333"/>
          <w:sz w:val="32"/>
          <w:shd w:val="clear" w:color="auto" w:fill="FFFFFF"/>
        </w:rPr>
      </w:pPr>
      <w:r>
        <w:rPr>
          <w:rFonts w:hint="eastAsia" w:ascii="宋体" w:hAnsi="宋体" w:cs="宋体"/>
          <w:color w:val="333333"/>
          <w:sz w:val="32"/>
          <w:shd w:val="clear" w:color="auto" w:fill="FFFFFF"/>
        </w:rPr>
        <w:t>各镇根据受灾实际情况，进村入户调查灾情，逐户排查，全面掌握受灾困难群众生活情况，在发放受灾群众生活救助时必须公平、公正、公开执行各项政策，严禁优亲厚友。各镇必须规范工作程序，明确纪律要求，建立责任制度，保证救灾补助合法合理使用，在救助过程中，严格遵循民主评议、登记造册、张榜公布、公开发放，村、镇层层审批的原则。。</w:t>
      </w:r>
    </w:p>
    <w:p>
      <w:pPr>
        <w:pStyle w:val="67"/>
        <w:widowControl/>
        <w:spacing w:before="0" w:beforeAutospacing="0" w:after="0" w:afterAutospacing="0" w:line="570" w:lineRule="exact"/>
        <w:ind w:firstLine="642" w:firstLineChars="200"/>
        <w:rPr>
          <w:rFonts w:ascii="宋体" w:hAnsi="宋体" w:eastAsia="楷体" w:cs="宋体"/>
          <w:b/>
          <w:sz w:val="32"/>
        </w:rPr>
      </w:pPr>
      <w:r>
        <w:rPr>
          <w:rFonts w:hint="eastAsia" w:ascii="宋体" w:hAnsi="宋体" w:eastAsia="楷体" w:cs="宋体"/>
          <w:b/>
          <w:color w:val="333333"/>
          <w:sz w:val="32"/>
          <w:shd w:val="clear" w:color="auto" w:fill="FFFFFF"/>
        </w:rPr>
        <w:t>（三）项目奖绩效分析评价</w:t>
      </w:r>
    </w:p>
    <w:p>
      <w:pPr>
        <w:pStyle w:val="67"/>
        <w:widowControl/>
        <w:spacing w:before="0" w:beforeAutospacing="0" w:after="0" w:afterAutospacing="0" w:line="570" w:lineRule="exact"/>
        <w:rPr>
          <w:rFonts w:ascii="宋体" w:hAnsi="宋体" w:cs="宋体"/>
          <w:sz w:val="32"/>
        </w:rPr>
      </w:pPr>
      <w:r>
        <w:rPr>
          <w:rFonts w:hint="eastAsia" w:ascii="宋体" w:hAnsi="宋体" w:cs="宋体"/>
          <w:color w:val="333333"/>
          <w:sz w:val="32"/>
          <w:shd w:val="clear" w:color="auto" w:fill="FFFFFF"/>
        </w:rPr>
        <w:t>　　通过前期准备和周密地组织，全县各镇组织人员进村入户，逐户排查，全面掌握了受灾困难群众生活情况，摸清了全县因强降雨自然灾害需政府救助的情况，对受灾生活困难群众建档，登记造册，切实做到底子清、情况明，增强救助的针对性和实效性，救灾补助通过“一卡通”系统及时发放</w:t>
      </w:r>
      <w:r>
        <w:rPr>
          <w:rFonts w:ascii="宋体" w:hAnsi="宋体" w:cs="宋体"/>
          <w:color w:val="333333"/>
          <w:sz w:val="32"/>
          <w:shd w:val="clear" w:color="auto" w:fill="FFFFFF"/>
        </w:rPr>
        <w:t>78.82万元</w:t>
      </w:r>
      <w:r>
        <w:rPr>
          <w:rFonts w:hint="eastAsia" w:ascii="宋体" w:hAnsi="宋体" w:cs="宋体"/>
          <w:color w:val="333333"/>
          <w:sz w:val="32"/>
          <w:shd w:val="clear" w:color="auto" w:fill="FFFFFF"/>
        </w:rPr>
        <w:t>，确保受灾群众有饭吃，有衣穿，确保了受灾困难群众得到了及时的基本生活救助。</w:t>
      </w:r>
    </w:p>
    <w:p>
      <w:pPr>
        <w:pStyle w:val="67"/>
        <w:widowControl/>
        <w:spacing w:before="0" w:beforeAutospacing="0" w:after="0" w:afterAutospacing="0" w:line="570" w:lineRule="exact"/>
        <w:rPr>
          <w:rFonts w:ascii="黑体" w:hAnsi="黑体" w:cs="宋体"/>
          <w:sz w:val="32"/>
        </w:rPr>
      </w:pPr>
      <w:r>
        <w:rPr>
          <w:rFonts w:hint="eastAsia" w:ascii="黑体" w:hAnsi="黑体" w:cs="宋体"/>
          <w:color w:val="333333"/>
          <w:sz w:val="32"/>
          <w:shd w:val="clear" w:color="auto" w:fill="FFFFFF"/>
        </w:rPr>
        <w:t>　</w:t>
      </w:r>
      <w:r>
        <w:rPr>
          <w:rFonts w:hint="eastAsia" w:ascii="黑体" w:eastAsia="黑体" w:cs="宋体"/>
          <w:color w:val="333333"/>
          <w:sz w:val="32"/>
          <w:shd w:val="clear" w:color="auto" w:fill="FFFFFF"/>
        </w:rPr>
        <w:t>　三、综合评价结论</w:t>
      </w:r>
    </w:p>
    <w:p>
      <w:pPr>
        <w:pStyle w:val="67"/>
        <w:widowControl/>
        <w:spacing w:before="0" w:beforeAutospacing="0" w:after="0" w:afterAutospacing="0" w:line="570" w:lineRule="exact"/>
        <w:rPr>
          <w:rFonts w:ascii="宋体" w:hAnsi="宋体" w:cs="宋体"/>
          <w:sz w:val="32"/>
        </w:rPr>
      </w:pPr>
      <w:r>
        <w:rPr>
          <w:rFonts w:hint="eastAsia" w:ascii="宋体" w:hAnsi="宋体" w:cs="宋体"/>
          <w:color w:val="333333"/>
          <w:sz w:val="32"/>
          <w:shd w:val="clear" w:color="auto" w:fill="FFFFFF"/>
        </w:rPr>
        <w:t>　　救助对象精确细分，救助措施精准有效，救助过程精心组织，各镇层层审批、县财政、县应急管理局形成合力，规范资金的使用范围。按照公开、公平、公正的原则，确保了救灾口粮真正足额发放到受灾困难群众手中，确保了冬春期间受灾困难群众生活正常有序地进行。</w:t>
      </w:r>
      <w:r>
        <w:rPr>
          <w:rFonts w:ascii="宋体" w:hAnsi="宋体" w:cs="宋体"/>
          <w:color w:val="333333"/>
          <w:sz w:val="32"/>
          <w:shd w:val="clear" w:color="auto" w:fill="FFFFFF"/>
        </w:rPr>
        <w:t>项目预算78.82万元，实际支付78.82万元。</w:t>
      </w:r>
    </w:p>
    <w:p>
      <w:pPr>
        <w:pStyle w:val="67"/>
        <w:widowControl/>
        <w:spacing w:before="0" w:beforeAutospacing="0" w:after="0" w:afterAutospacing="0" w:line="570" w:lineRule="exact"/>
        <w:rPr>
          <w:rFonts w:ascii="宋体" w:hAnsi="宋体" w:cs="宋体"/>
          <w:sz w:val="32"/>
        </w:rPr>
      </w:pPr>
      <w:r>
        <w:rPr>
          <w:rFonts w:hint="eastAsia" w:ascii="宋体" w:hAnsi="宋体" w:cs="宋体"/>
          <w:color w:val="333333"/>
          <w:sz w:val="32"/>
          <w:shd w:val="clear" w:color="auto" w:fill="FFFFFF"/>
        </w:rPr>
        <w:t>　</w:t>
      </w:r>
      <w:r>
        <w:rPr>
          <w:rFonts w:hint="eastAsia" w:ascii="宋体" w:hAnsi="宋体" w:eastAsia="黑体" w:cs="宋体"/>
          <w:color w:val="333333"/>
          <w:sz w:val="32"/>
          <w:shd w:val="clear" w:color="auto" w:fill="FFFFFF"/>
        </w:rPr>
        <w:t>　四、绩效目标实现情况分析</w:t>
      </w:r>
    </w:p>
    <w:p>
      <w:pPr>
        <w:pStyle w:val="67"/>
        <w:widowControl/>
        <w:spacing w:before="0" w:beforeAutospacing="0" w:after="0" w:afterAutospacing="0" w:line="570" w:lineRule="exact"/>
        <w:ind w:firstLine="640"/>
        <w:rPr>
          <w:rFonts w:ascii="宋体" w:hAnsi="宋体" w:cs="宋体"/>
          <w:color w:val="333333"/>
          <w:sz w:val="32"/>
          <w:shd w:val="clear" w:color="auto" w:fill="FFFFFF"/>
        </w:rPr>
      </w:pPr>
      <w:r>
        <w:rPr>
          <w:rFonts w:hint="eastAsia" w:ascii="宋体" w:hAnsi="宋体" w:cs="宋体"/>
          <w:color w:val="333333"/>
          <w:sz w:val="32"/>
          <w:shd w:val="clear" w:color="auto" w:fill="FFFFFF"/>
        </w:rPr>
        <w:t>确保了受灾困难群众救助工作落到了实处，全县实现了需政府救助的受灾困难群众全覆盖，保障了群众基本生活，受灾困难群众生活正常有序地进行。</w:t>
      </w:r>
    </w:p>
    <w:p>
      <w:pPr>
        <w:pStyle w:val="67"/>
        <w:widowControl/>
        <w:numPr>
          <w:ilvl w:val="0"/>
          <w:numId w:val="3"/>
        </w:numPr>
        <w:spacing w:before="0" w:beforeAutospacing="0" w:after="0" w:afterAutospacing="0" w:line="570" w:lineRule="exact"/>
        <w:ind w:left="0" w:firstLine="640"/>
        <w:rPr>
          <w:rFonts w:ascii="宋体" w:hAnsi="宋体" w:eastAsia="黑体" w:cs="宋体"/>
          <w:color w:val="333333"/>
          <w:sz w:val="32"/>
          <w:shd w:val="clear" w:color="auto" w:fill="FFFFFF"/>
        </w:rPr>
      </w:pPr>
      <w:r>
        <w:rPr>
          <w:rFonts w:hint="eastAsia" w:ascii="宋体" w:hAnsi="宋体" w:eastAsia="黑体" w:cs="宋体"/>
          <w:color w:val="333333"/>
          <w:sz w:val="32"/>
          <w:shd w:val="clear" w:color="auto" w:fill="FFFFFF"/>
        </w:rPr>
        <w:t>存在的问题</w:t>
      </w:r>
    </w:p>
    <w:p>
      <w:pPr>
        <w:pStyle w:val="67"/>
        <w:widowControl/>
        <w:spacing w:before="0" w:beforeAutospacing="0" w:after="0" w:afterAutospacing="0" w:line="570" w:lineRule="exact"/>
        <w:ind w:left="640" w:firstLine="960" w:firstLineChars="300"/>
        <w:rPr>
          <w:rFonts w:ascii="仿宋_GB2312" w:cs="仿宋_GB2312"/>
          <w:color w:val="333333"/>
          <w:sz w:val="32"/>
          <w:szCs w:val="32"/>
          <w:shd w:val="clear" w:color="auto" w:fill="FFFFFF"/>
        </w:rPr>
      </w:pPr>
      <w:r>
        <w:rPr>
          <w:rFonts w:hint="eastAsia" w:ascii="仿宋_GB2312" w:cs="仿宋_GB2312"/>
          <w:color w:val="333333"/>
          <w:sz w:val="32"/>
          <w:szCs w:val="32"/>
          <w:shd w:val="clear" w:color="auto" w:fill="FFFFFF"/>
        </w:rPr>
        <w:t>无</w:t>
      </w:r>
    </w:p>
    <w:p>
      <w:pPr>
        <w:pStyle w:val="67"/>
        <w:widowControl/>
        <w:spacing w:before="0" w:beforeAutospacing="0" w:after="0" w:afterAutospacing="0" w:line="570" w:lineRule="exact"/>
        <w:rPr>
          <w:rFonts w:ascii="宋体" w:hAnsi="宋体" w:cs="宋体"/>
          <w:sz w:val="32"/>
        </w:rPr>
      </w:pPr>
      <w:r>
        <w:rPr>
          <w:rFonts w:hint="eastAsia" w:ascii="宋体" w:hAnsi="宋体" w:cs="宋体"/>
          <w:color w:val="333333"/>
          <w:sz w:val="32"/>
          <w:shd w:val="clear" w:color="auto" w:fill="FFFFFF"/>
        </w:rPr>
        <w:t>　</w:t>
      </w:r>
      <w:r>
        <w:rPr>
          <w:rFonts w:hint="eastAsia" w:ascii="宋体" w:hAnsi="宋体" w:eastAsia="黑体" w:cs="宋体"/>
          <w:color w:val="333333"/>
          <w:sz w:val="32"/>
          <w:shd w:val="clear" w:color="auto" w:fill="FFFFFF"/>
        </w:rPr>
        <w:t>　五、绩效自评工作建议</w:t>
      </w:r>
    </w:p>
    <w:p>
      <w:pPr>
        <w:pStyle w:val="67"/>
        <w:widowControl/>
        <w:spacing w:before="0" w:beforeAutospacing="0" w:after="0" w:afterAutospacing="0" w:line="570" w:lineRule="exact"/>
        <w:rPr>
          <w:rFonts w:ascii="宋体" w:hAnsi="宋体" w:cs="宋体"/>
          <w:sz w:val="32"/>
        </w:rPr>
      </w:pPr>
      <w:r>
        <w:rPr>
          <w:rFonts w:hint="eastAsia" w:ascii="宋体" w:hAnsi="宋体" w:cs="宋体"/>
          <w:color w:val="333333"/>
          <w:sz w:val="32"/>
          <w:shd w:val="clear" w:color="auto" w:fill="FFFFFF"/>
        </w:rPr>
        <w:t>　　      无</w:t>
      </w:r>
    </w:p>
    <w:p>
      <w:pPr>
        <w:pStyle w:val="49"/>
        <w:spacing w:line="570" w:lineRule="exact"/>
        <w:ind w:firstLine="4160" w:firstLineChars="1300"/>
        <w:rPr>
          <w:rStyle w:val="22"/>
          <w:rFonts w:ascii="仿宋" w:eastAsia="仿宋"/>
          <w:b w:val="0"/>
          <w:bCs w:val="0"/>
        </w:rPr>
      </w:pPr>
    </w:p>
    <w:p>
      <w:pPr>
        <w:pStyle w:val="49"/>
        <w:tabs>
          <w:tab w:val="left" w:pos="3885"/>
        </w:tabs>
        <w:snapToGrid w:val="0"/>
        <w:spacing w:line="560" w:lineRule="exact"/>
        <w:jc w:val="center"/>
        <w:rPr>
          <w:rFonts w:ascii="仿宋_GB2312" w:eastAsia="仿宋_GB2312" w:cs="仿宋_GB2312"/>
          <w:sz w:val="32"/>
          <w:szCs w:val="32"/>
        </w:rPr>
      </w:pPr>
      <w:r>
        <w:rPr>
          <w:rFonts w:hint="eastAsia" w:ascii="仿宋_GB2312" w:eastAsia="仿宋_GB2312" w:cs="仿宋_GB2312"/>
          <w:sz w:val="32"/>
          <w:szCs w:val="32"/>
        </w:rPr>
        <w:t>（巨灾指数保险保费）</w:t>
      </w:r>
    </w:p>
    <w:p>
      <w:pPr>
        <w:pStyle w:val="49"/>
        <w:tabs>
          <w:tab w:val="left" w:pos="3885"/>
        </w:tabs>
        <w:snapToGrid w:val="0"/>
        <w:spacing w:line="560" w:lineRule="exact"/>
        <w:jc w:val="center"/>
      </w:pPr>
    </w:p>
    <w:p>
      <w:pPr>
        <w:pStyle w:val="49"/>
        <w:numPr>
          <w:ilvl w:val="0"/>
          <w:numId w:val="11"/>
        </w:numPr>
        <w:tabs>
          <w:tab w:val="left" w:pos="3885"/>
        </w:tabs>
        <w:snapToGrid w:val="0"/>
        <w:spacing w:line="560" w:lineRule="exact"/>
        <w:ind w:left="0" w:firstLine="640" w:firstLineChars="200"/>
        <w:jc w:val="left"/>
        <w:rPr>
          <w:rFonts w:eastAsia="黑体"/>
        </w:rPr>
      </w:pPr>
      <w:r>
        <w:rPr>
          <w:rFonts w:hint="eastAsia" w:eastAsia="黑体"/>
          <w:sz w:val="32"/>
          <w:szCs w:val="32"/>
        </w:rPr>
        <w:t>财政政策</w:t>
      </w:r>
      <w:r>
        <w:rPr>
          <w:rFonts w:eastAsia="黑体"/>
          <w:sz w:val="32"/>
          <w:szCs w:val="32"/>
        </w:rPr>
        <w:t>基本情况</w:t>
      </w:r>
      <w:r>
        <w:rPr>
          <w:rFonts w:eastAsia="黑体"/>
        </w:rPr>
        <w:tab/>
      </w:r>
    </w:p>
    <w:p>
      <w:pPr>
        <w:pStyle w:val="49"/>
        <w:snapToGrid w:val="0"/>
        <w:spacing w:line="560" w:lineRule="exact"/>
        <w:ind w:firstLine="420" w:firstLineChars="200"/>
        <w:rPr>
          <w:rFonts w:ascii="仿宋_GB2312" w:eastAsia="仿宋_GB2312" w:cs="仿宋_GB2312"/>
          <w:bCs/>
        </w:rPr>
      </w:pPr>
      <w:r>
        <w:rPr>
          <w:rFonts w:hint="eastAsia" w:ascii="仿宋_GB2312" w:eastAsia="仿宋_GB2312"/>
        </w:rPr>
        <w:t xml:space="preserve"> </w:t>
      </w:r>
      <w:r>
        <w:rPr>
          <w:rFonts w:hint="eastAsia" w:ascii="仿宋_GB2312" w:eastAsia="仿宋_GB2312" w:cs="仿宋_GB2312"/>
          <w:sz w:val="32"/>
          <w:szCs w:val="32"/>
        </w:rPr>
        <w:t>根据茂应急〔2021〕17号文件，县人民政府常务会议议定事项通知(十五届人民政府第82次9号)会议,研究同意了县应急管理局《关于审定&lt;茂县财政风险巨灾指数保险方案&gt;并解决资金的请示》，并同中航安盟财政保险有限公司四川省分公司签订了《合作框架协议》，保费200万元</w:t>
      </w:r>
      <w:r>
        <w:rPr>
          <w:rFonts w:hint="eastAsia" w:ascii="仿宋_GB2312" w:eastAsia="仿宋_GB2312"/>
          <w:sz w:val="32"/>
          <w:szCs w:val="32"/>
        </w:rPr>
        <w:t>(其中150万元保费用于保障地震及次生灾害赔付，50万元保费用于保障人身安全）</w:t>
      </w:r>
      <w:r>
        <w:rPr>
          <w:rFonts w:hint="eastAsia" w:ascii="仿宋_GB2312" w:eastAsia="仿宋_GB2312" w:cs="仿宋_GB2312"/>
          <w:sz w:val="32"/>
          <w:szCs w:val="32"/>
        </w:rPr>
        <w:t>，总年度赔偿限额5000万元。财政</w:t>
      </w:r>
      <w:r>
        <w:rPr>
          <w:rFonts w:hint="eastAsia" w:ascii="仿宋_GB2312" w:eastAsia="仿宋_GB2312"/>
          <w:sz w:val="32"/>
          <w:szCs w:val="32"/>
        </w:rPr>
        <w:t>下达了2021年自然灾巨灾指数保险保费200万元专项用于巨灾指数保险费支出。</w:t>
      </w:r>
    </w:p>
    <w:p>
      <w:pPr>
        <w:pStyle w:val="49"/>
        <w:snapToGrid w:val="0"/>
        <w:spacing w:line="560" w:lineRule="exact"/>
        <w:ind w:firstLine="640" w:firstLineChars="200"/>
        <w:rPr>
          <w:rFonts w:eastAsia="黑体"/>
          <w:sz w:val="32"/>
          <w:szCs w:val="32"/>
        </w:rPr>
      </w:pPr>
      <w:r>
        <w:rPr>
          <w:rFonts w:eastAsia="黑体"/>
          <w:sz w:val="32"/>
          <w:szCs w:val="32"/>
        </w:rPr>
        <w:t>二、评价工作</w:t>
      </w:r>
      <w:r>
        <w:rPr>
          <w:rFonts w:hint="eastAsia" w:eastAsia="黑体"/>
          <w:sz w:val="32"/>
          <w:szCs w:val="32"/>
        </w:rPr>
        <w:t>开展</w:t>
      </w:r>
      <w:r>
        <w:rPr>
          <w:rFonts w:eastAsia="黑体"/>
          <w:sz w:val="32"/>
          <w:szCs w:val="32"/>
        </w:rPr>
        <w:t>情况</w:t>
      </w:r>
    </w:p>
    <w:p>
      <w:pPr>
        <w:pStyle w:val="49"/>
        <w:snapToGrid w:val="0"/>
        <w:spacing w:line="560" w:lineRule="exact"/>
        <w:ind w:firstLine="321" w:firstLineChars="100"/>
        <w:rPr>
          <w:rFonts w:ascii="楷体_GB2312" w:eastAsia="楷体_GB2312"/>
          <w:b/>
          <w:sz w:val="32"/>
          <w:szCs w:val="32"/>
        </w:rPr>
      </w:pPr>
      <w:r>
        <w:rPr>
          <w:rFonts w:hint="eastAsia" w:ascii="楷体_GB2312" w:eastAsia="楷体_GB2312"/>
          <w:b/>
          <w:sz w:val="32"/>
          <w:szCs w:val="32"/>
        </w:rPr>
        <w:t>（一）项目工作开展情况</w:t>
      </w:r>
    </w:p>
    <w:p>
      <w:pPr>
        <w:pStyle w:val="67"/>
        <w:widowControl/>
        <w:spacing w:before="0" w:beforeAutospacing="0" w:after="0" w:afterAutospacing="0" w:line="560" w:lineRule="exact"/>
        <w:ind w:firstLine="739" w:firstLineChars="231"/>
        <w:rPr>
          <w:rFonts w:ascii="楷体_GB2312" w:eastAsia="楷体_GB2312"/>
          <w:b/>
        </w:rPr>
      </w:pPr>
      <w:r>
        <w:rPr>
          <w:rFonts w:hint="eastAsia" w:ascii="仿宋_GB2312" w:cs="仿宋_GB2312"/>
          <w:sz w:val="32"/>
          <w:szCs w:val="32"/>
        </w:rPr>
        <w:t>结合单位自身项目实际，成立绩效评价工作小组，认真开展绩效自评，并出具自评报告。</w:t>
      </w:r>
      <w:r>
        <w:rPr>
          <w:rFonts w:hint="eastAsia" w:ascii="仿宋_GB2312" w:cs="仿宋_GB2312"/>
          <w:color w:val="3D3D3D"/>
          <w:sz w:val="32"/>
          <w:szCs w:val="32"/>
          <w:shd w:val="clear" w:color="auto" w:fill="FFFFFF"/>
        </w:rPr>
        <w:t>项目全年总数为200万元，执行数为200万元，完成年度支付任务。</w:t>
      </w:r>
    </w:p>
    <w:p>
      <w:pPr>
        <w:pStyle w:val="49"/>
        <w:numPr>
          <w:ilvl w:val="0"/>
          <w:numId w:val="12"/>
        </w:numPr>
        <w:snapToGrid w:val="0"/>
        <w:spacing w:line="560" w:lineRule="exact"/>
        <w:ind w:left="0" w:firstLine="642" w:firstLineChars="200"/>
        <w:rPr>
          <w:rFonts w:ascii="楷体_GB2312" w:eastAsia="楷体_GB2312"/>
          <w:b/>
          <w:sz w:val="32"/>
          <w:szCs w:val="32"/>
        </w:rPr>
      </w:pPr>
      <w:r>
        <w:rPr>
          <w:rFonts w:hint="eastAsia" w:ascii="楷体_GB2312" w:eastAsia="楷体_GB2312"/>
          <w:b/>
          <w:sz w:val="32"/>
          <w:szCs w:val="32"/>
        </w:rPr>
        <w:t>政策总体评价。</w:t>
      </w:r>
    </w:p>
    <w:p>
      <w:pPr>
        <w:pStyle w:val="49"/>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茂县地处岷江上游干旱河谷地带，地震、崩塌、滑坡、泥石流等自然灾害易发、多发，防灾减灾形势特别严峻。通过投保巨灾险将较为有效的减轻政府面对巨灾的财政压力，增加巨</w:t>
      </w:r>
      <w:r>
        <w:rPr>
          <w:rFonts w:hint="eastAsia" w:ascii="仿宋_GB2312" w:eastAsia="仿宋_GB2312" w:cs="仿宋_GB2312"/>
          <w:sz w:val="32"/>
          <w:szCs w:val="32"/>
        </w:rPr>
        <w:t>灾救助、巨灾恢复重建和巨灾修复支出的财政能力。</w:t>
      </w:r>
    </w:p>
    <w:p>
      <w:pPr>
        <w:pStyle w:val="49"/>
        <w:snapToGrid w:val="0"/>
        <w:spacing w:line="560" w:lineRule="exact"/>
        <w:ind w:firstLine="640" w:firstLineChars="200"/>
        <w:rPr>
          <w:rFonts w:ascii="黑体" w:eastAsia="黑体"/>
          <w:sz w:val="32"/>
          <w:szCs w:val="32"/>
        </w:rPr>
      </w:pPr>
      <w:r>
        <w:rPr>
          <w:rFonts w:hint="eastAsia" w:ascii="黑体" w:eastAsia="黑体"/>
          <w:sz w:val="32"/>
          <w:szCs w:val="32"/>
        </w:rPr>
        <w:t>三、政策绩效情况</w:t>
      </w:r>
    </w:p>
    <w:p>
      <w:pPr>
        <w:pStyle w:val="49"/>
        <w:snapToGrid w:val="0"/>
        <w:spacing w:line="560" w:lineRule="exact"/>
        <w:ind w:firstLine="642" w:firstLineChars="200"/>
        <w:rPr>
          <w:rFonts w:ascii="楷体_GB2312" w:eastAsia="楷体_GB2312"/>
          <w:b/>
          <w:sz w:val="32"/>
          <w:szCs w:val="32"/>
        </w:rPr>
      </w:pPr>
      <w:r>
        <w:rPr>
          <w:rFonts w:hint="eastAsia" w:ascii="楷体_GB2312" w:eastAsia="楷体_GB2312"/>
          <w:b/>
          <w:sz w:val="32"/>
          <w:szCs w:val="32"/>
        </w:rPr>
        <w:t>（一）政策设计。</w:t>
      </w:r>
    </w:p>
    <w:p>
      <w:pPr>
        <w:pStyle w:val="49"/>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1.目标是明确合理，目标设定与客观需求一致。</w:t>
      </w:r>
    </w:p>
    <w:p>
      <w:pPr>
        <w:pStyle w:val="49"/>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2.投保范围，茂县行政区域内。</w:t>
      </w:r>
    </w:p>
    <w:p>
      <w:pPr>
        <w:pStyle w:val="49"/>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3.投保包括地震、强降雨、泥石流、崩塌、突发性滑坡其他自然灾害公共设施赔偿；包括灾害造成的人身伤害赔偿。</w:t>
      </w:r>
    </w:p>
    <w:p>
      <w:pPr>
        <w:pStyle w:val="49"/>
        <w:snapToGrid w:val="0"/>
        <w:spacing w:line="560" w:lineRule="exact"/>
        <w:ind w:firstLine="642" w:firstLineChars="200"/>
        <w:rPr>
          <w:rFonts w:ascii="楷体_GB2312" w:eastAsia="楷体_GB2312"/>
          <w:b/>
          <w:sz w:val="32"/>
          <w:szCs w:val="32"/>
        </w:rPr>
      </w:pPr>
      <w:r>
        <w:rPr>
          <w:rFonts w:hint="eastAsia" w:ascii="楷体_GB2312" w:eastAsia="楷体_GB2312"/>
          <w:b/>
          <w:sz w:val="32"/>
          <w:szCs w:val="32"/>
        </w:rPr>
        <w:t>（二）政策执行。</w:t>
      </w:r>
    </w:p>
    <w:p>
      <w:pPr>
        <w:pStyle w:val="49"/>
        <w:snapToGrid w:val="0"/>
        <w:spacing w:line="560" w:lineRule="exact"/>
        <w:ind w:firstLine="640" w:firstLineChars="200"/>
        <w:rPr>
          <w:rFonts w:ascii="仿宋_GB2312" w:eastAsia="仿宋_GB2312"/>
          <w:sz w:val="32"/>
          <w:szCs w:val="32"/>
        </w:rPr>
      </w:pPr>
      <w:r>
        <w:rPr>
          <w:rFonts w:hint="eastAsia" w:ascii="仿宋_GB2312" w:hAnsi="仿宋_GB2312"/>
          <w:sz w:val="32"/>
          <w:szCs w:val="32"/>
        </w:rPr>
        <w:t>1.实施对象精准。</w:t>
      </w:r>
    </w:p>
    <w:p>
      <w:pPr>
        <w:pStyle w:val="49"/>
        <w:snapToGrid w:val="0"/>
        <w:spacing w:line="560" w:lineRule="exact"/>
        <w:ind w:firstLine="640" w:firstLineChars="200"/>
        <w:rPr>
          <w:rFonts w:ascii="仿宋_GB2312" w:hAnsi="仿宋_GB2312"/>
          <w:sz w:val="32"/>
          <w:szCs w:val="32"/>
        </w:rPr>
      </w:pPr>
      <w:r>
        <w:rPr>
          <w:rFonts w:hint="eastAsia" w:ascii="仿宋_GB2312" w:hAnsi="仿宋_GB2312"/>
          <w:sz w:val="32"/>
          <w:szCs w:val="32"/>
        </w:rPr>
        <w:t>2.根据实际灾情损失情况及时赔付</w:t>
      </w:r>
    </w:p>
    <w:p>
      <w:pPr>
        <w:pStyle w:val="49"/>
        <w:snapToGrid w:val="0"/>
        <w:spacing w:line="560" w:lineRule="exact"/>
        <w:ind w:firstLine="640" w:firstLineChars="200"/>
        <w:rPr>
          <w:rFonts w:ascii="仿宋_GB2312" w:hAnsi="仿宋_GB2312"/>
        </w:rPr>
      </w:pPr>
      <w:r>
        <w:rPr>
          <w:rFonts w:hint="eastAsia" w:ascii="仿宋_GB2312" w:hAnsi="仿宋_GB2312"/>
          <w:sz w:val="32"/>
          <w:szCs w:val="32"/>
        </w:rPr>
        <w:t>3.灾情发生后</w:t>
      </w:r>
      <w:r>
        <w:rPr>
          <w:rFonts w:hint="eastAsia" w:ascii="宋体" w:cs="仿宋_GB2312"/>
          <w:sz w:val="32"/>
          <w:szCs w:val="32"/>
        </w:rPr>
        <w:t>中航安盟财政保险有限公司四川省分公司《茂县财政风险巨灾指数保险方案</w:t>
      </w:r>
      <w:r>
        <w:rPr>
          <w:rFonts w:hint="eastAsia" w:ascii="楷体_GB2312" w:hAnsi="楷体_GB2312"/>
          <w:sz w:val="32"/>
          <w:szCs w:val="32"/>
        </w:rPr>
        <w:t>》核实灾情，执行赔付</w:t>
      </w:r>
      <w:r>
        <w:rPr>
          <w:rFonts w:hint="eastAsia" w:ascii="楷体_GB2312" w:hAnsi="楷体_GB2312"/>
          <w:sz w:val="32"/>
        </w:rPr>
        <w:t>。</w:t>
      </w:r>
    </w:p>
    <w:p>
      <w:pPr>
        <w:pStyle w:val="49"/>
        <w:snapToGrid w:val="0"/>
        <w:spacing w:line="560" w:lineRule="exact"/>
        <w:ind w:firstLine="642" w:firstLineChars="200"/>
        <w:rPr>
          <w:rFonts w:ascii="仿宋_GB2312" w:hAnsi="仿宋_GB2312"/>
          <w:sz w:val="32"/>
          <w:szCs w:val="32"/>
        </w:rPr>
      </w:pPr>
      <w:r>
        <w:rPr>
          <w:rFonts w:hint="eastAsia" w:ascii="楷体_GB2312" w:eastAsia="楷体_GB2312"/>
          <w:b/>
          <w:sz w:val="32"/>
          <w:szCs w:val="32"/>
        </w:rPr>
        <w:t>（三）政策效果。</w:t>
      </w:r>
    </w:p>
    <w:p>
      <w:pPr>
        <w:pStyle w:val="49"/>
        <w:snapToGrid w:val="0"/>
        <w:spacing w:line="560" w:lineRule="exact"/>
        <w:ind w:firstLine="640" w:firstLineChars="200"/>
        <w:rPr>
          <w:rFonts w:ascii="仿宋_GB2312" w:eastAsia="仿宋_GB2312"/>
        </w:rPr>
      </w:pPr>
      <w:r>
        <w:rPr>
          <w:rFonts w:hint="eastAsia" w:ascii="仿宋_GB2312" w:eastAsia="仿宋_GB2312"/>
          <w:sz w:val="32"/>
        </w:rPr>
        <w:t>2020年我县先继发生“7.25”和“8.16”强降雨山洪泥石流，造成我县凤仪镇和沟口镇严重受灾，根据《</w:t>
      </w:r>
      <w:r>
        <w:rPr>
          <w:rFonts w:hint="eastAsia" w:ascii="仿宋_GB2312" w:eastAsia="仿宋_GB2312" w:cs="仿宋_GB2312"/>
          <w:sz w:val="32"/>
          <w:szCs w:val="32"/>
        </w:rPr>
        <w:t>茂县财政风险巨灾指数保险方案</w:t>
      </w:r>
      <w:r>
        <w:rPr>
          <w:rFonts w:hint="eastAsia" w:ascii="仿宋_GB2312" w:eastAsia="仿宋_GB2312"/>
          <w:sz w:val="32"/>
        </w:rPr>
        <w:t>》和</w:t>
      </w:r>
      <w:r>
        <w:rPr>
          <w:rFonts w:hint="eastAsia" w:ascii="仿宋_GB2312" w:eastAsia="仿宋_GB2312" w:cs="仿宋_GB2312"/>
          <w:sz w:val="32"/>
          <w:szCs w:val="32"/>
        </w:rPr>
        <w:t>《合作框架协议》。中航安盟财政保险有限公司四川省分公司通过县财政局专户赔付了150万元灾害损失，赔付费用用于县人民政府灾难救助、灾后恢复重建和灾后修复支出，减轻了财政支出压力</w:t>
      </w:r>
    </w:p>
    <w:p>
      <w:pPr>
        <w:pStyle w:val="49"/>
        <w:snapToGrid w:val="0"/>
        <w:spacing w:line="560" w:lineRule="exact"/>
        <w:ind w:firstLine="640" w:firstLineChars="200"/>
        <w:rPr>
          <w:rFonts w:ascii="黑体" w:eastAsia="黑体"/>
          <w:sz w:val="32"/>
          <w:szCs w:val="32"/>
        </w:rPr>
      </w:pPr>
      <w:r>
        <w:rPr>
          <w:rFonts w:hint="eastAsia" w:ascii="黑体" w:eastAsia="黑体"/>
          <w:sz w:val="32"/>
          <w:szCs w:val="32"/>
        </w:rPr>
        <w:t>四、存在问题</w:t>
      </w:r>
    </w:p>
    <w:p>
      <w:pPr>
        <w:pStyle w:val="49"/>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无</w:t>
      </w:r>
    </w:p>
    <w:p>
      <w:pPr>
        <w:pStyle w:val="49"/>
        <w:numPr>
          <w:ilvl w:val="0"/>
          <w:numId w:val="13"/>
        </w:numPr>
        <w:snapToGrid w:val="0"/>
        <w:spacing w:line="560" w:lineRule="exact"/>
        <w:ind w:left="0" w:firstLine="640" w:firstLineChars="200"/>
        <w:rPr>
          <w:rFonts w:eastAsia="黑体"/>
          <w:sz w:val="32"/>
          <w:szCs w:val="32"/>
        </w:rPr>
      </w:pPr>
      <w:r>
        <w:rPr>
          <w:rFonts w:hint="eastAsia" w:eastAsia="黑体"/>
          <w:sz w:val="32"/>
          <w:szCs w:val="32"/>
        </w:rPr>
        <w:t>建议</w:t>
      </w:r>
    </w:p>
    <w:p>
      <w:pPr>
        <w:pStyle w:val="49"/>
        <w:snapToGrid w:val="0"/>
        <w:spacing w:line="560" w:lineRule="exact"/>
        <w:ind w:firstLine="640"/>
        <w:rPr>
          <w:rFonts w:ascii="仿宋_GB2312" w:eastAsia="仿宋_GB2312" w:cs="仿宋_GB2312"/>
          <w:sz w:val="32"/>
          <w:szCs w:val="32"/>
        </w:rPr>
      </w:pPr>
      <w:r>
        <w:rPr>
          <w:rFonts w:hint="eastAsia" w:ascii="仿宋_GB2312" w:eastAsia="仿宋_GB2312" w:cs="仿宋_GB2312"/>
          <w:sz w:val="32"/>
          <w:szCs w:val="32"/>
        </w:rPr>
        <w:t>无</w:t>
      </w:r>
    </w:p>
    <w:p>
      <w:pPr>
        <w:pStyle w:val="49"/>
        <w:spacing w:line="570" w:lineRule="exact"/>
      </w:pPr>
      <w:r>
        <w:t xml:space="preserve">               </w:t>
      </w:r>
    </w:p>
    <w:p>
      <w:pPr>
        <w:pStyle w:val="49"/>
        <w:spacing w:line="596" w:lineRule="exact"/>
        <w:jc w:val="center"/>
        <w:rPr>
          <w:rFonts w:ascii="仿宋_GB2312" w:eastAsia="仿宋_GB2312" w:cs="仿宋_GB2312"/>
          <w:sz w:val="32"/>
          <w:szCs w:val="32"/>
        </w:rPr>
      </w:pPr>
      <w:r>
        <w:t xml:space="preserve">              </w:t>
      </w:r>
      <w:r>
        <w:rPr>
          <w:rFonts w:hint="eastAsia" w:ascii="仿宋_GB2312" w:eastAsia="仿宋_GB2312" w:cs="仿宋_GB2312"/>
          <w:sz w:val="32"/>
          <w:szCs w:val="32"/>
        </w:rPr>
        <w:t>（安全生产综合信息平台技术服务支撑费）</w:t>
      </w:r>
    </w:p>
    <w:p>
      <w:pPr>
        <w:pStyle w:val="49"/>
        <w:adjustRightInd w:val="0"/>
        <w:snapToGrid w:val="0"/>
        <w:spacing w:line="596" w:lineRule="exact"/>
        <w:ind w:firstLine="720"/>
        <w:rPr>
          <w:rFonts w:ascii="黑体" w:eastAsia="黑体" w:cs="黑体"/>
          <w:sz w:val="32"/>
          <w:szCs w:val="32"/>
        </w:rPr>
      </w:pPr>
      <w:r>
        <w:rPr>
          <w:rFonts w:hint="eastAsia" w:ascii="黑体" w:eastAsia="黑体" w:cs="黑体"/>
          <w:sz w:val="32"/>
          <w:szCs w:val="32"/>
        </w:rPr>
        <w:t>一、</w:t>
      </w:r>
      <w:r>
        <w:rPr>
          <w:rFonts w:hint="eastAsia" w:ascii="黑体" w:eastAsia="黑体" w:cs="黑体"/>
          <w:sz w:val="32"/>
          <w:szCs w:val="32"/>
          <w:lang w:val="zh-CN"/>
        </w:rPr>
        <w:t>项目概况</w:t>
      </w:r>
      <w:r>
        <w:rPr>
          <w:rFonts w:hint="eastAsia" w:ascii="黑体" w:eastAsia="黑体" w:cs="黑体"/>
          <w:sz w:val="32"/>
          <w:szCs w:val="32"/>
        </w:rPr>
        <w:t xml:space="preserve"> </w:t>
      </w:r>
    </w:p>
    <w:p>
      <w:pPr>
        <w:pStyle w:val="49"/>
        <w:spacing w:line="596"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rPr>
        <w:t>通过建立安全生产重大危险源远程监控，采集企业安全生产基础数据，实现从企业现场到监管人员之间的快速高效信息传送，为安全监管部门的日常安全监管监察和事故应急处置工作提供科学依据和技术手段，于2016年底完成并试运行。</w:t>
      </w:r>
    </w:p>
    <w:p>
      <w:pPr>
        <w:pStyle w:val="49"/>
        <w:numPr>
          <w:ilvl w:val="0"/>
          <w:numId w:val="14"/>
        </w:numPr>
        <w:adjustRightInd w:val="0"/>
        <w:snapToGrid w:val="0"/>
        <w:spacing w:line="596" w:lineRule="exact"/>
        <w:ind w:left="0" w:firstLine="642" w:firstLineChars="200"/>
        <w:rPr>
          <w:rFonts w:ascii="仿宋_GB2312" w:eastAsia="仿宋_GB2312" w:cs="仿宋_GB2312"/>
          <w:b/>
          <w:sz w:val="32"/>
          <w:szCs w:val="32"/>
          <w:lang w:val="zh-CN"/>
        </w:rPr>
      </w:pPr>
      <w:r>
        <w:rPr>
          <w:rFonts w:hint="eastAsia" w:ascii="楷体" w:eastAsia="楷体" w:cs="楷体"/>
          <w:b/>
          <w:sz w:val="32"/>
          <w:szCs w:val="32"/>
          <w:lang w:val="zh-CN"/>
        </w:rPr>
        <w:t>项目资金申报及批复情况</w:t>
      </w:r>
    </w:p>
    <w:p>
      <w:pPr>
        <w:pStyle w:val="49"/>
        <w:adjustRightInd w:val="0"/>
        <w:snapToGrid w:val="0"/>
        <w:spacing w:line="596"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rPr>
        <w:t>经2015年9月10日14届茂县人民政府第50次常务会议研究同意，茂府纪〔2015〕7号《14届茂县人民政府第50次常务会议纪要》，运行维护费由县财政解决，但是涉及企业前端的运行维护费原则上由企业负担。</w:t>
      </w:r>
    </w:p>
    <w:p>
      <w:pPr>
        <w:pStyle w:val="49"/>
        <w:adjustRightInd w:val="0"/>
        <w:snapToGrid w:val="0"/>
        <w:spacing w:line="596" w:lineRule="exact"/>
        <w:ind w:left="720"/>
        <w:rPr>
          <w:rFonts w:ascii="仿宋_GB2312" w:eastAsia="仿宋_GB2312" w:cs="仿宋_GB2312"/>
          <w:b/>
          <w:sz w:val="32"/>
          <w:szCs w:val="32"/>
          <w:lang w:val="zh-CN"/>
        </w:rPr>
      </w:pPr>
      <w:r>
        <w:rPr>
          <w:rFonts w:hint="eastAsia" w:ascii="仿宋_GB2312" w:eastAsia="仿宋_GB2312" w:cs="仿宋_GB2312"/>
          <w:b/>
          <w:sz w:val="32"/>
          <w:szCs w:val="32"/>
          <w:lang w:val="zh-CN"/>
        </w:rPr>
        <w:t>（</w:t>
      </w:r>
      <w:r>
        <w:rPr>
          <w:rFonts w:hint="eastAsia" w:ascii="仿宋_GB2312" w:eastAsia="仿宋_GB2312" w:cs="仿宋_GB2312"/>
          <w:b/>
          <w:sz w:val="32"/>
          <w:szCs w:val="32"/>
        </w:rPr>
        <w:t>二</w:t>
      </w:r>
      <w:r>
        <w:rPr>
          <w:rFonts w:hint="eastAsia" w:ascii="仿宋_GB2312" w:eastAsia="仿宋_GB2312" w:cs="仿宋_GB2312"/>
          <w:b/>
          <w:sz w:val="32"/>
          <w:szCs w:val="32"/>
          <w:lang w:val="zh-CN"/>
        </w:rPr>
        <w:t>）项目绩效目标</w:t>
      </w:r>
    </w:p>
    <w:p>
      <w:pPr>
        <w:pStyle w:val="49"/>
        <w:spacing w:line="596" w:lineRule="exact"/>
        <w:rPr>
          <w:rFonts w:ascii="仿宋_GB2312" w:eastAsia="仿宋_GB2312" w:cs="仿宋_GB2312"/>
          <w:sz w:val="32"/>
          <w:szCs w:val="32"/>
        </w:rPr>
      </w:pPr>
      <w:r>
        <w:rPr>
          <w:rFonts w:hint="eastAsia" w:ascii="仿宋_GB2312" w:eastAsia="仿宋_GB2312" w:cs="仿宋_GB2312"/>
          <w:sz w:val="32"/>
          <w:szCs w:val="32"/>
        </w:rPr>
        <w:t xml:space="preserve">     1.确保对监管行业的安全生产实施预警监测，有效预防和减少安全生产突发事件的发生、控制、减轻和消除突发事件引起的严重社会危害。</w:t>
      </w:r>
    </w:p>
    <w:p>
      <w:pPr>
        <w:pStyle w:val="49"/>
        <w:spacing w:line="596" w:lineRule="exact"/>
        <w:rPr>
          <w:rFonts w:ascii="仿宋_GB2312" w:eastAsia="仿宋_GB2312" w:cs="仿宋_GB2312"/>
          <w:sz w:val="32"/>
          <w:szCs w:val="32"/>
        </w:rPr>
      </w:pPr>
      <w:r>
        <w:rPr>
          <w:rFonts w:hint="eastAsia" w:ascii="仿宋_GB2312" w:eastAsia="仿宋_GB2312" w:cs="仿宋_GB2312"/>
          <w:sz w:val="32"/>
          <w:szCs w:val="32"/>
        </w:rPr>
        <w:t xml:space="preserve">    2.对重特大安全生产事故实施应急救援指挥。</w:t>
      </w:r>
    </w:p>
    <w:p>
      <w:pPr>
        <w:pStyle w:val="49"/>
        <w:spacing w:line="596" w:lineRule="exact"/>
        <w:rPr>
          <w:rFonts w:ascii="仿宋_GB2312" w:eastAsia="仿宋_GB2312" w:cs="仿宋_GB2312"/>
          <w:sz w:val="32"/>
          <w:szCs w:val="32"/>
        </w:rPr>
      </w:pPr>
      <w:r>
        <w:rPr>
          <w:rFonts w:hint="eastAsia" w:ascii="仿宋_GB2312" w:eastAsia="仿宋_GB2312" w:cs="仿宋_GB2312"/>
          <w:sz w:val="32"/>
          <w:szCs w:val="32"/>
        </w:rPr>
        <w:t xml:space="preserve">    3.提高救援能力。及时调动公安消防、环保、气象、卫生及相关专家，及时处置突发事件。</w:t>
      </w:r>
    </w:p>
    <w:p>
      <w:pPr>
        <w:pStyle w:val="49"/>
        <w:spacing w:line="596" w:lineRule="exact"/>
        <w:rPr>
          <w:rFonts w:ascii="仿宋_GB2312" w:eastAsia="仿宋_GB2312" w:cs="仿宋_GB2312"/>
          <w:sz w:val="32"/>
          <w:szCs w:val="32"/>
        </w:rPr>
      </w:pPr>
      <w:r>
        <w:rPr>
          <w:rFonts w:hint="eastAsia" w:ascii="仿宋_GB2312" w:eastAsia="仿宋_GB2312" w:cs="仿宋_GB2312"/>
          <w:sz w:val="32"/>
          <w:szCs w:val="32"/>
        </w:rPr>
        <w:t xml:space="preserve">    4.对企业安全生产的事故隐患督查，为行政执法、事故起因调查提供可靠技术保障。</w:t>
      </w:r>
    </w:p>
    <w:p>
      <w:pPr>
        <w:pStyle w:val="49"/>
        <w:spacing w:line="596" w:lineRule="exact"/>
        <w:rPr>
          <w:rFonts w:ascii="仿宋_GB2312" w:eastAsia="仿宋_GB2312" w:cs="仿宋_GB2312"/>
          <w:b/>
          <w:sz w:val="32"/>
          <w:szCs w:val="32"/>
          <w:lang w:val="zh-CN"/>
        </w:rPr>
      </w:pPr>
      <w:r>
        <w:rPr>
          <w:rFonts w:hint="eastAsia" w:ascii="仿宋_GB2312" w:eastAsia="仿宋_GB2312" w:cs="仿宋_GB2312"/>
          <w:sz w:val="32"/>
          <w:szCs w:val="32"/>
        </w:rPr>
        <w:t xml:space="preserve">    5.科学地制定重、特大事故的应急救援方案和抢险救援实施方案，有效降低、减少事故导致的人员伤亡和财产损失。</w:t>
      </w:r>
    </w:p>
    <w:p>
      <w:pPr>
        <w:pStyle w:val="49"/>
        <w:adjustRightInd w:val="0"/>
        <w:snapToGrid w:val="0"/>
        <w:spacing w:line="596" w:lineRule="exact"/>
        <w:ind w:firstLine="642" w:firstLineChars="200"/>
        <w:rPr>
          <w:rFonts w:ascii="楷体" w:eastAsia="楷体" w:cs="楷体"/>
          <w:b/>
          <w:sz w:val="32"/>
          <w:szCs w:val="32"/>
          <w:lang w:val="zh-CN"/>
        </w:rPr>
      </w:pPr>
      <w:r>
        <w:rPr>
          <w:rFonts w:hint="eastAsia" w:ascii="楷体" w:eastAsia="楷体" w:cs="楷体"/>
          <w:b/>
          <w:sz w:val="32"/>
          <w:szCs w:val="32"/>
          <w:lang w:val="zh-CN"/>
        </w:rPr>
        <w:t>（三）项目资金申报相符性</w:t>
      </w:r>
    </w:p>
    <w:p>
      <w:pPr>
        <w:pStyle w:val="49"/>
        <w:adjustRightInd w:val="0"/>
        <w:snapToGrid w:val="0"/>
        <w:spacing w:line="596" w:lineRule="exact"/>
        <w:ind w:firstLine="640" w:firstLineChars="200"/>
        <w:rPr>
          <w:rFonts w:ascii="仿宋_GB2312" w:eastAsia="仿宋_GB2312" w:cs="仿宋_GB2312"/>
          <w:sz w:val="32"/>
          <w:szCs w:val="32"/>
        </w:rPr>
      </w:pPr>
      <w:r>
        <w:rPr>
          <w:rFonts w:hint="eastAsia" w:ascii="仿宋_GB2312" w:eastAsia="仿宋_GB2312" w:cs="仿宋_GB2312"/>
          <w:bCs/>
          <w:sz w:val="32"/>
          <w:szCs w:val="32"/>
          <w:lang w:val="zh-CN"/>
        </w:rPr>
        <w:t>根据《茂县安监平台技术服务支撑协议》，第四条（一）项费用标准，运行维护费用为</w:t>
      </w:r>
      <w:r>
        <w:rPr>
          <w:rFonts w:hint="eastAsia" w:ascii="仿宋_GB2312" w:eastAsia="仿宋_GB2312" w:cs="仿宋_GB2312"/>
          <w:bCs/>
          <w:sz w:val="32"/>
          <w:szCs w:val="32"/>
        </w:rPr>
        <w:t>21.55万元/月。</w:t>
      </w:r>
    </w:p>
    <w:p>
      <w:pPr>
        <w:pStyle w:val="49"/>
        <w:adjustRightInd w:val="0"/>
        <w:snapToGrid w:val="0"/>
        <w:spacing w:line="596" w:lineRule="exact"/>
        <w:ind w:firstLine="720"/>
        <w:rPr>
          <w:rFonts w:ascii="黑体" w:eastAsia="黑体" w:cs="黑体"/>
          <w:sz w:val="32"/>
          <w:szCs w:val="32"/>
        </w:rPr>
      </w:pPr>
      <w:r>
        <w:rPr>
          <w:rFonts w:hint="eastAsia" w:ascii="黑体" w:eastAsia="黑体" w:cs="黑体"/>
          <w:sz w:val="32"/>
          <w:szCs w:val="32"/>
        </w:rPr>
        <w:t>二、项目开展情况</w:t>
      </w:r>
    </w:p>
    <w:p>
      <w:pPr>
        <w:pStyle w:val="49"/>
        <w:adjustRightInd w:val="0"/>
        <w:snapToGrid w:val="0"/>
        <w:spacing w:line="596" w:lineRule="exact"/>
        <w:rPr>
          <w:rFonts w:ascii="仿宋_GB2312" w:eastAsia="仿宋_GB2312" w:cs="仿宋_GB2312"/>
          <w:b/>
          <w:sz w:val="32"/>
          <w:szCs w:val="32"/>
          <w:lang w:val="zh-CN"/>
        </w:rPr>
      </w:pPr>
      <w:r>
        <w:rPr>
          <w:rFonts w:hint="eastAsia" w:ascii="仿宋_GB2312" w:eastAsia="仿宋_GB2312" w:cs="仿宋_GB2312"/>
          <w:sz w:val="32"/>
          <w:szCs w:val="32"/>
          <w:lang w:val="zh-CN"/>
        </w:rPr>
        <w:tab/>
      </w:r>
      <w:r>
        <w:rPr>
          <w:rFonts w:hint="eastAsia" w:ascii="楷体" w:eastAsia="楷体" w:cs="楷体"/>
          <w:b/>
          <w:sz w:val="32"/>
          <w:szCs w:val="32"/>
          <w:lang w:val="zh-CN"/>
        </w:rPr>
        <w:t>（一）资金计划、到位及使用情况</w:t>
      </w:r>
    </w:p>
    <w:p>
      <w:pPr>
        <w:pStyle w:val="49"/>
        <w:adjustRightInd w:val="0"/>
        <w:snapToGrid w:val="0"/>
        <w:spacing w:line="596" w:lineRule="exact"/>
        <w:ind w:firstLine="720"/>
        <w:rPr>
          <w:rFonts w:ascii="仿宋_GB2312" w:eastAsia="仿宋_GB2312" w:cs="仿宋_GB2312"/>
          <w:bCs/>
          <w:sz w:val="32"/>
          <w:szCs w:val="32"/>
        </w:rPr>
      </w:pPr>
      <w:r>
        <w:rPr>
          <w:rFonts w:hint="eastAsia" w:ascii="仿宋_GB2312" w:eastAsia="仿宋_GB2312" w:cs="仿宋_GB2312"/>
          <w:sz w:val="32"/>
          <w:szCs w:val="32"/>
          <w:lang w:val="zh-CN"/>
        </w:rPr>
        <w:t>1</w:t>
      </w:r>
      <w:r>
        <w:rPr>
          <w:rFonts w:hint="eastAsia" w:ascii="仿宋_GB2312" w:eastAsia="仿宋_GB2312" w:cs="仿宋_GB2312"/>
          <w:sz w:val="32"/>
          <w:szCs w:val="32"/>
        </w:rPr>
        <w:t>.</w:t>
      </w:r>
      <w:r>
        <w:rPr>
          <w:rFonts w:hint="eastAsia" w:ascii="仿宋_GB2312" w:eastAsia="仿宋_GB2312" w:cs="仿宋_GB2312"/>
          <w:sz w:val="32"/>
          <w:szCs w:val="32"/>
          <w:lang w:val="zh-CN"/>
        </w:rPr>
        <w:t>资金计划及到位</w:t>
      </w:r>
      <w:r>
        <w:rPr>
          <w:rFonts w:hint="eastAsia" w:ascii="仿宋_GB2312" w:eastAsia="仿宋_GB2312" w:cs="仿宋_GB2312"/>
          <w:sz w:val="32"/>
          <w:szCs w:val="32"/>
        </w:rPr>
        <w:t>。从2016年12月开始由县财政每月解决</w:t>
      </w:r>
      <w:r>
        <w:rPr>
          <w:rFonts w:hint="eastAsia" w:ascii="仿宋_GB2312" w:eastAsia="仿宋_GB2312" w:cs="仿宋_GB2312"/>
          <w:bCs/>
          <w:sz w:val="32"/>
          <w:szCs w:val="32"/>
        </w:rPr>
        <w:t>21.55万元/月运行维护费。1年运行维护费用为258.6万元。</w:t>
      </w:r>
    </w:p>
    <w:p>
      <w:pPr>
        <w:pStyle w:val="49"/>
        <w:adjustRightInd w:val="0"/>
        <w:snapToGrid w:val="0"/>
        <w:spacing w:line="596" w:lineRule="exact"/>
        <w:ind w:firstLine="720"/>
        <w:rPr>
          <w:rFonts w:ascii="仿宋_GB2312" w:eastAsia="仿宋_GB2312" w:cs="仿宋_GB2312"/>
          <w:sz w:val="32"/>
          <w:szCs w:val="32"/>
        </w:rPr>
      </w:pPr>
      <w:r>
        <w:rPr>
          <w:rFonts w:hint="eastAsia" w:ascii="仿宋_GB2312" w:eastAsia="仿宋_GB2312" w:cs="仿宋_GB2312"/>
          <w:sz w:val="32"/>
          <w:szCs w:val="32"/>
          <w:lang w:val="zh-CN"/>
        </w:rPr>
        <w:t>2</w:t>
      </w:r>
      <w:r>
        <w:rPr>
          <w:rFonts w:hint="eastAsia" w:ascii="仿宋_GB2312" w:eastAsia="仿宋_GB2312" w:cs="仿宋_GB2312"/>
          <w:sz w:val="32"/>
          <w:szCs w:val="32"/>
        </w:rPr>
        <w:t>.</w:t>
      </w:r>
      <w:r>
        <w:rPr>
          <w:rFonts w:hint="eastAsia" w:ascii="仿宋_GB2312" w:eastAsia="仿宋_GB2312" w:cs="仿宋_GB2312"/>
          <w:sz w:val="32"/>
          <w:szCs w:val="32"/>
          <w:lang w:val="zh-CN"/>
        </w:rPr>
        <w:t>资金使用</w:t>
      </w:r>
      <w:r>
        <w:rPr>
          <w:rFonts w:hint="eastAsia" w:ascii="仿宋_GB2312" w:eastAsia="仿宋_GB2312" w:cs="仿宋_GB2312"/>
          <w:sz w:val="32"/>
          <w:szCs w:val="32"/>
        </w:rPr>
        <w:t>。本次项目资金是从20</w:t>
      </w:r>
      <w:r>
        <w:rPr>
          <w:rFonts w:hint="eastAsia" w:ascii="仿宋_GB2312" w:hAnsi="仿宋_GB2312" w:cs="仿宋_GB2312"/>
          <w:sz w:val="32"/>
          <w:szCs w:val="32"/>
        </w:rPr>
        <w:t>20</w:t>
      </w:r>
      <w:r>
        <w:rPr>
          <w:rFonts w:hint="eastAsia" w:ascii="仿宋_GB2312" w:eastAsia="仿宋_GB2312" w:cs="仿宋_GB2312"/>
          <w:sz w:val="32"/>
          <w:szCs w:val="32"/>
        </w:rPr>
        <w:t>年12月至202</w:t>
      </w:r>
      <w:r>
        <w:rPr>
          <w:rFonts w:hint="eastAsia" w:ascii="仿宋_GB2312" w:hAnsi="仿宋_GB2312" w:cs="仿宋_GB2312"/>
          <w:sz w:val="32"/>
          <w:szCs w:val="32"/>
        </w:rPr>
        <w:t>1</w:t>
      </w:r>
      <w:r>
        <w:rPr>
          <w:rFonts w:hint="eastAsia" w:ascii="仿宋_GB2312" w:eastAsia="仿宋_GB2312" w:cs="仿宋_GB2312"/>
          <w:sz w:val="32"/>
          <w:szCs w:val="32"/>
        </w:rPr>
        <w:t>年11月</w:t>
      </w:r>
      <w:r>
        <w:rPr>
          <w:rFonts w:hint="eastAsia" w:ascii="仿宋_GB2312" w:eastAsia="仿宋_GB2312" w:cs="仿宋_GB2312"/>
          <w:bCs/>
          <w:sz w:val="32"/>
          <w:szCs w:val="32"/>
        </w:rPr>
        <w:t>，为258.6万元，已经全部支付</w:t>
      </w:r>
      <w:r>
        <w:rPr>
          <w:rFonts w:hint="eastAsia" w:ascii="仿宋_GB2312" w:eastAsia="仿宋_GB2312" w:cs="仿宋_GB2312"/>
          <w:bCs/>
          <w:color w:val="000000"/>
          <w:sz w:val="32"/>
          <w:szCs w:val="32"/>
        </w:rPr>
        <w:t>。</w:t>
      </w:r>
    </w:p>
    <w:p>
      <w:pPr>
        <w:pStyle w:val="49"/>
        <w:adjustRightInd w:val="0"/>
        <w:snapToGrid w:val="0"/>
        <w:spacing w:line="596" w:lineRule="exact"/>
        <w:ind w:firstLine="720"/>
        <w:rPr>
          <w:rFonts w:ascii="楷体_GB2312" w:eastAsia="楷体_GB2312" w:cs="楷体_GB2312"/>
          <w:b/>
          <w:sz w:val="32"/>
          <w:szCs w:val="32"/>
          <w:lang w:val="zh-CN"/>
        </w:rPr>
      </w:pPr>
      <w:r>
        <w:rPr>
          <w:rFonts w:hint="eastAsia" w:ascii="楷体_GB2312" w:eastAsia="楷体_GB2312" w:cs="楷体_GB2312"/>
          <w:b/>
          <w:sz w:val="32"/>
          <w:szCs w:val="32"/>
          <w:lang w:val="zh-CN"/>
        </w:rPr>
        <w:t>（二）项目</w:t>
      </w:r>
      <w:r>
        <w:rPr>
          <w:rFonts w:hint="eastAsia" w:ascii="楷体_GB2312" w:eastAsia="楷体_GB2312" w:cs="楷体_GB2312"/>
          <w:b/>
          <w:sz w:val="32"/>
          <w:szCs w:val="32"/>
        </w:rPr>
        <w:t>支付</w:t>
      </w:r>
      <w:r>
        <w:rPr>
          <w:rFonts w:hint="eastAsia" w:ascii="楷体_GB2312" w:eastAsia="楷体_GB2312" w:cs="楷体_GB2312"/>
          <w:b/>
          <w:sz w:val="32"/>
          <w:szCs w:val="32"/>
          <w:lang w:val="zh-CN"/>
        </w:rPr>
        <w:t>情况</w:t>
      </w:r>
    </w:p>
    <w:p>
      <w:pPr>
        <w:pStyle w:val="49"/>
        <w:adjustRightInd w:val="0"/>
        <w:snapToGrid w:val="0"/>
        <w:spacing w:line="596" w:lineRule="exact"/>
        <w:ind w:firstLine="720"/>
        <w:rPr>
          <w:rFonts w:ascii="仿宋_GB2312" w:eastAsia="仿宋_GB2312" w:cs="仿宋_GB2312"/>
          <w:sz w:val="32"/>
          <w:szCs w:val="32"/>
          <w:lang w:val="zh-CN"/>
        </w:rPr>
      </w:pPr>
      <w:r>
        <w:rPr>
          <w:rFonts w:hint="eastAsia" w:ascii="仿宋_GB2312" w:eastAsia="仿宋_GB2312" w:cs="仿宋_GB2312"/>
          <w:bCs/>
          <w:sz w:val="32"/>
          <w:szCs w:val="32"/>
          <w:lang w:val="zh-CN"/>
        </w:rPr>
        <w:t>根据《茂县安监平台技术服务支撑协议》</w:t>
      </w:r>
      <w:r>
        <w:rPr>
          <w:rFonts w:hint="eastAsia" w:ascii="仿宋_GB2312" w:eastAsia="仿宋_GB2312" w:cs="仿宋_GB2312"/>
          <w:sz w:val="32"/>
          <w:szCs w:val="32"/>
          <w:lang w:val="zh-CN"/>
        </w:rPr>
        <w:t>严格按照财务报账审签进行支付、项目设置</w:t>
      </w:r>
      <w:r>
        <w:rPr>
          <w:rFonts w:hint="eastAsia" w:ascii="仿宋_GB2312" w:eastAsia="仿宋_GB2312" w:cs="仿宋_GB2312"/>
          <w:sz w:val="32"/>
          <w:szCs w:val="32"/>
        </w:rPr>
        <w:t>分管项目</w:t>
      </w:r>
      <w:r>
        <w:rPr>
          <w:rFonts w:hint="eastAsia" w:ascii="仿宋_GB2312" w:eastAsia="仿宋_GB2312" w:cs="仿宋_GB2312"/>
          <w:sz w:val="32"/>
          <w:szCs w:val="32"/>
          <w:lang w:val="zh-CN"/>
        </w:rPr>
        <w:t>副局长为项目分管负责人，</w:t>
      </w:r>
      <w:r>
        <w:rPr>
          <w:rFonts w:hint="eastAsia" w:ascii="仿宋_GB2312" w:eastAsia="仿宋_GB2312" w:cs="仿宋_GB2312"/>
          <w:sz w:val="32"/>
          <w:szCs w:val="32"/>
        </w:rPr>
        <w:t>监控平台日常管理人员</w:t>
      </w:r>
      <w:r>
        <w:rPr>
          <w:rFonts w:hint="eastAsia" w:ascii="仿宋_GB2312" w:eastAsia="仿宋_GB2312" w:cs="仿宋_GB2312"/>
          <w:sz w:val="32"/>
          <w:szCs w:val="32"/>
          <w:lang w:val="zh-CN"/>
        </w:rPr>
        <w:t>为项目运行运行维护经办人。对照项目资金管理办法，评价项目严格执行财务管理制度，每月运行结束后由</w:t>
      </w:r>
      <w:r>
        <w:rPr>
          <w:rFonts w:hint="eastAsia" w:ascii="仿宋_GB2312" w:eastAsia="仿宋_GB2312" w:cs="仿宋_GB2312"/>
          <w:sz w:val="32"/>
          <w:szCs w:val="32"/>
        </w:rPr>
        <w:t>日常管理人员</w:t>
      </w:r>
      <w:r>
        <w:rPr>
          <w:rFonts w:hint="eastAsia" w:ascii="仿宋_GB2312" w:eastAsia="仿宋_GB2312" w:cs="仿宋_GB2312"/>
          <w:sz w:val="32"/>
          <w:szCs w:val="32"/>
          <w:lang w:val="zh-CN"/>
        </w:rPr>
        <w:t>和移动公司相关人员核对《茂县安全生产综合信息化平台</w:t>
      </w:r>
      <w:r>
        <w:rPr>
          <w:rFonts w:hint="eastAsia" w:ascii="仿宋_GB2312" w:eastAsia="仿宋_GB2312" w:cs="仿宋_GB2312"/>
          <w:sz w:val="32"/>
          <w:szCs w:val="32"/>
        </w:rPr>
        <w:t>x月运行维护情况汇总表</w:t>
      </w:r>
      <w:r>
        <w:rPr>
          <w:rFonts w:hint="eastAsia" w:ascii="仿宋_GB2312" w:eastAsia="仿宋_GB2312" w:cs="仿宋_GB2312"/>
          <w:sz w:val="32"/>
          <w:szCs w:val="32"/>
          <w:lang w:val="zh-CN"/>
        </w:rPr>
        <w:t>》</w:t>
      </w:r>
      <w:r>
        <w:rPr>
          <w:rFonts w:hint="eastAsia" w:ascii="仿宋_GB2312" w:eastAsia="仿宋_GB2312" w:cs="仿宋_GB2312"/>
          <w:sz w:val="32"/>
          <w:szCs w:val="32"/>
        </w:rPr>
        <w:t>工作情况</w:t>
      </w:r>
      <w:r>
        <w:rPr>
          <w:rFonts w:hint="eastAsia" w:ascii="仿宋_GB2312" w:eastAsia="仿宋_GB2312" w:cs="仿宋_GB2312"/>
          <w:sz w:val="32"/>
          <w:szCs w:val="32"/>
          <w:lang w:val="zh-CN"/>
        </w:rPr>
        <w:t>并签字，分管项目的副局长根据《茂县安全生产综合信息化平台</w:t>
      </w:r>
      <w:r>
        <w:rPr>
          <w:rFonts w:hint="eastAsia" w:ascii="仿宋_GB2312" w:eastAsia="仿宋_GB2312" w:cs="仿宋_GB2312"/>
          <w:sz w:val="32"/>
          <w:szCs w:val="32"/>
        </w:rPr>
        <w:t>x月运行维护情况汇总表</w:t>
      </w:r>
      <w:r>
        <w:rPr>
          <w:rFonts w:hint="eastAsia" w:ascii="仿宋_GB2312" w:eastAsia="仿宋_GB2312" w:cs="仿宋_GB2312"/>
          <w:sz w:val="32"/>
          <w:szCs w:val="32"/>
          <w:lang w:val="zh-CN"/>
        </w:rPr>
        <w:t>》在移动公司提供的核对月的维护费</w:t>
      </w:r>
      <w:r>
        <w:rPr>
          <w:rFonts w:hint="eastAsia" w:ascii="仿宋_GB2312" w:eastAsia="仿宋_GB2312" w:cs="仿宋_GB2312"/>
          <w:bCs/>
          <w:sz w:val="32"/>
          <w:szCs w:val="32"/>
        </w:rPr>
        <w:t>发票上</w:t>
      </w:r>
      <w:r>
        <w:rPr>
          <w:rFonts w:hint="eastAsia" w:ascii="仿宋_GB2312" w:eastAsia="仿宋_GB2312" w:cs="仿宋_GB2312"/>
          <w:sz w:val="32"/>
          <w:szCs w:val="32"/>
          <w:lang w:val="zh-CN"/>
        </w:rPr>
        <w:t>签署意见，</w:t>
      </w:r>
      <w:r>
        <w:rPr>
          <w:rFonts w:hint="eastAsia" w:ascii="仿宋_GB2312" w:eastAsia="仿宋_GB2312" w:cs="仿宋_GB2312"/>
          <w:sz w:val="32"/>
          <w:szCs w:val="32"/>
        </w:rPr>
        <w:t>运行正常全额支付当月费用，有摄像头不能正常运行的按照实际情况扣除费用在支付。</w:t>
      </w:r>
    </w:p>
    <w:p>
      <w:pPr>
        <w:pStyle w:val="49"/>
        <w:adjustRightInd w:val="0"/>
        <w:snapToGrid w:val="0"/>
        <w:spacing w:line="596" w:lineRule="exact"/>
        <w:ind w:left="720"/>
        <w:rPr>
          <w:rFonts w:ascii="楷体" w:eastAsia="楷体" w:cs="楷体"/>
          <w:b/>
          <w:sz w:val="32"/>
          <w:szCs w:val="32"/>
          <w:lang w:val="zh-CN"/>
        </w:rPr>
      </w:pPr>
      <w:r>
        <w:rPr>
          <w:rFonts w:hint="eastAsia" w:ascii="楷体" w:eastAsia="楷体" w:cs="楷体"/>
          <w:b/>
          <w:sz w:val="32"/>
          <w:szCs w:val="32"/>
          <w:lang w:val="zh-CN"/>
        </w:rPr>
        <w:t>（</w:t>
      </w:r>
      <w:r>
        <w:rPr>
          <w:rFonts w:hint="eastAsia" w:ascii="楷体" w:eastAsia="楷体" w:cs="楷体"/>
          <w:b/>
          <w:sz w:val="32"/>
          <w:szCs w:val="32"/>
        </w:rPr>
        <w:t>三</w:t>
      </w:r>
      <w:r>
        <w:rPr>
          <w:rFonts w:hint="eastAsia" w:ascii="楷体" w:eastAsia="楷体" w:cs="楷体"/>
          <w:b/>
          <w:sz w:val="32"/>
          <w:szCs w:val="32"/>
          <w:lang w:val="zh-CN"/>
        </w:rPr>
        <w:t>）项目组织实施情况</w:t>
      </w:r>
    </w:p>
    <w:p>
      <w:pPr>
        <w:pStyle w:val="49"/>
        <w:adjustRightInd w:val="0"/>
        <w:snapToGrid w:val="0"/>
        <w:spacing w:line="59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根据茂安监〔2015〕10号《关于建设茂县安监综合管理监控系统的请示》和茂府纪〔2015〕7号《14届茂县人民政府第50次常务会议纪要》确定为茂县移动公司承建该系统，后按照</w:t>
      </w:r>
      <w:r>
        <w:rPr>
          <w:rFonts w:hint="eastAsia" w:ascii="仿宋_GB2312" w:eastAsia="仿宋_GB2312" w:cs="仿宋_GB2312"/>
          <w:bCs/>
          <w:sz w:val="32"/>
          <w:szCs w:val="32"/>
          <w:lang w:val="zh-CN"/>
        </w:rPr>
        <w:t>《茂县安监平台技术服务支撑协议》运行维护费为</w:t>
      </w:r>
      <w:r>
        <w:rPr>
          <w:rFonts w:hint="eastAsia" w:ascii="仿宋_GB2312" w:eastAsia="仿宋_GB2312" w:cs="仿宋_GB2312"/>
          <w:bCs/>
          <w:sz w:val="32"/>
          <w:szCs w:val="32"/>
        </w:rPr>
        <w:t>21.55万元/月</w:t>
      </w:r>
      <w:r>
        <w:rPr>
          <w:rFonts w:hint="eastAsia" w:ascii="仿宋_GB2312" w:eastAsia="仿宋_GB2312" w:cs="仿宋_GB2312"/>
          <w:sz w:val="32"/>
          <w:szCs w:val="32"/>
        </w:rPr>
        <w:t>。此次项目评价是从20</w:t>
      </w:r>
      <w:r>
        <w:rPr>
          <w:rFonts w:hint="eastAsia" w:ascii="仿宋_GB2312" w:hAnsi="仿宋_GB2312" w:cs="仿宋_GB2312"/>
          <w:sz w:val="32"/>
          <w:szCs w:val="32"/>
        </w:rPr>
        <w:t>20</w:t>
      </w:r>
      <w:r>
        <w:rPr>
          <w:rFonts w:hint="eastAsia" w:ascii="仿宋_GB2312" w:eastAsia="仿宋_GB2312" w:cs="仿宋_GB2312"/>
          <w:sz w:val="32"/>
          <w:szCs w:val="32"/>
        </w:rPr>
        <w:t>年12月至202</w:t>
      </w:r>
      <w:r>
        <w:rPr>
          <w:rFonts w:hint="eastAsia" w:ascii="仿宋_GB2312" w:hAnsi="仿宋_GB2312" w:cs="仿宋_GB2312"/>
          <w:sz w:val="32"/>
          <w:szCs w:val="32"/>
        </w:rPr>
        <w:t>1</w:t>
      </w:r>
      <w:r>
        <w:rPr>
          <w:rFonts w:hint="eastAsia" w:ascii="仿宋_GB2312" w:eastAsia="仿宋_GB2312" w:cs="仿宋_GB2312"/>
          <w:sz w:val="32"/>
          <w:szCs w:val="32"/>
        </w:rPr>
        <w:t>年11月。</w:t>
      </w:r>
    </w:p>
    <w:p>
      <w:pPr>
        <w:pStyle w:val="49"/>
        <w:adjustRightInd w:val="0"/>
        <w:snapToGrid w:val="0"/>
        <w:spacing w:line="596" w:lineRule="exact"/>
        <w:ind w:firstLine="720"/>
        <w:rPr>
          <w:rFonts w:ascii="黑体" w:eastAsia="黑体" w:cs="黑体"/>
          <w:sz w:val="32"/>
          <w:szCs w:val="32"/>
          <w:lang w:val="zh-CN"/>
        </w:rPr>
      </w:pPr>
      <w:r>
        <w:rPr>
          <w:rFonts w:hint="eastAsia" w:ascii="黑体" w:eastAsia="黑体" w:cs="黑体"/>
          <w:sz w:val="32"/>
          <w:szCs w:val="32"/>
        </w:rPr>
        <w:t>三、项目绩效情况</w:t>
      </w:r>
    </w:p>
    <w:p>
      <w:pPr>
        <w:pStyle w:val="49"/>
        <w:adjustRightInd w:val="0"/>
        <w:snapToGrid w:val="0"/>
        <w:spacing w:line="596" w:lineRule="exact"/>
        <w:ind w:firstLine="642" w:firstLineChars="200"/>
        <w:rPr>
          <w:rFonts w:ascii="楷体" w:eastAsia="楷体" w:cs="楷体"/>
          <w:b/>
          <w:sz w:val="32"/>
          <w:szCs w:val="32"/>
          <w:lang w:val="zh-CN"/>
        </w:rPr>
      </w:pPr>
      <w:r>
        <w:rPr>
          <w:rFonts w:hint="eastAsia" w:ascii="楷体" w:eastAsia="楷体" w:cs="楷体"/>
          <w:b/>
          <w:sz w:val="32"/>
          <w:szCs w:val="32"/>
          <w:lang w:val="zh-CN"/>
        </w:rPr>
        <w:t>（一）项目完成情况</w:t>
      </w:r>
    </w:p>
    <w:p>
      <w:pPr>
        <w:pStyle w:val="49"/>
        <w:adjustRightInd w:val="0"/>
        <w:snapToGrid w:val="0"/>
        <w:spacing w:line="59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平台建设主要有前端、传输和后台等三个部分。其中前端部分是指由各企业按照平台的建设规划和设备型号、技术参数，以危险化工工艺岗位、储罐区、剧毒品储存使用场所等危险岗位和场所重点危险源为重点，自行出资购置（或升级）安装前端的摄像机和传感探头设备，实现与平台的对接。第一批次纳入平台建设的30家企业共接入摄像点位188个，接入传感点位47个，对首批建设企业的监控实现了全覆盖。现首批建设的30家网络全部接通，设在县110指挥中心的主指挥中心和设在县安监局的副指挥平台的存储、显示、操控和通讯设备全部安装调试完毕，运行正常。个别摄像头工作出现问题，移动公司及时派工作人员进行修复。</w:t>
      </w:r>
    </w:p>
    <w:p>
      <w:pPr>
        <w:pStyle w:val="49"/>
        <w:adjustRightInd w:val="0"/>
        <w:snapToGrid w:val="0"/>
        <w:spacing w:line="596" w:lineRule="exact"/>
        <w:ind w:left="720"/>
        <w:rPr>
          <w:rFonts w:ascii="楷体" w:eastAsia="楷体" w:cs="楷体"/>
          <w:b/>
          <w:sz w:val="32"/>
          <w:szCs w:val="32"/>
          <w:lang w:val="zh-CN"/>
        </w:rPr>
      </w:pPr>
      <w:r>
        <w:rPr>
          <w:rFonts w:hint="eastAsia" w:ascii="楷体" w:eastAsia="楷体" w:cs="楷体"/>
          <w:b/>
          <w:sz w:val="32"/>
          <w:szCs w:val="32"/>
          <w:lang w:val="zh-CN"/>
        </w:rPr>
        <w:t>（</w:t>
      </w:r>
      <w:r>
        <w:rPr>
          <w:rFonts w:hint="eastAsia" w:ascii="楷体" w:eastAsia="楷体" w:cs="楷体"/>
          <w:b/>
          <w:sz w:val="32"/>
          <w:szCs w:val="32"/>
        </w:rPr>
        <w:t>二</w:t>
      </w:r>
      <w:r>
        <w:rPr>
          <w:rFonts w:hint="eastAsia" w:ascii="楷体" w:eastAsia="楷体" w:cs="楷体"/>
          <w:b/>
          <w:sz w:val="32"/>
          <w:szCs w:val="32"/>
          <w:lang w:val="zh-CN"/>
        </w:rPr>
        <w:t>）项目效益情况</w:t>
      </w:r>
    </w:p>
    <w:p>
      <w:pPr>
        <w:pStyle w:val="49"/>
        <w:adjustRightInd w:val="0"/>
        <w:snapToGrid w:val="0"/>
        <w:spacing w:line="596" w:lineRule="exact"/>
        <w:ind w:firstLine="640" w:firstLineChars="200"/>
        <w:rPr>
          <w:rFonts w:ascii="仿宋_GB2312" w:eastAsia="仿宋_GB2312" w:cs="仿宋_GB2312"/>
          <w:color w:val="000000"/>
          <w:sz w:val="32"/>
          <w:szCs w:val="32"/>
        </w:rPr>
      </w:pPr>
      <w:r>
        <w:rPr>
          <w:rFonts w:hint="eastAsia" w:ascii="仿宋_GB2312" w:eastAsia="仿宋_GB2312" w:cs="仿宋_GB2312"/>
          <w:sz w:val="32"/>
          <w:szCs w:val="32"/>
        </w:rPr>
        <w:t>我县率先全州筹建</w:t>
      </w:r>
      <w:r>
        <w:rPr>
          <w:rFonts w:hint="eastAsia" w:ascii="仿宋_GB2312" w:eastAsia="仿宋_GB2312" w:cs="仿宋_GB2312"/>
          <w:color w:val="000000"/>
          <w:sz w:val="32"/>
          <w:szCs w:val="32"/>
        </w:rPr>
        <w:t>“安全生产信息化平台”建设。拟通过专用通讯网络，将各重点生产经营企业的重点监控视频及数据连接到后台，在后台上进行日常监控、预警处置、数据分析等功能，同时兼容资料传送、视频对话和信息发布等功能，从而提高对监管对象即时监控、执法证据采集、应急处置指挥的综合监管水平。在此基础上，我县的平台建设还定制开发了专用软件，在试运版的基础上，根据应用需要，已完成了1.0版本的升级，主要功能一是将企业基本信息、安全生产监管分类定级和标准化建设情况、危险源一源一册、应急预案、现状评估等企业信息全部收入平台；二是能便捷地调阅全部摄像机和传感器的实时内容和历史数据（其中，摄像视频的数据在平台自动存盘一个月，传感数据无限期存储）；三是能通过定制开发的APP进行实时视频对话和信息分类批量发布，提高了日常监管和应急时指挥中心对现场的指挥效率；四是能通过定制开发的三维地图，实现对监控场所的全景查阅。</w:t>
      </w:r>
    </w:p>
    <w:p>
      <w:pPr>
        <w:pStyle w:val="49"/>
        <w:adjustRightInd w:val="0"/>
        <w:snapToGrid w:val="0"/>
        <w:spacing w:line="596" w:lineRule="exact"/>
        <w:ind w:firstLine="720"/>
        <w:rPr>
          <w:rFonts w:ascii="黑体" w:eastAsia="黑体" w:cs="黑体"/>
          <w:sz w:val="32"/>
          <w:szCs w:val="32"/>
        </w:rPr>
      </w:pPr>
      <w:r>
        <w:rPr>
          <w:rFonts w:hint="eastAsia" w:ascii="黑体" w:eastAsia="黑体" w:cs="黑体"/>
          <w:sz w:val="32"/>
          <w:szCs w:val="32"/>
        </w:rPr>
        <w:t>四、存在的问题</w:t>
      </w:r>
    </w:p>
    <w:p>
      <w:pPr>
        <w:pStyle w:val="49"/>
        <w:adjustRightInd w:val="0"/>
        <w:snapToGrid w:val="0"/>
        <w:spacing w:line="596" w:lineRule="exact"/>
        <w:ind w:firstLine="720"/>
        <w:rPr>
          <w:rFonts w:ascii="仿宋_GB2312" w:eastAsia="仿宋_GB2312" w:cs="仿宋_GB2312"/>
          <w:bCs/>
          <w:sz w:val="32"/>
          <w:szCs w:val="32"/>
        </w:rPr>
      </w:pPr>
      <w:r>
        <w:rPr>
          <w:rFonts w:hint="eastAsia" w:ascii="仿宋_GB2312" w:eastAsia="仿宋_GB2312" w:cs="仿宋_GB2312"/>
          <w:bCs/>
          <w:sz w:val="32"/>
          <w:szCs w:val="32"/>
        </w:rPr>
        <w:t>对监控视频的调取和查看只能在监控室电视屏幕上看，不能在移动视频上及时收看，需要24小时值守。</w:t>
      </w:r>
    </w:p>
    <w:p>
      <w:pPr>
        <w:pStyle w:val="49"/>
        <w:adjustRightInd w:val="0"/>
        <w:snapToGrid w:val="0"/>
        <w:spacing w:line="596" w:lineRule="exact"/>
        <w:ind w:firstLine="720"/>
        <w:rPr>
          <w:rFonts w:ascii="黑体" w:eastAsia="黑体" w:cs="黑体"/>
          <w:bCs/>
          <w:sz w:val="32"/>
          <w:szCs w:val="32"/>
        </w:rPr>
      </w:pPr>
      <w:r>
        <w:rPr>
          <w:rFonts w:hint="eastAsia" w:ascii="黑体" w:eastAsia="黑体" w:cs="黑体"/>
          <w:bCs/>
          <w:sz w:val="32"/>
          <w:szCs w:val="32"/>
        </w:rPr>
        <w:t>五、相关建议</w:t>
      </w:r>
    </w:p>
    <w:p>
      <w:pPr>
        <w:pStyle w:val="49"/>
        <w:adjustRightInd w:val="0"/>
        <w:snapToGrid w:val="0"/>
        <w:spacing w:line="596" w:lineRule="exact"/>
        <w:ind w:firstLine="640" w:firstLineChars="200"/>
        <w:rPr>
          <w:rFonts w:ascii="仿宋_GB2312" w:eastAsia="仿宋_GB2312" w:cs="仿宋_GB2312"/>
          <w:sz w:val="32"/>
          <w:szCs w:val="32"/>
        </w:rPr>
      </w:pPr>
      <w:r>
        <w:rPr>
          <w:rFonts w:hint="eastAsia" w:ascii="仿宋_GB2312" w:eastAsia="仿宋_GB2312" w:cs="仿宋_GB2312"/>
          <w:bCs/>
          <w:sz w:val="32"/>
          <w:szCs w:val="32"/>
        </w:rPr>
        <w:t>建议</w:t>
      </w:r>
      <w:r>
        <w:rPr>
          <w:rFonts w:hint="eastAsia" w:ascii="仿宋_GB2312" w:eastAsia="仿宋_GB2312" w:cs="仿宋_GB2312"/>
          <w:color w:val="000000"/>
          <w:sz w:val="32"/>
          <w:szCs w:val="32"/>
        </w:rPr>
        <w:t>扩展平台兼容其它移动系统软件功能，从而提升应用操作水平。如有突发事件发生，能随时随地调取视频监控回看或者直播收看，便于第一时间指挥救援。</w:t>
      </w:r>
    </w:p>
    <w:p>
      <w:pPr>
        <w:pStyle w:val="49"/>
        <w:spacing w:line="570" w:lineRule="exact"/>
      </w:pPr>
      <w:r>
        <w:t xml:space="preserve">                </w:t>
      </w:r>
    </w:p>
    <w:p>
      <w:pPr>
        <w:pStyle w:val="78"/>
        <w:spacing w:line="570" w:lineRule="exact"/>
        <w:ind w:firstLine="840" w:firstLineChars="300"/>
        <w:rPr>
          <w:rFonts w:hint="eastAsia"/>
        </w:rPr>
      </w:pPr>
      <w:r>
        <w:t xml:space="preserve">                        </w:t>
      </w:r>
    </w:p>
    <w:p>
      <w:pPr>
        <w:pStyle w:val="78"/>
        <w:spacing w:line="570" w:lineRule="exact"/>
        <w:ind w:firstLine="840" w:firstLineChars="300"/>
        <w:rPr>
          <w:rFonts w:ascii="宋体" w:hAnsi="宋体" w:eastAsia="仿宋_GB2312"/>
          <w:sz w:val="32"/>
          <w:szCs w:val="28"/>
        </w:rPr>
      </w:pPr>
      <w:r>
        <w:t>（</w:t>
      </w:r>
      <w:r>
        <w:rPr>
          <w:rFonts w:hint="eastAsia" w:ascii="仿宋_GB2312" w:eastAsia="仿宋_GB2312"/>
          <w:sz w:val="32"/>
          <w:szCs w:val="32"/>
        </w:rPr>
        <w:t>2020年中央自然灾害救灾资金应急排查服务项目）</w:t>
      </w:r>
    </w:p>
    <w:p>
      <w:pPr>
        <w:pStyle w:val="49"/>
        <w:adjustRightInd w:val="0"/>
        <w:snapToGrid w:val="0"/>
        <w:spacing w:line="596" w:lineRule="exact"/>
        <w:rPr>
          <w:rFonts w:ascii="仿宋_GB2312" w:eastAsia="仿宋_GB2312" w:cs="仿宋_GB2312"/>
          <w:sz w:val="32"/>
          <w:szCs w:val="32"/>
        </w:rPr>
      </w:pPr>
    </w:p>
    <w:p>
      <w:pPr>
        <w:pStyle w:val="49"/>
        <w:adjustRightInd w:val="0"/>
        <w:snapToGrid w:val="0"/>
        <w:spacing w:line="570" w:lineRule="exact"/>
        <w:ind w:firstLine="720"/>
        <w:rPr>
          <w:rFonts w:ascii="宋体" w:hAnsi="宋体" w:eastAsia="黑体" w:cs="仿宋_GB2312"/>
          <w:sz w:val="32"/>
          <w:szCs w:val="32"/>
        </w:rPr>
      </w:pPr>
      <w:r>
        <w:rPr>
          <w:rFonts w:ascii="黑体" w:eastAsia="黑体"/>
          <w:sz w:val="32"/>
          <w:szCs w:val="32"/>
          <w:lang w:val="zh-CN"/>
        </w:rPr>
        <w:t>一、</w:t>
      </w:r>
      <w:r>
        <w:rPr>
          <w:rFonts w:hint="eastAsia" w:ascii="黑体" w:eastAsia="黑体"/>
          <w:sz w:val="32"/>
          <w:szCs w:val="32"/>
          <w:lang w:val="zh-CN"/>
        </w:rPr>
        <w:t>项目概况</w:t>
      </w:r>
      <w:r>
        <w:rPr>
          <w:rFonts w:hint="eastAsia" w:ascii="宋体" w:hAnsi="宋体" w:eastAsia="黑体" w:cs="仿宋_GB2312"/>
          <w:sz w:val="32"/>
          <w:szCs w:val="32"/>
        </w:rPr>
        <w:t xml:space="preserve"> </w:t>
      </w:r>
    </w:p>
    <w:p>
      <w:pPr>
        <w:pStyle w:val="49"/>
        <w:adjustRightInd w:val="0"/>
        <w:snapToGrid w:val="0"/>
        <w:spacing w:line="570" w:lineRule="exact"/>
        <w:ind w:firstLine="640" w:firstLineChars="200"/>
        <w:rPr>
          <w:rFonts w:ascii="仿宋_GB2312" w:eastAsia="仿宋_GB2312"/>
          <w:sz w:val="32"/>
          <w:szCs w:val="32"/>
        </w:rPr>
      </w:pPr>
      <w:r>
        <w:rPr>
          <w:rFonts w:hint="eastAsia" w:ascii="宋体" w:hAnsi="宋体" w:eastAsia="仿宋_GB2312" w:cs="仿宋_GB2312"/>
          <w:sz w:val="32"/>
          <w:szCs w:val="32"/>
        </w:rPr>
        <w:t>根据茂财</w:t>
      </w:r>
      <w:r>
        <w:rPr>
          <w:rFonts w:hint="eastAsia" w:ascii="宋体" w:cs="仿宋_GB2312"/>
          <w:sz w:val="32"/>
          <w:szCs w:val="32"/>
        </w:rPr>
        <w:t>建</w:t>
      </w:r>
      <w:r>
        <w:rPr>
          <w:rFonts w:hint="eastAsia" w:ascii="仿宋_GB2312" w:eastAsia="仿宋_GB2312" w:cs="仿宋_GB2312"/>
          <w:sz w:val="32"/>
          <w:szCs w:val="32"/>
        </w:rPr>
        <w:t>〔</w:t>
      </w:r>
      <w:r>
        <w:rPr>
          <w:rFonts w:hint="eastAsia" w:ascii="宋体" w:hAnsi="宋体" w:eastAsia="仿宋_GB2312" w:cs="仿宋_GB2312"/>
          <w:sz w:val="32"/>
          <w:szCs w:val="32"/>
        </w:rPr>
        <w:t>202</w:t>
      </w:r>
      <w:r>
        <w:rPr>
          <w:rFonts w:hint="eastAsia" w:ascii="宋体" w:cs="仿宋_GB2312"/>
          <w:sz w:val="32"/>
          <w:szCs w:val="32"/>
        </w:rPr>
        <w:t>1</w:t>
      </w:r>
      <w:r>
        <w:rPr>
          <w:rFonts w:hint="eastAsia" w:ascii="仿宋_GB2312" w:eastAsia="仿宋_GB2312" w:cs="仿宋_GB2312"/>
          <w:sz w:val="32"/>
          <w:szCs w:val="32"/>
        </w:rPr>
        <w:t>〕</w:t>
      </w:r>
      <w:r>
        <w:rPr>
          <w:rFonts w:hint="eastAsia" w:ascii="仿宋_GB2312" w:hAnsi="仿宋_GB2312" w:cs="仿宋_GB2312"/>
          <w:sz w:val="32"/>
          <w:szCs w:val="32"/>
        </w:rPr>
        <w:t>3</w:t>
      </w:r>
      <w:r>
        <w:rPr>
          <w:rFonts w:hint="eastAsia" w:ascii="宋体" w:hAnsi="宋体" w:eastAsia="仿宋_GB2312" w:cs="仿宋_GB2312"/>
          <w:sz w:val="32"/>
          <w:szCs w:val="32"/>
        </w:rPr>
        <w:t>号</w:t>
      </w:r>
      <w:r>
        <w:rPr>
          <w:rFonts w:hint="eastAsia" w:ascii="宋体" w:hAnsi="宋体" w:eastAsia="仿宋_GB2312"/>
          <w:sz w:val="32"/>
          <w:szCs w:val="32"/>
        </w:rPr>
        <w:t>《关于</w:t>
      </w:r>
      <w:r>
        <w:rPr>
          <w:rFonts w:hint="eastAsia" w:ascii="宋体"/>
          <w:sz w:val="32"/>
          <w:szCs w:val="32"/>
        </w:rPr>
        <w:t>下达2020年中央自然灾害救灾资金预算的通知</w:t>
      </w:r>
      <w:r>
        <w:rPr>
          <w:rFonts w:hint="eastAsia" w:ascii="宋体" w:hAnsi="宋体" w:eastAsia="仿宋_GB2312"/>
          <w:sz w:val="32"/>
          <w:szCs w:val="32"/>
        </w:rPr>
        <w:t>》，下达县应急管理局20</w:t>
      </w:r>
      <w:r>
        <w:rPr>
          <w:rFonts w:hint="eastAsia" w:ascii="宋体"/>
          <w:sz w:val="32"/>
          <w:szCs w:val="32"/>
        </w:rPr>
        <w:t>20</w:t>
      </w:r>
      <w:r>
        <w:rPr>
          <w:rFonts w:hint="eastAsia" w:ascii="宋体" w:hAnsi="宋体" w:eastAsia="仿宋_GB2312"/>
          <w:sz w:val="32"/>
          <w:szCs w:val="32"/>
        </w:rPr>
        <w:t>年自然灾害救灾资金</w:t>
      </w:r>
      <w:r>
        <w:rPr>
          <w:rFonts w:hint="eastAsia" w:ascii="宋体"/>
          <w:sz w:val="32"/>
          <w:szCs w:val="32"/>
        </w:rPr>
        <w:t>200</w:t>
      </w:r>
      <w:r>
        <w:rPr>
          <w:rFonts w:hint="eastAsia" w:ascii="宋体" w:hAnsi="宋体" w:eastAsia="仿宋_GB2312"/>
          <w:sz w:val="32"/>
          <w:szCs w:val="32"/>
        </w:rPr>
        <w:t>万元，</w:t>
      </w:r>
      <w:r>
        <w:rPr>
          <w:rFonts w:hint="eastAsia" w:ascii="宋体"/>
          <w:sz w:val="32"/>
          <w:szCs w:val="32"/>
        </w:rPr>
        <w:t>其中应急救援资金100万元，</w:t>
      </w:r>
      <w:r>
        <w:rPr>
          <w:rFonts w:hint="eastAsia" w:ascii="宋体" w:hAnsi="宋体" w:eastAsia="仿宋_GB2312"/>
          <w:sz w:val="32"/>
          <w:szCs w:val="32"/>
        </w:rPr>
        <w:t>专项用于</w:t>
      </w:r>
      <w:r>
        <w:rPr>
          <w:rFonts w:hint="eastAsia" w:ascii="宋体"/>
          <w:sz w:val="32"/>
          <w:szCs w:val="32"/>
        </w:rPr>
        <w:t>地质灾害救灾资金</w:t>
      </w:r>
      <w:r>
        <w:rPr>
          <w:rFonts w:hint="eastAsia" w:ascii="宋体" w:hAnsi="宋体" w:eastAsia="仿宋_GB2312"/>
          <w:sz w:val="32"/>
          <w:szCs w:val="32"/>
        </w:rPr>
        <w:t>。</w:t>
      </w:r>
    </w:p>
    <w:p>
      <w:pPr>
        <w:pStyle w:val="67"/>
        <w:widowControl/>
        <w:spacing w:before="0" w:beforeAutospacing="0" w:after="0" w:afterAutospacing="0" w:line="570" w:lineRule="exact"/>
        <w:rPr>
          <w:rFonts w:ascii="黑体" w:eastAsia="黑体" w:cs="黑体"/>
          <w:sz w:val="32"/>
          <w:szCs w:val="32"/>
        </w:rPr>
      </w:pPr>
      <w:r>
        <w:rPr>
          <w:rFonts w:hint="eastAsia" w:ascii="宋体" w:hAnsi="宋体" w:cs="宋体"/>
          <w:color w:val="333333"/>
          <w:sz w:val="32"/>
          <w:shd w:val="clear" w:color="auto" w:fill="FFFFFF"/>
        </w:rPr>
        <w:t>　</w:t>
      </w:r>
      <w:r>
        <w:rPr>
          <w:rFonts w:hint="eastAsia" w:ascii="宋体" w:hAnsi="宋体" w:eastAsia="黑体" w:cs="宋体"/>
          <w:color w:val="333333"/>
          <w:sz w:val="32"/>
          <w:shd w:val="clear" w:color="auto" w:fill="FFFFFF"/>
        </w:rPr>
        <w:t>　</w:t>
      </w:r>
      <w:r>
        <w:rPr>
          <w:rFonts w:hint="eastAsia" w:ascii="黑体" w:eastAsia="黑体" w:cs="黑体"/>
          <w:color w:val="333333"/>
          <w:sz w:val="32"/>
          <w:szCs w:val="32"/>
          <w:shd w:val="clear" w:color="auto" w:fill="FFFFFF"/>
        </w:rPr>
        <w:t>二、绩效自评工作开展情况</w:t>
      </w:r>
    </w:p>
    <w:p>
      <w:pPr>
        <w:pStyle w:val="67"/>
        <w:widowControl/>
        <w:spacing w:before="0" w:beforeAutospacing="0" w:after="0" w:afterAutospacing="0" w:line="570" w:lineRule="exact"/>
        <w:rPr>
          <w:rFonts w:ascii="仿宋_GB2312" w:cs="仿宋_GB2312"/>
          <w:sz w:val="32"/>
          <w:szCs w:val="32"/>
        </w:rPr>
      </w:pPr>
      <w:r>
        <w:rPr>
          <w:rFonts w:hint="eastAsia" w:ascii="宋体" w:hAnsi="宋体" w:eastAsia="楷体" w:cs="宋体"/>
          <w:b/>
          <w:color w:val="333333"/>
          <w:sz w:val="32"/>
          <w:shd w:val="clear" w:color="auto" w:fill="FFFFFF"/>
        </w:rPr>
        <w:t xml:space="preserve">　 </w:t>
      </w:r>
      <w:r>
        <w:rPr>
          <w:rFonts w:hint="eastAsia" w:ascii="楷体_GB2312" w:hAnsi="楷体_GB2312" w:eastAsia="楷体" w:cs="楷体_GB2312"/>
          <w:b/>
          <w:bCs/>
          <w:color w:val="333333"/>
          <w:sz w:val="32"/>
          <w:szCs w:val="32"/>
          <w:shd w:val="clear" w:color="auto" w:fill="FFFFFF"/>
        </w:rPr>
        <w:t>（一）项目准备</w:t>
      </w:r>
      <w:r>
        <w:rPr>
          <w:rFonts w:hint="eastAsia" w:ascii="仿宋_GB2312" w:cs="仿宋_GB2312"/>
          <w:sz w:val="32"/>
          <w:szCs w:val="32"/>
        </w:rPr>
        <w:t xml:space="preserve"> </w:t>
      </w:r>
    </w:p>
    <w:p>
      <w:pPr>
        <w:pStyle w:val="67"/>
        <w:widowControl/>
        <w:spacing w:before="0" w:beforeAutospacing="0" w:after="0" w:afterAutospacing="0" w:line="570" w:lineRule="exact"/>
        <w:ind w:firstLine="640" w:firstLineChars="200"/>
        <w:rPr>
          <w:rFonts w:ascii="宋体" w:hAnsi="宋体" w:cs="宋体"/>
          <w:sz w:val="32"/>
        </w:rPr>
      </w:pPr>
      <w:r>
        <w:rPr>
          <w:rFonts w:hint="eastAsia" w:ascii="仿宋_GB2312" w:cs="仿宋_GB2312"/>
          <w:sz w:val="32"/>
          <w:szCs w:val="32"/>
        </w:rPr>
        <w:t>结合单位自身项目实际，成立绩效评价工作小组，认真开展绩效自评，并出具自评报告。</w:t>
      </w:r>
    </w:p>
    <w:p>
      <w:pPr>
        <w:pStyle w:val="67"/>
        <w:widowControl/>
        <w:spacing w:before="0" w:beforeAutospacing="0" w:after="0" w:afterAutospacing="0" w:line="570" w:lineRule="exact"/>
        <w:rPr>
          <w:rFonts w:ascii="宋体" w:hAnsi="宋体" w:eastAsia="楷体" w:cs="宋体"/>
          <w:b/>
          <w:sz w:val="32"/>
        </w:rPr>
      </w:pPr>
      <w:r>
        <w:rPr>
          <w:rFonts w:hint="eastAsia" w:ascii="宋体" w:hAnsi="宋体" w:eastAsia="楷体" w:cs="宋体"/>
          <w:b/>
          <w:color w:val="333333"/>
          <w:sz w:val="32"/>
          <w:shd w:val="clear" w:color="auto" w:fill="FFFFFF"/>
        </w:rPr>
        <w:t>　　（二）项目组织过程</w:t>
      </w:r>
    </w:p>
    <w:p>
      <w:pPr>
        <w:pStyle w:val="67"/>
        <w:widowControl/>
        <w:spacing w:before="0" w:beforeAutospacing="0" w:after="0" w:afterAutospacing="0" w:line="570" w:lineRule="exact"/>
        <w:ind w:firstLine="800" w:firstLineChars="250"/>
        <w:rPr>
          <w:rFonts w:ascii="仿宋_GB2312" w:cs="仿宋_GB2312"/>
          <w:sz w:val="32"/>
          <w:szCs w:val="32"/>
        </w:rPr>
      </w:pPr>
      <w:r>
        <w:rPr>
          <w:rFonts w:hint="eastAsia" w:ascii="宋体" w:hAnsi="宋体" w:cs="宋体"/>
          <w:color w:val="333333"/>
          <w:sz w:val="32"/>
          <w:shd w:val="clear" w:color="auto" w:fill="FFFFFF"/>
        </w:rPr>
        <w:t>应急管理局</w:t>
      </w:r>
      <w:r>
        <w:rPr>
          <w:rFonts w:ascii="宋体" w:hAnsi="宋体" w:cs="宋体"/>
          <w:color w:val="333333"/>
          <w:sz w:val="32"/>
          <w:shd w:val="clear" w:color="auto" w:fill="FFFFFF"/>
        </w:rPr>
        <w:t>委托四川中定招标代理有限公司</w:t>
      </w:r>
      <w:r>
        <w:rPr>
          <w:rFonts w:hint="eastAsia" w:ascii="仿宋_GB2312" w:cs="仿宋_GB2312"/>
          <w:sz w:val="32"/>
          <w:szCs w:val="32"/>
        </w:rPr>
        <w:t>，通过政府招投标，明确了四川省华地建设工程有限公司为中标单位我，合同内容本次应急处置项目包括茂县重点区域内18个地质灾害隐患点应急排查和茂县渭门镇德胜组茅草坪滑坡“一点一案”方案编制项目。</w:t>
      </w:r>
    </w:p>
    <w:p>
      <w:pPr>
        <w:pStyle w:val="67"/>
        <w:widowControl/>
        <w:spacing w:before="0" w:beforeAutospacing="0" w:after="0" w:afterAutospacing="0" w:line="570" w:lineRule="exact"/>
        <w:ind w:firstLine="642" w:firstLineChars="200"/>
        <w:rPr>
          <w:rFonts w:ascii="宋体" w:hAnsi="宋体" w:eastAsia="楷体" w:cs="宋体"/>
          <w:b/>
          <w:sz w:val="32"/>
        </w:rPr>
      </w:pPr>
      <w:r>
        <w:rPr>
          <w:rFonts w:hint="eastAsia" w:ascii="宋体" w:hAnsi="宋体" w:eastAsia="楷体" w:cs="宋体"/>
          <w:b/>
          <w:color w:val="333333"/>
          <w:sz w:val="32"/>
          <w:shd w:val="clear" w:color="auto" w:fill="FFFFFF"/>
        </w:rPr>
        <w:t>（三）项目奖绩效分析评价</w:t>
      </w:r>
    </w:p>
    <w:p>
      <w:pPr>
        <w:pStyle w:val="67"/>
        <w:widowControl/>
        <w:spacing w:before="0" w:beforeAutospacing="0" w:after="0" w:afterAutospacing="0" w:line="570" w:lineRule="exact"/>
        <w:rPr>
          <w:rFonts w:ascii="宋体" w:hAnsi="宋体" w:cs="宋体"/>
          <w:sz w:val="32"/>
        </w:rPr>
      </w:pPr>
      <w:r>
        <w:rPr>
          <w:rFonts w:hint="eastAsia" w:ascii="宋体" w:hAnsi="宋体" w:cs="宋体"/>
          <w:color w:val="333333"/>
          <w:sz w:val="32"/>
          <w:shd w:val="clear" w:color="auto" w:fill="FFFFFF"/>
        </w:rPr>
        <w:t>　　</w:t>
      </w:r>
      <w:r>
        <w:rPr>
          <w:rFonts w:ascii="宋体" w:hAnsi="宋体" w:cs="宋体"/>
          <w:color w:val="333333"/>
          <w:sz w:val="32"/>
          <w:shd w:val="clear" w:color="auto" w:fill="FFFFFF"/>
        </w:rPr>
        <w:t>签订合同4个月内，按照轻重缓急，讲究实效，科学开展的基本原则，根据茂县地质灾害各地区灾情的紧急程度，完成茂县选定区域内18个地质灾害隐患点应急排查项目；完成茂县茅草坪滑坡</w:t>
      </w:r>
      <w:r>
        <w:rPr>
          <w:rFonts w:hint="eastAsia" w:ascii="宋体" w:hAnsi="宋体" w:cs="宋体"/>
          <w:color w:val="333333"/>
          <w:sz w:val="32"/>
          <w:shd w:val="clear" w:color="auto" w:fill="FFFFFF"/>
        </w:rPr>
        <w:t>“一点一案”</w:t>
      </w:r>
      <w:r>
        <w:rPr>
          <w:rFonts w:ascii="宋体" w:hAnsi="宋体" w:cs="宋体"/>
          <w:color w:val="333333"/>
          <w:sz w:val="32"/>
          <w:shd w:val="clear" w:color="auto" w:fill="FFFFFF"/>
        </w:rPr>
        <w:t>项目1个</w:t>
      </w:r>
      <w:r>
        <w:rPr>
          <w:rFonts w:hint="eastAsia" w:ascii="宋体" w:hAnsi="宋体" w:cs="宋体"/>
          <w:color w:val="333333"/>
          <w:sz w:val="32"/>
          <w:shd w:val="clear" w:color="auto" w:fill="FFFFFF"/>
        </w:rPr>
        <w:t>。</w:t>
      </w:r>
    </w:p>
    <w:p>
      <w:pPr>
        <w:pStyle w:val="67"/>
        <w:widowControl/>
        <w:spacing w:before="0" w:beforeAutospacing="0" w:after="0" w:afterAutospacing="0" w:line="570" w:lineRule="exact"/>
        <w:rPr>
          <w:rFonts w:ascii="黑体" w:hAnsi="黑体" w:cs="宋体"/>
          <w:sz w:val="32"/>
        </w:rPr>
      </w:pPr>
      <w:r>
        <w:rPr>
          <w:rFonts w:hint="eastAsia" w:ascii="黑体" w:hAnsi="黑体" w:cs="宋体"/>
          <w:color w:val="333333"/>
          <w:sz w:val="32"/>
          <w:shd w:val="clear" w:color="auto" w:fill="FFFFFF"/>
        </w:rPr>
        <w:t>　</w:t>
      </w:r>
      <w:r>
        <w:rPr>
          <w:rFonts w:hint="eastAsia" w:ascii="黑体" w:eastAsia="黑体" w:cs="宋体"/>
          <w:color w:val="333333"/>
          <w:sz w:val="32"/>
          <w:shd w:val="clear" w:color="auto" w:fill="FFFFFF"/>
        </w:rPr>
        <w:t>　三、综合评价结论</w:t>
      </w:r>
    </w:p>
    <w:p>
      <w:pPr>
        <w:pStyle w:val="67"/>
        <w:widowControl/>
        <w:spacing w:before="0" w:beforeAutospacing="0" w:after="0" w:afterAutospacing="0" w:line="570" w:lineRule="exact"/>
        <w:rPr>
          <w:rFonts w:ascii="宋体" w:hAnsi="宋体" w:cs="宋体"/>
          <w:sz w:val="32"/>
        </w:rPr>
      </w:pPr>
      <w:r>
        <w:rPr>
          <w:rFonts w:hint="eastAsia" w:ascii="宋体" w:hAnsi="宋体" w:cs="宋体"/>
          <w:color w:val="333333"/>
          <w:sz w:val="32"/>
          <w:shd w:val="clear" w:color="auto" w:fill="FFFFFF"/>
        </w:rPr>
        <w:t>　</w:t>
      </w:r>
      <w:r>
        <w:rPr>
          <w:rFonts w:ascii="宋体" w:hAnsi="宋体" w:cs="宋体"/>
          <w:color w:val="333333"/>
          <w:sz w:val="32"/>
          <w:shd w:val="clear" w:color="auto" w:fill="FFFFFF"/>
        </w:rPr>
        <w:t>根据专家组评审意见：完成了合同要求工作量，各灾害点应急能力评估基本正确，应急救援行动方案建议基本合理，具有可操作性</w:t>
      </w:r>
      <w:r>
        <w:rPr>
          <w:rFonts w:hint="eastAsia" w:ascii="宋体" w:hAnsi="宋体" w:cs="宋体"/>
          <w:color w:val="333333"/>
          <w:sz w:val="32"/>
          <w:shd w:val="clear" w:color="auto" w:fill="FFFFFF"/>
        </w:rPr>
        <w:t>。</w:t>
      </w:r>
      <w:r>
        <w:rPr>
          <w:rFonts w:ascii="宋体" w:hAnsi="宋体" w:cs="宋体"/>
          <w:color w:val="333333"/>
          <w:sz w:val="32"/>
          <w:shd w:val="clear" w:color="auto" w:fill="FFFFFF"/>
        </w:rPr>
        <w:t>实际支付金额98.9万元。</w:t>
      </w:r>
    </w:p>
    <w:p>
      <w:pPr>
        <w:pStyle w:val="67"/>
        <w:widowControl/>
        <w:spacing w:before="0" w:beforeAutospacing="0" w:after="0" w:afterAutospacing="0" w:line="570" w:lineRule="exact"/>
        <w:rPr>
          <w:rFonts w:ascii="宋体" w:hAnsi="宋体" w:cs="宋体"/>
          <w:sz w:val="32"/>
        </w:rPr>
      </w:pPr>
      <w:r>
        <w:rPr>
          <w:rFonts w:hint="eastAsia" w:ascii="宋体" w:hAnsi="宋体" w:cs="宋体"/>
          <w:color w:val="333333"/>
          <w:sz w:val="32"/>
          <w:shd w:val="clear" w:color="auto" w:fill="FFFFFF"/>
        </w:rPr>
        <w:t>　</w:t>
      </w:r>
      <w:r>
        <w:rPr>
          <w:rFonts w:hint="eastAsia" w:ascii="宋体" w:hAnsi="宋体" w:eastAsia="黑体" w:cs="宋体"/>
          <w:color w:val="333333"/>
          <w:sz w:val="32"/>
          <w:shd w:val="clear" w:color="auto" w:fill="FFFFFF"/>
        </w:rPr>
        <w:t>　四、绩效目标实现情况分析</w:t>
      </w:r>
    </w:p>
    <w:p>
      <w:pPr>
        <w:pStyle w:val="67"/>
        <w:widowControl/>
        <w:spacing w:before="0" w:beforeAutospacing="0" w:after="0" w:afterAutospacing="0" w:line="570" w:lineRule="exact"/>
        <w:ind w:firstLine="640"/>
        <w:rPr>
          <w:rFonts w:ascii="宋体" w:hAnsi="宋体" w:cs="宋体"/>
          <w:color w:val="333333"/>
          <w:sz w:val="32"/>
          <w:shd w:val="clear" w:color="auto" w:fill="FFFFFF"/>
        </w:rPr>
      </w:pPr>
      <w:r>
        <w:rPr>
          <w:rFonts w:ascii="宋体" w:hAnsi="宋体" w:cs="宋体"/>
          <w:color w:val="333333"/>
          <w:sz w:val="32"/>
          <w:shd w:val="clear" w:color="auto" w:fill="FFFFFF"/>
        </w:rPr>
        <w:t>本项目按照政府采购程序，由政府采购，并签订合同。《茂县2020年第二批自然灾害救灾资金处置项目实施方案》明确了绩效目标，按照家组评审意见，完成了合同要求工作量，各灾害点应急能力评估基本正确，应急救援行动方案建议基本合理，具有可操作性。较好的实现了绩效目标。</w:t>
      </w:r>
    </w:p>
    <w:p>
      <w:pPr>
        <w:pStyle w:val="67"/>
        <w:widowControl/>
        <w:numPr>
          <w:ilvl w:val="0"/>
          <w:numId w:val="3"/>
        </w:numPr>
        <w:spacing w:before="0" w:beforeAutospacing="0" w:after="0" w:afterAutospacing="0" w:line="570" w:lineRule="exact"/>
        <w:ind w:left="0" w:firstLine="640"/>
        <w:rPr>
          <w:rFonts w:ascii="宋体" w:hAnsi="宋体" w:eastAsia="黑体" w:cs="宋体"/>
          <w:color w:val="333333"/>
          <w:sz w:val="32"/>
          <w:shd w:val="clear" w:color="auto" w:fill="FFFFFF"/>
        </w:rPr>
      </w:pPr>
      <w:r>
        <w:rPr>
          <w:rFonts w:hint="eastAsia" w:ascii="宋体" w:hAnsi="宋体" w:eastAsia="黑体" w:cs="宋体"/>
          <w:color w:val="333333"/>
          <w:sz w:val="32"/>
          <w:shd w:val="clear" w:color="auto" w:fill="FFFFFF"/>
        </w:rPr>
        <w:t>存在的问题</w:t>
      </w:r>
    </w:p>
    <w:p>
      <w:pPr>
        <w:pStyle w:val="67"/>
        <w:widowControl/>
        <w:spacing w:before="0" w:beforeAutospacing="0" w:after="0" w:afterAutospacing="0" w:line="570" w:lineRule="exact"/>
        <w:rPr>
          <w:rFonts w:ascii="仿宋_GB2312" w:cs="仿宋_GB2312"/>
          <w:color w:val="333333"/>
          <w:sz w:val="32"/>
          <w:szCs w:val="32"/>
          <w:shd w:val="clear" w:color="auto" w:fill="FFFFFF"/>
        </w:rPr>
      </w:pPr>
      <w:r>
        <w:rPr>
          <w:rFonts w:hint="eastAsia" w:ascii="仿宋_GB2312" w:cs="仿宋_GB2312"/>
          <w:color w:val="333333"/>
          <w:sz w:val="32"/>
          <w:szCs w:val="32"/>
          <w:shd w:val="clear" w:color="auto" w:fill="FFFFFF"/>
        </w:rPr>
        <w:t xml:space="preserve">    无</w:t>
      </w:r>
    </w:p>
    <w:p>
      <w:pPr>
        <w:pStyle w:val="67"/>
        <w:widowControl/>
        <w:spacing w:before="0" w:beforeAutospacing="0" w:after="0" w:afterAutospacing="0" w:line="570" w:lineRule="exact"/>
        <w:rPr>
          <w:rFonts w:ascii="宋体" w:hAnsi="宋体" w:cs="宋体"/>
          <w:sz w:val="32"/>
        </w:rPr>
      </w:pPr>
      <w:r>
        <w:rPr>
          <w:rFonts w:hint="eastAsia" w:ascii="宋体" w:hAnsi="宋体" w:cs="宋体"/>
          <w:color w:val="333333"/>
          <w:sz w:val="32"/>
          <w:shd w:val="clear" w:color="auto" w:fill="FFFFFF"/>
        </w:rPr>
        <w:t>　</w:t>
      </w:r>
      <w:r>
        <w:rPr>
          <w:rFonts w:hint="eastAsia" w:ascii="宋体" w:hAnsi="宋体" w:eastAsia="黑体" w:cs="宋体"/>
          <w:color w:val="333333"/>
          <w:sz w:val="32"/>
          <w:shd w:val="clear" w:color="auto" w:fill="FFFFFF"/>
        </w:rPr>
        <w:t>　五、绩效自评工作建议</w:t>
      </w:r>
    </w:p>
    <w:p>
      <w:pPr>
        <w:pStyle w:val="67"/>
        <w:widowControl/>
        <w:spacing w:before="0" w:beforeAutospacing="0" w:after="0" w:afterAutospacing="0" w:line="570" w:lineRule="exact"/>
        <w:ind w:firstLine="637"/>
        <w:rPr>
          <w:rFonts w:ascii="仿宋_GB2312" w:cs="仿宋_GB2312"/>
          <w:color w:val="333333"/>
          <w:sz w:val="32"/>
          <w:szCs w:val="32"/>
          <w:shd w:val="clear" w:color="auto" w:fill="FFFFFF"/>
        </w:rPr>
      </w:pPr>
      <w:r>
        <w:rPr>
          <w:rFonts w:hint="eastAsia" w:ascii="仿宋_GB2312" w:cs="仿宋_GB2312"/>
          <w:color w:val="333333"/>
          <w:sz w:val="32"/>
          <w:szCs w:val="32"/>
          <w:shd w:val="clear" w:color="auto" w:fill="FFFFFF"/>
        </w:rPr>
        <w:t>茂县境内地质灾害隐患点比较多，希望加大资金投入，开展专业的隐患排查工作，开展隐患灾害整治排危工作，开展隐患灾害点监测预防工作，减少地质灾害滑坡、洪涝灾害对人民群众生命财产的损失。</w:t>
      </w:r>
    </w:p>
    <w:p>
      <w:pPr>
        <w:pStyle w:val="67"/>
        <w:widowControl/>
        <w:spacing w:before="0" w:beforeAutospacing="0" w:after="0" w:afterAutospacing="0" w:line="570" w:lineRule="exact"/>
        <w:rPr>
          <w:rFonts w:ascii="仿宋_GB2312" w:cs="仿宋_GB2312"/>
          <w:color w:val="333333"/>
          <w:sz w:val="32"/>
          <w:szCs w:val="32"/>
          <w:shd w:val="clear" w:color="auto" w:fill="FFFFFF"/>
        </w:rPr>
      </w:pPr>
    </w:p>
    <w:p>
      <w:pPr>
        <w:pStyle w:val="78"/>
        <w:spacing w:line="570" w:lineRule="exact"/>
        <w:ind w:firstLine="1760" w:firstLineChars="550"/>
        <w:rPr>
          <w:rFonts w:ascii="宋体" w:hAnsi="宋体" w:eastAsia="仿宋_GB2312"/>
          <w:sz w:val="32"/>
          <w:szCs w:val="28"/>
        </w:rPr>
      </w:pPr>
      <w:r>
        <w:rPr>
          <w:rFonts w:hint="eastAsia" w:ascii="仿宋_GB2312" w:eastAsia="仿宋_GB2312"/>
          <w:sz w:val="32"/>
          <w:szCs w:val="32"/>
        </w:rPr>
        <w:t>（茂县应急管理局应急排查服务项目）</w:t>
      </w:r>
    </w:p>
    <w:p>
      <w:pPr>
        <w:pStyle w:val="49"/>
        <w:adjustRightInd w:val="0"/>
        <w:snapToGrid w:val="0"/>
        <w:spacing w:line="596" w:lineRule="exact"/>
        <w:rPr>
          <w:rFonts w:ascii="仿宋_GB2312" w:eastAsia="仿宋_GB2312" w:cs="仿宋_GB2312"/>
          <w:sz w:val="32"/>
          <w:szCs w:val="32"/>
        </w:rPr>
      </w:pPr>
    </w:p>
    <w:p>
      <w:pPr>
        <w:pStyle w:val="49"/>
        <w:adjustRightInd w:val="0"/>
        <w:snapToGrid w:val="0"/>
        <w:spacing w:line="570" w:lineRule="exact"/>
        <w:ind w:firstLine="640" w:firstLineChars="200"/>
        <w:rPr>
          <w:rFonts w:ascii="宋体" w:hAnsi="宋体" w:eastAsia="黑体" w:cs="仿宋_GB2312"/>
          <w:sz w:val="32"/>
          <w:szCs w:val="32"/>
        </w:rPr>
      </w:pPr>
      <w:r>
        <w:rPr>
          <w:rFonts w:ascii="黑体" w:eastAsia="黑体"/>
          <w:sz w:val="32"/>
          <w:szCs w:val="32"/>
          <w:lang w:val="zh-CN"/>
        </w:rPr>
        <w:t>一、</w:t>
      </w:r>
      <w:r>
        <w:rPr>
          <w:rFonts w:hint="eastAsia" w:ascii="黑体" w:eastAsia="黑体"/>
          <w:sz w:val="32"/>
          <w:szCs w:val="32"/>
          <w:lang w:val="zh-CN"/>
        </w:rPr>
        <w:t>项目概况</w:t>
      </w:r>
      <w:r>
        <w:rPr>
          <w:rFonts w:hint="eastAsia" w:ascii="宋体" w:hAnsi="宋体" w:eastAsia="黑体" w:cs="仿宋_GB2312"/>
          <w:sz w:val="32"/>
          <w:szCs w:val="32"/>
        </w:rPr>
        <w:t xml:space="preserve"> </w:t>
      </w:r>
    </w:p>
    <w:p>
      <w:pPr>
        <w:pStyle w:val="49"/>
        <w:adjustRightInd w:val="0"/>
        <w:snapToGrid w:val="0"/>
        <w:spacing w:line="570" w:lineRule="exact"/>
        <w:ind w:firstLine="640" w:firstLineChars="200"/>
        <w:rPr>
          <w:rFonts w:ascii="仿宋_GB2312" w:eastAsia="仿宋_GB2312"/>
          <w:sz w:val="32"/>
          <w:szCs w:val="32"/>
        </w:rPr>
      </w:pPr>
      <w:r>
        <w:rPr>
          <w:rFonts w:hint="eastAsia" w:ascii="宋体" w:hAnsi="宋体" w:eastAsia="仿宋_GB2312" w:cs="仿宋_GB2312"/>
          <w:sz w:val="32"/>
          <w:szCs w:val="32"/>
        </w:rPr>
        <w:t>根据茂财</w:t>
      </w:r>
      <w:r>
        <w:rPr>
          <w:rFonts w:hint="eastAsia" w:ascii="宋体" w:cs="仿宋_GB2312"/>
          <w:sz w:val="32"/>
          <w:szCs w:val="32"/>
        </w:rPr>
        <w:t>建</w:t>
      </w:r>
      <w:r>
        <w:rPr>
          <w:rFonts w:hint="eastAsia" w:ascii="仿宋_GB2312" w:eastAsia="仿宋_GB2312" w:cs="仿宋_GB2312"/>
          <w:sz w:val="32"/>
          <w:szCs w:val="32"/>
        </w:rPr>
        <w:t>〔</w:t>
      </w:r>
      <w:r>
        <w:rPr>
          <w:rFonts w:hint="eastAsia" w:ascii="宋体" w:hAnsi="宋体" w:eastAsia="仿宋_GB2312" w:cs="仿宋_GB2312"/>
          <w:sz w:val="32"/>
          <w:szCs w:val="32"/>
        </w:rPr>
        <w:t>20</w:t>
      </w:r>
      <w:r>
        <w:rPr>
          <w:rFonts w:ascii="宋体" w:hAnsi="宋体" w:eastAsia="仿宋_GB2312" w:cs="仿宋_GB2312"/>
          <w:sz w:val="32"/>
          <w:szCs w:val="32"/>
        </w:rPr>
        <w:t>20</w:t>
      </w:r>
      <w:r>
        <w:rPr>
          <w:rFonts w:hint="eastAsia" w:ascii="仿宋_GB2312" w:eastAsia="仿宋_GB2312" w:cs="仿宋_GB2312"/>
          <w:sz w:val="32"/>
          <w:szCs w:val="32"/>
        </w:rPr>
        <w:t>〕5</w:t>
      </w:r>
      <w:r>
        <w:rPr>
          <w:rFonts w:hint="eastAsia" w:ascii="宋体" w:hAnsi="宋体" w:eastAsia="仿宋_GB2312" w:cs="仿宋_GB2312"/>
          <w:sz w:val="32"/>
          <w:szCs w:val="32"/>
        </w:rPr>
        <w:t>号</w:t>
      </w:r>
      <w:r>
        <w:rPr>
          <w:rFonts w:hint="eastAsia" w:ascii="宋体" w:hAnsi="宋体" w:eastAsia="仿宋_GB2312"/>
          <w:sz w:val="32"/>
          <w:szCs w:val="32"/>
        </w:rPr>
        <w:t>《关于</w:t>
      </w:r>
      <w:r>
        <w:rPr>
          <w:rFonts w:hint="eastAsia" w:ascii="宋体"/>
          <w:sz w:val="32"/>
          <w:szCs w:val="32"/>
        </w:rPr>
        <w:t>下达2</w:t>
      </w:r>
      <w:r>
        <w:rPr>
          <w:rFonts w:ascii="宋体"/>
          <w:sz w:val="32"/>
          <w:szCs w:val="32"/>
        </w:rPr>
        <w:t>019</w:t>
      </w:r>
      <w:r>
        <w:rPr>
          <w:rFonts w:hint="eastAsia" w:ascii="宋体"/>
          <w:sz w:val="32"/>
          <w:szCs w:val="32"/>
        </w:rPr>
        <w:t>年中央自然灾害救灾资金的通知</w:t>
      </w:r>
      <w:r>
        <w:rPr>
          <w:rFonts w:hint="eastAsia" w:ascii="宋体" w:hAnsi="宋体" w:eastAsia="仿宋_GB2312"/>
          <w:sz w:val="32"/>
          <w:szCs w:val="32"/>
        </w:rPr>
        <w:t>》，下达县应急管理局20</w:t>
      </w:r>
      <w:r>
        <w:rPr>
          <w:rFonts w:hint="eastAsia" w:ascii="宋体"/>
          <w:sz w:val="32"/>
          <w:szCs w:val="32"/>
        </w:rPr>
        <w:t>20</w:t>
      </w:r>
      <w:r>
        <w:rPr>
          <w:rFonts w:hint="eastAsia" w:ascii="宋体" w:hAnsi="宋体" w:eastAsia="仿宋_GB2312"/>
          <w:sz w:val="32"/>
          <w:szCs w:val="32"/>
        </w:rPr>
        <w:t>年自然灾害救灾资金</w:t>
      </w:r>
      <w:r>
        <w:rPr>
          <w:rFonts w:ascii="宋体" w:hAnsi="宋体" w:eastAsia="仿宋_GB2312"/>
          <w:sz w:val="32"/>
          <w:szCs w:val="32"/>
        </w:rPr>
        <w:t>4</w:t>
      </w:r>
      <w:r>
        <w:rPr>
          <w:rFonts w:hint="eastAsia" w:ascii="宋体"/>
          <w:sz w:val="32"/>
          <w:szCs w:val="32"/>
        </w:rPr>
        <w:t>00</w:t>
      </w:r>
      <w:r>
        <w:rPr>
          <w:rFonts w:hint="eastAsia" w:ascii="宋体" w:hAnsi="宋体" w:eastAsia="仿宋_GB2312"/>
          <w:sz w:val="32"/>
          <w:szCs w:val="32"/>
        </w:rPr>
        <w:t>万元，</w:t>
      </w:r>
      <w:r>
        <w:rPr>
          <w:rFonts w:hint="eastAsia" w:ascii="宋体"/>
          <w:sz w:val="32"/>
          <w:szCs w:val="32"/>
        </w:rPr>
        <w:t>其中应急救援资金100万元，</w:t>
      </w:r>
      <w:r>
        <w:rPr>
          <w:rFonts w:hint="eastAsia" w:ascii="宋体" w:hAnsi="宋体" w:eastAsia="仿宋_GB2312"/>
          <w:sz w:val="32"/>
          <w:szCs w:val="32"/>
        </w:rPr>
        <w:t>专项用于</w:t>
      </w:r>
      <w:r>
        <w:rPr>
          <w:rFonts w:hint="eastAsia" w:ascii="宋体"/>
          <w:sz w:val="32"/>
          <w:szCs w:val="32"/>
        </w:rPr>
        <w:t>地质灾害救灾资金</w:t>
      </w:r>
      <w:r>
        <w:rPr>
          <w:rFonts w:hint="eastAsia" w:ascii="宋体" w:hAnsi="宋体" w:eastAsia="仿宋_GB2312"/>
          <w:sz w:val="32"/>
          <w:szCs w:val="32"/>
        </w:rPr>
        <w:t>。</w:t>
      </w:r>
    </w:p>
    <w:p>
      <w:pPr>
        <w:pStyle w:val="67"/>
        <w:widowControl/>
        <w:spacing w:before="0" w:beforeAutospacing="0" w:after="0" w:afterAutospacing="0" w:line="570" w:lineRule="exact"/>
        <w:rPr>
          <w:rFonts w:ascii="黑体" w:eastAsia="黑体" w:cs="黑体"/>
          <w:sz w:val="32"/>
          <w:szCs w:val="32"/>
        </w:rPr>
      </w:pPr>
      <w:r>
        <w:rPr>
          <w:rFonts w:hint="eastAsia" w:ascii="宋体" w:hAnsi="宋体" w:cs="宋体"/>
          <w:color w:val="333333"/>
          <w:sz w:val="32"/>
          <w:shd w:val="clear" w:color="auto" w:fill="FFFFFF"/>
        </w:rPr>
        <w:t>　</w:t>
      </w:r>
      <w:r>
        <w:rPr>
          <w:rFonts w:hint="eastAsia" w:ascii="宋体" w:hAnsi="宋体" w:eastAsia="黑体" w:cs="宋体"/>
          <w:color w:val="333333"/>
          <w:sz w:val="32"/>
          <w:shd w:val="clear" w:color="auto" w:fill="FFFFFF"/>
        </w:rPr>
        <w:t>　</w:t>
      </w:r>
      <w:r>
        <w:rPr>
          <w:rFonts w:hint="eastAsia" w:ascii="黑体" w:eastAsia="黑体" w:cs="黑体"/>
          <w:color w:val="333333"/>
          <w:sz w:val="32"/>
          <w:szCs w:val="32"/>
          <w:shd w:val="clear" w:color="auto" w:fill="FFFFFF"/>
        </w:rPr>
        <w:t>二、绩效自评工作开展情况</w:t>
      </w:r>
    </w:p>
    <w:p>
      <w:pPr>
        <w:pStyle w:val="67"/>
        <w:widowControl/>
        <w:spacing w:before="0" w:beforeAutospacing="0" w:after="0" w:afterAutospacing="0" w:line="570" w:lineRule="exact"/>
        <w:rPr>
          <w:rFonts w:ascii="仿宋_GB2312" w:cs="仿宋_GB2312"/>
          <w:sz w:val="32"/>
          <w:szCs w:val="32"/>
        </w:rPr>
      </w:pPr>
      <w:r>
        <w:rPr>
          <w:rFonts w:hint="eastAsia" w:ascii="宋体" w:hAnsi="宋体" w:eastAsia="楷体" w:cs="宋体"/>
          <w:b/>
          <w:color w:val="333333"/>
          <w:sz w:val="32"/>
          <w:shd w:val="clear" w:color="auto" w:fill="FFFFFF"/>
        </w:rPr>
        <w:t xml:space="preserve">　 </w:t>
      </w:r>
      <w:r>
        <w:rPr>
          <w:rFonts w:hint="eastAsia" w:ascii="楷体_GB2312" w:hAnsi="楷体_GB2312" w:eastAsia="楷体" w:cs="楷体_GB2312"/>
          <w:b/>
          <w:bCs/>
          <w:color w:val="333333"/>
          <w:sz w:val="32"/>
          <w:szCs w:val="32"/>
          <w:shd w:val="clear" w:color="auto" w:fill="FFFFFF"/>
        </w:rPr>
        <w:t>（一）项目准备</w:t>
      </w:r>
      <w:r>
        <w:rPr>
          <w:rFonts w:hint="eastAsia" w:ascii="仿宋_GB2312" w:cs="仿宋_GB2312"/>
          <w:sz w:val="32"/>
          <w:szCs w:val="32"/>
        </w:rPr>
        <w:t xml:space="preserve"> </w:t>
      </w:r>
    </w:p>
    <w:p>
      <w:pPr>
        <w:pStyle w:val="67"/>
        <w:widowControl/>
        <w:spacing w:before="0" w:beforeAutospacing="0" w:after="0" w:afterAutospacing="0" w:line="570" w:lineRule="exact"/>
        <w:ind w:firstLine="640" w:firstLineChars="200"/>
        <w:rPr>
          <w:rFonts w:ascii="宋体" w:hAnsi="宋体" w:cs="宋体"/>
          <w:sz w:val="32"/>
        </w:rPr>
      </w:pPr>
      <w:r>
        <w:rPr>
          <w:rFonts w:hint="eastAsia" w:ascii="仿宋_GB2312" w:cs="仿宋_GB2312"/>
          <w:sz w:val="32"/>
          <w:szCs w:val="32"/>
        </w:rPr>
        <w:t>结合单位自身项目实际，成立绩效评价工作小组，认真开展绩效自评，并出具自评报告。按照合同支付资金99.95万元。</w:t>
      </w:r>
    </w:p>
    <w:p>
      <w:pPr>
        <w:pStyle w:val="67"/>
        <w:widowControl/>
        <w:spacing w:before="0" w:beforeAutospacing="0" w:after="0" w:afterAutospacing="0" w:line="570" w:lineRule="exact"/>
        <w:rPr>
          <w:rFonts w:ascii="宋体" w:hAnsi="宋体" w:eastAsia="楷体" w:cs="宋体"/>
          <w:b/>
          <w:sz w:val="32"/>
        </w:rPr>
      </w:pPr>
      <w:r>
        <w:rPr>
          <w:rFonts w:hint="eastAsia" w:ascii="宋体" w:hAnsi="宋体" w:eastAsia="楷体" w:cs="宋体"/>
          <w:b/>
          <w:color w:val="333333"/>
          <w:sz w:val="32"/>
          <w:shd w:val="clear" w:color="auto" w:fill="FFFFFF"/>
        </w:rPr>
        <w:t>　　（二）项目组织过程</w:t>
      </w:r>
    </w:p>
    <w:p>
      <w:pPr>
        <w:pStyle w:val="67"/>
        <w:widowControl/>
        <w:spacing w:before="0" w:beforeAutospacing="0" w:after="0" w:afterAutospacing="0" w:line="570" w:lineRule="exact"/>
        <w:ind w:firstLine="800" w:firstLineChars="250"/>
        <w:rPr>
          <w:rFonts w:ascii="仿宋_GB2312" w:cs="仿宋_GB2312"/>
          <w:sz w:val="32"/>
          <w:szCs w:val="32"/>
        </w:rPr>
      </w:pPr>
      <w:r>
        <w:rPr>
          <w:rFonts w:hint="eastAsia" w:ascii="宋体" w:hAnsi="宋体" w:cs="宋体"/>
          <w:color w:val="333333"/>
          <w:sz w:val="32"/>
          <w:shd w:val="clear" w:color="auto" w:fill="FFFFFF"/>
        </w:rPr>
        <w:t>应急管理局</w:t>
      </w:r>
      <w:r>
        <w:rPr>
          <w:rFonts w:ascii="宋体" w:hAnsi="宋体" w:cs="宋体"/>
          <w:color w:val="333333"/>
          <w:sz w:val="32"/>
          <w:shd w:val="clear" w:color="auto" w:fill="FFFFFF"/>
        </w:rPr>
        <w:t>委托成都优引力项目管理有限公司</w:t>
      </w:r>
      <w:r>
        <w:rPr>
          <w:rFonts w:hint="eastAsia" w:ascii="仿宋_GB2312" w:cs="仿宋_GB2312"/>
          <w:sz w:val="32"/>
          <w:szCs w:val="32"/>
        </w:rPr>
        <w:t>，通过政府招投标，明确了四川省安信科创科技有限公司为中标单位，合同内容本次应急处置项目包括茂县15个地质隐患点开展地质灾害应急排查。</w:t>
      </w:r>
    </w:p>
    <w:p>
      <w:pPr>
        <w:pStyle w:val="67"/>
        <w:widowControl/>
        <w:spacing w:before="0" w:beforeAutospacing="0" w:after="0" w:afterAutospacing="0" w:line="570" w:lineRule="exact"/>
        <w:ind w:firstLine="642" w:firstLineChars="200"/>
        <w:rPr>
          <w:rFonts w:ascii="宋体" w:hAnsi="宋体" w:eastAsia="楷体" w:cs="宋体"/>
          <w:b/>
          <w:sz w:val="32"/>
        </w:rPr>
      </w:pPr>
      <w:r>
        <w:rPr>
          <w:rFonts w:hint="eastAsia" w:ascii="宋体" w:hAnsi="宋体" w:eastAsia="楷体" w:cs="宋体"/>
          <w:b/>
          <w:color w:val="333333"/>
          <w:sz w:val="32"/>
          <w:shd w:val="clear" w:color="auto" w:fill="FFFFFF"/>
        </w:rPr>
        <w:t>（三）项目奖绩效分析评价</w:t>
      </w:r>
    </w:p>
    <w:p>
      <w:pPr>
        <w:pStyle w:val="67"/>
        <w:widowControl/>
        <w:spacing w:before="0" w:beforeAutospacing="0" w:after="0" w:afterAutospacing="0" w:line="570" w:lineRule="exact"/>
        <w:ind w:firstLine="637"/>
        <w:rPr>
          <w:rFonts w:ascii="宋体" w:hAnsi="宋体" w:cs="宋体"/>
          <w:color w:val="333333"/>
          <w:sz w:val="32"/>
          <w:shd w:val="clear" w:color="auto" w:fill="FFFFFF"/>
        </w:rPr>
      </w:pPr>
      <w:r>
        <w:rPr>
          <w:rFonts w:ascii="宋体" w:hAnsi="宋体" w:cs="宋体"/>
          <w:color w:val="333333"/>
          <w:sz w:val="32"/>
          <w:shd w:val="clear" w:color="auto" w:fill="FFFFFF"/>
        </w:rPr>
        <w:t>在60日以内对茂县境内的15个地质灾害点的危害程度进行分析；建立能力评估体系，评估茂县地质灾害隐患点应急能力等级，对应急能力不合格的点提出改进建议。</w:t>
      </w:r>
    </w:p>
    <w:p>
      <w:pPr>
        <w:pStyle w:val="67"/>
        <w:widowControl/>
        <w:spacing w:before="0" w:beforeAutospacing="0" w:after="0" w:afterAutospacing="0" w:line="570" w:lineRule="exact"/>
        <w:rPr>
          <w:rFonts w:ascii="黑体" w:hAnsi="黑体" w:cs="宋体"/>
          <w:sz w:val="32"/>
        </w:rPr>
      </w:pPr>
      <w:r>
        <w:rPr>
          <w:rFonts w:hint="eastAsia" w:ascii="黑体" w:hAnsi="黑体" w:cs="宋体"/>
          <w:color w:val="333333"/>
          <w:sz w:val="32"/>
          <w:shd w:val="clear" w:color="auto" w:fill="FFFFFF"/>
        </w:rPr>
        <w:t>　</w:t>
      </w:r>
      <w:r>
        <w:rPr>
          <w:rFonts w:hint="eastAsia" w:ascii="黑体" w:eastAsia="黑体" w:cs="宋体"/>
          <w:color w:val="333333"/>
          <w:sz w:val="32"/>
          <w:shd w:val="clear" w:color="auto" w:fill="FFFFFF"/>
        </w:rPr>
        <w:t>　三、综合评价结论</w:t>
      </w:r>
    </w:p>
    <w:p>
      <w:pPr>
        <w:pStyle w:val="67"/>
        <w:widowControl/>
        <w:spacing w:before="0" w:beforeAutospacing="0" w:after="0" w:afterAutospacing="0" w:line="570" w:lineRule="exact"/>
        <w:rPr>
          <w:rFonts w:ascii="宋体" w:hAnsi="宋体" w:cs="宋体"/>
          <w:sz w:val="32"/>
        </w:rPr>
      </w:pPr>
      <w:r>
        <w:rPr>
          <w:rFonts w:hint="eastAsia" w:ascii="宋体" w:hAnsi="宋体" w:cs="宋体"/>
          <w:color w:val="333333"/>
          <w:sz w:val="32"/>
          <w:shd w:val="clear" w:color="auto" w:fill="FFFFFF"/>
        </w:rPr>
        <w:t>　</w:t>
      </w:r>
      <w:r>
        <w:rPr>
          <w:rFonts w:ascii="宋体" w:hAnsi="宋体" w:cs="宋体"/>
          <w:color w:val="333333"/>
          <w:sz w:val="32"/>
          <w:shd w:val="clear" w:color="auto" w:fill="FFFFFF"/>
        </w:rPr>
        <w:t>根据专家组验收意见：项目成果达到了预期目标，完成了合同规定的工作任务</w:t>
      </w:r>
      <w:r>
        <w:rPr>
          <w:rFonts w:hint="eastAsia" w:ascii="宋体" w:hAnsi="宋体" w:cs="宋体"/>
          <w:color w:val="333333"/>
          <w:sz w:val="32"/>
          <w:shd w:val="clear" w:color="auto" w:fill="FFFFFF"/>
        </w:rPr>
        <w:t>。</w:t>
      </w:r>
    </w:p>
    <w:p>
      <w:pPr>
        <w:pStyle w:val="67"/>
        <w:widowControl/>
        <w:spacing w:before="0" w:beforeAutospacing="0" w:after="0" w:afterAutospacing="0" w:line="570" w:lineRule="exact"/>
        <w:rPr>
          <w:rFonts w:ascii="宋体" w:hAnsi="宋体" w:cs="宋体"/>
          <w:sz w:val="32"/>
        </w:rPr>
      </w:pPr>
      <w:r>
        <w:rPr>
          <w:rFonts w:hint="eastAsia" w:ascii="宋体" w:hAnsi="宋体" w:cs="宋体"/>
          <w:color w:val="333333"/>
          <w:sz w:val="32"/>
          <w:shd w:val="clear" w:color="auto" w:fill="FFFFFF"/>
        </w:rPr>
        <w:t>　</w:t>
      </w:r>
      <w:r>
        <w:rPr>
          <w:rFonts w:hint="eastAsia" w:ascii="宋体" w:hAnsi="宋体" w:eastAsia="黑体" w:cs="宋体"/>
          <w:color w:val="333333"/>
          <w:sz w:val="32"/>
          <w:shd w:val="clear" w:color="auto" w:fill="FFFFFF"/>
        </w:rPr>
        <w:t>　四、绩效目标实现情况分析</w:t>
      </w:r>
    </w:p>
    <w:p>
      <w:pPr>
        <w:pStyle w:val="67"/>
        <w:widowControl/>
        <w:spacing w:before="0" w:beforeAutospacing="0" w:after="0" w:afterAutospacing="0" w:line="570" w:lineRule="exact"/>
        <w:rPr>
          <w:rFonts w:ascii="宋体" w:hAnsi="宋体" w:cs="宋体"/>
          <w:sz w:val="32"/>
        </w:rPr>
      </w:pPr>
      <w:r>
        <w:rPr>
          <w:rFonts w:ascii="宋体" w:hAnsi="宋体" w:cs="宋体"/>
          <w:color w:val="333333"/>
          <w:sz w:val="32"/>
          <w:shd w:val="clear" w:color="auto" w:fill="FFFFFF"/>
        </w:rPr>
        <w:t>本项目按照政府采购程序，由政府采购，并签订合同。《阿坝州茂县2019年第二批中央自然灾害救灾资金(第二批)应急项目实施方案》明确了绩效目标，按照家组评审意见，项目成果达到了预期目标，完成了合同规定的工作任务，较好的实现了绩效目标。</w:t>
      </w:r>
    </w:p>
    <w:p>
      <w:pPr>
        <w:pStyle w:val="67"/>
        <w:widowControl/>
        <w:numPr>
          <w:ilvl w:val="0"/>
          <w:numId w:val="3"/>
        </w:numPr>
        <w:spacing w:before="0" w:beforeAutospacing="0" w:after="0" w:afterAutospacing="0" w:line="570" w:lineRule="exact"/>
        <w:ind w:left="0" w:firstLine="640"/>
        <w:rPr>
          <w:rFonts w:ascii="宋体" w:hAnsi="宋体" w:eastAsia="黑体" w:cs="宋体"/>
          <w:color w:val="333333"/>
          <w:sz w:val="32"/>
          <w:shd w:val="clear" w:color="auto" w:fill="FFFFFF"/>
        </w:rPr>
      </w:pPr>
      <w:r>
        <w:rPr>
          <w:rFonts w:hint="eastAsia" w:ascii="宋体" w:hAnsi="宋体" w:eastAsia="黑体" w:cs="宋体"/>
          <w:color w:val="333333"/>
          <w:sz w:val="32"/>
          <w:shd w:val="clear" w:color="auto" w:fill="FFFFFF"/>
        </w:rPr>
        <w:t>存在的问题</w:t>
      </w:r>
    </w:p>
    <w:p>
      <w:pPr>
        <w:pStyle w:val="67"/>
        <w:widowControl/>
        <w:spacing w:before="0" w:beforeAutospacing="0" w:after="0" w:afterAutospacing="0" w:line="570" w:lineRule="exact"/>
        <w:rPr>
          <w:rFonts w:ascii="仿宋_GB2312" w:cs="仿宋_GB2312"/>
          <w:color w:val="333333"/>
          <w:sz w:val="32"/>
          <w:szCs w:val="32"/>
          <w:shd w:val="clear" w:color="auto" w:fill="FFFFFF"/>
        </w:rPr>
      </w:pPr>
      <w:r>
        <w:rPr>
          <w:rFonts w:hint="eastAsia" w:ascii="仿宋_GB2312" w:cs="仿宋_GB2312"/>
          <w:color w:val="333333"/>
          <w:sz w:val="32"/>
          <w:szCs w:val="32"/>
          <w:shd w:val="clear" w:color="auto" w:fill="FFFFFF"/>
        </w:rPr>
        <w:t xml:space="preserve">    无</w:t>
      </w:r>
    </w:p>
    <w:p>
      <w:pPr>
        <w:pStyle w:val="67"/>
        <w:widowControl/>
        <w:spacing w:before="0" w:beforeAutospacing="0" w:after="0" w:afterAutospacing="0" w:line="570" w:lineRule="exact"/>
        <w:rPr>
          <w:rFonts w:ascii="宋体" w:hAnsi="宋体" w:cs="宋体"/>
          <w:sz w:val="32"/>
        </w:rPr>
      </w:pPr>
      <w:r>
        <w:rPr>
          <w:rFonts w:hint="eastAsia" w:ascii="宋体" w:hAnsi="宋体" w:cs="宋体"/>
          <w:color w:val="333333"/>
          <w:sz w:val="32"/>
          <w:shd w:val="clear" w:color="auto" w:fill="FFFFFF"/>
        </w:rPr>
        <w:t>　</w:t>
      </w:r>
      <w:r>
        <w:rPr>
          <w:rFonts w:hint="eastAsia" w:ascii="宋体" w:hAnsi="宋体" w:eastAsia="黑体" w:cs="宋体"/>
          <w:color w:val="333333"/>
          <w:sz w:val="32"/>
          <w:shd w:val="clear" w:color="auto" w:fill="FFFFFF"/>
        </w:rPr>
        <w:t>　五、绩效自评工作建议</w:t>
      </w:r>
    </w:p>
    <w:p>
      <w:pPr>
        <w:pStyle w:val="67"/>
        <w:widowControl/>
        <w:spacing w:before="0" w:beforeAutospacing="0" w:after="0" w:afterAutospacing="0" w:line="570" w:lineRule="exact"/>
        <w:ind w:firstLine="637"/>
        <w:rPr>
          <w:rFonts w:ascii="仿宋_GB2312" w:cs="仿宋_GB2312"/>
          <w:color w:val="333333"/>
          <w:sz w:val="32"/>
          <w:szCs w:val="32"/>
          <w:shd w:val="clear" w:color="auto" w:fill="FFFFFF"/>
        </w:rPr>
      </w:pPr>
      <w:r>
        <w:rPr>
          <w:rFonts w:hint="eastAsia" w:ascii="仿宋_GB2312" w:cs="仿宋_GB2312"/>
          <w:color w:val="333333"/>
          <w:sz w:val="32"/>
          <w:szCs w:val="32"/>
          <w:shd w:val="clear" w:color="auto" w:fill="FFFFFF"/>
        </w:rPr>
        <w:t>茂县境内地质灾害隐患点比较多，希望加大资金投入，开展专业的隐患排查工作，开展隐患灾害整治排危工作，开展隐患灾害点监测预防工作，减少地质灾害滑坡、洪涝灾害对人民群众生命财产的损失。</w:t>
      </w:r>
    </w:p>
    <w:p>
      <w:pPr>
        <w:pStyle w:val="49"/>
        <w:spacing w:line="570" w:lineRule="exact"/>
      </w:pPr>
    </w:p>
    <w:p>
      <w:pPr>
        <w:pStyle w:val="78"/>
        <w:spacing w:line="596" w:lineRule="exact"/>
        <w:ind w:firstLine="700" w:firstLineChars="250"/>
        <w:rPr>
          <w:rFonts w:ascii="宋体" w:hAnsi="宋体" w:eastAsia="仿宋_GB2312"/>
          <w:sz w:val="32"/>
          <w:szCs w:val="28"/>
        </w:rPr>
      </w:pPr>
      <w:r>
        <w:t xml:space="preserve">  </w:t>
      </w:r>
      <w:r>
        <w:rPr>
          <w:rFonts w:hint="eastAsia" w:ascii="仿宋_GB2312" w:eastAsia="仿宋_GB2312"/>
          <w:sz w:val="32"/>
          <w:szCs w:val="32"/>
        </w:rPr>
        <w:t>（安全监管、应急抢险、防汛、森林防灭火专项经费）</w:t>
      </w:r>
    </w:p>
    <w:p>
      <w:pPr>
        <w:pStyle w:val="49"/>
        <w:adjustRightInd w:val="0"/>
        <w:snapToGrid w:val="0"/>
        <w:spacing w:line="596" w:lineRule="exact"/>
        <w:rPr>
          <w:sz w:val="32"/>
          <w:szCs w:val="32"/>
        </w:rPr>
      </w:pPr>
    </w:p>
    <w:p>
      <w:pPr>
        <w:pStyle w:val="49"/>
        <w:adjustRightInd w:val="0"/>
        <w:snapToGrid w:val="0"/>
        <w:spacing w:line="570" w:lineRule="exact"/>
        <w:ind w:firstLine="640" w:firstLineChars="200"/>
        <w:rPr>
          <w:rFonts w:ascii="宋体" w:hAnsi="宋体" w:eastAsia="黑体" w:cs="仿宋_GB2312"/>
          <w:sz w:val="32"/>
          <w:szCs w:val="32"/>
        </w:rPr>
      </w:pPr>
      <w:r>
        <w:rPr>
          <w:rFonts w:ascii="黑体" w:eastAsia="黑体"/>
          <w:sz w:val="32"/>
          <w:szCs w:val="32"/>
          <w:lang w:val="zh-CN"/>
        </w:rPr>
        <w:t>一、</w:t>
      </w:r>
      <w:r>
        <w:rPr>
          <w:rFonts w:hint="eastAsia" w:ascii="黑体" w:eastAsia="黑体"/>
          <w:sz w:val="32"/>
          <w:szCs w:val="32"/>
          <w:lang w:val="zh-CN"/>
        </w:rPr>
        <w:t>项目概况</w:t>
      </w:r>
      <w:r>
        <w:rPr>
          <w:rFonts w:hint="eastAsia" w:ascii="宋体" w:hAnsi="宋体" w:eastAsia="黑体" w:cs="仿宋_GB2312"/>
          <w:sz w:val="32"/>
          <w:szCs w:val="32"/>
        </w:rPr>
        <w:t xml:space="preserve"> </w:t>
      </w:r>
    </w:p>
    <w:p>
      <w:pPr>
        <w:pStyle w:val="49"/>
        <w:adjustRightInd w:val="0"/>
        <w:snapToGrid w:val="0"/>
        <w:spacing w:line="570" w:lineRule="exact"/>
        <w:ind w:firstLine="640" w:firstLineChars="200"/>
        <w:rPr>
          <w:rFonts w:ascii="仿宋_GB2312" w:eastAsia="仿宋_GB2312"/>
          <w:sz w:val="32"/>
          <w:szCs w:val="32"/>
        </w:rPr>
      </w:pPr>
      <w:r>
        <w:rPr>
          <w:rFonts w:ascii="宋体"/>
          <w:sz w:val="32"/>
          <w:szCs w:val="32"/>
        </w:rPr>
        <w:t>根据财政统一安排，编制2021年年初预算，安排</w:t>
      </w:r>
      <w:r>
        <w:rPr>
          <w:rFonts w:hint="eastAsia" w:ascii="仿宋_GB2312" w:eastAsia="仿宋_GB2312"/>
          <w:sz w:val="32"/>
          <w:szCs w:val="32"/>
        </w:rPr>
        <w:t>安全监管、应急抢险、防汛、森林防灭火专项经费每年50万元。</w:t>
      </w:r>
    </w:p>
    <w:p>
      <w:pPr>
        <w:pStyle w:val="67"/>
        <w:widowControl/>
        <w:spacing w:before="0" w:beforeAutospacing="0" w:after="0" w:afterAutospacing="0" w:line="570" w:lineRule="exact"/>
        <w:rPr>
          <w:rFonts w:ascii="黑体" w:eastAsia="黑体" w:cs="黑体"/>
          <w:sz w:val="32"/>
          <w:szCs w:val="32"/>
        </w:rPr>
      </w:pPr>
      <w:r>
        <w:rPr>
          <w:rFonts w:hint="eastAsia" w:ascii="宋体" w:hAnsi="宋体" w:cs="宋体"/>
          <w:color w:val="333333"/>
          <w:sz w:val="32"/>
          <w:shd w:val="clear" w:color="auto" w:fill="FFFFFF"/>
        </w:rPr>
        <w:t>　</w:t>
      </w:r>
      <w:r>
        <w:rPr>
          <w:rFonts w:hint="eastAsia" w:ascii="宋体" w:hAnsi="宋体" w:eastAsia="黑体" w:cs="宋体"/>
          <w:color w:val="333333"/>
          <w:sz w:val="32"/>
          <w:shd w:val="clear" w:color="auto" w:fill="FFFFFF"/>
        </w:rPr>
        <w:t>　</w:t>
      </w:r>
      <w:r>
        <w:rPr>
          <w:rFonts w:hint="eastAsia" w:ascii="黑体" w:eastAsia="黑体" w:cs="黑体"/>
          <w:color w:val="333333"/>
          <w:sz w:val="32"/>
          <w:szCs w:val="32"/>
          <w:shd w:val="clear" w:color="auto" w:fill="FFFFFF"/>
        </w:rPr>
        <w:t>二、绩效自评工作开展情况</w:t>
      </w:r>
    </w:p>
    <w:p>
      <w:pPr>
        <w:pStyle w:val="67"/>
        <w:widowControl/>
        <w:spacing w:before="0" w:beforeAutospacing="0" w:after="0" w:afterAutospacing="0" w:line="570" w:lineRule="exact"/>
        <w:rPr>
          <w:rFonts w:ascii="仿宋_GB2312" w:cs="仿宋_GB2312"/>
          <w:sz w:val="32"/>
          <w:szCs w:val="32"/>
        </w:rPr>
      </w:pPr>
      <w:r>
        <w:rPr>
          <w:rFonts w:hint="eastAsia" w:ascii="宋体" w:hAnsi="宋体" w:eastAsia="楷体" w:cs="宋体"/>
          <w:b/>
          <w:color w:val="333333"/>
          <w:sz w:val="32"/>
          <w:shd w:val="clear" w:color="auto" w:fill="FFFFFF"/>
        </w:rPr>
        <w:t xml:space="preserve">　 </w:t>
      </w:r>
      <w:r>
        <w:rPr>
          <w:rFonts w:hint="eastAsia" w:ascii="楷体_GB2312" w:hAnsi="楷体_GB2312" w:eastAsia="楷体" w:cs="楷体_GB2312"/>
          <w:b/>
          <w:bCs/>
          <w:color w:val="333333"/>
          <w:sz w:val="32"/>
          <w:szCs w:val="32"/>
          <w:shd w:val="clear" w:color="auto" w:fill="FFFFFF"/>
        </w:rPr>
        <w:t>（一）项目准备</w:t>
      </w:r>
      <w:r>
        <w:rPr>
          <w:rFonts w:hint="eastAsia" w:ascii="仿宋_GB2312" w:cs="仿宋_GB2312"/>
          <w:sz w:val="32"/>
          <w:szCs w:val="32"/>
        </w:rPr>
        <w:t xml:space="preserve"> </w:t>
      </w:r>
    </w:p>
    <w:p>
      <w:pPr>
        <w:pStyle w:val="67"/>
        <w:widowControl/>
        <w:spacing w:before="0" w:beforeAutospacing="0" w:after="0" w:afterAutospacing="0" w:line="570" w:lineRule="exact"/>
        <w:ind w:firstLine="640" w:firstLineChars="200"/>
        <w:rPr>
          <w:rFonts w:ascii="宋体" w:hAnsi="宋体" w:cs="宋体"/>
          <w:sz w:val="32"/>
        </w:rPr>
      </w:pPr>
      <w:r>
        <w:rPr>
          <w:rFonts w:hint="eastAsia" w:ascii="仿宋_GB2312" w:cs="仿宋_GB2312"/>
          <w:sz w:val="32"/>
          <w:szCs w:val="32"/>
        </w:rPr>
        <w:t>结合单位自身项目实际，成立绩效评价工作小组，认真开展绩效自评，并出具自评报告。</w:t>
      </w:r>
    </w:p>
    <w:p>
      <w:pPr>
        <w:pStyle w:val="67"/>
        <w:widowControl/>
        <w:numPr>
          <w:ilvl w:val="0"/>
          <w:numId w:val="4"/>
        </w:numPr>
        <w:spacing w:before="0" w:beforeAutospacing="0" w:after="0" w:afterAutospacing="0" w:line="570" w:lineRule="exact"/>
        <w:rPr>
          <w:rFonts w:ascii="宋体" w:hAnsi="宋体" w:eastAsia="楷体" w:cs="宋体"/>
          <w:b/>
          <w:color w:val="333333"/>
          <w:sz w:val="32"/>
          <w:shd w:val="clear" w:color="auto" w:fill="FFFFFF"/>
        </w:rPr>
      </w:pPr>
      <w:r>
        <w:rPr>
          <w:rFonts w:hint="eastAsia" w:ascii="宋体" w:hAnsi="宋体" w:eastAsia="楷体" w:cs="宋体"/>
          <w:b/>
          <w:color w:val="333333"/>
          <w:sz w:val="32"/>
          <w:shd w:val="clear" w:color="auto" w:fill="FFFFFF"/>
        </w:rPr>
        <w:t>项目组织过程</w:t>
      </w:r>
    </w:p>
    <w:p>
      <w:pPr>
        <w:pStyle w:val="49"/>
        <w:widowControl/>
        <w:spacing w:line="600" w:lineRule="exact"/>
        <w:ind w:firstLine="640" w:firstLineChars="200"/>
        <w:jc w:val="left"/>
        <w:rPr>
          <w:rFonts w:ascii="仿宋_GB2312" w:hAnsi="仿宋_GB2312" w:cs="仿宋_GB2312"/>
          <w:bCs/>
          <w:kern w:val="0"/>
          <w:szCs w:val="32"/>
        </w:rPr>
      </w:pPr>
      <w:r>
        <w:rPr>
          <w:rFonts w:hint="eastAsia" w:ascii="仿宋_GB2312" w:eastAsia="仿宋_GB2312" w:cs="仿宋_GB2312"/>
          <w:sz w:val="32"/>
          <w:szCs w:val="32"/>
        </w:rPr>
        <w:t>项目的编制是根据年初预算编制的，</w:t>
      </w:r>
      <w:r>
        <w:rPr>
          <w:rFonts w:hint="eastAsia" w:ascii="仿宋_GB2312" w:eastAsia="仿宋_GB2312" w:cs="仿宋_GB2312"/>
          <w:bCs/>
          <w:kern w:val="0"/>
          <w:sz w:val="32"/>
          <w:szCs w:val="32"/>
        </w:rPr>
        <w:t>项目支出依据阿委办〔2018〕28号文件、川委办〔2021〕10号文件、阿委办〔2021〕26号文件相关规定应急管理、安全监管、应急救援、森林防灭火、自然灾害救灾应急等工作经费纳入本级财政预算。</w:t>
      </w:r>
    </w:p>
    <w:p>
      <w:pPr>
        <w:pStyle w:val="67"/>
        <w:widowControl/>
        <w:spacing w:before="0" w:beforeAutospacing="0" w:after="0" w:afterAutospacing="0" w:line="570" w:lineRule="exact"/>
        <w:ind w:firstLine="642" w:firstLineChars="200"/>
        <w:rPr>
          <w:rFonts w:ascii="宋体" w:hAnsi="宋体" w:eastAsia="楷体" w:cs="宋体"/>
          <w:b/>
          <w:sz w:val="32"/>
        </w:rPr>
      </w:pPr>
      <w:r>
        <w:rPr>
          <w:rFonts w:hint="eastAsia" w:ascii="宋体" w:hAnsi="宋体" w:eastAsia="楷体" w:cs="宋体"/>
          <w:b/>
          <w:color w:val="333333"/>
          <w:sz w:val="32"/>
          <w:shd w:val="clear" w:color="auto" w:fill="FFFFFF"/>
        </w:rPr>
        <w:t>（三）项目奖绩效分析评价</w:t>
      </w:r>
    </w:p>
    <w:p>
      <w:pPr>
        <w:pStyle w:val="67"/>
        <w:widowControl/>
        <w:spacing w:before="0" w:beforeAutospacing="0" w:after="0" w:afterAutospacing="0" w:line="570" w:lineRule="exact"/>
        <w:rPr>
          <w:rFonts w:ascii="宋体" w:hAnsi="宋体" w:cs="宋体"/>
          <w:sz w:val="32"/>
        </w:rPr>
      </w:pPr>
      <w:r>
        <w:rPr>
          <w:rFonts w:hint="eastAsia" w:ascii="宋体" w:hAnsi="宋体" w:cs="宋体"/>
          <w:color w:val="333333"/>
          <w:sz w:val="32"/>
          <w:shd w:val="clear" w:color="auto" w:fill="FFFFFF"/>
        </w:rPr>
        <w:t xml:space="preserve">　  </w:t>
      </w:r>
      <w:r>
        <w:rPr>
          <w:rFonts w:hint="eastAsia" w:ascii="仿宋_GB2312" w:cs="仿宋_GB2312"/>
          <w:sz w:val="32"/>
          <w:szCs w:val="32"/>
        </w:rPr>
        <w:t>结合单位自身项目实际，成立绩效评价工作小组，认真开展绩效自评，并出具自评报告。项目评价分数在90分以上。</w:t>
      </w:r>
    </w:p>
    <w:p>
      <w:pPr>
        <w:pStyle w:val="67"/>
        <w:widowControl/>
        <w:numPr>
          <w:ilvl w:val="0"/>
          <w:numId w:val="2"/>
        </w:numPr>
        <w:spacing w:before="0" w:beforeAutospacing="0" w:after="0" w:afterAutospacing="0" w:line="590" w:lineRule="exact"/>
        <w:ind w:left="0" w:firstLine="720"/>
        <w:rPr>
          <w:rFonts w:ascii="黑体" w:eastAsia="黑体" w:cs="黑体"/>
          <w:sz w:val="32"/>
          <w:szCs w:val="32"/>
        </w:rPr>
      </w:pPr>
      <w:r>
        <w:rPr>
          <w:rFonts w:hint="eastAsia" w:ascii="黑体" w:eastAsia="黑体" w:cs="黑体"/>
          <w:sz w:val="32"/>
          <w:szCs w:val="32"/>
        </w:rPr>
        <w:t xml:space="preserve">综合评价结论 </w:t>
      </w:r>
    </w:p>
    <w:p>
      <w:pPr>
        <w:pStyle w:val="67"/>
        <w:widowControl/>
        <w:spacing w:before="0" w:beforeAutospacing="0" w:after="0" w:afterAutospacing="0" w:line="590" w:lineRule="exact"/>
        <w:ind w:firstLine="720"/>
        <w:rPr>
          <w:rFonts w:ascii="黑体" w:eastAsia="黑体" w:cs="黑体"/>
          <w:sz w:val="32"/>
          <w:szCs w:val="32"/>
        </w:rPr>
      </w:pPr>
      <w:r>
        <w:rPr>
          <w:rFonts w:hint="eastAsia" w:ascii="仿宋_GB2312" w:cs="仿宋_GB2312"/>
          <w:bCs/>
          <w:sz w:val="32"/>
          <w:szCs w:val="32"/>
        </w:rPr>
        <w:t>2021年安排50万元，实际支付33.2万元。</w:t>
      </w:r>
      <w:r>
        <w:rPr>
          <w:rFonts w:hint="eastAsia" w:ascii="仿宋_GB2312" w:cs="仿宋_GB2312"/>
          <w:sz w:val="32"/>
          <w:szCs w:val="32"/>
        </w:rPr>
        <w:t>主要是弥补办公经费的不足，</w:t>
      </w:r>
      <w:r>
        <w:rPr>
          <w:rFonts w:hint="eastAsia" w:ascii="仿宋_GB2312" w:cs="仿宋_GB2312"/>
          <w:bCs/>
          <w:color w:val="000000"/>
          <w:sz w:val="32"/>
          <w:szCs w:val="32"/>
        </w:rPr>
        <w:t>确保</w:t>
      </w:r>
      <w:r>
        <w:rPr>
          <w:rFonts w:hint="eastAsia" w:ascii="仿宋_GB2312" w:cs="仿宋_GB2312"/>
          <w:bCs/>
          <w:sz w:val="32"/>
          <w:szCs w:val="32"/>
        </w:rPr>
        <w:t>应急管理、安全监管、应急救援、森林防灭火、自然灾害救灾应急等各项工作安全运行。</w:t>
      </w:r>
      <w:r>
        <w:rPr>
          <w:rFonts w:hint="eastAsia" w:ascii="仿宋_GB2312" w:cs="仿宋_GB2312"/>
          <w:sz w:val="32"/>
          <w:szCs w:val="32"/>
        </w:rPr>
        <w:t>项目评价分数在90分以上</w:t>
      </w:r>
    </w:p>
    <w:p>
      <w:pPr>
        <w:pStyle w:val="67"/>
        <w:widowControl/>
        <w:numPr>
          <w:ilvl w:val="0"/>
          <w:numId w:val="2"/>
        </w:numPr>
        <w:spacing w:before="0" w:beforeAutospacing="0" w:after="0" w:afterAutospacing="0" w:line="590" w:lineRule="exact"/>
        <w:ind w:left="0" w:firstLine="720"/>
        <w:rPr>
          <w:rFonts w:ascii="黑体" w:eastAsia="黑体" w:cs="黑体"/>
          <w:sz w:val="32"/>
          <w:szCs w:val="32"/>
        </w:rPr>
      </w:pPr>
      <w:r>
        <w:rPr>
          <w:rFonts w:hint="eastAsia" w:ascii="黑体" w:eastAsia="黑体" w:cs="黑体"/>
          <w:sz w:val="32"/>
          <w:szCs w:val="32"/>
        </w:rPr>
        <w:t xml:space="preserve">绩效评价分析 </w:t>
      </w:r>
    </w:p>
    <w:p>
      <w:pPr>
        <w:pStyle w:val="67"/>
        <w:widowControl/>
        <w:numPr>
          <w:ilvl w:val="0"/>
          <w:numId w:val="5"/>
        </w:numPr>
        <w:spacing w:before="0" w:beforeAutospacing="0" w:after="0" w:afterAutospacing="0" w:line="590" w:lineRule="exact"/>
        <w:ind w:left="0" w:firstLine="640" w:firstLineChars="200"/>
        <w:rPr>
          <w:rFonts w:ascii="楷体_GB2312" w:eastAsia="楷体_GB2312" w:cs="楷体_GB2312"/>
          <w:sz w:val="32"/>
          <w:szCs w:val="32"/>
        </w:rPr>
      </w:pPr>
      <w:r>
        <w:rPr>
          <w:rFonts w:hint="eastAsia" w:ascii="楷体_GB2312" w:eastAsia="楷体_GB2312" w:cs="楷体_GB2312"/>
          <w:sz w:val="32"/>
          <w:szCs w:val="32"/>
        </w:rPr>
        <w:t xml:space="preserve">项目决策情况 </w:t>
      </w:r>
    </w:p>
    <w:p>
      <w:pPr>
        <w:pStyle w:val="67"/>
        <w:widowControl/>
        <w:spacing w:before="0" w:beforeAutospacing="0" w:after="0" w:afterAutospacing="0" w:line="590" w:lineRule="exact"/>
        <w:ind w:firstLine="640" w:firstLineChars="200"/>
        <w:rPr>
          <w:rFonts w:ascii="楷体_GB2312" w:eastAsia="楷体_GB2312" w:cs="楷体_GB2312"/>
          <w:sz w:val="32"/>
          <w:szCs w:val="32"/>
        </w:rPr>
      </w:pPr>
      <w:r>
        <w:rPr>
          <w:rFonts w:hint="eastAsia" w:ascii="仿宋_GB2312" w:cs="仿宋_GB2312"/>
          <w:sz w:val="32"/>
          <w:szCs w:val="32"/>
        </w:rPr>
        <w:t>项目的编制是根据年初预算编制。</w:t>
      </w:r>
    </w:p>
    <w:p>
      <w:pPr>
        <w:pStyle w:val="67"/>
        <w:widowControl/>
        <w:numPr>
          <w:ilvl w:val="0"/>
          <w:numId w:val="5"/>
        </w:numPr>
        <w:spacing w:before="0" w:beforeAutospacing="0" w:after="0" w:afterAutospacing="0" w:line="590" w:lineRule="exact"/>
        <w:ind w:left="0" w:firstLine="640" w:firstLineChars="200"/>
        <w:rPr>
          <w:rFonts w:ascii="楷体" w:eastAsia="楷体" w:cs="楷体"/>
          <w:sz w:val="32"/>
          <w:szCs w:val="32"/>
        </w:rPr>
      </w:pPr>
      <w:r>
        <w:rPr>
          <w:rFonts w:hint="eastAsia" w:ascii="楷体" w:eastAsia="楷体" w:cs="楷体"/>
          <w:sz w:val="32"/>
          <w:szCs w:val="32"/>
        </w:rPr>
        <w:t>项目管理情况</w:t>
      </w:r>
    </w:p>
    <w:p>
      <w:pPr>
        <w:pStyle w:val="67"/>
        <w:widowControl/>
        <w:spacing w:before="0" w:beforeAutospacing="0" w:after="0" w:afterAutospacing="0" w:line="590" w:lineRule="exact"/>
        <w:ind w:firstLine="640" w:firstLineChars="200"/>
        <w:rPr>
          <w:rFonts w:ascii="楷体" w:eastAsia="楷体" w:cs="楷体"/>
          <w:sz w:val="32"/>
          <w:szCs w:val="32"/>
        </w:rPr>
      </w:pPr>
      <w:r>
        <w:rPr>
          <w:rFonts w:hint="eastAsia" w:ascii="楷体" w:eastAsia="楷体" w:cs="楷体"/>
          <w:sz w:val="32"/>
          <w:szCs w:val="32"/>
        </w:rPr>
        <w:t>严格按照项目预算编制执行，除“三公经费”以外，有力的弥补了</w:t>
      </w:r>
      <w:r>
        <w:rPr>
          <w:rFonts w:hint="eastAsia" w:ascii="仿宋_GB2312" w:cs="仿宋_GB2312"/>
          <w:bCs/>
          <w:sz w:val="32"/>
          <w:szCs w:val="32"/>
        </w:rPr>
        <w:t>应急管理、安全监管、应急救援、森林防灭火、自然灾害救灾应急等</w:t>
      </w:r>
      <w:r>
        <w:rPr>
          <w:rFonts w:hint="eastAsia" w:ascii="楷体" w:eastAsia="楷体" w:cs="楷体"/>
          <w:sz w:val="32"/>
          <w:szCs w:val="32"/>
        </w:rPr>
        <w:t xml:space="preserve">办公经费的不足。 </w:t>
      </w:r>
    </w:p>
    <w:p>
      <w:pPr>
        <w:pStyle w:val="49"/>
        <w:numPr>
          <w:ilvl w:val="0"/>
          <w:numId w:val="5"/>
        </w:numPr>
        <w:spacing w:line="598" w:lineRule="exact"/>
        <w:ind w:left="0" w:firstLine="640" w:firstLineChars="200"/>
        <w:rPr>
          <w:rFonts w:ascii="楷体" w:eastAsia="楷体" w:cs="楷体"/>
          <w:sz w:val="32"/>
          <w:szCs w:val="32"/>
        </w:rPr>
      </w:pPr>
      <w:r>
        <w:rPr>
          <w:rFonts w:hint="eastAsia" w:ascii="楷体" w:eastAsia="楷体" w:cs="楷体"/>
          <w:sz w:val="32"/>
          <w:szCs w:val="32"/>
        </w:rPr>
        <w:t xml:space="preserve">项目效益情况 </w:t>
      </w:r>
    </w:p>
    <w:p>
      <w:pPr>
        <w:pStyle w:val="49"/>
        <w:spacing w:line="598" w:lineRule="exact"/>
        <w:ind w:left="40" w:firstLine="800" w:firstLineChars="250"/>
        <w:rPr>
          <w:rFonts w:ascii="仿宋_GB2312" w:eastAsia="仿宋_GB2312" w:cs="仿宋_GB2312"/>
          <w:sz w:val="32"/>
          <w:szCs w:val="32"/>
        </w:rPr>
      </w:pPr>
      <w:r>
        <w:rPr>
          <w:rFonts w:hint="eastAsia" w:ascii="仿宋_GB2312" w:eastAsia="仿宋_GB2312" w:cs="仿宋_GB2312"/>
          <w:bCs/>
          <w:color w:val="000000"/>
          <w:kern w:val="0"/>
          <w:sz w:val="32"/>
          <w:szCs w:val="32"/>
        </w:rPr>
        <w:t>确保</w:t>
      </w:r>
      <w:r>
        <w:rPr>
          <w:rFonts w:hint="eastAsia" w:ascii="仿宋_GB2312" w:eastAsia="仿宋_GB2312" w:cs="仿宋_GB2312"/>
          <w:bCs/>
          <w:kern w:val="0"/>
          <w:sz w:val="32"/>
          <w:szCs w:val="32"/>
        </w:rPr>
        <w:t>应急管理、安全监管、应急救援、森林防灭火、自然灾害救灾应急等各项工作安全运行。</w:t>
      </w:r>
    </w:p>
    <w:p>
      <w:pPr>
        <w:pStyle w:val="49"/>
        <w:spacing w:line="598" w:lineRule="exact"/>
        <w:ind w:firstLine="960" w:firstLineChars="300"/>
        <w:rPr>
          <w:rFonts w:ascii="黑体" w:eastAsia="黑体" w:cs="黑体"/>
          <w:sz w:val="32"/>
          <w:szCs w:val="32"/>
        </w:rPr>
      </w:pPr>
      <w:r>
        <w:rPr>
          <w:rFonts w:hint="eastAsia" w:ascii="黑体" w:eastAsia="黑体" w:cs="黑体"/>
          <w:sz w:val="32"/>
          <w:szCs w:val="32"/>
        </w:rPr>
        <w:t xml:space="preserve">五、存在主要问题 </w:t>
      </w:r>
    </w:p>
    <w:p>
      <w:pPr>
        <w:pStyle w:val="49"/>
        <w:spacing w:line="598" w:lineRule="exact"/>
        <w:ind w:firstLine="960" w:firstLineChars="300"/>
        <w:rPr>
          <w:rFonts w:ascii="仿宋_GB2312" w:eastAsia="仿宋_GB2312" w:cs="仿宋_GB2312"/>
          <w:sz w:val="32"/>
          <w:szCs w:val="32"/>
        </w:rPr>
      </w:pPr>
      <w:r>
        <w:rPr>
          <w:rFonts w:hint="eastAsia" w:ascii="仿宋_GB2312" w:eastAsia="仿宋_GB2312" w:cs="仿宋_GB2312"/>
          <w:sz w:val="32"/>
          <w:szCs w:val="32"/>
        </w:rPr>
        <w:t xml:space="preserve">无 </w:t>
      </w:r>
    </w:p>
    <w:p>
      <w:pPr>
        <w:pStyle w:val="49"/>
        <w:spacing w:line="598" w:lineRule="exact"/>
        <w:ind w:left="720" w:firstLine="320" w:firstLineChars="100"/>
        <w:rPr>
          <w:rFonts w:ascii="黑体" w:eastAsia="黑体" w:cs="黑体"/>
          <w:sz w:val="32"/>
          <w:szCs w:val="32"/>
        </w:rPr>
      </w:pPr>
      <w:r>
        <w:rPr>
          <w:rFonts w:hint="eastAsia" w:ascii="黑体" w:eastAsia="黑体" w:cs="黑体"/>
          <w:sz w:val="32"/>
          <w:szCs w:val="32"/>
        </w:rPr>
        <w:t xml:space="preserve">六、相关措施建议 </w:t>
      </w:r>
    </w:p>
    <w:p>
      <w:pPr>
        <w:pStyle w:val="49"/>
        <w:spacing w:line="598" w:lineRule="exact"/>
        <w:ind w:firstLine="960" w:firstLineChars="300"/>
        <w:rPr>
          <w:rFonts w:ascii="仿宋_GB2312" w:eastAsia="仿宋_GB2312" w:cs="仿宋_GB2312"/>
          <w:sz w:val="32"/>
          <w:szCs w:val="32"/>
        </w:rPr>
      </w:pPr>
      <w:r>
        <w:rPr>
          <w:rFonts w:hint="eastAsia" w:ascii="仿宋_GB2312" w:eastAsia="仿宋_GB2312" w:cs="仿宋_GB2312"/>
          <w:sz w:val="32"/>
          <w:szCs w:val="32"/>
        </w:rPr>
        <w:t xml:space="preserve">无 </w:t>
      </w:r>
    </w:p>
    <w:p>
      <w:pPr>
        <w:pStyle w:val="49"/>
        <w:spacing w:line="570" w:lineRule="exact"/>
      </w:pPr>
    </w:p>
    <w:p>
      <w:pPr>
        <w:pStyle w:val="3"/>
        <w:jc w:val="center"/>
        <w:rPr>
          <w:rFonts w:ascii="黑体" w:eastAsia="黑体" w:cs="黑体"/>
        </w:rPr>
      </w:pPr>
      <w:bookmarkStart w:id="75" w:name="_Toc113981025"/>
      <w:bookmarkStart w:id="76" w:name="_Toc111208512"/>
      <w:r>
        <w:rPr>
          <w:rFonts w:hint="eastAsia" w:ascii="黑体" w:eastAsia="黑体" w:cs="黑体"/>
        </w:rPr>
        <w:t>第五部分 附表</w:t>
      </w:r>
      <w:bookmarkEnd w:id="69"/>
      <w:bookmarkEnd w:id="72"/>
      <w:bookmarkEnd w:id="75"/>
      <w:bookmarkEnd w:id="76"/>
    </w:p>
    <w:p>
      <w:pPr>
        <w:pStyle w:val="4"/>
        <w:ind w:firstLine="642" w:firstLineChars="200"/>
        <w:rPr>
          <w:rFonts w:ascii="黑体" w:eastAsia="黑体" w:cs="Times New Roman"/>
          <w:bCs w:val="0"/>
          <w:color w:val="000000"/>
        </w:rPr>
      </w:pPr>
      <w:bookmarkStart w:id="77" w:name="_Toc111208513"/>
      <w:bookmarkStart w:id="78" w:name="_Toc113981026"/>
      <w:bookmarkStart w:id="79" w:name="_Toc79163636"/>
      <w:bookmarkStart w:id="80" w:name="_Toc79163886"/>
      <w:r>
        <w:rPr>
          <w:rFonts w:hint="eastAsia" w:ascii="黑体" w:eastAsia="黑体" w:cs="Times New Roman"/>
          <w:bCs w:val="0"/>
          <w:color w:val="000000"/>
        </w:rPr>
        <w:t>一、收入支出决算总表</w:t>
      </w:r>
      <w:bookmarkEnd w:id="77"/>
      <w:bookmarkEnd w:id="78"/>
      <w:bookmarkEnd w:id="79"/>
      <w:bookmarkEnd w:id="80"/>
    </w:p>
    <w:p>
      <w:pPr>
        <w:pStyle w:val="4"/>
        <w:ind w:firstLine="642" w:firstLineChars="200"/>
        <w:rPr>
          <w:rFonts w:ascii="黑体" w:eastAsia="黑体" w:cs="Times New Roman"/>
          <w:bCs w:val="0"/>
          <w:color w:val="000000"/>
        </w:rPr>
      </w:pPr>
      <w:bookmarkStart w:id="81" w:name="_Toc79163887"/>
      <w:bookmarkStart w:id="82" w:name="_Toc113981027"/>
      <w:bookmarkStart w:id="83" w:name="_Toc111208514"/>
      <w:bookmarkStart w:id="84" w:name="_Toc79163637"/>
      <w:r>
        <w:rPr>
          <w:rFonts w:hint="eastAsia" w:ascii="黑体" w:eastAsia="黑体" w:cs="Times New Roman"/>
          <w:bCs w:val="0"/>
          <w:color w:val="000000"/>
        </w:rPr>
        <w:t>二、收入决算表</w:t>
      </w:r>
      <w:bookmarkEnd w:id="81"/>
      <w:bookmarkEnd w:id="82"/>
      <w:bookmarkEnd w:id="83"/>
      <w:bookmarkEnd w:id="84"/>
    </w:p>
    <w:p>
      <w:pPr>
        <w:pStyle w:val="4"/>
        <w:ind w:firstLine="642" w:firstLineChars="200"/>
        <w:rPr>
          <w:rFonts w:ascii="黑体" w:eastAsia="黑体" w:cs="Times New Roman"/>
          <w:b w:val="0"/>
          <w:color w:val="000000"/>
        </w:rPr>
      </w:pPr>
      <w:bookmarkStart w:id="85" w:name="_Toc111208515"/>
      <w:bookmarkStart w:id="86" w:name="_Toc79163888"/>
      <w:bookmarkStart w:id="87" w:name="_Toc113981028"/>
      <w:bookmarkStart w:id="88" w:name="_Toc79163638"/>
      <w:r>
        <w:rPr>
          <w:rFonts w:hint="eastAsia" w:ascii="黑体" w:eastAsia="黑体" w:cs="Times New Roman"/>
          <w:bCs w:val="0"/>
          <w:color w:val="000000"/>
        </w:rPr>
        <w:t>三、支出决算表</w:t>
      </w:r>
      <w:bookmarkEnd w:id="85"/>
      <w:bookmarkEnd w:id="86"/>
      <w:bookmarkEnd w:id="87"/>
      <w:bookmarkEnd w:id="88"/>
    </w:p>
    <w:p>
      <w:pPr>
        <w:pStyle w:val="4"/>
        <w:ind w:firstLine="642" w:firstLineChars="200"/>
        <w:rPr>
          <w:rFonts w:ascii="黑体" w:eastAsia="黑体" w:cs="Times New Roman"/>
          <w:bCs w:val="0"/>
          <w:color w:val="000000"/>
        </w:rPr>
      </w:pPr>
      <w:bookmarkStart w:id="89" w:name="_Toc79163889"/>
      <w:bookmarkStart w:id="90" w:name="_Toc111208516"/>
      <w:bookmarkStart w:id="91" w:name="_Toc79163639"/>
      <w:bookmarkStart w:id="92" w:name="_Toc113981029"/>
      <w:r>
        <w:rPr>
          <w:rFonts w:hint="eastAsia" w:ascii="黑体" w:eastAsia="黑体" w:cs="Times New Roman"/>
          <w:bCs w:val="0"/>
          <w:color w:val="000000"/>
        </w:rPr>
        <w:t>四、财政拨款收入支出决算总表</w:t>
      </w:r>
      <w:bookmarkEnd w:id="89"/>
      <w:bookmarkEnd w:id="90"/>
      <w:bookmarkEnd w:id="91"/>
      <w:bookmarkEnd w:id="92"/>
    </w:p>
    <w:p>
      <w:pPr>
        <w:pStyle w:val="4"/>
        <w:ind w:firstLine="642" w:firstLineChars="200"/>
        <w:rPr>
          <w:rFonts w:ascii="黑体" w:eastAsia="黑体" w:cs="Times New Roman"/>
          <w:bCs w:val="0"/>
          <w:color w:val="000000"/>
        </w:rPr>
      </w:pPr>
      <w:bookmarkStart w:id="93" w:name="_Toc111208517"/>
      <w:bookmarkStart w:id="94" w:name="_Toc79163640"/>
      <w:bookmarkStart w:id="95" w:name="_Toc113981030"/>
      <w:bookmarkStart w:id="96" w:name="_Toc79163890"/>
      <w:r>
        <w:rPr>
          <w:rFonts w:hint="eastAsia" w:ascii="黑体" w:eastAsia="黑体" w:cs="Times New Roman"/>
          <w:bCs w:val="0"/>
          <w:color w:val="000000"/>
        </w:rPr>
        <w:t>五、财政拨款支出决算明细表</w:t>
      </w:r>
      <w:bookmarkEnd w:id="93"/>
      <w:bookmarkEnd w:id="94"/>
      <w:bookmarkEnd w:id="95"/>
      <w:bookmarkEnd w:id="96"/>
    </w:p>
    <w:p>
      <w:pPr>
        <w:pStyle w:val="4"/>
        <w:ind w:firstLine="642" w:firstLineChars="200"/>
        <w:rPr>
          <w:rFonts w:ascii="黑体" w:eastAsia="黑体" w:cs="Times New Roman"/>
          <w:bCs w:val="0"/>
          <w:color w:val="000000"/>
        </w:rPr>
      </w:pPr>
      <w:bookmarkStart w:id="97" w:name="_Toc79163641"/>
      <w:bookmarkStart w:id="98" w:name="_Toc113981031"/>
      <w:bookmarkStart w:id="99" w:name="_Toc111208518"/>
      <w:bookmarkStart w:id="100" w:name="_Toc79163891"/>
      <w:r>
        <w:rPr>
          <w:rFonts w:hint="eastAsia" w:ascii="黑体" w:eastAsia="黑体" w:cs="Times New Roman"/>
          <w:bCs w:val="0"/>
          <w:color w:val="000000"/>
        </w:rPr>
        <w:t>六、一般公共预算财政拨款支出决算表</w:t>
      </w:r>
      <w:bookmarkEnd w:id="97"/>
      <w:bookmarkEnd w:id="98"/>
      <w:bookmarkEnd w:id="99"/>
      <w:bookmarkEnd w:id="100"/>
    </w:p>
    <w:p>
      <w:pPr>
        <w:pStyle w:val="4"/>
        <w:ind w:firstLine="642" w:firstLineChars="200"/>
        <w:rPr>
          <w:rFonts w:ascii="黑体" w:eastAsia="黑体" w:cs="Times New Roman"/>
          <w:bCs w:val="0"/>
          <w:color w:val="000000"/>
        </w:rPr>
      </w:pPr>
      <w:bookmarkStart w:id="101" w:name="_Toc111208519"/>
      <w:bookmarkStart w:id="102" w:name="_Toc79163642"/>
      <w:bookmarkStart w:id="103" w:name="_Toc113981032"/>
      <w:bookmarkStart w:id="104" w:name="_Toc79163892"/>
      <w:r>
        <w:rPr>
          <w:rFonts w:hint="eastAsia" w:ascii="黑体" w:eastAsia="黑体" w:cs="Times New Roman"/>
          <w:bCs w:val="0"/>
          <w:color w:val="000000"/>
        </w:rPr>
        <w:t>七、一般公共预算财政拨款支出决算明细表</w:t>
      </w:r>
      <w:bookmarkEnd w:id="101"/>
      <w:bookmarkEnd w:id="102"/>
      <w:bookmarkEnd w:id="103"/>
      <w:bookmarkEnd w:id="104"/>
    </w:p>
    <w:p>
      <w:pPr>
        <w:pStyle w:val="4"/>
        <w:ind w:firstLine="642" w:firstLineChars="200"/>
        <w:rPr>
          <w:rFonts w:ascii="黑体" w:eastAsia="黑体" w:cs="Times New Roman"/>
          <w:bCs w:val="0"/>
          <w:color w:val="000000"/>
        </w:rPr>
      </w:pPr>
      <w:bookmarkStart w:id="105" w:name="_Toc113981033"/>
      <w:bookmarkStart w:id="106" w:name="_Toc79163893"/>
      <w:bookmarkStart w:id="107" w:name="_Toc79163643"/>
      <w:bookmarkStart w:id="108" w:name="_Toc111208520"/>
      <w:r>
        <w:rPr>
          <w:rFonts w:hint="eastAsia" w:ascii="黑体" w:eastAsia="黑体" w:cs="Times New Roman"/>
          <w:bCs w:val="0"/>
          <w:color w:val="000000"/>
        </w:rPr>
        <w:t>八、一般公共预算财政拨款基本支出决算表</w:t>
      </w:r>
      <w:bookmarkEnd w:id="105"/>
      <w:bookmarkEnd w:id="106"/>
      <w:bookmarkEnd w:id="107"/>
      <w:bookmarkEnd w:id="108"/>
    </w:p>
    <w:p>
      <w:pPr>
        <w:pStyle w:val="4"/>
        <w:ind w:firstLine="642" w:firstLineChars="200"/>
        <w:rPr>
          <w:rFonts w:ascii="黑体" w:eastAsia="黑体" w:cs="Times New Roman"/>
          <w:bCs w:val="0"/>
          <w:color w:val="000000"/>
        </w:rPr>
      </w:pPr>
      <w:bookmarkStart w:id="109" w:name="_Toc113981034"/>
      <w:bookmarkStart w:id="110" w:name="_Toc79163894"/>
      <w:bookmarkStart w:id="111" w:name="_Toc79163644"/>
      <w:bookmarkStart w:id="112" w:name="_Toc111208521"/>
      <w:r>
        <w:rPr>
          <w:rFonts w:hint="eastAsia" w:ascii="黑体" w:eastAsia="黑体" w:cs="Times New Roman"/>
          <w:bCs w:val="0"/>
          <w:color w:val="000000"/>
        </w:rPr>
        <w:t>九、一般公共预算财政拨款项目支出决算表</w:t>
      </w:r>
      <w:bookmarkEnd w:id="109"/>
      <w:bookmarkEnd w:id="110"/>
      <w:bookmarkEnd w:id="111"/>
      <w:bookmarkEnd w:id="112"/>
    </w:p>
    <w:p>
      <w:pPr>
        <w:pStyle w:val="4"/>
        <w:ind w:firstLine="642" w:firstLineChars="200"/>
        <w:rPr>
          <w:rFonts w:ascii="黑体" w:eastAsia="黑体" w:cs="Times New Roman"/>
          <w:bCs w:val="0"/>
          <w:color w:val="000000"/>
        </w:rPr>
      </w:pPr>
      <w:bookmarkStart w:id="113" w:name="_Toc113981035"/>
      <w:bookmarkStart w:id="114" w:name="_Toc79163895"/>
      <w:bookmarkStart w:id="115" w:name="_Toc79163645"/>
      <w:bookmarkStart w:id="116" w:name="_Toc111208522"/>
      <w:r>
        <w:rPr>
          <w:rFonts w:hint="eastAsia" w:ascii="黑体" w:eastAsia="黑体" w:cs="Times New Roman"/>
          <w:bCs w:val="0"/>
          <w:color w:val="000000"/>
        </w:rPr>
        <w:t>十、一般公共预算财政拨款“三公”经费支出决算表</w:t>
      </w:r>
      <w:bookmarkEnd w:id="113"/>
      <w:bookmarkEnd w:id="114"/>
      <w:bookmarkEnd w:id="115"/>
      <w:bookmarkEnd w:id="116"/>
    </w:p>
    <w:p>
      <w:pPr>
        <w:pStyle w:val="4"/>
        <w:ind w:firstLine="642" w:firstLineChars="200"/>
        <w:rPr>
          <w:rFonts w:ascii="黑体" w:eastAsia="黑体" w:cs="Times New Roman"/>
          <w:bCs w:val="0"/>
          <w:color w:val="000000"/>
        </w:rPr>
      </w:pPr>
      <w:bookmarkStart w:id="117" w:name="_Toc111208523"/>
      <w:bookmarkStart w:id="118" w:name="_Toc113981036"/>
      <w:bookmarkStart w:id="119" w:name="_Toc79163896"/>
      <w:bookmarkStart w:id="120" w:name="_Toc79163646"/>
      <w:r>
        <w:rPr>
          <w:rFonts w:hint="eastAsia" w:ascii="黑体" w:eastAsia="黑体" w:cs="Times New Roman"/>
          <w:bCs w:val="0"/>
          <w:color w:val="000000"/>
        </w:rPr>
        <w:t>十一、政府性基金预算财政拨款收入支出决算表</w:t>
      </w:r>
      <w:bookmarkEnd w:id="117"/>
      <w:bookmarkEnd w:id="118"/>
      <w:bookmarkEnd w:id="119"/>
      <w:bookmarkEnd w:id="120"/>
    </w:p>
    <w:p>
      <w:pPr>
        <w:pStyle w:val="4"/>
        <w:ind w:firstLine="642" w:firstLineChars="200"/>
        <w:rPr>
          <w:rFonts w:ascii="黑体" w:eastAsia="黑体" w:cs="Times New Roman"/>
          <w:bCs w:val="0"/>
          <w:color w:val="000000"/>
        </w:rPr>
      </w:pPr>
      <w:bookmarkStart w:id="121" w:name="_Toc79163897"/>
      <w:bookmarkStart w:id="122" w:name="_Toc113981037"/>
      <w:bookmarkStart w:id="123" w:name="_Toc79163647"/>
      <w:bookmarkStart w:id="124" w:name="_Toc111208524"/>
      <w:r>
        <w:rPr>
          <w:rFonts w:hint="eastAsia" w:ascii="黑体" w:eastAsia="黑体" w:cs="Times New Roman"/>
          <w:bCs w:val="0"/>
          <w:color w:val="000000"/>
        </w:rPr>
        <w:t>十二、政府性基金预算财政拨款“三公”经费支出决算表</w:t>
      </w:r>
      <w:bookmarkEnd w:id="121"/>
      <w:bookmarkEnd w:id="122"/>
      <w:bookmarkEnd w:id="123"/>
      <w:bookmarkEnd w:id="124"/>
    </w:p>
    <w:p>
      <w:pPr>
        <w:pStyle w:val="4"/>
        <w:ind w:firstLine="642" w:firstLineChars="200"/>
        <w:rPr>
          <w:rFonts w:ascii="黑体" w:eastAsia="黑体" w:cs="Times New Roman"/>
          <w:bCs w:val="0"/>
          <w:color w:val="000000"/>
        </w:rPr>
      </w:pPr>
      <w:bookmarkStart w:id="125" w:name="_Toc79163648"/>
      <w:bookmarkStart w:id="126" w:name="_Toc79163898"/>
      <w:bookmarkStart w:id="127" w:name="_Toc113981038"/>
      <w:bookmarkStart w:id="128" w:name="_Toc111208525"/>
      <w:r>
        <w:rPr>
          <w:rFonts w:hint="eastAsia" w:ascii="黑体" w:eastAsia="黑体" w:cs="Times New Roman"/>
          <w:bCs w:val="0"/>
          <w:color w:val="000000"/>
        </w:rPr>
        <w:t>十三、</w:t>
      </w:r>
      <w:bookmarkEnd w:id="125"/>
      <w:bookmarkEnd w:id="126"/>
      <w:r>
        <w:rPr>
          <w:rFonts w:hint="eastAsia" w:ascii="黑体" w:eastAsia="黑体" w:cs="Times New Roman"/>
          <w:bCs w:val="0"/>
          <w:color w:val="000000"/>
        </w:rPr>
        <w:t>国有资本经营预算财政拨款收入支出决算表</w:t>
      </w:r>
      <w:bookmarkEnd w:id="127"/>
      <w:bookmarkEnd w:id="128"/>
    </w:p>
    <w:p>
      <w:pPr>
        <w:pStyle w:val="4"/>
        <w:ind w:firstLine="642" w:firstLineChars="200"/>
        <w:rPr>
          <w:rFonts w:ascii="黑体" w:eastAsia="黑体" w:cs="Times New Roman"/>
          <w:b w:val="0"/>
          <w:color w:val="000000"/>
        </w:rPr>
      </w:pPr>
      <w:bookmarkStart w:id="129" w:name="_Toc111208526"/>
      <w:bookmarkStart w:id="130" w:name="_Toc113981039"/>
      <w:r>
        <w:rPr>
          <w:rFonts w:hint="eastAsia" w:ascii="黑体" w:eastAsia="黑体" w:cs="Times New Roman"/>
          <w:bCs w:val="0"/>
          <w:color w:val="000000"/>
        </w:rPr>
        <w:t>十四、国有资本经营预算财政拨款支出决算表</w:t>
      </w:r>
      <w:bookmarkEnd w:id="129"/>
      <w:bookmarkEnd w:id="130"/>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0000000000000000000"/>
    <w:charset w:val="01"/>
    <w:family w:val="auto"/>
    <w:pitch w:val="default"/>
    <w:sig w:usb0="00000000" w:usb1="00000000" w:usb2="00000000" w:usb3="00000000" w:csb0="00000000" w:csb1="00000000"/>
  </w:font>
  <w:font w:name="宋体">
    <w:altName w:val="方正书宋_GBK"/>
    <w:panose1 w:val="00000000000000000000"/>
    <w:charset w:val="01"/>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DejaVu Sans"/>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DejaVu Sans"/>
    <w:panose1 w:val="00000000000000000000"/>
    <w:charset w:val="00"/>
    <w:family w:val="auto"/>
    <w:pitch w:val="default"/>
    <w:sig w:usb0="00000000" w:usb1="00000000" w:usb2="00000000" w:usb3="00000000" w:csb0="00000000" w:csb1="00000000"/>
  </w:font>
  <w:font w:name="等线">
    <w:altName w:val="仿宋_GB2312"/>
    <w:panose1 w:val="02010600030101010101"/>
    <w:charset w:val="86"/>
    <w:family w:val="auto"/>
    <w:pitch w:val="default"/>
    <w:sig w:usb0="00000000" w:usb1="00000000" w:usb2="00000016" w:usb3="00000000" w:csb0="0004000F" w:csb1="00000000"/>
  </w:font>
  <w:font w:name="等线 Light">
    <w:altName w:val="仿宋_GB2312"/>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Lucida Sans">
    <w:altName w:val="仿宋_GB2312"/>
    <w:panose1 w:val="00000000000000000000"/>
    <w:charset w:val="01"/>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119712"/>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4"/>
      <w:numFmt w:val="chineseCounting"/>
      <w:suff w:val="nothing"/>
      <w:lvlText w:val="%1、"/>
      <w:lvlJc w:val="left"/>
      <w:pPr>
        <w:ind w:left="0" w:firstLine="0"/>
      </w:pPr>
      <w:rPr>
        <w:rFonts w:hint="eastAsia"/>
      </w:rPr>
    </w:lvl>
  </w:abstractNum>
  <w:abstractNum w:abstractNumId="1">
    <w:nsid w:val="B5E306ED"/>
    <w:multiLevelType w:val="singleLevel"/>
    <w:tmpl w:val="B5E306ED"/>
    <w:lvl w:ilvl="0" w:tentative="0">
      <w:start w:val="1"/>
      <w:numFmt w:val="chineseCounting"/>
      <w:suff w:val="nothing"/>
      <w:lvlText w:val="（%1）"/>
      <w:lvlJc w:val="left"/>
      <w:pPr>
        <w:ind w:left="0" w:firstLine="0"/>
      </w:pPr>
      <w:rPr>
        <w:rFonts w:hint="eastAsia"/>
      </w:rPr>
    </w:lvl>
  </w:abstractNum>
  <w:abstractNum w:abstractNumId="2">
    <w:nsid w:val="BF205925"/>
    <w:multiLevelType w:val="singleLevel"/>
    <w:tmpl w:val="BF205925"/>
    <w:lvl w:ilvl="0" w:tentative="0">
      <w:start w:val="2"/>
      <w:numFmt w:val="chineseCounting"/>
      <w:suff w:val="nothing"/>
      <w:lvlText w:val="（%1）"/>
      <w:lvlJc w:val="left"/>
      <w:pPr>
        <w:ind w:left="642" w:firstLine="0"/>
      </w:pPr>
      <w:rPr>
        <w:rFonts w:hint="eastAsia"/>
      </w:rPr>
    </w:lvl>
  </w:abstractNum>
  <w:abstractNum w:abstractNumId="3">
    <w:nsid w:val="C8879AEF"/>
    <w:multiLevelType w:val="singleLevel"/>
    <w:tmpl w:val="C8879AEF"/>
    <w:lvl w:ilvl="0" w:tentative="0">
      <w:start w:val="5"/>
      <w:numFmt w:val="chineseCounting"/>
      <w:suff w:val="nothing"/>
      <w:lvlText w:val="%1、"/>
      <w:lvlJc w:val="left"/>
      <w:pPr>
        <w:ind w:left="0" w:firstLine="0"/>
      </w:pPr>
      <w:rPr>
        <w:rFonts w:hint="eastAsia"/>
      </w:rPr>
    </w:lvl>
  </w:abstractNum>
  <w:abstractNum w:abstractNumId="4">
    <w:nsid w:val="CF092B84"/>
    <w:multiLevelType w:val="singleLevel"/>
    <w:tmpl w:val="CF092B84"/>
    <w:lvl w:ilvl="0" w:tentative="0">
      <w:start w:val="1"/>
      <w:numFmt w:val="chineseCounting"/>
      <w:suff w:val="nothing"/>
      <w:lvlText w:val="%1、"/>
      <w:lvlJc w:val="left"/>
      <w:pPr>
        <w:ind w:left="0" w:firstLine="0"/>
      </w:pPr>
      <w:rPr>
        <w:rFonts w:hint="eastAsia"/>
      </w:rPr>
    </w:lvl>
  </w:abstractNum>
  <w:abstractNum w:abstractNumId="5">
    <w:nsid w:val="0053208E"/>
    <w:multiLevelType w:val="singleLevel"/>
    <w:tmpl w:val="0053208E"/>
    <w:lvl w:ilvl="0" w:tentative="0">
      <w:start w:val="2"/>
      <w:numFmt w:val="chineseCounting"/>
      <w:suff w:val="nothing"/>
      <w:lvlText w:val="（%1）"/>
      <w:lvlJc w:val="left"/>
      <w:pPr>
        <w:ind w:left="0" w:firstLine="0"/>
      </w:pPr>
      <w:rPr>
        <w:rFonts w:hint="eastAsia"/>
      </w:rPr>
    </w:lvl>
  </w:abstractNum>
  <w:abstractNum w:abstractNumId="6">
    <w:nsid w:val="0248C179"/>
    <w:multiLevelType w:val="singleLevel"/>
    <w:tmpl w:val="0248C179"/>
    <w:lvl w:ilvl="0" w:tentative="0">
      <w:start w:val="3"/>
      <w:numFmt w:val="decimal"/>
      <w:suff w:val="nothing"/>
      <w:lvlText w:val="%1．"/>
      <w:lvlJc w:val="left"/>
      <w:pPr>
        <w:ind w:left="0" w:firstLine="0"/>
      </w:pPr>
    </w:lvl>
  </w:abstractNum>
  <w:abstractNum w:abstractNumId="7">
    <w:nsid w:val="03D62ECE"/>
    <w:multiLevelType w:val="singleLevel"/>
    <w:tmpl w:val="03D62ECE"/>
    <w:lvl w:ilvl="0" w:tentative="0">
      <w:start w:val="1"/>
      <w:numFmt w:val="chineseCounting"/>
      <w:suff w:val="nothing"/>
      <w:lvlText w:val="%1、"/>
      <w:lvlJc w:val="left"/>
      <w:pPr>
        <w:ind w:left="0" w:firstLine="0"/>
      </w:pPr>
      <w:rPr>
        <w:rFonts w:hint="eastAsia"/>
      </w:rPr>
    </w:lvl>
  </w:abstractNum>
  <w:abstractNum w:abstractNumId="8">
    <w:nsid w:val="25B654F3"/>
    <w:multiLevelType w:val="singleLevel"/>
    <w:tmpl w:val="25B654F3"/>
    <w:lvl w:ilvl="0" w:tentative="0">
      <w:start w:val="2"/>
      <w:numFmt w:val="chineseCounting"/>
      <w:suff w:val="nothing"/>
      <w:lvlText w:val="（%1）"/>
      <w:lvlJc w:val="left"/>
      <w:pPr>
        <w:ind w:left="0" w:firstLine="0"/>
      </w:pPr>
      <w:rPr>
        <w:rFonts w:hint="eastAsia"/>
      </w:rPr>
    </w:lvl>
  </w:abstractNum>
  <w:abstractNum w:abstractNumId="9">
    <w:nsid w:val="2A8F537B"/>
    <w:multiLevelType w:val="singleLevel"/>
    <w:tmpl w:val="2A8F537B"/>
    <w:lvl w:ilvl="0" w:tentative="0">
      <w:start w:val="1"/>
      <w:numFmt w:val="chineseCounting"/>
      <w:suff w:val="nothing"/>
      <w:lvlText w:val="%1、"/>
      <w:lvlJc w:val="left"/>
      <w:pPr>
        <w:ind w:left="0" w:firstLine="0"/>
      </w:pPr>
      <w:rPr>
        <w:rFonts w:hint="eastAsia"/>
      </w:rPr>
    </w:lvl>
  </w:abstractNum>
  <w:abstractNum w:abstractNumId="10">
    <w:nsid w:val="4D4DC07F"/>
    <w:multiLevelType w:val="singleLevel"/>
    <w:tmpl w:val="4D4DC07F"/>
    <w:lvl w:ilvl="0" w:tentative="0">
      <w:start w:val="1"/>
      <w:numFmt w:val="chineseCounting"/>
      <w:suff w:val="nothing"/>
      <w:lvlText w:val="（%1）"/>
      <w:lvlJc w:val="left"/>
      <w:pPr>
        <w:ind w:left="0" w:firstLine="0"/>
      </w:pPr>
      <w:rPr>
        <w:rFonts w:hint="eastAsia"/>
      </w:rPr>
    </w:lvl>
  </w:abstractNum>
  <w:abstractNum w:abstractNumId="11">
    <w:nsid w:val="59ADCABA"/>
    <w:multiLevelType w:val="singleLevel"/>
    <w:tmpl w:val="59ADCABA"/>
    <w:lvl w:ilvl="0" w:tentative="0">
      <w:start w:val="5"/>
      <w:numFmt w:val="chineseCounting"/>
      <w:suff w:val="nothing"/>
      <w:lvlText w:val="%1、"/>
      <w:lvlJc w:val="left"/>
      <w:pPr>
        <w:ind w:left="0" w:firstLine="0"/>
      </w:pPr>
      <w:rPr>
        <w:rFonts w:hint="eastAsia"/>
      </w:rPr>
    </w:lvl>
  </w:abstractNum>
  <w:abstractNum w:abstractNumId="12">
    <w:nsid w:val="5A241D34"/>
    <w:multiLevelType w:val="singleLevel"/>
    <w:tmpl w:val="5A241D34"/>
    <w:lvl w:ilvl="0" w:tentative="0">
      <w:start w:val="2"/>
      <w:numFmt w:val="chineseCounting"/>
      <w:suff w:val="nothing"/>
      <w:lvlText w:val="（%1）"/>
      <w:lvlJc w:val="left"/>
      <w:pPr>
        <w:ind w:left="0" w:firstLine="0"/>
      </w:pPr>
      <w:rPr>
        <w:rFonts w:hint="eastAsia"/>
      </w:rPr>
    </w:lvl>
  </w:abstractNum>
  <w:abstractNum w:abstractNumId="13">
    <w:nsid w:val="72183CF9"/>
    <w:multiLevelType w:val="singleLevel"/>
    <w:tmpl w:val="72183CF9"/>
    <w:lvl w:ilvl="0" w:tentative="0">
      <w:start w:val="2"/>
      <w:numFmt w:val="decimal"/>
      <w:lvlText w:val="%1."/>
      <w:lvlJc w:val="left"/>
      <w:pPr>
        <w:ind w:left="0" w:firstLine="0"/>
      </w:pPr>
    </w:lvl>
  </w:abstractNum>
  <w:num w:numId="1">
    <w:abstractNumId w:val="5"/>
  </w:num>
  <w:num w:numId="2">
    <w:abstractNumId w:val="4"/>
  </w:num>
  <w:num w:numId="3">
    <w:abstractNumId w:val="11"/>
  </w:num>
  <w:num w:numId="4">
    <w:abstractNumId w:val="2"/>
  </w:num>
  <w:num w:numId="5">
    <w:abstractNumId w:val="1"/>
  </w:num>
  <w:num w:numId="6">
    <w:abstractNumId w:val="7"/>
  </w:num>
  <w:num w:numId="7">
    <w:abstractNumId w:val="8"/>
  </w:num>
  <w:num w:numId="8">
    <w:abstractNumId w:val="13"/>
  </w:num>
  <w:num w:numId="9">
    <w:abstractNumId w:val="6"/>
  </w:num>
  <w:num w:numId="10">
    <w:abstractNumId w:val="0"/>
  </w:num>
  <w:num w:numId="11">
    <w:abstractNumId w:val="9"/>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MzZkODczZmJkODIzZGI3MmY1ODk4MWVkZDA1MzIifQ=="/>
  </w:docVars>
  <w:rsids>
    <w:rsidRoot w:val="00000000"/>
    <w:rsid w:val="FFBEE2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22"/>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680"/>
    </w:pPr>
  </w:style>
  <w:style w:type="paragraph" w:styleId="6">
    <w:name w:val="annotation text"/>
    <w:basedOn w:val="1"/>
    <w:qFormat/>
    <w:uiPriority w:val="0"/>
    <w:pPr>
      <w:jc w:val="left"/>
    </w:pPr>
  </w:style>
  <w:style w:type="paragraph" w:styleId="7">
    <w:name w:val="Body Text"/>
    <w:basedOn w:val="1"/>
    <w:qFormat/>
    <w:uiPriority w:val="0"/>
    <w:pPr>
      <w:spacing w:before="30" w:beforeLines="30"/>
    </w:pPr>
    <w:rPr>
      <w:rFonts w:ascii="仿宋_GB2312" w:eastAsia="仿宋_GB2312"/>
      <w:kern w:val="0"/>
      <w:sz w:val="30"/>
    </w:rPr>
  </w:style>
  <w:style w:type="paragraph" w:styleId="8">
    <w:name w:val="toc 3"/>
    <w:basedOn w:val="1"/>
    <w:next w:val="1"/>
    <w:qFormat/>
    <w:uiPriority w:val="0"/>
    <w:pPr>
      <w:tabs>
        <w:tab w:val="right" w:leader="dot" w:pos="8296"/>
      </w:tabs>
      <w:ind w:left="400" w:leftChars="400"/>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qFormat/>
    <w:uiPriority w:val="0"/>
    <w:pPr>
      <w:tabs>
        <w:tab w:val="right" w:leader="dot" w:pos="8296"/>
      </w:tabs>
      <w:spacing w:before="93"/>
      <w:jc w:val="center"/>
    </w:pPr>
    <w:rPr>
      <w:rFonts w:ascii="仿宋" w:eastAsia="仿宋"/>
      <w:sz w:val="28"/>
      <w:szCs w:val="28"/>
    </w:rPr>
  </w:style>
  <w:style w:type="paragraph" w:styleId="13">
    <w:name w:val="table of figures"/>
    <w:basedOn w:val="1"/>
    <w:next w:val="1"/>
    <w:qFormat/>
    <w:uiPriority w:val="0"/>
    <w:pPr>
      <w:ind w:left="400" w:leftChars="200" w:hanging="200" w:hangingChars="200"/>
    </w:pPr>
  </w:style>
  <w:style w:type="paragraph" w:styleId="14">
    <w:name w:val="toc 2"/>
    <w:basedOn w:val="1"/>
    <w:next w:val="1"/>
    <w:qFormat/>
    <w:uiPriority w:val="0"/>
    <w:pPr>
      <w:tabs>
        <w:tab w:val="right" w:leader="dot" w:pos="8296"/>
      </w:tabs>
      <w:ind w:left="200" w:leftChars="200"/>
    </w:pPr>
  </w:style>
  <w:style w:type="paragraph" w:styleId="15">
    <w:name w:val="Title"/>
    <w:basedOn w:val="1"/>
    <w:next w:val="1"/>
    <w:qFormat/>
    <w:uiPriority w:val="0"/>
    <w:pPr>
      <w:widowControl/>
      <w:spacing w:before="240" w:after="60"/>
      <w:ind w:firstLine="200" w:firstLineChars="200"/>
      <w:jc w:val="center"/>
      <w:outlineLvl w:val="0"/>
    </w:pPr>
    <w:rPr>
      <w:rFonts w:ascii="Cambria" w:hAnsi="Cambria"/>
      <w:b/>
      <w:bCs/>
      <w:kern w:val="28"/>
      <w:sz w:val="32"/>
      <w:szCs w:val="32"/>
      <w:lang w:bidi="en-US"/>
    </w:r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character" w:styleId="20">
    <w:name w:val="annotation reference"/>
    <w:basedOn w:val="17"/>
    <w:qFormat/>
    <w:uiPriority w:val="0"/>
    <w:rPr>
      <w:sz w:val="21"/>
      <w:szCs w:val="21"/>
    </w:rPr>
  </w:style>
  <w:style w:type="character" w:customStyle="1" w:styleId="21">
    <w:name w:val="heading 1 Char"/>
    <w:basedOn w:val="17"/>
    <w:link w:val="3"/>
    <w:qFormat/>
    <w:uiPriority w:val="0"/>
    <w:rPr>
      <w:rFonts w:ascii="Times New Roman" w:hAnsi="Times New Roman" w:eastAsia="宋体" w:cs="Times New Roman"/>
      <w:b/>
      <w:bCs/>
      <w:kern w:val="44"/>
      <w:sz w:val="44"/>
      <w:szCs w:val="44"/>
      <w:lang w:val="en-US" w:eastAsia="zh-CN" w:bidi="ar-SA"/>
    </w:rPr>
  </w:style>
  <w:style w:type="character" w:customStyle="1" w:styleId="22">
    <w:name w:val="heading 2 Char"/>
    <w:basedOn w:val="17"/>
    <w:link w:val="4"/>
    <w:qFormat/>
    <w:uiPriority w:val="0"/>
    <w:rPr>
      <w:rFonts w:ascii="Cambria" w:hAnsi="Cambria" w:eastAsia="宋体" w:cs="Times New Roman"/>
      <w:b/>
      <w:bCs/>
      <w:kern w:val="2"/>
      <w:sz w:val="32"/>
      <w:szCs w:val="32"/>
      <w:lang w:val="en-US" w:eastAsia="zh-CN" w:bidi="ar-SA"/>
    </w:rPr>
  </w:style>
  <w:style w:type="paragraph" w:customStyle="1" w:styleId="2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4">
    <w:name w:val="Header Char"/>
    <w:basedOn w:val="17"/>
    <w:qFormat/>
    <w:uiPriority w:val="0"/>
    <w:rPr>
      <w:rFonts w:ascii="Times New Roman" w:hAnsi="Times New Roman"/>
      <w:sz w:val="18"/>
      <w:szCs w:val="18"/>
    </w:rPr>
  </w:style>
  <w:style w:type="character" w:customStyle="1" w:styleId="25">
    <w:name w:val="Footer Char"/>
    <w:basedOn w:val="17"/>
    <w:qFormat/>
    <w:uiPriority w:val="0"/>
    <w:rPr>
      <w:rFonts w:ascii="Times New Roman" w:hAnsi="Times New Roman"/>
      <w:sz w:val="18"/>
      <w:szCs w:val="18"/>
    </w:rPr>
  </w:style>
  <w:style w:type="character" w:customStyle="1" w:styleId="26">
    <w:name w:val="Body Text Char"/>
    <w:basedOn w:val="17"/>
    <w:qFormat/>
    <w:uiPriority w:val="0"/>
    <w:rPr>
      <w:rFonts w:ascii="Times New Roman" w:hAnsi="Times New Roman"/>
      <w:szCs w:val="24"/>
    </w:rPr>
  </w:style>
  <w:style w:type="paragraph" w:styleId="27">
    <w:name w:val="List Paragraph"/>
    <w:basedOn w:val="1"/>
    <w:qFormat/>
    <w:uiPriority w:val="0"/>
    <w:pPr>
      <w:ind w:firstLine="200" w:firstLineChars="200"/>
    </w:pPr>
  </w:style>
  <w:style w:type="paragraph" w:customStyle="1" w:styleId="28">
    <w:name w:val="TOC 标题1"/>
    <w:basedOn w:val="3"/>
    <w:next w:val="1"/>
    <w:qFormat/>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29">
    <w:name w:val="Normal0"/>
    <w:next w:val="30"/>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0">
    <w:name w:val="Title15"/>
    <w:basedOn w:val="29"/>
    <w:next w:val="29"/>
    <w:qFormat/>
    <w:uiPriority w:val="0"/>
    <w:pPr>
      <w:widowControl/>
      <w:spacing w:before="240" w:after="60"/>
      <w:ind w:firstLine="200" w:firstLineChars="200"/>
      <w:jc w:val="center"/>
      <w:outlineLvl w:val="0"/>
    </w:pPr>
    <w:rPr>
      <w:rFonts w:ascii="Cambria" w:hAnsi="Cambria" w:eastAsia="宋体"/>
      <w:b/>
      <w:bCs/>
      <w:kern w:val="28"/>
      <w:szCs w:val="32"/>
      <w:lang w:bidi="en-US"/>
    </w:rPr>
  </w:style>
  <w:style w:type="paragraph" w:customStyle="1" w:styleId="31">
    <w:name w:val="heading 18de0b0e1"/>
    <w:basedOn w:val="29"/>
    <w:next w:val="29"/>
    <w:qFormat/>
    <w:uiPriority w:val="0"/>
    <w:pPr>
      <w:keepNext/>
      <w:keepLines/>
      <w:widowControl w:val="0"/>
      <w:spacing w:before="340" w:after="330" w:line="578" w:lineRule="auto"/>
      <w:outlineLvl w:val="0"/>
    </w:pPr>
    <w:rPr>
      <w:b/>
      <w:bCs/>
      <w:kern w:val="44"/>
      <w:sz w:val="44"/>
    </w:rPr>
  </w:style>
  <w:style w:type="paragraph" w:customStyle="1" w:styleId="32">
    <w:name w:val="heading 29eb50a76"/>
    <w:basedOn w:val="29"/>
    <w:next w:val="29"/>
    <w:qFormat/>
    <w:uiPriority w:val="0"/>
    <w:pPr>
      <w:keepNext/>
      <w:keepLines/>
      <w:widowControl w:val="0"/>
      <w:spacing w:before="260" w:after="260" w:line="415" w:lineRule="auto"/>
      <w:outlineLvl w:val="1"/>
    </w:pPr>
    <w:rPr>
      <w:rFonts w:eastAsia="黑体"/>
      <w:b/>
    </w:rPr>
  </w:style>
  <w:style w:type="paragraph" w:customStyle="1" w:styleId="33">
    <w:name w:val="heading 35d0a4155"/>
    <w:basedOn w:val="29"/>
    <w:next w:val="29"/>
    <w:qFormat/>
    <w:uiPriority w:val="0"/>
    <w:pPr>
      <w:keepNext/>
      <w:keepLines/>
      <w:widowControl w:val="0"/>
      <w:spacing w:before="260" w:after="260" w:line="415" w:lineRule="auto"/>
      <w:outlineLvl w:val="2"/>
    </w:pPr>
    <w:rPr>
      <w:b/>
    </w:rPr>
  </w:style>
  <w:style w:type="character" w:customStyle="1" w:styleId="34">
    <w:name w:val="Default Paragraph Fontc062fa56"/>
    <w:qFormat/>
    <w:uiPriority w:val="0"/>
  </w:style>
  <w:style w:type="paragraph" w:customStyle="1" w:styleId="35">
    <w:name w:val="Document Map16"/>
    <w:basedOn w:val="29"/>
    <w:qFormat/>
    <w:uiPriority w:val="0"/>
    <w:rPr>
      <w:rFonts w:ascii="宋体" w:eastAsia="宋体"/>
      <w:sz w:val="18"/>
      <w:szCs w:val="18"/>
    </w:rPr>
  </w:style>
  <w:style w:type="paragraph" w:customStyle="1" w:styleId="36">
    <w:name w:val="Body Text17"/>
    <w:basedOn w:val="29"/>
    <w:qFormat/>
    <w:uiPriority w:val="0"/>
    <w:pPr>
      <w:spacing w:before="30" w:beforeLines="30"/>
    </w:pPr>
    <w:rPr>
      <w:rFonts w:ascii="仿宋_GB2312"/>
      <w:kern w:val="0"/>
      <w:sz w:val="24"/>
      <w:szCs w:val="20"/>
      <w:lang w:val="zh-CN"/>
    </w:rPr>
  </w:style>
  <w:style w:type="paragraph" w:customStyle="1" w:styleId="37">
    <w:name w:val="Balloon Text18"/>
    <w:basedOn w:val="29"/>
    <w:qFormat/>
    <w:uiPriority w:val="0"/>
    <w:rPr>
      <w:sz w:val="18"/>
      <w:szCs w:val="18"/>
    </w:rPr>
  </w:style>
  <w:style w:type="paragraph" w:customStyle="1" w:styleId="38">
    <w:name w:val="footer19"/>
    <w:basedOn w:val="29"/>
    <w:qFormat/>
    <w:uiPriority w:val="0"/>
    <w:pPr>
      <w:tabs>
        <w:tab w:val="center" w:pos="4153"/>
        <w:tab w:val="right" w:pos="8306"/>
      </w:tabs>
      <w:snapToGrid w:val="0"/>
      <w:jc w:val="left"/>
    </w:pPr>
    <w:rPr>
      <w:rFonts w:eastAsia="宋体"/>
      <w:sz w:val="18"/>
      <w:szCs w:val="18"/>
    </w:rPr>
  </w:style>
  <w:style w:type="paragraph" w:customStyle="1" w:styleId="39">
    <w:name w:val="headera81c978a"/>
    <w:basedOn w:val="29"/>
    <w:qFormat/>
    <w:uiPriority w:val="0"/>
    <w:pPr>
      <w:pBdr>
        <w:bottom w:val="single" w:color="auto" w:sz="6" w:space="1"/>
      </w:pBdr>
      <w:tabs>
        <w:tab w:val="center" w:pos="4153"/>
        <w:tab w:val="right" w:pos="8306"/>
      </w:tabs>
      <w:snapToGrid w:val="0"/>
      <w:jc w:val="center"/>
    </w:pPr>
    <w:rPr>
      <w:rFonts w:eastAsia="宋体"/>
      <w:sz w:val="18"/>
      <w:szCs w:val="18"/>
    </w:rPr>
  </w:style>
  <w:style w:type="paragraph" w:customStyle="1" w:styleId="40">
    <w:name w:val="Normal (Web)21"/>
    <w:basedOn w:val="29"/>
    <w:qFormat/>
    <w:uiPriority w:val="0"/>
    <w:pPr>
      <w:spacing w:before="100" w:beforeAutospacing="1" w:after="100" w:afterAutospacing="1"/>
      <w:jc w:val="left"/>
    </w:pPr>
    <w:rPr>
      <w:kern w:val="0"/>
      <w:sz w:val="24"/>
    </w:rPr>
  </w:style>
  <w:style w:type="character" w:customStyle="1" w:styleId="41">
    <w:name w:val="page number22"/>
    <w:basedOn w:val="34"/>
    <w:qFormat/>
    <w:uiPriority w:val="0"/>
  </w:style>
  <w:style w:type="paragraph" w:customStyle="1" w:styleId="42">
    <w:name w:val="四号正文23"/>
    <w:basedOn w:val="29"/>
    <w:qFormat/>
    <w:uiPriority w:val="0"/>
    <w:pPr>
      <w:spacing w:line="360" w:lineRule="auto"/>
    </w:pPr>
    <w:rPr>
      <w:rFonts w:ascii="??" w:hAnsi="??" w:eastAsia="宋体" w:cs="宋体"/>
      <w:color w:val="000000"/>
      <w:kern w:val="0"/>
      <w:sz w:val="28"/>
      <w:szCs w:val="21"/>
    </w:rPr>
  </w:style>
  <w:style w:type="paragraph" w:customStyle="1" w:styleId="43">
    <w:name w:val="a24"/>
    <w:basedOn w:val="29"/>
    <w:qFormat/>
    <w:uiPriority w:val="0"/>
    <w:pPr>
      <w:widowControl/>
      <w:spacing w:before="100" w:beforeAutospacing="1" w:after="100" w:afterAutospacing="1"/>
      <w:jc w:val="left"/>
    </w:pPr>
    <w:rPr>
      <w:rFonts w:ascii="宋体" w:eastAsia="宋体" w:cs="宋体"/>
      <w:kern w:val="0"/>
      <w:sz w:val="24"/>
    </w:rPr>
  </w:style>
  <w:style w:type="character" w:customStyle="1" w:styleId="44">
    <w:name w:val="font3125"/>
    <w:basedOn w:val="34"/>
    <w:qFormat/>
    <w:uiPriority w:val="0"/>
    <w:rPr>
      <w:rFonts w:ascii="宋体" w:eastAsia="宋体" w:cs="宋体"/>
      <w:color w:val="000000"/>
      <w:sz w:val="24"/>
      <w:szCs w:val="24"/>
      <w:u w:val="none"/>
    </w:rPr>
  </w:style>
  <w:style w:type="character" w:customStyle="1" w:styleId="45">
    <w:name w:val="font11226"/>
    <w:basedOn w:val="34"/>
    <w:qFormat/>
    <w:uiPriority w:val="0"/>
    <w:rPr>
      <w:rFonts w:ascii="宋体" w:eastAsia="宋体" w:cs="宋体"/>
      <w:color w:val="000000"/>
      <w:sz w:val="32"/>
      <w:szCs w:val="32"/>
      <w:u w:val="none"/>
    </w:rPr>
  </w:style>
  <w:style w:type="character" w:customStyle="1" w:styleId="46">
    <w:name w:val="font12127"/>
    <w:basedOn w:val="34"/>
    <w:qFormat/>
    <w:uiPriority w:val="0"/>
    <w:rPr>
      <w:rFonts w:ascii="宋体" w:eastAsia="宋体" w:cs="宋体"/>
      <w:color w:val="000000"/>
      <w:sz w:val="20"/>
      <w:szCs w:val="20"/>
      <w:u w:val="none"/>
    </w:rPr>
  </w:style>
  <w:style w:type="character" w:customStyle="1" w:styleId="47">
    <w:name w:val="font13128"/>
    <w:basedOn w:val="34"/>
    <w:qFormat/>
    <w:uiPriority w:val="0"/>
    <w:rPr>
      <w:rFonts w:ascii="Calibri" w:hAnsi="Calibri" w:cs="Calibri"/>
      <w:color w:val="000000"/>
      <w:sz w:val="21"/>
      <w:szCs w:val="21"/>
      <w:u w:val="none"/>
    </w:rPr>
  </w:style>
  <w:style w:type="character" w:customStyle="1" w:styleId="48">
    <w:name w:val="font9129"/>
    <w:basedOn w:val="34"/>
    <w:qFormat/>
    <w:uiPriority w:val="0"/>
    <w:rPr>
      <w:rFonts w:ascii="仿宋" w:eastAsia="仿宋" w:cs="仿宋"/>
      <w:color w:val="000000"/>
      <w:sz w:val="21"/>
      <w:szCs w:val="21"/>
      <w:u w:val="none"/>
    </w:rPr>
  </w:style>
  <w:style w:type="paragraph" w:customStyle="1" w:styleId="49">
    <w:name w:val="Normale2f8a8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heading 1d610bd86"/>
    <w:basedOn w:val="49"/>
    <w:next w:val="29"/>
    <w:qFormat/>
    <w:uiPriority w:val="0"/>
    <w:pPr>
      <w:keepNext/>
      <w:keepLines/>
      <w:widowControl w:val="0"/>
      <w:spacing w:before="340" w:after="330" w:line="578" w:lineRule="auto"/>
      <w:outlineLvl w:val="0"/>
    </w:pPr>
    <w:rPr>
      <w:b/>
      <w:bCs/>
      <w:kern w:val="44"/>
      <w:sz w:val="44"/>
      <w:szCs w:val="44"/>
    </w:rPr>
  </w:style>
  <w:style w:type="paragraph" w:customStyle="1" w:styleId="51">
    <w:name w:val="heading 2f4930b22"/>
    <w:basedOn w:val="49"/>
    <w:next w:val="29"/>
    <w:qFormat/>
    <w:uiPriority w:val="0"/>
    <w:pPr>
      <w:keepNext/>
      <w:keepLines/>
      <w:widowControl w:val="0"/>
      <w:spacing w:before="260" w:after="260" w:line="415" w:lineRule="auto"/>
      <w:outlineLvl w:val="1"/>
    </w:pPr>
    <w:rPr>
      <w:rFonts w:ascii="Cambria" w:hAnsi="Cambria"/>
      <w:b/>
      <w:bCs/>
      <w:sz w:val="32"/>
      <w:szCs w:val="32"/>
    </w:rPr>
  </w:style>
  <w:style w:type="paragraph" w:customStyle="1" w:styleId="52">
    <w:name w:val="heading 3e50803ab"/>
    <w:basedOn w:val="49"/>
    <w:next w:val="29"/>
    <w:qFormat/>
    <w:uiPriority w:val="0"/>
    <w:pPr>
      <w:keepNext/>
      <w:keepLines/>
      <w:widowControl w:val="0"/>
      <w:spacing w:before="260" w:after="260" w:line="415" w:lineRule="auto"/>
      <w:outlineLvl w:val="2"/>
    </w:pPr>
    <w:rPr>
      <w:b/>
      <w:bCs/>
      <w:sz w:val="32"/>
      <w:szCs w:val="32"/>
    </w:rPr>
  </w:style>
  <w:style w:type="character" w:customStyle="1" w:styleId="53">
    <w:name w:val="Default Paragraph Font4e51c1f0"/>
    <w:qFormat/>
    <w:uiPriority w:val="0"/>
  </w:style>
  <w:style w:type="paragraph" w:customStyle="1" w:styleId="54">
    <w:name w:val="toc 725e2b323"/>
    <w:basedOn w:val="49"/>
    <w:next w:val="29"/>
    <w:qFormat/>
    <w:uiPriority w:val="0"/>
    <w:pPr>
      <w:ind w:left="1260"/>
      <w:jc w:val="left"/>
    </w:pPr>
    <w:rPr>
      <w:rFonts w:ascii="等线" w:eastAsia="等线"/>
      <w:sz w:val="18"/>
      <w:szCs w:val="18"/>
    </w:rPr>
  </w:style>
  <w:style w:type="paragraph" w:customStyle="1" w:styleId="55">
    <w:name w:val="Body Texta17d830c"/>
    <w:basedOn w:val="49"/>
    <w:qFormat/>
    <w:uiPriority w:val="0"/>
    <w:pPr>
      <w:spacing w:before="30" w:beforeLines="30"/>
    </w:pPr>
    <w:rPr>
      <w:rFonts w:ascii="仿宋_GB2312" w:eastAsia="仿宋_GB2312"/>
      <w:kern w:val="0"/>
      <w:sz w:val="24"/>
      <w:szCs w:val="20"/>
      <w:lang w:val="zh-CN"/>
    </w:rPr>
  </w:style>
  <w:style w:type="paragraph" w:customStyle="1" w:styleId="56">
    <w:name w:val="toc 595efc3e9"/>
    <w:basedOn w:val="49"/>
    <w:next w:val="29"/>
    <w:qFormat/>
    <w:uiPriority w:val="0"/>
    <w:pPr>
      <w:ind w:left="840"/>
      <w:jc w:val="left"/>
    </w:pPr>
    <w:rPr>
      <w:rFonts w:ascii="等线" w:eastAsia="等线"/>
      <w:sz w:val="18"/>
      <w:szCs w:val="18"/>
    </w:rPr>
  </w:style>
  <w:style w:type="paragraph" w:customStyle="1" w:styleId="57">
    <w:name w:val="toc 34234315b"/>
    <w:basedOn w:val="49"/>
    <w:next w:val="29"/>
    <w:qFormat/>
    <w:uiPriority w:val="0"/>
    <w:pPr>
      <w:ind w:left="420"/>
      <w:jc w:val="left"/>
    </w:pPr>
    <w:rPr>
      <w:rFonts w:ascii="等线" w:eastAsia="等线"/>
      <w:i/>
      <w:iCs/>
      <w:sz w:val="20"/>
      <w:szCs w:val="20"/>
    </w:rPr>
  </w:style>
  <w:style w:type="paragraph" w:customStyle="1" w:styleId="58">
    <w:name w:val="toc 8e37764be"/>
    <w:basedOn w:val="49"/>
    <w:next w:val="29"/>
    <w:qFormat/>
    <w:uiPriority w:val="0"/>
    <w:pPr>
      <w:ind w:left="1470"/>
      <w:jc w:val="left"/>
    </w:pPr>
    <w:rPr>
      <w:rFonts w:ascii="等线" w:eastAsia="等线"/>
      <w:sz w:val="18"/>
      <w:szCs w:val="18"/>
    </w:rPr>
  </w:style>
  <w:style w:type="paragraph" w:customStyle="1" w:styleId="59">
    <w:name w:val="Balloon Textd293c7e7"/>
    <w:basedOn w:val="49"/>
    <w:qFormat/>
    <w:uiPriority w:val="0"/>
    <w:rPr>
      <w:sz w:val="18"/>
      <w:szCs w:val="18"/>
    </w:rPr>
  </w:style>
  <w:style w:type="paragraph" w:customStyle="1" w:styleId="60">
    <w:name w:val="footer75a11ea3"/>
    <w:basedOn w:val="49"/>
    <w:qFormat/>
    <w:uiPriority w:val="0"/>
    <w:pPr>
      <w:tabs>
        <w:tab w:val="center" w:pos="4153"/>
        <w:tab w:val="right" w:pos="8306"/>
      </w:tabs>
      <w:snapToGrid w:val="0"/>
      <w:jc w:val="left"/>
    </w:pPr>
    <w:rPr>
      <w:rFonts w:ascii="Calibri" w:hAnsi="Calibri"/>
      <w:kern w:val="0"/>
      <w:sz w:val="18"/>
      <w:szCs w:val="20"/>
      <w:lang w:val="zh-CN"/>
    </w:rPr>
  </w:style>
  <w:style w:type="paragraph" w:customStyle="1" w:styleId="61">
    <w:name w:val="header929f1268"/>
    <w:basedOn w:val="49"/>
    <w:qFormat/>
    <w:uiPriority w:val="0"/>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customStyle="1" w:styleId="62">
    <w:name w:val="toc 194227a08"/>
    <w:basedOn w:val="49"/>
    <w:next w:val="29"/>
    <w:qFormat/>
    <w:uiPriority w:val="0"/>
    <w:pPr>
      <w:spacing w:before="120" w:after="120"/>
      <w:jc w:val="left"/>
    </w:pPr>
    <w:rPr>
      <w:rFonts w:ascii="等线" w:eastAsia="等线"/>
      <w:b/>
      <w:bCs/>
      <w:caps/>
      <w:sz w:val="20"/>
      <w:szCs w:val="20"/>
    </w:rPr>
  </w:style>
  <w:style w:type="paragraph" w:customStyle="1" w:styleId="63">
    <w:name w:val="toc 4e2e87224"/>
    <w:basedOn w:val="49"/>
    <w:next w:val="29"/>
    <w:qFormat/>
    <w:uiPriority w:val="0"/>
    <w:pPr>
      <w:ind w:left="630"/>
      <w:jc w:val="left"/>
    </w:pPr>
    <w:rPr>
      <w:rFonts w:ascii="等线" w:eastAsia="等线"/>
      <w:sz w:val="18"/>
      <w:szCs w:val="18"/>
    </w:rPr>
  </w:style>
  <w:style w:type="paragraph" w:customStyle="1" w:styleId="64">
    <w:name w:val="toc 6019b2d3a"/>
    <w:basedOn w:val="49"/>
    <w:next w:val="29"/>
    <w:qFormat/>
    <w:uiPriority w:val="0"/>
    <w:pPr>
      <w:ind w:left="1050"/>
      <w:jc w:val="left"/>
    </w:pPr>
    <w:rPr>
      <w:rFonts w:ascii="等线" w:eastAsia="等线"/>
      <w:sz w:val="18"/>
      <w:szCs w:val="18"/>
    </w:rPr>
  </w:style>
  <w:style w:type="paragraph" w:customStyle="1" w:styleId="65">
    <w:name w:val="toc 2fe1ae631"/>
    <w:basedOn w:val="49"/>
    <w:next w:val="29"/>
    <w:qFormat/>
    <w:uiPriority w:val="0"/>
    <w:pPr>
      <w:ind w:left="210"/>
      <w:jc w:val="left"/>
    </w:pPr>
    <w:rPr>
      <w:rFonts w:ascii="等线" w:eastAsia="等线"/>
      <w:smallCaps/>
      <w:sz w:val="20"/>
      <w:szCs w:val="20"/>
    </w:rPr>
  </w:style>
  <w:style w:type="paragraph" w:customStyle="1" w:styleId="66">
    <w:name w:val="toc 9e52db1be"/>
    <w:basedOn w:val="49"/>
    <w:next w:val="29"/>
    <w:qFormat/>
    <w:uiPriority w:val="0"/>
    <w:pPr>
      <w:ind w:left="1680"/>
      <w:jc w:val="left"/>
    </w:pPr>
    <w:rPr>
      <w:rFonts w:ascii="等线" w:eastAsia="等线"/>
      <w:sz w:val="18"/>
      <w:szCs w:val="18"/>
    </w:rPr>
  </w:style>
  <w:style w:type="paragraph" w:customStyle="1" w:styleId="67">
    <w:name w:val="Normal (Web)b3c17231"/>
    <w:basedOn w:val="49"/>
    <w:qFormat/>
    <w:uiPriority w:val="0"/>
    <w:pPr>
      <w:spacing w:before="100" w:beforeAutospacing="1" w:after="100" w:afterAutospacing="1"/>
      <w:jc w:val="left"/>
    </w:pPr>
    <w:rPr>
      <w:rFonts w:eastAsia="仿宋_GB2312"/>
      <w:kern w:val="0"/>
      <w:sz w:val="24"/>
    </w:rPr>
  </w:style>
  <w:style w:type="character" w:customStyle="1" w:styleId="68">
    <w:name w:val="Strongd3a2d0f7"/>
    <w:basedOn w:val="53"/>
    <w:qFormat/>
    <w:uiPriority w:val="0"/>
    <w:rPr>
      <w:rFonts w:cs="Times New Roman"/>
      <w:b/>
    </w:rPr>
  </w:style>
  <w:style w:type="character" w:customStyle="1" w:styleId="69">
    <w:name w:val="Hyperlink1562306c"/>
    <w:basedOn w:val="53"/>
    <w:qFormat/>
    <w:uiPriority w:val="0"/>
    <w:rPr>
      <w:rFonts w:cs="Times New Roman"/>
      <w:color w:val="0000FF"/>
      <w:u w:val="single"/>
    </w:rPr>
  </w:style>
  <w:style w:type="character" w:customStyle="1" w:styleId="70">
    <w:name w:val="Body Text Char31"/>
    <w:basedOn w:val="53"/>
    <w:qFormat/>
    <w:uiPriority w:val="0"/>
    <w:rPr>
      <w:rFonts w:ascii="Times New Roman" w:hAnsi="Times New Roman" w:cs="Times New Roman"/>
      <w:sz w:val="24"/>
      <w:szCs w:val="24"/>
    </w:rPr>
  </w:style>
  <w:style w:type="character" w:customStyle="1" w:styleId="71">
    <w:name w:val="Footer Char32"/>
    <w:basedOn w:val="53"/>
    <w:qFormat/>
    <w:uiPriority w:val="0"/>
    <w:rPr>
      <w:rFonts w:ascii="Times New Roman" w:hAnsi="Times New Roman" w:cs="Times New Roman"/>
      <w:sz w:val="18"/>
      <w:szCs w:val="18"/>
    </w:rPr>
  </w:style>
  <w:style w:type="character" w:customStyle="1" w:styleId="72">
    <w:name w:val="Header Char33"/>
    <w:basedOn w:val="53"/>
    <w:qFormat/>
    <w:uiPriority w:val="0"/>
    <w:rPr>
      <w:rFonts w:ascii="Times New Roman" w:hAnsi="Times New Roman" w:cs="Times New Roman"/>
      <w:sz w:val="18"/>
      <w:szCs w:val="18"/>
    </w:rPr>
  </w:style>
  <w:style w:type="paragraph" w:customStyle="1" w:styleId="73">
    <w:name w:val="Default34"/>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74">
    <w:name w:val="列表段落135"/>
    <w:basedOn w:val="49"/>
    <w:qFormat/>
    <w:uiPriority w:val="0"/>
    <w:pPr>
      <w:ind w:firstLine="200" w:firstLineChars="200"/>
    </w:pPr>
  </w:style>
  <w:style w:type="paragraph" w:customStyle="1" w:styleId="75">
    <w:name w:val="TOC 标题136"/>
    <w:basedOn w:val="50"/>
    <w:next w:val="29"/>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76">
    <w:name w:val="TOC Heading137"/>
    <w:basedOn w:val="50"/>
    <w:next w:val="29"/>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77">
    <w:name w:val="TOC Heading38"/>
    <w:basedOn w:val="50"/>
    <w:next w:val="29"/>
    <w:qFormat/>
    <w:uiPriority w:val="0"/>
    <w:pPr>
      <w:keepNext/>
      <w:keepLines/>
      <w:widowControl/>
      <w:spacing w:before="240" w:after="0" w:line="259" w:lineRule="auto"/>
      <w:jc w:val="left"/>
      <w:outlineLvl w:val="9"/>
    </w:pPr>
    <w:rPr>
      <w:rFonts w:ascii="等线 Light" w:eastAsia="等线 Light"/>
      <w:b w:val="0"/>
      <w:bCs w:val="0"/>
      <w:color w:val="2F5597"/>
      <w:kern w:val="0"/>
      <w:sz w:val="32"/>
      <w:szCs w:val="32"/>
    </w:rPr>
  </w:style>
  <w:style w:type="paragraph" w:customStyle="1" w:styleId="78">
    <w:name w:val="四号正文39"/>
    <w:basedOn w:val="49"/>
    <w:next w:val="42"/>
    <w:qFormat/>
    <w:uiPriority w:val="0"/>
    <w:pPr>
      <w:spacing w:line="360" w:lineRule="auto"/>
    </w:pPr>
    <w:rPr>
      <w:rFonts w:ascii="??" w:hAnsi="??" w:cs="宋体"/>
      <w:color w:val="000000"/>
      <w:kern w:val="0"/>
      <w:sz w:val="28"/>
      <w:szCs w:val="21"/>
    </w:rPr>
  </w:style>
  <w:style w:type="paragraph" w:customStyle="1" w:styleId="79">
    <w:name w:val="Body Text First Indent 240"/>
    <w:basedOn w:val="49"/>
    <w:next w:val="29"/>
    <w:qFormat/>
    <w:uiPriority w:val="0"/>
    <w:pPr>
      <w:ind w:firstLine="200" w:firstLineChars="200"/>
    </w:pPr>
    <w:rPr>
      <w:rFonts w:ascii="Calibri" w:hAnsi="Calibri" w:cs="Arial"/>
      <w:sz w:val="32"/>
      <w:szCs w:val="2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Times New Roman"/>
                <a:ea typeface="宋体"/>
                <a:cs typeface="Lucida Sans"/>
              </a:defRPr>
            </a:pPr>
            <a:r>
              <a:rPr lang="zh-CN"/>
              <a:t>收、支决算总计变动情况图</a:t>
            </a:r>
            <a:endParaRPr lang="zh-CN"/>
          </a:p>
        </c:rich>
      </c:tx>
      <c:layout/>
      <c:overlay val="0"/>
      <c:spPr>
        <a:ln>
          <a:noFill/>
        </a:ln>
      </c:spPr>
    </c:title>
    <c:autoTitleDeleted val="0"/>
    <c:plotArea>
      <c:layout>
        <c:manualLayout>
          <c:layoutTarget val="inner"/>
          <c:xMode val="edge"/>
          <c:yMode val="edge"/>
          <c:x val="0.05598162"/>
          <c:y val="0.24786511"/>
          <c:w val="0.800713"/>
          <c:h val="0.65402776"/>
        </c:manualLayout>
      </c:layout>
      <c:barChart>
        <c:barDir val="col"/>
        <c:grouping val="clustered"/>
        <c:varyColors val="0"/>
        <c:ser>
          <c:idx val="1"/>
          <c:order val="0"/>
          <c:tx>
            <c:strRef>
              <c:f>收入</c:f>
              <c:strCache>
                <c:ptCount val="1"/>
                <c:pt idx="0">
                  <c:v>收入</c:v>
                </c:pt>
              </c:strCache>
            </c:strRef>
          </c:tx>
          <c:spPr>
            <a:solidFill>
              <a:srgbClr val="C0504D"/>
            </a:solidFill>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a:ea typeface="宋体"/>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{2020,2021}</c:f>
              <c:numCache>
                <c:formatCode>General</c:formatCode>
                <c:ptCount val="2"/>
                <c:pt idx="0">
                  <c:v>2020</c:v>
                </c:pt>
                <c:pt idx="1">
                  <c:v>2021</c:v>
                </c:pt>
              </c:numCache>
            </c:numRef>
          </c:cat>
          <c:val>
            <c:numRef>
              <c:f>{3231.46,2516.74}</c:f>
              <c:numCache>
                <c:formatCode>General</c:formatCode>
                <c:ptCount val="2"/>
                <c:pt idx="0">
                  <c:v>3231.46</c:v>
                </c:pt>
                <c:pt idx="1">
                  <c:v>2516.74</c:v>
                </c:pt>
              </c:numCache>
            </c:numRef>
          </c:val>
        </c:ser>
        <c:ser>
          <c:idx val="2"/>
          <c:order val="1"/>
          <c:tx>
            <c:strRef>
              <c:f>支出</c:f>
              <c:strCache>
                <c:ptCount val="1"/>
                <c:pt idx="0">
                  <c:v>支出</c:v>
                </c:pt>
              </c:strCache>
            </c:strRef>
          </c:tx>
          <c:spPr>
            <a:solidFill>
              <a:srgbClr val="9BBB59"/>
            </a:solidFill>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a:ea typeface="宋体"/>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{2020,2021}</c:f>
              <c:numCache>
                <c:formatCode>General</c:formatCode>
                <c:ptCount val="2"/>
                <c:pt idx="0">
                  <c:v>2020</c:v>
                </c:pt>
                <c:pt idx="1">
                  <c:v>2021</c:v>
                </c:pt>
              </c:numCache>
            </c:numRef>
          </c:cat>
          <c:val>
            <c:numRef>
              <c:f>{3231.46,2516.74}</c:f>
              <c:numCache>
                <c:formatCode>General</c:formatCode>
                <c:ptCount val="2"/>
                <c:pt idx="0">
                  <c:v>3231.46</c:v>
                </c:pt>
                <c:pt idx="1">
                  <c:v>2516.74</c:v>
                </c:pt>
              </c:numCache>
            </c:numRef>
          </c:val>
        </c:ser>
        <c:dLbls>
          <c:showLegendKey val="0"/>
          <c:showVal val="1"/>
          <c:showCatName val="0"/>
          <c:showSerName val="0"/>
          <c:showPercent val="0"/>
          <c:showBubbleSize val="0"/>
        </c:dLbls>
        <c:gapWidth val="41"/>
        <c:axId val="0"/>
        <c:axId val="1"/>
      </c:barChart>
      <c:catAx>
        <c:axId val="0"/>
        <c:scaling>
          <c:orientation val="minMax"/>
        </c:scaling>
        <c:delete val="0"/>
        <c:axPos val="b"/>
        <c:title>
          <c:tx>
            <c:rich>
              <a:bodyPr rot="0" spcFirstLastPara="0" vertOverflow="ellipsis" vert="horz" wrap="square" anchor="t" anchorCtr="0"/>
              <a:lstStyle/>
              <a:p>
                <a:pPr>
                  <a:defRPr lang="zh-CN" sz="1000" b="1" i="0" u="none" strike="noStrike" kern="1200" baseline="0">
                    <a:solidFill>
                      <a:srgbClr val="000000"/>
                    </a:solidFill>
                    <a:latin typeface="Times New Roman"/>
                    <a:ea typeface="宋体"/>
                    <a:cs typeface="Lucida Sans"/>
                  </a:defRPr>
                </a:pPr>
                <a:r>
                  <a:rPr lang="zh-CN"/>
                  <a:t>单位：万元</a:t>
                </a:r>
                <a:endParaRPr lang="zh-CN"/>
              </a:p>
            </c:rich>
          </c:tx>
          <c:layout/>
          <c:overlay val="0"/>
          <c:spPr>
            <a:ln>
              <a:noFill/>
            </a:ln>
          </c:spPr>
        </c:title>
        <c:numFmt formatCode="General" sourceLinked="0"/>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a:ea typeface="宋体"/>
                <a:cs typeface="Lucida Sans"/>
              </a:defRPr>
            </a:pPr>
          </a:p>
        </c:txPr>
        <c:crossAx val="1"/>
        <c:crosses val="autoZero"/>
        <c:auto val="1"/>
        <c:lblAlgn val="ctr"/>
        <c:lblOffset val="100"/>
        <c:noMultiLvlLbl val="0"/>
      </c:catAx>
      <c:valAx>
        <c:axId val="1"/>
        <c:scaling>
          <c:orientation val="minMax"/>
        </c:scaling>
        <c:delete val="1"/>
        <c:axPos val="l"/>
        <c:title>
          <c:tx>
            <c:rich>
              <a:bodyPr rot="-5400000" spcFirstLastPara="0" vertOverflow="ellipsis" vert="horz" wrap="square" anchor="t" anchorCtr="0"/>
              <a:lstStyle/>
              <a:p>
                <a:pPr>
                  <a:defRPr lang="zh-CN" sz="1000" b="1" i="0" u="none" strike="noStrike" kern="1200" baseline="0">
                    <a:solidFill>
                      <a:srgbClr val="000000"/>
                    </a:solidFill>
                    <a:latin typeface="Times New Roman"/>
                    <a:ea typeface="宋体"/>
                    <a:cs typeface="Lucida Sans"/>
                  </a:defRPr>
                </a:pPr>
                <a:r>
                  <a:rPr lang="zh-CN"/>
                  <a:t> </a:t>
                </a:r>
                <a:endParaRPr lang="zh-CN"/>
              </a:p>
            </c:rich>
          </c:tx>
          <c:layout/>
          <c:overlay val="0"/>
          <c:spPr>
            <a:ln>
              <a:noFill/>
            </a:ln>
          </c:spPr>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rgbClr val="000000"/>
                </a:solidFill>
                <a:latin typeface="Times New Roman"/>
                <a:ea typeface="宋体"/>
                <a:cs typeface="Lucida Sans"/>
              </a:defRPr>
            </a:pPr>
          </a:p>
        </c:txPr>
        <c:crossAx val="0"/>
        <c:crossesAt val="1"/>
        <c:crossBetween val="between"/>
      </c:valAx>
      <c:spPr>
        <a:noFill/>
        <a:ln>
          <a:noFill/>
        </a:ln>
      </c:spPr>
    </c:plotArea>
    <c:legend>
      <c:legendPos val="r"/>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a:ea typeface="宋体"/>
              <a:cs typeface="Lucida Sans"/>
            </a:defRPr>
          </a:pPr>
        </a:p>
      </c:txPr>
    </c:legend>
    <c:plotVisOnly val="1"/>
    <c:dispBlanksAs val="gap"/>
    <c:showDLblsOverMax val="0"/>
  </c:chart>
  <c:spPr>
    <a:gradFill rotWithShape="1">
      <a:gsLst>
        <a:gs pos="0">
          <a:srgbClr val="FFFFFF">
            <a:alpha val="100000"/>
          </a:srgbClr>
        </a:gs>
        <a:gs pos="68000">
          <a:srgbClr val="D9D9D9">
            <a:alpha val="100000"/>
          </a:srgbClr>
        </a:gs>
        <a:gs pos="100000">
          <a:srgbClr val="FFFFFF">
            <a:alpha val="100000"/>
          </a:srgbClr>
        </a:gs>
      </a:gsLst>
      <a:lin ang="5400000" scaled="1"/>
    </a:gra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a:ea typeface="宋体"/>
          <a:cs typeface="Lucida San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Times New Roman"/>
                <a:ea typeface="宋体"/>
                <a:cs typeface="Lucida Sans"/>
              </a:defRPr>
            </a:pPr>
            <a:r>
              <a:rPr lang="zh-CN"/>
              <a:t>收入决算结构图</a:t>
            </a:r>
            <a:endParaRPr lang="zh-CN"/>
          </a:p>
        </c:rich>
      </c:tx>
      <c:layout/>
      <c:overlay val="0"/>
      <c:spPr>
        <a:ln>
          <a:noFill/>
        </a:ln>
      </c:spPr>
    </c:title>
    <c:autoTitleDeleted val="0"/>
    <c:plotArea>
      <c:layout/>
      <c:pieChart>
        <c:varyColors val="1"/>
        <c:ser>
          <c:idx val="1"/>
          <c:order val="0"/>
          <c:spPr>
            <a:solidFill>
              <a:srgbClr val="C0504D"/>
            </a:solidFill>
          </c:spPr>
          <c:explosion val="0"/>
          <c:dPt>
            <c:idx val="0"/>
            <c:bubble3D val="0"/>
            <c:spPr>
              <a:solidFill>
                <a:srgbClr val="4572A7"/>
              </a:solidFill>
            </c:spPr>
          </c:dPt>
          <c:dPt>
            <c:idx val="1"/>
            <c:bubble3D val="0"/>
            <c:spPr>
              <a:solidFill>
                <a:srgbClr val="AA4643"/>
              </a:solidFill>
            </c:spPr>
          </c:dPt>
          <c:dPt>
            <c:idx val="2"/>
            <c:bubble3D val="0"/>
            <c:spPr>
              <a:solidFill>
                <a:srgbClr val="89A54E"/>
              </a:solidFill>
            </c:spPr>
          </c:dPt>
          <c:dPt>
            <c:idx val="3"/>
            <c:bubble3D val="0"/>
            <c:spPr>
              <a:solidFill>
                <a:srgbClr val="71588F"/>
              </a:solidFill>
            </c:spPr>
          </c:dPt>
          <c:dPt>
            <c:idx val="4"/>
            <c:bubble3D val="0"/>
            <c:spPr>
              <a:solidFill>
                <a:srgbClr val="4198AF"/>
              </a:solidFill>
            </c:spPr>
          </c:dPt>
          <c:dPt>
            <c:idx val="5"/>
            <c:bubble3D val="0"/>
            <c:spPr>
              <a:solidFill>
                <a:srgbClr val="DB843D"/>
              </a:solidFill>
            </c:spPr>
          </c:dPt>
          <c:dPt>
            <c:idx val="6"/>
            <c:bubble3D val="0"/>
            <c:spPr>
              <a:solidFill>
                <a:srgbClr val="93A9CF"/>
              </a:solidFill>
            </c:spPr>
          </c:dPt>
          <c:dPt>
            <c:idx val="7"/>
            <c:bubble3D val="0"/>
            <c:spPr>
              <a:solidFill>
                <a:srgbClr val="D19392"/>
              </a:solidFill>
            </c:spPr>
          </c:dPt>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a:ea typeface="宋体"/>
                    <a:cs typeface="Lucida San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{12733449.38,0,0,0,0,0,0,0}</c:f>
              <c:numCache>
                <c:formatCode>General</c:formatCode>
                <c:ptCount val="8"/>
                <c:pt idx="0">
                  <c:v>12733449.38</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a:ea typeface="宋体"/>
              <a:cs typeface="Lucida Sans"/>
            </a:defRPr>
          </a:pPr>
        </a:p>
      </c:txPr>
    </c:legend>
    <c:plotVisOnly val="1"/>
    <c:dispBlanksAs val="zero"/>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a:ea typeface="宋体"/>
          <a:cs typeface="Lucida San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Times New Roman"/>
                <a:ea typeface="宋体"/>
                <a:cs typeface="Lucida Sans"/>
              </a:defRPr>
            </a:pPr>
            <a:r>
              <a:rPr lang="zh-CN"/>
              <a:t>支出决算结构图</a:t>
            </a:r>
            <a:endParaRPr lang="zh-CN"/>
          </a:p>
        </c:rich>
      </c:tx>
      <c:layout/>
      <c:overlay val="0"/>
      <c:spPr>
        <a:ln>
          <a:noFill/>
        </a:ln>
      </c:spPr>
    </c:title>
    <c:autoTitleDeleted val="0"/>
    <c:plotArea>
      <c:layout/>
      <c:pieChart>
        <c:varyColors val="1"/>
        <c:ser>
          <c:idx val="1"/>
          <c:order val="0"/>
          <c:spPr>
            <a:solidFill>
              <a:srgbClr val="C0504D"/>
            </a:solidFill>
          </c:spPr>
          <c:explosion val="0"/>
          <c:dPt>
            <c:idx val="0"/>
            <c:bubble3D val="0"/>
            <c:spPr>
              <a:solidFill>
                <a:srgbClr val="4F81BD"/>
              </a:solidFill>
            </c:spPr>
          </c:dPt>
          <c:dPt>
            <c:idx val="1"/>
            <c:bubble3D val="0"/>
            <c:spPr>
              <a:solidFill>
                <a:srgbClr val="C0504D"/>
              </a:solidFill>
            </c:spPr>
          </c:dPt>
          <c:dPt>
            <c:idx val="2"/>
            <c:bubble3D val="0"/>
            <c:spPr>
              <a:solidFill>
                <a:srgbClr val="9BBB59"/>
              </a:solidFill>
            </c:spPr>
          </c:dPt>
          <c:dPt>
            <c:idx val="3"/>
            <c:bubble3D val="0"/>
            <c:spPr>
              <a:solidFill>
                <a:srgbClr val="8064A2"/>
              </a:solidFill>
            </c:spPr>
          </c:dPt>
          <c:dPt>
            <c:idx val="4"/>
            <c:bubble3D val="0"/>
            <c:spPr>
              <a:solidFill>
                <a:srgbClr val="4BACC6"/>
              </a:solidFill>
            </c:spPr>
          </c:dPt>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a:ea typeface="宋体"/>
                    <a:cs typeface="Lucida San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{"基本支出","项目支出","上缴上级支出","经营支出","对附属单位补助支出"}</c:f>
              <c:strCache>
                <c:ptCount val="5"/>
                <c:pt idx="0">
                  <c:v>基本支出</c:v>
                </c:pt>
                <c:pt idx="1">
                  <c:v>项目支出</c:v>
                </c:pt>
                <c:pt idx="2">
                  <c:v>上缴上级支出</c:v>
                </c:pt>
                <c:pt idx="3">
                  <c:v>经营支出</c:v>
                </c:pt>
                <c:pt idx="4">
                  <c:v>对附属单位补助支出</c:v>
                </c:pt>
              </c:strCache>
            </c:strRef>
          </c:cat>
          <c:val>
            <c:numRef>
              <c:f>{4202574.09,20964817.79,0,0,0}</c:f>
              <c:numCache>
                <c:formatCode>General</c:formatCode>
                <c:ptCount val="5"/>
                <c:pt idx="0">
                  <c:v>4202574.09</c:v>
                </c:pt>
                <c:pt idx="1">
                  <c:v>20964817.79</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a:ea typeface="宋体"/>
              <a:cs typeface="Lucida Sans"/>
            </a:defRPr>
          </a:pPr>
        </a:p>
      </c:txPr>
    </c:legend>
    <c:plotVisOnly val="1"/>
    <c:dispBlanksAs val="zero"/>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a:ea typeface="宋体"/>
          <a:cs typeface="Lucida San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baseline="0">
                <a:solidFill>
                  <a:srgbClr val="1F497D"/>
                </a:solidFill>
                <a:latin typeface="Times New Roman"/>
                <a:ea typeface="宋体"/>
                <a:cs typeface="Lucida Sans"/>
              </a:defRPr>
            </a:pPr>
            <a:r>
              <a:rPr lang="zh-CN"/>
              <a:t>财政拨款收、支决算总计变动情况</a:t>
            </a:r>
            <a:endParaRPr lang="zh-CN"/>
          </a:p>
        </c:rich>
      </c:tx>
      <c:layout/>
      <c:overlay val="0"/>
      <c:spPr>
        <a:noFill/>
        <a:ln>
          <a:noFill/>
        </a:ln>
      </c:spPr>
    </c:title>
    <c:autoTitleDeleted val="0"/>
    <c:plotArea>
      <c:layout/>
      <c:barChart>
        <c:barDir val="col"/>
        <c:grouping val="clustered"/>
        <c:varyColors val="0"/>
        <c:ser>
          <c:idx val="1"/>
          <c:order val="0"/>
          <c:tx>
            <c:strRef>
              <c:f>收入</c:f>
              <c:strCache>
                <c:ptCount val="1"/>
                <c:pt idx="0">
                  <c:v>收入</c:v>
                </c:pt>
              </c:strCache>
            </c:strRef>
          </c:tx>
          <c:spPr>
            <a:solidFill>
              <a:srgbClr val="C0504D"/>
            </a:solidFill>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a:ea typeface="宋体"/>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{2020,2021}</c:f>
              <c:numCache>
                <c:formatCode>General</c:formatCode>
                <c:ptCount val="2"/>
                <c:pt idx="0">
                  <c:v>2020</c:v>
                </c:pt>
                <c:pt idx="1">
                  <c:v>2021</c:v>
                </c:pt>
              </c:numCache>
            </c:numRef>
          </c:cat>
          <c:val>
            <c:numRef>
              <c:f>{3231.46,2516.74}</c:f>
              <c:numCache>
                <c:formatCode>General</c:formatCode>
                <c:ptCount val="2"/>
                <c:pt idx="0">
                  <c:v>3231.46</c:v>
                </c:pt>
                <c:pt idx="1">
                  <c:v>2516.74</c:v>
                </c:pt>
              </c:numCache>
            </c:numRef>
          </c:val>
        </c:ser>
        <c:ser>
          <c:idx val="2"/>
          <c:order val="1"/>
          <c:tx>
            <c:strRef>
              <c:f>支出</c:f>
              <c:strCache>
                <c:ptCount val="1"/>
                <c:pt idx="0">
                  <c:v>支出</c:v>
                </c:pt>
              </c:strCache>
            </c:strRef>
          </c:tx>
          <c:spPr>
            <a:solidFill>
              <a:srgbClr val="9BBB59"/>
            </a:solidFill>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a:ea typeface="宋体"/>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{2020,2021}</c:f>
              <c:numCache>
                <c:formatCode>General</c:formatCode>
                <c:ptCount val="2"/>
                <c:pt idx="0">
                  <c:v>2020</c:v>
                </c:pt>
                <c:pt idx="1">
                  <c:v>2021</c:v>
                </c:pt>
              </c:numCache>
            </c:numRef>
          </c:cat>
          <c:val>
            <c:numRef>
              <c:f>{3231.46,2516.74}</c:f>
              <c:numCache>
                <c:formatCode>General</c:formatCode>
                <c:ptCount val="2"/>
                <c:pt idx="0">
                  <c:v>3231.46</c:v>
                </c:pt>
                <c:pt idx="1">
                  <c:v>2516.74</c:v>
                </c:pt>
              </c:numCache>
            </c:numRef>
          </c:val>
        </c:ser>
        <c:dLbls>
          <c:showLegendKey val="0"/>
          <c:showVal val="1"/>
          <c:showCatName val="0"/>
          <c:showSerName val="0"/>
          <c:showPercent val="0"/>
          <c:showBubbleSize val="0"/>
        </c:dLbls>
        <c:gapWidth val="100"/>
        <c:overlap val="-24"/>
        <c:axId val="0"/>
        <c:axId val="1"/>
      </c:barChart>
      <c:catAx>
        <c:axId val="0"/>
        <c:scaling>
          <c:orientation val="minMax"/>
        </c:scaling>
        <c:delete val="0"/>
        <c:axPos val="b"/>
        <c:title>
          <c:tx>
            <c:rich>
              <a:bodyPr rot="0" spcFirstLastPara="0" vertOverflow="ellipsis" vert="horz" wrap="square" anchor="t" anchorCtr="0"/>
              <a:lstStyle/>
              <a:p>
                <a:pPr>
                  <a:defRPr lang="zh-CN" sz="1000" b="1" i="0" u="none" strike="noStrike" kern="1200" baseline="0">
                    <a:solidFill>
                      <a:srgbClr val="000000"/>
                    </a:solidFill>
                    <a:latin typeface="Times New Roman"/>
                    <a:ea typeface="宋体"/>
                    <a:cs typeface="Lucida Sans"/>
                  </a:defRPr>
                </a:pPr>
                <a:r>
                  <a:rPr lang="zh-CN"/>
                  <a:t>单位：万元</a:t>
                </a:r>
                <a:endParaRPr lang="zh-CN"/>
              </a:p>
            </c:rich>
          </c:tx>
          <c:layout/>
          <c:overlay val="0"/>
          <c:spPr>
            <a:ln>
              <a:noFill/>
            </a:ln>
          </c:spPr>
        </c:title>
        <c:numFmt formatCode="General" sourceLinked="0"/>
        <c:majorTickMark val="none"/>
        <c:minorTickMark val="none"/>
        <c:tickLblPos val="nextTo"/>
        <c:spPr>
          <a:ln w="6350" cap="flat" cmpd="sng" algn="ctr">
            <a:solidFill>
              <a:srgbClr val="D4E3F4"/>
            </a:solidFill>
            <a:prstDash val="solid"/>
            <a:round/>
          </a:ln>
        </c:spPr>
        <c:txPr>
          <a:bodyPr rot="-60000000" spcFirstLastPara="0" vertOverflow="ellipsis" vert="horz" wrap="square" anchor="ctr" anchorCtr="1"/>
          <a:lstStyle/>
          <a:p>
            <a:pPr>
              <a:defRPr lang="zh-CN" sz="900" b="0" i="0" u="none" strike="noStrike" kern="1200" baseline="0">
                <a:solidFill>
                  <a:srgbClr val="1F497D"/>
                </a:solidFill>
                <a:latin typeface="Times New Roman"/>
                <a:ea typeface="宋体"/>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4E3F4"/>
              </a:solidFill>
              <a:prstDash val="solid"/>
              <a:round/>
            </a:ln>
          </c:spPr>
        </c:majorGridlines>
        <c:title>
          <c:tx>
            <c:rich>
              <a:bodyPr rot="-5400000" spcFirstLastPara="0" vertOverflow="ellipsis" vert="horz" wrap="square" anchor="t" anchorCtr="0"/>
              <a:lstStyle/>
              <a:p>
                <a:pPr>
                  <a:defRPr lang="zh-CN" sz="1000" b="1" i="0" u="none" strike="noStrike" kern="1200" baseline="0">
                    <a:solidFill>
                      <a:srgbClr val="000000"/>
                    </a:solidFill>
                    <a:latin typeface="Times New Roman"/>
                    <a:ea typeface="宋体"/>
                    <a:cs typeface="Lucida Sans"/>
                  </a:defRPr>
                </a:pPr>
                <a:r>
                  <a:rPr lang="zh-CN"/>
                  <a:t> </a:t>
                </a:r>
                <a:endParaRPr lang="zh-CN"/>
              </a:p>
            </c:rich>
          </c:tx>
          <c:layout/>
          <c:overlay val="0"/>
          <c:spPr>
            <a:ln>
              <a:noFill/>
            </a:ln>
          </c:spPr>
        </c:title>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1F497D"/>
                </a:solidFill>
                <a:latin typeface="Times New Roman"/>
                <a:ea typeface="宋体"/>
                <a:cs typeface="Lucida Sans"/>
              </a:defRPr>
            </a:pPr>
          </a:p>
        </c:txPr>
        <c:crossAx val="0"/>
        <c:crossesAt val="1"/>
        <c:crossBetween val="between"/>
      </c:valAx>
      <c:spPr>
        <a:noFill/>
        <a:ln>
          <a:noFill/>
        </a:ln>
      </c:spPr>
    </c:plotArea>
    <c:legend>
      <c:legendPos val="r"/>
      <c:layout/>
      <c:overlay val="0"/>
      <c:spPr>
        <a:noFill/>
        <a:ln>
          <a:noFill/>
        </a:ln>
      </c:spPr>
      <c:txPr>
        <a:bodyPr rot="0" spcFirstLastPara="0" vertOverflow="ellipsis" vert="horz" wrap="square" anchor="ctr" anchorCtr="1"/>
        <a:lstStyle/>
        <a:p>
          <a:pPr>
            <a:defRPr lang="zh-CN" sz="900" b="0" i="0" u="none" strike="noStrike" kern="1200" baseline="0">
              <a:solidFill>
                <a:srgbClr val="1F497D"/>
              </a:solidFill>
              <a:latin typeface="Times New Roman"/>
              <a:ea typeface="宋体"/>
              <a:cs typeface="Lucida Sans"/>
            </a:defRPr>
          </a:pPr>
        </a:p>
      </c:txPr>
    </c:legend>
    <c:plotVisOnly val="1"/>
    <c:dispBlanksAs val="gap"/>
    <c:showDLblsOverMax val="0"/>
  </c:chart>
  <c:spPr>
    <a:solidFill>
      <a:srgbClr val="FFFFFF"/>
    </a:solidFill>
    <a:ln w="6350" cap="flat" cmpd="sng" algn="ctr">
      <a:solidFill>
        <a:srgbClr val="D4E3F4"/>
      </a:solidFill>
      <a:prstDash val="solid"/>
      <a:round/>
    </a:ln>
  </c:spPr>
  <c:txPr>
    <a:bodyPr/>
    <a:lstStyle/>
    <a:p>
      <a:pPr>
        <a:defRPr lang="zh-CN" sz="1000" b="0" i="0" u="none" strike="noStrike" baseline="0">
          <a:solidFill>
            <a:srgbClr val="000000"/>
          </a:solidFill>
          <a:latin typeface="Times New Roman"/>
          <a:ea typeface="宋体"/>
          <a:cs typeface="Lucida San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rgbClr val="595959"/>
                </a:solidFill>
                <a:latin typeface="Times New Roman"/>
                <a:ea typeface="宋体"/>
                <a:cs typeface="Lucida Sans"/>
              </a:defRPr>
            </a:pPr>
            <a:r>
              <a:rPr lang="zh-CN"/>
              <a:t>一般公共预算财政拨款支出</a:t>
            </a:r>
            <a:endParaRPr lang="zh-CN"/>
          </a:p>
        </c:rich>
      </c:tx>
      <c:layout/>
      <c:overlay val="0"/>
      <c:spPr>
        <a:noFill/>
        <a:ln>
          <a:noFill/>
        </a:ln>
      </c:spPr>
    </c:title>
    <c:autoTitleDeleted val="0"/>
    <c:plotArea>
      <c:layout>
        <c:manualLayout>
          <c:layoutTarget val="inner"/>
          <c:xMode val="edge"/>
          <c:yMode val="edge"/>
          <c:x val="0.07363331"/>
          <c:y val="0.19958287"/>
          <c:w val="0.76762366"/>
          <c:h val="0.7085065"/>
        </c:manualLayout>
      </c:layout>
      <c:barChart>
        <c:barDir val="col"/>
        <c:grouping val="clustered"/>
        <c:varyColors val="0"/>
        <c:ser>
          <c:idx val="1"/>
          <c:order val="0"/>
          <c:tx>
            <c:strRef>
              <c:f>2020</c:f>
              <c:strCache>
                <c:ptCount val="1"/>
                <c:pt idx="0">
                  <c:v>2020</c:v>
                </c:pt>
              </c:strCache>
            </c:strRef>
          </c:tx>
          <c:spPr>
            <a:solidFill>
              <a:srgbClr val="C0504D"/>
            </a:solidFill>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a:ea typeface="宋体"/>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{1004.46}</c:f>
              <c:numCache>
                <c:formatCode>General</c:formatCode>
                <c:ptCount val="1"/>
                <c:pt idx="0">
                  <c:v>1004.46</c:v>
                </c:pt>
              </c:numCache>
            </c:numRef>
          </c:val>
        </c:ser>
        <c:ser>
          <c:idx val="2"/>
          <c:order val="1"/>
          <c:tx>
            <c:strRef>
              <c:f>2021</c:f>
              <c:strCache>
                <c:ptCount val="1"/>
                <c:pt idx="0">
                  <c:v>2021</c:v>
                </c:pt>
              </c:strCache>
            </c:strRef>
          </c:tx>
          <c:spPr>
            <a:solidFill>
              <a:srgbClr val="9BBB59"/>
            </a:solidFill>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a:ea typeface="宋体"/>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{2516.74}</c:f>
              <c:numCache>
                <c:formatCode>General</c:formatCode>
                <c:ptCount val="1"/>
                <c:pt idx="0">
                  <c:v>2516.74</c:v>
                </c:pt>
              </c:numCache>
            </c:numRef>
          </c:val>
        </c:ser>
        <c:dLbls>
          <c:showLegendKey val="0"/>
          <c:showVal val="1"/>
          <c:showCatName val="0"/>
          <c:showSerName val="0"/>
          <c:showPercent val="0"/>
          <c:showBubbleSize val="0"/>
        </c:dLbls>
        <c:gapWidth val="100"/>
        <c:overlap val="-24"/>
        <c:axId val="0"/>
        <c:axId val="1"/>
      </c:barChart>
      <c:catAx>
        <c:axId val="0"/>
        <c:scaling>
          <c:orientation val="minMax"/>
        </c:scaling>
        <c:delete val="1"/>
        <c:axPos val="b"/>
        <c:title>
          <c:tx>
            <c:rich>
              <a:bodyPr rot="0" spcFirstLastPara="0" vertOverflow="ellipsis" vert="horz" wrap="square" anchor="t" anchorCtr="0"/>
              <a:lstStyle/>
              <a:p>
                <a:pPr>
                  <a:defRPr lang="zh-CN" sz="1000" b="1" i="0" u="none" strike="noStrike" kern="1200" baseline="0">
                    <a:solidFill>
                      <a:srgbClr val="000000"/>
                    </a:solidFill>
                    <a:latin typeface="Times New Roman"/>
                    <a:ea typeface="宋体"/>
                    <a:cs typeface="Lucida Sans"/>
                  </a:defRPr>
                </a:pPr>
                <a:r>
                  <a:rPr lang="zh-CN"/>
                  <a:t>单位：万元</a:t>
                </a:r>
                <a:endParaRPr lang="zh-CN"/>
              </a:p>
            </c:rich>
          </c:tx>
          <c:layout/>
          <c:overlay val="0"/>
          <c:spPr>
            <a:ln>
              <a:noFill/>
            </a:ln>
          </c:spPr>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rgbClr val="000000"/>
                </a:solidFill>
                <a:latin typeface="Times New Roman"/>
                <a:ea typeface="宋体"/>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title>
          <c:tx>
            <c:rich>
              <a:bodyPr rot="-5400000" spcFirstLastPara="0" vertOverflow="ellipsis" vert="horz" wrap="square" anchor="t" anchorCtr="0"/>
              <a:lstStyle/>
              <a:p>
                <a:pPr>
                  <a:defRPr lang="zh-CN" sz="1000" b="1" i="0" u="none" strike="noStrike" kern="1200" baseline="0">
                    <a:solidFill>
                      <a:srgbClr val="000000"/>
                    </a:solidFill>
                    <a:latin typeface="Times New Roman"/>
                    <a:ea typeface="宋体"/>
                    <a:cs typeface="Lucida Sans"/>
                  </a:defRPr>
                </a:pPr>
                <a:r>
                  <a:rPr lang="zh-CN"/>
                  <a:t> </a:t>
                </a:r>
                <a:endParaRPr lang="zh-CN"/>
              </a:p>
            </c:rich>
          </c:tx>
          <c:layout/>
          <c:overlay val="0"/>
          <c:spPr>
            <a:ln>
              <a:noFill/>
            </a:ln>
          </c:spPr>
        </c:title>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a:ea typeface="宋体"/>
                <a:cs typeface="Lucida Sans"/>
              </a:defRPr>
            </a:pPr>
          </a:p>
        </c:txPr>
        <c:crossAx val="0"/>
        <c:crossesAt val="1"/>
        <c:crossBetween val="between"/>
      </c:valAx>
      <c:spPr>
        <a:noFill/>
        <a:ln>
          <a:noFill/>
        </a:ln>
      </c:spPr>
    </c:plotArea>
    <c:legend>
      <c:legendPos val="r"/>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a:ea typeface="宋体"/>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a:ea typeface="宋体"/>
          <a:cs typeface="Lucida San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Times New Roman"/>
                <a:ea typeface="宋体"/>
                <a:cs typeface="Lucida Sans"/>
              </a:defRPr>
            </a:pPr>
            <a:r>
              <a:rPr lang="zh-CN"/>
              <a:t>一般公共预算财政拨款支出</a:t>
            </a:r>
            <a:endParaRPr lang="zh-CN"/>
          </a:p>
        </c:rich>
      </c:tx>
      <c:layout/>
      <c:overlay val="0"/>
      <c:spPr>
        <a:ln>
          <a:noFill/>
        </a:ln>
      </c:spPr>
    </c:title>
    <c:autoTitleDeleted val="0"/>
    <c:plotArea>
      <c:layout/>
      <c:pieChart>
        <c:varyColors val="1"/>
        <c:ser>
          <c:idx val="1"/>
          <c:order val="0"/>
          <c:spPr>
            <a:solidFill>
              <a:srgbClr val="C0504D"/>
            </a:solidFill>
          </c:spPr>
          <c:explosion val="0"/>
          <c:dPt>
            <c:idx val="0"/>
            <c:bubble3D val="0"/>
            <c:spPr>
              <a:solidFill>
                <a:srgbClr val="4572A7"/>
              </a:solidFill>
            </c:spPr>
          </c:dPt>
          <c:dPt>
            <c:idx val="1"/>
            <c:bubble3D val="0"/>
            <c:spPr>
              <a:solidFill>
                <a:srgbClr val="AA4643"/>
              </a:solidFill>
            </c:spPr>
          </c:dPt>
          <c:dPt>
            <c:idx val="2"/>
            <c:bubble3D val="0"/>
            <c:spPr>
              <a:solidFill>
                <a:srgbClr val="89A54E"/>
              </a:solidFill>
            </c:spPr>
          </c:dPt>
          <c:dPt>
            <c:idx val="3"/>
            <c:bubble3D val="0"/>
            <c:spPr>
              <a:solidFill>
                <a:srgbClr val="71588F"/>
              </a:solidFill>
            </c:spPr>
          </c:dPt>
          <c:dPt>
            <c:idx val="4"/>
            <c:bubble3D val="0"/>
            <c:spPr>
              <a:solidFill>
                <a:srgbClr val="4198AF"/>
              </a:solidFill>
            </c:spPr>
          </c:dPt>
          <c:dPt>
            <c:idx val="5"/>
            <c:bubble3D val="0"/>
            <c:spPr>
              <a:solidFill>
                <a:srgbClr val="DB843D"/>
              </a:solidFill>
            </c:spPr>
          </c:dPt>
          <c:dLbls>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a:ea typeface="宋体"/>
                    <a:cs typeface="Lucida San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{"社会保障和就业支出","卫生健康支出","农林水支出","住房保障支出","灾害防治及应急管理支出","其他支出"}</c:f>
              <c:strCache>
                <c:ptCount val="6"/>
                <c:pt idx="0">
                  <c:v>社会保障和就业支出</c:v>
                </c:pt>
                <c:pt idx="1">
                  <c:v>卫生健康支出</c:v>
                </c:pt>
                <c:pt idx="2">
                  <c:v>农林水支出</c:v>
                </c:pt>
                <c:pt idx="3">
                  <c:v>住房保障支出</c:v>
                </c:pt>
                <c:pt idx="4">
                  <c:v>灾害防治及应急管理支出</c:v>
                </c:pt>
                <c:pt idx="5">
                  <c:v>其他支出</c:v>
                </c:pt>
              </c:strCache>
            </c:strRef>
          </c:cat>
          <c:val>
            <c:numRef>
              <c:f>{45.67,21.05,0.36,29.4,2416.78,3.47}</c:f>
              <c:numCache>
                <c:formatCode>General</c:formatCode>
                <c:ptCount val="6"/>
                <c:pt idx="0">
                  <c:v>45.67</c:v>
                </c:pt>
                <c:pt idx="1">
                  <c:v>21.05</c:v>
                </c:pt>
                <c:pt idx="2">
                  <c:v>0.36</c:v>
                </c:pt>
                <c:pt idx="3">
                  <c:v>29.4</c:v>
                </c:pt>
                <c:pt idx="4">
                  <c:v>2416.78</c:v>
                </c:pt>
                <c:pt idx="5">
                  <c:v>3.47</c:v>
                </c:pt>
              </c:numCache>
            </c:numRef>
          </c:val>
        </c:ser>
        <c:dLbls>
          <c:showLegendKey val="0"/>
          <c:showVal val="1"/>
          <c:showCatName val="0"/>
          <c:showSerName val="0"/>
          <c:showPercent val="0"/>
          <c:showBubbleSize val="0"/>
          <c:showLeaderLines val="1"/>
        </c:dLbls>
        <c:firstSliceAng val="0"/>
      </c:pieChart>
      <c:spPr>
        <a:no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a:ea typeface="宋体"/>
              <a:cs typeface="Lucida Sans"/>
            </a:defRPr>
          </a:pPr>
        </a:p>
      </c:txPr>
    </c:legend>
    <c:plotVisOnly val="1"/>
    <c:dispBlanksAs val="zero"/>
    <c:showDLblsOverMax val="0"/>
  </c:chart>
  <c:txPr>
    <a:bodyPr/>
    <a:lstStyle/>
    <a:p>
      <a:pPr>
        <a:defRPr lang="zh-CN" sz="1000" b="0" i="0" u="none" strike="noStrike" baseline="0">
          <a:solidFill>
            <a:srgbClr val="000000"/>
          </a:solidFill>
          <a:latin typeface="Times New Roman"/>
          <a:ea typeface="宋体"/>
          <a:cs typeface="Lucida San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Times New Roman"/>
                <a:ea typeface="宋体"/>
                <a:cs typeface="Lucida Sans"/>
              </a:defRPr>
            </a:pPr>
            <a:r>
              <a:rPr lang="zh-CN"/>
              <a:t>三公经费</a:t>
            </a:r>
            <a:endParaRPr lang="zh-CN"/>
          </a:p>
        </c:rich>
      </c:tx>
      <c:layout/>
      <c:overlay val="0"/>
      <c:spPr>
        <a:ln>
          <a:noFill/>
        </a:ln>
      </c:spPr>
    </c:title>
    <c:autoTitleDeleted val="0"/>
    <c:plotArea>
      <c:layout/>
      <c:pieChart>
        <c:varyColors val="1"/>
        <c:ser>
          <c:idx val="1"/>
          <c:order val="0"/>
          <c:spPr>
            <a:solidFill>
              <a:srgbClr val="C0504D"/>
            </a:solidFill>
          </c:spPr>
          <c:explosion val="0"/>
          <c:dPt>
            <c:idx val="0"/>
            <c:bubble3D val="0"/>
            <c:spPr>
              <a:solidFill>
                <a:srgbClr val="4F81BD"/>
              </a:solidFill>
            </c:spPr>
          </c:dPt>
          <c:dPt>
            <c:idx val="1"/>
            <c:bubble3D val="0"/>
            <c:spPr>
              <a:solidFill>
                <a:srgbClr val="C0504D"/>
              </a:solidFill>
            </c:spPr>
          </c:dPt>
          <c:dPt>
            <c:idx val="2"/>
            <c:bubble3D val="0"/>
            <c:spPr>
              <a:solidFill>
                <a:srgbClr val="9BBB59"/>
              </a:solidFill>
            </c:spPr>
          </c:dPt>
          <c:dLbls>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a:ea typeface="宋体"/>
                    <a:cs typeface="Lucida San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{0,14.15,0.75}</c:f>
              <c:numCache>
                <c:formatCode>General</c:formatCode>
                <c:ptCount val="3"/>
                <c:pt idx="0">
                  <c:v>0</c:v>
                </c:pt>
                <c:pt idx="1">
                  <c:v>14.15</c:v>
                </c:pt>
                <c:pt idx="2">
                  <c:v>0.75</c:v>
                </c:pt>
              </c:numCache>
            </c:numRef>
          </c:val>
        </c:ser>
        <c:dLbls>
          <c:showLegendKey val="0"/>
          <c:showVal val="1"/>
          <c:showCatName val="0"/>
          <c:showSerName val="0"/>
          <c:showPercent val="0"/>
          <c:showBubbleSize val="0"/>
          <c:showLeaderLines val="1"/>
        </c:dLbls>
        <c:firstSliceAng val="0"/>
      </c:pieChart>
      <c:spPr>
        <a:no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a:ea typeface="宋体"/>
              <a:cs typeface="Lucida Sans"/>
            </a:defRPr>
          </a:pPr>
        </a:p>
      </c:txPr>
    </c:legend>
    <c:plotVisOnly val="1"/>
    <c:dispBlanksAs val="zero"/>
    <c:showDLblsOverMax val="0"/>
  </c:chart>
  <c:txPr>
    <a:bodyPr/>
    <a:lstStyle/>
    <a:p>
      <a:pPr>
        <a:defRPr lang="zh-CN" sz="1000" b="0" i="0" u="none" strike="noStrike" baseline="0">
          <a:solidFill>
            <a:srgbClr val="000000"/>
          </a:solidFill>
          <a:latin typeface="Times New Roman"/>
          <a:ea typeface="宋体"/>
          <a:cs typeface="Lucida Sans"/>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54</Pages>
  <Words>20584</Words>
  <Characters>22377</Characters>
  <Lines>1642</Lines>
  <Paragraphs>944</Paragraphs>
  <TotalTime>5</TotalTime>
  <ScaleCrop>false</ScaleCrop>
  <LinksUpToDate>false</LinksUpToDate>
  <CharactersWithSpaces>22792</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2022-08-17T09:31:00Z</dcterms:created>
  <dc:creator>lgk</dc:creator>
  <cp:lastModifiedBy>user</cp:lastModifiedBy>
  <cp:lastPrinted>2022-09-27T17:31:00Z</cp:lastPrinted>
  <dcterms:modified xsi:type="dcterms:W3CDTF">2026-04-22T17:00:07Z</dcterms:modified>
  <dc:title>四川省决算编制说明</dc:title>
  <cp:revision>304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822B4E912B3E41B0804938F6D0889AD4</vt:lpwstr>
  </property>
</Properties>
</file>