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ascii="方正小标宋简体" w:eastAsia="方正小标宋简体"/>
          <w:color w:val="000000"/>
          <w:sz w:val="72"/>
          <w:szCs w:val="72"/>
        </w:rPr>
      </w:pPr>
      <w:bookmarkStart w:id="0" w:name="_Toc15306267"/>
    </w:p>
    <w:p>
      <w:pPr>
        <w:spacing w:line="560" w:lineRule="exact"/>
        <w:jc w:val="center"/>
        <w:outlineLvl w:val="0"/>
        <w:rPr>
          <w:rFonts w:ascii="方正小标宋简体" w:eastAsia="方正小标宋简体"/>
          <w:color w:val="000000"/>
          <w:sz w:val="72"/>
          <w:szCs w:val="72"/>
        </w:rPr>
      </w:pPr>
    </w:p>
    <w:p>
      <w:pPr>
        <w:spacing w:line="560" w:lineRule="exact"/>
        <w:jc w:val="center"/>
        <w:outlineLvl w:val="0"/>
        <w:rPr>
          <w:rFonts w:ascii="方正小标宋简体" w:eastAsia="方正小标宋简体"/>
          <w:color w:val="000000"/>
          <w:sz w:val="72"/>
          <w:szCs w:val="72"/>
        </w:rPr>
      </w:pPr>
    </w:p>
    <w:p>
      <w:pPr>
        <w:overflowPunct w:val="0"/>
        <w:adjustRightInd w:val="0"/>
        <w:snapToGrid w:val="0"/>
        <w:spacing w:line="360" w:lineRule="auto"/>
        <w:jc w:val="center"/>
        <w:outlineLvl w:val="0"/>
        <w:rPr>
          <w:rFonts w:ascii="方正小标宋简体" w:eastAsia="方正小标宋简体"/>
          <w:b/>
          <w:bCs/>
          <w:color w:val="000000"/>
          <w:sz w:val="44"/>
          <w:szCs w:val="44"/>
        </w:rPr>
      </w:pPr>
    </w:p>
    <w:p>
      <w:pPr>
        <w:overflowPunct w:val="0"/>
        <w:adjustRightInd w:val="0"/>
        <w:snapToGrid w:val="0"/>
        <w:spacing w:line="360" w:lineRule="auto"/>
        <w:jc w:val="center"/>
        <w:outlineLvl w:val="0"/>
        <w:rPr>
          <w:rFonts w:ascii="方正小标宋简体" w:eastAsia="方正小标宋简体"/>
          <w:b/>
          <w:bCs/>
          <w:color w:val="000000"/>
          <w:sz w:val="44"/>
          <w:szCs w:val="44"/>
        </w:rPr>
      </w:pPr>
      <w:bookmarkStart w:id="1" w:name="_Toc15377425"/>
      <w:bookmarkStart w:id="2" w:name="_Toc15396597"/>
      <w:bookmarkStart w:id="3" w:name="_Toc15396475"/>
      <w:bookmarkStart w:id="4" w:name="_Toc15377193"/>
      <w:bookmarkStart w:id="5" w:name="_Toc15378441"/>
      <w:r>
        <w:rPr>
          <w:rFonts w:hint="eastAsia" w:ascii="方正小标宋简体" w:eastAsia="方正小标宋简体"/>
          <w:b/>
          <w:bCs/>
          <w:color w:val="000000"/>
          <w:sz w:val="44"/>
          <w:szCs w:val="44"/>
        </w:rPr>
        <w:t>2019年度</w:t>
      </w:r>
      <w:bookmarkEnd w:id="1"/>
      <w:bookmarkEnd w:id="2"/>
      <w:bookmarkEnd w:id="3"/>
      <w:bookmarkEnd w:id="4"/>
      <w:bookmarkEnd w:id="5"/>
      <w:bookmarkStart w:id="6" w:name="_Toc15377194"/>
      <w:bookmarkStart w:id="7" w:name="_Toc15377426"/>
      <w:bookmarkStart w:id="8" w:name="_Toc15396476"/>
      <w:bookmarkStart w:id="9" w:name="_Toc15378442"/>
      <w:bookmarkStart w:id="10" w:name="_Toc15396598"/>
      <w:r>
        <w:rPr>
          <w:rFonts w:hint="eastAsia" w:ascii="方正小标宋简体" w:eastAsia="方正小标宋简体"/>
          <w:b/>
          <w:bCs/>
          <w:color w:val="000000"/>
          <w:sz w:val="44"/>
          <w:szCs w:val="44"/>
        </w:rPr>
        <w:t>四川省阿坝州</w:t>
      </w:r>
      <w:bookmarkEnd w:id="0"/>
      <w:bookmarkStart w:id="11" w:name="_Toc15306268"/>
      <w:r>
        <w:rPr>
          <w:rFonts w:hint="eastAsia" w:ascii="方正小标宋简体" w:eastAsia="方正小标宋简体"/>
          <w:b/>
          <w:bCs/>
          <w:color w:val="000000"/>
          <w:sz w:val="44"/>
          <w:szCs w:val="44"/>
        </w:rPr>
        <w:t>茂县审计局</w:t>
      </w:r>
    </w:p>
    <w:p>
      <w:pPr>
        <w:overflowPunct w:val="0"/>
        <w:adjustRightInd w:val="0"/>
        <w:snapToGrid w:val="0"/>
        <w:spacing w:line="360" w:lineRule="auto"/>
        <w:jc w:val="center"/>
        <w:outlineLvl w:val="0"/>
        <w:rPr>
          <w:rFonts w:ascii="方正小标宋简体" w:eastAsia="方正小标宋简体"/>
          <w:b/>
          <w:bCs/>
          <w:color w:val="000000"/>
          <w:sz w:val="44"/>
          <w:szCs w:val="44"/>
        </w:rPr>
      </w:pPr>
      <w:r>
        <w:rPr>
          <w:rFonts w:hint="eastAsia" w:ascii="方正小标宋简体" w:eastAsia="方正小标宋简体"/>
          <w:b/>
          <w:bCs/>
          <w:color w:val="000000"/>
          <w:sz w:val="44"/>
          <w:szCs w:val="44"/>
        </w:rPr>
        <w:t>部门决算</w:t>
      </w:r>
      <w:bookmarkEnd w:id="6"/>
      <w:bookmarkEnd w:id="7"/>
      <w:bookmarkEnd w:id="8"/>
      <w:bookmarkEnd w:id="9"/>
      <w:bookmarkEnd w:id="10"/>
      <w:bookmarkEnd w:id="11"/>
    </w:p>
    <w:p>
      <w:pPr>
        <w:spacing w:line="560" w:lineRule="exact"/>
        <w:rPr>
          <w:rFonts w:ascii="方正小标宋简体" w:eastAsia="方正小标宋简体"/>
          <w:b/>
          <w:bCs/>
          <w:color w:val="000000"/>
          <w:sz w:val="44"/>
          <w:szCs w:val="44"/>
        </w:rPr>
      </w:pPr>
    </w:p>
    <w:p>
      <w:pPr>
        <w:spacing w:line="560" w:lineRule="exact"/>
        <w:rPr>
          <w:rFonts w:ascii="方正小标宋简体" w:eastAsia="方正小标宋简体"/>
          <w:sz w:val="36"/>
          <w:szCs w:val="36"/>
        </w:rPr>
      </w:pPr>
    </w:p>
    <w:p>
      <w:pPr>
        <w:spacing w:line="560" w:lineRule="exact"/>
        <w:rPr>
          <w:rFonts w:ascii="方正小标宋简体" w:eastAsia="方正小标宋简体"/>
          <w:sz w:val="36"/>
          <w:szCs w:val="36"/>
        </w:rPr>
      </w:pPr>
    </w:p>
    <w:p>
      <w:pPr>
        <w:spacing w:line="560" w:lineRule="exact"/>
        <w:rPr>
          <w:rFonts w:ascii="方正小标宋简体" w:eastAsia="方正小标宋简体"/>
          <w:sz w:val="36"/>
          <w:szCs w:val="36"/>
        </w:rPr>
      </w:pPr>
    </w:p>
    <w:p>
      <w:pPr>
        <w:spacing w:line="560" w:lineRule="exact"/>
        <w:rPr>
          <w:rFonts w:ascii="方正小标宋简体" w:eastAsia="方正小标宋简体"/>
          <w:sz w:val="36"/>
          <w:szCs w:val="36"/>
        </w:rPr>
      </w:pPr>
    </w:p>
    <w:p>
      <w:pPr>
        <w:spacing w:line="560" w:lineRule="exact"/>
        <w:rPr>
          <w:rFonts w:ascii="方正小标宋简体" w:eastAsia="方正小标宋简体"/>
          <w:sz w:val="36"/>
          <w:szCs w:val="36"/>
        </w:rPr>
      </w:pPr>
    </w:p>
    <w:p>
      <w:pPr>
        <w:spacing w:line="560" w:lineRule="exact"/>
        <w:rPr>
          <w:rFonts w:ascii="方正小标宋简体" w:eastAsia="方正小标宋简体"/>
          <w:sz w:val="36"/>
          <w:szCs w:val="36"/>
        </w:rPr>
      </w:pPr>
    </w:p>
    <w:p>
      <w:pPr>
        <w:spacing w:line="560" w:lineRule="exact"/>
        <w:rPr>
          <w:rFonts w:ascii="方正小标宋简体" w:eastAsia="方正小标宋简体"/>
          <w:sz w:val="36"/>
          <w:szCs w:val="36"/>
        </w:rPr>
      </w:pPr>
    </w:p>
    <w:p>
      <w:pPr>
        <w:spacing w:line="560" w:lineRule="exact"/>
        <w:rPr>
          <w:rFonts w:ascii="方正小标宋简体" w:eastAsia="方正小标宋简体"/>
          <w:sz w:val="36"/>
          <w:szCs w:val="36"/>
        </w:rPr>
      </w:pPr>
    </w:p>
    <w:p>
      <w:pPr>
        <w:widowControl/>
        <w:spacing w:line="560" w:lineRule="exact"/>
        <w:jc w:val="center"/>
        <w:rPr>
          <w:rFonts w:ascii="方正小标宋简体" w:eastAsia="方正小标宋简体"/>
          <w:sz w:val="36"/>
          <w:szCs w:val="36"/>
        </w:rPr>
      </w:pPr>
    </w:p>
    <w:p>
      <w:pPr>
        <w:widowControl/>
        <w:overflowPunct w:val="0"/>
        <w:jc w:val="center"/>
        <w:rPr>
          <w:rFonts w:ascii="方正小标宋简体" w:eastAsia="方正小标宋简体" w:cs="方正小标宋简体"/>
          <w:b/>
          <w:bCs/>
          <w:color w:val="000000"/>
          <w:sz w:val="44"/>
          <w:szCs w:val="44"/>
        </w:rPr>
      </w:pPr>
      <w:r>
        <w:rPr>
          <w:rFonts w:ascii="方正小标宋简体" w:eastAsia="方正小标宋简体"/>
          <w:sz w:val="36"/>
          <w:szCs w:val="36"/>
        </w:rPr>
        <w:br w:type="page"/>
      </w:r>
      <w:r>
        <w:rPr>
          <w:rFonts w:hint="eastAsia" w:ascii="方正小标宋简体" w:eastAsia="方正小标宋简体" w:cs="方正小标宋简体"/>
          <w:b/>
          <w:bCs/>
          <w:color w:val="000000"/>
          <w:sz w:val="44"/>
          <w:szCs w:val="44"/>
        </w:rPr>
        <w:t>目</w:t>
      </w:r>
      <w:r>
        <w:rPr>
          <w:rFonts w:ascii="方正小标宋简体" w:eastAsia="方正小标宋简体" w:cs="方正小标宋简体"/>
          <w:b/>
          <w:bCs/>
          <w:color w:val="000000"/>
          <w:sz w:val="44"/>
          <w:szCs w:val="44"/>
        </w:rPr>
        <w:t xml:space="preserve">  </w:t>
      </w:r>
      <w:r>
        <w:rPr>
          <w:rFonts w:hint="eastAsia" w:ascii="方正小标宋简体" w:eastAsia="方正小标宋简体" w:cs="方正小标宋简体"/>
          <w:b/>
          <w:bCs/>
          <w:color w:val="000000"/>
          <w:sz w:val="44"/>
          <w:szCs w:val="44"/>
        </w:rPr>
        <w:t>录</w:t>
      </w:r>
    </w:p>
    <w:p>
      <w:pPr>
        <w:spacing w:line="560" w:lineRule="exact"/>
        <w:jc w:val="left"/>
        <w:rPr>
          <w:rFonts w:eastAsia="仿宋_GB2312"/>
          <w:sz w:val="32"/>
        </w:rPr>
      </w:pPr>
    </w:p>
    <w:p>
      <w:pPr>
        <w:pStyle w:val="11"/>
        <w:adjustRightInd w:val="0"/>
        <w:snapToGrid w:val="0"/>
        <w:spacing w:before="0" w:line="560" w:lineRule="exact"/>
        <w:jc w:val="distribute"/>
        <w:rPr>
          <w:rFonts w:hint="eastAsia" w:ascii="仿宋_GB2312" w:eastAsia="仿宋_GB2312" w:cs="仿宋_GB2312"/>
          <w:sz w:val="32"/>
          <w:szCs w:val="32"/>
        </w:rPr>
      </w:pPr>
      <w:r>
        <w:rPr>
          <w:rFonts w:hint="eastAsia" w:ascii="Times New Roman" w:eastAsia="仿宋_GB2312"/>
          <w:sz w:val="32"/>
          <w:szCs w:val="24"/>
        </w:rPr>
        <w:t>第一部分 部门概况</w:t>
      </w:r>
      <w:r>
        <w:rPr>
          <w:rFonts w:ascii="Times New Roman" w:eastAsia="仿宋_GB2312"/>
          <w:sz w:val="32"/>
          <w:szCs w:val="24"/>
        </w:rPr>
        <w:t xml:space="preserve"> </w:t>
      </w:r>
      <w:r>
        <w:rPr>
          <w:rFonts w:hint="eastAsia" w:ascii="仿宋_GB2312" w:eastAsia="仿宋_GB2312" w:cs="仿宋_GB2312"/>
          <w:sz w:val="32"/>
          <w:szCs w:val="32"/>
        </w:rPr>
        <w:t>…………………………………………4</w:t>
      </w:r>
    </w:p>
    <w:p>
      <w:pPr>
        <w:pStyle w:val="11"/>
        <w:adjustRightInd w:val="0"/>
        <w:snapToGrid w:val="0"/>
        <w:spacing w:before="0" w:line="560" w:lineRule="exact"/>
        <w:ind w:firstLine="640" w:firstLineChars="200"/>
        <w:jc w:val="distribute"/>
        <w:rPr>
          <w:rFonts w:hint="eastAsia" w:ascii="Times New Roman" w:eastAsia="仿宋_GB2312" w:cs="Arial"/>
          <w:sz w:val="32"/>
          <w:szCs w:val="24"/>
        </w:rPr>
      </w:pPr>
      <w:r>
        <w:rPr>
          <w:rFonts w:hint="eastAsia" w:eastAsia="仿宋_GB2312"/>
          <w:sz w:val="32"/>
        </w:rPr>
        <w:t>一、基本职能及主要工作</w:t>
      </w:r>
      <w:r>
        <w:rPr>
          <w:rFonts w:hint="eastAsia" w:ascii="仿宋_GB2312" w:eastAsia="仿宋_GB2312" w:cs="仿宋_GB2312"/>
          <w:sz w:val="32"/>
          <w:szCs w:val="32"/>
        </w:rPr>
        <w:t>………………………………4</w:t>
      </w:r>
    </w:p>
    <w:p>
      <w:pPr>
        <w:pStyle w:val="12"/>
        <w:adjustRightInd w:val="0"/>
        <w:snapToGrid w:val="0"/>
        <w:spacing w:line="560" w:lineRule="exact"/>
        <w:ind w:left="315" w:leftChars="150" w:firstLine="320" w:firstLineChars="100"/>
        <w:jc w:val="distribute"/>
        <w:rPr>
          <w:rFonts w:eastAsia="仿宋_GB2312" w:cs="Arial"/>
          <w:sz w:val="32"/>
        </w:rPr>
      </w:pPr>
      <w:r>
        <w:rPr>
          <w:rFonts w:hint="eastAsia" w:eastAsia="仿宋_GB2312"/>
          <w:sz w:val="32"/>
        </w:rPr>
        <w:t>二、机构设置</w:t>
      </w:r>
      <w:r>
        <w:rPr>
          <w:rFonts w:hint="eastAsia" w:ascii="仿宋_GB2312" w:eastAsia="仿宋_GB2312" w:cs="仿宋_GB2312"/>
          <w:sz w:val="32"/>
          <w:szCs w:val="32"/>
        </w:rPr>
        <w:t>……………………………………………</w:t>
      </w:r>
      <w:r>
        <w:rPr>
          <w:rFonts w:ascii="仿宋_GB2312" w:eastAsia="仿宋_GB2312" w:cs="仿宋_GB2312"/>
          <w:sz w:val="32"/>
          <w:szCs w:val="32"/>
        </w:rPr>
        <w:t>6</w:t>
      </w:r>
    </w:p>
    <w:p>
      <w:pPr>
        <w:pStyle w:val="12"/>
        <w:adjustRightInd w:val="0"/>
        <w:snapToGrid w:val="0"/>
        <w:spacing w:line="560" w:lineRule="exact"/>
        <w:ind w:left="0" w:leftChars="0"/>
        <w:jc w:val="distribute"/>
        <w:rPr>
          <w:rFonts w:hint="eastAsia" w:ascii="仿宋_GB2312" w:eastAsia="仿宋_GB2312" w:cs="仿宋_GB2312"/>
          <w:sz w:val="32"/>
          <w:szCs w:val="32"/>
        </w:rPr>
      </w:pPr>
      <w:r>
        <w:rPr>
          <w:rFonts w:hint="eastAsia" w:eastAsia="仿宋_GB2312"/>
          <w:sz w:val="32"/>
        </w:rPr>
        <w:t>第二部分</w:t>
      </w:r>
      <w:r>
        <w:rPr>
          <w:rFonts w:hint="eastAsia" w:eastAsia="仿宋_GB2312"/>
          <w:sz w:val="32"/>
          <w:lang w:val="en-US" w:eastAsia="zh-CN"/>
        </w:rPr>
        <w:t xml:space="preserve"> 2019年</w:t>
      </w:r>
      <w:r>
        <w:rPr>
          <w:rFonts w:hint="eastAsia" w:eastAsia="仿宋_GB2312"/>
          <w:sz w:val="32"/>
        </w:rPr>
        <w:t>度部门决算情况说明</w:t>
      </w:r>
      <w:r>
        <w:rPr>
          <w:rFonts w:hint="eastAsia" w:ascii="仿宋_GB2312" w:eastAsia="仿宋_GB2312" w:cs="仿宋_GB2312"/>
          <w:sz w:val="32"/>
          <w:szCs w:val="32"/>
        </w:rPr>
        <w:t>……………………7</w:t>
      </w:r>
    </w:p>
    <w:p>
      <w:pPr>
        <w:pStyle w:val="12"/>
        <w:adjustRightInd w:val="0"/>
        <w:snapToGrid w:val="0"/>
        <w:spacing w:line="560" w:lineRule="exact"/>
        <w:ind w:left="0" w:leftChars="0" w:firstLine="640" w:firstLineChars="200"/>
        <w:jc w:val="distribute"/>
        <w:rPr>
          <w:rFonts w:hint="eastAsia" w:ascii="仿宋_GB2312" w:eastAsia="仿宋_GB2312" w:cs="仿宋_GB2312"/>
          <w:sz w:val="32"/>
          <w:szCs w:val="32"/>
        </w:rPr>
      </w:pPr>
      <w:r>
        <w:rPr>
          <w:rFonts w:hint="eastAsia" w:eastAsia="仿宋_GB2312"/>
          <w:sz w:val="32"/>
        </w:rPr>
        <w:t>一、收入支出决算总体情况说明</w:t>
      </w:r>
      <w:r>
        <w:rPr>
          <w:rFonts w:hint="eastAsia" w:ascii="仿宋_GB2312" w:eastAsia="仿宋_GB2312" w:cs="仿宋_GB2312"/>
          <w:sz w:val="32"/>
          <w:szCs w:val="32"/>
        </w:rPr>
        <w:t>………………………</w:t>
      </w:r>
      <w:r>
        <w:rPr>
          <w:rFonts w:ascii="仿宋_GB2312" w:eastAsia="仿宋_GB2312" w:cs="仿宋_GB2312"/>
          <w:sz w:val="32"/>
          <w:szCs w:val="32"/>
        </w:rPr>
        <w:t>7</w:t>
      </w:r>
    </w:p>
    <w:p>
      <w:pPr>
        <w:pStyle w:val="12"/>
        <w:adjustRightInd w:val="0"/>
        <w:snapToGrid w:val="0"/>
        <w:spacing w:line="560" w:lineRule="exact"/>
        <w:ind w:left="0" w:leftChars="0" w:firstLine="640" w:firstLineChars="200"/>
        <w:jc w:val="distribute"/>
        <w:rPr>
          <w:rFonts w:hint="eastAsia" w:ascii="仿宋_GB2312" w:eastAsia="仿宋_GB2312" w:cs="仿宋_GB2312"/>
          <w:sz w:val="32"/>
          <w:szCs w:val="32"/>
        </w:rPr>
      </w:pPr>
      <w:r>
        <w:rPr>
          <w:rFonts w:hint="eastAsia" w:eastAsia="仿宋_GB2312"/>
          <w:sz w:val="32"/>
        </w:rPr>
        <w:t>二、收入决算情况说明</w:t>
      </w:r>
      <w:r>
        <w:rPr>
          <w:rFonts w:hint="eastAsia" w:ascii="仿宋_GB2312" w:eastAsia="仿宋_GB2312" w:cs="仿宋_GB2312"/>
          <w:sz w:val="32"/>
          <w:szCs w:val="32"/>
        </w:rPr>
        <w:t>…………………………………7</w:t>
      </w:r>
    </w:p>
    <w:p>
      <w:pPr>
        <w:pStyle w:val="12"/>
        <w:adjustRightInd w:val="0"/>
        <w:snapToGrid w:val="0"/>
        <w:spacing w:line="560" w:lineRule="exact"/>
        <w:ind w:left="0" w:leftChars="0" w:firstLine="640" w:firstLineChars="200"/>
        <w:jc w:val="distribute"/>
        <w:rPr>
          <w:rFonts w:hint="eastAsia" w:ascii="仿宋_GB2312" w:eastAsia="仿宋_GB2312" w:cs="仿宋_GB2312"/>
          <w:sz w:val="32"/>
          <w:szCs w:val="32"/>
        </w:rPr>
      </w:pPr>
      <w:r>
        <w:rPr>
          <w:rFonts w:hint="eastAsia" w:eastAsia="仿宋_GB2312"/>
          <w:sz w:val="32"/>
        </w:rPr>
        <w:t>三、支出决算情况说明</w:t>
      </w:r>
      <w:r>
        <w:rPr>
          <w:rFonts w:hint="eastAsia" w:ascii="仿宋_GB2312" w:eastAsia="仿宋_GB2312" w:cs="仿宋_GB2312"/>
          <w:sz w:val="32"/>
          <w:szCs w:val="32"/>
        </w:rPr>
        <w:t>…………………………………8</w:t>
      </w:r>
    </w:p>
    <w:p>
      <w:pPr>
        <w:pStyle w:val="12"/>
        <w:adjustRightInd w:val="0"/>
        <w:snapToGrid w:val="0"/>
        <w:spacing w:line="560" w:lineRule="exact"/>
        <w:ind w:left="0" w:leftChars="0" w:firstLine="640" w:firstLineChars="200"/>
        <w:jc w:val="distribute"/>
        <w:rPr>
          <w:rFonts w:hint="eastAsia" w:ascii="仿宋_GB2312" w:eastAsia="仿宋_GB2312" w:cs="仿宋_GB2312"/>
          <w:sz w:val="32"/>
          <w:szCs w:val="32"/>
        </w:rPr>
      </w:pPr>
      <w:r>
        <w:rPr>
          <w:rFonts w:hint="eastAsia" w:eastAsia="仿宋_GB2312"/>
          <w:sz w:val="32"/>
        </w:rPr>
        <w:t>四、财政拨款收入支出决算总体情况说明</w:t>
      </w:r>
      <w:r>
        <w:rPr>
          <w:rFonts w:hint="eastAsia" w:ascii="仿宋_GB2312" w:eastAsia="仿宋_GB2312" w:cs="仿宋_GB2312"/>
          <w:sz w:val="32"/>
          <w:szCs w:val="32"/>
        </w:rPr>
        <w:t>……………8</w:t>
      </w:r>
    </w:p>
    <w:p>
      <w:pPr>
        <w:pStyle w:val="12"/>
        <w:adjustRightInd w:val="0"/>
        <w:snapToGrid w:val="0"/>
        <w:spacing w:line="560" w:lineRule="exact"/>
        <w:ind w:left="0" w:leftChars="0" w:firstLine="640" w:firstLineChars="200"/>
        <w:jc w:val="distribute"/>
        <w:rPr>
          <w:rFonts w:hint="eastAsia" w:ascii="仿宋_GB2312" w:eastAsia="仿宋_GB2312" w:cs="仿宋_GB2312"/>
          <w:sz w:val="32"/>
          <w:szCs w:val="32"/>
        </w:rPr>
      </w:pPr>
      <w:r>
        <w:rPr>
          <w:rFonts w:hint="eastAsia" w:eastAsia="仿宋_GB2312"/>
          <w:sz w:val="32"/>
        </w:rPr>
        <w:t>五、一般公共预算财政拨款支出决算情况说明</w:t>
      </w:r>
      <w:r>
        <w:rPr>
          <w:rFonts w:hint="eastAsia" w:ascii="仿宋_GB2312" w:eastAsia="仿宋_GB2312" w:cs="仿宋_GB2312"/>
          <w:sz w:val="32"/>
          <w:szCs w:val="32"/>
        </w:rPr>
        <w:t>………9</w:t>
      </w:r>
    </w:p>
    <w:p>
      <w:pPr>
        <w:pStyle w:val="12"/>
        <w:adjustRightInd w:val="0"/>
        <w:snapToGrid w:val="0"/>
        <w:spacing w:line="560" w:lineRule="exact"/>
        <w:ind w:left="0" w:leftChars="0" w:firstLine="640" w:firstLineChars="200"/>
        <w:jc w:val="distribute"/>
        <w:rPr>
          <w:rFonts w:ascii="仿宋_GB2312" w:eastAsia="仿宋_GB2312" w:cs="仿宋_GB2312"/>
          <w:sz w:val="32"/>
          <w:szCs w:val="32"/>
        </w:rPr>
      </w:pPr>
      <w:r>
        <w:rPr>
          <w:rFonts w:hint="eastAsia" w:eastAsia="仿宋_GB2312"/>
          <w:sz w:val="32"/>
        </w:rPr>
        <w:t>六、一般公共预算财政拨款基本支出决算情况说明</w:t>
      </w:r>
      <w:r>
        <w:rPr>
          <w:rFonts w:hint="eastAsia" w:ascii="仿宋_GB2312" w:eastAsia="仿宋_GB2312" w:cs="仿宋_GB2312"/>
          <w:sz w:val="32"/>
          <w:szCs w:val="32"/>
        </w:rPr>
        <w:t>…</w:t>
      </w:r>
      <w:r>
        <w:rPr>
          <w:rFonts w:ascii="仿宋_GB2312" w:eastAsia="仿宋_GB2312" w:cs="仿宋_GB2312"/>
          <w:sz w:val="32"/>
          <w:szCs w:val="32"/>
        </w:rPr>
        <w:t>11</w:t>
      </w:r>
    </w:p>
    <w:p>
      <w:pPr>
        <w:pStyle w:val="12"/>
        <w:adjustRightInd w:val="0"/>
        <w:snapToGrid w:val="0"/>
        <w:spacing w:line="560" w:lineRule="exact"/>
        <w:ind w:left="420" w:firstLine="160" w:firstLineChars="50"/>
        <w:jc w:val="distribute"/>
        <w:rPr>
          <w:rFonts w:eastAsia="仿宋_GB2312" w:cs="Arial"/>
          <w:sz w:val="32"/>
        </w:rPr>
      </w:pPr>
      <w:r>
        <w:rPr>
          <w:rFonts w:hint="eastAsia" w:eastAsia="仿宋_GB2312"/>
          <w:sz w:val="32"/>
        </w:rPr>
        <w:t>七、“三公”经费财政拨款支出决算情况说明</w:t>
      </w:r>
      <w:r>
        <w:rPr>
          <w:rFonts w:eastAsia="仿宋_GB2312"/>
          <w:sz w:val="32"/>
        </w:rPr>
        <w:t xml:space="preserve"> </w:t>
      </w:r>
      <w:r>
        <w:rPr>
          <w:rFonts w:hint="eastAsia" w:ascii="仿宋_GB2312" w:eastAsia="仿宋_GB2312" w:cs="仿宋_GB2312"/>
          <w:sz w:val="32"/>
          <w:szCs w:val="32"/>
        </w:rPr>
        <w:t>………</w:t>
      </w:r>
      <w:r>
        <w:rPr>
          <w:rFonts w:ascii="仿宋_GB2312" w:eastAsia="仿宋_GB2312" w:cs="仿宋_GB2312"/>
          <w:sz w:val="32"/>
          <w:szCs w:val="32"/>
        </w:rPr>
        <w:t>11</w:t>
      </w:r>
    </w:p>
    <w:p>
      <w:pPr>
        <w:pStyle w:val="12"/>
        <w:adjustRightInd w:val="0"/>
        <w:snapToGrid w:val="0"/>
        <w:spacing w:line="560" w:lineRule="exact"/>
        <w:ind w:left="420" w:firstLine="160" w:firstLineChars="50"/>
        <w:jc w:val="distribute"/>
        <w:rPr>
          <w:rFonts w:eastAsia="仿宋_GB2312" w:cs="Arial"/>
          <w:sz w:val="32"/>
        </w:rPr>
      </w:pPr>
      <w:r>
        <w:rPr>
          <w:rFonts w:hint="eastAsia" w:eastAsia="仿宋_GB2312"/>
          <w:sz w:val="32"/>
        </w:rPr>
        <w:t>八、政府性基金预算支出决算情况说明</w:t>
      </w:r>
      <w:r>
        <w:rPr>
          <w:rFonts w:hint="eastAsia" w:ascii="仿宋_GB2312" w:eastAsia="仿宋_GB2312" w:cs="仿宋_GB2312"/>
          <w:sz w:val="32"/>
          <w:szCs w:val="32"/>
        </w:rPr>
        <w:t>………………</w:t>
      </w:r>
      <w:r>
        <w:rPr>
          <w:rFonts w:ascii="仿宋_GB2312" w:eastAsia="仿宋_GB2312" w:cs="仿宋_GB2312"/>
          <w:sz w:val="32"/>
          <w:szCs w:val="32"/>
        </w:rPr>
        <w:t>13</w:t>
      </w:r>
    </w:p>
    <w:p>
      <w:pPr>
        <w:pStyle w:val="12"/>
        <w:adjustRightInd w:val="0"/>
        <w:snapToGrid w:val="0"/>
        <w:spacing w:line="560" w:lineRule="exact"/>
        <w:ind w:left="0" w:leftChars="0" w:firstLine="640" w:firstLineChars="200"/>
        <w:jc w:val="distribute"/>
        <w:rPr>
          <w:rFonts w:eastAsia="仿宋_GB2312"/>
          <w:sz w:val="32"/>
        </w:rPr>
      </w:pPr>
      <w:r>
        <w:rPr>
          <w:rFonts w:hint="eastAsia" w:eastAsia="仿宋_GB2312"/>
          <w:sz w:val="32"/>
        </w:rPr>
        <w:t>九、国有资本经营预算支出决算情况说明</w:t>
      </w:r>
      <w:r>
        <w:rPr>
          <w:rFonts w:hint="eastAsia" w:ascii="仿宋_GB2312" w:eastAsia="仿宋_GB2312" w:cs="仿宋_GB2312"/>
          <w:sz w:val="32"/>
          <w:szCs w:val="32"/>
        </w:rPr>
        <w:t>……………</w:t>
      </w:r>
      <w:r>
        <w:rPr>
          <w:rFonts w:ascii="仿宋_GB2312" w:eastAsia="仿宋_GB2312" w:cs="仿宋_GB2312"/>
          <w:sz w:val="32"/>
          <w:szCs w:val="32"/>
        </w:rPr>
        <w:t>13</w:t>
      </w:r>
    </w:p>
    <w:p>
      <w:pPr>
        <w:adjustRightInd w:val="0"/>
        <w:snapToGrid w:val="0"/>
        <w:spacing w:line="560" w:lineRule="exact"/>
        <w:ind w:firstLine="640" w:firstLineChars="200"/>
        <w:jc w:val="distribute"/>
        <w:rPr>
          <w:rFonts w:hint="eastAsia" w:ascii="仿宋_GB2312" w:eastAsia="仿宋_GB2312" w:cs="仿宋_GB2312"/>
          <w:sz w:val="32"/>
          <w:szCs w:val="32"/>
        </w:rPr>
      </w:pPr>
      <w:r>
        <w:rPr>
          <w:rFonts w:hint="eastAsia" w:eastAsia="仿宋_GB2312"/>
          <w:sz w:val="32"/>
        </w:rPr>
        <w:t>十、其他重要事项的情况说明</w:t>
      </w:r>
      <w:r>
        <w:rPr>
          <w:rFonts w:hint="eastAsia" w:ascii="仿宋_GB2312" w:eastAsia="仿宋_GB2312" w:cs="仿宋_GB2312"/>
          <w:sz w:val="32"/>
          <w:szCs w:val="32"/>
        </w:rPr>
        <w:t>…………………………13</w:t>
      </w:r>
      <w:r>
        <w:rPr>
          <w:rFonts w:hint="eastAsia" w:eastAsia="仿宋_GB2312"/>
          <w:sz w:val="32"/>
        </w:rPr>
        <w:t>第三部分 名词解释</w:t>
      </w:r>
      <w:r>
        <w:rPr>
          <w:rFonts w:hint="eastAsia" w:ascii="仿宋_GB2312" w:eastAsia="仿宋_GB2312" w:cs="仿宋_GB2312"/>
          <w:sz w:val="32"/>
          <w:szCs w:val="32"/>
        </w:rPr>
        <w:t>…………………………………………17</w:t>
      </w:r>
      <w:r>
        <w:rPr>
          <w:rFonts w:hint="eastAsia" w:eastAsia="仿宋_GB2312"/>
          <w:sz w:val="32"/>
        </w:rPr>
        <w:t>第四部分 附件</w:t>
      </w:r>
      <w:r>
        <w:rPr>
          <w:rFonts w:hint="eastAsia" w:ascii="仿宋_GB2312" w:eastAsia="仿宋_GB2312" w:cs="仿宋_GB2312"/>
          <w:sz w:val="32"/>
          <w:szCs w:val="32"/>
        </w:rPr>
        <w:t>………………………………………………20</w:t>
      </w:r>
    </w:p>
    <w:p>
      <w:pPr>
        <w:adjustRightInd w:val="0"/>
        <w:snapToGrid w:val="0"/>
        <w:spacing w:line="560" w:lineRule="exact"/>
        <w:ind w:firstLine="640" w:firstLineChars="200"/>
        <w:jc w:val="distribute"/>
        <w:rPr>
          <w:rFonts w:hint="eastAsia" w:ascii="仿宋_GB2312" w:eastAsia="仿宋_GB2312" w:cs="仿宋_GB2312"/>
          <w:sz w:val="32"/>
          <w:szCs w:val="32"/>
        </w:rPr>
      </w:pPr>
      <w:r>
        <w:rPr>
          <w:rFonts w:hint="eastAsia" w:ascii="仿宋_GB2312" w:eastAsia="仿宋_GB2312" w:cs="仿宋_GB2312"/>
          <w:sz w:val="32"/>
          <w:szCs w:val="32"/>
        </w:rPr>
        <w:t>茂县</w:t>
      </w:r>
      <w:r>
        <w:rPr>
          <w:rFonts w:hint="eastAsia" w:eastAsia="仿宋_GB2312"/>
          <w:sz w:val="32"/>
        </w:rPr>
        <w:t>审计局2019年部门</w:t>
      </w:r>
      <w:r>
        <w:rPr>
          <w:rFonts w:hint="eastAsia" w:eastAsia="仿宋_GB2312"/>
          <w:sz w:val="32"/>
          <w:lang w:val="zh-CN"/>
        </w:rPr>
        <w:t>整体支出绩效评价报告</w:t>
      </w:r>
      <w:r>
        <w:rPr>
          <w:rFonts w:hint="eastAsia" w:ascii="仿宋_GB2312" w:eastAsia="仿宋_GB2312" w:cs="仿宋_GB2312"/>
          <w:sz w:val="32"/>
          <w:szCs w:val="32"/>
        </w:rPr>
        <w:t>……</w:t>
      </w:r>
      <w:r>
        <w:rPr>
          <w:rFonts w:ascii="仿宋_GB2312" w:eastAsia="仿宋_GB2312" w:cs="仿宋_GB2312"/>
          <w:sz w:val="32"/>
          <w:szCs w:val="32"/>
        </w:rPr>
        <w:t>20</w:t>
      </w:r>
    </w:p>
    <w:p>
      <w:pPr>
        <w:numPr>
          <w:ilvl w:val="0"/>
          <w:numId w:val="1"/>
        </w:numPr>
        <w:adjustRightInd w:val="0"/>
        <w:snapToGrid w:val="0"/>
        <w:spacing w:line="560" w:lineRule="exact"/>
        <w:jc w:val="distribute"/>
        <w:rPr>
          <w:rFonts w:hint="eastAsia" w:ascii="仿宋_GB2312" w:eastAsia="仿宋_GB2312" w:cs="仿宋_GB2312"/>
          <w:sz w:val="32"/>
          <w:szCs w:val="32"/>
          <w:lang w:val="en-US" w:eastAsia="zh-CN"/>
        </w:rPr>
      </w:pPr>
      <w:r>
        <w:rPr>
          <w:rFonts w:hint="eastAsia" w:eastAsia="仿宋_GB2312"/>
          <w:sz w:val="32"/>
        </w:rPr>
        <w:t>附表</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24</w:t>
      </w:r>
    </w:p>
    <w:p>
      <w:pPr>
        <w:numPr>
          <w:numId w:val="0"/>
        </w:numPr>
        <w:adjustRightInd w:val="0"/>
        <w:snapToGrid w:val="0"/>
        <w:spacing w:line="560" w:lineRule="exact"/>
        <w:jc w:val="distribute"/>
        <w:rPr>
          <w:rFonts w:eastAsia="仿宋_GB2312" w:cs="Arial"/>
          <w:sz w:val="32"/>
        </w:rPr>
      </w:pPr>
      <w:r>
        <w:rPr>
          <w:rFonts w:hint="eastAsia" w:eastAsia="仿宋_GB2312"/>
          <w:sz w:val="32"/>
          <w:lang w:val="en-US" w:eastAsia="zh-CN"/>
        </w:rPr>
        <w:t xml:space="preserve">     一、</w:t>
      </w:r>
      <w:r>
        <w:rPr>
          <w:rFonts w:hint="eastAsia" w:eastAsia="仿宋_GB2312"/>
          <w:sz w:val="32"/>
        </w:rPr>
        <w:t>收入支出决算总表</w:t>
      </w:r>
      <w:r>
        <w:rPr>
          <w:rFonts w:hint="eastAsia" w:ascii="仿宋_GB2312" w:eastAsia="仿宋_GB2312" w:cs="仿宋_GB2312"/>
          <w:sz w:val="32"/>
          <w:szCs w:val="32"/>
        </w:rPr>
        <w:t>………………………………</w:t>
      </w:r>
      <w:r>
        <w:rPr>
          <w:rFonts w:ascii="仿宋_GB2312" w:eastAsia="仿宋_GB2312" w:cs="仿宋_GB2312"/>
          <w:sz w:val="32"/>
          <w:szCs w:val="32"/>
        </w:rPr>
        <w:t>24</w:t>
      </w:r>
    </w:p>
    <w:p>
      <w:pPr>
        <w:pStyle w:val="12"/>
        <w:adjustRightInd w:val="0"/>
        <w:snapToGrid w:val="0"/>
        <w:spacing w:line="560" w:lineRule="exact"/>
        <w:ind w:left="420" w:firstLine="320" w:firstLineChars="100"/>
        <w:jc w:val="distribute"/>
        <w:rPr>
          <w:rFonts w:eastAsia="仿宋_GB2312" w:cs="Arial"/>
          <w:sz w:val="32"/>
        </w:rPr>
      </w:pPr>
      <w:r>
        <w:rPr>
          <w:rFonts w:hint="eastAsia" w:eastAsia="仿宋_GB2312"/>
          <w:sz w:val="32"/>
        </w:rPr>
        <w:t>二、收入决算表</w:t>
      </w:r>
      <w:r>
        <w:rPr>
          <w:rFonts w:hint="eastAsia" w:ascii="仿宋_GB2312" w:eastAsia="仿宋_GB2312" w:cs="仿宋_GB2312"/>
          <w:sz w:val="32"/>
          <w:szCs w:val="32"/>
        </w:rPr>
        <w:t>…………………………………………</w:t>
      </w:r>
      <w:r>
        <w:rPr>
          <w:rFonts w:ascii="仿宋_GB2312" w:eastAsia="仿宋_GB2312" w:cs="仿宋_GB2312"/>
          <w:sz w:val="32"/>
          <w:szCs w:val="32"/>
        </w:rPr>
        <w:t>24</w:t>
      </w:r>
    </w:p>
    <w:p>
      <w:pPr>
        <w:pStyle w:val="12"/>
        <w:adjustRightInd w:val="0"/>
        <w:snapToGrid w:val="0"/>
        <w:spacing w:line="560" w:lineRule="exact"/>
        <w:ind w:left="420" w:firstLine="320" w:firstLineChars="100"/>
        <w:jc w:val="distribute"/>
        <w:rPr>
          <w:rFonts w:eastAsia="仿宋_GB2312" w:cs="Arial"/>
          <w:sz w:val="32"/>
        </w:rPr>
      </w:pPr>
      <w:r>
        <w:rPr>
          <w:rFonts w:hint="eastAsia" w:eastAsia="仿宋_GB2312"/>
          <w:sz w:val="32"/>
        </w:rPr>
        <w:t>三、支出决算表</w:t>
      </w:r>
      <w:r>
        <w:rPr>
          <w:rFonts w:hint="eastAsia" w:ascii="仿宋_GB2312" w:eastAsia="仿宋_GB2312" w:cs="仿宋_GB2312"/>
          <w:sz w:val="32"/>
          <w:szCs w:val="32"/>
        </w:rPr>
        <w:t>…………………………………………</w:t>
      </w:r>
      <w:r>
        <w:rPr>
          <w:rFonts w:ascii="仿宋_GB2312" w:eastAsia="仿宋_GB2312" w:cs="仿宋_GB2312"/>
          <w:sz w:val="32"/>
          <w:szCs w:val="32"/>
        </w:rPr>
        <w:t>24</w:t>
      </w:r>
    </w:p>
    <w:p>
      <w:pPr>
        <w:pStyle w:val="12"/>
        <w:adjustRightInd w:val="0"/>
        <w:snapToGrid w:val="0"/>
        <w:spacing w:line="560" w:lineRule="exact"/>
        <w:ind w:left="420" w:firstLine="320" w:firstLineChars="100"/>
        <w:jc w:val="distribute"/>
        <w:rPr>
          <w:rFonts w:eastAsia="仿宋_GB2312" w:cs="Arial"/>
          <w:sz w:val="32"/>
        </w:rPr>
      </w:pPr>
      <w:r>
        <w:rPr>
          <w:rFonts w:hint="eastAsia" w:eastAsia="仿宋_GB2312"/>
          <w:sz w:val="32"/>
        </w:rPr>
        <w:t>四、财政拨款收入支出决算总表</w:t>
      </w:r>
      <w:r>
        <w:rPr>
          <w:rFonts w:hint="eastAsia" w:ascii="仿宋_GB2312" w:eastAsia="仿宋_GB2312" w:cs="仿宋_GB2312"/>
          <w:sz w:val="32"/>
          <w:szCs w:val="32"/>
        </w:rPr>
        <w:t>………………………</w:t>
      </w:r>
      <w:r>
        <w:rPr>
          <w:rFonts w:ascii="仿宋_GB2312" w:eastAsia="仿宋_GB2312" w:cs="仿宋_GB2312"/>
          <w:sz w:val="32"/>
          <w:szCs w:val="32"/>
        </w:rPr>
        <w:t>24</w:t>
      </w:r>
    </w:p>
    <w:p>
      <w:pPr>
        <w:pStyle w:val="12"/>
        <w:adjustRightInd w:val="0"/>
        <w:snapToGrid w:val="0"/>
        <w:spacing w:line="560" w:lineRule="exact"/>
        <w:ind w:left="420" w:firstLine="320" w:firstLineChars="100"/>
        <w:jc w:val="distribute"/>
        <w:rPr>
          <w:rFonts w:eastAsia="仿宋_GB2312"/>
          <w:sz w:val="32"/>
        </w:rPr>
      </w:pPr>
      <w:r>
        <w:rPr>
          <w:rFonts w:hint="eastAsia" w:eastAsia="仿宋_GB2312"/>
          <w:sz w:val="32"/>
        </w:rPr>
        <w:t>五、财政拨款支出决算明细表</w:t>
      </w:r>
      <w:r>
        <w:rPr>
          <w:rFonts w:hint="eastAsia" w:ascii="仿宋_GB2312" w:eastAsia="仿宋_GB2312" w:cs="仿宋_GB2312"/>
          <w:sz w:val="32"/>
          <w:szCs w:val="32"/>
        </w:rPr>
        <w:t>………………………</w:t>
      </w:r>
      <w:r>
        <w:rPr>
          <w:rFonts w:ascii="仿宋_GB2312" w:eastAsia="仿宋_GB2312" w:cs="仿宋_GB2312"/>
          <w:sz w:val="32"/>
          <w:szCs w:val="32"/>
        </w:rPr>
        <w:t>24</w:t>
      </w:r>
    </w:p>
    <w:p>
      <w:pPr>
        <w:pStyle w:val="12"/>
        <w:adjustRightInd w:val="0"/>
        <w:snapToGrid w:val="0"/>
        <w:spacing w:line="560" w:lineRule="exact"/>
        <w:ind w:left="420" w:firstLine="320" w:firstLineChars="100"/>
        <w:jc w:val="distribute"/>
        <w:rPr>
          <w:rFonts w:eastAsia="仿宋_GB2312" w:cs="Arial"/>
          <w:sz w:val="32"/>
        </w:rPr>
      </w:pPr>
      <w:r>
        <w:rPr>
          <w:rFonts w:hint="eastAsia" w:eastAsia="仿宋_GB2312"/>
          <w:sz w:val="32"/>
        </w:rPr>
        <w:t>六、一般公共预算财政拨款支出决算表</w:t>
      </w:r>
      <w:r>
        <w:rPr>
          <w:rFonts w:hint="eastAsia" w:ascii="仿宋_GB2312" w:eastAsia="仿宋_GB2312" w:cs="仿宋_GB2312"/>
          <w:sz w:val="32"/>
          <w:szCs w:val="32"/>
        </w:rPr>
        <w:t>……………</w:t>
      </w:r>
      <w:r>
        <w:rPr>
          <w:rFonts w:ascii="仿宋_GB2312" w:eastAsia="仿宋_GB2312" w:cs="仿宋_GB2312"/>
          <w:sz w:val="32"/>
          <w:szCs w:val="32"/>
        </w:rPr>
        <w:t>24</w:t>
      </w:r>
    </w:p>
    <w:p>
      <w:pPr>
        <w:pStyle w:val="12"/>
        <w:adjustRightInd w:val="0"/>
        <w:snapToGrid w:val="0"/>
        <w:spacing w:line="560" w:lineRule="exact"/>
        <w:ind w:left="420" w:firstLine="320" w:firstLineChars="100"/>
        <w:jc w:val="distribute"/>
        <w:rPr>
          <w:rFonts w:eastAsia="仿宋_GB2312" w:cs="Arial"/>
          <w:sz w:val="32"/>
        </w:rPr>
      </w:pPr>
      <w:r>
        <w:rPr>
          <w:rFonts w:hint="eastAsia" w:eastAsia="仿宋_GB2312"/>
          <w:sz w:val="32"/>
        </w:rPr>
        <w:t>七、一般公共预算财政拨款支出决算明细表</w:t>
      </w:r>
      <w:r>
        <w:rPr>
          <w:rFonts w:hint="eastAsia" w:ascii="仿宋_GB2312" w:eastAsia="仿宋_GB2312" w:cs="仿宋_GB2312"/>
          <w:sz w:val="32"/>
          <w:szCs w:val="32"/>
        </w:rPr>
        <w:t>………</w:t>
      </w:r>
      <w:r>
        <w:rPr>
          <w:rFonts w:ascii="仿宋_GB2312" w:eastAsia="仿宋_GB2312" w:cs="仿宋_GB2312"/>
          <w:sz w:val="32"/>
          <w:szCs w:val="32"/>
        </w:rPr>
        <w:t>24</w:t>
      </w:r>
    </w:p>
    <w:p>
      <w:pPr>
        <w:pStyle w:val="12"/>
        <w:adjustRightInd w:val="0"/>
        <w:snapToGrid w:val="0"/>
        <w:spacing w:line="560" w:lineRule="exact"/>
        <w:ind w:left="420" w:firstLine="320" w:firstLineChars="100"/>
        <w:jc w:val="distribute"/>
        <w:rPr>
          <w:rFonts w:eastAsia="仿宋_GB2312" w:cs="Arial"/>
          <w:sz w:val="32"/>
        </w:rPr>
      </w:pPr>
      <w:r>
        <w:rPr>
          <w:rFonts w:hint="eastAsia" w:eastAsia="仿宋_GB2312"/>
          <w:sz w:val="32"/>
        </w:rPr>
        <w:t>八、一般公共预算财政拨款基本支出决算表</w:t>
      </w:r>
      <w:r>
        <w:rPr>
          <w:rFonts w:hint="eastAsia" w:ascii="仿宋_GB2312" w:eastAsia="仿宋_GB2312" w:cs="仿宋_GB2312"/>
          <w:sz w:val="32"/>
          <w:szCs w:val="32"/>
        </w:rPr>
        <w:t>………</w:t>
      </w:r>
      <w:r>
        <w:rPr>
          <w:rFonts w:ascii="仿宋_GB2312" w:eastAsia="仿宋_GB2312" w:cs="仿宋_GB2312"/>
          <w:sz w:val="32"/>
          <w:szCs w:val="32"/>
        </w:rPr>
        <w:t>24</w:t>
      </w:r>
    </w:p>
    <w:p>
      <w:pPr>
        <w:pStyle w:val="12"/>
        <w:adjustRightInd w:val="0"/>
        <w:snapToGrid w:val="0"/>
        <w:spacing w:line="560" w:lineRule="exact"/>
        <w:ind w:left="420" w:firstLine="320" w:firstLineChars="100"/>
        <w:jc w:val="distribute"/>
        <w:rPr>
          <w:rFonts w:eastAsia="仿宋_GB2312" w:cs="Arial"/>
          <w:sz w:val="32"/>
        </w:rPr>
      </w:pPr>
      <w:r>
        <w:rPr>
          <w:rFonts w:hint="eastAsia" w:eastAsia="仿宋_GB2312"/>
          <w:sz w:val="32"/>
        </w:rPr>
        <w:t>九、一般公共预算财政拨款项目支出决算表</w:t>
      </w:r>
      <w:r>
        <w:rPr>
          <w:rFonts w:hint="eastAsia" w:ascii="仿宋_GB2312" w:eastAsia="仿宋_GB2312" w:cs="仿宋_GB2312"/>
          <w:sz w:val="32"/>
          <w:szCs w:val="32"/>
        </w:rPr>
        <w:t>………</w:t>
      </w:r>
      <w:r>
        <w:rPr>
          <w:rFonts w:ascii="仿宋_GB2312" w:eastAsia="仿宋_GB2312" w:cs="仿宋_GB2312"/>
          <w:sz w:val="32"/>
          <w:szCs w:val="32"/>
        </w:rPr>
        <w:t>24</w:t>
      </w:r>
    </w:p>
    <w:p>
      <w:pPr>
        <w:pStyle w:val="12"/>
        <w:adjustRightInd w:val="0"/>
        <w:snapToGrid w:val="0"/>
        <w:spacing w:line="560" w:lineRule="exact"/>
        <w:ind w:left="420" w:firstLine="320" w:firstLineChars="100"/>
        <w:jc w:val="distribute"/>
        <w:rPr>
          <w:rFonts w:eastAsia="仿宋_GB2312" w:cs="Arial"/>
          <w:sz w:val="32"/>
        </w:rPr>
      </w:pPr>
      <w:r>
        <w:rPr>
          <w:rFonts w:hint="eastAsia" w:eastAsia="仿宋_GB2312"/>
          <w:sz w:val="32"/>
        </w:rPr>
        <w:t>十、一般公共预算财政拨款“三公”经费支出决算表</w:t>
      </w:r>
      <w:r>
        <w:rPr>
          <w:rFonts w:hint="eastAsia" w:ascii="仿宋_GB2312" w:eastAsia="仿宋_GB2312" w:cs="仿宋_GB2312"/>
          <w:sz w:val="32"/>
          <w:szCs w:val="32"/>
        </w:rPr>
        <w:t>…………………………………………………………</w:t>
      </w:r>
      <w:r>
        <w:rPr>
          <w:rFonts w:ascii="仿宋_GB2312" w:eastAsia="仿宋_GB2312" w:cs="仿宋_GB2312"/>
          <w:sz w:val="32"/>
          <w:szCs w:val="32"/>
        </w:rPr>
        <w:t>24</w:t>
      </w:r>
    </w:p>
    <w:p>
      <w:pPr>
        <w:pStyle w:val="12"/>
        <w:adjustRightInd w:val="0"/>
        <w:snapToGrid w:val="0"/>
        <w:spacing w:line="560" w:lineRule="exact"/>
        <w:ind w:left="420" w:firstLine="320" w:firstLineChars="100"/>
        <w:jc w:val="distribute"/>
        <w:rPr>
          <w:rFonts w:eastAsia="仿宋_GB2312" w:cs="Arial"/>
          <w:sz w:val="32"/>
        </w:rPr>
      </w:pPr>
      <w:r>
        <w:rPr>
          <w:rFonts w:hint="eastAsia" w:eastAsia="仿宋_GB2312"/>
          <w:sz w:val="32"/>
        </w:rPr>
        <w:t>十一、政府性基金预算财政拨款收入支出决算表</w:t>
      </w:r>
      <w:r>
        <w:rPr>
          <w:rFonts w:hint="eastAsia" w:ascii="仿宋_GB2312" w:eastAsia="仿宋_GB2312" w:cs="仿宋_GB2312"/>
          <w:sz w:val="32"/>
          <w:szCs w:val="32"/>
        </w:rPr>
        <w:t>…</w:t>
      </w:r>
      <w:r>
        <w:rPr>
          <w:rFonts w:ascii="仿宋_GB2312" w:eastAsia="仿宋_GB2312" w:cs="仿宋_GB2312"/>
          <w:sz w:val="32"/>
          <w:szCs w:val="32"/>
        </w:rPr>
        <w:t>24</w:t>
      </w:r>
    </w:p>
    <w:p>
      <w:pPr>
        <w:pStyle w:val="12"/>
        <w:adjustRightInd w:val="0"/>
        <w:snapToGrid w:val="0"/>
        <w:spacing w:line="560" w:lineRule="exact"/>
        <w:ind w:left="420" w:firstLine="320" w:firstLineChars="100"/>
        <w:jc w:val="distribute"/>
        <w:rPr>
          <w:rFonts w:eastAsia="仿宋_GB2312" w:cs="Arial"/>
          <w:sz w:val="32"/>
        </w:rPr>
      </w:pPr>
      <w:r>
        <w:rPr>
          <w:rFonts w:hint="eastAsia" w:eastAsia="仿宋_GB2312"/>
          <w:sz w:val="32"/>
        </w:rPr>
        <w:t>十二、政府性基金预算财政拨款“三公”经费支出决算表</w:t>
      </w:r>
      <w:r>
        <w:rPr>
          <w:rFonts w:hint="eastAsia" w:ascii="仿宋_GB2312" w:eastAsia="仿宋_GB2312" w:cs="仿宋_GB2312"/>
          <w:sz w:val="32"/>
          <w:szCs w:val="32"/>
        </w:rPr>
        <w:t>…………………………………………………………</w:t>
      </w:r>
      <w:r>
        <w:rPr>
          <w:rFonts w:ascii="仿宋_GB2312" w:eastAsia="仿宋_GB2312" w:cs="仿宋_GB2312"/>
          <w:sz w:val="32"/>
          <w:szCs w:val="32"/>
        </w:rPr>
        <w:t>24</w:t>
      </w:r>
    </w:p>
    <w:p>
      <w:pPr>
        <w:pStyle w:val="12"/>
        <w:adjustRightInd w:val="0"/>
        <w:snapToGrid w:val="0"/>
        <w:spacing w:line="560" w:lineRule="exact"/>
        <w:ind w:left="420" w:firstLine="320" w:firstLineChars="100"/>
        <w:jc w:val="distribute"/>
        <w:rPr>
          <w:rFonts w:eastAsia="仿宋_GB2312" w:cs="Arial"/>
          <w:sz w:val="32"/>
        </w:rPr>
      </w:pPr>
      <w:r>
        <w:rPr>
          <w:rFonts w:hint="eastAsia" w:eastAsia="仿宋_GB2312"/>
          <w:sz w:val="32"/>
        </w:rPr>
        <w:t>十三、国有资本经营预算支出决算表</w:t>
      </w:r>
      <w:r>
        <w:rPr>
          <w:rFonts w:hint="eastAsia" w:ascii="仿宋_GB2312" w:eastAsia="仿宋_GB2312" w:cs="仿宋_GB2312"/>
          <w:sz w:val="32"/>
          <w:szCs w:val="32"/>
        </w:rPr>
        <w:t>………………</w:t>
      </w:r>
      <w:r>
        <w:rPr>
          <w:rFonts w:ascii="仿宋_GB2312" w:eastAsia="仿宋_GB2312" w:cs="仿宋_GB2312"/>
          <w:sz w:val="32"/>
          <w:szCs w:val="32"/>
        </w:rPr>
        <w:t>24</w:t>
      </w:r>
    </w:p>
    <w:p>
      <w:pPr>
        <w:widowControl/>
        <w:spacing w:line="560" w:lineRule="exact"/>
        <w:jc w:val="left"/>
        <w:rPr>
          <w:rFonts w:ascii="仿宋" w:eastAsia="仿宋"/>
          <w:bCs/>
          <w:kern w:val="44"/>
          <w:sz w:val="32"/>
          <w:szCs w:val="32"/>
        </w:rPr>
      </w:pPr>
      <w:bookmarkStart w:id="12" w:name="_Toc15377196"/>
      <w:bookmarkStart w:id="13" w:name="_Toc15396599"/>
      <w:r>
        <w:rPr>
          <w:rFonts w:ascii="仿宋" w:eastAsia="仿宋"/>
          <w:b/>
          <w:sz w:val="32"/>
          <w:szCs w:val="32"/>
        </w:rPr>
        <w:br w:type="page"/>
      </w:r>
    </w:p>
    <w:p>
      <w:pPr>
        <w:pStyle w:val="2"/>
        <w:spacing w:line="560" w:lineRule="exact"/>
        <w:jc w:val="center"/>
        <w:rPr>
          <w:rStyle w:val="17"/>
          <w:rFonts w:ascii="方正小标宋简体" w:eastAsia="方正小标宋简体"/>
          <w:b w:val="0"/>
          <w:bCs w:val="0"/>
        </w:rPr>
      </w:pPr>
      <w:r>
        <w:rPr>
          <w:rStyle w:val="17"/>
          <w:rFonts w:hint="eastAsia" w:ascii="方正小标宋简体" w:eastAsia="方正小标宋简体"/>
          <w:b w:val="0"/>
          <w:bCs w:val="0"/>
        </w:rPr>
        <w:t>第一部分 部门概况</w:t>
      </w:r>
      <w:bookmarkEnd w:id="12"/>
      <w:bookmarkEnd w:id="13"/>
    </w:p>
    <w:p>
      <w:pPr>
        <w:pStyle w:val="3"/>
        <w:spacing w:line="560" w:lineRule="exact"/>
        <w:ind w:firstLine="640" w:firstLineChars="200"/>
        <w:rPr>
          <w:rStyle w:val="18"/>
          <w:rFonts w:ascii="仿宋" w:eastAsia="仿宋"/>
          <w:b w:val="0"/>
          <w:bCs w:val="0"/>
        </w:rPr>
      </w:pPr>
      <w:bookmarkStart w:id="14" w:name="_Toc15396600"/>
      <w:bookmarkStart w:id="15" w:name="_Toc15377197"/>
      <w:r>
        <w:rPr>
          <w:rFonts w:hint="eastAsia" w:ascii="黑体" w:eastAsia="黑体"/>
          <w:b w:val="0"/>
          <w:bCs w:val="0"/>
          <w:color w:val="000000"/>
        </w:rPr>
        <w:t>一、基</w:t>
      </w:r>
      <w:r>
        <w:rPr>
          <w:rStyle w:val="18"/>
          <w:rFonts w:hint="eastAsia" w:ascii="黑体" w:eastAsia="黑体"/>
          <w:b w:val="0"/>
          <w:bCs w:val="0"/>
        </w:rPr>
        <w:t>本职能及主要工作</w:t>
      </w:r>
      <w:bookmarkEnd w:id="14"/>
      <w:bookmarkEnd w:id="15"/>
    </w:p>
    <w:p>
      <w:pPr>
        <w:pStyle w:val="5"/>
        <w:adjustRightInd w:val="0"/>
        <w:snapToGrid w:val="0"/>
        <w:spacing w:beforeLines="0" w:line="560" w:lineRule="exact"/>
        <w:ind w:firstLine="668" w:firstLineChars="208"/>
        <w:outlineLvl w:val="2"/>
        <w:rPr>
          <w:rFonts w:hint="eastAsia" w:ascii="楷体_GB2312" w:eastAsia="楷体_GB2312"/>
          <w:b/>
          <w:bCs/>
          <w:color w:val="000000"/>
          <w:sz w:val="32"/>
          <w:szCs w:val="32"/>
        </w:rPr>
      </w:pPr>
      <w:bookmarkStart w:id="16" w:name="_Toc15378445"/>
      <w:bookmarkStart w:id="17" w:name="_Toc15377198"/>
      <w:r>
        <w:rPr>
          <w:rFonts w:hint="eastAsia" w:ascii="楷体_GB2312" w:eastAsia="楷体_GB2312"/>
          <w:b/>
          <w:bCs/>
          <w:color w:val="000000"/>
          <w:sz w:val="32"/>
          <w:szCs w:val="32"/>
        </w:rPr>
        <w:t>（一）主要职能</w:t>
      </w:r>
      <w:bookmarkEnd w:id="16"/>
      <w:bookmarkEnd w:id="17"/>
    </w:p>
    <w:p>
      <w:pPr>
        <w:spacing w:line="560" w:lineRule="exact"/>
        <w:ind w:firstLine="640" w:firstLineChars="200"/>
        <w:rPr>
          <w:rFonts w:eastAsia="仿宋_GB2312"/>
          <w:sz w:val="32"/>
        </w:rPr>
      </w:pPr>
      <w:r>
        <w:rPr>
          <w:rFonts w:hint="eastAsia" w:ascii="仿宋" w:eastAsia="仿宋" w:cs="仿宋"/>
          <w:sz w:val="32"/>
        </w:rPr>
        <w:t>1.</w:t>
      </w:r>
      <w:r>
        <w:rPr>
          <w:rFonts w:hint="eastAsia" w:eastAsia="仿宋_GB2312"/>
          <w:sz w:val="32"/>
        </w:rPr>
        <w:t>贯彻执行国家有关审计工作的法律法规和方针政策。负责草拟我县地方性审计法规和规章，参与制订与审计内容有关的地方性财经法规，并监督执行。</w:t>
      </w:r>
    </w:p>
    <w:p>
      <w:pPr>
        <w:spacing w:line="560" w:lineRule="exact"/>
        <w:ind w:firstLine="640" w:firstLineChars="200"/>
        <w:rPr>
          <w:rFonts w:ascii="仿宋_GB2312" w:eastAsia="仿宋_GB2312" w:cs="Arial"/>
          <w:color w:val="000000"/>
          <w:sz w:val="32"/>
          <w:szCs w:val="21"/>
        </w:rPr>
      </w:pPr>
      <w:r>
        <w:rPr>
          <w:rFonts w:hint="eastAsia" w:ascii="仿宋_GB2312" w:hAnsi="仿宋_GB2312" w:cs="Arial"/>
          <w:color w:val="000000"/>
          <w:sz w:val="32"/>
          <w:szCs w:val="21"/>
        </w:rPr>
        <w:t>2.</w:t>
      </w:r>
      <w:r>
        <w:rPr>
          <w:rFonts w:hint="eastAsia" w:ascii="仿宋_GB2312" w:eastAsia="仿宋_GB2312" w:cs="Arial"/>
          <w:color w:val="000000"/>
          <w:sz w:val="32"/>
          <w:szCs w:val="21"/>
        </w:rPr>
        <w:t>负责对县级财政收支和法律法规规定属审计监督范围的财务收支的真实、合法和效益进行审计监督，维护国家财政经济秩序，提高财政资金使用效益，促进廉政建设，保障国民经济和社会健康发展，对审计、专项审计调查和核查社会审计机构相关审计报告的结果承担责任并负有督促被审计单位整改的责任。</w:t>
      </w:r>
    </w:p>
    <w:p>
      <w:pPr>
        <w:spacing w:line="560" w:lineRule="exact"/>
        <w:ind w:firstLine="640" w:firstLineChars="200"/>
        <w:rPr>
          <w:rFonts w:ascii="仿宋_GB2312" w:eastAsia="仿宋_GB2312"/>
          <w:sz w:val="32"/>
        </w:rPr>
      </w:pPr>
      <w:r>
        <w:rPr>
          <w:rFonts w:hint="eastAsia" w:ascii="仿宋_GB2312" w:hAnsi="仿宋_GB2312"/>
          <w:sz w:val="32"/>
        </w:rPr>
        <w:t>3.</w:t>
      </w:r>
      <w:r>
        <w:rPr>
          <w:rFonts w:hint="eastAsia" w:ascii="仿宋_GB2312" w:eastAsia="仿宋_GB2312"/>
          <w:sz w:val="32"/>
        </w:rPr>
        <w:t>向县长提出县级预算执行和其他财政收支情况的审计结果报告，受县人民政府委托向县人大提出县级预算执行和其他财政收支情况的审计工作报告、审计发现问题的纠正和处理结果报告，向县人民政府报告对其他事项的审计和专项审计调查情况及结果，依法向社会公布审计结果。</w:t>
      </w:r>
    </w:p>
    <w:p>
      <w:pPr>
        <w:spacing w:line="560" w:lineRule="exact"/>
        <w:ind w:firstLine="640" w:firstLineChars="200"/>
        <w:rPr>
          <w:rFonts w:ascii="仿宋_GB2312" w:eastAsia="仿宋_GB2312"/>
          <w:sz w:val="32"/>
        </w:rPr>
      </w:pPr>
      <w:r>
        <w:rPr>
          <w:rFonts w:hint="eastAsia" w:ascii="仿宋_GB2312" w:hAnsi="仿宋_GB2312"/>
          <w:sz w:val="32"/>
        </w:rPr>
        <w:t>4.</w:t>
      </w:r>
      <w:r>
        <w:rPr>
          <w:rFonts w:hint="eastAsia" w:ascii="仿宋_GB2312" w:eastAsia="仿宋_GB2312"/>
          <w:sz w:val="32"/>
        </w:rPr>
        <w:t>依据《中华人民共和国审计法》等规定，直接审计下列事项，出具审计报告，在法定职权范围内作出审计决定或向有关主管机关提出处理处罚的建议：</w:t>
      </w:r>
    </w:p>
    <w:p>
      <w:pPr>
        <w:spacing w:line="560" w:lineRule="exact"/>
        <w:ind w:firstLine="640" w:firstLineChars="200"/>
        <w:rPr>
          <w:rFonts w:ascii="仿宋_GB2312" w:eastAsia="仿宋_GB2312"/>
          <w:sz w:val="32"/>
        </w:rPr>
      </w:pPr>
      <w:r>
        <w:rPr>
          <w:rFonts w:hint="eastAsia" w:ascii="仿宋_GB2312" w:hAnsi="仿宋_GB2312"/>
          <w:sz w:val="32"/>
        </w:rPr>
        <w:t>（</w:t>
      </w:r>
      <w:r>
        <w:rPr>
          <w:rFonts w:hint="eastAsia" w:ascii="仿宋_GB2312" w:eastAsia="仿宋_GB2312"/>
          <w:sz w:val="32"/>
        </w:rPr>
        <w:t>1</w:t>
      </w:r>
      <w:r>
        <w:rPr>
          <w:rFonts w:hint="eastAsia" w:ascii="仿宋_GB2312" w:hAnsi="仿宋_GB2312"/>
          <w:sz w:val="32"/>
        </w:rPr>
        <w:t>）</w:t>
      </w:r>
      <w:r>
        <w:rPr>
          <w:rFonts w:hint="eastAsia" w:ascii="仿宋_GB2312" w:eastAsia="仿宋_GB2312"/>
          <w:sz w:val="32"/>
        </w:rPr>
        <w:t>县级财政预算执行情况和其他财政收支，县级各部门预算的执行情况、决算和其他财政收支。</w:t>
      </w:r>
    </w:p>
    <w:p>
      <w:pPr>
        <w:spacing w:line="560" w:lineRule="exact"/>
        <w:ind w:firstLine="640" w:firstLineChars="200"/>
        <w:rPr>
          <w:rFonts w:ascii="仿宋_GB2312" w:eastAsia="仿宋_GB2312"/>
          <w:sz w:val="32"/>
        </w:rPr>
      </w:pPr>
      <w:r>
        <w:rPr>
          <w:rFonts w:hint="eastAsia" w:ascii="仿宋_GB2312" w:hAnsi="仿宋_GB2312"/>
          <w:sz w:val="32"/>
        </w:rPr>
        <w:t>（</w:t>
      </w:r>
      <w:r>
        <w:rPr>
          <w:rFonts w:hint="eastAsia" w:ascii="仿宋_GB2312" w:eastAsia="仿宋_GB2312"/>
          <w:sz w:val="32"/>
        </w:rPr>
        <w:t>2</w:t>
      </w:r>
      <w:r>
        <w:rPr>
          <w:rFonts w:hint="eastAsia" w:ascii="仿宋_GB2312" w:hAnsi="仿宋_GB2312"/>
          <w:sz w:val="32"/>
        </w:rPr>
        <w:t>）</w:t>
      </w:r>
      <w:r>
        <w:rPr>
          <w:rFonts w:hint="eastAsia" w:ascii="仿宋_GB2312" w:eastAsia="仿宋_GB2312"/>
          <w:sz w:val="32"/>
        </w:rPr>
        <w:t>乡镇人民政府预算的执行情况和决算以及其他财政收支。</w:t>
      </w:r>
    </w:p>
    <w:p>
      <w:pPr>
        <w:spacing w:line="560" w:lineRule="exact"/>
        <w:ind w:firstLine="640" w:firstLineChars="200"/>
        <w:rPr>
          <w:rFonts w:ascii="仿宋_GB2312" w:eastAsia="仿宋_GB2312"/>
          <w:sz w:val="32"/>
        </w:rPr>
      </w:pPr>
      <w:r>
        <w:rPr>
          <w:rFonts w:hint="eastAsia" w:ascii="仿宋_GB2312" w:hAnsi="仿宋_GB2312"/>
          <w:sz w:val="32"/>
        </w:rPr>
        <w:t>（</w:t>
      </w:r>
      <w:r>
        <w:rPr>
          <w:rFonts w:hint="eastAsia" w:ascii="仿宋_GB2312" w:eastAsia="仿宋_GB2312"/>
          <w:sz w:val="32"/>
        </w:rPr>
        <w:t>3</w:t>
      </w:r>
      <w:r>
        <w:rPr>
          <w:rFonts w:hint="eastAsia" w:ascii="仿宋_GB2312" w:hAnsi="仿宋_GB2312"/>
          <w:sz w:val="32"/>
        </w:rPr>
        <w:t>）</w:t>
      </w:r>
      <w:r>
        <w:rPr>
          <w:rFonts w:hint="eastAsia" w:ascii="仿宋_GB2312" w:eastAsia="仿宋_GB2312"/>
          <w:sz w:val="32"/>
        </w:rPr>
        <w:t>县级各部门、事业单位及直属单位和社会团体的财务收支。</w:t>
      </w:r>
    </w:p>
    <w:p>
      <w:pPr>
        <w:spacing w:line="560" w:lineRule="exact"/>
        <w:ind w:firstLine="640" w:firstLineChars="200"/>
        <w:rPr>
          <w:rFonts w:ascii="仿宋_GB2312" w:eastAsia="仿宋_GB2312"/>
          <w:sz w:val="32"/>
        </w:rPr>
      </w:pPr>
      <w:r>
        <w:rPr>
          <w:rFonts w:hint="eastAsia" w:ascii="仿宋_GB2312" w:hAnsi="仿宋_GB2312"/>
          <w:sz w:val="32"/>
        </w:rPr>
        <w:t>（</w:t>
      </w:r>
      <w:r>
        <w:rPr>
          <w:rFonts w:hint="eastAsia" w:ascii="仿宋_GB2312" w:eastAsia="仿宋_GB2312"/>
          <w:sz w:val="32"/>
        </w:rPr>
        <w:t>4</w:t>
      </w:r>
      <w:r>
        <w:rPr>
          <w:rFonts w:hint="eastAsia" w:ascii="仿宋_GB2312" w:hAnsi="仿宋_GB2312"/>
          <w:sz w:val="32"/>
        </w:rPr>
        <w:t>）</w:t>
      </w:r>
      <w:r>
        <w:rPr>
          <w:rFonts w:hint="eastAsia" w:ascii="仿宋_GB2312" w:eastAsia="仿宋_GB2312"/>
          <w:sz w:val="32"/>
        </w:rPr>
        <w:t>县政府投资和以县政府投资为主的建设项目预算执行情况和决算。</w:t>
      </w:r>
    </w:p>
    <w:p>
      <w:pPr>
        <w:spacing w:line="560" w:lineRule="exact"/>
        <w:ind w:firstLine="640" w:firstLineChars="200"/>
        <w:rPr>
          <w:rFonts w:ascii="仿宋_GB2312" w:eastAsia="仿宋_GB2312"/>
          <w:sz w:val="32"/>
        </w:rPr>
      </w:pPr>
      <w:r>
        <w:rPr>
          <w:rFonts w:hint="eastAsia" w:ascii="仿宋_GB2312" w:hAnsi="仿宋_GB2312"/>
          <w:sz w:val="32"/>
        </w:rPr>
        <w:t>（</w:t>
      </w:r>
      <w:r>
        <w:rPr>
          <w:rFonts w:hint="eastAsia" w:ascii="仿宋_GB2312" w:eastAsia="仿宋_GB2312"/>
          <w:sz w:val="32"/>
        </w:rPr>
        <w:t>5</w:t>
      </w:r>
      <w:r>
        <w:rPr>
          <w:rFonts w:hint="eastAsia" w:ascii="仿宋_GB2312" w:hAnsi="仿宋_GB2312"/>
          <w:sz w:val="32"/>
        </w:rPr>
        <w:t>）</w:t>
      </w:r>
      <w:r>
        <w:rPr>
          <w:rFonts w:hint="eastAsia" w:ascii="仿宋_GB2312" w:eastAsia="仿宋_GB2312"/>
          <w:sz w:val="32"/>
        </w:rPr>
        <w:t>县级国有企业和地方金融机构、县级国有资本占控股或主导地位的企业和金融机构的资产、负债和损益。</w:t>
      </w:r>
    </w:p>
    <w:p>
      <w:pPr>
        <w:spacing w:line="560" w:lineRule="exact"/>
        <w:ind w:firstLine="640" w:firstLineChars="200"/>
        <w:rPr>
          <w:rFonts w:ascii="仿宋_GB2312" w:eastAsia="仿宋_GB2312"/>
          <w:sz w:val="32"/>
        </w:rPr>
      </w:pPr>
      <w:r>
        <w:rPr>
          <w:rFonts w:hint="eastAsia" w:ascii="仿宋_GB2312" w:hAnsi="仿宋_GB2312"/>
          <w:sz w:val="32"/>
        </w:rPr>
        <w:t>（</w:t>
      </w:r>
      <w:r>
        <w:rPr>
          <w:rFonts w:hint="eastAsia" w:ascii="仿宋_GB2312" w:eastAsia="仿宋_GB2312"/>
          <w:sz w:val="32"/>
        </w:rPr>
        <w:t>6</w:t>
      </w:r>
      <w:r>
        <w:rPr>
          <w:rFonts w:hint="eastAsia" w:ascii="仿宋_GB2312" w:hAnsi="仿宋_GB2312"/>
          <w:sz w:val="32"/>
        </w:rPr>
        <w:t>）</w:t>
      </w:r>
      <w:r>
        <w:rPr>
          <w:rFonts w:hint="eastAsia" w:ascii="仿宋_GB2312" w:eastAsia="仿宋_GB2312"/>
          <w:sz w:val="32"/>
        </w:rPr>
        <w:t>县政府部门管理和受县政府及其部门委托管理的社会保障基金、环境保护资金、社会捐赠资金及其他有关基金、资金的财务收支。</w:t>
      </w:r>
    </w:p>
    <w:p>
      <w:pPr>
        <w:spacing w:line="560" w:lineRule="exact"/>
        <w:ind w:firstLine="640" w:firstLineChars="200"/>
        <w:rPr>
          <w:rFonts w:ascii="仿宋_GB2312" w:eastAsia="仿宋_GB2312"/>
          <w:sz w:val="32"/>
        </w:rPr>
      </w:pPr>
      <w:r>
        <w:rPr>
          <w:rFonts w:hint="eastAsia" w:ascii="仿宋_GB2312" w:hAnsi="仿宋_GB2312"/>
          <w:sz w:val="32"/>
        </w:rPr>
        <w:t>（</w:t>
      </w:r>
      <w:r>
        <w:rPr>
          <w:rFonts w:hint="eastAsia" w:ascii="仿宋_GB2312" w:eastAsia="仿宋_GB2312"/>
          <w:sz w:val="32"/>
        </w:rPr>
        <w:t>7</w:t>
      </w:r>
      <w:r>
        <w:rPr>
          <w:rFonts w:hint="eastAsia" w:ascii="仿宋_GB2312" w:hAnsi="仿宋_GB2312"/>
          <w:sz w:val="32"/>
        </w:rPr>
        <w:t>）</w:t>
      </w:r>
      <w:r>
        <w:rPr>
          <w:rFonts w:hint="eastAsia" w:ascii="仿宋_GB2312" w:eastAsia="仿宋_GB2312"/>
          <w:sz w:val="32"/>
        </w:rPr>
        <w:t>国际组织和外国政府在县援助、贷款项目的财务收支。</w:t>
      </w:r>
    </w:p>
    <w:p>
      <w:pPr>
        <w:spacing w:line="560" w:lineRule="exact"/>
        <w:ind w:firstLine="640" w:firstLineChars="200"/>
        <w:rPr>
          <w:rFonts w:ascii="仿宋_GB2312" w:eastAsia="仿宋_GB2312"/>
          <w:sz w:val="32"/>
        </w:rPr>
      </w:pPr>
      <w:r>
        <w:rPr>
          <w:rFonts w:hint="eastAsia" w:ascii="仿宋_GB2312" w:hAnsi="仿宋_GB2312"/>
          <w:sz w:val="32"/>
        </w:rPr>
        <w:t>（</w:t>
      </w:r>
      <w:r>
        <w:rPr>
          <w:rFonts w:hint="eastAsia" w:ascii="仿宋_GB2312" w:eastAsia="仿宋_GB2312"/>
          <w:sz w:val="32"/>
        </w:rPr>
        <w:t>8</w:t>
      </w:r>
      <w:r>
        <w:rPr>
          <w:rFonts w:hint="eastAsia" w:ascii="仿宋_GB2312" w:hAnsi="仿宋_GB2312"/>
          <w:sz w:val="32"/>
        </w:rPr>
        <w:t>）</w:t>
      </w:r>
      <w:r>
        <w:rPr>
          <w:rFonts w:hint="eastAsia" w:ascii="仿宋_GB2312" w:eastAsia="仿宋_GB2312"/>
          <w:sz w:val="32"/>
        </w:rPr>
        <w:t>法律、行政法规和地方性法规、政府规章规定应由审计机关审计的其他事项。</w:t>
      </w:r>
    </w:p>
    <w:p>
      <w:pPr>
        <w:spacing w:line="560" w:lineRule="exact"/>
        <w:ind w:firstLine="640" w:firstLineChars="200"/>
        <w:rPr>
          <w:rFonts w:ascii="仿宋_GB2312" w:eastAsia="仿宋_GB2312"/>
          <w:sz w:val="32"/>
        </w:rPr>
      </w:pPr>
      <w:r>
        <w:rPr>
          <w:rFonts w:hint="eastAsia" w:ascii="仿宋_GB2312" w:eastAsia="仿宋_GB2312"/>
          <w:sz w:val="32"/>
        </w:rPr>
        <w:t>5.按规定对县级以下领导干部及依法属县审计局审计监督的其他单位主要负责人实施经济责任审计。</w:t>
      </w:r>
    </w:p>
    <w:p>
      <w:pPr>
        <w:spacing w:line="560" w:lineRule="exact"/>
        <w:ind w:firstLine="640" w:firstLineChars="200"/>
        <w:rPr>
          <w:rFonts w:ascii="仿宋_GB2312" w:eastAsia="仿宋_GB2312"/>
          <w:sz w:val="32"/>
        </w:rPr>
      </w:pPr>
      <w:r>
        <w:rPr>
          <w:rFonts w:hint="eastAsia" w:ascii="仿宋_GB2312" w:eastAsia="仿宋_GB2312"/>
          <w:sz w:val="32"/>
        </w:rPr>
        <w:t>6.组织实施对国家财经法律、法规、规章、政策和宏观调控措施执行情况、财政预算管理或国有资产管理使用等与县级财政财务收支有关的特定事项进行专项审计调查。</w:t>
      </w:r>
    </w:p>
    <w:p>
      <w:pPr>
        <w:spacing w:line="560" w:lineRule="exact"/>
        <w:ind w:firstLine="640" w:firstLineChars="200"/>
        <w:rPr>
          <w:rFonts w:ascii="仿宋_GB2312" w:eastAsia="仿宋_GB2312"/>
          <w:sz w:val="32"/>
        </w:rPr>
      </w:pPr>
      <w:r>
        <w:rPr>
          <w:rFonts w:hint="eastAsia" w:ascii="仿宋_GB2312" w:eastAsia="仿宋_GB2312"/>
          <w:sz w:val="32"/>
        </w:rPr>
        <w:t>7.依法检查审计决定执行情况，督促纠正和处理审计发现的问题，依法办理被审计单位对审计决定提请行政复议、行政诉讼或县政府裁决中的有关事项，协助配合有关部门查处相关重大案件。</w:t>
      </w:r>
    </w:p>
    <w:p>
      <w:pPr>
        <w:spacing w:line="560" w:lineRule="exact"/>
        <w:ind w:firstLine="640" w:firstLineChars="200"/>
        <w:rPr>
          <w:rFonts w:ascii="仿宋_GB2312" w:eastAsia="仿宋_GB2312"/>
          <w:sz w:val="32"/>
        </w:rPr>
      </w:pPr>
      <w:r>
        <w:rPr>
          <w:rFonts w:hint="eastAsia" w:ascii="仿宋_GB2312" w:eastAsia="仿宋_GB2312"/>
          <w:sz w:val="32"/>
        </w:rPr>
        <w:t>8.指导和监督内部审计工作，核查社会审计机构对依法属审计监督对象的单位出具的相关审计报告。</w:t>
      </w:r>
    </w:p>
    <w:p>
      <w:pPr>
        <w:spacing w:line="560" w:lineRule="exact"/>
        <w:ind w:firstLine="640" w:firstLineChars="200"/>
        <w:rPr>
          <w:rFonts w:ascii="仿宋" w:eastAsia="仿宋"/>
          <w:bCs/>
          <w:color w:val="000000"/>
          <w:sz w:val="32"/>
          <w:szCs w:val="32"/>
        </w:rPr>
      </w:pPr>
      <w:r>
        <w:rPr>
          <w:rFonts w:hint="eastAsia" w:ascii="仿宋_GB2312" w:eastAsia="仿宋_GB2312"/>
          <w:sz w:val="32"/>
        </w:rPr>
        <w:t>9.承办县人民政府交办的其他事项。</w:t>
      </w:r>
    </w:p>
    <w:p>
      <w:pPr>
        <w:pStyle w:val="5"/>
        <w:adjustRightInd w:val="0"/>
        <w:snapToGrid w:val="0"/>
        <w:spacing w:beforeLines="0" w:line="560" w:lineRule="exact"/>
        <w:ind w:firstLine="668" w:firstLineChars="208"/>
        <w:outlineLvl w:val="2"/>
        <w:rPr>
          <w:rFonts w:hint="eastAsia" w:ascii="楷体_GB2312" w:eastAsia="楷体_GB2312"/>
          <w:b/>
          <w:bCs/>
          <w:color w:val="000000"/>
          <w:sz w:val="32"/>
          <w:szCs w:val="32"/>
        </w:rPr>
      </w:pPr>
      <w:bookmarkStart w:id="18" w:name="_Toc15378446"/>
      <w:bookmarkStart w:id="19" w:name="_Toc15377199"/>
      <w:r>
        <w:rPr>
          <w:rFonts w:hint="eastAsia" w:ascii="楷体_GB2312" w:eastAsia="楷体_GB2312"/>
          <w:b/>
          <w:bCs/>
          <w:color w:val="000000"/>
          <w:sz w:val="32"/>
          <w:szCs w:val="32"/>
        </w:rPr>
        <w:t>（二）2019年重点工作完成情况</w:t>
      </w:r>
      <w:bookmarkEnd w:id="18"/>
      <w:bookmarkEnd w:id="19"/>
    </w:p>
    <w:p>
      <w:pPr>
        <w:pStyle w:val="5"/>
        <w:adjustRightInd w:val="0"/>
        <w:snapToGrid w:val="0"/>
        <w:spacing w:beforeLines="0" w:line="560" w:lineRule="exact"/>
        <w:ind w:firstLine="665" w:firstLineChars="208"/>
        <w:outlineLvl w:val="2"/>
        <w:rPr>
          <w:rFonts w:ascii="楷体" w:eastAsia="楷体"/>
          <w:bCs/>
          <w:color w:val="000000"/>
          <w:sz w:val="32"/>
          <w:szCs w:val="32"/>
        </w:rPr>
      </w:pPr>
      <w:r>
        <w:rPr>
          <w:rFonts w:hint="eastAsia"/>
          <w:color w:val="000000"/>
          <w:sz w:val="32"/>
          <w:szCs w:val="32"/>
        </w:rPr>
        <w:t>截至目前共完成审计项目27个，其中计划内项目18个，计划外项目9个，审计总金额180462.41万元，审计查出问题58个，查出不规范资金525.79万元，共提出审计建议35条，被审计单位采纳建议35条。完成的计划外项目中，通过中介随机复核和管控投资建设项目6个，送审金额2466.33万元，审定金额2378.45万元，审减金额102.25万元，审减率3.2%，发现各类问题17个。</w:t>
      </w:r>
    </w:p>
    <w:p>
      <w:pPr>
        <w:pStyle w:val="3"/>
        <w:spacing w:line="560" w:lineRule="exact"/>
        <w:ind w:firstLine="640" w:firstLineChars="200"/>
        <w:rPr>
          <w:rStyle w:val="18"/>
          <w:b w:val="0"/>
          <w:bCs w:val="0"/>
        </w:rPr>
      </w:pPr>
      <w:bookmarkStart w:id="20" w:name="_Toc15377200"/>
      <w:bookmarkStart w:id="21" w:name="_Toc15396601"/>
      <w:r>
        <w:rPr>
          <w:rFonts w:hint="eastAsia" w:ascii="黑体" w:eastAsia="黑体"/>
          <w:b w:val="0"/>
          <w:bCs w:val="0"/>
          <w:color w:val="000000"/>
        </w:rPr>
        <w:t>二、机</w:t>
      </w:r>
      <w:r>
        <w:rPr>
          <w:rStyle w:val="18"/>
          <w:rFonts w:hint="eastAsia" w:ascii="黑体" w:eastAsia="黑体"/>
          <w:b w:val="0"/>
          <w:bCs w:val="0"/>
        </w:rPr>
        <w:t>构设置</w:t>
      </w:r>
      <w:bookmarkEnd w:id="20"/>
      <w:bookmarkEnd w:id="21"/>
    </w:p>
    <w:p>
      <w:pPr>
        <w:spacing w:line="560" w:lineRule="exact"/>
        <w:ind w:firstLine="640" w:firstLineChars="200"/>
        <w:rPr>
          <w:rFonts w:ascii="仿宋_GB2312" w:eastAsia="仿宋_GB2312"/>
          <w:sz w:val="32"/>
          <w:szCs w:val="32"/>
        </w:rPr>
      </w:pPr>
      <w:r>
        <w:rPr>
          <w:rFonts w:hint="eastAsia" w:ascii="仿宋_GB2312" w:eastAsia="仿宋_GB2312"/>
          <w:sz w:val="32"/>
          <w:szCs w:val="32"/>
        </w:rPr>
        <w:t>茂县审计局属一级预算单位，下属二级预算单位</w:t>
      </w:r>
      <w:r>
        <w:rPr>
          <w:rFonts w:ascii="仿宋_GB2312" w:eastAsia="仿宋_GB2312"/>
          <w:sz w:val="32"/>
          <w:szCs w:val="32"/>
        </w:rPr>
        <w:t>0</w:t>
      </w:r>
      <w:r>
        <w:rPr>
          <w:rFonts w:hint="eastAsia" w:ascii="仿宋_GB2312" w:eastAsia="仿宋_GB2312"/>
          <w:sz w:val="32"/>
          <w:szCs w:val="32"/>
        </w:rPr>
        <w:t>个，其中：参照公务员法管理的事业单位0个，其他事业单位</w:t>
      </w:r>
      <w:r>
        <w:rPr>
          <w:rFonts w:ascii="仿宋_GB2312" w:eastAsia="仿宋_GB2312"/>
          <w:sz w:val="32"/>
          <w:szCs w:val="32"/>
        </w:rPr>
        <w:t>0</w:t>
      </w:r>
      <w:r>
        <w:rPr>
          <w:rFonts w:hint="eastAsia" w:ascii="仿宋_GB2312" w:eastAsia="仿宋_GB2312"/>
          <w:sz w:val="32"/>
          <w:szCs w:val="32"/>
        </w:rPr>
        <w:t>个。</w:t>
      </w:r>
    </w:p>
    <w:p>
      <w:pPr>
        <w:widowControl/>
        <w:spacing w:line="560" w:lineRule="exact"/>
        <w:jc w:val="left"/>
        <w:rPr>
          <w:rFonts w:ascii="仿宋" w:eastAsia="仿宋"/>
          <w:color w:val="000000"/>
          <w:sz w:val="32"/>
          <w:szCs w:val="32"/>
        </w:rPr>
      </w:pPr>
    </w:p>
    <w:p>
      <w:pPr>
        <w:widowControl/>
        <w:spacing w:line="560" w:lineRule="exact"/>
        <w:jc w:val="left"/>
        <w:rPr>
          <w:rFonts w:ascii="仿宋" w:eastAsia="仿宋"/>
          <w:color w:val="000000"/>
          <w:sz w:val="32"/>
          <w:szCs w:val="32"/>
        </w:rPr>
      </w:pPr>
    </w:p>
    <w:p>
      <w:pPr>
        <w:widowControl/>
        <w:spacing w:line="560" w:lineRule="exact"/>
        <w:jc w:val="left"/>
        <w:rPr>
          <w:rFonts w:ascii="仿宋" w:eastAsia="仿宋"/>
          <w:color w:val="000000"/>
          <w:sz w:val="32"/>
          <w:szCs w:val="32"/>
        </w:rPr>
      </w:pPr>
    </w:p>
    <w:p>
      <w:pPr>
        <w:widowControl/>
        <w:spacing w:line="560" w:lineRule="exact"/>
        <w:jc w:val="left"/>
        <w:rPr>
          <w:rFonts w:ascii="仿宋" w:eastAsia="仿宋"/>
          <w:color w:val="000000"/>
          <w:sz w:val="32"/>
          <w:szCs w:val="32"/>
        </w:rPr>
      </w:pPr>
    </w:p>
    <w:p>
      <w:pPr>
        <w:widowControl/>
        <w:spacing w:line="560" w:lineRule="exact"/>
        <w:jc w:val="left"/>
        <w:rPr>
          <w:rFonts w:ascii="仿宋" w:eastAsia="仿宋"/>
          <w:color w:val="000000"/>
          <w:kern w:val="0"/>
          <w:sz w:val="32"/>
          <w:szCs w:val="32"/>
        </w:rPr>
      </w:pPr>
    </w:p>
    <w:p>
      <w:pPr>
        <w:widowControl/>
        <w:spacing w:line="560" w:lineRule="exact"/>
        <w:jc w:val="left"/>
        <w:rPr>
          <w:rFonts w:ascii="仿宋" w:eastAsia="仿宋"/>
          <w:color w:val="000000"/>
          <w:kern w:val="0"/>
          <w:sz w:val="32"/>
          <w:szCs w:val="32"/>
        </w:rPr>
      </w:pPr>
    </w:p>
    <w:p>
      <w:pPr>
        <w:widowControl/>
        <w:spacing w:line="560" w:lineRule="exact"/>
        <w:jc w:val="left"/>
        <w:rPr>
          <w:rFonts w:ascii="仿宋" w:eastAsia="仿宋"/>
          <w:color w:val="000000"/>
          <w:kern w:val="0"/>
          <w:sz w:val="32"/>
          <w:szCs w:val="32"/>
        </w:rPr>
      </w:pPr>
    </w:p>
    <w:p>
      <w:pPr>
        <w:widowControl/>
        <w:spacing w:line="560" w:lineRule="exact"/>
        <w:jc w:val="left"/>
        <w:rPr>
          <w:rFonts w:ascii="仿宋" w:eastAsia="仿宋"/>
          <w:color w:val="000000"/>
          <w:kern w:val="0"/>
          <w:sz w:val="32"/>
          <w:szCs w:val="32"/>
        </w:rPr>
      </w:pPr>
    </w:p>
    <w:p>
      <w:pPr>
        <w:widowControl/>
        <w:spacing w:line="560" w:lineRule="exact"/>
        <w:jc w:val="left"/>
        <w:rPr>
          <w:rFonts w:ascii="仿宋" w:eastAsia="仿宋"/>
          <w:color w:val="000000"/>
          <w:kern w:val="0"/>
          <w:sz w:val="32"/>
          <w:szCs w:val="32"/>
        </w:rPr>
      </w:pPr>
    </w:p>
    <w:p>
      <w:pPr>
        <w:pStyle w:val="2"/>
        <w:spacing w:line="560" w:lineRule="exact"/>
        <w:ind w:right="440"/>
        <w:jc w:val="right"/>
        <w:rPr>
          <w:rStyle w:val="17"/>
          <w:rFonts w:ascii="方正小标宋简体" w:eastAsia="方正小标宋简体"/>
          <w:b w:val="0"/>
          <w:bCs w:val="0"/>
        </w:rPr>
      </w:pPr>
      <w:bookmarkStart w:id="22" w:name="_Toc15396602"/>
      <w:bookmarkStart w:id="23" w:name="_Toc15377204"/>
      <w:r>
        <w:rPr>
          <w:rStyle w:val="17"/>
          <w:rFonts w:hint="eastAsia" w:ascii="方正小标宋简体" w:eastAsia="方正小标宋简体"/>
          <w:b w:val="0"/>
          <w:bCs w:val="0"/>
        </w:rPr>
        <w:t>第二部分 2019年度部门决算情况说明</w:t>
      </w:r>
      <w:bookmarkEnd w:id="22"/>
      <w:bookmarkEnd w:id="23"/>
    </w:p>
    <w:p>
      <w:pPr>
        <w:pStyle w:val="23"/>
        <w:numPr>
          <w:ilvl w:val="0"/>
          <w:numId w:val="2"/>
        </w:numPr>
        <w:spacing w:line="560" w:lineRule="exact"/>
        <w:ind w:firstLineChars="0"/>
        <w:outlineLvl w:val="1"/>
        <w:rPr>
          <w:rStyle w:val="18"/>
          <w:rFonts w:ascii="黑体" w:eastAsia="黑体"/>
          <w:b w:val="0"/>
        </w:rPr>
      </w:pPr>
      <w:bookmarkStart w:id="24" w:name="_Toc15396603"/>
      <w:bookmarkStart w:id="25" w:name="_Toc15377205"/>
      <w:r>
        <w:rPr>
          <w:rFonts w:hint="eastAsia" w:ascii="黑体" w:eastAsia="黑体"/>
          <w:color w:val="000000"/>
          <w:sz w:val="32"/>
          <w:szCs w:val="32"/>
        </w:rPr>
        <w:t>收</w:t>
      </w:r>
      <w:r>
        <w:rPr>
          <w:rStyle w:val="18"/>
          <w:rFonts w:hint="eastAsia" w:ascii="黑体" w:eastAsia="黑体"/>
          <w:b w:val="0"/>
        </w:rPr>
        <w:t>入支出决算总体情况说明</w:t>
      </w:r>
      <w:bookmarkEnd w:id="24"/>
      <w:bookmarkEnd w:id="25"/>
    </w:p>
    <w:p>
      <w:pPr>
        <w:spacing w:line="560" w:lineRule="exact"/>
        <w:ind w:firstLine="640" w:firstLineChars="200"/>
        <w:rPr>
          <w:rFonts w:ascii="仿宋_GB2312" w:eastAsia="仿宋_GB2312"/>
          <w:sz w:val="32"/>
          <w:szCs w:val="32"/>
        </w:rPr>
      </w:pPr>
      <w:r>
        <w:rPr>
          <w:rFonts w:hint="eastAsia" w:ascii="仿宋_GB2312" w:eastAsia="仿宋_GB2312"/>
          <w:sz w:val="32"/>
          <w:szCs w:val="32"/>
        </w:rPr>
        <w:t>2019年度收、支总计324.07万元。与2018年相比，收、支总计各增加56.71万元，增长21.21%。主要变动原因2019年人员增加，造成人员经费及公用经费增加。</w:t>
      </w:r>
    </w:p>
    <w:p>
      <w:pPr>
        <w:spacing w:line="560" w:lineRule="exact"/>
        <w:ind w:firstLine="640" w:firstLineChars="200"/>
        <w:rPr>
          <w:rFonts w:ascii="仿宋" w:eastAsia="仿宋"/>
          <w:color w:val="000000"/>
          <w:sz w:val="32"/>
          <w:szCs w:val="32"/>
        </w:rPr>
      </w:pPr>
      <w:r>
        <w:rPr>
          <w:rFonts w:ascii="仿宋_GB2312" w:eastAsia="仿宋_GB2312"/>
          <w:sz w:val="32"/>
          <w:szCs w:val="32"/>
        </w:rPr>
        <w:drawing>
          <wp:anchor distT="0" distB="0" distL="67945" distR="67945" simplePos="0" relativeHeight="1024" behindDoc="1" locked="0" layoutInCell="1" allowOverlap="1">
            <wp:simplePos x="0" y="0"/>
            <wp:positionH relativeFrom="column">
              <wp:posOffset>669925</wp:posOffset>
            </wp:positionH>
            <wp:positionV relativeFrom="paragraph">
              <wp:posOffset>132080</wp:posOffset>
            </wp:positionV>
            <wp:extent cx="3930015" cy="2357755"/>
            <wp:effectExtent l="0" t="0" r="0" b="0"/>
            <wp:wrapTopAndBottom/>
            <wp:docPr id="1"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pic:cNvPicPr>
                      <a:picLocks noChangeAspect="1"/>
                    </pic:cNvPicPr>
                  </pic:nvPicPr>
                  <pic:blipFill>
                    <a:blip r:embed="rId6" cstate="print"/>
                    <a:stretch>
                      <a:fillRect/>
                    </a:stretch>
                  </pic:blipFill>
                  <pic:spPr>
                    <a:xfrm>
                      <a:off x="0" y="0"/>
                      <a:ext cx="3930024" cy="2358015"/>
                    </a:xfrm>
                    <a:prstGeom prst="rect">
                      <a:avLst/>
                    </a:prstGeom>
                    <a:noFill/>
                    <a:ln w="9525" cap="flat" cmpd="sng">
                      <a:noFill/>
                      <a:prstDash val="solid"/>
                      <a:miter/>
                    </a:ln>
                  </pic:spPr>
                </pic:pic>
              </a:graphicData>
            </a:graphic>
          </wp:anchor>
        </w:drawing>
      </w:r>
      <w:r>
        <w:rPr>
          <w:rFonts w:hint="eastAsia" w:ascii="仿宋_GB2312" w:eastAsia="仿宋_GB2312"/>
          <w:sz w:val="32"/>
          <w:szCs w:val="32"/>
        </w:rPr>
        <w:t>（图1：收、支决算总计变动情况图）（柱状图）</w:t>
      </w:r>
    </w:p>
    <w:p>
      <w:pPr>
        <w:pStyle w:val="23"/>
        <w:numPr>
          <w:ilvl w:val="0"/>
          <w:numId w:val="2"/>
        </w:numPr>
        <w:spacing w:line="560" w:lineRule="exact"/>
        <w:ind w:firstLineChars="0"/>
        <w:outlineLvl w:val="1"/>
        <w:rPr>
          <w:rStyle w:val="18"/>
          <w:rFonts w:ascii="黑体" w:eastAsia="黑体"/>
          <w:b w:val="0"/>
        </w:rPr>
      </w:pPr>
      <w:bookmarkStart w:id="26" w:name="_Toc15396604"/>
      <w:bookmarkStart w:id="27" w:name="_Toc15377206"/>
      <w:r>
        <w:rPr>
          <w:rFonts w:hint="eastAsia" w:ascii="黑体" w:eastAsia="黑体"/>
          <w:color w:val="000000"/>
          <w:sz w:val="32"/>
          <w:szCs w:val="32"/>
        </w:rPr>
        <w:t>收</w:t>
      </w:r>
      <w:r>
        <w:rPr>
          <w:rStyle w:val="18"/>
          <w:rFonts w:hint="eastAsia" w:ascii="黑体" w:eastAsia="黑体"/>
          <w:b w:val="0"/>
        </w:rPr>
        <w:t>入决算情况说明</w:t>
      </w:r>
      <w:bookmarkEnd w:id="26"/>
      <w:bookmarkEnd w:id="27"/>
    </w:p>
    <w:p>
      <w:pPr>
        <w:spacing w:line="560" w:lineRule="exact"/>
        <w:ind w:firstLine="640" w:firstLineChars="200"/>
        <w:outlineLvl w:val="1"/>
        <w:rPr>
          <w:rFonts w:ascii="仿宋_GB2312" w:eastAsia="仿宋_GB2312"/>
          <w:sz w:val="32"/>
          <w:szCs w:val="32"/>
        </w:rPr>
      </w:pPr>
      <w:r>
        <w:rPr>
          <w:rFonts w:ascii="仿宋_GB2312" w:eastAsia="仿宋_GB2312"/>
          <w:sz w:val="32"/>
          <w:szCs w:val="32"/>
        </w:rPr>
        <w:drawing>
          <wp:anchor distT="0" distB="0" distL="67945" distR="67945" simplePos="0" relativeHeight="1024" behindDoc="0" locked="0" layoutInCell="1" allowOverlap="1">
            <wp:simplePos x="0" y="0"/>
            <wp:positionH relativeFrom="column">
              <wp:posOffset>2132965</wp:posOffset>
            </wp:positionH>
            <wp:positionV relativeFrom="paragraph">
              <wp:posOffset>1249680</wp:posOffset>
            </wp:positionV>
            <wp:extent cx="3219450" cy="2042160"/>
            <wp:effectExtent l="0" t="0" r="0" b="0"/>
            <wp:wrapSquare wrapText="bothSides"/>
            <wp:docPr id="4"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pic:cNvPicPr>
                      <a:picLocks noChangeAspect="1"/>
                    </pic:cNvPicPr>
                  </pic:nvPicPr>
                  <pic:blipFill>
                    <a:blip r:embed="rId7" cstate="print"/>
                    <a:stretch>
                      <a:fillRect/>
                    </a:stretch>
                  </pic:blipFill>
                  <pic:spPr>
                    <a:xfrm>
                      <a:off x="0" y="0"/>
                      <a:ext cx="3219525" cy="2042157"/>
                    </a:xfrm>
                    <a:prstGeom prst="rect">
                      <a:avLst/>
                    </a:prstGeom>
                    <a:noFill/>
                    <a:ln w="9525" cap="flat" cmpd="sng">
                      <a:noFill/>
                      <a:prstDash val="solid"/>
                      <a:miter/>
                    </a:ln>
                  </pic:spPr>
                </pic:pic>
              </a:graphicData>
            </a:graphic>
          </wp:anchor>
        </w:drawing>
      </w:r>
      <w:r>
        <w:rPr>
          <w:rFonts w:hint="eastAsia" w:ascii="仿宋_GB2312" w:eastAsia="仿宋_GB2312"/>
          <w:sz w:val="32"/>
          <w:szCs w:val="32"/>
        </w:rPr>
        <w:t>2019年本年收入合计318.60万元，其中：一般公共预算财政拨款收入318.60万元，占100%；政府性基金预算财政拨款收入0万元，占0%；上级补助收入0万元，占0%；事业收入0万元，占0%；经营收入0万元，占0%；附属单位上缴收入0万元，占0%；其他收入0万元，占0%。</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（图2：收入决算结构图）（饼状图）</w:t>
      </w:r>
    </w:p>
    <w:p>
      <w:pPr>
        <w:pStyle w:val="23"/>
        <w:numPr>
          <w:ilvl w:val="0"/>
          <w:numId w:val="2"/>
        </w:numPr>
        <w:spacing w:line="560" w:lineRule="exact"/>
        <w:ind w:firstLineChars="0"/>
        <w:outlineLvl w:val="1"/>
        <w:rPr>
          <w:rStyle w:val="18"/>
          <w:rFonts w:ascii="黑体" w:eastAsia="黑体"/>
          <w:b w:val="0"/>
        </w:rPr>
      </w:pPr>
      <w:bookmarkStart w:id="28" w:name="_Toc15396605"/>
      <w:bookmarkStart w:id="29" w:name="_Toc15377207"/>
      <w:r>
        <w:rPr>
          <w:rFonts w:hint="eastAsia" w:ascii="黑体" w:eastAsia="黑体"/>
          <w:color w:val="000000"/>
          <w:sz w:val="32"/>
          <w:szCs w:val="32"/>
        </w:rPr>
        <w:t>支</w:t>
      </w:r>
      <w:r>
        <w:rPr>
          <w:rStyle w:val="18"/>
          <w:rFonts w:hint="eastAsia" w:ascii="黑体" w:eastAsia="黑体"/>
          <w:b w:val="0"/>
        </w:rPr>
        <w:t>出决算情况说明</w:t>
      </w:r>
      <w:bookmarkEnd w:id="28"/>
      <w:bookmarkEnd w:id="29"/>
    </w:p>
    <w:p>
      <w:pPr>
        <w:spacing w:line="560" w:lineRule="exact"/>
        <w:ind w:firstLine="640" w:firstLineChars="200"/>
        <w:outlineLvl w:val="1"/>
        <w:rPr>
          <w:rFonts w:ascii="仿宋_GB2312" w:eastAsia="仿宋_GB2312"/>
          <w:sz w:val="32"/>
          <w:szCs w:val="32"/>
        </w:rPr>
      </w:pPr>
      <w:r>
        <w:rPr>
          <w:rFonts w:hint="eastAsia" w:ascii="仿宋_GB2312" w:eastAsia="仿宋_GB2312"/>
          <w:sz w:val="32"/>
          <w:szCs w:val="32"/>
        </w:rPr>
        <w:t>2019年本年支出合计319.77万元，其中：基本支出295.60万元，占92.44%；项目支出24.17万元，占7.56%；上缴上级支出0万元，占0%；经营支出0万元，占0%；对附属单位补助支出0万元，占0%。</w:t>
      </w:r>
    </w:p>
    <w:p>
      <w:pPr>
        <w:spacing w:line="560" w:lineRule="exact"/>
        <w:ind w:firstLine="640" w:firstLineChars="200"/>
        <w:rPr>
          <w:rFonts w:ascii="仿宋_GB2312" w:eastAsia="仿宋_GB2312"/>
          <w:sz w:val="32"/>
          <w:szCs w:val="32"/>
        </w:rPr>
      </w:pPr>
      <w:r>
        <w:rPr>
          <w:rFonts w:ascii="仿宋_GB2312" w:eastAsia="仿宋_GB2312"/>
          <w:sz w:val="32"/>
          <w:szCs w:val="32"/>
        </w:rPr>
        <w:drawing>
          <wp:anchor distT="0" distB="0" distL="67945" distR="67945" simplePos="0" relativeHeight="1024" behindDoc="1" locked="0" layoutInCell="1" allowOverlap="1">
            <wp:simplePos x="0" y="0"/>
            <wp:positionH relativeFrom="column">
              <wp:posOffset>398145</wp:posOffset>
            </wp:positionH>
            <wp:positionV relativeFrom="paragraph">
              <wp:posOffset>144145</wp:posOffset>
            </wp:positionV>
            <wp:extent cx="4268470" cy="2418715"/>
            <wp:effectExtent l="0" t="0" r="0" b="0"/>
            <wp:wrapTopAndBottom/>
            <wp:docPr id="7"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pic:cNvPicPr>
                      <a:picLocks noChangeAspect="1"/>
                    </pic:cNvPicPr>
                  </pic:nvPicPr>
                  <pic:blipFill>
                    <a:blip r:embed="rId8" cstate="print"/>
                    <a:stretch>
                      <a:fillRect/>
                    </a:stretch>
                  </pic:blipFill>
                  <pic:spPr>
                    <a:xfrm>
                      <a:off x="0" y="0"/>
                      <a:ext cx="4268470" cy="2418799"/>
                    </a:xfrm>
                    <a:prstGeom prst="rect">
                      <a:avLst/>
                    </a:prstGeom>
                    <a:noFill/>
                    <a:ln w="9525" cap="flat" cmpd="sng">
                      <a:noFill/>
                      <a:prstDash val="solid"/>
                      <a:miter/>
                    </a:ln>
                  </pic:spPr>
                </pic:pic>
              </a:graphicData>
            </a:graphic>
          </wp:anchor>
        </w:drawing>
      </w:r>
      <w:r>
        <w:rPr>
          <w:rFonts w:hint="eastAsia" w:ascii="仿宋_GB2312" w:eastAsia="仿宋_GB2312"/>
          <w:sz w:val="32"/>
          <w:szCs w:val="32"/>
        </w:rPr>
        <w:t>（图3：支出决算结构图）（饼状图）</w:t>
      </w:r>
    </w:p>
    <w:p>
      <w:pPr>
        <w:spacing w:line="560" w:lineRule="exact"/>
        <w:ind w:firstLine="640" w:firstLineChars="200"/>
        <w:outlineLvl w:val="1"/>
        <w:rPr>
          <w:rStyle w:val="18"/>
          <w:rFonts w:ascii="黑体" w:eastAsia="黑体"/>
          <w:b w:val="0"/>
        </w:rPr>
      </w:pPr>
      <w:bookmarkStart w:id="30" w:name="_Toc15396606"/>
      <w:bookmarkStart w:id="31" w:name="_Toc15377208"/>
      <w:r>
        <w:rPr>
          <w:rFonts w:hint="eastAsia" w:ascii="黑体" w:eastAsia="黑体"/>
          <w:color w:val="000000"/>
          <w:sz w:val="32"/>
          <w:szCs w:val="32"/>
        </w:rPr>
        <w:t>四、财</w:t>
      </w:r>
      <w:r>
        <w:rPr>
          <w:rStyle w:val="18"/>
          <w:rFonts w:hint="eastAsia" w:ascii="黑体" w:eastAsia="黑体"/>
          <w:b w:val="0"/>
        </w:rPr>
        <w:t>政拨款收入支出决算总体情况说明</w:t>
      </w:r>
      <w:bookmarkEnd w:id="30"/>
      <w:bookmarkEnd w:id="31"/>
    </w:p>
    <w:p>
      <w:pPr>
        <w:spacing w:line="560" w:lineRule="exact"/>
        <w:ind w:firstLine="640" w:firstLineChars="200"/>
        <w:outlineLvl w:val="1"/>
        <w:rPr>
          <w:rFonts w:ascii="仿宋_GB2312" w:eastAsia="仿宋_GB2312"/>
          <w:sz w:val="32"/>
          <w:szCs w:val="32"/>
        </w:rPr>
      </w:pPr>
      <w:r>
        <w:rPr>
          <w:rFonts w:ascii="仿宋_GB2312" w:eastAsia="仿宋_GB2312"/>
          <w:sz w:val="32"/>
          <w:szCs w:val="32"/>
        </w:rPr>
        <w:drawing>
          <wp:anchor distT="0" distB="0" distL="67945" distR="67945" simplePos="0" relativeHeight="1024" behindDoc="1" locked="0" layoutInCell="1" allowOverlap="1">
            <wp:simplePos x="0" y="0"/>
            <wp:positionH relativeFrom="column">
              <wp:posOffset>862965</wp:posOffset>
            </wp:positionH>
            <wp:positionV relativeFrom="paragraph">
              <wp:posOffset>1427480</wp:posOffset>
            </wp:positionV>
            <wp:extent cx="3403600" cy="2042160"/>
            <wp:effectExtent l="0" t="0" r="0" b="0"/>
            <wp:wrapTopAndBottom/>
            <wp:docPr id="10"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pic:cNvPicPr>
                      <a:picLocks noChangeAspect="1"/>
                    </pic:cNvPicPr>
                  </pic:nvPicPr>
                  <pic:blipFill>
                    <a:blip r:embed="rId9" cstate="print"/>
                    <a:stretch>
                      <a:fillRect/>
                    </a:stretch>
                  </pic:blipFill>
                  <pic:spPr>
                    <a:xfrm>
                      <a:off x="0" y="0"/>
                      <a:ext cx="3403605" cy="2042163"/>
                    </a:xfrm>
                    <a:prstGeom prst="rect">
                      <a:avLst/>
                    </a:prstGeom>
                    <a:noFill/>
                    <a:ln w="9525" cap="flat" cmpd="sng">
                      <a:noFill/>
                      <a:prstDash val="solid"/>
                      <a:miter/>
                    </a:ln>
                  </pic:spPr>
                </pic:pic>
              </a:graphicData>
            </a:graphic>
          </wp:anchor>
        </w:drawing>
      </w:r>
      <w:r>
        <w:rPr>
          <w:rFonts w:hint="eastAsia" w:ascii="仿宋_GB2312" w:eastAsia="仿宋_GB2312"/>
          <w:sz w:val="32"/>
          <w:szCs w:val="32"/>
        </w:rPr>
        <w:t>2019年财政拨款收、支总计324.07万元。与2018年相比，财政拨款收、支总计各增加56.71万元，增长21.21%。主要变动原因2019年人员增加，造成人员经费及公用经费增加。</w:t>
      </w:r>
    </w:p>
    <w:p>
      <w:pPr>
        <w:spacing w:line="560" w:lineRule="exact"/>
        <w:ind w:firstLine="640" w:firstLineChars="200"/>
        <w:outlineLvl w:val="1"/>
        <w:rPr>
          <w:rFonts w:ascii="仿宋_GB2312" w:eastAsia="仿宋_GB2312"/>
          <w:sz w:val="32"/>
          <w:szCs w:val="32"/>
        </w:rPr>
      </w:pPr>
      <w:r>
        <w:rPr>
          <w:rFonts w:hint="eastAsia" w:ascii="仿宋_GB2312" w:eastAsia="仿宋_GB2312"/>
          <w:sz w:val="32"/>
          <w:szCs w:val="32"/>
        </w:rPr>
        <w:t>（图4：财政拨款收、支决算总计变动情况）（柱状图）</w:t>
      </w:r>
    </w:p>
    <w:p>
      <w:pPr>
        <w:spacing w:line="560" w:lineRule="exact"/>
        <w:ind w:firstLine="640" w:firstLineChars="200"/>
        <w:outlineLvl w:val="1"/>
        <w:rPr>
          <w:rStyle w:val="18"/>
          <w:rFonts w:ascii="黑体" w:eastAsia="黑体"/>
          <w:b w:val="0"/>
        </w:rPr>
      </w:pPr>
      <w:bookmarkStart w:id="32" w:name="_Toc15396607"/>
      <w:bookmarkStart w:id="33" w:name="_Toc15377209"/>
      <w:r>
        <w:rPr>
          <w:rFonts w:hint="eastAsia" w:ascii="黑体" w:eastAsia="黑体"/>
          <w:color w:val="000000"/>
          <w:sz w:val="32"/>
          <w:szCs w:val="32"/>
        </w:rPr>
        <w:t>五、</w:t>
      </w:r>
      <w:r>
        <w:rPr>
          <w:rFonts w:hint="eastAsia" w:ascii="黑体" w:eastAsia="黑体"/>
          <w:b/>
          <w:color w:val="000000"/>
          <w:sz w:val="32"/>
          <w:szCs w:val="32"/>
        </w:rPr>
        <w:t>一</w:t>
      </w:r>
      <w:r>
        <w:rPr>
          <w:rStyle w:val="18"/>
          <w:rFonts w:hint="eastAsia" w:ascii="黑体" w:eastAsia="黑体"/>
          <w:b w:val="0"/>
        </w:rPr>
        <w:t>般公共预算财政拨款支出决算情况说明</w:t>
      </w:r>
      <w:bookmarkEnd w:id="32"/>
      <w:bookmarkEnd w:id="33"/>
    </w:p>
    <w:p>
      <w:pPr>
        <w:spacing w:line="560" w:lineRule="exact"/>
        <w:ind w:firstLine="643" w:firstLineChars="200"/>
        <w:outlineLvl w:val="2"/>
        <w:rPr>
          <w:rFonts w:hint="eastAsia" w:ascii="楷体_GB2312" w:eastAsia="楷体_GB2312"/>
          <w:b/>
          <w:color w:val="000000"/>
          <w:sz w:val="32"/>
          <w:szCs w:val="32"/>
        </w:rPr>
      </w:pPr>
      <w:bookmarkStart w:id="34" w:name="_Toc15377210"/>
      <w:r>
        <w:rPr>
          <w:rFonts w:hint="eastAsia" w:ascii="楷体_GB2312" w:eastAsia="楷体_GB2312"/>
          <w:b/>
          <w:color w:val="000000"/>
          <w:sz w:val="32"/>
          <w:szCs w:val="32"/>
        </w:rPr>
        <w:t>（一）一般公共预算财政拨款支出决算总体情况</w:t>
      </w:r>
      <w:bookmarkEnd w:id="34"/>
    </w:p>
    <w:p>
      <w:pPr>
        <w:spacing w:line="560" w:lineRule="exact"/>
        <w:ind w:firstLine="640" w:firstLineChars="200"/>
        <w:rPr>
          <w:rFonts w:ascii="仿宋_GB2312" w:eastAsia="仿宋_GB2312"/>
          <w:sz w:val="32"/>
          <w:szCs w:val="32"/>
        </w:rPr>
      </w:pPr>
      <w:r>
        <w:rPr>
          <w:rFonts w:hint="eastAsia" w:ascii="仿宋_GB2312" w:eastAsia="仿宋_GB2312"/>
          <w:sz w:val="32"/>
          <w:szCs w:val="32"/>
        </w:rPr>
        <w:t>2019年一般公共预算财政拨款支出319.77万元，占本年支出合计的100%。与2018年相比，一般公共预算财政拨款增加57.88万元，增长22.10%。主要变动原因2019年人员增加，造成人员经费及公用经费增加。</w:t>
      </w:r>
    </w:p>
    <w:p>
      <w:pPr>
        <w:spacing w:line="560" w:lineRule="exact"/>
        <w:ind w:firstLine="640" w:firstLineChars="200"/>
        <w:rPr>
          <w:rFonts w:ascii="仿宋_GB2312" w:eastAsia="仿宋_GB2312"/>
          <w:sz w:val="32"/>
          <w:szCs w:val="32"/>
        </w:rPr>
      </w:pPr>
      <w:r>
        <w:rPr>
          <w:rFonts w:ascii="仿宋_GB2312" w:eastAsia="仿宋_GB2312"/>
          <w:sz w:val="32"/>
          <w:szCs w:val="32"/>
        </w:rPr>
        <w:drawing>
          <wp:anchor distT="0" distB="0" distL="67945" distR="67945" simplePos="0" relativeHeight="1024" behindDoc="1" locked="0" layoutInCell="1" allowOverlap="1">
            <wp:simplePos x="0" y="0"/>
            <wp:positionH relativeFrom="column">
              <wp:posOffset>535305</wp:posOffset>
            </wp:positionH>
            <wp:positionV relativeFrom="paragraph">
              <wp:posOffset>182245</wp:posOffset>
            </wp:positionV>
            <wp:extent cx="4131945" cy="2479040"/>
            <wp:effectExtent l="0" t="0" r="0" b="0"/>
            <wp:wrapTopAndBottom/>
            <wp:docPr id="13"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pic:cNvPicPr>
                      <a:picLocks noChangeAspect="1"/>
                    </pic:cNvPicPr>
                  </pic:nvPicPr>
                  <pic:blipFill>
                    <a:blip r:embed="rId10" cstate="print"/>
                    <a:stretch>
                      <a:fillRect/>
                    </a:stretch>
                  </pic:blipFill>
                  <pic:spPr>
                    <a:xfrm>
                      <a:off x="0" y="0"/>
                      <a:ext cx="4131764" cy="2479059"/>
                    </a:xfrm>
                    <a:prstGeom prst="rect">
                      <a:avLst/>
                    </a:prstGeom>
                    <a:noFill/>
                    <a:ln w="9525" cap="flat" cmpd="sng">
                      <a:noFill/>
                      <a:prstDash val="solid"/>
                      <a:miter/>
                    </a:ln>
                  </pic:spPr>
                </pic:pic>
              </a:graphicData>
            </a:graphic>
          </wp:anchor>
        </w:drawing>
      </w:r>
      <w:r>
        <w:rPr>
          <w:rFonts w:hint="eastAsia" w:ascii="仿宋_GB2312" w:eastAsia="仿宋_GB2312"/>
          <w:sz w:val="32"/>
          <w:szCs w:val="32"/>
        </w:rPr>
        <w:t>（图5：一般公共预算财政拨款支出决算变动情况）（柱状图）</w:t>
      </w:r>
    </w:p>
    <w:p>
      <w:pPr>
        <w:spacing w:line="560" w:lineRule="exact"/>
        <w:ind w:firstLine="643" w:firstLineChars="200"/>
        <w:outlineLvl w:val="2"/>
        <w:rPr>
          <w:rFonts w:hint="eastAsia" w:ascii="楷体_GB2312" w:eastAsia="楷体_GB2312"/>
          <w:b/>
          <w:color w:val="000000"/>
          <w:sz w:val="32"/>
          <w:szCs w:val="32"/>
        </w:rPr>
      </w:pPr>
      <w:bookmarkStart w:id="35" w:name="_Toc15377211"/>
      <w:r>
        <w:rPr>
          <w:rFonts w:hint="eastAsia" w:ascii="楷体_GB2312" w:eastAsia="楷体_GB2312"/>
          <w:b/>
          <w:color w:val="000000"/>
          <w:sz w:val="32"/>
          <w:szCs w:val="32"/>
        </w:rPr>
        <w:t>（二）一般公共预算财政拨款支出决算结构情况</w:t>
      </w:r>
      <w:bookmarkEnd w:id="35"/>
    </w:p>
    <w:p>
      <w:pPr>
        <w:spacing w:line="560" w:lineRule="exact"/>
        <w:ind w:firstLine="640"/>
        <w:rPr>
          <w:rFonts w:ascii="仿宋_GB2312" w:eastAsia="仿宋_GB2312"/>
          <w:sz w:val="32"/>
          <w:szCs w:val="32"/>
        </w:rPr>
      </w:pPr>
      <w:r>
        <w:rPr>
          <w:rFonts w:hint="eastAsia" w:ascii="仿宋_GB2312" w:eastAsia="仿宋_GB2312"/>
          <w:sz w:val="32"/>
          <w:szCs w:val="32"/>
        </w:rPr>
        <w:t>2019年一般公共预算财政拨款支出319.77万元，主要用于以下方面:</w:t>
      </w:r>
      <w:r>
        <w:rPr>
          <w:rFonts w:hint="eastAsia" w:ascii="仿宋_GB2312" w:eastAsia="仿宋_GB2312"/>
          <w:b/>
          <w:bCs/>
          <w:sz w:val="32"/>
          <w:szCs w:val="32"/>
        </w:rPr>
        <w:t>一般公共服务</w:t>
      </w:r>
      <w:r>
        <w:rPr>
          <w:rFonts w:ascii="仿宋_GB2312" w:eastAsia="仿宋_GB2312"/>
          <w:b/>
          <w:bCs/>
          <w:sz w:val="32"/>
          <w:szCs w:val="32"/>
        </w:rPr>
        <w:t>（类）</w:t>
      </w:r>
      <w:r>
        <w:rPr>
          <w:rFonts w:hint="eastAsia" w:ascii="仿宋_GB2312" w:eastAsia="仿宋_GB2312"/>
          <w:b/>
          <w:bCs/>
          <w:sz w:val="32"/>
          <w:szCs w:val="32"/>
        </w:rPr>
        <w:t>支出</w:t>
      </w:r>
      <w:r>
        <w:rPr>
          <w:rFonts w:hint="eastAsia" w:ascii="仿宋_GB2312" w:eastAsia="仿宋_GB2312"/>
          <w:sz w:val="32"/>
          <w:szCs w:val="32"/>
        </w:rPr>
        <w:t>249.56万元，占78.04%；</w:t>
      </w:r>
      <w:r>
        <w:rPr>
          <w:rFonts w:hint="eastAsia" w:ascii="仿宋_GB2312" w:eastAsia="仿宋_GB2312"/>
          <w:b/>
          <w:bCs/>
          <w:sz w:val="32"/>
          <w:szCs w:val="32"/>
        </w:rPr>
        <w:t>社会保障和就业</w:t>
      </w:r>
      <w:r>
        <w:rPr>
          <w:rFonts w:ascii="仿宋_GB2312" w:eastAsia="仿宋_GB2312"/>
          <w:b/>
          <w:bCs/>
          <w:sz w:val="32"/>
          <w:szCs w:val="32"/>
        </w:rPr>
        <w:t>（类）</w:t>
      </w:r>
      <w:r>
        <w:rPr>
          <w:rFonts w:hint="eastAsia" w:ascii="仿宋_GB2312" w:eastAsia="仿宋_GB2312"/>
          <w:b/>
          <w:bCs/>
          <w:sz w:val="32"/>
          <w:szCs w:val="32"/>
        </w:rPr>
        <w:t>支出</w:t>
      </w:r>
      <w:r>
        <w:rPr>
          <w:rFonts w:hint="eastAsia" w:ascii="仿宋_GB2312" w:eastAsia="仿宋_GB2312"/>
          <w:sz w:val="32"/>
          <w:szCs w:val="32"/>
        </w:rPr>
        <w:t>32.85万元，占10.27%；</w:t>
      </w:r>
      <w:r>
        <w:rPr>
          <w:rFonts w:hint="eastAsia" w:ascii="仿宋_GB2312" w:eastAsia="仿宋_GB2312"/>
          <w:b/>
          <w:bCs/>
          <w:sz w:val="32"/>
          <w:szCs w:val="32"/>
        </w:rPr>
        <w:t>卫生健康</w:t>
      </w:r>
      <w:r>
        <w:rPr>
          <w:rFonts w:ascii="仿宋_GB2312" w:eastAsia="仿宋_GB2312"/>
          <w:b/>
          <w:bCs/>
          <w:sz w:val="32"/>
          <w:szCs w:val="32"/>
        </w:rPr>
        <w:t>（类）</w:t>
      </w:r>
      <w:r>
        <w:rPr>
          <w:rFonts w:hint="eastAsia" w:ascii="仿宋_GB2312" w:eastAsia="仿宋_GB2312"/>
          <w:b/>
          <w:bCs/>
          <w:sz w:val="32"/>
          <w:szCs w:val="32"/>
        </w:rPr>
        <w:t>支出</w:t>
      </w:r>
      <w:r>
        <w:rPr>
          <w:rFonts w:hint="eastAsia" w:ascii="仿宋_GB2312" w:eastAsia="仿宋_GB2312"/>
          <w:sz w:val="32"/>
          <w:szCs w:val="32"/>
        </w:rPr>
        <w:t>15.89万元，占4.97%；</w:t>
      </w:r>
      <w:r>
        <w:rPr>
          <w:rFonts w:hint="eastAsia" w:ascii="仿宋_GB2312" w:eastAsia="仿宋_GB2312"/>
          <w:b/>
          <w:bCs/>
          <w:sz w:val="32"/>
          <w:szCs w:val="32"/>
        </w:rPr>
        <w:t>住房保障</w:t>
      </w:r>
      <w:r>
        <w:rPr>
          <w:rFonts w:ascii="仿宋_GB2312" w:eastAsia="仿宋_GB2312"/>
          <w:b/>
          <w:bCs/>
          <w:sz w:val="32"/>
          <w:szCs w:val="32"/>
        </w:rPr>
        <w:t>（类）</w:t>
      </w:r>
      <w:r>
        <w:rPr>
          <w:rFonts w:hint="eastAsia" w:ascii="仿宋_GB2312" w:eastAsia="仿宋_GB2312"/>
          <w:b/>
          <w:bCs/>
          <w:sz w:val="32"/>
          <w:szCs w:val="32"/>
        </w:rPr>
        <w:t>支出</w:t>
      </w:r>
      <w:r>
        <w:rPr>
          <w:rFonts w:hint="eastAsia" w:ascii="仿宋_GB2312" w:eastAsia="仿宋_GB2312"/>
          <w:sz w:val="32"/>
          <w:szCs w:val="32"/>
        </w:rPr>
        <w:t>21.47万元，占6.72</w:t>
      </w:r>
      <w:r>
        <w:rPr>
          <w:rFonts w:ascii="仿宋_GB2312" w:eastAsia="仿宋_GB2312"/>
          <w:sz w:val="32"/>
          <w:szCs w:val="32"/>
        </w:rPr>
        <w:t>。</w:t>
      </w:r>
    </w:p>
    <w:p>
      <w:pPr>
        <w:spacing w:line="560" w:lineRule="exact"/>
        <w:ind w:firstLine="640" w:firstLineChars="200"/>
        <w:rPr>
          <w:rFonts w:ascii="仿宋" w:eastAsia="仿宋"/>
          <w:color w:val="000000"/>
          <w:sz w:val="32"/>
          <w:szCs w:val="32"/>
        </w:rPr>
      </w:pPr>
      <w:r>
        <w:rPr>
          <w:rFonts w:ascii="仿宋_GB2312" w:eastAsia="仿宋_GB2312"/>
          <w:sz w:val="32"/>
          <w:szCs w:val="32"/>
        </w:rPr>
        <w:drawing>
          <wp:anchor distT="0" distB="0" distL="67945" distR="67945" simplePos="0" relativeHeight="1024" behindDoc="1" locked="0" layoutInCell="1" allowOverlap="1">
            <wp:simplePos x="0" y="0"/>
            <wp:positionH relativeFrom="column">
              <wp:posOffset>398145</wp:posOffset>
            </wp:positionH>
            <wp:positionV relativeFrom="paragraph">
              <wp:posOffset>100965</wp:posOffset>
            </wp:positionV>
            <wp:extent cx="4470400" cy="2458720"/>
            <wp:effectExtent l="0" t="0" r="0" b="0"/>
            <wp:wrapTopAndBottom/>
            <wp:docPr id="16"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pic:cNvPicPr>
                      <a:picLocks noChangeAspect="1"/>
                    </pic:cNvPicPr>
                  </pic:nvPicPr>
                  <pic:blipFill>
                    <a:blip r:embed="rId11" cstate="print"/>
                    <a:stretch>
                      <a:fillRect/>
                    </a:stretch>
                  </pic:blipFill>
                  <pic:spPr>
                    <a:xfrm>
                      <a:off x="0" y="0"/>
                      <a:ext cx="4470399" cy="2458716"/>
                    </a:xfrm>
                    <a:prstGeom prst="rect">
                      <a:avLst/>
                    </a:prstGeom>
                    <a:noFill/>
                    <a:ln w="9525" cap="flat" cmpd="sng">
                      <a:noFill/>
                      <a:prstDash val="solid"/>
                      <a:miter/>
                    </a:ln>
                  </pic:spPr>
                </pic:pic>
              </a:graphicData>
            </a:graphic>
          </wp:anchor>
        </w:drawing>
      </w:r>
      <w:r>
        <w:rPr>
          <w:rFonts w:hint="eastAsia" w:ascii="仿宋_GB2312" w:eastAsia="仿宋_GB2312"/>
          <w:sz w:val="32"/>
          <w:szCs w:val="32"/>
        </w:rPr>
        <w:t>（图6：一般公共预算财政拨款支出决算结构）（饼状图）</w:t>
      </w:r>
    </w:p>
    <w:p>
      <w:pPr>
        <w:spacing w:line="560" w:lineRule="exact"/>
        <w:ind w:firstLine="643" w:firstLineChars="200"/>
        <w:outlineLvl w:val="2"/>
        <w:rPr>
          <w:rFonts w:hint="eastAsia" w:ascii="楷体_GB2312" w:eastAsia="楷体_GB2312"/>
          <w:b/>
          <w:color w:val="000000"/>
          <w:sz w:val="32"/>
          <w:szCs w:val="32"/>
        </w:rPr>
      </w:pPr>
      <w:bookmarkStart w:id="36" w:name="_Toc15377212"/>
      <w:r>
        <w:rPr>
          <w:rFonts w:hint="eastAsia" w:ascii="楷体_GB2312" w:eastAsia="楷体_GB2312"/>
          <w:b/>
          <w:color w:val="000000"/>
          <w:sz w:val="32"/>
          <w:szCs w:val="32"/>
        </w:rPr>
        <w:t>（三）一般公共预算财政拨款支出决算具体情况</w:t>
      </w:r>
      <w:bookmarkEnd w:id="36"/>
    </w:p>
    <w:p>
      <w:pPr>
        <w:spacing w:line="560" w:lineRule="exact"/>
        <w:ind w:firstLine="643" w:firstLineChars="200"/>
        <w:outlineLvl w:val="2"/>
        <w:rPr>
          <w:rFonts w:hint="eastAsia" w:ascii="仿宋_GB2312" w:eastAsia="仿宋_GB2312"/>
          <w:color w:val="FF0000"/>
          <w:sz w:val="32"/>
          <w:szCs w:val="32"/>
        </w:rPr>
      </w:pPr>
      <w:bookmarkStart w:id="37" w:name="_Toc15377213"/>
      <w:bookmarkStart w:id="38" w:name="_Toc15378460"/>
      <w:bookmarkStart w:id="39" w:name="_Toc15377444"/>
      <w:r>
        <w:rPr>
          <w:rFonts w:hint="eastAsia" w:ascii="仿宋_GB2312" w:eastAsia="仿宋_GB2312"/>
          <w:b/>
          <w:color w:val="000000"/>
          <w:sz w:val="32"/>
          <w:szCs w:val="32"/>
        </w:rPr>
        <w:t>2019年般公共预算支出决算数为319.77万元</w:t>
      </w:r>
      <w:r>
        <w:rPr>
          <w:rFonts w:hint="eastAsia" w:ascii="仿宋_GB2312" w:eastAsia="仿宋_GB2312"/>
          <w:color w:val="000000"/>
          <w:sz w:val="32"/>
          <w:szCs w:val="32"/>
        </w:rPr>
        <w:t>，</w:t>
      </w:r>
      <w:r>
        <w:rPr>
          <w:rStyle w:val="15"/>
          <w:rFonts w:hint="eastAsia" w:ascii="仿宋_GB2312" w:eastAsia="仿宋_GB2312"/>
          <w:bCs/>
          <w:color w:val="000000"/>
          <w:sz w:val="32"/>
          <w:szCs w:val="32"/>
        </w:rPr>
        <w:t>完成预算98.67%。其中：</w:t>
      </w:r>
      <w:bookmarkEnd w:id="37"/>
      <w:bookmarkEnd w:id="38"/>
      <w:bookmarkEnd w:id="39"/>
    </w:p>
    <w:p>
      <w:pPr>
        <w:spacing w:line="560" w:lineRule="exact"/>
        <w:ind w:firstLine="643" w:firstLineChars="200"/>
        <w:rPr>
          <w:rFonts w:ascii="仿宋_GB2312" w:eastAsia="仿宋_GB2312"/>
          <w:b/>
          <w:color w:val="000000"/>
          <w:sz w:val="32"/>
          <w:szCs w:val="32"/>
        </w:rPr>
      </w:pPr>
      <w:r>
        <w:rPr>
          <w:rStyle w:val="15"/>
          <w:rFonts w:hint="eastAsia" w:ascii="仿宋_GB2312" w:eastAsia="仿宋_GB2312"/>
          <w:bCs/>
          <w:color w:val="000000"/>
          <w:sz w:val="32"/>
          <w:szCs w:val="32"/>
        </w:rPr>
        <w:t>1.一般公共服务（</w:t>
      </w:r>
      <w:r>
        <w:rPr>
          <w:rStyle w:val="15"/>
          <w:rFonts w:ascii="仿宋_GB2312" w:eastAsia="仿宋_GB2312"/>
          <w:bCs/>
          <w:color w:val="000000"/>
          <w:sz w:val="32"/>
          <w:szCs w:val="32"/>
        </w:rPr>
        <w:t>类</w:t>
      </w:r>
      <w:r>
        <w:rPr>
          <w:rStyle w:val="15"/>
          <w:rFonts w:hint="eastAsia" w:ascii="仿宋_GB2312" w:eastAsia="仿宋_GB2312"/>
          <w:bCs/>
          <w:color w:val="000000"/>
          <w:sz w:val="32"/>
          <w:szCs w:val="32"/>
        </w:rPr>
        <w:t>）审计事务（</w:t>
      </w:r>
      <w:r>
        <w:rPr>
          <w:rStyle w:val="15"/>
          <w:rFonts w:ascii="仿宋_GB2312" w:eastAsia="仿宋_GB2312"/>
          <w:bCs/>
          <w:color w:val="000000"/>
          <w:sz w:val="32"/>
          <w:szCs w:val="32"/>
        </w:rPr>
        <w:t>款</w:t>
      </w:r>
      <w:r>
        <w:rPr>
          <w:rStyle w:val="15"/>
          <w:rFonts w:hint="eastAsia" w:ascii="仿宋_GB2312" w:eastAsia="仿宋_GB2312"/>
          <w:bCs/>
          <w:color w:val="000000"/>
          <w:sz w:val="32"/>
          <w:szCs w:val="32"/>
        </w:rPr>
        <w:t>）行政运行（</w:t>
      </w:r>
      <w:r>
        <w:rPr>
          <w:rStyle w:val="15"/>
          <w:rFonts w:ascii="仿宋_GB2312" w:eastAsia="仿宋_GB2312"/>
          <w:bCs/>
          <w:color w:val="000000"/>
          <w:sz w:val="32"/>
          <w:szCs w:val="32"/>
        </w:rPr>
        <w:t>项</w:t>
      </w:r>
      <w:r>
        <w:rPr>
          <w:rStyle w:val="15"/>
          <w:rFonts w:hint="eastAsia" w:ascii="仿宋_GB2312" w:eastAsia="仿宋_GB2312"/>
          <w:bCs/>
          <w:color w:val="000000"/>
          <w:sz w:val="32"/>
          <w:szCs w:val="32"/>
        </w:rPr>
        <w:t>）:</w:t>
      </w:r>
      <w:r>
        <w:rPr>
          <w:rStyle w:val="15"/>
          <w:rFonts w:hint="eastAsia" w:ascii="仿宋_GB2312" w:eastAsia="仿宋_GB2312"/>
          <w:b w:val="0"/>
          <w:bCs/>
          <w:color w:val="000000"/>
          <w:sz w:val="32"/>
          <w:szCs w:val="32"/>
        </w:rPr>
        <w:t xml:space="preserve"> 支出决算为</w:t>
      </w:r>
      <w:r>
        <w:rPr>
          <w:rStyle w:val="15"/>
          <w:rFonts w:ascii="仿宋_GB2312" w:eastAsia="仿宋_GB2312"/>
          <w:b w:val="0"/>
          <w:bCs/>
          <w:color w:val="000000"/>
          <w:sz w:val="32"/>
          <w:szCs w:val="32"/>
        </w:rPr>
        <w:t>168.48</w:t>
      </w:r>
      <w:r>
        <w:rPr>
          <w:rStyle w:val="15"/>
          <w:rFonts w:hint="eastAsia" w:ascii="仿宋_GB2312" w:eastAsia="仿宋_GB2312"/>
          <w:b w:val="0"/>
          <w:bCs/>
          <w:color w:val="000000"/>
          <w:sz w:val="32"/>
          <w:szCs w:val="32"/>
        </w:rPr>
        <w:t>万元，完成预算100%。</w:t>
      </w:r>
    </w:p>
    <w:p>
      <w:pPr>
        <w:tabs>
          <w:tab w:val="left" w:pos="312"/>
        </w:tabs>
        <w:spacing w:line="560" w:lineRule="exact"/>
        <w:ind w:firstLine="643" w:firstLineChars="200"/>
        <w:rPr>
          <w:rFonts w:ascii="仿宋_GB2312" w:eastAsia="仿宋_GB2312"/>
          <w:b/>
          <w:color w:val="000000"/>
          <w:sz w:val="32"/>
          <w:szCs w:val="32"/>
        </w:rPr>
      </w:pPr>
      <w:r>
        <w:rPr>
          <w:rStyle w:val="15"/>
          <w:rFonts w:hint="eastAsia" w:ascii="仿宋_GB2312" w:eastAsia="仿宋_GB2312"/>
          <w:bCs/>
          <w:color w:val="000000"/>
          <w:sz w:val="32"/>
          <w:szCs w:val="32"/>
        </w:rPr>
        <w:t>2.一般公共服务（</w:t>
      </w:r>
      <w:r>
        <w:rPr>
          <w:rStyle w:val="15"/>
          <w:rFonts w:ascii="仿宋_GB2312" w:eastAsia="仿宋_GB2312"/>
          <w:bCs/>
          <w:color w:val="000000"/>
          <w:sz w:val="32"/>
          <w:szCs w:val="32"/>
        </w:rPr>
        <w:t>类</w:t>
      </w:r>
      <w:r>
        <w:rPr>
          <w:rStyle w:val="15"/>
          <w:rFonts w:hint="eastAsia" w:ascii="仿宋_GB2312" w:eastAsia="仿宋_GB2312"/>
          <w:bCs/>
          <w:color w:val="000000"/>
          <w:sz w:val="32"/>
          <w:szCs w:val="32"/>
        </w:rPr>
        <w:t>）审计事务（</w:t>
      </w:r>
      <w:r>
        <w:rPr>
          <w:rStyle w:val="15"/>
          <w:rFonts w:ascii="仿宋_GB2312" w:eastAsia="仿宋_GB2312"/>
          <w:bCs/>
          <w:color w:val="000000"/>
          <w:sz w:val="32"/>
          <w:szCs w:val="32"/>
        </w:rPr>
        <w:t>款</w:t>
      </w:r>
      <w:r>
        <w:rPr>
          <w:rStyle w:val="15"/>
          <w:rFonts w:hint="eastAsia" w:ascii="仿宋_GB2312" w:eastAsia="仿宋_GB2312"/>
          <w:bCs/>
          <w:color w:val="000000"/>
          <w:sz w:val="32"/>
          <w:szCs w:val="32"/>
        </w:rPr>
        <w:t>）一般行政管理事务（</w:t>
      </w:r>
      <w:r>
        <w:rPr>
          <w:rStyle w:val="15"/>
          <w:rFonts w:ascii="仿宋_GB2312" w:eastAsia="仿宋_GB2312"/>
          <w:bCs/>
          <w:color w:val="000000"/>
          <w:sz w:val="32"/>
          <w:szCs w:val="32"/>
        </w:rPr>
        <w:t>项</w:t>
      </w:r>
      <w:r>
        <w:rPr>
          <w:rStyle w:val="15"/>
          <w:rFonts w:hint="eastAsia" w:ascii="仿宋_GB2312" w:eastAsia="仿宋_GB2312"/>
          <w:bCs/>
          <w:color w:val="000000"/>
          <w:sz w:val="32"/>
          <w:szCs w:val="32"/>
        </w:rPr>
        <w:t>）</w:t>
      </w:r>
      <w:r>
        <w:rPr>
          <w:rStyle w:val="15"/>
          <w:rFonts w:hint="eastAsia" w:ascii="仿宋_GB2312" w:eastAsia="仿宋_GB2312"/>
          <w:b w:val="0"/>
          <w:bCs/>
          <w:color w:val="000000"/>
          <w:sz w:val="32"/>
          <w:szCs w:val="32"/>
        </w:rPr>
        <w:t>支出决算为</w:t>
      </w:r>
      <w:r>
        <w:rPr>
          <w:rStyle w:val="15"/>
          <w:rFonts w:ascii="仿宋_GB2312" w:eastAsia="仿宋_GB2312"/>
          <w:b w:val="0"/>
          <w:bCs/>
          <w:color w:val="000000"/>
          <w:sz w:val="32"/>
          <w:szCs w:val="32"/>
        </w:rPr>
        <w:t>24.17</w:t>
      </w:r>
      <w:r>
        <w:rPr>
          <w:rStyle w:val="15"/>
          <w:rFonts w:hint="eastAsia" w:ascii="仿宋_GB2312" w:eastAsia="仿宋_GB2312"/>
          <w:b w:val="0"/>
          <w:bCs/>
          <w:color w:val="000000"/>
          <w:sz w:val="32"/>
          <w:szCs w:val="32"/>
        </w:rPr>
        <w:t>万元，完成预算</w:t>
      </w:r>
      <w:r>
        <w:rPr>
          <w:rStyle w:val="15"/>
          <w:rFonts w:ascii="仿宋_GB2312" w:eastAsia="仿宋_GB2312"/>
          <w:b w:val="0"/>
          <w:bCs/>
          <w:color w:val="000000"/>
          <w:sz w:val="32"/>
          <w:szCs w:val="32"/>
        </w:rPr>
        <w:t>84.90</w:t>
      </w:r>
      <w:r>
        <w:rPr>
          <w:rStyle w:val="15"/>
          <w:rFonts w:hint="eastAsia" w:ascii="仿宋_GB2312" w:eastAsia="仿宋_GB2312"/>
          <w:b w:val="0"/>
          <w:bCs/>
          <w:color w:val="000000"/>
          <w:sz w:val="32"/>
          <w:szCs w:val="32"/>
        </w:rPr>
        <w:t>%</w:t>
      </w:r>
      <w:r>
        <w:rPr>
          <w:rStyle w:val="15"/>
          <w:rFonts w:ascii="仿宋_GB2312" w:eastAsia="仿宋_GB2312"/>
          <w:b w:val="0"/>
          <w:bCs/>
          <w:color w:val="000000"/>
          <w:sz w:val="32"/>
          <w:szCs w:val="32"/>
        </w:rPr>
        <w:t>，</w:t>
      </w:r>
      <w:r>
        <w:rPr>
          <w:rStyle w:val="15"/>
          <w:rFonts w:hint="eastAsia" w:ascii="仿宋" w:eastAsia="仿宋"/>
          <w:b w:val="0"/>
          <w:bCs/>
          <w:color w:val="000000"/>
          <w:sz w:val="32"/>
          <w:szCs w:val="32"/>
        </w:rPr>
        <w:t>决算数小于预算数的主要原因是</w:t>
      </w:r>
      <w:r>
        <w:rPr>
          <w:rStyle w:val="15"/>
          <w:rFonts w:ascii="仿宋" w:eastAsia="仿宋"/>
          <w:b w:val="0"/>
          <w:bCs/>
          <w:color w:val="000000"/>
          <w:sz w:val="32"/>
          <w:szCs w:val="32"/>
        </w:rPr>
        <w:t>资金结转下年继续使用。</w:t>
      </w:r>
    </w:p>
    <w:p>
      <w:pPr>
        <w:tabs>
          <w:tab w:val="left" w:pos="312"/>
        </w:tabs>
        <w:spacing w:line="560" w:lineRule="exact"/>
        <w:ind w:firstLine="643" w:firstLineChars="200"/>
        <w:rPr>
          <w:rFonts w:ascii="仿宋_GB2312" w:eastAsia="仿宋_GB2312"/>
          <w:b/>
          <w:color w:val="000000"/>
          <w:sz w:val="32"/>
          <w:szCs w:val="32"/>
        </w:rPr>
      </w:pPr>
      <w:r>
        <w:rPr>
          <w:rStyle w:val="15"/>
          <w:rFonts w:hint="eastAsia" w:ascii="仿宋_GB2312" w:eastAsia="仿宋_GB2312"/>
          <w:bCs/>
          <w:color w:val="000000"/>
          <w:sz w:val="32"/>
          <w:szCs w:val="32"/>
        </w:rPr>
        <w:t>3.一般公共服务（</w:t>
      </w:r>
      <w:r>
        <w:rPr>
          <w:rStyle w:val="15"/>
          <w:rFonts w:ascii="仿宋_GB2312" w:eastAsia="仿宋_GB2312"/>
          <w:bCs/>
          <w:color w:val="000000"/>
          <w:sz w:val="32"/>
          <w:szCs w:val="32"/>
        </w:rPr>
        <w:t>类</w:t>
      </w:r>
      <w:r>
        <w:rPr>
          <w:rStyle w:val="15"/>
          <w:rFonts w:hint="eastAsia" w:ascii="仿宋_GB2312" w:eastAsia="仿宋_GB2312"/>
          <w:bCs/>
          <w:color w:val="000000"/>
          <w:sz w:val="32"/>
          <w:szCs w:val="32"/>
        </w:rPr>
        <w:t>）审计事务（</w:t>
      </w:r>
      <w:r>
        <w:rPr>
          <w:rStyle w:val="15"/>
          <w:rFonts w:ascii="仿宋_GB2312" w:eastAsia="仿宋_GB2312"/>
          <w:bCs/>
          <w:color w:val="000000"/>
          <w:sz w:val="32"/>
          <w:szCs w:val="32"/>
        </w:rPr>
        <w:t>款</w:t>
      </w:r>
      <w:r>
        <w:rPr>
          <w:rStyle w:val="15"/>
          <w:rFonts w:hint="eastAsia" w:ascii="仿宋_GB2312" w:eastAsia="仿宋_GB2312"/>
          <w:bCs/>
          <w:color w:val="000000"/>
          <w:sz w:val="32"/>
          <w:szCs w:val="32"/>
        </w:rPr>
        <w:t>）事业运行（</w:t>
      </w:r>
      <w:r>
        <w:rPr>
          <w:rStyle w:val="15"/>
          <w:rFonts w:ascii="仿宋_GB2312" w:eastAsia="仿宋_GB2312"/>
          <w:bCs/>
          <w:color w:val="000000"/>
          <w:sz w:val="32"/>
          <w:szCs w:val="32"/>
        </w:rPr>
        <w:t>项</w:t>
      </w:r>
      <w:r>
        <w:rPr>
          <w:rStyle w:val="15"/>
          <w:rFonts w:hint="eastAsia" w:ascii="仿宋_GB2312" w:eastAsia="仿宋_GB2312"/>
          <w:bCs/>
          <w:color w:val="000000"/>
          <w:sz w:val="32"/>
          <w:szCs w:val="32"/>
        </w:rPr>
        <w:t>）</w:t>
      </w:r>
      <w:r>
        <w:rPr>
          <w:rStyle w:val="15"/>
          <w:rFonts w:hint="eastAsia" w:ascii="仿宋_GB2312" w:eastAsia="仿宋_GB2312"/>
          <w:b w:val="0"/>
          <w:bCs/>
          <w:color w:val="000000"/>
          <w:sz w:val="32"/>
          <w:szCs w:val="32"/>
        </w:rPr>
        <w:t>支出决算为</w:t>
      </w:r>
      <w:r>
        <w:rPr>
          <w:rStyle w:val="15"/>
          <w:rFonts w:ascii="仿宋_GB2312" w:eastAsia="仿宋_GB2312"/>
          <w:b w:val="0"/>
          <w:bCs/>
          <w:color w:val="000000"/>
          <w:sz w:val="32"/>
          <w:szCs w:val="32"/>
        </w:rPr>
        <w:t>56.91</w:t>
      </w:r>
      <w:r>
        <w:rPr>
          <w:rStyle w:val="15"/>
          <w:rFonts w:hint="eastAsia" w:ascii="仿宋_GB2312" w:eastAsia="仿宋_GB2312"/>
          <w:b w:val="0"/>
          <w:bCs/>
          <w:color w:val="000000"/>
          <w:sz w:val="32"/>
          <w:szCs w:val="32"/>
        </w:rPr>
        <w:t>万元，完成预算100%。</w:t>
      </w:r>
    </w:p>
    <w:p>
      <w:pPr>
        <w:spacing w:line="560" w:lineRule="exact"/>
        <w:ind w:firstLine="643" w:firstLineChars="200"/>
        <w:rPr>
          <w:rStyle w:val="15"/>
          <w:rFonts w:ascii="仿宋_GB2312" w:eastAsia="仿宋_GB2312"/>
          <w:b w:val="0"/>
          <w:bCs/>
          <w:color w:val="000000"/>
          <w:sz w:val="32"/>
          <w:szCs w:val="32"/>
        </w:rPr>
      </w:pPr>
      <w:r>
        <w:rPr>
          <w:rStyle w:val="15"/>
          <w:rFonts w:hint="eastAsia" w:ascii="仿宋_GB2312" w:eastAsia="仿宋_GB2312"/>
          <w:bCs/>
          <w:color w:val="000000"/>
          <w:sz w:val="32"/>
          <w:szCs w:val="32"/>
        </w:rPr>
        <w:t>4.社会保障和就业（</w:t>
      </w:r>
      <w:r>
        <w:rPr>
          <w:rStyle w:val="15"/>
          <w:rFonts w:ascii="仿宋_GB2312" w:eastAsia="仿宋_GB2312"/>
          <w:bCs/>
          <w:color w:val="000000"/>
          <w:sz w:val="32"/>
          <w:szCs w:val="32"/>
        </w:rPr>
        <w:t>类</w:t>
      </w:r>
      <w:r>
        <w:rPr>
          <w:rStyle w:val="15"/>
          <w:rFonts w:hint="eastAsia" w:ascii="仿宋_GB2312" w:eastAsia="仿宋_GB2312"/>
          <w:bCs/>
          <w:color w:val="000000"/>
          <w:sz w:val="32"/>
          <w:szCs w:val="32"/>
        </w:rPr>
        <w:t>）行政事业单位离退休（</w:t>
      </w:r>
      <w:r>
        <w:rPr>
          <w:rStyle w:val="15"/>
          <w:rFonts w:ascii="仿宋_GB2312" w:eastAsia="仿宋_GB2312"/>
          <w:bCs/>
          <w:color w:val="000000"/>
          <w:sz w:val="32"/>
          <w:szCs w:val="32"/>
        </w:rPr>
        <w:t>款</w:t>
      </w:r>
      <w:r>
        <w:rPr>
          <w:rStyle w:val="15"/>
          <w:rFonts w:hint="eastAsia" w:ascii="仿宋_GB2312" w:eastAsia="仿宋_GB2312"/>
          <w:bCs/>
          <w:color w:val="000000"/>
          <w:sz w:val="32"/>
          <w:szCs w:val="32"/>
        </w:rPr>
        <w:t>）机关事业单位基本养老保险缴费支出（</w:t>
      </w:r>
      <w:r>
        <w:rPr>
          <w:rStyle w:val="15"/>
          <w:rFonts w:ascii="仿宋_GB2312" w:eastAsia="仿宋_GB2312"/>
          <w:bCs/>
          <w:color w:val="000000"/>
          <w:sz w:val="32"/>
          <w:szCs w:val="32"/>
        </w:rPr>
        <w:t>项</w:t>
      </w:r>
      <w:r>
        <w:rPr>
          <w:rStyle w:val="15"/>
          <w:rFonts w:hint="eastAsia" w:ascii="仿宋_GB2312" w:eastAsia="仿宋_GB2312"/>
          <w:bCs/>
          <w:color w:val="000000"/>
          <w:sz w:val="32"/>
          <w:szCs w:val="32"/>
        </w:rPr>
        <w:t>）:</w:t>
      </w:r>
      <w:r>
        <w:rPr>
          <w:rStyle w:val="15"/>
          <w:rFonts w:hint="eastAsia" w:ascii="仿宋_GB2312" w:eastAsia="仿宋_GB2312"/>
          <w:b w:val="0"/>
          <w:bCs/>
          <w:color w:val="000000"/>
          <w:sz w:val="32"/>
          <w:szCs w:val="32"/>
        </w:rPr>
        <w:t xml:space="preserve"> 支出决算为</w:t>
      </w:r>
      <w:r>
        <w:rPr>
          <w:rStyle w:val="15"/>
          <w:rFonts w:ascii="仿宋_GB2312" w:eastAsia="仿宋_GB2312"/>
          <w:b w:val="0"/>
          <w:bCs/>
          <w:color w:val="000000"/>
          <w:sz w:val="32"/>
          <w:szCs w:val="32"/>
        </w:rPr>
        <w:t>22.45</w:t>
      </w:r>
      <w:r>
        <w:rPr>
          <w:rStyle w:val="15"/>
          <w:rFonts w:hint="eastAsia" w:ascii="仿宋_GB2312" w:eastAsia="仿宋_GB2312"/>
          <w:b w:val="0"/>
          <w:bCs/>
          <w:color w:val="000000"/>
          <w:sz w:val="32"/>
          <w:szCs w:val="32"/>
        </w:rPr>
        <w:t>万元，完成预算100%。</w:t>
      </w:r>
    </w:p>
    <w:p>
      <w:pPr>
        <w:spacing w:line="560" w:lineRule="exact"/>
        <w:ind w:firstLine="643" w:firstLineChars="200"/>
        <w:rPr>
          <w:rStyle w:val="15"/>
          <w:rFonts w:ascii="仿宋_GB2312" w:eastAsia="仿宋_GB2312"/>
          <w:b w:val="0"/>
          <w:bCs/>
          <w:color w:val="000000"/>
          <w:sz w:val="32"/>
          <w:szCs w:val="32"/>
        </w:rPr>
      </w:pPr>
      <w:r>
        <w:rPr>
          <w:rStyle w:val="15"/>
          <w:rFonts w:hint="eastAsia" w:ascii="仿宋_GB2312" w:eastAsia="仿宋_GB2312"/>
          <w:bCs/>
          <w:color w:val="000000"/>
          <w:sz w:val="32"/>
          <w:szCs w:val="32"/>
        </w:rPr>
        <w:t>5.社会保障和就业（</w:t>
      </w:r>
      <w:r>
        <w:rPr>
          <w:rStyle w:val="15"/>
          <w:rFonts w:ascii="仿宋_GB2312" w:eastAsia="仿宋_GB2312"/>
          <w:bCs/>
          <w:color w:val="000000"/>
          <w:sz w:val="32"/>
          <w:szCs w:val="32"/>
        </w:rPr>
        <w:t>类</w:t>
      </w:r>
      <w:r>
        <w:rPr>
          <w:rStyle w:val="15"/>
          <w:rFonts w:hint="eastAsia" w:ascii="仿宋_GB2312" w:eastAsia="仿宋_GB2312"/>
          <w:bCs/>
          <w:color w:val="000000"/>
          <w:sz w:val="32"/>
          <w:szCs w:val="32"/>
        </w:rPr>
        <w:t>）行政事业单位离退休（</w:t>
      </w:r>
      <w:r>
        <w:rPr>
          <w:rStyle w:val="15"/>
          <w:rFonts w:ascii="仿宋_GB2312" w:eastAsia="仿宋_GB2312"/>
          <w:bCs/>
          <w:color w:val="000000"/>
          <w:sz w:val="32"/>
          <w:szCs w:val="32"/>
        </w:rPr>
        <w:t>款</w:t>
      </w:r>
      <w:r>
        <w:rPr>
          <w:rStyle w:val="15"/>
          <w:rFonts w:hint="eastAsia" w:ascii="仿宋_GB2312" w:eastAsia="仿宋_GB2312"/>
          <w:bCs/>
          <w:color w:val="000000"/>
          <w:sz w:val="32"/>
          <w:szCs w:val="32"/>
        </w:rPr>
        <w:t>）机关事业单位职业年金缴费支出（</w:t>
      </w:r>
      <w:r>
        <w:rPr>
          <w:rStyle w:val="15"/>
          <w:rFonts w:ascii="仿宋_GB2312" w:eastAsia="仿宋_GB2312"/>
          <w:bCs/>
          <w:color w:val="000000"/>
          <w:sz w:val="32"/>
          <w:szCs w:val="32"/>
        </w:rPr>
        <w:t>项</w:t>
      </w:r>
      <w:r>
        <w:rPr>
          <w:rStyle w:val="15"/>
          <w:rFonts w:hint="eastAsia" w:ascii="仿宋_GB2312" w:eastAsia="仿宋_GB2312"/>
          <w:bCs/>
          <w:color w:val="000000"/>
          <w:sz w:val="32"/>
          <w:szCs w:val="32"/>
        </w:rPr>
        <w:t>）:</w:t>
      </w:r>
      <w:r>
        <w:rPr>
          <w:rStyle w:val="15"/>
          <w:rFonts w:hint="eastAsia" w:ascii="仿宋_GB2312" w:eastAsia="仿宋_GB2312"/>
          <w:b w:val="0"/>
          <w:bCs/>
          <w:color w:val="000000"/>
          <w:sz w:val="32"/>
          <w:szCs w:val="32"/>
        </w:rPr>
        <w:t>支出决算为</w:t>
      </w:r>
      <w:r>
        <w:rPr>
          <w:rStyle w:val="15"/>
          <w:rFonts w:ascii="仿宋_GB2312" w:eastAsia="仿宋_GB2312"/>
          <w:b w:val="0"/>
          <w:bCs/>
          <w:color w:val="000000"/>
          <w:sz w:val="32"/>
          <w:szCs w:val="32"/>
        </w:rPr>
        <w:t>10.40</w:t>
      </w:r>
      <w:r>
        <w:rPr>
          <w:rStyle w:val="15"/>
          <w:rFonts w:hint="eastAsia" w:ascii="仿宋_GB2312" w:eastAsia="仿宋_GB2312"/>
          <w:b w:val="0"/>
          <w:bCs/>
          <w:color w:val="000000"/>
          <w:sz w:val="32"/>
          <w:szCs w:val="32"/>
        </w:rPr>
        <w:t>万元，完成预算100%。</w:t>
      </w:r>
    </w:p>
    <w:p>
      <w:pPr>
        <w:spacing w:line="560" w:lineRule="exact"/>
        <w:ind w:firstLine="643" w:firstLineChars="200"/>
        <w:rPr>
          <w:rStyle w:val="15"/>
          <w:rFonts w:ascii="仿宋_GB2312" w:eastAsia="仿宋_GB2312"/>
          <w:b w:val="0"/>
          <w:bCs/>
          <w:color w:val="000000"/>
          <w:sz w:val="32"/>
          <w:szCs w:val="32"/>
        </w:rPr>
      </w:pPr>
      <w:r>
        <w:rPr>
          <w:rStyle w:val="15"/>
          <w:rFonts w:hint="eastAsia" w:ascii="仿宋_GB2312" w:eastAsia="仿宋_GB2312"/>
          <w:bCs/>
          <w:color w:val="000000"/>
          <w:sz w:val="32"/>
          <w:szCs w:val="32"/>
        </w:rPr>
        <w:t>6.医疗卫生与计划生育（</w:t>
      </w:r>
      <w:r>
        <w:rPr>
          <w:rStyle w:val="15"/>
          <w:rFonts w:ascii="仿宋_GB2312" w:eastAsia="仿宋_GB2312"/>
          <w:bCs/>
          <w:color w:val="000000"/>
          <w:sz w:val="32"/>
          <w:szCs w:val="32"/>
        </w:rPr>
        <w:t>类</w:t>
      </w:r>
      <w:r>
        <w:rPr>
          <w:rStyle w:val="15"/>
          <w:rFonts w:hint="eastAsia" w:ascii="仿宋_GB2312" w:eastAsia="仿宋_GB2312"/>
          <w:bCs/>
          <w:color w:val="000000"/>
          <w:sz w:val="32"/>
          <w:szCs w:val="32"/>
        </w:rPr>
        <w:t>）行政事业单位医疗（</w:t>
      </w:r>
      <w:r>
        <w:rPr>
          <w:rStyle w:val="15"/>
          <w:rFonts w:ascii="仿宋_GB2312" w:eastAsia="仿宋_GB2312"/>
          <w:bCs/>
          <w:color w:val="000000"/>
          <w:sz w:val="32"/>
          <w:szCs w:val="32"/>
        </w:rPr>
        <w:t>款</w:t>
      </w:r>
      <w:r>
        <w:rPr>
          <w:rStyle w:val="15"/>
          <w:rFonts w:hint="eastAsia" w:ascii="仿宋_GB2312" w:eastAsia="仿宋_GB2312"/>
          <w:bCs/>
          <w:color w:val="000000"/>
          <w:sz w:val="32"/>
          <w:szCs w:val="32"/>
        </w:rPr>
        <w:t>）行政单位医疗（</w:t>
      </w:r>
      <w:r>
        <w:rPr>
          <w:rStyle w:val="15"/>
          <w:rFonts w:ascii="仿宋_GB2312" w:eastAsia="仿宋_GB2312"/>
          <w:bCs/>
          <w:color w:val="000000"/>
          <w:sz w:val="32"/>
          <w:szCs w:val="32"/>
        </w:rPr>
        <w:t>项</w:t>
      </w:r>
      <w:r>
        <w:rPr>
          <w:rStyle w:val="15"/>
          <w:rFonts w:hint="eastAsia" w:ascii="仿宋_GB2312" w:eastAsia="仿宋_GB2312"/>
          <w:bCs/>
          <w:color w:val="000000"/>
          <w:sz w:val="32"/>
          <w:szCs w:val="32"/>
        </w:rPr>
        <w:t>）:</w:t>
      </w:r>
      <w:r>
        <w:rPr>
          <w:rStyle w:val="15"/>
          <w:rFonts w:hint="eastAsia" w:ascii="仿宋_GB2312" w:eastAsia="仿宋_GB2312"/>
          <w:b w:val="0"/>
          <w:color w:val="000000"/>
          <w:sz w:val="32"/>
          <w:szCs w:val="32"/>
        </w:rPr>
        <w:t>支</w:t>
      </w:r>
      <w:r>
        <w:rPr>
          <w:rStyle w:val="15"/>
          <w:rFonts w:hint="eastAsia" w:ascii="仿宋_GB2312" w:eastAsia="仿宋_GB2312"/>
          <w:b w:val="0"/>
          <w:bCs/>
          <w:color w:val="000000"/>
          <w:sz w:val="32"/>
          <w:szCs w:val="32"/>
        </w:rPr>
        <w:t>出决算为</w:t>
      </w:r>
      <w:r>
        <w:rPr>
          <w:rStyle w:val="15"/>
          <w:rFonts w:ascii="仿宋_GB2312" w:eastAsia="仿宋_GB2312"/>
          <w:b w:val="0"/>
          <w:bCs/>
          <w:color w:val="000000"/>
          <w:sz w:val="32"/>
          <w:szCs w:val="32"/>
        </w:rPr>
        <w:t>10.16</w:t>
      </w:r>
      <w:r>
        <w:rPr>
          <w:rStyle w:val="15"/>
          <w:rFonts w:hint="eastAsia" w:ascii="仿宋_GB2312" w:eastAsia="仿宋_GB2312"/>
          <w:b w:val="0"/>
          <w:bCs/>
          <w:color w:val="000000"/>
          <w:sz w:val="32"/>
          <w:szCs w:val="32"/>
        </w:rPr>
        <w:t>万元，完成预算100%。</w:t>
      </w:r>
    </w:p>
    <w:p>
      <w:pPr>
        <w:spacing w:line="560" w:lineRule="exact"/>
        <w:ind w:firstLine="643" w:firstLineChars="200"/>
        <w:rPr>
          <w:rStyle w:val="15"/>
          <w:rFonts w:ascii="仿宋_GB2312" w:eastAsia="仿宋_GB2312"/>
          <w:b w:val="0"/>
          <w:bCs/>
          <w:color w:val="000000"/>
          <w:sz w:val="32"/>
          <w:szCs w:val="32"/>
        </w:rPr>
      </w:pPr>
      <w:r>
        <w:rPr>
          <w:rStyle w:val="15"/>
          <w:rFonts w:hint="eastAsia" w:ascii="仿宋_GB2312" w:eastAsia="仿宋_GB2312"/>
          <w:bCs/>
          <w:color w:val="000000"/>
          <w:sz w:val="32"/>
          <w:szCs w:val="32"/>
        </w:rPr>
        <w:t>7.医疗卫生与计划生育（</w:t>
      </w:r>
      <w:r>
        <w:rPr>
          <w:rStyle w:val="15"/>
          <w:rFonts w:ascii="仿宋_GB2312" w:eastAsia="仿宋_GB2312"/>
          <w:bCs/>
          <w:color w:val="000000"/>
          <w:sz w:val="32"/>
          <w:szCs w:val="32"/>
        </w:rPr>
        <w:t>类</w:t>
      </w:r>
      <w:r>
        <w:rPr>
          <w:rStyle w:val="15"/>
          <w:rFonts w:hint="eastAsia" w:ascii="仿宋_GB2312" w:eastAsia="仿宋_GB2312"/>
          <w:bCs/>
          <w:color w:val="000000"/>
          <w:sz w:val="32"/>
          <w:szCs w:val="32"/>
        </w:rPr>
        <w:t>）行政事业单位医疗（</w:t>
      </w:r>
      <w:r>
        <w:rPr>
          <w:rStyle w:val="15"/>
          <w:rFonts w:ascii="仿宋_GB2312" w:eastAsia="仿宋_GB2312"/>
          <w:bCs/>
          <w:color w:val="000000"/>
          <w:sz w:val="32"/>
          <w:szCs w:val="32"/>
        </w:rPr>
        <w:t>款</w:t>
      </w:r>
      <w:r>
        <w:rPr>
          <w:rStyle w:val="15"/>
          <w:rFonts w:hint="eastAsia" w:ascii="仿宋_GB2312" w:eastAsia="仿宋_GB2312"/>
          <w:bCs/>
          <w:color w:val="000000"/>
          <w:sz w:val="32"/>
          <w:szCs w:val="32"/>
        </w:rPr>
        <w:t>）事业单位医疗（</w:t>
      </w:r>
      <w:r>
        <w:rPr>
          <w:rStyle w:val="15"/>
          <w:rFonts w:ascii="仿宋_GB2312" w:eastAsia="仿宋_GB2312"/>
          <w:bCs/>
          <w:color w:val="000000"/>
          <w:sz w:val="32"/>
          <w:szCs w:val="32"/>
        </w:rPr>
        <w:t>项</w:t>
      </w:r>
      <w:r>
        <w:rPr>
          <w:rStyle w:val="15"/>
          <w:rFonts w:hint="eastAsia" w:ascii="仿宋_GB2312" w:eastAsia="仿宋_GB2312"/>
          <w:bCs/>
          <w:color w:val="000000"/>
          <w:sz w:val="32"/>
          <w:szCs w:val="32"/>
        </w:rPr>
        <w:t>）:</w:t>
      </w:r>
      <w:r>
        <w:rPr>
          <w:rStyle w:val="15"/>
          <w:rFonts w:hint="eastAsia" w:ascii="仿宋_GB2312" w:eastAsia="仿宋_GB2312"/>
          <w:b w:val="0"/>
          <w:bCs/>
          <w:color w:val="000000"/>
          <w:sz w:val="32"/>
          <w:szCs w:val="32"/>
        </w:rPr>
        <w:t>支出决算为</w:t>
      </w:r>
      <w:r>
        <w:rPr>
          <w:rStyle w:val="15"/>
          <w:rFonts w:ascii="仿宋_GB2312" w:eastAsia="仿宋_GB2312"/>
          <w:b w:val="0"/>
          <w:bCs/>
          <w:color w:val="000000"/>
          <w:sz w:val="32"/>
          <w:szCs w:val="32"/>
        </w:rPr>
        <w:t>5.73</w:t>
      </w:r>
      <w:r>
        <w:rPr>
          <w:rStyle w:val="15"/>
          <w:rFonts w:hint="eastAsia" w:ascii="仿宋_GB2312" w:eastAsia="仿宋_GB2312"/>
          <w:b w:val="0"/>
          <w:bCs/>
          <w:color w:val="000000"/>
          <w:sz w:val="32"/>
          <w:szCs w:val="32"/>
        </w:rPr>
        <w:t>万元，完成预算100%。</w:t>
      </w:r>
    </w:p>
    <w:p>
      <w:pPr>
        <w:spacing w:line="560" w:lineRule="exact"/>
        <w:ind w:firstLine="643" w:firstLineChars="200"/>
        <w:rPr>
          <w:rStyle w:val="15"/>
          <w:rFonts w:ascii="仿宋_GB2312" w:eastAsia="仿宋_GB2312"/>
          <w:b w:val="0"/>
          <w:bCs/>
          <w:color w:val="000000"/>
          <w:sz w:val="32"/>
          <w:szCs w:val="32"/>
        </w:rPr>
      </w:pPr>
      <w:r>
        <w:rPr>
          <w:rStyle w:val="15"/>
          <w:rFonts w:hint="eastAsia" w:ascii="仿宋_GB2312" w:eastAsia="仿宋_GB2312"/>
          <w:bCs/>
          <w:color w:val="000000"/>
          <w:sz w:val="32"/>
          <w:szCs w:val="32"/>
        </w:rPr>
        <w:t>8.住房保障支出（</w:t>
      </w:r>
      <w:r>
        <w:rPr>
          <w:rStyle w:val="15"/>
          <w:rFonts w:ascii="仿宋_GB2312" w:eastAsia="仿宋_GB2312"/>
          <w:bCs/>
          <w:color w:val="000000"/>
          <w:sz w:val="32"/>
          <w:szCs w:val="32"/>
        </w:rPr>
        <w:t>类</w:t>
      </w:r>
      <w:r>
        <w:rPr>
          <w:rStyle w:val="15"/>
          <w:rFonts w:hint="eastAsia" w:ascii="仿宋_GB2312" w:eastAsia="仿宋_GB2312"/>
          <w:bCs/>
          <w:color w:val="000000"/>
          <w:sz w:val="32"/>
          <w:szCs w:val="32"/>
        </w:rPr>
        <w:t>）住房改革支出（</w:t>
      </w:r>
      <w:r>
        <w:rPr>
          <w:rStyle w:val="15"/>
          <w:rFonts w:ascii="仿宋_GB2312" w:eastAsia="仿宋_GB2312"/>
          <w:bCs/>
          <w:color w:val="000000"/>
          <w:sz w:val="32"/>
          <w:szCs w:val="32"/>
        </w:rPr>
        <w:t>款</w:t>
      </w:r>
      <w:r>
        <w:rPr>
          <w:rStyle w:val="15"/>
          <w:rFonts w:hint="eastAsia" w:ascii="仿宋_GB2312" w:eastAsia="仿宋_GB2312"/>
          <w:bCs/>
          <w:color w:val="000000"/>
          <w:sz w:val="32"/>
          <w:szCs w:val="32"/>
        </w:rPr>
        <w:t>）住房公积金（</w:t>
      </w:r>
      <w:r>
        <w:rPr>
          <w:rStyle w:val="15"/>
          <w:rFonts w:ascii="仿宋_GB2312" w:eastAsia="仿宋_GB2312"/>
          <w:bCs/>
          <w:color w:val="000000"/>
          <w:sz w:val="32"/>
          <w:szCs w:val="32"/>
        </w:rPr>
        <w:t>项</w:t>
      </w:r>
      <w:r>
        <w:rPr>
          <w:rStyle w:val="15"/>
          <w:rFonts w:hint="eastAsia" w:ascii="仿宋_GB2312" w:eastAsia="仿宋_GB2312"/>
          <w:bCs/>
          <w:color w:val="000000"/>
          <w:sz w:val="32"/>
          <w:szCs w:val="32"/>
        </w:rPr>
        <w:t>）：</w:t>
      </w:r>
      <w:r>
        <w:rPr>
          <w:rStyle w:val="15"/>
          <w:rFonts w:hint="eastAsia" w:ascii="仿宋_GB2312" w:eastAsia="仿宋_GB2312"/>
          <w:b w:val="0"/>
          <w:bCs/>
          <w:color w:val="000000"/>
          <w:sz w:val="32"/>
          <w:szCs w:val="32"/>
        </w:rPr>
        <w:t>支出决算为</w:t>
      </w:r>
      <w:r>
        <w:rPr>
          <w:rStyle w:val="15"/>
          <w:rFonts w:ascii="仿宋_GB2312" w:eastAsia="仿宋_GB2312"/>
          <w:b w:val="0"/>
          <w:bCs/>
          <w:color w:val="000000"/>
          <w:sz w:val="32"/>
          <w:szCs w:val="32"/>
        </w:rPr>
        <w:t>21.47</w:t>
      </w:r>
      <w:r>
        <w:rPr>
          <w:rStyle w:val="15"/>
          <w:rFonts w:hint="eastAsia" w:ascii="仿宋_GB2312" w:eastAsia="仿宋_GB2312"/>
          <w:b w:val="0"/>
          <w:bCs/>
          <w:color w:val="000000"/>
          <w:sz w:val="32"/>
          <w:szCs w:val="32"/>
        </w:rPr>
        <w:t>万元，完成预算100%。</w:t>
      </w:r>
    </w:p>
    <w:p>
      <w:pPr>
        <w:tabs>
          <w:tab w:val="right" w:pos="8306"/>
        </w:tabs>
        <w:spacing w:line="560" w:lineRule="exact"/>
        <w:ind w:firstLine="640"/>
        <w:outlineLvl w:val="1"/>
        <w:rPr>
          <w:rStyle w:val="18"/>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、一</w:t>
      </w:r>
      <w:r>
        <w:rPr>
          <w:rStyle w:val="18"/>
          <w:rFonts w:hint="eastAsia" w:ascii="黑体" w:eastAsia="黑体"/>
          <w:b w:val="0"/>
        </w:rPr>
        <w:t>般公共预算财政拨款基本支出决算情况说明</w:t>
      </w:r>
      <w:bookmarkEnd w:id="40"/>
      <w:bookmarkEnd w:id="41"/>
      <w:r>
        <w:rPr>
          <w:rStyle w:val="18"/>
          <w:rFonts w:ascii="黑体" w:eastAsia="黑体"/>
          <w:b w:val="0"/>
        </w:rPr>
        <w:tab/>
      </w:r>
    </w:p>
    <w:p>
      <w:pPr>
        <w:spacing w:line="560" w:lineRule="exact"/>
        <w:ind w:firstLine="645"/>
        <w:rPr>
          <w:rStyle w:val="15"/>
          <w:rFonts w:ascii="仿宋_GB2312" w:eastAsia="仿宋_GB2312"/>
          <w:b w:val="0"/>
          <w:bCs/>
          <w:color w:val="000000"/>
          <w:sz w:val="32"/>
          <w:szCs w:val="32"/>
        </w:rPr>
      </w:pPr>
      <w:r>
        <w:rPr>
          <w:rStyle w:val="15"/>
          <w:rFonts w:hint="eastAsia" w:ascii="仿宋_GB2312" w:eastAsia="仿宋_GB2312"/>
          <w:b w:val="0"/>
          <w:bCs/>
          <w:color w:val="000000"/>
          <w:sz w:val="32"/>
          <w:szCs w:val="32"/>
        </w:rPr>
        <w:t>2019年一般公共预算财政拨款基本支出295.6</w:t>
      </w:r>
      <w:r>
        <w:rPr>
          <w:rStyle w:val="15"/>
          <w:rFonts w:ascii="仿宋_GB2312" w:eastAsia="仿宋_GB2312"/>
          <w:b w:val="0"/>
          <w:bCs/>
          <w:color w:val="000000"/>
          <w:sz w:val="32"/>
          <w:szCs w:val="32"/>
        </w:rPr>
        <w:t>4</w:t>
      </w:r>
      <w:r>
        <w:rPr>
          <w:rStyle w:val="15"/>
          <w:rFonts w:hint="eastAsia" w:ascii="仿宋_GB2312" w:eastAsia="仿宋_GB2312"/>
          <w:b w:val="0"/>
          <w:bCs/>
          <w:color w:val="000000"/>
          <w:sz w:val="32"/>
          <w:szCs w:val="32"/>
        </w:rPr>
        <w:t>万元，其中：</w:t>
      </w:r>
    </w:p>
    <w:p>
      <w:pPr>
        <w:spacing w:line="560" w:lineRule="exact"/>
        <w:ind w:firstLine="645"/>
        <w:rPr>
          <w:rStyle w:val="15"/>
          <w:rFonts w:ascii="仿宋_GB2312" w:eastAsia="仿宋_GB2312"/>
          <w:b w:val="0"/>
          <w:bCs/>
          <w:color w:val="000000"/>
          <w:sz w:val="32"/>
          <w:szCs w:val="32"/>
        </w:rPr>
      </w:pPr>
      <w:r>
        <w:rPr>
          <w:rStyle w:val="15"/>
          <w:rFonts w:hint="eastAsia" w:ascii="仿宋_GB2312" w:eastAsia="仿宋_GB2312"/>
          <w:b w:val="0"/>
          <w:bCs/>
          <w:color w:val="000000"/>
          <w:sz w:val="32"/>
          <w:szCs w:val="32"/>
        </w:rPr>
        <w:t>人员经费254.6</w:t>
      </w:r>
      <w:r>
        <w:rPr>
          <w:rStyle w:val="15"/>
          <w:rFonts w:ascii="仿宋_GB2312" w:eastAsia="仿宋_GB2312"/>
          <w:b w:val="0"/>
          <w:bCs/>
          <w:color w:val="000000"/>
          <w:sz w:val="32"/>
          <w:szCs w:val="32"/>
        </w:rPr>
        <w:t>9</w:t>
      </w:r>
      <w:r>
        <w:rPr>
          <w:rStyle w:val="15"/>
          <w:rFonts w:hint="eastAsia" w:ascii="仿宋_GB2312" w:eastAsia="仿宋_GB2312"/>
          <w:b w:val="0"/>
          <w:bCs/>
          <w:color w:val="000000"/>
          <w:sz w:val="32"/>
          <w:szCs w:val="32"/>
        </w:rPr>
        <w:t>万元，主要包括：基本工资、津贴补贴、奖金、绩效工资、机关事业单位基本养老保险缴费、职业年金缴费、</w:t>
      </w:r>
      <w:r>
        <w:rPr>
          <w:rStyle w:val="15"/>
          <w:rFonts w:ascii="仿宋_GB2312" w:eastAsia="仿宋_GB2312"/>
          <w:b w:val="0"/>
          <w:bCs/>
          <w:color w:val="000000"/>
          <w:sz w:val="32"/>
          <w:szCs w:val="32"/>
        </w:rPr>
        <w:t>职工基本医疗保险缴费、</w:t>
      </w:r>
      <w:r>
        <w:rPr>
          <w:rStyle w:val="15"/>
          <w:rFonts w:hint="eastAsia" w:ascii="仿宋_GB2312" w:eastAsia="仿宋_GB2312"/>
          <w:b w:val="0"/>
          <w:bCs/>
          <w:color w:val="000000"/>
          <w:sz w:val="32"/>
          <w:szCs w:val="32"/>
        </w:rPr>
        <w:t>其他社会保障缴费、住房公积金、医疗费、生活补助、医疗费补助、奖励金等。</w:t>
      </w:r>
      <w:r>
        <w:rPr>
          <w:rStyle w:val="15"/>
          <w:rFonts w:hint="eastAsia" w:ascii="仿宋_GB2312" w:eastAsia="仿宋_GB2312"/>
          <w:b w:val="0"/>
          <w:bCs/>
          <w:color w:val="000000"/>
          <w:sz w:val="32"/>
          <w:szCs w:val="32"/>
        </w:rPr>
        <w:br w:type="textWrapping"/>
      </w:r>
      <w:r>
        <w:rPr>
          <w:rStyle w:val="15"/>
          <w:rFonts w:hint="eastAsia" w:ascii="仿宋_GB2312" w:eastAsia="仿宋_GB2312"/>
          <w:b w:val="0"/>
          <w:bCs/>
          <w:color w:val="000000"/>
          <w:sz w:val="32"/>
          <w:szCs w:val="32"/>
        </w:rPr>
        <w:t>　　日常公用经费40.9</w:t>
      </w:r>
      <w:r>
        <w:rPr>
          <w:rStyle w:val="15"/>
          <w:rFonts w:ascii="仿宋_GB2312" w:eastAsia="仿宋_GB2312"/>
          <w:b w:val="0"/>
          <w:bCs/>
          <w:color w:val="000000"/>
          <w:sz w:val="32"/>
          <w:szCs w:val="32"/>
        </w:rPr>
        <w:t>5</w:t>
      </w:r>
      <w:r>
        <w:rPr>
          <w:rStyle w:val="15"/>
          <w:rFonts w:hint="eastAsia" w:ascii="仿宋_GB2312" w:eastAsia="仿宋_GB2312"/>
          <w:b w:val="0"/>
          <w:bCs/>
          <w:color w:val="000000"/>
          <w:sz w:val="32"/>
          <w:szCs w:val="32"/>
        </w:rPr>
        <w:t>万元，主要包括：办公费、邮电费、差旅费、培训费、公务接待费、公务用车运行维护费等。</w:t>
      </w:r>
    </w:p>
    <w:p>
      <w:pPr>
        <w:spacing w:line="560" w:lineRule="exact"/>
        <w:ind w:firstLine="640"/>
        <w:outlineLvl w:val="1"/>
        <w:rPr>
          <w:rStyle w:val="18"/>
          <w:rFonts w:ascii="黑体" w:eastAsia="黑体"/>
          <w:b w:val="0"/>
        </w:rPr>
      </w:pPr>
      <w:bookmarkStart w:id="42" w:name="_Toc15396609"/>
      <w:bookmarkStart w:id="43" w:name="_Toc15377215"/>
      <w:r>
        <w:rPr>
          <w:rFonts w:hint="eastAsia" w:ascii="黑体" w:eastAsia="黑体"/>
          <w:color w:val="000000"/>
          <w:sz w:val="32"/>
          <w:szCs w:val="32"/>
        </w:rPr>
        <w:t>七、</w:t>
      </w:r>
      <w:r>
        <w:rPr>
          <w:rStyle w:val="18"/>
          <w:rFonts w:hint="eastAsia" w:ascii="黑体" w:eastAsia="黑体"/>
        </w:rPr>
        <w:t>“</w:t>
      </w:r>
      <w:r>
        <w:rPr>
          <w:rStyle w:val="18"/>
          <w:rFonts w:hint="eastAsia" w:ascii="黑体" w:eastAsia="黑体"/>
          <w:b w:val="0"/>
        </w:rPr>
        <w:t>三公”经费财政拨款支出决算情况说明</w:t>
      </w:r>
      <w:bookmarkEnd w:id="42"/>
      <w:bookmarkEnd w:id="43"/>
    </w:p>
    <w:p>
      <w:pPr>
        <w:spacing w:line="560" w:lineRule="exact"/>
        <w:ind w:firstLine="640"/>
        <w:outlineLvl w:val="2"/>
        <w:rPr>
          <w:rFonts w:hint="eastAsia" w:ascii="楷体_GB2312" w:eastAsia="楷体_GB2312"/>
          <w:b/>
          <w:color w:val="000000"/>
          <w:sz w:val="32"/>
          <w:szCs w:val="32"/>
        </w:rPr>
      </w:pPr>
      <w:bookmarkStart w:id="44" w:name="_Toc15377216"/>
      <w:r>
        <w:rPr>
          <w:rFonts w:hint="eastAsia" w:ascii="楷体_GB2312" w:eastAsia="楷体_GB2312"/>
          <w:b/>
          <w:color w:val="000000"/>
          <w:sz w:val="32"/>
          <w:szCs w:val="32"/>
        </w:rPr>
        <w:t>（一）“三公”经费财政拨款支出决算总体情况说明</w:t>
      </w:r>
      <w:bookmarkEnd w:id="44"/>
    </w:p>
    <w:p>
      <w:pPr>
        <w:spacing w:line="560" w:lineRule="exact"/>
        <w:ind w:firstLine="640"/>
        <w:rPr>
          <w:rStyle w:val="15"/>
          <w:rFonts w:ascii="仿宋_GB2312" w:eastAsia="仿宋_GB2312"/>
          <w:b w:val="0"/>
          <w:bCs/>
          <w:color w:val="000000"/>
          <w:sz w:val="32"/>
          <w:szCs w:val="32"/>
        </w:rPr>
      </w:pPr>
      <w:r>
        <w:rPr>
          <w:rStyle w:val="15"/>
          <w:rFonts w:hint="eastAsia" w:ascii="仿宋_GB2312" w:eastAsia="仿宋_GB2312"/>
          <w:b w:val="0"/>
          <w:bCs/>
          <w:color w:val="000000"/>
          <w:sz w:val="32"/>
          <w:szCs w:val="32"/>
        </w:rPr>
        <w:t>2019年“三公”经费财政拨款支出决算为4.15万元，完成预算96.51%，决算数小于预算数的主要原因是接待费支出较少。</w:t>
      </w:r>
    </w:p>
    <w:p>
      <w:pPr>
        <w:spacing w:line="560" w:lineRule="exact"/>
        <w:ind w:firstLine="640"/>
        <w:outlineLvl w:val="2"/>
        <w:rPr>
          <w:rFonts w:hint="eastAsia" w:ascii="楷体_GB2312" w:eastAsia="楷体_GB2312"/>
          <w:b/>
          <w:color w:val="000000"/>
          <w:sz w:val="32"/>
          <w:szCs w:val="32"/>
        </w:rPr>
      </w:pPr>
      <w:bookmarkStart w:id="45" w:name="_Toc15377217"/>
      <w:r>
        <w:rPr>
          <w:rFonts w:hint="eastAsia" w:ascii="楷体_GB2312" w:eastAsia="楷体_GB2312"/>
          <w:b/>
          <w:color w:val="000000"/>
          <w:sz w:val="32"/>
          <w:szCs w:val="32"/>
        </w:rPr>
        <w:t>（二）“三公”经费财政拨款支出决算具体情况说明</w:t>
      </w:r>
      <w:bookmarkEnd w:id="45"/>
    </w:p>
    <w:p>
      <w:pPr>
        <w:spacing w:line="560" w:lineRule="exact"/>
        <w:ind w:firstLine="640"/>
        <w:rPr>
          <w:rStyle w:val="15"/>
          <w:rFonts w:ascii="仿宋_GB2312" w:eastAsia="仿宋_GB2312"/>
          <w:b w:val="0"/>
          <w:bCs/>
          <w:color w:val="000000"/>
          <w:sz w:val="32"/>
          <w:szCs w:val="32"/>
        </w:rPr>
      </w:pPr>
      <w:r>
        <w:rPr>
          <w:rStyle w:val="15"/>
          <w:rFonts w:hint="eastAsia" w:ascii="仿宋_GB2312" w:eastAsia="仿宋_GB2312"/>
          <w:b w:val="0"/>
          <w:bCs/>
          <w:color w:val="000000"/>
          <w:sz w:val="32"/>
          <w:szCs w:val="32"/>
        </w:rPr>
        <w:t>2019年“三公”经费财政拨款支出决算中，因公出国（境）费支出决算0万元，占0%；公务用车购置及运行维护费支出决算4万元，占96.38%；公务接待费支出决算0.15万元，占3.62%。具体情况如下：</w:t>
      </w:r>
    </w:p>
    <w:p>
      <w:pPr>
        <w:spacing w:line="560" w:lineRule="exact"/>
        <w:ind w:firstLine="640"/>
        <w:rPr>
          <w:rStyle w:val="15"/>
          <w:rFonts w:ascii="仿宋_GB2312" w:eastAsia="仿宋_GB2312"/>
          <w:b w:val="0"/>
          <w:bCs/>
          <w:color w:val="000000"/>
          <w:sz w:val="32"/>
          <w:szCs w:val="32"/>
        </w:rPr>
      </w:pPr>
      <w:r>
        <w:rPr>
          <w:rStyle w:val="15"/>
          <w:rFonts w:ascii="仿宋_GB2312" w:eastAsia="仿宋_GB2312"/>
          <w:b w:val="0"/>
          <w:bCs/>
          <w:color w:val="000000"/>
          <w:sz w:val="32"/>
          <w:szCs w:val="32"/>
        </w:rPr>
        <w:drawing>
          <wp:anchor distT="0" distB="0" distL="67945" distR="67945" simplePos="0" relativeHeight="1024" behindDoc="1" locked="0" layoutInCell="1" allowOverlap="1">
            <wp:simplePos x="0" y="0"/>
            <wp:positionH relativeFrom="column">
              <wp:posOffset>466725</wp:posOffset>
            </wp:positionH>
            <wp:positionV relativeFrom="paragraph">
              <wp:posOffset>144145</wp:posOffset>
            </wp:positionV>
            <wp:extent cx="4264660" cy="2559050"/>
            <wp:effectExtent l="0" t="0" r="0" b="0"/>
            <wp:wrapTopAndBottom/>
            <wp:docPr id="19"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pic:cNvPicPr>
                      <a:picLocks noChangeAspect="1"/>
                    </pic:cNvPicPr>
                  </pic:nvPicPr>
                  <pic:blipFill>
                    <a:blip r:embed="rId12" cstate="print"/>
                    <a:stretch>
                      <a:fillRect/>
                    </a:stretch>
                  </pic:blipFill>
                  <pic:spPr>
                    <a:xfrm>
                      <a:off x="0" y="0"/>
                      <a:ext cx="4264657" cy="2558795"/>
                    </a:xfrm>
                    <a:prstGeom prst="rect">
                      <a:avLst/>
                    </a:prstGeom>
                    <a:noFill/>
                    <a:ln w="9525" cap="flat" cmpd="sng">
                      <a:noFill/>
                      <a:prstDash val="solid"/>
                      <a:miter/>
                    </a:ln>
                  </pic:spPr>
                </pic:pic>
              </a:graphicData>
            </a:graphic>
          </wp:anchor>
        </w:drawing>
      </w:r>
      <w:r>
        <w:rPr>
          <w:rStyle w:val="15"/>
          <w:rFonts w:hint="eastAsia" w:ascii="仿宋_GB2312" w:eastAsia="仿宋_GB2312"/>
          <w:b w:val="0"/>
          <w:bCs/>
          <w:color w:val="000000"/>
          <w:sz w:val="32"/>
          <w:szCs w:val="32"/>
        </w:rPr>
        <w:t>（图7：“三公”经费财政拨款支出结构）（饼状图）</w:t>
      </w:r>
    </w:p>
    <w:p>
      <w:pPr>
        <w:spacing w:line="56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ascii="仿宋_GB2312" w:eastAsia="仿宋_GB2312"/>
          <w:color w:val="000000"/>
          <w:sz w:val="32"/>
          <w:szCs w:val="32"/>
        </w:rPr>
        <w:t>0</w:t>
      </w:r>
      <w:r>
        <w:rPr>
          <w:rFonts w:hint="eastAsia" w:ascii="仿宋_GB2312" w:eastAsia="仿宋_GB2312"/>
          <w:color w:val="000000"/>
          <w:sz w:val="32"/>
          <w:szCs w:val="32"/>
        </w:rPr>
        <w:t>万元</w:t>
      </w:r>
      <w:r>
        <w:rPr>
          <w:rStyle w:val="15"/>
          <w:rFonts w:hint="eastAsia" w:ascii="仿宋" w:eastAsia="仿宋"/>
          <w:b w:val="0"/>
          <w:bCs/>
          <w:color w:val="000000"/>
          <w:sz w:val="32"/>
          <w:szCs w:val="32"/>
        </w:rPr>
        <w:t>。</w:t>
      </w:r>
    </w:p>
    <w:p>
      <w:pPr>
        <w:spacing w:line="56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ascii="仿宋_GB2312" w:eastAsia="仿宋_GB2312"/>
          <w:color w:val="000000"/>
          <w:sz w:val="32"/>
          <w:szCs w:val="32"/>
        </w:rPr>
        <w:t>4</w:t>
      </w:r>
      <w:r>
        <w:rPr>
          <w:rFonts w:hint="eastAsia" w:ascii="仿宋_GB2312" w:eastAsia="仿宋_GB2312"/>
          <w:color w:val="000000"/>
          <w:sz w:val="32"/>
          <w:szCs w:val="32"/>
        </w:rPr>
        <w:t>万元,</w:t>
      </w:r>
      <w:r>
        <w:rPr>
          <w:rStyle w:val="15"/>
          <w:rFonts w:hint="eastAsia" w:ascii="仿宋" w:eastAsia="仿宋"/>
          <w:b w:val="0"/>
          <w:bCs/>
          <w:color w:val="000000"/>
          <w:sz w:val="32"/>
          <w:szCs w:val="32"/>
        </w:rPr>
        <w:t>完成预算</w:t>
      </w:r>
      <w:r>
        <w:rPr>
          <w:rStyle w:val="15"/>
          <w:rFonts w:ascii="仿宋" w:eastAsia="仿宋"/>
          <w:b w:val="0"/>
          <w:bCs/>
          <w:color w:val="000000"/>
          <w:sz w:val="32"/>
          <w:szCs w:val="32"/>
        </w:rPr>
        <w:t>100%</w:t>
      </w:r>
      <w:r>
        <w:rPr>
          <w:rStyle w:val="15"/>
          <w:rFonts w:hint="eastAsia" w:asci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ascii="仿宋_GB2312" w:eastAsia="仿宋_GB2312"/>
          <w:color w:val="000000"/>
          <w:sz w:val="32"/>
          <w:szCs w:val="32"/>
        </w:rPr>
        <w:t>0.6</w:t>
      </w:r>
      <w:r>
        <w:rPr>
          <w:rFonts w:hint="eastAsia" w:ascii="仿宋_GB2312" w:eastAsia="仿宋_GB2312"/>
          <w:color w:val="000000"/>
          <w:sz w:val="32"/>
          <w:szCs w:val="32"/>
        </w:rPr>
        <w:t>万元，下降</w:t>
      </w:r>
      <w:r>
        <w:rPr>
          <w:rFonts w:ascii="仿宋_GB2312" w:eastAsia="仿宋_GB2312"/>
          <w:color w:val="000000"/>
          <w:sz w:val="32"/>
          <w:szCs w:val="32"/>
        </w:rPr>
        <w:t>13.04%</w:t>
      </w:r>
      <w:r>
        <w:rPr>
          <w:rFonts w:hint="eastAsia" w:ascii="仿宋_GB2312" w:eastAsia="仿宋_GB2312"/>
          <w:color w:val="000000"/>
          <w:sz w:val="32"/>
          <w:szCs w:val="32"/>
        </w:rPr>
        <w:t>。主要原因是</w:t>
      </w:r>
      <w:r>
        <w:rPr>
          <w:rFonts w:ascii="仿宋_GB2312" w:eastAsia="仿宋_GB2312"/>
          <w:color w:val="000000"/>
          <w:sz w:val="32"/>
          <w:szCs w:val="32"/>
        </w:rPr>
        <w:t>公务用车维护较少。</w:t>
      </w: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ascii="仿宋_GB2312" w:eastAsia="仿宋_GB2312"/>
          <w:color w:val="000000"/>
          <w:sz w:val="32"/>
          <w:szCs w:val="32"/>
        </w:rPr>
        <w:t>0</w:t>
      </w:r>
      <w:r>
        <w:rPr>
          <w:rFonts w:hint="eastAsia" w:ascii="仿宋_GB2312" w:eastAsia="仿宋_GB2312"/>
          <w:color w:val="000000"/>
          <w:sz w:val="32"/>
          <w:szCs w:val="32"/>
        </w:rPr>
        <w:t>万元。截至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ascii="仿宋_GB2312" w:eastAsia="仿宋_GB2312"/>
          <w:color w:val="000000"/>
          <w:sz w:val="32"/>
          <w:szCs w:val="32"/>
        </w:rPr>
        <w:t>3</w:t>
      </w:r>
      <w:r>
        <w:rPr>
          <w:rFonts w:hint="eastAsia" w:ascii="仿宋_GB2312" w:eastAsia="仿宋_GB2312"/>
          <w:color w:val="000000"/>
          <w:sz w:val="32"/>
          <w:szCs w:val="32"/>
        </w:rPr>
        <w:t>辆，其中：其中：轿车2辆、越野车1辆。</w:t>
      </w:r>
    </w:p>
    <w:p>
      <w:pPr>
        <w:spacing w:line="56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ascii="仿宋_GB2312" w:eastAsia="仿宋_GB2312"/>
          <w:color w:val="000000"/>
          <w:sz w:val="32"/>
          <w:szCs w:val="32"/>
        </w:rPr>
        <w:t>4</w:t>
      </w:r>
      <w:r>
        <w:rPr>
          <w:rFonts w:hint="eastAsia" w:ascii="仿宋_GB2312" w:eastAsia="仿宋_GB2312"/>
          <w:color w:val="000000"/>
          <w:sz w:val="32"/>
          <w:szCs w:val="32"/>
        </w:rPr>
        <w:t>万元。主要用于出差、审计业务等所需的公务用车燃料费、维修费、过路过桥费、保险费等支出。</w:t>
      </w:r>
    </w:p>
    <w:p>
      <w:pPr>
        <w:spacing w:line="56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ascii="仿宋_GB2312" w:eastAsia="仿宋_GB2312"/>
          <w:color w:val="000000"/>
          <w:sz w:val="32"/>
          <w:szCs w:val="32"/>
        </w:rPr>
        <w:t>0.15</w:t>
      </w:r>
      <w:r>
        <w:rPr>
          <w:rFonts w:hint="eastAsia" w:ascii="仿宋_GB2312" w:eastAsia="仿宋_GB2312"/>
          <w:color w:val="000000"/>
          <w:sz w:val="32"/>
          <w:szCs w:val="32"/>
        </w:rPr>
        <w:t>万元，</w:t>
      </w:r>
      <w:r>
        <w:rPr>
          <w:rStyle w:val="15"/>
          <w:rFonts w:hint="eastAsia" w:ascii="仿宋" w:eastAsia="仿宋"/>
          <w:b w:val="0"/>
          <w:bCs/>
          <w:color w:val="000000"/>
          <w:sz w:val="32"/>
          <w:szCs w:val="32"/>
        </w:rPr>
        <w:t>完成预算</w:t>
      </w:r>
      <w:r>
        <w:rPr>
          <w:rStyle w:val="15"/>
          <w:rFonts w:ascii="仿宋" w:eastAsia="仿宋"/>
          <w:b w:val="0"/>
          <w:bCs/>
          <w:color w:val="000000"/>
          <w:sz w:val="32"/>
          <w:szCs w:val="32"/>
        </w:rPr>
        <w:t>50%</w:t>
      </w:r>
      <w:r>
        <w:rPr>
          <w:rStyle w:val="15"/>
          <w:rFonts w:hint="eastAsia" w:asci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ascii="仿宋_GB2312" w:eastAsia="仿宋_GB2312"/>
          <w:color w:val="000000"/>
          <w:sz w:val="32"/>
          <w:szCs w:val="32"/>
        </w:rPr>
        <w:t>0.17</w:t>
      </w:r>
      <w:r>
        <w:rPr>
          <w:rFonts w:hint="eastAsia" w:ascii="仿宋_GB2312" w:eastAsia="仿宋_GB2312"/>
          <w:color w:val="000000"/>
          <w:sz w:val="32"/>
          <w:szCs w:val="32"/>
        </w:rPr>
        <w:t>万元，下降</w:t>
      </w:r>
      <w:r>
        <w:rPr>
          <w:rFonts w:ascii="仿宋_GB2312" w:eastAsia="仿宋_GB2312"/>
          <w:color w:val="000000"/>
          <w:sz w:val="32"/>
          <w:szCs w:val="32"/>
        </w:rPr>
        <w:t>46.87%</w:t>
      </w:r>
      <w:r>
        <w:rPr>
          <w:rFonts w:hint="eastAsia" w:ascii="仿宋_GB2312" w:eastAsia="仿宋_GB2312"/>
          <w:color w:val="000000"/>
          <w:sz w:val="32"/>
          <w:szCs w:val="32"/>
        </w:rPr>
        <w:t>。</w:t>
      </w:r>
      <w:r>
        <w:rPr>
          <w:rFonts w:hint="eastAsia" w:ascii="仿宋" w:eastAsia="仿宋"/>
          <w:color w:val="000000"/>
          <w:sz w:val="32"/>
          <w:szCs w:val="32"/>
        </w:rPr>
        <w:t>主</w:t>
      </w:r>
      <w:r>
        <w:rPr>
          <w:rFonts w:hint="eastAsia" w:ascii="仿宋_GB2312" w:eastAsia="仿宋_GB2312"/>
          <w:color w:val="000000"/>
          <w:sz w:val="32"/>
          <w:szCs w:val="32"/>
        </w:rPr>
        <w:t>要原因是厉行节约，接待次数较少。</w:t>
      </w:r>
    </w:p>
    <w:p>
      <w:pPr>
        <w:spacing w:line="560" w:lineRule="exact"/>
        <w:ind w:firstLine="640"/>
        <w:rPr>
          <w:rFonts w:ascii="仿宋_GB2312" w:eastAsia="仿宋_GB2312"/>
          <w:color w:val="000000"/>
          <w:sz w:val="32"/>
          <w:szCs w:val="32"/>
        </w:rPr>
      </w:pPr>
      <w:r>
        <w:rPr>
          <w:rFonts w:hint="eastAsia" w:ascii="仿宋_GB2312" w:eastAsia="仿宋_GB2312"/>
          <w:b/>
          <w:color w:val="000000"/>
          <w:sz w:val="32"/>
          <w:szCs w:val="32"/>
        </w:rPr>
        <w:t>国内公务接待支出</w:t>
      </w:r>
      <w:r>
        <w:rPr>
          <w:rFonts w:hint="eastAsia" w:ascii="仿宋_GB2312" w:eastAsia="仿宋_GB2312"/>
          <w:color w:val="000000"/>
          <w:sz w:val="32"/>
          <w:szCs w:val="32"/>
        </w:rPr>
        <w:t>0.15万元，主要用于执行公务、开展业务活动开支的用餐费等。国内公务接待</w:t>
      </w:r>
      <w:r>
        <w:rPr>
          <w:rFonts w:ascii="仿宋_GB2312" w:eastAsia="仿宋_GB2312"/>
          <w:color w:val="000000"/>
          <w:sz w:val="32"/>
          <w:szCs w:val="32"/>
        </w:rPr>
        <w:t>3</w:t>
      </w:r>
      <w:r>
        <w:rPr>
          <w:rFonts w:hint="eastAsia" w:ascii="仿宋_GB2312" w:eastAsia="仿宋_GB2312"/>
          <w:color w:val="000000"/>
          <w:sz w:val="32"/>
          <w:szCs w:val="32"/>
        </w:rPr>
        <w:t>批次，</w:t>
      </w:r>
      <w:r>
        <w:rPr>
          <w:rFonts w:ascii="仿宋_GB2312" w:eastAsia="仿宋_GB2312"/>
          <w:color w:val="000000"/>
          <w:sz w:val="32"/>
          <w:szCs w:val="32"/>
        </w:rPr>
        <w:t>16</w:t>
      </w:r>
      <w:r>
        <w:rPr>
          <w:rFonts w:hint="eastAsia" w:ascii="仿宋_GB2312" w:eastAsia="仿宋_GB2312"/>
          <w:color w:val="000000"/>
          <w:sz w:val="32"/>
          <w:szCs w:val="32"/>
        </w:rPr>
        <w:t>人次（不包括陪同人员），共计支出</w:t>
      </w:r>
      <w:r>
        <w:rPr>
          <w:rFonts w:ascii="仿宋_GB2312" w:eastAsia="仿宋_GB2312"/>
          <w:color w:val="000000"/>
          <w:sz w:val="32"/>
          <w:szCs w:val="32"/>
        </w:rPr>
        <w:t>0.15</w:t>
      </w:r>
      <w:r>
        <w:rPr>
          <w:rFonts w:hint="eastAsia" w:ascii="仿宋_GB2312" w:eastAsia="仿宋_GB2312"/>
          <w:color w:val="000000"/>
          <w:sz w:val="32"/>
          <w:szCs w:val="32"/>
        </w:rPr>
        <w:t>万元，省审计厅及州局到</w:t>
      </w:r>
      <w:r>
        <w:rPr>
          <w:rFonts w:ascii="仿宋_GB2312" w:eastAsia="仿宋_GB2312"/>
          <w:color w:val="000000"/>
          <w:sz w:val="32"/>
          <w:szCs w:val="32"/>
        </w:rPr>
        <w:t>茂县</w:t>
      </w:r>
      <w:r>
        <w:rPr>
          <w:rFonts w:hint="eastAsia" w:ascii="仿宋_GB2312" w:eastAsia="仿宋_GB2312"/>
          <w:color w:val="000000"/>
          <w:sz w:val="32"/>
          <w:szCs w:val="32"/>
        </w:rPr>
        <w:t>开展审计工作接待。</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外事接待支出</w:t>
      </w:r>
      <w:r>
        <w:rPr>
          <w:rFonts w:hint="eastAsia" w:ascii="仿宋_GB2312" w:eastAsia="仿宋_GB2312"/>
          <w:color w:val="000000"/>
          <w:sz w:val="32"/>
          <w:szCs w:val="32"/>
        </w:rPr>
        <w:t>0万元。</w:t>
      </w:r>
      <w:bookmarkStart w:id="46" w:name="_Toc15396610"/>
      <w:bookmarkStart w:id="47" w:name="_Toc15377218"/>
    </w:p>
    <w:p>
      <w:pPr>
        <w:spacing w:line="560" w:lineRule="exact"/>
        <w:ind w:firstLine="640"/>
        <w:outlineLvl w:val="1"/>
        <w:rPr>
          <w:rStyle w:val="18"/>
          <w:rFonts w:ascii="黑体" w:eastAsia="黑体"/>
        </w:rPr>
      </w:pPr>
      <w:r>
        <w:rPr>
          <w:rFonts w:hint="eastAsia" w:ascii="黑体" w:eastAsia="黑体"/>
          <w:color w:val="000000"/>
          <w:sz w:val="32"/>
          <w:szCs w:val="32"/>
        </w:rPr>
        <w:t>八、</w:t>
      </w:r>
      <w:r>
        <w:rPr>
          <w:rStyle w:val="18"/>
          <w:rFonts w:hint="eastAsia" w:ascii="黑体" w:eastAsia="黑体"/>
          <w:b w:val="0"/>
        </w:rPr>
        <w:t>政府性基金预算支出决算情况说明</w:t>
      </w:r>
      <w:bookmarkEnd w:id="46"/>
      <w:bookmarkEnd w:id="47"/>
    </w:p>
    <w:p>
      <w:pPr>
        <w:spacing w:line="560" w:lineRule="exact"/>
        <w:ind w:firstLine="640"/>
        <w:rPr>
          <w:rFonts w:ascii="仿宋_GB2312" w:eastAsia="仿宋_GB2312"/>
          <w:color w:val="000000"/>
          <w:sz w:val="32"/>
          <w:szCs w:val="32"/>
        </w:rPr>
      </w:pPr>
      <w:r>
        <w:rPr>
          <w:rFonts w:hint="eastAsia" w:ascii="仿宋_GB2312" w:eastAsia="仿宋_GB2312"/>
          <w:color w:val="000000"/>
          <w:sz w:val="32"/>
          <w:szCs w:val="32"/>
        </w:rPr>
        <w:t>茂县审计局</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无</w:t>
      </w:r>
      <w:r>
        <w:rPr>
          <w:rFonts w:hint="eastAsia" w:ascii="仿宋_GB2312" w:eastAsia="仿宋_GB2312"/>
          <w:color w:val="000000"/>
          <w:sz w:val="32"/>
          <w:szCs w:val="32"/>
        </w:rPr>
        <w:t>政府性基金预算拨款支出。</w:t>
      </w:r>
    </w:p>
    <w:p>
      <w:pPr>
        <w:numPr>
          <w:ilvl w:val="0"/>
          <w:numId w:val="3"/>
        </w:numPr>
        <w:spacing w:line="560" w:lineRule="exact"/>
        <w:ind w:firstLine="640"/>
        <w:outlineLvl w:val="1"/>
        <w:rPr>
          <w:rStyle w:val="18"/>
          <w:rFonts w:ascii="黑体" w:eastAsia="黑体"/>
          <w:b w:val="0"/>
        </w:rPr>
      </w:pPr>
      <w:bookmarkStart w:id="48" w:name="_Toc15396611"/>
      <w:bookmarkStart w:id="49" w:name="_Toc15377219"/>
      <w:r>
        <w:rPr>
          <w:rStyle w:val="18"/>
          <w:rFonts w:hint="eastAsia" w:ascii="黑体" w:eastAsia="黑体"/>
          <w:b w:val="0"/>
        </w:rPr>
        <w:t>国有资本经营预算支出决算情况说明</w:t>
      </w:r>
      <w:bookmarkEnd w:id="48"/>
      <w:bookmarkEnd w:id="49"/>
    </w:p>
    <w:p>
      <w:pPr>
        <w:spacing w:line="560" w:lineRule="exact"/>
        <w:ind w:firstLine="640"/>
        <w:rPr>
          <w:rFonts w:ascii="仿宋_GB2312" w:eastAsia="仿宋_GB2312"/>
          <w:color w:val="000000"/>
          <w:sz w:val="32"/>
          <w:szCs w:val="32"/>
        </w:rPr>
      </w:pPr>
      <w:r>
        <w:rPr>
          <w:rFonts w:hint="eastAsia" w:ascii="仿宋_GB2312" w:eastAsia="仿宋_GB2312"/>
          <w:color w:val="000000"/>
          <w:sz w:val="32"/>
          <w:szCs w:val="32"/>
        </w:rPr>
        <w:t>茂县审计局201</w:t>
      </w:r>
      <w:r>
        <w:rPr>
          <w:rFonts w:ascii="仿宋_GB2312" w:eastAsia="仿宋_GB2312"/>
          <w:color w:val="000000"/>
          <w:sz w:val="32"/>
          <w:szCs w:val="32"/>
        </w:rPr>
        <w:t>9</w:t>
      </w:r>
      <w:r>
        <w:rPr>
          <w:rFonts w:hint="eastAsia" w:ascii="仿宋_GB2312" w:eastAsia="仿宋_GB2312"/>
          <w:color w:val="000000"/>
          <w:sz w:val="32"/>
          <w:szCs w:val="32"/>
        </w:rPr>
        <w:t>年无国有资本经营预算拨款支出。</w:t>
      </w:r>
    </w:p>
    <w:p>
      <w:pPr>
        <w:spacing w:line="560" w:lineRule="exact"/>
        <w:ind w:firstLine="640" w:firstLineChars="200"/>
        <w:outlineLvl w:val="1"/>
        <w:rPr>
          <w:rStyle w:val="18"/>
          <w:rFonts w:ascii="黑体" w:eastAsia="黑体"/>
        </w:rPr>
      </w:pPr>
      <w:bookmarkStart w:id="50" w:name="_Toc15396612"/>
      <w:bookmarkStart w:id="51" w:name="_Toc15377221"/>
      <w:r>
        <w:rPr>
          <w:rFonts w:hint="eastAsia" w:ascii="黑体" w:eastAsia="黑体"/>
          <w:color w:val="000000"/>
          <w:sz w:val="32"/>
          <w:szCs w:val="32"/>
        </w:rPr>
        <w:t>十</w:t>
      </w:r>
      <w:r>
        <w:rPr>
          <w:rStyle w:val="18"/>
          <w:rFonts w:hint="eastAsia" w:ascii="黑体" w:eastAsia="黑体"/>
        </w:rPr>
        <w:t>、</w:t>
      </w:r>
      <w:r>
        <w:rPr>
          <w:rStyle w:val="18"/>
          <w:rFonts w:hint="eastAsia" w:ascii="黑体" w:eastAsia="黑体"/>
          <w:b w:val="0"/>
        </w:rPr>
        <w:t>其他重要事项的情况说明</w:t>
      </w:r>
      <w:bookmarkEnd w:id="50"/>
      <w:bookmarkEnd w:id="51"/>
    </w:p>
    <w:p>
      <w:pPr>
        <w:spacing w:line="560" w:lineRule="exact"/>
        <w:ind w:firstLine="643" w:firstLineChars="200"/>
        <w:outlineLvl w:val="2"/>
        <w:rPr>
          <w:rFonts w:hint="eastAsia" w:ascii="楷体_GB2312" w:eastAsia="楷体_GB2312"/>
          <w:b/>
          <w:color w:val="000000"/>
          <w:sz w:val="32"/>
          <w:szCs w:val="32"/>
        </w:rPr>
      </w:pPr>
      <w:bookmarkStart w:id="52" w:name="_Toc15377222"/>
      <w:r>
        <w:rPr>
          <w:rFonts w:hint="eastAsia" w:ascii="楷体_GB2312" w:eastAsia="楷体_GB2312"/>
          <w:b/>
          <w:color w:val="000000"/>
          <w:sz w:val="32"/>
          <w:szCs w:val="32"/>
        </w:rPr>
        <w:t>（一）机关运行经费支出情况</w:t>
      </w:r>
      <w:bookmarkEnd w:id="52"/>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茂县审计局</w:t>
      </w:r>
      <w:r>
        <w:rPr>
          <w:rFonts w:hint="eastAsia" w:ascii="仿宋_GB2312" w:eastAsia="仿宋_GB2312"/>
          <w:color w:val="000000"/>
          <w:sz w:val="32"/>
          <w:szCs w:val="32"/>
        </w:rPr>
        <w:t>机关运行经费支出</w:t>
      </w:r>
      <w:r>
        <w:rPr>
          <w:rFonts w:ascii="仿宋_GB2312" w:eastAsia="仿宋_GB2312"/>
          <w:color w:val="000000"/>
          <w:sz w:val="32"/>
          <w:szCs w:val="32"/>
        </w:rPr>
        <w:t>36.05</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3.3</w:t>
      </w:r>
      <w:r>
        <w:rPr>
          <w:rFonts w:hint="eastAsia" w:ascii="仿宋_GB2312" w:eastAsia="仿宋_GB2312"/>
          <w:color w:val="000000"/>
          <w:sz w:val="32"/>
          <w:szCs w:val="32"/>
        </w:rPr>
        <w:t>万元，增长</w:t>
      </w:r>
      <w:r>
        <w:rPr>
          <w:rFonts w:ascii="仿宋_GB2312" w:eastAsia="仿宋_GB2312"/>
          <w:color w:val="000000"/>
          <w:sz w:val="32"/>
          <w:szCs w:val="32"/>
        </w:rPr>
        <w:t>10.8%</w:t>
      </w:r>
      <w:r>
        <w:rPr>
          <w:rFonts w:hint="eastAsia" w:ascii="仿宋_GB2312" w:eastAsia="仿宋_GB2312"/>
          <w:color w:val="000000"/>
          <w:sz w:val="32"/>
          <w:szCs w:val="32"/>
        </w:rPr>
        <w:t>。主要原因是</w:t>
      </w:r>
      <w:r>
        <w:rPr>
          <w:rFonts w:ascii="仿宋_GB2312" w:eastAsia="仿宋_GB2312"/>
          <w:color w:val="000000"/>
          <w:sz w:val="32"/>
          <w:szCs w:val="32"/>
        </w:rPr>
        <w:t>人员增加。</w:t>
      </w:r>
    </w:p>
    <w:p>
      <w:pPr>
        <w:autoSpaceDE w:val="0"/>
        <w:autoSpaceDN w:val="0"/>
        <w:adjustRightInd w:val="0"/>
        <w:spacing w:line="560" w:lineRule="exact"/>
        <w:ind w:firstLine="643" w:firstLineChars="200"/>
        <w:jc w:val="left"/>
        <w:outlineLvl w:val="2"/>
        <w:rPr>
          <w:rFonts w:hint="eastAsia" w:ascii="楷体_GB2312" w:eastAsia="楷体_GB2312"/>
          <w:b/>
          <w:color w:val="000000"/>
          <w:sz w:val="32"/>
          <w:szCs w:val="32"/>
        </w:rPr>
      </w:pPr>
      <w:bookmarkStart w:id="53" w:name="_Toc15377223"/>
      <w:r>
        <w:rPr>
          <w:rFonts w:hint="eastAsia" w:ascii="楷体_GB2312" w:eastAsia="楷体_GB2312"/>
          <w:b/>
          <w:color w:val="000000"/>
          <w:sz w:val="32"/>
          <w:szCs w:val="32"/>
        </w:rPr>
        <w:t>（二）政府采购支出情况</w:t>
      </w:r>
      <w:bookmarkEnd w:id="53"/>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茂县审计局</w:t>
      </w:r>
      <w:r>
        <w:rPr>
          <w:rFonts w:ascii="仿宋_GB2312" w:eastAsia="仿宋_GB2312"/>
          <w:color w:val="000000"/>
          <w:sz w:val="32"/>
          <w:szCs w:val="32"/>
        </w:rPr>
        <w:t>201</w:t>
      </w:r>
      <w:r>
        <w:rPr>
          <w:rFonts w:hint="eastAsia" w:ascii="仿宋_GB2312" w:eastAsia="仿宋_GB2312"/>
          <w:color w:val="000000"/>
          <w:sz w:val="32"/>
          <w:szCs w:val="32"/>
        </w:rPr>
        <w:t>9年无政府采购支出。</w:t>
      </w:r>
    </w:p>
    <w:p>
      <w:pPr>
        <w:autoSpaceDE w:val="0"/>
        <w:autoSpaceDN w:val="0"/>
        <w:adjustRightInd w:val="0"/>
        <w:spacing w:line="560" w:lineRule="exact"/>
        <w:ind w:firstLine="643" w:firstLineChars="200"/>
        <w:jc w:val="left"/>
        <w:outlineLvl w:val="2"/>
        <w:rPr>
          <w:rFonts w:hint="eastAsia" w:ascii="楷体_GB2312" w:eastAsia="楷体_GB2312"/>
          <w:b/>
          <w:color w:val="000000"/>
          <w:sz w:val="32"/>
          <w:szCs w:val="32"/>
        </w:rPr>
      </w:pPr>
      <w:bookmarkStart w:id="54" w:name="_Toc15377224"/>
      <w:r>
        <w:rPr>
          <w:rFonts w:hint="eastAsia" w:ascii="楷体_GB2312" w:eastAsia="楷体_GB2312"/>
          <w:b/>
          <w:color w:val="000000"/>
          <w:sz w:val="32"/>
          <w:szCs w:val="32"/>
        </w:rPr>
        <w:t>（三）国有资产占有使用情况</w:t>
      </w:r>
      <w:bookmarkEnd w:id="54"/>
    </w:p>
    <w:p>
      <w:pPr>
        <w:autoSpaceDE w:val="0"/>
        <w:autoSpaceDN w:val="0"/>
        <w:adjustRightInd w:val="0"/>
        <w:spacing w:line="560" w:lineRule="exact"/>
        <w:ind w:firstLine="640" w:firstLineChars="200"/>
        <w:jc w:val="left"/>
        <w:rPr>
          <w:rFonts w:asci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日，茂县审计局共有车辆3辆，其中：领导干部用车0辆、一般公务用车2辆、一般执法执勤用车0辆、特种专业技术用车0辆、其他用车1辆，其他用车主要是待报废轿车一辆。单价</w:t>
      </w:r>
      <w:r>
        <w:rPr>
          <w:rFonts w:ascii="仿宋_GB2312" w:eastAsia="仿宋_GB2312"/>
          <w:color w:val="000000"/>
          <w:sz w:val="32"/>
          <w:szCs w:val="32"/>
        </w:rPr>
        <w:t>50</w:t>
      </w:r>
      <w:r>
        <w:rPr>
          <w:rFonts w:hint="eastAsia" w:ascii="仿宋_GB2312" w:eastAsia="仿宋_GB2312"/>
          <w:color w:val="000000"/>
          <w:sz w:val="32"/>
          <w:szCs w:val="32"/>
        </w:rPr>
        <w:t>万元以上通用设备0台（套），单价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万元以上专用设备0台（套）。</w:t>
      </w:r>
    </w:p>
    <w:p>
      <w:pPr>
        <w:autoSpaceDE w:val="0"/>
        <w:autoSpaceDN w:val="0"/>
        <w:adjustRightInd w:val="0"/>
        <w:spacing w:line="560" w:lineRule="exact"/>
        <w:ind w:firstLine="643" w:firstLineChars="200"/>
        <w:jc w:val="left"/>
        <w:outlineLvl w:val="2"/>
        <w:rPr>
          <w:rFonts w:hint="eastAsia" w:ascii="楷体_GB2312" w:eastAsia="楷体_GB2312"/>
          <w:b/>
          <w:color w:val="000000"/>
          <w:sz w:val="32"/>
          <w:szCs w:val="32"/>
        </w:rPr>
      </w:pPr>
      <w:r>
        <w:rPr>
          <w:rFonts w:hint="eastAsia" w:ascii="楷体_GB2312" w:eastAsia="楷体_GB2312"/>
          <w:b/>
          <w:color w:val="000000"/>
          <w:sz w:val="32"/>
          <w:szCs w:val="32"/>
        </w:rPr>
        <w:t>（四）预算绩效管理情况</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根据预算绩效管理要求，本部门在年初预算编制阶段，组织对地方审计机关专项工作项目开展了预算事前绩效评估，对1个项目编制了绩效目标，预算执行过程中，选取1个项目开展绩效监控，年终执行完毕后，对1个项目开展了绩效目标完成情况梳理填报。</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本部门按要求对2019年部门整体支出开展绩效自评，从评价情况来看,201</w:t>
      </w:r>
      <w:r>
        <w:rPr>
          <w:rFonts w:ascii="仿宋_GB2312" w:eastAsia="仿宋_GB2312" w:cs="仿宋_GB2312"/>
          <w:sz w:val="32"/>
          <w:szCs w:val="32"/>
        </w:rPr>
        <w:t>9</w:t>
      </w:r>
      <w:r>
        <w:rPr>
          <w:rFonts w:hint="eastAsia" w:ascii="仿宋_GB2312" w:eastAsia="仿宋_GB2312" w:cs="仿宋_GB2312"/>
          <w:sz w:val="32"/>
          <w:szCs w:val="32"/>
        </w:rPr>
        <w:t>年我局整体支出绩效评价自查自评结果良好，全年基本支出保证了部门的正常运行和日常工作的正常开展，项目支出保障了重点工作的开展，绩效目标得到较好实现，绩效管理水平不断提高，绩效指标体系逐渐丰富和完善。</w:t>
      </w:r>
    </w:p>
    <w:p>
      <w:pPr>
        <w:spacing w:line="560" w:lineRule="exact"/>
        <w:ind w:firstLine="643" w:firstLineChars="200"/>
        <w:outlineLvl w:val="1"/>
        <w:rPr>
          <w:rFonts w:ascii="仿宋_GB2312" w:eastAsia="仿宋_GB2312" w:cs="仿宋_GB2312"/>
          <w:sz w:val="32"/>
          <w:szCs w:val="32"/>
        </w:rPr>
      </w:pPr>
      <w:r>
        <w:rPr>
          <w:rFonts w:hint="eastAsia" w:ascii="仿宋_GB2312" w:eastAsia="仿宋_GB2312" w:cs="楷体_GB2312"/>
          <w:b/>
          <w:sz w:val="32"/>
          <w:szCs w:val="32"/>
        </w:rPr>
        <w:t>1.项目绩效目标完成情况</w:t>
      </w:r>
      <w:r>
        <w:rPr>
          <w:rFonts w:hint="eastAsia" w:ascii="楷体_GB2312" w:eastAsia="楷体_GB2312" w:cs="楷体_GB2312"/>
          <w:sz w:val="32"/>
          <w:szCs w:val="32"/>
        </w:rPr>
        <w:br w:type="textWrapping"/>
      </w:r>
      <w:r>
        <w:rPr>
          <w:rFonts w:hint="eastAsia" w:ascii="仿宋_GB2312" w:eastAsia="仿宋_GB2312" w:cs="仿宋_GB2312"/>
          <w:sz w:val="32"/>
          <w:szCs w:val="32"/>
        </w:rPr>
        <w:t xml:space="preserve">   本部门在201</w:t>
      </w:r>
      <w:r>
        <w:rPr>
          <w:rFonts w:ascii="仿宋_GB2312" w:eastAsia="仿宋_GB2312" w:cs="仿宋_GB2312"/>
          <w:sz w:val="32"/>
          <w:szCs w:val="32"/>
        </w:rPr>
        <w:t>9</w:t>
      </w:r>
      <w:r>
        <w:rPr>
          <w:rFonts w:hint="eastAsia" w:ascii="仿宋_GB2312" w:eastAsia="仿宋_GB2312" w:cs="仿宋_GB2312"/>
          <w:sz w:val="32"/>
          <w:szCs w:val="32"/>
        </w:rPr>
        <w:t>年度部门决算中反映“地方审计机关专项工作项目”1个项目绩效目标实际完成情况。</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地方审计机关专项工作项目绩效目标完成情况综述。项目全年预算数</w:t>
      </w:r>
      <w:r>
        <w:rPr>
          <w:rFonts w:ascii="仿宋_GB2312" w:eastAsia="仿宋_GB2312" w:cs="仿宋_GB2312"/>
          <w:sz w:val="32"/>
          <w:szCs w:val="32"/>
        </w:rPr>
        <w:t>28.47</w:t>
      </w:r>
      <w:r>
        <w:rPr>
          <w:rFonts w:hint="eastAsia" w:ascii="仿宋_GB2312" w:eastAsia="仿宋_GB2312" w:cs="仿宋_GB2312"/>
          <w:sz w:val="32"/>
          <w:szCs w:val="32"/>
        </w:rPr>
        <w:t>万元，执行数为</w:t>
      </w:r>
      <w:r>
        <w:rPr>
          <w:rFonts w:ascii="仿宋_GB2312" w:eastAsia="仿宋_GB2312" w:cs="仿宋_GB2312"/>
          <w:sz w:val="32"/>
          <w:szCs w:val="32"/>
        </w:rPr>
        <w:t>24.17</w:t>
      </w:r>
      <w:r>
        <w:rPr>
          <w:rFonts w:hint="eastAsia" w:ascii="仿宋_GB2312" w:eastAsia="仿宋_GB2312" w:cs="仿宋_GB2312"/>
          <w:sz w:val="32"/>
          <w:szCs w:val="32"/>
        </w:rPr>
        <w:t>万元，完成预算的</w:t>
      </w:r>
      <w:r>
        <w:rPr>
          <w:rFonts w:ascii="仿宋_GB2312" w:eastAsia="仿宋_GB2312" w:cs="仿宋_GB2312"/>
          <w:sz w:val="32"/>
          <w:szCs w:val="32"/>
        </w:rPr>
        <w:t>84.90</w:t>
      </w:r>
      <w:r>
        <w:rPr>
          <w:rFonts w:hint="eastAsia" w:ascii="仿宋_GB2312" w:eastAsia="仿宋_GB2312" w:cs="仿宋_GB2312"/>
          <w:sz w:val="32"/>
          <w:szCs w:val="32"/>
        </w:rPr>
        <w:t xml:space="preserve">%。通过项目实施，保障了地方审计工作顺利开展。发现的主要问题：预算安排数较实际执行有偏差。下一步改进措施：进一步加强费用测算，提高预算编制准确度。 </w:t>
      </w:r>
    </w:p>
    <w:p>
      <w:pPr>
        <w:spacing w:line="560" w:lineRule="exact"/>
        <w:ind w:firstLine="640" w:firstLineChars="200"/>
        <w:rPr>
          <w:rFonts w:ascii="仿宋_GB2312" w:eastAsia="仿宋_GB2312" w:cs="仿宋_GB2312"/>
          <w:sz w:val="32"/>
          <w:szCs w:val="32"/>
        </w:rPr>
      </w:pPr>
    </w:p>
    <w:p>
      <w:pPr>
        <w:spacing w:line="560" w:lineRule="exact"/>
        <w:ind w:firstLine="640" w:firstLineChars="200"/>
        <w:rPr>
          <w:rFonts w:ascii="仿宋_GB2312" w:eastAsia="仿宋_GB2312" w:cs="仿宋_GB2312"/>
          <w:sz w:val="32"/>
          <w:szCs w:val="32"/>
        </w:rPr>
      </w:pPr>
    </w:p>
    <w:p>
      <w:pPr>
        <w:spacing w:line="560" w:lineRule="exact"/>
        <w:ind w:firstLine="640" w:firstLineChars="200"/>
        <w:rPr>
          <w:rFonts w:ascii="仿宋_GB2312" w:eastAsia="仿宋_GB2312" w:cs="仿宋_GB2312"/>
          <w:sz w:val="32"/>
          <w:szCs w:val="32"/>
        </w:rPr>
      </w:pPr>
    </w:p>
    <w:p>
      <w:pPr>
        <w:spacing w:line="560" w:lineRule="exact"/>
        <w:rPr>
          <w:rFonts w:ascii="仿宋_GB2312" w:eastAsia="仿宋_GB2312" w:cs="仿宋_GB2312"/>
          <w:sz w:val="32"/>
          <w:szCs w:val="32"/>
        </w:rPr>
      </w:pPr>
    </w:p>
    <w:p>
      <w:pPr>
        <w:spacing w:line="560" w:lineRule="exact"/>
        <w:rPr>
          <w:rFonts w:ascii="仿宋_GB2312" w:eastAsia="仿宋_GB2312" w:cs="仿宋_GB2312"/>
          <w:sz w:val="32"/>
          <w:szCs w:val="32"/>
        </w:rPr>
      </w:pPr>
    </w:p>
    <w:p>
      <w:pPr>
        <w:spacing w:line="560" w:lineRule="exact"/>
        <w:rPr>
          <w:rFonts w:hint="eastAsia" w:ascii="仿宋_GB2312" w:eastAsia="仿宋_GB2312" w:cs="仿宋_GB2312"/>
          <w:sz w:val="32"/>
          <w:szCs w:val="32"/>
        </w:rPr>
      </w:pPr>
    </w:p>
    <w:p>
      <w:pPr>
        <w:spacing w:line="560" w:lineRule="exact"/>
        <w:rPr>
          <w:rFonts w:ascii="仿宋_GB2312" w:eastAsia="仿宋_GB2312" w:cs="仿宋_GB2312"/>
          <w:sz w:val="32"/>
          <w:szCs w:val="32"/>
        </w:rPr>
      </w:pPr>
    </w:p>
    <w:p>
      <w:pPr>
        <w:spacing w:line="560" w:lineRule="exact"/>
        <w:rPr>
          <w:rFonts w:ascii="仿宋_GB2312" w:eastAsia="仿宋_GB2312" w:cs="仿宋_GB2312"/>
          <w:sz w:val="32"/>
          <w:szCs w:val="32"/>
        </w:rPr>
      </w:pPr>
    </w:p>
    <w:p>
      <w:pPr>
        <w:spacing w:line="560" w:lineRule="exact"/>
        <w:rPr>
          <w:rFonts w:ascii="仿宋_GB2312" w:eastAsia="仿宋_GB2312" w:cs="仿宋_GB2312"/>
          <w:sz w:val="32"/>
          <w:szCs w:val="32"/>
        </w:rPr>
      </w:pPr>
    </w:p>
    <w:tbl>
      <w:tblPr>
        <w:tblStyle w:val="13"/>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right w:w="15" w:type="dxa"/>
            </w:tcMar>
            <w:vAlign w:val="center"/>
          </w:tcPr>
          <w:p>
            <w:pPr>
              <w:widowControl/>
              <w:spacing w:line="560" w:lineRule="exact"/>
              <w:jc w:val="center"/>
              <w:textAlignment w:val="center"/>
              <w:rPr>
                <w:rFonts w:hint="eastAsia" w:ascii="仿宋_GB2312" w:eastAsia="仿宋_GB2312" w:cs="宋体"/>
                <w:color w:val="000000"/>
                <w:sz w:val="36"/>
                <w:szCs w:val="36"/>
              </w:rPr>
            </w:pPr>
            <w:r>
              <w:rPr>
                <w:rFonts w:hint="eastAsia" w:ascii="仿宋_GB2312" w:eastAsia="仿宋_GB2312" w:cs="宋体"/>
                <w:b/>
                <w:bCs/>
                <w:color w:val="000000"/>
                <w:kern w:val="0"/>
                <w:sz w:val="36"/>
                <w:szCs w:val="36"/>
              </w:rPr>
              <w:t>项目绩效目标完成情况表</w:t>
            </w:r>
            <w:r>
              <w:rPr>
                <w:rFonts w:hint="eastAsia" w:ascii="仿宋_GB2312" w:eastAsia="仿宋_GB2312" w:cs="宋体"/>
                <w:b/>
                <w:bCs/>
                <w:color w:val="000000"/>
                <w:kern w:val="0"/>
                <w:sz w:val="36"/>
                <w:szCs w:val="36"/>
              </w:rPr>
              <w:br w:type="textWrapping"/>
            </w:r>
            <w:r>
              <w:rPr>
                <w:rFonts w:hint="eastAsia" w:ascii="仿宋_GB2312" w:eastAsia="仿宋_GB2312" w:cs="宋体"/>
                <w:color w:val="000000"/>
                <w:kern w:val="0"/>
                <w:sz w:val="36"/>
                <w:szCs w:val="36"/>
              </w:rPr>
              <w:t>(2019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hint="eastAsia" w:ascii="仿宋_GB2312" w:eastAsia="仿宋_GB2312" w:cs="宋体"/>
                <w:color w:val="000000"/>
                <w:sz w:val="24"/>
              </w:rPr>
            </w:pPr>
            <w:r>
              <w:rPr>
                <w:rFonts w:hint="eastAsia" w:ascii="仿宋_GB2312" w:eastAsia="仿宋_GB2312"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hint="eastAsia" w:ascii="仿宋_GB2312" w:eastAsia="仿宋_GB2312" w:cs="宋体"/>
                <w:color w:val="000000"/>
                <w:sz w:val="24"/>
              </w:rPr>
            </w:pPr>
            <w:r>
              <w:rPr>
                <w:rFonts w:hint="eastAsia" w:ascii="仿宋_GB2312" w:eastAsia="仿宋_GB2312" w:cs="宋体"/>
                <w:color w:val="000000"/>
                <w:kern w:val="0"/>
                <w:sz w:val="24"/>
              </w:rPr>
              <w:t>地方审计机关专项工作</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hint="eastAsia" w:ascii="仿宋_GB2312" w:eastAsia="仿宋_GB2312" w:cs="宋体"/>
                <w:color w:val="000000"/>
                <w:sz w:val="24"/>
              </w:rPr>
            </w:pPr>
            <w:r>
              <w:rPr>
                <w:rFonts w:hint="eastAsia" w:ascii="仿宋_GB2312" w:eastAsia="仿宋_GB2312"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hint="eastAsia" w:ascii="仿宋_GB2312" w:eastAsia="仿宋_GB2312" w:cs="宋体"/>
                <w:color w:val="000000"/>
                <w:sz w:val="24"/>
              </w:rPr>
            </w:pPr>
            <w:r>
              <w:rPr>
                <w:rFonts w:hint="eastAsia" w:ascii="仿宋_GB2312" w:eastAsia="仿宋_GB2312" w:cs="宋体"/>
                <w:color w:val="000000"/>
                <w:sz w:val="24"/>
              </w:rPr>
              <w:t>茂县审计局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hint="eastAsia" w:ascii="仿宋_GB2312" w:eastAsia="仿宋_GB2312" w:cs="宋体"/>
                <w:color w:val="000000"/>
                <w:sz w:val="24"/>
              </w:rPr>
            </w:pPr>
            <w:r>
              <w:rPr>
                <w:rFonts w:hint="eastAsia" w:ascii="仿宋_GB2312" w:eastAsia="仿宋_GB2312"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hint="eastAsia" w:ascii="仿宋_GB2312" w:eastAsia="仿宋_GB2312" w:cs="宋体"/>
                <w:color w:val="000000"/>
                <w:sz w:val="24"/>
              </w:rPr>
            </w:pPr>
            <w:r>
              <w:rPr>
                <w:rFonts w:hint="eastAsia" w:ascii="仿宋_GB2312" w:eastAsia="仿宋_GB2312"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hint="eastAsia" w:ascii="仿宋_GB2312" w:eastAsia="仿宋_GB2312" w:cs="宋体"/>
                <w:color w:val="000000"/>
                <w:sz w:val="24"/>
              </w:rPr>
            </w:pPr>
            <w:r>
              <w:rPr>
                <w:rFonts w:hint="eastAsia" w:ascii="仿宋_GB2312" w:eastAsia="仿宋_GB2312" w:cs="仿宋_GB2312"/>
                <w:sz w:val="32"/>
                <w:szCs w:val="32"/>
              </w:rPr>
              <w:t>28.47万元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hint="eastAsia" w:ascii="仿宋_GB2312" w:eastAsia="仿宋_GB2312" w:cs="宋体"/>
                <w:color w:val="000000"/>
                <w:sz w:val="24"/>
              </w:rPr>
            </w:pPr>
            <w:r>
              <w:rPr>
                <w:rFonts w:hint="eastAsia" w:ascii="仿宋_GB2312" w:eastAsia="仿宋_GB2312"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hint="eastAsia" w:ascii="仿宋_GB2312" w:eastAsia="仿宋_GB2312" w:cs="宋体"/>
                <w:color w:val="000000"/>
                <w:sz w:val="24"/>
              </w:rPr>
            </w:pPr>
            <w:r>
              <w:rPr>
                <w:rFonts w:hint="eastAsia" w:ascii="仿宋_GB2312" w:eastAsia="仿宋_GB2312" w:cs="仿宋_GB2312"/>
                <w:sz w:val="32"/>
                <w:szCs w:val="32"/>
              </w:rPr>
              <w:t>24.17万元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_GB2312" w:eastAsia="仿宋_GB2312"/>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hint="eastAsia" w:ascii="仿宋_GB2312" w:eastAsia="仿宋_GB2312" w:cs="宋体"/>
                <w:color w:val="000000"/>
                <w:sz w:val="24"/>
              </w:rPr>
            </w:pPr>
            <w:r>
              <w:rPr>
                <w:rFonts w:hint="eastAsia" w:ascii="仿宋_GB2312" w:eastAsia="仿宋_GB2312"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hint="eastAsia" w:ascii="仿宋_GB2312" w:eastAsia="仿宋_GB2312" w:cs="宋体"/>
                <w:color w:val="000000"/>
                <w:sz w:val="24"/>
              </w:rPr>
            </w:pPr>
            <w:r>
              <w:rPr>
                <w:rFonts w:hint="eastAsia" w:ascii="仿宋_GB2312" w:eastAsia="仿宋_GB2312" w:cs="仿宋_GB2312"/>
                <w:sz w:val="32"/>
                <w:szCs w:val="32"/>
              </w:rPr>
              <w:t>28.47万元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hint="eastAsia" w:ascii="仿宋_GB2312" w:eastAsia="仿宋_GB2312" w:cs="宋体"/>
                <w:color w:val="000000"/>
                <w:sz w:val="24"/>
              </w:rPr>
            </w:pPr>
            <w:r>
              <w:rPr>
                <w:rFonts w:hint="eastAsia" w:ascii="仿宋_GB2312" w:eastAsia="仿宋_GB2312"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hint="eastAsia" w:ascii="仿宋_GB2312" w:eastAsia="仿宋_GB2312" w:cs="宋体"/>
                <w:color w:val="000000"/>
                <w:sz w:val="24"/>
              </w:rPr>
            </w:pPr>
            <w:r>
              <w:rPr>
                <w:rFonts w:hint="eastAsia" w:ascii="仿宋_GB2312" w:eastAsia="仿宋_GB2312" w:cs="仿宋_GB2312"/>
                <w:sz w:val="32"/>
                <w:szCs w:val="32"/>
              </w:rPr>
              <w:t>24.17万元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_GB2312" w:eastAsia="仿宋_GB2312"/>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hint="eastAsia" w:ascii="仿宋_GB2312" w:eastAsia="仿宋_GB2312" w:cs="宋体"/>
                <w:color w:val="000000"/>
                <w:sz w:val="24"/>
              </w:rPr>
            </w:pPr>
            <w:r>
              <w:rPr>
                <w:rFonts w:hint="eastAsia" w:ascii="仿宋_GB2312" w:eastAsia="仿宋_GB2312"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hint="eastAsia" w:ascii="仿宋_GB2312" w:eastAsia="仿宋_GB2312" w:cs="宋体"/>
                <w:color w:val="000000"/>
                <w:sz w:val="24"/>
              </w:rPr>
            </w:pPr>
            <w:r>
              <w:rPr>
                <w:rFonts w:hint="eastAsia" w:ascii="仿宋_GB2312" w:eastAsia="仿宋_GB2312"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hint="eastAsia" w:ascii="仿宋_GB2312" w:eastAsia="仿宋_GB2312" w:cs="宋体"/>
                <w:color w:val="000000"/>
                <w:sz w:val="24"/>
              </w:rPr>
            </w:pPr>
            <w:r>
              <w:rPr>
                <w:rFonts w:hint="eastAsia" w:ascii="仿宋_GB2312" w:eastAsia="仿宋_GB2312"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hint="eastAsia" w:ascii="仿宋_GB2312" w:eastAsia="仿宋_GB2312" w:cs="宋体"/>
                <w:color w:val="000000"/>
                <w:sz w:val="24"/>
              </w:rPr>
            </w:pPr>
            <w:r>
              <w:rPr>
                <w:rFonts w:hint="eastAsia" w:ascii="仿宋_GB2312" w:eastAsia="仿宋_GB2312" w:cs="宋体"/>
                <w:color w:val="000000"/>
                <w:sz w:val="24"/>
              </w:rPr>
              <w:t>0</w:t>
            </w:r>
          </w:p>
        </w:tc>
      </w:tr>
      <w:tr>
        <w:tblPrEx>
          <w:tblCellMar>
            <w:top w:w="0" w:type="dxa"/>
            <w:left w:w="0" w:type="dxa"/>
            <w:bottom w:w="0" w:type="dxa"/>
            <w:right w:w="0" w:type="dxa"/>
          </w:tblCellMar>
        </w:tblPrEx>
        <w:trPr>
          <w:trHeight w:val="869"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hint="eastAsia" w:ascii="仿宋_GB2312" w:eastAsia="仿宋_GB2312" w:cs="宋体"/>
                <w:color w:val="000000"/>
                <w:sz w:val="24"/>
              </w:rPr>
            </w:pPr>
            <w:r>
              <w:rPr>
                <w:rFonts w:hint="eastAsia" w:ascii="仿宋_GB2312" w:eastAsia="仿宋_GB2312"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hint="eastAsia" w:ascii="仿宋_GB2312" w:eastAsia="仿宋_GB2312" w:cs="宋体"/>
                <w:color w:val="000000"/>
                <w:sz w:val="24"/>
              </w:rPr>
            </w:pPr>
            <w:r>
              <w:rPr>
                <w:rFonts w:hint="eastAsia" w:ascii="仿宋_GB2312" w:eastAsia="仿宋_GB2312"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hint="eastAsia" w:ascii="仿宋_GB2312" w:eastAsia="仿宋_GB2312" w:cs="宋体"/>
                <w:color w:val="000000"/>
                <w:sz w:val="24"/>
              </w:rPr>
            </w:pPr>
            <w:r>
              <w:rPr>
                <w:rFonts w:hint="eastAsia" w:ascii="仿宋_GB2312" w:eastAsia="仿宋_GB2312"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_GB2312" w:eastAsia="仿宋_GB2312"/>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hint="eastAsia" w:ascii="仿宋_GB2312" w:eastAsia="仿宋_GB2312" w:cs="宋体"/>
                <w:color w:val="000000"/>
                <w:sz w:val="24"/>
              </w:rPr>
            </w:pPr>
            <w:r>
              <w:rPr>
                <w:rFonts w:hint="eastAsia" w:ascii="仿宋_GB2312" w:eastAsia="仿宋_GB2312" w:cs="宋体"/>
                <w:color w:val="000000"/>
                <w:sz w:val="24"/>
              </w:rPr>
              <w:t>地方审计工作提供保障，促使审计工作顺利开展</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hint="eastAsia" w:ascii="仿宋_GB2312" w:eastAsia="仿宋_GB2312" w:cs="宋体"/>
                <w:color w:val="000000"/>
                <w:sz w:val="24"/>
              </w:rPr>
            </w:pPr>
            <w:r>
              <w:rPr>
                <w:rFonts w:hint="eastAsia" w:ascii="仿宋_GB2312" w:eastAsia="仿宋_GB2312" w:cs="宋体"/>
                <w:color w:val="000000"/>
                <w:sz w:val="24"/>
              </w:rPr>
              <w:t>保障地方审计工作顺利开展</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hint="eastAsia" w:ascii="仿宋_GB2312" w:eastAsia="仿宋_GB2312" w:cs="宋体"/>
                <w:color w:val="000000"/>
                <w:sz w:val="24"/>
              </w:rPr>
            </w:pPr>
            <w:r>
              <w:rPr>
                <w:rFonts w:hint="eastAsia" w:ascii="仿宋_GB2312" w:eastAsia="仿宋_GB2312"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hint="eastAsia" w:ascii="仿宋_GB2312" w:eastAsia="仿宋_GB2312" w:cs="宋体"/>
                <w:color w:val="000000"/>
                <w:sz w:val="24"/>
              </w:rPr>
            </w:pPr>
            <w:r>
              <w:rPr>
                <w:rFonts w:hint="eastAsia" w:ascii="仿宋_GB2312" w:eastAsia="仿宋_GB2312"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hint="eastAsia" w:ascii="仿宋_GB2312" w:eastAsia="仿宋_GB2312" w:cs="宋体"/>
                <w:color w:val="000000"/>
                <w:sz w:val="24"/>
              </w:rPr>
            </w:pPr>
            <w:r>
              <w:rPr>
                <w:rFonts w:hint="eastAsia" w:ascii="仿宋_GB2312" w:eastAsia="仿宋_GB2312"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hint="eastAsia" w:ascii="仿宋_GB2312" w:eastAsia="仿宋_GB2312" w:cs="宋体"/>
                <w:color w:val="000000"/>
                <w:sz w:val="24"/>
              </w:rPr>
            </w:pPr>
            <w:r>
              <w:rPr>
                <w:rFonts w:hint="eastAsia" w:ascii="仿宋_GB2312" w:eastAsia="仿宋_GB2312"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hint="eastAsia" w:ascii="仿宋_GB2312" w:eastAsia="仿宋_GB2312" w:cs="宋体"/>
                <w:color w:val="000000"/>
                <w:sz w:val="24"/>
              </w:rPr>
            </w:pPr>
            <w:r>
              <w:rPr>
                <w:rFonts w:hint="eastAsia" w:ascii="仿宋_GB2312" w:eastAsia="仿宋_GB2312"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hint="eastAsia" w:ascii="仿宋_GB2312" w:eastAsia="仿宋_GB2312" w:cs="宋体"/>
                <w:color w:val="000000"/>
                <w:sz w:val="24"/>
              </w:rPr>
            </w:pPr>
            <w:r>
              <w:rPr>
                <w:rFonts w:hint="eastAsia" w:ascii="仿宋_GB2312" w:eastAsia="仿宋_GB2312" w:cs="宋体"/>
                <w:color w:val="000000"/>
                <w:kern w:val="0"/>
                <w:sz w:val="24"/>
              </w:rPr>
              <w:t>实际完成指标值(包含数字及文字描述)</w:t>
            </w:r>
          </w:p>
        </w:tc>
      </w:tr>
      <w:tr>
        <w:tblPrEx>
          <w:tblCellMar>
            <w:top w:w="0" w:type="dxa"/>
            <w:left w:w="0" w:type="dxa"/>
            <w:bottom w:w="0" w:type="dxa"/>
            <w:right w:w="0" w:type="dxa"/>
          </w:tblCellMar>
        </w:tblPrEx>
        <w:trPr>
          <w:trHeight w:val="1605"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rPr>
                <w:rFonts w:hint="eastAsia" w:ascii="仿宋_GB2312" w:eastAsia="仿宋_GB2312"/>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hint="eastAsia" w:ascii="仿宋_GB2312" w:eastAsia="仿宋_GB2312" w:cs="宋体"/>
                <w:color w:val="000000"/>
                <w:sz w:val="24"/>
              </w:rPr>
            </w:pPr>
            <w:r>
              <w:rPr>
                <w:rFonts w:hint="eastAsia" w:ascii="仿宋_GB2312" w:eastAsia="仿宋_GB2312"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hint="eastAsia" w:ascii="仿宋_GB2312" w:eastAsia="仿宋_GB2312" w:cs="宋体"/>
                <w:color w:val="000000"/>
                <w:sz w:val="24"/>
              </w:rPr>
            </w:pPr>
            <w:r>
              <w:rPr>
                <w:rFonts w:hint="eastAsia" w:ascii="仿宋_GB2312" w:eastAsia="仿宋_GB2312"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hint="eastAsia" w:ascii="仿宋_GB2312" w:eastAsia="仿宋_GB2312" w:cs="宋体"/>
                <w:color w:val="000000"/>
                <w:sz w:val="24"/>
              </w:rPr>
            </w:pPr>
            <w:r>
              <w:rPr>
                <w:rFonts w:hint="eastAsia" w:ascii="仿宋_GB2312" w:eastAsia="仿宋_GB2312" w:cs="宋体"/>
                <w:color w:val="000000"/>
                <w:sz w:val="24"/>
              </w:rPr>
              <w:t>保障审计项目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hint="eastAsia" w:ascii="仿宋_GB2312" w:eastAsia="仿宋_GB2312" w:cs="宋体"/>
                <w:color w:val="000000"/>
                <w:sz w:val="24"/>
              </w:rPr>
            </w:pPr>
            <w:r>
              <w:rPr>
                <w:rFonts w:hint="eastAsia" w:ascii="仿宋_GB2312" w:eastAsia="仿宋_GB2312" w:cs="宋体"/>
                <w:color w:val="000000"/>
                <w:sz w:val="24"/>
              </w:rPr>
              <w:t>保障全年27个审计项目顺利开展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hint="eastAsia" w:ascii="仿宋_GB2312" w:eastAsia="仿宋_GB2312" w:cs="宋体"/>
                <w:color w:val="000000"/>
                <w:sz w:val="24"/>
              </w:rPr>
            </w:pPr>
            <w:r>
              <w:rPr>
                <w:rFonts w:hint="eastAsia" w:ascii="仿宋_GB2312" w:eastAsia="仿宋_GB2312"/>
                <w:color w:val="000000"/>
                <w:sz w:val="24"/>
              </w:rPr>
              <w:t>审计总金额180462.41万元，审计查出问题58个，查出不规范资金525.79万元，共提出审计建议35条，被审计单位采纳建议35条。</w:t>
            </w:r>
          </w:p>
        </w:tc>
      </w:tr>
      <w:tr>
        <w:tblPrEx>
          <w:tblCellMar>
            <w:top w:w="0" w:type="dxa"/>
            <w:left w:w="0" w:type="dxa"/>
            <w:bottom w:w="0" w:type="dxa"/>
            <w:right w:w="0" w:type="dxa"/>
          </w:tblCellMar>
        </w:tblPrEx>
        <w:trPr>
          <w:trHeight w:val="1297"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rPr>
                <w:rFonts w:hint="eastAsia" w:ascii="仿宋_GB2312" w:eastAsia="仿宋_GB2312"/>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hint="eastAsia" w:ascii="仿宋_GB2312" w:eastAsia="仿宋_GB2312" w:cs="宋体"/>
                <w:color w:val="000000"/>
                <w:sz w:val="24"/>
              </w:rPr>
            </w:pPr>
            <w:r>
              <w:rPr>
                <w:rFonts w:hint="eastAsia" w:ascii="仿宋_GB2312" w:eastAsia="仿宋_GB2312"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hint="eastAsia" w:ascii="仿宋_GB2312" w:eastAsia="仿宋_GB2312" w:cs="宋体"/>
                <w:color w:val="000000"/>
                <w:sz w:val="24"/>
              </w:rPr>
            </w:pPr>
            <w:r>
              <w:rPr>
                <w:rFonts w:hint="eastAsia" w:ascii="仿宋_GB2312" w:eastAsia="仿宋_GB2312"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hint="eastAsia" w:ascii="仿宋_GB2312" w:eastAsia="仿宋_GB2312" w:cs="宋体"/>
                <w:color w:val="000000"/>
                <w:sz w:val="24"/>
              </w:rPr>
            </w:pPr>
            <w:r>
              <w:rPr>
                <w:rFonts w:hint="eastAsia" w:ascii="仿宋_GB2312" w:eastAsia="仿宋_GB2312" w:cs="宋体"/>
                <w:color w:val="000000"/>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hint="eastAsia" w:ascii="仿宋_GB2312" w:eastAsia="仿宋_GB2312" w:cs="宋体"/>
                <w:color w:val="000000"/>
                <w:sz w:val="24"/>
              </w:rPr>
            </w:pPr>
            <w:r>
              <w:rPr>
                <w:rFonts w:hint="eastAsia" w:ascii="仿宋_GB2312" w:eastAsia="仿宋_GB2312" w:cs="宋体"/>
                <w:color w:val="000000"/>
                <w:sz w:val="24"/>
              </w:rPr>
              <w:t>当年12月底前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hint="eastAsia" w:ascii="仿宋_GB2312" w:eastAsia="仿宋_GB2312"/>
                <w:color w:val="000000"/>
                <w:sz w:val="24"/>
              </w:rPr>
            </w:pPr>
            <w:r>
              <w:rPr>
                <w:rFonts w:hint="eastAsia" w:ascii="仿宋_GB2312" w:eastAsia="仿宋_GB2312"/>
                <w:color w:val="000000"/>
                <w:sz w:val="24"/>
              </w:rPr>
              <w:t>12月底前完成</w:t>
            </w:r>
          </w:p>
        </w:tc>
      </w:tr>
      <w:tr>
        <w:tblPrEx>
          <w:tblCellMar>
            <w:top w:w="0" w:type="dxa"/>
            <w:left w:w="0" w:type="dxa"/>
            <w:bottom w:w="0" w:type="dxa"/>
            <w:right w:w="0" w:type="dxa"/>
          </w:tblCellMar>
        </w:tblPrEx>
        <w:trPr>
          <w:trHeight w:val="1050" w:hRule="atLeast"/>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_GB2312" w:eastAsia="仿宋_GB2312"/>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hint="eastAsia" w:ascii="仿宋_GB2312" w:eastAsia="仿宋_GB2312" w:cs="宋体"/>
                <w:color w:val="000000"/>
                <w:sz w:val="24"/>
              </w:rPr>
            </w:pPr>
            <w:r>
              <w:rPr>
                <w:rFonts w:hint="eastAsia" w:ascii="仿宋_GB2312" w:eastAsia="仿宋_GB2312"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hint="eastAsia" w:ascii="仿宋_GB2312" w:eastAsia="仿宋_GB2312" w:cs="宋体"/>
                <w:color w:val="000000"/>
                <w:sz w:val="24"/>
              </w:rPr>
            </w:pPr>
            <w:r>
              <w:rPr>
                <w:rFonts w:hint="eastAsia" w:ascii="仿宋_GB2312" w:eastAsia="仿宋_GB2312"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hint="eastAsia" w:ascii="仿宋_GB2312" w:eastAsia="仿宋_GB2312" w:cs="宋体"/>
                <w:color w:val="000000"/>
                <w:sz w:val="24"/>
              </w:rPr>
            </w:pPr>
            <w:r>
              <w:rPr>
                <w:rFonts w:hint="eastAsia" w:ascii="仿宋_GB2312" w:eastAsia="仿宋_GB2312" w:cs="宋体"/>
                <w:color w:val="000000"/>
                <w:sz w:val="24"/>
              </w:rPr>
              <w:t>组织工作满意度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hint="eastAsia" w:ascii="仿宋_GB2312" w:eastAsia="仿宋_GB2312" w:cs="宋体"/>
                <w:color w:val="000000"/>
                <w:sz w:val="24"/>
              </w:rPr>
            </w:pPr>
            <w:r>
              <w:rPr>
                <w:rFonts w:hint="eastAsia" w:ascii="仿宋_GB2312" w:eastAsia="仿宋_GB2312" w:cs="宋体"/>
                <w:color w:val="000000"/>
                <w:sz w:val="24"/>
              </w:rPr>
              <w:t>&gt;97%</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60" w:lineRule="exact"/>
              <w:jc w:val="center"/>
              <w:textAlignment w:val="center"/>
              <w:rPr>
                <w:rFonts w:hint="eastAsia" w:ascii="仿宋_GB2312" w:eastAsia="仿宋_GB2312" w:cs="宋体"/>
                <w:color w:val="000000"/>
                <w:sz w:val="24"/>
              </w:rPr>
            </w:pPr>
            <w:r>
              <w:rPr>
                <w:rFonts w:hint="eastAsia" w:ascii="仿宋_GB2312" w:eastAsia="仿宋_GB2312" w:cs="宋体"/>
                <w:color w:val="000000"/>
                <w:sz w:val="24"/>
              </w:rPr>
              <w:t>&gt;97%</w:t>
            </w:r>
          </w:p>
        </w:tc>
      </w:tr>
    </w:tbl>
    <w:p>
      <w:pPr>
        <w:spacing w:line="560" w:lineRule="exact"/>
        <w:rPr>
          <w:rFonts w:hint="eastAsia" w:ascii="仿宋_GB2312" w:eastAsia="仿宋_GB2312" w:cs="仿宋_GB2312"/>
          <w:sz w:val="32"/>
          <w:szCs w:val="32"/>
        </w:rPr>
      </w:pPr>
    </w:p>
    <w:p>
      <w:pPr>
        <w:spacing w:line="560" w:lineRule="exact"/>
        <w:ind w:firstLine="643" w:firstLineChars="200"/>
        <w:rPr>
          <w:rFonts w:hint="eastAsia" w:ascii="仿宋_GB2312" w:eastAsia="仿宋_GB2312" w:cs="仿宋_GB2312"/>
          <w:b/>
          <w:sz w:val="32"/>
          <w:szCs w:val="32"/>
        </w:rPr>
      </w:pPr>
      <w:r>
        <w:rPr>
          <w:rFonts w:hint="eastAsia" w:ascii="仿宋_GB2312" w:eastAsia="仿宋_GB2312" w:cs="楷体_GB2312"/>
          <w:b/>
          <w:sz w:val="32"/>
          <w:szCs w:val="32"/>
        </w:rPr>
        <w:t>2.部门绩效评价结果</w:t>
      </w:r>
    </w:p>
    <w:p>
      <w:pPr>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本部门按要求对2019年部门整体支出绩效评价情况开展自评，《茂县审计局2019年部门整体支出绩效评价报告》见附件（附件1）。</w:t>
      </w:r>
    </w:p>
    <w:p>
      <w:pPr>
        <w:widowControl/>
        <w:spacing w:line="560" w:lineRule="exact"/>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4"/>
        </w:numPr>
        <w:spacing w:line="560" w:lineRule="exact"/>
        <w:ind w:firstLine="660" w:firstLineChars="150"/>
        <w:jc w:val="center"/>
        <w:outlineLvl w:val="0"/>
        <w:rPr>
          <w:rStyle w:val="17"/>
          <w:rFonts w:ascii="方正小标宋简体" w:eastAsia="方正小标宋简体"/>
          <w:b w:val="0"/>
          <w:bCs w:val="0"/>
        </w:rPr>
      </w:pPr>
      <w:bookmarkStart w:id="55" w:name="_Toc15396613"/>
      <w:bookmarkStart w:id="56" w:name="_Toc15377225"/>
      <w:r>
        <w:rPr>
          <w:rStyle w:val="17"/>
          <w:rFonts w:hint="eastAsia" w:ascii="方正小标宋简体" w:eastAsia="方正小标宋简体"/>
          <w:b w:val="0"/>
          <w:bCs w:val="0"/>
        </w:rPr>
        <w:t>名词解释</w:t>
      </w:r>
      <w:bookmarkEnd w:id="55"/>
      <w:bookmarkEnd w:id="56"/>
    </w:p>
    <w:p>
      <w:pPr>
        <w:spacing w:line="56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widowControl/>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9.一般公共服务（类）审计事务（款）行政运行（项）：指行政单位（包括实行公务员管理的事业单位）的基本支出。</w:t>
      </w:r>
    </w:p>
    <w:p>
      <w:pPr>
        <w:widowControl/>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10.一般公共服务（类）审计事务（款）一般行政管理事务（项）：指行政单位（包括实行公务员管理的事业单位）未单独设置项级科目的其他项目支出。</w:t>
      </w:r>
    </w:p>
    <w:p>
      <w:pPr>
        <w:widowControl/>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11.一般公共服务（类）审计事务（款）事业运行（项）：指反映事业单位的基本支出，不包括行政单位后勤服务中心、医务室等附属事业单位。</w:t>
      </w:r>
    </w:p>
    <w:p>
      <w:pPr>
        <w:widowControl/>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 xml:space="preserve">12.社会保障和就业（类）行政事业单位离退休（款） </w:t>
      </w:r>
    </w:p>
    <w:p>
      <w:pPr>
        <w:widowControl/>
        <w:spacing w:line="560" w:lineRule="exact"/>
        <w:jc w:val="left"/>
        <w:rPr>
          <w:rFonts w:ascii="仿宋_GB2312" w:eastAsia="仿宋_GB2312"/>
          <w:color w:val="000000"/>
          <w:sz w:val="32"/>
          <w:szCs w:val="32"/>
        </w:rPr>
      </w:pPr>
      <w:r>
        <w:rPr>
          <w:rFonts w:hint="eastAsia" w:ascii="仿宋_GB2312" w:eastAsia="仿宋_GB2312"/>
          <w:color w:val="000000"/>
          <w:sz w:val="32"/>
          <w:szCs w:val="32"/>
        </w:rPr>
        <w:t xml:space="preserve">机关事业单位基本养老保险缴费支出（项）：指部门实施养 </w:t>
      </w:r>
    </w:p>
    <w:p>
      <w:pPr>
        <w:widowControl/>
        <w:spacing w:line="560" w:lineRule="exact"/>
        <w:jc w:val="left"/>
        <w:rPr>
          <w:rFonts w:ascii="仿宋_GB2312" w:eastAsia="仿宋_GB2312"/>
          <w:color w:val="000000"/>
          <w:sz w:val="32"/>
          <w:szCs w:val="32"/>
        </w:rPr>
      </w:pPr>
      <w:r>
        <w:rPr>
          <w:rFonts w:hint="eastAsia" w:ascii="仿宋_GB2312" w:eastAsia="仿宋_GB2312"/>
          <w:color w:val="000000"/>
          <w:sz w:val="32"/>
          <w:szCs w:val="32"/>
        </w:rPr>
        <w:t xml:space="preserve">老保险、职业年金制度由单位缴纳的养老保险费和职业年金的支出。 </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13.医疗卫生与计划生育（类）行政事业单位医疗（款）行政单位医疗（项）：指局机关单位用于缴纳单位基本医疗保险支出。 </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14.医疗卫生与计划生育（类）行政事业单位医疗（款） 事业单位医疗（项）：指事业单位用于缴纳单位基本医疗保 险支出。</w:t>
      </w:r>
    </w:p>
    <w:p>
      <w:pPr>
        <w:widowControl/>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15.住房保障（类）</w:t>
      </w:r>
      <w:r>
        <w:rPr>
          <w:rFonts w:hint="eastAsia" w:ascii="仿宋_GB2312" w:eastAsia="仿宋_GB2312" w:cs="仿宋"/>
          <w:color w:val="000000"/>
          <w:kern w:val="0"/>
          <w:sz w:val="32"/>
          <w:szCs w:val="32"/>
        </w:rPr>
        <w:t>）</w:t>
      </w:r>
      <w:r>
        <w:rPr>
          <w:rFonts w:hint="eastAsia" w:ascii="仿宋_GB2312" w:eastAsia="仿宋_GB2312"/>
          <w:color w:val="000000"/>
          <w:sz w:val="32"/>
          <w:szCs w:val="32"/>
        </w:rPr>
        <w:t>住房改革支出（款）住房公积金（项）：反映行政事业单位按规定为职工缴纳的住房公积金。</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16.基本支出：指为保障机构正常运转、完成日常工作任务而发生的人员支出和公用支出。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17.项目支出：指在基本支出之外为完成特定行政任务和事业发展目标所发生的支出。 </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18.“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19.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2"/>
        <w:spacing w:line="560" w:lineRule="exact"/>
        <w:ind w:firstLine="640" w:firstLineChars="200"/>
        <w:rPr>
          <w:rFonts w:ascii="仿宋_GB2312" w:eastAsia="仿宋_GB2312" w:cs="黑体"/>
          <w:sz w:val="32"/>
          <w:szCs w:val="32"/>
        </w:rPr>
      </w:pPr>
    </w:p>
    <w:p>
      <w:pPr>
        <w:spacing w:line="560" w:lineRule="exact"/>
        <w:ind w:firstLine="643" w:firstLineChars="200"/>
        <w:rPr>
          <w:rFonts w:ascii="仿宋" w:eastAsia="仿宋"/>
          <w:b/>
          <w:color w:val="000000"/>
          <w:sz w:val="32"/>
          <w:szCs w:val="32"/>
        </w:rPr>
      </w:pPr>
    </w:p>
    <w:p>
      <w:pPr>
        <w:spacing w:line="560" w:lineRule="exact"/>
        <w:jc w:val="center"/>
        <w:outlineLvl w:val="0"/>
        <w:rPr>
          <w:rStyle w:val="17"/>
          <w:rFonts w:ascii="黑体" w:eastAsia="黑体"/>
          <w:b w:val="0"/>
        </w:rPr>
      </w:pPr>
      <w:bookmarkStart w:id="57" w:name="_Toc15377226"/>
      <w:r>
        <w:rPr>
          <w:rFonts w:ascii="宋体"/>
          <w:b/>
          <w:color w:val="000000"/>
          <w:sz w:val="44"/>
          <w:szCs w:val="44"/>
        </w:rPr>
        <w:br w:type="page"/>
      </w:r>
      <w:bookmarkStart w:id="58" w:name="_Toc15396614"/>
      <w:r>
        <w:rPr>
          <w:rStyle w:val="17"/>
          <w:rFonts w:hint="eastAsia" w:ascii="方正小标宋简体" w:eastAsia="方正小标宋简体"/>
          <w:b w:val="0"/>
          <w:bCs w:val="0"/>
        </w:rPr>
        <w:t>第四部分 附件</w:t>
      </w:r>
      <w:bookmarkEnd w:id="58"/>
    </w:p>
    <w:p>
      <w:pPr>
        <w:spacing w:line="560" w:lineRule="exact"/>
        <w:jc w:val="left"/>
        <w:outlineLvl w:val="0"/>
        <w:rPr>
          <w:rFonts w:ascii="方正小标宋简体" w:eastAsia="方正小标宋简体" w:cs="方正小标宋简体"/>
          <w:sz w:val="32"/>
          <w:szCs w:val="32"/>
        </w:rPr>
      </w:pPr>
      <w:r>
        <w:rPr>
          <w:rFonts w:hint="eastAsia" w:ascii="黑体" w:eastAsia="黑体" w:cs="黑体"/>
          <w:sz w:val="32"/>
          <w:szCs w:val="32"/>
        </w:rPr>
        <w:t>附件1</w:t>
      </w:r>
    </w:p>
    <w:p>
      <w:pPr>
        <w:spacing w:line="560" w:lineRule="exact"/>
        <w:jc w:val="center"/>
        <w:rPr>
          <w:rFonts w:ascii="方正小标宋简体" w:eastAsia="方正小标宋简体" w:cs="方正小标宋简体"/>
          <w:sz w:val="44"/>
          <w:szCs w:val="44"/>
        </w:rPr>
      </w:pPr>
    </w:p>
    <w:p>
      <w:pPr>
        <w:spacing w:line="560" w:lineRule="exact"/>
        <w:jc w:val="center"/>
        <w:rPr>
          <w:rFonts w:ascii="方正小标宋简体" w:eastAsia="方正小标宋简体"/>
          <w:color w:val="000000"/>
          <w:kern w:val="0"/>
          <w:sz w:val="40"/>
          <w:szCs w:val="44"/>
          <w:lang w:val="zh-CN"/>
        </w:rPr>
      </w:pPr>
      <w:r>
        <w:rPr>
          <w:rFonts w:ascii="方正小标宋简体" w:eastAsia="方正小标宋简体"/>
          <w:color w:val="000000"/>
          <w:kern w:val="0"/>
          <w:sz w:val="40"/>
          <w:szCs w:val="44"/>
        </w:rPr>
        <w:t>茂县审计局2019年部门</w:t>
      </w:r>
      <w:r>
        <w:rPr>
          <w:rFonts w:hint="eastAsia" w:ascii="方正小标宋简体" w:eastAsia="方正小标宋简体"/>
          <w:color w:val="000000"/>
          <w:kern w:val="0"/>
          <w:sz w:val="40"/>
          <w:szCs w:val="44"/>
          <w:lang w:val="zh-CN"/>
        </w:rPr>
        <w:t>整体支出绩效评价报告</w:t>
      </w:r>
    </w:p>
    <w:p>
      <w:pPr>
        <w:widowControl/>
        <w:spacing w:line="560" w:lineRule="exact"/>
        <w:ind w:firstLine="640" w:firstLineChars="200"/>
        <w:contextualSpacing/>
        <w:jc w:val="center"/>
        <w:rPr>
          <w:rFonts w:ascii="仿宋_GB2312" w:eastAsia="仿宋_GB2312"/>
          <w:sz w:val="32"/>
          <w:szCs w:val="32"/>
          <w:shd w:val="clear" w:color="auto" w:fill="FFFFFF"/>
        </w:rPr>
      </w:pPr>
    </w:p>
    <w:p>
      <w:pPr>
        <w:widowControl/>
        <w:adjustRightInd w:val="0"/>
        <w:snapToGrid w:val="0"/>
        <w:spacing w:line="560" w:lineRule="exact"/>
        <w:ind w:firstLine="640" w:firstLineChars="200"/>
        <w:contextualSpacing/>
        <w:jc w:val="left"/>
        <w:rPr>
          <w:rFonts w:ascii="黑体" w:eastAsia="黑体" w:cs="宋体"/>
          <w:color w:val="000000"/>
          <w:kern w:val="0"/>
          <w:sz w:val="32"/>
          <w:szCs w:val="32"/>
          <w:shd w:val="clear" w:color="auto" w:fill="FFFFFF"/>
          <w:lang w:val="zh-CN"/>
        </w:rPr>
      </w:pPr>
      <w:r>
        <w:rPr>
          <w:rFonts w:hint="eastAsia" w:ascii="黑体" w:eastAsia="黑体" w:cs="宋体"/>
          <w:color w:val="000000"/>
          <w:kern w:val="0"/>
          <w:sz w:val="32"/>
          <w:szCs w:val="32"/>
          <w:shd w:val="clear" w:color="auto" w:fill="FFFFFF"/>
        </w:rPr>
        <w:t>一、</w:t>
      </w:r>
      <w:r>
        <w:rPr>
          <w:rFonts w:hint="eastAsia" w:ascii="黑体" w:eastAsia="黑体" w:cs="宋体"/>
          <w:color w:val="000000"/>
          <w:kern w:val="0"/>
          <w:sz w:val="32"/>
          <w:szCs w:val="32"/>
          <w:shd w:val="clear" w:color="auto" w:fill="FFFFFF"/>
          <w:lang w:val="zh-CN"/>
        </w:rPr>
        <w:t>部门（单位）概况</w:t>
      </w:r>
    </w:p>
    <w:p>
      <w:pPr>
        <w:widowControl/>
        <w:numPr>
          <w:ilvl w:val="0"/>
          <w:numId w:val="5"/>
        </w:numPr>
        <w:adjustRightInd w:val="0"/>
        <w:snapToGrid w:val="0"/>
        <w:spacing w:line="560" w:lineRule="exact"/>
        <w:contextualSpacing/>
        <w:jc w:val="left"/>
        <w:rPr>
          <w:rFonts w:hint="eastAsia" w:ascii="楷体_GB2312" w:eastAsia="楷体_GB2312" w:cs="宋体"/>
          <w:b/>
          <w:color w:val="000000"/>
          <w:kern w:val="0"/>
          <w:sz w:val="32"/>
          <w:szCs w:val="32"/>
          <w:shd w:val="clear" w:color="auto" w:fill="FFFFFF"/>
          <w:lang w:val="zh-CN"/>
        </w:rPr>
      </w:pPr>
      <w:r>
        <w:rPr>
          <w:rFonts w:hint="eastAsia" w:ascii="楷体_GB2312" w:eastAsia="楷体_GB2312" w:cs="宋体"/>
          <w:b/>
          <w:color w:val="000000"/>
          <w:kern w:val="0"/>
          <w:sz w:val="32"/>
          <w:szCs w:val="32"/>
          <w:shd w:val="clear" w:color="auto" w:fill="FFFFFF"/>
          <w:lang w:val="zh-CN"/>
        </w:rPr>
        <w:t>机构组成</w:t>
      </w:r>
    </w:p>
    <w:p>
      <w:pPr>
        <w:widowControl/>
        <w:adjustRightInd w:val="0"/>
        <w:snapToGrid w:val="0"/>
        <w:spacing w:line="560" w:lineRule="exact"/>
        <w:ind w:firstLine="640" w:firstLineChars="200"/>
        <w:contextualSpacing/>
        <w:jc w:val="left"/>
        <w:rPr>
          <w:rFonts w:ascii="仿宋_GB2312" w:eastAsia="仿宋_GB2312"/>
          <w:sz w:val="32"/>
        </w:rPr>
      </w:pPr>
      <w:r>
        <w:rPr>
          <w:rFonts w:hint="eastAsia" w:ascii="仿宋_GB2312" w:eastAsia="仿宋_GB2312"/>
          <w:sz w:val="32"/>
        </w:rPr>
        <w:t>茂县审计局内设机构有：办公室、经济责任和固定资产投资审计股、行政事业审计股、下设固定资产投资审计中心、法规稽核中心、电子数据审计中心。</w:t>
      </w:r>
    </w:p>
    <w:p>
      <w:pPr>
        <w:widowControl/>
        <w:adjustRightInd w:val="0"/>
        <w:snapToGrid w:val="0"/>
        <w:spacing w:line="560" w:lineRule="exact"/>
        <w:ind w:firstLine="643" w:firstLineChars="200"/>
        <w:contextualSpacing/>
        <w:jc w:val="left"/>
        <w:rPr>
          <w:rFonts w:hint="eastAsia" w:ascii="楷体_GB2312" w:eastAsia="楷体_GB2312" w:cs="宋体"/>
          <w:b/>
          <w:color w:val="000000"/>
          <w:kern w:val="0"/>
          <w:sz w:val="32"/>
          <w:szCs w:val="32"/>
          <w:shd w:val="clear" w:color="auto" w:fill="FFFFFF"/>
          <w:lang w:val="zh-CN"/>
        </w:rPr>
      </w:pPr>
      <w:r>
        <w:rPr>
          <w:rFonts w:hint="eastAsia" w:ascii="楷体_GB2312" w:eastAsia="楷体_GB2312" w:cs="宋体"/>
          <w:b/>
          <w:color w:val="000000"/>
          <w:kern w:val="0"/>
          <w:sz w:val="32"/>
          <w:szCs w:val="32"/>
          <w:shd w:val="clear" w:color="auto" w:fill="FFFFFF"/>
          <w:lang w:val="zh-CN"/>
        </w:rPr>
        <w:t>（二）机构职能</w:t>
      </w:r>
    </w:p>
    <w:p>
      <w:pPr>
        <w:spacing w:line="560" w:lineRule="exact"/>
        <w:ind w:firstLine="640" w:firstLineChars="200"/>
        <w:rPr>
          <w:rFonts w:ascii="仿宋_GB2312" w:eastAsia="仿宋_GB2312"/>
          <w:sz w:val="32"/>
        </w:rPr>
      </w:pPr>
      <w:r>
        <w:rPr>
          <w:rFonts w:hint="eastAsia" w:ascii="仿宋_GB2312" w:eastAsia="仿宋_GB2312" w:cs="仿宋"/>
          <w:sz w:val="32"/>
        </w:rPr>
        <w:t>1.</w:t>
      </w:r>
      <w:r>
        <w:rPr>
          <w:rFonts w:hint="eastAsia" w:ascii="仿宋_GB2312" w:eastAsia="仿宋_GB2312"/>
          <w:sz w:val="32"/>
        </w:rPr>
        <w:t>贯彻执行国家有关审计工作的法律法规和方针政策。负责草拟我县地方性审计法规和规章，参与制订与审计内容有关的地方性财经法规，并监督执行。</w:t>
      </w:r>
    </w:p>
    <w:p>
      <w:pPr>
        <w:spacing w:line="560" w:lineRule="exact"/>
        <w:ind w:firstLine="640" w:firstLineChars="200"/>
        <w:rPr>
          <w:rFonts w:ascii="仿宋_GB2312" w:eastAsia="仿宋_GB2312" w:cs="Arial"/>
          <w:color w:val="000000"/>
          <w:sz w:val="32"/>
          <w:szCs w:val="21"/>
        </w:rPr>
      </w:pPr>
      <w:r>
        <w:rPr>
          <w:rFonts w:hint="eastAsia" w:ascii="仿宋_GB2312" w:eastAsia="仿宋_GB2312" w:cs="Arial"/>
          <w:color w:val="000000"/>
          <w:sz w:val="32"/>
          <w:szCs w:val="21"/>
        </w:rPr>
        <w:t>2.负责对县级财政收支和法律法规规定属审计监督范围的财务收支的真实、合法和效益进行审计监督，维护国家财政经济秩序，提高财政资金使用效益，促进廉政建设，保障国民经济和社会健康发展，对审计、专项审计调查和核查社会审计机构相关审计报告的结果承担责任并负有督促被审计单位整改的责任。</w:t>
      </w:r>
    </w:p>
    <w:p>
      <w:pPr>
        <w:spacing w:line="560" w:lineRule="exact"/>
        <w:ind w:firstLine="640" w:firstLineChars="200"/>
        <w:rPr>
          <w:rFonts w:ascii="仿宋_GB2312" w:eastAsia="仿宋_GB2312"/>
          <w:sz w:val="32"/>
        </w:rPr>
      </w:pPr>
      <w:r>
        <w:rPr>
          <w:rFonts w:hint="eastAsia" w:ascii="仿宋_GB2312" w:eastAsia="仿宋_GB2312"/>
          <w:sz w:val="32"/>
        </w:rPr>
        <w:t>3.向县长提出县级预算执行和其他财政收支情况的审计结果报告，受县人民政府委托向县人大提出县级预算执行和其他财政收支情况的审计工作报告、审计发现问题的纠正和处理结果报告，向县人民政府报告对其他事项的审计和专项审计调查情况及结果，依法向社会公布审计结果。</w:t>
      </w:r>
    </w:p>
    <w:p>
      <w:pPr>
        <w:spacing w:line="560" w:lineRule="exact"/>
        <w:ind w:firstLine="640" w:firstLineChars="200"/>
        <w:rPr>
          <w:rFonts w:ascii="仿宋_GB2312" w:eastAsia="仿宋_GB2312"/>
          <w:sz w:val="32"/>
        </w:rPr>
      </w:pPr>
      <w:r>
        <w:rPr>
          <w:rFonts w:hint="eastAsia" w:ascii="仿宋_GB2312" w:eastAsia="仿宋_GB2312"/>
          <w:sz w:val="32"/>
        </w:rPr>
        <w:t>4.依据《中华人民共和国审计法》等规定，直接审计下列事项，出具审计报告，在法定职权范围内作出审计决定或向有关主管机关提出处理处罚的建议：</w:t>
      </w:r>
    </w:p>
    <w:p>
      <w:pPr>
        <w:spacing w:line="560" w:lineRule="exact"/>
        <w:ind w:firstLine="640" w:firstLineChars="200"/>
        <w:rPr>
          <w:rFonts w:ascii="仿宋_GB2312" w:eastAsia="仿宋_GB2312"/>
          <w:sz w:val="32"/>
        </w:rPr>
      </w:pPr>
      <w:r>
        <w:rPr>
          <w:rFonts w:hint="eastAsia" w:ascii="仿宋_GB2312" w:eastAsia="仿宋_GB2312"/>
          <w:sz w:val="32"/>
        </w:rPr>
        <w:t>（1）县级财政预算执行情况和其他财政收支，县级各部门预算的执行情况、决算和其他财政收支。</w:t>
      </w:r>
    </w:p>
    <w:p>
      <w:pPr>
        <w:spacing w:line="560" w:lineRule="exact"/>
        <w:ind w:firstLine="640" w:firstLineChars="200"/>
        <w:rPr>
          <w:rFonts w:ascii="仿宋_GB2312" w:eastAsia="仿宋_GB2312"/>
          <w:sz w:val="32"/>
        </w:rPr>
      </w:pPr>
      <w:r>
        <w:rPr>
          <w:rFonts w:hint="eastAsia" w:ascii="仿宋_GB2312" w:eastAsia="仿宋_GB2312"/>
          <w:sz w:val="32"/>
        </w:rPr>
        <w:t>（2）乡镇人民政府预算的执行情况和决算以及其他财政收支。</w:t>
      </w:r>
    </w:p>
    <w:p>
      <w:pPr>
        <w:spacing w:line="560" w:lineRule="exact"/>
        <w:ind w:firstLine="640" w:firstLineChars="200"/>
        <w:rPr>
          <w:rFonts w:ascii="仿宋_GB2312" w:eastAsia="仿宋_GB2312"/>
          <w:sz w:val="32"/>
        </w:rPr>
      </w:pPr>
      <w:r>
        <w:rPr>
          <w:rFonts w:hint="eastAsia" w:ascii="仿宋_GB2312" w:eastAsia="仿宋_GB2312"/>
          <w:sz w:val="32"/>
        </w:rPr>
        <w:t>（3）县级各部门、事业单位及直属单位和社会团体的财务收支。</w:t>
      </w:r>
    </w:p>
    <w:p>
      <w:pPr>
        <w:spacing w:line="560" w:lineRule="exact"/>
        <w:ind w:firstLine="640" w:firstLineChars="200"/>
        <w:rPr>
          <w:rFonts w:ascii="仿宋_GB2312" w:eastAsia="仿宋_GB2312"/>
          <w:sz w:val="32"/>
        </w:rPr>
      </w:pPr>
      <w:r>
        <w:rPr>
          <w:rFonts w:hint="eastAsia" w:ascii="仿宋_GB2312" w:eastAsia="仿宋_GB2312"/>
          <w:sz w:val="32"/>
        </w:rPr>
        <w:t>（4）县政府投资和以县政府投资为主的建设项目预算执行情况和决算。</w:t>
      </w:r>
    </w:p>
    <w:p>
      <w:pPr>
        <w:spacing w:line="560" w:lineRule="exact"/>
        <w:ind w:firstLine="640" w:firstLineChars="200"/>
        <w:rPr>
          <w:rFonts w:ascii="仿宋_GB2312" w:eastAsia="仿宋_GB2312"/>
          <w:sz w:val="32"/>
        </w:rPr>
      </w:pPr>
      <w:r>
        <w:rPr>
          <w:rFonts w:hint="eastAsia" w:ascii="仿宋_GB2312" w:eastAsia="仿宋_GB2312"/>
          <w:sz w:val="32"/>
        </w:rPr>
        <w:t>（5）县级国有企业和地方金融机构、县级国有资本占控股或主导地位的企业和金融机构的资产、负债和损益。</w:t>
      </w:r>
    </w:p>
    <w:p>
      <w:pPr>
        <w:spacing w:line="560" w:lineRule="exact"/>
        <w:ind w:firstLine="640" w:firstLineChars="200"/>
        <w:rPr>
          <w:rFonts w:ascii="仿宋_GB2312" w:eastAsia="仿宋_GB2312"/>
          <w:sz w:val="32"/>
        </w:rPr>
      </w:pPr>
      <w:r>
        <w:rPr>
          <w:rFonts w:hint="eastAsia" w:ascii="仿宋_GB2312" w:eastAsia="仿宋_GB2312"/>
          <w:sz w:val="32"/>
        </w:rPr>
        <w:t>（6）县政府部门管理和受县政府及其部门委托管理的社会保障基金、环境保护资金、社会捐赠资金及其他有关基金、资金的财务收支。</w:t>
      </w:r>
    </w:p>
    <w:p>
      <w:pPr>
        <w:spacing w:line="560" w:lineRule="exact"/>
        <w:ind w:firstLine="640" w:firstLineChars="200"/>
        <w:rPr>
          <w:rFonts w:ascii="仿宋_GB2312" w:eastAsia="仿宋_GB2312"/>
          <w:sz w:val="32"/>
        </w:rPr>
      </w:pPr>
      <w:r>
        <w:rPr>
          <w:rFonts w:hint="eastAsia" w:ascii="仿宋_GB2312" w:eastAsia="仿宋_GB2312"/>
          <w:sz w:val="32"/>
        </w:rPr>
        <w:t>（7）国际组织和外国政府在县援助、贷款项目的财务收支。</w:t>
      </w:r>
    </w:p>
    <w:p>
      <w:pPr>
        <w:spacing w:line="560" w:lineRule="exact"/>
        <w:ind w:firstLine="640" w:firstLineChars="200"/>
        <w:rPr>
          <w:rFonts w:ascii="仿宋_GB2312" w:eastAsia="仿宋_GB2312"/>
          <w:sz w:val="32"/>
        </w:rPr>
      </w:pPr>
      <w:r>
        <w:rPr>
          <w:rFonts w:hint="eastAsia" w:ascii="仿宋_GB2312" w:eastAsia="仿宋_GB2312"/>
          <w:sz w:val="32"/>
        </w:rPr>
        <w:t>（8）法律、行政法规和地方性法规、政府规章规定应由审计机关审计的其他事项。</w:t>
      </w:r>
    </w:p>
    <w:p>
      <w:pPr>
        <w:spacing w:line="560" w:lineRule="exact"/>
        <w:ind w:firstLine="640" w:firstLineChars="200"/>
        <w:rPr>
          <w:rFonts w:ascii="仿宋_GB2312" w:eastAsia="仿宋_GB2312"/>
          <w:sz w:val="32"/>
        </w:rPr>
      </w:pPr>
      <w:r>
        <w:rPr>
          <w:rFonts w:hint="eastAsia" w:ascii="仿宋_GB2312" w:eastAsia="仿宋_GB2312"/>
          <w:sz w:val="32"/>
        </w:rPr>
        <w:t>5.按规定对县级以下领导干部及依法属县审计局审计监督的其他单位主要负责人实施经济责任审计。</w:t>
      </w:r>
    </w:p>
    <w:p>
      <w:pPr>
        <w:spacing w:line="560" w:lineRule="exact"/>
        <w:ind w:firstLine="640" w:firstLineChars="200"/>
        <w:rPr>
          <w:rFonts w:ascii="仿宋_GB2312" w:eastAsia="仿宋_GB2312"/>
          <w:sz w:val="32"/>
        </w:rPr>
      </w:pPr>
      <w:r>
        <w:rPr>
          <w:rFonts w:hint="eastAsia" w:ascii="仿宋_GB2312" w:eastAsia="仿宋_GB2312"/>
          <w:sz w:val="32"/>
        </w:rPr>
        <w:t>6.组织实施对国家财经法律、法规、规章、政策和宏观调控措施执行情况、财政预算管理或国有资产管理使用等与县级财政财务收支有关的特定事项进行专项审计调查。</w:t>
      </w:r>
    </w:p>
    <w:p>
      <w:pPr>
        <w:spacing w:line="560" w:lineRule="exact"/>
        <w:ind w:firstLine="640" w:firstLineChars="200"/>
        <w:rPr>
          <w:rFonts w:ascii="仿宋_GB2312" w:eastAsia="仿宋_GB2312"/>
          <w:sz w:val="32"/>
        </w:rPr>
      </w:pPr>
      <w:r>
        <w:rPr>
          <w:rFonts w:hint="eastAsia" w:ascii="仿宋_GB2312" w:eastAsia="仿宋_GB2312"/>
          <w:sz w:val="32"/>
        </w:rPr>
        <w:t>7.依法检查审计决定执行情况，督促纠正和处理审计发现的问题，依法办理被审计单位对审计决定提请行政复议、行政诉讼或县政府裁决中的有关事项，协助配合有关部门查处相关重大案件。</w:t>
      </w:r>
    </w:p>
    <w:p>
      <w:pPr>
        <w:spacing w:line="560" w:lineRule="exact"/>
        <w:ind w:firstLine="640" w:firstLineChars="200"/>
        <w:rPr>
          <w:rFonts w:ascii="仿宋_GB2312" w:eastAsia="仿宋_GB2312"/>
          <w:sz w:val="32"/>
        </w:rPr>
      </w:pPr>
      <w:r>
        <w:rPr>
          <w:rFonts w:hint="eastAsia" w:ascii="仿宋_GB2312" w:eastAsia="仿宋_GB2312"/>
          <w:sz w:val="32"/>
        </w:rPr>
        <w:t>8.指导和监督内部审计工作，核查社会审计机构对依法属审计监督对象的单位出具的相关审计报告。</w:t>
      </w:r>
    </w:p>
    <w:p>
      <w:pPr>
        <w:widowControl/>
        <w:adjustRightInd w:val="0"/>
        <w:snapToGrid w:val="0"/>
        <w:spacing w:line="56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sz w:val="32"/>
        </w:rPr>
        <w:t>9.承办县人民政府交办的其他事项。</w:t>
      </w:r>
    </w:p>
    <w:p>
      <w:pPr>
        <w:widowControl/>
        <w:adjustRightInd w:val="0"/>
        <w:snapToGrid w:val="0"/>
        <w:spacing w:line="560" w:lineRule="exact"/>
        <w:ind w:firstLine="643" w:firstLineChars="200"/>
        <w:contextualSpacing/>
        <w:jc w:val="left"/>
        <w:rPr>
          <w:rFonts w:hint="eastAsia" w:ascii="楷体_GB2312" w:eastAsia="楷体_GB2312" w:cs="宋体"/>
          <w:b/>
          <w:color w:val="000000"/>
          <w:kern w:val="0"/>
          <w:sz w:val="32"/>
          <w:szCs w:val="32"/>
          <w:shd w:val="clear" w:color="auto" w:fill="FFFFFF"/>
          <w:lang w:val="zh-CN"/>
        </w:rPr>
      </w:pPr>
      <w:r>
        <w:rPr>
          <w:rFonts w:hint="eastAsia" w:ascii="楷体_GB2312" w:eastAsia="楷体_GB2312" w:cs="宋体"/>
          <w:b/>
          <w:color w:val="000000"/>
          <w:kern w:val="0"/>
          <w:sz w:val="32"/>
          <w:szCs w:val="32"/>
          <w:shd w:val="clear" w:color="auto" w:fill="FFFFFF"/>
          <w:lang w:val="zh-CN"/>
        </w:rPr>
        <w:t>（三）人员概况</w:t>
      </w:r>
    </w:p>
    <w:p>
      <w:pPr>
        <w:widowControl/>
        <w:adjustRightInd w:val="0"/>
        <w:snapToGrid w:val="0"/>
        <w:spacing w:line="56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sz w:val="32"/>
        </w:rPr>
        <w:t>茂县审计机关行政编制8名，机关工勤人员编制1名。下属固定资产投资审计中心事业编制4名，法规稽核中心事业编制3名，电子数据审计中心事业编制2人。</w:t>
      </w:r>
    </w:p>
    <w:p>
      <w:pPr>
        <w:widowControl/>
        <w:adjustRightInd w:val="0"/>
        <w:snapToGrid w:val="0"/>
        <w:spacing w:line="560" w:lineRule="exact"/>
        <w:ind w:firstLine="640" w:firstLineChars="200"/>
        <w:contextualSpacing/>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二、部门财政资金收支情况</w:t>
      </w:r>
    </w:p>
    <w:p>
      <w:pPr>
        <w:widowControl/>
        <w:numPr>
          <w:ilvl w:val="0"/>
          <w:numId w:val="6"/>
        </w:numPr>
        <w:adjustRightInd w:val="0"/>
        <w:snapToGrid w:val="0"/>
        <w:spacing w:line="560" w:lineRule="exact"/>
        <w:contextualSpacing/>
        <w:jc w:val="left"/>
        <w:rPr>
          <w:rFonts w:hint="eastAsia" w:ascii="楷体_GB2312" w:eastAsia="楷体_GB2312" w:cs="宋体"/>
          <w:b/>
          <w:color w:val="000000"/>
          <w:kern w:val="0"/>
          <w:sz w:val="32"/>
          <w:szCs w:val="32"/>
          <w:shd w:val="clear" w:color="auto" w:fill="FFFFFF"/>
          <w:lang w:val="zh-CN"/>
        </w:rPr>
      </w:pPr>
      <w:r>
        <w:rPr>
          <w:rFonts w:hint="eastAsia" w:ascii="楷体_GB2312" w:eastAsia="楷体_GB2312" w:cs="宋体"/>
          <w:b/>
          <w:color w:val="000000"/>
          <w:kern w:val="0"/>
          <w:sz w:val="32"/>
          <w:szCs w:val="32"/>
          <w:shd w:val="clear" w:color="auto" w:fill="FFFFFF"/>
          <w:lang w:val="zh-CN"/>
        </w:rPr>
        <w:t>部门财</w:t>
      </w:r>
      <w:bookmarkStart w:id="73" w:name="_GoBack"/>
      <w:r>
        <w:rPr>
          <w:rFonts w:hint="eastAsia" w:ascii="楷体_GB2312" w:eastAsia="楷体_GB2312" w:cs="宋体"/>
          <w:b/>
          <w:color w:val="000000"/>
          <w:kern w:val="0"/>
          <w:sz w:val="32"/>
          <w:szCs w:val="32"/>
          <w:shd w:val="clear" w:color="auto" w:fill="FFFFFF"/>
          <w:lang w:val="zh-CN"/>
        </w:rPr>
        <w:t>政</w:t>
      </w:r>
      <w:bookmarkEnd w:id="73"/>
      <w:r>
        <w:rPr>
          <w:rFonts w:hint="eastAsia" w:ascii="楷体_GB2312" w:eastAsia="楷体_GB2312" w:cs="宋体"/>
          <w:b/>
          <w:color w:val="000000"/>
          <w:kern w:val="0"/>
          <w:sz w:val="32"/>
          <w:szCs w:val="32"/>
          <w:shd w:val="clear" w:color="auto" w:fill="FFFFFF"/>
          <w:lang w:val="zh-CN"/>
        </w:rPr>
        <w:t>资金收入情况</w:t>
      </w:r>
    </w:p>
    <w:p>
      <w:pPr>
        <w:widowControl/>
        <w:adjustRightInd w:val="0"/>
        <w:snapToGrid w:val="0"/>
        <w:spacing w:line="56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sz w:val="32"/>
          <w:szCs w:val="32"/>
        </w:rPr>
        <w:t>本年度公共预算财政拨款收入</w:t>
      </w:r>
      <w:r>
        <w:rPr>
          <w:rFonts w:ascii="仿宋_GB2312" w:eastAsia="仿宋_GB2312"/>
          <w:sz w:val="32"/>
          <w:szCs w:val="32"/>
        </w:rPr>
        <w:t>318.60</w:t>
      </w:r>
      <w:r>
        <w:rPr>
          <w:rFonts w:hint="eastAsia" w:ascii="仿宋_GB2312" w:eastAsia="仿宋_GB2312"/>
          <w:sz w:val="32"/>
          <w:szCs w:val="32"/>
        </w:rPr>
        <w:t>万元，其中：一般公共服务收入</w:t>
      </w:r>
      <w:r>
        <w:rPr>
          <w:rFonts w:ascii="仿宋_GB2312" w:eastAsia="仿宋_GB2312"/>
          <w:sz w:val="32"/>
          <w:szCs w:val="32"/>
        </w:rPr>
        <w:t>248.40</w:t>
      </w:r>
      <w:r>
        <w:rPr>
          <w:rFonts w:hint="eastAsia" w:ascii="仿宋_GB2312" w:eastAsia="仿宋_GB2312"/>
          <w:sz w:val="32"/>
          <w:szCs w:val="32"/>
        </w:rPr>
        <w:t>万元，社会保障和就业收入</w:t>
      </w:r>
      <w:r>
        <w:rPr>
          <w:rFonts w:ascii="仿宋_GB2312" w:eastAsia="仿宋_GB2312"/>
          <w:sz w:val="32"/>
          <w:szCs w:val="32"/>
        </w:rPr>
        <w:t>32.84</w:t>
      </w:r>
      <w:r>
        <w:rPr>
          <w:rFonts w:hint="eastAsia" w:ascii="仿宋_GB2312" w:eastAsia="仿宋_GB2312"/>
          <w:sz w:val="32"/>
          <w:szCs w:val="32"/>
        </w:rPr>
        <w:t>万元，医疗卫生</w:t>
      </w:r>
      <w:r>
        <w:rPr>
          <w:rFonts w:ascii="仿宋_GB2312" w:eastAsia="仿宋_GB2312"/>
          <w:sz w:val="32"/>
          <w:szCs w:val="32"/>
        </w:rPr>
        <w:t>15.89</w:t>
      </w:r>
      <w:r>
        <w:rPr>
          <w:rFonts w:hint="eastAsia" w:ascii="仿宋_GB2312" w:eastAsia="仿宋_GB2312"/>
          <w:sz w:val="32"/>
          <w:szCs w:val="32"/>
        </w:rPr>
        <w:t>万元，住房保障收入</w:t>
      </w:r>
      <w:r>
        <w:rPr>
          <w:rFonts w:ascii="仿宋_GB2312" w:eastAsia="仿宋_GB2312"/>
          <w:sz w:val="32"/>
          <w:szCs w:val="32"/>
        </w:rPr>
        <w:t>21.47</w:t>
      </w:r>
      <w:r>
        <w:rPr>
          <w:rFonts w:hint="eastAsia" w:ascii="仿宋_GB2312" w:eastAsia="仿宋_GB2312"/>
          <w:sz w:val="32"/>
          <w:szCs w:val="32"/>
        </w:rPr>
        <w:t>万元。</w:t>
      </w:r>
    </w:p>
    <w:p>
      <w:pPr>
        <w:widowControl/>
        <w:adjustRightInd w:val="0"/>
        <w:snapToGrid w:val="0"/>
        <w:spacing w:line="560" w:lineRule="exact"/>
        <w:ind w:firstLine="643" w:firstLineChars="200"/>
        <w:contextualSpacing/>
        <w:jc w:val="left"/>
        <w:rPr>
          <w:rFonts w:hint="eastAsia" w:ascii="楷体_GB2312" w:eastAsia="楷体_GB2312" w:cs="宋体"/>
          <w:b/>
          <w:color w:val="000000"/>
          <w:kern w:val="0"/>
          <w:sz w:val="32"/>
          <w:szCs w:val="32"/>
          <w:shd w:val="clear" w:color="auto" w:fill="FFFFFF"/>
          <w:lang w:val="zh-CN"/>
        </w:rPr>
      </w:pPr>
      <w:r>
        <w:rPr>
          <w:rFonts w:hint="eastAsia" w:ascii="楷体_GB2312" w:eastAsia="楷体_GB2312" w:cs="宋体"/>
          <w:b/>
          <w:color w:val="000000"/>
          <w:kern w:val="0"/>
          <w:sz w:val="32"/>
          <w:szCs w:val="32"/>
          <w:shd w:val="clear" w:color="auto" w:fill="FFFFFF"/>
          <w:lang w:val="zh-CN"/>
        </w:rPr>
        <w:t>（二）部门财政资金支出情况</w:t>
      </w:r>
    </w:p>
    <w:p>
      <w:pPr>
        <w:snapToGrid w:val="0"/>
        <w:spacing w:line="560" w:lineRule="exact"/>
        <w:ind w:firstLine="640" w:firstLineChars="200"/>
        <w:rPr>
          <w:rFonts w:ascii="仿宋_GB2312" w:hAnsi="仿宋_GB2312" w:cs="宋体"/>
          <w:color w:val="000000"/>
          <w:kern w:val="0"/>
          <w:szCs w:val="32"/>
          <w:shd w:val="clear" w:color="auto" w:fill="FFFFFF"/>
          <w:lang w:val="zh-CN"/>
        </w:rPr>
      </w:pPr>
      <w:r>
        <w:rPr>
          <w:rFonts w:ascii="仿宋" w:eastAsia="仿宋"/>
          <w:sz w:val="32"/>
          <w:szCs w:val="32"/>
        </w:rPr>
        <w:t>本年度公共预算财政拨款</w:t>
      </w:r>
      <w:r>
        <w:rPr>
          <w:rFonts w:hint="eastAsia" w:ascii="仿宋" w:eastAsia="仿宋"/>
          <w:sz w:val="32"/>
          <w:szCs w:val="32"/>
        </w:rPr>
        <w:t>支出</w:t>
      </w:r>
      <w:r>
        <w:rPr>
          <w:rFonts w:ascii="仿宋" w:eastAsia="仿宋"/>
          <w:sz w:val="32"/>
          <w:szCs w:val="32"/>
        </w:rPr>
        <w:t>319.77万元，其中：</w:t>
      </w:r>
      <w:r>
        <w:rPr>
          <w:rFonts w:hint="eastAsia" w:ascii="仿宋" w:eastAsia="仿宋"/>
          <w:sz w:val="32"/>
          <w:szCs w:val="32"/>
        </w:rPr>
        <w:t>工资福利性支出</w:t>
      </w:r>
      <w:r>
        <w:rPr>
          <w:rFonts w:ascii="仿宋" w:eastAsia="仿宋"/>
          <w:sz w:val="32"/>
          <w:szCs w:val="32"/>
        </w:rPr>
        <w:t>251.69万元</w:t>
      </w:r>
      <w:r>
        <w:rPr>
          <w:rFonts w:hint="eastAsia" w:ascii="仿宋" w:eastAsia="仿宋"/>
          <w:sz w:val="32"/>
          <w:szCs w:val="32"/>
        </w:rPr>
        <w:t>，商品和服务支出</w:t>
      </w:r>
      <w:r>
        <w:rPr>
          <w:rFonts w:ascii="仿宋" w:eastAsia="仿宋"/>
          <w:sz w:val="32"/>
          <w:szCs w:val="32"/>
        </w:rPr>
        <w:t>65.10</w:t>
      </w:r>
      <w:r>
        <w:rPr>
          <w:rFonts w:hint="eastAsia" w:ascii="仿宋" w:eastAsia="仿宋"/>
          <w:sz w:val="32"/>
          <w:szCs w:val="32"/>
        </w:rPr>
        <w:t>万元</w:t>
      </w:r>
      <w:r>
        <w:rPr>
          <w:rFonts w:ascii="仿宋" w:eastAsia="仿宋"/>
          <w:sz w:val="32"/>
          <w:szCs w:val="32"/>
        </w:rPr>
        <w:t>，</w:t>
      </w:r>
      <w:r>
        <w:rPr>
          <w:rFonts w:hint="eastAsia" w:ascii="仿宋" w:eastAsia="仿宋"/>
          <w:sz w:val="32"/>
          <w:szCs w:val="32"/>
        </w:rPr>
        <w:t>对个人和家庭的补助支出2</w:t>
      </w:r>
      <w:r>
        <w:rPr>
          <w:rFonts w:ascii="仿宋" w:eastAsia="仿宋"/>
          <w:sz w:val="32"/>
          <w:szCs w:val="32"/>
        </w:rPr>
        <w:t>.98万元</w:t>
      </w:r>
      <w:r>
        <w:rPr>
          <w:rFonts w:hint="eastAsia" w:ascii="仿宋" w:eastAsia="仿宋"/>
          <w:sz w:val="32"/>
          <w:szCs w:val="32"/>
        </w:rPr>
        <w:t>。</w:t>
      </w:r>
    </w:p>
    <w:p>
      <w:pPr>
        <w:widowControl/>
        <w:adjustRightInd w:val="0"/>
        <w:snapToGrid w:val="0"/>
        <w:spacing w:line="560" w:lineRule="exact"/>
        <w:ind w:firstLine="640" w:firstLineChars="200"/>
        <w:contextualSpacing/>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三、部门整体预算绩效管理情况</w:t>
      </w:r>
    </w:p>
    <w:p>
      <w:pPr>
        <w:widowControl/>
        <w:adjustRightInd w:val="0"/>
        <w:snapToGrid w:val="0"/>
        <w:spacing w:line="560" w:lineRule="exact"/>
        <w:ind w:firstLine="643" w:firstLineChars="200"/>
        <w:contextualSpacing/>
        <w:jc w:val="left"/>
        <w:rPr>
          <w:rFonts w:hint="eastAsia" w:ascii="楷体_GB2312" w:eastAsia="楷体_GB2312" w:cs="宋体"/>
          <w:b/>
          <w:color w:val="000000"/>
          <w:kern w:val="0"/>
          <w:sz w:val="32"/>
          <w:szCs w:val="32"/>
          <w:shd w:val="clear" w:color="auto" w:fill="FFFFFF"/>
          <w:lang w:val="zh-CN"/>
        </w:rPr>
      </w:pPr>
      <w:r>
        <w:rPr>
          <w:rFonts w:hint="eastAsia" w:ascii="楷体_GB2312" w:eastAsia="楷体_GB2312" w:cs="宋体"/>
          <w:b/>
          <w:color w:val="000000"/>
          <w:kern w:val="0"/>
          <w:sz w:val="32"/>
          <w:szCs w:val="32"/>
          <w:shd w:val="clear" w:color="auto" w:fill="FFFFFF"/>
          <w:lang w:val="zh-CN"/>
        </w:rPr>
        <w:t>（一）部门预算管理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我局严格按照预算编制的基本要求和时间节点认真编制20</w:t>
      </w:r>
      <w:r>
        <w:rPr>
          <w:rFonts w:ascii="仿宋_GB2312" w:eastAsia="仿宋_GB2312"/>
          <w:sz w:val="32"/>
          <w:szCs w:val="32"/>
        </w:rPr>
        <w:t>20</w:t>
      </w:r>
      <w:r>
        <w:rPr>
          <w:rFonts w:hint="eastAsia" w:ascii="仿宋_GB2312" w:eastAsia="仿宋_GB2312"/>
          <w:sz w:val="32"/>
          <w:szCs w:val="32"/>
        </w:rPr>
        <w:t>年部门预算及201</w:t>
      </w:r>
      <w:r>
        <w:rPr>
          <w:rFonts w:ascii="仿宋_GB2312" w:eastAsia="仿宋_GB2312"/>
          <w:sz w:val="32"/>
          <w:szCs w:val="32"/>
        </w:rPr>
        <w:t>9</w:t>
      </w:r>
      <w:r>
        <w:rPr>
          <w:rFonts w:hint="eastAsia" w:ascii="仿宋_GB2312" w:eastAsia="仿宋_GB2312"/>
          <w:sz w:val="32"/>
          <w:szCs w:val="32"/>
        </w:rPr>
        <w:t>年决算。在预算编制中进一步夯实预算编制基础，及时更新相关基础数据，严格控制“三公”经费、会议费和培训费预算，预算编制做到了及时、完整、准确、合理、高效。</w:t>
      </w:r>
    </w:p>
    <w:p>
      <w:pPr>
        <w:widowControl/>
        <w:adjustRightInd w:val="0"/>
        <w:snapToGrid w:val="0"/>
        <w:spacing w:line="560" w:lineRule="exact"/>
        <w:ind w:firstLine="643" w:firstLineChars="200"/>
        <w:contextualSpacing/>
        <w:jc w:val="left"/>
        <w:rPr>
          <w:rFonts w:hint="eastAsia" w:ascii="楷体_GB2312" w:eastAsia="楷体_GB2312" w:cs="宋体"/>
          <w:b/>
          <w:color w:val="000000"/>
          <w:kern w:val="0"/>
          <w:sz w:val="32"/>
          <w:szCs w:val="32"/>
          <w:shd w:val="clear" w:color="auto" w:fill="FFFFFF"/>
          <w:lang w:val="zh-CN"/>
        </w:rPr>
      </w:pPr>
      <w:r>
        <w:rPr>
          <w:rFonts w:hint="eastAsia" w:ascii="楷体_GB2312" w:eastAsia="楷体_GB2312" w:cs="宋体"/>
          <w:b/>
          <w:color w:val="000000"/>
          <w:kern w:val="0"/>
          <w:sz w:val="32"/>
          <w:szCs w:val="32"/>
          <w:shd w:val="clear" w:color="auto" w:fill="FFFFFF"/>
          <w:lang w:val="zh-CN"/>
        </w:rPr>
        <w:t>（二）结果应用情况</w:t>
      </w:r>
    </w:p>
    <w:p>
      <w:pPr>
        <w:widowControl/>
        <w:adjustRightInd w:val="0"/>
        <w:snapToGrid w:val="0"/>
        <w:spacing w:line="560"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我局对部门预算绩效管理工作开展情况认真进行了自查自评，将评价结果作为预算安排的重要依据，</w:t>
      </w:r>
      <w:r>
        <w:rPr>
          <w:rFonts w:ascii="仿宋_GB2312" w:eastAsia="仿宋_GB2312"/>
          <w:sz w:val="32"/>
          <w:szCs w:val="32"/>
        </w:rPr>
        <w:t>按</w:t>
      </w:r>
      <w:r>
        <w:rPr>
          <w:rFonts w:hint="eastAsia" w:ascii="仿宋_GB2312" w:eastAsia="仿宋_GB2312"/>
          <w:sz w:val="32"/>
          <w:szCs w:val="32"/>
        </w:rPr>
        <w:t>预算执行情况，保障重点支出，调整支出结构，优化财政资金配置，强化绩效理念，推动我局部门整体绩效管理水平不断提升。</w:t>
      </w:r>
    </w:p>
    <w:p>
      <w:pPr>
        <w:widowControl/>
        <w:adjustRightInd w:val="0"/>
        <w:snapToGrid w:val="0"/>
        <w:spacing w:line="560" w:lineRule="exact"/>
        <w:ind w:firstLine="640" w:firstLineChars="200"/>
        <w:contextualSpacing/>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四、评价结论及建议</w:t>
      </w:r>
    </w:p>
    <w:p>
      <w:pPr>
        <w:widowControl/>
        <w:numPr>
          <w:ilvl w:val="0"/>
          <w:numId w:val="7"/>
        </w:numPr>
        <w:adjustRightInd w:val="0"/>
        <w:snapToGrid w:val="0"/>
        <w:spacing w:line="560" w:lineRule="exact"/>
        <w:contextualSpacing/>
        <w:jc w:val="left"/>
        <w:rPr>
          <w:rFonts w:hint="eastAsia" w:ascii="楷体_GB2312" w:eastAsia="楷体_GB2312" w:cs="宋体"/>
          <w:b/>
          <w:color w:val="000000"/>
          <w:kern w:val="0"/>
          <w:sz w:val="32"/>
          <w:szCs w:val="32"/>
          <w:shd w:val="clear" w:color="auto" w:fill="FFFFFF"/>
          <w:lang w:val="zh-CN"/>
        </w:rPr>
      </w:pPr>
      <w:r>
        <w:rPr>
          <w:rFonts w:hint="eastAsia" w:ascii="楷体_GB2312" w:eastAsia="楷体_GB2312" w:cs="宋体"/>
          <w:b/>
          <w:color w:val="000000"/>
          <w:kern w:val="0"/>
          <w:sz w:val="32"/>
          <w:szCs w:val="32"/>
          <w:shd w:val="clear" w:color="auto" w:fill="FFFFFF"/>
          <w:lang w:val="zh-CN"/>
        </w:rPr>
        <w:t>评价结论</w:t>
      </w:r>
    </w:p>
    <w:p>
      <w:pPr>
        <w:widowControl/>
        <w:spacing w:line="560" w:lineRule="exact"/>
        <w:ind w:firstLine="640" w:firstLineChars="200"/>
        <w:jc w:val="left"/>
        <w:rPr>
          <w:rFonts w:ascii="仿宋_GB2312" w:eastAsia="仿宋_GB2312"/>
          <w:sz w:val="32"/>
          <w:szCs w:val="32"/>
        </w:rPr>
      </w:pPr>
      <w:r>
        <w:rPr>
          <w:rFonts w:hint="eastAsia" w:ascii="仿宋_GB2312" w:eastAsia="仿宋_GB2312" w:cs="宋体"/>
          <w:kern w:val="0"/>
          <w:sz w:val="32"/>
          <w:szCs w:val="32"/>
        </w:rPr>
        <w:t>从自评情况来看，我局整体上完成了年初设定的绩效目标，保障了单位的正常运转，降低了行政运行成本，促进了社会和谐稳定，充分发挥了财政资金的经济效益、社会效益。按照《财政厅关于开展 201</w:t>
      </w:r>
      <w:r>
        <w:rPr>
          <w:rFonts w:ascii="仿宋_GB2312" w:eastAsia="仿宋_GB2312" w:cs="宋体"/>
          <w:kern w:val="0"/>
          <w:sz w:val="32"/>
          <w:szCs w:val="32"/>
        </w:rPr>
        <w:t>9</w:t>
      </w:r>
      <w:r>
        <w:rPr>
          <w:rFonts w:hint="eastAsia" w:ascii="仿宋_GB2312" w:eastAsia="仿宋_GB2312" w:cs="宋体"/>
          <w:kern w:val="0"/>
          <w:sz w:val="32"/>
          <w:szCs w:val="32"/>
        </w:rPr>
        <w:t>年部门整体支出绩效评价工作的通知》的绩效评价指标体系自评得分</w:t>
      </w:r>
      <w:r>
        <w:rPr>
          <w:rFonts w:ascii="仿宋_GB2312" w:eastAsia="仿宋_GB2312" w:cs="宋体"/>
          <w:kern w:val="0"/>
          <w:sz w:val="32"/>
          <w:szCs w:val="32"/>
        </w:rPr>
        <w:t>100</w:t>
      </w:r>
      <w:r>
        <w:rPr>
          <w:rFonts w:hint="eastAsia" w:ascii="仿宋_GB2312" w:eastAsia="仿宋_GB2312" w:cs="宋体"/>
          <w:kern w:val="0"/>
          <w:sz w:val="32"/>
          <w:szCs w:val="32"/>
        </w:rPr>
        <w:t>分。</w:t>
      </w:r>
    </w:p>
    <w:p>
      <w:pPr>
        <w:widowControl/>
        <w:adjustRightInd w:val="0"/>
        <w:snapToGrid w:val="0"/>
        <w:spacing w:line="560" w:lineRule="exact"/>
        <w:ind w:firstLine="643" w:firstLineChars="200"/>
        <w:contextualSpacing/>
        <w:jc w:val="left"/>
        <w:rPr>
          <w:rFonts w:hint="eastAsia" w:ascii="楷体_GB2312" w:eastAsia="楷体_GB2312" w:cs="宋体"/>
          <w:b/>
          <w:color w:val="000000"/>
          <w:kern w:val="0"/>
          <w:sz w:val="32"/>
          <w:szCs w:val="32"/>
          <w:shd w:val="clear" w:color="auto" w:fill="FFFFFF"/>
          <w:lang w:val="zh-CN"/>
        </w:rPr>
      </w:pPr>
      <w:r>
        <w:rPr>
          <w:rFonts w:hint="eastAsia" w:ascii="楷体_GB2312" w:eastAsia="楷体_GB2312" w:cs="宋体"/>
          <w:b/>
          <w:color w:val="000000"/>
          <w:kern w:val="0"/>
          <w:sz w:val="32"/>
          <w:szCs w:val="32"/>
          <w:shd w:val="clear" w:color="auto" w:fill="FFFFFF"/>
          <w:lang w:val="zh-CN"/>
        </w:rPr>
        <w:t>（二）存在问题</w:t>
      </w:r>
    </w:p>
    <w:p>
      <w:pPr>
        <w:widowControl/>
        <w:adjustRightInd w:val="0"/>
        <w:snapToGrid w:val="0"/>
        <w:spacing w:line="56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kern w:val="0"/>
          <w:sz w:val="32"/>
          <w:szCs w:val="32"/>
        </w:rPr>
        <w:t>一</w:t>
      </w:r>
      <w:r>
        <w:rPr>
          <w:rFonts w:hint="eastAsia" w:ascii="仿宋_GB2312" w:eastAsia="仿宋_GB2312" w:cs="宋体"/>
          <w:kern w:val="0"/>
          <w:sz w:val="32"/>
          <w:szCs w:val="32"/>
          <w:lang w:val="zh-CN"/>
        </w:rPr>
        <w:t>是单位对部门支出绩效评价工作的认识理解不够，年初预设的绩效指标不合适、指标较粗，二是公共管理无法用量化指标来进行考评。</w:t>
      </w:r>
    </w:p>
    <w:p>
      <w:pPr>
        <w:widowControl/>
        <w:adjustRightInd w:val="0"/>
        <w:snapToGrid w:val="0"/>
        <w:spacing w:line="560" w:lineRule="exact"/>
        <w:ind w:firstLine="643" w:firstLineChars="200"/>
        <w:contextualSpacing/>
        <w:jc w:val="left"/>
        <w:rPr>
          <w:rFonts w:hint="eastAsia" w:ascii="楷体_GB2312" w:eastAsia="楷体_GB2312" w:cs="宋体"/>
          <w:b/>
          <w:color w:val="000000"/>
          <w:kern w:val="0"/>
          <w:sz w:val="32"/>
          <w:szCs w:val="32"/>
          <w:shd w:val="clear" w:color="auto" w:fill="FFFFFF"/>
          <w:lang w:val="zh-CN"/>
        </w:rPr>
      </w:pPr>
      <w:r>
        <w:rPr>
          <w:rFonts w:hint="eastAsia" w:ascii="楷体_GB2312" w:eastAsia="楷体_GB2312" w:cs="宋体"/>
          <w:b/>
          <w:color w:val="000000"/>
          <w:kern w:val="0"/>
          <w:sz w:val="32"/>
          <w:szCs w:val="32"/>
          <w:shd w:val="clear" w:color="auto" w:fill="FFFFFF"/>
          <w:lang w:val="zh-CN"/>
        </w:rPr>
        <w:t>（三）改进建议</w:t>
      </w:r>
    </w:p>
    <w:p>
      <w:pPr>
        <w:spacing w:line="560" w:lineRule="exact"/>
        <w:ind w:firstLine="640" w:firstLineChars="200"/>
        <w:rPr>
          <w:rFonts w:ascii="仿宋_GB2312" w:eastAsia="仿宋_GB2312"/>
          <w:kern w:val="0"/>
          <w:sz w:val="32"/>
          <w:szCs w:val="32"/>
          <w:lang w:val="zh-CN"/>
        </w:rPr>
      </w:pPr>
      <w:r>
        <w:rPr>
          <w:rFonts w:hint="eastAsia" w:ascii="仿宋_GB2312" w:eastAsia="仿宋_GB2312"/>
          <w:kern w:val="0"/>
          <w:sz w:val="32"/>
          <w:szCs w:val="32"/>
        </w:rPr>
        <w:t xml:space="preserve">针对存在的问题，我们将进一步科学设定绩效目标，加 </w:t>
      </w:r>
    </w:p>
    <w:p>
      <w:pPr>
        <w:spacing w:line="560" w:lineRule="exact"/>
        <w:rPr>
          <w:rStyle w:val="17"/>
          <w:rFonts w:ascii="仿宋_GB2312" w:eastAsia="仿宋_GB2312" w:cs="宋体"/>
          <w:b w:val="0"/>
          <w:bCs w:val="0"/>
          <w:kern w:val="0"/>
          <w:sz w:val="32"/>
          <w:szCs w:val="32"/>
          <w:lang w:val="zh-CN"/>
        </w:rPr>
      </w:pPr>
      <w:r>
        <w:rPr>
          <w:rFonts w:hint="eastAsia" w:ascii="仿宋_GB2312" w:eastAsia="仿宋_GB2312" w:cs="宋体"/>
          <w:kern w:val="0"/>
          <w:sz w:val="32"/>
          <w:szCs w:val="32"/>
        </w:rPr>
        <w:t>强预算执行管理。</w:t>
      </w:r>
    </w:p>
    <w:p>
      <w:pPr>
        <w:spacing w:line="560" w:lineRule="exact"/>
        <w:jc w:val="center"/>
        <w:outlineLvl w:val="0"/>
        <w:rPr>
          <w:rStyle w:val="17"/>
          <w:rFonts w:ascii="方正小标宋简体" w:eastAsia="方正小标宋简体"/>
          <w:b w:val="0"/>
          <w:bCs w:val="0"/>
        </w:rPr>
      </w:pPr>
      <w:bookmarkStart w:id="59" w:name="_Toc15396618"/>
      <w:r>
        <w:rPr>
          <w:rStyle w:val="17"/>
          <w:rFonts w:hint="eastAsia" w:ascii="方正小标宋简体" w:eastAsia="方正小标宋简体"/>
          <w:b w:val="0"/>
          <w:bCs w:val="0"/>
        </w:rPr>
        <w:t>第五部分 附表</w:t>
      </w:r>
      <w:bookmarkEnd w:id="57"/>
      <w:bookmarkEnd w:id="59"/>
    </w:p>
    <w:p>
      <w:pPr>
        <w:spacing w:line="560" w:lineRule="exact"/>
        <w:jc w:val="center"/>
        <w:outlineLvl w:val="0"/>
        <w:rPr>
          <w:rFonts w:ascii="仿宋" w:eastAsia="仿宋"/>
          <w:b/>
          <w:color w:val="000000"/>
          <w:sz w:val="44"/>
          <w:szCs w:val="44"/>
        </w:rPr>
      </w:pPr>
    </w:p>
    <w:p>
      <w:pPr>
        <w:pStyle w:val="3"/>
        <w:spacing w:line="560" w:lineRule="exact"/>
        <w:rPr>
          <w:rFonts w:ascii="仿宋_GB2312" w:eastAsia="仿宋_GB2312"/>
          <w:b w:val="0"/>
          <w:bCs w:val="0"/>
        </w:rPr>
      </w:pPr>
      <w:bookmarkStart w:id="60" w:name="_Toc15396619"/>
      <w:r>
        <w:rPr>
          <w:rFonts w:hint="eastAsia" w:ascii="仿宋_GB2312" w:eastAsia="仿宋_GB2312"/>
          <w:b w:val="0"/>
          <w:bCs w:val="0"/>
        </w:rPr>
        <w:t>一、收入支出决算总表</w:t>
      </w:r>
      <w:bookmarkEnd w:id="60"/>
    </w:p>
    <w:p>
      <w:pPr>
        <w:pStyle w:val="3"/>
        <w:spacing w:line="560" w:lineRule="exact"/>
        <w:rPr>
          <w:rFonts w:ascii="仿宋_GB2312" w:eastAsia="仿宋_GB2312"/>
          <w:b w:val="0"/>
          <w:bCs w:val="0"/>
        </w:rPr>
      </w:pPr>
      <w:bookmarkStart w:id="61" w:name="_Toc15396620"/>
      <w:r>
        <w:rPr>
          <w:rFonts w:hint="eastAsia" w:ascii="仿宋_GB2312" w:eastAsia="仿宋_GB2312"/>
          <w:b w:val="0"/>
          <w:bCs w:val="0"/>
        </w:rPr>
        <w:t>二、收入决算表</w:t>
      </w:r>
      <w:bookmarkEnd w:id="61"/>
    </w:p>
    <w:p>
      <w:pPr>
        <w:pStyle w:val="3"/>
        <w:spacing w:line="560" w:lineRule="exact"/>
        <w:rPr>
          <w:rFonts w:ascii="仿宋_GB2312" w:eastAsia="仿宋_GB2312"/>
          <w:b w:val="0"/>
          <w:bCs w:val="0"/>
        </w:rPr>
      </w:pPr>
      <w:bookmarkStart w:id="62" w:name="_Toc15396621"/>
      <w:r>
        <w:rPr>
          <w:rFonts w:hint="eastAsia" w:ascii="仿宋_GB2312" w:eastAsia="仿宋_GB2312"/>
          <w:b w:val="0"/>
          <w:bCs w:val="0"/>
        </w:rPr>
        <w:t>三、支出决算表</w:t>
      </w:r>
      <w:bookmarkEnd w:id="62"/>
    </w:p>
    <w:p>
      <w:pPr>
        <w:pStyle w:val="3"/>
        <w:spacing w:line="560" w:lineRule="exact"/>
        <w:rPr>
          <w:rFonts w:ascii="仿宋_GB2312" w:eastAsia="仿宋_GB2312"/>
          <w:b w:val="0"/>
          <w:bCs w:val="0"/>
        </w:rPr>
      </w:pPr>
      <w:bookmarkStart w:id="63" w:name="_Toc15396622"/>
      <w:r>
        <w:rPr>
          <w:rFonts w:hint="eastAsia" w:ascii="仿宋_GB2312" w:eastAsia="仿宋_GB2312"/>
          <w:b w:val="0"/>
          <w:bCs w:val="0"/>
        </w:rPr>
        <w:t>四、财政拨款收入支出决算总表</w:t>
      </w:r>
      <w:bookmarkEnd w:id="63"/>
    </w:p>
    <w:p>
      <w:pPr>
        <w:pStyle w:val="3"/>
        <w:spacing w:line="560" w:lineRule="exact"/>
        <w:rPr>
          <w:rFonts w:ascii="仿宋_GB2312" w:eastAsia="仿宋_GB2312"/>
          <w:b w:val="0"/>
          <w:bCs w:val="0"/>
        </w:rPr>
      </w:pPr>
      <w:bookmarkStart w:id="64" w:name="_Toc15396623"/>
      <w:r>
        <w:rPr>
          <w:rFonts w:hint="eastAsia" w:ascii="仿宋_GB2312" w:eastAsia="仿宋_GB2312"/>
          <w:b w:val="0"/>
          <w:bCs w:val="0"/>
        </w:rPr>
        <w:t>五、财政拨款支出决算明细表</w:t>
      </w:r>
      <w:bookmarkEnd w:id="64"/>
      <w:bookmarkStart w:id="65" w:name="_Toc15396624"/>
    </w:p>
    <w:p>
      <w:pPr>
        <w:pStyle w:val="3"/>
        <w:spacing w:line="560" w:lineRule="exact"/>
        <w:rPr>
          <w:rFonts w:ascii="仿宋_GB2312" w:eastAsia="仿宋_GB2312"/>
          <w:b w:val="0"/>
          <w:bCs w:val="0"/>
        </w:rPr>
      </w:pPr>
      <w:r>
        <w:rPr>
          <w:rFonts w:hint="eastAsia" w:ascii="仿宋_GB2312" w:eastAsia="仿宋_GB2312"/>
          <w:b w:val="0"/>
          <w:bCs w:val="0"/>
        </w:rPr>
        <w:t>六、一般公共预算财政拨款支出决算表</w:t>
      </w:r>
      <w:bookmarkEnd w:id="65"/>
    </w:p>
    <w:p>
      <w:pPr>
        <w:pStyle w:val="3"/>
        <w:spacing w:line="560" w:lineRule="exact"/>
        <w:rPr>
          <w:rFonts w:ascii="仿宋_GB2312" w:eastAsia="仿宋_GB2312"/>
          <w:b w:val="0"/>
          <w:bCs w:val="0"/>
        </w:rPr>
      </w:pPr>
      <w:bookmarkStart w:id="66" w:name="_Toc15396625"/>
      <w:r>
        <w:rPr>
          <w:rFonts w:hint="eastAsia" w:ascii="仿宋_GB2312" w:eastAsia="仿宋_GB2312"/>
          <w:b w:val="0"/>
          <w:bCs w:val="0"/>
        </w:rPr>
        <w:t>七、一般公共预算财政拨款支出决算明细表</w:t>
      </w:r>
      <w:bookmarkEnd w:id="66"/>
    </w:p>
    <w:p>
      <w:pPr>
        <w:pStyle w:val="3"/>
        <w:spacing w:line="560" w:lineRule="exact"/>
        <w:rPr>
          <w:rFonts w:ascii="仿宋_GB2312" w:eastAsia="仿宋_GB2312"/>
          <w:b w:val="0"/>
          <w:bCs w:val="0"/>
        </w:rPr>
      </w:pPr>
      <w:bookmarkStart w:id="67" w:name="_Toc15396626"/>
      <w:r>
        <w:rPr>
          <w:rFonts w:hint="eastAsia" w:ascii="仿宋_GB2312" w:eastAsia="仿宋_GB2312"/>
          <w:b w:val="0"/>
          <w:bCs w:val="0"/>
        </w:rPr>
        <w:t>八、一般公共预算财政拨款基本支出决算表</w:t>
      </w:r>
      <w:bookmarkEnd w:id="67"/>
    </w:p>
    <w:p>
      <w:pPr>
        <w:pStyle w:val="3"/>
        <w:spacing w:line="560" w:lineRule="exact"/>
        <w:rPr>
          <w:rFonts w:ascii="仿宋_GB2312" w:eastAsia="仿宋_GB2312"/>
          <w:b w:val="0"/>
          <w:bCs w:val="0"/>
        </w:rPr>
      </w:pPr>
      <w:bookmarkStart w:id="68" w:name="_Toc15396627"/>
      <w:r>
        <w:rPr>
          <w:rFonts w:hint="eastAsia" w:ascii="仿宋_GB2312" w:eastAsia="仿宋_GB2312"/>
          <w:b w:val="0"/>
          <w:bCs w:val="0"/>
        </w:rPr>
        <w:t>九、一般公共预算财政拨款项目支出决算表</w:t>
      </w:r>
      <w:bookmarkEnd w:id="68"/>
    </w:p>
    <w:p>
      <w:pPr>
        <w:pStyle w:val="3"/>
        <w:spacing w:line="560" w:lineRule="exact"/>
        <w:rPr>
          <w:rFonts w:ascii="仿宋_GB2312" w:eastAsia="仿宋_GB2312"/>
          <w:b w:val="0"/>
          <w:bCs w:val="0"/>
        </w:rPr>
      </w:pPr>
      <w:bookmarkStart w:id="69" w:name="_Toc15396628"/>
      <w:r>
        <w:rPr>
          <w:rFonts w:hint="eastAsia" w:ascii="仿宋_GB2312" w:eastAsia="仿宋_GB2312"/>
          <w:b w:val="0"/>
          <w:bCs w:val="0"/>
        </w:rPr>
        <w:t>十、一般公共预算财政拨款“三公”经费支出决算表</w:t>
      </w:r>
      <w:bookmarkEnd w:id="69"/>
    </w:p>
    <w:p>
      <w:pPr>
        <w:pStyle w:val="3"/>
        <w:spacing w:line="560" w:lineRule="exact"/>
        <w:rPr>
          <w:rFonts w:ascii="仿宋_GB2312" w:eastAsia="仿宋_GB2312"/>
          <w:b w:val="0"/>
          <w:bCs w:val="0"/>
        </w:rPr>
      </w:pPr>
      <w:bookmarkStart w:id="70" w:name="_Toc15396629"/>
      <w:r>
        <w:rPr>
          <w:rFonts w:hint="eastAsia" w:ascii="仿宋_GB2312" w:eastAsia="仿宋_GB2312"/>
          <w:b w:val="0"/>
          <w:bCs w:val="0"/>
        </w:rPr>
        <w:t>十一、政府性基金预算财政拨款收入支出决算表</w:t>
      </w:r>
      <w:bookmarkEnd w:id="70"/>
    </w:p>
    <w:p>
      <w:pPr>
        <w:pStyle w:val="3"/>
        <w:spacing w:line="560" w:lineRule="exact"/>
        <w:rPr>
          <w:rFonts w:ascii="仿宋_GB2312" w:eastAsia="仿宋_GB2312"/>
          <w:b w:val="0"/>
          <w:bCs w:val="0"/>
        </w:rPr>
      </w:pPr>
      <w:bookmarkStart w:id="71" w:name="_Toc15396630"/>
      <w:r>
        <w:rPr>
          <w:rFonts w:hint="eastAsia" w:ascii="仿宋_GB2312" w:eastAsia="仿宋_GB2312"/>
          <w:b w:val="0"/>
          <w:bCs w:val="0"/>
        </w:rPr>
        <w:t>十二、政府性基金预算财政拨款“三公”经费支出决算表</w:t>
      </w:r>
      <w:bookmarkEnd w:id="71"/>
    </w:p>
    <w:p>
      <w:pPr>
        <w:pStyle w:val="3"/>
        <w:spacing w:line="560" w:lineRule="exact"/>
        <w:rPr>
          <w:rFonts w:ascii="仿宋_GB2312" w:eastAsia="仿宋_GB2312"/>
          <w:b w:val="0"/>
          <w:bCs w:val="0"/>
        </w:rPr>
      </w:pPr>
      <w:bookmarkStart w:id="72" w:name="_Toc15396631"/>
      <w:r>
        <w:rPr>
          <w:rFonts w:hint="eastAsia" w:ascii="仿宋_GB2312" w:eastAsia="仿宋_GB2312"/>
          <w:b w:val="0"/>
          <w:bCs w:val="0"/>
        </w:rPr>
        <w:t>十三、国有资本经营预算支出决算表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2</w: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737073"/>
    <w:multiLevelType w:val="multilevel"/>
    <w:tmpl w:val="BF737073"/>
    <w:lvl w:ilvl="0" w:tentative="0">
      <w:start w:val="1"/>
      <w:numFmt w:val="chineseCountingThousand"/>
      <w:lvlText w:val="（%1）"/>
      <w:lvlJc w:val="left"/>
      <w:pPr>
        <w:tabs>
          <w:tab w:val="left" w:pos="1600"/>
        </w:tabs>
        <w:ind w:left="1600" w:hanging="960"/>
      </w:p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abstractNum w:abstractNumId="1">
    <w:nsid w:val="CF652CEC"/>
    <w:multiLevelType w:val="singleLevel"/>
    <w:tmpl w:val="CF652CEC"/>
    <w:lvl w:ilvl="0" w:tentative="0">
      <w:start w:val="9"/>
      <w:numFmt w:val="chineseCounting"/>
      <w:suff w:val="nothing"/>
      <w:lvlText w:val="%1、"/>
      <w:lvlJc w:val="left"/>
      <w:pPr>
        <w:tabs>
          <w:tab w:val="left" w:pos="0"/>
        </w:tabs>
        <w:ind w:left="0" w:firstLine="0"/>
      </w:pPr>
      <w:rPr>
        <w:rFonts w:hint="eastAsia"/>
      </w:rPr>
    </w:lvl>
  </w:abstractNum>
  <w:abstractNum w:abstractNumId="2">
    <w:nsid w:val="E2FA047D"/>
    <w:multiLevelType w:val="singleLevel"/>
    <w:tmpl w:val="E2FA047D"/>
    <w:lvl w:ilvl="0" w:tentative="0">
      <w:start w:val="3"/>
      <w:numFmt w:val="chineseCounting"/>
      <w:suff w:val="space"/>
      <w:lvlText w:val="第%1部分"/>
      <w:lvlJc w:val="left"/>
      <w:pPr>
        <w:tabs>
          <w:tab w:val="left" w:pos="0"/>
        </w:tabs>
        <w:ind w:left="0" w:firstLine="0"/>
      </w:pPr>
      <w:rPr>
        <w:rFonts w:hint="eastAsia"/>
      </w:rPr>
    </w:lvl>
  </w:abstractNum>
  <w:abstractNum w:abstractNumId="3">
    <w:nsid w:val="1272550B"/>
    <w:multiLevelType w:val="multilevel"/>
    <w:tmpl w:val="1272550B"/>
    <w:lvl w:ilvl="0" w:tentative="0">
      <w:start w:val="1"/>
      <w:numFmt w:val="japaneseCounting"/>
      <w:lvlText w:val="%1、"/>
      <w:lvlJc w:val="left"/>
      <w:pPr>
        <w:tabs>
          <w:tab w:val="left" w:pos="0"/>
        </w:tabs>
        <w:ind w:left="1360" w:hanging="720"/>
      </w:pPr>
      <w:rPr>
        <w:rFonts w:hint="default"/>
        <w:b w:val="0"/>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abstractNum w:abstractNumId="4">
    <w:nsid w:val="2C20FC57"/>
    <w:multiLevelType w:val="multilevel"/>
    <w:tmpl w:val="2C20FC57"/>
    <w:lvl w:ilvl="0" w:tentative="0">
      <w:start w:val="1"/>
      <w:numFmt w:val="chineseCountingThousand"/>
      <w:lvlText w:val="（%1）"/>
      <w:lvlJc w:val="left"/>
      <w:pPr>
        <w:tabs>
          <w:tab w:val="left" w:pos="1600"/>
        </w:tabs>
        <w:ind w:left="1600" w:hanging="960"/>
      </w:p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abstractNum w:abstractNumId="5">
    <w:nsid w:val="54C05172"/>
    <w:multiLevelType w:val="multilevel"/>
    <w:tmpl w:val="54C05172"/>
    <w:lvl w:ilvl="0" w:tentative="0">
      <w:start w:val="1"/>
      <w:numFmt w:val="chineseCountingThousand"/>
      <w:lvlText w:val="（%1）"/>
      <w:lvlJc w:val="left"/>
      <w:pPr>
        <w:tabs>
          <w:tab w:val="left" w:pos="1600"/>
        </w:tabs>
        <w:ind w:left="1600" w:hanging="960"/>
      </w:p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abstractNum w:abstractNumId="6">
    <w:nsid w:val="7F1B2C6B"/>
    <w:multiLevelType w:val="singleLevel"/>
    <w:tmpl w:val="7F1B2C6B"/>
    <w:lvl w:ilvl="0" w:tentative="0">
      <w:start w:val="5"/>
      <w:numFmt w:val="chineseCounting"/>
      <w:suff w:val="space"/>
      <w:lvlText w:val="第%1部分"/>
      <w:lvlJc w:val="left"/>
      <w:rPr>
        <w:rFonts w:hint="eastAsia"/>
      </w:rPr>
    </w:lvl>
  </w:abstractNum>
  <w:num w:numId="1">
    <w:abstractNumId w:val="6"/>
  </w:num>
  <w:num w:numId="2">
    <w:abstractNumId w:val="3"/>
  </w:num>
  <w:num w:numId="3">
    <w:abstractNumId w:val="1"/>
  </w:num>
  <w:num w:numId="4">
    <w:abstractNumId w:val="2"/>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rsids>
    <w:rsidRoot w:val="00380D70"/>
    <w:rsid w:val="00023719"/>
    <w:rsid w:val="00380D70"/>
    <w:rsid w:val="005C224D"/>
    <w:rsid w:val="00A724E9"/>
    <w:rsid w:val="00AB425B"/>
    <w:rsid w:val="00B419D2"/>
    <w:rsid w:val="00CB23F1"/>
    <w:rsid w:val="00D561A7"/>
    <w:rsid w:val="2E066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nhideWhenUsed="0" w:uiPriority="0" w:semiHidden="0" w:name="toc 2"/>
    <w:lsdException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uiPriority w:val="0"/>
    <w:pPr>
      <w:keepNext/>
      <w:keepLines/>
      <w:spacing w:before="340" w:after="330" w:line="578" w:lineRule="auto"/>
      <w:outlineLvl w:val="0"/>
    </w:pPr>
    <w:rPr>
      <w:b/>
      <w:bCs/>
      <w:kern w:val="44"/>
      <w:sz w:val="44"/>
      <w:szCs w:val="44"/>
    </w:rPr>
  </w:style>
  <w:style w:type="paragraph" w:styleId="3">
    <w:name w:val="heading 2"/>
    <w:basedOn w:val="1"/>
    <w:next w:val="1"/>
    <w:link w:val="18"/>
    <w:uiPriority w:val="0"/>
    <w:pPr>
      <w:keepNext/>
      <w:keepLines/>
      <w:spacing w:before="260" w:after="260" w:line="415" w:lineRule="auto"/>
      <w:outlineLvl w:val="1"/>
    </w:pPr>
    <w:rPr>
      <w:rFonts w:ascii="Cambria" w:hAnsi="Cambria"/>
      <w:b/>
      <w:bCs/>
      <w:sz w:val="32"/>
      <w:szCs w:val="32"/>
    </w:rPr>
  </w:style>
  <w:style w:type="paragraph" w:styleId="4">
    <w:name w:val="heading 3"/>
    <w:basedOn w:val="1"/>
    <w:next w:val="1"/>
    <w:uiPriority w:val="0"/>
    <w:pPr>
      <w:keepNext/>
      <w:keepLines/>
      <w:spacing w:before="260" w:after="260" w:line="415" w:lineRule="auto"/>
      <w:outlineLvl w:val="2"/>
    </w:pPr>
    <w:rPr>
      <w:b/>
      <w:bCs/>
      <w:sz w:val="32"/>
      <w:szCs w:val="32"/>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uiPriority w:val="0"/>
    <w:pPr>
      <w:spacing w:beforeLines="30"/>
    </w:pPr>
    <w:rPr>
      <w:rFonts w:ascii="仿宋_GB2312" w:eastAsia="仿宋_GB2312"/>
      <w:kern w:val="0"/>
      <w:sz w:val="30"/>
    </w:rPr>
  </w:style>
  <w:style w:type="paragraph" w:styleId="6">
    <w:name w:val="Body Text Indent"/>
    <w:next w:val="7"/>
    <w:qFormat/>
    <w:uiPriority w:val="0"/>
    <w:pPr>
      <w:widowControl w:val="0"/>
      <w:ind w:firstLine="200" w:firstLineChars="200"/>
      <w:jc w:val="both"/>
    </w:pPr>
    <w:rPr>
      <w:rFonts w:ascii="仿宋_GB2312" w:hAnsi="Times New Roman" w:eastAsia="仿宋_GB2312" w:cs="Times New Roman"/>
      <w:kern w:val="2"/>
      <w:sz w:val="32"/>
      <w:szCs w:val="24"/>
      <w:lang w:val="en-US" w:eastAsia="zh-CN" w:bidi="ar-SA"/>
    </w:rPr>
  </w:style>
  <w:style w:type="paragraph" w:styleId="7">
    <w:name w:val="toc 3"/>
    <w:basedOn w:val="1"/>
    <w:next w:val="1"/>
    <w:uiPriority w:val="0"/>
    <w:pPr>
      <w:tabs>
        <w:tab w:val="right" w:leader="dot" w:pos="8296"/>
      </w:tabs>
      <w:ind w:left="400" w:leftChars="400"/>
    </w:pPr>
  </w:style>
  <w:style w:type="paragraph" w:styleId="8">
    <w:name w:val="Balloon Text"/>
    <w:basedOn w:val="1"/>
    <w:uiPriority w:val="0"/>
    <w:rPr>
      <w:sz w:val="18"/>
      <w:szCs w:val="18"/>
    </w:rPr>
  </w:style>
  <w:style w:type="paragraph" w:styleId="9">
    <w:name w:val="footer"/>
    <w:basedOn w:val="1"/>
    <w:uiPriority w:val="0"/>
    <w:pPr>
      <w:tabs>
        <w:tab w:val="center" w:pos="4153"/>
        <w:tab w:val="right" w:pos="8306"/>
      </w:tabs>
      <w:snapToGrid w:val="0"/>
      <w:jc w:val="left"/>
    </w:pPr>
    <w:rPr>
      <w:rFonts w:ascii="Calibri" w:hAnsi="Calibri"/>
      <w:kern w:val="0"/>
      <w:sz w:val="18"/>
      <w:szCs w:val="18"/>
    </w:rPr>
  </w:style>
  <w:style w:type="paragraph" w:styleId="10">
    <w:name w:val="header"/>
    <w:basedOn w:val="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iPriority w:val="0"/>
    <w:pPr>
      <w:tabs>
        <w:tab w:val="right" w:leader="dot" w:pos="8296"/>
      </w:tabs>
      <w:spacing w:before="93"/>
      <w:jc w:val="center"/>
    </w:pPr>
    <w:rPr>
      <w:rFonts w:ascii="仿宋" w:eastAsia="仿宋"/>
      <w:sz w:val="28"/>
      <w:szCs w:val="28"/>
    </w:rPr>
  </w:style>
  <w:style w:type="paragraph" w:styleId="12">
    <w:name w:val="toc 2"/>
    <w:basedOn w:val="1"/>
    <w:next w:val="1"/>
    <w:uiPriority w:val="0"/>
    <w:pPr>
      <w:tabs>
        <w:tab w:val="right" w:leader="dot" w:pos="8296"/>
      </w:tabs>
      <w:ind w:left="200" w:leftChars="200"/>
    </w:pPr>
  </w:style>
  <w:style w:type="character" w:styleId="15">
    <w:name w:val="Strong"/>
    <w:basedOn w:val="14"/>
    <w:uiPriority w:val="0"/>
    <w:rPr>
      <w:b/>
    </w:rPr>
  </w:style>
  <w:style w:type="character" w:styleId="16">
    <w:name w:val="Hyperlink"/>
    <w:basedOn w:val="14"/>
    <w:uiPriority w:val="0"/>
    <w:rPr>
      <w:color w:val="0000FF"/>
      <w:u w:val="single"/>
    </w:rPr>
  </w:style>
  <w:style w:type="character" w:customStyle="1" w:styleId="17">
    <w:name w:val="标题 1 Char"/>
    <w:basedOn w:val="14"/>
    <w:link w:val="2"/>
    <w:qFormat/>
    <w:uiPriority w:val="0"/>
    <w:rPr>
      <w:rFonts w:ascii="Times New Roman" w:hAnsi="Times New Roman" w:eastAsia="宋体" w:cs="Times New Roman"/>
      <w:b/>
      <w:bCs/>
      <w:kern w:val="44"/>
      <w:sz w:val="44"/>
      <w:szCs w:val="44"/>
      <w:lang w:val="en-US" w:eastAsia="zh-CN" w:bidi="ar-SA"/>
    </w:rPr>
  </w:style>
  <w:style w:type="character" w:customStyle="1" w:styleId="18">
    <w:name w:val="标题 2 Char"/>
    <w:basedOn w:val="14"/>
    <w:link w:val="3"/>
    <w:qFormat/>
    <w:uiPriority w:val="0"/>
    <w:rPr>
      <w:rFonts w:ascii="Cambria" w:hAnsi="Cambria" w:eastAsia="宋体" w:cs="Times New Roman"/>
      <w:b/>
      <w:bCs/>
      <w:kern w:val="2"/>
      <w:sz w:val="32"/>
      <w:szCs w:val="32"/>
      <w:lang w:val="en-US" w:eastAsia="zh-CN" w:bidi="ar-SA"/>
    </w:rPr>
  </w:style>
  <w:style w:type="character" w:customStyle="1" w:styleId="19">
    <w:name w:val="Header Char"/>
    <w:basedOn w:val="14"/>
    <w:uiPriority w:val="0"/>
    <w:rPr>
      <w:rFonts w:ascii="Times New Roman" w:hAnsi="Times New Roman"/>
      <w:sz w:val="18"/>
      <w:szCs w:val="18"/>
    </w:rPr>
  </w:style>
  <w:style w:type="character" w:customStyle="1" w:styleId="20">
    <w:name w:val="Footer Char"/>
    <w:basedOn w:val="14"/>
    <w:qFormat/>
    <w:uiPriority w:val="0"/>
    <w:rPr>
      <w:rFonts w:ascii="Times New Roman" w:hAnsi="Times New Roman"/>
      <w:sz w:val="18"/>
      <w:szCs w:val="18"/>
    </w:rPr>
  </w:style>
  <w:style w:type="character" w:customStyle="1" w:styleId="21">
    <w:name w:val="Body Text Char"/>
    <w:basedOn w:val="14"/>
    <w:qFormat/>
    <w:uiPriority w:val="0"/>
    <w:rPr>
      <w:rFonts w:ascii="Times New Roman" w:hAnsi="Times New Roman"/>
      <w:szCs w:val="24"/>
    </w:rPr>
  </w:style>
  <w:style w:type="paragraph" w:customStyle="1" w:styleId="22">
    <w:name w:val="Defaul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3">
    <w:name w:val="列出段落1"/>
    <w:basedOn w:val="1"/>
    <w:uiPriority w:val="0"/>
    <w:pPr>
      <w:ind w:firstLine="200" w:firstLineChars="200"/>
    </w:pPr>
  </w:style>
  <w:style w:type="paragraph" w:customStyle="1" w:styleId="24">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5">
    <w:name w:val="TOC 标题2"/>
    <w:basedOn w:val="2"/>
    <w:next w:val="1"/>
    <w:qFormat/>
    <w:uiPriority w:val="0"/>
    <w:pPr>
      <w:widowControl/>
      <w:spacing w:before="480" w:after="0" w:line="276" w:lineRule="auto"/>
      <w:jc w:val="left"/>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1381</Words>
  <Characters>7877</Characters>
  <Lines>65</Lines>
  <Paragraphs>18</Paragraphs>
  <TotalTime>1230</TotalTime>
  <ScaleCrop>false</ScaleCrop>
  <LinksUpToDate>false</LinksUpToDate>
  <CharactersWithSpaces>9240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袁永前</cp:lastModifiedBy>
  <cp:lastPrinted>2020-09-22T08:11:00Z</cp:lastPrinted>
  <dcterms:modified xsi:type="dcterms:W3CDTF">2020-09-28T03:44:55Z</dcterms:modified>
  <dc:title>四川省***</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