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ascii="黑体" w:eastAsia="黑体"/>
          <w:sz w:val="72"/>
          <w:szCs w:val="72"/>
        </w:rPr>
      </w:pPr>
      <w:bookmarkStart w:id="1" w:name="_Toc15378441"/>
      <w:bookmarkStart w:id="2" w:name="_Toc15377193"/>
      <w:bookmarkStart w:id="3" w:name="_Toc15396475"/>
      <w:bookmarkStart w:id="4" w:name="_Toc15377425"/>
      <w:bookmarkStart w:id="5" w:name="_Toc15396597"/>
      <w:r>
        <w:rPr>
          <w:rFonts w:ascii="黑体" w:eastAsia="黑体"/>
          <w:sz w:val="72"/>
          <w:szCs w:val="72"/>
        </w:rPr>
        <w:t>2021</w:t>
      </w:r>
      <w:r>
        <w:rPr>
          <w:rFonts w:hint="eastAsia" w:ascii="黑体" w:eastAsia="黑体"/>
          <w:sz w:val="72"/>
          <w:szCs w:val="72"/>
        </w:rPr>
        <w:t>年度</w:t>
      </w:r>
      <w:bookmarkEnd w:id="1"/>
      <w:bookmarkEnd w:id="2"/>
      <w:bookmarkEnd w:id="3"/>
      <w:bookmarkEnd w:id="4"/>
      <w:bookmarkEnd w:id="5"/>
    </w:p>
    <w:bookmarkEnd w:id="0"/>
    <w:p>
      <w:pPr>
        <w:jc w:val="center"/>
        <w:rPr>
          <w:rFonts w:ascii="方正小标宋简体" w:eastAsia="方正小标宋简体"/>
          <w:spacing w:val="-20"/>
          <w:sz w:val="72"/>
          <w:szCs w:val="72"/>
        </w:rPr>
      </w:pPr>
      <w:bookmarkStart w:id="6" w:name="_Toc15378442"/>
      <w:bookmarkStart w:id="7" w:name="_Toc15377426"/>
      <w:bookmarkStart w:id="8" w:name="_Toc15396476"/>
      <w:bookmarkStart w:id="9" w:name="_Toc15377194"/>
      <w:bookmarkStart w:id="10" w:name="_Toc15396598"/>
      <w:r>
        <w:rPr>
          <w:rFonts w:hint="eastAsia" w:ascii="方正小标宋简体" w:eastAsia="方正小标宋简体"/>
          <w:spacing w:val="-20"/>
          <w:sz w:val="72"/>
          <w:szCs w:val="72"/>
        </w:rPr>
        <w:t>四川省茂县</w:t>
      </w:r>
      <w:bookmarkStart w:id="11" w:name="_Toc15306268"/>
      <w:r>
        <w:rPr>
          <w:rFonts w:hint="eastAsia" w:ascii="方正小标宋简体" w:eastAsia="方正小标宋简体"/>
          <w:spacing w:val="-20"/>
          <w:sz w:val="72"/>
          <w:szCs w:val="72"/>
        </w:rPr>
        <w:t>市场监督管理局部门决算</w:t>
      </w:r>
      <w:bookmarkEnd w:id="6"/>
      <w:bookmarkEnd w:id="7"/>
      <w:bookmarkEnd w:id="8"/>
      <w:bookmarkEnd w:id="9"/>
      <w:bookmarkEnd w:id="10"/>
      <w:bookmarkEnd w:id="11"/>
    </w:p>
    <w:p>
      <w:pPr>
        <w:jc w:val="center"/>
        <w:rPr>
          <w:rFonts w:ascii="方正小标宋简体" w:eastAsia="方正小标宋简体"/>
          <w:sz w:val="52"/>
          <w:szCs w:val="52"/>
        </w:rPr>
      </w:pPr>
      <w:r>
        <w:rPr>
          <w:rFonts w:hint="eastAsia" w:ascii="方正小标宋简体" w:eastAsia="方正小标宋简体"/>
          <w:sz w:val="52"/>
          <w:szCs w:val="52"/>
        </w:rPr>
        <w:t>(</w:t>
      </w:r>
      <w:r>
        <w:rPr>
          <w:rFonts w:ascii="方正小标宋简体" w:eastAsia="方正小标宋简体"/>
          <w:sz w:val="52"/>
          <w:szCs w:val="52"/>
        </w:rPr>
        <w:t>茂县消委会管理服务中心</w:t>
      </w:r>
      <w:r>
        <w:rPr>
          <w:rFonts w:hint="eastAsia" w:ascii="方正小标宋简体" w:eastAsia="方正小标宋简体"/>
          <w:sz w:val="52"/>
          <w:szCs w:val="52"/>
        </w:rPr>
        <w:t>)</w:t>
      </w:r>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left="420" w:leftChars="200"/>
        <w:jc w:val="left"/>
        <w:rPr>
          <w:rFonts w:ascii="宋体"/>
          <w:sz w:val="32"/>
          <w:szCs w:val="32"/>
        </w:rPr>
      </w:pPr>
      <w:r>
        <w:rPr>
          <w:rFonts w:hint="eastAsia" w:ascii="宋体" w:cs="仿宋_GB2312"/>
          <w:sz w:val="32"/>
          <w:szCs w:val="32"/>
        </w:rPr>
        <w:t>保密审查情况：已审查，内容审定</w:t>
      </w:r>
    </w:p>
    <w:p>
      <w:pPr>
        <w:autoSpaceDE w:val="0"/>
        <w:autoSpaceDN w:val="0"/>
        <w:adjustRightInd w:val="0"/>
        <w:ind w:left="420" w:leftChars="200"/>
        <w:jc w:val="left"/>
        <w:rPr>
          <w:rFonts w:ascii="宋体"/>
          <w:sz w:val="32"/>
          <w:szCs w:val="32"/>
        </w:rPr>
      </w:pPr>
      <w:r>
        <w:rPr>
          <w:rFonts w:hint="eastAsia" w:ascii="宋体" w:cs="仿宋_GB2312"/>
          <w:sz w:val="32"/>
          <w:szCs w:val="32"/>
        </w:rPr>
        <w:t>部门主要负责人审签情况：已审签，同意对外公开</w:t>
      </w:r>
    </w:p>
    <w:p>
      <w:pPr>
        <w:widowControl/>
        <w:jc w:val="center"/>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pPr>
        <w:pStyle w:val="13"/>
        <w:jc w:val="center"/>
        <w:rPr>
          <w:rFonts w:ascii="Times New Roman" w:hAnsi="Times New Roman"/>
          <w:b w:val="0"/>
          <w:bCs w:val="0"/>
          <w:sz w:val="24"/>
          <w:szCs w:val="24"/>
        </w:rPr>
      </w:pPr>
      <w:r>
        <w:rPr>
          <w:rFonts w:ascii="Times New Roman" w:hAnsi="Times New Roman"/>
          <w:b w:val="0"/>
          <w:bCs w:val="0"/>
          <w:sz w:val="24"/>
          <w:szCs w:val="24"/>
        </w:rPr>
        <w:t>公开时间：2022年</w:t>
      </w:r>
      <w:r>
        <w:rPr>
          <w:rFonts w:ascii="Times New Roman" w:hAnsi="Times New Roman"/>
          <w:b w:val="0"/>
          <w:bCs w:val="0"/>
          <w:sz w:val="24"/>
          <w:szCs w:val="24"/>
          <w:lang w:val="en-US" w:eastAsia="zh-CN"/>
        </w:rPr>
        <w:t>9</w:t>
      </w:r>
      <w:r>
        <w:rPr>
          <w:rFonts w:ascii="Times New Roman" w:hAnsi="Times New Roman"/>
          <w:b w:val="0"/>
          <w:bCs w:val="0"/>
          <w:sz w:val="24"/>
          <w:szCs w:val="24"/>
        </w:rPr>
        <w:t>月</w:t>
      </w:r>
      <w:r>
        <w:rPr>
          <w:rFonts w:ascii="Times New Roman" w:hAnsi="Times New Roman"/>
          <w:b w:val="0"/>
          <w:bCs w:val="0"/>
          <w:sz w:val="24"/>
          <w:szCs w:val="24"/>
          <w:lang w:val="en-US" w:eastAsia="zh-CN"/>
        </w:rPr>
        <w:t>27</w:t>
      </w:r>
      <w:r>
        <w:rPr>
          <w:rFonts w:ascii="Times New Roman" w:hAnsi="Times New Roman"/>
          <w:b w:val="0"/>
          <w:bCs w:val="0"/>
          <w:sz w:val="24"/>
          <w:szCs w:val="24"/>
        </w:rPr>
        <w:t>日</w:t>
      </w:r>
    </w:p>
    <w:p>
      <w:pPr>
        <w:pStyle w:val="16"/>
        <w:tabs>
          <w:tab w:val="right" w:leader="dot" w:pos="8306"/>
        </w:tabs>
        <w:rPr>
          <w:rFonts w:hint="eastAsia" w:ascii="仿宋" w:eastAsia="仿宋"/>
          <w:bCs w:val="0"/>
        </w:rPr>
      </w:pPr>
      <w:r>
        <w:rPr>
          <w:rFonts w:hint="eastAsia" w:ascii="仿宋" w:eastAsia="仿宋"/>
          <w:bCs w:val="0"/>
        </w:rPr>
        <w:fldChar w:fldCharType="begin"/>
      </w:r>
      <w:r>
        <w:rPr>
          <w:rFonts w:hint="eastAsia" w:ascii="仿宋" w:eastAsia="仿宋"/>
          <w:bCs w:val="0"/>
        </w:rPr>
        <w:instrText xml:space="preserve"> TOC \o \u </w:instrText>
      </w:r>
      <w:r>
        <w:rPr>
          <w:rFonts w:hint="eastAsia" w:ascii="仿宋" w:eastAsia="仿宋"/>
          <w:bCs w:val="0"/>
        </w:rPr>
        <w:fldChar w:fldCharType="separate"/>
      </w:r>
      <w:r>
        <w:rPr>
          <w:rFonts w:hint="eastAsia" w:ascii="仿宋" w:eastAsia="仿宋"/>
          <w:b/>
          <w:bCs/>
        </w:rPr>
        <w:t>第一部分 部门概况</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_Toc18692 \h </w:instrText>
      </w:r>
      <w:r>
        <w:rPr>
          <w:rFonts w:hint="eastAsia" w:ascii="仿宋" w:eastAsia="仿宋"/>
          <w:bCs w:val="0"/>
        </w:rPr>
        <w:fldChar w:fldCharType="separate"/>
      </w:r>
      <w:r>
        <w:rPr>
          <w:rFonts w:hint="eastAsia" w:ascii="仿宋" w:eastAsia="仿宋"/>
          <w:bCs w:val="0"/>
        </w:rPr>
        <w:t>4</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一、基本职能及主要工作</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_Toc26933 \h </w:instrText>
      </w:r>
      <w:r>
        <w:rPr>
          <w:rFonts w:hint="eastAsia" w:ascii="仿宋" w:eastAsia="仿宋"/>
          <w:bCs w:val="0"/>
        </w:rPr>
        <w:fldChar w:fldCharType="separate"/>
      </w:r>
      <w:r>
        <w:rPr>
          <w:rFonts w:hint="eastAsia" w:ascii="仿宋" w:eastAsia="仿宋"/>
          <w:bCs w:val="0"/>
        </w:rPr>
        <w:t>4</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二、机构设置</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_Toc7409 \h </w:instrText>
      </w:r>
      <w:r>
        <w:rPr>
          <w:rFonts w:hint="eastAsia" w:ascii="仿宋" w:eastAsia="仿宋"/>
          <w:bCs w:val="0"/>
        </w:rPr>
        <w:fldChar w:fldCharType="separate"/>
      </w:r>
      <w:r>
        <w:rPr>
          <w:rFonts w:hint="eastAsia" w:ascii="仿宋" w:eastAsia="仿宋"/>
          <w:bCs w:val="0"/>
        </w:rPr>
        <w:t>5</w:t>
      </w:r>
      <w:r>
        <w:rPr>
          <w:rFonts w:hint="eastAsia" w:ascii="仿宋" w:eastAsia="仿宋"/>
          <w:bCs w:val="0"/>
        </w:rPr>
        <w:fldChar w:fldCharType="end"/>
      </w:r>
    </w:p>
    <w:p>
      <w:pPr>
        <w:pStyle w:val="16"/>
        <w:tabs>
          <w:tab w:val="right" w:leader="dot" w:pos="8306"/>
        </w:tabs>
        <w:rPr>
          <w:rFonts w:hint="eastAsia" w:ascii="仿宋" w:eastAsia="仿宋"/>
          <w:bCs w:val="0"/>
        </w:rPr>
      </w:pPr>
      <w:r>
        <w:rPr>
          <w:rFonts w:ascii="仿宋" w:eastAsia="仿宋"/>
          <w:bCs w:val="0"/>
        </w:rPr>
        <w:t xml:space="preserve">1. </w:t>
      </w:r>
      <w:r>
        <w:rPr>
          <w:rFonts w:hint="eastAsia" w:ascii="仿宋" w:eastAsia="仿宋"/>
          <w:bCs w:val="0"/>
        </w:rPr>
        <w:t>茂县消委会管理服务中心。</w:t>
      </w:r>
      <w:r>
        <w:rPr>
          <w:rFonts w:hint="eastAsia" w:ascii="仿宋" w:eastAsia="仿宋"/>
          <w:bCs w:val="0"/>
        </w:rPr>
        <w:tab/>
      </w:r>
      <w:r>
        <w:rPr>
          <w:rFonts w:ascii="仿宋" w:eastAsia="仿宋"/>
          <w:bCs w:val="0"/>
        </w:rPr>
        <w:t>.....5</w:t>
      </w:r>
    </w:p>
    <w:p>
      <w:pPr>
        <w:pStyle w:val="16"/>
        <w:tabs>
          <w:tab w:val="right" w:leader="dot" w:pos="8306"/>
        </w:tabs>
        <w:rPr>
          <w:rFonts w:hint="eastAsia" w:ascii="仿宋" w:eastAsia="仿宋"/>
          <w:bCs w:val="0"/>
        </w:rPr>
      </w:pPr>
      <w:r>
        <w:rPr>
          <w:rFonts w:hint="eastAsia" w:ascii="仿宋" w:eastAsia="仿宋"/>
          <w:b/>
          <w:bCs/>
        </w:rPr>
        <w:t>第二部分 2021年度部门决算情况说明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_Toc17451 \h </w:instrText>
      </w:r>
      <w:r>
        <w:rPr>
          <w:rFonts w:hint="eastAsia" w:ascii="仿宋" w:eastAsia="仿宋"/>
          <w:bCs w:val="0"/>
        </w:rPr>
        <w:fldChar w:fldCharType="separate"/>
      </w:r>
      <w:r>
        <w:rPr>
          <w:rFonts w:hint="eastAsia" w:ascii="仿宋" w:eastAsia="仿宋"/>
          <w:bCs w:val="0"/>
        </w:rPr>
        <w:t>5</w:t>
      </w:r>
      <w:r>
        <w:rPr>
          <w:rFonts w:hint="eastAsia" w:ascii="仿宋" w:eastAsia="仿宋"/>
          <w:bCs w:val="0"/>
        </w:rPr>
        <w:fldChar w:fldCharType="end"/>
      </w:r>
    </w:p>
    <w:p>
      <w:pPr>
        <w:pStyle w:val="16"/>
        <w:tabs>
          <w:tab w:val="right" w:leader="dot" w:pos="8306"/>
        </w:tabs>
        <w:rPr>
          <w:rFonts w:hint="eastAsia" w:ascii="仿宋" w:eastAsia="仿宋"/>
          <w:bCs w:val="0"/>
        </w:rPr>
      </w:pPr>
      <w:r>
        <w:rPr>
          <w:rFonts w:ascii="仿宋" w:eastAsia="仿宋"/>
          <w:bCs w:val="0"/>
        </w:rPr>
        <w:t xml:space="preserve">一、 </w:t>
      </w:r>
      <w:r>
        <w:rPr>
          <w:rFonts w:hint="eastAsia" w:ascii="仿宋" w:eastAsia="仿宋"/>
          <w:bCs w:val="0"/>
        </w:rPr>
        <w:t>收入支出决算总体情况说明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_Toc7303 \h </w:instrText>
      </w:r>
      <w:r>
        <w:rPr>
          <w:rFonts w:hint="eastAsia" w:ascii="仿宋" w:eastAsia="仿宋"/>
          <w:bCs w:val="0"/>
        </w:rPr>
        <w:fldChar w:fldCharType="separate"/>
      </w:r>
      <w:r>
        <w:rPr>
          <w:rFonts w:hint="eastAsia" w:ascii="仿宋" w:eastAsia="仿宋"/>
          <w:bCs w:val="0"/>
        </w:rPr>
        <w:t>6</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二、收入决算情况说明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_Toc19269 \h </w:instrText>
      </w:r>
      <w:r>
        <w:rPr>
          <w:rFonts w:hint="eastAsia" w:ascii="仿宋" w:eastAsia="仿宋"/>
          <w:bCs w:val="0"/>
        </w:rPr>
        <w:fldChar w:fldCharType="separate"/>
      </w:r>
      <w:r>
        <w:rPr>
          <w:rFonts w:hint="eastAsia" w:ascii="仿宋" w:eastAsia="仿宋"/>
          <w:bCs w:val="0"/>
        </w:rPr>
        <w:t>6</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三、支出决算情况说明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_Toc3139 \h </w:instrText>
      </w:r>
      <w:r>
        <w:rPr>
          <w:rFonts w:hint="eastAsia" w:ascii="仿宋" w:eastAsia="仿宋"/>
          <w:bCs w:val="0"/>
        </w:rPr>
        <w:fldChar w:fldCharType="separate"/>
      </w:r>
      <w:r>
        <w:rPr>
          <w:rFonts w:hint="eastAsia" w:ascii="仿宋" w:eastAsia="仿宋"/>
          <w:bCs w:val="0"/>
        </w:rPr>
        <w:t>7</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四、财政拨款收入支出决算总体情况说明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_Toc9923 \h </w:instrText>
      </w:r>
      <w:r>
        <w:rPr>
          <w:rFonts w:hint="eastAsia" w:ascii="仿宋" w:eastAsia="仿宋"/>
          <w:bCs w:val="0"/>
        </w:rPr>
        <w:fldChar w:fldCharType="separate"/>
      </w:r>
      <w:r>
        <w:rPr>
          <w:rFonts w:hint="eastAsia" w:ascii="仿宋" w:eastAsia="仿宋"/>
          <w:bCs w:val="0"/>
        </w:rPr>
        <w:t>7</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五、一般公共预算财政拨款支出决算情况说明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_Toc20238 \h </w:instrText>
      </w:r>
      <w:r>
        <w:rPr>
          <w:rFonts w:hint="eastAsia" w:ascii="仿宋" w:eastAsia="仿宋"/>
          <w:bCs w:val="0"/>
        </w:rPr>
        <w:fldChar w:fldCharType="separate"/>
      </w:r>
      <w:r>
        <w:rPr>
          <w:rFonts w:hint="eastAsia" w:ascii="仿宋" w:eastAsia="仿宋"/>
          <w:bCs w:val="0"/>
        </w:rPr>
        <w:t>8</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（一）一般公共预算财政拨款支出决算总体情况</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_Toc27168 \h </w:instrText>
      </w:r>
      <w:r>
        <w:rPr>
          <w:rFonts w:hint="eastAsia" w:ascii="仿宋" w:eastAsia="仿宋"/>
          <w:bCs w:val="0"/>
        </w:rPr>
        <w:fldChar w:fldCharType="separate"/>
      </w:r>
      <w:r>
        <w:rPr>
          <w:rFonts w:hint="eastAsia" w:ascii="仿宋" w:eastAsia="仿宋"/>
          <w:bCs w:val="0"/>
        </w:rPr>
        <w:t>8</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（二）一般公共预算财政拨款支出决算结构情况</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_Toc13800 \h </w:instrText>
      </w:r>
      <w:r>
        <w:rPr>
          <w:rFonts w:hint="eastAsia" w:ascii="仿宋" w:eastAsia="仿宋"/>
          <w:bCs w:val="0"/>
        </w:rPr>
        <w:fldChar w:fldCharType="separate"/>
      </w:r>
      <w:r>
        <w:rPr>
          <w:rFonts w:hint="eastAsia" w:ascii="仿宋" w:eastAsia="仿宋"/>
          <w:bCs w:val="0"/>
        </w:rPr>
        <w:t>9</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（三）一般公共预算财政拨款支出决算具体情况</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_Toc22221 \h </w:instrText>
      </w:r>
      <w:r>
        <w:rPr>
          <w:rFonts w:hint="eastAsia" w:ascii="仿宋" w:eastAsia="仿宋"/>
          <w:bCs w:val="0"/>
        </w:rPr>
        <w:fldChar w:fldCharType="separate"/>
      </w:r>
      <w:r>
        <w:rPr>
          <w:rFonts w:hint="eastAsia" w:ascii="仿宋" w:eastAsia="仿宋"/>
          <w:bCs w:val="0"/>
        </w:rPr>
        <w:t>9</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六、一般公共预算财政拨款基本支出决算情况说明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_Toc20581 \h </w:instrText>
      </w:r>
      <w:r>
        <w:rPr>
          <w:rFonts w:hint="eastAsia" w:ascii="仿宋" w:eastAsia="仿宋"/>
          <w:bCs w:val="0"/>
        </w:rPr>
        <w:fldChar w:fldCharType="separate"/>
      </w:r>
      <w:r>
        <w:rPr>
          <w:rFonts w:hint="eastAsia" w:ascii="仿宋" w:eastAsia="仿宋"/>
          <w:bCs w:val="0"/>
        </w:rPr>
        <w:t>10</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七、“三公”经费财政拨款支出决算情况说明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_Toc32071 \h </w:instrText>
      </w:r>
      <w:r>
        <w:rPr>
          <w:rFonts w:hint="eastAsia" w:ascii="仿宋" w:eastAsia="仿宋"/>
          <w:bCs w:val="0"/>
        </w:rPr>
        <w:fldChar w:fldCharType="separate"/>
      </w:r>
      <w:r>
        <w:rPr>
          <w:rFonts w:hint="eastAsia" w:ascii="仿宋" w:eastAsia="仿宋"/>
          <w:bCs w:val="0"/>
        </w:rPr>
        <w:t>11</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（一）“三公”经费财政拨款支出决算总体情况说明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_Toc31204 \h </w:instrText>
      </w:r>
      <w:r>
        <w:rPr>
          <w:rFonts w:hint="eastAsia" w:ascii="仿宋" w:eastAsia="仿宋"/>
          <w:bCs w:val="0"/>
        </w:rPr>
        <w:fldChar w:fldCharType="separate"/>
      </w:r>
      <w:r>
        <w:rPr>
          <w:rFonts w:hint="eastAsia" w:ascii="仿宋" w:eastAsia="仿宋"/>
          <w:bCs w:val="0"/>
        </w:rPr>
        <w:t>11</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（二）“三公”经费财政拨款支出决算具体情况说明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_Toc18188 \h </w:instrText>
      </w:r>
      <w:r>
        <w:rPr>
          <w:rFonts w:hint="eastAsia" w:ascii="仿宋" w:eastAsia="仿宋"/>
          <w:bCs w:val="0"/>
        </w:rPr>
        <w:fldChar w:fldCharType="separate"/>
      </w:r>
      <w:r>
        <w:rPr>
          <w:rFonts w:hint="eastAsia" w:ascii="仿宋" w:eastAsia="仿宋"/>
          <w:bCs w:val="0"/>
        </w:rPr>
        <w:t>11</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八、政府性基金预算支出决算情况说明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_Toc1797 \h </w:instrText>
      </w:r>
      <w:r>
        <w:rPr>
          <w:rFonts w:hint="eastAsia" w:ascii="仿宋" w:eastAsia="仿宋"/>
          <w:bCs w:val="0"/>
        </w:rPr>
        <w:fldChar w:fldCharType="separate"/>
      </w:r>
      <w:r>
        <w:rPr>
          <w:rFonts w:hint="eastAsia" w:ascii="仿宋" w:eastAsia="仿宋"/>
          <w:bCs w:val="0"/>
        </w:rPr>
        <w:t>12</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九、 国有资本经营预算支出决算情况说明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_Toc16718 \h </w:instrText>
      </w:r>
      <w:r>
        <w:rPr>
          <w:rFonts w:hint="eastAsia" w:ascii="仿宋" w:eastAsia="仿宋"/>
          <w:bCs w:val="0"/>
        </w:rPr>
        <w:fldChar w:fldCharType="separate"/>
      </w:r>
      <w:r>
        <w:rPr>
          <w:rFonts w:hint="eastAsia" w:ascii="仿宋" w:eastAsia="仿宋"/>
          <w:bCs w:val="0"/>
        </w:rPr>
        <w:t>12</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十、其他重要事项的情况说明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_Toc13686 \h </w:instrText>
      </w:r>
      <w:r>
        <w:rPr>
          <w:rFonts w:hint="eastAsia" w:ascii="仿宋" w:eastAsia="仿宋"/>
          <w:bCs w:val="0"/>
        </w:rPr>
        <w:fldChar w:fldCharType="separate"/>
      </w:r>
      <w:r>
        <w:rPr>
          <w:rFonts w:hint="eastAsia" w:ascii="仿宋" w:eastAsia="仿宋"/>
          <w:bCs w:val="0"/>
        </w:rPr>
        <w:t>12</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（一）机关运行经费支出情况</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_Toc9319 \h </w:instrText>
      </w:r>
      <w:r>
        <w:rPr>
          <w:rFonts w:hint="eastAsia" w:ascii="仿宋" w:eastAsia="仿宋"/>
          <w:bCs w:val="0"/>
        </w:rPr>
        <w:fldChar w:fldCharType="separate"/>
      </w:r>
      <w:r>
        <w:rPr>
          <w:rFonts w:hint="eastAsia" w:ascii="仿宋" w:eastAsia="仿宋"/>
          <w:bCs w:val="0"/>
        </w:rPr>
        <w:t>12</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（二）政府采购支出情况</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_Toc6154 \h </w:instrText>
      </w:r>
      <w:r>
        <w:rPr>
          <w:rFonts w:hint="eastAsia" w:ascii="仿宋" w:eastAsia="仿宋"/>
          <w:bCs w:val="0"/>
        </w:rPr>
        <w:fldChar w:fldCharType="separate"/>
      </w:r>
      <w:r>
        <w:rPr>
          <w:rFonts w:hint="eastAsia" w:ascii="仿宋" w:eastAsia="仿宋"/>
          <w:bCs w:val="0"/>
        </w:rPr>
        <w:t>13</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（三）国有资产占有使用情况</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_Toc21425 \h </w:instrText>
      </w:r>
      <w:r>
        <w:rPr>
          <w:rFonts w:hint="eastAsia" w:ascii="仿宋" w:eastAsia="仿宋"/>
          <w:bCs w:val="0"/>
        </w:rPr>
        <w:fldChar w:fldCharType="separate"/>
      </w:r>
      <w:r>
        <w:rPr>
          <w:rFonts w:hint="eastAsia" w:ascii="仿宋" w:eastAsia="仿宋"/>
          <w:bCs w:val="0"/>
        </w:rPr>
        <w:t>13</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（四）预算绩效管理情况。</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_Toc5434 \h </w:instrText>
      </w:r>
      <w:r>
        <w:rPr>
          <w:rFonts w:hint="eastAsia" w:ascii="仿宋" w:eastAsia="仿宋"/>
          <w:bCs w:val="0"/>
        </w:rPr>
        <w:fldChar w:fldCharType="separate"/>
      </w:r>
      <w:r>
        <w:rPr>
          <w:rFonts w:hint="eastAsia" w:ascii="仿宋" w:eastAsia="仿宋"/>
          <w:bCs w:val="0"/>
        </w:rPr>
        <w:t>13</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
          <w:bCs/>
        </w:rPr>
        <w:t>第三部分 名词解释</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_Toc2707 \h </w:instrText>
      </w:r>
      <w:r>
        <w:rPr>
          <w:rFonts w:hint="eastAsia" w:ascii="仿宋" w:eastAsia="仿宋"/>
          <w:bCs w:val="0"/>
        </w:rPr>
        <w:fldChar w:fldCharType="separate"/>
      </w:r>
      <w:r>
        <w:rPr>
          <w:rFonts w:hint="eastAsia" w:ascii="仿宋" w:eastAsia="仿宋"/>
          <w:bCs w:val="0"/>
        </w:rPr>
        <w:t>13</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
          <w:bCs/>
        </w:rPr>
        <w:t>第四部分 附件</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_Toc32131 \h </w:instrText>
      </w:r>
      <w:r>
        <w:rPr>
          <w:rFonts w:hint="eastAsia" w:ascii="仿宋" w:eastAsia="仿宋"/>
          <w:bCs w:val="0"/>
        </w:rPr>
        <w:fldChar w:fldCharType="separate"/>
      </w:r>
      <w:r>
        <w:rPr>
          <w:rFonts w:hint="eastAsia" w:ascii="仿宋" w:eastAsia="仿宋"/>
          <w:bCs w:val="0"/>
        </w:rPr>
        <w:t>17</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附件1</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_Toc12554 \h </w:instrText>
      </w:r>
      <w:r>
        <w:rPr>
          <w:rFonts w:hint="eastAsia" w:ascii="仿宋" w:eastAsia="仿宋"/>
          <w:bCs w:val="0"/>
        </w:rPr>
        <w:fldChar w:fldCharType="separate"/>
      </w:r>
      <w:r>
        <w:rPr>
          <w:rFonts w:hint="eastAsia" w:ascii="仿宋" w:eastAsia="仿宋"/>
          <w:bCs w:val="0"/>
        </w:rPr>
        <w:t>17</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茂县消委会管理服务中心2021年部门整体支出绩效评价报告</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_Toc28914 \h </w:instrText>
      </w:r>
      <w:r>
        <w:rPr>
          <w:rFonts w:hint="eastAsia" w:ascii="仿宋" w:eastAsia="仿宋"/>
          <w:bCs w:val="0"/>
        </w:rPr>
        <w:fldChar w:fldCharType="separate"/>
      </w:r>
      <w:r>
        <w:rPr>
          <w:rFonts w:hint="eastAsia" w:ascii="仿宋" w:eastAsia="仿宋"/>
          <w:bCs w:val="0"/>
        </w:rPr>
        <w:t>17</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
          <w:bCs/>
        </w:rPr>
        <w:t>第五部分 附表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_Toc25685 \h </w:instrText>
      </w:r>
      <w:r>
        <w:rPr>
          <w:rFonts w:hint="eastAsia" w:ascii="仿宋" w:eastAsia="仿宋"/>
          <w:bCs w:val="0"/>
        </w:rPr>
        <w:fldChar w:fldCharType="separate"/>
      </w:r>
      <w:r>
        <w:rPr>
          <w:rFonts w:hint="eastAsia" w:ascii="仿宋" w:eastAsia="仿宋"/>
          <w:bCs w:val="0"/>
        </w:rPr>
        <w:t>22</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一、收入支出决算总表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_Toc5481 \h </w:instrText>
      </w:r>
      <w:r>
        <w:rPr>
          <w:rFonts w:hint="eastAsia" w:ascii="仿宋" w:eastAsia="仿宋"/>
          <w:bCs w:val="0"/>
        </w:rPr>
        <w:fldChar w:fldCharType="separate"/>
      </w:r>
      <w:r>
        <w:rPr>
          <w:rFonts w:hint="eastAsia" w:ascii="仿宋" w:eastAsia="仿宋"/>
          <w:bCs w:val="0"/>
        </w:rPr>
        <w:t>22</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二、收入决算表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_Toc11219 \h </w:instrText>
      </w:r>
      <w:r>
        <w:rPr>
          <w:rFonts w:hint="eastAsia" w:ascii="仿宋" w:eastAsia="仿宋"/>
          <w:bCs w:val="0"/>
        </w:rPr>
        <w:fldChar w:fldCharType="separate"/>
      </w:r>
      <w:r>
        <w:rPr>
          <w:rFonts w:hint="eastAsia" w:ascii="仿宋" w:eastAsia="仿宋"/>
          <w:bCs w:val="0"/>
        </w:rPr>
        <w:t>22</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三、支出决算表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_Toc29951 \h </w:instrText>
      </w:r>
      <w:r>
        <w:rPr>
          <w:rFonts w:hint="eastAsia" w:ascii="仿宋" w:eastAsia="仿宋"/>
          <w:bCs w:val="0"/>
        </w:rPr>
        <w:fldChar w:fldCharType="separate"/>
      </w:r>
      <w:r>
        <w:rPr>
          <w:rFonts w:hint="eastAsia" w:ascii="仿宋" w:eastAsia="仿宋"/>
          <w:bCs w:val="0"/>
        </w:rPr>
        <w:t>22</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四、财政拨款收入支出决算总表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_Toc26608 \h </w:instrText>
      </w:r>
      <w:r>
        <w:rPr>
          <w:rFonts w:hint="eastAsia" w:ascii="仿宋" w:eastAsia="仿宋"/>
          <w:bCs w:val="0"/>
        </w:rPr>
        <w:fldChar w:fldCharType="separate"/>
      </w:r>
      <w:r>
        <w:rPr>
          <w:rFonts w:hint="eastAsia" w:ascii="仿宋" w:eastAsia="仿宋"/>
          <w:bCs w:val="0"/>
        </w:rPr>
        <w:t>22</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五、财政拨款支出决算明细表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_Toc2223 \h </w:instrText>
      </w:r>
      <w:r>
        <w:rPr>
          <w:rFonts w:hint="eastAsia" w:ascii="仿宋" w:eastAsia="仿宋"/>
          <w:bCs w:val="0"/>
        </w:rPr>
        <w:fldChar w:fldCharType="separate"/>
      </w:r>
      <w:r>
        <w:rPr>
          <w:rFonts w:hint="eastAsia" w:ascii="仿宋" w:eastAsia="仿宋"/>
          <w:bCs w:val="0"/>
        </w:rPr>
        <w:t>22</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六、一般公共预算财政拨款支出决算表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_Toc19179 \h </w:instrText>
      </w:r>
      <w:r>
        <w:rPr>
          <w:rFonts w:hint="eastAsia" w:ascii="仿宋" w:eastAsia="仿宋"/>
          <w:bCs w:val="0"/>
        </w:rPr>
        <w:fldChar w:fldCharType="separate"/>
      </w:r>
      <w:r>
        <w:rPr>
          <w:rFonts w:hint="eastAsia" w:ascii="仿宋" w:eastAsia="仿宋"/>
          <w:bCs w:val="0"/>
        </w:rPr>
        <w:t>22</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七、一般公共预算财政拨款支出决算明细表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_Toc9021 \h </w:instrText>
      </w:r>
      <w:r>
        <w:rPr>
          <w:rFonts w:hint="eastAsia" w:ascii="仿宋" w:eastAsia="仿宋"/>
          <w:bCs w:val="0"/>
        </w:rPr>
        <w:fldChar w:fldCharType="separate"/>
      </w:r>
      <w:r>
        <w:rPr>
          <w:rFonts w:hint="eastAsia" w:ascii="仿宋" w:eastAsia="仿宋"/>
          <w:bCs w:val="0"/>
        </w:rPr>
        <w:t>22</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八、一般公共预算财政拨款基本支出决算表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_Toc22499 \h </w:instrText>
      </w:r>
      <w:r>
        <w:rPr>
          <w:rFonts w:hint="eastAsia" w:ascii="仿宋" w:eastAsia="仿宋"/>
          <w:bCs w:val="0"/>
        </w:rPr>
        <w:fldChar w:fldCharType="separate"/>
      </w:r>
      <w:r>
        <w:rPr>
          <w:rFonts w:hint="eastAsia" w:ascii="仿宋" w:eastAsia="仿宋"/>
          <w:bCs w:val="0"/>
        </w:rPr>
        <w:t>22</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九、一般公共预算财政拨款项目支出决算表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_Toc28944 \h </w:instrText>
      </w:r>
      <w:r>
        <w:rPr>
          <w:rFonts w:hint="eastAsia" w:ascii="仿宋" w:eastAsia="仿宋"/>
          <w:bCs w:val="0"/>
        </w:rPr>
        <w:fldChar w:fldCharType="separate"/>
      </w:r>
      <w:r>
        <w:rPr>
          <w:rFonts w:hint="eastAsia" w:ascii="仿宋" w:eastAsia="仿宋"/>
          <w:bCs w:val="0"/>
        </w:rPr>
        <w:t>22</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十、一般公共预算财政拨款“三公”经费支出决算表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_Toc28766 \h </w:instrText>
      </w:r>
      <w:r>
        <w:rPr>
          <w:rFonts w:hint="eastAsia" w:ascii="仿宋" w:eastAsia="仿宋"/>
          <w:bCs w:val="0"/>
        </w:rPr>
        <w:fldChar w:fldCharType="separate"/>
      </w:r>
      <w:r>
        <w:rPr>
          <w:rFonts w:hint="eastAsia" w:ascii="仿宋" w:eastAsia="仿宋"/>
          <w:bCs w:val="0"/>
        </w:rPr>
        <w:t>22</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十一、政府性基金预算财政拨款收入支出决算表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_Toc357 \h </w:instrText>
      </w:r>
      <w:r>
        <w:rPr>
          <w:rFonts w:hint="eastAsia" w:ascii="仿宋" w:eastAsia="仿宋"/>
          <w:bCs w:val="0"/>
        </w:rPr>
        <w:fldChar w:fldCharType="separate"/>
      </w:r>
      <w:r>
        <w:rPr>
          <w:rFonts w:hint="eastAsia" w:ascii="仿宋" w:eastAsia="仿宋"/>
          <w:bCs w:val="0"/>
        </w:rPr>
        <w:t>22</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十二、政府性基金预算财政拨款“三公”经费支出决算表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_Toc4909 \h </w:instrText>
      </w:r>
      <w:r>
        <w:rPr>
          <w:rFonts w:hint="eastAsia" w:ascii="仿宋" w:eastAsia="仿宋"/>
          <w:bCs w:val="0"/>
        </w:rPr>
        <w:fldChar w:fldCharType="separate"/>
      </w:r>
      <w:r>
        <w:rPr>
          <w:rFonts w:hint="eastAsia" w:ascii="仿宋" w:eastAsia="仿宋"/>
          <w:bCs w:val="0"/>
        </w:rPr>
        <w:t>22</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十三、国有资本经营预算财政拨款支出决算表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_Toc31275 \h </w:instrText>
      </w:r>
      <w:r>
        <w:rPr>
          <w:rFonts w:hint="eastAsia" w:ascii="仿宋" w:eastAsia="仿宋"/>
          <w:bCs w:val="0"/>
        </w:rPr>
        <w:fldChar w:fldCharType="separate"/>
      </w:r>
      <w:r>
        <w:rPr>
          <w:rFonts w:hint="eastAsia" w:ascii="仿宋" w:eastAsia="仿宋"/>
          <w:bCs w:val="0"/>
        </w:rPr>
        <w:t>22</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十四、国有资本经营预算财政拨款支出决算表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_Toc28512 \h </w:instrText>
      </w:r>
      <w:r>
        <w:rPr>
          <w:rFonts w:hint="eastAsia" w:ascii="仿宋" w:eastAsia="仿宋"/>
          <w:bCs w:val="0"/>
        </w:rPr>
        <w:fldChar w:fldCharType="separate"/>
      </w:r>
      <w:r>
        <w:rPr>
          <w:rFonts w:hint="eastAsia" w:ascii="仿宋" w:eastAsia="仿宋"/>
          <w:bCs w:val="0"/>
        </w:rPr>
        <w:t>22</w:t>
      </w:r>
      <w:r>
        <w:rPr>
          <w:rFonts w:hint="eastAsia" w:ascii="仿宋" w:eastAsia="仿宋"/>
          <w:bCs w:val="0"/>
        </w:rPr>
        <w:fldChar w:fldCharType="end"/>
      </w:r>
    </w:p>
    <w:p>
      <w:pPr>
        <w:pStyle w:val="16"/>
        <w:tabs>
          <w:tab w:val="right" w:leader="dot" w:pos="8306"/>
        </w:tabs>
      </w:pPr>
      <w:r>
        <w:rPr>
          <w:rFonts w:hint="eastAsia" w:ascii="仿宋" w:eastAsia="仿宋"/>
          <w:bCs w:val="0"/>
        </w:rPr>
        <w:fldChar w:fldCharType="end"/>
      </w:r>
    </w:p>
    <w:p>
      <w:pPr>
        <w:widowControl/>
        <w:spacing w:line="440" w:lineRule="exact"/>
        <w:jc w:val="left"/>
        <w:rPr>
          <w:rFonts w:ascii="仿宋" w:eastAsia="仿宋"/>
          <w:bCs/>
          <w:kern w:val="44"/>
          <w:sz w:val="24"/>
        </w:rPr>
      </w:pPr>
      <w:bookmarkStart w:id="12" w:name="_Toc15377196"/>
      <w:bookmarkStart w:id="13" w:name="_Toc15396599"/>
      <w:r>
        <w:rPr>
          <w:rFonts w:ascii="仿宋" w:eastAsia="仿宋"/>
          <w:b/>
          <w:sz w:val="24"/>
        </w:rPr>
        <w:br w:type="page"/>
      </w:r>
    </w:p>
    <w:p>
      <w:pPr>
        <w:pStyle w:val="2"/>
        <w:jc w:val="center"/>
        <w:rPr>
          <w:rStyle w:val="24"/>
          <w:rFonts w:ascii="黑体" w:eastAsia="黑体"/>
          <w:b/>
          <w:bCs w:val="0"/>
        </w:rPr>
      </w:pPr>
      <w:bookmarkStart w:id="14" w:name="_Toc18692"/>
      <w:bookmarkStart w:id="15" w:name="_Toc79163601"/>
      <w:r>
        <w:rPr>
          <w:rFonts w:hint="eastAsia" w:ascii="黑体" w:eastAsia="黑体"/>
          <w:b w:val="0"/>
        </w:rPr>
        <w:t>第一部分</w:t>
      </w:r>
      <w:r>
        <w:rPr>
          <w:rFonts w:ascii="黑体" w:eastAsia="黑体"/>
          <w:b w:val="0"/>
        </w:rPr>
        <w:t xml:space="preserve"> </w:t>
      </w:r>
      <w:r>
        <w:rPr>
          <w:rStyle w:val="24"/>
          <w:rFonts w:hint="eastAsia" w:ascii="黑体" w:eastAsia="黑体"/>
          <w:b w:val="0"/>
          <w:bCs w:val="0"/>
        </w:rPr>
        <w:t>部门概况</w:t>
      </w:r>
      <w:bookmarkEnd w:id="12"/>
      <w:bookmarkEnd w:id="13"/>
      <w:bookmarkEnd w:id="14"/>
      <w:bookmarkEnd w:id="15"/>
    </w:p>
    <w:p>
      <w:pPr>
        <w:snapToGrid w:val="0"/>
        <w:spacing w:line="520" w:lineRule="exact"/>
        <w:ind w:left="0" w:firstLine="642" w:firstLineChars="200"/>
        <w:rPr>
          <w:rStyle w:val="25"/>
          <w:rFonts w:hint="eastAsia" w:ascii="黑体" w:eastAsia="黑体"/>
          <w:bCs w:val="0"/>
        </w:rPr>
      </w:pPr>
      <w:bookmarkStart w:id="16" w:name="_Toc15377197"/>
      <w:bookmarkStart w:id="17" w:name="_Toc79163602"/>
      <w:bookmarkStart w:id="18" w:name="_Toc26933"/>
      <w:bookmarkStart w:id="19" w:name="_Toc15396600"/>
      <w:r>
        <w:rPr>
          <w:rStyle w:val="25"/>
          <w:rFonts w:hint="eastAsia" w:ascii="黑体" w:eastAsia="黑体"/>
          <w:bCs w:val="0"/>
        </w:rPr>
        <w:t>一、基本职能及主要工作</w:t>
      </w:r>
      <w:bookmarkEnd w:id="16"/>
      <w:bookmarkEnd w:id="17"/>
      <w:bookmarkEnd w:id="18"/>
      <w:bookmarkEnd w:id="19"/>
    </w:p>
    <w:p>
      <w:pPr>
        <w:spacing w:line="594" w:lineRule="exact"/>
        <w:ind w:firstLine="640" w:firstLineChars="200"/>
        <w:rPr>
          <w:rFonts w:hint="eastAsia" w:ascii="仿宋_GB2312" w:eastAsia="仿宋_GB2312"/>
          <w:bCs/>
          <w:sz w:val="32"/>
          <w:szCs w:val="32"/>
          <w:shd w:val="clear" w:color="auto" w:fill="auto"/>
        </w:rPr>
      </w:pPr>
      <w:bookmarkStart w:id="20" w:name="_Toc79163603"/>
      <w:bookmarkStart w:id="21" w:name="_Toc15377198"/>
      <w:bookmarkStart w:id="22" w:name="_Toc15378445"/>
      <w:r>
        <w:rPr>
          <w:rFonts w:hint="eastAsia" w:ascii="仿宋_GB2312" w:eastAsia="仿宋_GB2312"/>
          <w:bCs/>
          <w:sz w:val="32"/>
          <w:szCs w:val="32"/>
          <w:shd w:val="clear" w:color="auto" w:fill="auto"/>
        </w:rPr>
        <w:t>（一）主要职能</w:t>
      </w:r>
      <w:bookmarkEnd w:id="20"/>
    </w:p>
    <w:bookmarkEnd w:id="21"/>
    <w:bookmarkEnd w:id="22"/>
    <w:p>
      <w:pPr>
        <w:spacing w:line="594" w:lineRule="exact"/>
        <w:ind w:firstLine="640" w:firstLineChars="200"/>
        <w:rPr>
          <w:rFonts w:hint="eastAsia" w:ascii="仿宋_GB2312" w:eastAsia="仿宋_GB2312"/>
          <w:bCs/>
          <w:sz w:val="32"/>
          <w:szCs w:val="32"/>
          <w:shd w:val="clear" w:color="auto" w:fill="auto"/>
        </w:rPr>
      </w:pPr>
      <w:bookmarkStart w:id="23" w:name="_Toc15377199"/>
      <w:bookmarkStart w:id="24" w:name="_Toc79163604"/>
      <w:bookmarkStart w:id="25" w:name="_Toc15378446"/>
      <w:r>
        <w:rPr>
          <w:rFonts w:ascii="仿宋_GB2312" w:eastAsia="仿宋_GB2312"/>
          <w:bCs/>
          <w:sz w:val="32"/>
          <w:szCs w:val="32"/>
          <w:shd w:val="clear" w:color="auto" w:fill="auto"/>
        </w:rPr>
        <w:t>1.</w:t>
      </w:r>
      <w:r>
        <w:rPr>
          <w:rFonts w:hint="eastAsia" w:ascii="仿宋_GB2312" w:eastAsia="仿宋_GB2312"/>
          <w:bCs/>
          <w:sz w:val="32"/>
          <w:szCs w:val="32"/>
          <w:shd w:val="clear" w:color="auto" w:fill="auto"/>
        </w:rPr>
        <w:t>受理消费咨询。</w:t>
      </w:r>
    </w:p>
    <w:p>
      <w:pPr>
        <w:spacing w:line="594" w:lineRule="exact"/>
        <w:ind w:firstLine="640" w:firstLineChars="200"/>
        <w:rPr>
          <w:rFonts w:hint="eastAsia" w:ascii="仿宋_GB2312" w:eastAsia="仿宋_GB2312"/>
          <w:bCs/>
          <w:sz w:val="32"/>
          <w:szCs w:val="32"/>
          <w:shd w:val="clear" w:color="auto" w:fill="auto"/>
        </w:rPr>
      </w:pPr>
      <w:r>
        <w:rPr>
          <w:rFonts w:hint="eastAsia" w:ascii="仿宋_GB2312" w:eastAsia="仿宋_GB2312"/>
          <w:bCs/>
          <w:sz w:val="32"/>
          <w:szCs w:val="32"/>
          <w:shd w:val="clear" w:color="auto" w:fill="auto"/>
        </w:rPr>
        <w:t>2.受理来电、来访、来信、州局分流、县政府转办和其它相关部门移送的消费者投诉举报。</w:t>
      </w:r>
    </w:p>
    <w:p>
      <w:pPr>
        <w:spacing w:line="594" w:lineRule="exact"/>
        <w:ind w:firstLine="640" w:firstLineChars="200"/>
        <w:rPr>
          <w:rFonts w:hint="eastAsia" w:ascii="仿宋_GB2312" w:eastAsia="仿宋_GB2312"/>
          <w:bCs/>
          <w:sz w:val="32"/>
          <w:szCs w:val="32"/>
          <w:shd w:val="clear" w:color="auto" w:fill="auto"/>
        </w:rPr>
      </w:pPr>
      <w:r>
        <w:rPr>
          <w:rFonts w:hint="eastAsia" w:ascii="仿宋_GB2312" w:eastAsia="仿宋_GB2312"/>
          <w:bCs/>
          <w:sz w:val="32"/>
          <w:szCs w:val="32"/>
          <w:shd w:val="clear" w:color="auto" w:fill="auto"/>
        </w:rPr>
        <w:t>3.准确、及时、完整地录入消费者咨询、投诉、举报信息。</w:t>
      </w:r>
    </w:p>
    <w:p>
      <w:pPr>
        <w:spacing w:line="594" w:lineRule="exact"/>
        <w:ind w:firstLine="640" w:firstLineChars="200"/>
        <w:rPr>
          <w:rFonts w:hint="eastAsia" w:ascii="仿宋_GB2312" w:eastAsia="仿宋_GB2312"/>
          <w:bCs/>
          <w:sz w:val="32"/>
          <w:szCs w:val="32"/>
          <w:shd w:val="clear" w:color="auto" w:fill="auto"/>
        </w:rPr>
      </w:pPr>
      <w:r>
        <w:rPr>
          <w:rFonts w:hint="eastAsia" w:ascii="仿宋_GB2312" w:eastAsia="仿宋_GB2312"/>
          <w:bCs/>
          <w:sz w:val="32"/>
          <w:szCs w:val="32"/>
          <w:shd w:val="clear" w:color="auto" w:fill="auto"/>
        </w:rPr>
        <w:t>4.按照属地管辖原则，及时将受理的投诉、举报分流到相关股、室、队、基层市场监管所、消费者维权联络站和消费者维权服务站，对不属于受理范围的投诉举报，按有关规定移送相关部门处理或直接将相关的管辖部门告知消费者。</w:t>
      </w:r>
    </w:p>
    <w:p>
      <w:pPr>
        <w:spacing w:line="594" w:lineRule="exact"/>
        <w:ind w:firstLine="640" w:firstLineChars="200"/>
        <w:rPr>
          <w:rFonts w:hint="eastAsia" w:ascii="仿宋_GB2312" w:eastAsia="仿宋_GB2312"/>
          <w:bCs/>
          <w:sz w:val="32"/>
          <w:szCs w:val="32"/>
          <w:shd w:val="clear" w:color="auto" w:fill="auto"/>
        </w:rPr>
      </w:pPr>
      <w:r>
        <w:rPr>
          <w:rFonts w:hint="eastAsia" w:ascii="仿宋_GB2312" w:eastAsia="仿宋_GB2312"/>
          <w:bCs/>
          <w:sz w:val="32"/>
          <w:szCs w:val="32"/>
          <w:shd w:val="clear" w:color="auto" w:fill="auto"/>
        </w:rPr>
        <w:t>5.负责对投诉举报的督办与催办。</w:t>
      </w:r>
    </w:p>
    <w:p>
      <w:pPr>
        <w:spacing w:line="594" w:lineRule="exact"/>
        <w:ind w:firstLine="640" w:firstLineChars="200"/>
        <w:rPr>
          <w:rFonts w:hint="eastAsia" w:ascii="仿宋_GB2312" w:eastAsia="仿宋_GB2312"/>
          <w:bCs/>
          <w:sz w:val="32"/>
          <w:szCs w:val="32"/>
          <w:shd w:val="clear" w:color="auto" w:fill="auto"/>
        </w:rPr>
      </w:pPr>
      <w:r>
        <w:rPr>
          <w:rFonts w:hint="eastAsia" w:ascii="仿宋_GB2312" w:eastAsia="仿宋_GB2312"/>
          <w:bCs/>
          <w:sz w:val="32"/>
          <w:szCs w:val="32"/>
          <w:shd w:val="clear" w:color="auto" w:fill="auto"/>
        </w:rPr>
        <w:t>6.对重大或有一定影响的投诉举报进行定期回访。</w:t>
      </w:r>
    </w:p>
    <w:p>
      <w:pPr>
        <w:spacing w:line="594" w:lineRule="exact"/>
        <w:ind w:firstLine="640" w:firstLineChars="200"/>
        <w:rPr>
          <w:rFonts w:hint="eastAsia" w:ascii="仿宋_GB2312" w:eastAsia="仿宋_GB2312"/>
          <w:bCs/>
          <w:sz w:val="32"/>
          <w:szCs w:val="32"/>
          <w:shd w:val="clear" w:color="auto" w:fill="auto"/>
        </w:rPr>
      </w:pPr>
      <w:r>
        <w:rPr>
          <w:rFonts w:hint="eastAsia" w:ascii="仿宋_GB2312" w:eastAsia="仿宋_GB2312"/>
          <w:bCs/>
          <w:sz w:val="32"/>
          <w:szCs w:val="32"/>
          <w:shd w:val="clear" w:color="auto" w:fill="auto"/>
        </w:rPr>
        <w:t>7.定期对消费者维权数据进行统计分析。</w:t>
      </w:r>
    </w:p>
    <w:p>
      <w:pPr>
        <w:spacing w:line="594" w:lineRule="exact"/>
        <w:ind w:firstLine="640" w:firstLineChars="200"/>
        <w:rPr>
          <w:rFonts w:hint="eastAsia" w:ascii="仿宋_GB2312" w:eastAsia="仿宋_GB2312"/>
          <w:bCs/>
          <w:sz w:val="32"/>
          <w:szCs w:val="32"/>
          <w:shd w:val="clear" w:color="auto" w:fill="auto"/>
        </w:rPr>
      </w:pPr>
      <w:r>
        <w:rPr>
          <w:rFonts w:hint="eastAsia" w:ascii="仿宋_GB2312" w:eastAsia="仿宋_GB2312"/>
          <w:bCs/>
          <w:sz w:val="32"/>
          <w:szCs w:val="32"/>
          <w:shd w:val="clear" w:color="auto" w:fill="auto"/>
        </w:rPr>
        <w:t>8.对基层市场监管所、消费者维权联络站和消费维权服务站进行业务培训、指导和工作监督。</w:t>
      </w:r>
    </w:p>
    <w:p>
      <w:pPr>
        <w:pStyle w:val="6"/>
        <w:adjustRightInd w:val="0"/>
        <w:snapToGrid w:val="0"/>
        <w:spacing w:before="93" w:beforeLines="0" w:line="600" w:lineRule="exact"/>
        <w:ind w:firstLine="480" w:firstLineChars="150"/>
        <w:outlineLvl w:val="2"/>
        <w:rPr>
          <w:rFonts w:ascii="仿宋" w:eastAsia="仿宋"/>
          <w:bCs/>
          <w:color w:val="000000"/>
          <w:sz w:val="32"/>
          <w:szCs w:val="32"/>
        </w:rPr>
      </w:pPr>
      <w:bookmarkStart w:id="26" w:name="_Toc1742"/>
      <w:r>
        <w:rPr>
          <w:rFonts w:hint="eastAsia" w:ascii="仿宋" w:eastAsia="仿宋"/>
          <w:bCs/>
          <w:color w:val="000000"/>
          <w:sz w:val="32"/>
          <w:szCs w:val="32"/>
        </w:rPr>
        <w:t>（二）</w:t>
      </w:r>
      <w:r>
        <w:rPr>
          <w:rFonts w:ascii="仿宋" w:eastAsia="仿宋"/>
          <w:bCs/>
          <w:color w:val="000000"/>
          <w:sz w:val="32"/>
          <w:szCs w:val="32"/>
        </w:rPr>
        <w:t>2021</w:t>
      </w:r>
      <w:r>
        <w:rPr>
          <w:rFonts w:hint="eastAsia" w:ascii="仿宋" w:eastAsia="仿宋"/>
          <w:bCs/>
          <w:color w:val="000000"/>
          <w:sz w:val="32"/>
          <w:szCs w:val="32"/>
        </w:rPr>
        <w:t>年重点工作完成情况</w:t>
      </w:r>
      <w:bookmarkEnd w:id="23"/>
      <w:bookmarkEnd w:id="24"/>
      <w:bookmarkEnd w:id="25"/>
      <w:bookmarkEnd w:id="26"/>
    </w:p>
    <w:p>
      <w:pPr>
        <w:spacing w:line="594" w:lineRule="exact"/>
        <w:ind w:firstLine="640" w:firstLineChars="200"/>
        <w:rPr>
          <w:rFonts w:hint="eastAsia" w:ascii="仿宋_GB2312" w:eastAsia="仿宋_GB2312" w:cs="仿宋_GB2312"/>
          <w:bCs/>
          <w:sz w:val="32"/>
          <w:szCs w:val="32"/>
          <w:shd w:val="clear" w:color="auto" w:fill="auto"/>
          <w:lang w:val="zh-CN" w:eastAsia="zh-CN"/>
        </w:rPr>
      </w:pPr>
      <w:r>
        <w:rPr>
          <w:rFonts w:ascii="仿宋_GB2312" w:eastAsia="仿宋_GB2312" w:cs="仿宋"/>
          <w:bCs/>
          <w:sz w:val="32"/>
          <w:szCs w:val="32"/>
          <w:shd w:val="clear" w:color="auto" w:fill="auto"/>
          <w:lang w:eastAsia="zh-CN"/>
        </w:rPr>
        <w:t>1.</w:t>
      </w:r>
      <w:r>
        <w:rPr>
          <w:rFonts w:hint="eastAsia" w:ascii="仿宋_GB2312" w:eastAsia="仿宋_GB2312" w:cs="仿宋"/>
          <w:bCs/>
          <w:sz w:val="32"/>
          <w:szCs w:val="32"/>
          <w:shd w:val="clear" w:color="auto" w:fill="auto"/>
        </w:rPr>
        <w:t>利用</w:t>
      </w:r>
      <w:r>
        <w:rPr>
          <w:rFonts w:hint="eastAsia" w:ascii="仿宋_GB2312" w:eastAsia="仿宋_GB2312" w:cs="仿宋"/>
          <w:bCs/>
          <w:sz w:val="32"/>
          <w:szCs w:val="32"/>
          <w:shd w:val="clear" w:color="auto" w:fill="auto"/>
          <w:lang w:eastAsia="zh-CN"/>
        </w:rPr>
        <w:t>“</w:t>
      </w:r>
      <w:r>
        <w:rPr>
          <w:rFonts w:hint="eastAsia" w:ascii="仿宋_GB2312" w:eastAsia="仿宋_GB2312" w:cs="仿宋"/>
          <w:bCs/>
          <w:sz w:val="32"/>
          <w:szCs w:val="32"/>
          <w:shd w:val="clear" w:color="auto" w:fill="auto"/>
        </w:rPr>
        <w:t>3·15</w:t>
      </w:r>
      <w:r>
        <w:rPr>
          <w:rFonts w:hint="eastAsia" w:ascii="仿宋_GB2312" w:eastAsia="仿宋_GB2312" w:cs="仿宋"/>
          <w:bCs/>
          <w:sz w:val="32"/>
          <w:szCs w:val="32"/>
          <w:shd w:val="clear" w:color="auto" w:fill="auto"/>
          <w:lang w:eastAsia="zh-CN"/>
        </w:rPr>
        <w:t>”</w:t>
      </w:r>
      <w:r>
        <w:rPr>
          <w:rFonts w:hint="eastAsia" w:ascii="仿宋_GB2312" w:eastAsia="仿宋_GB2312" w:cs="仿宋"/>
          <w:bCs/>
          <w:sz w:val="32"/>
          <w:szCs w:val="32"/>
          <w:shd w:val="clear" w:color="auto" w:fill="auto"/>
        </w:rPr>
        <w:t>国际消费者权益日积极开展宣传活动</w:t>
      </w:r>
      <w:r>
        <w:rPr>
          <w:rFonts w:ascii="仿宋_GB2312" w:eastAsia="仿宋_GB2312" w:cs="仿宋"/>
          <w:bCs/>
          <w:sz w:val="32"/>
          <w:szCs w:val="32"/>
          <w:shd w:val="clear" w:color="auto" w:fill="auto"/>
        </w:rPr>
        <w:t>。</w:t>
      </w:r>
      <w:r>
        <w:rPr>
          <w:rFonts w:hint="eastAsia" w:ascii="仿宋_GB2312" w:eastAsia="仿宋_GB2312" w:cs="仿宋_GB2312"/>
          <w:bCs/>
          <w:sz w:val="32"/>
          <w:szCs w:val="32"/>
          <w:shd w:val="clear" w:color="auto" w:fill="auto"/>
          <w:lang w:val="zh-CN"/>
        </w:rPr>
        <w:t>在茂县政府广场开展的以“守护安全，畅通消费”为主题的</w:t>
      </w:r>
      <w:r>
        <w:rPr>
          <w:rFonts w:hint="eastAsia" w:ascii="仿宋_GB2312" w:eastAsia="仿宋_GB2312" w:cs="仿宋"/>
          <w:bCs/>
          <w:sz w:val="32"/>
          <w:szCs w:val="32"/>
          <w:shd w:val="clear" w:color="auto" w:fill="auto"/>
          <w:lang w:eastAsia="zh-CN"/>
        </w:rPr>
        <w:t>“</w:t>
      </w:r>
      <w:r>
        <w:rPr>
          <w:rFonts w:hint="eastAsia" w:ascii="仿宋_GB2312" w:eastAsia="仿宋_GB2312" w:cs="仿宋"/>
          <w:bCs/>
          <w:sz w:val="32"/>
          <w:szCs w:val="32"/>
          <w:shd w:val="clear" w:color="auto" w:fill="auto"/>
        </w:rPr>
        <w:t>3·15</w:t>
      </w:r>
      <w:r>
        <w:rPr>
          <w:rFonts w:hint="eastAsia" w:ascii="仿宋_GB2312" w:eastAsia="仿宋_GB2312" w:cs="仿宋"/>
          <w:bCs/>
          <w:sz w:val="32"/>
          <w:szCs w:val="32"/>
          <w:shd w:val="clear" w:color="auto" w:fill="auto"/>
          <w:lang w:eastAsia="zh-CN"/>
        </w:rPr>
        <w:t>”</w:t>
      </w:r>
      <w:r>
        <w:rPr>
          <w:rFonts w:hint="eastAsia" w:ascii="仿宋_GB2312" w:eastAsia="仿宋_GB2312" w:cs="仿宋_GB2312"/>
          <w:bCs/>
          <w:sz w:val="32"/>
          <w:szCs w:val="32"/>
          <w:shd w:val="clear" w:color="auto" w:fill="auto"/>
          <w:lang w:val="zh-CN"/>
        </w:rPr>
        <w:t>国际消费者权益日宣传活动。同时借助“</w:t>
      </w:r>
      <w:r>
        <w:rPr>
          <w:rFonts w:hint="eastAsia" w:ascii="仿宋_GB2312" w:eastAsia="仿宋_GB2312" w:cs="仿宋_GB2312"/>
          <w:bCs/>
          <w:sz w:val="32"/>
          <w:szCs w:val="32"/>
          <w:shd w:val="clear" w:color="auto" w:fill="auto"/>
          <w:lang w:val="zh-CN" w:eastAsia="zh-CN"/>
        </w:rPr>
        <w:t>2021</w:t>
      </w:r>
      <w:r>
        <w:rPr>
          <w:rFonts w:hint="eastAsia" w:ascii="仿宋_GB2312" w:eastAsia="仿宋_GB2312" w:cs="仿宋_GB2312"/>
          <w:bCs/>
          <w:sz w:val="32"/>
          <w:szCs w:val="32"/>
          <w:shd w:val="clear" w:color="auto" w:fill="auto"/>
          <w:lang w:val="zh-CN"/>
        </w:rPr>
        <w:t>春雷行动”专项整治工作，开展了</w:t>
      </w:r>
      <w:r>
        <w:rPr>
          <w:rFonts w:hint="eastAsia" w:ascii="仿宋_GB2312" w:eastAsia="仿宋_GB2312" w:cs="仿宋_GB2312"/>
          <w:bCs/>
          <w:sz w:val="32"/>
          <w:szCs w:val="32"/>
          <w:shd w:val="clear" w:color="auto" w:fill="auto"/>
          <w:lang w:val="zh-CN" w:eastAsia="zh-CN" w:bidi="ar-SA"/>
        </w:rPr>
        <w:t>2021年</w:t>
      </w:r>
      <w:r>
        <w:rPr>
          <w:rFonts w:hint="eastAsia" w:ascii="仿宋_GB2312" w:eastAsia="仿宋_GB2312" w:cs="仿宋"/>
          <w:bCs/>
          <w:sz w:val="32"/>
          <w:szCs w:val="32"/>
          <w:shd w:val="clear" w:color="auto" w:fill="auto"/>
          <w:lang w:eastAsia="zh-CN"/>
        </w:rPr>
        <w:t>“</w:t>
      </w:r>
      <w:r>
        <w:rPr>
          <w:rFonts w:hint="eastAsia" w:ascii="仿宋_GB2312" w:eastAsia="仿宋_GB2312" w:cs="仿宋"/>
          <w:bCs/>
          <w:sz w:val="32"/>
          <w:szCs w:val="32"/>
          <w:shd w:val="clear" w:color="auto" w:fill="auto"/>
        </w:rPr>
        <w:t>3·15</w:t>
      </w:r>
      <w:r>
        <w:rPr>
          <w:rFonts w:hint="eastAsia" w:ascii="仿宋_GB2312" w:eastAsia="仿宋_GB2312" w:cs="仿宋"/>
          <w:bCs/>
          <w:sz w:val="32"/>
          <w:szCs w:val="32"/>
          <w:shd w:val="clear" w:color="auto" w:fill="auto"/>
          <w:lang w:eastAsia="zh-CN"/>
        </w:rPr>
        <w:t>”</w:t>
      </w:r>
      <w:bookmarkStart w:id="337" w:name="_GoBack"/>
      <w:bookmarkEnd w:id="337"/>
      <w:r>
        <w:rPr>
          <w:rFonts w:hint="eastAsia" w:ascii="仿宋_GB2312" w:eastAsia="仿宋_GB2312" w:cs="仿宋_GB2312"/>
          <w:bCs/>
          <w:sz w:val="32"/>
          <w:szCs w:val="32"/>
          <w:shd w:val="clear" w:color="auto" w:fill="auto"/>
          <w:lang w:val="zh-CN" w:eastAsia="zh-CN" w:bidi="ar-SA"/>
        </w:rPr>
        <w:t>系列活动</w:t>
      </w:r>
      <w:r>
        <w:rPr>
          <w:rFonts w:hint="eastAsia" w:ascii="仿宋_GB2312" w:eastAsia="仿宋_GB2312" w:cs="仿宋_GB2312"/>
          <w:bCs/>
          <w:sz w:val="32"/>
          <w:szCs w:val="32"/>
          <w:shd w:val="clear" w:color="auto" w:fill="auto"/>
          <w:lang w:val="zh-CN" w:eastAsia="zh-CN"/>
        </w:rPr>
        <w:t>。</w:t>
      </w:r>
    </w:p>
    <w:p>
      <w:pPr>
        <w:spacing w:line="594" w:lineRule="exact"/>
        <w:ind w:firstLine="640" w:firstLineChars="200"/>
        <w:rPr>
          <w:rFonts w:hint="eastAsia" w:ascii="仿宋_GB2312" w:eastAsia="仿宋_GB2312" w:cs="仿宋_GB2312"/>
          <w:bCs/>
          <w:sz w:val="32"/>
          <w:szCs w:val="32"/>
          <w:shd w:val="clear" w:color="auto" w:fill="auto"/>
          <w:lang w:val="zh-CN"/>
        </w:rPr>
      </w:pPr>
      <w:r>
        <w:rPr>
          <w:rFonts w:ascii="仿宋_GB2312" w:eastAsia="仿宋_GB2312" w:cs="仿宋"/>
          <w:bCs/>
          <w:sz w:val="32"/>
          <w:szCs w:val="32"/>
          <w:shd w:val="clear" w:color="auto" w:fill="auto"/>
        </w:rPr>
        <w:t>2.</w:t>
      </w:r>
      <w:r>
        <w:rPr>
          <w:rFonts w:hint="eastAsia" w:ascii="仿宋_GB2312" w:eastAsia="仿宋_GB2312" w:cs="仿宋"/>
          <w:bCs/>
          <w:sz w:val="32"/>
          <w:szCs w:val="32"/>
          <w:shd w:val="clear" w:color="auto" w:fill="auto"/>
        </w:rPr>
        <w:t>认真受理消费投诉，全心全意为消费者服务</w:t>
      </w:r>
      <w:r>
        <w:rPr>
          <w:rFonts w:ascii="仿宋_GB2312" w:eastAsia="仿宋_GB2312" w:cs="仿宋"/>
          <w:bCs/>
          <w:sz w:val="32"/>
          <w:szCs w:val="32"/>
          <w:shd w:val="clear" w:color="auto" w:fill="auto"/>
        </w:rPr>
        <w:t>。</w:t>
      </w:r>
      <w:r>
        <w:rPr>
          <w:rFonts w:hint="eastAsia" w:ascii="仿宋_GB2312" w:eastAsia="仿宋_GB2312" w:cs="仿宋_GB2312"/>
          <w:bCs/>
          <w:sz w:val="32"/>
          <w:szCs w:val="32"/>
          <w:shd w:val="clear" w:color="auto" w:fill="auto"/>
          <w:lang w:val="zh-CN"/>
        </w:rPr>
        <w:t>理投诉举报共120件，办结120件，回复率达100%</w:t>
      </w:r>
      <w:r>
        <w:rPr>
          <w:rFonts w:hint="eastAsia" w:ascii="仿宋_GB2312" w:eastAsia="仿宋_GB2312" w:cs="仿宋_GB2312"/>
          <w:bCs/>
          <w:sz w:val="32"/>
          <w:szCs w:val="32"/>
          <w:shd w:val="clear" w:color="auto" w:fill="auto"/>
          <w:lang w:val="zh-CN" w:eastAsia="zh-CN"/>
        </w:rPr>
        <w:t>。</w:t>
      </w:r>
      <w:r>
        <w:rPr>
          <w:rFonts w:hint="eastAsia" w:ascii="仿宋_GB2312" w:eastAsia="仿宋_GB2312" w:cs="仿宋_GB2312"/>
          <w:bCs/>
          <w:sz w:val="32"/>
          <w:szCs w:val="32"/>
          <w:shd w:val="clear" w:color="auto" w:fill="auto"/>
          <w:lang w:val="zh-CN"/>
        </w:rPr>
        <w:t>　　</w:t>
      </w:r>
    </w:p>
    <w:p>
      <w:pPr>
        <w:spacing w:line="594" w:lineRule="exact"/>
        <w:ind w:firstLine="640" w:firstLineChars="200"/>
        <w:rPr>
          <w:rFonts w:ascii="仿宋" w:eastAsia="仿宋"/>
          <w:bCs/>
          <w:color w:val="000000"/>
          <w:sz w:val="32"/>
          <w:szCs w:val="32"/>
        </w:rPr>
      </w:pPr>
      <w:r>
        <w:rPr>
          <w:rFonts w:ascii="仿宋_GB2312" w:eastAsia="仿宋_GB2312" w:cs="仿宋"/>
          <w:bCs/>
          <w:sz w:val="32"/>
          <w:szCs w:val="32"/>
          <w:shd w:val="clear" w:color="auto" w:fill="auto"/>
          <w:lang w:eastAsia="zh-CN"/>
        </w:rPr>
        <w:t>3.</w:t>
      </w:r>
      <w:r>
        <w:rPr>
          <w:rFonts w:hint="eastAsia" w:ascii="仿宋_GB2312" w:eastAsia="仿宋_GB2312" w:cs="仿宋"/>
          <w:bCs/>
          <w:sz w:val="32"/>
          <w:szCs w:val="32"/>
          <w:shd w:val="clear" w:color="auto" w:fill="auto"/>
        </w:rPr>
        <w:t>积极协调投诉案件，切实维护消费者的正当权益</w:t>
      </w:r>
      <w:r>
        <w:rPr>
          <w:rFonts w:ascii="仿宋_GB2312" w:eastAsia="仿宋_GB2312" w:cs="仿宋"/>
          <w:bCs/>
          <w:sz w:val="32"/>
          <w:szCs w:val="32"/>
          <w:shd w:val="clear" w:color="auto" w:fill="auto"/>
        </w:rPr>
        <w:t>。</w:t>
      </w:r>
    </w:p>
    <w:p>
      <w:pPr>
        <w:snapToGrid w:val="0"/>
        <w:spacing w:line="520" w:lineRule="exact"/>
        <w:ind w:firstLine="640" w:firstLineChars="200"/>
        <w:rPr>
          <w:rStyle w:val="25"/>
        </w:rPr>
      </w:pPr>
      <w:r>
        <w:rPr>
          <w:rFonts w:ascii="仿宋_GB2312" w:eastAsia="仿宋_GB2312"/>
          <w:sz w:val="32"/>
          <w:szCs w:val="32"/>
        </w:rPr>
        <w:t xml:space="preserve"> </w:t>
      </w:r>
      <w:bookmarkStart w:id="27" w:name="_Toc15377200"/>
      <w:bookmarkStart w:id="28" w:name="_Toc15396601"/>
      <w:bookmarkStart w:id="29" w:name="_Toc79163605"/>
      <w:bookmarkStart w:id="30" w:name="_Toc7409"/>
      <w:r>
        <w:rPr>
          <w:rStyle w:val="25"/>
          <w:rFonts w:hint="eastAsia" w:ascii="黑体" w:eastAsia="黑体"/>
        </w:rPr>
        <w:t>二、机构设置</w:t>
      </w:r>
      <w:bookmarkEnd w:id="27"/>
      <w:bookmarkEnd w:id="28"/>
      <w:bookmarkEnd w:id="29"/>
    </w:p>
    <w:bookmarkEnd w:id="30"/>
    <w:p>
      <w:pPr>
        <w:spacing w:line="594" w:lineRule="exact"/>
        <w:ind w:firstLine="640" w:firstLineChars="200"/>
        <w:rPr>
          <w:rFonts w:hint="eastAsia" w:ascii="仿宋_GB2312" w:eastAsia="仿宋_GB2312" w:cs="仿宋_GB2312"/>
          <w:bCs/>
          <w:sz w:val="32"/>
          <w:szCs w:val="32"/>
          <w:shd w:val="clear" w:color="auto" w:fill="auto"/>
          <w:lang w:val="zh-CN"/>
        </w:rPr>
      </w:pPr>
      <w:bookmarkStart w:id="31" w:name="_Toc15377204"/>
      <w:bookmarkStart w:id="32" w:name="_Toc15396602"/>
      <w:bookmarkStart w:id="33" w:name="_Toc79163609"/>
      <w:r>
        <w:rPr>
          <w:rFonts w:hint="eastAsia" w:ascii="仿宋_GB2312" w:eastAsia="仿宋_GB2312" w:cs="仿宋_GB2312"/>
          <w:bCs/>
          <w:sz w:val="32"/>
          <w:szCs w:val="32"/>
          <w:shd w:val="clear" w:color="auto" w:fill="auto"/>
          <w:lang w:val="zh-CN"/>
        </w:rPr>
        <w:t>茂县消委会管理服务中心</w:t>
      </w:r>
      <w:r>
        <w:rPr>
          <w:rFonts w:hint="eastAsia" w:ascii="仿宋_GB2312" w:eastAsia="仿宋_GB2312" w:cs="仿宋_GB2312"/>
          <w:bCs/>
          <w:sz w:val="32"/>
          <w:szCs w:val="32"/>
          <w:shd w:val="clear" w:color="auto" w:fill="auto"/>
          <w:lang w:val="en-US" w:eastAsia="zh-CN"/>
        </w:rPr>
        <w:t>是</w:t>
      </w:r>
      <w:r>
        <w:rPr>
          <w:rFonts w:hint="eastAsia" w:ascii="仿宋_GB2312" w:eastAsia="仿宋_GB2312" w:cs="仿宋_GB2312"/>
          <w:bCs/>
          <w:sz w:val="32"/>
          <w:szCs w:val="32"/>
          <w:shd w:val="clear" w:color="auto" w:fill="auto"/>
          <w:lang w:val="zh-CN"/>
        </w:rPr>
        <w:t>茂县市场监督管理局下属二级</w:t>
      </w:r>
      <w:r>
        <w:rPr>
          <w:rFonts w:hint="eastAsia" w:ascii="仿宋_GB2312" w:eastAsia="仿宋_GB2312" w:cs="仿宋_GB2312"/>
          <w:bCs/>
          <w:sz w:val="32"/>
          <w:szCs w:val="32"/>
          <w:shd w:val="clear" w:color="auto" w:fill="auto"/>
          <w:lang w:val="en-US" w:eastAsia="zh-CN"/>
        </w:rPr>
        <w:t>事业</w:t>
      </w:r>
      <w:r>
        <w:rPr>
          <w:rFonts w:hint="eastAsia" w:ascii="仿宋_GB2312" w:eastAsia="仿宋_GB2312" w:cs="仿宋_GB2312"/>
          <w:bCs/>
          <w:sz w:val="32"/>
          <w:szCs w:val="32"/>
          <w:shd w:val="clear" w:color="auto" w:fill="auto"/>
          <w:lang w:val="zh-CN"/>
        </w:rPr>
        <w:t>单位。</w:t>
      </w:r>
    </w:p>
    <w:p>
      <w:pPr>
        <w:spacing w:line="594" w:lineRule="exact"/>
        <w:ind w:firstLine="640" w:firstLineChars="200"/>
        <w:rPr>
          <w:rFonts w:hint="eastAsia" w:ascii="仿宋_GB2312" w:eastAsia="仿宋_GB2312" w:cs="仿宋_GB2312"/>
          <w:bCs/>
          <w:sz w:val="32"/>
          <w:szCs w:val="32"/>
          <w:shd w:val="clear" w:color="auto" w:fill="auto"/>
          <w:lang w:val="zh-CN" w:eastAsia="zh-CN"/>
        </w:rPr>
      </w:pPr>
      <w:r>
        <w:rPr>
          <w:rFonts w:hint="eastAsia" w:ascii="仿宋_GB2312" w:eastAsia="仿宋_GB2312" w:cs="仿宋_GB2312"/>
          <w:bCs/>
          <w:sz w:val="32"/>
          <w:szCs w:val="32"/>
          <w:shd w:val="clear" w:color="auto" w:fill="auto"/>
          <w:lang w:val="zh-CN"/>
        </w:rPr>
        <w:t>纳入茂县市场监督管理局2021年度部门决算编制范围的二级预算单位</w:t>
      </w:r>
      <w:r>
        <w:rPr>
          <w:rFonts w:hint="eastAsia" w:ascii="仿宋_GB2312" w:eastAsia="仿宋_GB2312" w:cs="仿宋_GB2312"/>
          <w:bCs/>
          <w:sz w:val="32"/>
          <w:szCs w:val="32"/>
          <w:shd w:val="clear" w:color="auto" w:fill="auto"/>
          <w:lang w:val="zh-CN" w:eastAsia="zh-CN"/>
        </w:rPr>
        <w:t>。</w:t>
      </w:r>
    </w:p>
    <w:p>
      <w:pPr>
        <w:spacing w:line="594" w:lineRule="exact"/>
        <w:ind w:firstLine="640" w:firstLineChars="200"/>
        <w:rPr>
          <w:rFonts w:hint="eastAsia" w:ascii="仿宋_GB2312" w:eastAsia="仿宋_GB2312" w:cs="仿宋_GB2312"/>
          <w:bCs/>
          <w:sz w:val="32"/>
          <w:szCs w:val="32"/>
          <w:shd w:val="clear" w:color="auto" w:fill="auto"/>
          <w:lang w:val="zh-CN" w:eastAsia="zh-CN"/>
        </w:rPr>
      </w:pPr>
    </w:p>
    <w:p>
      <w:pPr>
        <w:snapToGrid w:val="0"/>
        <w:spacing w:line="520" w:lineRule="exact"/>
        <w:ind w:left="0" w:firstLine="883" w:firstLineChars="200"/>
        <w:rPr>
          <w:rStyle w:val="24"/>
          <w:rFonts w:ascii="黑体" w:eastAsia="黑体"/>
        </w:rPr>
      </w:pPr>
      <w:bookmarkStart w:id="34" w:name="_Toc17451"/>
      <w:r>
        <w:rPr>
          <w:rStyle w:val="24"/>
          <w:rFonts w:hint="eastAsia" w:ascii="黑体" w:eastAsia="黑体"/>
        </w:rPr>
        <w:t>第二部分 202</w:t>
      </w:r>
      <w:r>
        <w:rPr>
          <w:rStyle w:val="24"/>
          <w:rFonts w:ascii="黑体" w:eastAsia="黑体"/>
        </w:rPr>
        <w:t>1</w:t>
      </w:r>
      <w:r>
        <w:rPr>
          <w:rStyle w:val="24"/>
          <w:rFonts w:hint="eastAsia" w:ascii="黑体" w:eastAsia="黑体"/>
        </w:rPr>
        <w:t>年度部门决算情况说明</w:t>
      </w:r>
      <w:bookmarkEnd w:id="31"/>
      <w:bookmarkEnd w:id="32"/>
      <w:bookmarkEnd w:id="33"/>
    </w:p>
    <w:bookmarkEnd w:id="34"/>
    <w:p>
      <w:pPr>
        <w:pStyle w:val="30"/>
        <w:numPr>
          <w:ilvl w:val="0"/>
          <w:numId w:val="1"/>
        </w:numPr>
        <w:spacing w:line="600" w:lineRule="exact"/>
        <w:ind w:firstLineChars="0"/>
        <w:outlineLvl w:val="1"/>
        <w:rPr>
          <w:rStyle w:val="25"/>
          <w:rFonts w:ascii="黑体" w:eastAsia="黑体"/>
          <w:b w:val="0"/>
        </w:rPr>
      </w:pPr>
      <w:bookmarkStart w:id="35" w:name="_Toc15377205"/>
      <w:bookmarkStart w:id="36" w:name="_Toc15396603"/>
      <w:bookmarkStart w:id="37" w:name="_Toc79163610"/>
      <w:bookmarkStart w:id="38" w:name="_Toc7303"/>
      <w:r>
        <w:rPr>
          <w:rFonts w:hint="eastAsia" w:ascii="黑体" w:eastAsia="黑体"/>
          <w:color w:val="000000"/>
          <w:sz w:val="32"/>
          <w:szCs w:val="32"/>
        </w:rPr>
        <w:t>收</w:t>
      </w:r>
      <w:r>
        <w:rPr>
          <w:rStyle w:val="25"/>
          <w:rFonts w:hint="eastAsia" w:ascii="黑体" w:eastAsia="黑体"/>
          <w:b w:val="0"/>
        </w:rPr>
        <w:t>入支出决算总体情况说明</w:t>
      </w:r>
      <w:bookmarkEnd w:id="35"/>
      <w:bookmarkEnd w:id="36"/>
      <w:bookmarkEnd w:id="37"/>
      <w:bookmarkEnd w:id="38"/>
    </w:p>
    <w:p>
      <w:pPr>
        <w:spacing w:line="594" w:lineRule="exact"/>
        <w:ind w:firstLine="640" w:firstLineChars="200"/>
        <w:outlineLvl w:val="1"/>
        <w:rPr>
          <w:rFonts w:ascii="仿宋_GB2312" w:eastAsia="仿宋_GB2312"/>
          <w:color w:val="000000"/>
          <w:sz w:val="32"/>
          <w:szCs w:val="32"/>
        </w:rPr>
      </w:pPr>
      <w:bookmarkStart w:id="39" w:name="_Toc9771"/>
      <w:bookmarkStart w:id="40" w:name="_Toc7741"/>
      <w:bookmarkStart w:id="41" w:name="_Toc11173"/>
      <w:bookmarkStart w:id="42" w:name="_Toc51662754"/>
      <w:bookmarkStart w:id="43" w:name="_Toc22319"/>
      <w:bookmarkStart w:id="44" w:name="_Toc19304"/>
      <w:bookmarkStart w:id="45" w:name="_Toc51662566"/>
      <w:r>
        <w:rPr>
          <w:rFonts w:hint="eastAsia" w:ascii="仿宋_GB2312" w:eastAsia="仿宋_GB2312"/>
          <w:color w:val="000000"/>
          <w:sz w:val="32"/>
          <w:szCs w:val="32"/>
        </w:rPr>
        <w:t>202</w:t>
      </w:r>
      <w:r>
        <w:rPr>
          <w:rFonts w:ascii="仿宋_GB2312" w:eastAsia="仿宋_GB2312"/>
          <w:color w:val="000000"/>
          <w:sz w:val="32"/>
          <w:szCs w:val="32"/>
        </w:rPr>
        <w:t>1</w:t>
      </w:r>
      <w:r>
        <w:rPr>
          <w:rFonts w:hint="eastAsia" w:ascii="仿宋_GB2312" w:eastAsia="仿宋_GB2312"/>
          <w:color w:val="000000"/>
          <w:sz w:val="32"/>
          <w:szCs w:val="32"/>
        </w:rPr>
        <w:t>年本年收入合计</w:t>
      </w:r>
      <w:r>
        <w:rPr>
          <w:rFonts w:ascii="仿宋_GB2312" w:eastAsia="仿宋_GB2312"/>
          <w:color w:val="000000"/>
          <w:sz w:val="32"/>
          <w:szCs w:val="32"/>
        </w:rPr>
        <w:t>77.84</w:t>
      </w:r>
      <w:r>
        <w:rPr>
          <w:rFonts w:hint="eastAsia" w:ascii="仿宋_GB2312" w:eastAsia="仿宋_GB2312"/>
          <w:color w:val="000000"/>
          <w:sz w:val="32"/>
          <w:szCs w:val="32"/>
        </w:rPr>
        <w:t>万元，与20</w:t>
      </w:r>
      <w:r>
        <w:rPr>
          <w:rFonts w:ascii="仿宋_GB2312" w:eastAsia="仿宋_GB2312"/>
          <w:color w:val="000000"/>
          <w:sz w:val="32"/>
          <w:szCs w:val="32"/>
        </w:rPr>
        <w:t>20</w:t>
      </w:r>
      <w:r>
        <w:rPr>
          <w:rFonts w:hint="eastAsia" w:ascii="仿宋_GB2312" w:eastAsia="仿宋_GB2312"/>
          <w:color w:val="000000"/>
          <w:sz w:val="32"/>
          <w:szCs w:val="32"/>
        </w:rPr>
        <w:t>年相比</w:t>
      </w:r>
      <w:r>
        <w:rPr>
          <w:rFonts w:ascii="仿宋_GB2312" w:eastAsia="仿宋_GB2312"/>
          <w:color w:val="000000"/>
          <w:sz w:val="32"/>
          <w:szCs w:val="32"/>
        </w:rPr>
        <w:t>上升17.5</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ascii="仿宋_GB2312" w:eastAsia="仿宋_GB2312"/>
          <w:color w:val="000000"/>
          <w:sz w:val="32"/>
          <w:szCs w:val="32"/>
          <w:lang w:val="en-US" w:eastAsia="zh-CN"/>
        </w:rPr>
        <w:t>29</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主要原因是</w:t>
      </w:r>
      <w:r>
        <w:rPr>
          <w:rFonts w:ascii="仿宋_GB2312" w:eastAsia="仿宋_GB2312"/>
          <w:color w:val="000000"/>
          <w:sz w:val="32"/>
          <w:szCs w:val="32"/>
        </w:rPr>
        <w:t>事业人员增加</w:t>
      </w:r>
      <w:r>
        <w:rPr>
          <w:rFonts w:hint="eastAsia" w:ascii="仿宋_GB2312" w:eastAsia="仿宋_GB2312"/>
          <w:color w:val="000000"/>
          <w:sz w:val="32"/>
          <w:szCs w:val="32"/>
        </w:rPr>
        <w:t>。</w:t>
      </w:r>
      <w:bookmarkEnd w:id="39"/>
      <w:bookmarkEnd w:id="40"/>
      <w:bookmarkEnd w:id="41"/>
      <w:bookmarkEnd w:id="42"/>
      <w:bookmarkEnd w:id="43"/>
      <w:bookmarkEnd w:id="44"/>
      <w:bookmarkEnd w:id="45"/>
      <w:r>
        <w:rPr>
          <w:rFonts w:ascii="仿宋_GB2312" w:eastAsia="仿宋_GB2312"/>
          <w:color w:val="000000"/>
          <w:sz w:val="32"/>
          <w:szCs w:val="32"/>
        </w:rPr>
        <w:t xml:space="preserve"> </w:t>
      </w:r>
    </w:p>
    <w:p>
      <w:pPr>
        <w:spacing w:line="594" w:lineRule="exact"/>
        <w:ind w:firstLine="420" w:firstLineChars="200"/>
        <w:outlineLvl w:val="1"/>
        <w:rPr>
          <w:rFonts w:ascii="仿宋_GB2312" w:eastAsia="仿宋_GB2312"/>
          <w:color w:val="000000"/>
          <w:sz w:val="32"/>
          <w:szCs w:val="32"/>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209550</wp:posOffset>
            </wp:positionH>
            <wp:positionV relativeFrom="paragraph">
              <wp:posOffset>133985</wp:posOffset>
            </wp:positionV>
            <wp:extent cx="4804410" cy="2447925"/>
            <wp:effectExtent l="0" t="0" r="0" b="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594" w:lineRule="exact"/>
        <w:ind w:firstLine="640" w:firstLineChars="200"/>
        <w:outlineLvl w:val="1"/>
        <w:rPr>
          <w:rFonts w:ascii="仿宋_GB2312" w:eastAsia="仿宋_GB2312"/>
          <w:color w:val="000000"/>
          <w:sz w:val="32"/>
          <w:szCs w:val="32"/>
        </w:rPr>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640" w:firstLineChars="200"/>
        <w:outlineLvl w:val="1"/>
        <w:rPr>
          <w:rFonts w:hint="eastAsia" w:ascii="仿宋_GB2312" w:eastAsia="仿宋_GB2312"/>
          <w:color w:val="000000"/>
          <w:sz w:val="32"/>
          <w:szCs w:val="32"/>
        </w:rPr>
      </w:pPr>
      <w:bookmarkStart w:id="46" w:name="_Toc3469"/>
      <w:bookmarkStart w:id="47" w:name="_Toc51662755"/>
      <w:bookmarkStart w:id="48" w:name="_Toc29710"/>
      <w:bookmarkStart w:id="49" w:name="_Toc16053"/>
      <w:bookmarkStart w:id="50" w:name="_Toc5623"/>
      <w:bookmarkStart w:id="51" w:name="_Toc51662567"/>
      <w:bookmarkStart w:id="52" w:name="_Toc13537"/>
      <w:bookmarkStart w:id="53" w:name="_Toc79163611"/>
      <w:bookmarkStart w:id="54" w:name="_Toc15377206"/>
      <w:bookmarkStart w:id="55" w:name="_Toc15396604"/>
      <w:r>
        <w:rPr>
          <w:rFonts w:hint="eastAsia" w:ascii="仿宋_GB2312" w:eastAsia="仿宋_GB2312"/>
          <w:color w:val="000000"/>
          <w:sz w:val="32"/>
          <w:szCs w:val="32"/>
        </w:rPr>
        <w:t>202</w:t>
      </w:r>
      <w:r>
        <w:rPr>
          <w:rFonts w:ascii="仿宋_GB2312" w:eastAsia="仿宋_GB2312"/>
          <w:color w:val="000000"/>
          <w:sz w:val="32"/>
          <w:szCs w:val="32"/>
        </w:rPr>
        <w:t>1</w:t>
      </w:r>
      <w:r>
        <w:rPr>
          <w:rFonts w:hint="eastAsia" w:ascii="仿宋_GB2312" w:eastAsia="仿宋_GB2312"/>
          <w:color w:val="000000"/>
          <w:sz w:val="32"/>
          <w:szCs w:val="32"/>
        </w:rPr>
        <w:t>年本年支出合计</w:t>
      </w:r>
      <w:bookmarkEnd w:id="46"/>
      <w:bookmarkEnd w:id="47"/>
      <w:bookmarkEnd w:id="48"/>
      <w:bookmarkEnd w:id="49"/>
      <w:bookmarkEnd w:id="50"/>
      <w:bookmarkEnd w:id="51"/>
      <w:r>
        <w:rPr>
          <w:rFonts w:ascii="仿宋_GB2312" w:eastAsia="仿宋_GB2312"/>
          <w:color w:val="000000"/>
          <w:sz w:val="32"/>
          <w:szCs w:val="32"/>
        </w:rPr>
        <w:t>77.84</w:t>
      </w:r>
      <w:r>
        <w:rPr>
          <w:rFonts w:hint="eastAsia" w:ascii="仿宋_GB2312" w:eastAsia="仿宋_GB2312"/>
          <w:color w:val="000000"/>
          <w:sz w:val="32"/>
          <w:szCs w:val="32"/>
        </w:rPr>
        <w:t>万元，与20</w:t>
      </w:r>
      <w:r>
        <w:rPr>
          <w:rFonts w:ascii="仿宋_GB2312" w:eastAsia="仿宋_GB2312"/>
          <w:color w:val="000000"/>
          <w:sz w:val="32"/>
          <w:szCs w:val="32"/>
        </w:rPr>
        <w:t>20</w:t>
      </w:r>
      <w:r>
        <w:rPr>
          <w:rFonts w:hint="eastAsia" w:ascii="仿宋_GB2312" w:eastAsia="仿宋_GB2312"/>
          <w:color w:val="000000"/>
          <w:sz w:val="32"/>
          <w:szCs w:val="32"/>
        </w:rPr>
        <w:t>年相比</w:t>
      </w:r>
      <w:r>
        <w:rPr>
          <w:rFonts w:ascii="仿宋_GB2312" w:eastAsia="仿宋_GB2312"/>
          <w:color w:val="000000"/>
          <w:sz w:val="32"/>
          <w:szCs w:val="32"/>
        </w:rPr>
        <w:t>上升17.5</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ascii="仿宋_GB2312" w:eastAsia="仿宋_GB2312"/>
          <w:color w:val="000000"/>
          <w:sz w:val="32"/>
          <w:szCs w:val="32"/>
          <w:lang w:val="en-US" w:eastAsia="zh-CN"/>
        </w:rPr>
        <w:t>29</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主要原因是</w:t>
      </w:r>
      <w:r>
        <w:rPr>
          <w:rFonts w:ascii="仿宋_GB2312" w:eastAsia="仿宋_GB2312"/>
          <w:color w:val="000000"/>
          <w:sz w:val="32"/>
          <w:szCs w:val="32"/>
        </w:rPr>
        <w:t>事业人员增加</w:t>
      </w:r>
      <w:r>
        <w:rPr>
          <w:rFonts w:hint="eastAsia" w:ascii="仿宋_GB2312" w:eastAsia="仿宋_GB2312"/>
          <w:color w:val="000000"/>
          <w:sz w:val="32"/>
          <w:szCs w:val="32"/>
        </w:rPr>
        <w:t>。</w:t>
      </w:r>
      <w:bookmarkEnd w:id="52"/>
    </w:p>
    <w:p>
      <w:pPr>
        <w:spacing w:line="594" w:lineRule="exact"/>
        <w:ind w:firstLine="420" w:firstLineChars="200"/>
        <w:outlineLvl w:val="1"/>
        <w:rPr>
          <w:rFonts w:hint="eastAsia" w:ascii="仿宋_GB2312" w:eastAsia="仿宋_GB2312"/>
          <w:color w:val="000000"/>
          <w:sz w:val="32"/>
          <w:szCs w:val="32"/>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171450</wp:posOffset>
            </wp:positionH>
            <wp:positionV relativeFrom="paragraph">
              <wp:posOffset>168275</wp:posOffset>
            </wp:positionV>
            <wp:extent cx="4804410" cy="2447925"/>
            <wp:effectExtent l="0" t="0" r="0" b="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pStyle w:val="30"/>
        <w:spacing w:line="600" w:lineRule="exact"/>
        <w:ind w:firstLine="640" w:firstLineChars="200"/>
        <w:outlineLvl w:val="1"/>
        <w:rPr>
          <w:rStyle w:val="25"/>
          <w:rFonts w:ascii="黑体" w:eastAsia="黑体"/>
          <w:b w:val="0"/>
        </w:rPr>
      </w:pPr>
      <w:bookmarkStart w:id="56" w:name="_Toc19269"/>
      <w:r>
        <w:rPr>
          <w:rFonts w:ascii="黑体" w:eastAsia="黑体"/>
          <w:color w:val="000000"/>
          <w:sz w:val="32"/>
          <w:szCs w:val="32"/>
        </w:rPr>
        <w:t>二、</w:t>
      </w:r>
      <w:r>
        <w:rPr>
          <w:rFonts w:hint="eastAsia" w:ascii="黑体" w:eastAsia="黑体"/>
          <w:color w:val="000000"/>
          <w:sz w:val="32"/>
          <w:szCs w:val="32"/>
        </w:rPr>
        <w:t>收</w:t>
      </w:r>
      <w:r>
        <w:rPr>
          <w:rStyle w:val="25"/>
          <w:rFonts w:hint="eastAsia" w:ascii="黑体" w:eastAsia="黑体"/>
          <w:b w:val="0"/>
        </w:rPr>
        <w:t>入决算情况说明</w:t>
      </w:r>
      <w:bookmarkEnd w:id="53"/>
      <w:bookmarkEnd w:id="54"/>
      <w:bookmarkEnd w:id="55"/>
      <w:bookmarkEnd w:id="56"/>
    </w:p>
    <w:p>
      <w:pPr>
        <w:spacing w:line="600" w:lineRule="exact"/>
        <w:ind w:firstLine="640" w:firstLineChars="200"/>
        <w:rPr>
          <w:rFonts w:hint="eastAsia"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年本年收入合计</w:t>
      </w:r>
      <w:r>
        <w:rPr>
          <w:rFonts w:ascii="仿宋" w:eastAsia="仿宋"/>
          <w:color w:val="000000"/>
          <w:sz w:val="32"/>
          <w:szCs w:val="32"/>
        </w:rPr>
        <w:t>77.84</w:t>
      </w:r>
      <w:r>
        <w:rPr>
          <w:rFonts w:hint="eastAsia" w:ascii="仿宋" w:eastAsia="仿宋"/>
          <w:color w:val="000000"/>
          <w:sz w:val="32"/>
          <w:szCs w:val="32"/>
        </w:rPr>
        <w:t>万元，其中：一般公共预算财政拨款收入</w:t>
      </w:r>
      <w:r>
        <w:rPr>
          <w:rFonts w:ascii="仿宋" w:eastAsia="仿宋"/>
          <w:color w:val="000000"/>
          <w:sz w:val="32"/>
          <w:szCs w:val="32"/>
        </w:rPr>
        <w:t>77.84</w:t>
      </w:r>
      <w:r>
        <w:rPr>
          <w:rFonts w:hint="eastAsia" w:ascii="仿宋" w:eastAsia="仿宋"/>
          <w:color w:val="000000"/>
          <w:sz w:val="32"/>
          <w:szCs w:val="32"/>
        </w:rPr>
        <w:t>万元，占</w:t>
      </w:r>
      <w:r>
        <w:rPr>
          <w:rFonts w:ascii="仿宋" w:eastAsia="仿宋"/>
          <w:color w:val="000000"/>
          <w:sz w:val="32"/>
          <w:szCs w:val="32"/>
        </w:rPr>
        <w:t>100%</w:t>
      </w:r>
      <w:r>
        <w:rPr>
          <w:rFonts w:hint="eastAsia" w:ascii="仿宋" w:eastAsia="仿宋"/>
          <w:color w:val="000000"/>
          <w:sz w:val="32"/>
          <w:szCs w:val="32"/>
        </w:rPr>
        <w:t>；政府性基金预算财政拨款收入</w:t>
      </w:r>
      <w:r>
        <w:rPr>
          <w:rFonts w:ascii="仿宋" w:eastAsia="仿宋"/>
          <w:color w:val="000000"/>
          <w:sz w:val="32"/>
          <w:szCs w:val="32"/>
        </w:rPr>
        <w:t>0</w:t>
      </w:r>
      <w:r>
        <w:rPr>
          <w:rFonts w:hint="eastAsia" w:ascii="仿宋" w:eastAsia="仿宋"/>
          <w:color w:val="000000"/>
          <w:sz w:val="32"/>
          <w:szCs w:val="32"/>
        </w:rPr>
        <w:t>万元；上级补助收入0万元；事业收入0万元；经营收入0万元；附属单位上缴收入0万元；其他收入0万元。</w:t>
      </w:r>
    </w:p>
    <w:p>
      <w:pPr>
        <w:spacing w:line="600" w:lineRule="exact"/>
        <w:ind w:firstLine="640" w:firstLineChars="200"/>
        <w:rPr>
          <w:rFonts w:hint="eastAsia" w:ascii="仿宋" w:eastAsia="仿宋"/>
          <w:color w:val="000000"/>
          <w:sz w:val="32"/>
          <w:szCs w:val="32"/>
        </w:rPr>
      </w:pPr>
      <w:r>
        <w:rPr>
          <w:rFonts w:hint="eastAsia" w:asci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390525</wp:posOffset>
            </wp:positionH>
            <wp:positionV relativeFrom="paragraph">
              <wp:posOffset>237490</wp:posOffset>
            </wp:positionV>
            <wp:extent cx="4594225" cy="2400935"/>
            <wp:effectExtent l="0" t="0" r="0" b="0"/>
            <wp:wrapNone/>
            <wp:docPr id="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left="0"/>
      </w:pPr>
    </w:p>
    <w:p>
      <w:pPr>
        <w:spacing w:line="600" w:lineRule="exact"/>
        <w:ind w:left="0"/>
      </w:pPr>
    </w:p>
    <w:p>
      <w:pPr>
        <w:spacing w:line="600" w:lineRule="exact"/>
        <w:ind w:left="0"/>
      </w:pPr>
    </w:p>
    <w:p>
      <w:pPr>
        <w:spacing w:line="600" w:lineRule="exact"/>
        <w:ind w:left="0"/>
      </w:pPr>
    </w:p>
    <w:p>
      <w:pPr>
        <w:spacing w:line="600" w:lineRule="exact"/>
        <w:ind w:left="0"/>
      </w:pPr>
    </w:p>
    <w:p>
      <w:pPr>
        <w:spacing w:line="600" w:lineRule="exact"/>
        <w:ind w:left="0"/>
      </w:pPr>
    </w:p>
    <w:p>
      <w:pPr>
        <w:pStyle w:val="30"/>
        <w:spacing w:line="600" w:lineRule="exact"/>
        <w:ind w:firstLine="640" w:firstLineChars="200"/>
        <w:outlineLvl w:val="1"/>
        <w:rPr>
          <w:rStyle w:val="25"/>
          <w:rFonts w:ascii="黑体" w:eastAsia="黑体"/>
          <w:b w:val="0"/>
        </w:rPr>
      </w:pPr>
      <w:bookmarkStart w:id="57" w:name="_Toc3139"/>
      <w:bookmarkStart w:id="58" w:name="_Toc15396605"/>
      <w:bookmarkStart w:id="59" w:name="_Toc79163612"/>
      <w:bookmarkStart w:id="60" w:name="_Toc15377207"/>
      <w:r>
        <w:rPr>
          <w:rFonts w:ascii="黑体" w:eastAsia="黑体"/>
          <w:color w:val="000000"/>
          <w:sz w:val="32"/>
          <w:szCs w:val="32"/>
        </w:rPr>
        <w:t>三、</w:t>
      </w:r>
      <w:r>
        <w:rPr>
          <w:rFonts w:hint="eastAsia" w:ascii="黑体" w:eastAsia="黑体"/>
          <w:color w:val="000000"/>
          <w:sz w:val="32"/>
          <w:szCs w:val="32"/>
        </w:rPr>
        <w:t>支</w:t>
      </w:r>
      <w:r>
        <w:rPr>
          <w:rStyle w:val="25"/>
          <w:rFonts w:hint="eastAsia" w:ascii="黑体" w:eastAsia="黑体"/>
          <w:b w:val="0"/>
        </w:rPr>
        <w:t>出决算情况说明</w:t>
      </w:r>
      <w:bookmarkEnd w:id="57"/>
      <w:bookmarkEnd w:id="58"/>
      <w:bookmarkEnd w:id="59"/>
      <w:bookmarkEnd w:id="60"/>
    </w:p>
    <w:p>
      <w:pPr>
        <w:spacing w:line="600" w:lineRule="exact"/>
        <w:ind w:firstLine="640" w:firstLineChars="200"/>
        <w:rPr>
          <w:rFonts w:hint="eastAsia"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年本年支出合计</w:t>
      </w:r>
      <w:r>
        <w:rPr>
          <w:rFonts w:ascii="仿宋_GB2312" w:eastAsia="仿宋_GB2312"/>
          <w:sz w:val="32"/>
          <w:szCs w:val="32"/>
        </w:rPr>
        <w:t>77.84</w:t>
      </w:r>
      <w:r>
        <w:rPr>
          <w:rFonts w:hint="eastAsia" w:ascii="仿宋_GB2312" w:eastAsia="仿宋_GB2312"/>
          <w:sz w:val="32"/>
          <w:szCs w:val="32"/>
        </w:rPr>
        <w:t>万元，其中：基本支出</w:t>
      </w:r>
      <w:r>
        <w:rPr>
          <w:rFonts w:ascii="仿宋" w:eastAsia="仿宋"/>
          <w:color w:val="000000"/>
          <w:sz w:val="32"/>
          <w:szCs w:val="32"/>
        </w:rPr>
        <w:t>77.84</w:t>
      </w:r>
      <w:r>
        <w:rPr>
          <w:rFonts w:hint="eastAsia" w:ascii="仿宋_GB2312" w:eastAsia="仿宋_GB2312"/>
          <w:sz w:val="32"/>
          <w:szCs w:val="32"/>
        </w:rPr>
        <w:t>万元，占</w:t>
      </w:r>
      <w:r>
        <w:rPr>
          <w:rFonts w:ascii="仿宋_GB2312" w:eastAsia="仿宋_GB2312"/>
          <w:sz w:val="32"/>
          <w:szCs w:val="32"/>
        </w:rPr>
        <w:t>100%</w:t>
      </w:r>
      <w:r>
        <w:rPr>
          <w:rFonts w:hint="eastAsia" w:ascii="仿宋_GB2312" w:eastAsia="仿宋_GB2312"/>
          <w:sz w:val="32"/>
          <w:szCs w:val="32"/>
        </w:rPr>
        <w:t>；项目支出</w:t>
      </w:r>
      <w:r>
        <w:rPr>
          <w:rFonts w:ascii="仿宋_GB2312" w:eastAsia="仿宋_GB2312"/>
          <w:sz w:val="32"/>
          <w:szCs w:val="32"/>
        </w:rPr>
        <w:t>0</w:t>
      </w:r>
      <w:r>
        <w:rPr>
          <w:rFonts w:hint="eastAsia" w:ascii="仿宋_GB2312" w:eastAsia="仿宋_GB2312"/>
          <w:sz w:val="32"/>
          <w:szCs w:val="32"/>
        </w:rPr>
        <w:t>万元；上缴上级支出0万元；经营支出0万元；对附属单位补助支出0万元。</w:t>
      </w:r>
    </w:p>
    <w:p>
      <w:pPr>
        <w:spacing w:line="600" w:lineRule="exact"/>
        <w:ind w:firstLine="640" w:firstLineChars="200"/>
        <w:rPr>
          <w:rFonts w:ascii="仿宋_GB2312" w:eastAsia="仿宋_GB2312"/>
          <w:sz w:val="32"/>
          <w:szCs w:val="32"/>
        </w:rPr>
      </w:pPr>
      <w:r>
        <w:rPr>
          <w:rFonts w:hint="eastAsia" w:asci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428625</wp:posOffset>
            </wp:positionH>
            <wp:positionV relativeFrom="paragraph">
              <wp:posOffset>276225</wp:posOffset>
            </wp:positionV>
            <wp:extent cx="4594225" cy="2400935"/>
            <wp:effectExtent l="0" t="0" r="0" b="0"/>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640" w:firstLineChars="200"/>
        <w:outlineLvl w:val="1"/>
        <w:rPr>
          <w:rStyle w:val="25"/>
          <w:rFonts w:ascii="黑体" w:eastAsia="黑体"/>
          <w:b w:val="0"/>
        </w:rPr>
      </w:pPr>
      <w:bookmarkStart w:id="61" w:name="_Toc15396606"/>
      <w:bookmarkStart w:id="62" w:name="_Toc15377208"/>
      <w:bookmarkStart w:id="63" w:name="_Toc79163613"/>
      <w:bookmarkStart w:id="64" w:name="_Toc9923"/>
      <w:r>
        <w:rPr>
          <w:rFonts w:hint="eastAsia" w:ascii="黑体" w:eastAsia="黑体"/>
          <w:color w:val="000000"/>
          <w:sz w:val="32"/>
          <w:szCs w:val="32"/>
        </w:rPr>
        <w:t>四、财</w:t>
      </w:r>
      <w:r>
        <w:rPr>
          <w:rStyle w:val="25"/>
          <w:rFonts w:hint="eastAsia" w:ascii="黑体" w:eastAsia="黑体"/>
          <w:b w:val="0"/>
        </w:rPr>
        <w:t>政拨款收入支出决算总体情况说明</w:t>
      </w:r>
      <w:bookmarkEnd w:id="61"/>
      <w:bookmarkEnd w:id="62"/>
      <w:bookmarkEnd w:id="63"/>
      <w:bookmarkEnd w:id="64"/>
    </w:p>
    <w:p>
      <w:pPr>
        <w:spacing w:line="594" w:lineRule="exact"/>
        <w:ind w:firstLine="640" w:firstLineChars="200"/>
        <w:outlineLvl w:val="1"/>
        <w:rPr>
          <w:rFonts w:hint="eastAsia" w:ascii="仿宋_GB2312" w:eastAsia="仿宋_GB2312"/>
          <w:color w:val="000000"/>
          <w:sz w:val="32"/>
          <w:szCs w:val="32"/>
        </w:rPr>
      </w:pPr>
      <w:bookmarkStart w:id="65" w:name="_Toc9976"/>
      <w:bookmarkStart w:id="66" w:name="_Toc20711"/>
      <w:bookmarkStart w:id="67" w:name="_Toc28699"/>
      <w:bookmarkStart w:id="68" w:name="_Toc19974"/>
      <w:r>
        <w:rPr>
          <w:rFonts w:hint="eastAsia" w:ascii="仿宋_GB2312" w:eastAsia="仿宋_GB2312"/>
          <w:color w:val="000000"/>
          <w:sz w:val="32"/>
          <w:szCs w:val="32"/>
        </w:rPr>
        <w:t>202</w:t>
      </w:r>
      <w:r>
        <w:rPr>
          <w:rFonts w:ascii="仿宋_GB2312" w:eastAsia="仿宋_GB2312"/>
          <w:color w:val="000000"/>
          <w:sz w:val="32"/>
          <w:szCs w:val="32"/>
        </w:rPr>
        <w:t>1</w:t>
      </w:r>
      <w:r>
        <w:rPr>
          <w:rFonts w:hint="eastAsia" w:ascii="仿宋_GB2312" w:eastAsia="仿宋_GB2312"/>
          <w:color w:val="000000"/>
          <w:sz w:val="32"/>
          <w:szCs w:val="32"/>
        </w:rPr>
        <w:t>年财政拨款收入合计</w:t>
      </w:r>
      <w:bookmarkEnd w:id="65"/>
      <w:bookmarkEnd w:id="66"/>
      <w:bookmarkEnd w:id="67"/>
      <w:r>
        <w:rPr>
          <w:rFonts w:ascii="仿宋_GB2312" w:eastAsia="仿宋_GB2312"/>
          <w:color w:val="000000"/>
          <w:sz w:val="32"/>
          <w:szCs w:val="32"/>
        </w:rPr>
        <w:t>77.84</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与20</w:t>
      </w:r>
      <w:r>
        <w:rPr>
          <w:rFonts w:ascii="仿宋_GB2312" w:eastAsia="仿宋_GB2312"/>
          <w:color w:val="000000"/>
          <w:sz w:val="32"/>
          <w:szCs w:val="32"/>
        </w:rPr>
        <w:t>20</w:t>
      </w:r>
      <w:r>
        <w:rPr>
          <w:rFonts w:hint="eastAsia" w:ascii="仿宋_GB2312" w:eastAsia="仿宋_GB2312"/>
          <w:color w:val="000000"/>
          <w:sz w:val="32"/>
          <w:szCs w:val="32"/>
        </w:rPr>
        <w:t>年相比</w:t>
      </w:r>
      <w:r>
        <w:rPr>
          <w:rFonts w:ascii="仿宋_GB2312" w:eastAsia="仿宋_GB2312"/>
          <w:color w:val="000000"/>
          <w:sz w:val="32"/>
          <w:szCs w:val="32"/>
        </w:rPr>
        <w:t>上升17.5</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ascii="仿宋_GB2312" w:eastAsia="仿宋_GB2312"/>
          <w:color w:val="000000"/>
          <w:sz w:val="32"/>
          <w:szCs w:val="32"/>
          <w:lang w:val="en-US" w:eastAsia="zh-CN"/>
        </w:rPr>
        <w:t>29</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主要原因是</w:t>
      </w:r>
      <w:r>
        <w:rPr>
          <w:rFonts w:ascii="仿宋_GB2312" w:eastAsia="仿宋_GB2312"/>
          <w:color w:val="000000"/>
          <w:sz w:val="32"/>
          <w:szCs w:val="32"/>
        </w:rPr>
        <w:t>事业人员增加</w:t>
      </w:r>
      <w:r>
        <w:rPr>
          <w:rFonts w:hint="eastAsia" w:ascii="仿宋_GB2312" w:eastAsia="仿宋_GB2312"/>
          <w:color w:val="000000"/>
          <w:sz w:val="32"/>
          <w:szCs w:val="32"/>
        </w:rPr>
        <w:t>。</w:t>
      </w:r>
      <w:bookmarkEnd w:id="68"/>
    </w:p>
    <w:p>
      <w:pPr>
        <w:spacing w:line="594" w:lineRule="exact"/>
        <w:ind w:firstLine="640" w:firstLineChars="200"/>
        <w:outlineLvl w:val="1"/>
        <w:rPr>
          <w:rFonts w:ascii="仿宋_GB2312" w:eastAsia="仿宋_GB2312"/>
          <w:color w:val="000000"/>
          <w:sz w:val="32"/>
          <w:szCs w:val="32"/>
        </w:rPr>
      </w:pPr>
    </w:p>
    <w:p>
      <w:pPr>
        <w:spacing w:line="594" w:lineRule="exact"/>
        <w:ind w:firstLine="420" w:firstLineChars="200"/>
        <w:outlineLvl w:val="1"/>
        <w:rPr>
          <w:rFonts w:hint="eastAsia" w:ascii="仿宋_GB2312" w:eastAsia="仿宋_GB2312"/>
          <w:color w:val="000000"/>
          <w:sz w:val="32"/>
          <w:szCs w:val="32"/>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416560</wp:posOffset>
            </wp:positionH>
            <wp:positionV relativeFrom="paragraph">
              <wp:posOffset>39370</wp:posOffset>
            </wp:positionV>
            <wp:extent cx="4654550" cy="2837180"/>
            <wp:effectExtent l="0" t="0" r="0" b="0"/>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594" w:lineRule="exact"/>
        <w:ind w:firstLine="640" w:firstLineChars="200"/>
        <w:outlineLvl w:val="1"/>
        <w:rPr>
          <w:rFonts w:hint="eastAsia" w:ascii="仿宋_GB2312" w:eastAsia="仿宋_GB2312"/>
          <w:color w:val="000000"/>
          <w:sz w:val="32"/>
          <w:szCs w:val="32"/>
        </w:rPr>
      </w:pPr>
    </w:p>
    <w:p>
      <w:pPr>
        <w:spacing w:line="594" w:lineRule="exact"/>
        <w:ind w:firstLine="640" w:firstLineChars="200"/>
        <w:outlineLvl w:val="1"/>
        <w:rPr>
          <w:rFonts w:hint="eastAsia" w:ascii="仿宋_GB2312" w:eastAsia="仿宋_GB2312"/>
          <w:color w:val="000000"/>
          <w:sz w:val="32"/>
          <w:szCs w:val="32"/>
        </w:rPr>
      </w:pPr>
    </w:p>
    <w:p>
      <w:pPr>
        <w:spacing w:line="594" w:lineRule="exact"/>
        <w:ind w:firstLine="640" w:firstLineChars="200"/>
        <w:outlineLvl w:val="1"/>
        <w:rPr>
          <w:rFonts w:hint="eastAsia" w:ascii="仿宋_GB2312" w:eastAsia="仿宋_GB2312"/>
          <w:color w:val="000000"/>
          <w:sz w:val="32"/>
          <w:szCs w:val="32"/>
        </w:rPr>
      </w:pPr>
    </w:p>
    <w:p>
      <w:pPr>
        <w:spacing w:line="594" w:lineRule="exact"/>
        <w:ind w:firstLine="640" w:firstLineChars="200"/>
        <w:outlineLvl w:val="1"/>
        <w:rPr>
          <w:rFonts w:hint="eastAsia" w:ascii="仿宋_GB2312" w:eastAsia="仿宋_GB2312"/>
          <w:color w:val="000000"/>
          <w:sz w:val="32"/>
          <w:szCs w:val="32"/>
        </w:rPr>
      </w:pPr>
    </w:p>
    <w:p>
      <w:pPr>
        <w:spacing w:line="594" w:lineRule="exact"/>
        <w:ind w:firstLine="640" w:firstLineChars="200"/>
        <w:outlineLvl w:val="1"/>
        <w:rPr>
          <w:rFonts w:hint="eastAsia" w:ascii="仿宋_GB2312" w:eastAsia="仿宋_GB2312"/>
          <w:color w:val="000000"/>
          <w:sz w:val="32"/>
          <w:szCs w:val="32"/>
        </w:rPr>
      </w:pPr>
    </w:p>
    <w:p>
      <w:pPr>
        <w:spacing w:line="594" w:lineRule="exact"/>
        <w:ind w:firstLine="640" w:firstLineChars="200"/>
        <w:outlineLvl w:val="1"/>
        <w:rPr>
          <w:rFonts w:hint="eastAsia" w:ascii="仿宋_GB2312" w:eastAsia="仿宋_GB2312"/>
          <w:color w:val="000000"/>
          <w:sz w:val="32"/>
          <w:szCs w:val="32"/>
        </w:rPr>
      </w:pPr>
    </w:p>
    <w:p>
      <w:pPr>
        <w:spacing w:line="594" w:lineRule="exact"/>
        <w:ind w:firstLine="420" w:firstLineChars="200"/>
        <w:outlineLvl w:val="1"/>
      </w:pPr>
    </w:p>
    <w:p>
      <w:pPr>
        <w:spacing w:line="594" w:lineRule="exact"/>
        <w:ind w:firstLine="640" w:firstLineChars="200"/>
        <w:outlineLvl w:val="1"/>
        <w:rPr>
          <w:rFonts w:hint="eastAsia" w:ascii="仿宋_GB2312" w:eastAsia="仿宋_GB2312"/>
          <w:color w:val="000000"/>
          <w:sz w:val="32"/>
          <w:szCs w:val="32"/>
        </w:rPr>
      </w:pPr>
      <w:bookmarkStart w:id="69" w:name="_Toc22785"/>
      <w:bookmarkStart w:id="70" w:name="_Toc16443"/>
      <w:bookmarkStart w:id="71" w:name="_Toc19996"/>
      <w:bookmarkStart w:id="72" w:name="_Toc23411"/>
      <w:bookmarkStart w:id="73" w:name="_Toc15377209"/>
      <w:bookmarkStart w:id="74" w:name="_Toc15396607"/>
      <w:bookmarkStart w:id="75" w:name="_Toc79163614"/>
      <w:r>
        <w:rPr>
          <w:rFonts w:hint="eastAsia" w:ascii="仿宋_GB2312" w:eastAsia="仿宋_GB2312"/>
          <w:color w:val="000000"/>
          <w:sz w:val="32"/>
          <w:szCs w:val="32"/>
        </w:rPr>
        <w:t>202</w:t>
      </w:r>
      <w:r>
        <w:rPr>
          <w:rFonts w:ascii="仿宋_GB2312" w:eastAsia="仿宋_GB2312"/>
          <w:color w:val="000000"/>
          <w:sz w:val="32"/>
          <w:szCs w:val="32"/>
        </w:rPr>
        <w:t>1</w:t>
      </w:r>
      <w:r>
        <w:rPr>
          <w:rFonts w:hint="eastAsia" w:ascii="仿宋_GB2312" w:eastAsia="仿宋_GB2312"/>
          <w:color w:val="000000"/>
          <w:sz w:val="32"/>
          <w:szCs w:val="32"/>
        </w:rPr>
        <w:t>年财政拨款支出合计</w:t>
      </w:r>
      <w:bookmarkEnd w:id="69"/>
      <w:bookmarkEnd w:id="70"/>
      <w:bookmarkEnd w:id="71"/>
      <w:r>
        <w:rPr>
          <w:rFonts w:ascii="仿宋_GB2312" w:eastAsia="仿宋_GB2312"/>
          <w:color w:val="000000"/>
          <w:sz w:val="32"/>
          <w:szCs w:val="32"/>
        </w:rPr>
        <w:t>77.84</w:t>
      </w:r>
      <w:r>
        <w:rPr>
          <w:rFonts w:hint="eastAsia" w:ascii="仿宋_GB2312" w:eastAsia="仿宋_GB2312"/>
          <w:color w:val="000000"/>
          <w:sz w:val="32"/>
          <w:szCs w:val="32"/>
        </w:rPr>
        <w:t>万元，与20</w:t>
      </w:r>
      <w:r>
        <w:rPr>
          <w:rFonts w:ascii="仿宋_GB2312" w:eastAsia="仿宋_GB2312"/>
          <w:color w:val="000000"/>
          <w:sz w:val="32"/>
          <w:szCs w:val="32"/>
        </w:rPr>
        <w:t>20</w:t>
      </w:r>
      <w:r>
        <w:rPr>
          <w:rFonts w:hint="eastAsia" w:ascii="仿宋_GB2312" w:eastAsia="仿宋_GB2312"/>
          <w:color w:val="000000"/>
          <w:sz w:val="32"/>
          <w:szCs w:val="32"/>
        </w:rPr>
        <w:t>年相比</w:t>
      </w:r>
      <w:r>
        <w:rPr>
          <w:rFonts w:ascii="仿宋_GB2312" w:eastAsia="仿宋_GB2312"/>
          <w:color w:val="000000"/>
          <w:sz w:val="32"/>
          <w:szCs w:val="32"/>
        </w:rPr>
        <w:t>上升17.5</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ascii="仿宋_GB2312" w:eastAsia="仿宋_GB2312"/>
          <w:color w:val="000000"/>
          <w:sz w:val="32"/>
          <w:szCs w:val="32"/>
          <w:lang w:val="en-US" w:eastAsia="zh-CN"/>
        </w:rPr>
        <w:t>29</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主要原因是</w:t>
      </w:r>
      <w:r>
        <w:rPr>
          <w:rFonts w:ascii="仿宋_GB2312" w:eastAsia="仿宋_GB2312"/>
          <w:color w:val="000000"/>
          <w:sz w:val="32"/>
          <w:szCs w:val="32"/>
        </w:rPr>
        <w:t>事业人员增加</w:t>
      </w:r>
      <w:r>
        <w:rPr>
          <w:rFonts w:hint="eastAsia" w:ascii="仿宋_GB2312" w:eastAsia="仿宋_GB2312"/>
          <w:color w:val="000000"/>
          <w:sz w:val="32"/>
          <w:szCs w:val="32"/>
        </w:rPr>
        <w:t>。</w:t>
      </w:r>
      <w:bookmarkEnd w:id="72"/>
    </w:p>
    <w:p>
      <w:pPr>
        <w:spacing w:line="594" w:lineRule="exact"/>
        <w:ind w:firstLine="640" w:firstLineChars="200"/>
        <w:outlineLvl w:val="1"/>
        <w:rPr>
          <w:rFonts w:hint="eastAsia" w:ascii="仿宋_GB2312" w:eastAsia="仿宋_GB2312"/>
          <w:color w:val="000000"/>
          <w:sz w:val="32"/>
          <w:szCs w:val="32"/>
        </w:rPr>
      </w:pPr>
    </w:p>
    <w:p>
      <w:pPr>
        <w:spacing w:line="594" w:lineRule="exact"/>
        <w:ind w:firstLine="420" w:firstLineChars="200"/>
        <w:outlineLvl w:val="1"/>
        <w:rPr>
          <w:rFonts w:hint="eastAsia" w:ascii="仿宋_GB2312" w:eastAsia="仿宋_GB2312"/>
          <w:color w:val="000000"/>
          <w:sz w:val="32"/>
          <w:szCs w:val="32"/>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311785</wp:posOffset>
            </wp:positionH>
            <wp:positionV relativeFrom="paragraph">
              <wp:posOffset>17145</wp:posOffset>
            </wp:positionV>
            <wp:extent cx="4790440" cy="2852420"/>
            <wp:effectExtent l="0" t="0" r="0" b="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594" w:lineRule="exact"/>
        <w:ind w:firstLine="640" w:firstLineChars="200"/>
        <w:outlineLvl w:val="1"/>
        <w:rPr>
          <w:rFonts w:hint="eastAsia" w:ascii="仿宋_GB2312" w:eastAsia="仿宋_GB2312"/>
          <w:color w:val="000000"/>
          <w:sz w:val="32"/>
          <w:szCs w:val="32"/>
        </w:rPr>
      </w:pPr>
    </w:p>
    <w:p>
      <w:pPr>
        <w:spacing w:line="594" w:lineRule="exact"/>
        <w:ind w:firstLine="640" w:firstLineChars="200"/>
        <w:outlineLvl w:val="1"/>
        <w:rPr>
          <w:rFonts w:hint="eastAsia" w:ascii="仿宋_GB2312" w:eastAsia="仿宋_GB2312"/>
          <w:color w:val="000000"/>
          <w:sz w:val="32"/>
          <w:szCs w:val="32"/>
        </w:rPr>
      </w:pPr>
    </w:p>
    <w:p>
      <w:pPr>
        <w:spacing w:line="594" w:lineRule="exact"/>
        <w:ind w:firstLine="640" w:firstLineChars="200"/>
        <w:outlineLvl w:val="1"/>
        <w:rPr>
          <w:rFonts w:hint="eastAsia" w:ascii="仿宋_GB2312" w:eastAsia="仿宋_GB2312"/>
          <w:color w:val="000000"/>
          <w:sz w:val="32"/>
          <w:szCs w:val="32"/>
        </w:rPr>
      </w:pPr>
    </w:p>
    <w:p>
      <w:pPr>
        <w:spacing w:line="594" w:lineRule="exact"/>
        <w:ind w:firstLine="420" w:firstLineChars="200"/>
        <w:outlineLvl w:val="1"/>
      </w:pPr>
    </w:p>
    <w:p>
      <w:pPr>
        <w:spacing w:line="594" w:lineRule="exact"/>
        <w:ind w:firstLine="420" w:firstLineChars="200"/>
        <w:outlineLvl w:val="1"/>
      </w:pPr>
    </w:p>
    <w:p>
      <w:pPr>
        <w:spacing w:line="594" w:lineRule="exact"/>
        <w:outlineLvl w:val="1"/>
      </w:pPr>
    </w:p>
    <w:p>
      <w:pPr>
        <w:spacing w:line="600" w:lineRule="exact"/>
        <w:ind w:firstLine="640" w:firstLineChars="200"/>
        <w:outlineLvl w:val="1"/>
        <w:rPr>
          <w:rFonts w:ascii="黑体" w:eastAsia="黑体"/>
          <w:color w:val="000000"/>
          <w:sz w:val="32"/>
          <w:szCs w:val="32"/>
        </w:rPr>
      </w:pPr>
      <w:bookmarkStart w:id="76" w:name="_Toc20238"/>
    </w:p>
    <w:p>
      <w:pPr>
        <w:spacing w:line="600" w:lineRule="exact"/>
        <w:ind w:firstLine="640" w:firstLineChars="200"/>
        <w:outlineLvl w:val="1"/>
        <w:rPr>
          <w:rStyle w:val="25"/>
          <w:rFonts w:ascii="黑体" w:eastAsia="黑体"/>
          <w:b w:val="0"/>
        </w:rPr>
      </w:pPr>
      <w:r>
        <w:rPr>
          <w:rFonts w:hint="eastAsia" w:ascii="黑体" w:eastAsia="黑体"/>
          <w:color w:val="000000"/>
          <w:sz w:val="32"/>
          <w:szCs w:val="32"/>
        </w:rPr>
        <w:t>五、</w:t>
      </w:r>
      <w:r>
        <w:rPr>
          <w:rFonts w:hint="eastAsia" w:ascii="黑体" w:eastAsia="黑体"/>
          <w:b/>
          <w:color w:val="000000"/>
          <w:sz w:val="32"/>
          <w:szCs w:val="32"/>
        </w:rPr>
        <w:t>一</w:t>
      </w:r>
      <w:r>
        <w:rPr>
          <w:rStyle w:val="25"/>
          <w:rFonts w:hint="eastAsia" w:ascii="黑体" w:eastAsia="黑体"/>
          <w:b w:val="0"/>
        </w:rPr>
        <w:t>般公共预算财政拨款支出决算情况说明</w:t>
      </w:r>
      <w:bookmarkEnd w:id="73"/>
      <w:bookmarkEnd w:id="74"/>
      <w:bookmarkEnd w:id="75"/>
      <w:bookmarkEnd w:id="76"/>
    </w:p>
    <w:p>
      <w:pPr>
        <w:spacing w:line="600" w:lineRule="exact"/>
        <w:ind w:firstLine="642" w:firstLineChars="200"/>
        <w:outlineLvl w:val="2"/>
        <w:rPr>
          <w:rFonts w:ascii="仿宋" w:eastAsia="仿宋"/>
          <w:b/>
          <w:color w:val="000000"/>
          <w:sz w:val="32"/>
          <w:szCs w:val="32"/>
        </w:rPr>
      </w:pPr>
      <w:bookmarkStart w:id="77" w:name="_Toc15377210"/>
      <w:bookmarkStart w:id="78" w:name="_Toc79163615"/>
      <w:bookmarkStart w:id="79" w:name="_Toc27168"/>
      <w:r>
        <w:rPr>
          <w:rFonts w:hint="eastAsia" w:ascii="仿宋" w:eastAsia="仿宋"/>
          <w:b/>
          <w:color w:val="000000"/>
          <w:sz w:val="32"/>
          <w:szCs w:val="32"/>
        </w:rPr>
        <w:t>（一）一般公共预算财政拨款支出决算总体情况</w:t>
      </w:r>
      <w:bookmarkEnd w:id="77"/>
      <w:bookmarkEnd w:id="78"/>
      <w:bookmarkEnd w:id="79"/>
    </w:p>
    <w:p>
      <w:pPr>
        <w:spacing w:line="594" w:lineRule="exact"/>
        <w:ind w:firstLine="640" w:firstLineChars="200"/>
        <w:outlineLvl w:val="1"/>
        <w:rPr>
          <w:rFonts w:ascii="仿宋_GB2312" w:eastAsia="仿宋_GB2312"/>
          <w:color w:val="000000"/>
          <w:sz w:val="32"/>
          <w:szCs w:val="32"/>
        </w:rPr>
      </w:pPr>
      <w:bookmarkStart w:id="80" w:name="_Toc1302"/>
      <w:r>
        <w:rPr>
          <w:rFonts w:ascii="仿宋" w:eastAsia="仿宋"/>
          <w:color w:val="000000"/>
          <w:sz w:val="32"/>
          <w:szCs w:val="32"/>
        </w:rPr>
        <w:t>2021</w:t>
      </w:r>
      <w:r>
        <w:rPr>
          <w:rFonts w:hint="eastAsia" w:ascii="仿宋" w:eastAsia="仿宋"/>
          <w:color w:val="000000"/>
          <w:sz w:val="32"/>
          <w:szCs w:val="32"/>
        </w:rPr>
        <w:t>年一般公共预算财政拨款支出</w:t>
      </w:r>
      <w:r>
        <w:rPr>
          <w:rFonts w:ascii="仿宋_GB2312" w:eastAsia="仿宋_GB2312"/>
          <w:color w:val="000000"/>
          <w:sz w:val="32"/>
          <w:szCs w:val="32"/>
        </w:rPr>
        <w:t>77.84</w:t>
      </w:r>
      <w:r>
        <w:rPr>
          <w:rFonts w:hint="eastAsia" w:ascii="仿宋_GB2312" w:eastAsia="仿宋_GB2312"/>
          <w:color w:val="000000"/>
          <w:sz w:val="32"/>
          <w:szCs w:val="32"/>
        </w:rPr>
        <w:t>万元，与20</w:t>
      </w:r>
      <w:r>
        <w:rPr>
          <w:rFonts w:ascii="仿宋_GB2312" w:eastAsia="仿宋_GB2312"/>
          <w:color w:val="000000"/>
          <w:sz w:val="32"/>
          <w:szCs w:val="32"/>
        </w:rPr>
        <w:t>20</w:t>
      </w:r>
      <w:r>
        <w:rPr>
          <w:rFonts w:hint="eastAsia" w:ascii="仿宋_GB2312" w:eastAsia="仿宋_GB2312"/>
          <w:color w:val="000000"/>
          <w:sz w:val="32"/>
          <w:szCs w:val="32"/>
        </w:rPr>
        <w:t>年相比</w:t>
      </w:r>
      <w:r>
        <w:rPr>
          <w:rFonts w:ascii="仿宋_GB2312" w:eastAsia="仿宋_GB2312"/>
          <w:color w:val="000000"/>
          <w:sz w:val="32"/>
          <w:szCs w:val="32"/>
        </w:rPr>
        <w:t>上升17.5</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ascii="仿宋_GB2312" w:eastAsia="仿宋_GB2312"/>
          <w:color w:val="000000"/>
          <w:sz w:val="32"/>
          <w:szCs w:val="32"/>
          <w:lang w:val="en-US" w:eastAsia="zh-CN"/>
        </w:rPr>
        <w:t>29</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主要原因是</w:t>
      </w:r>
      <w:r>
        <w:rPr>
          <w:rFonts w:ascii="仿宋_GB2312" w:eastAsia="仿宋_GB2312"/>
          <w:color w:val="000000"/>
          <w:sz w:val="32"/>
          <w:szCs w:val="32"/>
        </w:rPr>
        <w:t>事业人员增加</w:t>
      </w:r>
      <w:r>
        <w:rPr>
          <w:rFonts w:hint="eastAsia" w:ascii="仿宋_GB2312" w:eastAsia="仿宋_GB2312"/>
          <w:color w:val="000000"/>
          <w:sz w:val="32"/>
          <w:szCs w:val="32"/>
        </w:rPr>
        <w:t>。</w:t>
      </w:r>
      <w:bookmarkEnd w:id="80"/>
      <w:r>
        <w:rPr>
          <w:rFonts w:ascii="仿宋_GB2312" w:eastAsia="仿宋_GB2312"/>
          <w:color w:val="000000"/>
          <w:sz w:val="32"/>
          <w:szCs w:val="32"/>
        </w:rPr>
        <w:t xml:space="preserve"> </w:t>
      </w:r>
    </w:p>
    <w:p>
      <w:pPr>
        <w:spacing w:line="594" w:lineRule="exact"/>
        <w:ind w:firstLine="420" w:firstLineChars="200"/>
        <w:outlineLvl w:val="1"/>
        <w:rPr>
          <w:rFonts w:ascii="仿宋_GB2312" w:eastAsia="仿宋_GB2312"/>
          <w:color w:val="000000"/>
          <w:sz w:val="32"/>
          <w:szCs w:val="32"/>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258445</wp:posOffset>
            </wp:positionH>
            <wp:positionV relativeFrom="paragraph">
              <wp:posOffset>102235</wp:posOffset>
            </wp:positionV>
            <wp:extent cx="4804410" cy="2802255"/>
            <wp:effectExtent l="0" t="0" r="0" b="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600" w:lineRule="exact"/>
        <w:ind w:firstLine="642" w:firstLineChars="200"/>
        <w:outlineLvl w:val="2"/>
        <w:rPr>
          <w:rFonts w:ascii="仿宋" w:eastAsia="仿宋"/>
          <w:b/>
          <w:color w:val="000000"/>
          <w:sz w:val="32"/>
          <w:szCs w:val="32"/>
        </w:rPr>
      </w:pPr>
      <w:bookmarkStart w:id="81" w:name="_Toc15377211"/>
      <w:bookmarkStart w:id="82" w:name="_Toc13800"/>
      <w:bookmarkStart w:id="83" w:name="_Toc79163616"/>
      <w:r>
        <w:rPr>
          <w:rFonts w:hint="eastAsia" w:ascii="仿宋" w:eastAsia="仿宋"/>
          <w:b/>
          <w:color w:val="000000"/>
          <w:sz w:val="32"/>
          <w:szCs w:val="32"/>
        </w:rPr>
        <w:t>（二）一般公共预算财政拨款支出决算结构情况</w:t>
      </w:r>
      <w:bookmarkEnd w:id="81"/>
      <w:bookmarkEnd w:id="82"/>
      <w:bookmarkEnd w:id="83"/>
    </w:p>
    <w:p>
      <w:pPr>
        <w:spacing w:line="600" w:lineRule="exact"/>
        <w:ind w:firstLine="640"/>
        <w:rPr>
          <w:rFonts w:hint="eastAsia"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年一般公共预算财政拨款支出</w:t>
      </w:r>
      <w:r>
        <w:rPr>
          <w:rFonts w:ascii="仿宋" w:eastAsia="仿宋"/>
          <w:color w:val="000000"/>
          <w:sz w:val="32"/>
          <w:szCs w:val="32"/>
        </w:rPr>
        <w:t>77.84</w:t>
      </w:r>
      <w:r>
        <w:rPr>
          <w:rFonts w:hint="eastAsia" w:ascii="仿宋" w:eastAsia="仿宋"/>
          <w:color w:val="000000"/>
          <w:sz w:val="32"/>
          <w:szCs w:val="32"/>
        </w:rPr>
        <w:t>万元，主要用于以下方面</w:t>
      </w:r>
      <w:r>
        <w:rPr>
          <w:rFonts w:ascii="仿宋" w:eastAsia="仿宋"/>
          <w:color w:val="000000"/>
          <w:sz w:val="32"/>
          <w:szCs w:val="32"/>
        </w:rPr>
        <w:t>:</w:t>
      </w:r>
      <w:r>
        <w:rPr>
          <w:rFonts w:hint="eastAsia" w:ascii="仿宋" w:eastAsia="仿宋"/>
          <w:b/>
          <w:color w:val="000000"/>
          <w:sz w:val="32"/>
          <w:szCs w:val="32"/>
        </w:rPr>
        <w:t>一般公共服务（类）</w:t>
      </w:r>
      <w:r>
        <w:rPr>
          <w:rFonts w:hint="eastAsia" w:ascii="仿宋" w:eastAsia="仿宋"/>
          <w:color w:val="000000"/>
          <w:sz w:val="32"/>
          <w:szCs w:val="32"/>
        </w:rPr>
        <w:t>支出</w:t>
      </w:r>
      <w:r>
        <w:rPr>
          <w:rFonts w:ascii="仿宋" w:eastAsia="仿宋"/>
          <w:color w:val="000000"/>
          <w:sz w:val="32"/>
          <w:szCs w:val="32"/>
        </w:rPr>
        <w:t>60.9</w:t>
      </w:r>
      <w:r>
        <w:rPr>
          <w:rFonts w:hint="eastAsia" w:ascii="仿宋" w:eastAsia="仿宋"/>
          <w:color w:val="000000"/>
          <w:sz w:val="32"/>
          <w:szCs w:val="32"/>
        </w:rPr>
        <w:t>万元，占</w:t>
      </w:r>
      <w:r>
        <w:rPr>
          <w:rFonts w:ascii="仿宋" w:eastAsia="仿宋"/>
          <w:color w:val="000000"/>
          <w:sz w:val="32"/>
          <w:szCs w:val="32"/>
        </w:rPr>
        <w:t>78.24%</w:t>
      </w:r>
      <w:r>
        <w:rPr>
          <w:rFonts w:hint="eastAsia" w:ascii="仿宋" w:eastAsia="仿宋"/>
          <w:color w:val="000000"/>
          <w:sz w:val="32"/>
          <w:szCs w:val="32"/>
        </w:rPr>
        <w:t>；</w:t>
      </w:r>
      <w:r>
        <w:rPr>
          <w:rFonts w:hint="eastAsia" w:ascii="仿宋" w:eastAsia="仿宋"/>
          <w:b/>
          <w:color w:val="000000"/>
          <w:sz w:val="32"/>
          <w:szCs w:val="32"/>
        </w:rPr>
        <w:t>社会保障和就业（类）</w:t>
      </w:r>
      <w:r>
        <w:rPr>
          <w:rFonts w:hint="eastAsia" w:ascii="仿宋" w:eastAsia="仿宋"/>
          <w:color w:val="000000"/>
          <w:sz w:val="32"/>
          <w:szCs w:val="32"/>
        </w:rPr>
        <w:t>支出</w:t>
      </w:r>
      <w:r>
        <w:rPr>
          <w:rFonts w:ascii="仿宋" w:eastAsia="仿宋"/>
          <w:color w:val="000000"/>
          <w:sz w:val="32"/>
          <w:szCs w:val="32"/>
        </w:rPr>
        <w:t>7.85</w:t>
      </w:r>
      <w:r>
        <w:rPr>
          <w:rFonts w:hint="eastAsia" w:ascii="仿宋" w:eastAsia="仿宋"/>
          <w:color w:val="000000"/>
          <w:sz w:val="32"/>
          <w:szCs w:val="32"/>
        </w:rPr>
        <w:t>万元，占</w:t>
      </w:r>
      <w:r>
        <w:rPr>
          <w:rFonts w:ascii="仿宋" w:eastAsia="仿宋"/>
          <w:color w:val="000000"/>
          <w:sz w:val="32"/>
          <w:szCs w:val="32"/>
        </w:rPr>
        <w:t>10.08%</w:t>
      </w:r>
      <w:r>
        <w:rPr>
          <w:rFonts w:hint="eastAsia" w:ascii="仿宋" w:eastAsia="仿宋"/>
          <w:color w:val="000000"/>
          <w:sz w:val="32"/>
          <w:szCs w:val="32"/>
        </w:rPr>
        <w:t>；</w:t>
      </w:r>
      <w:r>
        <w:rPr>
          <w:rFonts w:hint="eastAsia" w:ascii="仿宋" w:eastAsia="仿宋"/>
          <w:b/>
          <w:bCs/>
          <w:color w:val="000000"/>
          <w:sz w:val="32"/>
          <w:szCs w:val="32"/>
        </w:rPr>
        <w:t>卫生健康支出</w:t>
      </w:r>
      <w:r>
        <w:rPr>
          <w:rFonts w:ascii="仿宋" w:eastAsia="仿宋"/>
          <w:color w:val="000000"/>
          <w:sz w:val="32"/>
          <w:szCs w:val="32"/>
        </w:rPr>
        <w:t>3.79</w:t>
      </w:r>
      <w:r>
        <w:rPr>
          <w:rFonts w:hint="eastAsia" w:ascii="仿宋" w:eastAsia="仿宋"/>
          <w:color w:val="000000"/>
          <w:sz w:val="32"/>
          <w:szCs w:val="32"/>
        </w:rPr>
        <w:t>万元，占</w:t>
      </w:r>
      <w:r>
        <w:rPr>
          <w:rFonts w:ascii="仿宋" w:eastAsia="仿宋"/>
          <w:color w:val="000000"/>
          <w:sz w:val="32"/>
          <w:szCs w:val="32"/>
        </w:rPr>
        <w:t>4.87%</w:t>
      </w:r>
      <w:r>
        <w:rPr>
          <w:rFonts w:hint="eastAsia" w:ascii="仿宋" w:eastAsia="仿宋"/>
          <w:color w:val="000000"/>
          <w:sz w:val="32"/>
          <w:szCs w:val="32"/>
        </w:rPr>
        <w:t>；</w:t>
      </w:r>
      <w:r>
        <w:rPr>
          <w:rFonts w:hint="eastAsia" w:ascii="仿宋" w:eastAsia="仿宋"/>
          <w:b/>
          <w:color w:val="000000"/>
          <w:sz w:val="32"/>
          <w:szCs w:val="32"/>
        </w:rPr>
        <w:t>住房保障支出</w:t>
      </w:r>
      <w:r>
        <w:rPr>
          <w:rFonts w:ascii="仿宋" w:eastAsia="仿宋"/>
          <w:color w:val="000000"/>
          <w:sz w:val="32"/>
          <w:szCs w:val="32"/>
        </w:rPr>
        <w:t>5.3</w:t>
      </w:r>
      <w:r>
        <w:rPr>
          <w:rFonts w:hint="eastAsia" w:ascii="仿宋" w:eastAsia="仿宋"/>
          <w:color w:val="000000"/>
          <w:sz w:val="32"/>
          <w:szCs w:val="32"/>
        </w:rPr>
        <w:t>万元，占</w:t>
      </w:r>
      <w:r>
        <w:rPr>
          <w:rFonts w:ascii="仿宋" w:eastAsia="仿宋"/>
          <w:color w:val="000000"/>
          <w:sz w:val="32"/>
          <w:szCs w:val="32"/>
        </w:rPr>
        <w:t>6.81%</w:t>
      </w:r>
      <w:r>
        <w:rPr>
          <w:rFonts w:hint="eastAsia" w:ascii="仿宋" w:eastAsia="仿宋"/>
          <w:color w:val="000000"/>
          <w:sz w:val="32"/>
          <w:szCs w:val="32"/>
        </w:rPr>
        <w:t>。</w:t>
      </w:r>
    </w:p>
    <w:p>
      <w:pPr>
        <w:spacing w:line="600" w:lineRule="exact"/>
        <w:ind w:firstLine="640"/>
        <w:rPr>
          <w:rFonts w:hint="eastAsia" w:ascii="仿宋" w:eastAsia="仿宋"/>
          <w:color w:val="000000"/>
          <w:sz w:val="32"/>
          <w:szCs w:val="32"/>
        </w:rPr>
      </w:pPr>
      <w:r>
        <w:rPr>
          <w:rFonts w:hint="eastAsia" w:asci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438150</wp:posOffset>
            </wp:positionH>
            <wp:positionV relativeFrom="paragraph">
              <wp:posOffset>247650</wp:posOffset>
            </wp:positionV>
            <wp:extent cx="4441825" cy="2706370"/>
            <wp:effectExtent l="0" t="0" r="0" b="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rPr>
          <w:rFonts w:hint="eastAsia" w:ascii="仿宋" w:eastAsia="仿宋"/>
          <w:color w:val="000000"/>
          <w:sz w:val="32"/>
          <w:szCs w:val="32"/>
        </w:rPr>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642" w:firstLineChars="200"/>
        <w:outlineLvl w:val="2"/>
        <w:rPr>
          <w:rFonts w:ascii="仿宋" w:eastAsia="仿宋"/>
          <w:b/>
          <w:color w:val="000000"/>
          <w:sz w:val="32"/>
          <w:szCs w:val="32"/>
        </w:rPr>
      </w:pPr>
      <w:bookmarkStart w:id="84" w:name="_Toc15377212"/>
      <w:bookmarkStart w:id="85" w:name="_Toc79163617"/>
      <w:bookmarkStart w:id="86" w:name="_Toc22221"/>
      <w:r>
        <w:rPr>
          <w:rFonts w:hint="eastAsia" w:ascii="仿宋" w:eastAsia="仿宋"/>
          <w:b/>
          <w:color w:val="000000"/>
          <w:sz w:val="32"/>
          <w:szCs w:val="32"/>
        </w:rPr>
        <w:t>（三）一般公共预算财政拨款支出决算具体情况</w:t>
      </w:r>
      <w:bookmarkEnd w:id="84"/>
      <w:bookmarkEnd w:id="85"/>
      <w:bookmarkEnd w:id="86"/>
    </w:p>
    <w:p>
      <w:pPr>
        <w:spacing w:line="594" w:lineRule="exact"/>
        <w:ind w:firstLine="640" w:firstLineChars="200"/>
        <w:outlineLvl w:val="1"/>
        <w:rPr>
          <w:rFonts w:ascii="仿宋_GB2312" w:eastAsia="仿宋_GB2312"/>
          <w:color w:val="000000"/>
          <w:sz w:val="32"/>
          <w:szCs w:val="32"/>
        </w:rPr>
      </w:pPr>
      <w:bookmarkStart w:id="87" w:name="_Toc18594"/>
      <w:bookmarkStart w:id="88" w:name="_Toc19462"/>
      <w:bookmarkStart w:id="89" w:name="_Toc9856"/>
      <w:bookmarkStart w:id="90" w:name="_Toc17804"/>
      <w:bookmarkStart w:id="91" w:name="_Toc51662581"/>
      <w:bookmarkStart w:id="92" w:name="_Toc17391"/>
      <w:bookmarkStart w:id="93" w:name="_Toc51662769"/>
      <w:bookmarkStart w:id="94" w:name="_Toc15396608"/>
      <w:bookmarkStart w:id="95" w:name="_Toc15377214"/>
      <w:bookmarkStart w:id="96" w:name="_Toc79163618"/>
      <w:r>
        <w:rPr>
          <w:rFonts w:ascii="仿宋_GB2312" w:eastAsia="仿宋_GB2312"/>
          <w:color w:val="000000"/>
          <w:sz w:val="32"/>
          <w:szCs w:val="32"/>
        </w:rPr>
        <w:t>20</w:t>
      </w:r>
      <w:r>
        <w:rPr>
          <w:rFonts w:hint="eastAsia" w:ascii="仿宋_GB2312" w:eastAsia="仿宋_GB2312"/>
          <w:color w:val="000000"/>
          <w:sz w:val="32"/>
          <w:szCs w:val="32"/>
        </w:rPr>
        <w:t>2</w:t>
      </w:r>
      <w:r>
        <w:rPr>
          <w:rFonts w:ascii="仿宋_GB2312" w:eastAsia="仿宋_GB2312"/>
          <w:color w:val="000000"/>
          <w:sz w:val="32"/>
          <w:szCs w:val="32"/>
        </w:rPr>
        <w:t>1</w:t>
      </w:r>
      <w:r>
        <w:rPr>
          <w:rFonts w:hint="eastAsia" w:ascii="仿宋_GB2312" w:eastAsia="仿宋_GB2312"/>
          <w:color w:val="000000"/>
          <w:sz w:val="32"/>
          <w:szCs w:val="32"/>
        </w:rPr>
        <w:t>年般公共预算支出决算数为</w:t>
      </w:r>
      <w:r>
        <w:rPr>
          <w:rFonts w:ascii="仿宋_GB2312" w:eastAsia="仿宋_GB2312"/>
          <w:color w:val="000000"/>
          <w:sz w:val="32"/>
          <w:szCs w:val="32"/>
        </w:rPr>
        <w:t>77.84</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。其中：</w:t>
      </w:r>
      <w:bookmarkEnd w:id="87"/>
      <w:bookmarkEnd w:id="88"/>
      <w:bookmarkEnd w:id="89"/>
      <w:bookmarkEnd w:id="90"/>
      <w:bookmarkEnd w:id="91"/>
      <w:bookmarkEnd w:id="92"/>
      <w:bookmarkEnd w:id="93"/>
    </w:p>
    <w:p>
      <w:pPr>
        <w:spacing w:line="594" w:lineRule="exact"/>
        <w:ind w:firstLine="640" w:firstLineChars="200"/>
        <w:outlineLvl w:val="1"/>
        <w:rPr>
          <w:rFonts w:ascii="仿宋_GB2312" w:eastAsia="仿宋_GB2312"/>
          <w:color w:val="000000"/>
          <w:sz w:val="32"/>
          <w:szCs w:val="32"/>
        </w:rPr>
      </w:pPr>
      <w:bookmarkStart w:id="97" w:name="_Toc18267"/>
      <w:bookmarkStart w:id="98" w:name="_Toc16780"/>
      <w:bookmarkStart w:id="99" w:name="_Toc2130"/>
      <w:bookmarkStart w:id="100" w:name="_Toc51662587"/>
      <w:bookmarkStart w:id="101" w:name="_Toc17333"/>
      <w:bookmarkStart w:id="102" w:name="_Toc22910"/>
      <w:bookmarkStart w:id="103" w:name="_Toc51662775"/>
      <w:r>
        <w:rPr>
          <w:rFonts w:ascii="仿宋_GB2312" w:eastAsia="仿宋_GB2312"/>
          <w:color w:val="000000"/>
          <w:sz w:val="32"/>
          <w:szCs w:val="32"/>
        </w:rPr>
        <w:t>1</w:t>
      </w:r>
      <w:r>
        <w:rPr>
          <w:rFonts w:hint="eastAsia" w:ascii="仿宋_GB2312" w:eastAsia="仿宋_GB2312"/>
          <w:color w:val="000000"/>
          <w:sz w:val="32"/>
          <w:szCs w:val="32"/>
        </w:rPr>
        <w:t>.一般公共服务（类）市场监督管理事务（款）事业运行（项）</w:t>
      </w:r>
      <w:r>
        <w:rPr>
          <w:rFonts w:ascii="仿宋_GB2312" w:eastAsia="仿宋_GB2312"/>
          <w:color w:val="000000"/>
          <w:sz w:val="32"/>
          <w:szCs w:val="32"/>
        </w:rPr>
        <w:t xml:space="preserve">: </w:t>
      </w:r>
      <w:r>
        <w:rPr>
          <w:rFonts w:hint="eastAsia" w:ascii="仿宋_GB2312" w:eastAsia="仿宋_GB2312"/>
          <w:color w:val="000000"/>
          <w:sz w:val="32"/>
          <w:szCs w:val="32"/>
        </w:rPr>
        <w:t>支出决算为</w:t>
      </w:r>
      <w:r>
        <w:rPr>
          <w:rFonts w:ascii="仿宋_GB2312" w:eastAsia="仿宋_GB2312"/>
          <w:color w:val="000000"/>
          <w:sz w:val="32"/>
          <w:szCs w:val="32"/>
        </w:rPr>
        <w:t>60.9</w:t>
      </w:r>
      <w:r>
        <w:rPr>
          <w:rFonts w:hint="eastAsia" w:ascii="仿宋_GB2312" w:eastAsia="仿宋_GB2312"/>
          <w:color w:val="000000"/>
          <w:sz w:val="32"/>
          <w:szCs w:val="32"/>
        </w:rPr>
        <w:t>万元，完成预算100</w:t>
      </w:r>
      <w:r>
        <w:rPr>
          <w:rFonts w:ascii="仿宋_GB2312" w:eastAsia="仿宋_GB2312"/>
          <w:color w:val="000000"/>
          <w:sz w:val="32"/>
          <w:szCs w:val="32"/>
        </w:rPr>
        <w:t>%</w:t>
      </w:r>
      <w:r>
        <w:rPr>
          <w:rFonts w:hint="eastAsia" w:ascii="仿宋_GB2312" w:eastAsia="仿宋_GB2312"/>
          <w:color w:val="000000"/>
          <w:sz w:val="32"/>
          <w:szCs w:val="32"/>
        </w:rPr>
        <w:t>。</w:t>
      </w:r>
      <w:bookmarkEnd w:id="97"/>
      <w:bookmarkEnd w:id="98"/>
      <w:bookmarkEnd w:id="99"/>
      <w:bookmarkEnd w:id="100"/>
      <w:bookmarkEnd w:id="101"/>
      <w:bookmarkEnd w:id="102"/>
      <w:bookmarkEnd w:id="103"/>
    </w:p>
    <w:p>
      <w:pPr>
        <w:spacing w:line="594" w:lineRule="exact"/>
        <w:ind w:firstLine="640" w:firstLineChars="200"/>
        <w:outlineLvl w:val="1"/>
        <w:rPr>
          <w:rFonts w:ascii="仿宋_GB2312" w:eastAsia="仿宋_GB2312"/>
          <w:color w:val="000000"/>
          <w:sz w:val="32"/>
          <w:szCs w:val="32"/>
        </w:rPr>
      </w:pPr>
      <w:bookmarkStart w:id="104" w:name="_Toc51662777"/>
      <w:bookmarkStart w:id="105" w:name="_Toc24776"/>
      <w:bookmarkStart w:id="106" w:name="_Toc15905"/>
      <w:bookmarkStart w:id="107" w:name="_Toc6664"/>
      <w:bookmarkStart w:id="108" w:name="_Toc22240"/>
      <w:bookmarkStart w:id="109" w:name="_Toc18370"/>
      <w:bookmarkStart w:id="110" w:name="_Toc51662589"/>
      <w:r>
        <w:rPr>
          <w:rFonts w:ascii="仿宋_GB2312" w:eastAsia="仿宋_GB2312"/>
          <w:color w:val="000000"/>
          <w:sz w:val="32"/>
          <w:szCs w:val="32"/>
        </w:rPr>
        <w:t>2.</w:t>
      </w:r>
      <w:r>
        <w:rPr>
          <w:rFonts w:hint="eastAsia" w:ascii="仿宋_GB2312" w:eastAsia="仿宋_GB2312"/>
          <w:color w:val="000000"/>
          <w:sz w:val="32"/>
          <w:szCs w:val="32"/>
        </w:rPr>
        <w:t>社会保障和就业（类）行政事业单位离退休（款）机关事业单位基本养老保险缴费支出（项）</w:t>
      </w:r>
      <w:r>
        <w:rPr>
          <w:rFonts w:ascii="仿宋_GB2312" w:eastAsia="仿宋_GB2312"/>
          <w:color w:val="000000"/>
          <w:sz w:val="32"/>
          <w:szCs w:val="32"/>
        </w:rPr>
        <w:t xml:space="preserve">: </w:t>
      </w:r>
      <w:r>
        <w:rPr>
          <w:rFonts w:hint="eastAsia" w:ascii="仿宋_GB2312" w:eastAsia="仿宋_GB2312"/>
          <w:color w:val="000000"/>
          <w:sz w:val="32"/>
          <w:szCs w:val="32"/>
        </w:rPr>
        <w:t>支出决算为</w:t>
      </w:r>
      <w:r>
        <w:rPr>
          <w:rFonts w:ascii="仿宋_GB2312" w:eastAsia="仿宋_GB2312"/>
          <w:color w:val="000000"/>
          <w:sz w:val="32"/>
          <w:szCs w:val="32"/>
        </w:rPr>
        <w:t>5.23</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w:t>
      </w:r>
      <w:bookmarkEnd w:id="104"/>
      <w:bookmarkEnd w:id="105"/>
      <w:bookmarkEnd w:id="106"/>
      <w:bookmarkEnd w:id="107"/>
      <w:bookmarkEnd w:id="108"/>
      <w:bookmarkEnd w:id="109"/>
      <w:bookmarkEnd w:id="110"/>
      <w:bookmarkStart w:id="111" w:name="_Toc51662590"/>
      <w:bookmarkStart w:id="112" w:name="_Toc24373"/>
      <w:bookmarkStart w:id="113" w:name="_Toc51662778"/>
    </w:p>
    <w:p>
      <w:pPr>
        <w:spacing w:line="594" w:lineRule="exact"/>
        <w:ind w:firstLine="640" w:firstLineChars="200"/>
        <w:outlineLvl w:val="1"/>
        <w:rPr>
          <w:rFonts w:ascii="仿宋_GB2312" w:eastAsia="仿宋_GB2312"/>
          <w:color w:val="000000"/>
          <w:sz w:val="32"/>
          <w:szCs w:val="32"/>
        </w:rPr>
      </w:pPr>
      <w:bookmarkStart w:id="114" w:name="_Toc3508"/>
      <w:bookmarkStart w:id="115" w:name="_Toc9285"/>
      <w:bookmarkStart w:id="116" w:name="_Toc29453"/>
      <w:bookmarkStart w:id="117" w:name="_Toc2641"/>
      <w:r>
        <w:rPr>
          <w:rFonts w:ascii="仿宋_GB2312" w:eastAsia="仿宋_GB2312"/>
          <w:color w:val="000000"/>
          <w:sz w:val="32"/>
          <w:szCs w:val="32"/>
        </w:rPr>
        <w:t>3.</w:t>
      </w:r>
      <w:r>
        <w:rPr>
          <w:rFonts w:hint="eastAsia" w:ascii="仿宋_GB2312" w:eastAsia="仿宋_GB2312"/>
          <w:color w:val="000000"/>
          <w:sz w:val="32"/>
          <w:szCs w:val="32"/>
        </w:rPr>
        <w:t>社会保障和就业（类）行政事业单位离退休（款）机关事业单位职业年金缴费出（项）</w:t>
      </w:r>
      <w:r>
        <w:rPr>
          <w:rFonts w:ascii="仿宋_GB2312" w:eastAsia="仿宋_GB2312"/>
          <w:color w:val="000000"/>
          <w:sz w:val="32"/>
          <w:szCs w:val="32"/>
        </w:rPr>
        <w:t xml:space="preserve">: </w:t>
      </w:r>
      <w:r>
        <w:rPr>
          <w:rFonts w:hint="eastAsia" w:ascii="仿宋_GB2312" w:eastAsia="仿宋_GB2312"/>
          <w:color w:val="000000"/>
          <w:sz w:val="32"/>
          <w:szCs w:val="32"/>
        </w:rPr>
        <w:t>支出决算为</w:t>
      </w:r>
      <w:r>
        <w:rPr>
          <w:rFonts w:ascii="仿宋_GB2312" w:eastAsia="仿宋_GB2312"/>
          <w:color w:val="000000"/>
          <w:sz w:val="32"/>
          <w:szCs w:val="32"/>
        </w:rPr>
        <w:t>2.62</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w:t>
      </w:r>
      <w:bookmarkEnd w:id="111"/>
      <w:bookmarkEnd w:id="112"/>
      <w:bookmarkEnd w:id="113"/>
      <w:bookmarkEnd w:id="114"/>
      <w:bookmarkEnd w:id="115"/>
      <w:bookmarkEnd w:id="116"/>
      <w:bookmarkEnd w:id="117"/>
    </w:p>
    <w:p>
      <w:pPr>
        <w:spacing w:line="594" w:lineRule="exact"/>
        <w:ind w:firstLine="640" w:firstLineChars="200"/>
        <w:outlineLvl w:val="1"/>
        <w:rPr>
          <w:rFonts w:ascii="仿宋_GB2312" w:eastAsia="仿宋_GB2312"/>
          <w:color w:val="000000"/>
          <w:sz w:val="32"/>
          <w:szCs w:val="32"/>
        </w:rPr>
      </w:pPr>
      <w:bookmarkStart w:id="118" w:name="_Toc13125"/>
      <w:bookmarkStart w:id="119" w:name="_Toc51662592"/>
      <w:bookmarkStart w:id="120" w:name="_Toc14725"/>
      <w:bookmarkStart w:id="121" w:name="_Toc51662780"/>
      <w:bookmarkStart w:id="122" w:name="_Toc27775"/>
      <w:bookmarkStart w:id="123" w:name="_Toc20470"/>
      <w:bookmarkStart w:id="124" w:name="_Toc28626"/>
      <w:r>
        <w:rPr>
          <w:rFonts w:ascii="仿宋_GB2312" w:eastAsia="仿宋_GB2312"/>
          <w:color w:val="000000"/>
          <w:sz w:val="32"/>
          <w:szCs w:val="32"/>
        </w:rPr>
        <w:t>4.</w:t>
      </w:r>
      <w:bookmarkEnd w:id="118"/>
      <w:bookmarkEnd w:id="119"/>
      <w:bookmarkEnd w:id="120"/>
      <w:bookmarkEnd w:id="121"/>
      <w:bookmarkEnd w:id="122"/>
      <w:bookmarkEnd w:id="123"/>
      <w:bookmarkStart w:id="125" w:name="_Toc13516"/>
      <w:bookmarkStart w:id="126" w:name="_Toc20156"/>
      <w:bookmarkStart w:id="127" w:name="_Toc51662593"/>
      <w:bookmarkStart w:id="128" w:name="_Toc18924"/>
      <w:bookmarkStart w:id="129" w:name="_Toc17559"/>
      <w:bookmarkStart w:id="130" w:name="_Toc51662781"/>
      <w:r>
        <w:rPr>
          <w:rFonts w:hint="eastAsia" w:ascii="仿宋_GB2312" w:eastAsia="仿宋_GB2312"/>
          <w:color w:val="000000"/>
          <w:sz w:val="32"/>
          <w:szCs w:val="32"/>
        </w:rPr>
        <w:t>卫生健康（类）行政事业单位医疗（款）事业单位医疗（项）：支出决算为</w:t>
      </w:r>
      <w:r>
        <w:rPr>
          <w:rFonts w:ascii="仿宋_GB2312" w:eastAsia="仿宋_GB2312"/>
          <w:color w:val="000000"/>
          <w:sz w:val="32"/>
          <w:szCs w:val="32"/>
        </w:rPr>
        <w:t>3.79</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w:t>
      </w:r>
      <w:bookmarkEnd w:id="124"/>
      <w:bookmarkEnd w:id="125"/>
      <w:bookmarkEnd w:id="126"/>
      <w:bookmarkEnd w:id="127"/>
      <w:bookmarkEnd w:id="128"/>
      <w:bookmarkEnd w:id="129"/>
      <w:bookmarkEnd w:id="130"/>
    </w:p>
    <w:p>
      <w:pPr>
        <w:spacing w:line="594" w:lineRule="exact"/>
        <w:ind w:firstLine="640" w:firstLineChars="200"/>
        <w:outlineLvl w:val="1"/>
        <w:rPr>
          <w:rFonts w:ascii="仿宋_GB2312" w:eastAsia="仿宋_GB2312"/>
          <w:color w:val="000000"/>
          <w:sz w:val="32"/>
          <w:szCs w:val="32"/>
        </w:rPr>
      </w:pPr>
      <w:bookmarkStart w:id="131" w:name="_Toc25985"/>
      <w:bookmarkStart w:id="132" w:name="_Toc51662783"/>
      <w:bookmarkStart w:id="133" w:name="_Toc15934"/>
      <w:bookmarkStart w:id="134" w:name="_Toc29583"/>
      <w:bookmarkStart w:id="135" w:name="_Toc13448"/>
      <w:bookmarkStart w:id="136" w:name="_Toc27255"/>
      <w:bookmarkStart w:id="137" w:name="_Toc51662595"/>
      <w:r>
        <w:rPr>
          <w:rFonts w:ascii="仿宋_GB2312" w:eastAsia="仿宋_GB2312"/>
          <w:color w:val="000000"/>
          <w:sz w:val="32"/>
          <w:szCs w:val="32"/>
        </w:rPr>
        <w:t>5</w:t>
      </w:r>
      <w:r>
        <w:rPr>
          <w:rFonts w:hint="eastAsia" w:ascii="仿宋_GB2312" w:eastAsia="仿宋_GB2312"/>
          <w:color w:val="000000"/>
          <w:sz w:val="32"/>
          <w:szCs w:val="32"/>
        </w:rPr>
        <w:t>.住房保障支出（类）住房改革支出（款）住房公积金（项）：支出决算为</w:t>
      </w:r>
      <w:r>
        <w:rPr>
          <w:rFonts w:ascii="仿宋_GB2312" w:eastAsia="仿宋_GB2312"/>
          <w:color w:val="000000"/>
          <w:sz w:val="32"/>
          <w:szCs w:val="32"/>
        </w:rPr>
        <w:t>5.30</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w:t>
      </w:r>
      <w:bookmarkEnd w:id="131"/>
      <w:bookmarkEnd w:id="132"/>
      <w:bookmarkEnd w:id="133"/>
      <w:bookmarkEnd w:id="134"/>
      <w:bookmarkEnd w:id="135"/>
      <w:bookmarkEnd w:id="136"/>
      <w:bookmarkEnd w:id="137"/>
    </w:p>
    <w:p>
      <w:pPr>
        <w:tabs>
          <w:tab w:val="right" w:pos="8306"/>
        </w:tabs>
        <w:spacing w:line="600" w:lineRule="exact"/>
        <w:ind w:firstLine="640"/>
        <w:outlineLvl w:val="1"/>
        <w:rPr>
          <w:rStyle w:val="25"/>
        </w:rPr>
      </w:pPr>
      <w:bookmarkStart w:id="138" w:name="_Toc20581"/>
      <w:r>
        <w:rPr>
          <w:rFonts w:hint="eastAsia" w:ascii="黑体" w:eastAsia="黑体"/>
          <w:color w:val="000000"/>
          <w:sz w:val="32"/>
          <w:szCs w:val="32"/>
        </w:rPr>
        <w:t>六</w:t>
      </w:r>
      <w:r>
        <w:rPr>
          <w:rFonts w:hint="eastAsia" w:ascii="黑体" w:eastAsia="黑体"/>
          <w:b/>
          <w:color w:val="000000"/>
          <w:sz w:val="32"/>
          <w:szCs w:val="32"/>
        </w:rPr>
        <w:t>、一</w:t>
      </w:r>
      <w:r>
        <w:rPr>
          <w:rStyle w:val="25"/>
          <w:rFonts w:hint="eastAsia" w:ascii="黑体" w:eastAsia="黑体"/>
          <w:b w:val="0"/>
        </w:rPr>
        <w:t>般公共预算财政拨款基本支出决算情况说明</w:t>
      </w:r>
      <w:bookmarkEnd w:id="94"/>
      <w:bookmarkEnd w:id="95"/>
      <w:bookmarkEnd w:id="96"/>
      <w:bookmarkEnd w:id="138"/>
      <w:r>
        <w:rPr>
          <w:rStyle w:val="25"/>
          <w:rFonts w:ascii="黑体" w:eastAsia="黑体"/>
          <w:b w:val="0"/>
        </w:rPr>
        <w:tab/>
      </w:r>
    </w:p>
    <w:p>
      <w:pPr>
        <w:spacing w:line="594" w:lineRule="exact"/>
        <w:ind w:firstLine="640" w:firstLineChars="200"/>
        <w:outlineLvl w:val="1"/>
        <w:rPr>
          <w:rFonts w:hint="eastAsia" w:ascii="仿宋_GB2312" w:eastAsia="仿宋_GB2312"/>
          <w:color w:val="000000"/>
          <w:sz w:val="32"/>
          <w:szCs w:val="32"/>
        </w:rPr>
      </w:pPr>
      <w:bookmarkStart w:id="139" w:name="_Toc79163619"/>
      <w:bookmarkStart w:id="140" w:name="_Toc15396609"/>
      <w:bookmarkStart w:id="141" w:name="_Toc15377215"/>
      <w:r>
        <w:rPr>
          <w:rFonts w:hint="eastAsia" w:ascii="仿宋_GB2312" w:eastAsia="仿宋_GB2312"/>
          <w:color w:val="000000"/>
          <w:sz w:val="32"/>
          <w:szCs w:val="32"/>
        </w:rPr>
        <w:t>2021年一般公共预算财政拨款基本支出77.84万元，其中：</w:t>
      </w:r>
    </w:p>
    <w:p>
      <w:pPr>
        <w:spacing w:line="594" w:lineRule="exact"/>
        <w:ind w:firstLine="640" w:firstLineChars="200"/>
        <w:outlineLvl w:val="1"/>
        <w:rPr>
          <w:rFonts w:hint="eastAsia" w:ascii="仿宋_GB2312" w:eastAsia="仿宋_GB2312"/>
          <w:color w:val="000000"/>
          <w:sz w:val="32"/>
          <w:szCs w:val="32"/>
          <w:lang w:eastAsia="zh-CN"/>
        </w:rPr>
      </w:pPr>
      <w:r>
        <w:rPr>
          <w:rFonts w:hint="eastAsia" w:ascii="仿宋_GB2312" w:eastAsia="仿宋_GB2312"/>
          <w:color w:val="000000"/>
          <w:sz w:val="32"/>
          <w:szCs w:val="32"/>
        </w:rPr>
        <w:t>人员经费73.84万元，主要包括：基本工资、津贴补贴、奖金、伙食补助费、绩效工资、机关事业单位基本养老保险缴费、职业年金缴费、其他社会保障缴费、其他工资福利支出、退休费、抚恤金、生活补助、医疗费补助、奖励金、住房公积金、其他对个人和家庭的补助支出等。</w:t>
      </w:r>
    </w:p>
    <w:p>
      <w:pPr>
        <w:spacing w:line="594" w:lineRule="exact"/>
        <w:ind w:firstLine="640" w:firstLineChars="200"/>
        <w:outlineLvl w:val="1"/>
        <w:rPr>
          <w:rFonts w:hint="eastAsia" w:ascii="仿宋_GB2312" w:eastAsia="仿宋_GB2312"/>
          <w:color w:val="000000"/>
          <w:sz w:val="32"/>
          <w:szCs w:val="32"/>
        </w:rPr>
      </w:pPr>
      <w:r>
        <w:rPr>
          <w:rFonts w:hint="eastAsia" w:ascii="仿宋_GB2312" w:eastAsia="仿宋_GB2312"/>
          <w:color w:val="000000"/>
          <w:sz w:val="32"/>
          <w:szCs w:val="32"/>
        </w:rPr>
        <w:t>日常公用经费4万元，主要包括：办公费、水费、电费、邮电费、差旅费、租赁费、培训费、公务接待费、劳务费、公务用车运行维护费、其他交通费、其他商品和服务支出、办公设备购置。</w:t>
      </w:r>
    </w:p>
    <w:p>
      <w:pPr>
        <w:spacing w:line="600" w:lineRule="exact"/>
        <w:ind w:firstLine="640"/>
        <w:outlineLvl w:val="1"/>
        <w:rPr>
          <w:rStyle w:val="25"/>
          <w:rFonts w:ascii="黑体" w:eastAsia="黑体"/>
          <w:b w:val="0"/>
        </w:rPr>
      </w:pPr>
      <w:bookmarkStart w:id="142" w:name="_Toc32071"/>
      <w:r>
        <w:rPr>
          <w:rFonts w:hint="eastAsia" w:ascii="黑体" w:eastAsia="黑体"/>
          <w:color w:val="000000"/>
          <w:sz w:val="32"/>
          <w:szCs w:val="32"/>
        </w:rPr>
        <w:t>七、</w:t>
      </w:r>
      <w:r>
        <w:rPr>
          <w:rStyle w:val="25"/>
          <w:rFonts w:hint="eastAsia" w:ascii="黑体" w:eastAsia="黑体"/>
        </w:rPr>
        <w:t>“</w:t>
      </w:r>
      <w:r>
        <w:rPr>
          <w:rStyle w:val="25"/>
          <w:rFonts w:hint="eastAsia" w:ascii="黑体" w:eastAsia="黑体"/>
          <w:b w:val="0"/>
        </w:rPr>
        <w:t>三公”经费财政拨款支出决算情况说明</w:t>
      </w:r>
      <w:bookmarkEnd w:id="139"/>
      <w:bookmarkEnd w:id="140"/>
      <w:bookmarkEnd w:id="141"/>
      <w:bookmarkEnd w:id="142"/>
    </w:p>
    <w:p>
      <w:pPr>
        <w:spacing w:line="600" w:lineRule="exact"/>
        <w:ind w:firstLine="640"/>
        <w:outlineLvl w:val="2"/>
        <w:rPr>
          <w:rFonts w:ascii="仿宋" w:eastAsia="仿宋"/>
          <w:b/>
          <w:color w:val="000000"/>
          <w:sz w:val="32"/>
          <w:szCs w:val="32"/>
        </w:rPr>
      </w:pPr>
      <w:bookmarkStart w:id="143" w:name="_Toc79163620"/>
      <w:bookmarkStart w:id="144" w:name="_Toc31204"/>
      <w:bookmarkStart w:id="145" w:name="_Toc15377216"/>
      <w:r>
        <w:rPr>
          <w:rFonts w:hint="eastAsia" w:ascii="仿宋" w:eastAsia="仿宋"/>
          <w:b/>
          <w:color w:val="000000"/>
          <w:sz w:val="32"/>
          <w:szCs w:val="32"/>
        </w:rPr>
        <w:t>（一）“三公”经费财政拨款支出决算总体情况说明</w:t>
      </w:r>
      <w:bookmarkEnd w:id="143"/>
      <w:bookmarkEnd w:id="144"/>
      <w:bookmarkEnd w:id="145"/>
    </w:p>
    <w:p>
      <w:pPr>
        <w:spacing w:line="594" w:lineRule="exact"/>
        <w:ind w:firstLine="640" w:firstLineChars="200"/>
        <w:outlineLvl w:val="1"/>
        <w:rPr>
          <w:rFonts w:hint="eastAsia" w:ascii="仿宋_GB2312" w:eastAsia="仿宋_GB2312"/>
          <w:color w:val="000000"/>
          <w:sz w:val="32"/>
          <w:szCs w:val="32"/>
        </w:rPr>
      </w:pPr>
      <w:bookmarkStart w:id="146" w:name="_Toc11313"/>
      <w:bookmarkStart w:id="147" w:name="_Toc79163621"/>
      <w:bookmarkStart w:id="148" w:name="_Toc15377217"/>
      <w:r>
        <w:rPr>
          <w:rFonts w:hint="eastAsia" w:ascii="仿宋_GB2312" w:eastAsia="仿宋_GB2312"/>
          <w:color w:val="000000"/>
          <w:sz w:val="32"/>
          <w:szCs w:val="32"/>
        </w:rPr>
        <w:t>2021年“三公”经费财政拨款支出决算为0.08万元，完成预算100%。</w:t>
      </w:r>
      <w:bookmarkEnd w:id="146"/>
    </w:p>
    <w:p>
      <w:pPr>
        <w:spacing w:line="600" w:lineRule="exact"/>
        <w:ind w:firstLine="640"/>
        <w:outlineLvl w:val="2"/>
        <w:rPr>
          <w:rFonts w:ascii="仿宋" w:eastAsia="仿宋"/>
          <w:b/>
          <w:color w:val="000000"/>
          <w:sz w:val="32"/>
          <w:szCs w:val="32"/>
        </w:rPr>
      </w:pPr>
      <w:bookmarkStart w:id="149" w:name="_Toc18188"/>
      <w:r>
        <w:rPr>
          <w:rFonts w:hint="eastAsia" w:ascii="仿宋" w:eastAsia="仿宋"/>
          <w:b/>
          <w:color w:val="000000"/>
          <w:sz w:val="32"/>
          <w:szCs w:val="32"/>
        </w:rPr>
        <w:t>（二）“三公”经费财政拨款支出决算具体情况说明</w:t>
      </w:r>
      <w:bookmarkEnd w:id="147"/>
      <w:bookmarkEnd w:id="148"/>
      <w:bookmarkEnd w:id="149"/>
    </w:p>
    <w:p>
      <w:pPr>
        <w:spacing w:line="594" w:lineRule="exact"/>
        <w:ind w:firstLine="640" w:firstLineChars="200"/>
        <w:outlineLvl w:val="1"/>
        <w:rPr>
          <w:rFonts w:hint="eastAsia" w:ascii="仿宋_GB2312" w:eastAsia="仿宋_GB2312"/>
          <w:color w:val="000000"/>
          <w:sz w:val="32"/>
          <w:szCs w:val="32"/>
        </w:rPr>
      </w:pPr>
      <w:r>
        <w:rPr>
          <w:rFonts w:hint="eastAsia" w:ascii="仿宋_GB2312" w:eastAsia="仿宋_GB2312"/>
          <w:color w:val="000000"/>
          <w:sz w:val="32"/>
          <w:szCs w:val="32"/>
        </w:rPr>
        <w:t>2021年“三公”经费财政拨款支出决算中，因公出国（境）费支出决算0万元；公务用车购置及运行维护费支出决算0万元；公务接待费支出决算0.08万元，占100%。具体情况如下：</w:t>
      </w:r>
    </w:p>
    <w:p>
      <w:pPr>
        <w:spacing w:line="600" w:lineRule="exact"/>
        <w:ind w:firstLine="640"/>
        <w:rPr>
          <w:rFonts w:hint="eastAsia" w:ascii="仿宋" w:eastAsia="仿宋"/>
          <w:color w:val="000000"/>
          <w:sz w:val="32"/>
          <w:szCs w:val="32"/>
        </w:rPr>
      </w:pPr>
      <w:r>
        <w:rPr>
          <w:rFonts w:hint="eastAsia" w:asci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400050</wp:posOffset>
            </wp:positionH>
            <wp:positionV relativeFrom="paragraph">
              <wp:posOffset>161925</wp:posOffset>
            </wp:positionV>
            <wp:extent cx="4518660" cy="3029585"/>
            <wp:effectExtent l="0" t="0" r="0" b="0"/>
            <wp:wrapNone/>
            <wp:docPr id="9"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rPr>
          <w:rFonts w:hint="eastAsia" w:ascii="仿宋" w:eastAsia="仿宋"/>
          <w:color w:val="000000"/>
          <w:sz w:val="32"/>
          <w:szCs w:val="32"/>
        </w:rPr>
      </w:pPr>
    </w:p>
    <w:p>
      <w:pPr>
        <w:spacing w:line="600" w:lineRule="exact"/>
        <w:ind w:firstLine="640"/>
        <w:rPr>
          <w:rFonts w:hint="eastAsia" w:ascii="仿宋" w:eastAsia="仿宋"/>
          <w:color w:val="000000"/>
          <w:sz w:val="32"/>
          <w:szCs w:val="32"/>
        </w:rPr>
      </w:pPr>
    </w:p>
    <w:p>
      <w:pPr>
        <w:spacing w:line="600" w:lineRule="exact"/>
        <w:ind w:firstLine="640"/>
        <w:rPr>
          <w:rFonts w:hint="eastAsia" w:ascii="仿宋" w:eastAsia="仿宋"/>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22"/>
          <w:rFonts w:hint="eastAsia" w:ascii="仿宋" w:eastAsia="仿宋"/>
          <w:b w:val="0"/>
          <w:bCs/>
          <w:color w:val="000000"/>
          <w:sz w:val="32"/>
          <w:szCs w:val="32"/>
        </w:rPr>
        <w:t>完成预算100</w:t>
      </w:r>
      <w:r>
        <w:rPr>
          <w:rStyle w:val="22"/>
          <w:rFonts w:ascii="仿宋" w:eastAsia="仿宋"/>
          <w:b w:val="0"/>
          <w:bCs/>
          <w:color w:val="000000"/>
          <w:sz w:val="32"/>
          <w:szCs w:val="32"/>
        </w:rPr>
        <w:t>%</w:t>
      </w:r>
      <w:r>
        <w:rPr>
          <w:rFonts w:hint="eastAsia" w:ascii="仿宋_GB2312" w:eastAsia="仿宋_GB2312"/>
          <w:color w:val="000000"/>
          <w:sz w:val="32"/>
          <w:szCs w:val="32"/>
        </w:rPr>
        <w:t>。</w:t>
      </w:r>
    </w:p>
    <w:p>
      <w:pPr>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0万元。截至</w:t>
      </w: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月底，共有公务用车</w:t>
      </w:r>
      <w:r>
        <w:rPr>
          <w:rFonts w:ascii="仿宋_GB2312" w:eastAsia="仿宋_GB2312"/>
          <w:color w:val="000000"/>
          <w:sz w:val="32"/>
          <w:szCs w:val="32"/>
        </w:rPr>
        <w:t>0</w:t>
      </w:r>
      <w:r>
        <w:rPr>
          <w:rFonts w:hint="eastAsia" w:ascii="仿宋_GB2312" w:eastAsia="仿宋_GB2312"/>
          <w:color w:val="000000"/>
          <w:sz w:val="32"/>
          <w:szCs w:val="32"/>
        </w:rPr>
        <w:t>辆，执法执勤</w:t>
      </w:r>
      <w:r>
        <w:rPr>
          <w:rFonts w:ascii="仿宋_GB2312" w:eastAsia="仿宋_GB2312"/>
          <w:color w:val="000000"/>
          <w:sz w:val="32"/>
          <w:szCs w:val="32"/>
        </w:rPr>
        <w:t>7</w:t>
      </w:r>
      <w:r>
        <w:rPr>
          <w:rFonts w:hint="eastAsia" w:ascii="仿宋_GB2312" w:eastAsia="仿宋_GB2312"/>
          <w:color w:val="000000"/>
          <w:sz w:val="32"/>
          <w:szCs w:val="32"/>
        </w:rPr>
        <w:t>辆，其他用车</w:t>
      </w:r>
      <w:r>
        <w:rPr>
          <w:rFonts w:ascii="仿宋_GB2312" w:eastAsia="仿宋_GB2312"/>
          <w:color w:val="000000"/>
          <w:sz w:val="32"/>
          <w:szCs w:val="32"/>
        </w:rPr>
        <w:t>5</w:t>
      </w:r>
      <w:r>
        <w:rPr>
          <w:rFonts w:hint="eastAsia" w:ascii="仿宋_GB2312" w:eastAsia="仿宋_GB2312"/>
          <w:color w:val="000000"/>
          <w:sz w:val="32"/>
          <w:szCs w:val="32"/>
        </w:rPr>
        <w:t>辆，其中：轿车</w:t>
      </w:r>
      <w:r>
        <w:rPr>
          <w:rFonts w:ascii="仿宋_GB2312" w:eastAsia="仿宋_GB2312"/>
          <w:color w:val="000000"/>
          <w:sz w:val="32"/>
          <w:szCs w:val="32"/>
        </w:rPr>
        <w:t>1</w:t>
      </w:r>
      <w:r>
        <w:rPr>
          <w:rFonts w:hint="eastAsia" w:ascii="仿宋_GB2312" w:eastAsia="仿宋_GB2312"/>
          <w:color w:val="000000"/>
          <w:sz w:val="32"/>
          <w:szCs w:val="32"/>
        </w:rPr>
        <w:t>辆、越野车</w:t>
      </w:r>
      <w:r>
        <w:rPr>
          <w:rFonts w:ascii="仿宋_GB2312" w:eastAsia="仿宋_GB2312"/>
          <w:color w:val="000000"/>
          <w:sz w:val="32"/>
          <w:szCs w:val="32"/>
        </w:rPr>
        <w:t>5</w:t>
      </w:r>
      <w:r>
        <w:rPr>
          <w:rFonts w:hint="eastAsia" w:ascii="仿宋_GB2312" w:eastAsia="仿宋_GB2312"/>
          <w:color w:val="000000"/>
          <w:sz w:val="32"/>
          <w:szCs w:val="32"/>
        </w:rPr>
        <w:t>辆、小型载客汽车</w:t>
      </w:r>
      <w:r>
        <w:rPr>
          <w:rFonts w:ascii="仿宋_GB2312" w:eastAsia="仿宋_GB2312"/>
          <w:color w:val="000000"/>
          <w:sz w:val="32"/>
          <w:szCs w:val="32"/>
        </w:rPr>
        <w:t>1</w:t>
      </w:r>
      <w:r>
        <w:rPr>
          <w:rFonts w:hint="eastAsia" w:ascii="仿宋_GB2312" w:eastAsia="仿宋_GB2312"/>
          <w:color w:val="000000"/>
          <w:sz w:val="32"/>
          <w:szCs w:val="32"/>
        </w:rPr>
        <w:t>辆，其他</w:t>
      </w:r>
      <w:r>
        <w:rPr>
          <w:rFonts w:ascii="仿宋_GB2312" w:eastAsia="仿宋_GB2312"/>
          <w:color w:val="000000"/>
          <w:sz w:val="32"/>
          <w:szCs w:val="32"/>
        </w:rPr>
        <w:t>5</w:t>
      </w:r>
      <w:r>
        <w:rPr>
          <w:rFonts w:hint="eastAsia" w:ascii="仿宋_GB2312" w:eastAsia="仿宋_GB2312"/>
          <w:color w:val="000000"/>
          <w:sz w:val="32"/>
          <w:szCs w:val="32"/>
        </w:rPr>
        <w:t>辆。</w:t>
      </w:r>
    </w:p>
    <w:p>
      <w:pPr>
        <w:spacing w:line="600" w:lineRule="exact"/>
        <w:ind w:firstLine="642" w:firstLineChars="20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2" w:firstLineChars="20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0.08</w:t>
      </w:r>
      <w:r>
        <w:rPr>
          <w:rFonts w:hint="eastAsia" w:ascii="仿宋_GB2312" w:eastAsia="仿宋_GB2312"/>
          <w:color w:val="000000"/>
          <w:sz w:val="32"/>
          <w:szCs w:val="32"/>
        </w:rPr>
        <w:t>万元，</w:t>
      </w:r>
      <w:r>
        <w:rPr>
          <w:rStyle w:val="22"/>
          <w:rFonts w:hint="eastAsia" w:ascii="仿宋" w:eastAsia="仿宋"/>
          <w:b w:val="0"/>
          <w:bCs/>
          <w:color w:val="000000"/>
          <w:sz w:val="32"/>
          <w:szCs w:val="32"/>
        </w:rPr>
        <w:t>完成预算100</w:t>
      </w:r>
      <w:r>
        <w:rPr>
          <w:rStyle w:val="22"/>
          <w:rFonts w:ascii="仿宋" w:eastAsia="仿宋"/>
          <w:b w:val="0"/>
          <w:bCs/>
          <w:color w:val="000000"/>
          <w:sz w:val="32"/>
          <w:szCs w:val="32"/>
        </w:rPr>
        <w:t>%</w:t>
      </w:r>
      <w:r>
        <w:rPr>
          <w:rStyle w:val="22"/>
          <w:rFonts w:hint="eastAsia" w:asci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增加0.03</w:t>
      </w:r>
      <w:r>
        <w:rPr>
          <w:rFonts w:hint="eastAsia" w:ascii="仿宋_GB2312" w:eastAsia="仿宋_GB2312"/>
          <w:color w:val="000000"/>
          <w:sz w:val="32"/>
          <w:szCs w:val="32"/>
        </w:rPr>
        <w:t>万元，</w:t>
      </w:r>
      <w:r>
        <w:rPr>
          <w:rFonts w:ascii="仿宋_GB2312" w:eastAsia="仿宋_GB2312"/>
          <w:color w:val="000000"/>
          <w:sz w:val="32"/>
          <w:szCs w:val="32"/>
        </w:rPr>
        <w:t>上升60%</w:t>
      </w:r>
      <w:r>
        <w:rPr>
          <w:rFonts w:hint="eastAsia" w:ascii="仿宋_GB2312" w:eastAsia="仿宋_GB2312"/>
          <w:color w:val="000000"/>
          <w:sz w:val="32"/>
          <w:szCs w:val="32"/>
        </w:rPr>
        <w:t>。主要原因是：</w:t>
      </w:r>
      <w:r>
        <w:rPr>
          <w:rFonts w:ascii="仿宋_GB2312" w:eastAsia="仿宋_GB2312"/>
          <w:color w:val="000000"/>
          <w:sz w:val="32"/>
          <w:szCs w:val="32"/>
        </w:rPr>
        <w:t>人员增加</w:t>
      </w:r>
      <w:r>
        <w:rPr>
          <w:rFonts w:hint="eastAsia" w:ascii="仿宋_GB2312" w:eastAsia="仿宋_GB2312"/>
          <w:color w:val="000000"/>
          <w:sz w:val="32"/>
          <w:szCs w:val="32"/>
        </w:rPr>
        <w:t>。</w:t>
      </w:r>
    </w:p>
    <w:p>
      <w:pPr>
        <w:spacing w:line="594" w:lineRule="exact"/>
        <w:ind w:firstLine="642" w:firstLineChars="200"/>
        <w:rPr>
          <w:rFonts w:ascii="仿宋_GB2312" w:eastAsia="仿宋_GB2312"/>
          <w:color w:val="C00000"/>
          <w:sz w:val="32"/>
          <w:szCs w:val="32"/>
        </w:rPr>
      </w:pPr>
      <w:bookmarkStart w:id="150" w:name="_Toc15396610"/>
      <w:bookmarkStart w:id="151" w:name="_Toc15377218"/>
      <w:bookmarkStart w:id="152" w:name="_Toc79163622"/>
      <w:r>
        <w:rPr>
          <w:rFonts w:hint="eastAsia" w:ascii="仿宋" w:eastAsia="仿宋"/>
          <w:b/>
          <w:color w:val="000000"/>
          <w:sz w:val="32"/>
          <w:szCs w:val="32"/>
        </w:rPr>
        <w:t>国内公务接待支出</w:t>
      </w:r>
      <w:r>
        <w:rPr>
          <w:rFonts w:ascii="仿宋" w:eastAsia="仿宋"/>
          <w:color w:val="000000"/>
          <w:sz w:val="32"/>
          <w:szCs w:val="32"/>
        </w:rPr>
        <w:t>0.08</w:t>
      </w:r>
      <w:r>
        <w:rPr>
          <w:rFonts w:hint="eastAsia" w:ascii="仿宋_GB2312" w:eastAsia="仿宋_GB2312"/>
          <w:color w:val="000000"/>
          <w:sz w:val="32"/>
          <w:szCs w:val="32"/>
        </w:rPr>
        <w:t>万元，主要原因是接待省、州专项检查、节假日及日常检查。国内公务接待</w:t>
      </w:r>
      <w:r>
        <w:rPr>
          <w:rFonts w:ascii="仿宋_GB2312" w:eastAsia="仿宋_GB2312"/>
          <w:color w:val="000000"/>
          <w:sz w:val="32"/>
          <w:szCs w:val="32"/>
        </w:rPr>
        <w:t>1</w:t>
      </w:r>
      <w:r>
        <w:rPr>
          <w:rFonts w:hint="eastAsia" w:ascii="仿宋_GB2312" w:eastAsia="仿宋_GB2312"/>
          <w:color w:val="000000"/>
          <w:sz w:val="32"/>
          <w:szCs w:val="32"/>
        </w:rPr>
        <w:t>批次，</w:t>
      </w:r>
      <w:r>
        <w:rPr>
          <w:rFonts w:ascii="仿宋_GB2312" w:eastAsia="仿宋_GB2312"/>
          <w:color w:val="000000"/>
          <w:sz w:val="32"/>
          <w:szCs w:val="32"/>
        </w:rPr>
        <w:t>8</w:t>
      </w:r>
      <w:r>
        <w:rPr>
          <w:rFonts w:hint="eastAsia" w:ascii="仿宋_GB2312" w:eastAsia="仿宋_GB2312"/>
          <w:color w:val="000000"/>
          <w:sz w:val="32"/>
          <w:szCs w:val="32"/>
        </w:rPr>
        <w:t>人次，共计支出</w:t>
      </w:r>
      <w:r>
        <w:rPr>
          <w:rFonts w:ascii="仿宋_GB2312" w:eastAsia="仿宋_GB2312"/>
          <w:color w:val="000000"/>
          <w:sz w:val="32"/>
          <w:szCs w:val="32"/>
        </w:rPr>
        <w:t>0.08</w:t>
      </w:r>
      <w:r>
        <w:rPr>
          <w:rFonts w:hint="eastAsia" w:ascii="仿宋_GB2312" w:eastAsia="仿宋_GB2312"/>
          <w:color w:val="000000"/>
          <w:sz w:val="32"/>
          <w:szCs w:val="32"/>
        </w:rPr>
        <w:t>万元，具体内容包括：</w:t>
      </w:r>
      <w:r>
        <w:rPr>
          <w:rFonts w:hint="eastAsia" w:ascii="仿宋_GB2312" w:eastAsia="仿宋_GB2312" w:cs="Times New Roman"/>
          <w:vanish w:val="0"/>
          <w:color w:val="auto"/>
          <w:kern w:val="2"/>
          <w:sz w:val="32"/>
          <w:szCs w:val="32"/>
        </w:rPr>
        <w:t>食品药品等工作督导调研800元</w:t>
      </w:r>
      <w:r>
        <w:rPr>
          <w:rFonts w:ascii="仿宋_GB2312" w:eastAsia="仿宋_GB2312" w:cs="Times New Roman"/>
          <w:vanish w:val="0"/>
          <w:color w:val="auto"/>
          <w:kern w:val="2"/>
          <w:sz w:val="32"/>
          <w:szCs w:val="32"/>
        </w:rPr>
        <w:t>。</w:t>
      </w:r>
    </w:p>
    <w:p>
      <w:pPr>
        <w:spacing w:line="600" w:lineRule="exact"/>
        <w:ind w:firstLine="642" w:firstLineChars="200"/>
        <w:rPr>
          <w:rFonts w:ascii="仿宋_GB2312" w:eastAsia="仿宋_GB2312"/>
          <w:color w:val="000000"/>
          <w:sz w:val="32"/>
          <w:szCs w:val="32"/>
        </w:rPr>
      </w:pPr>
      <w:r>
        <w:rPr>
          <w:rFonts w:hint="eastAsia" w:ascii="仿宋" w:eastAsia="仿宋"/>
          <w:b/>
          <w:color w:val="000000"/>
          <w:sz w:val="32"/>
          <w:szCs w:val="32"/>
        </w:rPr>
        <w:t>外事接待支出0万元。</w:t>
      </w:r>
    </w:p>
    <w:p>
      <w:pPr>
        <w:spacing w:line="600" w:lineRule="exact"/>
        <w:ind w:firstLine="640"/>
        <w:outlineLvl w:val="1"/>
        <w:rPr>
          <w:rStyle w:val="25"/>
          <w:rFonts w:ascii="黑体" w:eastAsia="黑体"/>
        </w:rPr>
      </w:pPr>
      <w:bookmarkStart w:id="153" w:name="_Toc1797"/>
      <w:r>
        <w:rPr>
          <w:rFonts w:hint="eastAsia" w:ascii="黑体" w:eastAsia="黑体"/>
          <w:color w:val="000000"/>
          <w:sz w:val="32"/>
          <w:szCs w:val="32"/>
        </w:rPr>
        <w:t>八、</w:t>
      </w:r>
      <w:r>
        <w:rPr>
          <w:rStyle w:val="25"/>
          <w:rFonts w:hint="eastAsia" w:ascii="黑体" w:eastAsia="黑体"/>
          <w:b w:val="0"/>
        </w:rPr>
        <w:t>政府性基金预算支出决算情况说明</w:t>
      </w:r>
      <w:bookmarkEnd w:id="150"/>
      <w:bookmarkEnd w:id="151"/>
      <w:bookmarkEnd w:id="152"/>
      <w:bookmarkEnd w:id="15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numPr>
          <w:ilvl w:val="0"/>
          <w:numId w:val="2"/>
        </w:numPr>
        <w:spacing w:line="600" w:lineRule="exact"/>
        <w:ind w:left="0" w:firstLine="640"/>
        <w:outlineLvl w:val="1"/>
        <w:rPr>
          <w:rStyle w:val="25"/>
          <w:rFonts w:ascii="黑体" w:eastAsia="黑体"/>
          <w:b w:val="0"/>
        </w:rPr>
      </w:pPr>
      <w:bookmarkStart w:id="154" w:name="_Toc79163623"/>
      <w:bookmarkStart w:id="155" w:name="_Toc15396611"/>
      <w:bookmarkStart w:id="156" w:name="_Toc16718"/>
      <w:bookmarkStart w:id="157" w:name="_Toc15377219"/>
      <w:r>
        <w:rPr>
          <w:rStyle w:val="25"/>
          <w:rFonts w:hint="eastAsia" w:ascii="黑体" w:eastAsia="黑体"/>
          <w:b w:val="0"/>
        </w:rPr>
        <w:t>国有资本经营预算支出决算情况说明</w:t>
      </w:r>
      <w:bookmarkEnd w:id="154"/>
      <w:bookmarkEnd w:id="155"/>
      <w:bookmarkEnd w:id="156"/>
      <w:bookmarkEnd w:id="15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800" w:firstLineChars="250"/>
        <w:outlineLvl w:val="1"/>
        <w:rPr>
          <w:rStyle w:val="25"/>
          <w:rFonts w:ascii="黑体" w:eastAsia="黑体"/>
        </w:rPr>
      </w:pPr>
      <w:bookmarkStart w:id="158" w:name="_Toc13686"/>
      <w:bookmarkStart w:id="159" w:name="_Toc79163624"/>
      <w:bookmarkStart w:id="160" w:name="_Toc15377221"/>
      <w:bookmarkStart w:id="161" w:name="_Toc15396612"/>
      <w:r>
        <w:rPr>
          <w:rFonts w:hint="eastAsia" w:ascii="黑体" w:eastAsia="黑体"/>
          <w:color w:val="000000"/>
          <w:sz w:val="32"/>
          <w:szCs w:val="32"/>
        </w:rPr>
        <w:t>十</w:t>
      </w:r>
      <w:r>
        <w:rPr>
          <w:rStyle w:val="25"/>
          <w:rFonts w:hint="eastAsia" w:ascii="黑体" w:eastAsia="黑体"/>
        </w:rPr>
        <w:t>、</w:t>
      </w:r>
      <w:r>
        <w:rPr>
          <w:rStyle w:val="25"/>
          <w:rFonts w:hint="eastAsia" w:ascii="黑体" w:eastAsia="黑体"/>
          <w:b w:val="0"/>
        </w:rPr>
        <w:t>其他重要事项的情况说明</w:t>
      </w:r>
      <w:bookmarkEnd w:id="158"/>
      <w:bookmarkEnd w:id="159"/>
      <w:bookmarkEnd w:id="160"/>
      <w:bookmarkEnd w:id="161"/>
    </w:p>
    <w:p>
      <w:pPr>
        <w:autoSpaceDE w:val="0"/>
        <w:autoSpaceDN w:val="0"/>
        <w:adjustRightInd w:val="0"/>
        <w:spacing w:line="600" w:lineRule="exact"/>
        <w:ind w:firstLine="642" w:firstLineChars="200"/>
        <w:jc w:val="left"/>
        <w:outlineLvl w:val="2"/>
        <w:rPr>
          <w:rFonts w:hint="eastAsia" w:ascii="仿宋" w:eastAsia="仿宋"/>
          <w:b/>
          <w:color w:val="000000"/>
          <w:sz w:val="32"/>
          <w:szCs w:val="32"/>
        </w:rPr>
      </w:pPr>
      <w:bookmarkStart w:id="162" w:name="_Toc15377222"/>
      <w:bookmarkStart w:id="163" w:name="_Toc9319"/>
      <w:bookmarkStart w:id="164" w:name="_Toc79163625"/>
      <w:r>
        <w:rPr>
          <w:rFonts w:hint="eastAsia" w:ascii="仿宋" w:eastAsia="仿宋"/>
          <w:b/>
          <w:color w:val="000000"/>
          <w:sz w:val="32"/>
          <w:szCs w:val="32"/>
        </w:rPr>
        <w:t>（一）机关运行经费支出情况</w:t>
      </w:r>
      <w:bookmarkEnd w:id="162"/>
      <w:bookmarkEnd w:id="163"/>
      <w:bookmarkEnd w:id="164"/>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茂县消委会管理服务中心机关运行经费支出</w:t>
      </w:r>
      <w:r>
        <w:rPr>
          <w:rFonts w:ascii="仿宋_GB2312" w:eastAsia="仿宋_GB2312"/>
          <w:color w:val="000000"/>
          <w:sz w:val="32"/>
          <w:szCs w:val="32"/>
        </w:rPr>
        <w:t>0万元</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165" w:name="_Toc6154"/>
      <w:bookmarkStart w:id="166" w:name="_Toc79163626"/>
      <w:bookmarkStart w:id="167" w:name="_Toc26204"/>
      <w:bookmarkStart w:id="168" w:name="_Toc15377223"/>
      <w:r>
        <w:rPr>
          <w:rFonts w:hint="eastAsia" w:ascii="仿宋" w:eastAsia="仿宋"/>
          <w:b/>
          <w:color w:val="000000"/>
          <w:sz w:val="32"/>
          <w:szCs w:val="32"/>
        </w:rPr>
        <w:t>（二）政府采购支出情况</w:t>
      </w:r>
      <w:bookmarkEnd w:id="165"/>
      <w:bookmarkEnd w:id="166"/>
      <w:bookmarkEnd w:id="167"/>
      <w:bookmarkEnd w:id="168"/>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茂县消委会管理服务中心政府采购支出总额</w:t>
      </w:r>
      <w:r>
        <w:rPr>
          <w:rFonts w:ascii="仿宋_GB2312" w:eastAsia="仿宋_GB2312"/>
          <w:color w:val="000000"/>
          <w:sz w:val="32"/>
          <w:szCs w:val="32"/>
        </w:rPr>
        <w:t>0</w:t>
      </w:r>
      <w:r>
        <w:rPr>
          <w:rFonts w:hint="eastAsia" w:ascii="仿宋_GB2312" w:eastAsia="仿宋_GB2312"/>
          <w:color w:val="000000"/>
          <w:sz w:val="32"/>
          <w:szCs w:val="32"/>
        </w:rPr>
        <w:t>万元。</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169" w:name="_Toc11371"/>
      <w:bookmarkStart w:id="170" w:name="_Toc79163627"/>
      <w:bookmarkStart w:id="171" w:name="_Toc21425"/>
      <w:bookmarkStart w:id="172" w:name="_Toc15377224"/>
      <w:r>
        <w:rPr>
          <w:rFonts w:hint="eastAsia" w:ascii="仿宋" w:eastAsia="仿宋"/>
          <w:b/>
          <w:color w:val="000000"/>
          <w:sz w:val="32"/>
          <w:szCs w:val="32"/>
        </w:rPr>
        <w:t>（三）国有资产占有使用情况</w:t>
      </w:r>
      <w:bookmarkEnd w:id="169"/>
      <w:bookmarkEnd w:id="170"/>
      <w:bookmarkEnd w:id="171"/>
      <w:bookmarkEnd w:id="172"/>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2021年12月31</w:t>
      </w:r>
      <w:r>
        <w:rPr>
          <w:rFonts w:hint="eastAsia" w:ascii="仿宋_GB2312" w:eastAsia="仿宋_GB2312"/>
          <w:color w:val="000000"/>
          <w:sz w:val="32"/>
          <w:szCs w:val="32"/>
        </w:rPr>
        <w:t>日，我局共有车辆12辆，其中：主要领导干部用车0辆、机要通信用车0辆、应急保障用车0辆、执法执勤车辆7</w:t>
      </w:r>
      <w:r>
        <w:rPr>
          <w:rFonts w:hint="eastAsia" w:ascii="仿宋_GB2312" w:eastAsia="仿宋_GB2312"/>
          <w:color w:val="000000"/>
          <w:sz w:val="32"/>
          <w:szCs w:val="32"/>
          <w:lang w:eastAsia="zh-CN"/>
        </w:rPr>
        <w:t>辆</w:t>
      </w:r>
      <w:r>
        <w:rPr>
          <w:rFonts w:hint="eastAsia" w:ascii="仿宋_GB2312" w:eastAsia="仿宋_GB2312"/>
          <w:color w:val="000000"/>
          <w:sz w:val="32"/>
          <w:szCs w:val="32"/>
        </w:rPr>
        <w:t>，其他用车5辆。其他用车主要是用于市场监督检查的电瓶车。单价</w:t>
      </w:r>
      <w:r>
        <w:rPr>
          <w:rFonts w:ascii="仿宋_GB2312" w:eastAsia="仿宋_GB2312"/>
          <w:color w:val="000000"/>
          <w:sz w:val="32"/>
          <w:szCs w:val="32"/>
        </w:rPr>
        <w:t>50</w:t>
      </w:r>
      <w:r>
        <w:rPr>
          <w:rFonts w:hint="eastAsia" w:ascii="仿宋_GB2312" w:eastAsia="仿宋_GB2312"/>
          <w:color w:val="000000"/>
          <w:sz w:val="32"/>
          <w:szCs w:val="32"/>
        </w:rPr>
        <w:t>万元以上通用设备1台，单价</w:t>
      </w:r>
      <w:r>
        <w:rPr>
          <w:rFonts w:ascii="仿宋_GB2312" w:eastAsia="仿宋_GB2312"/>
          <w:color w:val="000000"/>
          <w:sz w:val="32"/>
          <w:szCs w:val="32"/>
        </w:rPr>
        <w:t>100</w:t>
      </w:r>
      <w:r>
        <w:rPr>
          <w:rFonts w:hint="eastAsia" w:ascii="仿宋_GB2312" w:eastAsia="仿宋_GB2312"/>
          <w:color w:val="000000"/>
          <w:sz w:val="32"/>
          <w:szCs w:val="32"/>
        </w:rPr>
        <w:t>万元以上专用设备0台。</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173" w:name="_Toc5434"/>
      <w:bookmarkStart w:id="174" w:name="_Toc22088"/>
      <w:bookmarkStart w:id="175" w:name="_Toc79163628"/>
      <w:r>
        <w:rPr>
          <w:rFonts w:hint="eastAsia" w:ascii="仿宋" w:eastAsia="仿宋"/>
          <w:b/>
          <w:color w:val="000000"/>
          <w:sz w:val="32"/>
          <w:szCs w:val="32"/>
        </w:rPr>
        <w:t>（四）预算绩效管理情况。</w:t>
      </w:r>
      <w:bookmarkEnd w:id="173"/>
      <w:bookmarkEnd w:id="174"/>
      <w:bookmarkEnd w:id="175"/>
    </w:p>
    <w:p>
      <w:pPr>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根据预算绩效管理要求，</w:t>
      </w:r>
      <w:r>
        <w:rPr>
          <w:rFonts w:ascii="仿宋_GB2312" w:eastAsia="仿宋_GB2312"/>
          <w:color w:val="000000"/>
          <w:sz w:val="32"/>
          <w:szCs w:val="32"/>
        </w:rPr>
        <w:t>消委会管理服务中心2021年无项目经费。</w:t>
      </w:r>
    </w:p>
    <w:p>
      <w:pPr>
        <w:spacing w:line="594" w:lineRule="exact"/>
        <w:ind w:firstLine="640" w:firstLineChars="200"/>
        <w:rPr>
          <w:rFonts w:ascii="仿宋_GB2312" w:eastAsia="仿宋_GB2312"/>
          <w:color w:val="000000"/>
          <w:sz w:val="32"/>
          <w:szCs w:val="32"/>
        </w:rPr>
      </w:pPr>
    </w:p>
    <w:p>
      <w:pPr>
        <w:numPr>
          <w:ilvl w:val="0"/>
          <w:numId w:val="3"/>
        </w:numPr>
        <w:spacing w:line="600" w:lineRule="exact"/>
        <w:ind w:left="0" w:firstLine="660" w:firstLineChars="150"/>
        <w:jc w:val="center"/>
        <w:outlineLvl w:val="0"/>
        <w:rPr>
          <w:rStyle w:val="24"/>
          <w:rFonts w:ascii="黑体" w:eastAsia="黑体"/>
          <w:b w:val="0"/>
        </w:rPr>
      </w:pPr>
      <w:bookmarkStart w:id="176" w:name="_Toc25284"/>
      <w:bookmarkStart w:id="177" w:name="_Toc15377225"/>
      <w:bookmarkStart w:id="178" w:name="_Toc7221"/>
      <w:bookmarkStart w:id="179" w:name="_Toc15396613"/>
      <w:bookmarkStart w:id="180" w:name="_Toc79163629"/>
      <w:bookmarkStart w:id="181" w:name="_Toc2707"/>
      <w:bookmarkStart w:id="182" w:name="_Toc22340"/>
      <w:r>
        <w:rPr>
          <w:rFonts w:hint="eastAsia" w:ascii="黑体" w:eastAsia="黑体"/>
          <w:color w:val="000000"/>
          <w:sz w:val="44"/>
          <w:szCs w:val="44"/>
        </w:rPr>
        <w:t>名</w:t>
      </w:r>
      <w:r>
        <w:rPr>
          <w:rStyle w:val="24"/>
          <w:rFonts w:hint="eastAsia" w:ascii="黑体" w:eastAsia="黑体"/>
          <w:b w:val="0"/>
        </w:rPr>
        <w:t>词解释</w:t>
      </w:r>
      <w:bookmarkEnd w:id="176"/>
      <w:bookmarkEnd w:id="177"/>
      <w:bookmarkEnd w:id="178"/>
      <w:bookmarkEnd w:id="179"/>
      <w:bookmarkEnd w:id="180"/>
      <w:bookmarkEnd w:id="181"/>
      <w:bookmarkEnd w:id="182"/>
    </w:p>
    <w:p>
      <w:pPr>
        <w:pStyle w:val="29"/>
        <w:spacing w:line="594"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9"/>
        <w:spacing w:line="594"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9"/>
        <w:spacing w:line="594"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9"/>
        <w:spacing w:line="594"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9"/>
        <w:spacing w:line="594"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9"/>
        <w:spacing w:line="594"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9"/>
        <w:spacing w:line="594"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9"/>
        <w:spacing w:line="594"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94" w:lineRule="exact"/>
        <w:ind w:firstLine="640" w:firstLineChars="200"/>
        <w:outlineLvl w:val="1"/>
        <w:rPr>
          <w:rFonts w:ascii="仿宋_GB2312" w:eastAsia="仿宋_GB2312"/>
          <w:color w:val="000000"/>
          <w:sz w:val="32"/>
          <w:szCs w:val="32"/>
        </w:rPr>
      </w:pPr>
      <w:bookmarkStart w:id="183" w:name="_Toc29815"/>
      <w:bookmarkStart w:id="184" w:name="_Toc51662610"/>
      <w:bookmarkStart w:id="185" w:name="_Toc21729"/>
      <w:bookmarkStart w:id="186" w:name="_Toc19292"/>
      <w:bookmarkStart w:id="187" w:name="_Toc25736"/>
      <w:bookmarkStart w:id="188" w:name="_Toc51662798"/>
      <w:bookmarkStart w:id="189" w:name="_Toc30304"/>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一般公共服务（类）市场监督管理事务（款）行政运行（项）</w:t>
      </w:r>
      <w:r>
        <w:rPr>
          <w:rFonts w:ascii="仿宋_GB2312" w:eastAsia="仿宋_GB2312"/>
          <w:color w:val="000000"/>
          <w:sz w:val="32"/>
          <w:szCs w:val="32"/>
        </w:rPr>
        <w:t>:</w:t>
      </w:r>
      <w:r>
        <w:rPr>
          <w:rFonts w:hint="eastAsia" w:ascii="仿宋_GB2312" w:eastAsia="仿宋_GB2312"/>
          <w:color w:val="000000"/>
          <w:sz w:val="32"/>
          <w:szCs w:val="32"/>
        </w:rPr>
        <w:t>指市场监督管理事务中行政运行支出。</w:t>
      </w:r>
      <w:bookmarkEnd w:id="183"/>
      <w:bookmarkEnd w:id="184"/>
      <w:bookmarkEnd w:id="185"/>
      <w:bookmarkEnd w:id="186"/>
      <w:bookmarkEnd w:id="187"/>
      <w:bookmarkEnd w:id="188"/>
      <w:bookmarkEnd w:id="189"/>
    </w:p>
    <w:p>
      <w:pPr>
        <w:spacing w:line="594" w:lineRule="exact"/>
        <w:ind w:firstLine="640" w:firstLineChars="200"/>
        <w:outlineLvl w:val="1"/>
        <w:rPr>
          <w:rFonts w:ascii="仿宋_GB2312" w:eastAsia="仿宋_GB2312"/>
          <w:color w:val="000000"/>
          <w:sz w:val="32"/>
          <w:szCs w:val="32"/>
        </w:rPr>
      </w:pPr>
      <w:bookmarkStart w:id="190" w:name="_Toc8799"/>
      <w:bookmarkStart w:id="191" w:name="_Toc7568"/>
      <w:bookmarkStart w:id="192" w:name="_Toc1790"/>
      <w:bookmarkStart w:id="193" w:name="_Toc22853"/>
      <w:bookmarkStart w:id="194" w:name="_Toc51662799"/>
      <w:bookmarkStart w:id="195" w:name="_Toc22505"/>
      <w:bookmarkStart w:id="196" w:name="_Toc51662611"/>
      <w:r>
        <w:rPr>
          <w:rFonts w:hint="eastAsia" w:ascii="仿宋_GB2312" w:eastAsia="仿宋_GB2312"/>
          <w:color w:val="000000"/>
          <w:sz w:val="32"/>
          <w:szCs w:val="32"/>
        </w:rPr>
        <w:t>11</w:t>
      </w:r>
      <w:r>
        <w:rPr>
          <w:rFonts w:ascii="仿宋_GB2312" w:eastAsia="仿宋_GB2312"/>
          <w:color w:val="000000"/>
          <w:sz w:val="32"/>
          <w:szCs w:val="32"/>
        </w:rPr>
        <w:t xml:space="preserve">. </w:t>
      </w:r>
      <w:r>
        <w:rPr>
          <w:rFonts w:hint="eastAsia" w:ascii="仿宋_GB2312" w:eastAsia="仿宋_GB2312"/>
          <w:color w:val="000000"/>
          <w:sz w:val="32"/>
          <w:szCs w:val="32"/>
        </w:rPr>
        <w:t>一般公共服务（类）市场监督管理事务（款）一般行政管理事务（项）</w:t>
      </w:r>
      <w:r>
        <w:rPr>
          <w:rFonts w:ascii="仿宋_GB2312" w:eastAsia="仿宋_GB2312"/>
          <w:color w:val="000000"/>
          <w:sz w:val="32"/>
          <w:szCs w:val="32"/>
        </w:rPr>
        <w:t xml:space="preserve">: </w:t>
      </w:r>
      <w:r>
        <w:rPr>
          <w:rFonts w:hint="eastAsia" w:ascii="仿宋_GB2312" w:eastAsia="仿宋_GB2312"/>
          <w:color w:val="000000"/>
          <w:sz w:val="32"/>
          <w:szCs w:val="32"/>
        </w:rPr>
        <w:t>指市场监督管理事务一般行政管理事务。</w:t>
      </w:r>
      <w:bookmarkEnd w:id="190"/>
      <w:bookmarkEnd w:id="191"/>
      <w:bookmarkEnd w:id="192"/>
      <w:bookmarkEnd w:id="193"/>
      <w:bookmarkEnd w:id="194"/>
      <w:bookmarkEnd w:id="195"/>
      <w:bookmarkEnd w:id="196"/>
    </w:p>
    <w:p>
      <w:pPr>
        <w:spacing w:line="594" w:lineRule="exact"/>
        <w:ind w:firstLine="640" w:firstLineChars="200"/>
        <w:outlineLvl w:val="1"/>
        <w:rPr>
          <w:rFonts w:ascii="仿宋_GB2312" w:eastAsia="仿宋_GB2312"/>
          <w:color w:val="000000"/>
          <w:sz w:val="32"/>
          <w:szCs w:val="32"/>
        </w:rPr>
      </w:pPr>
      <w:bookmarkStart w:id="197" w:name="_Toc32231"/>
      <w:bookmarkStart w:id="198" w:name="_Toc4701"/>
      <w:bookmarkStart w:id="199" w:name="_Toc51662800"/>
      <w:bookmarkStart w:id="200" w:name="_Toc12264"/>
      <w:bookmarkStart w:id="201" w:name="_Toc21578"/>
      <w:bookmarkStart w:id="202" w:name="_Toc5979"/>
      <w:bookmarkStart w:id="203" w:name="_Toc51662612"/>
      <w:r>
        <w:rPr>
          <w:rFonts w:hint="eastAsia" w:ascii="仿宋_GB2312" w:eastAsia="仿宋_GB2312"/>
          <w:color w:val="000000"/>
          <w:sz w:val="32"/>
          <w:szCs w:val="32"/>
        </w:rPr>
        <w:t>12.一般公共服务（类）市场监督管理事务（款）市场监督管理专项（项）</w:t>
      </w:r>
      <w:r>
        <w:rPr>
          <w:rFonts w:ascii="仿宋_GB2312" w:eastAsia="仿宋_GB2312"/>
          <w:color w:val="000000"/>
          <w:sz w:val="32"/>
          <w:szCs w:val="32"/>
        </w:rPr>
        <w:t xml:space="preserve">: </w:t>
      </w:r>
      <w:r>
        <w:rPr>
          <w:rFonts w:hint="eastAsia" w:ascii="仿宋_GB2312" w:eastAsia="仿宋_GB2312"/>
          <w:color w:val="000000"/>
          <w:sz w:val="32"/>
          <w:szCs w:val="32"/>
        </w:rPr>
        <w:t>指市场监督管理中专项检查支出。</w:t>
      </w:r>
      <w:bookmarkEnd w:id="197"/>
      <w:bookmarkEnd w:id="198"/>
      <w:bookmarkEnd w:id="199"/>
      <w:bookmarkEnd w:id="200"/>
      <w:bookmarkEnd w:id="201"/>
      <w:bookmarkEnd w:id="202"/>
      <w:bookmarkEnd w:id="203"/>
    </w:p>
    <w:p>
      <w:pPr>
        <w:spacing w:line="594" w:lineRule="exact"/>
        <w:ind w:firstLine="640" w:firstLineChars="200"/>
        <w:outlineLvl w:val="1"/>
        <w:rPr>
          <w:rFonts w:ascii="仿宋_GB2312" w:eastAsia="仿宋_GB2312"/>
          <w:color w:val="000000"/>
          <w:sz w:val="32"/>
          <w:szCs w:val="32"/>
        </w:rPr>
      </w:pPr>
      <w:bookmarkStart w:id="204" w:name="_Toc51662801"/>
      <w:bookmarkStart w:id="205" w:name="_Toc16172"/>
      <w:bookmarkStart w:id="206" w:name="_Toc13014"/>
      <w:bookmarkStart w:id="207" w:name="_Toc14320"/>
      <w:bookmarkStart w:id="208" w:name="_Toc9780"/>
      <w:bookmarkStart w:id="209" w:name="_Toc29858"/>
      <w:bookmarkStart w:id="210" w:name="_Toc51662613"/>
      <w:r>
        <w:rPr>
          <w:rFonts w:hint="eastAsia" w:ascii="仿宋_GB2312" w:eastAsia="仿宋_GB2312"/>
          <w:color w:val="000000"/>
          <w:sz w:val="32"/>
          <w:szCs w:val="32"/>
        </w:rPr>
        <w:t>13. 一般公共服务（类）市场监督管理事务（款）市场监管执法（项）</w:t>
      </w:r>
      <w:r>
        <w:rPr>
          <w:rFonts w:ascii="仿宋_GB2312" w:eastAsia="仿宋_GB2312"/>
          <w:color w:val="000000"/>
          <w:sz w:val="32"/>
          <w:szCs w:val="32"/>
        </w:rPr>
        <w:t xml:space="preserve">: </w:t>
      </w:r>
      <w:r>
        <w:rPr>
          <w:rFonts w:hint="eastAsia" w:ascii="仿宋_GB2312" w:eastAsia="仿宋_GB2312"/>
          <w:color w:val="000000"/>
          <w:sz w:val="32"/>
          <w:szCs w:val="32"/>
        </w:rPr>
        <w:t>指市场监督管理中执法监管支出。</w:t>
      </w:r>
      <w:bookmarkEnd w:id="204"/>
      <w:bookmarkEnd w:id="205"/>
      <w:bookmarkEnd w:id="206"/>
      <w:bookmarkEnd w:id="207"/>
      <w:bookmarkEnd w:id="208"/>
      <w:bookmarkEnd w:id="209"/>
      <w:bookmarkEnd w:id="210"/>
    </w:p>
    <w:p>
      <w:pPr>
        <w:spacing w:line="594" w:lineRule="exact"/>
        <w:ind w:firstLine="640" w:firstLineChars="200"/>
        <w:outlineLvl w:val="1"/>
        <w:rPr>
          <w:rFonts w:ascii="仿宋_GB2312" w:eastAsia="仿宋_GB2312"/>
          <w:color w:val="000000"/>
          <w:sz w:val="32"/>
          <w:szCs w:val="32"/>
        </w:rPr>
      </w:pPr>
      <w:bookmarkStart w:id="211" w:name="_Toc51662614"/>
      <w:bookmarkStart w:id="212" w:name="_Toc8902"/>
      <w:bookmarkStart w:id="213" w:name="_Toc19750"/>
      <w:bookmarkStart w:id="214" w:name="_Toc23287"/>
      <w:bookmarkStart w:id="215" w:name="_Toc10083"/>
      <w:bookmarkStart w:id="216" w:name="_Toc51662802"/>
      <w:bookmarkStart w:id="217" w:name="_Toc22598"/>
      <w:r>
        <w:rPr>
          <w:rFonts w:hint="eastAsia" w:ascii="仿宋_GB2312" w:eastAsia="仿宋_GB2312"/>
          <w:color w:val="000000"/>
          <w:sz w:val="32"/>
          <w:szCs w:val="32"/>
        </w:rPr>
        <w:t>14.一般公共服务（类）市场监督管理事务（款）药品事务（项）</w:t>
      </w:r>
      <w:r>
        <w:rPr>
          <w:rFonts w:ascii="仿宋_GB2312" w:eastAsia="仿宋_GB2312"/>
          <w:color w:val="000000"/>
          <w:sz w:val="32"/>
          <w:szCs w:val="32"/>
        </w:rPr>
        <w:t>:</w:t>
      </w:r>
      <w:r>
        <w:rPr>
          <w:rFonts w:hint="eastAsia" w:ascii="仿宋_GB2312" w:eastAsia="仿宋_GB2312"/>
          <w:color w:val="000000"/>
          <w:sz w:val="32"/>
          <w:szCs w:val="32"/>
        </w:rPr>
        <w:t>市场监督管理中药品及不良反应、执法检督支出。</w:t>
      </w:r>
      <w:bookmarkEnd w:id="211"/>
      <w:bookmarkEnd w:id="212"/>
      <w:bookmarkEnd w:id="213"/>
      <w:bookmarkEnd w:id="214"/>
      <w:bookmarkEnd w:id="215"/>
      <w:bookmarkEnd w:id="216"/>
      <w:bookmarkEnd w:id="217"/>
    </w:p>
    <w:p>
      <w:pPr>
        <w:spacing w:line="594" w:lineRule="exact"/>
        <w:ind w:firstLine="640" w:firstLineChars="200"/>
        <w:outlineLvl w:val="1"/>
        <w:rPr>
          <w:rFonts w:ascii="仿宋_GB2312" w:eastAsia="仿宋_GB2312"/>
          <w:color w:val="000000"/>
          <w:sz w:val="32"/>
          <w:szCs w:val="32"/>
        </w:rPr>
      </w:pPr>
      <w:bookmarkStart w:id="218" w:name="_Toc6236"/>
      <w:bookmarkStart w:id="219" w:name="_Toc51662615"/>
      <w:bookmarkStart w:id="220" w:name="_Toc8836"/>
      <w:bookmarkStart w:id="221" w:name="_Toc14210"/>
      <w:bookmarkStart w:id="222" w:name="_Toc7960"/>
      <w:bookmarkStart w:id="223" w:name="_Toc12017"/>
      <w:bookmarkStart w:id="224" w:name="_Toc51662803"/>
      <w:r>
        <w:rPr>
          <w:rFonts w:hint="eastAsia" w:ascii="仿宋_GB2312" w:eastAsia="仿宋_GB2312"/>
          <w:color w:val="000000"/>
          <w:sz w:val="32"/>
          <w:szCs w:val="32"/>
        </w:rPr>
        <w:t>15. 一般公共服务（类）市场监督管理事务（款）事业运行（项）</w:t>
      </w:r>
      <w:r>
        <w:rPr>
          <w:rFonts w:ascii="仿宋_GB2312" w:eastAsia="仿宋_GB2312"/>
          <w:color w:val="000000"/>
          <w:sz w:val="32"/>
          <w:szCs w:val="32"/>
        </w:rPr>
        <w:t xml:space="preserve">: </w:t>
      </w:r>
      <w:r>
        <w:rPr>
          <w:rFonts w:hint="eastAsia" w:ascii="仿宋_GB2312" w:eastAsia="仿宋_GB2312"/>
          <w:color w:val="000000"/>
          <w:sz w:val="32"/>
          <w:szCs w:val="32"/>
        </w:rPr>
        <w:t>市场监督管理中事业支出。</w:t>
      </w:r>
      <w:bookmarkEnd w:id="218"/>
      <w:bookmarkEnd w:id="219"/>
      <w:bookmarkEnd w:id="220"/>
      <w:bookmarkEnd w:id="221"/>
      <w:bookmarkEnd w:id="222"/>
      <w:bookmarkEnd w:id="223"/>
      <w:bookmarkEnd w:id="224"/>
    </w:p>
    <w:p>
      <w:pPr>
        <w:spacing w:line="594" w:lineRule="exact"/>
        <w:ind w:firstLine="640" w:firstLineChars="200"/>
        <w:outlineLvl w:val="1"/>
        <w:rPr>
          <w:rFonts w:ascii="仿宋_GB2312" w:eastAsia="仿宋_GB2312"/>
          <w:color w:val="000000"/>
          <w:sz w:val="32"/>
          <w:szCs w:val="32"/>
        </w:rPr>
      </w:pPr>
      <w:bookmarkStart w:id="225" w:name="_Toc8948"/>
      <w:bookmarkStart w:id="226" w:name="_Toc51662804"/>
      <w:bookmarkStart w:id="227" w:name="_Toc2588"/>
      <w:bookmarkStart w:id="228" w:name="_Toc11966"/>
      <w:bookmarkStart w:id="229" w:name="_Toc6311"/>
      <w:bookmarkStart w:id="230" w:name="_Toc51662616"/>
      <w:bookmarkStart w:id="231" w:name="_Toc10570"/>
      <w:r>
        <w:rPr>
          <w:rFonts w:hint="eastAsia" w:ascii="仿宋_GB2312" w:eastAsia="仿宋_GB2312"/>
          <w:color w:val="000000"/>
          <w:sz w:val="32"/>
          <w:szCs w:val="32"/>
        </w:rPr>
        <w:t>16. 一般公共服务（类）市场监督管理事务（款）其他市场监督管理事务（项）</w:t>
      </w:r>
      <w:r>
        <w:rPr>
          <w:rFonts w:ascii="仿宋_GB2312" w:eastAsia="仿宋_GB2312"/>
          <w:color w:val="000000"/>
          <w:sz w:val="32"/>
          <w:szCs w:val="32"/>
        </w:rPr>
        <w:t xml:space="preserve">: </w:t>
      </w:r>
      <w:r>
        <w:rPr>
          <w:rFonts w:hint="eastAsia" w:ascii="仿宋_GB2312" w:eastAsia="仿宋_GB2312"/>
          <w:color w:val="000000"/>
          <w:sz w:val="32"/>
          <w:szCs w:val="32"/>
        </w:rPr>
        <w:t>市场管理管理避其他支出，如抽检、餐饮、流通监管支出。</w:t>
      </w:r>
      <w:bookmarkEnd w:id="225"/>
      <w:bookmarkEnd w:id="226"/>
      <w:bookmarkEnd w:id="227"/>
      <w:bookmarkEnd w:id="228"/>
      <w:bookmarkEnd w:id="229"/>
      <w:bookmarkEnd w:id="230"/>
      <w:bookmarkEnd w:id="231"/>
    </w:p>
    <w:p>
      <w:pPr>
        <w:spacing w:line="594" w:lineRule="exact"/>
        <w:ind w:firstLine="640" w:firstLineChars="200"/>
        <w:outlineLvl w:val="1"/>
        <w:rPr>
          <w:rFonts w:ascii="仿宋_GB2312" w:eastAsia="仿宋_GB2312"/>
          <w:color w:val="000000"/>
          <w:sz w:val="32"/>
          <w:szCs w:val="32"/>
        </w:rPr>
      </w:pPr>
      <w:bookmarkStart w:id="232" w:name="_Toc2182"/>
      <w:bookmarkStart w:id="233" w:name="_Toc4901"/>
      <w:bookmarkStart w:id="234" w:name="_Toc51662805"/>
      <w:bookmarkStart w:id="235" w:name="_Toc16237"/>
      <w:bookmarkStart w:id="236" w:name="_Toc51662617"/>
      <w:bookmarkStart w:id="237" w:name="_Toc25784"/>
      <w:bookmarkStart w:id="238" w:name="_Toc19411"/>
      <w:r>
        <w:rPr>
          <w:rFonts w:hint="eastAsia" w:ascii="仿宋_GB2312" w:eastAsia="仿宋_GB2312"/>
          <w:color w:val="000000"/>
          <w:sz w:val="32"/>
          <w:szCs w:val="32"/>
        </w:rPr>
        <w:t>17</w:t>
      </w:r>
      <w:r>
        <w:rPr>
          <w:rFonts w:ascii="仿宋_GB2312" w:eastAsia="仿宋_GB2312"/>
          <w:color w:val="000000"/>
          <w:sz w:val="32"/>
          <w:szCs w:val="32"/>
        </w:rPr>
        <w:t>.</w:t>
      </w:r>
      <w:r>
        <w:rPr>
          <w:rFonts w:hint="eastAsia" w:ascii="仿宋_GB2312" w:eastAsia="仿宋_GB2312"/>
          <w:color w:val="000000"/>
          <w:sz w:val="32"/>
          <w:szCs w:val="32"/>
        </w:rPr>
        <w:t>社会保障和就业（类）行政事业单位离退休（款）机关事业单位基本养老保险缴费支出（项）</w:t>
      </w:r>
      <w:r>
        <w:rPr>
          <w:rFonts w:ascii="仿宋_GB2312" w:eastAsia="仿宋_GB2312"/>
          <w:color w:val="000000"/>
          <w:sz w:val="32"/>
          <w:szCs w:val="32"/>
        </w:rPr>
        <w:t xml:space="preserve">: </w:t>
      </w:r>
      <w:r>
        <w:rPr>
          <w:rFonts w:hint="eastAsia" w:ascii="仿宋_GB2312" w:eastAsia="仿宋_GB2312"/>
          <w:color w:val="000000"/>
          <w:sz w:val="32"/>
          <w:szCs w:val="32"/>
        </w:rPr>
        <w:t>指机关中基本养老保险支出。</w:t>
      </w:r>
      <w:bookmarkEnd w:id="232"/>
      <w:bookmarkEnd w:id="233"/>
      <w:bookmarkEnd w:id="234"/>
      <w:bookmarkEnd w:id="235"/>
      <w:bookmarkEnd w:id="236"/>
      <w:bookmarkEnd w:id="237"/>
      <w:bookmarkEnd w:id="238"/>
    </w:p>
    <w:p>
      <w:pPr>
        <w:spacing w:line="594" w:lineRule="exact"/>
        <w:ind w:firstLine="640" w:firstLineChars="200"/>
        <w:outlineLvl w:val="1"/>
        <w:rPr>
          <w:rFonts w:ascii="仿宋_GB2312" w:eastAsia="仿宋_GB2312"/>
          <w:color w:val="000000"/>
          <w:sz w:val="32"/>
          <w:szCs w:val="32"/>
        </w:rPr>
      </w:pPr>
      <w:bookmarkStart w:id="239" w:name="_Toc18465"/>
      <w:bookmarkStart w:id="240" w:name="_Toc5433"/>
      <w:bookmarkStart w:id="241" w:name="_Toc51662618"/>
      <w:bookmarkStart w:id="242" w:name="_Toc22452"/>
      <w:bookmarkStart w:id="243" w:name="_Toc20634"/>
      <w:bookmarkStart w:id="244" w:name="_Toc8871"/>
      <w:bookmarkStart w:id="245" w:name="_Toc51662806"/>
      <w:r>
        <w:rPr>
          <w:rFonts w:hint="eastAsia" w:ascii="仿宋_GB2312" w:eastAsia="仿宋_GB2312"/>
          <w:color w:val="000000"/>
          <w:sz w:val="32"/>
          <w:szCs w:val="32"/>
        </w:rPr>
        <w:t>18</w:t>
      </w:r>
      <w:r>
        <w:rPr>
          <w:rFonts w:ascii="仿宋_GB2312" w:eastAsia="仿宋_GB2312"/>
          <w:color w:val="000000"/>
          <w:sz w:val="32"/>
          <w:szCs w:val="32"/>
        </w:rPr>
        <w:t>.</w:t>
      </w:r>
      <w:r>
        <w:rPr>
          <w:rFonts w:hint="eastAsia" w:ascii="仿宋_GB2312" w:eastAsia="仿宋_GB2312"/>
          <w:color w:val="000000"/>
          <w:sz w:val="32"/>
          <w:szCs w:val="32"/>
        </w:rPr>
        <w:t>社会保障和就业（类）行政事业单位离退休（款）机关事业单位职业年金缴费出（项）</w:t>
      </w:r>
      <w:r>
        <w:rPr>
          <w:rFonts w:ascii="仿宋_GB2312" w:eastAsia="仿宋_GB2312"/>
          <w:color w:val="000000"/>
          <w:sz w:val="32"/>
          <w:szCs w:val="32"/>
        </w:rPr>
        <w:t>:</w:t>
      </w:r>
      <w:r>
        <w:rPr>
          <w:rFonts w:hint="eastAsia" w:ascii="仿宋_GB2312" w:eastAsia="仿宋_GB2312"/>
          <w:color w:val="000000"/>
          <w:sz w:val="32"/>
          <w:szCs w:val="32"/>
        </w:rPr>
        <w:t>指职业年金支出。</w:t>
      </w:r>
      <w:bookmarkEnd w:id="239"/>
      <w:bookmarkEnd w:id="240"/>
      <w:bookmarkEnd w:id="241"/>
      <w:bookmarkEnd w:id="242"/>
      <w:bookmarkEnd w:id="243"/>
      <w:bookmarkEnd w:id="244"/>
      <w:bookmarkEnd w:id="245"/>
    </w:p>
    <w:p>
      <w:pPr>
        <w:spacing w:line="594" w:lineRule="exact"/>
        <w:ind w:firstLine="640" w:firstLineChars="200"/>
        <w:outlineLvl w:val="1"/>
        <w:rPr>
          <w:rFonts w:ascii="仿宋_GB2312" w:eastAsia="仿宋_GB2312"/>
          <w:color w:val="000000"/>
          <w:sz w:val="32"/>
          <w:szCs w:val="32"/>
        </w:rPr>
      </w:pPr>
      <w:bookmarkStart w:id="246" w:name="_Toc51662619"/>
      <w:bookmarkStart w:id="247" w:name="_Toc4057"/>
      <w:bookmarkStart w:id="248" w:name="_Toc29015"/>
      <w:bookmarkStart w:id="249" w:name="_Toc30736"/>
      <w:bookmarkStart w:id="250" w:name="_Toc51662807"/>
      <w:bookmarkStart w:id="251" w:name="_Toc28730"/>
      <w:bookmarkStart w:id="252" w:name="_Toc3577"/>
      <w:r>
        <w:rPr>
          <w:rFonts w:hint="eastAsia" w:ascii="仿宋_GB2312" w:eastAsia="仿宋_GB2312"/>
          <w:color w:val="000000"/>
          <w:sz w:val="32"/>
          <w:szCs w:val="32"/>
        </w:rPr>
        <w:t>19</w:t>
      </w:r>
      <w:r>
        <w:rPr>
          <w:rFonts w:ascii="仿宋_GB2312" w:eastAsia="仿宋_GB2312"/>
          <w:color w:val="000000"/>
          <w:sz w:val="32"/>
          <w:szCs w:val="32"/>
        </w:rPr>
        <w:t>.</w:t>
      </w:r>
      <w:r>
        <w:rPr>
          <w:rFonts w:hint="eastAsia" w:ascii="仿宋_GB2312" w:eastAsia="仿宋_GB2312"/>
          <w:color w:val="000000"/>
          <w:sz w:val="32"/>
          <w:szCs w:val="32"/>
        </w:rPr>
        <w:t>卫生健康（类）公共卫生（款）重大公共卫生专项（项）</w:t>
      </w:r>
      <w:r>
        <w:rPr>
          <w:rFonts w:ascii="仿宋_GB2312" w:eastAsia="仿宋_GB2312"/>
          <w:color w:val="000000"/>
          <w:sz w:val="32"/>
          <w:szCs w:val="32"/>
        </w:rPr>
        <w:t>:</w:t>
      </w:r>
      <w:r>
        <w:rPr>
          <w:rFonts w:hint="eastAsia" w:ascii="仿宋_GB2312" w:eastAsia="仿宋_GB2312"/>
          <w:color w:val="000000"/>
          <w:sz w:val="32"/>
          <w:szCs w:val="32"/>
        </w:rPr>
        <w:t>指重大公共卫生支出及基层能力建设。</w:t>
      </w:r>
      <w:bookmarkEnd w:id="246"/>
      <w:bookmarkEnd w:id="247"/>
      <w:bookmarkEnd w:id="248"/>
      <w:bookmarkEnd w:id="249"/>
      <w:bookmarkEnd w:id="250"/>
      <w:bookmarkEnd w:id="251"/>
      <w:bookmarkEnd w:id="252"/>
    </w:p>
    <w:p>
      <w:pPr>
        <w:spacing w:line="594" w:lineRule="exact"/>
        <w:ind w:firstLine="640" w:firstLineChars="200"/>
        <w:outlineLvl w:val="1"/>
        <w:rPr>
          <w:rFonts w:ascii="仿宋_GB2312" w:eastAsia="仿宋_GB2312"/>
          <w:color w:val="000000"/>
          <w:sz w:val="32"/>
          <w:szCs w:val="32"/>
        </w:rPr>
      </w:pPr>
      <w:bookmarkStart w:id="253" w:name="_Toc16279"/>
      <w:bookmarkStart w:id="254" w:name="_Toc51662620"/>
      <w:bookmarkStart w:id="255" w:name="_Toc28223"/>
      <w:bookmarkStart w:id="256" w:name="_Toc25963"/>
      <w:bookmarkStart w:id="257" w:name="_Toc28074"/>
      <w:bookmarkStart w:id="258" w:name="_Toc51662808"/>
      <w:bookmarkStart w:id="259" w:name="_Toc20757"/>
      <w:r>
        <w:rPr>
          <w:rFonts w:hint="eastAsia" w:ascii="仿宋_GB2312" w:eastAsia="仿宋_GB2312"/>
          <w:color w:val="000000"/>
          <w:sz w:val="32"/>
          <w:szCs w:val="32"/>
        </w:rPr>
        <w:t>20</w:t>
      </w:r>
      <w:r>
        <w:rPr>
          <w:rFonts w:ascii="仿宋_GB2312" w:eastAsia="仿宋_GB2312"/>
          <w:color w:val="000000"/>
          <w:sz w:val="32"/>
          <w:szCs w:val="32"/>
        </w:rPr>
        <w:t>.</w:t>
      </w:r>
      <w:r>
        <w:rPr>
          <w:rFonts w:hint="eastAsia" w:ascii="仿宋_GB2312" w:eastAsia="仿宋_GB2312"/>
          <w:color w:val="000000"/>
          <w:sz w:val="32"/>
          <w:szCs w:val="32"/>
        </w:rPr>
        <w:t>卫生健康（类）行政事业单位医疗（款）行政单位医疗（项）：指行政人员医疗保险支出。</w:t>
      </w:r>
      <w:bookmarkEnd w:id="253"/>
      <w:bookmarkEnd w:id="254"/>
      <w:bookmarkEnd w:id="255"/>
      <w:bookmarkEnd w:id="256"/>
      <w:bookmarkEnd w:id="257"/>
      <w:bookmarkEnd w:id="258"/>
      <w:bookmarkEnd w:id="259"/>
    </w:p>
    <w:p>
      <w:pPr>
        <w:spacing w:line="594" w:lineRule="exact"/>
        <w:ind w:firstLine="640" w:firstLineChars="200"/>
        <w:outlineLvl w:val="1"/>
        <w:rPr>
          <w:rFonts w:ascii="仿宋_GB2312" w:eastAsia="仿宋_GB2312"/>
          <w:color w:val="000000"/>
          <w:sz w:val="32"/>
          <w:szCs w:val="32"/>
        </w:rPr>
      </w:pPr>
      <w:bookmarkStart w:id="260" w:name="_Toc8553"/>
      <w:bookmarkStart w:id="261" w:name="_Toc30359"/>
      <w:bookmarkStart w:id="262" w:name="_Toc23601"/>
      <w:bookmarkStart w:id="263" w:name="_Toc51662809"/>
      <w:bookmarkStart w:id="264" w:name="_Toc22157"/>
      <w:bookmarkStart w:id="265" w:name="_Toc51662621"/>
      <w:bookmarkStart w:id="266" w:name="_Toc14684"/>
      <w:r>
        <w:rPr>
          <w:rFonts w:hint="eastAsia" w:ascii="仿宋_GB2312" w:eastAsia="仿宋_GB2312"/>
          <w:color w:val="000000"/>
          <w:sz w:val="32"/>
          <w:szCs w:val="32"/>
        </w:rPr>
        <w:t>21</w:t>
      </w:r>
      <w:r>
        <w:rPr>
          <w:rFonts w:ascii="仿宋_GB2312" w:eastAsia="仿宋_GB2312"/>
          <w:color w:val="000000"/>
          <w:sz w:val="32"/>
          <w:szCs w:val="32"/>
        </w:rPr>
        <w:t>.</w:t>
      </w:r>
      <w:r>
        <w:rPr>
          <w:rFonts w:hint="eastAsia" w:ascii="仿宋_GB2312" w:eastAsia="仿宋_GB2312"/>
          <w:color w:val="000000"/>
          <w:sz w:val="32"/>
          <w:szCs w:val="32"/>
        </w:rPr>
        <w:t>卫生健康（类）行政事业单位医疗（款）事业单位医疗（项）：指事业人员医疗保险支出。</w:t>
      </w:r>
      <w:bookmarkEnd w:id="260"/>
      <w:bookmarkEnd w:id="261"/>
      <w:bookmarkEnd w:id="262"/>
      <w:bookmarkEnd w:id="263"/>
      <w:bookmarkEnd w:id="264"/>
      <w:bookmarkEnd w:id="265"/>
      <w:bookmarkEnd w:id="266"/>
    </w:p>
    <w:p>
      <w:pPr>
        <w:spacing w:line="594" w:lineRule="exact"/>
        <w:ind w:firstLine="640" w:firstLineChars="200"/>
        <w:outlineLvl w:val="1"/>
        <w:rPr>
          <w:rFonts w:ascii="仿宋_GB2312" w:eastAsia="仿宋_GB2312"/>
          <w:color w:val="000000"/>
          <w:sz w:val="32"/>
          <w:szCs w:val="32"/>
        </w:rPr>
      </w:pPr>
      <w:bookmarkStart w:id="267" w:name="_Toc14988"/>
      <w:bookmarkStart w:id="268" w:name="_Toc21300"/>
      <w:bookmarkStart w:id="269" w:name="_Toc7753"/>
      <w:bookmarkStart w:id="270" w:name="_Toc28869"/>
      <w:bookmarkStart w:id="271" w:name="_Toc51662622"/>
      <w:bookmarkStart w:id="272" w:name="_Toc51662810"/>
      <w:bookmarkStart w:id="273" w:name="_Toc32432"/>
      <w:r>
        <w:rPr>
          <w:rFonts w:hint="eastAsia" w:ascii="仿宋_GB2312" w:eastAsia="仿宋_GB2312"/>
          <w:color w:val="000000"/>
          <w:sz w:val="32"/>
          <w:szCs w:val="32"/>
        </w:rPr>
        <w:t>22.农林水（类）扶贫（款）其他扶贫支出（项）：指第一书记经费支出。</w:t>
      </w:r>
      <w:bookmarkEnd w:id="267"/>
      <w:bookmarkEnd w:id="268"/>
      <w:bookmarkEnd w:id="269"/>
      <w:bookmarkEnd w:id="270"/>
      <w:bookmarkEnd w:id="271"/>
      <w:bookmarkEnd w:id="272"/>
      <w:bookmarkEnd w:id="273"/>
    </w:p>
    <w:p>
      <w:pPr>
        <w:spacing w:line="594" w:lineRule="exact"/>
        <w:ind w:firstLine="640" w:firstLineChars="200"/>
        <w:outlineLvl w:val="1"/>
        <w:rPr>
          <w:rFonts w:ascii="仿宋_GB2312" w:eastAsia="仿宋_GB2312"/>
          <w:color w:val="000000"/>
          <w:sz w:val="32"/>
          <w:szCs w:val="32"/>
        </w:rPr>
      </w:pPr>
      <w:bookmarkStart w:id="274" w:name="_Toc51662811"/>
      <w:bookmarkStart w:id="275" w:name="_Toc16689"/>
      <w:bookmarkStart w:id="276" w:name="_Toc31718"/>
      <w:bookmarkStart w:id="277" w:name="_Toc51662623"/>
      <w:bookmarkStart w:id="278" w:name="_Toc23692"/>
      <w:bookmarkStart w:id="279" w:name="_Toc415"/>
      <w:bookmarkStart w:id="280" w:name="_Toc6186"/>
      <w:r>
        <w:rPr>
          <w:rFonts w:hint="eastAsia" w:ascii="仿宋_GB2312" w:eastAsia="仿宋_GB2312"/>
          <w:color w:val="000000"/>
          <w:sz w:val="32"/>
          <w:szCs w:val="32"/>
        </w:rPr>
        <w:t>14.住房保障支出（类）住房改革支出（款）住房公积金（项）：指住房公积金支出。</w:t>
      </w:r>
      <w:bookmarkEnd w:id="274"/>
      <w:bookmarkEnd w:id="275"/>
      <w:bookmarkEnd w:id="276"/>
      <w:bookmarkEnd w:id="277"/>
      <w:bookmarkEnd w:id="278"/>
      <w:bookmarkEnd w:id="279"/>
      <w:bookmarkEnd w:id="280"/>
    </w:p>
    <w:p>
      <w:pPr>
        <w:spacing w:line="594" w:lineRule="exact"/>
        <w:ind w:firstLine="640" w:firstLineChars="200"/>
        <w:outlineLvl w:val="1"/>
        <w:rPr>
          <w:rFonts w:ascii="仿宋_GB2312" w:eastAsia="仿宋_GB2312"/>
          <w:color w:val="000000"/>
          <w:sz w:val="32"/>
          <w:szCs w:val="32"/>
        </w:rPr>
      </w:pPr>
      <w:bookmarkStart w:id="281" w:name="_Toc32431"/>
      <w:bookmarkStart w:id="282" w:name="_Toc51662812"/>
      <w:bookmarkStart w:id="283" w:name="_Toc3850"/>
      <w:bookmarkStart w:id="284" w:name="_Toc18978"/>
      <w:bookmarkStart w:id="285" w:name="_Toc24656"/>
      <w:bookmarkStart w:id="286" w:name="_Toc51662624"/>
      <w:bookmarkStart w:id="287" w:name="_Toc9095"/>
      <w:r>
        <w:rPr>
          <w:rFonts w:hint="eastAsia" w:ascii="仿宋_GB2312" w:eastAsia="仿宋_GB2312"/>
          <w:color w:val="000000"/>
          <w:sz w:val="32"/>
          <w:szCs w:val="32"/>
        </w:rPr>
        <w:t>15. 住房保障支出（类）住房改革支出（款）购房补贴（项）：指退休人员购房补贴。</w:t>
      </w:r>
      <w:bookmarkEnd w:id="281"/>
      <w:bookmarkEnd w:id="282"/>
      <w:bookmarkEnd w:id="283"/>
      <w:bookmarkEnd w:id="284"/>
      <w:bookmarkEnd w:id="285"/>
      <w:bookmarkEnd w:id="286"/>
      <w:bookmarkEnd w:id="287"/>
    </w:p>
    <w:p>
      <w:pPr>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9"/>
        <w:spacing w:line="594" w:lineRule="exact"/>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spacing w:line="594" w:lineRule="exact"/>
        <w:ind w:firstLine="640" w:firstLineChars="20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80" w:lineRule="exact"/>
        <w:ind w:firstLine="420" w:firstLineChars="200"/>
        <w:rPr>
          <w:rFonts w:ascii="仿宋_GB2312" w:eastAsia="仿宋_GB2312" w:cs="仿宋_GB2312"/>
          <w:sz w:val="32"/>
          <w:szCs w:val="32"/>
        </w:rPr>
      </w:pPr>
      <w:r>
        <w:rPr>
          <w:rFonts w:ascii="宋体"/>
          <w:color w:val="000000"/>
        </w:rPr>
        <w:br w:type="page"/>
      </w:r>
    </w:p>
    <w:p>
      <w:pPr>
        <w:spacing w:line="600" w:lineRule="exact"/>
        <w:jc w:val="center"/>
        <w:outlineLvl w:val="0"/>
        <w:rPr>
          <w:rStyle w:val="24"/>
          <w:rFonts w:ascii="黑体" w:eastAsia="黑体"/>
          <w:b w:val="0"/>
        </w:rPr>
      </w:pPr>
      <w:bookmarkStart w:id="288" w:name="_Toc32131"/>
      <w:r>
        <w:rPr>
          <w:rFonts w:hint="eastAsia" w:ascii="黑体" w:eastAsia="黑体"/>
          <w:color w:val="000000"/>
          <w:sz w:val="44"/>
          <w:szCs w:val="44"/>
        </w:rPr>
        <w:t>第</w:t>
      </w:r>
      <w:r>
        <w:rPr>
          <w:rStyle w:val="24"/>
          <w:rFonts w:hint="eastAsia" w:ascii="黑体" w:eastAsia="黑体"/>
          <w:b w:val="0"/>
        </w:rPr>
        <w:t>四部分</w:t>
      </w:r>
      <w:r>
        <w:rPr>
          <w:rStyle w:val="24"/>
          <w:rFonts w:ascii="黑体" w:eastAsia="黑体"/>
          <w:b w:val="0"/>
        </w:rPr>
        <w:t xml:space="preserve"> </w:t>
      </w:r>
      <w:r>
        <w:rPr>
          <w:rStyle w:val="24"/>
          <w:rFonts w:hint="eastAsia" w:ascii="黑体" w:eastAsia="黑体"/>
          <w:b w:val="0"/>
        </w:rPr>
        <w:t>附件</w:t>
      </w:r>
      <w:bookmarkEnd w:id="288"/>
    </w:p>
    <w:p>
      <w:pPr>
        <w:spacing w:line="600" w:lineRule="exact"/>
        <w:jc w:val="left"/>
        <w:outlineLvl w:val="0"/>
        <w:rPr>
          <w:rFonts w:ascii="方正小标宋简体" w:eastAsia="方正小标宋简体" w:cs="方正小标宋简体"/>
          <w:sz w:val="32"/>
          <w:szCs w:val="32"/>
        </w:rPr>
      </w:pPr>
      <w:bookmarkStart w:id="289" w:name="_Toc12554"/>
      <w:r>
        <w:rPr>
          <w:rFonts w:hint="eastAsia" w:ascii="黑体" w:eastAsia="黑体" w:cs="黑体"/>
          <w:sz w:val="32"/>
          <w:szCs w:val="32"/>
        </w:rPr>
        <w:t>附件</w:t>
      </w:r>
      <w:r>
        <w:rPr>
          <w:rFonts w:ascii="黑体" w:eastAsia="黑体" w:cs="黑体"/>
          <w:sz w:val="32"/>
          <w:szCs w:val="32"/>
        </w:rPr>
        <w:t>1</w:t>
      </w:r>
      <w:bookmarkEnd w:id="289"/>
    </w:p>
    <w:p>
      <w:pPr>
        <w:spacing w:line="580" w:lineRule="exact"/>
        <w:jc w:val="center"/>
        <w:rPr>
          <w:rFonts w:ascii="方正小标宋简体" w:eastAsia="方正小标宋简体" w:cs="方正小标宋简体"/>
          <w:sz w:val="44"/>
          <w:szCs w:val="44"/>
        </w:rPr>
      </w:pPr>
    </w:p>
    <w:p>
      <w:pPr>
        <w:spacing w:line="600" w:lineRule="exact"/>
        <w:jc w:val="center"/>
        <w:outlineLvl w:val="0"/>
        <w:rPr>
          <w:rFonts w:ascii="方正小标宋简体" w:eastAsia="方正小标宋简体" w:cs="黑体"/>
          <w:sz w:val="44"/>
          <w:szCs w:val="44"/>
        </w:rPr>
      </w:pPr>
      <w:bookmarkStart w:id="290" w:name="_Toc28914"/>
      <w:r>
        <w:rPr>
          <w:rFonts w:ascii="方正小标宋简体" w:eastAsia="方正小标宋简体" w:cs="黑体"/>
          <w:sz w:val="44"/>
          <w:szCs w:val="44"/>
        </w:rPr>
        <w:t>茂县消委会管理服务中心</w:t>
      </w:r>
      <w:bookmarkEnd w:id="290"/>
    </w:p>
    <w:p>
      <w:pPr>
        <w:spacing w:line="600" w:lineRule="exact"/>
        <w:jc w:val="center"/>
        <w:outlineLvl w:val="0"/>
        <w:rPr>
          <w:rFonts w:ascii="方正小标宋简体" w:eastAsia="方正小标宋简体" w:cs="黑体"/>
          <w:sz w:val="44"/>
          <w:szCs w:val="44"/>
        </w:rPr>
      </w:pPr>
      <w:bookmarkStart w:id="291" w:name="_Toc1261"/>
      <w:r>
        <w:rPr>
          <w:rFonts w:ascii="方正小标宋简体" w:eastAsia="方正小标宋简体" w:cs="黑体"/>
          <w:sz w:val="44"/>
          <w:szCs w:val="44"/>
        </w:rPr>
        <w:t>2021</w:t>
      </w:r>
      <w:r>
        <w:rPr>
          <w:rFonts w:hint="eastAsia" w:ascii="方正小标宋简体" w:eastAsia="方正小标宋简体" w:cs="黑体"/>
          <w:sz w:val="44"/>
          <w:szCs w:val="44"/>
        </w:rPr>
        <w:t>年部门整体支出绩效评价报告</w:t>
      </w:r>
      <w:bookmarkEnd w:id="291"/>
    </w:p>
    <w:p>
      <w:pPr>
        <w:spacing w:line="580" w:lineRule="exact"/>
        <w:ind w:firstLine="640" w:firstLineChars="200"/>
        <w:rPr>
          <w:rFonts w:ascii="仿宋_GB2312" w:eastAsia="仿宋_GB2312" w:cs="仿宋_GB2312"/>
          <w:sz w:val="32"/>
          <w:szCs w:val="32"/>
        </w:rPr>
      </w:pP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一、部门（单位）概况</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（一）机构组成</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rPr>
        <w:t>茂县消委会管理服务中心为茂县市场监督管理局下属事业单位。</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（二）机构职能</w:t>
      </w:r>
    </w:p>
    <w:p>
      <w:pPr>
        <w:spacing w:line="560" w:lineRule="exact"/>
        <w:ind w:firstLine="640" w:firstLineChars="200"/>
        <w:rPr>
          <w:rFonts w:hint="eastAsia" w:eastAsia="仿宋"/>
          <w:bCs/>
          <w:sz w:val="32"/>
          <w:szCs w:val="32"/>
        </w:rPr>
      </w:pPr>
      <w:r>
        <w:rPr>
          <w:rFonts w:hint="eastAsia" w:eastAsia="仿宋"/>
          <w:bCs/>
          <w:sz w:val="32"/>
          <w:szCs w:val="32"/>
        </w:rPr>
        <w:t>受理消费咨询</w:t>
      </w:r>
      <w:r>
        <w:rPr>
          <w:rFonts w:eastAsia="仿宋"/>
          <w:bCs/>
          <w:sz w:val="32"/>
          <w:szCs w:val="32"/>
        </w:rPr>
        <w:t>；</w:t>
      </w:r>
      <w:r>
        <w:rPr>
          <w:rFonts w:hint="eastAsia" w:eastAsia="仿宋"/>
          <w:bCs/>
          <w:sz w:val="32"/>
          <w:szCs w:val="32"/>
        </w:rPr>
        <w:t>受理来电、来访、来信、州局分流、县政府转办和其它相关部门移送的消费者投诉举报</w:t>
      </w:r>
      <w:r>
        <w:rPr>
          <w:rFonts w:eastAsia="仿宋"/>
          <w:bCs/>
          <w:sz w:val="32"/>
          <w:szCs w:val="32"/>
        </w:rPr>
        <w:t>；</w:t>
      </w:r>
      <w:r>
        <w:rPr>
          <w:rFonts w:hint="eastAsia" w:eastAsia="仿宋"/>
          <w:bCs/>
          <w:sz w:val="32"/>
          <w:szCs w:val="32"/>
        </w:rPr>
        <w:t>准确、及时、完整地录入消费者咨询、投诉、举报信息</w:t>
      </w:r>
      <w:r>
        <w:rPr>
          <w:rFonts w:eastAsia="仿宋"/>
          <w:bCs/>
          <w:sz w:val="32"/>
          <w:szCs w:val="32"/>
        </w:rPr>
        <w:t>；</w:t>
      </w:r>
      <w:r>
        <w:rPr>
          <w:rFonts w:hint="eastAsia" w:eastAsia="仿宋"/>
          <w:bCs/>
          <w:sz w:val="32"/>
          <w:szCs w:val="32"/>
        </w:rPr>
        <w:t>按照属地管辖原则，及时将受理的投诉、举报分流到相关股、室、队、基层市场监管所、消费者维权联络站和消费者维权服务站，对不属于受理范围的投诉举报，按有关规定移送相关部门处理或直接将相关的管辖部门告知消费者</w:t>
      </w:r>
      <w:r>
        <w:rPr>
          <w:rFonts w:eastAsia="仿宋"/>
          <w:bCs/>
          <w:sz w:val="32"/>
          <w:szCs w:val="32"/>
        </w:rPr>
        <w:t>；</w:t>
      </w:r>
      <w:r>
        <w:rPr>
          <w:rFonts w:hint="eastAsia" w:eastAsia="仿宋"/>
          <w:bCs/>
          <w:sz w:val="32"/>
          <w:szCs w:val="32"/>
        </w:rPr>
        <w:t>负责对投诉举报的督办与催办</w:t>
      </w:r>
      <w:r>
        <w:rPr>
          <w:rFonts w:eastAsia="仿宋"/>
          <w:bCs/>
          <w:sz w:val="32"/>
          <w:szCs w:val="32"/>
        </w:rPr>
        <w:t>；</w:t>
      </w:r>
      <w:r>
        <w:rPr>
          <w:rFonts w:hint="eastAsia" w:eastAsia="仿宋"/>
          <w:bCs/>
          <w:sz w:val="32"/>
          <w:szCs w:val="32"/>
        </w:rPr>
        <w:t>对重大或有一定影响的投诉举报进行定期回访</w:t>
      </w:r>
      <w:r>
        <w:rPr>
          <w:rFonts w:eastAsia="仿宋"/>
          <w:bCs/>
          <w:sz w:val="32"/>
          <w:szCs w:val="32"/>
        </w:rPr>
        <w:t xml:space="preserve">； </w:t>
      </w:r>
      <w:r>
        <w:rPr>
          <w:rFonts w:hint="eastAsia" w:eastAsia="仿宋"/>
          <w:bCs/>
          <w:sz w:val="32"/>
          <w:szCs w:val="32"/>
        </w:rPr>
        <w:t>定期对消费者维权数据进行统计分析</w:t>
      </w:r>
      <w:r>
        <w:rPr>
          <w:rFonts w:eastAsia="仿宋"/>
          <w:bCs/>
          <w:sz w:val="32"/>
          <w:szCs w:val="32"/>
        </w:rPr>
        <w:t>；</w:t>
      </w:r>
      <w:r>
        <w:rPr>
          <w:rFonts w:hint="eastAsia" w:eastAsia="仿宋"/>
          <w:bCs/>
          <w:sz w:val="32"/>
          <w:szCs w:val="32"/>
        </w:rPr>
        <w:t>对基层市场监管所、消费者维权联络站和消费维权服务站进行业务培训、指导和工作监督。</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（三）人员概况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总编制7名,其中:事业编制7名。在职人员总数</w:t>
      </w:r>
      <w:r>
        <w:rPr>
          <w:rFonts w:ascii="Times New Roman" w:hAnsi="Times New Roman" w:eastAsia="仿宋" w:cs="Times New Roman"/>
          <w:sz w:val="32"/>
          <w:szCs w:val="32"/>
          <w:lang w:val="en-US" w:eastAsia="zh-CN"/>
        </w:rPr>
        <w:t>6</w:t>
      </w:r>
      <w:r>
        <w:rPr>
          <w:rFonts w:ascii="Times New Roman" w:hAnsi="Times New Roman" w:eastAsia="仿宋" w:cs="Times New Roman"/>
          <w:sz w:val="32"/>
          <w:szCs w:val="32"/>
        </w:rPr>
        <w:t>名，其中：事业人员</w:t>
      </w:r>
      <w:r>
        <w:rPr>
          <w:rFonts w:ascii="Times New Roman" w:hAnsi="Times New Roman" w:eastAsia="仿宋" w:cs="Times New Roman"/>
          <w:sz w:val="32"/>
          <w:szCs w:val="32"/>
          <w:lang w:val="en-US" w:eastAsia="zh-CN"/>
        </w:rPr>
        <w:t>4</w:t>
      </w:r>
      <w:r>
        <w:rPr>
          <w:rFonts w:ascii="Times New Roman" w:hAnsi="Times New Roman" w:eastAsia="仿宋" w:cs="Times New Roman"/>
          <w:sz w:val="32"/>
          <w:szCs w:val="32"/>
        </w:rPr>
        <w:t>名，事业工勤人员2名。离休人员0人，退休人员4人；人员减少主要原因是机构改革人员调动。</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二、部门财政资金收支情况</w:t>
      </w:r>
    </w:p>
    <w:p>
      <w:pPr>
        <w:spacing w:line="560" w:lineRule="exact"/>
        <w:ind w:left="0" w:firstLine="481" w:firstLineChars="150"/>
        <w:rPr>
          <w:rFonts w:ascii="Times New Roman" w:hAnsi="Times New Roman" w:eastAsia="楷体_GB2312" w:cs="Times New Roman"/>
          <w:sz w:val="32"/>
          <w:szCs w:val="32"/>
        </w:rPr>
      </w:pPr>
      <w:r>
        <w:rPr>
          <w:rFonts w:ascii="Times New Roman" w:hAnsi="Times New Roman" w:eastAsia="楷体_GB2312" w:cs="Times New Roman"/>
          <w:b/>
          <w:bCs/>
          <w:sz w:val="32"/>
          <w:szCs w:val="32"/>
        </w:rPr>
        <w:t>（一）部门财政资金收入情况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年收入</w:t>
      </w:r>
      <w:r>
        <w:rPr>
          <w:rFonts w:ascii="Times New Roman" w:hAnsi="Times New Roman" w:eastAsia="仿宋_GB2312" w:cs="Times New Roman"/>
          <w:sz w:val="32"/>
          <w:szCs w:val="32"/>
          <w:lang w:val="en-US" w:eastAsia="zh-CN"/>
        </w:rPr>
        <w:t>77.84</w:t>
      </w:r>
      <w:r>
        <w:rPr>
          <w:rFonts w:hint="eastAsia" w:eastAsia="仿宋_GB2312" w:cs="Times New Roman"/>
          <w:sz w:val="32"/>
          <w:szCs w:val="32"/>
          <w:lang w:val="en-US" w:eastAsia="zh-CN"/>
        </w:rPr>
        <w:t>万</w:t>
      </w:r>
      <w:r>
        <w:rPr>
          <w:rFonts w:ascii="Times New Roman" w:hAnsi="Times New Roman" w:eastAsia="仿宋" w:cs="Times New Roman"/>
          <w:sz w:val="32"/>
          <w:szCs w:val="32"/>
        </w:rPr>
        <w:t>元，其中：基本收入</w:t>
      </w:r>
      <w:r>
        <w:rPr>
          <w:rFonts w:ascii="Times New Roman" w:hAnsi="Times New Roman" w:eastAsia="仿宋" w:cs="Times New Roman"/>
          <w:sz w:val="32"/>
          <w:szCs w:val="32"/>
          <w:lang w:val="en-US" w:eastAsia="zh-CN"/>
        </w:rPr>
        <w:t>77.84</w:t>
      </w:r>
      <w:r>
        <w:rPr>
          <w:rFonts w:hint="eastAsia" w:eastAsia="仿宋" w:cs="Times New Roman"/>
          <w:sz w:val="32"/>
          <w:szCs w:val="32"/>
          <w:lang w:val="en-US" w:eastAsia="zh-CN"/>
        </w:rPr>
        <w:t>万</w:t>
      </w:r>
      <w:r>
        <w:rPr>
          <w:rFonts w:ascii="Times New Roman" w:hAnsi="Times New Roman" w:eastAsia="仿宋" w:cs="Times New Roman"/>
          <w:sz w:val="32"/>
          <w:szCs w:val="32"/>
        </w:rPr>
        <w:t>元，项目收入</w:t>
      </w:r>
      <w:r>
        <w:rPr>
          <w:rFonts w:ascii="Times New Roman" w:hAnsi="Times New Roman" w:eastAsia="仿宋" w:cs="Times New Roman"/>
          <w:sz w:val="32"/>
          <w:szCs w:val="32"/>
          <w:lang w:val="en-US" w:eastAsia="zh-CN"/>
        </w:rPr>
        <w:t>0</w:t>
      </w:r>
      <w:r>
        <w:rPr>
          <w:rFonts w:ascii="Times New Roman" w:hAnsi="Times New Roman" w:eastAsia="仿宋" w:cs="Times New Roman"/>
          <w:sz w:val="32"/>
          <w:szCs w:val="32"/>
        </w:rPr>
        <w:t>元。</w:t>
      </w:r>
    </w:p>
    <w:p>
      <w:pPr>
        <w:spacing w:line="560" w:lineRule="exact"/>
        <w:ind w:left="0" w:firstLine="481" w:firstLineChars="150"/>
        <w:rPr>
          <w:rFonts w:ascii="Times New Roman" w:hAnsi="Times New Roman" w:eastAsia="楷体_GB2312"/>
          <w:b/>
          <w:bCs/>
          <w:sz w:val="32"/>
          <w:szCs w:val="32"/>
        </w:rPr>
      </w:pPr>
      <w:r>
        <w:rPr>
          <w:rFonts w:ascii="Times New Roman" w:hAnsi="Times New Roman" w:eastAsia="楷体_GB2312"/>
          <w:b/>
          <w:bCs/>
          <w:sz w:val="32"/>
          <w:szCs w:val="32"/>
        </w:rPr>
        <w:t>（二）部门财政资金支出情况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年支出</w:t>
      </w:r>
      <w:r>
        <w:rPr>
          <w:rFonts w:ascii="Times New Roman" w:hAnsi="Times New Roman" w:eastAsia="仿宋_GB2312" w:cs="Times New Roman"/>
          <w:sz w:val="32"/>
          <w:szCs w:val="32"/>
          <w:lang w:val="en-US" w:eastAsia="zh-CN"/>
        </w:rPr>
        <w:t>77.84万元</w:t>
      </w:r>
      <w:r>
        <w:rPr>
          <w:rFonts w:ascii="Times New Roman" w:hAnsi="Times New Roman" w:eastAsia="仿宋" w:cs="Times New Roman"/>
          <w:sz w:val="32"/>
          <w:szCs w:val="32"/>
        </w:rPr>
        <w:t>，其中：其中基本支出77.84</w:t>
      </w:r>
      <w:r>
        <w:rPr>
          <w:rFonts w:ascii="Times New Roman" w:hAnsi="Times New Roman" w:eastAsia="仿宋" w:cs="Times New Roman"/>
          <w:sz w:val="32"/>
          <w:szCs w:val="32"/>
          <w:lang w:val="en-US" w:eastAsia="zh-CN"/>
        </w:rPr>
        <w:t>万</w:t>
      </w:r>
      <w:r>
        <w:rPr>
          <w:rFonts w:ascii="Times New Roman" w:hAnsi="Times New Roman" w:eastAsia="仿宋" w:cs="Times New Roman"/>
          <w:sz w:val="32"/>
          <w:szCs w:val="32"/>
        </w:rPr>
        <w:t>元，项目支出</w:t>
      </w:r>
      <w:r>
        <w:rPr>
          <w:rFonts w:ascii="Times New Roman" w:hAnsi="Times New Roman" w:eastAsia="仿宋" w:cs="Times New Roman"/>
          <w:sz w:val="32"/>
          <w:szCs w:val="32"/>
          <w:lang w:val="en-US" w:eastAsia="zh-CN"/>
        </w:rPr>
        <w:t>0万</w:t>
      </w:r>
      <w:r>
        <w:rPr>
          <w:rFonts w:ascii="Times New Roman" w:hAnsi="Times New Roman" w:eastAsia="仿宋" w:cs="Times New Roman"/>
          <w:sz w:val="32"/>
          <w:szCs w:val="32"/>
        </w:rPr>
        <w:t>元。</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三、部门整体预算绩效管理情况</w:t>
      </w:r>
    </w:p>
    <w:p>
      <w:pPr>
        <w:spacing w:line="560" w:lineRule="exact"/>
        <w:ind w:firstLine="642" w:firstLineChars="200"/>
        <w:rPr>
          <w:rFonts w:ascii="Times New Roman" w:hAnsi="Times New Roman" w:eastAsia="楷体_GB2312" w:cs="Times New Roman"/>
          <w:b/>
          <w:bCs/>
          <w:sz w:val="32"/>
          <w:szCs w:val="32"/>
          <w:lang w:val="zh-CN"/>
        </w:rPr>
      </w:pPr>
      <w:r>
        <w:rPr>
          <w:rFonts w:ascii="Times New Roman" w:hAnsi="Times New Roman" w:eastAsia="楷体_GB2312" w:cs="Times New Roman"/>
          <w:b/>
          <w:bCs/>
          <w:sz w:val="32"/>
          <w:szCs w:val="32"/>
          <w:lang w:val="zh-CN"/>
        </w:rPr>
        <w:t>（一）部门预算管理。</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lang w:val="en-US" w:eastAsia="zh-CN"/>
        </w:rPr>
        <w:t>1.</w:t>
      </w:r>
      <w:r>
        <w:rPr>
          <w:rFonts w:ascii="Times New Roman" w:hAnsi="Times New Roman" w:eastAsia="楷体_GB2312" w:cs="Times New Roman"/>
          <w:b/>
          <w:bCs/>
          <w:sz w:val="32"/>
          <w:szCs w:val="32"/>
        </w:rPr>
        <w:t>预决算编制情况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严格按照县级部门预算编制通知和有关要求，按时完成基础库、项目库报送工作，按时完成202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年预算编制工作，并按时提交部门预算草案。预算编制按照要求以在岗人员为基数，实行人员定额核算。202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年预算批复经费为</w:t>
      </w:r>
      <w:r>
        <w:rPr>
          <w:rFonts w:ascii="Times New Roman" w:hAnsi="Times New Roman" w:eastAsia="仿宋" w:cs="Times New Roman"/>
          <w:sz w:val="32"/>
          <w:szCs w:val="32"/>
          <w:lang w:val="en-US" w:eastAsia="zh-CN"/>
        </w:rPr>
        <w:t>77.84万</w:t>
      </w:r>
      <w:r>
        <w:rPr>
          <w:rFonts w:ascii="Times New Roman" w:hAnsi="Times New Roman" w:eastAsia="仿宋" w:cs="Times New Roman"/>
          <w:sz w:val="32"/>
          <w:szCs w:val="32"/>
        </w:rPr>
        <w:t>元</w:t>
      </w:r>
      <w:r>
        <w:rPr>
          <w:rFonts w:ascii="Times New Roman" w:hAnsi="Times New Roman" w:eastAsia="仿宋" w:cs="Times New Roman"/>
          <w:sz w:val="32"/>
          <w:szCs w:val="32"/>
          <w:lang w:val="en-US" w:eastAsia="zh-CN"/>
        </w:rPr>
        <w:t>。</w:t>
      </w:r>
      <w:r>
        <w:rPr>
          <w:rFonts w:ascii="Times New Roman" w:hAnsi="Times New Roman" w:eastAsia="仿宋" w:cs="Times New Roman"/>
          <w:sz w:val="32"/>
          <w:szCs w:val="32"/>
        </w:rPr>
        <w:t>按规定编制政府采购预算，预算编制全面、科学。202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年部门决算、绩效目标填报及年末结余结转都是严格按照县财政局的要求认真完成。</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lang w:val="en-US" w:eastAsia="zh-CN"/>
        </w:rPr>
        <w:t>2.</w:t>
      </w:r>
      <w:r>
        <w:rPr>
          <w:rFonts w:ascii="Times New Roman" w:hAnsi="Times New Roman" w:eastAsia="楷体_GB2312" w:cs="Times New Roman"/>
          <w:b/>
          <w:bCs/>
          <w:sz w:val="32"/>
          <w:szCs w:val="32"/>
        </w:rPr>
        <w:t>执行管理情况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我局202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年6月、9月、11月及执行进度达到本部门执行进度。2021年6月执行进度达到本部门执行进度。</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lang w:val="en-US" w:eastAsia="zh-CN"/>
        </w:rPr>
        <w:t>3.</w:t>
      </w:r>
      <w:r>
        <w:rPr>
          <w:rFonts w:ascii="Times New Roman" w:hAnsi="Times New Roman" w:eastAsia="楷体_GB2312" w:cs="Times New Roman"/>
          <w:b/>
          <w:bCs/>
          <w:sz w:val="32"/>
          <w:szCs w:val="32"/>
        </w:rPr>
        <w:t>综合管理情况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lang w:eastAsia="zh-CN"/>
        </w:rPr>
        <w:t>（</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我局所有采购项目都严格按照采购管理相关要求进行采购，202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年共实施采购0次。</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lang w:eastAsia="zh-CN"/>
        </w:rPr>
        <w:t>（</w:t>
      </w:r>
      <w:r>
        <w:rPr>
          <w:rFonts w:ascii="Times New Roman" w:hAnsi="Times New Roman" w:eastAsia="仿宋" w:cs="Times New Roman"/>
          <w:sz w:val="32"/>
          <w:szCs w:val="32"/>
          <w:lang w:val="en-US" w:eastAsia="zh-CN"/>
        </w:rPr>
        <w:t>2）</w:t>
      </w:r>
      <w:r>
        <w:rPr>
          <w:rFonts w:ascii="Times New Roman" w:hAnsi="Times New Roman" w:eastAsia="仿宋" w:cs="Times New Roman"/>
          <w:sz w:val="32"/>
          <w:szCs w:val="32"/>
        </w:rPr>
        <w:t>资产管理严格实行账实分离，人员分离，做好的账实相符，确保国有资产的有效运行。</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lang w:eastAsia="zh-CN"/>
        </w:rPr>
        <w:t>（</w:t>
      </w:r>
      <w:r>
        <w:rPr>
          <w:rFonts w:ascii="Times New Roman" w:hAnsi="Times New Roman" w:eastAsia="仿宋" w:cs="Times New Roman"/>
          <w:sz w:val="32"/>
          <w:szCs w:val="32"/>
          <w:lang w:val="en-US" w:eastAsia="zh-CN"/>
        </w:rPr>
        <w:t>3）</w:t>
      </w:r>
      <w:r>
        <w:rPr>
          <w:rFonts w:ascii="Times New Roman" w:hAnsi="Times New Roman" w:eastAsia="仿宋" w:cs="Times New Roman"/>
          <w:sz w:val="32"/>
          <w:szCs w:val="32"/>
        </w:rPr>
        <w:t>定期实行政务、财务公开，并按受财政部门的监管。</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lang w:val="en-US" w:eastAsia="zh-CN"/>
        </w:rPr>
        <w:t>4.</w:t>
      </w:r>
      <w:r>
        <w:rPr>
          <w:rFonts w:ascii="Times New Roman" w:hAnsi="Times New Roman" w:eastAsia="楷体_GB2312" w:cs="Times New Roman"/>
          <w:b/>
          <w:bCs/>
          <w:sz w:val="32"/>
          <w:szCs w:val="32"/>
        </w:rPr>
        <w:t>整体绩效</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lang w:eastAsia="zh-CN"/>
        </w:rPr>
        <w:t>（</w:t>
      </w:r>
      <w:r>
        <w:rPr>
          <w:rFonts w:ascii="Times New Roman" w:hAnsi="Times New Roman" w:eastAsia="楷体_GB2312" w:cs="Times New Roman"/>
          <w:b/>
          <w:bCs/>
          <w:sz w:val="32"/>
          <w:szCs w:val="32"/>
          <w:lang w:val="en-US" w:eastAsia="zh-CN"/>
        </w:rPr>
        <w:t>1）</w:t>
      </w:r>
      <w:r>
        <w:rPr>
          <w:rFonts w:ascii="Times New Roman" w:hAnsi="Times New Roman" w:eastAsia="楷体_GB2312" w:cs="Times New Roman"/>
          <w:b/>
          <w:bCs/>
          <w:sz w:val="32"/>
          <w:szCs w:val="32"/>
        </w:rPr>
        <w:t>部门支出绩效</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 xml:space="preserve">年财政拨款安排支出主要用于保障： 1、人员工资。2、单位正常工作运转。 </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基本支出用于保障单位正常运转的日常支出，包括基本工资、津贴补贴等人员经费。其中：1、办公费主要用于我局行政办公用产生的办公用品支出及少量的打字复印费支出、报刊杂志订阅、办公大楼的零星维修支出以及在工作中产生的一些临时性支出。2、水电费支出主要是正常办公过程中产生的水费、电费支出。3、差旅费主要用于我局出县参加的业务学习培训、会议时产生的住宿、生活费、公杂费、交通费支出。4、接待费主要用于省、州工商、质监、食药监局来我县检查工作时发生的公务接待支出。5、公务车辆运行支出主要用于我局执法车辆中产生的燃油、维修、保养支出。6、其他支出主要用于我局在开展食品药品、质量、工商宣传工作中产生的费用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项目支出无。</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lang w:eastAsia="zh-CN"/>
        </w:rPr>
        <w:t>（</w:t>
      </w:r>
      <w:r>
        <w:rPr>
          <w:rFonts w:ascii="Times New Roman" w:hAnsi="Times New Roman" w:eastAsia="楷体_GB2312" w:cs="Times New Roman"/>
          <w:b/>
          <w:bCs/>
          <w:sz w:val="32"/>
          <w:szCs w:val="32"/>
          <w:lang w:val="en-US" w:eastAsia="zh-CN"/>
        </w:rPr>
        <w:t>2）</w:t>
      </w:r>
      <w:r>
        <w:rPr>
          <w:rFonts w:ascii="Times New Roman" w:hAnsi="Times New Roman" w:eastAsia="楷体_GB2312" w:cs="Times New Roman"/>
          <w:b/>
          <w:bCs/>
          <w:sz w:val="32"/>
          <w:szCs w:val="32"/>
        </w:rPr>
        <w:t>机关节能降耗</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年水费</w:t>
      </w:r>
      <w:r>
        <w:rPr>
          <w:rFonts w:ascii="Times New Roman" w:hAnsi="Times New Roman" w:eastAsia="仿宋" w:cs="Times New Roman"/>
          <w:sz w:val="32"/>
          <w:szCs w:val="32"/>
          <w:lang w:val="en-US" w:eastAsia="zh-CN"/>
        </w:rPr>
        <w:t>0万</w:t>
      </w:r>
      <w:r>
        <w:rPr>
          <w:rFonts w:ascii="Times New Roman" w:hAnsi="Times New Roman" w:eastAsia="仿宋" w:cs="Times New Roman"/>
          <w:sz w:val="32"/>
          <w:szCs w:val="32"/>
        </w:rPr>
        <w:t>元，电费</w:t>
      </w:r>
      <w:r>
        <w:rPr>
          <w:rFonts w:ascii="Times New Roman" w:hAnsi="Times New Roman" w:eastAsia="仿宋" w:cs="Times New Roman"/>
          <w:sz w:val="32"/>
          <w:szCs w:val="32"/>
          <w:lang w:val="en-US" w:eastAsia="zh-CN"/>
        </w:rPr>
        <w:t>0万</w:t>
      </w:r>
      <w:r>
        <w:rPr>
          <w:rFonts w:ascii="Times New Roman" w:hAnsi="Times New Roman" w:eastAsia="仿宋" w:cs="Times New Roman"/>
          <w:sz w:val="32"/>
          <w:szCs w:val="32"/>
        </w:rPr>
        <w:t>元。</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lang w:val="en-US" w:eastAsia="zh-CN"/>
        </w:rPr>
        <w:t>5.</w:t>
      </w:r>
      <w:r>
        <w:rPr>
          <w:rFonts w:ascii="Times New Roman" w:hAnsi="Times New Roman" w:eastAsia="楷体_GB2312" w:cs="Times New Roman"/>
          <w:b/>
          <w:bCs/>
          <w:sz w:val="32"/>
          <w:szCs w:val="32"/>
          <w:lang w:eastAsia="zh-CN"/>
        </w:rPr>
        <w:t>预算</w:t>
      </w:r>
      <w:r>
        <w:rPr>
          <w:rFonts w:ascii="Times New Roman" w:hAnsi="Times New Roman" w:eastAsia="楷体_GB2312" w:cs="Times New Roman"/>
          <w:b/>
          <w:bCs/>
          <w:sz w:val="32"/>
          <w:szCs w:val="32"/>
        </w:rPr>
        <w:t>完成情况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至2021年12月底，我局各项专项资金的使用到达预期的各项绩效考核目标，圆满地实现了本年度专项资金的绩效考核管理目标。</w:t>
      </w:r>
    </w:p>
    <w:p>
      <w:pPr>
        <w:spacing w:line="560" w:lineRule="exact"/>
        <w:ind w:left="0" w:firstLine="642" w:firstLineChars="200"/>
        <w:rPr>
          <w:rFonts w:ascii="Times New Roman" w:hAnsi="Times New Roman" w:eastAsia="楷体_GB2312" w:cs="Times New Roman"/>
          <w:b/>
          <w:bCs/>
          <w:sz w:val="32"/>
          <w:szCs w:val="32"/>
          <w:lang w:eastAsia="zh-CN"/>
        </w:rPr>
      </w:pPr>
      <w:r>
        <w:rPr>
          <w:rFonts w:ascii="Times New Roman" w:hAnsi="Times New Roman" w:eastAsia="楷体_GB2312" w:cs="Times New Roman"/>
          <w:b/>
          <w:bCs/>
          <w:sz w:val="32"/>
          <w:szCs w:val="32"/>
          <w:lang w:val="en-US" w:eastAsia="zh-CN"/>
        </w:rPr>
        <w:t>6.</w:t>
      </w:r>
      <w:r>
        <w:rPr>
          <w:rFonts w:ascii="Times New Roman" w:hAnsi="Times New Roman" w:eastAsia="楷体_GB2312" w:cs="Times New Roman"/>
          <w:b/>
          <w:bCs/>
          <w:sz w:val="32"/>
          <w:szCs w:val="32"/>
          <w:lang w:eastAsia="zh-CN"/>
        </w:rPr>
        <w:t>资金结余率情况。</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2021年资金结余率暂无差异。</w:t>
      </w:r>
    </w:p>
    <w:p>
      <w:pPr>
        <w:spacing w:line="560" w:lineRule="exact"/>
        <w:ind w:firstLine="642" w:firstLineChars="200"/>
        <w:rPr>
          <w:rFonts w:ascii="Times New Roman" w:hAnsi="Times New Roman" w:eastAsia="楷体_GB2312" w:cs="Times New Roman"/>
          <w:b/>
          <w:bCs/>
          <w:sz w:val="32"/>
          <w:szCs w:val="32"/>
          <w:lang w:val="en-US" w:eastAsia="zh-CN"/>
        </w:rPr>
      </w:pPr>
      <w:r>
        <w:rPr>
          <w:rFonts w:ascii="Times New Roman" w:hAnsi="Times New Roman" w:eastAsia="楷体_GB2312" w:cs="Times New Roman"/>
          <w:b/>
          <w:bCs/>
          <w:sz w:val="32"/>
          <w:szCs w:val="32"/>
          <w:lang w:val="en-US" w:eastAsia="zh-CN"/>
        </w:rPr>
        <w:t>7.违规记录情况。</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2021年我局无违规记录情况。</w:t>
      </w:r>
    </w:p>
    <w:p>
      <w:pPr>
        <w:spacing w:line="560" w:lineRule="exact"/>
        <w:ind w:left="0" w:firstLine="642" w:firstLineChars="200"/>
        <w:rPr>
          <w:rFonts w:ascii="Times New Roman" w:hAnsi="Times New Roman" w:cs="Times New Roman"/>
          <w:lang w:val="en-US" w:eastAsia="zh-CN"/>
        </w:rPr>
      </w:pPr>
      <w:r>
        <w:rPr>
          <w:rFonts w:ascii="Times New Roman" w:hAnsi="Times New Roman" w:eastAsia="楷体_GB2312" w:cs="Times New Roman"/>
          <w:b/>
          <w:bCs/>
          <w:sz w:val="32"/>
          <w:szCs w:val="32"/>
          <w:lang w:val="en-US" w:eastAsia="zh-CN"/>
        </w:rPr>
        <w:t>（二）结果应用情况。</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通过整体支出绩效自评，一是增强了各股室的绩效评价主体责任意识；二是促进规范使用各种资金；三是绩效评价结果作为年终综合考核的重要依据。</w:t>
      </w:r>
    </w:p>
    <w:p>
      <w:pPr>
        <w:spacing w:line="560" w:lineRule="exact"/>
        <w:ind w:firstLine="469" w:firstLineChars="146"/>
        <w:rPr>
          <w:rFonts w:ascii="Times New Roman" w:hAnsi="Times New Roman" w:eastAsia="楷体_GB2312" w:cs="Times New Roman"/>
          <w:b/>
          <w:bCs/>
          <w:sz w:val="32"/>
          <w:szCs w:val="32"/>
          <w:lang w:eastAsia="zh-CN"/>
        </w:rPr>
      </w:pPr>
      <w:r>
        <w:rPr>
          <w:rFonts w:ascii="Times New Roman" w:hAnsi="Times New Roman" w:eastAsia="楷体_GB2312" w:cs="Times New Roman"/>
          <w:b/>
          <w:bCs/>
          <w:sz w:val="32"/>
          <w:szCs w:val="32"/>
        </w:rPr>
        <w:t>（</w:t>
      </w:r>
      <w:r>
        <w:rPr>
          <w:rFonts w:ascii="Times New Roman" w:hAnsi="Times New Roman" w:eastAsia="楷体_GB2312" w:cs="Times New Roman"/>
          <w:b/>
          <w:bCs/>
          <w:sz w:val="32"/>
          <w:szCs w:val="32"/>
          <w:lang w:eastAsia="zh-CN"/>
        </w:rPr>
        <w:t>三</w:t>
      </w:r>
      <w:r>
        <w:rPr>
          <w:rFonts w:ascii="Times New Roman" w:hAnsi="Times New Roman" w:eastAsia="楷体_GB2312" w:cs="Times New Roman"/>
          <w:b/>
          <w:bCs/>
          <w:sz w:val="32"/>
          <w:szCs w:val="32"/>
        </w:rPr>
        <w:t>）</w:t>
      </w:r>
      <w:r>
        <w:rPr>
          <w:rFonts w:ascii="Times New Roman" w:hAnsi="Times New Roman" w:eastAsia="楷体_GB2312" w:cs="Times New Roman"/>
          <w:b/>
          <w:bCs/>
          <w:sz w:val="32"/>
          <w:szCs w:val="32"/>
          <w:lang w:eastAsia="zh-CN"/>
        </w:rPr>
        <w:t>自评质量。</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1.整体支出绩效自评结论</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（1）2021年完成整体消委会管理服务中心任务目标。</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（2）经济性：资金实行专款专用，严格执行集中支付和报账制度，做到合法合规，不超范围、超标准支出，不存在任何截留、挤占、挪用资金，经费控制率达标。</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（3）效率性：重点工作完成效率、绩效目标完成效率达标。</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 xml:space="preserve">（4）效果性：通过项目的执行，促进了市场健康有序发展，提高了药品食品企业的社会责任感，提高了经营户的质量管理水平，促进经营户的发展，更好的保证了饮食用药安全，提高了全民健康水平，同时营造了公平竟争的市场环境。 </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2.自评分数： 预算执行效益自评分数为</w:t>
      </w:r>
      <w:r>
        <w:rPr>
          <w:rFonts w:hint="eastAsia" w:ascii="Times New Roman" w:hAnsi="Times New Roman" w:eastAsia="仿宋" w:cs="Times New Roman"/>
          <w:sz w:val="32"/>
          <w:szCs w:val="32"/>
          <w:lang w:val="en-US" w:eastAsia="zh-CN"/>
        </w:rPr>
        <w:t>89</w:t>
      </w:r>
      <w:r>
        <w:rPr>
          <w:rFonts w:ascii="Times New Roman" w:hAnsi="Times New Roman" w:eastAsia="仿宋" w:cs="Times New Roman"/>
          <w:sz w:val="32"/>
          <w:szCs w:val="32"/>
          <w:lang w:val="en-US" w:eastAsia="zh-CN"/>
        </w:rPr>
        <w:t>分。 </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lang w:eastAsia="zh-CN"/>
        </w:rPr>
        <w:t>四</w:t>
      </w:r>
      <w:r>
        <w:rPr>
          <w:rFonts w:ascii="Times New Roman" w:hAnsi="Times New Roman" w:eastAsia="黑体" w:cs="Times New Roman"/>
          <w:sz w:val="32"/>
          <w:szCs w:val="32"/>
        </w:rPr>
        <w:t>、评价结论及建议</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我局202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年部门支出与年初预算基本一致，达到预期绩效目标。但预算编制还需进一步细化，针对我局预算存在的问题，提出以下建议： 　</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1.遵循先有预算、后有支出的原则，加强财务管理和内部控制监督制度。严禁超预算和无预算安排支出，严格开支范围和标准，严格支出报销审核，不报销任何超范围、超标准的费用。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2.严格控制“三公”经费。认真贯彻落实中央、省委省政府和县委县政府相关规定，严格“三公”经费支出的审核和审批，合理压缩“三公”经费支出。</w:t>
      </w: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600" w:lineRule="exact"/>
        <w:jc w:val="center"/>
        <w:outlineLvl w:val="0"/>
        <w:rPr>
          <w:rStyle w:val="24"/>
          <w:rFonts w:ascii="黑体" w:eastAsia="黑体"/>
          <w:b w:val="0"/>
        </w:rPr>
      </w:pPr>
      <w:bookmarkStart w:id="292" w:name="_Toc79163635"/>
      <w:bookmarkStart w:id="293" w:name="_Toc15377226"/>
      <w:bookmarkStart w:id="294" w:name="_Toc25685"/>
      <w:bookmarkStart w:id="295" w:name="_Toc15396618"/>
      <w:r>
        <w:rPr>
          <w:rFonts w:hint="eastAsia" w:ascii="黑体" w:eastAsia="黑体"/>
          <w:color w:val="000000"/>
          <w:sz w:val="44"/>
          <w:szCs w:val="44"/>
        </w:rPr>
        <w:t>第</w:t>
      </w:r>
      <w:r>
        <w:rPr>
          <w:rStyle w:val="24"/>
          <w:rFonts w:hint="eastAsia" w:ascii="黑体" w:eastAsia="黑体"/>
          <w:b w:val="0"/>
        </w:rPr>
        <w:t>五部分</w:t>
      </w:r>
      <w:r>
        <w:rPr>
          <w:rStyle w:val="24"/>
          <w:rFonts w:ascii="黑体" w:eastAsia="黑体"/>
          <w:b w:val="0"/>
        </w:rPr>
        <w:t xml:space="preserve"> </w:t>
      </w:r>
      <w:r>
        <w:rPr>
          <w:rStyle w:val="24"/>
          <w:rFonts w:hint="eastAsia" w:ascii="黑体" w:eastAsia="黑体"/>
          <w:b w:val="0"/>
        </w:rPr>
        <w:t>附表</w:t>
      </w:r>
      <w:bookmarkEnd w:id="292"/>
      <w:bookmarkEnd w:id="293"/>
      <w:bookmarkEnd w:id="294"/>
      <w:bookmarkEnd w:id="295"/>
    </w:p>
    <w:p>
      <w:pPr>
        <w:pStyle w:val="3"/>
        <w:rPr>
          <w:rFonts w:ascii="仿宋" w:eastAsia="仿宋"/>
          <w:color w:val="000000"/>
        </w:rPr>
      </w:pPr>
      <w:bookmarkStart w:id="296" w:name="_Toc5481"/>
      <w:bookmarkStart w:id="297" w:name="_Toc15396619"/>
      <w:bookmarkStart w:id="298" w:name="_Toc79163636"/>
      <w:r>
        <w:rPr>
          <w:rFonts w:hint="eastAsia" w:ascii="仿宋" w:eastAsia="仿宋"/>
          <w:b w:val="0"/>
          <w:color w:val="000000"/>
        </w:rPr>
        <w:t>一、收</w:t>
      </w:r>
      <w:r>
        <w:rPr>
          <w:rStyle w:val="25"/>
          <w:rFonts w:hint="eastAsia" w:ascii="仿宋" w:eastAsia="仿宋"/>
          <w:b w:val="0"/>
          <w:bCs w:val="0"/>
        </w:rPr>
        <w:t>入支出决算总表</w:t>
      </w:r>
      <w:bookmarkEnd w:id="296"/>
      <w:bookmarkEnd w:id="297"/>
      <w:bookmarkEnd w:id="298"/>
    </w:p>
    <w:p>
      <w:pPr>
        <w:pStyle w:val="3"/>
        <w:rPr>
          <w:rFonts w:ascii="仿宋" w:eastAsia="仿宋"/>
          <w:color w:val="000000"/>
        </w:rPr>
      </w:pPr>
      <w:bookmarkStart w:id="299" w:name="_Toc79163637"/>
      <w:bookmarkStart w:id="300" w:name="_Toc15396620"/>
      <w:bookmarkStart w:id="301" w:name="_Toc11219"/>
      <w:r>
        <w:rPr>
          <w:rFonts w:hint="eastAsia" w:ascii="仿宋" w:eastAsia="仿宋"/>
          <w:b w:val="0"/>
          <w:color w:val="000000"/>
        </w:rPr>
        <w:t>二、收</w:t>
      </w:r>
      <w:r>
        <w:rPr>
          <w:rStyle w:val="25"/>
          <w:rFonts w:hint="eastAsia" w:ascii="仿宋" w:eastAsia="仿宋"/>
          <w:b w:val="0"/>
          <w:bCs w:val="0"/>
        </w:rPr>
        <w:t>入决算表</w:t>
      </w:r>
      <w:bookmarkEnd w:id="299"/>
      <w:bookmarkEnd w:id="300"/>
      <w:bookmarkEnd w:id="301"/>
    </w:p>
    <w:p>
      <w:pPr>
        <w:pStyle w:val="3"/>
        <w:rPr>
          <w:rFonts w:ascii="仿宋" w:eastAsia="仿宋"/>
          <w:color w:val="000000"/>
        </w:rPr>
      </w:pPr>
      <w:bookmarkStart w:id="302" w:name="_Toc79163638"/>
      <w:bookmarkStart w:id="303" w:name="_Toc15396621"/>
      <w:bookmarkStart w:id="304" w:name="_Toc29951"/>
      <w:r>
        <w:rPr>
          <w:rStyle w:val="25"/>
          <w:rFonts w:hint="eastAsia" w:ascii="仿宋" w:eastAsia="仿宋"/>
          <w:b w:val="0"/>
          <w:bCs w:val="0"/>
        </w:rPr>
        <w:t>三、</w:t>
      </w:r>
      <w:r>
        <w:rPr>
          <w:rFonts w:hint="eastAsia" w:ascii="仿宋" w:eastAsia="仿宋"/>
          <w:b w:val="0"/>
          <w:color w:val="000000"/>
        </w:rPr>
        <w:t>支</w:t>
      </w:r>
      <w:r>
        <w:rPr>
          <w:rStyle w:val="25"/>
          <w:rFonts w:hint="eastAsia" w:ascii="仿宋" w:eastAsia="仿宋"/>
          <w:b w:val="0"/>
          <w:bCs w:val="0"/>
        </w:rPr>
        <w:t>出决算表</w:t>
      </w:r>
      <w:bookmarkEnd w:id="302"/>
      <w:bookmarkEnd w:id="303"/>
      <w:bookmarkEnd w:id="304"/>
    </w:p>
    <w:p>
      <w:pPr>
        <w:pStyle w:val="3"/>
        <w:rPr>
          <w:rFonts w:ascii="仿宋" w:eastAsia="仿宋"/>
          <w:b w:val="0"/>
          <w:color w:val="000000"/>
        </w:rPr>
      </w:pPr>
      <w:bookmarkStart w:id="305" w:name="_Toc15396622"/>
      <w:bookmarkStart w:id="306" w:name="_Toc79163639"/>
      <w:bookmarkStart w:id="307" w:name="_Toc26608"/>
      <w:r>
        <w:rPr>
          <w:rStyle w:val="25"/>
          <w:rFonts w:hint="eastAsia" w:ascii="仿宋" w:eastAsia="仿宋"/>
          <w:b w:val="0"/>
          <w:bCs w:val="0"/>
        </w:rPr>
        <w:t>四、</w:t>
      </w:r>
      <w:r>
        <w:rPr>
          <w:rFonts w:hint="eastAsia" w:ascii="仿宋" w:eastAsia="仿宋"/>
          <w:b w:val="0"/>
          <w:color w:val="000000"/>
        </w:rPr>
        <w:t>财</w:t>
      </w:r>
      <w:r>
        <w:rPr>
          <w:rStyle w:val="25"/>
          <w:rFonts w:hint="eastAsia" w:ascii="仿宋" w:eastAsia="仿宋"/>
          <w:b w:val="0"/>
          <w:bCs w:val="0"/>
        </w:rPr>
        <w:t>政拨款收入支出决算总表</w:t>
      </w:r>
      <w:bookmarkEnd w:id="305"/>
      <w:bookmarkEnd w:id="306"/>
      <w:bookmarkEnd w:id="307"/>
    </w:p>
    <w:p>
      <w:pPr>
        <w:pStyle w:val="3"/>
        <w:rPr>
          <w:rStyle w:val="25"/>
          <w:rFonts w:ascii="仿宋" w:eastAsia="仿宋"/>
          <w:b w:val="0"/>
          <w:bCs w:val="0"/>
        </w:rPr>
      </w:pPr>
      <w:bookmarkStart w:id="308" w:name="_Toc15396623"/>
      <w:bookmarkStart w:id="309" w:name="_Toc79163640"/>
      <w:bookmarkStart w:id="310" w:name="_Toc2223"/>
      <w:r>
        <w:rPr>
          <w:rStyle w:val="25"/>
          <w:rFonts w:hint="eastAsia" w:ascii="仿宋" w:eastAsia="仿宋"/>
          <w:b w:val="0"/>
          <w:bCs w:val="0"/>
        </w:rPr>
        <w:t>五、</w:t>
      </w:r>
      <w:r>
        <w:rPr>
          <w:rFonts w:hint="eastAsia" w:ascii="仿宋" w:eastAsia="仿宋"/>
          <w:b w:val="0"/>
          <w:color w:val="000000"/>
        </w:rPr>
        <w:t>财</w:t>
      </w:r>
      <w:r>
        <w:rPr>
          <w:rStyle w:val="25"/>
          <w:rFonts w:hint="eastAsia" w:ascii="仿宋" w:eastAsia="仿宋"/>
          <w:b w:val="0"/>
          <w:bCs w:val="0"/>
        </w:rPr>
        <w:t>政拨款支出决算明细表</w:t>
      </w:r>
      <w:bookmarkEnd w:id="308"/>
      <w:bookmarkEnd w:id="309"/>
      <w:bookmarkEnd w:id="310"/>
      <w:bookmarkStart w:id="311" w:name="_Toc15396624"/>
    </w:p>
    <w:p>
      <w:pPr>
        <w:pStyle w:val="3"/>
        <w:rPr>
          <w:rFonts w:ascii="仿宋" w:eastAsia="仿宋"/>
          <w:color w:val="000000"/>
        </w:rPr>
      </w:pPr>
      <w:bookmarkStart w:id="312" w:name="_Toc79163641"/>
      <w:bookmarkStart w:id="313" w:name="_Toc19179"/>
      <w:r>
        <w:rPr>
          <w:rStyle w:val="25"/>
          <w:rFonts w:hint="eastAsia" w:ascii="仿宋" w:eastAsia="仿宋"/>
          <w:b w:val="0"/>
          <w:bCs w:val="0"/>
        </w:rPr>
        <w:t>六、</w:t>
      </w:r>
      <w:r>
        <w:rPr>
          <w:rFonts w:hint="eastAsia" w:ascii="仿宋" w:eastAsia="仿宋"/>
          <w:b w:val="0"/>
          <w:color w:val="000000"/>
        </w:rPr>
        <w:t>一</w:t>
      </w:r>
      <w:r>
        <w:rPr>
          <w:rStyle w:val="25"/>
          <w:rFonts w:hint="eastAsia" w:ascii="仿宋" w:eastAsia="仿宋"/>
          <w:b w:val="0"/>
          <w:bCs w:val="0"/>
        </w:rPr>
        <w:t>般公共预算财政拨款支出决算表</w:t>
      </w:r>
      <w:bookmarkEnd w:id="311"/>
      <w:bookmarkEnd w:id="312"/>
      <w:bookmarkEnd w:id="313"/>
    </w:p>
    <w:p>
      <w:pPr>
        <w:pStyle w:val="3"/>
        <w:rPr>
          <w:rFonts w:ascii="仿宋" w:eastAsia="仿宋"/>
          <w:color w:val="000000"/>
        </w:rPr>
      </w:pPr>
      <w:bookmarkStart w:id="314" w:name="_Toc79163642"/>
      <w:bookmarkStart w:id="315" w:name="_Toc15396625"/>
      <w:bookmarkStart w:id="316" w:name="_Toc9021"/>
      <w:r>
        <w:rPr>
          <w:rStyle w:val="25"/>
          <w:rFonts w:hint="eastAsia" w:ascii="仿宋" w:eastAsia="仿宋"/>
          <w:b w:val="0"/>
          <w:bCs w:val="0"/>
        </w:rPr>
        <w:t>七、</w:t>
      </w:r>
      <w:r>
        <w:rPr>
          <w:rFonts w:hint="eastAsia" w:ascii="仿宋" w:eastAsia="仿宋"/>
          <w:b w:val="0"/>
          <w:color w:val="000000"/>
        </w:rPr>
        <w:t>一</w:t>
      </w:r>
      <w:r>
        <w:rPr>
          <w:rStyle w:val="25"/>
          <w:rFonts w:hint="eastAsia" w:ascii="仿宋" w:eastAsia="仿宋"/>
          <w:b w:val="0"/>
          <w:bCs w:val="0"/>
        </w:rPr>
        <w:t>般公共预算财政拨款支出决算明细表</w:t>
      </w:r>
      <w:bookmarkEnd w:id="314"/>
      <w:bookmarkEnd w:id="315"/>
      <w:bookmarkEnd w:id="316"/>
    </w:p>
    <w:p>
      <w:pPr>
        <w:pStyle w:val="3"/>
        <w:rPr>
          <w:rFonts w:ascii="仿宋" w:eastAsia="仿宋"/>
          <w:color w:val="000000"/>
        </w:rPr>
      </w:pPr>
      <w:bookmarkStart w:id="317" w:name="_Toc15396626"/>
      <w:bookmarkStart w:id="318" w:name="_Toc79163643"/>
      <w:bookmarkStart w:id="319" w:name="_Toc22499"/>
      <w:r>
        <w:rPr>
          <w:rStyle w:val="25"/>
          <w:rFonts w:hint="eastAsia" w:ascii="仿宋" w:eastAsia="仿宋"/>
          <w:b w:val="0"/>
          <w:bCs w:val="0"/>
        </w:rPr>
        <w:t>八、</w:t>
      </w:r>
      <w:r>
        <w:rPr>
          <w:rFonts w:hint="eastAsia" w:ascii="仿宋" w:eastAsia="仿宋"/>
          <w:b w:val="0"/>
          <w:color w:val="000000"/>
        </w:rPr>
        <w:t>一</w:t>
      </w:r>
      <w:r>
        <w:rPr>
          <w:rStyle w:val="25"/>
          <w:rFonts w:hint="eastAsia" w:ascii="仿宋" w:eastAsia="仿宋"/>
          <w:b w:val="0"/>
          <w:bCs w:val="0"/>
        </w:rPr>
        <w:t>般公共预算财政拨款基本支出决算表</w:t>
      </w:r>
      <w:bookmarkEnd w:id="317"/>
      <w:bookmarkEnd w:id="318"/>
      <w:bookmarkEnd w:id="319"/>
    </w:p>
    <w:p>
      <w:pPr>
        <w:pStyle w:val="3"/>
        <w:rPr>
          <w:rFonts w:ascii="仿宋" w:eastAsia="仿宋"/>
          <w:color w:val="000000"/>
        </w:rPr>
      </w:pPr>
      <w:bookmarkStart w:id="320" w:name="_Toc79163644"/>
      <w:bookmarkStart w:id="321" w:name="_Toc15396627"/>
      <w:bookmarkStart w:id="322" w:name="_Toc28944"/>
      <w:r>
        <w:rPr>
          <w:rStyle w:val="25"/>
          <w:rFonts w:hint="eastAsia" w:ascii="仿宋" w:eastAsia="仿宋"/>
          <w:b w:val="0"/>
          <w:bCs w:val="0"/>
        </w:rPr>
        <w:t>九、</w:t>
      </w:r>
      <w:r>
        <w:rPr>
          <w:rFonts w:hint="eastAsia" w:ascii="仿宋" w:eastAsia="仿宋"/>
          <w:b w:val="0"/>
          <w:color w:val="000000"/>
        </w:rPr>
        <w:t>一</w:t>
      </w:r>
      <w:r>
        <w:rPr>
          <w:rStyle w:val="25"/>
          <w:rFonts w:hint="eastAsia" w:ascii="仿宋" w:eastAsia="仿宋"/>
          <w:b w:val="0"/>
          <w:bCs w:val="0"/>
        </w:rPr>
        <w:t>般公共预算财政拨款项目支出决算表</w:t>
      </w:r>
      <w:bookmarkEnd w:id="320"/>
      <w:bookmarkEnd w:id="321"/>
      <w:bookmarkEnd w:id="322"/>
    </w:p>
    <w:p>
      <w:pPr>
        <w:pStyle w:val="3"/>
        <w:rPr>
          <w:rFonts w:ascii="仿宋" w:eastAsia="仿宋"/>
          <w:color w:val="000000"/>
        </w:rPr>
      </w:pPr>
      <w:bookmarkStart w:id="323" w:name="_Toc79163645"/>
      <w:bookmarkStart w:id="324" w:name="_Toc15396628"/>
      <w:bookmarkStart w:id="325" w:name="_Toc28766"/>
      <w:r>
        <w:rPr>
          <w:rStyle w:val="25"/>
          <w:rFonts w:hint="eastAsia" w:ascii="仿宋" w:eastAsia="仿宋"/>
          <w:b w:val="0"/>
          <w:bCs w:val="0"/>
        </w:rPr>
        <w:t>十、</w:t>
      </w:r>
      <w:r>
        <w:rPr>
          <w:rFonts w:hint="eastAsia" w:ascii="仿宋" w:eastAsia="仿宋"/>
          <w:b w:val="0"/>
          <w:color w:val="000000"/>
        </w:rPr>
        <w:t>一</w:t>
      </w:r>
      <w:r>
        <w:rPr>
          <w:rStyle w:val="25"/>
          <w:rFonts w:hint="eastAsia" w:ascii="仿宋" w:eastAsia="仿宋"/>
          <w:b w:val="0"/>
          <w:bCs w:val="0"/>
        </w:rPr>
        <w:t>般公共预算财政拨款“三公”经费支出决算表</w:t>
      </w:r>
      <w:bookmarkEnd w:id="323"/>
      <w:bookmarkEnd w:id="324"/>
      <w:bookmarkEnd w:id="325"/>
    </w:p>
    <w:p>
      <w:pPr>
        <w:pStyle w:val="3"/>
        <w:rPr>
          <w:rFonts w:ascii="仿宋" w:eastAsia="仿宋"/>
          <w:color w:val="000000"/>
        </w:rPr>
      </w:pPr>
      <w:bookmarkStart w:id="326" w:name="_Toc79163646"/>
      <w:bookmarkStart w:id="327" w:name="_Toc15396629"/>
      <w:bookmarkStart w:id="328" w:name="_Toc357"/>
      <w:r>
        <w:rPr>
          <w:rStyle w:val="25"/>
          <w:rFonts w:hint="eastAsia" w:ascii="仿宋" w:eastAsia="仿宋"/>
          <w:b w:val="0"/>
          <w:bCs w:val="0"/>
        </w:rPr>
        <w:t>十一、</w:t>
      </w:r>
      <w:r>
        <w:rPr>
          <w:rFonts w:hint="eastAsia" w:ascii="仿宋" w:eastAsia="仿宋"/>
          <w:b w:val="0"/>
          <w:color w:val="000000"/>
        </w:rPr>
        <w:t>政</w:t>
      </w:r>
      <w:r>
        <w:rPr>
          <w:rStyle w:val="25"/>
          <w:rFonts w:hint="eastAsia" w:ascii="仿宋" w:eastAsia="仿宋"/>
          <w:b w:val="0"/>
          <w:bCs w:val="0"/>
        </w:rPr>
        <w:t>府性基金预算财政拨款收入支出决算表</w:t>
      </w:r>
      <w:bookmarkEnd w:id="326"/>
      <w:bookmarkEnd w:id="327"/>
      <w:bookmarkEnd w:id="328"/>
    </w:p>
    <w:p>
      <w:pPr>
        <w:pStyle w:val="3"/>
        <w:rPr>
          <w:rFonts w:ascii="仿宋" w:eastAsia="仿宋"/>
          <w:color w:val="000000"/>
        </w:rPr>
      </w:pPr>
      <w:bookmarkStart w:id="329" w:name="_Toc15396630"/>
      <w:bookmarkStart w:id="330" w:name="_Toc79163647"/>
      <w:bookmarkStart w:id="331" w:name="_Toc4909"/>
      <w:r>
        <w:rPr>
          <w:rStyle w:val="25"/>
          <w:rFonts w:hint="eastAsia" w:ascii="仿宋" w:eastAsia="仿宋"/>
          <w:b w:val="0"/>
          <w:bCs w:val="0"/>
        </w:rPr>
        <w:t>十二、</w:t>
      </w:r>
      <w:r>
        <w:rPr>
          <w:rFonts w:hint="eastAsia" w:ascii="仿宋" w:eastAsia="仿宋"/>
          <w:b w:val="0"/>
          <w:color w:val="000000"/>
        </w:rPr>
        <w:t>政</w:t>
      </w:r>
      <w:r>
        <w:rPr>
          <w:rStyle w:val="25"/>
          <w:rFonts w:hint="eastAsia" w:ascii="仿宋" w:eastAsia="仿宋"/>
          <w:b w:val="0"/>
          <w:bCs w:val="0"/>
        </w:rPr>
        <w:t>府性基金预算财政拨款“三公”经费支出决算表</w:t>
      </w:r>
      <w:bookmarkEnd w:id="329"/>
      <w:bookmarkEnd w:id="330"/>
      <w:bookmarkEnd w:id="331"/>
    </w:p>
    <w:p>
      <w:pPr>
        <w:pStyle w:val="3"/>
        <w:rPr>
          <w:rStyle w:val="25"/>
          <w:rFonts w:ascii="仿宋" w:eastAsia="仿宋"/>
          <w:b w:val="0"/>
          <w:bCs w:val="0"/>
        </w:rPr>
      </w:pPr>
      <w:bookmarkStart w:id="332" w:name="_Toc79163648"/>
      <w:bookmarkStart w:id="333" w:name="_Toc15396631"/>
      <w:bookmarkStart w:id="334" w:name="_Toc31275"/>
      <w:r>
        <w:rPr>
          <w:rStyle w:val="25"/>
          <w:rFonts w:hint="eastAsia" w:ascii="仿宋" w:eastAsia="仿宋"/>
          <w:b w:val="0"/>
          <w:bCs w:val="0"/>
        </w:rPr>
        <w:t>十三、</w:t>
      </w:r>
      <w:r>
        <w:rPr>
          <w:rFonts w:hint="eastAsia" w:ascii="仿宋" w:eastAsia="仿宋"/>
          <w:b w:val="0"/>
          <w:color w:val="000000"/>
        </w:rPr>
        <w:t>国</w:t>
      </w:r>
      <w:r>
        <w:rPr>
          <w:rStyle w:val="25"/>
          <w:rFonts w:hint="eastAsia" w:ascii="仿宋" w:eastAsia="仿宋"/>
          <w:b w:val="0"/>
          <w:bCs w:val="0"/>
        </w:rPr>
        <w:t>有资本经营预算财政拨款支出决算表</w:t>
      </w:r>
      <w:bookmarkEnd w:id="332"/>
      <w:bookmarkEnd w:id="333"/>
      <w:bookmarkEnd w:id="334"/>
    </w:p>
    <w:p>
      <w:pPr>
        <w:pStyle w:val="3"/>
        <w:rPr>
          <w:rStyle w:val="25"/>
          <w:rFonts w:ascii="仿宋" w:eastAsia="仿宋"/>
          <w:b w:val="0"/>
          <w:bCs w:val="0"/>
        </w:rPr>
      </w:pPr>
      <w:bookmarkStart w:id="335" w:name="_Toc79163649"/>
      <w:bookmarkStart w:id="336" w:name="_Toc28512"/>
      <w:r>
        <w:rPr>
          <w:rStyle w:val="25"/>
          <w:rFonts w:hint="eastAsia" w:ascii="仿宋" w:eastAsia="仿宋"/>
          <w:b w:val="0"/>
          <w:bCs w:val="0"/>
        </w:rPr>
        <w:t>十四、国有资本经营预算财政拨款支出决算表</w:t>
      </w:r>
      <w:bookmarkEnd w:id="335"/>
      <w:bookmarkEnd w:id="336"/>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仿宋_GB2312"/>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仿宋_GB2312"/>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DE1N2U5ODIyOTRiYmM1NzEwNDgxZjRkNWY0ZTQ4Y2EifQ=="/>
  </w:docVars>
  <w:rsids>
    <w:rsidRoot w:val="00000000"/>
    <w:rsid w:val="985DBB17"/>
    <w:rsid w:val="EEFD782E"/>
    <w:rsid w:val="F3BD05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25"/>
    <w:qFormat/>
    <w:uiPriority w:val="0"/>
    <w:pPr>
      <w:keepNext/>
      <w:keepLines/>
      <w:widowControl w:val="0"/>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1">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等线" w:eastAsia="等线"/>
      <w:sz w:val="18"/>
      <w:szCs w:val="18"/>
    </w:rPr>
  </w:style>
  <w:style w:type="paragraph" w:styleId="6">
    <w:name w:val="Body Text"/>
    <w:basedOn w:val="1"/>
    <w:qFormat/>
    <w:uiPriority w:val="0"/>
    <w:pPr>
      <w:spacing w:before="30" w:beforeLines="30"/>
    </w:pPr>
    <w:rPr>
      <w:rFonts w:ascii="仿宋_GB2312" w:eastAsia="仿宋_GB2312"/>
      <w:kern w:val="0"/>
      <w:sz w:val="24"/>
      <w:szCs w:val="20"/>
    </w:rPr>
  </w:style>
  <w:style w:type="paragraph" w:styleId="7">
    <w:name w:val="toc 5"/>
    <w:basedOn w:val="1"/>
    <w:next w:val="1"/>
    <w:qFormat/>
    <w:uiPriority w:val="0"/>
    <w:pPr>
      <w:ind w:left="840"/>
      <w:jc w:val="left"/>
    </w:pPr>
    <w:rPr>
      <w:rFonts w:ascii="等线" w:eastAsia="等线"/>
      <w:sz w:val="18"/>
      <w:szCs w:val="18"/>
    </w:rPr>
  </w:style>
  <w:style w:type="paragraph" w:styleId="8">
    <w:name w:val="toc 3"/>
    <w:basedOn w:val="1"/>
    <w:next w:val="1"/>
    <w:qFormat/>
    <w:uiPriority w:val="0"/>
    <w:pPr>
      <w:ind w:left="420"/>
      <w:jc w:val="left"/>
    </w:pPr>
    <w:rPr>
      <w:rFonts w:ascii="等线" w:eastAsia="等线"/>
      <w:i/>
      <w:iCs/>
      <w:sz w:val="20"/>
      <w:szCs w:val="20"/>
    </w:rPr>
  </w:style>
  <w:style w:type="paragraph" w:styleId="9">
    <w:name w:val="toc 8"/>
    <w:basedOn w:val="1"/>
    <w:next w:val="1"/>
    <w:qFormat/>
    <w:uiPriority w:val="0"/>
    <w:pPr>
      <w:ind w:left="1470"/>
      <w:jc w:val="left"/>
    </w:pPr>
    <w:rPr>
      <w:rFonts w:ascii="等线" w:eastAsia="等线"/>
      <w:sz w:val="18"/>
      <w:szCs w:val="18"/>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qFormat/>
    <w:uiPriority w:val="0"/>
    <w:pPr>
      <w:spacing w:before="120" w:after="120"/>
      <w:jc w:val="left"/>
    </w:pPr>
    <w:rPr>
      <w:rFonts w:ascii="等线" w:eastAsia="等线"/>
      <w:b/>
      <w:bCs/>
      <w:caps/>
      <w:sz w:val="20"/>
      <w:szCs w:val="20"/>
    </w:rPr>
  </w:style>
  <w:style w:type="paragraph" w:styleId="14">
    <w:name w:val="toc 4"/>
    <w:basedOn w:val="1"/>
    <w:next w:val="1"/>
    <w:qFormat/>
    <w:uiPriority w:val="0"/>
    <w:pPr>
      <w:ind w:left="630"/>
      <w:jc w:val="left"/>
    </w:pPr>
    <w:rPr>
      <w:rFonts w:ascii="等线" w:eastAsia="等线"/>
      <w:sz w:val="18"/>
      <w:szCs w:val="18"/>
    </w:rPr>
  </w:style>
  <w:style w:type="paragraph" w:styleId="15">
    <w:name w:val="toc 6"/>
    <w:basedOn w:val="1"/>
    <w:next w:val="1"/>
    <w:qFormat/>
    <w:uiPriority w:val="0"/>
    <w:pPr>
      <w:ind w:left="1050"/>
      <w:jc w:val="left"/>
    </w:pPr>
    <w:rPr>
      <w:rFonts w:ascii="等线" w:eastAsia="等线"/>
      <w:sz w:val="18"/>
      <w:szCs w:val="18"/>
    </w:rPr>
  </w:style>
  <w:style w:type="paragraph" w:styleId="16">
    <w:name w:val="toc 2"/>
    <w:basedOn w:val="1"/>
    <w:next w:val="1"/>
    <w:qFormat/>
    <w:uiPriority w:val="0"/>
    <w:pPr>
      <w:ind w:left="210"/>
      <w:jc w:val="left"/>
    </w:pPr>
    <w:rPr>
      <w:rFonts w:ascii="等线" w:eastAsia="等线"/>
      <w:smallCaps/>
      <w:sz w:val="20"/>
      <w:szCs w:val="20"/>
    </w:rPr>
  </w:style>
  <w:style w:type="paragraph" w:styleId="17">
    <w:name w:val="toc 9"/>
    <w:basedOn w:val="1"/>
    <w:next w:val="1"/>
    <w:qFormat/>
    <w:uiPriority w:val="0"/>
    <w:pPr>
      <w:ind w:left="1680"/>
      <w:jc w:val="left"/>
    </w:pPr>
    <w:rPr>
      <w:rFonts w:ascii="等线" w:eastAsia="等线"/>
      <w:sz w:val="18"/>
      <w:szCs w:val="18"/>
    </w:rPr>
  </w:style>
  <w:style w:type="paragraph" w:styleId="18">
    <w:name w:val="Normal (Web)"/>
    <w:basedOn w:val="1"/>
    <w:next w:val="6"/>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snapToGrid/>
      <w:color w:val="auto"/>
      <w:spacing w:val="0"/>
      <w:w w:val="100"/>
      <w:kern w:val="0"/>
      <w:position w:val="0"/>
      <w:sz w:val="24"/>
      <w:szCs w:val="21"/>
      <w:u w:val="none" w:color="auto"/>
      <w:vertAlign w:val="baseline"/>
      <w:lang w:val="en-US" w:eastAsia="zh-CN"/>
    </w:rPr>
  </w:style>
  <w:style w:type="paragraph" w:styleId="19">
    <w:name w:val="Body Text First Indent 2"/>
    <w:basedOn w:val="1"/>
    <w:next w:val="1"/>
    <w:qFormat/>
    <w:uiPriority w:val="0"/>
    <w:pPr>
      <w:widowControl w:val="0"/>
      <w:spacing w:after="120" w:line="500" w:lineRule="exact"/>
      <w:ind w:left="200" w:leftChars="200" w:firstLine="200" w:firstLineChars="200"/>
      <w:jc w:val="both"/>
    </w:pPr>
    <w:rPr>
      <w:rFonts w:ascii="Times New Roman" w:hAnsi="Times New Roman" w:eastAsia="宋体" w:cs="Times New Roman"/>
      <w:b/>
      <w:kern w:val="2"/>
      <w:sz w:val="21"/>
      <w:szCs w:val="24"/>
      <w:lang w:val="en-US" w:eastAsia="zh-CN" w:bidi="ar-SA"/>
    </w:rPr>
  </w:style>
  <w:style w:type="character" w:styleId="22">
    <w:name w:val="Strong"/>
    <w:basedOn w:val="21"/>
    <w:qFormat/>
    <w:uiPriority w:val="0"/>
    <w:rPr>
      <w:rFonts w:cs="Times New Roman"/>
      <w:b/>
    </w:rPr>
  </w:style>
  <w:style w:type="character" w:styleId="23">
    <w:name w:val="Hyperlink"/>
    <w:basedOn w:val="21"/>
    <w:qFormat/>
    <w:uiPriority w:val="0"/>
    <w:rPr>
      <w:rFonts w:cs="Times New Roman"/>
      <w:color w:val="0000FF"/>
      <w:u w:val="single"/>
    </w:rPr>
  </w:style>
  <w:style w:type="character" w:customStyle="1" w:styleId="24">
    <w:name w:val="heading 1 Char"/>
    <w:basedOn w:val="21"/>
    <w:link w:val="2"/>
    <w:qFormat/>
    <w:uiPriority w:val="0"/>
    <w:rPr>
      <w:rFonts w:ascii="Times New Roman" w:hAnsi="Times New Roman" w:eastAsia="宋体" w:cs="Times New Roman"/>
      <w:b/>
      <w:bCs/>
      <w:kern w:val="44"/>
      <w:sz w:val="44"/>
      <w:szCs w:val="44"/>
      <w:lang w:val="en-US" w:eastAsia="zh-CN" w:bidi="ar-SA"/>
    </w:rPr>
  </w:style>
  <w:style w:type="character" w:customStyle="1" w:styleId="25">
    <w:name w:val="heading 2 Char"/>
    <w:basedOn w:val="21"/>
    <w:link w:val="3"/>
    <w:qFormat/>
    <w:uiPriority w:val="0"/>
    <w:rPr>
      <w:rFonts w:ascii="Cambria" w:hAnsi="Cambria" w:eastAsia="宋体" w:cs="Times New Roman"/>
      <w:b/>
      <w:bCs/>
      <w:kern w:val="2"/>
      <w:sz w:val="32"/>
      <w:szCs w:val="32"/>
      <w:lang w:val="en-US" w:eastAsia="zh-CN" w:bidi="ar-SA"/>
    </w:rPr>
  </w:style>
  <w:style w:type="character" w:customStyle="1" w:styleId="26">
    <w:name w:val="Body Text Char"/>
    <w:basedOn w:val="21"/>
    <w:qFormat/>
    <w:uiPriority w:val="0"/>
    <w:rPr>
      <w:rFonts w:ascii="Times New Roman" w:hAnsi="Times New Roman" w:cs="Times New Roman"/>
      <w:sz w:val="24"/>
      <w:szCs w:val="24"/>
    </w:rPr>
  </w:style>
  <w:style w:type="character" w:customStyle="1" w:styleId="27">
    <w:name w:val="Footer Char"/>
    <w:basedOn w:val="21"/>
    <w:qFormat/>
    <w:uiPriority w:val="0"/>
    <w:rPr>
      <w:rFonts w:ascii="Times New Roman" w:hAnsi="Times New Roman" w:cs="Times New Roman"/>
      <w:sz w:val="18"/>
      <w:szCs w:val="18"/>
    </w:rPr>
  </w:style>
  <w:style w:type="character" w:customStyle="1" w:styleId="28">
    <w:name w:val="Header Char"/>
    <w:basedOn w:val="21"/>
    <w:qFormat/>
    <w:uiPriority w:val="0"/>
    <w:rPr>
      <w:rFonts w:ascii="Times New Roman" w:hAnsi="Times New Roman" w:cs="Times New Roman"/>
      <w:sz w:val="18"/>
      <w:szCs w:val="18"/>
    </w:rPr>
  </w:style>
  <w:style w:type="paragraph" w:customStyle="1" w:styleId="29">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0">
    <w:name w:val="列表段落1"/>
    <w:basedOn w:val="1"/>
    <w:qFormat/>
    <w:uiPriority w:val="0"/>
    <w:pPr>
      <w:ind w:firstLine="200" w:firstLineChars="200"/>
    </w:pPr>
  </w:style>
  <w:style w:type="paragraph" w:customStyle="1" w:styleId="31">
    <w:name w:val="TOC 标题1"/>
    <w:basedOn w:val="2"/>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2">
    <w:name w:val="TOC Heading1"/>
    <w:basedOn w:val="2"/>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3">
    <w:name w:val="TOC Heading"/>
    <w:basedOn w:val="2"/>
    <w:next w:val="1"/>
    <w:qFormat/>
    <w:uiPriority w:val="0"/>
    <w:pPr>
      <w:keepNext/>
      <w:keepLines/>
      <w:widowControl/>
      <w:spacing w:before="240" w:after="0" w:line="259" w:lineRule="auto"/>
      <w:jc w:val="left"/>
      <w:outlineLvl w:val="9"/>
    </w:pPr>
    <w:rPr>
      <w:rFonts w:ascii="等线 Light" w:eastAsia="等线 Light" w:cs="Times New Roman"/>
      <w:b w:val="0"/>
      <w:bCs w:val="0"/>
      <w:color w:val="2F5496"/>
      <w:kern w:val="0"/>
      <w:sz w:val="32"/>
      <w:szCs w:val="32"/>
    </w:rPr>
  </w:style>
  <w:style w:type="paragraph" w:customStyle="1" w:styleId="34">
    <w:name w:val="正文1"/>
    <w:qFormat/>
    <w:uiPriority w:val="0"/>
    <w:pPr>
      <w:widowControl w:val="0"/>
      <w:suppressAutoHyphens w:val="0"/>
      <w:bidi w:val="0"/>
      <w:spacing w:beforeAutospacing="0" w:afterAutospacing="0"/>
      <w:jc w:val="both"/>
    </w:pPr>
    <w:rPr>
      <w:rFonts w:ascii="Calibri" w:hAnsi="Calibri" w:eastAsia="等线" w:cs="Times New Roman"/>
      <w:color w:val="auto"/>
      <w:kern w:val="2"/>
      <w:sz w:val="21"/>
      <w:szCs w:val="24"/>
      <w:lang w:val="en-US" w:eastAsia="zh-CN" w:bidi="hi-IN"/>
    </w:rPr>
  </w:style>
  <w:style w:type="paragraph" w:customStyle="1" w:styleId="35">
    <w:name w:val="正文首行缩进 21"/>
    <w:basedOn w:val="1"/>
    <w:qFormat/>
    <w:uiPriority w:val="0"/>
    <w:pPr>
      <w:widowControl w:val="0"/>
      <w:suppressAutoHyphens w:val="0"/>
      <w:bidi w:val="0"/>
      <w:spacing w:beforeAutospacing="0" w:afterAutospacing="0"/>
      <w:ind w:left="420"/>
      <w:jc w:val="both"/>
    </w:pPr>
    <w:rPr>
      <w:rFonts w:ascii="Calibri" w:hAnsi="Calibri" w:eastAsia="等线" w:cs="Times New Roman"/>
      <w:color w:val="auto"/>
      <w:kern w:val="2"/>
      <w:sz w:val="21"/>
      <w:szCs w:val="24"/>
      <w:lang w:val="en-US" w:eastAsia="zh-CN" w:bidi="hi-I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197991"/>
          <c:y val="0.09779507"/>
          <c:w val="0.83484006"/>
          <c:h val="0.6400519"/>
        </c:manualLayout>
      </c:layout>
      <c:barChart>
        <c:barDir val="col"/>
        <c:grouping val="clustered"/>
        <c:varyColors val="0"/>
        <c:ser>
          <c:idx val="0"/>
          <c:order val="0"/>
          <c:tx>
            <c:strRef>
              <c:f>'Sheet1'!$B$1</c:f>
              <c:strCache>
                <c:ptCount val="1"/>
                <c:pt idx="0">
                  <c:v>2020年</c:v>
                </c:pt>
              </c:strCache>
            </c:strRef>
          </c:tx>
          <c:spPr>
            <a:solidFill>
              <a:srgbClr val="4F81BD"/>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收入</c:v>
                </c:pt>
              </c:strCache>
            </c:strRef>
          </c:cat>
          <c:val>
            <c:numRef>
              <c:f>Sheet1!$B$2</c:f>
              <c:numCache>
                <c:formatCode>General</c:formatCode>
                <c:ptCount val="1"/>
                <c:pt idx="0">
                  <c:v>60.34</c:v>
                </c:pt>
              </c:numCache>
            </c:numRef>
          </c:val>
        </c:ser>
        <c:ser>
          <c:idx val="1"/>
          <c:order val="1"/>
          <c:tx>
            <c:strRef>
              <c:f>'Sheet1'!$C$1</c:f>
              <c:strCache>
                <c:ptCount val="1"/>
                <c:pt idx="0">
                  <c:v>2021年</c:v>
                </c:pt>
              </c:strCache>
            </c:strRef>
          </c:tx>
          <c:spPr>
            <a:solidFill>
              <a:srgbClr val="C0504D"/>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收入</c:v>
                </c:pt>
              </c:strCache>
            </c:strRef>
          </c:cat>
          <c:val>
            <c:numRef>
              <c:f>Sheet1!$C$2</c:f>
              <c:numCache>
                <c:formatCode>General</c:formatCode>
                <c:ptCount val="1"/>
                <c:pt idx="0">
                  <c:v>77.84</c:v>
                </c:pt>
              </c:numCache>
            </c:numRef>
          </c:val>
        </c:ser>
        <c:ser>
          <c:idx val="2"/>
          <c:order val="2"/>
          <c:spPr>
            <a:solidFill>
              <a:srgbClr val="9BBB59"/>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收入</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E3E3E3"/>
            </a:solid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3E3E3"/>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panose="02010600030101010101" charset="-122"/>
                <a:cs typeface="Arial" panose="020B0604020202020204" pitchFamily="2"/>
              </a:defRPr>
            </a:pPr>
          </a:p>
        </c:txPr>
        <c:crossAx val="0"/>
        <c:crossesAt val="1"/>
        <c:crossBetween val="between"/>
      </c:valAx>
      <c:spPr>
        <a:noFill/>
        <a:ln>
          <a:noFill/>
        </a:ln>
      </c:spPr>
    </c:plotArea>
    <c:legend>
      <c:legendPos val="b"/>
      <c:legendEntry>
        <c:idx val="2"/>
        <c:delete val="1"/>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solidFill>
      <a:srgbClr val="CCE8CF"/>
    </a:solidFill>
    <a:ln w="6350" cap="flat" cmpd="sng" algn="ctr">
      <a:solidFill>
        <a:srgbClr val="E3E3E3"/>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197991"/>
          <c:y val="0.09779507"/>
          <c:w val="0.83484006"/>
          <c:h val="0.6400519"/>
        </c:manualLayout>
      </c:layout>
      <c:barChart>
        <c:barDir val="col"/>
        <c:grouping val="clustered"/>
        <c:varyColors val="0"/>
        <c:ser>
          <c:idx val="0"/>
          <c:order val="0"/>
          <c:tx>
            <c:strRef>
              <c:f>'Sheet1 (2)'!$B$1</c:f>
              <c:strCache>
                <c:ptCount val="1"/>
                <c:pt idx="0">
                  <c:v>2020年</c:v>
                </c:pt>
              </c:strCache>
            </c:strRef>
          </c:tx>
          <c:spPr>
            <a:solidFill>
              <a:srgbClr val="4F81BD"/>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(2)'!$A$2</c:f>
              <c:strCache>
                <c:ptCount val="1"/>
                <c:pt idx="0">
                  <c:v>支出</c:v>
                </c:pt>
              </c:strCache>
            </c:strRef>
          </c:cat>
          <c:val>
            <c:numRef>
              <c:f>Sheet1 (2)!$B$2</c:f>
              <c:numCache>
                <c:formatCode>General</c:formatCode>
                <c:ptCount val="1"/>
                <c:pt idx="0">
                  <c:v>60.34</c:v>
                </c:pt>
              </c:numCache>
            </c:numRef>
          </c:val>
        </c:ser>
        <c:ser>
          <c:idx val="1"/>
          <c:order val="1"/>
          <c:tx>
            <c:strRef>
              <c:f>'Sheet1 (2)'!$C$1</c:f>
              <c:strCache>
                <c:ptCount val="1"/>
                <c:pt idx="0">
                  <c:v>2021年</c:v>
                </c:pt>
              </c:strCache>
            </c:strRef>
          </c:tx>
          <c:spPr>
            <a:solidFill>
              <a:srgbClr val="C0504D"/>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(2)'!$A$2</c:f>
              <c:strCache>
                <c:ptCount val="1"/>
                <c:pt idx="0">
                  <c:v>支出</c:v>
                </c:pt>
              </c:strCache>
            </c:strRef>
          </c:cat>
          <c:val>
            <c:numRef>
              <c:f>Sheet1 (2)!$C$2</c:f>
              <c:numCache>
                <c:formatCode>General</c:formatCode>
                <c:ptCount val="1"/>
                <c:pt idx="0">
                  <c:v>77.84</c:v>
                </c:pt>
              </c:numCache>
            </c:numRef>
          </c:val>
        </c:ser>
        <c:ser>
          <c:idx val="2"/>
          <c:order val="2"/>
          <c:spPr>
            <a:solidFill>
              <a:srgbClr val="9BBB59"/>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(2)'!$A$2</c:f>
              <c:strCache>
                <c:ptCount val="1"/>
                <c:pt idx="0">
                  <c:v>支出</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E3E3E3"/>
            </a:solid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3E3E3"/>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panose="02010600030101010101" charset="-122"/>
                <a:cs typeface="Arial" panose="020B0604020202020204" pitchFamily="2"/>
              </a:defRPr>
            </a:pPr>
          </a:p>
        </c:txPr>
        <c:crossAx val="0"/>
        <c:crossesAt val="1"/>
        <c:crossBetween val="between"/>
      </c:valAx>
      <c:spPr>
        <a:noFill/>
        <a:ln>
          <a:noFill/>
        </a:ln>
      </c:spPr>
    </c:plotArea>
    <c:legend>
      <c:legendPos val="b"/>
      <c:legendEntry>
        <c:idx val="2"/>
        <c:delete val="1"/>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solidFill>
      <a:srgbClr val="CCE8CF"/>
    </a:solidFill>
    <a:ln w="6350" cap="flat" cmpd="sng" algn="ctr">
      <a:solidFill>
        <a:srgbClr val="E3E3E3"/>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858585"/>
                </a:solidFill>
                <a:latin typeface="Times New Roman" panose="02020603050405020304"/>
                <a:ea typeface="宋体" panose="02010600030101010101" charset="-122"/>
                <a:cs typeface="Arial" panose="020B0604020202020204" pitchFamily="2"/>
              </a:defRPr>
            </a:pPr>
            <a:r>
              <a:rPr lang="zh-CN"/>
              <a:t>收入</a:t>
            </a:r>
            <a:endParaRPr lang="zh-CN"/>
          </a:p>
        </c:rich>
      </c:tx>
      <c:layout/>
      <c:overlay val="0"/>
      <c:spPr>
        <a:noFill/>
        <a:ln>
          <a:noFill/>
        </a:ln>
      </c:spPr>
    </c:title>
    <c:autoTitleDeleted val="0"/>
    <c:plotArea>
      <c:layout/>
      <c:pieChart>
        <c:varyColors val="1"/>
        <c:ser>
          <c:idx val="0"/>
          <c:order val="0"/>
          <c:tx>
            <c:strRef>
              <c:f>'Sheet1 (3)'!$B$1</c:f>
              <c:strCache>
                <c:ptCount val="1"/>
                <c:pt idx="0">
                  <c:v>收入</c:v>
                </c:pt>
              </c:strCache>
            </c:strRef>
          </c:tx>
          <c:spPr>
            <a:ln>
              <a:noFill/>
            </a:ln>
          </c:spPr>
          <c:explosion val="0"/>
          <c:dPt>
            <c:idx val="0"/>
            <c:bubble3D val="0"/>
            <c:spPr>
              <a:solidFill>
                <a:srgbClr val="4F81BD"/>
              </a:solidFill>
              <a:ln w="19050">
                <a:solidFill>
                  <a:srgbClr val="CCE8CF"/>
                </a:solidFill>
                <a:prstDash val="solid"/>
              </a:ln>
            </c:spPr>
          </c:dPt>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(3)'!$A$2</c:f>
              <c:strCache>
                <c:ptCount val="1"/>
                <c:pt idx="0">
                  <c:v>一般公共预算财政拨款收入</c:v>
                </c:pt>
              </c:strCache>
            </c:strRef>
          </c:cat>
          <c:val>
            <c:numRef>
              <c:f>Sheet1 (3)!$B$2</c:f>
              <c:numCache>
                <c:formatCode>General</c:formatCode>
                <c:ptCount val="1"/>
                <c:pt idx="0">
                  <c:v>8.2</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solidFill>
      <a:srgbClr val="CCE8CF"/>
    </a:solidFill>
    <a:ln w="6350" cap="flat" cmpd="sng" algn="ctr">
      <a:solidFill>
        <a:srgbClr val="E3E3E3"/>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858585"/>
                </a:solidFill>
                <a:latin typeface="Times New Roman" panose="02020603050405020304"/>
                <a:ea typeface="宋体" panose="02010600030101010101" charset="-122"/>
                <a:cs typeface="Arial" panose="020B0604020202020204" pitchFamily="2"/>
              </a:defRPr>
            </a:pPr>
            <a:r>
              <a:rPr lang="zh-CN"/>
              <a:t>收入</a:t>
            </a:r>
            <a:endParaRPr lang="zh-CN"/>
          </a:p>
        </c:rich>
      </c:tx>
      <c:layout/>
      <c:overlay val="0"/>
      <c:spPr>
        <a:noFill/>
        <a:ln>
          <a:noFill/>
        </a:ln>
      </c:spPr>
    </c:title>
    <c:autoTitleDeleted val="0"/>
    <c:plotArea>
      <c:layout/>
      <c:pieChart>
        <c:varyColors val="1"/>
        <c:ser>
          <c:idx val="0"/>
          <c:order val="0"/>
          <c:tx>
            <c:strRef>
              <c:f>'Sheet1 (4)'!$B$1</c:f>
              <c:strCache>
                <c:ptCount val="1"/>
                <c:pt idx="0">
                  <c:v>收入</c:v>
                </c:pt>
              </c:strCache>
            </c:strRef>
          </c:tx>
          <c:spPr>
            <a:ln>
              <a:noFill/>
            </a:ln>
          </c:spPr>
          <c:explosion val="0"/>
          <c:dPt>
            <c:idx val="0"/>
            <c:bubble3D val="0"/>
            <c:spPr>
              <a:solidFill>
                <a:srgbClr val="4F81BD"/>
              </a:solidFill>
              <a:ln w="19050">
                <a:solidFill>
                  <a:srgbClr val="CCE8CF"/>
                </a:solidFill>
                <a:prstDash val="solid"/>
              </a:ln>
            </c:spPr>
          </c:dPt>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c:f>
              <c:strCache>
                <c:ptCount val="1"/>
                <c:pt idx="0">
                  <c:v>一般公共预算财政拨款支出</c:v>
                </c:pt>
              </c:strCache>
            </c:strRef>
          </c:cat>
          <c:val>
            <c:numRef>
              <c:f>Sheet1 (4)!$B$2</c:f>
              <c:numCache>
                <c:formatCode>General</c:formatCode>
                <c:ptCount val="1"/>
                <c:pt idx="0">
                  <c:v>77.84</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solidFill>
      <a:srgbClr val="CCE8CF"/>
    </a:solidFill>
    <a:ln w="6350" cap="flat" cmpd="sng" algn="ctr">
      <a:solidFill>
        <a:srgbClr val="E3E3E3"/>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497753"/>
          <c:y val="0.116990924"/>
          <c:w val="0.83484006"/>
          <c:h val="0.6400519"/>
        </c:manualLayout>
      </c:layout>
      <c:barChart>
        <c:barDir val="col"/>
        <c:grouping val="clustered"/>
        <c:varyColors val="0"/>
        <c:ser>
          <c:idx val="0"/>
          <c:order val="0"/>
          <c:tx>
            <c:strRef>
              <c:f>'Sheet1 (5)'!$B$1</c:f>
              <c:strCache>
                <c:ptCount val="1"/>
                <c:pt idx="0">
                  <c:v>2020年</c:v>
                </c:pt>
              </c:strCache>
            </c:strRef>
          </c:tx>
          <c:spPr>
            <a:solidFill>
              <a:srgbClr val="4F81BD"/>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c:f>
              <c:strCache>
                <c:ptCount val="1"/>
                <c:pt idx="0">
                  <c:v>财政拨款收入</c:v>
                </c:pt>
              </c:strCache>
            </c:strRef>
          </c:cat>
          <c:val>
            <c:numRef>
              <c:f>Sheet1 (5)!$B$2</c:f>
              <c:numCache>
                <c:formatCode>General</c:formatCode>
                <c:ptCount val="1"/>
                <c:pt idx="0">
                  <c:v>60.34</c:v>
                </c:pt>
              </c:numCache>
            </c:numRef>
          </c:val>
        </c:ser>
        <c:ser>
          <c:idx val="1"/>
          <c:order val="1"/>
          <c:tx>
            <c:strRef>
              <c:f>'Sheet1 (5)'!$C$1</c:f>
              <c:strCache>
                <c:ptCount val="1"/>
                <c:pt idx="0">
                  <c:v>2021年</c:v>
                </c:pt>
              </c:strCache>
            </c:strRef>
          </c:tx>
          <c:spPr>
            <a:solidFill>
              <a:srgbClr val="C0504D"/>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c:f>
              <c:strCache>
                <c:ptCount val="1"/>
                <c:pt idx="0">
                  <c:v>财政拨款收入</c:v>
                </c:pt>
              </c:strCache>
            </c:strRef>
          </c:cat>
          <c:val>
            <c:numRef>
              <c:f>Sheet1 (5)!$C$2</c:f>
              <c:numCache>
                <c:formatCode>General</c:formatCode>
                <c:ptCount val="1"/>
                <c:pt idx="0">
                  <c:v>77.84</c:v>
                </c:pt>
              </c:numCache>
            </c:numRef>
          </c:val>
        </c:ser>
        <c:ser>
          <c:idx val="2"/>
          <c:order val="2"/>
          <c:spPr>
            <a:solidFill>
              <a:srgbClr val="9BBB59"/>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c:f>
              <c:strCache>
                <c:ptCount val="1"/>
                <c:pt idx="0">
                  <c:v>财政拨款收入</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E3E3E3"/>
            </a:solid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3E3E3"/>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panose="02010600030101010101" charset="-122"/>
                <a:cs typeface="Arial" panose="020B0604020202020204" pitchFamily="2"/>
              </a:defRPr>
            </a:pPr>
          </a:p>
        </c:txPr>
        <c:crossAx val="0"/>
        <c:crossesAt val="1"/>
        <c:crossBetween val="between"/>
      </c:valAx>
      <c:spPr>
        <a:noFill/>
        <a:ln>
          <a:noFill/>
        </a:ln>
      </c:spPr>
    </c:plotArea>
    <c:legend>
      <c:legendPos val="b"/>
      <c:legendEntry>
        <c:idx val="2"/>
        <c:delete val="1"/>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solidFill>
      <a:srgbClr val="CCE8CF"/>
    </a:solidFill>
    <a:ln w="6350" cap="flat" cmpd="sng" algn="ctr">
      <a:solidFill>
        <a:srgbClr val="E3E3E3"/>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35184"/>
          <c:y val="0.05862516"/>
          <c:w val="0.83484006"/>
          <c:h val="0.6400519"/>
        </c:manualLayout>
      </c:layout>
      <c:barChart>
        <c:barDir val="col"/>
        <c:grouping val="clustered"/>
        <c:varyColors val="0"/>
        <c:ser>
          <c:idx val="0"/>
          <c:order val="0"/>
          <c:tx>
            <c:strRef>
              <c:f>'Sheet1 (6)'!$B$1</c:f>
              <c:strCache>
                <c:ptCount val="1"/>
                <c:pt idx="0">
                  <c:v>2020年</c:v>
                </c:pt>
              </c:strCache>
            </c:strRef>
          </c:tx>
          <c:spPr>
            <a:solidFill>
              <a:srgbClr val="4F81BD"/>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(6)'!$A$2</c:f>
              <c:strCache>
                <c:ptCount val="1"/>
                <c:pt idx="0">
                  <c:v>财政拨款支出</c:v>
                </c:pt>
              </c:strCache>
            </c:strRef>
          </c:cat>
          <c:val>
            <c:numRef>
              <c:f>Sheet1 (6)!$B$2</c:f>
              <c:numCache>
                <c:formatCode>General</c:formatCode>
                <c:ptCount val="1"/>
                <c:pt idx="0">
                  <c:v>60.34</c:v>
                </c:pt>
              </c:numCache>
            </c:numRef>
          </c:val>
        </c:ser>
        <c:ser>
          <c:idx val="1"/>
          <c:order val="1"/>
          <c:tx>
            <c:strRef>
              <c:f>'Sheet1 (6)'!$C$1</c:f>
              <c:strCache>
                <c:ptCount val="1"/>
                <c:pt idx="0">
                  <c:v>2021年</c:v>
                </c:pt>
              </c:strCache>
            </c:strRef>
          </c:tx>
          <c:spPr>
            <a:solidFill>
              <a:srgbClr val="C0504D"/>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(6)'!$A$2</c:f>
              <c:strCache>
                <c:ptCount val="1"/>
                <c:pt idx="0">
                  <c:v>财政拨款支出</c:v>
                </c:pt>
              </c:strCache>
            </c:strRef>
          </c:cat>
          <c:val>
            <c:numRef>
              <c:f>Sheet1 (6)!$C$2</c:f>
              <c:numCache>
                <c:formatCode>General</c:formatCode>
                <c:ptCount val="1"/>
                <c:pt idx="0">
                  <c:v>77.84</c:v>
                </c:pt>
              </c:numCache>
            </c:numRef>
          </c:val>
        </c:ser>
        <c:ser>
          <c:idx val="2"/>
          <c:order val="2"/>
          <c:spPr>
            <a:solidFill>
              <a:srgbClr val="9BBB59"/>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(6)'!$A$2</c:f>
              <c:strCache>
                <c:ptCount val="1"/>
                <c:pt idx="0">
                  <c:v>财政拨款支出</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E3E3E3"/>
            </a:solid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3E3E3"/>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panose="02010600030101010101" charset="-122"/>
                <a:cs typeface="Arial" panose="020B0604020202020204" pitchFamily="2"/>
              </a:defRPr>
            </a:pPr>
          </a:p>
        </c:txPr>
        <c:crossAx val="0"/>
        <c:crossesAt val="1"/>
        <c:crossBetween val="between"/>
      </c:valAx>
      <c:spPr>
        <a:noFill/>
        <a:ln>
          <a:noFill/>
        </a:ln>
      </c:spPr>
    </c:plotArea>
    <c:legend>
      <c:legendPos val="b"/>
      <c:legendEntry>
        <c:idx val="2"/>
        <c:delete val="1"/>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solidFill>
      <a:srgbClr val="CCE8CF"/>
    </a:solidFill>
    <a:ln w="6350" cap="flat" cmpd="sng" algn="ctr">
      <a:solidFill>
        <a:srgbClr val="E3E3E3"/>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35184"/>
          <c:y val="0.05862516"/>
          <c:w val="0.83484006"/>
          <c:h val="0.6400519"/>
        </c:manualLayout>
      </c:layout>
      <c:barChart>
        <c:barDir val="col"/>
        <c:grouping val="clustered"/>
        <c:varyColors val="0"/>
        <c:ser>
          <c:idx val="0"/>
          <c:order val="0"/>
          <c:tx>
            <c:strRef>
              <c:f>'Sheet1 (7)'!$B$1</c:f>
              <c:strCache>
                <c:ptCount val="1"/>
                <c:pt idx="0">
                  <c:v>2020年</c:v>
                </c:pt>
              </c:strCache>
            </c:strRef>
          </c:tx>
          <c:spPr>
            <a:solidFill>
              <a:srgbClr val="4F81BD"/>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(7)'!$A$2</c:f>
              <c:strCache>
                <c:ptCount val="1"/>
                <c:pt idx="0">
                  <c:v>一般公共预算财政拨款支出</c:v>
                </c:pt>
              </c:strCache>
            </c:strRef>
          </c:cat>
          <c:val>
            <c:numRef>
              <c:f>Sheet1 (7)!$B$2</c:f>
              <c:numCache>
                <c:formatCode>General</c:formatCode>
                <c:ptCount val="1"/>
                <c:pt idx="0">
                  <c:v>60.34</c:v>
                </c:pt>
              </c:numCache>
            </c:numRef>
          </c:val>
        </c:ser>
        <c:ser>
          <c:idx val="1"/>
          <c:order val="1"/>
          <c:tx>
            <c:strRef>
              <c:f>'Sheet1 (7)'!$C$1</c:f>
              <c:strCache>
                <c:ptCount val="1"/>
                <c:pt idx="0">
                  <c:v>2021年</c:v>
                </c:pt>
              </c:strCache>
            </c:strRef>
          </c:tx>
          <c:spPr>
            <a:solidFill>
              <a:srgbClr val="C0504D"/>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(7)'!$A$2</c:f>
              <c:strCache>
                <c:ptCount val="1"/>
                <c:pt idx="0">
                  <c:v>一般公共预算财政拨款支出</c:v>
                </c:pt>
              </c:strCache>
            </c:strRef>
          </c:cat>
          <c:val>
            <c:numRef>
              <c:f>Sheet1 (7)!$C$2</c:f>
              <c:numCache>
                <c:formatCode>General</c:formatCode>
                <c:ptCount val="1"/>
                <c:pt idx="0">
                  <c:v>77.84</c:v>
                </c:pt>
              </c:numCache>
            </c:numRef>
          </c:val>
        </c:ser>
        <c:ser>
          <c:idx val="2"/>
          <c:order val="2"/>
          <c:spPr>
            <a:solidFill>
              <a:srgbClr val="9BBB59"/>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(7)'!$A$2</c:f>
              <c:strCache>
                <c:ptCount val="1"/>
                <c:pt idx="0">
                  <c:v>一般公共预算财政拨款支出</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E3E3E3"/>
            </a:solid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3E3E3"/>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panose="02010600030101010101" charset="-122"/>
                <a:cs typeface="Arial" panose="020B0604020202020204" pitchFamily="2"/>
              </a:defRPr>
            </a:pPr>
          </a:p>
        </c:txPr>
        <c:crossAx val="0"/>
        <c:crossesAt val="1"/>
        <c:crossBetween val="between"/>
      </c:valAx>
      <c:spPr>
        <a:noFill/>
        <a:ln>
          <a:noFill/>
        </a:ln>
      </c:spPr>
    </c:plotArea>
    <c:legend>
      <c:legendPos val="b"/>
      <c:legendEntry>
        <c:idx val="2"/>
        <c:delete val="1"/>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solidFill>
      <a:srgbClr val="CCE8CF"/>
    </a:solidFill>
    <a:ln w="6350" cap="flat" cmpd="sng" algn="ctr">
      <a:solidFill>
        <a:srgbClr val="E3E3E3"/>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858585"/>
                </a:solidFill>
                <a:latin typeface="Times New Roman" panose="02020603050405020304"/>
                <a:ea typeface="宋体" panose="02010600030101010101" charset="-122"/>
                <a:cs typeface="Arial" panose="020B0604020202020204" pitchFamily="2"/>
              </a:defRPr>
            </a:pPr>
            <a:r>
              <a:rPr lang="zh-CN"/>
              <a:t>一般公共预算财政拨款支出</a:t>
            </a:r>
            <a:endParaRPr lang="zh-CN"/>
          </a:p>
        </c:rich>
      </c:tx>
      <c:layout/>
      <c:overlay val="0"/>
      <c:spPr>
        <a:noFill/>
        <a:ln>
          <a:noFill/>
        </a:ln>
      </c:spPr>
    </c:title>
    <c:autoTitleDeleted val="0"/>
    <c:plotArea>
      <c:layout/>
      <c:pieChart>
        <c:varyColors val="1"/>
        <c:ser>
          <c:idx val="0"/>
          <c:order val="0"/>
          <c:tx>
            <c:strRef>
              <c:f>'Sheet1 (8)'!$B$1</c:f>
              <c:strCache>
                <c:ptCount val="1"/>
                <c:pt idx="0">
                  <c:v>一般公共预算财政拨款支出</c:v>
                </c:pt>
              </c:strCache>
            </c:strRef>
          </c:tx>
          <c:spPr>
            <a:ln>
              <a:noFill/>
            </a:ln>
          </c:spPr>
          <c:explosion val="0"/>
          <c:dPt>
            <c:idx val="0"/>
            <c:bubble3D val="0"/>
            <c:spPr>
              <a:solidFill>
                <a:srgbClr val="4F81BD"/>
              </a:solidFill>
              <a:ln w="19050">
                <a:solidFill>
                  <a:srgbClr val="CCE8CF"/>
                </a:solidFill>
                <a:prstDash val="solid"/>
              </a:ln>
            </c:spPr>
          </c:dPt>
          <c:dPt>
            <c:idx val="1"/>
            <c:bubble3D val="0"/>
            <c:spPr>
              <a:solidFill>
                <a:srgbClr val="C0504D"/>
              </a:solidFill>
              <a:ln w="19050">
                <a:solidFill>
                  <a:srgbClr val="CCE8CF"/>
                </a:solidFill>
                <a:prstDash val="solid"/>
              </a:ln>
            </c:spPr>
          </c:dPt>
          <c:dPt>
            <c:idx val="2"/>
            <c:bubble3D val="0"/>
            <c:spPr>
              <a:solidFill>
                <a:srgbClr val="9BBB59"/>
              </a:solidFill>
              <a:ln w="19050">
                <a:solidFill>
                  <a:srgbClr val="CCE8CF"/>
                </a:solidFill>
                <a:prstDash val="solid"/>
              </a:ln>
            </c:spPr>
          </c:dPt>
          <c:dPt>
            <c:idx val="3"/>
            <c:bubble3D val="0"/>
            <c:spPr>
              <a:solidFill>
                <a:srgbClr val="8064A2"/>
              </a:solidFill>
              <a:ln w="19050">
                <a:solidFill>
                  <a:srgbClr val="CCE8CF"/>
                </a:solidFill>
                <a:prstDash val="solid"/>
              </a:ln>
            </c:spPr>
          </c:dPt>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(8)'!$A$2:$A$5</c:f>
              <c:strCache>
                <c:ptCount val="4"/>
                <c:pt idx="0">
                  <c:v>一般公共服务</c:v>
                </c:pt>
                <c:pt idx="1">
                  <c:v>社会保障和就业</c:v>
                </c:pt>
                <c:pt idx="2">
                  <c:v>卫生健康支出</c:v>
                </c:pt>
                <c:pt idx="3">
                  <c:v>住房保障支出</c:v>
                </c:pt>
              </c:strCache>
            </c:strRef>
          </c:cat>
          <c:val>
            <c:numRef>
              <c:f>'Sheet1 (8)'!$B$2:$B$5</c:f>
              <c:numCache>
                <c:formatCode>General</c:formatCode>
                <c:ptCount val="4"/>
                <c:pt idx="0">
                  <c:v>60.9</c:v>
                </c:pt>
                <c:pt idx="1">
                  <c:v>7.85</c:v>
                </c:pt>
                <c:pt idx="2">
                  <c:v>3.78</c:v>
                </c:pt>
                <c:pt idx="3">
                  <c:v>5.3</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solidFill>
      <a:srgbClr val="CCE8CF"/>
    </a:solidFill>
    <a:ln w="6350" cap="flat" cmpd="sng" algn="ctr">
      <a:solidFill>
        <a:srgbClr val="E3E3E3"/>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858585"/>
                </a:solidFill>
                <a:latin typeface="Times New Roman" panose="02020603050405020304"/>
                <a:ea typeface="宋体" panose="02010600030101010101" charset="-122"/>
                <a:cs typeface="Arial" panose="020B0604020202020204" pitchFamily="2"/>
              </a:defRPr>
            </a:pPr>
            <a:r>
              <a:rPr lang="zh-CN"/>
              <a:t>“三公”经费财政拨款支出</a:t>
            </a:r>
            <a:endParaRPr lang="zh-CN"/>
          </a:p>
        </c:rich>
      </c:tx>
      <c:layout/>
      <c:overlay val="0"/>
      <c:spPr>
        <a:noFill/>
        <a:ln>
          <a:noFill/>
        </a:ln>
      </c:spPr>
    </c:title>
    <c:autoTitleDeleted val="0"/>
    <c:plotArea>
      <c:layout/>
      <c:pieChart>
        <c:varyColors val="1"/>
        <c:ser>
          <c:idx val="0"/>
          <c:order val="0"/>
          <c:tx>
            <c:strRef>
              <c:f>'Sheet1 (9)'!$B$1</c:f>
              <c:strCache>
                <c:ptCount val="1"/>
                <c:pt idx="0">
                  <c:v>“三公”经费财政拨款支出</c:v>
                </c:pt>
              </c:strCache>
            </c:strRef>
          </c:tx>
          <c:spPr>
            <a:ln>
              <a:noFill/>
            </a:ln>
          </c:spPr>
          <c:explosion val="0"/>
          <c:dPt>
            <c:idx val="0"/>
            <c:bubble3D val="0"/>
            <c:spPr>
              <a:solidFill>
                <a:srgbClr val="4F81BD"/>
              </a:solidFill>
              <a:ln w="19050">
                <a:solidFill>
                  <a:srgbClr val="CCE8CF"/>
                </a:solidFill>
                <a:prstDash val="solid"/>
              </a:ln>
            </c:spPr>
          </c:dPt>
          <c:dPt>
            <c:idx val="1"/>
            <c:bubble3D val="0"/>
            <c:spPr>
              <a:solidFill>
                <a:srgbClr val="C0504D"/>
              </a:solidFill>
              <a:ln w="19050">
                <a:solidFill>
                  <a:srgbClr val="CCE8CF"/>
                </a:solidFill>
                <a:prstDash val="solid"/>
              </a:ln>
            </c:spPr>
          </c:dPt>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(9)'!$A$2:$A$3</c:f>
              <c:strCache>
                <c:ptCount val="2"/>
                <c:pt idx="0">
                  <c:v>公务用车购置及运行维护费支出</c:v>
                </c:pt>
                <c:pt idx="1">
                  <c:v>公务接待费支出</c:v>
                </c:pt>
              </c:strCache>
            </c:strRef>
          </c:cat>
          <c:val>
            <c:numRef>
              <c:f>'Sheet1 (9)'!$B$2:$B$3</c:f>
              <c:numCache>
                <c:formatCode>General</c:formatCode>
                <c:ptCount val="2"/>
                <c:pt idx="0">
                  <c:v>0</c:v>
                </c:pt>
                <c:pt idx="1">
                  <c:v>0.61</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solidFill>
      <a:srgbClr val="CCE8CF"/>
    </a:solidFill>
    <a:ln w="6350" cap="flat" cmpd="sng" algn="ctr">
      <a:solidFill>
        <a:srgbClr val="E3E3E3"/>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22</Pages>
  <Words>7152</Words>
  <Characters>7635</Characters>
  <Lines>489</Lines>
  <Paragraphs>216</Paragraphs>
  <TotalTime>0</TotalTime>
  <ScaleCrop>false</ScaleCrop>
  <LinksUpToDate>false</LinksUpToDate>
  <CharactersWithSpaces>7724</CharactersWithSpaces>
  <Application>WPS Office_11.8.2.1131_F1E327BC-269C-435d-A152-05C5408002CA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2021-08-07T09:38:00Z</dcterms:created>
  <dc:creator>曹颖</dc:creator>
  <cp:lastModifiedBy>user</cp:lastModifiedBy>
  <cp:lastPrinted>2021-07-30T03:56:00Z</cp:lastPrinted>
  <dcterms:modified xsi:type="dcterms:W3CDTF">2025-04-09T16:32:24Z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CB88FA212171462D9916A5A0B88FFB2F</vt:lpwstr>
  </property>
</Properties>
</file>