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bookmarkStart w:id="404" w:name="_GoBack"/>
      <w:bookmarkEnd w:id="404"/>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425"/>
      <w:bookmarkStart w:id="2" w:name="_Toc15377193"/>
      <w:bookmarkStart w:id="3" w:name="_Toc15378441"/>
      <w:bookmarkStart w:id="4" w:name="_Toc15396597"/>
      <w:bookmarkStart w:id="5" w:name="_Toc1539647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bookmarkEnd w:id="0"/>
    <w:p>
      <w:pPr>
        <w:jc w:val="center"/>
        <w:rPr>
          <w:rFonts w:ascii="方正小标宋简体" w:eastAsia="方正小标宋简体"/>
          <w:spacing w:val="-20"/>
          <w:sz w:val="72"/>
          <w:szCs w:val="72"/>
        </w:rPr>
      </w:pPr>
      <w:bookmarkStart w:id="6" w:name="_Toc15396598"/>
      <w:bookmarkStart w:id="7" w:name="_Toc15378442"/>
      <w:bookmarkStart w:id="8" w:name="_Toc15396476"/>
      <w:bookmarkStart w:id="9" w:name="_Toc15377426"/>
      <w:bookmarkStart w:id="10" w:name="_Toc15377194"/>
      <w:r>
        <w:rPr>
          <w:rFonts w:hint="eastAsia" w:ascii="方正小标宋简体" w:eastAsia="方正小标宋简体"/>
          <w:spacing w:val="-20"/>
          <w:sz w:val="72"/>
          <w:szCs w:val="72"/>
        </w:rPr>
        <w:t>四川省茂县</w:t>
      </w:r>
      <w:bookmarkStart w:id="11" w:name="_Toc15306268"/>
      <w:r>
        <w:rPr>
          <w:rFonts w:hint="eastAsia" w:ascii="方正小标宋简体" w:eastAsia="方正小标宋简体"/>
          <w:spacing w:val="-20"/>
          <w:sz w:val="72"/>
          <w:szCs w:val="72"/>
        </w:rPr>
        <w:t>市场监督管理局部门决算</w:t>
      </w:r>
      <w:bookmarkEnd w:id="6"/>
      <w:bookmarkEnd w:id="7"/>
      <w:bookmarkEnd w:id="8"/>
      <w:bookmarkEnd w:id="9"/>
      <w:bookmarkEnd w:id="10"/>
      <w:bookmarkEnd w:id="11"/>
    </w:p>
    <w:p>
      <w:pPr>
        <w:jc w:val="center"/>
        <w:rPr>
          <w:rFonts w:ascii="方正小标宋简体" w:eastAsia="方正小标宋简体"/>
          <w:sz w:val="52"/>
          <w:szCs w:val="52"/>
        </w:rPr>
      </w:pPr>
      <w:r>
        <w:rPr>
          <w:rFonts w:hint="eastAsia" w:ascii="方正小标宋简体" w:eastAsia="方正小标宋简体"/>
          <w:sz w:val="52"/>
          <w:szCs w:val="52"/>
        </w:rPr>
        <w:t>(</w:t>
      </w:r>
      <w:r>
        <w:rPr>
          <w:rFonts w:ascii="方正小标宋简体" w:eastAsia="方正小标宋简体"/>
          <w:sz w:val="52"/>
          <w:szCs w:val="52"/>
        </w:rPr>
        <w:t>本级</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6"/>
        <w:tabs>
          <w:tab w:val="right" w:leader="dot" w:pos="8306"/>
        </w:tabs>
        <w:rPr>
          <w:rFonts w:hint="eastAsia" w:ascii="仿宋" w:eastAsia="仿宋"/>
          <w:bCs w:val="0"/>
        </w:rPr>
      </w:pPr>
      <w:r>
        <w:rPr>
          <w:rFonts w:hint="eastAsia" w:ascii="仿宋" w:eastAsia="仿宋"/>
          <w:bCs w:val="0"/>
        </w:rPr>
        <w:fldChar w:fldCharType="begin"/>
      </w:r>
      <w:r>
        <w:rPr>
          <w:rFonts w:hint="eastAsia" w:ascii="仿宋" w:eastAsia="仿宋"/>
          <w:bCs w:val="0"/>
        </w:rPr>
        <w:instrText xml:space="preserve"> TOC \o \u </w:instrText>
      </w:r>
      <w:r>
        <w:rPr>
          <w:rFonts w:hint="eastAsia" w:ascii="仿宋" w:eastAsia="仿宋"/>
          <w:bCs w:val="0"/>
        </w:rPr>
        <w:fldChar w:fldCharType="separate"/>
      </w:r>
      <w:r>
        <w:rPr>
          <w:rFonts w:hint="eastAsia" w:ascii="仿宋" w:eastAsia="仿宋"/>
          <w:b/>
          <w:bCs/>
        </w:rPr>
        <w:t>第一部分 部门概况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_Toc1007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一、基本职能及主要工作</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_Toc4680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（一）主要职能。</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_Toc13292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（二）2021年重点工作完成情况。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_Toc15140 \h </w:instrText>
      </w:r>
      <w:r>
        <w:rPr>
          <w:rFonts w:hint="eastAsia" w:ascii="仿宋" w:eastAsia="仿宋"/>
          <w:bCs w:val="0"/>
        </w:rPr>
        <w:fldChar w:fldCharType="separate"/>
      </w:r>
      <w:r>
        <w:rPr>
          <w:rFonts w:hint="eastAsia" w:ascii="仿宋" w:eastAsia="仿宋"/>
          <w:bCs w:val="0"/>
        </w:rPr>
        <w:t>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二、机构设置</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_Toc10883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1. </w:t>
      </w:r>
      <w:r>
        <w:rPr>
          <w:rFonts w:hint="eastAsia" w:ascii="仿宋" w:eastAsia="仿宋"/>
          <w:bCs w:val="0"/>
        </w:rPr>
        <w:t>茂县消委会管理服务中心。</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_Toc12549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第二部分 2021年度部门决算情况说明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_Toc13453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一、 </w:t>
      </w:r>
      <w:r>
        <w:rPr>
          <w:rFonts w:hint="eastAsia" w:ascii="仿宋" w:eastAsia="仿宋"/>
          <w:bCs w:val="0"/>
        </w:rPr>
        <w:t>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_Toc26108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_Toc26852 \h </w:instrText>
      </w:r>
      <w:r>
        <w:rPr>
          <w:rFonts w:hint="eastAsia" w:ascii="仿宋" w:eastAsia="仿宋"/>
          <w:bCs w:val="0"/>
        </w:rPr>
        <w:fldChar w:fldCharType="separate"/>
      </w:r>
      <w:r>
        <w:rPr>
          <w:rFonts w:hint="eastAsia" w:ascii="仿宋" w:eastAsia="仿宋"/>
          <w:bCs w:val="0"/>
        </w:rPr>
        <w:t>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_Toc9202 \h </w:instrText>
      </w:r>
      <w:r>
        <w:rPr>
          <w:rFonts w:hint="eastAsia" w:ascii="仿宋" w:eastAsia="仿宋"/>
          <w:bCs w:val="0"/>
        </w:rPr>
        <w:fldChar w:fldCharType="separate"/>
      </w:r>
      <w:r>
        <w:rPr>
          <w:rFonts w:hint="eastAsia" w:ascii="仿宋" w:eastAsia="仿宋"/>
          <w:bCs w:val="0"/>
        </w:rPr>
        <w:t>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_Toc13851 \h </w:instrText>
      </w:r>
      <w:r>
        <w:rPr>
          <w:rFonts w:hint="eastAsia" w:ascii="仿宋" w:eastAsia="仿宋"/>
          <w:bCs w:val="0"/>
        </w:rPr>
        <w:fldChar w:fldCharType="separate"/>
      </w:r>
      <w:r>
        <w:rPr>
          <w:rFonts w:hint="eastAsia" w:ascii="仿宋" w:eastAsia="仿宋"/>
          <w:bCs w:val="0"/>
        </w:rPr>
        <w:t>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五、一般公共预算财政拨款支出决算情况说明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_Toc15346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（一）一般公共预算财政拨款支出决算总体情况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_Toc4230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（二）一般公共预算财政拨款支出决算结构情况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_Toc22141 \h </w:instrText>
      </w:r>
      <w:r>
        <w:rPr>
          <w:rFonts w:hint="eastAsia" w:ascii="仿宋" w:eastAsia="仿宋"/>
          <w:bCs w:val="0"/>
        </w:rPr>
        <w:fldChar w:fldCharType="separate"/>
      </w:r>
      <w:r>
        <w:rPr>
          <w:rFonts w:hint="eastAsia" w:ascii="仿宋" w:eastAsia="仿宋"/>
          <w:bCs w:val="0"/>
        </w:rPr>
        <w:t>10</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（三）一般公共预算财政拨款支出决算具体情况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_Toc6080 \h </w:instrText>
      </w:r>
      <w:r>
        <w:rPr>
          <w:rFonts w:hint="eastAsia" w:ascii="仿宋" w:eastAsia="仿宋"/>
          <w:bCs w:val="0"/>
        </w:rPr>
        <w:fldChar w:fldCharType="separate"/>
      </w:r>
      <w:r>
        <w:rPr>
          <w:rFonts w:hint="eastAsia" w:ascii="仿宋" w:eastAsia="仿宋"/>
          <w:bCs w:val="0"/>
        </w:rPr>
        <w:t>10</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六、一般公共预算财政拨款基本支出决算情况说明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_Toc11714 \h </w:instrText>
      </w:r>
      <w:r>
        <w:rPr>
          <w:rFonts w:hint="eastAsia" w:ascii="仿宋" w:eastAsia="仿宋"/>
          <w:bCs w:val="0"/>
        </w:rPr>
        <w:fldChar w:fldCharType="separate"/>
      </w:r>
      <w:r>
        <w:rPr>
          <w:rFonts w:hint="eastAsia" w:ascii="仿宋" w:eastAsia="仿宋"/>
          <w:bCs w:val="0"/>
        </w:rPr>
        <w:t>11</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七、“三公”经费财政拨款支出决算情况说明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_Toc9140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（一）“三公”经费财政拨款支出决算总体情况说明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_Toc9952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（二）“三公”经费财政拨款支出决算具体情况说明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_Toc20343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八、政府性基金预算支出决算情况说明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_Toc5539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 国有资本经营预算支出决算情况说明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_Toc5673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十、其他重要事项的情况说明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_Toc29990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（一）机关运行经费支出情况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_Toc26993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（二）政府采购支出情况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_Toc0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（三）国有资产占有使用情况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_Toc11379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（四）预算绩效管理情况。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_Toc14182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 w:val="0"/>
          <w:bCs w:val="0"/>
        </w:rPr>
      </w:pPr>
      <w:r>
        <w:rPr>
          <w:rFonts w:hint="eastAsia" w:ascii="仿宋" w:eastAsia="仿宋"/>
          <w:b/>
          <w:bCs/>
        </w:rPr>
        <w:t>第三部分 名词解释</w:t>
      </w:r>
      <w:r>
        <w:rPr>
          <w:rFonts w:hint="eastAsia" w:ascii="仿宋" w:eastAsia="仿宋"/>
          <w:b w:val="0"/>
          <w:bCs w:val="0"/>
        </w:rPr>
        <w:tab/>
      </w:r>
      <w:r>
        <w:rPr>
          <w:rFonts w:hint="eastAsia" w:ascii="仿宋" w:eastAsia="仿宋"/>
          <w:b w:val="0"/>
          <w:bCs w:val="0"/>
        </w:rPr>
        <w:fldChar w:fldCharType="begin"/>
      </w:r>
      <w:r>
        <w:rPr>
          <w:rFonts w:hint="eastAsia" w:ascii="仿宋" w:eastAsia="仿宋"/>
          <w:b w:val="0"/>
          <w:bCs w:val="0"/>
        </w:rPr>
        <w:instrText xml:space="preserve"> PAGEREF _Toc913 \h </w:instrText>
      </w:r>
      <w:r>
        <w:rPr>
          <w:rFonts w:hint="eastAsia" w:ascii="仿宋" w:eastAsia="仿宋"/>
          <w:b w:val="0"/>
          <w:bCs w:val="0"/>
        </w:rPr>
        <w:fldChar w:fldCharType="separate"/>
      </w:r>
      <w:r>
        <w:rPr>
          <w:rFonts w:hint="eastAsia" w:ascii="仿宋" w:eastAsia="仿宋"/>
          <w:b w:val="0"/>
          <w:bCs w:val="0"/>
        </w:rPr>
        <w:t>23</w:t>
      </w:r>
      <w:r>
        <w:rPr>
          <w:rFonts w:hint="eastAsia" w:ascii="仿宋" w:eastAsia="仿宋"/>
          <w:b w:val="0"/>
          <w:bCs w:val="0"/>
        </w:rPr>
        <w:fldChar w:fldCharType="end"/>
      </w:r>
    </w:p>
    <w:p>
      <w:pPr>
        <w:pStyle w:val="16"/>
        <w:tabs>
          <w:tab w:val="right" w:leader="dot" w:pos="8306"/>
        </w:tabs>
        <w:rPr>
          <w:rFonts w:hint="eastAsia" w:ascii="仿宋" w:eastAsia="仿宋"/>
          <w:bCs w:val="0"/>
        </w:rPr>
      </w:pPr>
      <w:r>
        <w:rPr>
          <w:rFonts w:hint="eastAsia" w:ascii="仿宋" w:eastAsia="仿宋"/>
          <w:b/>
          <w:bCs/>
        </w:rPr>
        <w:t>第四部分 附件</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_Toc4093 \h </w:instrText>
      </w:r>
      <w:r>
        <w:rPr>
          <w:rFonts w:hint="eastAsia" w:ascii="仿宋" w:eastAsia="仿宋"/>
          <w:bCs w:val="0"/>
        </w:rPr>
        <w:fldChar w:fldCharType="separate"/>
      </w:r>
      <w:r>
        <w:rPr>
          <w:rFonts w:hint="eastAsia" w:ascii="仿宋" w:eastAsia="仿宋"/>
          <w:bCs w:val="0"/>
        </w:rPr>
        <w:t>27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附件1</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_Toc25235 \h </w:instrText>
      </w:r>
      <w:r>
        <w:rPr>
          <w:rFonts w:hint="eastAsia" w:ascii="仿宋" w:eastAsia="仿宋"/>
          <w:bCs w:val="0"/>
        </w:rPr>
        <w:fldChar w:fldCharType="separate"/>
      </w:r>
      <w:r>
        <w:rPr>
          <w:rFonts w:hint="eastAsia" w:ascii="仿宋" w:eastAsia="仿宋"/>
          <w:bCs w:val="0"/>
        </w:rPr>
        <w:t>27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茂县市场监督管理局2021年部门整体支出绩效评价报告</w:t>
      </w:r>
      <w:r>
        <w:rPr>
          <w:rFonts w:hint="eastAsia" w:ascii="仿宋" w:eastAsia="仿宋"/>
          <w:bCs w:val="0"/>
          <w:lang w:val="en-US" w:eastAsia="zh-CN"/>
        </w:rPr>
        <w:t>..............................</w:t>
      </w:r>
      <w:r>
        <w:rPr>
          <w:rFonts w:hint="eastAsia" w:ascii="仿宋" w:eastAsia="仿宋"/>
          <w:bCs w:val="0"/>
        </w:rPr>
        <w:fldChar w:fldCharType="begin"/>
      </w:r>
      <w:r>
        <w:rPr>
          <w:rFonts w:hint="eastAsia" w:ascii="仿宋" w:eastAsia="仿宋"/>
          <w:bCs w:val="0"/>
        </w:rPr>
        <w:instrText xml:space="preserve"> PAGEREF _Toc24900 \h </w:instrText>
      </w:r>
      <w:r>
        <w:rPr>
          <w:rFonts w:hint="eastAsia" w:ascii="仿宋" w:eastAsia="仿宋"/>
          <w:bCs w:val="0"/>
        </w:rPr>
        <w:fldChar w:fldCharType="separate"/>
      </w:r>
      <w:r>
        <w:rPr>
          <w:rFonts w:hint="eastAsia" w:ascii="仿宋" w:eastAsia="仿宋"/>
          <w:bCs w:val="0"/>
        </w:rPr>
        <w:t>27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附件2</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_Toc1493 \h </w:instrText>
      </w:r>
      <w:r>
        <w:rPr>
          <w:rFonts w:hint="eastAsia" w:ascii="仿宋" w:eastAsia="仿宋"/>
          <w:bCs w:val="0"/>
        </w:rPr>
        <w:fldChar w:fldCharType="separate"/>
      </w:r>
      <w:r>
        <w:rPr>
          <w:rFonts w:hint="eastAsia" w:ascii="仿宋" w:eastAsia="仿宋"/>
          <w:bCs w:val="0"/>
        </w:rPr>
        <w:t>33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lang w:eastAsia="zh-CN"/>
        </w:rPr>
        <w:t>茂县市场监督管理局专项预算项目支出绩效自评报告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_Toc8210 \h </w:instrText>
      </w:r>
      <w:r>
        <w:rPr>
          <w:rFonts w:hint="eastAsia" w:ascii="仿宋" w:eastAsia="仿宋"/>
          <w:bCs w:val="0"/>
        </w:rPr>
        <w:fldChar w:fldCharType="separate"/>
      </w:r>
      <w:r>
        <w:rPr>
          <w:rFonts w:hint="eastAsia" w:ascii="仿宋" w:eastAsia="仿宋"/>
          <w:bCs w:val="0"/>
        </w:rPr>
        <w:t>33</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第五部分 附表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_Toc15466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_Toc22401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_Toc9078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_Toc19801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_Toc13854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_Toc22897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_Toc25540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七、一般公共预算财政拨款支出决算明细表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_Toc87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八、一般公共预算财政拨款基本支出决算表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_Toc28326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九、一般公共预算财政拨款项目支出决算表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_Toc13206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十、一般公共预算财政拨款“三公”经费支出决算表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_Toc24925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十一、政府性基金预算财政拨款收入支出决算表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_Toc7602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十二、政府性基金预算财政拨款“三公”经费支出决算表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_Toc9578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十三、国有资本经营预算财政拨款支出决算表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_Toc28422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十四、国有资本经营预算财政拨款支出决算表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_Toc27412 \h </w:instrText>
      </w:r>
      <w:r>
        <w:rPr>
          <w:rFonts w:hint="eastAsia" w:ascii="仿宋" w:eastAsia="仿宋"/>
          <w:bCs w:val="0"/>
        </w:rPr>
        <w:fldChar w:fldCharType="separate"/>
      </w:r>
      <w:r>
        <w:rPr>
          <w:rFonts w:hint="eastAsia" w:ascii="仿宋" w:eastAsia="仿宋"/>
          <w:bCs w:val="0"/>
        </w:rPr>
        <w:t>65</w:t>
      </w:r>
      <w:r>
        <w:rPr>
          <w:rFonts w:hint="eastAsia" w:ascii="仿宋" w:eastAsia="仿宋"/>
          <w:bCs w:val="0"/>
        </w:rPr>
        <w:fldChar w:fldCharType="end"/>
      </w:r>
    </w:p>
    <w:p>
      <w:pPr>
        <w:pStyle w:val="16"/>
        <w:tabs>
          <w:tab w:val="right" w:leader="dot" w:pos="8306"/>
        </w:tabs>
      </w:pPr>
      <w:r>
        <w:rPr>
          <w:rFonts w:hint="eastAsia" w:ascii="仿宋" w:eastAsia="仿宋"/>
          <w:bCs w:val="0"/>
        </w:rPr>
        <w:fldChar w:fldCharType="end"/>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2"/>
        <w:jc w:val="center"/>
        <w:rPr>
          <w:rStyle w:val="23"/>
          <w:rFonts w:ascii="黑体" w:eastAsia="黑体"/>
          <w:b/>
          <w:bCs w:val="0"/>
        </w:rPr>
      </w:pPr>
      <w:bookmarkStart w:id="14" w:name="_Toc1007"/>
      <w:bookmarkStart w:id="15" w:name="_Toc7916360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pStyle w:val="3"/>
        <w:rPr>
          <w:rStyle w:val="24"/>
          <w:rFonts w:ascii="仿宋" w:eastAsia="仿宋"/>
          <w:b w:val="0"/>
          <w:bCs w:val="0"/>
        </w:rPr>
      </w:pPr>
      <w:bookmarkStart w:id="16" w:name="_Toc15396600"/>
      <w:bookmarkStart w:id="17" w:name="_Toc4680"/>
      <w:bookmarkStart w:id="18" w:name="_Toc15377197"/>
      <w:bookmarkStart w:id="19" w:name="_Toc79163602"/>
      <w:r>
        <w:rPr>
          <w:rStyle w:val="24"/>
          <w:rFonts w:hint="eastAsia" w:ascii="黑体" w:eastAsia="黑体"/>
          <w:b w:val="0"/>
          <w:bCs w:val="0"/>
        </w:rPr>
        <w:t>一、基本职能及主要工作</w:t>
      </w:r>
      <w:bookmarkEnd w:id="16"/>
      <w:bookmarkEnd w:id="17"/>
      <w:bookmarkEnd w:id="18"/>
      <w:bookmarkEnd w:id="19"/>
    </w:p>
    <w:p>
      <w:pPr>
        <w:pStyle w:val="6"/>
        <w:adjustRightInd w:val="0"/>
        <w:snapToGrid w:val="0"/>
        <w:spacing w:before="93" w:beforeLines="0" w:line="600" w:lineRule="exact"/>
        <w:ind w:firstLine="665" w:firstLineChars="208"/>
        <w:outlineLvl w:val="2"/>
        <w:rPr>
          <w:rFonts w:ascii="仿宋" w:eastAsia="仿宋"/>
          <w:bCs/>
          <w:color w:val="000000"/>
          <w:sz w:val="32"/>
          <w:szCs w:val="32"/>
        </w:rPr>
      </w:pPr>
      <w:bookmarkStart w:id="20" w:name="_Toc79163603"/>
      <w:bookmarkStart w:id="21" w:name="_Toc13292"/>
      <w:bookmarkStart w:id="22" w:name="_Toc15377198"/>
      <w:bookmarkStart w:id="23" w:name="_Toc15378445"/>
      <w:r>
        <w:rPr>
          <w:rFonts w:hint="eastAsia" w:ascii="仿宋" w:eastAsia="仿宋"/>
          <w:bCs/>
          <w:color w:val="000000"/>
          <w:sz w:val="32"/>
          <w:szCs w:val="32"/>
        </w:rPr>
        <w:t>（一）主要职能</w:t>
      </w:r>
      <w:bookmarkEnd w:id="20"/>
      <w:bookmarkEnd w:id="21"/>
    </w:p>
    <w:bookmarkEnd w:id="22"/>
    <w:bookmarkEnd w:id="23"/>
    <w:p>
      <w:pPr>
        <w:spacing w:line="594" w:lineRule="exact"/>
        <w:ind w:firstLine="640" w:firstLineChars="200"/>
        <w:rPr>
          <w:rFonts w:ascii="仿宋_GB2312" w:eastAsia="仿宋_GB2312"/>
          <w:sz w:val="32"/>
          <w:szCs w:val="32"/>
        </w:rPr>
      </w:pPr>
      <w:bookmarkStart w:id="24" w:name="_Toc15377199"/>
      <w:bookmarkStart w:id="25" w:name="_Toc15378446"/>
      <w:bookmarkStart w:id="26" w:name="_Toc79163604"/>
      <w:r>
        <w:rPr>
          <w:rFonts w:hint="eastAsia" w:ascii="仿宋_GB2312" w:eastAsia="仿宋_GB2312"/>
          <w:sz w:val="32"/>
          <w:szCs w:val="32"/>
        </w:rPr>
        <w:t>1.负责全县市场综合监督管理工作。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2.负责全县反垄断统一执法。</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3.负责监督管理全县市场秩序。</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4.负责全县宏观质量管理。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5.负责全县产品质量安全监督管理。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6.负责全县特种设备安全监督管理。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7.负责全县食品安全监督管理综合协调。</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8.负责全县食品安全监督管理。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9.负责全县药品、医疗器械和化妆品安全的方针政策和法律法规。</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10.负责监督全县药品、医疗器械和化妆品标准执行和分类管理。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11.负责全县药品、医疗器械和化妆品质量管理。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12.负责全县药品、医疗器械和化妆品监督管理。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13.负责全县药品、医疗器械和化妆品风险管理，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14.依法依授权贯彻执行执业药师相关管理制度。</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15.负责统一管理全县计量工作。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16.负责统一管理全县标准化工作。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17.负责统一管理全县认证认可工作。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18.负责市场监督管理科技和信息化建设。</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19.负责促进全县民营经济发展。</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20.负责查处违反市场监督管理各类法律、法规、规章的行为。</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21.负责监督规范全县检验检测市场。</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22.负责全县市场主体统一登记注册。</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23.负责职责范围内的安全生产和职业健康、生态环境保护、应急联动、审批服务便民化等工作。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24.完成县委、县政府交办的其他任务。</w:t>
      </w:r>
    </w:p>
    <w:p>
      <w:pPr>
        <w:pStyle w:val="6"/>
        <w:adjustRightInd w:val="0"/>
        <w:snapToGrid w:val="0"/>
        <w:spacing w:before="93" w:beforeLines="0" w:line="600" w:lineRule="exact"/>
        <w:ind w:firstLine="665" w:firstLineChars="208"/>
        <w:outlineLvl w:val="2"/>
        <w:rPr>
          <w:rFonts w:ascii="仿宋" w:eastAsia="仿宋"/>
          <w:bCs/>
          <w:color w:val="000000"/>
          <w:sz w:val="32"/>
          <w:szCs w:val="32"/>
        </w:rPr>
      </w:pPr>
      <w:bookmarkStart w:id="27" w:name="_Toc15140"/>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１</w:t>
      </w:r>
      <w:r>
        <w:rPr>
          <w:rFonts w:hint="eastAsia" w:ascii="仿宋_GB2312" w:eastAsia="仿宋_GB2312"/>
          <w:sz w:val="32"/>
          <w:szCs w:val="32"/>
          <w:lang w:val="en-US" w:eastAsia="zh-CN"/>
        </w:rPr>
        <w:t>.</w:t>
      </w:r>
      <w:r>
        <w:rPr>
          <w:rFonts w:hint="eastAsia" w:ascii="仿宋_GB2312" w:eastAsia="仿宋_GB2312"/>
          <w:sz w:val="32"/>
          <w:szCs w:val="32"/>
        </w:rPr>
        <w:t>继续做好市场准入和行政许可工作。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２</w:t>
      </w:r>
      <w:r>
        <w:rPr>
          <w:rFonts w:hint="eastAsia" w:ascii="仿宋_GB2312" w:eastAsia="仿宋_GB2312"/>
          <w:sz w:val="32"/>
          <w:szCs w:val="32"/>
          <w:lang w:val="en-US" w:eastAsia="zh-CN"/>
        </w:rPr>
        <w:t>.</w:t>
      </w:r>
      <w:r>
        <w:rPr>
          <w:rFonts w:hint="eastAsia" w:ascii="仿宋_GB2312" w:eastAsia="仿宋_GB2312"/>
          <w:sz w:val="32"/>
          <w:szCs w:val="32"/>
        </w:rPr>
        <w:t>加大各类市场的监管力度。严厉打击虚假宣传及诱导消费行为，切实保护消费者合法权益。</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３</w:t>
      </w:r>
      <w:r>
        <w:rPr>
          <w:rFonts w:hint="eastAsia" w:ascii="仿宋_GB2312" w:eastAsia="仿宋_GB2312"/>
          <w:sz w:val="32"/>
          <w:szCs w:val="32"/>
          <w:lang w:val="en-US" w:eastAsia="zh-CN"/>
        </w:rPr>
        <w:t>.</w:t>
      </w:r>
      <w:r>
        <w:rPr>
          <w:rFonts w:hint="eastAsia" w:ascii="仿宋_GB2312" w:eastAsia="仿宋_GB2312"/>
          <w:sz w:val="32"/>
          <w:szCs w:val="32"/>
        </w:rPr>
        <w:t>切实做好旅游市场监管工作。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４</w:t>
      </w:r>
      <w:r>
        <w:rPr>
          <w:rFonts w:hint="eastAsia" w:ascii="仿宋_GB2312" w:eastAsia="仿宋_GB2312"/>
          <w:sz w:val="32"/>
          <w:szCs w:val="32"/>
          <w:lang w:val="en-US" w:eastAsia="zh-CN"/>
        </w:rPr>
        <w:t>.</w:t>
      </w:r>
      <w:r>
        <w:rPr>
          <w:rFonts w:hint="eastAsia" w:ascii="仿宋_GB2312" w:eastAsia="仿宋_GB2312"/>
          <w:sz w:val="32"/>
          <w:szCs w:val="32"/>
        </w:rPr>
        <w:t>加强食品药品安全监管工作。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５</w:t>
      </w:r>
      <w:r>
        <w:rPr>
          <w:rFonts w:hint="eastAsia" w:ascii="仿宋_GB2312" w:eastAsia="仿宋_GB2312"/>
          <w:sz w:val="32"/>
          <w:szCs w:val="32"/>
          <w:lang w:val="en-US" w:eastAsia="zh-CN"/>
        </w:rPr>
        <w:t>.</w:t>
      </w:r>
      <w:r>
        <w:rPr>
          <w:rFonts w:hint="eastAsia" w:ascii="仿宋_GB2312" w:eastAsia="仿宋_GB2312"/>
          <w:sz w:val="32"/>
          <w:szCs w:val="32"/>
        </w:rPr>
        <w:t>加强餐饮服务环节食品安全监管工作。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６</w:t>
      </w:r>
      <w:r>
        <w:rPr>
          <w:rFonts w:hint="eastAsia" w:ascii="仿宋_GB2312" w:eastAsia="仿宋_GB2312"/>
          <w:sz w:val="32"/>
          <w:szCs w:val="32"/>
          <w:lang w:val="en-US" w:eastAsia="zh-CN"/>
        </w:rPr>
        <w:t>.</w:t>
      </w:r>
      <w:r>
        <w:rPr>
          <w:rFonts w:hint="eastAsia" w:ascii="仿宋_GB2312" w:eastAsia="仿宋_GB2312"/>
          <w:sz w:val="32"/>
          <w:szCs w:val="32"/>
        </w:rPr>
        <w:t>加强质量计量监督检查管理。</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７</w:t>
      </w:r>
      <w:r>
        <w:rPr>
          <w:rFonts w:hint="eastAsia" w:ascii="仿宋_GB2312" w:eastAsia="仿宋_GB2312"/>
          <w:sz w:val="32"/>
          <w:szCs w:val="32"/>
          <w:lang w:val="en-US" w:eastAsia="zh-CN"/>
        </w:rPr>
        <w:t>.</w:t>
      </w:r>
      <w:r>
        <w:rPr>
          <w:rFonts w:hint="eastAsia" w:ascii="仿宋_GB2312" w:eastAsia="仿宋_GB2312"/>
          <w:sz w:val="32"/>
          <w:szCs w:val="32"/>
        </w:rPr>
        <w:t>加强特种设备安全监管工作。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８</w:t>
      </w:r>
      <w:r>
        <w:rPr>
          <w:rFonts w:hint="eastAsia" w:ascii="仿宋_GB2312" w:eastAsia="仿宋_GB2312"/>
          <w:sz w:val="32"/>
          <w:szCs w:val="32"/>
          <w:lang w:val="en-US" w:eastAsia="zh-CN"/>
        </w:rPr>
        <w:t>.</w:t>
      </w:r>
      <w:r>
        <w:rPr>
          <w:rFonts w:hint="eastAsia" w:ascii="仿宋_GB2312" w:eastAsia="仿宋_GB2312"/>
          <w:sz w:val="32"/>
          <w:szCs w:val="32"/>
        </w:rPr>
        <w:t>加强市场主体、网络监管及民营经济服务工作。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val="en-US" w:eastAsia="zh-CN"/>
        </w:rPr>
        <w:t>.</w:t>
      </w:r>
      <w:r>
        <w:rPr>
          <w:rFonts w:hint="eastAsia" w:ascii="仿宋_GB2312" w:eastAsia="仿宋_GB2312"/>
          <w:sz w:val="32"/>
          <w:szCs w:val="32"/>
        </w:rPr>
        <w:t>做好放心舒心、红盾春雷行动、消费者维权及扫黑除恶工作。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val="en-US" w:eastAsia="zh-CN"/>
        </w:rPr>
        <w:t>.</w:t>
      </w:r>
      <w:r>
        <w:rPr>
          <w:rFonts w:hint="eastAsia" w:ascii="仿宋_GB2312" w:eastAsia="仿宋_GB2312"/>
          <w:sz w:val="32"/>
          <w:szCs w:val="32"/>
        </w:rPr>
        <w:t>做好每年抽检工作。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val="en-US" w:eastAsia="zh-CN"/>
        </w:rPr>
        <w:t>.</w:t>
      </w:r>
      <w:r>
        <w:rPr>
          <w:rFonts w:hint="eastAsia" w:ascii="仿宋_GB2312" w:eastAsia="仿宋_GB2312"/>
          <w:sz w:val="32"/>
          <w:szCs w:val="32"/>
        </w:rPr>
        <w:t>做好疫情期间的相关工作。</w:t>
      </w:r>
    </w:p>
    <w:p>
      <w:pPr>
        <w:pStyle w:val="3"/>
        <w:rPr>
          <w:rStyle w:val="24"/>
          <w:b w:val="0"/>
          <w:bCs w:val="0"/>
        </w:rPr>
      </w:pPr>
      <w:bookmarkStart w:id="28" w:name="_Toc15377200"/>
      <w:bookmarkStart w:id="29" w:name="_Toc15396601"/>
      <w:bookmarkStart w:id="30" w:name="_Toc10883"/>
      <w:bookmarkStart w:id="31" w:name="_Toc79163605"/>
      <w:r>
        <w:rPr>
          <w:rStyle w:val="24"/>
          <w:rFonts w:hint="eastAsia" w:ascii="黑体" w:eastAsia="黑体"/>
          <w:b w:val="0"/>
          <w:bCs w:val="0"/>
        </w:rPr>
        <w:t>二、机构设置</w:t>
      </w:r>
      <w:bookmarkEnd w:id="28"/>
      <w:bookmarkEnd w:id="29"/>
      <w:bookmarkEnd w:id="30"/>
      <w:bookmarkEnd w:id="31"/>
    </w:p>
    <w:p>
      <w:pPr>
        <w:ind w:firstLine="421" w:firstLineChars="200"/>
        <w:rPr>
          <w:rFonts w:ascii="仿宋" w:eastAsia="仿宋"/>
          <w:sz w:val="32"/>
          <w:szCs w:val="32"/>
        </w:rPr>
      </w:pPr>
      <w:bookmarkStart w:id="32" w:name="_Toc79163609"/>
      <w:bookmarkStart w:id="33" w:name="_Toc15396602"/>
      <w:bookmarkStart w:id="34" w:name="_Toc15377204"/>
      <w:r>
        <w:rPr>
          <w:rFonts w:hint="eastAsia" w:ascii="楷体_GB2312" w:eastAsia="楷体_GB2312" w:cs="楷体_GB2312"/>
          <w:b/>
          <w:bCs/>
          <w:szCs w:val="32"/>
          <w:lang w:val="zh-CN"/>
        </w:rPr>
        <w:t>　</w:t>
      </w:r>
      <w:r>
        <w:rPr>
          <w:rFonts w:hint="eastAsia" w:ascii="仿宋" w:eastAsia="仿宋"/>
          <w:sz w:val="32"/>
          <w:szCs w:val="32"/>
        </w:rPr>
        <w:t>茂县市场监督管理局下属二级单位4个，其中参照公务员法管理的事业单位</w:t>
      </w:r>
      <w:r>
        <w:rPr>
          <w:rFonts w:hint="eastAsia" w:ascii="仿宋" w:eastAsia="仿宋"/>
          <w:bCs/>
          <w:sz w:val="32"/>
          <w:szCs w:val="32"/>
        </w:rPr>
        <w:t>1</w:t>
      </w:r>
      <w:r>
        <w:rPr>
          <w:rFonts w:hint="eastAsia" w:ascii="仿宋" w:eastAsia="仿宋"/>
          <w:sz w:val="32"/>
          <w:szCs w:val="32"/>
        </w:rPr>
        <w:t>个，其他事业单位3个。</w:t>
      </w:r>
    </w:p>
    <w:p>
      <w:pPr>
        <w:pStyle w:val="6"/>
        <w:adjustRightInd w:val="0"/>
        <w:snapToGrid w:val="0"/>
        <w:spacing w:before="93" w:beforeLines="0" w:line="600" w:lineRule="exact"/>
        <w:ind w:firstLine="665" w:firstLineChars="208"/>
        <w:rPr>
          <w:rFonts w:ascii="仿宋" w:eastAsia="仿宋"/>
          <w:color w:val="000000"/>
          <w:sz w:val="32"/>
          <w:szCs w:val="32"/>
        </w:rPr>
      </w:pPr>
      <w:r>
        <w:rPr>
          <w:rFonts w:hint="eastAsia" w:ascii="仿宋" w:eastAsia="仿宋"/>
          <w:color w:val="000000"/>
          <w:sz w:val="32"/>
          <w:szCs w:val="32"/>
        </w:rPr>
        <w:t>纳入茂县市场监督管理局</w:t>
      </w:r>
      <w:r>
        <w:rPr>
          <w:rFonts w:ascii="仿宋" w:eastAsia="仿宋"/>
          <w:color w:val="000000"/>
          <w:sz w:val="32"/>
          <w:szCs w:val="32"/>
        </w:rPr>
        <w:t>2021</w:t>
      </w:r>
      <w:r>
        <w:rPr>
          <w:rFonts w:hint="eastAsia" w:ascii="仿宋" w:eastAsia="仿宋"/>
          <w:color w:val="000000"/>
          <w:sz w:val="32"/>
          <w:szCs w:val="32"/>
        </w:rPr>
        <w:t>年度部门决算编制范围的二级预算单位包括：</w:t>
      </w:r>
    </w:p>
    <w:p>
      <w:pPr>
        <w:pStyle w:val="6"/>
        <w:numPr>
          <w:ilvl w:val="0"/>
          <w:numId w:val="1"/>
        </w:numPr>
        <w:adjustRightInd w:val="0"/>
        <w:snapToGrid w:val="0"/>
        <w:spacing w:before="93" w:beforeLines="0" w:line="600" w:lineRule="exact"/>
        <w:outlineLvl w:val="2"/>
        <w:rPr>
          <w:rFonts w:ascii="仿宋" w:eastAsia="仿宋"/>
          <w:color w:val="000000"/>
          <w:sz w:val="32"/>
          <w:szCs w:val="32"/>
        </w:rPr>
      </w:pPr>
      <w:bookmarkStart w:id="35" w:name="_Toc7680"/>
      <w:bookmarkStart w:id="36" w:name="_Toc12549"/>
      <w:bookmarkStart w:id="37" w:name="_Ref82792652"/>
      <w:r>
        <w:rPr>
          <w:rFonts w:hint="eastAsia" w:ascii="仿宋" w:eastAsia="仿宋"/>
          <w:color w:val="000000"/>
          <w:sz w:val="32"/>
          <w:szCs w:val="32"/>
        </w:rPr>
        <w:t>茂县消委会管理服务中心。</w:t>
      </w:r>
      <w:bookmarkEnd w:id="35"/>
      <w:bookmarkEnd w:id="36"/>
      <w:bookmarkEnd w:id="37"/>
    </w:p>
    <w:p>
      <w:pPr>
        <w:snapToGrid w:val="0"/>
        <w:spacing w:line="520" w:lineRule="exact"/>
        <w:ind w:firstLine="883" w:firstLineChars="200"/>
        <w:rPr>
          <w:rStyle w:val="23"/>
          <w:rFonts w:ascii="黑体" w:eastAsia="黑体"/>
        </w:rPr>
      </w:pPr>
    </w:p>
    <w:p>
      <w:pPr>
        <w:snapToGrid w:val="0"/>
        <w:spacing w:line="520" w:lineRule="exact"/>
        <w:ind w:left="0" w:firstLine="441" w:firstLineChars="100"/>
        <w:rPr>
          <w:rStyle w:val="23"/>
          <w:rFonts w:ascii="黑体" w:eastAsia="黑体"/>
        </w:rPr>
      </w:pPr>
      <w:bookmarkStart w:id="38" w:name="_Toc13453"/>
      <w:r>
        <w:rPr>
          <w:rStyle w:val="23"/>
          <w:rFonts w:hint="eastAsia" w:ascii="黑体" w:eastAsia="黑体"/>
        </w:rPr>
        <w:t>第二部分 202</w:t>
      </w:r>
      <w:r>
        <w:rPr>
          <w:rStyle w:val="23"/>
          <w:rFonts w:ascii="黑体" w:eastAsia="黑体"/>
        </w:rPr>
        <w:t>1</w:t>
      </w:r>
      <w:r>
        <w:rPr>
          <w:rStyle w:val="23"/>
          <w:rFonts w:hint="eastAsia" w:ascii="黑体" w:eastAsia="黑体"/>
        </w:rPr>
        <w:t>年度部门决算情况说明</w:t>
      </w:r>
      <w:bookmarkEnd w:id="32"/>
      <w:bookmarkEnd w:id="33"/>
      <w:bookmarkEnd w:id="34"/>
    </w:p>
    <w:bookmarkEnd w:id="38"/>
    <w:p>
      <w:pPr>
        <w:pStyle w:val="29"/>
        <w:numPr>
          <w:ilvl w:val="0"/>
          <w:numId w:val="2"/>
        </w:numPr>
        <w:spacing w:line="600" w:lineRule="exact"/>
        <w:ind w:firstLineChars="0"/>
        <w:outlineLvl w:val="1"/>
        <w:rPr>
          <w:rStyle w:val="24"/>
          <w:rFonts w:ascii="黑体" w:eastAsia="黑体"/>
          <w:b w:val="0"/>
        </w:rPr>
      </w:pPr>
      <w:bookmarkStart w:id="39" w:name="_Toc15396603"/>
      <w:bookmarkStart w:id="40" w:name="_Toc26108"/>
      <w:bookmarkStart w:id="41" w:name="_Toc79163610"/>
      <w:bookmarkStart w:id="42"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39"/>
      <w:bookmarkEnd w:id="40"/>
      <w:bookmarkEnd w:id="41"/>
      <w:bookmarkEnd w:id="42"/>
    </w:p>
    <w:p>
      <w:pPr>
        <w:spacing w:line="594" w:lineRule="exact"/>
        <w:ind w:firstLine="640" w:firstLineChars="200"/>
        <w:outlineLvl w:val="1"/>
        <w:rPr>
          <w:rFonts w:ascii="仿宋_GB2312" w:eastAsia="仿宋_GB2312"/>
          <w:color w:val="000000"/>
          <w:sz w:val="32"/>
          <w:szCs w:val="32"/>
        </w:rPr>
      </w:pPr>
      <w:bookmarkStart w:id="43" w:name="_Toc51662566"/>
      <w:bookmarkStart w:id="44" w:name="_Toc23057"/>
      <w:bookmarkStart w:id="45" w:name="_Toc11173"/>
      <w:bookmarkStart w:id="46" w:name="_Toc22319"/>
      <w:bookmarkStart w:id="47" w:name="_Toc9771"/>
      <w:bookmarkStart w:id="48" w:name="_Toc19304"/>
      <w:bookmarkStart w:id="49" w:name="_Toc5166275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年本年收入合计</w:t>
      </w:r>
      <w:r>
        <w:rPr>
          <w:rFonts w:ascii="仿宋_GB2312" w:eastAsia="仿宋_GB2312"/>
          <w:color w:val="000000"/>
          <w:sz w:val="32"/>
          <w:szCs w:val="32"/>
        </w:rPr>
        <w:t>647.61</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352.31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35.23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43"/>
      <w:bookmarkEnd w:id="44"/>
      <w:bookmarkEnd w:id="45"/>
      <w:bookmarkEnd w:id="46"/>
      <w:bookmarkEnd w:id="47"/>
      <w:bookmarkEnd w:id="48"/>
      <w:bookmarkEnd w:id="49"/>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266700</wp:posOffset>
            </wp:positionH>
            <wp:positionV relativeFrom="paragraph">
              <wp:posOffset>155575</wp:posOffset>
            </wp:positionV>
            <wp:extent cx="4937125" cy="2924175"/>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640" w:firstLineChars="200"/>
        <w:outlineLvl w:val="1"/>
        <w:rPr>
          <w:rFonts w:ascii="仿宋_GB2312" w:eastAsia="仿宋_GB2312"/>
          <w:color w:val="000000"/>
          <w:sz w:val="32"/>
          <w:szCs w:val="32"/>
        </w:rPr>
      </w:pPr>
      <w:bookmarkStart w:id="50" w:name="_Toc16053"/>
      <w:bookmarkStart w:id="51" w:name="_Toc51662567"/>
      <w:bookmarkStart w:id="52" w:name="_Toc5623"/>
      <w:bookmarkStart w:id="53" w:name="_Toc29710"/>
      <w:bookmarkStart w:id="54" w:name="_Toc51662755"/>
      <w:bookmarkStart w:id="55" w:name="_Toc3469"/>
      <w:bookmarkStart w:id="56" w:name="_Toc31457"/>
      <w:bookmarkStart w:id="57" w:name="_Toc79163611"/>
      <w:bookmarkStart w:id="58" w:name="_Toc15396604"/>
      <w:bookmarkStart w:id="59" w:name="_Toc15377206"/>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年本年支出合计</w:t>
      </w:r>
      <w:r>
        <w:rPr>
          <w:rFonts w:ascii="仿宋_GB2312" w:eastAsia="仿宋_GB2312"/>
          <w:color w:val="000000"/>
          <w:sz w:val="32"/>
          <w:szCs w:val="32"/>
        </w:rPr>
        <w:t>718.44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341.07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32.19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w:t>
      </w:r>
      <w:bookmarkEnd w:id="50"/>
      <w:bookmarkEnd w:id="51"/>
      <w:bookmarkEnd w:id="52"/>
      <w:bookmarkEnd w:id="53"/>
      <w:bookmarkEnd w:id="54"/>
      <w:bookmarkEnd w:id="55"/>
      <w:r>
        <w:rPr>
          <w:rFonts w:hint="eastAsia" w:ascii="仿宋_GB2312" w:eastAsia="仿宋_GB2312"/>
          <w:color w:val="000000"/>
          <w:sz w:val="32"/>
          <w:szCs w:val="32"/>
        </w:rPr>
        <w:t>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56"/>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361950</wp:posOffset>
            </wp:positionH>
            <wp:positionV relativeFrom="paragraph">
              <wp:posOffset>70485</wp:posOffset>
            </wp:positionV>
            <wp:extent cx="4795520" cy="269494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pStyle w:val="29"/>
        <w:spacing w:line="600" w:lineRule="exact"/>
        <w:ind w:firstLine="640" w:firstLineChars="200"/>
        <w:outlineLvl w:val="1"/>
        <w:rPr>
          <w:rStyle w:val="24"/>
          <w:rFonts w:ascii="黑体" w:eastAsia="黑体"/>
          <w:b w:val="0"/>
        </w:rPr>
      </w:pPr>
      <w:bookmarkStart w:id="60" w:name="_Toc26852"/>
      <w:r>
        <w:rPr>
          <w:rFonts w:ascii="黑体" w:eastAsia="黑体"/>
          <w:color w:val="000000"/>
          <w:sz w:val="32"/>
          <w:szCs w:val="32"/>
        </w:rPr>
        <w:t>二、</w:t>
      </w:r>
      <w:r>
        <w:rPr>
          <w:rFonts w:hint="eastAsia" w:ascii="黑体" w:eastAsia="黑体"/>
          <w:color w:val="000000"/>
          <w:sz w:val="32"/>
          <w:szCs w:val="32"/>
        </w:rPr>
        <w:t>收</w:t>
      </w:r>
      <w:r>
        <w:rPr>
          <w:rStyle w:val="24"/>
          <w:rFonts w:hint="eastAsia" w:ascii="黑体" w:eastAsia="黑体"/>
          <w:b w:val="0"/>
        </w:rPr>
        <w:t>入决算情况说明</w:t>
      </w:r>
      <w:bookmarkEnd w:id="57"/>
      <w:bookmarkEnd w:id="58"/>
      <w:bookmarkEnd w:id="59"/>
      <w:bookmarkEnd w:id="60"/>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ascii="仿宋" w:eastAsia="仿宋"/>
          <w:color w:val="000000"/>
          <w:sz w:val="32"/>
          <w:szCs w:val="32"/>
        </w:rPr>
        <w:t>647.61</w:t>
      </w:r>
      <w:r>
        <w:rPr>
          <w:rFonts w:hint="eastAsia" w:ascii="仿宋" w:eastAsia="仿宋"/>
          <w:color w:val="000000"/>
          <w:sz w:val="32"/>
          <w:szCs w:val="32"/>
        </w:rPr>
        <w:t>万元，其中：一般公共预算财政拨款收入</w:t>
      </w:r>
      <w:r>
        <w:rPr>
          <w:rFonts w:ascii="仿宋" w:eastAsia="仿宋"/>
          <w:color w:val="000000"/>
          <w:sz w:val="32"/>
          <w:szCs w:val="32"/>
        </w:rPr>
        <w:t>647.61</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万元；上级补助收入0万元；事业收入0万元；经营收入0万元；附属单位上缴收入0万元；其他收入0万元。</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304800</wp:posOffset>
            </wp:positionH>
            <wp:positionV relativeFrom="paragraph">
              <wp:posOffset>60960</wp:posOffset>
            </wp:positionV>
            <wp:extent cx="4594225" cy="2400935"/>
            <wp:effectExtent l="0" t="0" r="0" b="0"/>
            <wp:wrapNone/>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eastAsia="仿宋"/>
          <w:color w:val="000000"/>
          <w:sz w:val="32"/>
          <w:szCs w:val="32"/>
        </w:rPr>
      </w:pPr>
    </w:p>
    <w:p>
      <w:pPr>
        <w:spacing w:line="600" w:lineRule="exact"/>
        <w:ind w:firstLine="640" w:firstLineChars="200"/>
        <w:rPr>
          <w:rFonts w:hint="eastAsia" w:ascii="仿宋" w:eastAsia="仿宋"/>
          <w:color w:val="000000"/>
          <w:sz w:val="32"/>
          <w:szCs w:val="32"/>
        </w:rPr>
      </w:pPr>
    </w:p>
    <w:p>
      <w:pPr>
        <w:spacing w:line="600" w:lineRule="exact"/>
        <w:ind w:left="0"/>
      </w:pPr>
    </w:p>
    <w:p>
      <w:pPr>
        <w:spacing w:line="600" w:lineRule="exact"/>
        <w:ind w:left="0"/>
      </w:pPr>
    </w:p>
    <w:p>
      <w:pPr>
        <w:spacing w:line="600" w:lineRule="exact"/>
        <w:ind w:left="0"/>
      </w:pPr>
    </w:p>
    <w:p>
      <w:pPr>
        <w:pStyle w:val="29"/>
        <w:spacing w:line="600" w:lineRule="exact"/>
        <w:ind w:firstLine="640" w:firstLineChars="200"/>
        <w:outlineLvl w:val="1"/>
        <w:rPr>
          <w:rFonts w:ascii="黑体" w:eastAsia="黑体"/>
          <w:color w:val="000000"/>
          <w:sz w:val="32"/>
          <w:szCs w:val="32"/>
        </w:rPr>
      </w:pPr>
      <w:bookmarkStart w:id="61" w:name="_Toc9202"/>
      <w:bookmarkStart w:id="62" w:name="_Toc15377207"/>
      <w:bookmarkStart w:id="63" w:name="_Toc15396605"/>
      <w:bookmarkStart w:id="64" w:name="_Toc79163612"/>
    </w:p>
    <w:p>
      <w:pPr>
        <w:pStyle w:val="29"/>
        <w:spacing w:line="600" w:lineRule="exact"/>
        <w:ind w:firstLine="640" w:firstLineChars="200"/>
        <w:outlineLvl w:val="1"/>
        <w:rPr>
          <w:rStyle w:val="24"/>
          <w:rFonts w:ascii="黑体" w:eastAsia="黑体"/>
          <w:b w:val="0"/>
        </w:rPr>
      </w:pPr>
      <w:r>
        <w:rPr>
          <w:rFonts w:ascii="黑体" w:eastAsia="黑体"/>
          <w:color w:val="000000"/>
          <w:sz w:val="32"/>
          <w:szCs w:val="32"/>
        </w:rPr>
        <w:t>三、</w:t>
      </w:r>
      <w:r>
        <w:rPr>
          <w:rFonts w:hint="eastAsia" w:ascii="黑体" w:eastAsia="黑体"/>
          <w:color w:val="000000"/>
          <w:sz w:val="32"/>
          <w:szCs w:val="32"/>
        </w:rPr>
        <w:t>支</w:t>
      </w:r>
      <w:r>
        <w:rPr>
          <w:rStyle w:val="24"/>
          <w:rFonts w:hint="eastAsia" w:ascii="黑体" w:eastAsia="黑体"/>
          <w:b w:val="0"/>
        </w:rPr>
        <w:t>出决算情况说明</w:t>
      </w:r>
      <w:bookmarkEnd w:id="61"/>
      <w:bookmarkEnd w:id="62"/>
      <w:bookmarkEnd w:id="63"/>
      <w:bookmarkEnd w:id="64"/>
    </w:p>
    <w:p>
      <w:pPr>
        <w:spacing w:line="600" w:lineRule="exact"/>
        <w:ind w:firstLine="640" w:firstLineChars="200"/>
        <w:rPr>
          <w:rFonts w:hint="eastAsia"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718.44</w:t>
      </w:r>
      <w:r>
        <w:rPr>
          <w:rFonts w:hint="eastAsia" w:ascii="仿宋_GB2312" w:eastAsia="仿宋_GB2312"/>
          <w:sz w:val="32"/>
          <w:szCs w:val="32"/>
        </w:rPr>
        <w:t>万元，其中：基本支出</w:t>
      </w:r>
      <w:r>
        <w:rPr>
          <w:rFonts w:ascii="仿宋_GB2312" w:eastAsia="仿宋_GB2312"/>
          <w:sz w:val="32"/>
          <w:szCs w:val="32"/>
        </w:rPr>
        <w:t>620.67</w:t>
      </w:r>
      <w:r>
        <w:rPr>
          <w:rFonts w:hint="eastAsia" w:ascii="仿宋_GB2312" w:eastAsia="仿宋_GB2312"/>
          <w:sz w:val="32"/>
          <w:szCs w:val="32"/>
        </w:rPr>
        <w:t>万元，占</w:t>
      </w:r>
      <w:r>
        <w:rPr>
          <w:rFonts w:ascii="仿宋_GB2312" w:eastAsia="仿宋_GB2312"/>
          <w:sz w:val="32"/>
          <w:szCs w:val="32"/>
        </w:rPr>
        <w:t>86.39%</w:t>
      </w:r>
      <w:r>
        <w:rPr>
          <w:rFonts w:hint="eastAsia" w:ascii="仿宋_GB2312" w:eastAsia="仿宋_GB2312"/>
          <w:sz w:val="32"/>
          <w:szCs w:val="32"/>
        </w:rPr>
        <w:t>；项目支出</w:t>
      </w:r>
      <w:r>
        <w:rPr>
          <w:rFonts w:ascii="仿宋_GB2312" w:eastAsia="仿宋_GB2312"/>
          <w:sz w:val="32"/>
          <w:szCs w:val="32"/>
        </w:rPr>
        <w:t>97.77</w:t>
      </w:r>
      <w:r>
        <w:rPr>
          <w:rFonts w:hint="eastAsia" w:ascii="仿宋_GB2312" w:eastAsia="仿宋_GB2312"/>
          <w:sz w:val="32"/>
          <w:szCs w:val="32"/>
        </w:rPr>
        <w:t>万元，占</w:t>
      </w:r>
      <w:r>
        <w:rPr>
          <w:rFonts w:ascii="仿宋_GB2312" w:eastAsia="仿宋_GB2312"/>
          <w:sz w:val="32"/>
          <w:szCs w:val="32"/>
        </w:rPr>
        <w:t>13.61%</w:t>
      </w:r>
      <w:r>
        <w:rPr>
          <w:rFonts w:hint="eastAsia" w:ascii="仿宋_GB2312" w:eastAsia="仿宋_GB2312"/>
          <w:sz w:val="32"/>
          <w:szCs w:val="32"/>
        </w:rPr>
        <w:t>；上缴上级支出0万元；经营支出0万元；对附属单位补助支出0万元。</w:t>
      </w:r>
    </w:p>
    <w:p>
      <w:pPr>
        <w:spacing w:line="600" w:lineRule="exact"/>
        <w:ind w:firstLine="640" w:firstLineChars="200"/>
        <w:rPr>
          <w:rFonts w:hint="eastAsia" w:ascii="仿宋_GB2312" w:eastAsia="仿宋_GB2312"/>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390525</wp:posOffset>
            </wp:positionH>
            <wp:positionV relativeFrom="paragraph">
              <wp:posOffset>66040</wp:posOffset>
            </wp:positionV>
            <wp:extent cx="4490720" cy="2457450"/>
            <wp:effectExtent l="0" t="0" r="0" b="0"/>
            <wp:wrapNone/>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_GB2312" w:eastAsia="仿宋_GB2312"/>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outlineLvl w:val="1"/>
        <w:rPr>
          <w:rStyle w:val="24"/>
          <w:rFonts w:ascii="黑体" w:eastAsia="黑体"/>
          <w:b w:val="0"/>
        </w:rPr>
      </w:pPr>
      <w:bookmarkStart w:id="65" w:name="_Toc15396606"/>
      <w:bookmarkStart w:id="66" w:name="_Toc15377208"/>
      <w:bookmarkStart w:id="67" w:name="_Toc79163613"/>
      <w:bookmarkStart w:id="68" w:name="_Toc13851"/>
      <w:r>
        <w:rPr>
          <w:rFonts w:hint="eastAsia" w:ascii="黑体" w:eastAsia="黑体"/>
          <w:color w:val="000000"/>
          <w:sz w:val="32"/>
          <w:szCs w:val="32"/>
        </w:rPr>
        <w:t>四、财</w:t>
      </w:r>
      <w:r>
        <w:rPr>
          <w:rStyle w:val="24"/>
          <w:rFonts w:hint="eastAsia" w:ascii="黑体" w:eastAsia="黑体"/>
          <w:b w:val="0"/>
        </w:rPr>
        <w:t>政拨款收入支出决算总体情况说明</w:t>
      </w:r>
      <w:bookmarkEnd w:id="65"/>
      <w:bookmarkEnd w:id="66"/>
      <w:bookmarkEnd w:id="67"/>
      <w:bookmarkEnd w:id="68"/>
    </w:p>
    <w:p>
      <w:pPr>
        <w:spacing w:line="594" w:lineRule="exact"/>
        <w:ind w:firstLine="640" w:firstLineChars="200"/>
        <w:outlineLvl w:val="1"/>
        <w:rPr>
          <w:rFonts w:ascii="仿宋_GB2312" w:eastAsia="仿宋_GB2312"/>
          <w:color w:val="000000"/>
          <w:sz w:val="32"/>
          <w:szCs w:val="32"/>
        </w:rPr>
      </w:pPr>
      <w:bookmarkStart w:id="69" w:name="_Toc20711"/>
      <w:bookmarkStart w:id="70" w:name="_Toc28699"/>
      <w:bookmarkStart w:id="71" w:name="_Toc9976"/>
      <w:bookmarkStart w:id="72" w:name="_Toc943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年财政拨款收入合计</w:t>
      </w:r>
      <w:bookmarkEnd w:id="69"/>
      <w:bookmarkEnd w:id="70"/>
      <w:bookmarkEnd w:id="71"/>
      <w:r>
        <w:rPr>
          <w:rFonts w:ascii="仿宋_GB2312" w:eastAsia="仿宋_GB2312"/>
          <w:color w:val="000000"/>
          <w:sz w:val="32"/>
          <w:szCs w:val="32"/>
        </w:rPr>
        <w:t>647.61</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352.31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35.23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w:t>
      </w:r>
      <w:r>
        <w:rPr>
          <w:rFonts w:hint="eastAsia" w:ascii="仿宋_GB2312" w:eastAsia="仿宋_GB2312"/>
          <w:color w:val="000000"/>
          <w:sz w:val="32"/>
          <w:szCs w:val="32"/>
        </w:rPr>
        <w:t>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72"/>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78105</wp:posOffset>
            </wp:positionV>
            <wp:extent cx="4632960" cy="2553335"/>
            <wp:effectExtent l="0" t="0" r="0" b="0"/>
            <wp:wrapNone/>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640" w:firstLineChars="200"/>
        <w:outlineLvl w:val="1"/>
        <w:rPr>
          <w:rFonts w:ascii="仿宋_GB2312" w:eastAsia="仿宋_GB2312"/>
          <w:color w:val="000000"/>
          <w:sz w:val="32"/>
          <w:szCs w:val="32"/>
        </w:rPr>
      </w:pPr>
      <w:bookmarkStart w:id="73" w:name="_Toc16443"/>
      <w:bookmarkStart w:id="74" w:name="_Toc19996"/>
      <w:bookmarkStart w:id="75" w:name="_Toc22785"/>
      <w:bookmarkStart w:id="76" w:name="_Toc6200"/>
      <w:bookmarkStart w:id="77" w:name="_Toc79163614"/>
      <w:bookmarkStart w:id="78" w:name="_Toc15377209"/>
      <w:bookmarkStart w:id="79" w:name="_Toc15396607"/>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年财政拨款支出合计</w:t>
      </w:r>
      <w:bookmarkEnd w:id="73"/>
      <w:bookmarkEnd w:id="74"/>
      <w:bookmarkEnd w:id="75"/>
      <w:r>
        <w:rPr>
          <w:rFonts w:ascii="仿宋_GB2312" w:eastAsia="仿宋_GB2312"/>
          <w:color w:val="000000"/>
          <w:sz w:val="32"/>
          <w:szCs w:val="32"/>
        </w:rPr>
        <w:t>718.44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341.07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32.19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76"/>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438150</wp:posOffset>
            </wp:positionH>
            <wp:positionV relativeFrom="paragraph">
              <wp:posOffset>112395</wp:posOffset>
            </wp:positionV>
            <wp:extent cx="4795520" cy="2694940"/>
            <wp:effectExtent l="0" t="0" r="0" b="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600" w:lineRule="exact"/>
        <w:ind w:firstLine="640" w:firstLineChars="200"/>
        <w:outlineLvl w:val="1"/>
        <w:rPr>
          <w:rStyle w:val="24"/>
          <w:rFonts w:ascii="黑体" w:eastAsia="黑体"/>
          <w:b w:val="0"/>
        </w:rPr>
      </w:pPr>
      <w:bookmarkStart w:id="80" w:name="_Toc15346"/>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77"/>
      <w:bookmarkEnd w:id="78"/>
      <w:bookmarkEnd w:id="79"/>
      <w:bookmarkEnd w:id="80"/>
    </w:p>
    <w:p>
      <w:pPr>
        <w:spacing w:line="600" w:lineRule="exact"/>
        <w:ind w:firstLine="642" w:firstLineChars="200"/>
        <w:outlineLvl w:val="2"/>
        <w:rPr>
          <w:rFonts w:ascii="仿宋" w:eastAsia="仿宋"/>
          <w:b/>
          <w:color w:val="000000"/>
          <w:sz w:val="32"/>
          <w:szCs w:val="32"/>
        </w:rPr>
      </w:pPr>
      <w:bookmarkStart w:id="81" w:name="_Toc79163615"/>
      <w:bookmarkStart w:id="82" w:name="_Toc15377210"/>
      <w:bookmarkStart w:id="83" w:name="_Toc4230"/>
      <w:r>
        <w:rPr>
          <w:rFonts w:hint="eastAsia" w:ascii="仿宋" w:eastAsia="仿宋"/>
          <w:b/>
          <w:color w:val="000000"/>
          <w:sz w:val="32"/>
          <w:szCs w:val="32"/>
        </w:rPr>
        <w:t>（一）一般公共预算财政拨款支出决算总体情况</w:t>
      </w:r>
      <w:bookmarkEnd w:id="81"/>
      <w:bookmarkEnd w:id="82"/>
      <w:bookmarkEnd w:id="83"/>
    </w:p>
    <w:p>
      <w:pPr>
        <w:spacing w:line="594" w:lineRule="exact"/>
        <w:ind w:firstLine="640" w:firstLineChars="200"/>
        <w:outlineLvl w:val="1"/>
        <w:rPr>
          <w:rFonts w:ascii="仿宋_GB2312" w:eastAsia="仿宋_GB2312"/>
          <w:color w:val="000000"/>
          <w:sz w:val="32"/>
          <w:szCs w:val="32"/>
        </w:rPr>
      </w:pPr>
      <w:bookmarkStart w:id="84" w:name="_Toc4783"/>
      <w:r>
        <w:rPr>
          <w:rFonts w:hint="eastAsia" w:ascii="仿宋_GB2312" w:eastAsia="仿宋_GB2312"/>
          <w:color w:val="000000"/>
          <w:sz w:val="32"/>
          <w:szCs w:val="32"/>
        </w:rPr>
        <w:t>2021年一般公共预算财政拨款支出</w:t>
      </w:r>
      <w:r>
        <w:rPr>
          <w:rFonts w:ascii="仿宋_GB2312" w:eastAsia="仿宋_GB2312"/>
          <w:color w:val="000000"/>
          <w:sz w:val="32"/>
          <w:szCs w:val="32"/>
        </w:rPr>
        <w:t>718.44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341.07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32.19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84"/>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295275</wp:posOffset>
            </wp:positionH>
            <wp:positionV relativeFrom="paragraph">
              <wp:posOffset>53340</wp:posOffset>
            </wp:positionV>
            <wp:extent cx="4795520" cy="2694940"/>
            <wp:effectExtent l="0" t="0" r="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eastAsia="仿宋_GB2312"/>
          <w:color w:val="000000"/>
          <w:sz w:val="32"/>
          <w:szCs w:val="32"/>
        </w:rPr>
        <w:t xml:space="preserve"> </w:t>
      </w: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600" w:lineRule="exact"/>
        <w:ind w:firstLine="642" w:firstLineChars="200"/>
        <w:outlineLvl w:val="2"/>
        <w:rPr>
          <w:rFonts w:ascii="仿宋" w:eastAsia="仿宋"/>
          <w:b/>
          <w:color w:val="000000"/>
          <w:sz w:val="32"/>
          <w:szCs w:val="32"/>
        </w:rPr>
      </w:pPr>
      <w:bookmarkStart w:id="85" w:name="_Toc79163616"/>
      <w:bookmarkStart w:id="86" w:name="_Toc22141"/>
      <w:bookmarkStart w:id="87" w:name="_Toc15377211"/>
      <w:r>
        <w:rPr>
          <w:rFonts w:hint="eastAsia" w:ascii="仿宋" w:eastAsia="仿宋"/>
          <w:b/>
          <w:color w:val="000000"/>
          <w:sz w:val="32"/>
          <w:szCs w:val="32"/>
        </w:rPr>
        <w:t>（二）一般公共预算财政拨款支出决算结构情况</w:t>
      </w:r>
      <w:bookmarkEnd w:id="85"/>
      <w:bookmarkEnd w:id="86"/>
      <w:bookmarkEnd w:id="87"/>
    </w:p>
    <w:p>
      <w:pPr>
        <w:spacing w:line="600" w:lineRule="exact"/>
        <w:ind w:firstLine="64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718.44</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ascii="仿宋" w:eastAsia="仿宋"/>
          <w:color w:val="000000"/>
          <w:sz w:val="32"/>
          <w:szCs w:val="32"/>
        </w:rPr>
        <w:t>597.25</w:t>
      </w:r>
      <w:r>
        <w:rPr>
          <w:rFonts w:hint="eastAsia" w:ascii="仿宋" w:eastAsia="仿宋"/>
          <w:color w:val="000000"/>
          <w:sz w:val="32"/>
          <w:szCs w:val="32"/>
        </w:rPr>
        <w:t>万元，占</w:t>
      </w:r>
      <w:r>
        <w:rPr>
          <w:rFonts w:ascii="仿宋" w:eastAsia="仿宋"/>
          <w:color w:val="000000"/>
          <w:sz w:val="32"/>
          <w:szCs w:val="32"/>
        </w:rPr>
        <w:t>83.13%</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ascii="仿宋" w:eastAsia="仿宋"/>
          <w:color w:val="000000"/>
          <w:sz w:val="32"/>
          <w:szCs w:val="32"/>
        </w:rPr>
        <w:t>54.04</w:t>
      </w:r>
      <w:r>
        <w:rPr>
          <w:rFonts w:hint="eastAsia" w:ascii="仿宋" w:eastAsia="仿宋"/>
          <w:color w:val="000000"/>
          <w:sz w:val="32"/>
          <w:szCs w:val="32"/>
        </w:rPr>
        <w:t>万元，占</w:t>
      </w:r>
      <w:r>
        <w:rPr>
          <w:rFonts w:ascii="仿宋" w:eastAsia="仿宋"/>
          <w:color w:val="000000"/>
          <w:sz w:val="32"/>
          <w:szCs w:val="32"/>
        </w:rPr>
        <w:t>7.52%</w:t>
      </w:r>
      <w:r>
        <w:rPr>
          <w:rFonts w:hint="eastAsia" w:ascii="仿宋" w:eastAsia="仿宋"/>
          <w:color w:val="000000"/>
          <w:sz w:val="32"/>
          <w:szCs w:val="32"/>
        </w:rPr>
        <w:t>；</w:t>
      </w:r>
      <w:r>
        <w:rPr>
          <w:rFonts w:hint="eastAsia" w:ascii="仿宋" w:eastAsia="仿宋"/>
          <w:b/>
          <w:bCs/>
          <w:color w:val="000000"/>
          <w:sz w:val="32"/>
          <w:szCs w:val="32"/>
        </w:rPr>
        <w:t>卫生健康支出</w:t>
      </w:r>
      <w:r>
        <w:rPr>
          <w:rFonts w:ascii="仿宋" w:eastAsia="仿宋"/>
          <w:color w:val="000000"/>
          <w:sz w:val="32"/>
          <w:szCs w:val="32"/>
        </w:rPr>
        <w:t>27.25</w:t>
      </w:r>
      <w:r>
        <w:rPr>
          <w:rFonts w:hint="eastAsia" w:ascii="仿宋" w:eastAsia="仿宋"/>
          <w:color w:val="000000"/>
          <w:sz w:val="32"/>
          <w:szCs w:val="32"/>
        </w:rPr>
        <w:t>万元，占</w:t>
      </w:r>
      <w:r>
        <w:rPr>
          <w:rFonts w:ascii="仿宋" w:eastAsia="仿宋"/>
          <w:color w:val="000000"/>
          <w:sz w:val="32"/>
          <w:szCs w:val="32"/>
        </w:rPr>
        <w:t>3.79%</w:t>
      </w:r>
      <w:r>
        <w:rPr>
          <w:rFonts w:hint="eastAsia" w:ascii="仿宋" w:eastAsia="仿宋"/>
          <w:color w:val="000000"/>
          <w:sz w:val="32"/>
          <w:szCs w:val="32"/>
        </w:rPr>
        <w:t>；</w:t>
      </w:r>
      <w:r>
        <w:rPr>
          <w:rFonts w:hint="eastAsia" w:ascii="仿宋" w:eastAsia="仿宋"/>
          <w:b/>
          <w:color w:val="000000"/>
          <w:sz w:val="32"/>
          <w:szCs w:val="32"/>
        </w:rPr>
        <w:t>农林水支出</w:t>
      </w:r>
      <w:r>
        <w:rPr>
          <w:rFonts w:ascii="仿宋" w:eastAsia="仿宋"/>
          <w:color w:val="000000"/>
          <w:sz w:val="32"/>
          <w:szCs w:val="32"/>
        </w:rPr>
        <w:t>1.58</w:t>
      </w:r>
      <w:r>
        <w:rPr>
          <w:rFonts w:hint="eastAsia" w:ascii="仿宋" w:eastAsia="仿宋"/>
          <w:color w:val="000000"/>
          <w:sz w:val="32"/>
          <w:szCs w:val="32"/>
        </w:rPr>
        <w:t>万元，占0.</w:t>
      </w:r>
      <w:r>
        <w:rPr>
          <w:rFonts w:ascii="仿宋" w:eastAsia="仿宋"/>
          <w:color w:val="000000"/>
          <w:sz w:val="32"/>
          <w:szCs w:val="32"/>
        </w:rPr>
        <w:t>23</w:t>
      </w:r>
      <w:r>
        <w:rPr>
          <w:rFonts w:hint="eastAsia" w:ascii="仿宋" w:eastAsia="仿宋"/>
          <w:color w:val="000000"/>
          <w:sz w:val="32"/>
          <w:szCs w:val="32"/>
        </w:rPr>
        <w:t>%。</w:t>
      </w:r>
      <w:r>
        <w:rPr>
          <w:rFonts w:hint="eastAsia" w:ascii="仿宋" w:eastAsia="仿宋"/>
          <w:b/>
          <w:color w:val="000000"/>
          <w:sz w:val="32"/>
          <w:szCs w:val="32"/>
        </w:rPr>
        <w:t>住房保障支出</w:t>
      </w:r>
      <w:r>
        <w:rPr>
          <w:rFonts w:ascii="仿宋" w:eastAsia="仿宋"/>
          <w:color w:val="000000"/>
          <w:sz w:val="32"/>
          <w:szCs w:val="32"/>
        </w:rPr>
        <w:t>38.32</w:t>
      </w:r>
      <w:r>
        <w:rPr>
          <w:rFonts w:hint="eastAsia" w:ascii="仿宋" w:eastAsia="仿宋"/>
          <w:color w:val="000000"/>
          <w:sz w:val="32"/>
          <w:szCs w:val="32"/>
        </w:rPr>
        <w:t>万元，占</w:t>
      </w:r>
      <w:r>
        <w:rPr>
          <w:rFonts w:ascii="仿宋" w:eastAsia="仿宋"/>
          <w:color w:val="000000"/>
          <w:sz w:val="32"/>
          <w:szCs w:val="32"/>
        </w:rPr>
        <w:t>5.33%</w:t>
      </w:r>
      <w:r>
        <w:rPr>
          <w:rFonts w:hint="eastAsia" w:ascii="仿宋" w:eastAsia="仿宋"/>
          <w:color w:val="000000"/>
          <w:sz w:val="32"/>
          <w:szCs w:val="32"/>
        </w:rPr>
        <w:t>。</w:t>
      </w:r>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504825</wp:posOffset>
            </wp:positionH>
            <wp:positionV relativeFrom="paragraph">
              <wp:posOffset>152400</wp:posOffset>
            </wp:positionV>
            <wp:extent cx="4441825" cy="2706370"/>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2" w:firstLineChars="200"/>
        <w:outlineLvl w:val="2"/>
        <w:rPr>
          <w:rFonts w:ascii="仿宋" w:eastAsia="仿宋"/>
          <w:b/>
          <w:color w:val="000000"/>
          <w:sz w:val="32"/>
          <w:szCs w:val="32"/>
        </w:rPr>
      </w:pPr>
      <w:bookmarkStart w:id="88" w:name="_Toc15377212"/>
      <w:bookmarkStart w:id="89" w:name="_Toc79163617"/>
      <w:bookmarkStart w:id="90" w:name="_Toc6080"/>
      <w:r>
        <w:rPr>
          <w:rFonts w:hint="eastAsia" w:ascii="仿宋" w:eastAsia="仿宋"/>
          <w:b/>
          <w:color w:val="000000"/>
          <w:sz w:val="32"/>
          <w:szCs w:val="32"/>
        </w:rPr>
        <w:t>（三）一般公共预算财政拨款支出决算具体情况</w:t>
      </w:r>
      <w:bookmarkEnd w:id="88"/>
      <w:bookmarkEnd w:id="89"/>
      <w:bookmarkEnd w:id="90"/>
    </w:p>
    <w:p>
      <w:pPr>
        <w:spacing w:line="594" w:lineRule="exact"/>
        <w:ind w:firstLine="640" w:firstLineChars="200"/>
        <w:outlineLvl w:val="1"/>
        <w:rPr>
          <w:rFonts w:ascii="仿宋_GB2312" w:eastAsia="仿宋_GB2312"/>
          <w:color w:val="000000"/>
          <w:sz w:val="32"/>
          <w:szCs w:val="32"/>
        </w:rPr>
      </w:pPr>
      <w:bookmarkStart w:id="91" w:name="_Toc17391"/>
      <w:bookmarkStart w:id="92" w:name="_Toc17804"/>
      <w:bookmarkStart w:id="93" w:name="_Toc26035"/>
      <w:bookmarkStart w:id="94" w:name="_Toc9856"/>
      <w:bookmarkStart w:id="95" w:name="_Toc51662769"/>
      <w:bookmarkStart w:id="96" w:name="_Toc51662581"/>
      <w:bookmarkStart w:id="97" w:name="_Toc19462"/>
      <w:bookmarkStart w:id="98" w:name="_Toc15396608"/>
      <w:bookmarkStart w:id="99" w:name="_Toc79163618"/>
      <w:bookmarkStart w:id="100" w:name="_Toc15377214"/>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年般公共预算支出决算数为</w:t>
      </w:r>
      <w:r>
        <w:rPr>
          <w:rFonts w:ascii="仿宋_GB2312" w:eastAsia="仿宋_GB2312"/>
          <w:color w:val="000000"/>
          <w:sz w:val="32"/>
          <w:szCs w:val="32"/>
        </w:rPr>
        <w:t>718.44</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w:t>
      </w:r>
      <w:bookmarkEnd w:id="91"/>
      <w:bookmarkEnd w:id="92"/>
      <w:bookmarkEnd w:id="93"/>
      <w:bookmarkEnd w:id="94"/>
      <w:bookmarkEnd w:id="95"/>
      <w:bookmarkEnd w:id="96"/>
      <w:bookmarkEnd w:id="97"/>
    </w:p>
    <w:p>
      <w:pPr>
        <w:spacing w:line="594" w:lineRule="exact"/>
        <w:ind w:firstLine="640" w:firstLineChars="200"/>
        <w:outlineLvl w:val="1"/>
        <w:rPr>
          <w:rFonts w:ascii="仿宋_GB2312" w:eastAsia="仿宋_GB2312"/>
          <w:color w:val="000000"/>
          <w:sz w:val="32"/>
          <w:szCs w:val="32"/>
        </w:rPr>
      </w:pPr>
      <w:bookmarkStart w:id="101" w:name="_Toc955"/>
      <w:bookmarkStart w:id="102" w:name="_Toc51662770"/>
      <w:bookmarkStart w:id="103" w:name="_Toc1118"/>
      <w:bookmarkStart w:id="104" w:name="_Toc51662582"/>
      <w:bookmarkStart w:id="105" w:name="_Toc4007"/>
      <w:bookmarkStart w:id="106" w:name="_Toc9211"/>
      <w:bookmarkStart w:id="107" w:name="_Toc29338"/>
      <w:r>
        <w:rPr>
          <w:rFonts w:ascii="仿宋_GB2312" w:eastAsia="仿宋_GB2312"/>
          <w:color w:val="000000"/>
          <w:sz w:val="32"/>
          <w:szCs w:val="32"/>
        </w:rPr>
        <w:t>1.</w:t>
      </w:r>
      <w:r>
        <w:rPr>
          <w:rFonts w:hint="eastAsia" w:ascii="仿宋_GB2312" w:eastAsia="仿宋_GB2312"/>
          <w:color w:val="000000"/>
          <w:sz w:val="32"/>
          <w:szCs w:val="32"/>
        </w:rPr>
        <w:t>一般公共服务（类）市场监督管理事务（款）行政运行（项）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501.06</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101"/>
      <w:bookmarkEnd w:id="102"/>
      <w:bookmarkEnd w:id="103"/>
      <w:bookmarkEnd w:id="104"/>
      <w:bookmarkEnd w:id="105"/>
      <w:bookmarkEnd w:id="106"/>
      <w:bookmarkEnd w:id="107"/>
    </w:p>
    <w:p>
      <w:pPr>
        <w:spacing w:line="594" w:lineRule="exact"/>
        <w:ind w:firstLine="640" w:firstLineChars="200"/>
        <w:outlineLvl w:val="1"/>
        <w:rPr>
          <w:rFonts w:ascii="仿宋_GB2312" w:eastAsia="仿宋_GB2312"/>
          <w:color w:val="000000"/>
          <w:sz w:val="32"/>
          <w:szCs w:val="32"/>
        </w:rPr>
      </w:pPr>
      <w:bookmarkStart w:id="108" w:name="_Toc31710"/>
      <w:bookmarkStart w:id="109" w:name="_Toc5560"/>
      <w:bookmarkStart w:id="110" w:name="_Toc51662583"/>
      <w:bookmarkStart w:id="111" w:name="_Toc24304"/>
      <w:bookmarkStart w:id="112" w:name="_Toc29674"/>
      <w:bookmarkStart w:id="113" w:name="_Toc51662771"/>
      <w:bookmarkStart w:id="114" w:name="_Toc9168"/>
      <w:r>
        <w:rPr>
          <w:rFonts w:ascii="仿宋_GB2312" w:eastAsia="仿宋_GB2312"/>
          <w:color w:val="000000"/>
          <w:sz w:val="32"/>
          <w:szCs w:val="32"/>
        </w:rPr>
        <w:t>2.</w:t>
      </w:r>
      <w:bookmarkEnd w:id="108"/>
      <w:bookmarkEnd w:id="109"/>
      <w:bookmarkEnd w:id="110"/>
      <w:bookmarkEnd w:id="111"/>
      <w:bookmarkEnd w:id="112"/>
      <w:bookmarkEnd w:id="113"/>
      <w:bookmarkStart w:id="115" w:name="_Toc16842"/>
      <w:bookmarkStart w:id="116" w:name="_Toc31756"/>
      <w:bookmarkStart w:id="117" w:name="_Toc13752"/>
      <w:bookmarkStart w:id="118" w:name="_Toc51662585"/>
      <w:bookmarkStart w:id="119" w:name="_Toc3463"/>
      <w:bookmarkStart w:id="120" w:name="_Toc51662773"/>
      <w:r>
        <w:rPr>
          <w:rFonts w:hint="eastAsia" w:ascii="仿宋_GB2312" w:eastAsia="仿宋_GB2312"/>
          <w:color w:val="000000"/>
          <w:sz w:val="32"/>
          <w:szCs w:val="32"/>
        </w:rPr>
        <w:t xml:space="preserve"> 一般公共服务（类）市场监督管理事务（款）市场秩序执法（项）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22.24</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14"/>
      <w:bookmarkEnd w:id="115"/>
      <w:bookmarkEnd w:id="116"/>
      <w:bookmarkEnd w:id="117"/>
      <w:bookmarkEnd w:id="118"/>
      <w:bookmarkEnd w:id="119"/>
      <w:bookmarkEnd w:id="120"/>
    </w:p>
    <w:p>
      <w:pPr>
        <w:spacing w:line="594" w:lineRule="exact"/>
        <w:ind w:firstLine="640" w:firstLineChars="200"/>
        <w:outlineLvl w:val="1"/>
        <w:rPr>
          <w:rFonts w:ascii="仿宋_GB2312" w:eastAsia="仿宋_GB2312"/>
          <w:color w:val="000000"/>
          <w:sz w:val="32"/>
          <w:szCs w:val="32"/>
        </w:rPr>
      </w:pPr>
      <w:bookmarkStart w:id="121" w:name="_Toc20480"/>
      <w:bookmarkStart w:id="122" w:name="_Toc51662586"/>
      <w:bookmarkStart w:id="123" w:name="_Toc9574"/>
      <w:bookmarkStart w:id="124" w:name="_Toc5082"/>
      <w:bookmarkStart w:id="125" w:name="_Toc51662774"/>
      <w:bookmarkStart w:id="126" w:name="_Toc26102"/>
      <w:bookmarkStart w:id="127" w:name="_Toc460"/>
      <w:r>
        <w:rPr>
          <w:rFonts w:ascii="仿宋_GB2312" w:eastAsia="仿宋_GB2312"/>
          <w:color w:val="000000"/>
          <w:sz w:val="32"/>
          <w:szCs w:val="32"/>
        </w:rPr>
        <w:t>3</w:t>
      </w:r>
      <w:r>
        <w:rPr>
          <w:rFonts w:hint="eastAsia" w:ascii="仿宋_GB2312" w:eastAsia="仿宋_GB2312"/>
          <w:color w:val="000000"/>
          <w:sz w:val="32"/>
          <w:szCs w:val="32"/>
        </w:rPr>
        <w:t>.一般公共服务（类）市场监督管理事务（款）药品事务（项）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2.7</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121"/>
      <w:bookmarkEnd w:id="122"/>
      <w:bookmarkEnd w:id="123"/>
      <w:bookmarkEnd w:id="124"/>
      <w:bookmarkEnd w:id="125"/>
      <w:bookmarkEnd w:id="126"/>
      <w:bookmarkEnd w:id="127"/>
    </w:p>
    <w:p>
      <w:pPr>
        <w:spacing w:line="594" w:lineRule="exact"/>
        <w:ind w:firstLine="640" w:firstLineChars="200"/>
        <w:outlineLvl w:val="1"/>
        <w:rPr>
          <w:rFonts w:ascii="仿宋_GB2312" w:eastAsia="仿宋_GB2312"/>
          <w:color w:val="000000"/>
          <w:sz w:val="32"/>
          <w:szCs w:val="32"/>
        </w:rPr>
      </w:pPr>
      <w:bookmarkStart w:id="128" w:name="_Toc22120"/>
      <w:bookmarkStart w:id="129" w:name="_Toc17204"/>
      <w:bookmarkStart w:id="130" w:name="_Toc12742"/>
      <w:bookmarkStart w:id="131" w:name="_Toc19645"/>
      <w:bookmarkStart w:id="132" w:name="_Toc51662775"/>
      <w:bookmarkStart w:id="133" w:name="_Toc22910"/>
      <w:bookmarkStart w:id="134" w:name="_Toc51662587"/>
      <w:r>
        <w:rPr>
          <w:rFonts w:ascii="仿宋_GB2312" w:eastAsia="仿宋_GB2312"/>
          <w:color w:val="000000"/>
          <w:sz w:val="32"/>
          <w:szCs w:val="32"/>
        </w:rPr>
        <w:t>4</w:t>
      </w:r>
      <w:r>
        <w:rPr>
          <w:rFonts w:hint="eastAsia" w:ascii="仿宋_GB2312" w:eastAsia="仿宋_GB2312"/>
          <w:color w:val="000000"/>
          <w:sz w:val="32"/>
          <w:szCs w:val="32"/>
        </w:rPr>
        <w:t>. 一般公共服务（类）市场监督管理事务（款）</w:t>
      </w:r>
      <w:r>
        <w:rPr>
          <w:rFonts w:ascii="仿宋_GB2312" w:eastAsia="仿宋_GB2312"/>
          <w:color w:val="000000"/>
          <w:sz w:val="32"/>
          <w:szCs w:val="32"/>
        </w:rPr>
        <w:t>质量安全监管</w:t>
      </w:r>
      <w:r>
        <w:rPr>
          <w:rFonts w:hint="eastAsia" w:ascii="仿宋_GB2312" w:eastAsia="仿宋_GB2312"/>
          <w:color w:val="000000"/>
          <w:sz w:val="32"/>
          <w:szCs w:val="32"/>
        </w:rPr>
        <w:t>（项）：支出决算为</w:t>
      </w:r>
      <w:r>
        <w:rPr>
          <w:rFonts w:ascii="仿宋_GB2312" w:eastAsia="仿宋_GB2312"/>
          <w:color w:val="000000"/>
          <w:sz w:val="32"/>
          <w:szCs w:val="32"/>
        </w:rPr>
        <w:t>4.39</w:t>
      </w:r>
      <w:r>
        <w:rPr>
          <w:rFonts w:hint="eastAsia" w:ascii="仿宋_GB2312" w:eastAsia="仿宋_GB2312"/>
          <w:color w:val="000000"/>
          <w:sz w:val="32"/>
          <w:szCs w:val="32"/>
        </w:rPr>
        <w:t>万元，完成预算100%。</w:t>
      </w:r>
      <w:bookmarkEnd w:id="128"/>
    </w:p>
    <w:p>
      <w:pPr>
        <w:spacing w:line="594" w:lineRule="exact"/>
        <w:ind w:firstLine="640" w:firstLineChars="200"/>
        <w:outlineLvl w:val="1"/>
        <w:rPr>
          <w:rFonts w:ascii="仿宋_GB2312" w:eastAsia="仿宋_GB2312"/>
          <w:color w:val="000000"/>
          <w:sz w:val="32"/>
          <w:szCs w:val="32"/>
        </w:rPr>
      </w:pPr>
      <w:bookmarkStart w:id="135" w:name="_Toc15784"/>
      <w:r>
        <w:rPr>
          <w:rFonts w:ascii="仿宋_GB2312" w:eastAsia="仿宋_GB2312"/>
          <w:color w:val="000000"/>
          <w:sz w:val="32"/>
          <w:szCs w:val="32"/>
        </w:rPr>
        <w:t>5.</w:t>
      </w:r>
      <w:r>
        <w:rPr>
          <w:rFonts w:hint="eastAsia" w:ascii="仿宋_GB2312" w:eastAsia="仿宋_GB2312"/>
          <w:color w:val="000000"/>
          <w:sz w:val="32"/>
          <w:szCs w:val="32"/>
        </w:rPr>
        <w:t>一般公共服务（类）市场监督管理事务（款）食品安全监管（项）：支出决算为</w:t>
      </w:r>
      <w:r>
        <w:rPr>
          <w:rFonts w:ascii="仿宋_GB2312" w:eastAsia="仿宋_GB2312"/>
          <w:color w:val="000000"/>
          <w:sz w:val="32"/>
          <w:szCs w:val="32"/>
        </w:rPr>
        <w:t>1.87</w:t>
      </w:r>
      <w:r>
        <w:rPr>
          <w:rFonts w:hint="eastAsia" w:ascii="仿宋_GB2312" w:eastAsia="仿宋_GB2312"/>
          <w:color w:val="000000"/>
          <w:sz w:val="32"/>
          <w:szCs w:val="32"/>
        </w:rPr>
        <w:t>万元，完成预算100%。</w:t>
      </w:r>
      <w:bookmarkEnd w:id="129"/>
      <w:bookmarkEnd w:id="130"/>
      <w:bookmarkEnd w:id="131"/>
      <w:bookmarkEnd w:id="135"/>
    </w:p>
    <w:p>
      <w:pPr>
        <w:spacing w:line="594" w:lineRule="exact"/>
        <w:ind w:firstLine="640" w:firstLineChars="200"/>
        <w:outlineLvl w:val="1"/>
        <w:rPr>
          <w:rFonts w:ascii="仿宋_GB2312" w:eastAsia="仿宋_GB2312"/>
          <w:color w:val="000000"/>
          <w:sz w:val="32"/>
          <w:szCs w:val="32"/>
        </w:rPr>
      </w:pPr>
      <w:bookmarkStart w:id="136" w:name="_Toc18267"/>
      <w:bookmarkStart w:id="137" w:name="_Toc17333"/>
      <w:bookmarkStart w:id="138" w:name="_Toc2130"/>
      <w:bookmarkStart w:id="139" w:name="_Toc1629"/>
      <w:r>
        <w:rPr>
          <w:rFonts w:ascii="仿宋_GB2312" w:eastAsia="仿宋_GB2312"/>
          <w:color w:val="000000"/>
          <w:sz w:val="32"/>
          <w:szCs w:val="32"/>
        </w:rPr>
        <w:t>6</w:t>
      </w:r>
      <w:r>
        <w:rPr>
          <w:rFonts w:hint="eastAsia" w:ascii="仿宋_GB2312" w:eastAsia="仿宋_GB2312"/>
          <w:color w:val="000000"/>
          <w:sz w:val="32"/>
          <w:szCs w:val="32"/>
        </w:rPr>
        <w:t>.</w:t>
      </w:r>
      <w:bookmarkEnd w:id="132"/>
      <w:bookmarkEnd w:id="133"/>
      <w:bookmarkEnd w:id="134"/>
      <w:bookmarkEnd w:id="136"/>
      <w:bookmarkEnd w:id="137"/>
      <w:bookmarkEnd w:id="138"/>
      <w:bookmarkStart w:id="140" w:name="_Toc29289"/>
      <w:bookmarkStart w:id="141" w:name="_Toc51662588"/>
      <w:bookmarkStart w:id="142" w:name="_Toc17036"/>
      <w:bookmarkStart w:id="143" w:name="_Toc51662776"/>
      <w:bookmarkStart w:id="144" w:name="_Toc8341"/>
      <w:bookmarkStart w:id="145" w:name="_Toc32243"/>
      <w:r>
        <w:rPr>
          <w:rFonts w:hint="eastAsia" w:ascii="仿宋_GB2312" w:eastAsia="仿宋_GB2312"/>
          <w:color w:val="000000"/>
          <w:sz w:val="32"/>
          <w:szCs w:val="32"/>
        </w:rPr>
        <w:t>一般公共服务（类）市场监督管理事务（款）其他市场监督管理事务（项）: 支出决算为65万元，</w:t>
      </w:r>
      <w:bookmarkEnd w:id="140"/>
      <w:bookmarkEnd w:id="141"/>
      <w:bookmarkEnd w:id="142"/>
      <w:bookmarkEnd w:id="143"/>
      <w:bookmarkEnd w:id="144"/>
      <w:bookmarkEnd w:id="145"/>
      <w:bookmarkStart w:id="146" w:name="_Toc15905"/>
      <w:bookmarkStart w:id="147" w:name="_Toc51662777"/>
      <w:bookmarkStart w:id="148" w:name="_Toc22240"/>
      <w:bookmarkStart w:id="149" w:name="_Toc24776"/>
      <w:bookmarkStart w:id="150" w:name="_Toc6664"/>
      <w:bookmarkStart w:id="151" w:name="_Toc51662589"/>
      <w:r>
        <w:rPr>
          <w:rFonts w:hint="eastAsia" w:ascii="仿宋_GB2312" w:eastAsia="仿宋_GB2312"/>
          <w:color w:val="000000"/>
          <w:sz w:val="32"/>
          <w:szCs w:val="32"/>
        </w:rPr>
        <w:t>完成预算100%。</w:t>
      </w:r>
      <w:bookmarkEnd w:id="139"/>
    </w:p>
    <w:p>
      <w:pPr>
        <w:spacing w:line="594" w:lineRule="exact"/>
        <w:ind w:firstLine="640" w:firstLineChars="200"/>
        <w:outlineLvl w:val="1"/>
        <w:rPr>
          <w:rFonts w:ascii="仿宋_GB2312" w:eastAsia="仿宋_GB2312"/>
          <w:color w:val="000000"/>
          <w:sz w:val="32"/>
          <w:szCs w:val="32"/>
        </w:rPr>
      </w:pPr>
      <w:bookmarkStart w:id="152" w:name="_Toc20304"/>
      <w:r>
        <w:rPr>
          <w:rFonts w:ascii="仿宋_GB2312" w:eastAsia="仿宋_GB2312"/>
          <w:color w:val="000000"/>
          <w:sz w:val="32"/>
          <w:szCs w:val="32"/>
        </w:rPr>
        <w:t>7.</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36.03</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46"/>
      <w:bookmarkEnd w:id="147"/>
      <w:bookmarkEnd w:id="148"/>
      <w:bookmarkEnd w:id="149"/>
      <w:bookmarkEnd w:id="150"/>
      <w:bookmarkEnd w:id="151"/>
      <w:bookmarkEnd w:id="152"/>
      <w:bookmarkStart w:id="153" w:name="_Toc24373"/>
      <w:bookmarkStart w:id="154" w:name="_Toc51662778"/>
      <w:bookmarkStart w:id="155" w:name="_Toc51662590"/>
    </w:p>
    <w:p>
      <w:pPr>
        <w:spacing w:line="594" w:lineRule="exact"/>
        <w:ind w:firstLine="640" w:firstLineChars="200"/>
        <w:outlineLvl w:val="1"/>
        <w:rPr>
          <w:rFonts w:ascii="仿宋_GB2312" w:eastAsia="仿宋_GB2312"/>
          <w:color w:val="000000"/>
          <w:sz w:val="32"/>
          <w:szCs w:val="32"/>
        </w:rPr>
      </w:pPr>
      <w:bookmarkStart w:id="156" w:name="_Toc2641"/>
      <w:bookmarkStart w:id="157" w:name="_Toc28659"/>
      <w:bookmarkStart w:id="158" w:name="_Toc29453"/>
      <w:bookmarkStart w:id="159" w:name="_Toc9285"/>
      <w:r>
        <w:rPr>
          <w:rFonts w:ascii="仿宋_GB2312" w:eastAsia="仿宋_GB2312"/>
          <w:color w:val="000000"/>
          <w:sz w:val="32"/>
          <w:szCs w:val="32"/>
        </w:rPr>
        <w:t>8.</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18.01</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53"/>
      <w:bookmarkEnd w:id="154"/>
      <w:bookmarkEnd w:id="155"/>
      <w:bookmarkEnd w:id="156"/>
      <w:bookmarkEnd w:id="157"/>
      <w:bookmarkEnd w:id="158"/>
      <w:bookmarkEnd w:id="159"/>
    </w:p>
    <w:p>
      <w:pPr>
        <w:spacing w:line="594" w:lineRule="exact"/>
        <w:ind w:firstLine="640" w:firstLineChars="200"/>
        <w:outlineLvl w:val="1"/>
        <w:rPr>
          <w:rFonts w:ascii="仿宋_GB2312" w:eastAsia="仿宋_GB2312"/>
          <w:color w:val="000000"/>
          <w:sz w:val="32"/>
          <w:szCs w:val="32"/>
        </w:rPr>
      </w:pPr>
      <w:bookmarkStart w:id="160" w:name="_Toc20470"/>
      <w:bookmarkStart w:id="161" w:name="_Toc51662592"/>
      <w:bookmarkStart w:id="162" w:name="_Toc51662780"/>
      <w:bookmarkStart w:id="163" w:name="_Toc14725"/>
      <w:bookmarkStart w:id="164" w:name="_Toc27775"/>
      <w:bookmarkStart w:id="165" w:name="_Toc11654"/>
      <w:bookmarkStart w:id="166" w:name="_Toc13125"/>
      <w:r>
        <w:rPr>
          <w:rFonts w:ascii="仿宋_GB2312" w:eastAsia="仿宋_GB2312"/>
          <w:color w:val="000000"/>
          <w:sz w:val="32"/>
          <w:szCs w:val="32"/>
        </w:rPr>
        <w:t>9.</w:t>
      </w:r>
      <w:r>
        <w:rPr>
          <w:rFonts w:hint="eastAsia" w:ascii="仿宋_GB2312" w:eastAsia="仿宋_GB2312"/>
          <w:color w:val="000000"/>
          <w:sz w:val="32"/>
          <w:szCs w:val="32"/>
        </w:rPr>
        <w:t>卫生健康（类）行政事业单位医疗（款）行政单位医疗（项）：支出决算为</w:t>
      </w:r>
      <w:r>
        <w:rPr>
          <w:rFonts w:ascii="仿宋_GB2312" w:eastAsia="仿宋_GB2312"/>
          <w:color w:val="000000"/>
          <w:sz w:val="32"/>
          <w:szCs w:val="32"/>
        </w:rPr>
        <w:t>27.25</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60"/>
      <w:bookmarkEnd w:id="161"/>
      <w:bookmarkEnd w:id="162"/>
      <w:bookmarkEnd w:id="163"/>
      <w:bookmarkEnd w:id="164"/>
      <w:bookmarkEnd w:id="165"/>
      <w:bookmarkEnd w:id="166"/>
    </w:p>
    <w:p>
      <w:pPr>
        <w:spacing w:line="594" w:lineRule="exact"/>
        <w:ind w:firstLine="640" w:firstLineChars="200"/>
        <w:outlineLvl w:val="1"/>
        <w:rPr>
          <w:rFonts w:ascii="仿宋_GB2312" w:eastAsia="仿宋_GB2312"/>
          <w:color w:val="000000"/>
          <w:sz w:val="32"/>
          <w:szCs w:val="32"/>
        </w:rPr>
      </w:pPr>
      <w:bookmarkStart w:id="167" w:name="_Toc51662594"/>
      <w:bookmarkStart w:id="168" w:name="_Toc15046"/>
      <w:bookmarkStart w:id="169" w:name="_Toc3135"/>
      <w:bookmarkStart w:id="170" w:name="_Toc31046"/>
      <w:bookmarkStart w:id="171" w:name="_Toc18770"/>
      <w:bookmarkStart w:id="172" w:name="_Toc51662782"/>
      <w:bookmarkStart w:id="173" w:name="_Toc8327"/>
      <w:r>
        <w:rPr>
          <w:rFonts w:ascii="仿宋_GB2312" w:eastAsia="仿宋_GB2312"/>
          <w:color w:val="000000"/>
          <w:sz w:val="32"/>
          <w:szCs w:val="32"/>
        </w:rPr>
        <w:t>10</w:t>
      </w:r>
      <w:r>
        <w:rPr>
          <w:rFonts w:hint="eastAsia" w:ascii="仿宋_GB2312" w:eastAsia="仿宋_GB2312"/>
          <w:color w:val="000000"/>
          <w:sz w:val="32"/>
          <w:szCs w:val="32"/>
        </w:rPr>
        <w:t>.农林水（类）扶贫（款）其他扶贫支出（项）：支出决算为</w:t>
      </w:r>
      <w:r>
        <w:rPr>
          <w:rFonts w:ascii="仿宋_GB2312" w:eastAsia="仿宋_GB2312"/>
          <w:color w:val="000000"/>
          <w:sz w:val="32"/>
          <w:szCs w:val="32"/>
        </w:rPr>
        <w:t>1.58</w:t>
      </w:r>
      <w:r>
        <w:rPr>
          <w:rFonts w:hint="eastAsia" w:ascii="仿宋_GB2312" w:eastAsia="仿宋_GB2312"/>
          <w:color w:val="000000"/>
          <w:sz w:val="32"/>
          <w:szCs w:val="32"/>
        </w:rPr>
        <w:t>万元，完成预算100%。</w:t>
      </w:r>
      <w:bookmarkEnd w:id="167"/>
      <w:bookmarkEnd w:id="168"/>
      <w:bookmarkEnd w:id="169"/>
      <w:bookmarkEnd w:id="170"/>
      <w:bookmarkEnd w:id="171"/>
      <w:bookmarkEnd w:id="172"/>
      <w:bookmarkEnd w:id="173"/>
    </w:p>
    <w:p>
      <w:pPr>
        <w:spacing w:line="594" w:lineRule="exact"/>
        <w:ind w:firstLine="640" w:firstLineChars="200"/>
        <w:outlineLvl w:val="1"/>
        <w:rPr>
          <w:rFonts w:ascii="仿宋_GB2312" w:eastAsia="仿宋_GB2312"/>
          <w:color w:val="000000"/>
          <w:sz w:val="32"/>
          <w:szCs w:val="32"/>
        </w:rPr>
      </w:pPr>
      <w:bookmarkStart w:id="174" w:name="_Toc26056"/>
      <w:bookmarkStart w:id="175" w:name="_Toc25985"/>
      <w:bookmarkStart w:id="176" w:name="_Toc51662595"/>
      <w:bookmarkStart w:id="177" w:name="_Toc29583"/>
      <w:bookmarkStart w:id="178" w:name="_Toc15934"/>
      <w:bookmarkStart w:id="179" w:name="_Toc51662783"/>
      <w:bookmarkStart w:id="180" w:name="_Toc27255"/>
      <w:r>
        <w:rPr>
          <w:rFonts w:hint="eastAsia" w:ascii="仿宋_GB2312" w:eastAsia="仿宋_GB2312"/>
          <w:color w:val="000000"/>
          <w:sz w:val="32"/>
          <w:szCs w:val="32"/>
        </w:rPr>
        <w:t>1</w:t>
      </w:r>
      <w:r>
        <w:rPr>
          <w:rFonts w:ascii="仿宋_GB2312" w:eastAsia="仿宋_GB2312"/>
          <w:color w:val="000000"/>
          <w:sz w:val="32"/>
          <w:szCs w:val="32"/>
        </w:rPr>
        <w:t>1</w:t>
      </w:r>
      <w:r>
        <w:rPr>
          <w:rFonts w:hint="eastAsia" w:ascii="仿宋_GB2312" w:eastAsia="仿宋_GB2312"/>
          <w:color w:val="000000"/>
          <w:sz w:val="32"/>
          <w:szCs w:val="32"/>
        </w:rPr>
        <w:t>.住房保障支出（类）住房改革支出（款）住房公积金（项）：支出决算为</w:t>
      </w:r>
      <w:r>
        <w:rPr>
          <w:rFonts w:ascii="仿宋_GB2312" w:eastAsia="仿宋_GB2312"/>
          <w:color w:val="000000"/>
          <w:sz w:val="32"/>
          <w:szCs w:val="32"/>
        </w:rPr>
        <w:t>36.09</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74"/>
      <w:bookmarkEnd w:id="175"/>
      <w:bookmarkEnd w:id="176"/>
      <w:bookmarkEnd w:id="177"/>
      <w:bookmarkEnd w:id="178"/>
      <w:bookmarkEnd w:id="179"/>
      <w:bookmarkEnd w:id="180"/>
    </w:p>
    <w:p>
      <w:pPr>
        <w:spacing w:line="594" w:lineRule="exact"/>
        <w:ind w:firstLine="640" w:firstLineChars="200"/>
        <w:outlineLvl w:val="1"/>
        <w:rPr>
          <w:rFonts w:ascii="仿宋_GB2312" w:eastAsia="仿宋_GB2312"/>
          <w:color w:val="000000"/>
          <w:sz w:val="32"/>
          <w:szCs w:val="32"/>
        </w:rPr>
      </w:pPr>
      <w:bookmarkStart w:id="181" w:name="_Toc32360"/>
      <w:bookmarkStart w:id="182" w:name="_Toc23019"/>
      <w:bookmarkStart w:id="183" w:name="_Toc5866"/>
      <w:bookmarkStart w:id="184" w:name="_Toc51662784"/>
      <w:bookmarkStart w:id="185" w:name="_Toc3271"/>
      <w:bookmarkStart w:id="186" w:name="_Toc51662596"/>
      <w:bookmarkStart w:id="187" w:name="_Toc14683"/>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 住房保障支出（类）住房改革支出（款）购房补贴（项）：支出决算为</w:t>
      </w:r>
      <w:r>
        <w:rPr>
          <w:rFonts w:ascii="仿宋_GB2312" w:eastAsia="仿宋_GB2312"/>
          <w:color w:val="000000"/>
          <w:sz w:val="32"/>
          <w:szCs w:val="32"/>
        </w:rPr>
        <w:t>2.23</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81"/>
      <w:bookmarkEnd w:id="182"/>
      <w:bookmarkEnd w:id="183"/>
      <w:bookmarkEnd w:id="184"/>
      <w:bookmarkEnd w:id="185"/>
      <w:bookmarkEnd w:id="186"/>
      <w:bookmarkEnd w:id="187"/>
    </w:p>
    <w:p>
      <w:pPr>
        <w:tabs>
          <w:tab w:val="right" w:pos="8306"/>
        </w:tabs>
        <w:spacing w:line="600" w:lineRule="exact"/>
        <w:ind w:firstLine="640"/>
        <w:outlineLvl w:val="1"/>
        <w:rPr>
          <w:rStyle w:val="24"/>
        </w:rPr>
      </w:pPr>
      <w:bookmarkStart w:id="188" w:name="_Toc11714"/>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98"/>
      <w:bookmarkEnd w:id="99"/>
      <w:bookmarkEnd w:id="100"/>
      <w:bookmarkEnd w:id="188"/>
      <w:r>
        <w:rPr>
          <w:rStyle w:val="24"/>
          <w:rFonts w:ascii="黑体" w:eastAsia="黑体"/>
          <w:b w:val="0"/>
        </w:rPr>
        <w:tab/>
      </w:r>
    </w:p>
    <w:p>
      <w:pPr>
        <w:spacing w:line="594" w:lineRule="exact"/>
        <w:ind w:firstLine="640" w:firstLineChars="200"/>
        <w:outlineLvl w:val="1"/>
        <w:rPr>
          <w:rFonts w:hint="eastAsia" w:ascii="仿宋_GB2312" w:eastAsia="仿宋_GB2312"/>
          <w:color w:val="000000"/>
          <w:sz w:val="32"/>
          <w:szCs w:val="32"/>
        </w:rPr>
      </w:pPr>
      <w:bookmarkStart w:id="189" w:name="_Toc15377215"/>
      <w:bookmarkStart w:id="190" w:name="_Toc79163619"/>
      <w:bookmarkStart w:id="191" w:name="_Toc15396609"/>
      <w:r>
        <w:rPr>
          <w:rFonts w:hint="eastAsia" w:ascii="仿宋_GB2312" w:eastAsia="仿宋_GB2312"/>
          <w:color w:val="000000"/>
          <w:sz w:val="32"/>
          <w:szCs w:val="32"/>
        </w:rPr>
        <w:t>2021年一般公共预算财政拨款基本支出620.67万元，其中：</w:t>
      </w:r>
    </w:p>
    <w:p>
      <w:pPr>
        <w:spacing w:line="594" w:lineRule="exact"/>
        <w:ind w:firstLine="640" w:firstLineChars="200"/>
        <w:outlineLvl w:val="1"/>
        <w:rPr>
          <w:rFonts w:hint="eastAsia" w:ascii="仿宋_GB2312" w:eastAsia="仿宋_GB2312"/>
          <w:color w:val="000000"/>
          <w:sz w:val="32"/>
          <w:szCs w:val="32"/>
          <w:lang w:eastAsia="zh-CN"/>
        </w:rPr>
      </w:pPr>
      <w:r>
        <w:rPr>
          <w:rFonts w:hint="eastAsia" w:ascii="仿宋_GB2312" w:eastAsia="仿宋_GB2312"/>
          <w:color w:val="000000"/>
          <w:sz w:val="32"/>
          <w:szCs w:val="32"/>
        </w:rPr>
        <w:t>人员经费586.27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pPr>
        <w:spacing w:line="594" w:lineRule="exact"/>
        <w:ind w:firstLine="640" w:firstLineChars="200"/>
        <w:outlineLvl w:val="1"/>
        <w:rPr>
          <w:rFonts w:hint="eastAsia" w:ascii="仿宋_GB2312" w:eastAsia="仿宋_GB2312"/>
          <w:color w:val="000000"/>
          <w:sz w:val="32"/>
          <w:szCs w:val="32"/>
        </w:rPr>
      </w:pPr>
      <w:r>
        <w:rPr>
          <w:rFonts w:hint="eastAsia" w:ascii="仿宋_GB2312" w:eastAsia="仿宋_GB2312"/>
          <w:color w:val="000000"/>
          <w:sz w:val="32"/>
          <w:szCs w:val="32"/>
        </w:rPr>
        <w:t>日常公用经费34.4万元，主要包括：办公费、水费、电费、邮电费、差旅费、租赁费、培训费、公务接待费、劳务费、公务用车运行维护费、其他交通费、其他商品和服务支出、办公设备购置。</w:t>
      </w:r>
    </w:p>
    <w:p>
      <w:pPr>
        <w:spacing w:line="600" w:lineRule="exact"/>
        <w:ind w:firstLine="640"/>
        <w:outlineLvl w:val="1"/>
        <w:rPr>
          <w:rStyle w:val="24"/>
          <w:rFonts w:ascii="黑体" w:eastAsia="黑体"/>
          <w:b w:val="0"/>
        </w:rPr>
      </w:pPr>
      <w:bookmarkStart w:id="192" w:name="_Toc9140"/>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189"/>
      <w:bookmarkEnd w:id="190"/>
      <w:bookmarkEnd w:id="191"/>
      <w:bookmarkEnd w:id="192"/>
    </w:p>
    <w:p>
      <w:pPr>
        <w:spacing w:line="600" w:lineRule="exact"/>
        <w:ind w:firstLine="640"/>
        <w:outlineLvl w:val="2"/>
        <w:rPr>
          <w:rFonts w:ascii="仿宋" w:eastAsia="仿宋"/>
          <w:b/>
          <w:color w:val="000000"/>
          <w:sz w:val="32"/>
          <w:szCs w:val="32"/>
        </w:rPr>
      </w:pPr>
      <w:bookmarkStart w:id="193" w:name="_Toc79163620"/>
      <w:bookmarkStart w:id="194" w:name="_Toc15377216"/>
      <w:bookmarkStart w:id="195" w:name="_Toc9952"/>
      <w:r>
        <w:rPr>
          <w:rFonts w:hint="eastAsia" w:ascii="仿宋" w:eastAsia="仿宋"/>
          <w:b/>
          <w:color w:val="000000"/>
          <w:sz w:val="32"/>
          <w:szCs w:val="32"/>
        </w:rPr>
        <w:t>（一）“三公”经费财政拨款支出决算总体情况说明</w:t>
      </w:r>
      <w:bookmarkEnd w:id="193"/>
      <w:bookmarkEnd w:id="194"/>
      <w:bookmarkEnd w:id="195"/>
    </w:p>
    <w:p>
      <w:pPr>
        <w:spacing w:line="594" w:lineRule="exact"/>
        <w:ind w:firstLine="640" w:firstLineChars="200"/>
        <w:outlineLvl w:val="1"/>
        <w:rPr>
          <w:rFonts w:ascii="仿宋" w:eastAsia="仿宋"/>
          <w:color w:val="000000"/>
          <w:sz w:val="32"/>
          <w:szCs w:val="32"/>
        </w:rPr>
      </w:pPr>
      <w:bookmarkStart w:id="196" w:name="_Toc28936"/>
      <w:bookmarkStart w:id="197" w:name="_Toc79163621"/>
      <w:bookmarkStart w:id="198" w:name="_Toc15377217"/>
      <w:r>
        <w:rPr>
          <w:rFonts w:hint="eastAsia" w:ascii="仿宋_GB2312" w:eastAsia="仿宋_GB2312"/>
          <w:color w:val="000000"/>
          <w:sz w:val="32"/>
          <w:szCs w:val="32"/>
        </w:rPr>
        <w:t>2021年“三公”经费财政拨款支出决算为23.59万元，完成预算100%。</w:t>
      </w:r>
      <w:bookmarkEnd w:id="196"/>
    </w:p>
    <w:p>
      <w:pPr>
        <w:spacing w:line="600" w:lineRule="exact"/>
        <w:ind w:firstLine="640"/>
        <w:outlineLvl w:val="2"/>
        <w:rPr>
          <w:rFonts w:ascii="仿宋" w:eastAsia="仿宋"/>
          <w:b/>
          <w:color w:val="000000"/>
          <w:sz w:val="32"/>
          <w:szCs w:val="32"/>
        </w:rPr>
      </w:pPr>
      <w:bookmarkStart w:id="199" w:name="_Toc20343"/>
      <w:r>
        <w:rPr>
          <w:rFonts w:hint="eastAsia" w:ascii="仿宋" w:eastAsia="仿宋"/>
          <w:b/>
          <w:color w:val="000000"/>
          <w:sz w:val="32"/>
          <w:szCs w:val="32"/>
        </w:rPr>
        <w:t>（二）“三公”经费财政拨款支出决算具体情况说明</w:t>
      </w:r>
      <w:bookmarkEnd w:id="197"/>
      <w:bookmarkEnd w:id="198"/>
      <w:bookmarkEnd w:id="199"/>
    </w:p>
    <w:p>
      <w:pPr>
        <w:spacing w:line="594" w:lineRule="exact"/>
        <w:ind w:firstLine="640" w:firstLineChars="200"/>
        <w:outlineLvl w:val="1"/>
        <w:rPr>
          <w:rFonts w:hint="eastAsia" w:ascii="仿宋_GB2312" w:eastAsia="仿宋_GB2312"/>
          <w:color w:val="000000"/>
          <w:sz w:val="32"/>
          <w:szCs w:val="32"/>
        </w:rPr>
      </w:pPr>
      <w:r>
        <w:rPr>
          <w:rFonts w:hint="eastAsia" w:ascii="仿宋_GB2312" w:eastAsia="仿宋_GB2312"/>
          <w:color w:val="000000"/>
          <w:sz w:val="32"/>
          <w:szCs w:val="32"/>
        </w:rPr>
        <w:t>2021年“三公”经费财政拨款支出决算中，因公出国（境）费支出决算0万元；公务用车购置及运行维护费支出决算23.06万元，占97.75%；公务接待费支出决算0.53万元，占2.25%。具体情况如下：</w:t>
      </w:r>
    </w:p>
    <w:p>
      <w:pPr>
        <w:spacing w:line="600" w:lineRule="exact"/>
        <w:ind w:firstLine="640"/>
        <w:rPr>
          <w:rFonts w:ascii="仿宋_GB2312" w:eastAsia="仿宋_GB2312"/>
          <w:b/>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862965</wp:posOffset>
            </wp:positionH>
            <wp:positionV relativeFrom="paragraph">
              <wp:posOffset>34290</wp:posOffset>
            </wp:positionV>
            <wp:extent cx="3674745" cy="1953260"/>
            <wp:effectExtent l="0" t="0" r="0" b="0"/>
            <wp:wrapNone/>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23.06</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增加3.96</w:t>
      </w:r>
      <w:r>
        <w:rPr>
          <w:rFonts w:hint="eastAsia" w:ascii="仿宋_GB2312" w:eastAsia="仿宋_GB2312"/>
          <w:color w:val="000000"/>
          <w:sz w:val="32"/>
          <w:szCs w:val="32"/>
        </w:rPr>
        <w:t>万元，</w:t>
      </w:r>
      <w:r>
        <w:rPr>
          <w:rFonts w:ascii="仿宋_GB2312" w:eastAsia="仿宋_GB2312"/>
          <w:color w:val="000000"/>
          <w:sz w:val="32"/>
          <w:szCs w:val="32"/>
        </w:rPr>
        <w:t>上升20.73</w:t>
      </w:r>
      <w:r>
        <w:rPr>
          <w:rFonts w:hint="eastAsia" w:ascii="仿宋_GB2312" w:eastAsia="仿宋_GB2312"/>
          <w:color w:val="000000"/>
          <w:sz w:val="32"/>
          <w:szCs w:val="32"/>
        </w:rPr>
        <w:t>%。主要原因是</w:t>
      </w:r>
      <w:r>
        <w:rPr>
          <w:rFonts w:ascii="仿宋_GB2312" w:eastAsia="仿宋_GB2312"/>
          <w:color w:val="000000"/>
          <w:sz w:val="32"/>
          <w:szCs w:val="32"/>
        </w:rPr>
        <w:t>2021年比2020年疫情况期间公务车辆运行增加。</w:t>
      </w:r>
      <w:r>
        <w:rPr>
          <w:rFonts w:hint="eastAsia" w:ascii="仿宋_GB2312" w:eastAsia="仿宋_GB2312"/>
          <w:color w:val="000000"/>
          <w:sz w:val="32"/>
          <w:szCs w:val="32"/>
        </w:rPr>
        <w:t>。</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月底，共有公务用车</w:t>
      </w:r>
      <w:r>
        <w:rPr>
          <w:rFonts w:ascii="仿宋_GB2312" w:eastAsia="仿宋_GB2312"/>
          <w:color w:val="000000"/>
          <w:sz w:val="32"/>
          <w:szCs w:val="32"/>
        </w:rPr>
        <w:t>0</w:t>
      </w:r>
      <w:r>
        <w:rPr>
          <w:rFonts w:hint="eastAsia" w:ascii="仿宋_GB2312" w:eastAsia="仿宋_GB2312"/>
          <w:color w:val="000000"/>
          <w:sz w:val="32"/>
          <w:szCs w:val="32"/>
        </w:rPr>
        <w:t>辆，执法执勤</w:t>
      </w:r>
      <w:r>
        <w:rPr>
          <w:rFonts w:ascii="仿宋_GB2312" w:eastAsia="仿宋_GB2312"/>
          <w:color w:val="000000"/>
          <w:sz w:val="32"/>
          <w:szCs w:val="32"/>
        </w:rPr>
        <w:t>7</w:t>
      </w:r>
      <w:r>
        <w:rPr>
          <w:rFonts w:hint="eastAsia" w:ascii="仿宋_GB2312" w:eastAsia="仿宋_GB2312"/>
          <w:color w:val="000000"/>
          <w:sz w:val="32"/>
          <w:szCs w:val="32"/>
        </w:rPr>
        <w:t>辆，其他用车</w:t>
      </w:r>
      <w:r>
        <w:rPr>
          <w:rFonts w:ascii="仿宋_GB2312" w:eastAsia="仿宋_GB2312"/>
          <w:color w:val="000000"/>
          <w:sz w:val="32"/>
          <w:szCs w:val="32"/>
        </w:rPr>
        <w:t>5</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辆、越野车</w:t>
      </w:r>
      <w:r>
        <w:rPr>
          <w:rFonts w:ascii="仿宋_GB2312" w:eastAsia="仿宋_GB2312"/>
          <w:color w:val="000000"/>
          <w:sz w:val="32"/>
          <w:szCs w:val="32"/>
        </w:rPr>
        <w:t>5</w:t>
      </w:r>
      <w:r>
        <w:rPr>
          <w:rFonts w:hint="eastAsia" w:ascii="仿宋_GB2312" w:eastAsia="仿宋_GB2312"/>
          <w:color w:val="000000"/>
          <w:sz w:val="32"/>
          <w:szCs w:val="32"/>
        </w:rPr>
        <w:t>辆、小型载客汽车</w:t>
      </w:r>
      <w:r>
        <w:rPr>
          <w:rFonts w:ascii="仿宋_GB2312" w:eastAsia="仿宋_GB2312"/>
          <w:color w:val="000000"/>
          <w:sz w:val="32"/>
          <w:szCs w:val="32"/>
        </w:rPr>
        <w:t>1</w:t>
      </w:r>
      <w:r>
        <w:rPr>
          <w:rFonts w:hint="eastAsia" w:ascii="仿宋_GB2312" w:eastAsia="仿宋_GB2312"/>
          <w:color w:val="000000"/>
          <w:sz w:val="32"/>
          <w:szCs w:val="32"/>
        </w:rPr>
        <w:t>辆，其他</w:t>
      </w:r>
      <w:r>
        <w:rPr>
          <w:rFonts w:ascii="仿宋_GB2312" w:eastAsia="仿宋_GB2312"/>
          <w:color w:val="000000"/>
          <w:sz w:val="32"/>
          <w:szCs w:val="32"/>
        </w:rPr>
        <w:t>5</w:t>
      </w:r>
      <w:r>
        <w:rPr>
          <w:rFonts w:hint="eastAsia" w:ascii="仿宋_GB2312" w:eastAsia="仿宋_GB2312"/>
          <w:color w:val="000000"/>
          <w:sz w:val="32"/>
          <w:szCs w:val="32"/>
        </w:rPr>
        <w:t>辆。</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23.06</w:t>
      </w:r>
      <w:r>
        <w:rPr>
          <w:rFonts w:hint="eastAsia" w:ascii="仿宋_GB2312" w:eastAsia="仿宋_GB2312"/>
          <w:color w:val="000000"/>
          <w:sz w:val="32"/>
          <w:szCs w:val="32"/>
        </w:rPr>
        <w:t>万元。主要用于食品药品执法、质量特种设备执法、工商职能执法等所需的公务用车燃料费、维修费、过路过桥费、保险费等支出</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0.53</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0.34</w:t>
      </w:r>
      <w:r>
        <w:rPr>
          <w:rFonts w:hint="eastAsia" w:ascii="仿宋_GB2312" w:eastAsia="仿宋_GB2312"/>
          <w:color w:val="000000"/>
          <w:sz w:val="32"/>
          <w:szCs w:val="32"/>
        </w:rPr>
        <w:t>万元，下降</w:t>
      </w:r>
      <w:r>
        <w:rPr>
          <w:rFonts w:ascii="仿宋_GB2312" w:eastAsia="仿宋_GB2312"/>
          <w:color w:val="000000"/>
          <w:sz w:val="32"/>
          <w:szCs w:val="32"/>
        </w:rPr>
        <w:t>39.08%</w:t>
      </w:r>
      <w:r>
        <w:rPr>
          <w:rFonts w:hint="eastAsia" w:ascii="仿宋_GB2312" w:eastAsia="仿宋_GB2312"/>
          <w:color w:val="000000"/>
          <w:sz w:val="32"/>
          <w:szCs w:val="32"/>
        </w:rPr>
        <w:t>。主要原因是：</w:t>
      </w:r>
      <w:r>
        <w:rPr>
          <w:rFonts w:ascii="仿宋_GB2312" w:eastAsia="仿宋_GB2312"/>
          <w:color w:val="000000"/>
          <w:sz w:val="32"/>
          <w:szCs w:val="32"/>
        </w:rPr>
        <w:t>严格执行公务接待经费压减政策</w:t>
      </w:r>
      <w:r>
        <w:rPr>
          <w:rFonts w:hint="eastAsia" w:ascii="仿宋_GB2312" w:eastAsia="仿宋_GB2312"/>
          <w:color w:val="000000"/>
          <w:sz w:val="32"/>
          <w:szCs w:val="32"/>
        </w:rPr>
        <w:t>。</w:t>
      </w:r>
    </w:p>
    <w:p>
      <w:pPr>
        <w:pBdr>
          <w:top w:val="none" w:color="auto" w:sz="0" w:space="0"/>
          <w:left w:val="none" w:color="auto" w:sz="0" w:space="0"/>
          <w:bottom w:val="none" w:color="auto" w:sz="0" w:space="0"/>
          <w:right w:val="none" w:color="auto" w:sz="0" w:space="0"/>
        </w:pBdr>
        <w:spacing w:line="594" w:lineRule="exact"/>
        <w:ind w:firstLine="642" w:firstLineChars="200"/>
        <w:rPr>
          <w:rFonts w:ascii="仿宋_GB2312" w:eastAsia="仿宋_GB2312"/>
          <w:color w:val="C00000"/>
          <w:sz w:val="32"/>
          <w:szCs w:val="32"/>
        </w:rPr>
      </w:pPr>
      <w:bookmarkStart w:id="200" w:name="_Toc15396610"/>
      <w:bookmarkStart w:id="201" w:name="_Toc79163622"/>
      <w:bookmarkStart w:id="202" w:name="_Toc15377218"/>
      <w:r>
        <w:rPr>
          <w:rFonts w:hint="eastAsia" w:ascii="仿宋" w:eastAsia="仿宋"/>
          <w:b/>
          <w:color w:val="000000"/>
          <w:sz w:val="32"/>
          <w:szCs w:val="32"/>
        </w:rPr>
        <w:t>国内公务接待支出</w:t>
      </w:r>
      <w:r>
        <w:rPr>
          <w:rFonts w:ascii="仿宋" w:eastAsia="仿宋"/>
          <w:color w:val="000000"/>
          <w:sz w:val="32"/>
          <w:szCs w:val="32"/>
        </w:rPr>
        <w:t>0.53</w:t>
      </w:r>
      <w:r>
        <w:rPr>
          <w:rFonts w:hint="eastAsia" w:ascii="仿宋_GB2312" w:eastAsia="仿宋_GB2312"/>
          <w:color w:val="000000"/>
          <w:sz w:val="32"/>
          <w:szCs w:val="32"/>
        </w:rPr>
        <w:t>万元，主要原因是接待省、州专项检查、节假日及日常检查。国内公务接待</w:t>
      </w:r>
      <w:r>
        <w:rPr>
          <w:rFonts w:ascii="仿宋_GB2312" w:eastAsia="仿宋_GB2312"/>
          <w:color w:val="000000"/>
          <w:sz w:val="32"/>
          <w:szCs w:val="32"/>
        </w:rPr>
        <w:t>6</w:t>
      </w:r>
      <w:r>
        <w:rPr>
          <w:rFonts w:hint="eastAsia" w:ascii="仿宋_GB2312" w:eastAsia="仿宋_GB2312"/>
          <w:color w:val="000000"/>
          <w:sz w:val="32"/>
          <w:szCs w:val="32"/>
        </w:rPr>
        <w:t>批次，</w:t>
      </w:r>
      <w:r>
        <w:rPr>
          <w:rFonts w:ascii="仿宋_GB2312" w:eastAsia="仿宋_GB2312"/>
          <w:color w:val="000000"/>
          <w:sz w:val="32"/>
          <w:szCs w:val="32"/>
        </w:rPr>
        <w:t>33</w:t>
      </w:r>
      <w:r>
        <w:rPr>
          <w:rFonts w:hint="eastAsia" w:ascii="仿宋_GB2312" w:eastAsia="仿宋_GB2312"/>
          <w:color w:val="000000"/>
          <w:sz w:val="32"/>
          <w:szCs w:val="32"/>
        </w:rPr>
        <w:t>人次，共计支出</w:t>
      </w:r>
      <w:r>
        <w:rPr>
          <w:rFonts w:ascii="仿宋_GB2312" w:eastAsia="仿宋_GB2312"/>
          <w:color w:val="000000"/>
          <w:sz w:val="32"/>
          <w:szCs w:val="32"/>
        </w:rPr>
        <w:t>0.53</w:t>
      </w:r>
      <w:r>
        <w:rPr>
          <w:rFonts w:hint="eastAsia" w:ascii="仿宋_GB2312" w:eastAsia="仿宋_GB2312"/>
          <w:color w:val="000000"/>
          <w:sz w:val="32"/>
          <w:szCs w:val="32"/>
        </w:rPr>
        <w:t>万元，具体内容包括：</w:t>
      </w:r>
      <w:r>
        <w:rPr>
          <w:rFonts w:hint="eastAsia" w:ascii="仿宋_GB2312" w:eastAsia="仿宋_GB2312" w:cs="Times New Roman"/>
          <w:vanish w:val="0"/>
          <w:color w:val="auto"/>
          <w:kern w:val="2"/>
          <w:sz w:val="32"/>
          <w:szCs w:val="32"/>
        </w:rPr>
        <w:t>开展个体私营经济协会调研指导工作1320元、抽检业务接洽工作960元、民营企业党建示范点创建工作调研720元、“法治讲党走基层”普法活动1200元、阿坝州定量包装和过渡包装抽检545元。</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外事接待支出0万元。</w:t>
      </w:r>
    </w:p>
    <w:p>
      <w:pPr>
        <w:spacing w:line="600" w:lineRule="exact"/>
        <w:ind w:firstLine="640"/>
        <w:outlineLvl w:val="1"/>
        <w:rPr>
          <w:rStyle w:val="24"/>
          <w:rFonts w:ascii="黑体" w:eastAsia="黑体"/>
        </w:rPr>
      </w:pPr>
      <w:bookmarkStart w:id="203" w:name="_Toc5539"/>
      <w:r>
        <w:rPr>
          <w:rFonts w:hint="eastAsia" w:ascii="黑体" w:eastAsia="黑体"/>
          <w:color w:val="000000"/>
          <w:sz w:val="32"/>
          <w:szCs w:val="32"/>
        </w:rPr>
        <w:t>八、</w:t>
      </w:r>
      <w:r>
        <w:rPr>
          <w:rStyle w:val="24"/>
          <w:rFonts w:hint="eastAsia" w:ascii="黑体" w:eastAsia="黑体"/>
          <w:b w:val="0"/>
        </w:rPr>
        <w:t>政府性基金预算支出决算情况说明</w:t>
      </w:r>
      <w:bookmarkEnd w:id="200"/>
      <w:bookmarkEnd w:id="201"/>
      <w:bookmarkEnd w:id="202"/>
      <w:bookmarkEnd w:id="20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4"/>
          <w:rFonts w:ascii="黑体" w:eastAsia="黑体"/>
          <w:b w:val="0"/>
        </w:rPr>
      </w:pPr>
      <w:bookmarkStart w:id="204" w:name="_Toc79163623"/>
      <w:bookmarkStart w:id="205" w:name="_Toc15396611"/>
      <w:bookmarkStart w:id="206" w:name="_Toc5673"/>
      <w:bookmarkStart w:id="207" w:name="_Toc15377219"/>
      <w:r>
        <w:rPr>
          <w:rStyle w:val="24"/>
          <w:rFonts w:hint="eastAsia" w:ascii="黑体" w:eastAsia="黑体"/>
          <w:b w:val="0"/>
        </w:rPr>
        <w:t>国有资本经营预算支出决算情况说明</w:t>
      </w:r>
      <w:bookmarkEnd w:id="204"/>
      <w:bookmarkEnd w:id="205"/>
      <w:bookmarkEnd w:id="206"/>
      <w:bookmarkEnd w:id="20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208" w:name="_Toc79163624"/>
      <w:bookmarkStart w:id="209" w:name="_Toc15377221"/>
      <w:bookmarkStart w:id="210" w:name="_Toc29990"/>
      <w:bookmarkStart w:id="211" w:name="_Toc15396612"/>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208"/>
      <w:bookmarkEnd w:id="209"/>
      <w:bookmarkEnd w:id="210"/>
      <w:bookmarkEnd w:id="211"/>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212" w:name="_Toc26993"/>
      <w:bookmarkStart w:id="213" w:name="_Toc15377222"/>
      <w:bookmarkStart w:id="214" w:name="_Toc79163625"/>
      <w:r>
        <w:rPr>
          <w:rFonts w:hint="eastAsia" w:ascii="仿宋" w:eastAsia="仿宋"/>
          <w:b/>
          <w:color w:val="000000"/>
          <w:sz w:val="32"/>
          <w:szCs w:val="32"/>
        </w:rPr>
        <w:t>（一）机关运行经费支出情况</w:t>
      </w:r>
      <w:bookmarkEnd w:id="212"/>
      <w:bookmarkEnd w:id="213"/>
      <w:bookmarkEnd w:id="21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年，茂县市场监督管理局机关运行经费支出</w:t>
      </w:r>
      <w:r>
        <w:rPr>
          <w:rFonts w:ascii="仿宋_GB2312" w:eastAsia="仿宋_GB2312"/>
          <w:color w:val="000000"/>
          <w:sz w:val="32"/>
          <w:szCs w:val="32"/>
        </w:rPr>
        <w:t>30.4</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11.71</w:t>
      </w:r>
      <w:r>
        <w:rPr>
          <w:rFonts w:hint="eastAsia" w:ascii="仿宋_GB2312" w:eastAsia="仿宋_GB2312"/>
          <w:color w:val="000000"/>
          <w:sz w:val="32"/>
          <w:szCs w:val="32"/>
        </w:rPr>
        <w:t>万元，下降</w:t>
      </w:r>
      <w:r>
        <w:rPr>
          <w:rFonts w:ascii="仿宋_GB2312" w:eastAsia="仿宋_GB2312"/>
          <w:color w:val="000000"/>
          <w:sz w:val="32"/>
          <w:szCs w:val="32"/>
        </w:rPr>
        <w:t>27.81%</w:t>
      </w:r>
      <w:r>
        <w:rPr>
          <w:rFonts w:hint="eastAsia" w:ascii="仿宋_GB2312" w:eastAsia="仿宋_GB2312"/>
          <w:color w:val="000000"/>
          <w:sz w:val="32"/>
          <w:szCs w:val="32"/>
        </w:rPr>
        <w:t>。主要原因是：一是人员减少，机构运行经费减少；二是</w:t>
      </w:r>
      <w:r>
        <w:rPr>
          <w:rFonts w:ascii="仿宋_GB2312" w:eastAsia="仿宋_GB2312"/>
          <w:color w:val="000000"/>
          <w:sz w:val="32"/>
          <w:szCs w:val="32"/>
        </w:rPr>
        <w:t>严格执行经费压减政策</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15" w:name="_Toc0"/>
      <w:bookmarkStart w:id="216" w:name="_Toc26204"/>
      <w:bookmarkStart w:id="217" w:name="_Toc79163626"/>
      <w:bookmarkStart w:id="218" w:name="_Toc15377223"/>
      <w:r>
        <w:rPr>
          <w:rFonts w:hint="eastAsia" w:ascii="仿宋" w:eastAsia="仿宋"/>
          <w:b/>
          <w:color w:val="000000"/>
          <w:sz w:val="32"/>
          <w:szCs w:val="32"/>
        </w:rPr>
        <w:t>（二）政府采购支出情况</w:t>
      </w:r>
      <w:bookmarkEnd w:id="215"/>
      <w:bookmarkEnd w:id="216"/>
      <w:bookmarkEnd w:id="217"/>
      <w:bookmarkEnd w:id="21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年，茂县市场监督管理局政府采购支出总额</w:t>
      </w:r>
      <w:r>
        <w:rPr>
          <w:rFonts w:ascii="仿宋_GB2312" w:eastAsia="仿宋_GB2312"/>
          <w:color w:val="000000"/>
          <w:sz w:val="32"/>
          <w:szCs w:val="32"/>
        </w:rPr>
        <w:t>192.25</w:t>
      </w:r>
      <w:r>
        <w:rPr>
          <w:rFonts w:hint="eastAsia" w:ascii="仿宋_GB2312" w:eastAsia="仿宋_GB2312"/>
          <w:color w:val="000000"/>
          <w:sz w:val="32"/>
          <w:szCs w:val="32"/>
        </w:rPr>
        <w:t>万元，其中：政府采购货物支出</w:t>
      </w:r>
      <w:r>
        <w:rPr>
          <w:rFonts w:ascii="仿宋_GB2312" w:eastAsia="仿宋_GB2312"/>
          <w:color w:val="000000"/>
          <w:sz w:val="32"/>
          <w:szCs w:val="32"/>
        </w:rPr>
        <w:t>22.12</w:t>
      </w:r>
      <w:r>
        <w:rPr>
          <w:rFonts w:hint="eastAsia" w:ascii="仿宋_GB2312" w:eastAsia="仿宋_GB2312"/>
          <w:color w:val="000000"/>
          <w:sz w:val="32"/>
          <w:szCs w:val="32"/>
        </w:rPr>
        <w:t>万元、政府采购工程支出0万元、政府采购服务支出</w:t>
      </w:r>
      <w:r>
        <w:rPr>
          <w:rFonts w:ascii="仿宋_GB2312" w:eastAsia="仿宋_GB2312"/>
          <w:color w:val="000000"/>
          <w:sz w:val="32"/>
          <w:szCs w:val="32"/>
        </w:rPr>
        <w:t>170.13</w:t>
      </w:r>
      <w:r>
        <w:rPr>
          <w:rFonts w:hint="eastAsia" w:ascii="仿宋_GB2312" w:eastAsia="仿宋_GB2312"/>
          <w:color w:val="000000"/>
          <w:sz w:val="32"/>
          <w:szCs w:val="32"/>
        </w:rPr>
        <w:t>万元。主要用于</w:t>
      </w:r>
      <w:r>
        <w:rPr>
          <w:rFonts w:ascii="仿宋_GB2312" w:eastAsia="仿宋_GB2312"/>
          <w:color w:val="000000"/>
          <w:sz w:val="32"/>
          <w:szCs w:val="32"/>
        </w:rPr>
        <w:t>：食品抽检服务、知识产权申报、执法制服采购等支出</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19" w:name="_Toc11379"/>
      <w:bookmarkStart w:id="220" w:name="_Toc79163627"/>
      <w:bookmarkStart w:id="221" w:name="_Toc11371"/>
      <w:bookmarkStart w:id="222" w:name="_Toc15377224"/>
      <w:r>
        <w:rPr>
          <w:rFonts w:hint="eastAsia" w:ascii="仿宋" w:eastAsia="仿宋"/>
          <w:b/>
          <w:color w:val="000000"/>
          <w:sz w:val="32"/>
          <w:szCs w:val="32"/>
        </w:rPr>
        <w:t>（三）国有资产占有使用情况</w:t>
      </w:r>
      <w:bookmarkEnd w:id="219"/>
      <w:bookmarkEnd w:id="220"/>
      <w:bookmarkEnd w:id="221"/>
      <w:bookmarkEnd w:id="22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2021年12月31</w:t>
      </w:r>
      <w:r>
        <w:rPr>
          <w:rFonts w:hint="eastAsia" w:ascii="仿宋_GB2312" w:eastAsia="仿宋_GB2312"/>
          <w:color w:val="000000"/>
          <w:sz w:val="32"/>
          <w:szCs w:val="32"/>
        </w:rPr>
        <w:t>日，我局共有车辆12辆，其中：主要领导干部用车0辆、机要通信用车0辆、应急保障用车0辆、执法执勤车辆7</w:t>
      </w:r>
      <w:r>
        <w:rPr>
          <w:rFonts w:hint="eastAsia" w:ascii="仿宋_GB2312" w:eastAsia="仿宋_GB2312"/>
          <w:color w:val="000000"/>
          <w:sz w:val="32"/>
          <w:szCs w:val="32"/>
          <w:lang w:eastAsia="zh-CN"/>
        </w:rPr>
        <w:t>辆</w:t>
      </w:r>
      <w:r>
        <w:rPr>
          <w:rFonts w:hint="eastAsia" w:ascii="仿宋_GB2312" w:eastAsia="仿宋_GB2312"/>
          <w:color w:val="000000"/>
          <w:sz w:val="32"/>
          <w:szCs w:val="32"/>
        </w:rPr>
        <w:t>，其他用车5辆。其他用车主要是用于市场监督检查的电瓶车。单价</w:t>
      </w:r>
      <w:r>
        <w:rPr>
          <w:rFonts w:ascii="仿宋_GB2312" w:eastAsia="仿宋_GB2312"/>
          <w:color w:val="000000"/>
          <w:sz w:val="32"/>
          <w:szCs w:val="32"/>
        </w:rPr>
        <w:t>50</w:t>
      </w:r>
      <w:r>
        <w:rPr>
          <w:rFonts w:hint="eastAsia" w:ascii="仿宋_GB2312" w:eastAsia="仿宋_GB2312"/>
          <w:color w:val="000000"/>
          <w:sz w:val="32"/>
          <w:szCs w:val="32"/>
        </w:rPr>
        <w:t>万元以上通用设备1台，单价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23" w:name="_Toc79163628"/>
      <w:bookmarkStart w:id="224" w:name="_Toc14182"/>
      <w:bookmarkStart w:id="225" w:name="_Toc22088"/>
      <w:r>
        <w:rPr>
          <w:rFonts w:hint="eastAsia" w:ascii="仿宋" w:eastAsia="仿宋"/>
          <w:b/>
          <w:color w:val="000000"/>
          <w:sz w:val="32"/>
          <w:szCs w:val="32"/>
        </w:rPr>
        <w:t>（四）预算绩效管理情况。</w:t>
      </w:r>
      <w:bookmarkEnd w:id="223"/>
      <w:bookmarkEnd w:id="224"/>
      <w:bookmarkEnd w:id="225"/>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根据预算绩效管理要求，市场监管局在年初预算编制阶段，组织对</w:t>
      </w:r>
      <w:r>
        <w:rPr>
          <w:rFonts w:ascii="仿宋_GB2312" w:eastAsia="仿宋_GB2312"/>
          <w:color w:val="000000"/>
          <w:sz w:val="32"/>
          <w:szCs w:val="32"/>
        </w:rPr>
        <w:t>5个项目</w:t>
      </w:r>
      <w:r>
        <w:rPr>
          <w:rFonts w:hint="eastAsia" w:ascii="仿宋_GB2312" w:eastAsia="仿宋_GB2312"/>
          <w:color w:val="000000"/>
          <w:sz w:val="32"/>
          <w:szCs w:val="32"/>
        </w:rPr>
        <w:t>开展了预算事前绩效评估，对</w:t>
      </w:r>
      <w:r>
        <w:rPr>
          <w:rFonts w:ascii="仿宋_GB2312" w:eastAsia="仿宋_GB2312"/>
          <w:color w:val="000000"/>
          <w:sz w:val="32"/>
          <w:szCs w:val="32"/>
        </w:rPr>
        <w:t>5</w:t>
      </w:r>
      <w:r>
        <w:rPr>
          <w:rFonts w:hint="eastAsia" w:ascii="仿宋_GB2312" w:eastAsia="仿宋_GB2312"/>
          <w:color w:val="000000"/>
          <w:sz w:val="32"/>
          <w:szCs w:val="32"/>
        </w:rPr>
        <w:t>个项目编制了绩效目标，预算执行过程中，</w:t>
      </w:r>
      <w:r>
        <w:rPr>
          <w:rFonts w:ascii="仿宋_GB2312" w:eastAsia="仿宋_GB2312"/>
          <w:color w:val="000000"/>
          <w:sz w:val="32"/>
          <w:szCs w:val="32"/>
        </w:rPr>
        <w:t>对所有</w:t>
      </w:r>
      <w:r>
        <w:rPr>
          <w:rFonts w:hint="eastAsia" w:ascii="仿宋_GB2312" w:eastAsia="仿宋_GB2312"/>
          <w:color w:val="000000"/>
          <w:sz w:val="32"/>
          <w:szCs w:val="32"/>
        </w:rPr>
        <w:t>项目开展绩效监控，年终执行完毕后，对</w:t>
      </w:r>
      <w:r>
        <w:rPr>
          <w:rFonts w:ascii="仿宋_GB2312" w:eastAsia="仿宋_GB2312"/>
          <w:color w:val="000000"/>
          <w:sz w:val="32"/>
          <w:szCs w:val="32"/>
        </w:rPr>
        <w:t>5</w:t>
      </w:r>
      <w:r>
        <w:rPr>
          <w:rFonts w:hint="eastAsia" w:ascii="仿宋_GB2312" w:eastAsia="仿宋_GB2312"/>
          <w:color w:val="000000"/>
          <w:sz w:val="32"/>
          <w:szCs w:val="32"/>
        </w:rPr>
        <w:t>个</w:t>
      </w:r>
      <w:r>
        <w:rPr>
          <w:rFonts w:ascii="仿宋_GB2312" w:eastAsia="仿宋_GB2312"/>
          <w:color w:val="000000"/>
          <w:sz w:val="32"/>
          <w:szCs w:val="32"/>
        </w:rPr>
        <w:t>大</w:t>
      </w:r>
      <w:r>
        <w:rPr>
          <w:rFonts w:hint="eastAsia" w:ascii="仿宋_GB2312" w:eastAsia="仿宋_GB2312"/>
          <w:color w:val="000000"/>
          <w:sz w:val="32"/>
          <w:szCs w:val="32"/>
        </w:rPr>
        <w:t>项目开展了绩效目标完成情况梳理填报。</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我局按要求对</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年部门整体支出开展绩效自评，从评价情况来整体运行情况良好，全年的基本支出保证了部门的正常运转和日常工作。本部门还自行组织了</w:t>
      </w:r>
      <w:r>
        <w:rPr>
          <w:rFonts w:ascii="仿宋_GB2312" w:eastAsia="仿宋_GB2312"/>
          <w:color w:val="000000"/>
          <w:sz w:val="32"/>
          <w:szCs w:val="32"/>
        </w:rPr>
        <w:t>5</w:t>
      </w:r>
      <w:r>
        <w:rPr>
          <w:rFonts w:hint="eastAsia" w:ascii="仿宋_GB2312" w:eastAsia="仿宋_GB2312"/>
          <w:color w:val="000000"/>
          <w:sz w:val="32"/>
          <w:szCs w:val="32"/>
        </w:rPr>
        <w:t>个项目绩效评价，从评价情况来看项经费保障了重点工作开展，绩效目标得到了较好的实现，绩效管理水平不断提高。</w:t>
      </w:r>
    </w:p>
    <w:p>
      <w:pPr>
        <w:spacing w:line="594"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1.项目绩效目标完成情况。</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本部门在202</w:t>
      </w:r>
      <w:r>
        <w:rPr>
          <w:rFonts w:ascii="仿宋_GB2312" w:eastAsia="仿宋_GB2312"/>
          <w:color w:val="000000"/>
          <w:sz w:val="32"/>
          <w:szCs w:val="32"/>
        </w:rPr>
        <w:t>1</w:t>
      </w:r>
      <w:r>
        <w:rPr>
          <w:rFonts w:hint="eastAsia" w:ascii="仿宋_GB2312" w:eastAsia="仿宋_GB2312"/>
          <w:color w:val="000000"/>
          <w:sz w:val="32"/>
          <w:szCs w:val="32"/>
        </w:rPr>
        <w:t>年度部门决算中反映“202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 202</w:t>
      </w:r>
      <w:r>
        <w:rPr>
          <w:rFonts w:ascii="仿宋_GB2312" w:eastAsia="仿宋_GB2312"/>
          <w:color w:val="000000"/>
          <w:sz w:val="32"/>
          <w:szCs w:val="32"/>
        </w:rPr>
        <w:t>1</w:t>
      </w:r>
      <w:r>
        <w:rPr>
          <w:rFonts w:hint="eastAsia" w:ascii="仿宋_GB2312" w:eastAsia="仿宋_GB2312"/>
          <w:color w:val="000000"/>
          <w:sz w:val="32"/>
          <w:szCs w:val="32"/>
        </w:rPr>
        <w:t>年食品检测项目”、“2021年茂县味道”、“2021年省级专</w:t>
      </w:r>
      <w:r>
        <w:rPr>
          <w:rFonts w:ascii="仿宋_GB2312" w:eastAsia="仿宋_GB2312"/>
          <w:color w:val="000000"/>
          <w:sz w:val="32"/>
          <w:szCs w:val="32"/>
        </w:rPr>
        <w:t>项奖金</w:t>
      </w:r>
      <w:r>
        <w:rPr>
          <w:rFonts w:hint="eastAsia" w:ascii="仿宋_GB2312" w:eastAsia="仿宋_GB2312"/>
          <w:color w:val="000000"/>
          <w:sz w:val="32"/>
          <w:szCs w:val="32"/>
        </w:rPr>
        <w:t>”等</w:t>
      </w:r>
      <w:r>
        <w:rPr>
          <w:rFonts w:ascii="仿宋_GB2312" w:eastAsia="仿宋_GB2312"/>
          <w:color w:val="000000"/>
          <w:sz w:val="32"/>
          <w:szCs w:val="32"/>
        </w:rPr>
        <w:t>5</w:t>
      </w:r>
      <w:r>
        <w:rPr>
          <w:rFonts w:hint="eastAsia" w:ascii="仿宋_GB2312" w:eastAsia="仿宋_GB2312"/>
          <w:color w:val="000000"/>
          <w:sz w:val="32"/>
          <w:szCs w:val="32"/>
        </w:rPr>
        <w:t>个项目绩效目标实际完成情况。</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年中央药品监管补助资金项目绩效目标完成情况综述。项目全年预算数</w:t>
      </w:r>
      <w:r>
        <w:rPr>
          <w:rFonts w:ascii="仿宋_GB2312" w:eastAsia="仿宋_GB2312"/>
          <w:color w:val="000000"/>
          <w:sz w:val="32"/>
          <w:szCs w:val="32"/>
        </w:rPr>
        <w:t>11.9</w:t>
      </w:r>
      <w:r>
        <w:rPr>
          <w:rFonts w:hint="eastAsia" w:ascii="仿宋_GB2312" w:eastAsia="仿宋_GB2312"/>
          <w:color w:val="000000"/>
          <w:sz w:val="32"/>
          <w:szCs w:val="32"/>
        </w:rPr>
        <w:t>万元，执行数为</w:t>
      </w:r>
      <w:r>
        <w:rPr>
          <w:rFonts w:ascii="仿宋_GB2312" w:eastAsia="仿宋_GB2312"/>
          <w:color w:val="000000"/>
          <w:sz w:val="32"/>
          <w:szCs w:val="32"/>
        </w:rPr>
        <w:t>11.9</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%。通过项目实施，强化日常监管和专项整治执力度，加大对制售假冒伪劣药品违法犯罪活动的力度，进一步规范药品经营使用秩序。</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年中央食品监管补助资金项目绩效目标完成情况综述。项目全年预算数</w:t>
      </w:r>
      <w:r>
        <w:rPr>
          <w:rFonts w:ascii="仿宋_GB2312" w:eastAsia="仿宋_GB2312"/>
          <w:color w:val="000000"/>
          <w:sz w:val="32"/>
          <w:szCs w:val="32"/>
        </w:rPr>
        <w:t>3.5</w:t>
      </w:r>
      <w:r>
        <w:rPr>
          <w:rFonts w:hint="eastAsia" w:ascii="仿宋_GB2312" w:eastAsia="仿宋_GB2312"/>
          <w:color w:val="000000"/>
          <w:sz w:val="32"/>
          <w:szCs w:val="32"/>
        </w:rPr>
        <w:t>万元，执行数为</w:t>
      </w:r>
      <w:r>
        <w:rPr>
          <w:rFonts w:ascii="仿宋_GB2312" w:eastAsia="仿宋_GB2312"/>
          <w:color w:val="000000"/>
          <w:sz w:val="32"/>
          <w:szCs w:val="32"/>
        </w:rPr>
        <w:t>3.37</w:t>
      </w:r>
      <w:r>
        <w:rPr>
          <w:rFonts w:hint="eastAsia" w:ascii="仿宋_GB2312" w:eastAsia="仿宋_GB2312"/>
          <w:color w:val="000000"/>
          <w:sz w:val="32"/>
          <w:szCs w:val="32"/>
        </w:rPr>
        <w:t>万元，完成预算的</w:t>
      </w:r>
      <w:r>
        <w:rPr>
          <w:rFonts w:ascii="仿宋_GB2312" w:eastAsia="仿宋_GB2312"/>
          <w:color w:val="000000"/>
          <w:sz w:val="32"/>
          <w:szCs w:val="32"/>
        </w:rPr>
        <w:t>96.29</w:t>
      </w:r>
      <w:r>
        <w:rPr>
          <w:rFonts w:hint="eastAsia" w:ascii="仿宋_GB2312" w:eastAsia="仿宋_GB2312"/>
          <w:color w:val="000000"/>
          <w:sz w:val="32"/>
          <w:szCs w:val="32"/>
        </w:rPr>
        <w:t>%。通过项目实施：1、提高食品风险隐患排查力度；2、强化食品抽查监督工作力度；3加强大案要案的查办力度；4、提高培训对象对培训工作满意度。</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（3）202</w:t>
      </w:r>
      <w:r>
        <w:rPr>
          <w:rFonts w:ascii="仿宋_GB2312" w:eastAsia="仿宋_GB2312"/>
          <w:color w:val="000000"/>
          <w:sz w:val="32"/>
          <w:szCs w:val="32"/>
        </w:rPr>
        <w:t>1</w:t>
      </w:r>
      <w:r>
        <w:rPr>
          <w:rFonts w:hint="eastAsia" w:ascii="仿宋_GB2312" w:eastAsia="仿宋_GB2312"/>
          <w:color w:val="000000"/>
          <w:sz w:val="32"/>
          <w:szCs w:val="32"/>
        </w:rPr>
        <w:t>年食品检测项目绩效目标完成情况综述。项目全年预算数</w:t>
      </w:r>
      <w:r>
        <w:rPr>
          <w:rFonts w:ascii="仿宋_GB2312" w:eastAsia="仿宋_GB2312"/>
          <w:color w:val="000000"/>
          <w:sz w:val="32"/>
          <w:szCs w:val="32"/>
        </w:rPr>
        <w:t>53.1</w:t>
      </w:r>
      <w:r>
        <w:rPr>
          <w:rFonts w:hint="eastAsia" w:ascii="仿宋_GB2312" w:eastAsia="仿宋_GB2312"/>
          <w:color w:val="000000"/>
          <w:sz w:val="32"/>
          <w:szCs w:val="32"/>
        </w:rPr>
        <w:t>万元，执行数为</w:t>
      </w:r>
      <w:r>
        <w:rPr>
          <w:rFonts w:ascii="仿宋_GB2312" w:eastAsia="仿宋_GB2312"/>
          <w:color w:val="000000"/>
          <w:sz w:val="32"/>
          <w:szCs w:val="32"/>
        </w:rPr>
        <w:t>53.1</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%。通过项目实施，提升食品监管、抽样水平，推动了全县食品安全、重大活动安全工作开展，保证我县食品监管的水平和食品安全。</w:t>
      </w:r>
    </w:p>
    <w:p>
      <w:pPr>
        <w:spacing w:line="594" w:lineRule="exact"/>
        <w:ind w:firstLine="640" w:firstLineChars="200"/>
        <w:rPr>
          <w:rFonts w:ascii="Times New Roman" w:hAnsi="Times New Roman" w:eastAsia="仿宋_GB2312" w:cs="Times New Roman"/>
          <w:sz w:val="32"/>
          <w:szCs w:val="32"/>
          <w:lang w:val="zh-CN"/>
        </w:rPr>
      </w:pPr>
      <w:r>
        <w:rPr>
          <w:rFonts w:hint="eastAsia" w:ascii="仿宋_GB2312" w:eastAsia="仿宋_GB2312"/>
          <w:color w:val="000000"/>
          <w:sz w:val="32"/>
          <w:szCs w:val="32"/>
        </w:rPr>
        <w:t>（4）202</w:t>
      </w:r>
      <w:r>
        <w:rPr>
          <w:rFonts w:ascii="仿宋_GB2312" w:eastAsia="仿宋_GB2312"/>
          <w:color w:val="000000"/>
          <w:sz w:val="32"/>
          <w:szCs w:val="32"/>
        </w:rPr>
        <w:t>1</w:t>
      </w:r>
      <w:r>
        <w:rPr>
          <w:rFonts w:hint="eastAsia" w:ascii="仿宋_GB2312" w:eastAsia="仿宋_GB2312"/>
          <w:color w:val="000000"/>
          <w:sz w:val="32"/>
          <w:szCs w:val="32"/>
        </w:rPr>
        <w:t>年</w:t>
      </w:r>
      <w:r>
        <w:rPr>
          <w:rFonts w:ascii="仿宋_GB2312" w:eastAsia="仿宋_GB2312"/>
          <w:color w:val="000000"/>
          <w:sz w:val="32"/>
          <w:szCs w:val="32"/>
        </w:rPr>
        <w:t>茂县味道项目绩效完成情况综述。</w:t>
      </w:r>
      <w:r>
        <w:rPr>
          <w:rFonts w:hint="eastAsia" w:ascii="仿宋_GB2312" w:eastAsia="仿宋_GB2312"/>
          <w:color w:val="000000"/>
          <w:sz w:val="32"/>
          <w:szCs w:val="32"/>
        </w:rPr>
        <w:t>项目全年预算数</w:t>
      </w:r>
      <w:r>
        <w:rPr>
          <w:rFonts w:ascii="仿宋_GB2312" w:eastAsia="仿宋_GB2312"/>
          <w:color w:val="000000"/>
          <w:sz w:val="32"/>
          <w:szCs w:val="32"/>
        </w:rPr>
        <w:t>89.24</w:t>
      </w:r>
      <w:r>
        <w:rPr>
          <w:rFonts w:hint="eastAsia" w:ascii="仿宋_GB2312" w:eastAsia="仿宋_GB2312"/>
          <w:color w:val="000000"/>
          <w:sz w:val="32"/>
          <w:szCs w:val="32"/>
        </w:rPr>
        <w:t>万元，执行数</w:t>
      </w:r>
      <w:r>
        <w:rPr>
          <w:rFonts w:ascii="仿宋_GB2312" w:eastAsia="仿宋_GB2312"/>
          <w:color w:val="000000"/>
          <w:sz w:val="32"/>
          <w:szCs w:val="32"/>
        </w:rPr>
        <w:t>89.24</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 xml:space="preserve"> 通过项目实施：</w:t>
      </w:r>
      <w:r>
        <w:rPr>
          <w:rFonts w:ascii="仿宋_GB2312" w:eastAsia="仿宋_GB2312"/>
          <w:color w:val="000000"/>
          <w:sz w:val="32"/>
          <w:szCs w:val="32"/>
        </w:rPr>
        <w:t>1.</w:t>
      </w:r>
      <w:r>
        <w:rPr>
          <w:rFonts w:ascii="Times New Roman" w:hAnsi="Times New Roman" w:eastAsia="仿宋_GB2312" w:cs="Times New Roman"/>
          <w:sz w:val="32"/>
          <w:szCs w:val="32"/>
          <w:lang w:val="zh-CN"/>
        </w:rPr>
        <w:t>扩大区域品牌的影响力，持续推动县域经济高质量发展。2.扩大茂县特色产品的市场竞争力，助力乡村振兴。</w:t>
      </w:r>
    </w:p>
    <w:p>
      <w:pPr>
        <w:adjustRightInd w:val="0"/>
        <w:snapToGrid w:val="0"/>
        <w:spacing w:line="600" w:lineRule="exact"/>
        <w:ind w:firstLine="640" w:firstLineChars="200"/>
        <w:rPr>
          <w:rFonts w:ascii="仿宋_GB2312" w:eastAsia="仿宋_GB2312" w:cs="Times New Roman"/>
          <w:b w:val="0"/>
          <w:bCs w:val="0"/>
          <w:i w:val="0"/>
          <w:caps w:val="0"/>
          <w:smallCaps w:val="0"/>
          <w:color w:val="auto"/>
          <w:spacing w:val="0"/>
          <w:w w:val="100"/>
          <w:kern w:val="2"/>
          <w:sz w:val="32"/>
          <w:szCs w:val="32"/>
          <w:lang w:val="en-US" w:eastAsia="zh-CN" w:bidi="ar-SA"/>
        </w:rPr>
      </w:pPr>
      <w:r>
        <w:rPr>
          <w:rFonts w:ascii="Times New Roman" w:hAnsi="Times New Roman" w:eastAsia="仿宋_GB2312" w:cs="Times New Roman"/>
          <w:sz w:val="32"/>
          <w:szCs w:val="32"/>
          <w:lang w:val="zh-CN"/>
        </w:rPr>
        <w:t>（5）2021年省级专项资金项目绩效完成情况综述。项目全年预算数62.00万元，执行数61.24万元，完成预算98.77%。通过项目实施：</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一是市场监管方面提高消费者自我保护、维权意识，改善消费环境；二是质量抽查与检验方面，产品质量安全问题不断减少，安全风险不断降低；三是基础建设和能力提升方面，检验检测能力得到了稳步提升；四是促进化妆品产业健康发展，提供了强有力的技术支撑；五是知识产权方面，推进知识产权高质量发展，全面提升知识产权公共服务能力，知识产权保护力度得到加强</w:t>
      </w:r>
      <w:r>
        <w:rPr>
          <w:rFonts w:ascii="仿宋_GB2312" w:eastAsia="仿宋_GB2312" w:cs="Times New Roman"/>
          <w:b w:val="0"/>
          <w:bCs w:val="0"/>
          <w:i w:val="0"/>
          <w:caps w:val="0"/>
          <w:smallCaps w:val="0"/>
          <w:color w:val="auto"/>
          <w:spacing w:val="0"/>
          <w:w w:val="100"/>
          <w:kern w:val="2"/>
          <w:sz w:val="32"/>
          <w:szCs w:val="32"/>
          <w:lang w:val="en-US" w:eastAsia="zh-CN" w:bidi="ar-SA"/>
        </w:rPr>
        <w:t>。</w:t>
      </w:r>
    </w:p>
    <w:p>
      <w:pPr>
        <w:spacing w:line="576" w:lineRule="exact"/>
        <w:ind w:firstLine="640" w:firstLineChars="200"/>
        <w:rPr>
          <w:rFonts w:ascii="仿宋_GB2312" w:eastAsia="仿宋_GB2312"/>
          <w:color w:val="FF0000"/>
          <w:sz w:val="32"/>
          <w:szCs w:val="32"/>
        </w:rPr>
      </w:pPr>
    </w:p>
    <w:p>
      <w:pPr>
        <w:spacing w:line="576" w:lineRule="exact"/>
        <w:ind w:firstLine="640" w:firstLineChars="200"/>
        <w:rPr>
          <w:rFonts w:ascii="仿宋_GB2312" w:eastAsia="仿宋_GB2312"/>
          <w:color w:val="FF0000"/>
          <w:sz w:val="32"/>
          <w:szCs w:val="32"/>
        </w:rPr>
      </w:pPr>
    </w:p>
    <w:p>
      <w:pPr>
        <w:spacing w:line="576" w:lineRule="exact"/>
        <w:ind w:firstLine="640" w:firstLineChars="200"/>
        <w:rPr>
          <w:rFonts w:ascii="仿宋_GB2312" w:eastAsia="仿宋_GB2312"/>
          <w:color w:val="FF0000"/>
          <w:sz w:val="32"/>
          <w:szCs w:val="32"/>
        </w:rPr>
      </w:pPr>
    </w:p>
    <w:p>
      <w:pPr>
        <w:spacing w:line="576" w:lineRule="exact"/>
        <w:ind w:firstLine="640" w:firstLineChars="200"/>
        <w:rPr>
          <w:rFonts w:ascii="仿宋_GB2312" w:eastAsia="仿宋_GB2312"/>
          <w:color w:val="FF0000"/>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628"/>
        <w:gridCol w:w="2976"/>
        <w:gridCol w:w="993"/>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年中央药品监管补助资金项目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8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6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8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强化日常监管和专项整治执力度，加大对制售假冒伪劣药品违法犯罪活动的力度，进一步规范药品经营使用秩序。</w:t>
            </w:r>
          </w:p>
        </w:tc>
        <w:tc>
          <w:tcPr>
            <w:tcW w:w="6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强化了日常监管和专项整治执力度，加大对制售假冒伪劣药品违法犯罪活动的力度，进一步规范了药品经营使用秩序。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1、药品监管企业数；2、化妆品监管企业数；3、医疗器械监管企业数；4、药品监管人员人员均培训学时；5、药物滥用常规监测任务数</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w:t>
            </w:r>
            <w:r>
              <w:rPr>
                <w:rFonts w:ascii="宋体" w:cs="宋体"/>
                <w:color w:val="000000"/>
                <w:sz w:val="15"/>
                <w:szCs w:val="15"/>
              </w:rPr>
              <w:t>48</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2、化妆品监管企业数≥</w:t>
            </w:r>
            <w:r>
              <w:rPr>
                <w:rFonts w:ascii="宋体" w:cs="宋体"/>
                <w:color w:val="000000"/>
                <w:sz w:val="15"/>
                <w:szCs w:val="15"/>
              </w:rPr>
              <w:t>40</w:t>
            </w:r>
            <w:r>
              <w:rPr>
                <w:rFonts w:hint="eastAsia" w:ascii="宋体" w:cs="宋体"/>
                <w:color w:val="000000"/>
                <w:sz w:val="15"/>
                <w:szCs w:val="15"/>
              </w:rPr>
              <w:t>家；</w:t>
            </w:r>
          </w:p>
          <w:p>
            <w:pPr>
              <w:widowControl/>
              <w:ind w:left="75" w:hanging="75" w:hangingChars="50"/>
              <w:textAlignment w:val="center"/>
              <w:rPr>
                <w:rFonts w:ascii="宋体" w:cs="宋体"/>
                <w:color w:val="000000"/>
                <w:sz w:val="15"/>
                <w:szCs w:val="15"/>
              </w:rPr>
            </w:pPr>
            <w:r>
              <w:rPr>
                <w:rFonts w:hint="eastAsia" w:ascii="宋体" w:cs="宋体"/>
                <w:color w:val="000000"/>
                <w:sz w:val="15"/>
                <w:szCs w:val="15"/>
              </w:rPr>
              <w:t>3、医疗器械监管企业数≥</w:t>
            </w:r>
            <w:r>
              <w:rPr>
                <w:rFonts w:ascii="宋体" w:cs="宋体"/>
                <w:color w:val="000000"/>
                <w:sz w:val="15"/>
                <w:szCs w:val="15"/>
              </w:rPr>
              <w:t>20</w:t>
            </w:r>
            <w:r>
              <w:rPr>
                <w:rFonts w:hint="eastAsia" w:ascii="宋体" w:cs="宋体"/>
                <w:color w:val="000000"/>
                <w:sz w:val="15"/>
                <w:szCs w:val="15"/>
              </w:rPr>
              <w:t>家；</w:t>
            </w:r>
            <w:r>
              <w:rPr>
                <w:rFonts w:ascii="宋体" w:cs="宋体"/>
                <w:color w:val="000000"/>
                <w:sz w:val="15"/>
                <w:szCs w:val="15"/>
              </w:rPr>
              <w:t xml:space="preserve">            </w:t>
            </w:r>
            <w:r>
              <w:rPr>
                <w:rFonts w:hint="eastAsia" w:ascii="宋体" w:cs="宋体"/>
                <w:color w:val="000000"/>
                <w:sz w:val="15"/>
                <w:szCs w:val="15"/>
              </w:rPr>
              <w:t>4、药品监管人员人员均培训学时≥</w:t>
            </w:r>
            <w:r>
              <w:rPr>
                <w:rFonts w:ascii="宋体" w:cs="宋体"/>
                <w:color w:val="000000"/>
                <w:sz w:val="15"/>
                <w:szCs w:val="15"/>
              </w:rPr>
              <w:t>50</w:t>
            </w:r>
            <w:r>
              <w:rPr>
                <w:rFonts w:hint="eastAsia" w:ascii="宋体" w:cs="宋体"/>
                <w:color w:val="000000"/>
                <w:sz w:val="15"/>
                <w:szCs w:val="15"/>
              </w:rPr>
              <w:t>学时；</w:t>
            </w:r>
          </w:p>
          <w:p>
            <w:pPr>
              <w:widowControl/>
              <w:textAlignment w:val="center"/>
              <w:rPr>
                <w:rFonts w:ascii="宋体" w:cs="宋体"/>
                <w:color w:val="000000"/>
                <w:sz w:val="15"/>
                <w:szCs w:val="15"/>
              </w:rPr>
            </w:pPr>
            <w:r>
              <w:rPr>
                <w:rFonts w:hint="eastAsia" w:ascii="宋体" w:cs="宋体"/>
                <w:color w:val="000000"/>
                <w:sz w:val="15"/>
                <w:szCs w:val="15"/>
              </w:rPr>
              <w:t>5、药物滥用常规监测任务数≥</w:t>
            </w:r>
            <w:r>
              <w:rPr>
                <w:rFonts w:ascii="宋体" w:cs="宋体"/>
                <w:color w:val="000000"/>
                <w:sz w:val="15"/>
                <w:szCs w:val="15"/>
              </w:rPr>
              <w:t>10</w:t>
            </w:r>
            <w:r>
              <w:rPr>
                <w:rFonts w:hint="eastAsia" w:ascii="宋体" w:cs="宋体"/>
                <w:color w:val="000000"/>
                <w:sz w:val="15"/>
                <w:szCs w:val="15"/>
              </w:rPr>
              <w:t>份</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w:t>
            </w:r>
            <w:r>
              <w:rPr>
                <w:rFonts w:ascii="宋体" w:cs="宋体"/>
                <w:color w:val="000000"/>
                <w:sz w:val="15"/>
                <w:szCs w:val="15"/>
              </w:rPr>
              <w:t>71</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2、化妆品监管企业数</w:t>
            </w:r>
            <w:r>
              <w:rPr>
                <w:rFonts w:ascii="宋体" w:cs="宋体"/>
                <w:color w:val="000000"/>
                <w:sz w:val="15"/>
                <w:szCs w:val="15"/>
              </w:rPr>
              <w:t>40</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3、医疗器械监管企业数</w:t>
            </w:r>
            <w:r>
              <w:rPr>
                <w:rFonts w:ascii="宋体" w:cs="宋体"/>
                <w:color w:val="000000"/>
                <w:sz w:val="15"/>
                <w:szCs w:val="15"/>
              </w:rPr>
              <w:t>21</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4、药品监管人员人员均培训学时≥</w:t>
            </w:r>
            <w:r>
              <w:rPr>
                <w:rFonts w:ascii="宋体" w:cs="宋体"/>
                <w:color w:val="000000"/>
                <w:sz w:val="15"/>
                <w:szCs w:val="15"/>
              </w:rPr>
              <w:t>54</w:t>
            </w:r>
            <w:r>
              <w:rPr>
                <w:rFonts w:hint="eastAsia" w:ascii="宋体" w:cs="宋体"/>
                <w:color w:val="000000"/>
                <w:sz w:val="15"/>
                <w:szCs w:val="15"/>
              </w:rPr>
              <w:t>学时；</w:t>
            </w:r>
          </w:p>
          <w:p>
            <w:pPr>
              <w:widowControl/>
              <w:textAlignment w:val="center"/>
              <w:rPr>
                <w:rFonts w:ascii="宋体" w:cs="宋体"/>
                <w:color w:val="000000"/>
                <w:sz w:val="15"/>
                <w:szCs w:val="15"/>
              </w:rPr>
            </w:pPr>
            <w:r>
              <w:rPr>
                <w:rFonts w:hint="eastAsia" w:ascii="宋体" w:cs="宋体"/>
                <w:color w:val="000000"/>
                <w:sz w:val="15"/>
                <w:szCs w:val="15"/>
              </w:rPr>
              <w:t>5、药物滥用常规监测任务数</w:t>
            </w:r>
            <w:r>
              <w:rPr>
                <w:rFonts w:ascii="宋体" w:cs="宋体"/>
                <w:color w:val="000000"/>
                <w:sz w:val="15"/>
                <w:szCs w:val="15"/>
              </w:rPr>
              <w:t>11</w:t>
            </w:r>
            <w:r>
              <w:rPr>
                <w:rFonts w:hint="eastAsia" w:ascii="宋体" w:cs="宋体"/>
                <w:color w:val="000000"/>
                <w:sz w:val="15"/>
                <w:szCs w:val="15"/>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1、不合格产品处置率；2、药品不良反应每百万人口报告数；3、化妆品不良反应每百万人口报告数；4、医疗器械不良反应每百万人口报告数；5培训人员覆盖率；</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1、不合格产品处置率100%；2、药品不良反应每百万人口报告数≥</w:t>
            </w:r>
            <w:r>
              <w:rPr>
                <w:rFonts w:ascii="宋体" w:cs="宋体"/>
                <w:color w:val="000000"/>
                <w:sz w:val="15"/>
                <w:szCs w:val="15"/>
              </w:rPr>
              <w:t>40</w:t>
            </w:r>
            <w:r>
              <w:rPr>
                <w:rFonts w:hint="eastAsia" w:ascii="宋体" w:cs="宋体"/>
                <w:color w:val="000000"/>
                <w:sz w:val="15"/>
                <w:szCs w:val="15"/>
              </w:rPr>
              <w:t>份；3、化妆品不良反应每百万人口报告数≥</w:t>
            </w:r>
            <w:r>
              <w:rPr>
                <w:rFonts w:ascii="宋体" w:cs="宋体"/>
                <w:color w:val="000000"/>
                <w:sz w:val="15"/>
                <w:szCs w:val="15"/>
              </w:rPr>
              <w:t>5</w:t>
            </w:r>
            <w:r>
              <w:rPr>
                <w:rFonts w:hint="eastAsia" w:ascii="宋体" w:cs="宋体"/>
                <w:color w:val="000000"/>
                <w:sz w:val="15"/>
                <w:szCs w:val="15"/>
              </w:rPr>
              <w:t>份；4、医疗器械不良反应每百万人口报告数≥</w:t>
            </w:r>
            <w:r>
              <w:rPr>
                <w:rFonts w:ascii="宋体" w:cs="宋体"/>
                <w:color w:val="000000"/>
                <w:sz w:val="15"/>
                <w:szCs w:val="15"/>
              </w:rPr>
              <w:t>20</w:t>
            </w:r>
            <w:r>
              <w:rPr>
                <w:rFonts w:hint="eastAsia" w:ascii="宋体" w:cs="宋体"/>
                <w:color w:val="000000"/>
                <w:sz w:val="15"/>
                <w:szCs w:val="15"/>
              </w:rPr>
              <w:t>份；5培训人员覆盖率100%；</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1、不合格产品处置率100%；2、药品不良反应每百万人口报告数</w:t>
            </w:r>
            <w:r>
              <w:rPr>
                <w:rFonts w:ascii="宋体" w:cs="宋体"/>
                <w:color w:val="000000"/>
                <w:sz w:val="15"/>
                <w:szCs w:val="15"/>
              </w:rPr>
              <w:t>46</w:t>
            </w:r>
            <w:r>
              <w:rPr>
                <w:rFonts w:hint="eastAsia" w:ascii="宋体" w:cs="宋体"/>
                <w:color w:val="000000"/>
                <w:sz w:val="15"/>
                <w:szCs w:val="15"/>
              </w:rPr>
              <w:t>份；3、化妆品不良反应每百万人口报告数7份；4、医疗器械不良反应每百万人口报告数</w:t>
            </w:r>
            <w:r>
              <w:rPr>
                <w:rFonts w:ascii="宋体" w:cs="宋体"/>
                <w:color w:val="000000"/>
                <w:sz w:val="15"/>
                <w:szCs w:val="15"/>
              </w:rPr>
              <w:t>20</w:t>
            </w:r>
            <w:r>
              <w:rPr>
                <w:rFonts w:hint="eastAsia" w:ascii="宋体" w:cs="宋体"/>
                <w:color w:val="000000"/>
                <w:sz w:val="15"/>
                <w:szCs w:val="15"/>
              </w:rPr>
              <w:t>份；5培训人员覆盖率100%；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任务完成时间</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2021年12月</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培训成本</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w:t>
            </w:r>
            <w:r>
              <w:rPr>
                <w:rFonts w:ascii="宋体" w:cs="宋体"/>
                <w:color w:val="000000"/>
                <w:sz w:val="15"/>
                <w:szCs w:val="15"/>
              </w:rPr>
              <w:t>1</w:t>
            </w:r>
            <w:r>
              <w:rPr>
                <w:rFonts w:hint="eastAsia" w:ascii="宋体" w:cs="宋体"/>
                <w:color w:val="000000"/>
                <w:sz w:val="15"/>
                <w:szCs w:val="15"/>
              </w:rPr>
              <w:t>00元/人，天</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w:t>
            </w:r>
            <w:r>
              <w:rPr>
                <w:rFonts w:ascii="宋体" w:cs="宋体"/>
                <w:color w:val="000000"/>
                <w:sz w:val="15"/>
                <w:szCs w:val="15"/>
              </w:rPr>
              <w:t>1</w:t>
            </w:r>
            <w:r>
              <w:rPr>
                <w:rFonts w:hint="eastAsia" w:ascii="宋体" w:cs="宋体"/>
                <w:color w:val="000000"/>
                <w:sz w:val="15"/>
                <w:szCs w:val="15"/>
              </w:rPr>
              <w:t>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1、“两品一械”总体安全水平；2、提高“两品一械”安全科普知识宣传覆盖，公众自我保护意识不断提高；3、假冒伪劣产品制售行为。</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1、药品监管水平；2、化妆品监管水平；3医疗器械监管水平；4、队伍素质和装备配置水平。</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ind w:firstLine="640" w:firstLineChars="200"/>
        <w:rPr>
          <w:rFonts w:ascii="仿宋_GB2312" w:eastAsia="仿宋_GB2312" w:cs="仿宋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2053"/>
        <w:gridCol w:w="2693"/>
        <w:gridCol w:w="85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年中央食品监管补助资金项目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3.5</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3.3</w:t>
            </w:r>
            <w:r>
              <w:rPr>
                <w:rFonts w:ascii="宋体" w:cs="宋体"/>
                <w:color w:val="000000"/>
                <w:sz w:val="15"/>
                <w:szCs w:val="15"/>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3.5</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3.3</w:t>
            </w:r>
            <w:r>
              <w:rPr>
                <w:rFonts w:ascii="宋体" w:cs="宋体"/>
                <w:color w:val="000000"/>
                <w:sz w:val="15"/>
                <w:szCs w:val="15"/>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目标1：深入开展食品风险隐患排查        </w:t>
            </w:r>
          </w:p>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目标2：继续强化食品抽查监督工作  </w:t>
            </w:r>
          </w:p>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  目标3：加大大案要案查办力度               。</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目标1：深入开展食品风险隐患排查   </w:t>
            </w:r>
          </w:p>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 目标2：继续强化食品抽查监督工作      </w:t>
            </w:r>
          </w:p>
          <w:p>
            <w:pPr>
              <w:widowControl/>
              <w:ind w:firstLine="1875" w:firstLineChars="1250"/>
              <w:textAlignment w:val="center"/>
              <w:rPr>
                <w:rFonts w:ascii="宋体" w:cs="宋体"/>
                <w:color w:val="000000"/>
                <w:kern w:val="0"/>
                <w:sz w:val="15"/>
                <w:szCs w:val="15"/>
              </w:rPr>
            </w:pPr>
            <w:r>
              <w:rPr>
                <w:rFonts w:hint="eastAsia" w:ascii="宋体" w:cs="宋体"/>
                <w:color w:val="000000"/>
                <w:kern w:val="0"/>
                <w:sz w:val="15"/>
                <w:szCs w:val="15"/>
              </w:rPr>
              <w:t xml:space="preserve">目标3：加大大案要案查办力度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1：完成食品检测任务；</w:t>
            </w:r>
          </w:p>
          <w:p>
            <w:pPr>
              <w:widowControl/>
              <w:textAlignment w:val="center"/>
              <w:rPr>
                <w:rFonts w:ascii="宋体" w:cs="宋体"/>
                <w:color w:val="000000"/>
                <w:sz w:val="15"/>
                <w:szCs w:val="15"/>
              </w:rPr>
            </w:pPr>
            <w:r>
              <w:rPr>
                <w:rFonts w:hint="eastAsia" w:ascii="宋体" w:cs="宋体"/>
                <w:color w:val="000000"/>
                <w:sz w:val="15"/>
                <w:szCs w:val="15"/>
              </w:rPr>
              <w:t>2：重大活动食品安全保障</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1：完成食品检测任务≥</w:t>
            </w:r>
            <w:r>
              <w:rPr>
                <w:rFonts w:ascii="宋体" w:cs="宋体"/>
                <w:color w:val="000000"/>
                <w:sz w:val="15"/>
                <w:szCs w:val="15"/>
              </w:rPr>
              <w:t>300</w:t>
            </w:r>
            <w:r>
              <w:rPr>
                <w:rFonts w:hint="eastAsia" w:ascii="宋体" w:cs="宋体"/>
                <w:color w:val="000000"/>
                <w:sz w:val="15"/>
                <w:szCs w:val="15"/>
              </w:rPr>
              <w:t>；</w:t>
            </w:r>
          </w:p>
          <w:p>
            <w:pPr>
              <w:widowControl/>
              <w:textAlignment w:val="center"/>
              <w:rPr>
                <w:rFonts w:ascii="宋体" w:cs="宋体"/>
                <w:color w:val="000000"/>
                <w:sz w:val="15"/>
                <w:szCs w:val="15"/>
              </w:rPr>
            </w:pPr>
            <w:r>
              <w:rPr>
                <w:rFonts w:hint="eastAsia" w:ascii="宋体" w:cs="宋体"/>
                <w:color w:val="000000"/>
                <w:sz w:val="15"/>
                <w:szCs w:val="15"/>
              </w:rPr>
              <w:t>2：重大活动食品安全保障≥2次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1：完成食品检测任务≥</w:t>
            </w:r>
            <w:r>
              <w:rPr>
                <w:rFonts w:ascii="宋体" w:cs="宋体"/>
                <w:color w:val="000000"/>
                <w:sz w:val="15"/>
                <w:szCs w:val="15"/>
              </w:rPr>
              <w:t>500</w:t>
            </w:r>
            <w:r>
              <w:rPr>
                <w:rFonts w:hint="eastAsia" w:ascii="宋体" w:cs="宋体"/>
                <w:color w:val="000000"/>
                <w:sz w:val="15"/>
                <w:szCs w:val="15"/>
              </w:rPr>
              <w:t>；</w:t>
            </w:r>
          </w:p>
          <w:p>
            <w:pPr>
              <w:widowControl/>
              <w:textAlignment w:val="center"/>
              <w:rPr>
                <w:rFonts w:ascii="宋体" w:cs="宋体"/>
                <w:color w:val="000000"/>
                <w:sz w:val="15"/>
                <w:szCs w:val="15"/>
              </w:rPr>
            </w:pPr>
            <w:r>
              <w:rPr>
                <w:rFonts w:hint="eastAsia" w:ascii="宋体" w:cs="宋体"/>
                <w:color w:val="000000"/>
                <w:sz w:val="15"/>
                <w:szCs w:val="15"/>
              </w:rPr>
              <w:t>2：重大活动食品安全保障2次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1：食品安全投拆举报率；</w:t>
            </w:r>
          </w:p>
          <w:p>
            <w:pPr>
              <w:widowControl/>
              <w:textAlignment w:val="center"/>
              <w:rPr>
                <w:rFonts w:ascii="宋体" w:cs="宋体"/>
                <w:color w:val="000000"/>
                <w:sz w:val="15"/>
                <w:szCs w:val="15"/>
              </w:rPr>
            </w:pPr>
            <w:r>
              <w:rPr>
                <w:rFonts w:hint="eastAsia" w:ascii="宋体" w:cs="宋体"/>
                <w:color w:val="000000"/>
                <w:sz w:val="15"/>
                <w:szCs w:val="15"/>
              </w:rPr>
              <w:t>2：食品抽检查应公布信息的公布率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1：食品安全投拆举报率100%；</w:t>
            </w:r>
          </w:p>
          <w:p>
            <w:pPr>
              <w:widowControl/>
              <w:textAlignment w:val="center"/>
              <w:rPr>
                <w:rFonts w:ascii="宋体" w:cs="宋体"/>
                <w:color w:val="000000"/>
                <w:sz w:val="15"/>
                <w:szCs w:val="15"/>
              </w:rPr>
            </w:pPr>
            <w:r>
              <w:rPr>
                <w:rFonts w:hint="eastAsia" w:ascii="宋体" w:cs="宋体"/>
                <w:color w:val="000000"/>
                <w:sz w:val="15"/>
                <w:szCs w:val="15"/>
              </w:rPr>
              <w:t>2：食品抽检查应公布信息的公布率100%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1：食品安全投拆举报率100%；</w:t>
            </w:r>
          </w:p>
          <w:p>
            <w:pPr>
              <w:widowControl/>
              <w:ind w:firstLine="75" w:firstLineChars="50"/>
              <w:textAlignment w:val="center"/>
              <w:rPr>
                <w:rFonts w:ascii="宋体" w:cs="宋体"/>
                <w:color w:val="000000"/>
                <w:sz w:val="15"/>
                <w:szCs w:val="15"/>
              </w:rPr>
            </w:pPr>
            <w:r>
              <w:rPr>
                <w:rFonts w:hint="eastAsia" w:ascii="宋体" w:cs="宋体"/>
                <w:color w:val="000000"/>
                <w:sz w:val="15"/>
                <w:szCs w:val="15"/>
              </w:rPr>
              <w:t>2：食品抽检查应公布信息的公布率100%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1：食品监管专项工作整全完成时间；</w:t>
            </w:r>
          </w:p>
          <w:p>
            <w:pPr>
              <w:widowControl/>
              <w:jc w:val="center"/>
              <w:textAlignment w:val="center"/>
              <w:rPr>
                <w:rFonts w:ascii="宋体" w:cs="宋体"/>
                <w:color w:val="000000"/>
                <w:sz w:val="15"/>
                <w:szCs w:val="15"/>
              </w:rPr>
            </w:pPr>
            <w:r>
              <w:rPr>
                <w:rFonts w:hint="eastAsia" w:ascii="宋体" w:cs="宋体"/>
                <w:color w:val="000000"/>
                <w:sz w:val="15"/>
                <w:szCs w:val="15"/>
              </w:rPr>
              <w:t>2：落实省、州局抽检任务要求时间频次</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w:t>
            </w:r>
            <w:r>
              <w:rPr>
                <w:rFonts w:ascii="宋体" w:cs="宋体"/>
                <w:color w:val="000000"/>
                <w:sz w:val="15"/>
                <w:szCs w:val="15"/>
              </w:rPr>
              <w:t>1</w:t>
            </w:r>
            <w:r>
              <w:rPr>
                <w:rFonts w:hint="eastAsia" w:ascii="宋体" w:cs="宋体"/>
                <w:color w:val="000000"/>
                <w:sz w:val="15"/>
                <w:szCs w:val="15"/>
              </w:rPr>
              <w:t>年12月</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w:t>
            </w:r>
            <w:r>
              <w:rPr>
                <w:rFonts w:ascii="宋体" w:cs="宋体"/>
                <w:color w:val="000000"/>
                <w:sz w:val="15"/>
                <w:szCs w:val="15"/>
              </w:rPr>
              <w:t>1</w:t>
            </w:r>
            <w:r>
              <w:rPr>
                <w:rFonts w:hint="eastAsia" w:ascii="宋体" w:cs="宋体"/>
                <w:color w:val="000000"/>
                <w:sz w:val="15"/>
                <w:szCs w:val="15"/>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1：执法监管成本不高于100元/人.天；</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2：食品抽检成本不高于1500元/样</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1：执法监管成本未高于100元/人.天；</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2：食品抽检成本未高于1500元/样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1：辖区内补助资金相关的重大食品安全监督管责任事故发生数0次；</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2：辖区内公众食品安全科普知识素养逐步提高；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1：辖区内补助资金相关的重大食品安全监督管责任事故发生数0次；</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1食品经营安全监管水平</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4"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770"/>
        <w:gridCol w:w="2975"/>
        <w:gridCol w:w="851"/>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年食品检测项目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 xml:space="preserve">     全面加强食品质量抽检工作，及时发现食品安全隐患，督促生产经营企业落实主体责任，掌握产品质量状况，防范系统性、区域性食品安全风险</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提高了发现食品安全隐患的意识，落实主体责任，促进全县市场经济健康有序发展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样品批次</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≥180批次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330</w:t>
            </w:r>
            <w:r>
              <w:rPr>
                <w:rFonts w:hint="eastAsia" w:ascii="宋体" w:cs="宋体"/>
                <w:color w:val="000000"/>
                <w:sz w:val="15"/>
                <w:szCs w:val="15"/>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检验数据的准确性</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检验结果无结论性差错</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检验结果无结论性差错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检查时效 </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所有检验任务在规定时间内完成检验任务。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按要求完成检验任务。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检验成本</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成本不高于1500元/样</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食品抽检成本未高于1500元/样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为产品质量监管提供技术支撑</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服务地方经济，为监管提供技术支撑。</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为监管工作提高了技术支撑。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产品质量持续提高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p>
      <w:pPr>
        <w:spacing w:line="580" w:lineRule="exact"/>
        <w:ind w:firstLine="640" w:firstLineChars="200"/>
        <w:rPr>
          <w:rFonts w:ascii="楷体_GB2312" w:eastAsia="楷体_GB2312" w:cs="楷体_GB2312"/>
          <w:sz w:val="32"/>
          <w:szCs w:val="32"/>
        </w:rPr>
      </w:pPr>
    </w:p>
    <w:p>
      <w:pPr>
        <w:spacing w:line="580" w:lineRule="exact"/>
        <w:ind w:left="630"/>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2053"/>
        <w:gridCol w:w="2693"/>
        <w:gridCol w:w="85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202</w:t>
            </w:r>
            <w:r>
              <w:rPr>
                <w:rFonts w:ascii="宋体" w:cs="宋体"/>
                <w:color w:val="000000"/>
                <w:kern w:val="0"/>
                <w:sz w:val="15"/>
                <w:szCs w:val="15"/>
              </w:rPr>
              <w:t>1</w:t>
            </w:r>
            <w:r>
              <w:rPr>
                <w:rFonts w:hint="eastAsia" w:ascii="宋体" w:cs="宋体"/>
                <w:color w:val="000000"/>
                <w:kern w:val="0"/>
                <w:sz w:val="15"/>
                <w:szCs w:val="15"/>
              </w:rPr>
              <w:t>年“</w:t>
            </w:r>
            <w:r>
              <w:rPr>
                <w:rFonts w:ascii="宋体" w:cs="宋体"/>
                <w:color w:val="000000"/>
                <w:kern w:val="0"/>
                <w:sz w:val="15"/>
                <w:szCs w:val="15"/>
              </w:rPr>
              <w:t>茂县味道</w:t>
            </w:r>
            <w:r>
              <w:rPr>
                <w:rFonts w:hint="eastAsia" w:ascii="宋体" w:cs="宋体"/>
                <w:color w:val="000000"/>
                <w:kern w:val="0"/>
                <w:sz w:val="15"/>
                <w:szCs w:val="15"/>
              </w:rPr>
              <w:t>”知识产权品牌创建项目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1、有效提高品牌保护效果；2、促进农旅结合、工业产品与羌族传统文化结合，3、</w:t>
            </w:r>
            <w:r>
              <w:rPr>
                <w:rFonts w:hint="eastAsia" w:ascii="宋体" w:cs="宋体"/>
                <w:color w:val="000000"/>
                <w:kern w:val="0"/>
                <w:sz w:val="15"/>
                <w:szCs w:val="15"/>
                <w:lang w:val="zh-CN"/>
              </w:rPr>
              <w:t>组织实施质量强县、食品安全、标准化和知识产权战略，实施知识产权保护</w:t>
            </w:r>
            <w:r>
              <w:rPr>
                <w:rFonts w:ascii="Times New Roman" w:hAnsi="Times New Roman" w:eastAsia="仿宋_GB2312" w:cs="Times New Roman"/>
                <w:sz w:val="32"/>
                <w:szCs w:val="32"/>
                <w:lang w:val="zh-CN"/>
              </w:rPr>
              <w:t>。</w:t>
            </w:r>
            <w:r>
              <w:rPr>
                <w:rFonts w:hint="eastAsia" w:ascii="宋体" w:cs="宋体"/>
                <w:color w:val="000000"/>
                <w:kern w:val="0"/>
                <w:sz w:val="15"/>
                <w:szCs w:val="15"/>
              </w:rPr>
              <w:t xml:space="preserve">         </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          1、有效提高了地方品牌保护效果；2、促进了农旅结合、工业产品与羌族传统文化结合，3、提高了文化走廊的美誉度和影响力。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cs="宋体"/>
                <w:color w:val="000000"/>
                <w:sz w:val="15"/>
                <w:szCs w:val="15"/>
                <w:lang w:val="zh-CN"/>
              </w:rPr>
            </w:pPr>
            <w:r>
              <w:rPr>
                <w:rFonts w:hint="eastAsia" w:ascii="宋体" w:cs="宋体"/>
                <w:color w:val="000000"/>
                <w:sz w:val="15"/>
                <w:szCs w:val="15"/>
              </w:rPr>
              <w:t xml:space="preserve">  </w:t>
            </w:r>
            <w:r>
              <w:rPr>
                <w:rFonts w:hint="eastAsia" w:ascii="宋体" w:cs="宋体"/>
                <w:color w:val="000000"/>
                <w:sz w:val="15"/>
                <w:szCs w:val="15"/>
                <w:lang w:val="zh-CN"/>
              </w:rPr>
              <w:t>“茂县味道”公共区域品牌，共保护7个类别、1件版权登记证书。</w:t>
            </w:r>
          </w:p>
          <w:p>
            <w:pPr>
              <w:widowControl/>
              <w:textAlignment w:val="center"/>
              <w:rPr>
                <w:rFonts w:hint="eastAsia" w:ascii="宋体" w:cs="宋体"/>
                <w:color w:val="000000"/>
                <w:sz w:val="15"/>
                <w:szCs w:val="15"/>
                <w:lang w:val="zh-CN"/>
              </w:rPr>
            </w:pP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cs="宋体"/>
                <w:color w:val="000000"/>
                <w:sz w:val="15"/>
                <w:szCs w:val="15"/>
              </w:rPr>
            </w:pPr>
            <w:r>
              <w:rPr>
                <w:rFonts w:hint="eastAsia" w:ascii="宋体" w:cs="宋体"/>
                <w:color w:val="000000"/>
                <w:sz w:val="15"/>
                <w:szCs w:val="15"/>
              </w:rPr>
              <w:t xml:space="preserve">    </w:t>
            </w:r>
            <w:r>
              <w:rPr>
                <w:rFonts w:hint="eastAsia" w:ascii="宋体" w:cs="宋体"/>
                <w:color w:val="000000"/>
                <w:sz w:val="15"/>
                <w:szCs w:val="15"/>
                <w:lang w:val="zh-CN"/>
              </w:rPr>
              <w:t>申报“茂县味道”公共区域品牌，共保护7个类别、1件版权登记证书。</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25" w:firstLineChars="150"/>
              <w:textAlignment w:val="center"/>
              <w:rPr>
                <w:rFonts w:ascii="宋体" w:cs="宋体"/>
                <w:color w:val="000000"/>
                <w:sz w:val="15"/>
                <w:szCs w:val="15"/>
              </w:rPr>
            </w:pPr>
            <w:r>
              <w:rPr>
                <w:rFonts w:ascii="宋体" w:cs="宋体"/>
                <w:color w:val="000000"/>
                <w:sz w:val="15"/>
                <w:szCs w:val="15"/>
              </w:rPr>
              <w:t>完成7个类别申报、</w:t>
            </w:r>
            <w:r>
              <w:rPr>
                <w:rFonts w:hint="eastAsia" w:ascii="宋体" w:cs="宋体"/>
                <w:color w:val="000000"/>
                <w:sz w:val="15"/>
                <w:szCs w:val="15"/>
                <w:lang w:val="zh-CN"/>
              </w:rPr>
              <w:t>1件版权登记证书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申报率达100%</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申报率达100%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完成申报率100%。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24</w:t>
            </w:r>
            <w:r>
              <w:rPr>
                <w:rFonts w:hint="eastAsia" w:ascii="宋体" w:cs="宋体"/>
                <w:color w:val="000000"/>
                <w:sz w:val="15"/>
                <w:szCs w:val="15"/>
              </w:rPr>
              <w:t>个月</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24个月</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未下发注册证书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申报成本</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每份≤</w:t>
            </w:r>
            <w:r>
              <w:rPr>
                <w:rFonts w:ascii="宋体" w:cs="宋体"/>
                <w:color w:val="000000"/>
                <w:sz w:val="15"/>
                <w:szCs w:val="15"/>
              </w:rPr>
              <w:t>100000</w:t>
            </w:r>
            <w:r>
              <w:rPr>
                <w:rFonts w:hint="eastAsia" w:ascii="宋体" w:cs="宋体"/>
                <w:color w:val="000000"/>
                <w:sz w:val="15"/>
                <w:szCs w:val="15"/>
              </w:rPr>
              <w:t>元</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100000</w:t>
            </w:r>
            <w:r>
              <w:rPr>
                <w:rFonts w:hint="eastAsia" w:ascii="宋体" w:cs="宋体"/>
                <w:color w:val="00000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color w:val="000000"/>
                <w:sz w:val="15"/>
                <w:szCs w:val="15"/>
                <w:lang w:val="zh-CN"/>
              </w:rPr>
            </w:pPr>
            <w:r>
              <w:rPr>
                <w:rFonts w:hint="eastAsia" w:ascii="宋体" w:cs="宋体"/>
                <w:color w:val="000000"/>
                <w:sz w:val="15"/>
                <w:szCs w:val="15"/>
                <w:lang w:val="zh-CN"/>
              </w:rPr>
              <w:t>扩大茂县特色产品的市场竞争力，助力乡村振兴。</w:t>
            </w:r>
          </w:p>
          <w:p>
            <w:pPr>
              <w:widowControl/>
              <w:jc w:val="center"/>
              <w:textAlignment w:val="center"/>
              <w:rPr>
                <w:rFonts w:hint="eastAsia" w:ascii="宋体" w:cs="宋体"/>
                <w:color w:val="000000"/>
                <w:sz w:val="15"/>
                <w:szCs w:val="15"/>
                <w:lang w:val="zh-CN"/>
              </w:rPr>
            </w:pP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lang w:val="zh-CN"/>
              </w:rPr>
              <w:t>扩大茂县特色产品的市场竞争力，助力乡村振兴。</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lang w:val="zh-CN"/>
              </w:rPr>
              <w:t>扩大</w:t>
            </w:r>
            <w:r>
              <w:rPr>
                <w:rFonts w:ascii="宋体" w:cs="宋体"/>
                <w:color w:val="000000"/>
                <w:sz w:val="15"/>
                <w:szCs w:val="15"/>
                <w:lang w:val="zh-CN"/>
              </w:rPr>
              <w:t>了</w:t>
            </w:r>
            <w:r>
              <w:rPr>
                <w:rFonts w:hint="eastAsia" w:ascii="宋体" w:cs="宋体"/>
                <w:color w:val="000000"/>
                <w:sz w:val="15"/>
                <w:szCs w:val="15"/>
                <w:lang w:val="zh-CN"/>
              </w:rPr>
              <w:t>茂县特色产品的市场竞争力，助力乡村振兴。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可持续影响指标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对我县具有区域优势的产品进行商标抢注，更好地保护本县民族、特色品牌</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实施品牌强县战略，对我县具有区域优势的产品进行商标抢注，更好地保护本县民族、特色品牌</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注册优势区域品牌，提升传统优势产业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提高</w:t>
            </w:r>
            <w:r>
              <w:rPr>
                <w:rFonts w:ascii="宋体" w:cs="宋体"/>
                <w:color w:val="000000"/>
                <w:sz w:val="15"/>
                <w:szCs w:val="15"/>
              </w:rPr>
              <w:t>知识产权保护的重要性</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ascii="宋体" w:cs="宋体"/>
                <w:color w:val="000000"/>
                <w:sz w:val="15"/>
                <w:szCs w:val="15"/>
              </w:rPr>
              <w:t>让广大群众意识到知识产权保护的重大意义和作用</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r>
              <w:rPr>
                <w:rFonts w:ascii="宋体" w:cs="宋体"/>
                <w:color w:val="000000"/>
                <w:sz w:val="15"/>
                <w:szCs w:val="15"/>
              </w:rPr>
              <w:t>让广大群众意识到知识产权保护的重大意义和作用</w:t>
            </w:r>
          </w:p>
        </w:tc>
      </w:tr>
    </w:tbl>
    <w:p>
      <w:pPr>
        <w:spacing w:line="580" w:lineRule="exact"/>
        <w:rPr>
          <w:rFonts w:ascii="楷体_GB2312" w:eastAsia="楷体_GB2312" w:cs="楷体_GB2312"/>
          <w:sz w:val="32"/>
          <w:szCs w:val="32"/>
        </w:rPr>
      </w:pPr>
    </w:p>
    <w:p>
      <w:pPr>
        <w:spacing w:line="580" w:lineRule="exact"/>
        <w:ind w:left="630"/>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770"/>
        <w:gridCol w:w="2975"/>
        <w:gridCol w:w="851"/>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w:t>
            </w:r>
            <w:r>
              <w:rPr>
                <w:rFonts w:ascii="宋体" w:cs="宋体"/>
                <w:color w:val="000000"/>
                <w:kern w:val="0"/>
                <w:sz w:val="15"/>
                <w:szCs w:val="15"/>
              </w:rPr>
              <w:t>省级专项资金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62</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62</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 xml:space="preserve">    </w:t>
            </w:r>
            <w:r>
              <w:rPr>
                <w:rFonts w:hint="eastAsia" w:ascii="宋体" w:cs="宋体"/>
                <w:color w:val="000000"/>
                <w:kern w:val="0"/>
                <w:sz w:val="15"/>
                <w:szCs w:val="15"/>
                <w:lang w:val="zh-CN"/>
              </w:rPr>
              <w:t>做好食品安全监管、促进民营经济发展工作、“春雷行动”、市场主体商事制度改革、质量与安全监管工作、抽检、信用监管、市场综合监管、扫黑除恶、百日攻坚、特种设备等工作</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pPr>
            <w:r>
              <w:rPr>
                <w:rFonts w:hint="eastAsia" w:ascii="宋体" w:cs="宋体"/>
                <w:color w:val="000000"/>
                <w:kern w:val="0"/>
                <w:sz w:val="15"/>
                <w:szCs w:val="15"/>
                <w:lang w:val="zh-CN"/>
              </w:rPr>
              <w:t>做好了食品安全监管、促进民营经济发展工作、“春雷行动”、市场主体商事制度改革、质量与安全监管工作、抽检、信用监管、市场综合监管、扫黑除恶、百日攻坚、特种设备等工作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1.配合省局抽检.2.</w:t>
            </w:r>
            <w:r>
              <w:rPr>
                <w:rFonts w:hint="eastAsia" w:ascii="宋体" w:cs="宋体"/>
                <w:color w:val="000000"/>
                <w:sz w:val="15"/>
                <w:szCs w:val="15"/>
              </w:rPr>
              <w:t>“双随机</w:t>
            </w:r>
            <w:r>
              <w:rPr>
                <w:rFonts w:hint="eastAsia" w:ascii="宋体" w:cs="宋体"/>
                <w:color w:val="000000"/>
                <w:sz w:val="15"/>
                <w:szCs w:val="15"/>
                <w:lang w:eastAsia="zh-CN"/>
              </w:rPr>
              <w:t>、</w:t>
            </w:r>
            <w:r>
              <w:rPr>
                <w:rFonts w:hint="eastAsia" w:ascii="宋体" w:cs="宋体"/>
                <w:color w:val="000000"/>
                <w:sz w:val="15"/>
                <w:szCs w:val="15"/>
              </w:rPr>
              <w:t>一公开”</w:t>
            </w:r>
            <w:r>
              <w:rPr>
                <w:rFonts w:ascii="宋体" w:cs="宋体"/>
                <w:color w:val="000000"/>
                <w:sz w:val="15"/>
                <w:szCs w:val="15"/>
              </w:rPr>
              <w:t>.3.年报率.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99"/>
              <w:textAlignment w:val="center"/>
              <w:rPr>
                <w:rFonts w:ascii="宋体" w:cs="宋体"/>
                <w:color w:val="000000"/>
                <w:sz w:val="15"/>
                <w:szCs w:val="15"/>
              </w:rPr>
            </w:pPr>
            <w:r>
              <w:rPr>
                <w:rFonts w:ascii="宋体" w:cs="宋体"/>
                <w:color w:val="000000"/>
                <w:sz w:val="15"/>
                <w:szCs w:val="15"/>
              </w:rPr>
              <w:t>1</w:t>
            </w:r>
            <w:r>
              <w:rPr>
                <w:rFonts w:hint="eastAsia" w:ascii="宋体" w:cs="宋体"/>
                <w:color w:val="000000"/>
                <w:sz w:val="15"/>
                <w:szCs w:val="15"/>
              </w:rPr>
              <w:t>“双随机</w:t>
            </w:r>
            <w:r>
              <w:rPr>
                <w:rFonts w:hint="eastAsia" w:ascii="宋体" w:cs="宋体"/>
                <w:color w:val="000000"/>
                <w:sz w:val="15"/>
                <w:szCs w:val="15"/>
                <w:lang w:eastAsia="zh-CN"/>
              </w:rPr>
              <w:t>、</w:t>
            </w:r>
            <w:r>
              <w:rPr>
                <w:rFonts w:hint="eastAsia" w:ascii="宋体" w:cs="宋体"/>
                <w:color w:val="000000"/>
                <w:sz w:val="15"/>
                <w:szCs w:val="15"/>
              </w:rPr>
              <w:t>一公开”</w:t>
            </w:r>
            <w:r>
              <w:rPr>
                <w:rFonts w:ascii="宋体" w:cs="宋体"/>
                <w:color w:val="000000"/>
                <w:sz w:val="15"/>
                <w:szCs w:val="15"/>
              </w:rPr>
              <w:t>3%.</w:t>
            </w:r>
          </w:p>
          <w:p>
            <w:pPr>
              <w:widowControl/>
              <w:ind w:firstLine="299"/>
              <w:textAlignment w:val="center"/>
              <w:rPr>
                <w:rFonts w:ascii="宋体" w:cs="宋体"/>
                <w:color w:val="000000"/>
                <w:sz w:val="15"/>
                <w:szCs w:val="15"/>
              </w:rPr>
            </w:pPr>
            <w:r>
              <w:rPr>
                <w:rFonts w:ascii="宋体" w:cs="宋体"/>
                <w:color w:val="000000"/>
                <w:sz w:val="15"/>
                <w:szCs w:val="15"/>
              </w:rPr>
              <w:t>2.年报率85%。</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1.抽检批次500次.2.</w:t>
            </w:r>
            <w:r>
              <w:rPr>
                <w:rFonts w:hint="eastAsia" w:ascii="宋体" w:cs="宋体"/>
                <w:color w:val="000000"/>
                <w:sz w:val="15"/>
                <w:szCs w:val="15"/>
              </w:rPr>
              <w:t>“</w:t>
            </w:r>
            <w:r>
              <w:rPr>
                <w:rFonts w:ascii="宋体" w:cs="宋体"/>
                <w:color w:val="000000"/>
                <w:sz w:val="15"/>
                <w:szCs w:val="15"/>
              </w:rPr>
              <w:t>双随机</w:t>
            </w:r>
            <w:r>
              <w:rPr>
                <w:rFonts w:hint="eastAsia" w:ascii="宋体" w:cs="宋体"/>
                <w:color w:val="000000"/>
                <w:sz w:val="15"/>
                <w:szCs w:val="15"/>
                <w:lang w:eastAsia="zh-CN"/>
              </w:rPr>
              <w:t>、</w:t>
            </w:r>
            <w:r>
              <w:rPr>
                <w:rFonts w:ascii="宋体" w:cs="宋体"/>
                <w:color w:val="000000"/>
                <w:sz w:val="15"/>
                <w:szCs w:val="15"/>
              </w:rPr>
              <w:t>一公开</w:t>
            </w:r>
            <w:r>
              <w:rPr>
                <w:rFonts w:hint="eastAsia" w:ascii="宋体" w:cs="宋体"/>
                <w:color w:val="000000"/>
                <w:sz w:val="15"/>
                <w:szCs w:val="15"/>
              </w:rPr>
              <w:t>”</w:t>
            </w:r>
            <w:r>
              <w:rPr>
                <w:rFonts w:ascii="宋体" w:cs="宋体"/>
                <w:color w:val="000000"/>
                <w:sz w:val="15"/>
                <w:szCs w:val="15"/>
              </w:rPr>
              <w:t>3%.3.年报率99%.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1.抽检不合格食品核查处置率.2.食品抽检应公布信息公布率.3.生产环节抽查合格率。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1.抽检不合格食品核查处置率100%.2.食品抽检应公布信息公布率100%.3.生产环节抽查合格率90%。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1.抽检不合格食品核查处置率100%.2.食品抽检应公布信息公布率100%.3.生产环节抽查合格率100%。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检查时效 </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2021年12月底</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2021年12月底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检验成本</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执法</w:t>
            </w:r>
            <w:r>
              <w:rPr>
                <w:rFonts w:hint="eastAsia" w:ascii="宋体" w:cs="宋体"/>
                <w:color w:val="000000"/>
                <w:sz w:val="15"/>
                <w:szCs w:val="15"/>
              </w:rPr>
              <w:t>成本不高于</w:t>
            </w:r>
            <w:r>
              <w:rPr>
                <w:rFonts w:ascii="宋体" w:cs="宋体"/>
                <w:color w:val="000000"/>
                <w:sz w:val="15"/>
                <w:szCs w:val="15"/>
              </w:rPr>
              <w:t>100元/人/天</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执法</w:t>
            </w:r>
            <w:r>
              <w:rPr>
                <w:rFonts w:hint="eastAsia" w:ascii="宋体" w:cs="宋体"/>
                <w:color w:val="000000"/>
                <w:sz w:val="15"/>
                <w:szCs w:val="15"/>
              </w:rPr>
              <w:t>成本</w:t>
            </w:r>
            <w:r>
              <w:rPr>
                <w:rFonts w:ascii="宋体" w:cs="宋体"/>
                <w:color w:val="000000"/>
                <w:sz w:val="15"/>
                <w:szCs w:val="15"/>
              </w:rPr>
              <w:t>小于100元/人/天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监督管水平逐步提高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监督管水平逐步提高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食品监督管水平逐步提高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产品质量持续提高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p>
      <w:pPr>
        <w:spacing w:line="580" w:lineRule="exact"/>
        <w:ind w:left="630"/>
        <w:rPr>
          <w:rFonts w:ascii="楷体_GB2312" w:eastAsia="楷体_GB2312" w:cs="楷体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年部门整体支出绩效评价情况开展自评，《茂县市场监督管理局</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 202</w:t>
      </w:r>
      <w:r>
        <w:rPr>
          <w:rFonts w:ascii="仿宋_GB2312" w:eastAsia="仿宋_GB2312"/>
          <w:color w:val="000000"/>
          <w:sz w:val="32"/>
          <w:szCs w:val="32"/>
        </w:rPr>
        <w:t>1</w:t>
      </w:r>
      <w:r>
        <w:rPr>
          <w:rFonts w:hint="eastAsia" w:ascii="仿宋_GB2312" w:eastAsia="仿宋_GB2312"/>
          <w:color w:val="000000"/>
          <w:sz w:val="32"/>
          <w:szCs w:val="32"/>
        </w:rPr>
        <w:t>年食品检测项目”、“2021年茂县味道”、“2021年省级专</w:t>
      </w:r>
      <w:r>
        <w:rPr>
          <w:rFonts w:ascii="仿宋_GB2312" w:eastAsia="仿宋_GB2312"/>
          <w:color w:val="000000"/>
          <w:sz w:val="32"/>
          <w:szCs w:val="32"/>
        </w:rPr>
        <w:t>项奖金</w:t>
      </w:r>
      <w:r>
        <w:rPr>
          <w:rFonts w:hint="eastAsia" w:ascii="仿宋_GB2312" w:eastAsia="仿宋_GB2312" w:cs="仿宋_GB2312"/>
          <w:sz w:val="32"/>
          <w:szCs w:val="32"/>
        </w:rPr>
        <w:t>”开展了绩效评价，《“</w:t>
      </w:r>
      <w:r>
        <w:rPr>
          <w:rFonts w:ascii="仿宋_GB2312" w:eastAsia="仿宋_GB2312" w:cs="仿宋_GB2312"/>
          <w:sz w:val="32"/>
          <w:szCs w:val="32"/>
        </w:rPr>
        <w:t>20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年中央药品监管补助资金项目”绩效评价报告》、《“202</w:t>
      </w:r>
      <w:r>
        <w:rPr>
          <w:rFonts w:ascii="仿宋_GB2312" w:eastAsia="仿宋_GB2312" w:cs="仿宋_GB2312"/>
          <w:sz w:val="32"/>
          <w:szCs w:val="32"/>
        </w:rPr>
        <w:t>1</w:t>
      </w:r>
      <w:r>
        <w:rPr>
          <w:rFonts w:hint="eastAsia" w:ascii="仿宋_GB2312" w:eastAsia="仿宋_GB2312" w:cs="仿宋_GB2312"/>
          <w:sz w:val="32"/>
          <w:szCs w:val="32"/>
        </w:rPr>
        <w:t>年中央食品监管补助资金项目”绩效评价报告》、《“</w:t>
      </w:r>
      <w:r>
        <w:rPr>
          <w:rFonts w:ascii="仿宋_GB2312" w:eastAsia="仿宋_GB2312" w:cs="仿宋_GB2312"/>
          <w:sz w:val="32"/>
          <w:szCs w:val="32"/>
        </w:rPr>
        <w:t xml:space="preserve"> 20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年食品检测项目”绩效评价报告》、《“2</w:t>
      </w:r>
      <w:r>
        <w:rPr>
          <w:rFonts w:ascii="仿宋_GB2312" w:eastAsia="仿宋_GB2312" w:cs="仿宋_GB2312"/>
          <w:sz w:val="32"/>
          <w:szCs w:val="32"/>
        </w:rPr>
        <w:t>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w:t>
      </w:r>
      <w:r>
        <w:rPr>
          <w:rFonts w:ascii="仿宋_GB2312" w:eastAsia="仿宋_GB2312" w:cs="仿宋_GB2312"/>
          <w:sz w:val="32"/>
          <w:szCs w:val="32"/>
        </w:rPr>
        <w:t>茂县味道</w:t>
      </w:r>
      <w:r>
        <w:rPr>
          <w:rFonts w:hint="eastAsia" w:ascii="仿宋_GB2312" w:eastAsia="仿宋_GB2312" w:cs="仿宋_GB2312"/>
          <w:sz w:val="32"/>
          <w:szCs w:val="32"/>
        </w:rPr>
        <w:t>”绩效评价报告》、《“202</w:t>
      </w:r>
      <w:r>
        <w:rPr>
          <w:rFonts w:ascii="仿宋_GB2312" w:eastAsia="仿宋_GB2312" w:cs="仿宋_GB2312"/>
          <w:sz w:val="32"/>
          <w:szCs w:val="32"/>
        </w:rPr>
        <w:t>1</w:t>
      </w:r>
      <w:r>
        <w:rPr>
          <w:rFonts w:hint="eastAsia" w:ascii="仿宋_GB2312" w:eastAsia="仿宋_GB2312" w:cs="仿宋_GB2312"/>
          <w:sz w:val="32"/>
          <w:szCs w:val="32"/>
        </w:rPr>
        <w:t>年</w:t>
      </w:r>
      <w:r>
        <w:rPr>
          <w:rFonts w:ascii="仿宋_GB2312" w:eastAsia="仿宋_GB2312" w:cs="仿宋_GB2312"/>
          <w:sz w:val="32"/>
          <w:szCs w:val="32"/>
        </w:rPr>
        <w:t>省级专项资金项目</w:t>
      </w:r>
      <w:r>
        <w:rPr>
          <w:rFonts w:hint="eastAsia" w:ascii="仿宋_GB2312" w:eastAsia="仿宋_GB2312" w:cs="仿宋_GB2312"/>
          <w:sz w:val="32"/>
          <w:szCs w:val="32"/>
        </w:rPr>
        <w:t>”绩效评价报告》见附件（附件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numPr>
          <w:ilvl w:val="0"/>
          <w:numId w:val="4"/>
        </w:numPr>
        <w:spacing w:line="600" w:lineRule="exact"/>
        <w:ind w:left="0" w:firstLine="660" w:firstLineChars="150"/>
        <w:jc w:val="center"/>
        <w:outlineLvl w:val="0"/>
        <w:rPr>
          <w:rStyle w:val="23"/>
          <w:rFonts w:ascii="黑体" w:eastAsia="黑体"/>
          <w:b w:val="0"/>
        </w:rPr>
      </w:pPr>
      <w:bookmarkStart w:id="226" w:name="_Toc79163629"/>
      <w:bookmarkStart w:id="227" w:name="_Toc22340"/>
      <w:bookmarkStart w:id="228" w:name="_Toc15377225"/>
      <w:bookmarkStart w:id="229" w:name="_Toc7221"/>
      <w:bookmarkStart w:id="230" w:name="_Toc15396613"/>
      <w:bookmarkStart w:id="231" w:name="_Toc25284"/>
      <w:bookmarkStart w:id="232" w:name="_Toc913"/>
      <w:r>
        <w:rPr>
          <w:rFonts w:hint="eastAsia" w:ascii="黑体" w:eastAsia="黑体"/>
          <w:color w:val="000000"/>
          <w:sz w:val="44"/>
          <w:szCs w:val="44"/>
        </w:rPr>
        <w:t>名</w:t>
      </w:r>
      <w:r>
        <w:rPr>
          <w:rStyle w:val="23"/>
          <w:rFonts w:hint="eastAsia" w:ascii="黑体" w:eastAsia="黑体"/>
          <w:b w:val="0"/>
        </w:rPr>
        <w:t>词解释</w:t>
      </w:r>
      <w:bookmarkEnd w:id="226"/>
      <w:bookmarkEnd w:id="227"/>
      <w:bookmarkEnd w:id="228"/>
      <w:bookmarkEnd w:id="229"/>
      <w:bookmarkEnd w:id="230"/>
      <w:bookmarkEnd w:id="231"/>
      <w:bookmarkEnd w:id="232"/>
    </w:p>
    <w:p>
      <w:pPr>
        <w:pStyle w:val="28"/>
        <w:spacing w:line="594"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94" w:lineRule="exact"/>
        <w:ind w:firstLine="640" w:firstLineChars="200"/>
        <w:outlineLvl w:val="1"/>
        <w:rPr>
          <w:rFonts w:ascii="仿宋_GB2312" w:eastAsia="仿宋_GB2312"/>
          <w:color w:val="000000"/>
          <w:sz w:val="32"/>
          <w:szCs w:val="32"/>
        </w:rPr>
      </w:pPr>
      <w:bookmarkStart w:id="233" w:name="_Toc21729"/>
      <w:bookmarkStart w:id="234" w:name="_Toc29815"/>
      <w:bookmarkStart w:id="235" w:name="_Toc51662798"/>
      <w:bookmarkStart w:id="236" w:name="_Toc15925"/>
      <w:bookmarkStart w:id="237" w:name="_Toc19292"/>
      <w:bookmarkStart w:id="238" w:name="_Toc25736"/>
      <w:bookmarkStart w:id="239" w:name="_Toc51662610"/>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一般公共服务（类）市场监督管理事务（款）行政运行（项）</w:t>
      </w:r>
      <w:r>
        <w:rPr>
          <w:rFonts w:ascii="仿宋_GB2312" w:eastAsia="仿宋_GB2312"/>
          <w:color w:val="000000"/>
          <w:sz w:val="32"/>
          <w:szCs w:val="32"/>
        </w:rPr>
        <w:t>:</w:t>
      </w:r>
      <w:r>
        <w:rPr>
          <w:rFonts w:hint="eastAsia" w:ascii="仿宋_GB2312" w:eastAsia="仿宋_GB2312"/>
          <w:color w:val="000000"/>
          <w:sz w:val="32"/>
          <w:szCs w:val="32"/>
        </w:rPr>
        <w:t>指市场监督管理事务中行政运行支出。</w:t>
      </w:r>
      <w:bookmarkEnd w:id="233"/>
      <w:bookmarkEnd w:id="234"/>
      <w:bookmarkEnd w:id="235"/>
      <w:bookmarkEnd w:id="236"/>
      <w:bookmarkEnd w:id="237"/>
      <w:bookmarkEnd w:id="238"/>
      <w:bookmarkEnd w:id="239"/>
    </w:p>
    <w:p>
      <w:pPr>
        <w:spacing w:line="594" w:lineRule="exact"/>
        <w:ind w:firstLine="640" w:firstLineChars="200"/>
        <w:outlineLvl w:val="1"/>
        <w:rPr>
          <w:rFonts w:ascii="仿宋_GB2312" w:eastAsia="仿宋_GB2312"/>
          <w:color w:val="000000"/>
          <w:sz w:val="32"/>
          <w:szCs w:val="32"/>
        </w:rPr>
      </w:pPr>
      <w:bookmarkStart w:id="240" w:name="_Toc51662799"/>
      <w:bookmarkStart w:id="241" w:name="_Toc22505"/>
      <w:bookmarkStart w:id="242" w:name="_Toc1790"/>
      <w:bookmarkStart w:id="243" w:name="_Toc15948"/>
      <w:bookmarkStart w:id="244" w:name="_Toc22853"/>
      <w:bookmarkStart w:id="245" w:name="_Toc51662611"/>
      <w:bookmarkStart w:id="246" w:name="_Toc7568"/>
      <w:r>
        <w:rPr>
          <w:rFonts w:hint="eastAsia" w:ascii="仿宋_GB2312" w:eastAsia="仿宋_GB2312"/>
          <w:color w:val="000000"/>
          <w:sz w:val="32"/>
          <w:szCs w:val="32"/>
        </w:rPr>
        <w:t>11</w:t>
      </w:r>
      <w:r>
        <w:rPr>
          <w:rFonts w:ascii="仿宋_GB2312" w:eastAsia="仿宋_GB2312"/>
          <w:color w:val="000000"/>
          <w:sz w:val="32"/>
          <w:szCs w:val="32"/>
        </w:rPr>
        <w:t xml:space="preserve">. </w:t>
      </w:r>
      <w:r>
        <w:rPr>
          <w:rFonts w:hint="eastAsia" w:ascii="仿宋_GB2312" w:eastAsia="仿宋_GB2312"/>
          <w:color w:val="000000"/>
          <w:sz w:val="32"/>
          <w:szCs w:val="32"/>
        </w:rPr>
        <w:t>一般公共服务（类）市场监督管理事务（款）一般行政管理事务（项）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指市场监督管理事务一般行政管理事务。</w:t>
      </w:r>
      <w:bookmarkEnd w:id="240"/>
      <w:bookmarkEnd w:id="241"/>
      <w:bookmarkEnd w:id="242"/>
      <w:bookmarkEnd w:id="243"/>
      <w:bookmarkEnd w:id="244"/>
      <w:bookmarkEnd w:id="245"/>
      <w:bookmarkEnd w:id="246"/>
    </w:p>
    <w:p>
      <w:pPr>
        <w:spacing w:line="594" w:lineRule="exact"/>
        <w:ind w:firstLine="640" w:firstLineChars="200"/>
        <w:outlineLvl w:val="1"/>
        <w:rPr>
          <w:rFonts w:ascii="仿宋_GB2312" w:eastAsia="仿宋_GB2312"/>
          <w:color w:val="000000"/>
          <w:sz w:val="32"/>
          <w:szCs w:val="32"/>
        </w:rPr>
      </w:pPr>
      <w:bookmarkStart w:id="247" w:name="_Toc21578"/>
      <w:bookmarkStart w:id="248" w:name="_Toc4701"/>
      <w:bookmarkStart w:id="249" w:name="_Toc51662800"/>
      <w:bookmarkStart w:id="250" w:name="_Toc32231"/>
      <w:bookmarkStart w:id="251" w:name="_Toc12264"/>
      <w:bookmarkStart w:id="252" w:name="_Toc51662612"/>
      <w:bookmarkStart w:id="253" w:name="_Toc17842"/>
      <w:r>
        <w:rPr>
          <w:rFonts w:hint="eastAsia" w:ascii="仿宋_GB2312" w:eastAsia="仿宋_GB2312"/>
          <w:color w:val="000000"/>
          <w:sz w:val="32"/>
          <w:szCs w:val="32"/>
        </w:rPr>
        <w:t>12.一般公共服务（类）市场监督管理事务（款）市场监督管理专项（项）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指市场监督管理中专项检查支出。</w:t>
      </w:r>
      <w:bookmarkEnd w:id="247"/>
      <w:bookmarkEnd w:id="248"/>
      <w:bookmarkEnd w:id="249"/>
      <w:bookmarkEnd w:id="250"/>
      <w:bookmarkEnd w:id="251"/>
      <w:bookmarkEnd w:id="252"/>
      <w:bookmarkEnd w:id="253"/>
    </w:p>
    <w:p>
      <w:pPr>
        <w:spacing w:line="594" w:lineRule="exact"/>
        <w:ind w:firstLine="640" w:firstLineChars="200"/>
        <w:outlineLvl w:val="1"/>
        <w:rPr>
          <w:rFonts w:ascii="仿宋_GB2312" w:eastAsia="仿宋_GB2312"/>
          <w:color w:val="000000"/>
          <w:sz w:val="32"/>
          <w:szCs w:val="32"/>
        </w:rPr>
      </w:pPr>
      <w:bookmarkStart w:id="254" w:name="_Toc9780"/>
      <w:bookmarkStart w:id="255" w:name="_Toc4467"/>
      <w:bookmarkStart w:id="256" w:name="_Toc29858"/>
      <w:bookmarkStart w:id="257" w:name="_Toc51662613"/>
      <w:bookmarkStart w:id="258" w:name="_Toc16172"/>
      <w:bookmarkStart w:id="259" w:name="_Toc13014"/>
      <w:bookmarkStart w:id="260" w:name="_Toc51662801"/>
      <w:r>
        <w:rPr>
          <w:rFonts w:hint="eastAsia" w:ascii="仿宋_GB2312" w:eastAsia="仿宋_GB2312"/>
          <w:color w:val="000000"/>
          <w:sz w:val="32"/>
          <w:szCs w:val="32"/>
        </w:rPr>
        <w:t>13. 一般公共服务（类）市场监督管理事务（款）市场监管执法（项）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指市场监督管理中执法监管支出。</w:t>
      </w:r>
      <w:bookmarkEnd w:id="254"/>
      <w:bookmarkEnd w:id="255"/>
      <w:bookmarkEnd w:id="256"/>
      <w:bookmarkEnd w:id="257"/>
      <w:bookmarkEnd w:id="258"/>
      <w:bookmarkEnd w:id="259"/>
      <w:bookmarkEnd w:id="260"/>
    </w:p>
    <w:p>
      <w:pPr>
        <w:spacing w:line="594" w:lineRule="exact"/>
        <w:ind w:firstLine="640" w:firstLineChars="200"/>
        <w:outlineLvl w:val="1"/>
        <w:rPr>
          <w:rFonts w:ascii="仿宋_GB2312" w:eastAsia="仿宋_GB2312"/>
          <w:color w:val="000000"/>
          <w:sz w:val="32"/>
          <w:szCs w:val="32"/>
        </w:rPr>
      </w:pPr>
      <w:bookmarkStart w:id="261" w:name="_Toc23940"/>
      <w:bookmarkStart w:id="262" w:name="_Toc51662614"/>
      <w:bookmarkStart w:id="263" w:name="_Toc51662802"/>
      <w:bookmarkStart w:id="264" w:name="_Toc8902"/>
      <w:bookmarkStart w:id="265" w:name="_Toc19750"/>
      <w:bookmarkStart w:id="266" w:name="_Toc23287"/>
      <w:bookmarkStart w:id="267" w:name="_Toc10083"/>
      <w:r>
        <w:rPr>
          <w:rFonts w:hint="eastAsia" w:ascii="仿宋_GB2312" w:eastAsia="仿宋_GB2312"/>
          <w:color w:val="000000"/>
          <w:sz w:val="32"/>
          <w:szCs w:val="32"/>
        </w:rPr>
        <w:t>14.一般公共服务（类）市场监督管理事务（款）药品事务（项）</w:t>
      </w:r>
      <w:r>
        <w:rPr>
          <w:rFonts w:ascii="仿宋_GB2312" w:eastAsia="仿宋_GB2312"/>
          <w:color w:val="000000"/>
          <w:sz w:val="32"/>
          <w:szCs w:val="32"/>
        </w:rPr>
        <w:t>:</w:t>
      </w:r>
      <w:r>
        <w:rPr>
          <w:rFonts w:hint="eastAsia" w:ascii="仿宋_GB2312" w:eastAsia="仿宋_GB2312"/>
          <w:color w:val="000000"/>
          <w:sz w:val="32"/>
          <w:szCs w:val="32"/>
        </w:rPr>
        <w:t>市场监督管理中药品及不良反应、执法检督支出。</w:t>
      </w:r>
      <w:bookmarkEnd w:id="261"/>
      <w:bookmarkEnd w:id="262"/>
      <w:bookmarkEnd w:id="263"/>
      <w:bookmarkEnd w:id="264"/>
      <w:bookmarkEnd w:id="265"/>
      <w:bookmarkEnd w:id="266"/>
      <w:bookmarkEnd w:id="267"/>
    </w:p>
    <w:p>
      <w:pPr>
        <w:spacing w:line="594" w:lineRule="exact"/>
        <w:ind w:firstLine="640" w:firstLineChars="200"/>
        <w:outlineLvl w:val="1"/>
        <w:rPr>
          <w:rFonts w:ascii="仿宋_GB2312" w:eastAsia="仿宋_GB2312"/>
          <w:color w:val="000000"/>
          <w:sz w:val="32"/>
          <w:szCs w:val="32"/>
        </w:rPr>
      </w:pPr>
      <w:bookmarkStart w:id="268" w:name="_Toc14210"/>
      <w:bookmarkStart w:id="269" w:name="_Toc51662615"/>
      <w:bookmarkStart w:id="270" w:name="_Toc7960"/>
      <w:bookmarkStart w:id="271" w:name="_Toc8836"/>
      <w:bookmarkStart w:id="272" w:name="_Toc11203"/>
      <w:bookmarkStart w:id="273" w:name="_Toc51662803"/>
      <w:bookmarkStart w:id="274" w:name="_Toc6236"/>
      <w:r>
        <w:rPr>
          <w:rFonts w:hint="eastAsia" w:ascii="仿宋_GB2312" w:eastAsia="仿宋_GB2312"/>
          <w:color w:val="000000"/>
          <w:sz w:val="32"/>
          <w:szCs w:val="32"/>
        </w:rPr>
        <w:t>15. 一般公共服务（类）市场监督管理事务（款）事业运行（项）</w:t>
      </w:r>
      <w:r>
        <w:rPr>
          <w:rFonts w:ascii="仿宋_GB2312" w:eastAsia="仿宋_GB2312"/>
          <w:color w:val="000000"/>
          <w:sz w:val="32"/>
          <w:szCs w:val="32"/>
        </w:rPr>
        <w:t xml:space="preserve">: </w:t>
      </w:r>
      <w:r>
        <w:rPr>
          <w:rFonts w:hint="eastAsia" w:ascii="仿宋_GB2312" w:eastAsia="仿宋_GB2312"/>
          <w:color w:val="000000"/>
          <w:sz w:val="32"/>
          <w:szCs w:val="32"/>
        </w:rPr>
        <w:t>市场监督管理中事业支出。</w:t>
      </w:r>
      <w:bookmarkEnd w:id="268"/>
      <w:bookmarkEnd w:id="269"/>
      <w:bookmarkEnd w:id="270"/>
      <w:bookmarkEnd w:id="271"/>
      <w:bookmarkEnd w:id="272"/>
      <w:bookmarkEnd w:id="273"/>
      <w:bookmarkEnd w:id="274"/>
    </w:p>
    <w:p>
      <w:pPr>
        <w:spacing w:line="594" w:lineRule="exact"/>
        <w:ind w:firstLine="640" w:firstLineChars="200"/>
        <w:outlineLvl w:val="1"/>
        <w:rPr>
          <w:rFonts w:ascii="仿宋_GB2312" w:eastAsia="仿宋_GB2312"/>
          <w:color w:val="000000"/>
          <w:sz w:val="32"/>
          <w:szCs w:val="32"/>
        </w:rPr>
      </w:pPr>
      <w:bookmarkStart w:id="275" w:name="_Toc51662616"/>
      <w:bookmarkStart w:id="276" w:name="_Toc51662804"/>
      <w:bookmarkStart w:id="277" w:name="_Toc8948"/>
      <w:bookmarkStart w:id="278" w:name="_Toc11966"/>
      <w:bookmarkStart w:id="279" w:name="_Toc10341"/>
      <w:bookmarkStart w:id="280" w:name="_Toc6311"/>
      <w:bookmarkStart w:id="281" w:name="_Toc10570"/>
      <w:r>
        <w:rPr>
          <w:rFonts w:hint="eastAsia" w:ascii="仿宋_GB2312" w:eastAsia="仿宋_GB2312"/>
          <w:color w:val="000000"/>
          <w:sz w:val="32"/>
          <w:szCs w:val="32"/>
        </w:rPr>
        <w:t>16. 一般公共服务（类）市场监督管理事务（款）其他市场监督管理事务（项）</w:t>
      </w:r>
      <w:r>
        <w:rPr>
          <w:rFonts w:ascii="仿宋_GB2312" w:eastAsia="仿宋_GB2312"/>
          <w:color w:val="000000"/>
          <w:sz w:val="32"/>
          <w:szCs w:val="32"/>
        </w:rPr>
        <w:t xml:space="preserve">: </w:t>
      </w:r>
      <w:r>
        <w:rPr>
          <w:rFonts w:hint="eastAsia" w:ascii="仿宋_GB2312" w:eastAsia="仿宋_GB2312"/>
          <w:color w:val="000000"/>
          <w:sz w:val="32"/>
          <w:szCs w:val="32"/>
        </w:rPr>
        <w:t>市场管理管理避其他支出，如抽检、餐饮、流通监管支出。</w:t>
      </w:r>
      <w:bookmarkEnd w:id="275"/>
      <w:bookmarkEnd w:id="276"/>
      <w:bookmarkEnd w:id="277"/>
      <w:bookmarkEnd w:id="278"/>
      <w:bookmarkEnd w:id="279"/>
      <w:bookmarkEnd w:id="280"/>
      <w:bookmarkEnd w:id="281"/>
    </w:p>
    <w:p>
      <w:pPr>
        <w:spacing w:line="594" w:lineRule="exact"/>
        <w:ind w:firstLine="640" w:firstLineChars="200"/>
        <w:outlineLvl w:val="1"/>
        <w:rPr>
          <w:rFonts w:ascii="仿宋_GB2312" w:eastAsia="仿宋_GB2312"/>
          <w:color w:val="000000"/>
          <w:sz w:val="32"/>
          <w:szCs w:val="32"/>
        </w:rPr>
      </w:pPr>
      <w:bookmarkStart w:id="282" w:name="_Toc19411"/>
      <w:bookmarkStart w:id="283" w:name="_Toc16463"/>
      <w:bookmarkStart w:id="284" w:name="_Toc25784"/>
      <w:bookmarkStart w:id="285" w:name="_Toc4901"/>
      <w:bookmarkStart w:id="286" w:name="_Toc51662805"/>
      <w:bookmarkStart w:id="287" w:name="_Toc16237"/>
      <w:bookmarkStart w:id="288" w:name="_Toc51662617"/>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指机关中基本养老保险支出。</w:t>
      </w:r>
      <w:bookmarkEnd w:id="282"/>
      <w:bookmarkEnd w:id="283"/>
      <w:bookmarkEnd w:id="284"/>
      <w:bookmarkEnd w:id="285"/>
      <w:bookmarkEnd w:id="286"/>
      <w:bookmarkEnd w:id="287"/>
      <w:bookmarkEnd w:id="288"/>
    </w:p>
    <w:p>
      <w:pPr>
        <w:spacing w:line="594" w:lineRule="exact"/>
        <w:ind w:firstLine="640" w:firstLineChars="200"/>
        <w:outlineLvl w:val="1"/>
        <w:rPr>
          <w:rFonts w:ascii="仿宋_GB2312" w:eastAsia="仿宋_GB2312"/>
          <w:color w:val="000000"/>
          <w:sz w:val="32"/>
          <w:szCs w:val="32"/>
        </w:rPr>
      </w:pPr>
      <w:bookmarkStart w:id="289" w:name="_Toc51662618"/>
      <w:bookmarkStart w:id="290" w:name="_Toc17234"/>
      <w:bookmarkStart w:id="291" w:name="_Toc51662806"/>
      <w:bookmarkStart w:id="292" w:name="_Toc18465"/>
      <w:bookmarkStart w:id="293" w:name="_Toc22452"/>
      <w:bookmarkStart w:id="294" w:name="_Toc8871"/>
      <w:bookmarkStart w:id="295" w:name="_Toc20634"/>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w:t>
      </w:r>
      <w:r>
        <w:rPr>
          <w:rFonts w:hint="eastAsia" w:ascii="仿宋_GB2312" w:eastAsia="仿宋_GB2312"/>
          <w:color w:val="000000"/>
          <w:sz w:val="32"/>
          <w:szCs w:val="32"/>
        </w:rPr>
        <w:t>指职业年金支出。</w:t>
      </w:r>
      <w:bookmarkEnd w:id="289"/>
      <w:bookmarkEnd w:id="290"/>
      <w:bookmarkEnd w:id="291"/>
      <w:bookmarkEnd w:id="292"/>
      <w:bookmarkEnd w:id="293"/>
      <w:bookmarkEnd w:id="294"/>
      <w:bookmarkEnd w:id="295"/>
    </w:p>
    <w:p>
      <w:pPr>
        <w:spacing w:line="594" w:lineRule="exact"/>
        <w:ind w:firstLine="640" w:firstLineChars="200"/>
        <w:outlineLvl w:val="1"/>
        <w:rPr>
          <w:rFonts w:ascii="仿宋_GB2312" w:eastAsia="仿宋_GB2312"/>
          <w:color w:val="000000"/>
          <w:sz w:val="32"/>
          <w:szCs w:val="32"/>
        </w:rPr>
      </w:pPr>
      <w:bookmarkStart w:id="296" w:name="_Toc15730"/>
      <w:bookmarkStart w:id="297" w:name="_Toc3577"/>
      <w:bookmarkStart w:id="298" w:name="_Toc4057"/>
      <w:bookmarkStart w:id="299" w:name="_Toc51662619"/>
      <w:bookmarkStart w:id="300" w:name="_Toc51662807"/>
      <w:bookmarkStart w:id="301" w:name="_Toc29015"/>
      <w:bookmarkStart w:id="302" w:name="_Toc30736"/>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卫生健康（类）公共卫生（款）重大公共卫生专项（项）</w:t>
      </w:r>
      <w:r>
        <w:rPr>
          <w:rFonts w:ascii="仿宋_GB2312" w:eastAsia="仿宋_GB2312"/>
          <w:color w:val="000000"/>
          <w:sz w:val="32"/>
          <w:szCs w:val="32"/>
        </w:rPr>
        <w:t>:</w:t>
      </w:r>
      <w:r>
        <w:rPr>
          <w:rFonts w:hint="eastAsia" w:ascii="仿宋_GB2312" w:eastAsia="仿宋_GB2312"/>
          <w:color w:val="000000"/>
          <w:sz w:val="32"/>
          <w:szCs w:val="32"/>
        </w:rPr>
        <w:t>指重大公共卫生支出及基层能力建设。</w:t>
      </w:r>
      <w:bookmarkEnd w:id="296"/>
      <w:bookmarkEnd w:id="297"/>
      <w:bookmarkEnd w:id="298"/>
      <w:bookmarkEnd w:id="299"/>
      <w:bookmarkEnd w:id="300"/>
      <w:bookmarkEnd w:id="301"/>
      <w:bookmarkEnd w:id="302"/>
    </w:p>
    <w:p>
      <w:pPr>
        <w:spacing w:line="594" w:lineRule="exact"/>
        <w:ind w:firstLine="640" w:firstLineChars="200"/>
        <w:outlineLvl w:val="1"/>
        <w:rPr>
          <w:rFonts w:ascii="仿宋_GB2312" w:eastAsia="仿宋_GB2312"/>
          <w:color w:val="000000"/>
          <w:sz w:val="32"/>
          <w:szCs w:val="32"/>
        </w:rPr>
      </w:pPr>
      <w:bookmarkStart w:id="303" w:name="_Toc28223"/>
      <w:bookmarkStart w:id="304" w:name="_Toc51662808"/>
      <w:bookmarkStart w:id="305" w:name="_Toc16279"/>
      <w:bookmarkStart w:id="306" w:name="_Toc28074"/>
      <w:bookmarkStart w:id="307" w:name="_Toc23367"/>
      <w:bookmarkStart w:id="308" w:name="_Toc51662620"/>
      <w:bookmarkStart w:id="309" w:name="_Toc25963"/>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卫生健康（类）行政事业单位医疗（款）行政单位医疗（项）：指行政人员医疗保险支出。</w:t>
      </w:r>
      <w:bookmarkEnd w:id="303"/>
      <w:bookmarkEnd w:id="304"/>
      <w:bookmarkEnd w:id="305"/>
      <w:bookmarkEnd w:id="306"/>
      <w:bookmarkEnd w:id="307"/>
      <w:bookmarkEnd w:id="308"/>
      <w:bookmarkEnd w:id="309"/>
    </w:p>
    <w:p>
      <w:pPr>
        <w:spacing w:line="594" w:lineRule="exact"/>
        <w:ind w:firstLine="640" w:firstLineChars="200"/>
        <w:outlineLvl w:val="1"/>
        <w:rPr>
          <w:rFonts w:ascii="仿宋_GB2312" w:eastAsia="仿宋_GB2312"/>
          <w:color w:val="000000"/>
          <w:sz w:val="32"/>
          <w:szCs w:val="32"/>
        </w:rPr>
      </w:pPr>
      <w:bookmarkStart w:id="310" w:name="_Toc51662621"/>
      <w:bookmarkStart w:id="311" w:name="_Toc8553"/>
      <w:bookmarkStart w:id="312" w:name="_Toc23581"/>
      <w:bookmarkStart w:id="313" w:name="_Toc51662809"/>
      <w:bookmarkStart w:id="314" w:name="_Toc23601"/>
      <w:bookmarkStart w:id="315" w:name="_Toc30359"/>
      <w:bookmarkStart w:id="316" w:name="_Toc22157"/>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卫生健康（类）行政事业单位医疗（款）事业单位医疗（项）：指事业人员医疗保险支出。</w:t>
      </w:r>
      <w:bookmarkEnd w:id="310"/>
      <w:bookmarkEnd w:id="311"/>
      <w:bookmarkEnd w:id="312"/>
      <w:bookmarkEnd w:id="313"/>
      <w:bookmarkEnd w:id="314"/>
      <w:bookmarkEnd w:id="315"/>
      <w:bookmarkEnd w:id="316"/>
    </w:p>
    <w:p>
      <w:pPr>
        <w:spacing w:line="594" w:lineRule="exact"/>
        <w:ind w:firstLine="640" w:firstLineChars="200"/>
        <w:outlineLvl w:val="1"/>
        <w:rPr>
          <w:rFonts w:ascii="仿宋_GB2312" w:eastAsia="仿宋_GB2312"/>
          <w:color w:val="000000"/>
          <w:sz w:val="32"/>
          <w:szCs w:val="32"/>
        </w:rPr>
      </w:pPr>
      <w:bookmarkStart w:id="317" w:name="_Toc51662810"/>
      <w:bookmarkStart w:id="318" w:name="_Toc51662622"/>
      <w:bookmarkStart w:id="319" w:name="_Toc14988"/>
      <w:bookmarkStart w:id="320" w:name="_Toc28869"/>
      <w:bookmarkStart w:id="321" w:name="_Toc7753"/>
      <w:bookmarkStart w:id="322" w:name="_Toc3526"/>
      <w:bookmarkStart w:id="323" w:name="_Toc21300"/>
      <w:r>
        <w:rPr>
          <w:rFonts w:hint="eastAsia" w:ascii="仿宋_GB2312" w:eastAsia="仿宋_GB2312"/>
          <w:color w:val="000000"/>
          <w:sz w:val="32"/>
          <w:szCs w:val="32"/>
        </w:rPr>
        <w:t>22.农林水（类）扶贫（款）其他扶贫支出（项）：指第一书记经费支出。</w:t>
      </w:r>
      <w:bookmarkEnd w:id="317"/>
      <w:bookmarkEnd w:id="318"/>
      <w:bookmarkEnd w:id="319"/>
      <w:bookmarkEnd w:id="320"/>
      <w:bookmarkEnd w:id="321"/>
      <w:bookmarkEnd w:id="322"/>
      <w:bookmarkEnd w:id="323"/>
    </w:p>
    <w:p>
      <w:pPr>
        <w:spacing w:line="594" w:lineRule="exact"/>
        <w:ind w:firstLine="640" w:firstLineChars="200"/>
        <w:outlineLvl w:val="1"/>
        <w:rPr>
          <w:rFonts w:ascii="仿宋_GB2312" w:eastAsia="仿宋_GB2312"/>
          <w:color w:val="000000"/>
          <w:sz w:val="32"/>
          <w:szCs w:val="32"/>
        </w:rPr>
      </w:pPr>
      <w:bookmarkStart w:id="324" w:name="_Toc31718"/>
      <w:bookmarkStart w:id="325" w:name="_Toc16689"/>
      <w:bookmarkStart w:id="326" w:name="_Toc415"/>
      <w:bookmarkStart w:id="327" w:name="_Toc21179"/>
      <w:bookmarkStart w:id="328" w:name="_Toc51662623"/>
      <w:bookmarkStart w:id="329" w:name="_Toc51662811"/>
      <w:bookmarkStart w:id="330" w:name="_Toc23692"/>
      <w:r>
        <w:rPr>
          <w:rFonts w:hint="eastAsia" w:ascii="仿宋_GB2312" w:eastAsia="仿宋_GB2312"/>
          <w:color w:val="000000"/>
          <w:sz w:val="32"/>
          <w:szCs w:val="32"/>
        </w:rPr>
        <w:t>14.住房保障支出（类）住房改革支出（款）住房公积金（项）：指住房公积金支出。</w:t>
      </w:r>
      <w:bookmarkEnd w:id="324"/>
      <w:bookmarkEnd w:id="325"/>
      <w:bookmarkEnd w:id="326"/>
      <w:bookmarkEnd w:id="327"/>
      <w:bookmarkEnd w:id="328"/>
      <w:bookmarkEnd w:id="329"/>
      <w:bookmarkEnd w:id="330"/>
    </w:p>
    <w:p>
      <w:pPr>
        <w:spacing w:line="594" w:lineRule="exact"/>
        <w:ind w:firstLine="640" w:firstLineChars="200"/>
        <w:outlineLvl w:val="1"/>
        <w:rPr>
          <w:rFonts w:ascii="仿宋_GB2312" w:eastAsia="仿宋_GB2312"/>
          <w:color w:val="000000"/>
          <w:sz w:val="32"/>
          <w:szCs w:val="32"/>
        </w:rPr>
      </w:pPr>
      <w:bookmarkStart w:id="331" w:name="_Toc32431"/>
      <w:bookmarkStart w:id="332" w:name="_Toc3850"/>
      <w:bookmarkStart w:id="333" w:name="_Toc51662624"/>
      <w:bookmarkStart w:id="334" w:name="_Toc24656"/>
      <w:bookmarkStart w:id="335" w:name="_Toc51662812"/>
      <w:bookmarkStart w:id="336" w:name="_Toc18978"/>
      <w:bookmarkStart w:id="337" w:name="_Toc21183"/>
      <w:r>
        <w:rPr>
          <w:rFonts w:hint="eastAsia" w:ascii="仿宋_GB2312" w:eastAsia="仿宋_GB2312"/>
          <w:color w:val="000000"/>
          <w:sz w:val="32"/>
          <w:szCs w:val="32"/>
        </w:rPr>
        <w:t>15. 住房保障支出（类）住房改革支出（款）购房补贴（项）：指退休人员购房补贴。</w:t>
      </w:r>
      <w:bookmarkEnd w:id="331"/>
      <w:bookmarkEnd w:id="332"/>
      <w:bookmarkEnd w:id="333"/>
      <w:bookmarkEnd w:id="334"/>
      <w:bookmarkEnd w:id="335"/>
      <w:bookmarkEnd w:id="336"/>
      <w:bookmarkEnd w:id="337"/>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94"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94"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420" w:firstLineChars="200"/>
        <w:rPr>
          <w:rFonts w:ascii="仿宋_GB2312" w:eastAsia="仿宋_GB2312" w:cs="仿宋_GB2312"/>
          <w:sz w:val="32"/>
          <w:szCs w:val="32"/>
        </w:rPr>
      </w:pPr>
      <w:r>
        <w:rPr>
          <w:rFonts w:ascii="宋体"/>
          <w:color w:val="000000"/>
        </w:rPr>
        <w:br w:type="page"/>
      </w:r>
    </w:p>
    <w:p>
      <w:pPr>
        <w:spacing w:line="600" w:lineRule="exact"/>
        <w:jc w:val="center"/>
        <w:outlineLvl w:val="0"/>
        <w:rPr>
          <w:rStyle w:val="23"/>
          <w:rFonts w:ascii="黑体" w:eastAsia="黑体"/>
          <w:b w:val="0"/>
        </w:rPr>
      </w:pPr>
      <w:bookmarkStart w:id="338" w:name="_Toc4093"/>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338"/>
    </w:p>
    <w:p>
      <w:pPr>
        <w:spacing w:line="600" w:lineRule="exact"/>
        <w:jc w:val="left"/>
        <w:outlineLvl w:val="0"/>
        <w:rPr>
          <w:rFonts w:ascii="方正小标宋简体" w:eastAsia="方正小标宋简体" w:cs="方正小标宋简体"/>
          <w:sz w:val="32"/>
          <w:szCs w:val="32"/>
        </w:rPr>
      </w:pPr>
      <w:bookmarkStart w:id="339" w:name="_Toc25235"/>
      <w:r>
        <w:rPr>
          <w:rFonts w:hint="eastAsia" w:ascii="黑体" w:eastAsia="黑体" w:cs="黑体"/>
          <w:sz w:val="32"/>
          <w:szCs w:val="32"/>
        </w:rPr>
        <w:t>附件</w:t>
      </w:r>
      <w:r>
        <w:rPr>
          <w:rFonts w:ascii="黑体" w:eastAsia="黑体" w:cs="黑体"/>
          <w:sz w:val="32"/>
          <w:szCs w:val="32"/>
        </w:rPr>
        <w:t>1</w:t>
      </w:r>
      <w:bookmarkEnd w:id="339"/>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340" w:name="_Toc17745"/>
      <w:r>
        <w:rPr>
          <w:rFonts w:ascii="方正小标宋简体" w:eastAsia="方正小标宋简体" w:cs="黑体"/>
          <w:sz w:val="44"/>
          <w:szCs w:val="44"/>
        </w:rPr>
        <w:t>茂县市场监督管理局</w:t>
      </w:r>
      <w:bookmarkEnd w:id="340"/>
    </w:p>
    <w:p>
      <w:pPr>
        <w:spacing w:line="600" w:lineRule="exact"/>
        <w:jc w:val="center"/>
        <w:outlineLvl w:val="0"/>
        <w:rPr>
          <w:rFonts w:ascii="方正小标宋简体" w:eastAsia="方正小标宋简体" w:cs="黑体"/>
          <w:sz w:val="44"/>
          <w:szCs w:val="44"/>
        </w:rPr>
      </w:pPr>
      <w:bookmarkStart w:id="341" w:name="_Toc24900"/>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341"/>
    </w:p>
    <w:p>
      <w:pPr>
        <w:spacing w:line="580" w:lineRule="exact"/>
        <w:ind w:firstLine="640" w:firstLineChars="200"/>
        <w:rPr>
          <w:rFonts w:ascii="仿宋_GB2312" w:eastAsia="仿宋_GB2312" w:cs="仿宋_GB2312"/>
          <w:sz w:val="32"/>
          <w:szCs w:val="32"/>
        </w:rPr>
      </w:pP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一、部门（单位）概况</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（一）机构组成</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rPr>
        <w:t>茂县市场监督管理局为县级独立的法人机构，下属二级预算单位0个，参照公务员法管理的事业单位1个，其他事业单位</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个。</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（二）机构职能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负责辖区工商企业、农民专业合作社和从事经营活动的单位、个人以及上级授权办理的其他市场主体的登记注册工作；负责辖区市场经济秩序监督管理；负责辖区商标和广告监督管理工作；负责辖区合同监督管理工作；负责辖区保护消费者合法权益工作；负责管理和指导辖区质量工作；负责辖区计量监督管理工作；负责辖区标准化管理工作；负责特种设备的安全监察工作；负责食品安全生产、流通、消费环节的行政许可和监督管理；承担县食品安全委员会的日常工作；负责辖区相关市场监管领域安全事故应急体系建设，组织和指导重大突发事件应对处置和调查处理工作，监督事故查处落实情况；承担茂县保护消费者权益委员会日常工作，组织指导个体私营经济协会的相关工作。</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（三）人员概况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总编制40名,其中:行政编制23名,参照公务员法管理的事业编制7名，行政工勤编制3名，事业编制7名。在职人员总数</w:t>
      </w:r>
      <w:r>
        <w:rPr>
          <w:rFonts w:ascii="Times New Roman" w:hAnsi="Times New Roman" w:eastAsia="仿宋" w:cs="Times New Roman"/>
          <w:sz w:val="32"/>
          <w:szCs w:val="32"/>
          <w:lang w:val="en-US" w:eastAsia="zh-CN"/>
        </w:rPr>
        <w:t>34</w:t>
      </w:r>
      <w:r>
        <w:rPr>
          <w:rFonts w:ascii="Times New Roman" w:hAnsi="Times New Roman" w:eastAsia="仿宋" w:cs="Times New Roman"/>
          <w:sz w:val="32"/>
          <w:szCs w:val="32"/>
        </w:rPr>
        <w:t>名，其中：行政人员2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名，参照公务员法管理的事业人员</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名，行政工勤人员4名；事业人员</w:t>
      </w:r>
      <w:r>
        <w:rPr>
          <w:rFonts w:ascii="Times New Roman" w:hAnsi="Times New Roman" w:eastAsia="仿宋" w:cs="Times New Roman"/>
          <w:sz w:val="32"/>
          <w:szCs w:val="32"/>
          <w:lang w:val="en-US" w:eastAsia="zh-CN"/>
        </w:rPr>
        <w:t>4</w:t>
      </w:r>
      <w:r>
        <w:rPr>
          <w:rFonts w:ascii="Times New Roman" w:hAnsi="Times New Roman" w:eastAsia="仿宋" w:cs="Times New Roman"/>
          <w:sz w:val="32"/>
          <w:szCs w:val="32"/>
        </w:rPr>
        <w:t>名，事业工勤人员2名。离休人员0人，退休人员18人；人员减少主要原因是机构改革人员调动。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二、部门财政资金收支情况</w:t>
      </w:r>
    </w:p>
    <w:p>
      <w:pPr>
        <w:spacing w:line="560" w:lineRule="exact"/>
        <w:ind w:left="0" w:firstLine="481" w:firstLineChars="150"/>
        <w:rPr>
          <w:rFonts w:ascii="Times New Roman" w:hAnsi="Times New Roman" w:eastAsia="楷体_GB2312" w:cs="Times New Roman"/>
          <w:sz w:val="32"/>
          <w:szCs w:val="32"/>
        </w:rPr>
      </w:pPr>
      <w:r>
        <w:rPr>
          <w:rFonts w:ascii="Times New Roman" w:hAnsi="Times New Roman" w:eastAsia="楷体_GB2312" w:cs="Times New Roman"/>
          <w:b/>
          <w:bCs/>
          <w:sz w:val="32"/>
          <w:szCs w:val="32"/>
        </w:rPr>
        <w:t>（一）部门财政资金收入情况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年收入</w:t>
      </w:r>
      <w:r>
        <w:rPr>
          <w:rFonts w:ascii="Times New Roman" w:hAnsi="Times New Roman" w:eastAsia="仿宋_GB2312" w:cs="Times New Roman"/>
          <w:sz w:val="32"/>
          <w:szCs w:val="32"/>
          <w:lang w:val="en-US" w:eastAsia="zh-CN"/>
        </w:rPr>
        <w:t>647.61</w:t>
      </w:r>
      <w:r>
        <w:rPr>
          <w:rFonts w:hint="eastAsia" w:eastAsia="仿宋_GB2312" w:cs="Times New Roman"/>
          <w:sz w:val="32"/>
          <w:szCs w:val="32"/>
          <w:lang w:val="en-US" w:eastAsia="zh-CN"/>
        </w:rPr>
        <w:t>万</w:t>
      </w:r>
      <w:r>
        <w:rPr>
          <w:rFonts w:ascii="Times New Roman" w:hAnsi="Times New Roman" w:eastAsia="仿宋" w:cs="Times New Roman"/>
          <w:sz w:val="32"/>
          <w:szCs w:val="32"/>
        </w:rPr>
        <w:t>元，其中：基本收入</w:t>
      </w:r>
      <w:r>
        <w:rPr>
          <w:rFonts w:ascii="Times New Roman" w:hAnsi="Times New Roman" w:eastAsia="仿宋" w:cs="Times New Roman"/>
          <w:sz w:val="32"/>
          <w:szCs w:val="32"/>
          <w:lang w:val="en-US" w:eastAsia="zh-CN"/>
        </w:rPr>
        <w:t>620.67</w:t>
      </w:r>
      <w:r>
        <w:rPr>
          <w:rFonts w:hint="eastAsia" w:eastAsia="仿宋" w:cs="Times New Roman"/>
          <w:sz w:val="32"/>
          <w:szCs w:val="32"/>
          <w:lang w:val="en-US" w:eastAsia="zh-CN"/>
        </w:rPr>
        <w:t>万</w:t>
      </w:r>
      <w:r>
        <w:rPr>
          <w:rFonts w:ascii="Times New Roman" w:hAnsi="Times New Roman" w:eastAsia="仿宋" w:cs="Times New Roman"/>
          <w:sz w:val="32"/>
          <w:szCs w:val="32"/>
        </w:rPr>
        <w:t>元，项目收入</w:t>
      </w:r>
      <w:r>
        <w:rPr>
          <w:rFonts w:ascii="Times New Roman" w:hAnsi="Times New Roman" w:eastAsia="仿宋" w:cs="Times New Roman"/>
          <w:sz w:val="32"/>
          <w:szCs w:val="32"/>
          <w:lang w:val="en-US" w:eastAsia="zh-CN"/>
        </w:rPr>
        <w:t>26.93</w:t>
      </w:r>
      <w:r>
        <w:rPr>
          <w:rFonts w:hint="eastAsia" w:eastAsia="仿宋" w:cs="Times New Roman"/>
          <w:sz w:val="32"/>
          <w:szCs w:val="32"/>
          <w:lang w:val="en-US" w:eastAsia="zh-CN"/>
        </w:rPr>
        <w:t>万</w:t>
      </w:r>
      <w:r>
        <w:rPr>
          <w:rFonts w:ascii="Times New Roman" w:hAnsi="Times New Roman" w:eastAsia="仿宋" w:cs="Times New Roman"/>
          <w:sz w:val="32"/>
          <w:szCs w:val="32"/>
        </w:rPr>
        <w:t>元。</w:t>
      </w:r>
    </w:p>
    <w:p>
      <w:pPr>
        <w:spacing w:line="560" w:lineRule="exact"/>
        <w:ind w:left="0" w:firstLine="481" w:firstLineChars="150"/>
        <w:rPr>
          <w:rFonts w:ascii="Times New Roman" w:hAnsi="Times New Roman" w:eastAsia="楷体_GB2312"/>
          <w:b/>
          <w:bCs/>
          <w:sz w:val="32"/>
          <w:szCs w:val="32"/>
        </w:rPr>
      </w:pPr>
      <w:r>
        <w:rPr>
          <w:rFonts w:ascii="Times New Roman" w:hAnsi="Times New Roman" w:eastAsia="楷体_GB2312"/>
          <w:b/>
          <w:bCs/>
          <w:sz w:val="32"/>
          <w:szCs w:val="32"/>
        </w:rPr>
        <w:t>（二）部门财政资金支出情况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年支出</w:t>
      </w:r>
      <w:r>
        <w:rPr>
          <w:rFonts w:ascii="Times New Roman" w:hAnsi="Times New Roman" w:eastAsia="仿宋_GB2312" w:cs="Times New Roman"/>
          <w:sz w:val="32"/>
          <w:szCs w:val="32"/>
          <w:lang w:val="en-US" w:eastAsia="zh-CN"/>
        </w:rPr>
        <w:t>718.44万元</w:t>
      </w:r>
      <w:r>
        <w:rPr>
          <w:rFonts w:ascii="Times New Roman" w:hAnsi="Times New Roman" w:eastAsia="仿宋" w:cs="Times New Roman"/>
          <w:sz w:val="32"/>
          <w:szCs w:val="32"/>
        </w:rPr>
        <w:t>，其中：其中基本支出</w:t>
      </w:r>
      <w:r>
        <w:rPr>
          <w:rFonts w:ascii="Times New Roman" w:hAnsi="Times New Roman" w:eastAsia="仿宋" w:cs="Times New Roman"/>
          <w:sz w:val="32"/>
          <w:szCs w:val="32"/>
          <w:lang w:val="en-US" w:eastAsia="zh-CN"/>
        </w:rPr>
        <w:t>620.67万</w:t>
      </w:r>
      <w:r>
        <w:rPr>
          <w:rFonts w:ascii="Times New Roman" w:hAnsi="Times New Roman" w:eastAsia="仿宋" w:cs="Times New Roman"/>
          <w:sz w:val="32"/>
          <w:szCs w:val="32"/>
        </w:rPr>
        <w:t>元，项目支出</w:t>
      </w:r>
      <w:r>
        <w:rPr>
          <w:rFonts w:ascii="Times New Roman" w:hAnsi="Times New Roman" w:eastAsia="仿宋" w:cs="Times New Roman"/>
          <w:sz w:val="32"/>
          <w:szCs w:val="32"/>
          <w:lang w:val="en-US" w:eastAsia="zh-CN"/>
        </w:rPr>
        <w:t>97.77万</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三、部门整体预算绩效管理情况</w:t>
      </w:r>
    </w:p>
    <w:p>
      <w:pPr>
        <w:spacing w:line="560" w:lineRule="exact"/>
        <w:ind w:firstLine="642" w:firstLineChars="200"/>
        <w:rPr>
          <w:rFonts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（一）部门预算管理。</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预决算编制情况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严格按照县级部门预算编制通知和有关要求，按时完成基础库、项目库报送工作，按时完成202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年预算编制工作，并按时提交部门预算草案。预算编制按照要求以在岗人员为基数，实行人员定额核算。202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年预算批复经费为</w:t>
      </w:r>
      <w:r>
        <w:rPr>
          <w:rFonts w:ascii="Times New Roman" w:hAnsi="Times New Roman" w:eastAsia="仿宋" w:cs="Times New Roman"/>
          <w:sz w:val="32"/>
          <w:szCs w:val="32"/>
          <w:lang w:val="en-US" w:eastAsia="zh-CN"/>
        </w:rPr>
        <w:t>647.61万</w:t>
      </w:r>
      <w:r>
        <w:rPr>
          <w:rFonts w:ascii="Times New Roman" w:hAnsi="Times New Roman" w:eastAsia="仿宋" w:cs="Times New Roman"/>
          <w:sz w:val="32"/>
          <w:szCs w:val="32"/>
        </w:rPr>
        <w:t>元</w:t>
      </w:r>
      <w:r>
        <w:rPr>
          <w:rFonts w:ascii="Times New Roman" w:hAnsi="Times New Roman" w:eastAsia="仿宋" w:cs="Times New Roman"/>
          <w:sz w:val="32"/>
          <w:szCs w:val="32"/>
          <w:lang w:val="en-US" w:eastAsia="zh-CN"/>
        </w:rPr>
        <w:t>。</w:t>
      </w:r>
      <w:r>
        <w:rPr>
          <w:rFonts w:ascii="Times New Roman" w:hAnsi="Times New Roman" w:eastAsia="仿宋" w:cs="Times New Roman"/>
          <w:sz w:val="32"/>
          <w:szCs w:val="32"/>
        </w:rPr>
        <w:t>按规定编制政府采购预算，预算编制全面、科学。202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年部门决算、绩效目标填报及年末结余结转都是严格按照县财政局的要求认真完成。</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执行管理情况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年6月、9月、11月及执行进度达到本部门执行进度。2021年6月执行进度达到本部门执行进度。</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综合管理情况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我局所有采购项目都严格按照采购管理相关要求进行采购，202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年共实施采购2次。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2）</w:t>
      </w:r>
      <w:r>
        <w:rPr>
          <w:rFonts w:ascii="Times New Roman" w:hAnsi="Times New Roman" w:eastAsia="仿宋" w:cs="Times New Roman"/>
          <w:sz w:val="32"/>
          <w:szCs w:val="32"/>
        </w:rPr>
        <w:t>资产管理严格实行账实分离，人员分离，做好的账实相符，确保国有资产的有效运行。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定期实行政务、财务公开，并按受财政部门的监管。</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整体绩效</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部门支出绩效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 xml:space="preserve">年财政拨款安排支出主要用于保障： 1、积极推进商事制度改革。2、积极做好市场主体年报工作。3、深入开展打击传销、规范直销工作。4、红盾春雷行动，开展农资执法打假。5、积极开展违法广告及侵犯注册商标专用权专项整。6、认真无照经营综合治理工作。7、保障民生工程，大力开展消费维权.8、加强食品、药品安全监管，深入开展医疗机构使用药品，医疗器械日常监督工作。9、开展以液化器、电梯、锅炉特种设备安全监察工作。10、人员工资。11、单位正常工作运转。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本支出用于保障单位正常运转的日常支出，包括基本工资、津贴补贴等人员经费。其中：1、办公费主要用于我局行政办公用产生的办公用品支出及少量的打字复印费支出、报刊杂志订阅、办公大楼的零星维修支出以及在工作中产生的一些临时性支出。2、水电费支出主要是正常办公过程中产生的水费、电费支出。3、差旅费主要用于我局出县参加的业务学习培训、会议时产生的住宿、生活费、公杂费、交通费支出。4、接待费主要用于省、州工商、质监、食药监局来我县检查工作时发生的公务接待支出。5、公务车辆运行支出主要用于我局执法车辆中产生的燃油、维修、保养支出。6、其他支出主要用于我局在开展食品药品、质量、工商宣传工作中产生的费用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项目支出，用于保障单位为完成特定的行政工作任务或事业发展目标，用于专项业务工作的经费支出。202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我局主要开展了以下专项行动：春雷行动、主体年报工作、食品药品抽检工作、特种设备专项检查、疫情物资检查、特种设备监管、野生动物保护、价格监管、网络商品交易监管、不正当竞争、侵犯商标、推进民营经济健康发展、放心舒心工作。主要支出为检查中产生的办公费、差旅费、公务车辆运行费及宣传经费等。</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机关节能降耗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年水费</w:t>
      </w:r>
      <w:r>
        <w:rPr>
          <w:rFonts w:ascii="Times New Roman" w:hAnsi="Times New Roman" w:eastAsia="仿宋" w:cs="Times New Roman"/>
          <w:sz w:val="32"/>
          <w:szCs w:val="32"/>
          <w:lang w:val="en-US" w:eastAsia="zh-CN"/>
        </w:rPr>
        <w:t>0.24万</w:t>
      </w:r>
      <w:r>
        <w:rPr>
          <w:rFonts w:ascii="Times New Roman" w:hAnsi="Times New Roman" w:eastAsia="仿宋" w:cs="Times New Roman"/>
          <w:sz w:val="32"/>
          <w:szCs w:val="32"/>
        </w:rPr>
        <w:t>元，电费</w:t>
      </w:r>
      <w:r>
        <w:rPr>
          <w:rFonts w:ascii="Times New Roman" w:hAnsi="Times New Roman" w:eastAsia="仿宋" w:cs="Times New Roman"/>
          <w:sz w:val="32"/>
          <w:szCs w:val="32"/>
          <w:lang w:val="en-US" w:eastAsia="zh-CN"/>
        </w:rPr>
        <w:t>3.48万</w:t>
      </w:r>
      <w:r>
        <w:rPr>
          <w:rFonts w:ascii="Times New Roman" w:hAnsi="Times New Roman" w:eastAsia="仿宋" w:cs="Times New Roman"/>
          <w:sz w:val="32"/>
          <w:szCs w:val="32"/>
        </w:rPr>
        <w:t>元。</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lang w:eastAsia="zh-CN"/>
        </w:rPr>
        <w:t>预算</w:t>
      </w:r>
      <w:r>
        <w:rPr>
          <w:rFonts w:ascii="Times New Roman" w:hAnsi="Times New Roman" w:eastAsia="楷体_GB2312" w:cs="Times New Roman"/>
          <w:b/>
          <w:bCs/>
          <w:sz w:val="32"/>
          <w:szCs w:val="32"/>
        </w:rPr>
        <w:t>完成情况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至2021年12月底，我局各项专项资金的使用到达预期的各项绩效考核目标，圆满地实现了本年度专项资金的绩效考核管理目标。</w:t>
      </w:r>
    </w:p>
    <w:p>
      <w:pPr>
        <w:spacing w:line="560" w:lineRule="exact"/>
        <w:ind w:left="0" w:firstLine="642" w:firstLineChars="20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lang w:eastAsia="zh-CN"/>
        </w:rPr>
        <w:t>资金结余率情况。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2021年资金结余率为9.77%，2022年上半年资金结余率暂无差异。</w:t>
      </w:r>
    </w:p>
    <w:p>
      <w:pPr>
        <w:spacing w:line="560" w:lineRule="exact"/>
        <w:ind w:firstLine="642" w:firstLineChars="200"/>
        <w:rPr>
          <w:rFonts w:ascii="Times New Roman" w:hAnsi="Times New Roman" w:eastAsia="楷体_GB2312" w:cs="Times New Roman"/>
          <w:b/>
          <w:bCs/>
          <w:sz w:val="32"/>
          <w:szCs w:val="32"/>
          <w:lang w:val="en-US" w:eastAsia="zh-CN"/>
        </w:rPr>
      </w:pPr>
      <w:r>
        <w:rPr>
          <w:rFonts w:ascii="Times New Roman" w:hAnsi="Times New Roman" w:eastAsia="楷体_GB2312" w:cs="Times New Roman"/>
          <w:b/>
          <w:bCs/>
          <w:sz w:val="32"/>
          <w:szCs w:val="32"/>
          <w:lang w:val="en-US" w:eastAsia="zh-CN"/>
        </w:rPr>
        <w:t>7.违规记录情况。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2021年我局无违规记录情况。</w:t>
      </w:r>
    </w:p>
    <w:p>
      <w:pPr>
        <w:spacing w:line="560" w:lineRule="exact"/>
        <w:ind w:left="0" w:firstLine="642" w:firstLineChars="200"/>
        <w:rPr>
          <w:rFonts w:ascii="Times New Roman" w:hAnsi="Times New Roman" w:cs="Times New Roman"/>
          <w:lang w:val="en-US" w:eastAsia="zh-CN"/>
        </w:rPr>
      </w:pPr>
      <w:r>
        <w:rPr>
          <w:rFonts w:ascii="Times New Roman" w:hAnsi="Times New Roman" w:eastAsia="楷体_GB2312" w:cs="Times New Roman"/>
          <w:b/>
          <w:bCs/>
          <w:sz w:val="32"/>
          <w:szCs w:val="32"/>
          <w:lang w:val="en-US" w:eastAsia="zh-CN"/>
        </w:rPr>
        <w:t>（二）结果应用情况。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通过整体支出绩效自评，一是增强了各股室的绩效评价主体责任意识；二是促进规范使用各种资金；三是绩效评价结果作为年终综合考核的重要依据。</w:t>
      </w:r>
    </w:p>
    <w:p>
      <w:pPr>
        <w:spacing w:line="560" w:lineRule="exact"/>
        <w:ind w:firstLine="469" w:firstLineChars="146"/>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自评质量。</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1.整体支出绩效自评结论</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（1）2021年完成整体市场监管任务目标。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（2）经济性：资金实行专款专用，严格执行集中支付和报账制度，做到合法合规，不超范围、超标准支出，不存在任何截留、挤占、挪用资金，经费控制率达标。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（3）效率性：重点工作完成效率、绩效目标完成效率达标。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 xml:space="preserve">（4）效果性：通过项目的执行，促进了市场健康有序发展，提高了药品食品企业的社会责任感，提高了经营户的质量管理水平，促进经营户的发展，更好的保证了饮食用药安全，提高了全民健康水平，同时营造了公平竟争的市场环境。 </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2.自评分数： 预算执行效益自评分数为</w:t>
      </w:r>
      <w:r>
        <w:rPr>
          <w:rFonts w:hint="eastAsia" w:ascii="Times New Roman" w:hAnsi="Times New Roman" w:eastAsia="仿宋" w:cs="Times New Roman"/>
          <w:sz w:val="32"/>
          <w:szCs w:val="32"/>
          <w:lang w:val="en-US" w:eastAsia="zh-CN"/>
        </w:rPr>
        <w:t>89</w:t>
      </w:r>
      <w:r>
        <w:rPr>
          <w:rFonts w:ascii="Times New Roman" w:hAnsi="Times New Roman" w:eastAsia="仿宋" w:cs="Times New Roman"/>
          <w:sz w:val="32"/>
          <w:szCs w:val="32"/>
          <w:lang w:val="en-US" w:eastAsia="zh-CN"/>
        </w:rPr>
        <w:t>分。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、评价结论及建议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年部门支出与年初预算基本一致，达到预期绩效目标。但预算编制还需进一步细化，针对我局预算存在的问题，提出以下建议：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1.遵循先有预算、后有支出的原则，加强财务管理和内部控制监督制度。严禁超预算和无预算安排支出，严格开支范围和标准，严格支出报销审核，不报销任何超范围、超标准的费用。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2.严格控制“三公”经费。认真贯彻落实中央、省委省政府和县委县政府相关规定，严格“三公”经费支出的审核和审批，合理压缩“三公”经费支出。</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left"/>
        <w:outlineLvl w:val="0"/>
        <w:rPr>
          <w:rFonts w:ascii="黑体" w:eastAsia="黑体" w:cs="黑体"/>
          <w:sz w:val="32"/>
          <w:szCs w:val="32"/>
        </w:rPr>
      </w:pPr>
      <w:bookmarkStart w:id="342" w:name="_Toc1493"/>
      <w:r>
        <w:rPr>
          <w:rFonts w:hint="eastAsia" w:ascii="黑体" w:eastAsia="黑体" w:cs="黑体"/>
          <w:sz w:val="32"/>
          <w:szCs w:val="32"/>
        </w:rPr>
        <w:t>附件</w:t>
      </w:r>
      <w:r>
        <w:rPr>
          <w:rFonts w:ascii="黑体" w:eastAsia="黑体" w:cs="黑体"/>
          <w:sz w:val="32"/>
          <w:szCs w:val="32"/>
        </w:rPr>
        <w:t>2</w:t>
      </w:r>
      <w:bookmarkEnd w:id="342"/>
    </w:p>
    <w:p>
      <w:pPr>
        <w:spacing w:line="600" w:lineRule="exact"/>
        <w:jc w:val="center"/>
        <w:outlineLvl w:val="0"/>
        <w:rPr>
          <w:rFonts w:ascii="Times New Roman" w:hAnsi="Times New Roman" w:eastAsia="方正小标宋简体" w:cs="Times New Roman"/>
          <w:sz w:val="44"/>
          <w:szCs w:val="44"/>
          <w:lang w:eastAsia="zh-CN"/>
        </w:rPr>
      </w:pPr>
      <w:bookmarkStart w:id="343" w:name="_Toc8210"/>
      <w:bookmarkStart w:id="344" w:name="_Toc9299"/>
      <w:bookmarkStart w:id="345" w:name="_Toc14176"/>
      <w:bookmarkStart w:id="346" w:name="_Toc22870"/>
      <w:r>
        <w:rPr>
          <w:rFonts w:ascii="Times New Roman" w:hAnsi="Times New Roman" w:eastAsia="方正小标宋简体" w:cs="Times New Roman"/>
          <w:sz w:val="44"/>
          <w:szCs w:val="44"/>
          <w:lang w:eastAsia="zh-CN"/>
        </w:rPr>
        <w:t>茂县市场监督管理局</w:t>
      </w:r>
      <w:bookmarkEnd w:id="343"/>
    </w:p>
    <w:p>
      <w:pPr>
        <w:spacing w:line="600" w:lineRule="exact"/>
        <w:jc w:val="center"/>
        <w:outlineLvl w:val="0"/>
        <w:rPr>
          <w:rFonts w:ascii="Times New Roman" w:hAnsi="Times New Roman" w:eastAsia="方正小标宋简体" w:cs="Times New Roman"/>
          <w:sz w:val="44"/>
          <w:szCs w:val="44"/>
          <w:lang w:eastAsia="zh-CN"/>
        </w:rPr>
      </w:pPr>
      <w:bookmarkStart w:id="347" w:name="_Toc9722"/>
      <w:r>
        <w:rPr>
          <w:rFonts w:ascii="Times New Roman" w:hAnsi="Times New Roman" w:eastAsia="方正小标宋简体" w:cs="Times New Roman"/>
          <w:sz w:val="44"/>
          <w:szCs w:val="44"/>
          <w:lang w:eastAsia="zh-CN"/>
        </w:rPr>
        <w:t>专项预算项目支出绩效自评报告</w:t>
      </w:r>
      <w:bookmarkEnd w:id="347"/>
    </w:p>
    <w:p>
      <w:pPr>
        <w:adjustRightInd w:val="0"/>
        <w:snapToGrid w:val="0"/>
        <w:spacing w:line="594" w:lineRule="exact"/>
        <w:ind w:firstLine="2160" w:firstLineChars="6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（中央食品监管补助资金</w:t>
      </w:r>
      <w:bookmarkEnd w:id="344"/>
      <w:bookmarkEnd w:id="345"/>
      <w:bookmarkEnd w:id="346"/>
      <w:r>
        <w:rPr>
          <w:rFonts w:ascii="Times New Roman" w:hAnsi="Times New Roman" w:eastAsia="仿宋_GB2312" w:cs="Times New Roman"/>
          <w:sz w:val="36"/>
          <w:szCs w:val="36"/>
          <w:lang w:val="zh-CN"/>
        </w:rPr>
        <w:t>）</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1．根据“三定”方案，我局工作职能为负责全县食品安全监督管理。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2．项目立项、资金申报的依据。《阿坝州财政局 阿坝州市场监督管理局关于下达202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年中央药品监管补助资金的通知》（阿州财行〔202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lang w:val="zh-CN"/>
        </w:rPr>
        <w:t>号、阿州财行〔202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lang w:val="zh-CN"/>
        </w:rPr>
        <w:t>万元。</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不断强化我县食品安全监管工作，不断提升食品安全监管水平，强化日常监管和专项整治执法力度，加大对制售假冒伪劣食品违法犯罪活动的打击力度。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3.5</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en-US" w:eastAsia="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万元、</w:t>
      </w:r>
      <w:r>
        <w:rPr>
          <w:rFonts w:ascii="Times New Roman" w:hAnsi="Times New Roman" w:eastAsia="仿宋_GB2312" w:cs="Times New Roman"/>
          <w:sz w:val="32"/>
          <w:szCs w:val="32"/>
          <w:lang w:val="en-US" w:eastAsia="zh-CN"/>
        </w:rPr>
        <w:t>12月收到1.5万元。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3.37</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ind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1.</w:t>
      </w:r>
      <w:r>
        <w:rPr>
          <w:rFonts w:ascii="Times New Roman" w:hAnsi="Times New Roman" w:eastAsia="仿宋_GB2312" w:cs="Times New Roman"/>
          <w:spacing w:val="-4"/>
          <w:sz w:val="32"/>
          <w:szCs w:val="32"/>
        </w:rPr>
        <w:t>数量指</w:t>
      </w:r>
      <w:r>
        <w:rPr>
          <w:rFonts w:ascii="Times New Roman" w:hAnsi="Times New Roman" w:eastAsia="仿宋_GB2312" w:cs="Times New Roman"/>
          <w:spacing w:val="-4"/>
          <w:sz w:val="32"/>
          <w:szCs w:val="32"/>
          <w:lang w:val="en-US" w:eastAsia="zh-CN"/>
        </w:rPr>
        <w:t>标：</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指标1：开展农贸市场规范化建设1个。</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指标2：完成1个A及农贸市场建设。</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指标3：完成1个食品小作坊治理提升工作。</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2.质量指标：</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指标1：农贸市场入场销售者信息档案覆盖率达100%。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指标2：农贸市场开办主体信息明确公示达100%。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指标3：市场内食品抽检应公布信息的公布率达100%。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3.</w:t>
      </w:r>
      <w:r>
        <w:rPr>
          <w:rFonts w:ascii="Times New Roman" w:hAnsi="Times New Roman" w:eastAsia="仿宋_GB2312" w:cs="Times New Roman"/>
          <w:spacing w:val="-4"/>
          <w:sz w:val="32"/>
          <w:szCs w:val="32"/>
        </w:rPr>
        <w:t>时效指标</w:t>
      </w:r>
      <w:r>
        <w:rPr>
          <w:rFonts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lang w:val="en-US" w:eastAsia="zh-CN"/>
        </w:rPr>
        <w:t>2021年底前完成。</w:t>
      </w:r>
    </w:p>
    <w:p>
      <w:pPr>
        <w:adjustRightInd w:val="0"/>
        <w:ind w:firstLine="624" w:firstLineChars="200"/>
        <w:rPr>
          <w:rFonts w:ascii="Times New Roman" w:hAnsi="Times New Roman" w:eastAsia="仿宋_GB2312" w:cs="Times New Roman"/>
          <w:sz w:val="32"/>
          <w:szCs w:val="32"/>
        </w:rPr>
      </w:pPr>
      <w:r>
        <w:rPr>
          <w:rFonts w:ascii="Times New Roman" w:hAnsi="Times New Roman" w:eastAsia="仿宋_GB2312" w:cs="Times New Roman"/>
          <w:spacing w:val="-4"/>
          <w:sz w:val="32"/>
          <w:szCs w:val="32"/>
          <w:lang w:val="en-US" w:eastAsia="zh-CN"/>
        </w:rPr>
        <w:t>4.</w:t>
      </w:r>
      <w:r>
        <w:rPr>
          <w:rFonts w:ascii="Times New Roman" w:hAnsi="Times New Roman" w:eastAsia="仿宋_GB2312" w:cs="Times New Roman"/>
          <w:spacing w:val="-4"/>
          <w:sz w:val="32"/>
          <w:szCs w:val="32"/>
        </w:rPr>
        <w:t>成本指标</w:t>
      </w:r>
      <w:r>
        <w:rPr>
          <w:rFonts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lang w:val="en-US" w:eastAsia="zh-CN"/>
        </w:rPr>
        <w:t>执法监管成本≤100元/人.天；</w:t>
      </w:r>
      <w:r>
        <w:rPr>
          <w:rFonts w:ascii="Times New Roman" w:hAnsi="Times New Roman" w:eastAsia="仿宋_GB2312" w:cs="Times New Roman"/>
          <w:sz w:val="32"/>
          <w:szCs w:val="32"/>
        </w:rPr>
        <w:t xml:space="preserve"> </w:t>
      </w:r>
    </w:p>
    <w:p>
      <w:pPr>
        <w:ind w:firstLine="748" w:firstLineChars="233"/>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 xml:space="preserve">促进市场健康有序发展，提高了药品企业的社会责任感，提高了经营户的质量管理水平，促进经营户的发展，更好的保证了药品安全，提高了全民健康水平，同时营造了公平竟争的市场环境。 </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1.</w:t>
      </w:r>
      <w:r>
        <w:rPr>
          <w:rFonts w:ascii="Times New Roman" w:hAnsi="Times New Roman" w:eastAsia="仿宋_GB2312" w:cs="Times New Roman"/>
          <w:spacing w:val="-4"/>
          <w:sz w:val="32"/>
          <w:szCs w:val="32"/>
        </w:rPr>
        <w:t>经济效益: 促进市场健康有序发展。</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2.</w:t>
      </w:r>
      <w:r>
        <w:rPr>
          <w:rFonts w:ascii="Times New Roman" w:hAnsi="Times New Roman" w:eastAsia="仿宋_GB2312" w:cs="Times New Roman"/>
          <w:spacing w:val="-4"/>
          <w:sz w:val="32"/>
          <w:szCs w:val="32"/>
        </w:rPr>
        <w:t xml:space="preserve">社会效益：提高了食品企业的社会责任感，提高了经营户的质量管理水平，促进经营户的发展，更好的保证了食品安全，提高了全民健康水平，同时营造了公平竟争的市场环境。 </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3.</w:t>
      </w:r>
      <w:r>
        <w:rPr>
          <w:rFonts w:ascii="Times New Roman" w:hAnsi="Times New Roman" w:eastAsia="仿宋_GB2312" w:cs="Times New Roman"/>
          <w:spacing w:val="-4"/>
          <w:sz w:val="32"/>
          <w:szCs w:val="32"/>
        </w:rPr>
        <w:t>可持续影响：通过项目的实施，促进了餐饮、食品生产流通企业等的可持续发展。</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4.</w:t>
      </w:r>
      <w:r>
        <w:rPr>
          <w:rFonts w:ascii="Times New Roman" w:hAnsi="Times New Roman" w:eastAsia="仿宋_GB2312" w:cs="Times New Roman"/>
          <w:spacing w:val="-4"/>
          <w:sz w:val="32"/>
          <w:szCs w:val="32"/>
        </w:rPr>
        <w:t>满意度指标完成情况分析。通过市场监督执法，市场满意度达到了</w:t>
      </w:r>
      <w:r>
        <w:rPr>
          <w:rFonts w:ascii="Times New Roman" w:hAnsi="Times New Roman" w:eastAsia="仿宋_GB2312" w:cs="Times New Roman"/>
          <w:spacing w:val="-4"/>
          <w:sz w:val="32"/>
          <w:szCs w:val="32"/>
          <w:lang w:val="en-US" w:eastAsia="zh-CN"/>
        </w:rPr>
        <w:t>8</w:t>
      </w:r>
      <w:r>
        <w:rPr>
          <w:rFonts w:ascii="Times New Roman" w:hAnsi="Times New Roman" w:eastAsia="仿宋_GB2312" w:cs="Times New Roman"/>
          <w:spacing w:val="-4"/>
          <w:sz w:val="32"/>
          <w:szCs w:val="32"/>
        </w:rPr>
        <w:t>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年我局部门项目支出绩效评价自查自评结果良好，全年项目支出保证了</w:t>
      </w:r>
      <w:r>
        <w:rPr>
          <w:rFonts w:ascii="Times New Roman" w:hAnsi="Times New Roman" w:eastAsia="仿宋_GB2312" w:cs="Times New Roman"/>
          <w:sz w:val="32"/>
          <w:szCs w:val="32"/>
          <w:lang w:eastAsia="zh-CN"/>
        </w:rPr>
        <w:t>食品</w:t>
      </w:r>
      <w:r>
        <w:rPr>
          <w:rFonts w:ascii="Times New Roman" w:hAnsi="Times New Roman" w:eastAsia="仿宋_GB2312" w:cs="Times New Roman"/>
          <w:sz w:val="32"/>
          <w:szCs w:val="32"/>
        </w:rPr>
        <w:t xml:space="preserve">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eastAsia="方正小标宋简体" w:cs="Times New Roman"/>
          <w:sz w:val="44"/>
          <w:szCs w:val="44"/>
          <w:lang w:eastAsia="zh-CN"/>
        </w:rPr>
      </w:pPr>
      <w:bookmarkStart w:id="348" w:name="_Toc4373"/>
      <w:r>
        <w:rPr>
          <w:rFonts w:ascii="Times New Roman" w:hAnsi="Times New Roman" w:eastAsia="方正小标宋简体" w:cs="Times New Roman"/>
          <w:sz w:val="44"/>
          <w:szCs w:val="44"/>
          <w:lang w:eastAsia="zh-CN"/>
        </w:rPr>
        <w:t>茂县市场监督管理局</w:t>
      </w:r>
      <w:bookmarkEnd w:id="348"/>
    </w:p>
    <w:p>
      <w:pPr>
        <w:spacing w:line="600" w:lineRule="exact"/>
        <w:jc w:val="center"/>
        <w:outlineLvl w:val="0"/>
        <w:rPr>
          <w:rFonts w:ascii="Times New Roman" w:hAnsi="Times New Roman" w:eastAsia="方正小标宋简体" w:cs="Times New Roman"/>
          <w:sz w:val="44"/>
          <w:szCs w:val="44"/>
          <w:lang w:eastAsia="zh-CN"/>
        </w:rPr>
      </w:pPr>
      <w:bookmarkStart w:id="349" w:name="_Toc10556"/>
      <w:r>
        <w:rPr>
          <w:rFonts w:ascii="Times New Roman" w:hAnsi="Times New Roman" w:eastAsia="方正小标宋简体" w:cs="Times New Roman"/>
          <w:sz w:val="44"/>
          <w:szCs w:val="44"/>
          <w:lang w:eastAsia="zh-CN"/>
        </w:rPr>
        <w:t>专项预算项目支出绩效自评报告</w:t>
      </w:r>
      <w:bookmarkEnd w:id="349"/>
    </w:p>
    <w:p>
      <w:pPr>
        <w:adjustRightInd w:val="0"/>
        <w:snapToGrid w:val="0"/>
        <w:spacing w:line="594" w:lineRule="exact"/>
        <w:ind w:firstLine="1440" w:firstLineChars="4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（注册区域品牌商标“茂县味道”）</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1．根据“三定”方案，我局工作职能为组织实施质量强县、食品安全、标准化和知识产权战略，实施知识产权保护。</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发展、培育传统优势农产品、绿色生态农产品、羌族特色美，打造具有羌族特色的饮食文</w:t>
      </w:r>
      <w:r>
        <w:rPr>
          <w:rFonts w:hint="eastAsia" w:eastAsia="仿宋_GB2312" w:cs="Times New Roman"/>
          <w:sz w:val="32"/>
          <w:szCs w:val="32"/>
          <w:lang w:val="zh-CN"/>
        </w:rPr>
        <w:t>化</w:t>
      </w:r>
      <w:r>
        <w:rPr>
          <w:rFonts w:ascii="Times New Roman" w:hAnsi="Times New Roman" w:eastAsia="仿宋_GB2312" w:cs="Times New Roman"/>
          <w:sz w:val="32"/>
          <w:szCs w:val="32"/>
          <w:lang w:val="zh-CN"/>
        </w:rPr>
        <w:t>，将传统文化优势和农产品生态价值结合，把“文件化”与“生态”作为核心诉求。以“茂县味道”为区域品牌，全面统筹我县旅游、农业、工艺、文旅、餐饮等产业。</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92</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89.24</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1.数量指标：2021年申报“茂县味道”公共区域品牌，共保护7个类别，现阶段已将申报资料提交到国家知识产权局，并进入实质审查阶段。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2.质量指标：国家知识产权局下发“茂县味道”7个商标注册证、1件版权登记证书。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3.时效指标:2023年1月完成。</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4.成本指标:服务申报费用大于等于100000元/样。</w:t>
      </w:r>
    </w:p>
    <w:p>
      <w:pPr>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1.经济效益:扩大茂县特色产品的市场竞争力，助力乡村振兴。</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2.社会效益：围绕“品牌强县”战略对县域内农产品、特色产品进行统一规划、统一打造、统一实施。</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3.可持续影响：扩大区域品牌的影响力，持续推动县域经济高质量发展。</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年我局部门项目支出绩效评价自查自评结果优，全年项目支出保证了品牌培育工作需要，项目支出保障了重点工作的开展，达到预期绩效目标。   </w:t>
      </w:r>
      <w:r>
        <w:rPr>
          <w:rFonts w:ascii="Times New Roman" w:hAnsi="Times New Roman" w:eastAsia="仿宋_GB2312" w:cs="Times New Roman"/>
          <w:sz w:val="32"/>
          <w:szCs w:val="32"/>
        </w:rPr>
        <w:t xml:space="preserve">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lang w:eastAsia="zh-CN"/>
        </w:rPr>
      </w:pPr>
      <w:bookmarkStart w:id="350" w:name="_Toc9364"/>
      <w:r>
        <w:rPr>
          <w:rFonts w:hint="eastAsia" w:ascii="方正小标宋简体" w:eastAsia="方正小标宋简体" w:cs="黑体"/>
          <w:sz w:val="44"/>
          <w:szCs w:val="44"/>
          <w:lang w:eastAsia="zh-CN"/>
        </w:rPr>
        <w:t>茂县市场监督管理局</w:t>
      </w:r>
      <w:bookmarkEnd w:id="350"/>
    </w:p>
    <w:p>
      <w:pPr>
        <w:spacing w:line="600" w:lineRule="exact"/>
        <w:jc w:val="center"/>
        <w:outlineLvl w:val="0"/>
        <w:rPr>
          <w:rFonts w:hint="eastAsia" w:ascii="方正小标宋简体" w:eastAsia="方正小标宋简体" w:cs="黑体"/>
          <w:sz w:val="44"/>
          <w:szCs w:val="44"/>
          <w:lang w:eastAsia="zh-CN"/>
        </w:rPr>
      </w:pPr>
      <w:bookmarkStart w:id="351" w:name="_Toc13972"/>
      <w:r>
        <w:rPr>
          <w:rFonts w:hint="eastAsia" w:ascii="方正小标宋简体" w:eastAsia="方正小标宋简体" w:cs="黑体"/>
          <w:sz w:val="44"/>
          <w:szCs w:val="44"/>
          <w:lang w:eastAsia="zh-CN"/>
        </w:rPr>
        <w:t>专项预算项目支出绩效自评报告</w:t>
      </w:r>
      <w:bookmarkEnd w:id="351"/>
    </w:p>
    <w:p>
      <w:pPr>
        <w:adjustRightInd w:val="0"/>
        <w:snapToGrid w:val="0"/>
        <w:spacing w:line="594" w:lineRule="exact"/>
        <w:ind w:firstLine="2880" w:firstLineChars="800"/>
        <w:rPr>
          <w:rFonts w:hint="eastAsia" w:ascii="仿宋_GB2312" w:eastAsia="仿宋_GB2312"/>
          <w:sz w:val="36"/>
          <w:szCs w:val="36"/>
          <w:lang w:val="zh-CN"/>
        </w:rPr>
      </w:pPr>
      <w:r>
        <w:rPr>
          <w:rFonts w:hint="eastAsia" w:ascii="仿宋_GB2312" w:eastAsia="仿宋_GB2312"/>
          <w:sz w:val="36"/>
          <w:szCs w:val="36"/>
          <w:lang w:val="zh-CN"/>
        </w:rPr>
        <w:t>（省级专项资金）</w:t>
      </w:r>
    </w:p>
    <w:p>
      <w:pPr>
        <w:adjustRightInd w:val="0"/>
        <w:snapToGrid w:val="0"/>
        <w:spacing w:line="594" w:lineRule="exact"/>
        <w:ind w:firstLine="720"/>
        <w:rPr>
          <w:rFonts w:hint="eastAsia" w:ascii="仿宋_GB2312" w:eastAsia="仿宋_GB2312"/>
          <w:sz w:val="32"/>
          <w:szCs w:val="32"/>
          <w:lang w:val="zh-CN"/>
        </w:rPr>
      </w:pP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1．根据“三定”方案，我局工作职能为监督管理市场秩序、质量安全监督管理、特种设备监督管理、科技信息化建及新闻宣传、民营经营发展、市场主体注册等。</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2．项目立项、资金申报的依据。根据《阿坝州财政局关于下达</w:t>
      </w:r>
      <w:r>
        <w:rPr>
          <w:rFonts w:hint="eastAsia" w:ascii="仿宋_GB2312" w:eastAsia="仿宋_GB2312"/>
          <w:sz w:val="32"/>
          <w:szCs w:val="32"/>
          <w:lang w:val="en-US" w:eastAsia="zh-CN"/>
        </w:rPr>
        <w:t>2021年</w:t>
      </w:r>
      <w:r>
        <w:rPr>
          <w:rFonts w:hint="eastAsia" w:ascii="仿宋_GB2312" w:eastAsia="仿宋_GB2312"/>
          <w:sz w:val="32"/>
          <w:szCs w:val="32"/>
          <w:lang w:val="zh-CN"/>
        </w:rPr>
        <w:t>省级市场监管专项资金的通知》（阿州财行〔</w:t>
      </w:r>
      <w:r>
        <w:rPr>
          <w:rFonts w:hint="eastAsia" w:ascii="仿宋_GB2312" w:eastAsia="仿宋_GB2312"/>
          <w:sz w:val="32"/>
          <w:szCs w:val="32"/>
          <w:lang w:val="en-US" w:eastAsia="zh-CN"/>
        </w:rPr>
        <w:t>2021〕7号、9号、43号）</w:t>
      </w:r>
      <w:r>
        <w:rPr>
          <w:rFonts w:hint="eastAsia" w:ascii="仿宋_GB2312" w:eastAsia="仿宋_GB2312"/>
          <w:sz w:val="32"/>
          <w:szCs w:val="32"/>
          <w:lang w:val="zh-CN"/>
        </w:rPr>
        <w:t>。</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3．严格按照中央、省专项资金项目管理办法实施各专项资金。</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4．202</w:t>
      </w:r>
      <w:r>
        <w:rPr>
          <w:rFonts w:hint="eastAsia" w:ascii="仿宋_GB2312" w:eastAsia="仿宋_GB2312"/>
          <w:sz w:val="32"/>
          <w:szCs w:val="32"/>
          <w:lang w:val="en-US" w:eastAsia="zh-CN"/>
        </w:rPr>
        <w:t>1</w:t>
      </w:r>
      <w:r>
        <w:rPr>
          <w:rFonts w:hint="eastAsia" w:ascii="仿宋_GB2312" w:eastAsia="仿宋_GB2312"/>
          <w:sz w:val="32"/>
          <w:szCs w:val="32"/>
          <w:lang w:val="zh-CN"/>
        </w:rPr>
        <w:t>年安排资金</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94" w:lineRule="exact"/>
        <w:ind w:firstLine="720"/>
        <w:rPr>
          <w:rFonts w:hint="eastAsia"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lang w:val="en-US" w:eastAsia="zh-CN"/>
        </w:rPr>
        <w:t>.</w:t>
      </w:r>
      <w:r>
        <w:rPr>
          <w:rFonts w:hint="eastAsia" w:ascii="仿宋_GB2312" w:eastAsia="仿宋_GB2312"/>
          <w:sz w:val="32"/>
          <w:szCs w:val="32"/>
          <w:lang w:val="zh-CN"/>
        </w:rPr>
        <w:t>项目主要内容</w:t>
      </w:r>
    </w:p>
    <w:p>
      <w:pPr>
        <w:adjustRightInd w:val="0"/>
        <w:snapToGrid w:val="0"/>
        <w:spacing w:line="594" w:lineRule="exact"/>
        <w:ind w:firstLine="720"/>
        <w:rPr>
          <w:rFonts w:hint="eastAsia" w:ascii="仿宋_GB2312" w:eastAsia="仿宋_GB2312"/>
          <w:sz w:val="32"/>
          <w:szCs w:val="32"/>
          <w:lang w:val="zh-CN"/>
        </w:rPr>
      </w:pPr>
      <w:r>
        <w:rPr>
          <w:rFonts w:hint="eastAsia" w:ascii="仿宋_GB2312" w:eastAsia="仿宋_GB2312"/>
          <w:sz w:val="32"/>
          <w:szCs w:val="32"/>
          <w:lang w:val="zh-CN"/>
        </w:rPr>
        <w:t>按照《</w:t>
      </w:r>
      <w:r>
        <w:rPr>
          <w:rFonts w:hint="eastAsia" w:ascii="仿宋_GB2312" w:eastAsia="仿宋_GB2312"/>
          <w:sz w:val="32"/>
          <w:szCs w:val="32"/>
          <w:lang w:val="en-US" w:eastAsia="zh-CN"/>
        </w:rPr>
        <w:t>2021</w:t>
      </w:r>
      <w:r>
        <w:rPr>
          <w:rFonts w:hint="eastAsia" w:ascii="仿宋_GB2312" w:eastAsia="仿宋_GB2312"/>
          <w:sz w:val="32"/>
          <w:szCs w:val="32"/>
          <w:lang w:val="zh-CN"/>
        </w:rPr>
        <w:t>年省级市场监管专项资金项目实施方案》，我局做好了食品安全监管、促进民营经济发展工作、“春雷行动”、市场主体商事制度改革、质量与安全监管工作、抽检、信用监管、市场综合监管、扫黑除恶、百日攻坚、特种设备等工作。</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en-US" w:eastAsia="zh-CN"/>
        </w:rPr>
        <w:t>2.</w:t>
      </w:r>
      <w:r>
        <w:rPr>
          <w:rFonts w:hint="eastAsia" w:ascii="仿宋_GB2312" w:eastAsia="仿宋_GB2312"/>
          <w:sz w:val="32"/>
          <w:szCs w:val="32"/>
          <w:lang w:val="zh-CN"/>
        </w:rPr>
        <w:t>项目分别从项目完成指标、效益指标、满意度指标方面进行了分解。</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3．项目资金申报内容与具体实施内容相符、申报目标合理可行。</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对照绩效考评表内容逐项进行检查。</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我局申请</w:t>
      </w:r>
      <w:r>
        <w:rPr>
          <w:rFonts w:hint="eastAsia" w:ascii="仿宋_GB2312" w:eastAsia="仿宋_GB2312"/>
          <w:sz w:val="32"/>
          <w:szCs w:val="32"/>
          <w:lang w:val="en-US" w:eastAsia="zh-CN"/>
        </w:rPr>
        <w:t>62</w:t>
      </w:r>
      <w:r>
        <w:rPr>
          <w:rFonts w:hint="eastAsia" w:ascii="仿宋_GB2312" w:eastAsia="仿宋_GB2312"/>
          <w:sz w:val="32"/>
          <w:szCs w:val="32"/>
          <w:lang w:val="zh-CN"/>
        </w:rPr>
        <w:t>万元，批复</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b/>
          <w:sz w:val="32"/>
          <w:szCs w:val="32"/>
          <w:lang w:val="zh-CN"/>
        </w:rPr>
        <w:t xml:space="preserve">（二）资金计划、到位及使用情况 </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sz w:val="32"/>
          <w:szCs w:val="32"/>
          <w:lang w:val="zh-CN"/>
        </w:rPr>
        <w:t>1．资金计划：申请</w:t>
      </w:r>
      <w:r>
        <w:rPr>
          <w:rFonts w:hint="eastAsia" w:ascii="楷体_GB2312" w:eastAsia="楷体_GB2312"/>
          <w:sz w:val="32"/>
          <w:szCs w:val="32"/>
          <w:lang w:val="en-US" w:eastAsia="zh-CN"/>
        </w:rPr>
        <w:t>62</w:t>
      </w:r>
      <w:r>
        <w:rPr>
          <w:rFonts w:hint="eastAsia" w:ascii="楷体_GB2312" w:eastAsia="楷体_GB2312"/>
          <w:sz w:val="32"/>
          <w:szCs w:val="32"/>
          <w:lang w:val="zh-CN"/>
        </w:rPr>
        <w:t>万元。</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sz w:val="32"/>
          <w:szCs w:val="32"/>
          <w:lang w:val="zh-CN"/>
        </w:rPr>
        <w:t>2．资金到位：</w:t>
      </w:r>
      <w:r>
        <w:rPr>
          <w:rFonts w:hint="eastAsia" w:ascii="仿宋_GB2312" w:eastAsia="仿宋_GB2312"/>
          <w:sz w:val="32"/>
          <w:szCs w:val="32"/>
          <w:lang w:val="zh-CN"/>
        </w:rPr>
        <w:t>分别于20</w:t>
      </w:r>
      <w:r>
        <w:rPr>
          <w:rFonts w:hint="eastAsia" w:ascii="仿宋_GB2312" w:eastAsia="仿宋_GB2312"/>
          <w:sz w:val="32"/>
          <w:szCs w:val="32"/>
          <w:lang w:val="en-US" w:eastAsia="zh-CN"/>
        </w:rPr>
        <w:t>21</w:t>
      </w:r>
      <w:r>
        <w:rPr>
          <w:rFonts w:hint="eastAsia" w:ascii="仿宋_GB2312" w:eastAsia="仿宋_GB2312"/>
          <w:sz w:val="32"/>
          <w:szCs w:val="32"/>
          <w:lang w:val="zh-CN"/>
        </w:rPr>
        <w:t>年</w:t>
      </w:r>
      <w:r>
        <w:rPr>
          <w:rFonts w:hint="eastAsia" w:ascii="仿宋_GB2312" w:eastAsia="仿宋_GB2312"/>
          <w:sz w:val="32"/>
          <w:szCs w:val="32"/>
          <w:lang w:val="en-US" w:eastAsia="zh-CN"/>
        </w:rPr>
        <w:t>3</w:t>
      </w:r>
      <w:r>
        <w:rPr>
          <w:rFonts w:hint="eastAsia" w:ascii="仿宋_GB2312" w:eastAsia="仿宋_GB2312"/>
          <w:sz w:val="32"/>
          <w:szCs w:val="32"/>
          <w:lang w:val="zh-CN"/>
        </w:rPr>
        <w:t>月、</w:t>
      </w:r>
      <w:r>
        <w:rPr>
          <w:rFonts w:hint="eastAsia" w:ascii="仿宋_GB2312" w:eastAsia="仿宋_GB2312"/>
          <w:sz w:val="32"/>
          <w:szCs w:val="32"/>
          <w:lang w:val="en-US" w:eastAsia="zh-CN"/>
        </w:rPr>
        <w:t>4月、8</w:t>
      </w:r>
      <w:r>
        <w:rPr>
          <w:rFonts w:hint="eastAsia" w:ascii="仿宋_GB2312" w:eastAsia="仿宋_GB2312"/>
          <w:sz w:val="32"/>
          <w:szCs w:val="32"/>
          <w:lang w:val="zh-CN"/>
        </w:rPr>
        <w:t>月拨付我局</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600" w:lineRule="exact"/>
        <w:ind w:firstLine="720"/>
        <w:rPr>
          <w:rFonts w:hint="eastAsia" w:ascii="仿宋_GB2312" w:eastAsia="仿宋_GB2312"/>
          <w:sz w:val="32"/>
          <w:szCs w:val="32"/>
          <w:lang w:val="en-US" w:eastAsia="zh-CN"/>
        </w:rPr>
      </w:pPr>
      <w:r>
        <w:rPr>
          <w:rFonts w:hint="eastAsia" w:ascii="楷体_GB2312" w:eastAsia="楷体_GB2312"/>
          <w:sz w:val="32"/>
          <w:szCs w:val="32"/>
          <w:lang w:val="zh-CN"/>
        </w:rPr>
        <w:t>3．资金使用：</w:t>
      </w:r>
      <w:r>
        <w:rPr>
          <w:rFonts w:hint="eastAsia" w:ascii="仿宋_GB2312" w:eastAsia="仿宋_GB2312"/>
          <w:sz w:val="32"/>
          <w:szCs w:val="32"/>
          <w:lang w:val="zh-CN"/>
        </w:rPr>
        <w:t>到202</w:t>
      </w:r>
      <w:r>
        <w:rPr>
          <w:rFonts w:hint="eastAsia" w:ascii="仿宋_GB2312" w:eastAsia="仿宋_GB2312"/>
          <w:sz w:val="32"/>
          <w:szCs w:val="32"/>
          <w:lang w:val="en-US" w:eastAsia="zh-CN"/>
        </w:rPr>
        <w:t>1</w:t>
      </w:r>
      <w:r>
        <w:rPr>
          <w:rFonts w:hint="eastAsia" w:ascii="仿宋_GB2312" w:eastAsia="仿宋_GB2312"/>
          <w:sz w:val="32"/>
          <w:szCs w:val="32"/>
          <w:lang w:val="zh-CN"/>
        </w:rPr>
        <w:t>年12月31日共支付</w:t>
      </w:r>
      <w:r>
        <w:rPr>
          <w:rFonts w:hint="eastAsia" w:ascii="仿宋_GB2312" w:eastAsia="仿宋_GB2312"/>
          <w:sz w:val="32"/>
          <w:szCs w:val="32"/>
          <w:lang w:val="en-US" w:eastAsia="zh-CN"/>
        </w:rPr>
        <w:t>61.24</w:t>
      </w:r>
      <w:r>
        <w:rPr>
          <w:rFonts w:hint="eastAsia" w:ascii="仿宋_GB2312" w:eastAsia="仿宋_GB2312"/>
          <w:sz w:val="32"/>
          <w:szCs w:val="32"/>
          <w:lang w:val="zh-CN"/>
        </w:rPr>
        <w:t>万元，其中：</w:t>
      </w:r>
      <w:r>
        <w:rPr>
          <w:rFonts w:hint="eastAsia" w:ascii="仿宋_GB2312" w:eastAsia="仿宋_GB2312"/>
          <w:sz w:val="32"/>
          <w:szCs w:val="32"/>
          <w:lang w:val="en-US" w:eastAsia="zh-CN"/>
        </w:rPr>
        <w:t>2020年省级专资金支付40.45万元，2021年省级专项资金支付20.79万元，</w:t>
      </w:r>
      <w:r>
        <w:rPr>
          <w:rFonts w:hint="eastAsia" w:ascii="仿宋_GB2312" w:eastAsia="仿宋_GB2312"/>
          <w:sz w:val="32"/>
          <w:szCs w:val="32"/>
          <w:lang w:val="zh-CN"/>
        </w:rPr>
        <w:t>支付进度</w:t>
      </w:r>
      <w:r>
        <w:rPr>
          <w:rFonts w:hint="eastAsia" w:ascii="仿宋_GB2312" w:eastAsia="仿宋_GB2312"/>
          <w:sz w:val="32"/>
          <w:szCs w:val="32"/>
          <w:lang w:val="en-US" w:eastAsia="zh-CN"/>
        </w:rPr>
        <w:t>98.78</w:t>
      </w:r>
      <w:r>
        <w:rPr>
          <w:rFonts w:hint="eastAsia" w:ascii="仿宋_GB2312" w:eastAsia="仿宋_GB2312"/>
          <w:sz w:val="32"/>
          <w:szCs w:val="32"/>
          <w:lang w:val="zh-CN"/>
        </w:rPr>
        <w:t>%</w:t>
      </w:r>
      <w:r>
        <w:rPr>
          <w:rFonts w:hint="eastAsia" w:ascii="仿宋_GB2312" w:eastAsia="仿宋_GB2312"/>
          <w:sz w:val="32"/>
          <w:szCs w:val="32"/>
          <w:lang w:val="zh-CN" w:eastAsia="zh-CN"/>
        </w:rPr>
        <w:t>。</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adjustRightInd w:val="0"/>
        <w:snapToGrid w:val="0"/>
        <w:spacing w:line="594" w:lineRule="exact"/>
        <w:ind w:firstLine="720"/>
        <w:rPr>
          <w:rFonts w:ascii="楷体_GB2312" w:eastAsia="楷体_GB2312"/>
          <w:b/>
          <w:color w:val="FF0000"/>
          <w:sz w:val="32"/>
          <w:szCs w:val="32"/>
          <w:lang w:val="zh-CN"/>
        </w:rPr>
      </w:pPr>
      <w:r>
        <w:rPr>
          <w:rFonts w:hint="eastAsia" w:ascii="楷体_GB2312" w:eastAsia="楷体_GB2312"/>
          <w:b/>
          <w:sz w:val="32"/>
          <w:szCs w:val="32"/>
          <w:lang w:val="zh-CN"/>
        </w:rPr>
        <w:t>（一）项目组织架构及实施流程</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1.项目组织架构</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组 长：杨国乾</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副组长：张发艳、晏明耀、苟琪</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成 员：王维莲、邬昌菊、张林凤、卞文华、赵国栋、卢军、胡玲丽、熊婉</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办公室设在财务室。</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2．实施流程</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（1）组长职责：审批绩效自评方案，监督、检查、核实绩效自评结果；</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（二）项目管理情况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（三）项目监管情况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ind w:firstLine="748" w:firstLineChars="233"/>
        <w:rPr>
          <w:rFonts w:hint="eastAsia" w:ascii="楷体_GB2312" w:eastAsia="楷体_GB2312"/>
          <w:b/>
          <w:sz w:val="32"/>
          <w:szCs w:val="32"/>
          <w:lang w:val="zh-CN"/>
        </w:rPr>
      </w:pPr>
      <w:r>
        <w:rPr>
          <w:rFonts w:hint="eastAsia" w:ascii="楷体_GB2312" w:eastAsia="楷体_GB2312"/>
          <w:b/>
          <w:sz w:val="32"/>
          <w:szCs w:val="32"/>
          <w:lang w:val="zh-CN"/>
        </w:rPr>
        <w:t>1.数量指标</w:t>
      </w:r>
    </w:p>
    <w:p>
      <w:pPr>
        <w:ind w:firstLine="748" w:firstLineChars="233"/>
        <w:rPr>
          <w:rFonts w:hint="eastAsia" w:ascii="仿宋_GB2312" w:eastAsia="仿宋_GB2312" w:cs="仿宋_GB2312"/>
          <w:b/>
          <w:bCs w:val="0"/>
          <w:i w:val="0"/>
          <w:caps w:val="0"/>
          <w:smallCaps w:val="0"/>
          <w:color w:val="auto"/>
          <w:spacing w:val="0"/>
          <w:w w:val="100"/>
          <w:kern w:val="2"/>
          <w:sz w:val="32"/>
          <w:szCs w:val="32"/>
          <w:lang w:val="en-US" w:eastAsia="zh-CN" w:bidi="ar-SA"/>
        </w:rPr>
      </w:pPr>
      <w:r>
        <w:rPr>
          <w:rFonts w:hint="eastAsia" w:ascii="仿宋_GB2312" w:hAnsi="仿宋_GB2312" w:cs="仿宋_GB2312"/>
          <w:b/>
          <w:bCs w:val="0"/>
          <w:i w:val="0"/>
          <w:caps w:val="0"/>
          <w:smallCaps w:val="0"/>
          <w:color w:val="auto"/>
          <w:spacing w:val="0"/>
          <w:w w:val="100"/>
          <w:kern w:val="2"/>
          <w:sz w:val="32"/>
          <w:szCs w:val="32"/>
          <w:lang w:val="en-US" w:eastAsia="zh-CN" w:bidi="ar-SA"/>
        </w:rPr>
        <w:t>（1）</w:t>
      </w:r>
      <w:r>
        <w:rPr>
          <w:rFonts w:hint="eastAsia" w:ascii="仿宋_GB2312" w:eastAsia="仿宋_GB2312" w:cs="仿宋_GB2312"/>
          <w:b/>
          <w:bCs w:val="0"/>
          <w:i w:val="0"/>
          <w:caps w:val="0"/>
          <w:smallCaps w:val="0"/>
          <w:color w:val="auto"/>
          <w:spacing w:val="0"/>
          <w:w w:val="100"/>
          <w:kern w:val="2"/>
          <w:sz w:val="32"/>
          <w:szCs w:val="32"/>
          <w:lang w:val="en-US" w:eastAsia="zh-CN" w:bidi="ar-SA"/>
        </w:rPr>
        <w:t>特种设备安全监管工作</w:t>
      </w:r>
    </w:p>
    <w:p>
      <w:pPr>
        <w:ind w:firstLine="748" w:firstLineChars="233"/>
        <w:rPr>
          <w:rFonts w:hint="eastAsia" w:ascii="仿宋_GB2312" w:eastAsia="仿宋_GB2312" w:cs="仿宋_GB2312"/>
          <w:b w:val="0"/>
          <w:bCs/>
          <w:i w:val="0"/>
          <w:caps w:val="0"/>
          <w:smallCaps w:val="0"/>
          <w:spacing w:val="0"/>
          <w:w w:val="100"/>
          <w:kern w:val="2"/>
          <w:sz w:val="32"/>
          <w:szCs w:val="32"/>
          <w:lang w:val="en-US" w:eastAsia="zh-CN" w:bidi="ar-SA"/>
        </w:rPr>
      </w:pPr>
      <w:r>
        <w:rPr>
          <w:rFonts w:hint="eastAsia" w:ascii="仿宋_GB2312" w:eastAsia="仿宋_GB2312" w:cs="仿宋_GB2312"/>
          <w:b/>
          <w:bCs w:val="0"/>
          <w:i w:val="0"/>
          <w:caps w:val="0"/>
          <w:smallCaps w:val="0"/>
          <w:spacing w:val="0"/>
          <w:w w:val="100"/>
          <w:kern w:val="2"/>
          <w:sz w:val="32"/>
          <w:szCs w:val="32"/>
          <w:lang w:val="en-US" w:eastAsia="zh-CN" w:bidi="ar-SA"/>
        </w:rPr>
        <w:t>一是</w:t>
      </w:r>
      <w:r>
        <w:rPr>
          <w:rFonts w:hint="eastAsia" w:ascii="仿宋_GB2312" w:eastAsia="仿宋_GB2312" w:cs="仿宋_GB2312"/>
          <w:b w:val="0"/>
          <w:bCs/>
          <w:i w:val="0"/>
          <w:caps w:val="0"/>
          <w:smallCaps w:val="0"/>
          <w:spacing w:val="0"/>
          <w:w w:val="100"/>
          <w:kern w:val="2"/>
          <w:sz w:val="32"/>
          <w:szCs w:val="32"/>
          <w:lang w:val="en-US" w:eastAsia="zh-CN" w:bidi="ar-SA"/>
        </w:rPr>
        <w:t>开展“小水电”特种设备专项整治。共检查单位5家，特种设备30余台，发现一般安全隐患4处，现场完成整改2处，限期要求整改2处，下达监察指令书2份，移交案件2件。</w:t>
      </w:r>
      <w:r>
        <w:rPr>
          <w:rFonts w:hint="eastAsia" w:ascii="仿宋_GB2312" w:eastAsia="仿宋_GB2312" w:cs="仿宋_GB2312"/>
          <w:b/>
          <w:bCs w:val="0"/>
          <w:i w:val="0"/>
          <w:caps w:val="0"/>
          <w:smallCaps w:val="0"/>
          <w:spacing w:val="0"/>
          <w:w w:val="100"/>
          <w:kern w:val="2"/>
          <w:sz w:val="32"/>
          <w:szCs w:val="32"/>
          <w:lang w:val="en-US" w:eastAsia="zh-CN" w:bidi="ar-SA"/>
        </w:rPr>
        <w:t>二是</w:t>
      </w:r>
      <w:r>
        <w:rPr>
          <w:rFonts w:hint="eastAsia" w:ascii="仿宋_GB2312" w:eastAsia="仿宋_GB2312" w:cs="仿宋_GB2312"/>
          <w:b w:val="0"/>
          <w:bCs/>
          <w:i w:val="0"/>
          <w:caps w:val="0"/>
          <w:smallCaps w:val="0"/>
          <w:spacing w:val="0"/>
          <w:w w:val="100"/>
          <w:kern w:val="2"/>
          <w:sz w:val="32"/>
          <w:szCs w:val="32"/>
          <w:lang w:val="en-US" w:eastAsia="zh-CN" w:bidi="ar-SA"/>
        </w:rPr>
        <w:t>开展工贸行业及电梯使用单位日常巡查。共检查单位56家，特种设备260余台，出动特种设备安全检查人员220人次，发现一般安全隐患45处，现场完成整改41处，限期要求整改8处，下达监察指令书8份，移交案件1件。</w:t>
      </w:r>
      <w:r>
        <w:rPr>
          <w:rFonts w:hint="eastAsia" w:ascii="仿宋_GB2312" w:eastAsia="仿宋_GB2312" w:cs="仿宋_GB2312"/>
          <w:b/>
          <w:bCs w:val="0"/>
          <w:i w:val="0"/>
          <w:caps w:val="0"/>
          <w:smallCaps w:val="0"/>
          <w:spacing w:val="0"/>
          <w:w w:val="100"/>
          <w:kern w:val="2"/>
          <w:sz w:val="32"/>
          <w:szCs w:val="32"/>
          <w:lang w:val="en-US" w:eastAsia="zh-CN" w:bidi="ar-SA"/>
        </w:rPr>
        <w:t>三是</w:t>
      </w:r>
      <w:r>
        <w:rPr>
          <w:rFonts w:hint="eastAsia" w:ascii="仿宋_GB2312" w:eastAsia="仿宋_GB2312" w:cs="仿宋_GB2312"/>
          <w:b w:val="0"/>
          <w:bCs/>
          <w:i w:val="0"/>
          <w:caps w:val="0"/>
          <w:smallCaps w:val="0"/>
          <w:spacing w:val="0"/>
          <w:w w:val="100"/>
          <w:kern w:val="2"/>
          <w:sz w:val="32"/>
          <w:szCs w:val="32"/>
          <w:lang w:val="en-US" w:eastAsia="zh-CN" w:bidi="ar-SA"/>
        </w:rPr>
        <w:t>扎实推进特种设备电子化监管。录入使用单位基础信息55家，特种设备260余台，运用特种设备手机APP对20家特种设备使用单位进行现场检查。</w:t>
      </w:r>
    </w:p>
    <w:p>
      <w:pPr>
        <w:keepNext w:val="0"/>
        <w:keepLines w:val="0"/>
        <w:pageBreakBefore w:val="0"/>
        <w:widowControl w:val="0"/>
        <w:kinsoku/>
        <w:wordWrap/>
        <w:overflowPunct/>
        <w:topLinePunct w:val="0"/>
        <w:autoSpaceDE/>
        <w:autoSpaceDN/>
        <w:bidi w:val="0"/>
        <w:spacing w:afterAutospacing="0" w:line="576" w:lineRule="exact"/>
        <w:ind w:firstLine="642" w:firstLineChars="200"/>
        <w:rPr>
          <w:rFonts w:hint="eastAsia" w:ascii="仿宋_GB2312" w:eastAsia="仿宋_GB2312"/>
          <w:b/>
          <w:bCs/>
          <w:color w:val="auto"/>
          <w:sz w:val="32"/>
          <w:szCs w:val="32"/>
        </w:rPr>
      </w:pPr>
      <w:r>
        <w:rPr>
          <w:rFonts w:hint="eastAsia" w:ascii="仿宋_GB2312" w:hAnsi="仿宋_GB2312"/>
          <w:b/>
          <w:bCs/>
          <w:color w:val="auto"/>
          <w:sz w:val="32"/>
          <w:szCs w:val="32"/>
          <w:lang w:val="en-US" w:eastAsia="zh-CN"/>
        </w:rPr>
        <w:t>（2）</w:t>
      </w:r>
      <w:r>
        <w:rPr>
          <w:rFonts w:hint="eastAsia" w:ascii="仿宋_GB2312" w:eastAsia="仿宋_GB2312"/>
          <w:b/>
          <w:bCs/>
          <w:color w:val="auto"/>
          <w:sz w:val="32"/>
          <w:szCs w:val="32"/>
        </w:rPr>
        <w:t>质量计量与认证认可工作</w:t>
      </w:r>
    </w:p>
    <w:p>
      <w:pPr>
        <w:spacing w:line="576" w:lineRule="exact"/>
        <w:ind w:firstLine="642" w:firstLineChars="200"/>
        <w:rPr>
          <w:rFonts w:hint="eastAsia" w:ascii="仿宋_GB2312" w:eastAsia="仿宋_GB2312"/>
          <w:color w:val="auto"/>
          <w:sz w:val="32"/>
          <w:szCs w:val="32"/>
        </w:rPr>
      </w:pPr>
      <w:r>
        <w:rPr>
          <w:rFonts w:hint="eastAsia" w:ascii="仿宋_GB2312" w:eastAsia="仿宋_GB2312"/>
          <w:b/>
          <w:bCs/>
          <w:color w:val="auto"/>
          <w:sz w:val="32"/>
          <w:szCs w:val="32"/>
          <w:lang w:val="en-US" w:eastAsia="zh-CN"/>
        </w:rPr>
        <w:t>一是</w:t>
      </w:r>
      <w:r>
        <w:rPr>
          <w:rFonts w:hint="eastAsia" w:ascii="仿宋_GB2312" w:eastAsia="仿宋_GB2312"/>
          <w:color w:val="auto"/>
          <w:sz w:val="32"/>
          <w:szCs w:val="32"/>
        </w:rPr>
        <w:t>强化工业生产获证企业监管。全县共有6家工业产品生产许可证获证企业，其中3家停产，组织对危化品、水泥、复合肥等涉及许可证管理的重点产品开展专项整治工作，对辖区内的生产经营单位开展了执法检查，共检查</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家次</w:t>
      </w:r>
      <w:r>
        <w:rPr>
          <w:rFonts w:hint="eastAsia" w:ascii="仿宋_GB2312" w:eastAsia="仿宋_GB2312"/>
          <w:color w:val="auto"/>
          <w:sz w:val="32"/>
          <w:szCs w:val="32"/>
          <w:lang w:val="en-US" w:eastAsia="zh-CN"/>
        </w:rPr>
        <w:t>。</w:t>
      </w:r>
      <w:r>
        <w:rPr>
          <w:rFonts w:hint="eastAsia" w:ascii="仿宋_GB2312" w:eastAsia="仿宋_GB2312"/>
          <w:b/>
          <w:bCs/>
          <w:color w:val="auto"/>
          <w:sz w:val="32"/>
          <w:szCs w:val="32"/>
          <w:lang w:val="en-US" w:eastAsia="zh-CN"/>
        </w:rPr>
        <w:t>二是</w:t>
      </w:r>
      <w:r>
        <w:rPr>
          <w:rFonts w:hint="eastAsia" w:ascii="仿宋_GB2312" w:eastAsia="仿宋_GB2312" w:cs="仿宋_GB2312"/>
          <w:color w:val="auto"/>
          <w:sz w:val="32"/>
          <w:szCs w:val="32"/>
        </w:rPr>
        <w:t>组织开展了危化品今冬明春、汛期、危化品</w:t>
      </w:r>
      <w:r>
        <w:rPr>
          <w:rFonts w:hint="eastAsia" w:ascii="仿宋_GB2312" w:eastAsia="仿宋_GB2312" w:cs="仿宋_GB2312"/>
          <w:color w:val="auto"/>
          <w:sz w:val="32"/>
          <w:szCs w:val="32"/>
          <w:lang w:val="en-US" w:eastAsia="zh-CN"/>
        </w:rPr>
        <w:t>质量安全</w:t>
      </w:r>
      <w:r>
        <w:rPr>
          <w:rFonts w:hint="eastAsia" w:ascii="仿宋_GB2312" w:eastAsia="仿宋_GB2312" w:cs="仿宋_GB2312"/>
          <w:color w:val="auto"/>
          <w:sz w:val="32"/>
          <w:szCs w:val="32"/>
        </w:rPr>
        <w:t>专项检查</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次，对辖区内5家危化企业的产品质量安全控制、危化品存储安全、危化品运输安全以及停产人员值守管理等情况进行了监督检查。</w:t>
      </w:r>
      <w:r>
        <w:rPr>
          <w:rFonts w:hint="eastAsia" w:ascii="仿宋_GB2312" w:eastAsia="仿宋_GB2312" w:cs="仿宋_GB2312"/>
          <w:b/>
          <w:bCs/>
          <w:color w:val="auto"/>
          <w:sz w:val="32"/>
          <w:szCs w:val="32"/>
          <w:lang w:val="en-US" w:eastAsia="zh-CN"/>
        </w:rPr>
        <w:t>三</w:t>
      </w:r>
      <w:r>
        <w:rPr>
          <w:rFonts w:hint="eastAsia" w:ascii="仿宋_GB2312" w:eastAsia="仿宋_GB2312"/>
          <w:b/>
          <w:bCs/>
          <w:color w:val="auto"/>
          <w:sz w:val="32"/>
          <w:szCs w:val="32"/>
          <w:lang w:val="en-US" w:eastAsia="zh-CN"/>
        </w:rPr>
        <w:t>是</w:t>
      </w:r>
      <w:r>
        <w:rPr>
          <w:rFonts w:hint="eastAsia" w:ascii="仿宋_GB2312" w:eastAsia="仿宋_GB2312"/>
          <w:color w:val="auto"/>
          <w:sz w:val="32"/>
          <w:szCs w:val="32"/>
        </w:rPr>
        <w:t>开展彩钢夹芯板产品质量检查。按照省、州要求对辖区内彩钢夹芯板生产、销售企业开展排查，共排查生产企业2家、销售企业13家。</w:t>
      </w:r>
      <w:r>
        <w:rPr>
          <w:rFonts w:hint="eastAsia" w:ascii="仿宋_GB2312" w:hAnsi="仿宋_GB2312"/>
          <w:color w:val="auto"/>
          <w:sz w:val="32"/>
          <w:szCs w:val="32"/>
          <w:lang w:eastAsia="zh-CN"/>
        </w:rPr>
        <w:t>四</w:t>
      </w:r>
      <w:r>
        <w:rPr>
          <w:rFonts w:hint="eastAsia" w:ascii="仿宋_GB2312" w:eastAsia="仿宋_GB2312" w:cs="仿宋_GB2312"/>
          <w:b/>
          <w:color w:val="auto"/>
          <w:sz w:val="32"/>
          <w:szCs w:val="32"/>
          <w:lang w:val="en-US" w:eastAsia="zh-CN"/>
        </w:rPr>
        <w:t>是</w:t>
      </w:r>
      <w:r>
        <w:rPr>
          <w:rFonts w:hint="eastAsia" w:ascii="仿宋_GB2312" w:eastAsia="仿宋_GB2312" w:cs="仿宋_GB2312"/>
          <w:b w:val="0"/>
          <w:bCs/>
          <w:color w:val="auto"/>
          <w:sz w:val="32"/>
          <w:szCs w:val="32"/>
        </w:rPr>
        <w:t>开展民生计量专项检查</w:t>
      </w:r>
      <w:r>
        <w:rPr>
          <w:rFonts w:hint="eastAsia" w:ascii="仿宋_GB2312" w:eastAsia="仿宋_GB2312"/>
          <w:b w:val="0"/>
          <w:bCs/>
          <w:color w:val="auto"/>
          <w:sz w:val="32"/>
          <w:szCs w:val="32"/>
        </w:rPr>
        <w:t>。</w:t>
      </w:r>
      <w:r>
        <w:rPr>
          <w:rFonts w:hint="eastAsia" w:ascii="仿宋_GB2312" w:eastAsia="仿宋_GB2312"/>
          <w:color w:val="auto"/>
          <w:sz w:val="32"/>
          <w:szCs w:val="32"/>
        </w:rPr>
        <w:t>共计检查</w:t>
      </w:r>
      <w:r>
        <w:rPr>
          <w:rFonts w:hint="eastAsia" w:ascii="仿宋_GB2312" w:eastAsia="仿宋_GB2312"/>
          <w:color w:val="auto"/>
          <w:sz w:val="32"/>
          <w:szCs w:val="32"/>
          <w:lang w:val="en-US" w:eastAsia="zh-CN"/>
        </w:rPr>
        <w:t>各类经营户153</w:t>
      </w:r>
      <w:r>
        <w:rPr>
          <w:rFonts w:hint="eastAsia" w:ascii="仿宋_GB2312" w:eastAsia="仿宋_GB2312"/>
          <w:color w:val="auto"/>
          <w:sz w:val="32"/>
          <w:szCs w:val="32"/>
        </w:rPr>
        <w:t>个</w:t>
      </w:r>
      <w:r>
        <w:rPr>
          <w:rFonts w:hint="eastAsia" w:ascii="仿宋_GB2312" w:eastAsia="仿宋_GB2312"/>
          <w:color w:val="auto"/>
          <w:sz w:val="32"/>
          <w:szCs w:val="32"/>
          <w:lang w:eastAsia="zh-CN"/>
        </w:rPr>
        <w:t>，</w:t>
      </w:r>
      <w:r>
        <w:rPr>
          <w:rFonts w:hint="eastAsia" w:ascii="仿宋_GB2312" w:eastAsia="仿宋_GB2312"/>
          <w:color w:val="auto"/>
          <w:sz w:val="32"/>
          <w:szCs w:val="32"/>
        </w:rPr>
        <w:t>诚信计量示范点</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个。抽查计量器具</w:t>
      </w:r>
      <w:r>
        <w:rPr>
          <w:rFonts w:hint="eastAsia" w:ascii="仿宋_GB2312" w:eastAsia="仿宋_GB2312"/>
          <w:color w:val="auto"/>
          <w:sz w:val="32"/>
          <w:szCs w:val="32"/>
          <w:lang w:val="en-US" w:eastAsia="zh-CN"/>
        </w:rPr>
        <w:t>570</w:t>
      </w:r>
      <w:r>
        <w:rPr>
          <w:rFonts w:hint="eastAsia" w:ascii="仿宋_GB2312" w:eastAsia="仿宋_GB2312"/>
          <w:color w:val="auto"/>
          <w:sz w:val="32"/>
          <w:szCs w:val="32"/>
        </w:rPr>
        <w:t>余台（件）；加油枪</w:t>
      </w:r>
      <w:r>
        <w:rPr>
          <w:rFonts w:hint="eastAsia" w:ascii="仿宋_GB2312" w:eastAsia="仿宋_GB2312"/>
          <w:color w:val="auto"/>
          <w:sz w:val="32"/>
          <w:szCs w:val="32"/>
          <w:lang w:val="en-US" w:eastAsia="zh-CN"/>
        </w:rPr>
        <w:t>350</w:t>
      </w:r>
      <w:r>
        <w:rPr>
          <w:rFonts w:hint="eastAsia" w:ascii="仿宋_GB2312" w:eastAsia="仿宋_GB2312"/>
          <w:color w:val="auto"/>
          <w:sz w:val="32"/>
          <w:szCs w:val="32"/>
        </w:rPr>
        <w:t>余支；抽查定量包装</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个批次，</w:t>
      </w:r>
      <w:r>
        <w:rPr>
          <w:rFonts w:hint="eastAsia" w:ascii="仿宋_GB2312" w:eastAsia="仿宋_GB2312" w:cs="仿宋_GB2312"/>
          <w:color w:val="auto"/>
          <w:sz w:val="32"/>
          <w:szCs w:val="32"/>
        </w:rPr>
        <w:t>发放宣传资料</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800余份，签订诚信计量承诺书6份。</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jc w:val="both"/>
        <w:rPr>
          <w:rFonts w:hint="eastAsia" w:ascii="仿宋_GB2312" w:eastAsia="仿宋_GB2312" w:cs="仿宋_GB2312"/>
          <w:b/>
          <w:bCs/>
          <w:color w:val="auto"/>
          <w:sz w:val="32"/>
          <w:szCs w:val="32"/>
          <w:lang w:eastAsia="zh-CN"/>
        </w:rPr>
      </w:pPr>
      <w:r>
        <w:rPr>
          <w:rFonts w:hint="eastAsia" w:ascii="仿宋_GB2312" w:hAnsi="仿宋_GB2312" w:cs="仿宋_GB2312"/>
          <w:b/>
          <w:bCs/>
          <w:color w:val="auto"/>
          <w:sz w:val="32"/>
          <w:szCs w:val="32"/>
          <w:lang w:val="en-US" w:eastAsia="zh-CN"/>
        </w:rPr>
        <w:t>（3）</w:t>
      </w:r>
      <w:r>
        <w:rPr>
          <w:rFonts w:hint="eastAsia" w:ascii="仿宋_GB2312" w:eastAsia="仿宋_GB2312" w:cs="仿宋_GB2312"/>
          <w:b/>
          <w:bCs/>
          <w:color w:val="auto"/>
          <w:sz w:val="32"/>
          <w:szCs w:val="32"/>
        </w:rPr>
        <w:t>旅游市场监管工作</w:t>
      </w:r>
    </w:p>
    <w:p>
      <w:pPr>
        <w:pStyle w:val="33"/>
        <w:widowControl w:val="0"/>
        <w:suppressAutoHyphens w:val="0"/>
        <w:bidi w:val="0"/>
        <w:spacing w:beforeAutospacing="0" w:afterAutospacing="0"/>
        <w:ind w:left="0" w:firstLine="642" w:firstLineChars="200"/>
        <w:jc w:val="both"/>
        <w:textAlignment w:val="baseline"/>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b/>
          <w:bCs/>
          <w:color w:val="auto"/>
          <w:kern w:val="2"/>
          <w:sz w:val="32"/>
          <w:szCs w:val="32"/>
          <w:lang w:val="en-US" w:eastAsia="zh-CN" w:bidi="ar-SA"/>
        </w:rPr>
        <w:t>一是</w:t>
      </w:r>
      <w:r>
        <w:rPr>
          <w:rFonts w:hint="eastAsia" w:ascii="仿宋_GB2312" w:eastAsia="仿宋_GB2312" w:cs="Times New Roman"/>
          <w:color w:val="auto"/>
          <w:kern w:val="2"/>
          <w:sz w:val="32"/>
          <w:szCs w:val="32"/>
          <w:lang w:val="en-US" w:eastAsia="zh-CN" w:bidi="ar-SA"/>
        </w:rPr>
        <w:t>全面审查清理购物店。共有9家涉旅购物店提交了开业申请，其中通过核查准予开业6家，3家未通过开业核查。</w:t>
      </w:r>
      <w:r>
        <w:rPr>
          <w:rFonts w:hint="eastAsia" w:ascii="仿宋_GB2312" w:eastAsia="仿宋_GB2312" w:cs="Times New Roman"/>
          <w:b/>
          <w:bCs/>
          <w:color w:val="auto"/>
          <w:kern w:val="2"/>
          <w:sz w:val="32"/>
          <w:szCs w:val="32"/>
          <w:lang w:val="en-US" w:eastAsia="zh-CN" w:bidi="ar-SA"/>
        </w:rPr>
        <w:t>二是</w:t>
      </w:r>
      <w:r>
        <w:rPr>
          <w:rFonts w:hint="eastAsia" w:ascii="仿宋_GB2312" w:eastAsia="仿宋_GB2312" w:cs="Times New Roman"/>
          <w:color w:val="auto"/>
          <w:kern w:val="2"/>
          <w:sz w:val="32"/>
          <w:szCs w:val="32"/>
          <w:lang w:val="en-US" w:eastAsia="zh-CN" w:bidi="ar-SA"/>
        </w:rPr>
        <w:t>开展旅游沿线竖招竖牌专项整治，开展以来拆除不符合要求的竖招竖牌270余个，清除不规范广告150处，规范站道经营水果摊位200个次，取缔存在安全隐患水果经营点3个，发现食品安全违法线索并移交综合执法局查处案件5起。</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仿宋_GB2312" w:eastAsia="仿宋_GB2312" w:cs="仿宋_GB2312"/>
          <w:b/>
          <w:bCs/>
          <w:color w:val="auto"/>
          <w:sz w:val="32"/>
          <w:szCs w:val="32"/>
          <w:lang w:val="en-US" w:eastAsia="zh-CN"/>
        </w:rPr>
        <w:t>信用监管工作</w:t>
      </w:r>
    </w:p>
    <w:p>
      <w:pPr>
        <w:ind w:firstLine="642" w:firstLineChars="200"/>
        <w:rPr>
          <w:rFonts w:ascii="仿宋_GB2312" w:eastAsia="仿宋_GB2312" w:cs="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以“茂县市场监管领域双随机、一公开联席会议办公室”的名义协调各成员单位录入“双随机、一公开”系统单位信息；</w:t>
      </w:r>
      <w:r>
        <w:rPr>
          <w:rFonts w:hint="eastAsia" w:ascii="仿宋_GB2312" w:eastAsia="仿宋_GB2312" w:cs="仿宋_GB2312"/>
          <w:b/>
          <w:bCs/>
          <w:sz w:val="32"/>
          <w:szCs w:val="32"/>
        </w:rPr>
        <w:t>二是</w:t>
      </w:r>
      <w:r>
        <w:rPr>
          <w:rFonts w:hint="eastAsia" w:ascii="仿宋_GB2312" w:eastAsia="仿宋_GB2312" w:cs="仿宋_GB2312"/>
          <w:sz w:val="32"/>
          <w:szCs w:val="32"/>
        </w:rPr>
        <w:t>完成州局定向抽查的13户建筑企业随机抽查工作，开展跨部门联合检查，共完成38个抽查类别，67个抽查事项；</w:t>
      </w:r>
      <w:r>
        <w:rPr>
          <w:rFonts w:hint="eastAsia" w:ascii="仿宋_GB2312" w:eastAsia="仿宋_GB2312" w:cs="仿宋_GB2312"/>
          <w:b/>
          <w:bCs/>
          <w:sz w:val="32"/>
          <w:szCs w:val="32"/>
        </w:rPr>
        <w:t>三是</w:t>
      </w:r>
      <w:r>
        <w:rPr>
          <w:rFonts w:hint="eastAsia" w:ascii="仿宋_GB2312" w:eastAsia="仿宋_GB2312" w:cs="仿宋_GB2312"/>
          <w:sz w:val="32"/>
          <w:szCs w:val="32"/>
        </w:rPr>
        <w:t>指导企业、农专社、个体户填报2020年度企业年报，截至目前，企业年报率为99.6%，农专社年报率为100%，个体年报率为99.7%。</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（5）</w:t>
      </w:r>
      <w:r>
        <w:rPr>
          <w:rFonts w:hint="eastAsia" w:ascii="仿宋_GB2312" w:eastAsia="仿宋_GB2312" w:cs="仿宋_GB2312"/>
          <w:b/>
          <w:bCs/>
          <w:color w:val="auto"/>
          <w:sz w:val="32"/>
          <w:szCs w:val="32"/>
          <w:lang w:val="en-US" w:eastAsia="zh-CN"/>
        </w:rPr>
        <w:t>民营经济服务工作</w:t>
      </w:r>
    </w:p>
    <w:p>
      <w:pPr>
        <w:spacing w:line="520" w:lineRule="exact"/>
        <w:ind w:firstLine="642" w:firstLineChars="200"/>
        <w:rPr>
          <w:rFonts w:ascii="仿宋_GB2312" w:eastAsia="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bCs/>
          <w:sz w:val="32"/>
          <w:szCs w:val="32"/>
        </w:rPr>
        <w:t>开展好“百年党史进万企”活动。</w:t>
      </w:r>
      <w:r>
        <w:rPr>
          <w:rFonts w:hint="eastAsia" w:ascii="仿宋_GB2312" w:eastAsia="仿宋_GB2312" w:cs="Arial"/>
          <w:sz w:val="32"/>
          <w:szCs w:val="32"/>
        </w:rPr>
        <w:t>共走访企业15户，收集意见建议3条。</w:t>
      </w:r>
      <w:r>
        <w:rPr>
          <w:rFonts w:hint="eastAsia" w:ascii="仿宋_GB2312" w:eastAsia="仿宋_GB2312"/>
          <w:b/>
          <w:sz w:val="32"/>
          <w:szCs w:val="32"/>
        </w:rPr>
        <w:t>二是</w:t>
      </w:r>
      <w:r>
        <w:rPr>
          <w:rFonts w:hint="eastAsia" w:ascii="仿宋_GB2312" w:eastAsia="仿宋_GB2312" w:cs="Arial"/>
          <w:sz w:val="32"/>
          <w:szCs w:val="32"/>
        </w:rPr>
        <w:t>加强“小个专”党建工作力量，指导“小个专”党组织积极主动做好培育发展党员工作，茂县</w:t>
      </w:r>
      <w:r>
        <w:rPr>
          <w:rFonts w:hint="eastAsia" w:ascii="仿宋_GB2312" w:eastAsia="仿宋_GB2312" w:cs="Times New Roman"/>
          <w:sz w:val="32"/>
          <w:szCs w:val="32"/>
        </w:rPr>
        <w:t>现有小微企业41户、党总支1户，党支部31户，党员人数236人</w:t>
      </w:r>
      <w:r>
        <w:rPr>
          <w:rFonts w:hint="eastAsia" w:ascii="仿宋_GB2312"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积极组织民营企业参加“我为企业办实事”培训宣传活动。</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（6）</w:t>
      </w:r>
      <w:r>
        <w:rPr>
          <w:rFonts w:hint="eastAsia" w:ascii="仿宋_GB2312" w:eastAsia="仿宋_GB2312" w:cs="仿宋_GB2312"/>
          <w:b/>
          <w:bCs/>
          <w:color w:val="auto"/>
          <w:sz w:val="32"/>
          <w:szCs w:val="32"/>
          <w:lang w:val="en-US" w:eastAsia="zh-CN"/>
        </w:rPr>
        <w:t>创建放心舒心消费城市</w:t>
      </w:r>
    </w:p>
    <w:p>
      <w:pPr>
        <w:pStyle w:val="33"/>
        <w:bidi w:val="0"/>
        <w:jc w:val="both"/>
        <w:rPr>
          <w:rFonts w:hint="eastAsia"/>
        </w:rPr>
      </w:pPr>
      <w:r>
        <w:rPr>
          <w:rFonts w:ascii="仿宋" w:eastAsia="仿宋"/>
          <w:b w:val="0"/>
          <w:bCs w:val="0"/>
          <w:sz w:val="32"/>
          <w:szCs w:val="32"/>
        </w:rPr>
        <w:t xml:space="preserve">  </w:t>
      </w:r>
      <w:r>
        <w:rPr>
          <w:rFonts w:hint="eastAsia" w:ascii="仿宋" w:eastAsia="仿宋"/>
          <w:b w:val="0"/>
          <w:bCs w:val="0"/>
          <w:sz w:val="32"/>
          <w:szCs w:val="32"/>
          <w:lang w:val="en-US" w:eastAsia="zh-CN"/>
        </w:rPr>
        <w:t xml:space="preserve">  </w:t>
      </w:r>
      <w:r>
        <w:rPr>
          <w:rFonts w:hint="eastAsia" w:ascii="仿宋_GB2312" w:eastAsia="仿宋_GB2312" w:cs="仿宋_GB2312"/>
          <w:b/>
          <w:bCs/>
          <w:color w:val="auto"/>
          <w:kern w:val="2"/>
          <w:sz w:val="32"/>
          <w:szCs w:val="32"/>
          <w:lang w:val="en-US" w:eastAsia="zh-CN" w:bidi="ar-SA"/>
        </w:rPr>
        <w:t>一是</w:t>
      </w:r>
      <w:r>
        <w:rPr>
          <w:rFonts w:hint="eastAsia" w:ascii="仿宋_GB2312" w:eastAsia="仿宋_GB2312" w:cs="仿宋_GB2312"/>
          <w:color w:val="auto"/>
          <w:kern w:val="2"/>
          <w:sz w:val="32"/>
          <w:szCs w:val="32"/>
          <w:lang w:val="en-US" w:eastAsia="zh-CN" w:bidi="ar-SA"/>
        </w:rPr>
        <w:t>确定71户经营单位参与放心舒心消费城市创建。对创建商户进行收集信息并</w:t>
      </w:r>
      <w:r>
        <w:rPr>
          <w:rFonts w:hint="eastAsia" w:ascii="仿宋_GB2312" w:eastAsia="仿宋_GB2312" w:cs="仿宋_GB2312"/>
          <w:color w:val="auto"/>
          <w:kern w:val="2"/>
          <w:sz w:val="32"/>
          <w:szCs w:val="32"/>
          <w:lang w:eastAsia="zh-CN" w:bidi="ar-SA"/>
        </w:rPr>
        <w:t>对示范点制作独立的商户二维码，实现“一店一码”全覆盖。</w:t>
      </w:r>
      <w:r>
        <w:rPr>
          <w:rFonts w:hint="eastAsia" w:ascii="仿宋_GB2312" w:eastAsia="仿宋_GB2312" w:cs="仿宋_GB2312"/>
          <w:b/>
          <w:bCs/>
          <w:color w:val="auto"/>
          <w:kern w:val="2"/>
          <w:sz w:val="32"/>
          <w:szCs w:val="32"/>
          <w:lang w:val="en-US" w:eastAsia="zh-CN" w:bidi="ar-SA"/>
        </w:rPr>
        <w:t>二是</w:t>
      </w:r>
      <w:r>
        <w:rPr>
          <w:rFonts w:hint="eastAsia" w:ascii="仿宋_GB2312" w:eastAsia="仿宋_GB2312" w:cs="仿宋_GB2312"/>
          <w:color w:val="auto"/>
          <w:kern w:val="2"/>
          <w:sz w:val="32"/>
          <w:szCs w:val="32"/>
          <w:lang w:val="en-US" w:eastAsia="zh-CN" w:bidi="ar-SA"/>
        </w:rPr>
        <w:t>开展“放心舒心”</w:t>
      </w:r>
      <w:r>
        <w:rPr>
          <w:rFonts w:hint="eastAsia" w:ascii="仿宋_GB2312" w:eastAsia="仿宋_GB2312" w:cs="仿宋_GB2312"/>
          <w:b w:val="0"/>
          <w:bCs w:val="0"/>
          <w:color w:val="auto"/>
          <w:kern w:val="2"/>
          <w:sz w:val="32"/>
          <w:szCs w:val="32"/>
          <w:lang w:val="en-US" w:eastAsia="zh-CN" w:bidi="ar-SA"/>
        </w:rPr>
        <w:t>创建户“一店一码”培训会，参训人员共70余人</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（7）</w:t>
      </w:r>
      <w:r>
        <w:rPr>
          <w:rFonts w:hint="eastAsia" w:ascii="仿宋_GB2312" w:eastAsia="仿宋_GB2312" w:cs="仿宋_GB2312"/>
          <w:b/>
          <w:bCs/>
          <w:color w:val="auto"/>
          <w:sz w:val="32"/>
          <w:szCs w:val="32"/>
          <w:lang w:val="en-US" w:eastAsia="zh-CN"/>
        </w:rPr>
        <w:t>消费维权工作</w:t>
      </w:r>
    </w:p>
    <w:p>
      <w:pPr>
        <w:pStyle w:val="33"/>
        <w:widowControl w:val="0"/>
        <w:suppressAutoHyphens w:val="0"/>
        <w:bidi w:val="0"/>
        <w:spacing w:beforeAutospacing="0" w:afterAutospacing="0"/>
        <w:ind w:left="0" w:firstLine="640" w:firstLineChars="200"/>
        <w:jc w:val="both"/>
        <w:textAlignment w:val="baseline"/>
        <w:rPr>
          <w:rFonts w:hint="eastAsia" w:ascii="仿宋_GB2312" w:eastAsia="仿宋_GB2312" w:cs="仿宋_GB2312"/>
          <w:color w:val="FF0000"/>
          <w:sz w:val="32"/>
          <w:szCs w:val="32"/>
        </w:rPr>
      </w:pPr>
      <w:r>
        <w:rPr>
          <w:rFonts w:hint="eastAsia" w:ascii="仿宋_GB2312" w:eastAsia="仿宋_GB2312" w:cs="Times New Roman"/>
          <w:color w:val="auto"/>
          <w:kern w:val="2"/>
          <w:sz w:val="32"/>
          <w:szCs w:val="32"/>
          <w:lang w:val="en-US" w:eastAsia="zh-CN" w:bidi="ar-SA"/>
        </w:rPr>
        <w:t>充分发挥“12315”作用，强化舆情监测，切实维护消费者的合法权益。受理投诉举报共120件，办结120件，回复率达100%，诉转案2件。</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eastAsia="仿宋_GB2312" w:cs="Times New Roman"/>
          <w:b/>
          <w:bCs w:val="0"/>
          <w:color w:val="auto"/>
          <w:kern w:val="2"/>
          <w:sz w:val="32"/>
          <w:szCs w:val="32"/>
          <w:lang w:val="en-US" w:eastAsia="zh-CN" w:bidi="ar-SA"/>
        </w:rPr>
      </w:pPr>
      <w:r>
        <w:rPr>
          <w:rFonts w:hint="eastAsia" w:ascii="仿宋_GB2312" w:hAnsi="仿宋_GB2312" w:cs="仿宋_GB2312"/>
          <w:b/>
          <w:bCs/>
          <w:color w:val="auto"/>
          <w:sz w:val="32"/>
          <w:szCs w:val="32"/>
          <w:lang w:val="en-US" w:eastAsia="zh-CN"/>
        </w:rPr>
        <w:t>（8）</w:t>
      </w:r>
      <w:r>
        <w:rPr>
          <w:rFonts w:hint="eastAsia" w:ascii="仿宋_GB2312" w:eastAsia="仿宋_GB2312" w:cs="Times New Roman"/>
          <w:b/>
          <w:bCs w:val="0"/>
          <w:color w:val="auto"/>
          <w:kern w:val="2"/>
          <w:sz w:val="32"/>
          <w:szCs w:val="32"/>
          <w:lang w:val="en-US" w:eastAsia="zh-CN" w:bidi="ar-SA"/>
        </w:rPr>
        <w:t>开展“春雷行动2021”行动</w:t>
      </w:r>
    </w:p>
    <w:p>
      <w:pPr>
        <w:pStyle w:val="18"/>
        <w:keepNext w:val="0"/>
        <w:keepLines w:val="0"/>
        <w:pageBreakBefore w:val="0"/>
        <w:widowControl w:val="0"/>
        <w:kinsoku/>
        <w:wordWrap/>
        <w:overflowPunct/>
        <w:topLinePunct w:val="0"/>
        <w:autoSpaceDE/>
        <w:autoSpaceDN/>
        <w:bidi w:val="0"/>
        <w:spacing w:after="0" w:afterAutospacing="0" w:line="576" w:lineRule="exact"/>
        <w:ind w:left="0" w:leftChars="0" w:firstLine="640" w:firstLineChars="200"/>
        <w:rPr>
          <w:rFonts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我局从2020年12月22日至2021年3月31日，在全县开展“春雷行动2021”暨冷链物流疫情防控检查行动。七个子行动和一个自选行动检查，共出动检查人员617人次，检查经营户1856户次。移交34件，接到投诉举报23起，处理率100%，已为消费者解决了消费矛盾，切实保障了消费者的合法权益。专项行动期间移交34件，省市场监管局、省药监局关于表扬“春雷行动2021”暨冷链物流疫情防控执法行动成绩突出先进集体。</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eastAsia="仿宋_GB2312" w:cs="Times New Roman"/>
          <w:b/>
          <w:bCs w:val="0"/>
          <w:color w:val="auto"/>
          <w:kern w:val="2"/>
          <w:sz w:val="32"/>
          <w:szCs w:val="32"/>
          <w:lang w:val="en-US" w:eastAsia="zh-CN" w:bidi="ar-SA"/>
        </w:rPr>
      </w:pPr>
      <w:r>
        <w:rPr>
          <w:rFonts w:hint="eastAsia" w:ascii="仿宋_GB2312" w:hAnsi="仿宋_GB2312" w:cs="Times New Roman"/>
          <w:b/>
          <w:bCs w:val="0"/>
          <w:color w:val="auto"/>
          <w:kern w:val="2"/>
          <w:sz w:val="32"/>
          <w:szCs w:val="32"/>
          <w:lang w:val="en-US" w:eastAsia="zh-CN" w:bidi="ar-SA"/>
        </w:rPr>
        <w:t>（9）</w:t>
      </w:r>
      <w:r>
        <w:rPr>
          <w:rFonts w:hint="eastAsia" w:ascii="仿宋_GB2312" w:eastAsia="仿宋_GB2312" w:cs="Times New Roman"/>
          <w:b/>
          <w:bCs w:val="0"/>
          <w:color w:val="auto"/>
          <w:kern w:val="2"/>
          <w:sz w:val="32"/>
          <w:szCs w:val="32"/>
          <w:lang w:val="en-US" w:eastAsia="zh-CN" w:bidi="ar-SA"/>
        </w:rPr>
        <w:t>开展市场销售长江黄河流域非法捕捞渔获物工作</w:t>
      </w:r>
    </w:p>
    <w:p>
      <w:pPr>
        <w:pStyle w:val="34"/>
        <w:widowControl w:val="0"/>
        <w:suppressAutoHyphens w:val="0"/>
        <w:bidi w:val="0"/>
        <w:spacing w:beforeAutospacing="0" w:afterAutospacing="0"/>
        <w:ind w:left="0" w:firstLine="640" w:firstLineChars="200"/>
        <w:jc w:val="both"/>
        <w:rPr>
          <w:rFonts w:ascii="仿宋" w:eastAsia="仿宋" w:cs="宋体"/>
          <w:b w:val="0"/>
          <w:bCs w:val="0"/>
          <w:color w:val="auto"/>
          <w:kern w:val="2"/>
          <w:sz w:val="32"/>
          <w:szCs w:val="32"/>
          <w:lang w:val="en-US" w:eastAsia="zh-CN" w:bidi="hi-IN"/>
        </w:rPr>
      </w:pPr>
      <w:r>
        <w:rPr>
          <w:rFonts w:ascii="仿宋" w:eastAsia="仿宋" w:cs="宋体"/>
          <w:b w:val="0"/>
          <w:bCs w:val="0"/>
          <w:color w:val="auto"/>
          <w:kern w:val="2"/>
          <w:sz w:val="32"/>
          <w:szCs w:val="32"/>
          <w:lang w:val="en-US" w:eastAsia="zh-CN" w:bidi="hi-IN"/>
        </w:rPr>
        <w:t>我局组织专项检查组，截止目前，共出动执法人员247余人次，排查农贸市场11家次、水产品销售单位5个次、餐饮服务单位261个次，部门协作联合检查11余次，集中宣传1次，督促20家菜单上、店招店牌上标注有“河鲜”、“野生”等字样的餐饮服务单位立即整改。印制、发放“长江禁捕 打非断链”公益宣传册2600余份，在重点场所进行张贴宣传“八个严禁”的通告50余张，横幅及电子显示屏宣传10处。</w:t>
      </w:r>
    </w:p>
    <w:p>
      <w:pPr>
        <w:ind w:firstLine="642" w:firstLineChars="200"/>
        <w:rPr>
          <w:rFonts w:hint="eastAsia" w:ascii="仿宋_GB2312" w:eastAsia="仿宋_GB2312" w:cs="仿宋_GB2312"/>
          <w:b/>
          <w:bCs/>
          <w:sz w:val="32"/>
          <w:szCs w:val="32"/>
        </w:rPr>
      </w:pPr>
      <w:r>
        <w:rPr>
          <w:rFonts w:hint="eastAsia" w:ascii="仿宋_GB2312" w:hAnsi="仿宋_GB2312" w:cs="仿宋_GB2312"/>
          <w:b/>
          <w:bCs/>
          <w:sz w:val="32"/>
          <w:szCs w:val="32"/>
          <w:lang w:val="en-US" w:eastAsia="zh-CN"/>
        </w:rPr>
        <w:t>（10）</w:t>
      </w:r>
      <w:r>
        <w:rPr>
          <w:rFonts w:hint="eastAsia" w:ascii="仿宋_GB2312" w:eastAsia="仿宋_GB2312" w:cs="仿宋_GB2312"/>
          <w:b/>
          <w:bCs/>
          <w:sz w:val="32"/>
          <w:szCs w:val="32"/>
        </w:rPr>
        <w:t>专利申请、商标培育工作</w:t>
      </w:r>
    </w:p>
    <w:p>
      <w:pPr>
        <w:ind w:firstLine="642" w:firstLineChars="200"/>
        <w:rPr>
          <w:rFonts w:ascii="仿宋_GB2312" w:eastAsia="仿宋_GB2312"/>
          <w:sz w:val="32"/>
          <w:szCs w:val="32"/>
        </w:rPr>
      </w:pPr>
      <w:r>
        <w:rPr>
          <w:rFonts w:hint="eastAsia" w:ascii="仿宋_GB2312" w:hAnsi="仿宋_GB2312"/>
          <w:b/>
          <w:sz w:val="32"/>
          <w:szCs w:val="32"/>
          <w:lang w:val="en-US" w:eastAsia="zh-CN"/>
        </w:rPr>
        <w:t>一</w:t>
      </w:r>
      <w:r>
        <w:rPr>
          <w:rFonts w:hint="eastAsia" w:ascii="仿宋_GB2312" w:eastAsia="仿宋_GB2312" w:cs="仿宋"/>
          <w:b/>
          <w:bCs/>
          <w:sz w:val="32"/>
          <w:szCs w:val="32"/>
        </w:rPr>
        <w:t>是</w:t>
      </w:r>
      <w:r>
        <w:rPr>
          <w:rFonts w:hint="eastAsia" w:ascii="仿宋_GB2312" w:eastAsia="仿宋_GB2312" w:cs="仿宋"/>
          <w:bCs/>
          <w:sz w:val="32"/>
          <w:szCs w:val="32"/>
        </w:rPr>
        <w:t>移交“地理标志证明商标”。</w:t>
      </w:r>
      <w:r>
        <w:rPr>
          <w:rFonts w:hint="eastAsia" w:ascii="仿宋_GB2312" w:eastAsia="仿宋_GB2312" w:cs="仿宋"/>
          <w:sz w:val="32"/>
          <w:szCs w:val="32"/>
        </w:rPr>
        <w:t>我局将“茂县羌脆李”、“茂县枇杷”、“茂县花椒”3个地理标志证明商标移交给茂县科学技术和农业畜牧局。</w:t>
      </w:r>
      <w:r>
        <w:rPr>
          <w:rFonts w:hint="eastAsia" w:ascii="仿宋_GB2312" w:hAnsi="仿宋_GB2312" w:cs="仿宋"/>
          <w:b/>
          <w:sz w:val="32"/>
          <w:szCs w:val="32"/>
          <w:lang w:val="en-US" w:eastAsia="zh-CN"/>
        </w:rPr>
        <w:t>二</w:t>
      </w:r>
      <w:r>
        <w:rPr>
          <w:rFonts w:hint="eastAsia" w:ascii="仿宋_GB2312" w:eastAsia="仿宋_GB2312" w:cs="仿宋"/>
          <w:b/>
          <w:sz w:val="32"/>
          <w:szCs w:val="32"/>
        </w:rPr>
        <w:t>是</w:t>
      </w:r>
      <w:r>
        <w:rPr>
          <w:rFonts w:hint="eastAsia" w:ascii="仿宋_GB2312" w:eastAsia="仿宋_GB2312" w:cs="仿宋"/>
          <w:sz w:val="32"/>
          <w:szCs w:val="32"/>
        </w:rPr>
        <w:t>完成地理标志保护产品专用标志换标工作。对我县已申请的岷江百合（5类）、岷江百合（31类）、茂县羌脆李、茂县枇杷、茂县苹果、茂县甜樱桃、茂县猕猴桃7件地理标志证明商标进行团体标准制定，并在全国标准信息平台完成公布。</w:t>
      </w:r>
    </w:p>
    <w:p>
      <w:pPr>
        <w:ind w:firstLine="642" w:firstLineChars="200"/>
        <w:rPr>
          <w:rFonts w:hint="eastAsia" w:ascii="仿宋_GB2312" w:eastAsia="仿宋_GB2312" w:cs="仿宋_GB2312"/>
          <w:b/>
          <w:bCs/>
          <w:sz w:val="32"/>
          <w:szCs w:val="32"/>
        </w:rPr>
      </w:pPr>
      <w:r>
        <w:rPr>
          <w:rFonts w:hint="eastAsia" w:ascii="仿宋_GB2312" w:hAnsi="仿宋_GB2312" w:cs="仿宋_GB2312"/>
          <w:b/>
          <w:bCs/>
          <w:sz w:val="32"/>
          <w:szCs w:val="32"/>
          <w:lang w:val="en-US" w:eastAsia="zh-CN"/>
        </w:rPr>
        <w:t>（11）</w:t>
      </w:r>
      <w:r>
        <w:rPr>
          <w:rFonts w:hint="eastAsia" w:ascii="仿宋_GB2312" w:eastAsia="仿宋_GB2312" w:cs="仿宋_GB2312"/>
          <w:b/>
          <w:bCs/>
          <w:sz w:val="32"/>
          <w:szCs w:val="32"/>
        </w:rPr>
        <w:t>抽检工作</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仿宋_GB2312"/>
          <w:color w:val="auto"/>
          <w:sz w:val="32"/>
          <w:szCs w:val="32"/>
          <w:lang w:val="en-US" w:eastAsia="zh-CN"/>
        </w:rPr>
        <w:t>1.数量指标：</w:t>
      </w:r>
      <w:r>
        <w:rPr>
          <w:rFonts w:hint="eastAsia" w:ascii="仿宋_GB2312" w:eastAsia="仿宋_GB2312" w:cs="仿宋_GB2312"/>
          <w:color w:val="auto"/>
          <w:sz w:val="32"/>
          <w:szCs w:val="32"/>
        </w:rPr>
        <w:t>完成旅游市场珠宝定向抽检10个批次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商品流通领域抽检42个批次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产品质量抽检12个批次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中药材抽检1个批次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kern w:val="0"/>
          <w:sz w:val="32"/>
          <w:szCs w:val="32"/>
          <w:lang w:val="en-US" w:eastAsia="zh-CN" w:bidi="ar-SA"/>
        </w:rPr>
        <w:t>配合省州局开展药品医疗器械抽检，共抽检药品35批次，医疗器械4批次；</w:t>
      </w:r>
      <w:r>
        <w:rPr>
          <w:rFonts w:hint="eastAsia" w:ascii="仿宋_GB2312" w:eastAsia="仿宋_GB2312"/>
          <w:color w:val="auto"/>
          <w:sz w:val="32"/>
          <w:szCs w:val="32"/>
        </w:rPr>
        <w:t>开展生产环节建筑用砖监督抽查，对县内1家生产企业进行省级监督抽查1批次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协助省州完成生产企业监督抽查3家11批次</w:t>
      </w:r>
      <w:r>
        <w:rPr>
          <w:rFonts w:hint="eastAsia" w:ascii="仿宋_GB2312" w:eastAsia="仿宋_GB2312"/>
          <w:color w:val="auto"/>
          <w:sz w:val="32"/>
          <w:szCs w:val="32"/>
          <w:lang w:eastAsia="zh-CN"/>
        </w:rPr>
        <w:t>；</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食品开展抽样检测，累计开展国抽、省抽、州抽、县本级抽检、“你点我检”等专项抽检任务500余个批次。</w:t>
      </w:r>
    </w:p>
    <w:p>
      <w:pPr>
        <w:snapToGrid/>
        <w:spacing w:before="0" w:beforeAutospacing="0" w:after="0" w:afterAutospacing="0" w:line="576" w:lineRule="exact"/>
        <w:ind w:firstLine="640"/>
        <w:jc w:val="both"/>
        <w:textAlignment w:val="baseline"/>
        <w:rPr>
          <w:rFonts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 xml:space="preserve">2.质量指标：（1）定量、过度包装监督抽查11批次；（2）抽检不合格食品核查处置率100%；（3）食品抽检应公布信息公布率100%；（4）生产环节抽查合格率100%；（5）定量包装和过度包装监督抽查不合格后处理率100%。  </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3.时效指标:2021年12月底前完成。</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4.成本指标: 执法监管成本≤100元/人.天；食品抽检成本≤1500元/样。</w:t>
      </w:r>
    </w:p>
    <w:p>
      <w:pPr>
        <w:ind w:firstLine="748" w:firstLineChars="233"/>
        <w:rPr>
          <w:rFonts w:ascii="楷体_GB2312" w:eastAsia="楷体_GB2312"/>
          <w:b/>
          <w:sz w:val="32"/>
          <w:szCs w:val="32"/>
          <w:lang w:val="zh-CN"/>
        </w:rPr>
      </w:pPr>
      <w:r>
        <w:rPr>
          <w:rFonts w:hint="eastAsia" w:ascii="楷体_GB2312" w:eastAsia="楷体_GB2312"/>
          <w:b/>
          <w:sz w:val="32"/>
          <w:szCs w:val="32"/>
          <w:lang w:val="zh-CN"/>
        </w:rPr>
        <w:t>（二）项目效益情况</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1.经济效益: 促进提升了全县整体市场运营和消费环境；</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 xml:space="preserve">2.社会效益：一是市场监管方面提高消费者自我保护、维权意识，改善消费环境；二是质量抽查与检验方面，产品质量安全问题不断减少，安全风险不断降低；三是基础建设和能力提升方面，检验检测能力得到了稳步提升；四是促进化妆品产业健康发展，提供了强有力的技术支撑；五是知识产权方面，推进知识产权高质量发展，全面提升知识产权公共服务能力，知识产权保护力度得到加强。 </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3.可持续影响：通过项目的实施，促进了</w:t>
      </w:r>
      <w:r>
        <w:rPr>
          <w:rFonts w:hint="eastAsia" w:ascii="仿宋_GB2312" w:eastAsia="仿宋_GB2312" w:cs="Times New Roman"/>
          <w:b w:val="0"/>
          <w:bCs w:val="0"/>
          <w:i w:val="0"/>
          <w:caps w:val="0"/>
          <w:smallCaps w:val="0"/>
          <w:color w:val="auto"/>
          <w:spacing w:val="0"/>
          <w:w w:val="100"/>
          <w:kern w:val="2"/>
          <w:sz w:val="32"/>
          <w:szCs w:val="32"/>
          <w:lang w:val="zh-CN" w:eastAsia="zh-CN" w:bidi="ar-SA"/>
        </w:rPr>
        <w:t>食品安全监管、促进民营经济发展工作、“春雷行动”、市场主体商事制度改革、质量与安全监管工作、抽检、信用监管、市场综合监管、扫黑除恶、百日攻坚、特种设备工作</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的可持续发展。</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spacing w:line="594" w:lineRule="exact"/>
        <w:ind w:firstLine="640" w:firstLineChars="200"/>
        <w:rPr>
          <w:rFonts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年我局部门项目支出绩效评价自查自评结果良好，全年项目支出保证了</w:t>
      </w:r>
      <w:r>
        <w:rPr>
          <w:rFonts w:hint="eastAsia" w:ascii="仿宋_GB2312" w:eastAsia="仿宋_GB2312" w:cs="仿宋_GB2312"/>
          <w:sz w:val="32"/>
          <w:szCs w:val="32"/>
          <w:lang w:eastAsia="zh-CN"/>
        </w:rPr>
        <w:t>市场</w:t>
      </w:r>
      <w:r>
        <w:rPr>
          <w:rFonts w:hint="eastAsia" w:ascii="仿宋_GB2312" w:eastAsia="仿宋_GB2312" w:cs="仿宋_GB2312"/>
          <w:sz w:val="32"/>
          <w:szCs w:val="32"/>
        </w:rPr>
        <w:t xml:space="preserve">监管工作需要，项目支出保障了重点工作的开展，达到预期绩效目标。  </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（二）存在问题　</w:t>
      </w:r>
    </w:p>
    <w:p>
      <w:pPr>
        <w:spacing w:line="594"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部门预算与实际工作稍有偏差。</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（三）改进建议　</w:t>
      </w:r>
    </w:p>
    <w:p>
      <w:pPr>
        <w:spacing w:line="594"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一是进一步加大宣传力度，树立绩效管理理念。</w:t>
      </w:r>
    </w:p>
    <w:p>
      <w:pPr>
        <w:spacing w:line="594"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二是进一步优化工作流程，推进预算绩效全程管理。</w:t>
      </w:r>
    </w:p>
    <w:p>
      <w:pPr>
        <w:spacing w:line="600" w:lineRule="exact"/>
        <w:jc w:val="center"/>
        <w:outlineLvl w:val="0"/>
        <w:rPr>
          <w:rFonts w:ascii="仿宋_GB2312" w:eastAsia="仿宋_GB2312" w:cs="仿宋_GB2312"/>
          <w:sz w:val="32"/>
          <w:szCs w:val="32"/>
        </w:rPr>
      </w:pPr>
      <w:bookmarkStart w:id="352" w:name="_Toc21941"/>
      <w:bookmarkStart w:id="353" w:name="_Toc7053"/>
      <w:bookmarkStart w:id="354" w:name="_Toc22459"/>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Times New Roman" w:hAnsi="Times New Roman" w:eastAsia="方正小标宋简体" w:cs="Times New Roman"/>
          <w:sz w:val="44"/>
          <w:szCs w:val="44"/>
          <w:lang w:eastAsia="zh-CN"/>
        </w:rPr>
      </w:pPr>
      <w:bookmarkStart w:id="355" w:name="_Toc17962"/>
      <w:r>
        <w:rPr>
          <w:rFonts w:ascii="Times New Roman" w:hAnsi="Times New Roman" w:eastAsia="方正小标宋简体" w:cs="Times New Roman"/>
          <w:sz w:val="44"/>
          <w:szCs w:val="44"/>
          <w:lang w:eastAsia="zh-CN"/>
        </w:rPr>
        <w:t>茂县市场监督管理局</w:t>
      </w:r>
      <w:bookmarkEnd w:id="355"/>
    </w:p>
    <w:p>
      <w:pPr>
        <w:spacing w:line="600" w:lineRule="exact"/>
        <w:jc w:val="center"/>
        <w:outlineLvl w:val="0"/>
        <w:rPr>
          <w:rFonts w:ascii="Times New Roman" w:hAnsi="Times New Roman" w:eastAsia="方正小标宋简体" w:cs="Times New Roman"/>
          <w:sz w:val="44"/>
          <w:szCs w:val="44"/>
          <w:lang w:eastAsia="zh-CN"/>
        </w:rPr>
      </w:pPr>
      <w:bookmarkStart w:id="356" w:name="_Toc4503"/>
      <w:r>
        <w:rPr>
          <w:rFonts w:ascii="Times New Roman" w:hAnsi="Times New Roman" w:eastAsia="方正小标宋简体" w:cs="Times New Roman"/>
          <w:sz w:val="44"/>
          <w:szCs w:val="44"/>
          <w:lang w:eastAsia="zh-CN"/>
        </w:rPr>
        <w:t>专项预算项目支出绩效自评报告</w:t>
      </w:r>
      <w:bookmarkEnd w:id="356"/>
    </w:p>
    <w:p>
      <w:pPr>
        <w:adjustRightInd w:val="0"/>
        <w:snapToGrid w:val="0"/>
        <w:spacing w:line="594" w:lineRule="exact"/>
        <w:ind w:firstLine="2671" w:firstLineChars="742"/>
        <w:jc w:val="both"/>
        <w:rPr>
          <w:rFonts w:ascii="Times New Roman" w:hAnsi="Times New Roman" w:eastAsia="仿宋_GB2312" w:cs="Times New Roman"/>
          <w:sz w:val="36"/>
          <w:szCs w:val="36"/>
          <w:lang w:val="zh-CN" w:eastAsia="zh-CN"/>
        </w:rPr>
      </w:pPr>
      <w:r>
        <w:rPr>
          <w:rFonts w:ascii="Times New Roman" w:hAnsi="Times New Roman" w:eastAsia="仿宋_GB2312" w:cs="Times New Roman"/>
          <w:sz w:val="36"/>
          <w:szCs w:val="36"/>
          <w:lang w:val="zh-CN" w:eastAsia="zh-CN"/>
        </w:rPr>
        <w:t>（</w:t>
      </w:r>
      <w:r>
        <w:rPr>
          <w:rFonts w:ascii="Times New Roman" w:hAnsi="Times New Roman" w:eastAsia="仿宋_GB2312" w:cs="Times New Roman"/>
          <w:sz w:val="36"/>
          <w:szCs w:val="36"/>
          <w:lang w:val="zh-CN"/>
        </w:rPr>
        <w:t>食品检测项目</w:t>
      </w:r>
      <w:bookmarkEnd w:id="352"/>
      <w:bookmarkEnd w:id="353"/>
      <w:bookmarkEnd w:id="354"/>
      <w:r>
        <w:rPr>
          <w:rFonts w:ascii="Times New Roman" w:hAnsi="Times New Roman" w:eastAsia="仿宋_GB2312" w:cs="Times New Roman"/>
          <w:sz w:val="36"/>
          <w:szCs w:val="36"/>
          <w:lang w:val="zh-CN" w:eastAsia="zh-CN"/>
        </w:rPr>
        <w:t>）</w:t>
      </w:r>
    </w:p>
    <w:p>
      <w:pPr>
        <w:spacing w:line="600" w:lineRule="exact"/>
        <w:rPr>
          <w:rFonts w:ascii="Times New Roman" w:hAnsi="Times New Roman"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根据“三定”方案，</w:t>
      </w:r>
      <w:r>
        <w:rPr>
          <w:rFonts w:ascii="Times New Roman" w:hAnsi="Times New Roman" w:eastAsia="仿宋_GB2312" w:cs="Times New Roman"/>
          <w:sz w:val="32"/>
          <w:szCs w:val="32"/>
        </w:rPr>
        <w:t>结合项目内容，职能主要为负责全县食品安全监督管理综合协调、全县食品安全监督管理。</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年“食品安全抽检”等专项工作经费的请示》(茂市监〔2020〕</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1．项目主要内容。全面加强食品质量抽检工作，及时发现食品安全隐患，督促生产经营企业落实主体责任，掌握产品质量状况，防范系统性、区域性食品安全风险</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55</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2020年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至2020年12月31日支出</w:t>
      </w:r>
      <w:r>
        <w:rPr>
          <w:rFonts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1.数量指标：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年食用农产品</w:t>
      </w:r>
      <w:r>
        <w:rPr>
          <w:rFonts w:ascii="Times New Roman" w:hAnsi="Times New Roman" w:eastAsia="仿宋_GB2312" w:cs="Times New Roman"/>
          <w:sz w:val="32"/>
          <w:szCs w:val="32"/>
          <w:lang w:val="en-US" w:eastAsia="zh-CN"/>
        </w:rPr>
        <w:t>330</w:t>
      </w:r>
      <w:r>
        <w:rPr>
          <w:rFonts w:ascii="Times New Roman" w:hAnsi="Times New Roman" w:eastAsia="仿宋_GB2312" w:cs="Times New Roman"/>
          <w:sz w:val="32"/>
          <w:szCs w:val="32"/>
          <w:lang w:val="zh-CN"/>
        </w:rPr>
        <w:t>批次。积极配合上级部门和第三方完成国抽、省抽、州抽。并在“中国茂县”网站公示抽检结果。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2.质量指标：检验数据准确。</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3.时效指标:202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年12月底前完成。</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4.成本指标:食品抽检成本≤1500元/样。</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 促进市场健康有序发展。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2.社会效益：为产品质量监管提供技术支撑。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3.可持续影响：通过项目的实施，促进了餐饮、食品生产流通企业等的可持续发展。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 通过市场监督执法，市场满意度达到了70%以上。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xml:space="preserve">年我局部门项目支出绩效评价自查自评结果优，全年项目支出保证了产品抽检监管工作需要，项目支出保障了重点工作的开展，达到预期绩效目标。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800" w:firstLineChars="250"/>
        <w:rPr>
          <w:rFonts w:hint="eastAsia" w:eastAsia="仿宋_GB2312" w:cs="Times New Roman"/>
          <w:sz w:val="32"/>
          <w:szCs w:val="32"/>
          <w:lang w:eastAsia="zh-CN"/>
        </w:rPr>
      </w:pPr>
      <w:r>
        <w:rPr>
          <w:rFonts w:hint="eastAsia" w:eastAsia="仿宋_GB2312" w:cs="Times New Roman"/>
          <w:sz w:val="32"/>
          <w:szCs w:val="32"/>
          <w:lang w:eastAsia="zh-CN"/>
        </w:rPr>
        <w:t>无</w:t>
      </w:r>
    </w:p>
    <w:p>
      <w:pPr>
        <w:spacing w:line="594" w:lineRule="exact"/>
        <w:ind w:firstLine="800" w:firstLineChars="250"/>
        <w:rPr>
          <w:rFonts w:hint="eastAsia" w:eastAsia="仿宋_GB2312" w:cs="Times New Roman"/>
          <w:sz w:val="32"/>
          <w:szCs w:val="32"/>
          <w:lang w:eastAsia="zh-CN"/>
        </w:rPr>
      </w:pPr>
    </w:p>
    <w:p>
      <w:pPr>
        <w:spacing w:line="594" w:lineRule="exact"/>
        <w:ind w:firstLine="800" w:firstLineChars="25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          </w:t>
      </w: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left="0"/>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茂县市场监督管理局</w:t>
      </w:r>
    </w:p>
    <w:p>
      <w:pPr>
        <w:spacing w:line="594" w:lineRule="exact"/>
        <w:ind w:left="0"/>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专项预算项目支出绩效自评报告</w:t>
      </w:r>
    </w:p>
    <w:p>
      <w:pPr>
        <w:adjustRightInd w:val="0"/>
        <w:snapToGrid w:val="0"/>
        <w:spacing w:line="594" w:lineRule="exact"/>
        <w:ind w:firstLine="2520" w:firstLineChars="7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（执法制式服装采购）</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1．根据“三定”方案，我局工作职能为负责全县市场监管。</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加强综合行政执法制式服务和标志管理，推进规范文明执法。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16</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13.76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600" w:lineRule="exact"/>
        <w:ind w:firstLine="960" w:firstLineChars="3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1.数量指标：</w:t>
      </w:r>
    </w:p>
    <w:p>
      <w:pPr>
        <w:adjustRightInd w:val="0"/>
        <w:snapToGrid w:val="0"/>
        <w:spacing w:line="600" w:lineRule="exact"/>
        <w:ind w:firstLine="960" w:firstLineChars="300"/>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购置执法服装32套。</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eastAsia="zh-CN"/>
        </w:rPr>
      </w:pPr>
      <w:r>
        <w:rPr>
          <w:rFonts w:ascii="Times New Roman" w:hAnsi="Times New Roman" w:eastAsia="仿宋_GB2312" w:cs="Times New Roman"/>
          <w:color w:val="auto"/>
          <w:sz w:val="32"/>
          <w:szCs w:val="32"/>
          <w:highlight w:val="none"/>
          <w:lang w:val="zh-CN"/>
        </w:rPr>
        <w:t>2.质量指标：按照《四川省财政厅四川省司法厅关于征求</w:t>
      </w:r>
      <w:r>
        <w:rPr>
          <w:rFonts w:ascii="Times New Roman" w:hAnsi="Times New Roman" w:eastAsia="仿宋_GB2312" w:cs="Times New Roman"/>
          <w:color w:val="auto"/>
          <w:sz w:val="32"/>
          <w:szCs w:val="32"/>
          <w:highlight w:val="none"/>
          <w:lang w:val="en-US" w:eastAsia="zh-CN"/>
        </w:rPr>
        <w:t>&lt;</w:t>
      </w:r>
      <w:r>
        <w:rPr>
          <w:rFonts w:ascii="Times New Roman" w:hAnsi="Times New Roman" w:eastAsia="仿宋_GB2312" w:cs="Times New Roman"/>
          <w:color w:val="auto"/>
          <w:sz w:val="32"/>
          <w:szCs w:val="32"/>
          <w:highlight w:val="none"/>
          <w:lang w:val="zh-CN"/>
        </w:rPr>
        <w:t>四川省综合行政执法制式服装和标志管理实施办法(征求意见稿)</w:t>
      </w:r>
      <w:r>
        <w:rPr>
          <w:rFonts w:ascii="Times New Roman" w:hAnsi="Times New Roman" w:eastAsia="仿宋_GB2312" w:cs="Times New Roman"/>
          <w:color w:val="auto"/>
          <w:sz w:val="32"/>
          <w:szCs w:val="32"/>
          <w:highlight w:val="none"/>
          <w:lang w:val="en-US" w:eastAsia="zh-CN"/>
        </w:rPr>
        <w:t>&gt;</w:t>
      </w:r>
      <w:r>
        <w:rPr>
          <w:rFonts w:ascii="Times New Roman" w:hAnsi="Times New Roman" w:eastAsia="仿宋_GB2312" w:cs="Times New Roman"/>
          <w:color w:val="auto"/>
          <w:sz w:val="32"/>
          <w:szCs w:val="32"/>
          <w:highlight w:val="none"/>
          <w:lang w:val="zh-CN"/>
        </w:rPr>
        <w:t>意见的函</w:t>
      </w:r>
      <w:r>
        <w:rPr>
          <w:rFonts w:ascii="Times New Roman" w:hAnsi="Times New Roman" w:eastAsia="仿宋_GB2312" w:cs="Times New Roman"/>
          <w:color w:val="auto"/>
          <w:sz w:val="32"/>
          <w:szCs w:val="32"/>
          <w:highlight w:val="none"/>
          <w:lang w:val="zh-CN" w:eastAsia="zh-CN"/>
        </w:rPr>
        <w:t>》文件要求，进行服装验收。</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3.时效指标:2021年12月31日前完成。</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4.成本指标:</w:t>
      </w:r>
      <w:r>
        <w:rPr>
          <w:rFonts w:ascii="Times New Roman" w:hAnsi="Times New Roman" w:eastAsia="仿宋_GB2312" w:cs="Times New Roman"/>
          <w:color w:val="auto"/>
          <w:sz w:val="32"/>
          <w:szCs w:val="32"/>
          <w:highlight w:val="none"/>
          <w:lang w:val="en-US" w:eastAsia="zh-CN"/>
        </w:rPr>
        <w:t>4300</w:t>
      </w:r>
      <w:r>
        <w:rPr>
          <w:rFonts w:ascii="Times New Roman" w:hAnsi="Times New Roman" w:eastAsia="仿宋_GB2312" w:cs="Times New Roman"/>
          <w:color w:val="auto"/>
          <w:sz w:val="32"/>
          <w:szCs w:val="32"/>
          <w:highlight w:val="none"/>
          <w:lang w:val="zh-CN"/>
        </w:rPr>
        <w:t>元/套。</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1.经济效益:进一步推进文件执法。</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2.社会效益：提高综合执法队伍的认知度。</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3.可持续影响：执法工作进一步提高。</w:t>
      </w:r>
    </w:p>
    <w:p>
      <w:pPr>
        <w:adjustRightInd w:val="0"/>
        <w:snapToGrid w:val="0"/>
        <w:spacing w:line="600"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五、评价结论及建议</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年我局部门项目支出绩效评价自查自评结果优，全年项目支出保证了保证了执法人员工作需要，项目支出保障了重点工作的开展，达到预期绩效目标。   </w:t>
      </w:r>
      <w:r>
        <w:rPr>
          <w:rFonts w:ascii="Times New Roman" w:hAnsi="Times New Roman" w:eastAsia="仿宋_GB2312" w:cs="Times New Roman"/>
          <w:sz w:val="32"/>
          <w:szCs w:val="32"/>
        </w:rPr>
        <w:t xml:space="preserve">  </w:t>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lang w:val="en-US" w:eastAsia="zh-CN"/>
        </w:rPr>
      </w:pPr>
    </w:p>
    <w:p>
      <w:pPr>
        <w:spacing w:line="580" w:lineRule="exact"/>
        <w:ind w:firstLine="640" w:firstLineChars="200"/>
        <w:rPr>
          <w:rFonts w:ascii="Times New Roman" w:hAnsi="Times New Roman" w:eastAsia="仿宋_GB2312" w:cs="Times New Roman"/>
          <w:sz w:val="32"/>
          <w:szCs w:val="32"/>
          <w:lang w:val="en-US" w:eastAsia="zh-CN"/>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Times New Roman" w:hAnsi="Times New Roman" w:eastAsia="方正小标宋简体" w:cs="Times New Roman"/>
          <w:sz w:val="44"/>
          <w:szCs w:val="44"/>
          <w:lang w:eastAsia="zh-CN"/>
        </w:rPr>
      </w:pPr>
      <w:bookmarkStart w:id="357" w:name="_Toc8182"/>
      <w:r>
        <w:rPr>
          <w:rFonts w:ascii="Times New Roman" w:hAnsi="Times New Roman" w:eastAsia="方正小标宋简体" w:cs="Times New Roman"/>
          <w:sz w:val="44"/>
          <w:szCs w:val="44"/>
          <w:lang w:eastAsia="zh-CN"/>
        </w:rPr>
        <w:t>茂县市场监督管理局</w:t>
      </w:r>
      <w:bookmarkEnd w:id="357"/>
    </w:p>
    <w:p>
      <w:pPr>
        <w:spacing w:line="600" w:lineRule="exact"/>
        <w:jc w:val="center"/>
        <w:outlineLvl w:val="0"/>
        <w:rPr>
          <w:rFonts w:ascii="Times New Roman" w:hAnsi="Times New Roman" w:eastAsia="方正小标宋简体" w:cs="Times New Roman"/>
          <w:sz w:val="44"/>
          <w:szCs w:val="44"/>
          <w:lang w:eastAsia="zh-CN"/>
        </w:rPr>
      </w:pPr>
      <w:bookmarkStart w:id="358" w:name="_Toc17750"/>
      <w:r>
        <w:rPr>
          <w:rFonts w:ascii="Times New Roman" w:hAnsi="Times New Roman" w:eastAsia="方正小标宋简体" w:cs="Times New Roman"/>
          <w:sz w:val="44"/>
          <w:szCs w:val="44"/>
          <w:lang w:eastAsia="zh-CN"/>
        </w:rPr>
        <w:t>专项预算项目支出绩效自评报告</w:t>
      </w:r>
      <w:bookmarkEnd w:id="358"/>
    </w:p>
    <w:p>
      <w:pPr>
        <w:adjustRightInd w:val="0"/>
        <w:snapToGrid w:val="0"/>
        <w:spacing w:line="594" w:lineRule="exact"/>
        <w:ind w:firstLine="2160" w:firstLineChars="6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（中央药品监管补助资金）</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1．根据“三定”方案，我局工作职能为强化药品、化妆品、医疗器械等日常监管，做好药品不良反应及药品抽检工作。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 阿坝州财政局关于下达202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年中央药品监管补助资金预算的通知》（阿州财行〔202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lang w:val="zh-CN"/>
        </w:rPr>
        <w:t>号、</w:t>
      </w:r>
      <w:r>
        <w:rPr>
          <w:rFonts w:ascii="Times New Roman" w:hAnsi="Times New Roman" w:eastAsia="仿宋_GB2312" w:cs="Times New Roman"/>
          <w:sz w:val="32"/>
          <w:szCs w:val="32"/>
          <w:lang w:val="en-US" w:eastAsia="zh-CN"/>
        </w:rPr>
        <w:t>16号</w:t>
      </w:r>
      <w:r>
        <w:rPr>
          <w:rFonts w:ascii="Times New Roman" w:hAnsi="Times New Roman" w:eastAsia="仿宋_GB2312" w:cs="Times New Roman"/>
          <w:sz w:val="32"/>
          <w:szCs w:val="32"/>
          <w:lang w:val="zh-CN"/>
        </w:rPr>
        <w:t>）。</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r>
        <w:rPr>
          <w:rFonts w:ascii="Times New Roman" w:hAnsi="Times New Roman" w:eastAsia="仿宋_GB2312" w:cs="Times New Roman"/>
          <w:sz w:val="32"/>
          <w:szCs w:val="32"/>
          <w:lang w:val="zh-CN" w:eastAsia="zh-CN"/>
        </w:rPr>
        <w:t>（其中：不良反应</w:t>
      </w:r>
      <w:r>
        <w:rPr>
          <w:rFonts w:ascii="Times New Roman" w:hAnsi="Times New Roman" w:eastAsia="仿宋_GB2312" w:cs="Times New Roman"/>
          <w:sz w:val="32"/>
          <w:szCs w:val="32"/>
          <w:lang w:val="en-US" w:eastAsia="zh-CN"/>
        </w:rPr>
        <w:t>0.4万元，专项整治5.5万，药品综合监管6万）</w:t>
      </w:r>
      <w:r>
        <w:rPr>
          <w:rFonts w:ascii="Times New Roman" w:hAnsi="Times New Roman" w:eastAsia="仿宋_GB2312" w:cs="Times New Roman"/>
          <w:sz w:val="32"/>
          <w:szCs w:val="32"/>
          <w:lang w:val="zh-CN"/>
        </w:rPr>
        <w:t>。</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不断强化我县药品（含医疗器械、化妆品）安全监管工作，不断提升药品安全监管水平，强化日常监管和专项整治执法力度，加大对制售假冒伪劣药品违法犯罪活动的打击力度。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11.9</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14.21万元。其中：2020年中央药品专项经费支付11.51万元，2021年中央药品专项经费支付2.7万元</w:t>
      </w:r>
      <w:r>
        <w:rPr>
          <w:rFonts w:ascii="Times New Roman" w:hAnsi="Times New Roman" w:eastAsia="仿宋_GB2312" w:cs="Times New Roman"/>
          <w:sz w:val="32"/>
          <w:szCs w:val="32"/>
          <w:lang w:val="zh-CN"/>
        </w:rPr>
        <w:t>。</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ind w:firstLine="745" w:firstLineChars="233"/>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1.数量指标:药品抽验品种/批次</w:t>
      </w:r>
      <w:r>
        <w:rPr>
          <w:rFonts w:ascii="Times New Roman" w:hAnsi="Times New Roman" w:eastAsia="仿宋_GB2312" w:cs="Times New Roman"/>
          <w:sz w:val="32"/>
          <w:szCs w:val="32"/>
          <w:lang w:val="en-US" w:eastAsia="zh-CN"/>
        </w:rPr>
        <w:t>26次、化妆品抽验批次5次、医疗器械检验批次4次、药品监管企业数71家、化妆品监管企业数40家、医疗器械监管企业数21次、药品监管人员人均培训学时54学时、药物滥用常规监测任务数11次、医疗器械抽样任务数4次。</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2.质量指标：</w:t>
      </w:r>
      <w:r>
        <w:rPr>
          <w:rFonts w:ascii="Times New Roman" w:hAnsi="Times New Roman" w:eastAsia="仿宋_GB2312" w:cs="Times New Roman"/>
          <w:sz w:val="32"/>
          <w:szCs w:val="32"/>
          <w:lang w:eastAsia="zh-CN"/>
        </w:rPr>
        <w:t>药品抽检完成率</w:t>
      </w:r>
      <w:r>
        <w:rPr>
          <w:rFonts w:ascii="Times New Roman" w:hAnsi="Times New Roman" w:eastAsia="仿宋_GB2312" w:cs="Times New Roman"/>
          <w:sz w:val="32"/>
          <w:szCs w:val="32"/>
          <w:lang w:val="en-US" w:eastAsia="zh-CN"/>
        </w:rPr>
        <w:t>100%、化妆品抽检完成率100%、医疗器械抽检完成率100%、不合格产品处置率100%、药品不良反应每百万人口报告数46例、化妆品不良反应每百万人口报告率7例、医疗器械不良反应每百万人口报告数20例、培训人员覆盖率100%</w:t>
      </w:r>
      <w:r>
        <w:rPr>
          <w:rFonts w:ascii="Times New Roman" w:hAnsi="Times New Roman" w:eastAsia="仿宋_GB2312" w:cs="Times New Roman"/>
          <w:sz w:val="32"/>
          <w:szCs w:val="32"/>
        </w:rPr>
        <w:t>。</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3.时效指标:202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年12月底前完成。</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4.成本指标: 执法监管成本≤100元/人.天； </w:t>
      </w:r>
    </w:p>
    <w:p>
      <w:pPr>
        <w:ind w:firstLine="748" w:firstLineChars="233"/>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 xml:space="preserve">促进市场健康有序发展，提高了药品企业的社会责任感，提高了经营户的质量管理水平，促进经营户的发展，更好的保证了药品安全，提高了全民健康水平，同时营造了公平竟争的市场环境。 </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1.经济效益: 促进市场健康有序发展。</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2.社会效益：提高了药品企业的社会责任感，提高了经营户的质量管理水平，促进经营户的发展，更好的保证了药品安全，提高了全民健康水平，同时营造了公平竟争的市场环境。 </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3.持续影响：通过项目的实施，促进了药品、化妆品、保健品等的可持续发展。</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4.满意度指标：公众对药品监管满意度达70%以上。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600" w:lineRule="exact"/>
        <w:ind w:firstLine="720"/>
        <w:rPr>
          <w:rFonts w:ascii="Times New Roman" w:hAnsi="Times New Roman" w:eastAsia="楷体_GB2312" w:cs="Times New Roman"/>
          <w:b/>
          <w:sz w:val="32"/>
          <w:szCs w:val="32"/>
          <w:lang w:val="zh-CN"/>
        </w:rPr>
      </w:pPr>
      <w:r>
        <w:rPr>
          <w:rFonts w:hint="eastAsia" w:ascii="Times New Roman" w:hAnsi="Times New Roman" w:eastAsia="楷体_GB2312" w:cs="Times New Roman"/>
          <w:b/>
          <w:sz w:val="32"/>
          <w:szCs w:val="32"/>
          <w:lang w:val="zh-CN"/>
        </w:rPr>
        <w:t>（一）</w:t>
      </w:r>
      <w:r>
        <w:rPr>
          <w:rFonts w:ascii="Times New Roman" w:hAnsi="Times New Roman" w:eastAsia="楷体_GB2312" w:cs="Times New Roman"/>
          <w:b/>
          <w:sz w:val="32"/>
          <w:szCs w:val="32"/>
          <w:lang w:val="zh-CN"/>
        </w:rPr>
        <w:t>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xml:space="preserve">年我局部门项目支出绩效评价自查自评结果良好，全年项目支出保证了药品监管工作需要，项目支出保障了重点工作的开展，达到预期绩效目标。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spacing w:line="580" w:lineRule="exact"/>
        <w:rPr>
          <w:rFonts w:ascii="楷体_GB2312" w:eastAsia="楷体_GB2312" w:cs="楷体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spacing w:line="600" w:lineRule="exact"/>
        <w:jc w:val="center"/>
        <w:outlineLvl w:val="0"/>
        <w:rPr>
          <w:rStyle w:val="23"/>
          <w:rFonts w:ascii="黑体" w:eastAsia="黑体"/>
          <w:b w:val="0"/>
        </w:rPr>
      </w:pPr>
      <w:bookmarkStart w:id="359" w:name="_Toc15466"/>
      <w:bookmarkStart w:id="360" w:name="_Toc79163635"/>
      <w:bookmarkStart w:id="361" w:name="_Toc15396618"/>
      <w:bookmarkStart w:id="362" w:name="_Toc15377226"/>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359"/>
      <w:bookmarkEnd w:id="360"/>
      <w:bookmarkEnd w:id="361"/>
      <w:bookmarkEnd w:id="362"/>
    </w:p>
    <w:p>
      <w:pPr>
        <w:pStyle w:val="3"/>
        <w:rPr>
          <w:rFonts w:ascii="仿宋" w:eastAsia="仿宋"/>
          <w:color w:val="000000"/>
        </w:rPr>
      </w:pPr>
      <w:bookmarkStart w:id="363" w:name="_Toc79163636"/>
      <w:bookmarkStart w:id="364" w:name="_Toc15396619"/>
      <w:bookmarkStart w:id="365" w:name="_Toc22401"/>
      <w:r>
        <w:rPr>
          <w:rFonts w:hint="eastAsia" w:ascii="仿宋" w:eastAsia="仿宋"/>
          <w:b w:val="0"/>
          <w:color w:val="000000"/>
        </w:rPr>
        <w:t>一、收</w:t>
      </w:r>
      <w:r>
        <w:rPr>
          <w:rStyle w:val="24"/>
          <w:rFonts w:hint="eastAsia" w:ascii="仿宋" w:eastAsia="仿宋"/>
          <w:b w:val="0"/>
          <w:bCs w:val="0"/>
        </w:rPr>
        <w:t>入支出决算总表</w:t>
      </w:r>
      <w:bookmarkEnd w:id="363"/>
      <w:bookmarkEnd w:id="364"/>
      <w:bookmarkEnd w:id="365"/>
    </w:p>
    <w:p>
      <w:pPr>
        <w:pStyle w:val="3"/>
        <w:rPr>
          <w:rFonts w:ascii="仿宋" w:eastAsia="仿宋"/>
          <w:color w:val="000000"/>
        </w:rPr>
      </w:pPr>
      <w:bookmarkStart w:id="366" w:name="_Toc9078"/>
      <w:bookmarkStart w:id="367" w:name="_Toc79163637"/>
      <w:bookmarkStart w:id="368" w:name="_Toc15396620"/>
      <w:r>
        <w:rPr>
          <w:rFonts w:hint="eastAsia" w:ascii="仿宋" w:eastAsia="仿宋"/>
          <w:b w:val="0"/>
          <w:color w:val="000000"/>
        </w:rPr>
        <w:t>二、收</w:t>
      </w:r>
      <w:r>
        <w:rPr>
          <w:rStyle w:val="24"/>
          <w:rFonts w:hint="eastAsia" w:ascii="仿宋" w:eastAsia="仿宋"/>
          <w:b w:val="0"/>
          <w:bCs w:val="0"/>
        </w:rPr>
        <w:t>入决算表</w:t>
      </w:r>
      <w:bookmarkEnd w:id="366"/>
      <w:bookmarkEnd w:id="367"/>
      <w:bookmarkEnd w:id="368"/>
    </w:p>
    <w:p>
      <w:pPr>
        <w:pStyle w:val="3"/>
        <w:rPr>
          <w:rFonts w:ascii="仿宋" w:eastAsia="仿宋"/>
          <w:color w:val="000000"/>
        </w:rPr>
      </w:pPr>
      <w:bookmarkStart w:id="369" w:name="_Toc79163638"/>
      <w:bookmarkStart w:id="370" w:name="_Toc15396621"/>
      <w:bookmarkStart w:id="371" w:name="_Toc19801"/>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369"/>
      <w:bookmarkEnd w:id="370"/>
      <w:bookmarkEnd w:id="371"/>
    </w:p>
    <w:p>
      <w:pPr>
        <w:pStyle w:val="3"/>
        <w:rPr>
          <w:rFonts w:ascii="仿宋" w:eastAsia="仿宋"/>
          <w:b w:val="0"/>
          <w:color w:val="000000"/>
        </w:rPr>
      </w:pPr>
      <w:bookmarkStart w:id="372" w:name="_Toc15396622"/>
      <w:bookmarkStart w:id="373" w:name="_Toc13854"/>
      <w:bookmarkStart w:id="374" w:name="_Toc7916363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372"/>
      <w:bookmarkEnd w:id="373"/>
      <w:bookmarkEnd w:id="374"/>
    </w:p>
    <w:p>
      <w:pPr>
        <w:pStyle w:val="3"/>
        <w:rPr>
          <w:rStyle w:val="24"/>
          <w:rFonts w:ascii="仿宋" w:eastAsia="仿宋"/>
          <w:b w:val="0"/>
          <w:bCs w:val="0"/>
        </w:rPr>
      </w:pPr>
      <w:bookmarkStart w:id="375" w:name="_Toc79163640"/>
      <w:bookmarkStart w:id="376" w:name="_Toc22897"/>
      <w:bookmarkStart w:id="377"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375"/>
      <w:bookmarkEnd w:id="376"/>
      <w:bookmarkEnd w:id="377"/>
      <w:bookmarkStart w:id="378" w:name="_Toc15396624"/>
    </w:p>
    <w:p>
      <w:pPr>
        <w:pStyle w:val="3"/>
        <w:rPr>
          <w:rFonts w:ascii="仿宋" w:eastAsia="仿宋"/>
          <w:color w:val="000000"/>
        </w:rPr>
      </w:pPr>
      <w:bookmarkStart w:id="379" w:name="_Toc79163641"/>
      <w:bookmarkStart w:id="380" w:name="_Toc25540"/>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378"/>
      <w:bookmarkEnd w:id="379"/>
      <w:bookmarkEnd w:id="380"/>
    </w:p>
    <w:p>
      <w:pPr>
        <w:pStyle w:val="3"/>
        <w:rPr>
          <w:rFonts w:ascii="仿宋" w:eastAsia="仿宋"/>
          <w:color w:val="000000"/>
        </w:rPr>
      </w:pPr>
      <w:bookmarkStart w:id="381" w:name="_Toc79163642"/>
      <w:bookmarkStart w:id="382" w:name="_Toc87"/>
      <w:bookmarkStart w:id="383" w:name="_Toc15396625"/>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381"/>
      <w:bookmarkEnd w:id="382"/>
      <w:bookmarkEnd w:id="383"/>
    </w:p>
    <w:p>
      <w:pPr>
        <w:pStyle w:val="3"/>
        <w:rPr>
          <w:rFonts w:ascii="仿宋" w:eastAsia="仿宋"/>
          <w:color w:val="000000"/>
        </w:rPr>
      </w:pPr>
      <w:bookmarkStart w:id="384" w:name="_Toc79163643"/>
      <w:bookmarkStart w:id="385" w:name="_Toc15396626"/>
      <w:bookmarkStart w:id="386" w:name="_Toc2832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384"/>
      <w:bookmarkEnd w:id="385"/>
      <w:bookmarkEnd w:id="386"/>
    </w:p>
    <w:p>
      <w:pPr>
        <w:pStyle w:val="3"/>
        <w:rPr>
          <w:rFonts w:ascii="仿宋" w:eastAsia="仿宋"/>
          <w:color w:val="000000"/>
        </w:rPr>
      </w:pPr>
      <w:bookmarkStart w:id="387" w:name="_Toc15396627"/>
      <w:bookmarkStart w:id="388" w:name="_Toc79163644"/>
      <w:bookmarkStart w:id="389" w:name="_Toc13206"/>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387"/>
      <w:bookmarkEnd w:id="388"/>
      <w:bookmarkEnd w:id="389"/>
    </w:p>
    <w:p>
      <w:pPr>
        <w:pStyle w:val="3"/>
        <w:rPr>
          <w:rFonts w:ascii="仿宋" w:eastAsia="仿宋"/>
          <w:color w:val="000000"/>
        </w:rPr>
      </w:pPr>
      <w:bookmarkStart w:id="390" w:name="_Toc15396628"/>
      <w:bookmarkStart w:id="391" w:name="_Toc79163645"/>
      <w:bookmarkStart w:id="392" w:name="_Toc24925"/>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390"/>
      <w:bookmarkEnd w:id="391"/>
      <w:bookmarkEnd w:id="392"/>
    </w:p>
    <w:p>
      <w:pPr>
        <w:pStyle w:val="3"/>
        <w:rPr>
          <w:rFonts w:ascii="仿宋" w:eastAsia="仿宋"/>
          <w:color w:val="000000"/>
        </w:rPr>
      </w:pPr>
      <w:bookmarkStart w:id="393" w:name="_Toc7602"/>
      <w:bookmarkStart w:id="394" w:name="_Toc15396629"/>
      <w:bookmarkStart w:id="395" w:name="_Toc7916364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393"/>
      <w:bookmarkEnd w:id="394"/>
      <w:bookmarkEnd w:id="395"/>
    </w:p>
    <w:p>
      <w:pPr>
        <w:pStyle w:val="3"/>
        <w:rPr>
          <w:rFonts w:ascii="仿宋" w:eastAsia="仿宋"/>
          <w:color w:val="000000"/>
        </w:rPr>
      </w:pPr>
      <w:bookmarkStart w:id="396" w:name="_Toc9578"/>
      <w:bookmarkStart w:id="397" w:name="_Toc79163647"/>
      <w:bookmarkStart w:id="398" w:name="_Toc15396630"/>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396"/>
      <w:bookmarkEnd w:id="397"/>
      <w:bookmarkEnd w:id="398"/>
    </w:p>
    <w:p>
      <w:pPr>
        <w:pStyle w:val="3"/>
        <w:rPr>
          <w:rStyle w:val="24"/>
          <w:rFonts w:ascii="仿宋" w:eastAsia="仿宋"/>
          <w:b w:val="0"/>
          <w:bCs w:val="0"/>
        </w:rPr>
      </w:pPr>
      <w:bookmarkStart w:id="399" w:name="_Toc15396631"/>
      <w:bookmarkStart w:id="400" w:name="_Toc79163648"/>
      <w:bookmarkStart w:id="401" w:name="_Toc28422"/>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399"/>
      <w:bookmarkEnd w:id="400"/>
      <w:bookmarkEnd w:id="401"/>
    </w:p>
    <w:p>
      <w:pPr>
        <w:pStyle w:val="3"/>
        <w:rPr>
          <w:rStyle w:val="24"/>
          <w:rFonts w:ascii="仿宋" w:eastAsia="仿宋"/>
          <w:b w:val="0"/>
          <w:bCs w:val="0"/>
        </w:rPr>
      </w:pPr>
      <w:bookmarkStart w:id="402" w:name="_Toc79163649"/>
      <w:bookmarkStart w:id="403" w:name="_Toc27412"/>
      <w:r>
        <w:rPr>
          <w:rStyle w:val="24"/>
          <w:rFonts w:hint="eastAsia" w:ascii="仿宋" w:eastAsia="仿宋"/>
          <w:b w:val="0"/>
          <w:bCs w:val="0"/>
        </w:rPr>
        <w:t>十四、国有资本经营预算财政拨款支出决算表</w:t>
      </w:r>
      <w:bookmarkEnd w:id="402"/>
      <w:bookmarkEnd w:id="403"/>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E1N2U5ODIyOTRiYmM1NzEwNDgxZjRkNWY0ZTQ4Y2EifQ=="/>
  </w:docVars>
  <w:rsids>
    <w:rsidRoot w:val="00000000"/>
    <w:rsid w:val="2FF852E3"/>
    <w:rsid w:val="7BF6C3C4"/>
    <w:rsid w:val="7F7EADCB"/>
    <w:rsid w:val="FFEF21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paragraph" w:styleId="18">
    <w:name w:val="Body Text First Indent 2"/>
    <w:basedOn w:val="1"/>
    <w:next w:val="1"/>
    <w:qFormat/>
    <w:uiPriority w:val="0"/>
    <w:pPr>
      <w:widowControl w:val="0"/>
      <w:spacing w:after="120" w:line="500" w:lineRule="exact"/>
      <w:ind w:left="200" w:leftChars="200" w:firstLine="200" w:firstLineChars="200"/>
      <w:jc w:val="both"/>
    </w:pPr>
    <w:rPr>
      <w:rFonts w:ascii="Times New Roman" w:hAnsi="Times New Roman" w:eastAsia="宋体" w:cs="Times New Roman"/>
      <w:b/>
      <w:kern w:val="2"/>
      <w:sz w:val="21"/>
      <w:szCs w:val="24"/>
      <w:lang w:val="en-US" w:eastAsia="zh-CN" w:bidi="ar-SA"/>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3">
    <w:name w:val="正文1"/>
    <w:qFormat/>
    <w:uiPriority w:val="0"/>
    <w:pPr>
      <w:widowControl w:val="0"/>
      <w:suppressAutoHyphens w:val="0"/>
      <w:bidi w:val="0"/>
      <w:spacing w:beforeAutospacing="0" w:afterAutospacing="0"/>
      <w:jc w:val="both"/>
    </w:pPr>
    <w:rPr>
      <w:rFonts w:ascii="Calibri" w:hAnsi="Calibri" w:eastAsia="等线" w:cs="Times New Roman"/>
      <w:color w:val="auto"/>
      <w:kern w:val="2"/>
      <w:sz w:val="21"/>
      <w:szCs w:val="24"/>
      <w:lang w:val="en-US" w:eastAsia="zh-CN" w:bidi="hi-IN"/>
    </w:rPr>
  </w:style>
  <w:style w:type="paragraph" w:customStyle="1" w:styleId="34">
    <w:name w:val="正文首行缩进 21"/>
    <w:basedOn w:val="1"/>
    <w:qFormat/>
    <w:uiPriority w:val="0"/>
    <w:pPr>
      <w:widowControl w:val="0"/>
      <w:suppressAutoHyphens w:val="0"/>
      <w:bidi w:val="0"/>
      <w:spacing w:beforeAutospacing="0" w:afterAutospacing="0"/>
      <w:ind w:left="42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34131"/>
          <c:y val="0.13046908"/>
          <c:w val="0.9188002"/>
          <c:h val="0.6400847"/>
        </c:manualLayout>
      </c:layout>
      <c:barChart>
        <c:barDir val="col"/>
        <c:grouping val="clustered"/>
        <c:varyColors val="0"/>
        <c:ser>
          <c:idx val="0"/>
          <c:order val="0"/>
          <c:tx>
            <c:strRef>
              <c:f>'Sheet1'!$B$1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Sheet1!$B$2</c:f>
              <c:numCache>
                <c:formatCode>General</c:formatCode>
                <c:ptCount val="1"/>
                <c:pt idx="0">
                  <c:v>999.92</c:v>
                </c:pt>
              </c:numCache>
            </c:numRef>
          </c:val>
        </c:ser>
        <c:ser>
          <c:idx val="1"/>
          <c:order val="1"/>
          <c:tx>
            <c:strRef>
              <c:f>'Sheet1'!$C$1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Sheet1!$C$2</c:f>
              <c:numCache>
                <c:formatCode>General</c:formatCode>
                <c:ptCount val="1"/>
                <c:pt idx="0">
                  <c:v>647.61</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46928"/>
          <c:y val="0.078228086"/>
          <c:w val="0.91755825"/>
          <c:h val="0.71522146"/>
        </c:manualLayout>
      </c:layout>
      <c:barChart>
        <c:barDir val="col"/>
        <c:grouping val="clustered"/>
        <c:varyColors val="0"/>
        <c:ser>
          <c:idx val="0"/>
          <c:order val="0"/>
          <c:tx>
            <c:strRef>
              <c:f>'Sheet1 (2)'!$B$1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(2)!$B$2</c:f>
              <c:numCache>
                <c:formatCode>General</c:formatCode>
                <c:ptCount val="1"/>
                <c:pt idx="0">
                  <c:v>1059.51</c:v>
                </c:pt>
              </c:numCache>
            </c:numRef>
          </c:val>
        </c:ser>
        <c:ser>
          <c:idx val="1"/>
          <c:order val="1"/>
          <c:tx>
            <c:strRef>
              <c:f>'Sheet1 (2)'!$C$1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(2)!$C$2</c:f>
              <c:numCache>
                <c:formatCode>General</c:formatCode>
                <c:ptCount val="1"/>
                <c:pt idx="0">
                  <c:v>718.44</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charset="-122"/>
                <a:cs typeface="Arial" panose="020B0604020202020204" pitchFamily="2"/>
              </a:defRPr>
            </a:pPr>
            <a:r>
              <a:rPr lang="zh-CN"/>
              <a:t>收入</a:t>
            </a:r>
            <a:endParaRPr lang="zh-CN"/>
          </a:p>
        </c:rich>
      </c:tx>
      <c:layout/>
      <c:overlay val="0"/>
      <c:spPr>
        <a:noFill/>
        <a:ln>
          <a:noFill/>
        </a:ln>
      </c:spPr>
    </c:title>
    <c:autoTitleDeleted val="0"/>
    <c:plotArea>
      <c:layout/>
      <c:pieChart>
        <c:varyColors val="1"/>
        <c:ser>
          <c:idx val="0"/>
          <c:order val="0"/>
          <c:tx>
            <c:strRef>
              <c:f>'Sheet1 (3)'!$B$1</c:f>
              <c:strCache>
                <c:ptCount val="1"/>
                <c:pt idx="0">
                  <c:v>收入</c:v>
                </c:pt>
              </c:strCache>
            </c:strRef>
          </c:tx>
          <c:spPr>
            <a:ln>
              <a:noFill/>
            </a:ln>
          </c:spPr>
          <c:explosion val="0"/>
          <c:dPt>
            <c:idx val="0"/>
            <c:bubble3D val="0"/>
            <c:spPr>
              <a:solidFill>
                <a:srgbClr val="4F81BD"/>
              </a:solidFill>
              <a:ln w="19050">
                <a:solidFill>
                  <a:srgbClr val="CCE8CF"/>
                </a:solidFill>
                <a:prstDash val="solid"/>
              </a:ln>
            </c:spPr>
          </c:dPt>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c:f>
              <c:strCache>
                <c:ptCount val="1"/>
                <c:pt idx="0">
                  <c:v>一般公共预算财政拨款收入</c:v>
                </c:pt>
              </c:strCache>
            </c:strRef>
          </c:cat>
          <c:val>
            <c:numRef>
              <c:f>Sheet1 (3)!$B$2</c:f>
              <c:numCache>
                <c:formatCode>General</c:formatCode>
                <c:ptCount val="1"/>
                <c:pt idx="0">
                  <c:v>8.2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charset="-122"/>
                <a:cs typeface="Arial" panose="020B0604020202020204" pitchFamily="2"/>
              </a:defRPr>
            </a:pPr>
            <a:r>
              <a:rPr lang="zh-CN"/>
              <a:t>支出</a:t>
            </a:r>
            <a:endParaRPr lang="zh-CN"/>
          </a:p>
        </c:rich>
      </c:tx>
      <c:layout/>
      <c:overlay val="0"/>
      <c:spPr>
        <a:noFill/>
        <a:ln>
          <a:noFill/>
        </a:ln>
      </c:spPr>
    </c:title>
    <c:autoTitleDeleted val="0"/>
    <c:plotArea>
      <c:layout/>
      <c:pieChart>
        <c:varyColors val="1"/>
        <c:ser>
          <c:idx val="0"/>
          <c:order val="0"/>
          <c:tx>
            <c:strRef>
              <c:f>'Sheet1 (4)'!$B$1</c:f>
              <c:strCache>
                <c:ptCount val="1"/>
                <c:pt idx="0">
                  <c:v>支出</c:v>
                </c:pt>
              </c:strCache>
            </c:strRef>
          </c:tx>
          <c:spPr>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基本支出</c:v>
                </c:pt>
                <c:pt idx="1">
                  <c:v>项目支出</c:v>
                </c:pt>
              </c:strCache>
            </c:strRef>
          </c:cat>
          <c:val>
            <c:numRef>
              <c:f>'Sheet1 (4)'!$B$2:$B$3</c:f>
              <c:numCache>
                <c:formatCode>General</c:formatCode>
                <c:ptCount val="2"/>
                <c:pt idx="0">
                  <c:v>698.51</c:v>
                </c:pt>
                <c:pt idx="1">
                  <c:v>97.77</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69956"/>
          <c:y val="0.12036807"/>
          <c:w val="0.9188002"/>
          <c:h val="0.6400847"/>
        </c:manualLayout>
      </c:layout>
      <c:barChart>
        <c:barDir val="col"/>
        <c:grouping val="clustered"/>
        <c:varyColors val="0"/>
        <c:ser>
          <c:idx val="0"/>
          <c:order val="0"/>
          <c:tx>
            <c:strRef>
              <c:f>'Sheet1 (5)'!$B$1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(5)!$B$2</c:f>
              <c:numCache>
                <c:formatCode>General</c:formatCode>
                <c:ptCount val="1"/>
                <c:pt idx="0">
                  <c:v>999.92</c:v>
                </c:pt>
              </c:numCache>
            </c:numRef>
          </c:val>
        </c:ser>
        <c:ser>
          <c:idx val="1"/>
          <c:order val="1"/>
          <c:tx>
            <c:strRef>
              <c:f>'Sheet1 (5)'!$C$1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(5)!$C$2</c:f>
              <c:numCache>
                <c:formatCode>General</c:formatCode>
                <c:ptCount val="1"/>
                <c:pt idx="0">
                  <c:v>647.61</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46928"/>
          <c:y val="0.13124411"/>
          <c:w val="0.91755825"/>
          <c:h val="0.71522146"/>
        </c:manualLayout>
      </c:layout>
      <c:barChart>
        <c:barDir val="col"/>
        <c:grouping val="clustered"/>
        <c:varyColors val="0"/>
        <c:ser>
          <c:idx val="0"/>
          <c:order val="0"/>
          <c:tx>
            <c:strRef>
              <c:f>'Sheet1 (6)'!$B$1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(6)!$B$2</c:f>
              <c:numCache>
                <c:formatCode>General</c:formatCode>
                <c:ptCount val="1"/>
                <c:pt idx="0">
                  <c:v>1059.51</c:v>
                </c:pt>
              </c:numCache>
            </c:numRef>
          </c:val>
        </c:ser>
        <c:ser>
          <c:idx val="1"/>
          <c:order val="1"/>
          <c:tx>
            <c:strRef>
              <c:f>'Sheet1 (6)'!$C$1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(6)!$C$2</c:f>
              <c:numCache>
                <c:formatCode>General</c:formatCode>
                <c:ptCount val="1"/>
                <c:pt idx="0">
                  <c:v>718.44</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49682"/>
          <c:y val="0.09236569"/>
          <c:w val="0.91755825"/>
          <c:h val="0.71522146"/>
        </c:manualLayout>
      </c:layout>
      <c:barChart>
        <c:barDir val="col"/>
        <c:grouping val="clustered"/>
        <c:varyColors val="0"/>
        <c:ser>
          <c:idx val="0"/>
          <c:order val="0"/>
          <c:tx>
            <c:strRef>
              <c:f>'Sheet1 (7)'!$B$1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(7)!$B$2</c:f>
              <c:numCache>
                <c:formatCode>General</c:formatCode>
                <c:ptCount val="1"/>
                <c:pt idx="0">
                  <c:v>1059.51</c:v>
                </c:pt>
              </c:numCache>
            </c:numRef>
          </c:val>
        </c:ser>
        <c:ser>
          <c:idx val="1"/>
          <c:order val="1"/>
          <c:tx>
            <c:strRef>
              <c:f>'Sheet1 (7)'!$C$1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(7)!$C$2</c:f>
              <c:numCache>
                <c:formatCode>General</c:formatCode>
                <c:ptCount val="1"/>
                <c:pt idx="0">
                  <c:v>718.44</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charset="-122"/>
                <a:cs typeface="Arial" panose="020B0604020202020204" pitchFamily="2"/>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(8)'!$B$1</c:f>
              <c:strCache>
                <c:ptCount val="1"/>
                <c:pt idx="0">
                  <c:v>一般公共预算财政拨款支出</c:v>
                </c:pt>
              </c:strCache>
            </c:strRef>
          </c:tx>
          <c:spPr>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Pt>
            <c:idx val="2"/>
            <c:bubble3D val="0"/>
            <c:spPr>
              <a:solidFill>
                <a:srgbClr val="9BBB59"/>
              </a:solidFill>
              <a:ln w="19050">
                <a:solidFill>
                  <a:srgbClr val="CCE8CF"/>
                </a:solidFill>
                <a:prstDash val="solid"/>
              </a:ln>
            </c:spPr>
          </c:dPt>
          <c:dPt>
            <c:idx val="3"/>
            <c:bubble3D val="0"/>
            <c:spPr>
              <a:solidFill>
                <a:srgbClr val="8064A2"/>
              </a:solidFill>
              <a:ln w="19050">
                <a:solidFill>
                  <a:srgbClr val="CCE8CF"/>
                </a:solidFill>
                <a:prstDash val="solid"/>
              </a:ln>
            </c:spPr>
          </c:dPt>
          <c:dPt>
            <c:idx val="4"/>
            <c:bubble3D val="0"/>
            <c:spPr>
              <a:solidFill>
                <a:srgbClr val="4BACC6"/>
              </a:solidFill>
              <a:ln w="19050">
                <a:solidFill>
                  <a:srgbClr val="CCE8CF"/>
                </a:solidFill>
                <a:prstDash val="solid"/>
              </a:ln>
            </c:spPr>
          </c:dPt>
          <c:dLbls>
            <c:dLbl>
              <c:idx val="0"/>
              <c:delete val="1"/>
            </c:dLbl>
            <c:dLbl>
              <c:idx val="1"/>
              <c:delete val="1"/>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(8)'!$A$2:$A$6</c:f>
              <c:strCache>
                <c:ptCount val="5"/>
                <c:pt idx="0">
                  <c:v>一般公共服务</c:v>
                </c:pt>
                <c:pt idx="1">
                  <c:v>社会保障和就业</c:v>
                </c:pt>
                <c:pt idx="2">
                  <c:v>卫生健康支出</c:v>
                </c:pt>
                <c:pt idx="3">
                  <c:v>农林水支出</c:v>
                </c:pt>
                <c:pt idx="4">
                  <c:v>住房保障支出</c:v>
                </c:pt>
              </c:strCache>
            </c:strRef>
          </c:cat>
          <c:val>
            <c:numRef>
              <c:f>'Sheet1 (8)'!$B$2:$B$6</c:f>
              <c:numCache>
                <c:formatCode>General</c:formatCode>
                <c:ptCount val="5"/>
                <c:pt idx="0">
                  <c:v>597.25</c:v>
                </c:pt>
                <c:pt idx="1">
                  <c:v>54.04</c:v>
                </c:pt>
                <c:pt idx="2">
                  <c:v>27.25</c:v>
                </c:pt>
                <c:pt idx="3">
                  <c:v>1.58</c:v>
                </c:pt>
                <c:pt idx="4">
                  <c:v>38.32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charset="-122"/>
                <a:cs typeface="Arial" panose="020B0604020202020204" pitchFamily="2"/>
              </a:defRPr>
            </a:pPr>
            <a:r>
              <a:rPr lang="zh-CN"/>
              <a:t>“三公”经费财政拨款支出</a:t>
            </a:r>
            <a:endParaRPr lang="zh-CN"/>
          </a:p>
        </c:rich>
      </c:tx>
      <c:layout/>
      <c:overlay val="0"/>
      <c:spPr>
        <a:noFill/>
        <a:ln>
          <a:noFill/>
        </a:ln>
      </c:spPr>
    </c:title>
    <c:autoTitleDeleted val="0"/>
    <c:plotArea>
      <c:layout/>
      <c:pieChart>
        <c:varyColors val="1"/>
        <c:ser>
          <c:idx val="0"/>
          <c:order val="0"/>
          <c:tx>
            <c:strRef>
              <c:f>'Sheet1 (9)'!$B$1</c:f>
              <c:strCache>
                <c:ptCount val="1"/>
                <c:pt idx="0">
                  <c:v>“三公”经费财政拨款支出</c:v>
                </c:pt>
              </c:strCache>
            </c:strRef>
          </c:tx>
          <c:spPr>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Arial" panose="020B0604020202020204" pitchFamily="2"/>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(9)'!$A$2:$A$3</c:f>
              <c:strCache>
                <c:ptCount val="2"/>
                <c:pt idx="0">
                  <c:v>公务用车购置及运行维护费支出</c:v>
                </c:pt>
                <c:pt idx="1">
                  <c:v>公务接待费支出</c:v>
                </c:pt>
              </c:strCache>
            </c:strRef>
          </c:cat>
          <c:val>
            <c:numRef>
              <c:f>'Sheet1 (9)'!$B$2:$B$3</c:f>
              <c:numCache>
                <c:formatCode>General</c:formatCode>
                <c:ptCount val="2"/>
                <c:pt idx="0">
                  <c:v>23.06</c:v>
                </c:pt>
                <c:pt idx="1">
                  <c:v>0.53</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65</Pages>
  <Words>24887</Words>
  <Characters>26593</Characters>
  <Lines>1851</Lines>
  <Paragraphs>985</Paragraphs>
  <TotalTime>16</TotalTime>
  <ScaleCrop>false</ScaleCrop>
  <LinksUpToDate>false</LinksUpToDate>
  <CharactersWithSpaces>26926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2021-08-07T17:38:00Z</dcterms:created>
  <dc:creator>曹颖</dc:creator>
  <cp:lastModifiedBy>user</cp:lastModifiedBy>
  <cp:lastPrinted>2021-07-30T11:56:00Z</cp:lastPrinted>
  <dcterms:modified xsi:type="dcterms:W3CDTF">2026-05-06T15:42:04Z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A83E44E77C944A039CEBEB027FE3C360</vt:lpwstr>
  </property>
</Properties>
</file>